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7E03265B" w14:textId="77777777" w:rsidR="00D72089" w:rsidRDefault="00D07019">
      <w:pPr>
        <w:spacing w:before="200" w:line="240" w:lineRule="auto"/>
        <w:jc w:val="both"/>
        <w:rPr>
          <w:rFonts w:ascii="Nunito Sans" w:eastAsia="Nunito Sans" w:hAnsi="Nunito Sans" w:cs="Nunito Sans"/>
          <w:b/>
          <w:highlight w:val="white"/>
        </w:rPr>
      </w:pPr>
      <w:r>
        <w:rPr>
          <w:rFonts w:ascii="Nunito Sans" w:eastAsia="Nunito Sans" w:hAnsi="Nunito Sans" w:cs="Nunito Sans"/>
          <w:b/>
          <w:noProof/>
          <w:lang w:val="en-GB" w:eastAsia="en-GB"/>
        </w:rPr>
        <mc:AlternateContent>
          <mc:Choice Requires="wpg">
            <w:drawing>
              <wp:anchor distT="0" distB="0" distL="114300" distR="114300" simplePos="0" relativeHeight="251658240" behindDoc="0" locked="0" layoutInCell="1" hidden="0" allowOverlap="1" wp14:anchorId="55C1C834" wp14:editId="062A5281">
                <wp:simplePos x="0" y="0"/>
                <wp:positionH relativeFrom="page">
                  <wp:posOffset>5286375</wp:posOffset>
                </wp:positionH>
                <wp:positionV relativeFrom="page">
                  <wp:posOffset>647903</wp:posOffset>
                </wp:positionV>
                <wp:extent cx="1629410" cy="837525"/>
                <wp:effectExtent l="0" t="0" r="0" b="0"/>
                <wp:wrapNone/>
                <wp:docPr id="1" name="Rectangle 1"/>
                <wp:cNvGraphicFramePr/>
                <a:graphic xmlns:a="http://schemas.openxmlformats.org/drawingml/2006/main">
                  <a:graphicData uri="http://schemas.microsoft.com/office/word/2010/wordprocessingShape">
                    <wps:wsp>
                      <wps:cNvSpPr/>
                      <wps:spPr>
                        <a:xfrm>
                          <a:off x="4536058" y="3366000"/>
                          <a:ext cx="1619885" cy="828000"/>
                        </a:xfrm>
                        <a:prstGeom prst="rect">
                          <a:avLst/>
                        </a:prstGeom>
                        <a:solidFill>
                          <a:schemeClr val="lt1"/>
                        </a:solidFill>
                        <a:ln>
                          <a:noFill/>
                        </a:ln>
                      </wps:spPr>
                      <wps:txbx>
                        <w:txbxContent>
                          <w:p w14:paraId="183F2584" w14:textId="77777777" w:rsidR="00D72089" w:rsidRDefault="00D07019">
                            <w:pPr>
                              <w:spacing w:line="251" w:lineRule="auto"/>
                              <w:jc w:val="right"/>
                              <w:textDirection w:val="btLr"/>
                            </w:pPr>
                            <w:r>
                              <w:rPr>
                                <w:rFonts w:ascii="Alegreya Sans" w:eastAsia="Alegreya Sans" w:hAnsi="Alegreya Sans" w:cs="Alegreya Sans"/>
                                <w:color w:val="000000"/>
                                <w:sz w:val="17"/>
                              </w:rPr>
                              <w:t>Tebet Utara II C No. 22 A</w:t>
                            </w:r>
                          </w:p>
                          <w:p w14:paraId="498EFDD0" w14:textId="77777777" w:rsidR="00D72089" w:rsidRDefault="00D07019">
                            <w:pPr>
                              <w:spacing w:line="251" w:lineRule="auto"/>
                              <w:jc w:val="right"/>
                              <w:textDirection w:val="btLr"/>
                            </w:pPr>
                            <w:r>
                              <w:rPr>
                                <w:rFonts w:ascii="Alegreya Sans" w:eastAsia="Alegreya Sans" w:hAnsi="Alegreya Sans" w:cs="Alegreya Sans"/>
                                <w:color w:val="000000"/>
                                <w:sz w:val="17"/>
                              </w:rPr>
                              <w:t>Jakarta Selatan</w:t>
                            </w:r>
                          </w:p>
                          <w:p w14:paraId="0DABEBA2" w14:textId="77777777" w:rsidR="00D72089" w:rsidRDefault="00D07019">
                            <w:pPr>
                              <w:spacing w:line="251" w:lineRule="auto"/>
                              <w:jc w:val="right"/>
                              <w:textDirection w:val="btLr"/>
                            </w:pPr>
                            <w:r>
                              <w:rPr>
                                <w:rFonts w:ascii="Alegreya Sans" w:eastAsia="Alegreya Sans" w:hAnsi="Alegreya Sans" w:cs="Alegreya Sans"/>
                                <w:color w:val="000000"/>
                                <w:sz w:val="17"/>
                              </w:rPr>
                              <w:t>DKI Jakarta 12810</w:t>
                            </w:r>
                          </w:p>
                          <w:p w14:paraId="177B5BE1" w14:textId="77777777" w:rsidR="00D72089" w:rsidRDefault="00D07019">
                            <w:pPr>
                              <w:spacing w:line="251" w:lineRule="auto"/>
                              <w:jc w:val="right"/>
                              <w:textDirection w:val="btLr"/>
                            </w:pPr>
                            <w:r>
                              <w:rPr>
                                <w:rFonts w:ascii="Alegreya Sans" w:eastAsia="Alegreya Sans" w:hAnsi="Alegreya Sans" w:cs="Alegreya Sans"/>
                                <w:color w:val="000000"/>
                                <w:sz w:val="17"/>
                              </w:rPr>
                              <w:t>Indonesia</w:t>
                            </w:r>
                          </w:p>
                          <w:p w14:paraId="728078CA" w14:textId="77777777" w:rsidR="00D72089" w:rsidRDefault="00D07019">
                            <w:pPr>
                              <w:spacing w:line="251" w:lineRule="auto"/>
                              <w:jc w:val="right"/>
                              <w:textDirection w:val="btLr"/>
                            </w:pPr>
                            <w:r>
                              <w:rPr>
                                <w:rFonts w:ascii="Alegreya Sans" w:eastAsia="Alegreya Sans" w:hAnsi="Alegreya Sans" w:cs="Alegreya Sans"/>
                                <w:color w:val="000000"/>
                                <w:sz w:val="17"/>
                              </w:rPr>
                              <w:t>Tel / Fax: +62 21 835 5550</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drawing>
              <wp:anchor allowOverlap="1" behindDoc="0" distB="0" distT="0" distL="114300" distR="114300" hidden="0" layoutInCell="1" locked="0" relativeHeight="0" simplePos="0">
                <wp:simplePos x="0" y="0"/>
                <wp:positionH relativeFrom="page">
                  <wp:posOffset>5286375</wp:posOffset>
                </wp:positionH>
                <wp:positionV relativeFrom="page">
                  <wp:posOffset>647903</wp:posOffset>
                </wp:positionV>
                <wp:extent cx="1629410" cy="837525"/>
                <wp:effectExtent b="0" l="0" r="0" t="0"/>
                <wp:wrapNone/>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1629410" cy="837525"/>
                        </a:xfrm>
                        <a:prstGeom prst="rect"/>
                        <a:ln/>
                      </pic:spPr>
                    </pic:pic>
                  </a:graphicData>
                </a:graphic>
              </wp:anchor>
            </w:drawing>
          </mc:Fallback>
        </mc:AlternateContent>
      </w:r>
      <w:r>
        <w:rPr>
          <w:noProof/>
          <w:lang w:val="en-GB" w:eastAsia="en-GB"/>
        </w:rPr>
        <w:drawing>
          <wp:anchor distT="114300" distB="114300" distL="114300" distR="114300" simplePos="0" relativeHeight="251659264" behindDoc="0" locked="0" layoutInCell="1" hidden="0" allowOverlap="1" wp14:anchorId="20ABC9A6" wp14:editId="7963B447">
            <wp:simplePos x="0" y="0"/>
            <wp:positionH relativeFrom="column">
              <wp:posOffset>1743075</wp:posOffset>
            </wp:positionH>
            <wp:positionV relativeFrom="paragraph">
              <wp:posOffset>114300</wp:posOffset>
            </wp:positionV>
            <wp:extent cx="1890713" cy="908889"/>
            <wp:effectExtent l="0" t="0" r="0" b="0"/>
            <wp:wrapTopAndBottom distT="114300" distB="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90713" cy="908889"/>
                    </a:xfrm>
                    <a:prstGeom prst="rect">
                      <a:avLst/>
                    </a:prstGeom>
                    <a:ln/>
                  </pic:spPr>
                </pic:pic>
              </a:graphicData>
            </a:graphic>
          </wp:anchor>
        </w:drawing>
      </w:r>
    </w:p>
    <w:p w14:paraId="59E37335" w14:textId="77777777" w:rsidR="00D72089" w:rsidRDefault="00D72089">
      <w:pPr>
        <w:shd w:val="clear" w:color="auto" w:fill="FFFFFF"/>
        <w:spacing w:before="200" w:line="240" w:lineRule="auto"/>
        <w:rPr>
          <w:rFonts w:ascii="Nunito Sans" w:eastAsia="Nunito Sans" w:hAnsi="Nunito Sans" w:cs="Nunito Sans"/>
          <w:b/>
          <w:sz w:val="36"/>
          <w:szCs w:val="36"/>
          <w:highlight w:val="white"/>
        </w:rPr>
      </w:pPr>
    </w:p>
    <w:p w14:paraId="05C7A5BA" w14:textId="77777777" w:rsidR="00D72089" w:rsidRDefault="00D07019">
      <w:pPr>
        <w:shd w:val="clear" w:color="auto" w:fill="FFFFFF"/>
        <w:spacing w:before="200" w:line="240" w:lineRule="auto"/>
        <w:jc w:val="center"/>
        <w:rPr>
          <w:rFonts w:ascii="Nunito Sans" w:eastAsia="Nunito Sans" w:hAnsi="Nunito Sans" w:cs="Nunito Sans"/>
          <w:b/>
          <w:sz w:val="36"/>
          <w:szCs w:val="36"/>
          <w:highlight w:val="white"/>
        </w:rPr>
      </w:pPr>
      <w:r>
        <w:rPr>
          <w:rFonts w:ascii="Nunito Sans" w:eastAsia="Nunito Sans" w:hAnsi="Nunito Sans" w:cs="Nunito Sans"/>
          <w:b/>
          <w:sz w:val="36"/>
          <w:szCs w:val="36"/>
          <w:highlight w:val="white"/>
        </w:rPr>
        <w:t xml:space="preserve">Submission on the List of Issues Prior to Reporting (LOIPR) on Indonesia’s 2nd periodic report under the International Covenant on Economic Social and Cultural Rights (ICESCR) </w:t>
      </w:r>
    </w:p>
    <w:p w14:paraId="572D9282" w14:textId="77777777" w:rsidR="00D72089" w:rsidRDefault="00D72089">
      <w:pPr>
        <w:shd w:val="clear" w:color="auto" w:fill="FFFFFF"/>
        <w:spacing w:before="200" w:line="240" w:lineRule="auto"/>
        <w:jc w:val="center"/>
        <w:rPr>
          <w:rFonts w:ascii="Nunito Sans" w:eastAsia="Nunito Sans" w:hAnsi="Nunito Sans" w:cs="Nunito Sans"/>
          <w:b/>
          <w:sz w:val="24"/>
          <w:szCs w:val="24"/>
          <w:highlight w:val="white"/>
        </w:rPr>
      </w:pPr>
    </w:p>
    <w:p w14:paraId="0A5A5913" w14:textId="77777777" w:rsidR="00D72089" w:rsidRDefault="00D07019">
      <w:pPr>
        <w:shd w:val="clear" w:color="auto" w:fill="FFFFFF"/>
        <w:spacing w:before="200" w:line="240" w:lineRule="auto"/>
        <w:jc w:val="center"/>
        <w:rPr>
          <w:rFonts w:ascii="Nunito Sans" w:eastAsia="Nunito Sans" w:hAnsi="Nunito Sans" w:cs="Nunito Sans"/>
          <w:b/>
          <w:sz w:val="24"/>
          <w:szCs w:val="24"/>
          <w:highlight w:val="white"/>
        </w:rPr>
      </w:pPr>
      <w:r>
        <w:rPr>
          <w:rFonts w:ascii="Nunito Sans" w:eastAsia="Nunito Sans" w:hAnsi="Nunito Sans" w:cs="Nunito Sans"/>
          <w:b/>
          <w:sz w:val="24"/>
          <w:szCs w:val="24"/>
          <w:highlight w:val="white"/>
        </w:rPr>
        <w:t>January 2022</w:t>
      </w:r>
    </w:p>
    <w:p w14:paraId="4717EB32" w14:textId="77777777" w:rsidR="00D72089" w:rsidRDefault="00D72089">
      <w:pPr>
        <w:shd w:val="clear" w:color="auto" w:fill="FFFFFF"/>
        <w:spacing w:before="200" w:line="240" w:lineRule="auto"/>
        <w:jc w:val="center"/>
        <w:rPr>
          <w:rFonts w:ascii="Nunito Sans" w:eastAsia="Nunito Sans" w:hAnsi="Nunito Sans" w:cs="Nunito Sans"/>
          <w:b/>
          <w:highlight w:val="white"/>
        </w:rPr>
      </w:pPr>
    </w:p>
    <w:p w14:paraId="7BA6A6F7" w14:textId="77777777" w:rsidR="00D72089" w:rsidRDefault="00D72089">
      <w:pPr>
        <w:shd w:val="clear" w:color="auto" w:fill="FFFFFF"/>
        <w:spacing w:before="200" w:line="240" w:lineRule="auto"/>
        <w:rPr>
          <w:rFonts w:ascii="Nunito Sans" w:eastAsia="Nunito Sans" w:hAnsi="Nunito Sans" w:cs="Nunito Sans"/>
          <w:b/>
          <w:sz w:val="48"/>
          <w:szCs w:val="48"/>
          <w:highlight w:val="white"/>
        </w:rPr>
      </w:pPr>
    </w:p>
    <w:p w14:paraId="43604EB6" w14:textId="77777777" w:rsidR="00D72089" w:rsidRDefault="00D07019">
      <w:pPr>
        <w:spacing w:before="200" w:line="240" w:lineRule="auto"/>
        <w:jc w:val="center"/>
        <w:rPr>
          <w:rFonts w:ascii="Nunito Sans" w:eastAsia="Nunito Sans" w:hAnsi="Nunito Sans" w:cs="Nunito Sans"/>
          <w:b/>
          <w:sz w:val="24"/>
          <w:szCs w:val="24"/>
          <w:highlight w:val="white"/>
        </w:rPr>
      </w:pPr>
      <w:r>
        <w:rPr>
          <w:rFonts w:ascii="Nunito Sans" w:eastAsia="Nunito Sans" w:hAnsi="Nunito Sans" w:cs="Nunito Sans"/>
          <w:b/>
          <w:sz w:val="24"/>
          <w:szCs w:val="24"/>
          <w:highlight w:val="white"/>
        </w:rPr>
        <w:t xml:space="preserve">FULFILLMENT OF ECOSOC RIGHTS FOR VICTIMS OF </w:t>
      </w:r>
    </w:p>
    <w:p w14:paraId="60B8750E" w14:textId="77777777" w:rsidR="00D72089" w:rsidRDefault="00D07019">
      <w:pPr>
        <w:spacing w:before="200" w:line="240" w:lineRule="auto"/>
        <w:jc w:val="center"/>
        <w:rPr>
          <w:rFonts w:ascii="Nunito Sans" w:eastAsia="Nunito Sans" w:hAnsi="Nunito Sans" w:cs="Nunito Sans"/>
          <w:b/>
          <w:sz w:val="24"/>
          <w:szCs w:val="24"/>
          <w:highlight w:val="white"/>
        </w:rPr>
      </w:pPr>
      <w:r>
        <w:rPr>
          <w:rFonts w:ascii="Nunito Sans" w:eastAsia="Nunito Sans" w:hAnsi="Nunito Sans" w:cs="Nunito Sans"/>
          <w:b/>
          <w:sz w:val="24"/>
          <w:szCs w:val="24"/>
          <w:highlight w:val="white"/>
        </w:rPr>
        <w:t>GROSS HUMAN RIGHTS VIOLATIONS</w:t>
      </w:r>
    </w:p>
    <w:p w14:paraId="1F6F8B3B" w14:textId="77777777" w:rsidR="00D72089" w:rsidRDefault="00D07019">
      <w:pPr>
        <w:spacing w:before="200" w:line="240" w:lineRule="auto"/>
        <w:jc w:val="center"/>
        <w:rPr>
          <w:rFonts w:ascii="Nunito Sans" w:eastAsia="Nunito Sans" w:hAnsi="Nunito Sans" w:cs="Nunito Sans"/>
          <w:b/>
          <w:sz w:val="24"/>
          <w:szCs w:val="24"/>
          <w:highlight w:val="white"/>
        </w:rPr>
      </w:pPr>
      <w:r>
        <w:rPr>
          <w:rFonts w:ascii="Nunito Sans" w:eastAsia="Nunito Sans" w:hAnsi="Nunito Sans" w:cs="Nunito Sans"/>
          <w:b/>
          <w:sz w:val="24"/>
          <w:szCs w:val="24"/>
          <w:highlight w:val="white"/>
        </w:rPr>
        <w:t>INDONESIA</w:t>
      </w:r>
    </w:p>
    <w:p w14:paraId="153D148D" w14:textId="77777777" w:rsidR="00D72089" w:rsidRDefault="00D72089">
      <w:pPr>
        <w:spacing w:before="200" w:line="240" w:lineRule="auto"/>
        <w:jc w:val="both"/>
        <w:rPr>
          <w:rFonts w:ascii="Nunito Sans" w:eastAsia="Nunito Sans" w:hAnsi="Nunito Sans" w:cs="Nunito Sans"/>
          <w:b/>
          <w:highlight w:val="white"/>
        </w:rPr>
      </w:pPr>
    </w:p>
    <w:p w14:paraId="634A2EF3" w14:textId="77777777" w:rsidR="00D72089" w:rsidRDefault="00D07019">
      <w:pPr>
        <w:spacing w:before="200" w:line="240" w:lineRule="auto"/>
        <w:ind w:left="720"/>
        <w:jc w:val="both"/>
        <w:rPr>
          <w:rFonts w:ascii="Nunito Sans" w:eastAsia="Nunito Sans" w:hAnsi="Nunito Sans" w:cs="Nunito Sans"/>
          <w:highlight w:val="white"/>
        </w:rPr>
      </w:pPr>
      <w:r>
        <w:br w:type="page"/>
      </w:r>
    </w:p>
    <w:p w14:paraId="2FF8164A" w14:textId="77777777" w:rsidR="00D72089" w:rsidRDefault="00D07019">
      <w:pPr>
        <w:shd w:val="clear" w:color="auto" w:fill="FFFFFF"/>
        <w:spacing w:before="200" w:line="240" w:lineRule="auto"/>
        <w:rPr>
          <w:rFonts w:ascii="Nunito Sans" w:eastAsia="Nunito Sans" w:hAnsi="Nunito Sans" w:cs="Nunito Sans"/>
          <w:sz w:val="24"/>
          <w:szCs w:val="24"/>
          <w:highlight w:val="white"/>
        </w:rPr>
      </w:pPr>
      <w:r>
        <w:rPr>
          <w:rFonts w:ascii="Nunito Sans" w:eastAsia="Nunito Sans" w:hAnsi="Nunito Sans" w:cs="Nunito Sans"/>
          <w:b/>
          <w:sz w:val="26"/>
          <w:szCs w:val="26"/>
          <w:highlight w:val="white"/>
        </w:rPr>
        <w:lastRenderedPageBreak/>
        <w:t>I. Introduction</w:t>
      </w:r>
    </w:p>
    <w:p w14:paraId="5B7BF1F1" w14:textId="77777777" w:rsidR="00D72089" w:rsidRDefault="00D07019">
      <w:pPr>
        <w:numPr>
          <w:ilvl w:val="0"/>
          <w:numId w:val="2"/>
        </w:numPr>
        <w:shd w:val="clear" w:color="auto" w:fill="FFFFFF"/>
        <w:spacing w:before="200" w:line="240" w:lineRule="auto"/>
        <w:jc w:val="both"/>
        <w:rPr>
          <w:rFonts w:ascii="Nunito Sans" w:eastAsia="Nunito Sans" w:hAnsi="Nunito Sans" w:cs="Nunito Sans"/>
          <w:color w:val="1D1D1D"/>
          <w:highlight w:val="white"/>
        </w:rPr>
      </w:pPr>
      <w:r>
        <w:rPr>
          <w:rFonts w:ascii="Nunito Sans" w:eastAsia="Nunito Sans" w:hAnsi="Nunito Sans" w:cs="Nunito Sans"/>
          <w:color w:val="1D1D1D"/>
          <w:highlight w:val="white"/>
        </w:rPr>
        <w:t xml:space="preserve">Asia Justice and Rights (AJAR) submitted this report for the UN Committee of Economic, Social, and Cultural Rights ahead of the adoption of the list of issues prior to reporting for Indonesia at its </w:t>
      </w:r>
      <w:r>
        <w:rPr>
          <w:rFonts w:ascii="Nunito Sans" w:eastAsia="Nunito Sans" w:hAnsi="Nunito Sans" w:cs="Nunito Sans"/>
          <w:b/>
          <w:color w:val="1D1D1D"/>
          <w:highlight w:val="white"/>
        </w:rPr>
        <w:t xml:space="preserve">70th session of the Committee of Economic Social and Cultural Rights. </w:t>
      </w:r>
    </w:p>
    <w:p w14:paraId="3CFD9B52" w14:textId="77777777" w:rsidR="00D72089" w:rsidRDefault="00D07019">
      <w:pPr>
        <w:numPr>
          <w:ilvl w:val="0"/>
          <w:numId w:val="2"/>
        </w:numPr>
        <w:shd w:val="clear" w:color="auto" w:fill="FFFFFF"/>
        <w:spacing w:before="200" w:line="240" w:lineRule="auto"/>
        <w:jc w:val="both"/>
        <w:rPr>
          <w:rFonts w:ascii="Nunito Sans" w:eastAsia="Nunito Sans" w:hAnsi="Nunito Sans" w:cs="Nunito Sans"/>
          <w:color w:val="1D1D1D"/>
          <w:highlight w:val="white"/>
        </w:rPr>
      </w:pPr>
      <w:r>
        <w:rPr>
          <w:rFonts w:ascii="Nunito Sans" w:eastAsia="Nunito Sans" w:hAnsi="Nunito Sans" w:cs="Nunito Sans"/>
          <w:color w:val="1D1D1D"/>
          <w:highlight w:val="white"/>
        </w:rPr>
        <w:t>AJAR is a regional human rights organization whose aim is to strengthen human rights and contribute to the alleviation of entrenched impunity in the Asia-Pacific region. Its work focuses on countries in transition from a context of mass human rights violations to democracy. Working together with partner organizations in these countries, AJAR strives to build cultures based on accountability, justice, and a willingness to learn from the root causes of mass human rights violations to help prevent the recurrence of state-sanctioned human rights violations.</w:t>
      </w:r>
    </w:p>
    <w:p w14:paraId="683C5A6D" w14:textId="77777777" w:rsidR="00D72089" w:rsidRDefault="00D07019">
      <w:pPr>
        <w:numPr>
          <w:ilvl w:val="0"/>
          <w:numId w:val="2"/>
        </w:numPr>
        <w:shd w:val="clear" w:color="auto" w:fill="FFFFFF"/>
        <w:spacing w:before="200" w:line="240" w:lineRule="auto"/>
        <w:jc w:val="both"/>
        <w:rPr>
          <w:rFonts w:ascii="Nunito Sans" w:eastAsia="Nunito Sans" w:hAnsi="Nunito Sans" w:cs="Nunito Sans"/>
          <w:color w:val="1D1D1D"/>
          <w:highlight w:val="white"/>
        </w:rPr>
      </w:pPr>
      <w:r>
        <w:rPr>
          <w:rFonts w:ascii="Nunito Sans" w:eastAsia="Nunito Sans" w:hAnsi="Nunito Sans" w:cs="Nunito Sans"/>
          <w:color w:val="1D1D1D"/>
          <w:highlight w:val="white"/>
        </w:rPr>
        <w:t>AJAR has evaluated the implementation of recommendations made to Indonesia during its previous Concluding Observation on the Initial Report of Indonesia from the Committee of Economic Social and Cultural Rights in 2014, particularly on the issue of Economic, Social, and Cultural in Remote Areas (12), Multiple Discrimination (13), and Sexual Violence (24)</w:t>
      </w:r>
      <w:r>
        <w:rPr>
          <w:rFonts w:ascii="Nunito Sans" w:eastAsia="Nunito Sans" w:hAnsi="Nunito Sans" w:cs="Nunito Sans"/>
          <w:color w:val="1D1D1D"/>
          <w:highlight w:val="white"/>
          <w:vertAlign w:val="superscript"/>
        </w:rPr>
        <w:footnoteReference w:id="1"/>
      </w:r>
    </w:p>
    <w:p w14:paraId="6E65E5EE" w14:textId="77777777" w:rsidR="00D72089" w:rsidRDefault="00D07019">
      <w:pPr>
        <w:numPr>
          <w:ilvl w:val="0"/>
          <w:numId w:val="2"/>
        </w:numPr>
        <w:shd w:val="clear" w:color="auto" w:fill="FFFFFF"/>
        <w:spacing w:before="200" w:line="240" w:lineRule="auto"/>
        <w:jc w:val="both"/>
        <w:rPr>
          <w:rFonts w:ascii="Nunito Sans" w:eastAsia="Nunito Sans" w:hAnsi="Nunito Sans" w:cs="Nunito Sans"/>
          <w:color w:val="1D1D1D"/>
          <w:highlight w:val="white"/>
        </w:rPr>
      </w:pPr>
      <w:r>
        <w:rPr>
          <w:rFonts w:ascii="Nunito Sans" w:eastAsia="Nunito Sans" w:hAnsi="Nunito Sans" w:cs="Nunito Sans"/>
          <w:color w:val="1D1D1D"/>
          <w:highlight w:val="white"/>
        </w:rPr>
        <w:t xml:space="preserve">We are concerned by the continued stagnancy of non-progressive realisation in Indonesia to ensure truth, justice, and reparations for the victims of past human rights violations and their families. </w:t>
      </w:r>
      <w:r>
        <w:rPr>
          <w:rFonts w:ascii="Nunito Sans" w:eastAsia="Nunito Sans" w:hAnsi="Nunito Sans" w:cs="Nunito Sans"/>
          <w:color w:val="3C4043"/>
          <w:highlight w:val="white"/>
        </w:rPr>
        <w:t xml:space="preserve">Lack of acknowledgement and recognition for victims of gross human rights violations has resulted in insufficient mechanisms for fulfilling their economic, social and cultural rights. In particular, sufficient reparation mechanisms for them as human rights victims of HR and basic human rights services for civilians. </w:t>
      </w:r>
    </w:p>
    <w:p w14:paraId="5632CF99" w14:textId="77777777" w:rsidR="00D72089" w:rsidRDefault="00D07019">
      <w:pPr>
        <w:spacing w:before="200" w:line="240" w:lineRule="auto"/>
        <w:rPr>
          <w:rFonts w:ascii="Nunito Sans" w:eastAsia="Nunito Sans" w:hAnsi="Nunito Sans" w:cs="Nunito Sans"/>
          <w:sz w:val="20"/>
          <w:szCs w:val="20"/>
          <w:highlight w:val="white"/>
        </w:rPr>
      </w:pPr>
      <w:r>
        <w:rPr>
          <w:rFonts w:ascii="Nunito Sans" w:eastAsia="Nunito Sans" w:hAnsi="Nunito Sans" w:cs="Nunito Sans"/>
          <w:b/>
          <w:sz w:val="26"/>
          <w:szCs w:val="26"/>
          <w:highlight w:val="white"/>
        </w:rPr>
        <w:t>II. General Situation on Victims of Gross Human Rights Violation in Indonesia</w:t>
      </w:r>
    </w:p>
    <w:p w14:paraId="76530F66"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Human rights have only been formally recognized in Indonesia, both by law and in the Constitution, after the fall of Suharto’s authoritarian regime in 1998. A transitional justice framework which encompasses truth, justice, reparations and the guarantee of non-recurrence emerged in response to the widespread and systematic human rights violations carried out during this period of dictatorship. This recognition of human rights is in line with the international conception of human rights standards where the State has the duty to protect the rights of every citizen. Civil liberties, which had never been respected during the Suharto regime, also became ‘constitutional rights’ in the post-1998 era.</w:t>
      </w:r>
      <w:r>
        <w:rPr>
          <w:rFonts w:ascii="Nunito Sans" w:eastAsia="Nunito Sans" w:hAnsi="Nunito Sans" w:cs="Nunito Sans"/>
          <w:highlight w:val="white"/>
          <w:vertAlign w:val="superscript"/>
        </w:rPr>
        <w:footnoteReference w:id="2"/>
      </w:r>
      <w:r>
        <w:rPr>
          <w:rFonts w:ascii="Nunito Sans" w:eastAsia="Nunito Sans" w:hAnsi="Nunito Sans" w:cs="Nunito Sans"/>
          <w:highlight w:val="white"/>
        </w:rPr>
        <w:t xml:space="preserve"> </w:t>
      </w:r>
    </w:p>
    <w:p w14:paraId="6B82AEB1"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lastRenderedPageBreak/>
        <w:t xml:space="preserve">However, such achievements do not necessarily provide protection to the people. They did confirm that all repression, injuries, and suffering needed to be repaired and that any violation or harm of individual rights should be punished according to the law. Across the country however, many victims still suffer the consequences of past human rights violations while ongoing violations still occur in parts of Indonesia such as in Papua. </w:t>
      </w:r>
    </w:p>
    <w:p w14:paraId="0F74B936"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 xml:space="preserve">Conflict not only violates the victim's civil and political rights, but is also accompanied by the violation of social economic rights. These violations include the loss of access to land, natural resources and livelihoods, poverty, destruction of homes and possessions, forced displacement, and exclusion from education and health care services. In addition, the economic, social and cultural aspects of victims' lives have been impacted. The failure of the Indonesian government to be accountable for conflict and gross human right violations also entrenches the impunity and increases the vulnerability of victims as they face impoverishment and are marginalized from their rights. </w:t>
      </w:r>
    </w:p>
    <w:p w14:paraId="0BF1F84E"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After the recommendations to the Indonesian state by the Committee of Economic, Social, and Cultural Rights in their initial report, the government has failed to address mass human rights violations. There has also been a lack of comprehensive remedy for victims, including acknowledgement, recognition, and fulfilment of their rights.</w:t>
      </w:r>
    </w:p>
    <w:p w14:paraId="5CCF77D7" w14:textId="77777777" w:rsidR="00D72089" w:rsidRDefault="00D07019">
      <w:pPr>
        <w:spacing w:before="200" w:line="240" w:lineRule="auto"/>
        <w:rPr>
          <w:rFonts w:ascii="Nunito Sans" w:eastAsia="Nunito Sans" w:hAnsi="Nunito Sans" w:cs="Nunito Sans"/>
          <w:b/>
          <w:sz w:val="26"/>
          <w:szCs w:val="26"/>
          <w:highlight w:val="white"/>
        </w:rPr>
      </w:pPr>
      <w:r>
        <w:rPr>
          <w:rFonts w:ascii="Nunito Sans" w:eastAsia="Nunito Sans" w:hAnsi="Nunito Sans" w:cs="Nunito Sans"/>
          <w:b/>
          <w:sz w:val="26"/>
          <w:szCs w:val="26"/>
          <w:highlight w:val="white"/>
        </w:rPr>
        <w:t>III.</w:t>
      </w:r>
      <w:r>
        <w:rPr>
          <w:rFonts w:ascii="Nunito Sans" w:eastAsia="Nunito Sans" w:hAnsi="Nunito Sans" w:cs="Nunito Sans"/>
          <w:b/>
          <w:sz w:val="26"/>
          <w:szCs w:val="26"/>
          <w:highlight w:val="white"/>
        </w:rPr>
        <w:tab/>
        <w:t>Legal framework</w:t>
      </w:r>
    </w:p>
    <w:p w14:paraId="1E355317"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 xml:space="preserve">The human rights court in Indonesia has heard three cases: the Tanjung Priok massacre (1984), Timor-Leste (1999), and the Abepura case in Papua (2001). Nevertheless, these three cases resulted in the acquittal of all defendants, either by the first ruling or on appeal. No comprehensive judiciary procedure related to the violations of  economic, social, and cultural rights have ever been held. Only individual cases demanding compensation were brought to trial, which eventually was annulled by the court. Due to the lack of processes for accountability, attempts to revise the human rights law and human rights court law have been initiated. </w:t>
      </w:r>
    </w:p>
    <w:p w14:paraId="7EC166FA"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Law No. 13/2014 regarding the Protection of Witness and Victims regulates a victim's right to restitution, rehabilitation, compensation, satisfaction, and non-repetition (of human rights violations). The regulation regarding restitution, compensation and rehabilitation is also included in the human rights court law. </w:t>
      </w:r>
    </w:p>
    <w:p w14:paraId="5C988BEA"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The current human rights legislation allows reparations provided only by a decision made by a court of law. Thus the demise of the human rights court has effectively blocked victims from receiving reparations. However, the Witness and Victim Protection Agency (</w:t>
      </w:r>
      <w:r>
        <w:rPr>
          <w:rFonts w:ascii="Nunito Sans" w:eastAsia="Nunito Sans" w:hAnsi="Nunito Sans" w:cs="Nunito Sans"/>
          <w:i/>
          <w:highlight w:val="white"/>
        </w:rPr>
        <w:t>Lembaga Perlindungan Saksi dan Korban</w:t>
      </w:r>
      <w:r>
        <w:rPr>
          <w:rFonts w:ascii="Nunito Sans" w:eastAsia="Nunito Sans" w:hAnsi="Nunito Sans" w:cs="Nunito Sans"/>
          <w:highlight w:val="white"/>
        </w:rPr>
        <w:t xml:space="preserve">, LPSK), is empowered to provide referrals for urgent health and psychosocial services for </w:t>
      </w:r>
      <w:r>
        <w:rPr>
          <w:rFonts w:ascii="Nunito Sans" w:eastAsia="Nunito Sans" w:hAnsi="Nunito Sans" w:cs="Nunito Sans"/>
          <w:highlight w:val="white"/>
        </w:rPr>
        <w:lastRenderedPageBreak/>
        <w:t>victims, including those whose cases were investigated by the national human rights commission.</w:t>
      </w:r>
    </w:p>
    <w:p w14:paraId="633C7D07"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 xml:space="preserve">Currently however, LPSK has integrated this assistance into the national policy health system (BPJS). The change means that ongoing advocacy to acknowledge them as victims has become difficult as they are now included in a public service mechanism.  There are various obstacles despite amendments to regulations since Law No. 13/2006 was introduced. </w:t>
      </w:r>
    </w:p>
    <w:p w14:paraId="22955A66"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 xml:space="preserve">A law to establish a national truth and reconciliation commission was passed in 2004. However, the Constitutional Court then annulled the entire law, after civil society initiated a judicial review only for the articles that required victims to forgive perpetrators in order to receive reparations. In early 2020 the Government initiated a revisit to the national truth commission law through a Presidential Decree. However, the discussions on the law have not taken place due to COVID-19 restrictions. </w:t>
      </w:r>
    </w:p>
    <w:p w14:paraId="56B9C143"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 xml:space="preserve">To date, government initiated discourses to establish </w:t>
      </w:r>
      <w:r>
        <w:rPr>
          <w:rFonts w:ascii="Nunito Sans" w:eastAsia="Nunito Sans" w:hAnsi="Nunito Sans" w:cs="Nunito Sans"/>
          <w:i/>
          <w:highlight w:val="white"/>
        </w:rPr>
        <w:t xml:space="preserve">Unit Kerja Presiden untuk Penanganan Peristiwa Pelanggaran Hak Asasi Manusia yang Berat </w:t>
      </w:r>
      <w:r>
        <w:rPr>
          <w:rFonts w:ascii="Nunito Sans" w:eastAsia="Nunito Sans" w:hAnsi="Nunito Sans" w:cs="Nunito Sans"/>
          <w:highlight w:val="white"/>
        </w:rPr>
        <w:t>or Presidential Work Unit for Handling Gross Human Rights Violations</w:t>
      </w:r>
      <w:r>
        <w:rPr>
          <w:rFonts w:ascii="Nunito Sans" w:eastAsia="Nunito Sans" w:hAnsi="Nunito Sans" w:cs="Nunito Sans"/>
          <w:i/>
          <w:highlight w:val="white"/>
        </w:rPr>
        <w:t xml:space="preserve"> </w:t>
      </w:r>
      <w:r>
        <w:rPr>
          <w:rFonts w:ascii="Nunito Sans" w:eastAsia="Nunito Sans" w:hAnsi="Nunito Sans" w:cs="Nunito Sans"/>
          <w:highlight w:val="white"/>
        </w:rPr>
        <w:t>(UKP-PPHB) as well as the Special Unit for Reparation for Victims of Past Abuse. However, these initiatives override existing judicial laws that could be used to reveal the truth about past violations. The draft regulation also fails to address the issue of adequate reparations for the victims.</w:t>
      </w:r>
      <w:r>
        <w:rPr>
          <w:rFonts w:ascii="Nunito Sans" w:eastAsia="Nunito Sans" w:hAnsi="Nunito Sans" w:cs="Nunito Sans"/>
          <w:highlight w:val="white"/>
          <w:vertAlign w:val="superscript"/>
        </w:rPr>
        <w:footnoteReference w:id="3"/>
      </w:r>
    </w:p>
    <w:p w14:paraId="2F3808BF" w14:textId="77777777" w:rsidR="00D72089" w:rsidRDefault="00D07019">
      <w:pPr>
        <w:spacing w:before="200" w:line="240" w:lineRule="auto"/>
        <w:rPr>
          <w:rFonts w:ascii="Nunito Sans" w:eastAsia="Nunito Sans" w:hAnsi="Nunito Sans" w:cs="Nunito Sans"/>
          <w:i/>
          <w:highlight w:val="white"/>
        </w:rPr>
      </w:pPr>
      <w:r>
        <w:rPr>
          <w:rFonts w:ascii="Nunito Sans" w:eastAsia="Nunito Sans" w:hAnsi="Nunito Sans" w:cs="Nunito Sans"/>
          <w:b/>
          <w:i/>
          <w:highlight w:val="white"/>
        </w:rPr>
        <w:t xml:space="preserve">Suggested adoption of issues: </w:t>
      </w:r>
    </w:p>
    <w:p w14:paraId="13B46653"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i/>
          <w:highlight w:val="white"/>
        </w:rPr>
        <w:t xml:space="preserve">Revise the law to include redress for victims of gross human rights violation that ensure their rights to truth, justice and reparations, as well as acknowledge and recognise victims of human rights violations and provide comprehensive reparation for them, including fulfilment of economic, social and cultural rights. </w:t>
      </w:r>
    </w:p>
    <w:p w14:paraId="0AC636F4" w14:textId="77777777" w:rsidR="00D72089" w:rsidRDefault="00D07019">
      <w:pPr>
        <w:spacing w:before="200" w:line="240" w:lineRule="auto"/>
        <w:rPr>
          <w:rFonts w:ascii="Nunito Sans" w:eastAsia="Nunito Sans" w:hAnsi="Nunito Sans" w:cs="Nunito Sans"/>
          <w:i/>
          <w:highlight w:val="white"/>
        </w:rPr>
      </w:pPr>
      <w:r>
        <w:rPr>
          <w:rFonts w:ascii="Nunito Sans" w:eastAsia="Nunito Sans" w:hAnsi="Nunito Sans" w:cs="Nunito Sans"/>
          <w:b/>
          <w:sz w:val="26"/>
          <w:szCs w:val="26"/>
          <w:highlight w:val="white"/>
        </w:rPr>
        <w:t>IV. Fulfillment of economic, social, and cultural rights for the victims of gross violation of human rights</w:t>
      </w:r>
    </w:p>
    <w:p w14:paraId="7136D5FA" w14:textId="77777777" w:rsidR="00D72089" w:rsidRDefault="00D07019">
      <w:pPr>
        <w:numPr>
          <w:ilvl w:val="0"/>
          <w:numId w:val="2"/>
        </w:numPr>
        <w:tabs>
          <w:tab w:val="left" w:pos="1701"/>
        </w:tabs>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As explained above, the current reparations scheme in Indonesia has meant that victims of human rights violations are not acknowledged or given adequate support. In the absence of official acknowledgement and support from the government, survivors continue to suffer trauma and long-term impacts to their health, social, and financial livelihoods. There was a positive development from LPSK, however only a small number of survivors have access to this government-funded medical support.</w:t>
      </w:r>
    </w:p>
    <w:p w14:paraId="5FBBBF85" w14:textId="77777777" w:rsidR="00D72089" w:rsidRDefault="00D07019">
      <w:pPr>
        <w:numPr>
          <w:ilvl w:val="0"/>
          <w:numId w:val="2"/>
        </w:numPr>
        <w:tabs>
          <w:tab w:val="left" w:pos="1701"/>
        </w:tabs>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 xml:space="preserve">Despite this, civil society is continuing to look for various initiatives to support victims of mass violations, including </w:t>
      </w:r>
      <w:r>
        <w:rPr>
          <w:rFonts w:ascii="Nunito Sans" w:eastAsia="Nunito Sans" w:hAnsi="Nunito Sans" w:cs="Nunito Sans"/>
          <w:highlight w:val="white"/>
        </w:rPr>
        <w:lastRenderedPageBreak/>
        <w:t xml:space="preserve">developing referral and facilitating access for the restoration of victims economic, social and cultural rights.  </w:t>
      </w:r>
    </w:p>
    <w:p w14:paraId="40AF3A24" w14:textId="77777777" w:rsidR="00D72089" w:rsidRDefault="00D07019">
      <w:pPr>
        <w:keepNext/>
        <w:keepLines/>
        <w:tabs>
          <w:tab w:val="right" w:pos="851"/>
        </w:tabs>
        <w:spacing w:before="200" w:line="240" w:lineRule="auto"/>
        <w:ind w:right="1134"/>
        <w:rPr>
          <w:rFonts w:ascii="Nunito Sans" w:eastAsia="Nunito Sans" w:hAnsi="Nunito Sans" w:cs="Nunito Sans"/>
          <w:b/>
          <w:i/>
          <w:highlight w:val="white"/>
        </w:rPr>
      </w:pPr>
      <w:r>
        <w:rPr>
          <w:rFonts w:ascii="Nunito Sans" w:eastAsia="Nunito Sans" w:hAnsi="Nunito Sans" w:cs="Nunito Sans"/>
          <w:b/>
          <w:sz w:val="24"/>
          <w:szCs w:val="24"/>
          <w:highlight w:val="white"/>
        </w:rPr>
        <w:t xml:space="preserve">IV. A. Economic, social and cultural rights in remote areas (12) </w:t>
      </w:r>
    </w:p>
    <w:p w14:paraId="1D565557"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 xml:space="preserve">In remote areas, including sites of historical and ongoing conflict such as Aceh and Papua, the economic, social and cultural rights of victims of mass violations of human rights are not being adequately fulfilled: </w:t>
      </w:r>
    </w:p>
    <w:p w14:paraId="1414B16A"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b/>
          <w:highlight w:val="white"/>
        </w:rPr>
        <w:t xml:space="preserve">In Aceh, </w:t>
      </w:r>
      <w:r>
        <w:rPr>
          <w:rFonts w:ascii="Nunito Sans" w:eastAsia="Nunito Sans" w:hAnsi="Nunito Sans" w:cs="Nunito Sans"/>
          <w:highlight w:val="white"/>
        </w:rPr>
        <w:t>the permanent Aceh Truth Reconciliation Commission (TRC) was established in October 2016 to examine victims affected by the 1976-2005 conflict. Aceh TRC finalized their first period of work and documented more than 5000 statements of victims across Aceh.</w:t>
      </w:r>
      <w:r>
        <w:rPr>
          <w:rFonts w:ascii="Nunito Sans" w:eastAsia="Nunito Sans" w:hAnsi="Nunito Sans" w:cs="Nunito Sans"/>
          <w:highlight w:val="white"/>
          <w:vertAlign w:val="superscript"/>
        </w:rPr>
        <w:footnoteReference w:id="4"/>
      </w:r>
      <w:r>
        <w:rPr>
          <w:rFonts w:ascii="Nunito Sans" w:eastAsia="Nunito Sans" w:hAnsi="Nunito Sans" w:cs="Nunito Sans"/>
          <w:highlight w:val="white"/>
        </w:rPr>
        <w:t xml:space="preserve"> Aceh TRC also took positive steps to recommend urgent reparation for 245 victims to the Aceh Government to receive psychological assistance, entrepreneurship, insurance, and administration registry with priority given to the elderly.  The Aceh Government in 2020 then issued a Decree on The Determination of the Recipient of Urgent Reparations and the Fulfillment of Victims of Human Rights Violations. However, up to now, the government has yet to provide this urgent reparation.</w:t>
      </w:r>
      <w:r>
        <w:rPr>
          <w:rFonts w:ascii="Nunito Sans" w:eastAsia="Nunito Sans" w:hAnsi="Nunito Sans" w:cs="Nunito Sans"/>
          <w:highlight w:val="white"/>
          <w:vertAlign w:val="superscript"/>
        </w:rPr>
        <w:footnoteReference w:id="5"/>
      </w:r>
      <w:r>
        <w:rPr>
          <w:rFonts w:ascii="Nunito Sans" w:eastAsia="Nunito Sans" w:hAnsi="Nunito Sans" w:cs="Nunito Sans"/>
          <w:highlight w:val="white"/>
        </w:rPr>
        <w:t xml:space="preserve"> We are concerned that the allocation of funds for the implementation of urgent reparations will not be available until the 2022 fiscal year.</w:t>
      </w:r>
      <w:r>
        <w:rPr>
          <w:rFonts w:ascii="Nunito Sans" w:eastAsia="Nunito Sans" w:hAnsi="Nunito Sans" w:cs="Nunito Sans"/>
          <w:highlight w:val="white"/>
          <w:vertAlign w:val="superscript"/>
        </w:rPr>
        <w:footnoteReference w:id="6"/>
      </w:r>
      <w:r>
        <w:rPr>
          <w:rFonts w:ascii="Nunito Sans" w:eastAsia="Nunito Sans" w:hAnsi="Nunito Sans" w:cs="Nunito Sans"/>
          <w:highlight w:val="white"/>
        </w:rPr>
        <w:t xml:space="preserve"> </w:t>
      </w:r>
    </w:p>
    <w:p w14:paraId="78E6FBEE"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b/>
          <w:highlight w:val="white"/>
        </w:rPr>
        <w:t xml:space="preserve">In Papua, </w:t>
      </w:r>
      <w:r>
        <w:rPr>
          <w:rFonts w:ascii="Nunito Sans" w:eastAsia="Nunito Sans" w:hAnsi="Nunito Sans" w:cs="Nunito Sans"/>
          <w:highlight w:val="white"/>
        </w:rPr>
        <w:t xml:space="preserve">Papua’s special autonomy status was extended in 2021 through law No. 2/2021 which retained promises for a local human rights court and truth and reconciliation commission. However, attempts to establish these two institutions continue to stall. Meanwhile, the Local Law on the Rehabilitation of the Rights of Women Victims of Human Rights Violations (Perdasus no.1/2011) was passed in Papua. While this can be seen as an effort to protect victims of human rights violations, the law was passed without prior public dissemination and lacks important sub-regulations. As well as this, there is no guarantee on the minimum essential level of economic, social and cultural rights in Papua: </w:t>
      </w:r>
    </w:p>
    <w:p w14:paraId="505BE427"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b/>
          <w:highlight w:val="white"/>
        </w:rPr>
        <w:lastRenderedPageBreak/>
        <w:t xml:space="preserve">Access to livelihoods: </w:t>
      </w:r>
      <w:r>
        <w:rPr>
          <w:rFonts w:ascii="Nunito Sans" w:eastAsia="Nunito Sans" w:hAnsi="Nunito Sans" w:cs="Nunito Sans"/>
          <w:highlight w:val="white"/>
        </w:rPr>
        <w:t xml:space="preserve">Indigenous Papuans, particularly women survivors, are facing difficulties in accessing a livelihood and meeting their basic economic needs. They often find themselves struggling to compete with other traders, particularly as monopoly control over markets makes it increasingly harder for Papuan women to gain economic empowerment. Many women in conflict areas are also being excluded from the benefits of development processes. </w:t>
      </w:r>
    </w:p>
    <w:p w14:paraId="704C8E65"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b/>
          <w:highlight w:val="white"/>
        </w:rPr>
        <w:t>Access to water and food</w:t>
      </w:r>
      <w:r>
        <w:rPr>
          <w:rFonts w:ascii="Nunito Sans" w:eastAsia="Nunito Sans" w:hAnsi="Nunito Sans" w:cs="Nunito Sans"/>
          <w:highlight w:val="white"/>
        </w:rPr>
        <w:t xml:space="preserve">: For indigenous people across Papua, land and forests play a significant role in their lives, not only as a source of food and water but also in giving meaning to their lives and cultures. When forests are converted to plantations or other “productive” functions, women lose access to their traditional resources. </w:t>
      </w:r>
    </w:p>
    <w:p w14:paraId="43FFBDEA"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b/>
          <w:highlight w:val="white"/>
        </w:rPr>
        <w:t xml:space="preserve">Access to health services: </w:t>
      </w:r>
      <w:r>
        <w:rPr>
          <w:rFonts w:ascii="Nunito Sans" w:eastAsia="Nunito Sans" w:hAnsi="Nunito Sans" w:cs="Nunito Sans"/>
          <w:highlight w:val="white"/>
        </w:rPr>
        <w:t xml:space="preserve">Although there are national and local health schemes (with "health cards" such as BPJS, Papua Sehat, and Jaminan Kesehatan Aceh), women victims face difficulties in accessing these services. This is especially for sexual and reproductive health as well as basic health services. In various places, women are unable to access health services because they do not have an identity card (Kartu Tanda Penduduk). Women victims also cannot pay transport costs or access health facilities that have available health workers. Moreover, discrimination and marginalization of HIV-positive Papuan women remains a problem for on-going violence. This is a particularly pressing issue given the alarmingly high rates of HIV/AIDS in Papua. </w:t>
      </w:r>
    </w:p>
    <w:p w14:paraId="45259259" w14:textId="77777777" w:rsidR="00D72089" w:rsidRDefault="00D07019">
      <w:pPr>
        <w:spacing w:before="200" w:line="240" w:lineRule="auto"/>
        <w:jc w:val="both"/>
        <w:rPr>
          <w:rFonts w:ascii="Nunito Sans" w:eastAsia="Nunito Sans" w:hAnsi="Nunito Sans" w:cs="Nunito Sans"/>
          <w:b/>
          <w:i/>
          <w:highlight w:val="white"/>
        </w:rPr>
      </w:pPr>
      <w:r>
        <w:rPr>
          <w:rFonts w:ascii="Nunito Sans" w:eastAsia="Nunito Sans" w:hAnsi="Nunito Sans" w:cs="Nunito Sans"/>
          <w:b/>
          <w:i/>
          <w:highlight w:val="white"/>
        </w:rPr>
        <w:t>Suggested adoption of issues:</w:t>
      </w:r>
    </w:p>
    <w:p w14:paraId="4D6C4017"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i/>
          <w:highlight w:val="white"/>
        </w:rPr>
        <w:t>Provide victims with comprehensive reparations that complement justice mechanisms, restore victims’ trust, and provide social and economic programs, prioritizing rehabilitation for those impacted from conflict: women, the elderly, children, and those living in geographically isolated locations.</w:t>
      </w:r>
    </w:p>
    <w:p w14:paraId="4CE39170"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i/>
          <w:highlight w:val="white"/>
        </w:rPr>
        <w:t>Ensure effective programmes for women victims of state violence, which includes assistance for physical, psychological, economic and social effects of armed conflict on women.</w:t>
      </w:r>
    </w:p>
    <w:p w14:paraId="514F62C8"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i/>
          <w:highlight w:val="white"/>
        </w:rPr>
        <w:t>Ensure the upcoming Aceh TRC recommendation for reparation for victims, particularly victims of sexual violence in Aceh conflict can be realized and tangibly implemented by the local and national governments. The Government of Aceh should provide the urgent reparation for the victims, particularly for victims of sexual violence, without any delay.</w:t>
      </w:r>
    </w:p>
    <w:p w14:paraId="6D8D7E7A"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i/>
          <w:highlight w:val="white"/>
        </w:rPr>
        <w:t>Ensure the implementation of the Local Law on the Rehabilitation of the Rights of Women Victims of Human Rights Violations (Perdasus no.1/2011)</w:t>
      </w:r>
    </w:p>
    <w:p w14:paraId="6839F6C5" w14:textId="77777777" w:rsidR="00D72089" w:rsidRDefault="00D07019">
      <w:pPr>
        <w:keepNext/>
        <w:keepLines/>
        <w:tabs>
          <w:tab w:val="right" w:pos="851"/>
        </w:tabs>
        <w:spacing w:before="200" w:line="240" w:lineRule="auto"/>
        <w:ind w:right="1134"/>
        <w:rPr>
          <w:rFonts w:ascii="Nunito Sans" w:eastAsia="Nunito Sans" w:hAnsi="Nunito Sans" w:cs="Nunito Sans"/>
          <w:highlight w:val="white"/>
        </w:rPr>
      </w:pPr>
      <w:r>
        <w:rPr>
          <w:rFonts w:ascii="Nunito Sans" w:eastAsia="Nunito Sans" w:hAnsi="Nunito Sans" w:cs="Nunito Sans"/>
          <w:b/>
          <w:sz w:val="24"/>
          <w:szCs w:val="24"/>
          <w:highlight w:val="white"/>
        </w:rPr>
        <w:lastRenderedPageBreak/>
        <w:t xml:space="preserve">IV B. Violence against women (24) </w:t>
      </w:r>
    </w:p>
    <w:p w14:paraId="12BCC580" w14:textId="77777777" w:rsidR="00D72089" w:rsidRDefault="00D07019">
      <w:pPr>
        <w:numPr>
          <w:ilvl w:val="0"/>
          <w:numId w:val="2"/>
        </w:numPr>
        <w:tabs>
          <w:tab w:val="left" w:pos="1701"/>
        </w:tabs>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In Indonesia, coalition of civil society organisations proposed a bill aimed to tackle the sexual violence in Indonesia (TPKS bill). The bill was proposed in 2016 but the process stalled due to lots of disapproval from conservative groups. TPKS bill not only regulate the criminal sanctions for sexual violence crime, but also prevention, fulfillment of victim’s rights and recovery of the victims. Ratifying the bill will bring the positive impact in delivering minimum standard of services for sexual violence victims.</w:t>
      </w:r>
    </w:p>
    <w:p w14:paraId="6EF1827C" w14:textId="77777777" w:rsidR="00D72089" w:rsidRDefault="00D07019">
      <w:pPr>
        <w:numPr>
          <w:ilvl w:val="0"/>
          <w:numId w:val="2"/>
        </w:numPr>
        <w:tabs>
          <w:tab w:val="left" w:pos="1701"/>
        </w:tabs>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Alongside the physical attacks against women in conflict, many women survivors of gross violations of human rights experience violations of their social and economic rights. These abuses include the loss of land and livelihoods, and exclusion from education and health care services, all of which undermine their socio-economic wellbeing. Not only are these abuses widespread, they can often extend over many years.</w:t>
      </w:r>
      <w:r>
        <w:rPr>
          <w:rFonts w:ascii="Nunito Sans" w:eastAsia="Nunito Sans" w:hAnsi="Nunito Sans" w:cs="Nunito Sans"/>
          <w:highlight w:val="white"/>
          <w:vertAlign w:val="superscript"/>
        </w:rPr>
        <w:footnoteReference w:id="7"/>
      </w:r>
      <w:r>
        <w:rPr>
          <w:rFonts w:ascii="Nunito Sans" w:eastAsia="Nunito Sans" w:hAnsi="Nunito Sans" w:cs="Nunito Sans"/>
          <w:highlight w:val="white"/>
        </w:rPr>
        <w:t xml:space="preserve"> With the absence of official acknowledgement and support from the government, women survivors continue to suffer long-term physical, social and economic impacts of the violations. While domestic violence is widely experienced, there are only a few cases reported to the police, and less cases prosecuted in the judicial system.</w:t>
      </w:r>
      <w:r>
        <w:rPr>
          <w:rFonts w:ascii="Nunito Sans" w:eastAsia="Nunito Sans" w:hAnsi="Nunito Sans" w:cs="Nunito Sans"/>
          <w:highlight w:val="white"/>
          <w:vertAlign w:val="superscript"/>
        </w:rPr>
        <w:footnoteReference w:id="8"/>
      </w:r>
      <w:r>
        <w:rPr>
          <w:rFonts w:ascii="Nunito Sans" w:eastAsia="Nunito Sans" w:hAnsi="Nunito Sans" w:cs="Nunito Sans"/>
          <w:highlight w:val="white"/>
        </w:rPr>
        <w:t xml:space="preserve"> At the same time, women in conflict are also vulnerable to new forms of domestic and community violence.</w:t>
      </w:r>
    </w:p>
    <w:p w14:paraId="4227B7B9" w14:textId="77777777" w:rsidR="00D72089" w:rsidRDefault="00D07019">
      <w:pPr>
        <w:numPr>
          <w:ilvl w:val="0"/>
          <w:numId w:val="2"/>
        </w:numPr>
        <w:tabs>
          <w:tab w:val="left" w:pos="1701"/>
        </w:tabs>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 xml:space="preserve">In Papua, on-going violence and discrimination is a common and widespread issue, which continues to impact on the lives of Papuan women. Lack of security of tenure for natural resources and traditional lands impede women’s empowerment and make indigenous women vulnerable to cycles of violence and discrimination. In Aceh, even though many policies enacted related to economic and livelihood access, women survivors are still left behind.  </w:t>
      </w:r>
    </w:p>
    <w:p w14:paraId="08C0049C" w14:textId="77777777" w:rsidR="00D72089" w:rsidRDefault="00D07019">
      <w:pPr>
        <w:shd w:val="clear" w:color="auto" w:fill="FFFFFF"/>
        <w:spacing w:before="200" w:line="240" w:lineRule="auto"/>
        <w:jc w:val="both"/>
        <w:rPr>
          <w:rFonts w:ascii="Nunito Sans" w:eastAsia="Nunito Sans" w:hAnsi="Nunito Sans" w:cs="Nunito Sans"/>
          <w:b/>
          <w:highlight w:val="white"/>
        </w:rPr>
      </w:pPr>
      <w:r>
        <w:rPr>
          <w:rFonts w:ascii="Nunito Sans" w:eastAsia="Nunito Sans" w:hAnsi="Nunito Sans" w:cs="Nunito Sans"/>
          <w:b/>
          <w:highlight w:val="white"/>
        </w:rPr>
        <w:t xml:space="preserve">Suggested adoption of issue: </w:t>
      </w:r>
    </w:p>
    <w:p w14:paraId="497D8453" w14:textId="77777777" w:rsidR="00D72089" w:rsidRDefault="00D07019">
      <w:pPr>
        <w:numPr>
          <w:ilvl w:val="0"/>
          <w:numId w:val="2"/>
        </w:numPr>
        <w:shd w:val="clear" w:color="auto" w:fill="FFFFFF"/>
        <w:spacing w:before="200" w:line="240" w:lineRule="auto"/>
        <w:jc w:val="both"/>
        <w:rPr>
          <w:rFonts w:ascii="Nunito Sans" w:eastAsia="Nunito Sans" w:hAnsi="Nunito Sans" w:cs="Nunito Sans"/>
          <w:highlight w:val="white"/>
        </w:rPr>
      </w:pPr>
      <w:r>
        <w:rPr>
          <w:rFonts w:ascii="Nunito Sans" w:eastAsia="Nunito Sans" w:hAnsi="Nunito Sans" w:cs="Nunito Sans"/>
          <w:i/>
          <w:highlight w:val="white"/>
        </w:rPr>
        <w:t xml:space="preserve">Acknowledge the existence of victims of human rights violations, particularly women victims of conflict and provide comprehensive reparations that encompass support for socio economic wellbeing, health and livelihood. </w:t>
      </w:r>
    </w:p>
    <w:p w14:paraId="6F4A5212" w14:textId="77777777" w:rsidR="00D72089" w:rsidRDefault="00D07019">
      <w:pPr>
        <w:numPr>
          <w:ilvl w:val="0"/>
          <w:numId w:val="2"/>
        </w:numPr>
        <w:shd w:val="clear" w:color="auto" w:fill="FFFFFF"/>
        <w:spacing w:before="200" w:line="240" w:lineRule="auto"/>
        <w:jc w:val="both"/>
        <w:rPr>
          <w:rFonts w:ascii="Nunito Sans" w:eastAsia="Nunito Sans" w:hAnsi="Nunito Sans" w:cs="Nunito Sans"/>
          <w:highlight w:val="white"/>
        </w:rPr>
      </w:pPr>
      <w:r>
        <w:rPr>
          <w:rFonts w:ascii="Nunito Sans" w:eastAsia="Nunito Sans" w:hAnsi="Nunito Sans" w:cs="Nunito Sans"/>
          <w:i/>
          <w:highlight w:val="white"/>
        </w:rPr>
        <w:t xml:space="preserve">Ensure that women in conflict are meaningfully involved in deliberations on development issues at all levels, including within decision making processes related to socio economic and developmental policy. </w:t>
      </w:r>
    </w:p>
    <w:p w14:paraId="113B684A" w14:textId="77777777" w:rsidR="00D72089" w:rsidRDefault="00D07019">
      <w:pPr>
        <w:numPr>
          <w:ilvl w:val="0"/>
          <w:numId w:val="2"/>
        </w:numPr>
        <w:shd w:val="clear" w:color="auto" w:fill="FFFFFF"/>
        <w:spacing w:before="200" w:line="240" w:lineRule="auto"/>
        <w:jc w:val="both"/>
        <w:rPr>
          <w:rFonts w:ascii="Nunito Sans" w:eastAsia="Nunito Sans" w:hAnsi="Nunito Sans" w:cs="Nunito Sans"/>
          <w:highlight w:val="white"/>
        </w:rPr>
      </w:pPr>
      <w:r>
        <w:rPr>
          <w:rFonts w:ascii="Nunito Sans" w:eastAsia="Nunito Sans" w:hAnsi="Nunito Sans" w:cs="Nunito Sans"/>
          <w:i/>
          <w:highlight w:val="white"/>
        </w:rPr>
        <w:lastRenderedPageBreak/>
        <w:t xml:space="preserve">Immediately enact the Bill of Ellimination of Sexual Violence to protect women’s rights that has been prioritzed in the National Legislative Program of the year 2020-2021. </w:t>
      </w:r>
    </w:p>
    <w:p w14:paraId="2F1C9A27" w14:textId="77777777" w:rsidR="00D72089" w:rsidRDefault="00D07019">
      <w:pPr>
        <w:shd w:val="clear" w:color="auto" w:fill="FFFFFF"/>
        <w:spacing w:before="200" w:line="240" w:lineRule="auto"/>
        <w:rPr>
          <w:rFonts w:ascii="Nunito Sans" w:eastAsia="Nunito Sans" w:hAnsi="Nunito Sans" w:cs="Nunito Sans"/>
          <w:highlight w:val="white"/>
        </w:rPr>
      </w:pPr>
      <w:r>
        <w:rPr>
          <w:rFonts w:ascii="Nunito Sans" w:eastAsia="Nunito Sans" w:hAnsi="Nunito Sans" w:cs="Nunito Sans"/>
          <w:b/>
          <w:highlight w:val="white"/>
        </w:rPr>
        <w:t>IV. C. Multiple Discrimination (13)</w:t>
      </w:r>
    </w:p>
    <w:p w14:paraId="775297A4"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Regarding the issue of several groups who suffer multiple discriminations in article 13, we would like to further raise the issue to the groups particularly on the victims of 1965-1966 mass atrocities, stolen children of Timor-Leste</w:t>
      </w:r>
      <w:r>
        <w:rPr>
          <w:rFonts w:ascii="Nunito Sans" w:eastAsia="Nunito Sans" w:hAnsi="Nunito Sans" w:cs="Nunito Sans"/>
          <w:highlight w:val="white"/>
          <w:vertAlign w:val="superscript"/>
        </w:rPr>
        <w:footnoteReference w:id="9"/>
      </w:r>
      <w:r>
        <w:rPr>
          <w:rFonts w:ascii="Nunito Sans" w:eastAsia="Nunito Sans" w:hAnsi="Nunito Sans" w:cs="Nunito Sans"/>
          <w:highlight w:val="white"/>
        </w:rPr>
        <w:t>, IDPs in Papua, and second generation of East Timorese in an unfinished resettlement scheme in Indonesia. Civil groups continued to work to ensure that victims receive basic services and assistance from government agencies. Some victims’ groups are challenging regulations that deny their rights, particularly violation related to identity; pension claims; and the appropriation of land, buildings and businesses.</w:t>
      </w:r>
    </w:p>
    <w:p w14:paraId="369067BD" w14:textId="77777777" w:rsidR="00D72089" w:rsidRDefault="00D07019">
      <w:pPr>
        <w:spacing w:before="200" w:line="240" w:lineRule="auto"/>
        <w:rPr>
          <w:rFonts w:ascii="Nunito Sans" w:eastAsia="Nunito Sans" w:hAnsi="Nunito Sans" w:cs="Nunito Sans"/>
          <w:b/>
          <w:i/>
          <w:highlight w:val="white"/>
        </w:rPr>
      </w:pPr>
      <w:r>
        <w:rPr>
          <w:rFonts w:ascii="Nunito Sans" w:eastAsia="Nunito Sans" w:hAnsi="Nunito Sans" w:cs="Nunito Sans"/>
          <w:b/>
          <w:i/>
          <w:highlight w:val="white"/>
        </w:rPr>
        <w:t>IV. C. 1. Victims of 1965-1966 mass atrocities</w:t>
      </w:r>
    </w:p>
    <w:p w14:paraId="5CE88C8F"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 xml:space="preserve">General Soeharto ruled Indonesia oppressively for 32 years. He rose to power in 1965, in a wave of violence that killed five hundred thousands to a million people, with tens of thousands imprisoned for decades without trial. </w:t>
      </w:r>
    </w:p>
    <w:p w14:paraId="60652E0D"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Victims were subjected to institutionalized discrimination for so long that it crossed generational line. Their children and other family members such as the spouses and children of communists or alleged communists also suffered discrimination.</w:t>
      </w:r>
      <w:r>
        <w:rPr>
          <w:rFonts w:ascii="Nunito Sans" w:eastAsia="Nunito Sans" w:hAnsi="Nunito Sans" w:cs="Nunito Sans"/>
          <w:highlight w:val="white"/>
          <w:vertAlign w:val="superscript"/>
        </w:rPr>
        <w:footnoteReference w:id="10"/>
      </w:r>
      <w:r>
        <w:rPr>
          <w:rFonts w:ascii="Nunito Sans" w:eastAsia="Nunito Sans" w:hAnsi="Nunito Sans" w:cs="Nunito Sans"/>
          <w:highlight w:val="white"/>
        </w:rPr>
        <w:t xml:space="preserve"> They continue to suffer stigmatization, poverty, neglect and subsequent institutionalized discrimination. This continued discrimination is linked to their officially assigned classification.</w:t>
      </w:r>
      <w:r>
        <w:rPr>
          <w:rFonts w:ascii="Nunito Sans" w:eastAsia="Nunito Sans" w:hAnsi="Nunito Sans" w:cs="Nunito Sans"/>
          <w:highlight w:val="white"/>
          <w:vertAlign w:val="superscript"/>
        </w:rPr>
        <w:footnoteReference w:id="11"/>
      </w:r>
      <w:r>
        <w:rPr>
          <w:rFonts w:ascii="Nunito Sans" w:eastAsia="Nunito Sans" w:hAnsi="Nunito Sans" w:cs="Nunito Sans"/>
          <w:highlight w:val="white"/>
        </w:rPr>
        <w:t xml:space="preserve"> Many of the victims had their homes, land, businesses and/or government pensions confiscated and never returned. Additionally, their children often faced great difficulties in obtaining study and work opportunities. </w:t>
      </w:r>
      <w:r>
        <w:rPr>
          <w:rFonts w:ascii="Nunito Sans" w:eastAsia="Nunito Sans" w:hAnsi="Nunito Sans" w:cs="Nunito Sans"/>
          <w:highlight w:val="white"/>
          <w:vertAlign w:val="superscript"/>
        </w:rPr>
        <w:footnoteReference w:id="12"/>
      </w:r>
    </w:p>
    <w:p w14:paraId="24A49C57"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 xml:space="preserve">Official government policies restricted the access of victims and their families to jobs, education, and social services. In 1981, the government issued an instruction (No. 31/1981) that called upon provincial governors and local administrative officials, in coordination with security forces, to conduct surveillance and </w:t>
      </w:r>
      <w:r>
        <w:rPr>
          <w:rFonts w:ascii="Nunito Sans" w:eastAsia="Nunito Sans" w:hAnsi="Nunito Sans" w:cs="Nunito Sans"/>
          <w:highlight w:val="white"/>
        </w:rPr>
        <w:lastRenderedPageBreak/>
        <w:t>reconstruction of all aspects of victims’ lives, including their attitude, behaviour and all social-cultural, political, and economic activities.</w:t>
      </w:r>
      <w:r>
        <w:rPr>
          <w:rFonts w:ascii="Nunito Sans" w:eastAsia="Nunito Sans" w:hAnsi="Nunito Sans" w:cs="Nunito Sans"/>
          <w:highlight w:val="white"/>
          <w:vertAlign w:val="superscript"/>
        </w:rPr>
        <w:footnoteReference w:id="13"/>
      </w:r>
    </w:p>
    <w:p w14:paraId="5A0E737F"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Victims continue to suffer physical trauma resulting from ill-health and socio-economic deprivation as a consequence of the violations. Some have urgent needs that are not being addressed; for example, they have not received medical assistance and trauma counselling for injuries resulting from violence, torture, and detention.</w:t>
      </w:r>
      <w:r>
        <w:rPr>
          <w:rFonts w:ascii="Nunito Sans" w:eastAsia="Nunito Sans" w:hAnsi="Nunito Sans" w:cs="Nunito Sans"/>
          <w:highlight w:val="white"/>
          <w:vertAlign w:val="superscript"/>
        </w:rPr>
        <w:footnoteReference w:id="14"/>
      </w:r>
      <w:r>
        <w:rPr>
          <w:rFonts w:ascii="Nunito Sans" w:eastAsia="Nunito Sans" w:hAnsi="Nunito Sans" w:cs="Nunito Sans"/>
          <w:highlight w:val="white"/>
        </w:rPr>
        <w:t xml:space="preserve"> Victims’ property ownership documents and certificates for houses, land, and farms were also confiscated by military officers. In some cases, they were forced to sign a letter stating they had given their land to the state.</w:t>
      </w:r>
    </w:p>
    <w:p w14:paraId="7771AA52"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Hundreds of survivors recognized as crimes against humanity have been able to access psycho-social support and medical services through the Witness and Victims’ Protection Agency. This is mainly because the National Human Rights Commission completed a pro-justicia investigation of these cases and has formally recognized them as victims of human rights violations.</w:t>
      </w:r>
    </w:p>
    <w:p w14:paraId="5EA00E2A"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Through long advocacy from civil society, there are many positive developments from the local government in enacting the policies to provide partial reparation for victims. In Palu, Central Sulawesi, Mayor of Palu declares an apology to victims and provides redress and services to victims, which include assistance such as home repairs, scholarships, and access to government health services, sanitation facilities, clean water, and economic empowerment training for victims.</w:t>
      </w:r>
      <w:r>
        <w:rPr>
          <w:rFonts w:ascii="Nunito Sans" w:eastAsia="Nunito Sans" w:hAnsi="Nunito Sans" w:cs="Nunito Sans"/>
          <w:highlight w:val="white"/>
          <w:vertAlign w:val="superscript"/>
        </w:rPr>
        <w:footnoteReference w:id="15"/>
      </w:r>
      <w:r>
        <w:rPr>
          <w:rFonts w:ascii="Nunito Sans" w:eastAsia="Nunito Sans" w:hAnsi="Nunito Sans" w:cs="Nunito Sans"/>
          <w:highlight w:val="white"/>
        </w:rPr>
        <w:t xml:space="preserve"> In Maluku, victims received new official marriage certificates, to replace those that had identified them as “ET”—former political prisoners. Local officials have apologized and have produced new certificates. In 2003, the court decided that the government had commit an unlawful act through arbitrary and discriminatory classifications towards one of the victims, Nani Nurani. As the plaintiff, Nani Nurani was then able to access public facilities and services.</w:t>
      </w:r>
      <w:r>
        <w:rPr>
          <w:rFonts w:ascii="Nunito Sans" w:eastAsia="Nunito Sans" w:hAnsi="Nunito Sans" w:cs="Nunito Sans"/>
          <w:highlight w:val="white"/>
          <w:vertAlign w:val="superscript"/>
        </w:rPr>
        <w:footnoteReference w:id="16"/>
      </w:r>
    </w:p>
    <w:p w14:paraId="3D4C3D32"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 xml:space="preserve">In 2012, the Supreme Court annuled the Presidential Decree No. 28/1975 on the Discriminatory Treatment towards Those Allegedly </w:t>
      </w:r>
      <w:r>
        <w:rPr>
          <w:rFonts w:ascii="Nunito Sans" w:eastAsia="Nunito Sans" w:hAnsi="Nunito Sans" w:cs="Nunito Sans"/>
          <w:highlight w:val="white"/>
        </w:rPr>
        <w:lastRenderedPageBreak/>
        <w:t>Involved in the Failed Coup attempt on 30 September 1965.</w:t>
      </w:r>
      <w:r>
        <w:rPr>
          <w:rFonts w:ascii="Nunito Sans" w:eastAsia="Nunito Sans" w:hAnsi="Nunito Sans" w:cs="Nunito Sans"/>
          <w:highlight w:val="white"/>
          <w:vertAlign w:val="superscript"/>
        </w:rPr>
        <w:footnoteReference w:id="17"/>
      </w:r>
      <w:r>
        <w:rPr>
          <w:rFonts w:ascii="Nunito Sans" w:eastAsia="Nunito Sans" w:hAnsi="Nunito Sans" w:cs="Nunito Sans"/>
          <w:highlight w:val="white"/>
        </w:rPr>
        <w:t xml:space="preserve"> The Supreme Court considered that this Presidential Decree discriminates against individuals allegedly identified as directly or indirectly involved in the failed coup attempt on 30 September 1965. However, this decision cannot be implemented as it requires the President to issue another Decree for the annulment. Up until now, the annulment Decree has not been issued. </w:t>
      </w:r>
    </w:p>
    <w:p w14:paraId="30D47C22" w14:textId="77777777" w:rsidR="00D72089" w:rsidRDefault="00D07019">
      <w:pPr>
        <w:spacing w:before="200" w:line="240" w:lineRule="auto"/>
        <w:jc w:val="both"/>
        <w:rPr>
          <w:rFonts w:ascii="Nunito Sans" w:eastAsia="Nunito Sans" w:hAnsi="Nunito Sans" w:cs="Nunito Sans"/>
          <w:b/>
          <w:i/>
          <w:highlight w:val="white"/>
        </w:rPr>
      </w:pPr>
      <w:r>
        <w:rPr>
          <w:rFonts w:ascii="Nunito Sans" w:eastAsia="Nunito Sans" w:hAnsi="Nunito Sans" w:cs="Nunito Sans"/>
          <w:b/>
          <w:i/>
          <w:highlight w:val="white"/>
        </w:rPr>
        <w:t xml:space="preserve">Suggested adoption of issues: </w:t>
      </w:r>
    </w:p>
    <w:p w14:paraId="62AAFD71" w14:textId="77777777" w:rsidR="00D72089" w:rsidRDefault="00D07019">
      <w:pPr>
        <w:numPr>
          <w:ilvl w:val="0"/>
          <w:numId w:val="2"/>
        </w:numPr>
        <w:spacing w:before="200" w:line="240" w:lineRule="auto"/>
        <w:jc w:val="both"/>
        <w:rPr>
          <w:rFonts w:ascii="Nunito Sans" w:eastAsia="Nunito Sans" w:hAnsi="Nunito Sans" w:cs="Nunito Sans"/>
          <w:i/>
          <w:highlight w:val="white"/>
        </w:rPr>
      </w:pPr>
      <w:r>
        <w:rPr>
          <w:rFonts w:ascii="Nunito Sans" w:eastAsia="Nunito Sans" w:hAnsi="Nunito Sans" w:cs="Nunito Sans"/>
          <w:i/>
          <w:highlight w:val="white"/>
        </w:rPr>
        <w:t xml:space="preserve">Ensure victim’s access to information to improve their social and economic standing in order to reach justice and reparation. </w:t>
      </w:r>
    </w:p>
    <w:p w14:paraId="54C9B0C4" w14:textId="77777777" w:rsidR="00D72089" w:rsidRDefault="00D07019">
      <w:pPr>
        <w:numPr>
          <w:ilvl w:val="0"/>
          <w:numId w:val="2"/>
        </w:numPr>
        <w:spacing w:before="200" w:line="240" w:lineRule="auto"/>
        <w:jc w:val="both"/>
        <w:rPr>
          <w:rFonts w:ascii="Nunito Sans" w:eastAsia="Nunito Sans" w:hAnsi="Nunito Sans" w:cs="Nunito Sans"/>
          <w:i/>
          <w:highlight w:val="white"/>
        </w:rPr>
      </w:pPr>
      <w:r>
        <w:rPr>
          <w:rFonts w:ascii="Nunito Sans" w:eastAsia="Nunito Sans" w:hAnsi="Nunito Sans" w:cs="Nunito Sans"/>
          <w:i/>
          <w:highlight w:val="white"/>
        </w:rPr>
        <w:t xml:space="preserve">Immediately remove barrier or discriminatory practises in issuing basic citizenship documents such as ID cards, marriage and birthe certificates to restore victims’ trust in state institutions. </w:t>
      </w:r>
    </w:p>
    <w:p w14:paraId="588F2B70" w14:textId="77777777" w:rsidR="00D72089" w:rsidRDefault="00D07019">
      <w:pPr>
        <w:numPr>
          <w:ilvl w:val="0"/>
          <w:numId w:val="2"/>
        </w:numPr>
        <w:spacing w:before="200" w:line="240" w:lineRule="auto"/>
        <w:jc w:val="both"/>
        <w:rPr>
          <w:rFonts w:ascii="Nunito Sans" w:eastAsia="Nunito Sans" w:hAnsi="Nunito Sans" w:cs="Nunito Sans"/>
          <w:i/>
          <w:highlight w:val="white"/>
        </w:rPr>
      </w:pPr>
      <w:r>
        <w:rPr>
          <w:rFonts w:ascii="Nunito Sans" w:eastAsia="Nunito Sans" w:hAnsi="Nunito Sans" w:cs="Nunito Sans"/>
          <w:i/>
          <w:highlight w:val="white"/>
        </w:rPr>
        <w:t xml:space="preserve">Review and reform discriminatory regulations as well as implementation practises. Reissues any discriminatory legal documents and socialize any regulations that are not being followed as intended, including former political prisoners and their families. </w:t>
      </w:r>
    </w:p>
    <w:p w14:paraId="07825889" w14:textId="77777777" w:rsidR="00D72089" w:rsidRDefault="00D07019">
      <w:pPr>
        <w:spacing w:before="200" w:line="240" w:lineRule="auto"/>
        <w:jc w:val="both"/>
        <w:rPr>
          <w:rFonts w:ascii="Nunito Sans" w:eastAsia="Nunito Sans" w:hAnsi="Nunito Sans" w:cs="Nunito Sans"/>
          <w:b/>
          <w:i/>
          <w:highlight w:val="white"/>
        </w:rPr>
      </w:pPr>
      <w:r>
        <w:rPr>
          <w:rFonts w:ascii="Nunito Sans" w:eastAsia="Nunito Sans" w:hAnsi="Nunito Sans" w:cs="Nunito Sans"/>
          <w:b/>
          <w:highlight w:val="white"/>
        </w:rPr>
        <w:t xml:space="preserve">IV.C.2. </w:t>
      </w:r>
      <w:r>
        <w:rPr>
          <w:rFonts w:ascii="Nunito Sans" w:eastAsia="Nunito Sans" w:hAnsi="Nunito Sans" w:cs="Nunito Sans"/>
          <w:b/>
          <w:i/>
          <w:highlight w:val="white"/>
        </w:rPr>
        <w:t>Stolen Children of Timor-Leste</w:t>
      </w:r>
    </w:p>
    <w:p w14:paraId="2E8B2203"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One of the remaining cases related to conflict is the issue of “stolen children” from Timor-Leste, children who were forcibly taken by Indonesia officials in the period of occupation of East Timor (1975-1999). The impact for the girls particularly, now adult women, of “stolen children'' is particularly related to psychological trauma due to the experience of violence inside the adoptive families, some mentioned faced sexual harassment. The majority of victims in Indonesia faced difficulties obtaining citizenship documents that were essential to access basic services, experienced abuse that impacted their physical and mental health up until today, while also hardships and challenges to own land and obtain jobs due to their lack of education.</w:t>
      </w:r>
      <w:r>
        <w:rPr>
          <w:rFonts w:ascii="Nunito Sans" w:eastAsia="Nunito Sans" w:hAnsi="Nunito Sans" w:cs="Nunito Sans"/>
          <w:highlight w:val="white"/>
          <w:vertAlign w:val="superscript"/>
        </w:rPr>
        <w:footnoteReference w:id="18"/>
      </w:r>
      <w:r>
        <w:rPr>
          <w:rFonts w:ascii="Nunito Sans" w:eastAsia="Nunito Sans" w:hAnsi="Nunito Sans" w:cs="Nunito Sans"/>
          <w:highlight w:val="white"/>
        </w:rPr>
        <w:t xml:space="preserve"> To date, they are living in parts of Indonesia, unable to go back due to economic hardship, fear of rejection, and isolation. Estimated thousands still separated from their families, without contact for many decades. Many families in Timor-Leste still look for them, some consider them missing persons or dead in conflict, after being lost decades apart.</w:t>
      </w:r>
      <w:r>
        <w:rPr>
          <w:rFonts w:ascii="Nunito Sans" w:eastAsia="Nunito Sans" w:hAnsi="Nunito Sans" w:cs="Nunito Sans"/>
          <w:highlight w:val="white"/>
          <w:vertAlign w:val="superscript"/>
        </w:rPr>
        <w:footnoteReference w:id="19"/>
      </w:r>
    </w:p>
    <w:p w14:paraId="2AA4A74E"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 xml:space="preserve">The Governments of Indonesia and Timor-Leste established the Commission for Truth and Friendship (CTF) in 2005 and in 2008 released </w:t>
      </w:r>
      <w:r>
        <w:rPr>
          <w:rFonts w:ascii="Nunito Sans" w:eastAsia="Nunito Sans" w:hAnsi="Nunito Sans" w:cs="Nunito Sans"/>
          <w:highlight w:val="white"/>
        </w:rPr>
        <w:lastRenderedPageBreak/>
        <w:t xml:space="preserve">its report with a number of recommendations to be implemented by the two countries. One recommendation was the formation of a Commission for Missing Persons to identify children who had been taken to Indonesia and reunite them with their parents in Timor-Leste. Until recently, the two countries had not implemented this recommendation. </w:t>
      </w:r>
    </w:p>
    <w:p w14:paraId="09B3297D" w14:textId="77777777" w:rsidR="00D72089" w:rsidRDefault="00D07019">
      <w:pPr>
        <w:spacing w:before="200" w:line="240" w:lineRule="auto"/>
        <w:jc w:val="both"/>
        <w:rPr>
          <w:rFonts w:ascii="Nunito Sans" w:eastAsia="Nunito Sans" w:hAnsi="Nunito Sans" w:cs="Nunito Sans"/>
          <w:b/>
          <w:i/>
          <w:highlight w:val="white"/>
        </w:rPr>
      </w:pPr>
      <w:r>
        <w:rPr>
          <w:rFonts w:ascii="Nunito Sans" w:eastAsia="Nunito Sans" w:hAnsi="Nunito Sans" w:cs="Nunito Sans"/>
          <w:b/>
          <w:i/>
          <w:highlight w:val="white"/>
        </w:rPr>
        <w:t xml:space="preserve">Suggested adoption of issues: </w:t>
      </w:r>
    </w:p>
    <w:p w14:paraId="394B6532" w14:textId="77777777" w:rsidR="00D72089" w:rsidRDefault="00D07019">
      <w:pPr>
        <w:numPr>
          <w:ilvl w:val="0"/>
          <w:numId w:val="2"/>
        </w:numPr>
        <w:spacing w:before="200" w:line="240" w:lineRule="auto"/>
        <w:jc w:val="both"/>
        <w:rPr>
          <w:rFonts w:ascii="Nunito Sans" w:eastAsia="Nunito Sans" w:hAnsi="Nunito Sans" w:cs="Nunito Sans"/>
          <w:i/>
          <w:highlight w:val="white"/>
        </w:rPr>
      </w:pPr>
      <w:r>
        <w:rPr>
          <w:rFonts w:ascii="Nunito Sans" w:eastAsia="Nunito Sans" w:hAnsi="Nunito Sans" w:cs="Nunito Sans"/>
          <w:i/>
          <w:highlight w:val="white"/>
        </w:rPr>
        <w:t xml:space="preserve">Establish a bilateral commission with the Government of Timor-Leste to study and implement the recommendations of previous truth commissions (the Timor-Leste Commission for Reception, Truth, and Reconciliation/CAVR and the Indonesia and Timor-Leste Commission for Truth and Friendship/CTF) that relate to the separated children and the search for the disappeared. Particularly to acknowledge the existence of victims and provide comprehensive reparations that encompass support for their right to own a land, socio economic wellbeing, health and livelihood. </w:t>
      </w:r>
    </w:p>
    <w:p w14:paraId="1C75FF44" w14:textId="77777777" w:rsidR="00D72089" w:rsidRDefault="00D07019">
      <w:pPr>
        <w:spacing w:before="200" w:line="240" w:lineRule="auto"/>
        <w:jc w:val="both"/>
        <w:rPr>
          <w:rFonts w:ascii="Nunito Sans" w:eastAsia="Nunito Sans" w:hAnsi="Nunito Sans" w:cs="Nunito Sans"/>
          <w:b/>
          <w:highlight w:val="white"/>
        </w:rPr>
      </w:pPr>
      <w:r>
        <w:rPr>
          <w:rFonts w:ascii="Nunito Sans" w:eastAsia="Nunito Sans" w:hAnsi="Nunito Sans" w:cs="Nunito Sans"/>
          <w:b/>
          <w:i/>
          <w:highlight w:val="white"/>
        </w:rPr>
        <w:t>IV.C.3. Second Generation East Timorese Ex-Refugees Affected by Unfinished Resettlement Scheme in Refugee Camps.</w:t>
      </w:r>
    </w:p>
    <w:p w14:paraId="75CE8DD8"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 xml:space="preserve">Since 1999 repatriation has been taking place, those who remain are often persons identified as human rights violators or those who no longer have any relatives in East Timor to help them start a better life if they go back. When the UN High Commissioner for Refugees (UNHCR) released the Declaration of Cessation in 2002, it estimated that 28,000 ex-refugees stayed in Indonesia. The East Timorese, however, claimed almost 200,000 persons were in West Timor, and the local government of East Nusa Tenggara stated that more than 100,000 people stayed. </w:t>
      </w:r>
    </w:p>
    <w:p w14:paraId="102495E0"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After more than 20 years, they are now facing hardship in receiving financial assistance, and face limited access to basic services such as housing, land tenure, and job opportunities. The conditions affected the second generation of the Timorese who were internally displaced from East Timor and resettled in West Timor under an unfinished resettlement scheme after East Timor had been separated from Indonesia and formed into Timor-Leste.</w:t>
      </w:r>
    </w:p>
    <w:p w14:paraId="66967655" w14:textId="77777777" w:rsidR="00D72089" w:rsidRDefault="00D07019">
      <w:pPr>
        <w:shd w:val="clear" w:color="auto" w:fill="FFFFFF"/>
        <w:spacing w:before="200" w:line="240" w:lineRule="auto"/>
        <w:jc w:val="both"/>
        <w:rPr>
          <w:rFonts w:ascii="Nunito Sans" w:eastAsia="Nunito Sans" w:hAnsi="Nunito Sans" w:cs="Nunito Sans"/>
          <w:b/>
          <w:highlight w:val="white"/>
        </w:rPr>
      </w:pPr>
      <w:r>
        <w:rPr>
          <w:rFonts w:ascii="Nunito Sans" w:eastAsia="Nunito Sans" w:hAnsi="Nunito Sans" w:cs="Nunito Sans"/>
          <w:b/>
          <w:highlight w:val="white"/>
        </w:rPr>
        <w:t>Suggested adoption of issue:</w:t>
      </w:r>
    </w:p>
    <w:p w14:paraId="3546916B"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i/>
          <w:highlight w:val="white"/>
        </w:rPr>
        <w:t xml:space="preserve">To review and continue the Senior Official Meeting (SOM) between Government of Indonesia and Timor-Leste that has been halted since 2016 to address the recommendations of previous truth commissions (the Timor-Leste Commission for Reception, Truth, and Reconciliation/CAVR and the Indonesia and Timor-Leste Commission for Truth and Friendship/CTF) particularly that relates to the rights of the refugee in the camps including their right to own a land. </w:t>
      </w:r>
    </w:p>
    <w:p w14:paraId="6F4576FB" w14:textId="77777777" w:rsidR="00D72089" w:rsidRDefault="00D07019">
      <w:pPr>
        <w:spacing w:before="200" w:line="240" w:lineRule="auto"/>
        <w:jc w:val="both"/>
        <w:rPr>
          <w:rFonts w:ascii="Nunito Sans" w:eastAsia="Nunito Sans" w:hAnsi="Nunito Sans" w:cs="Nunito Sans"/>
          <w:b/>
          <w:highlight w:val="white"/>
        </w:rPr>
      </w:pPr>
      <w:r>
        <w:rPr>
          <w:rFonts w:ascii="Nunito Sans" w:eastAsia="Nunito Sans" w:hAnsi="Nunito Sans" w:cs="Nunito Sans"/>
          <w:b/>
          <w:i/>
          <w:highlight w:val="white"/>
        </w:rPr>
        <w:t>IV.C.4. Internally displaced person in Papua conflict situations</w:t>
      </w:r>
    </w:p>
    <w:p w14:paraId="56F27577" w14:textId="77777777" w:rsidR="00D72089" w:rsidRDefault="00D07019">
      <w:pPr>
        <w:numPr>
          <w:ilvl w:val="0"/>
          <w:numId w:val="2"/>
        </w:numPr>
        <w:spacing w:before="200" w:line="240" w:lineRule="auto"/>
        <w:jc w:val="both"/>
        <w:rPr>
          <w:rFonts w:ascii="Nunito Sans" w:eastAsia="Nunito Sans" w:hAnsi="Nunito Sans" w:cs="Nunito Sans"/>
          <w:highlight w:val="white"/>
        </w:rPr>
      </w:pPr>
      <w:r>
        <w:rPr>
          <w:rFonts w:ascii="Nunito Sans" w:eastAsia="Nunito Sans" w:hAnsi="Nunito Sans" w:cs="Nunito Sans"/>
          <w:highlight w:val="white"/>
        </w:rPr>
        <w:t xml:space="preserve">Since 2018, many communities in Papua have been displaced by conflict. Fleeing from the ensuing bouts of fighting and raids, </w:t>
      </w:r>
      <w:r>
        <w:rPr>
          <w:rFonts w:ascii="Nunito Sans" w:eastAsia="Nunito Sans" w:hAnsi="Nunito Sans" w:cs="Nunito Sans"/>
          <w:highlight w:val="white"/>
        </w:rPr>
        <w:lastRenderedPageBreak/>
        <w:t>displaced villagers have sought refuge in neighbouring regions far from their own land and gardens. In August 2019, the Papua Province Ombudsman Office visited the IDPs from Nduga regency in Wamena. The Ombudsman estimated that 50,000 people have been displaced – a figure that has not yet been verified.</w:t>
      </w:r>
      <w:r>
        <w:rPr>
          <w:rFonts w:ascii="Nunito Sans" w:eastAsia="Nunito Sans" w:hAnsi="Nunito Sans" w:cs="Nunito Sans"/>
          <w:highlight w:val="white"/>
          <w:vertAlign w:val="superscript"/>
        </w:rPr>
        <w:footnoteReference w:id="20"/>
      </w:r>
      <w:r>
        <w:rPr>
          <w:rFonts w:ascii="Nunito Sans" w:eastAsia="Nunito Sans" w:hAnsi="Nunito Sans" w:cs="Nunito Sans"/>
          <w:highlight w:val="white"/>
        </w:rPr>
        <w:t xml:space="preserve"> As a result of ongoing conflict, IDPs are struggling to meet basic needs and living in appalling makeshift conditions, where there is no freedom from fear and violence. </w:t>
      </w:r>
    </w:p>
    <w:p w14:paraId="2E9140DB" w14:textId="77777777" w:rsidR="00D72089" w:rsidRDefault="00D07019">
      <w:pPr>
        <w:spacing w:before="200" w:line="240" w:lineRule="auto"/>
        <w:jc w:val="both"/>
        <w:rPr>
          <w:rFonts w:ascii="Nunito Sans" w:eastAsia="Nunito Sans" w:hAnsi="Nunito Sans" w:cs="Nunito Sans"/>
          <w:b/>
          <w:highlight w:val="white"/>
        </w:rPr>
      </w:pPr>
      <w:r>
        <w:rPr>
          <w:rFonts w:ascii="Nunito Sans" w:eastAsia="Nunito Sans" w:hAnsi="Nunito Sans" w:cs="Nunito Sans"/>
          <w:b/>
          <w:highlight w:val="white"/>
        </w:rPr>
        <w:t>Suggested adoption of issue:</w:t>
      </w:r>
    </w:p>
    <w:p w14:paraId="1571D73F" w14:textId="77777777" w:rsidR="00D72089" w:rsidRDefault="00D07019">
      <w:pPr>
        <w:numPr>
          <w:ilvl w:val="0"/>
          <w:numId w:val="2"/>
        </w:numPr>
        <w:shd w:val="clear" w:color="auto" w:fill="FFFFFF"/>
        <w:spacing w:before="200" w:line="240" w:lineRule="auto"/>
        <w:jc w:val="both"/>
        <w:rPr>
          <w:rFonts w:ascii="Nunito Sans" w:eastAsia="Nunito Sans" w:hAnsi="Nunito Sans" w:cs="Nunito Sans"/>
          <w:highlight w:val="white"/>
        </w:rPr>
      </w:pPr>
      <w:r>
        <w:rPr>
          <w:rFonts w:ascii="Nunito Sans" w:eastAsia="Nunito Sans" w:hAnsi="Nunito Sans" w:cs="Nunito Sans"/>
          <w:i/>
          <w:highlight w:val="white"/>
        </w:rPr>
        <w:t xml:space="preserve">Ensure basic needs and livelihoods assistance, particularly for women and children in the temporary camps of IDPs; </w:t>
      </w:r>
    </w:p>
    <w:p w14:paraId="4B5B3C84" w14:textId="77777777" w:rsidR="00D72089" w:rsidRDefault="00D07019">
      <w:pPr>
        <w:numPr>
          <w:ilvl w:val="0"/>
          <w:numId w:val="2"/>
        </w:numPr>
        <w:shd w:val="clear" w:color="auto" w:fill="FFFFFF"/>
        <w:spacing w:before="200" w:line="240" w:lineRule="auto"/>
        <w:jc w:val="both"/>
        <w:rPr>
          <w:rFonts w:ascii="Nunito Sans" w:eastAsia="Nunito Sans" w:hAnsi="Nunito Sans" w:cs="Nunito Sans"/>
          <w:highlight w:val="white"/>
        </w:rPr>
      </w:pPr>
      <w:r>
        <w:rPr>
          <w:rFonts w:ascii="Nunito Sans" w:eastAsia="Nunito Sans" w:hAnsi="Nunito Sans" w:cs="Nunito Sans"/>
          <w:i/>
          <w:highlight w:val="white"/>
        </w:rPr>
        <w:t>Revoke the militaristic approach of sending troops and stop violence in conflict areas.</w:t>
      </w:r>
    </w:p>
    <w:p w14:paraId="062D6960" w14:textId="77777777" w:rsidR="00D72089" w:rsidRDefault="00D72089">
      <w:pPr>
        <w:spacing w:line="240" w:lineRule="auto"/>
        <w:rPr>
          <w:rFonts w:ascii="Nunito Sans" w:eastAsia="Nunito Sans" w:hAnsi="Nunito Sans" w:cs="Nunito Sans"/>
          <w:b/>
          <w:sz w:val="24"/>
          <w:szCs w:val="24"/>
          <w:highlight w:val="white"/>
        </w:rPr>
      </w:pPr>
    </w:p>
    <w:p w14:paraId="17303E0D" w14:textId="77777777" w:rsidR="00D72089" w:rsidRDefault="00D07019">
      <w:pPr>
        <w:spacing w:line="240" w:lineRule="auto"/>
        <w:jc w:val="right"/>
        <w:rPr>
          <w:rFonts w:ascii="Nunito Sans" w:eastAsia="Nunito Sans" w:hAnsi="Nunito Sans" w:cs="Nunito Sans"/>
          <w:b/>
          <w:sz w:val="24"/>
          <w:szCs w:val="24"/>
          <w:highlight w:val="white"/>
        </w:rPr>
      </w:pPr>
      <w:r>
        <w:rPr>
          <w:rFonts w:ascii="Nunito Sans" w:eastAsia="Nunito Sans" w:hAnsi="Nunito Sans" w:cs="Nunito Sans"/>
          <w:b/>
          <w:sz w:val="24"/>
          <w:szCs w:val="24"/>
          <w:highlight w:val="white"/>
        </w:rPr>
        <w:t>Respectfully submitted,</w:t>
      </w:r>
    </w:p>
    <w:p w14:paraId="30C938B6" w14:textId="77777777" w:rsidR="00D72089" w:rsidRDefault="00D07019">
      <w:pPr>
        <w:spacing w:line="240" w:lineRule="auto"/>
        <w:jc w:val="right"/>
        <w:rPr>
          <w:rFonts w:ascii="Nunito Sans" w:eastAsia="Nunito Sans" w:hAnsi="Nunito Sans" w:cs="Nunito Sans"/>
          <w:b/>
          <w:sz w:val="24"/>
          <w:szCs w:val="24"/>
          <w:highlight w:val="white"/>
        </w:rPr>
      </w:pPr>
      <w:r>
        <w:rPr>
          <w:rFonts w:ascii="Nunito Sans" w:eastAsia="Nunito Sans" w:hAnsi="Nunito Sans" w:cs="Nunito Sans"/>
          <w:b/>
          <w:sz w:val="24"/>
          <w:szCs w:val="24"/>
          <w:highlight w:val="white"/>
        </w:rPr>
        <w:t xml:space="preserve">Asia Justice and Rights </w:t>
      </w:r>
    </w:p>
    <w:p w14:paraId="32917C9A" w14:textId="77777777" w:rsidR="00D72089" w:rsidRDefault="00D72089">
      <w:pPr>
        <w:spacing w:line="240" w:lineRule="auto"/>
        <w:jc w:val="right"/>
        <w:rPr>
          <w:rFonts w:ascii="Nunito Sans" w:eastAsia="Nunito Sans" w:hAnsi="Nunito Sans" w:cs="Nunito Sans"/>
          <w:b/>
          <w:sz w:val="24"/>
          <w:szCs w:val="24"/>
          <w:highlight w:val="white"/>
        </w:rPr>
      </w:pPr>
    </w:p>
    <w:p w14:paraId="1265FBA9" w14:textId="77777777" w:rsidR="00D72089" w:rsidRDefault="00D07019">
      <w:pPr>
        <w:spacing w:line="240" w:lineRule="auto"/>
        <w:jc w:val="right"/>
        <w:rPr>
          <w:rFonts w:ascii="Nunito Sans" w:eastAsia="Nunito Sans" w:hAnsi="Nunito Sans" w:cs="Nunito Sans"/>
          <w:b/>
          <w:highlight w:val="white"/>
        </w:rPr>
      </w:pPr>
      <w:r>
        <w:rPr>
          <w:rFonts w:ascii="Nunito Sans" w:eastAsia="Nunito Sans" w:hAnsi="Nunito Sans" w:cs="Nunito Sans"/>
          <w:b/>
          <w:highlight w:val="white"/>
        </w:rPr>
        <w:t>contacts:</w:t>
      </w:r>
    </w:p>
    <w:p w14:paraId="6D744275" w14:textId="77777777" w:rsidR="00D72089" w:rsidRDefault="00D07019">
      <w:pPr>
        <w:spacing w:line="240" w:lineRule="auto"/>
        <w:jc w:val="right"/>
        <w:rPr>
          <w:rFonts w:ascii="Nunito Sans" w:eastAsia="Nunito Sans" w:hAnsi="Nunito Sans" w:cs="Nunito Sans"/>
          <w:highlight w:val="white"/>
        </w:rPr>
      </w:pPr>
      <w:r>
        <w:rPr>
          <w:rFonts w:ascii="Nunito Sans" w:eastAsia="Nunito Sans" w:hAnsi="Nunito Sans" w:cs="Nunito Sans"/>
          <w:highlight w:val="white"/>
        </w:rPr>
        <w:t xml:space="preserve">Galuh Wandita, Executive Director, AJAR, </w:t>
      </w:r>
      <w:hyperlink r:id="rId9">
        <w:r>
          <w:rPr>
            <w:rFonts w:ascii="Nunito Sans" w:eastAsia="Nunito Sans" w:hAnsi="Nunito Sans" w:cs="Nunito Sans"/>
            <w:color w:val="1155CC"/>
            <w:highlight w:val="white"/>
            <w:u w:val="single"/>
          </w:rPr>
          <w:t>gwandita@asia-ajar.org</w:t>
        </w:r>
      </w:hyperlink>
    </w:p>
    <w:p w14:paraId="202667F6" w14:textId="77777777" w:rsidR="00D72089" w:rsidRDefault="00D07019">
      <w:pPr>
        <w:spacing w:line="240" w:lineRule="auto"/>
        <w:jc w:val="right"/>
        <w:rPr>
          <w:rFonts w:ascii="Nunito Sans" w:eastAsia="Nunito Sans" w:hAnsi="Nunito Sans" w:cs="Nunito Sans"/>
          <w:sz w:val="24"/>
          <w:szCs w:val="24"/>
          <w:highlight w:val="white"/>
        </w:rPr>
      </w:pPr>
      <w:r>
        <w:rPr>
          <w:rFonts w:ascii="Nunito Sans" w:eastAsia="Nunito Sans" w:hAnsi="Nunito Sans" w:cs="Nunito Sans"/>
          <w:highlight w:val="white"/>
        </w:rPr>
        <w:t xml:space="preserve">Mulki Makmun, Program Manager of AJAR Indonesia, </w:t>
      </w:r>
      <w:hyperlink r:id="rId10">
        <w:r>
          <w:rPr>
            <w:rFonts w:ascii="Nunito Sans" w:eastAsia="Nunito Sans" w:hAnsi="Nunito Sans" w:cs="Nunito Sans"/>
            <w:color w:val="1155CC"/>
            <w:highlight w:val="white"/>
            <w:u w:val="single"/>
          </w:rPr>
          <w:t>mmakmun@asia-ajar.org</w:t>
        </w:r>
      </w:hyperlink>
      <w:r>
        <w:rPr>
          <w:rFonts w:ascii="Nunito Sans" w:eastAsia="Nunito Sans" w:hAnsi="Nunito Sans" w:cs="Nunito Sans"/>
          <w:highlight w:val="white"/>
        </w:rPr>
        <w:t xml:space="preserve"> </w:t>
      </w:r>
    </w:p>
    <w:p w14:paraId="1E4E378B" w14:textId="77777777" w:rsidR="007F40C8" w:rsidRDefault="007F40C8">
      <w:pPr>
        <w:keepLines/>
        <w:shd w:val="clear" w:color="auto" w:fill="FFFFFF"/>
        <w:spacing w:before="200" w:line="240" w:lineRule="auto"/>
        <w:jc w:val="center"/>
        <w:rPr>
          <w:rFonts w:ascii="Nunito Sans" w:eastAsia="Nunito Sans" w:hAnsi="Nunito Sans" w:cs="Nunito Sans"/>
          <w:b/>
          <w:color w:val="1D1D1D"/>
          <w:sz w:val="24"/>
          <w:szCs w:val="24"/>
          <w:highlight w:val="white"/>
        </w:rPr>
      </w:pPr>
    </w:p>
    <w:p w14:paraId="0711B23B" w14:textId="77777777" w:rsidR="007F40C8" w:rsidRDefault="007F40C8">
      <w:pPr>
        <w:keepLines/>
        <w:shd w:val="clear" w:color="auto" w:fill="FFFFFF"/>
        <w:spacing w:before="200" w:line="240" w:lineRule="auto"/>
        <w:jc w:val="center"/>
        <w:rPr>
          <w:rFonts w:ascii="Nunito Sans" w:eastAsia="Nunito Sans" w:hAnsi="Nunito Sans" w:cs="Nunito Sans"/>
          <w:b/>
          <w:color w:val="1D1D1D"/>
          <w:sz w:val="24"/>
          <w:szCs w:val="24"/>
          <w:highlight w:val="white"/>
        </w:rPr>
      </w:pPr>
    </w:p>
    <w:p w14:paraId="763FBF35" w14:textId="64DAF163" w:rsidR="007F40C8" w:rsidRDefault="007F40C8" w:rsidP="007F40C8">
      <w:pPr>
        <w:rPr>
          <w:rFonts w:ascii="Nunito Sans" w:eastAsia="Nunito Sans" w:hAnsi="Nunito Sans" w:cs="Nunito Sans"/>
          <w:b/>
          <w:color w:val="1D1D1D"/>
          <w:sz w:val="24"/>
          <w:szCs w:val="24"/>
          <w:highlight w:val="white"/>
        </w:rPr>
      </w:pPr>
      <w:r>
        <w:rPr>
          <w:rFonts w:ascii="Nunito Sans" w:eastAsia="Nunito Sans" w:hAnsi="Nunito Sans" w:cs="Nunito Sans"/>
          <w:b/>
          <w:color w:val="1D1D1D"/>
          <w:sz w:val="24"/>
          <w:szCs w:val="24"/>
          <w:highlight w:val="white"/>
        </w:rPr>
        <w:br w:type="page"/>
      </w:r>
    </w:p>
    <w:p w14:paraId="7C6EF9BE" w14:textId="417D670D" w:rsidR="00D72089" w:rsidRDefault="00D07019">
      <w:pPr>
        <w:keepLines/>
        <w:shd w:val="clear" w:color="auto" w:fill="FFFFFF"/>
        <w:spacing w:before="200" w:line="240" w:lineRule="auto"/>
        <w:jc w:val="center"/>
        <w:rPr>
          <w:rFonts w:ascii="Nunito Sans" w:eastAsia="Nunito Sans" w:hAnsi="Nunito Sans" w:cs="Nunito Sans"/>
          <w:b/>
          <w:color w:val="1D1D1D"/>
          <w:sz w:val="24"/>
          <w:szCs w:val="24"/>
          <w:highlight w:val="white"/>
        </w:rPr>
      </w:pPr>
      <w:r>
        <w:rPr>
          <w:rFonts w:ascii="Nunito Sans" w:eastAsia="Nunito Sans" w:hAnsi="Nunito Sans" w:cs="Nunito Sans"/>
          <w:b/>
          <w:color w:val="1D1D1D"/>
          <w:sz w:val="24"/>
          <w:szCs w:val="24"/>
          <w:highlight w:val="white"/>
        </w:rPr>
        <w:lastRenderedPageBreak/>
        <w:t xml:space="preserve">Asia Justice and Rights (AJAR) </w:t>
      </w:r>
    </w:p>
    <w:p w14:paraId="02E727C2" w14:textId="1A560FD6" w:rsidR="007F40C8" w:rsidRDefault="007F40C8">
      <w:pPr>
        <w:keepLines/>
        <w:shd w:val="clear" w:color="auto" w:fill="FFFFFF"/>
        <w:spacing w:before="200" w:line="240" w:lineRule="auto"/>
        <w:jc w:val="center"/>
        <w:rPr>
          <w:rFonts w:ascii="Nunito Sans" w:eastAsia="Nunito Sans" w:hAnsi="Nunito Sans" w:cs="Nunito Sans"/>
          <w:b/>
          <w:color w:val="1D1D1D"/>
          <w:sz w:val="24"/>
          <w:szCs w:val="24"/>
          <w:highlight w:val="white"/>
        </w:rPr>
      </w:pPr>
      <w:r>
        <w:rPr>
          <w:rFonts w:ascii="Nunito Sans" w:eastAsia="Nunito Sans" w:hAnsi="Nunito Sans" w:cs="Nunito Sans"/>
          <w:b/>
          <w:color w:val="1D1D1D"/>
          <w:sz w:val="24"/>
          <w:szCs w:val="24"/>
          <w:highlight w:val="white"/>
        </w:rPr>
        <w:t>One Page Summary</w:t>
      </w:r>
    </w:p>
    <w:p w14:paraId="486FE2C3" w14:textId="77777777" w:rsidR="00D72089" w:rsidRDefault="00D07019">
      <w:pPr>
        <w:shd w:val="clear" w:color="auto" w:fill="FFFFFF"/>
        <w:spacing w:before="200" w:line="240" w:lineRule="auto"/>
        <w:jc w:val="both"/>
        <w:rPr>
          <w:rFonts w:ascii="Nunito Sans" w:eastAsia="Nunito Sans" w:hAnsi="Nunito Sans" w:cs="Nunito Sans"/>
          <w:color w:val="1D1D1D"/>
          <w:highlight w:val="white"/>
        </w:rPr>
      </w:pPr>
      <w:r>
        <w:rPr>
          <w:rFonts w:ascii="Nunito Sans" w:eastAsia="Nunito Sans" w:hAnsi="Nunito Sans" w:cs="Nunito Sans"/>
          <w:color w:val="1D1D1D"/>
          <w:highlight w:val="white"/>
        </w:rPr>
        <w:t xml:space="preserve">AJAR are concerned by the continued stagnancy of non-progressive realisation in Indonesia to ensure truth, justice, and reparations for the victims of past human rights violations and their families. Lack of acknowledgement and recognition for victims of gross human rights violations has resulted in insufficient mechanisms for fulfilling their economic, social and cultural rights. In particular, sufficient reparation mechanisms for them as human rights victims of HR and basic human rights services for civilians. </w:t>
      </w:r>
    </w:p>
    <w:p w14:paraId="075B2CAF" w14:textId="77777777" w:rsidR="00D72089" w:rsidRDefault="00D07019">
      <w:pPr>
        <w:shd w:val="clear" w:color="auto" w:fill="FFFFFF"/>
        <w:spacing w:before="200" w:line="240" w:lineRule="auto"/>
        <w:jc w:val="both"/>
        <w:rPr>
          <w:rFonts w:ascii="Nunito Sans" w:eastAsia="Nunito Sans" w:hAnsi="Nunito Sans" w:cs="Nunito Sans"/>
          <w:b/>
          <w:color w:val="1D1D1D"/>
          <w:highlight w:val="white"/>
        </w:rPr>
      </w:pPr>
      <w:r>
        <w:rPr>
          <w:rFonts w:ascii="Nunito Sans" w:eastAsia="Nunito Sans" w:hAnsi="Nunito Sans" w:cs="Nunito Sans"/>
          <w:color w:val="1D1D1D"/>
          <w:highlight w:val="white"/>
        </w:rPr>
        <w:t>AJAR has evaluated the implementation of recommendations made to Indonesia during its previous Concluding Observation on the Initial Report of Indonesia from the Committee of Economic Social and Cultural Rights in 2014, particularly on the issue of</w:t>
      </w:r>
      <w:r>
        <w:rPr>
          <w:rFonts w:ascii="Nunito Sans" w:eastAsia="Nunito Sans" w:hAnsi="Nunito Sans" w:cs="Nunito Sans"/>
          <w:b/>
          <w:color w:val="1D1D1D"/>
          <w:highlight w:val="white"/>
        </w:rPr>
        <w:t xml:space="preserve"> Economic, Social, and Cultural in Remote Areas (12), Multiple Discrimination (13), and Sexual Violence (24).</w:t>
      </w:r>
    </w:p>
    <w:p w14:paraId="4FCDE0E2" w14:textId="77777777" w:rsidR="00D72089" w:rsidRDefault="00D07019">
      <w:pPr>
        <w:shd w:val="clear" w:color="auto" w:fill="FFFFFF"/>
        <w:spacing w:before="200" w:line="240" w:lineRule="auto"/>
        <w:jc w:val="both"/>
        <w:rPr>
          <w:rFonts w:ascii="Nunito Sans" w:eastAsia="Nunito Sans" w:hAnsi="Nunito Sans" w:cs="Nunito Sans"/>
          <w:i/>
          <w:color w:val="1D1D1D"/>
          <w:highlight w:val="white"/>
        </w:rPr>
      </w:pPr>
      <w:r>
        <w:rPr>
          <w:rFonts w:ascii="Nunito Sans" w:eastAsia="Nunito Sans" w:hAnsi="Nunito Sans" w:cs="Nunito Sans"/>
          <w:color w:val="1D1D1D"/>
          <w:highlight w:val="white"/>
        </w:rPr>
        <w:t xml:space="preserve">We suggest the Committee to adopt the issues on: </w:t>
      </w:r>
    </w:p>
    <w:p w14:paraId="2839177E" w14:textId="77777777" w:rsidR="00D72089" w:rsidRDefault="00D07019">
      <w:pPr>
        <w:numPr>
          <w:ilvl w:val="0"/>
          <w:numId w:val="1"/>
        </w:numPr>
        <w:shd w:val="clear" w:color="auto" w:fill="FFFFFF"/>
        <w:spacing w:before="200" w:line="240" w:lineRule="auto"/>
        <w:jc w:val="both"/>
        <w:rPr>
          <w:rFonts w:ascii="Nunito Sans" w:eastAsia="Nunito Sans" w:hAnsi="Nunito Sans" w:cs="Nunito Sans"/>
          <w:i/>
          <w:color w:val="1D1D1D"/>
          <w:highlight w:val="white"/>
        </w:rPr>
      </w:pPr>
      <w:r>
        <w:rPr>
          <w:rFonts w:ascii="Nunito Sans" w:eastAsia="Nunito Sans" w:hAnsi="Nunito Sans" w:cs="Nunito Sans"/>
          <w:i/>
          <w:color w:val="1D1D1D"/>
          <w:highlight w:val="white"/>
        </w:rPr>
        <w:t xml:space="preserve">Revise the law to include redress for victims of gross human rights violation that ensure their rights to truth, justice and reparations, as well as acknowledge and recognise victims of human rights violations and provide comprehensive reparation for them, including fulfilment of economic, social and cultural rights. </w:t>
      </w:r>
    </w:p>
    <w:p w14:paraId="31470B00" w14:textId="77777777" w:rsidR="00D72089" w:rsidRDefault="00D07019">
      <w:pPr>
        <w:numPr>
          <w:ilvl w:val="0"/>
          <w:numId w:val="1"/>
        </w:numPr>
        <w:shd w:val="clear" w:color="auto" w:fill="FFFFFF"/>
        <w:spacing w:line="240" w:lineRule="auto"/>
        <w:jc w:val="both"/>
        <w:rPr>
          <w:rFonts w:ascii="Nunito Sans" w:eastAsia="Nunito Sans" w:hAnsi="Nunito Sans" w:cs="Nunito Sans"/>
          <w:i/>
          <w:highlight w:val="white"/>
        </w:rPr>
      </w:pPr>
      <w:r>
        <w:rPr>
          <w:rFonts w:ascii="Nunito Sans" w:eastAsia="Nunito Sans" w:hAnsi="Nunito Sans" w:cs="Nunito Sans"/>
          <w:i/>
          <w:color w:val="1D1D1D"/>
          <w:highlight w:val="white"/>
        </w:rPr>
        <w:t>Ensure the upcoming Aceh TRC recommendation for reparation for victims, particularly victims of sexual violence in Aceh conflict can be realized and tangibly implemented by the local and national governments.</w:t>
      </w:r>
    </w:p>
    <w:p w14:paraId="0D7DCAC2" w14:textId="77777777" w:rsidR="00D72089" w:rsidRDefault="00D07019">
      <w:pPr>
        <w:numPr>
          <w:ilvl w:val="0"/>
          <w:numId w:val="1"/>
        </w:numPr>
        <w:shd w:val="clear" w:color="auto" w:fill="FFFFFF"/>
        <w:spacing w:line="240" w:lineRule="auto"/>
        <w:jc w:val="both"/>
        <w:rPr>
          <w:rFonts w:ascii="Nunito Sans" w:eastAsia="Nunito Sans" w:hAnsi="Nunito Sans" w:cs="Nunito Sans"/>
          <w:i/>
          <w:highlight w:val="white"/>
        </w:rPr>
      </w:pPr>
      <w:r>
        <w:rPr>
          <w:rFonts w:ascii="Nunito Sans" w:eastAsia="Nunito Sans" w:hAnsi="Nunito Sans" w:cs="Nunito Sans"/>
          <w:i/>
          <w:highlight w:val="white"/>
        </w:rPr>
        <w:t>Ensure the implementation of the Local Law on the Rehabilitation of the Rights of Women Victims of Human Rights Violations (Perdasus no.1/2011)</w:t>
      </w:r>
    </w:p>
    <w:p w14:paraId="2DD81A18" w14:textId="77777777" w:rsidR="00D72089" w:rsidRDefault="00D07019">
      <w:pPr>
        <w:numPr>
          <w:ilvl w:val="0"/>
          <w:numId w:val="1"/>
        </w:numPr>
        <w:shd w:val="clear" w:color="auto" w:fill="FFFFFF"/>
        <w:spacing w:line="240" w:lineRule="auto"/>
        <w:jc w:val="both"/>
        <w:rPr>
          <w:rFonts w:ascii="Nunito Sans" w:eastAsia="Nunito Sans" w:hAnsi="Nunito Sans" w:cs="Nunito Sans"/>
          <w:i/>
          <w:highlight w:val="white"/>
        </w:rPr>
      </w:pPr>
      <w:r>
        <w:rPr>
          <w:rFonts w:ascii="Nunito Sans" w:eastAsia="Nunito Sans" w:hAnsi="Nunito Sans" w:cs="Nunito Sans"/>
          <w:i/>
          <w:highlight w:val="white"/>
        </w:rPr>
        <w:t xml:space="preserve">Immediately enact the Bill of Ellimination of Sexual Violence to protect women’s rights that has been prioritzed in the National Legislative Program of the year 2020-2021. </w:t>
      </w:r>
    </w:p>
    <w:p w14:paraId="566DC53D" w14:textId="77777777" w:rsidR="00D72089" w:rsidRDefault="00D07019">
      <w:pPr>
        <w:numPr>
          <w:ilvl w:val="0"/>
          <w:numId w:val="1"/>
        </w:numPr>
        <w:shd w:val="clear" w:color="auto" w:fill="FFFFFF"/>
        <w:spacing w:line="240" w:lineRule="auto"/>
        <w:jc w:val="both"/>
        <w:rPr>
          <w:rFonts w:ascii="Nunito Sans" w:eastAsia="Nunito Sans" w:hAnsi="Nunito Sans" w:cs="Nunito Sans"/>
          <w:i/>
          <w:highlight w:val="white"/>
        </w:rPr>
      </w:pPr>
      <w:r>
        <w:rPr>
          <w:rFonts w:ascii="Nunito Sans" w:eastAsia="Nunito Sans" w:hAnsi="Nunito Sans" w:cs="Nunito Sans"/>
          <w:i/>
          <w:highlight w:val="white"/>
        </w:rPr>
        <w:t xml:space="preserve">Immediately remove barrier or discriminatory practises in issuing basic citizenship documents such as ID cards, marriage and birthe certificates to restore victims’ trust in state institutions. </w:t>
      </w:r>
    </w:p>
    <w:p w14:paraId="4C3489AE" w14:textId="77777777" w:rsidR="00D72089" w:rsidRDefault="00D07019">
      <w:pPr>
        <w:numPr>
          <w:ilvl w:val="0"/>
          <w:numId w:val="1"/>
        </w:numPr>
        <w:shd w:val="clear" w:color="auto" w:fill="FFFFFF"/>
        <w:spacing w:line="240" w:lineRule="auto"/>
        <w:jc w:val="both"/>
        <w:rPr>
          <w:rFonts w:ascii="Nunito Sans" w:eastAsia="Nunito Sans" w:hAnsi="Nunito Sans" w:cs="Nunito Sans"/>
          <w:i/>
          <w:highlight w:val="white"/>
        </w:rPr>
      </w:pPr>
      <w:r>
        <w:rPr>
          <w:rFonts w:ascii="Nunito Sans" w:eastAsia="Nunito Sans" w:hAnsi="Nunito Sans" w:cs="Nunito Sans"/>
          <w:i/>
          <w:highlight w:val="white"/>
        </w:rPr>
        <w:t xml:space="preserve">Review and reform discriminatory regulations as well as implementation practises. Reissues any discriminatory legal documents and socialize any regulations that are not being followed as intended, including former political prisoners and their families. </w:t>
      </w:r>
    </w:p>
    <w:p w14:paraId="1692ADDB" w14:textId="77777777" w:rsidR="00D72089" w:rsidRDefault="00D07019">
      <w:pPr>
        <w:numPr>
          <w:ilvl w:val="0"/>
          <w:numId w:val="1"/>
        </w:numPr>
        <w:shd w:val="clear" w:color="auto" w:fill="FFFFFF"/>
        <w:spacing w:line="240" w:lineRule="auto"/>
        <w:jc w:val="both"/>
        <w:rPr>
          <w:rFonts w:ascii="Nunito Sans" w:eastAsia="Nunito Sans" w:hAnsi="Nunito Sans" w:cs="Nunito Sans"/>
          <w:i/>
          <w:highlight w:val="white"/>
        </w:rPr>
      </w:pPr>
      <w:r>
        <w:rPr>
          <w:rFonts w:ascii="Nunito Sans" w:eastAsia="Nunito Sans" w:hAnsi="Nunito Sans" w:cs="Nunito Sans"/>
          <w:i/>
          <w:highlight w:val="white"/>
        </w:rPr>
        <w:t xml:space="preserve">Establish a bilateral commission with the Government of Timor-Leste to study and implement the recommendations of previous truth commissions (the Timor-Leste Commission for Reception, Truth, and Reconciliation/CAVR and the Indonesia and Timor-Leste Commission for Truth and Friendship/CTF) that relate to the separated children and the search for the disappeared. Particularly to acknowledge the existence of victims and provide comprehensive reparations that </w:t>
      </w:r>
      <w:r>
        <w:rPr>
          <w:rFonts w:ascii="Nunito Sans" w:eastAsia="Nunito Sans" w:hAnsi="Nunito Sans" w:cs="Nunito Sans"/>
          <w:i/>
          <w:highlight w:val="white"/>
        </w:rPr>
        <w:lastRenderedPageBreak/>
        <w:t xml:space="preserve">encompass support for their right to own a land, socio economic wellbeing, health and livelihood. </w:t>
      </w:r>
    </w:p>
    <w:p w14:paraId="142475A4" w14:textId="77777777" w:rsidR="00D72089" w:rsidRDefault="00D07019">
      <w:pPr>
        <w:numPr>
          <w:ilvl w:val="0"/>
          <w:numId w:val="1"/>
        </w:numPr>
        <w:shd w:val="clear" w:color="auto" w:fill="FFFFFF"/>
        <w:spacing w:line="240" w:lineRule="auto"/>
        <w:jc w:val="both"/>
        <w:rPr>
          <w:rFonts w:ascii="Nunito Sans" w:eastAsia="Nunito Sans" w:hAnsi="Nunito Sans" w:cs="Nunito Sans"/>
          <w:i/>
          <w:highlight w:val="white"/>
        </w:rPr>
      </w:pPr>
      <w:r>
        <w:rPr>
          <w:rFonts w:ascii="Nunito Sans" w:eastAsia="Nunito Sans" w:hAnsi="Nunito Sans" w:cs="Nunito Sans"/>
          <w:i/>
          <w:highlight w:val="white"/>
        </w:rPr>
        <w:t xml:space="preserve">Ensure basic needs and livelihoods assistance, particularly for women and children in the temporary camps of IDPs; </w:t>
      </w:r>
    </w:p>
    <w:sectPr w:rsidR="00D72089">
      <w:footerReference w:type="default" r:id="rId11"/>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9741E5" w14:textId="77777777" w:rsidR="00D07019" w:rsidRDefault="00D07019">
      <w:pPr>
        <w:spacing w:line="240" w:lineRule="auto"/>
      </w:pPr>
      <w:r>
        <w:separator/>
      </w:r>
    </w:p>
  </w:endnote>
  <w:endnote w:type="continuationSeparator" w:id="0">
    <w:p w14:paraId="7EDAA162" w14:textId="77777777" w:rsidR="00D07019" w:rsidRDefault="00D070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unito Sans">
    <w:altName w:val="Courier New"/>
    <w:charset w:val="4D"/>
    <w:family w:val="auto"/>
    <w:pitch w:val="variable"/>
    <w:sig w:usb0="00000001" w:usb1="00000001" w:usb2="00000000" w:usb3="00000000" w:csb0="00000193" w:csb1="00000000"/>
  </w:font>
  <w:font w:name="Alegreya Sans">
    <w:altName w:val="Courier New"/>
    <w:charset w:val="00"/>
    <w:family w:val="auto"/>
    <w:pitch w:val="variable"/>
    <w:sig w:usb0="00000001" w:usb1="00000003" w:usb2="00000000" w:usb3="00000000" w:csb0="000001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52B152" w14:textId="742672C1" w:rsidR="00D72089" w:rsidRDefault="00D07019">
    <w:pPr>
      <w:jc w:val="right"/>
    </w:pPr>
    <w:r>
      <w:fldChar w:fldCharType="begin"/>
    </w:r>
    <w:r>
      <w:instrText>PAGE</w:instrText>
    </w:r>
    <w:r>
      <w:fldChar w:fldCharType="separate"/>
    </w:r>
    <w:r w:rsidR="00E2393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96BBC6" w14:textId="77777777" w:rsidR="00D07019" w:rsidRDefault="00D07019">
      <w:pPr>
        <w:spacing w:line="240" w:lineRule="auto"/>
      </w:pPr>
      <w:r>
        <w:separator/>
      </w:r>
    </w:p>
  </w:footnote>
  <w:footnote w:type="continuationSeparator" w:id="0">
    <w:p w14:paraId="4D046CC1" w14:textId="77777777" w:rsidR="00D07019" w:rsidRDefault="00D07019">
      <w:pPr>
        <w:spacing w:line="240" w:lineRule="auto"/>
      </w:pPr>
      <w:r>
        <w:continuationSeparator/>
      </w:r>
    </w:p>
  </w:footnote>
  <w:footnote w:id="1">
    <w:p w14:paraId="69787255" w14:textId="77777777" w:rsidR="00D72089" w:rsidRDefault="00D07019">
      <w:pPr>
        <w:spacing w:line="240" w:lineRule="auto"/>
        <w:rPr>
          <w:rFonts w:ascii="Nunito Sans" w:eastAsia="Nunito Sans" w:hAnsi="Nunito Sans" w:cs="Nunito Sans"/>
          <w:sz w:val="16"/>
          <w:szCs w:val="16"/>
        </w:rPr>
      </w:pPr>
      <w:r>
        <w:rPr>
          <w:vertAlign w:val="superscript"/>
        </w:rPr>
        <w:footnoteRef/>
      </w:r>
      <w:r>
        <w:rPr>
          <w:rFonts w:ascii="Nunito Sans" w:eastAsia="Nunito Sans" w:hAnsi="Nunito Sans" w:cs="Nunito Sans"/>
          <w:sz w:val="16"/>
          <w:szCs w:val="16"/>
        </w:rPr>
        <w:t xml:space="preserve"> </w:t>
      </w:r>
      <w:r>
        <w:rPr>
          <w:rFonts w:ascii="Nunito Sans" w:eastAsia="Nunito Sans" w:hAnsi="Nunito Sans" w:cs="Nunito Sans"/>
          <w:sz w:val="16"/>
          <w:szCs w:val="16"/>
          <w:highlight w:val="white"/>
        </w:rPr>
        <w:t>Concluding observati</w:t>
      </w:r>
      <w:r>
        <w:rPr>
          <w:rFonts w:ascii="Nunito Sans" w:eastAsia="Nunito Sans" w:hAnsi="Nunito Sans" w:cs="Nunito Sans"/>
          <w:sz w:val="16"/>
          <w:szCs w:val="16"/>
        </w:rPr>
        <w:t>ons E/C.12/IDN/CO/1 on 19 June 2014</w:t>
      </w:r>
    </w:p>
  </w:footnote>
  <w:footnote w:id="2">
    <w:p w14:paraId="4CC724E8" w14:textId="77777777" w:rsidR="00D72089" w:rsidRDefault="00D07019">
      <w:pPr>
        <w:spacing w:line="240" w:lineRule="auto"/>
        <w:rPr>
          <w:rFonts w:ascii="Nunito Sans" w:eastAsia="Nunito Sans" w:hAnsi="Nunito Sans" w:cs="Nunito Sans"/>
          <w:sz w:val="16"/>
          <w:szCs w:val="16"/>
        </w:rPr>
      </w:pPr>
      <w:r>
        <w:rPr>
          <w:vertAlign w:val="superscript"/>
        </w:rPr>
        <w:footnoteRef/>
      </w:r>
      <w:r>
        <w:rPr>
          <w:rFonts w:ascii="Nunito Sans" w:eastAsia="Nunito Sans" w:hAnsi="Nunito Sans" w:cs="Nunito Sans"/>
          <w:sz w:val="16"/>
          <w:szCs w:val="16"/>
        </w:rPr>
        <w:t xml:space="preserve"> AJAR has written a brief summary on Indonesia's path in transitional justice. See more at: </w:t>
      </w:r>
      <w:hyperlink r:id="rId1">
        <w:r>
          <w:rPr>
            <w:rFonts w:ascii="Nunito Sans" w:eastAsia="Nunito Sans" w:hAnsi="Nunito Sans" w:cs="Nunito Sans"/>
            <w:color w:val="1155CC"/>
            <w:sz w:val="16"/>
            <w:szCs w:val="16"/>
            <w:u w:val="single"/>
          </w:rPr>
          <w:t>https://asia-ajar.org/wp-content/uploads/2018/12/English-Indonesia-Case-Study.pdf</w:t>
        </w:r>
      </w:hyperlink>
    </w:p>
  </w:footnote>
  <w:footnote w:id="3">
    <w:p w14:paraId="0EDFC60E" w14:textId="77777777" w:rsidR="00D72089" w:rsidRDefault="00D07019">
      <w:pPr>
        <w:spacing w:line="240" w:lineRule="auto"/>
        <w:rPr>
          <w:rFonts w:ascii="Nunito Sans" w:eastAsia="Nunito Sans" w:hAnsi="Nunito Sans" w:cs="Nunito Sans"/>
          <w:sz w:val="16"/>
          <w:szCs w:val="16"/>
        </w:rPr>
      </w:pPr>
      <w:r>
        <w:rPr>
          <w:vertAlign w:val="superscript"/>
        </w:rPr>
        <w:footnoteRef/>
      </w:r>
      <w:r>
        <w:rPr>
          <w:rFonts w:ascii="Nunito Sans" w:eastAsia="Nunito Sans" w:hAnsi="Nunito Sans" w:cs="Nunito Sans"/>
          <w:sz w:val="16"/>
          <w:szCs w:val="16"/>
        </w:rPr>
        <w:t xml:space="preserve"> KontraS, </w:t>
      </w:r>
      <w:r>
        <w:rPr>
          <w:rFonts w:ascii="Nunito Sans" w:eastAsia="Nunito Sans" w:hAnsi="Nunito Sans" w:cs="Nunito Sans"/>
          <w:i/>
          <w:sz w:val="16"/>
          <w:szCs w:val="16"/>
        </w:rPr>
        <w:t>Briefing Note on Selected Human Rights Issues in Indonesia</w:t>
      </w:r>
      <w:r>
        <w:rPr>
          <w:rFonts w:ascii="Nunito Sans" w:eastAsia="Nunito Sans" w:hAnsi="Nunito Sans" w:cs="Nunito Sans"/>
          <w:sz w:val="16"/>
          <w:szCs w:val="16"/>
        </w:rPr>
        <w:t xml:space="preserve">, available at: </w:t>
      </w:r>
      <w:hyperlink r:id="rId2">
        <w:r>
          <w:rPr>
            <w:rFonts w:ascii="Nunito Sans" w:eastAsia="Nunito Sans" w:hAnsi="Nunito Sans" w:cs="Nunito Sans"/>
            <w:color w:val="1155CC"/>
            <w:sz w:val="16"/>
            <w:szCs w:val="16"/>
            <w:u w:val="single"/>
          </w:rPr>
          <w:t>https://kontras.org/en/2021/05/25/briefing-note-on-selected-human-rights-issues-in-indonesia/</w:t>
        </w:r>
      </w:hyperlink>
      <w:r>
        <w:rPr>
          <w:rFonts w:ascii="Nunito Sans" w:eastAsia="Nunito Sans" w:hAnsi="Nunito Sans" w:cs="Nunito Sans"/>
          <w:sz w:val="16"/>
          <w:szCs w:val="16"/>
        </w:rPr>
        <w:t xml:space="preserve"> </w:t>
      </w:r>
    </w:p>
  </w:footnote>
  <w:footnote w:id="4">
    <w:p w14:paraId="39BDBE89" w14:textId="77777777" w:rsidR="00D72089" w:rsidRDefault="00D07019">
      <w:pPr>
        <w:spacing w:line="240" w:lineRule="auto"/>
        <w:rPr>
          <w:rFonts w:ascii="Nunito Sans" w:eastAsia="Nunito Sans" w:hAnsi="Nunito Sans" w:cs="Nunito Sans"/>
          <w:sz w:val="16"/>
          <w:szCs w:val="16"/>
        </w:rPr>
      </w:pPr>
      <w:r>
        <w:rPr>
          <w:vertAlign w:val="superscript"/>
        </w:rPr>
        <w:footnoteRef/>
      </w:r>
      <w:r>
        <w:rPr>
          <w:sz w:val="20"/>
          <w:szCs w:val="20"/>
        </w:rPr>
        <w:t xml:space="preserve"> </w:t>
      </w:r>
      <w:r>
        <w:rPr>
          <w:rFonts w:ascii="Nunito Sans" w:eastAsia="Nunito Sans" w:hAnsi="Nunito Sans" w:cs="Nunito Sans"/>
          <w:sz w:val="16"/>
          <w:szCs w:val="16"/>
        </w:rPr>
        <w:t>See more:  AJAR Press Release on the handover of Aceh’s Truth and Reconciliation Commission to the Aceh Parliament in 29 December 2021, see more at: ​​</w:t>
      </w:r>
      <w:hyperlink r:id="rId3">
        <w:r>
          <w:rPr>
            <w:rFonts w:ascii="Nunito Sans" w:eastAsia="Nunito Sans" w:hAnsi="Nunito Sans" w:cs="Nunito Sans"/>
            <w:color w:val="1155CC"/>
            <w:sz w:val="16"/>
            <w:szCs w:val="16"/>
            <w:u w:val="single"/>
          </w:rPr>
          <w:t>https://asia-ajar.org/2021/12/31/indonesia-handover-of-truth-and-reconciliation-commission-findings-and-recommendations-to-aceh-parliament/</w:t>
        </w:r>
      </w:hyperlink>
      <w:r>
        <w:rPr>
          <w:rFonts w:ascii="Nunito Sans" w:eastAsia="Nunito Sans" w:hAnsi="Nunito Sans" w:cs="Nunito Sans"/>
          <w:sz w:val="16"/>
          <w:szCs w:val="16"/>
        </w:rPr>
        <w:t xml:space="preserve"> </w:t>
      </w:r>
    </w:p>
  </w:footnote>
  <w:footnote w:id="5">
    <w:p w14:paraId="3F435121" w14:textId="77777777" w:rsidR="00D72089" w:rsidRDefault="00D07019">
      <w:pPr>
        <w:spacing w:line="240" w:lineRule="auto"/>
        <w:rPr>
          <w:rFonts w:ascii="Nunito Sans" w:eastAsia="Nunito Sans" w:hAnsi="Nunito Sans" w:cs="Nunito Sans"/>
          <w:sz w:val="16"/>
          <w:szCs w:val="16"/>
        </w:rPr>
      </w:pPr>
      <w:r>
        <w:rPr>
          <w:vertAlign w:val="superscript"/>
        </w:rPr>
        <w:footnoteRef/>
      </w:r>
      <w:r>
        <w:rPr>
          <w:rFonts w:ascii="Nunito Sans" w:eastAsia="Nunito Sans" w:hAnsi="Nunito Sans" w:cs="Nunito Sans"/>
          <w:sz w:val="16"/>
          <w:szCs w:val="16"/>
        </w:rPr>
        <w:t xml:space="preserve"> Aceh TRC proposed two reparation mechanisms for victims: urgent and comprehensive. The form of urgent reparations consists of 5 things; 1) medical; 2) psychological; 3) venture capital; 4) life guarantee; and 5) population status and prioritization for victims who are elderly. This urgent reparation will continue to be recommended by the Aceh TRC according to the needs of the victims. Meanwhile, the comprehensive reparations recommendation will be submitted by the Aceh TRC to the President of the Republic of Indonesia, the Governor of Aceh, and the Aceh DPR at the end of the 2016-2021 period of the Aceh TRC. See more in Bahasa Indonesia at: </w:t>
      </w:r>
      <w:hyperlink r:id="rId4">
        <w:r>
          <w:rPr>
            <w:rFonts w:ascii="Nunito Sans" w:eastAsia="Nunito Sans" w:hAnsi="Nunito Sans" w:cs="Nunito Sans"/>
            <w:color w:val="1155CC"/>
            <w:sz w:val="16"/>
            <w:szCs w:val="16"/>
            <w:u w:val="single"/>
          </w:rPr>
          <w:t>https://kkr.acehprov.go.id/berita/kategori/news/pernyataan-kkr-aceh-penetapan-penerima-reparasi-mendesak-korban-pelanggaran-ham</w:t>
        </w:r>
      </w:hyperlink>
      <w:r>
        <w:rPr>
          <w:rFonts w:ascii="Nunito Sans" w:eastAsia="Nunito Sans" w:hAnsi="Nunito Sans" w:cs="Nunito Sans"/>
          <w:sz w:val="16"/>
          <w:szCs w:val="16"/>
        </w:rPr>
        <w:t xml:space="preserve"> </w:t>
      </w:r>
    </w:p>
  </w:footnote>
  <w:footnote w:id="6">
    <w:p w14:paraId="148C4425" w14:textId="77777777" w:rsidR="00D72089" w:rsidRDefault="00D07019">
      <w:pPr>
        <w:spacing w:line="240" w:lineRule="auto"/>
        <w:rPr>
          <w:rFonts w:ascii="Nunito Sans" w:eastAsia="Nunito Sans" w:hAnsi="Nunito Sans" w:cs="Nunito Sans"/>
          <w:sz w:val="16"/>
          <w:szCs w:val="16"/>
        </w:rPr>
      </w:pPr>
      <w:r>
        <w:rPr>
          <w:vertAlign w:val="superscript"/>
        </w:rPr>
        <w:footnoteRef/>
      </w:r>
      <w:r>
        <w:rPr>
          <w:rFonts w:ascii="Nunito Sans" w:eastAsia="Nunito Sans" w:hAnsi="Nunito Sans" w:cs="Nunito Sans"/>
          <w:sz w:val="16"/>
          <w:szCs w:val="16"/>
        </w:rPr>
        <w:t xml:space="preserve"> National Commission on Violence Against Women,</w:t>
      </w:r>
      <w:r>
        <w:rPr>
          <w:rFonts w:ascii="Nunito Sans" w:eastAsia="Nunito Sans" w:hAnsi="Nunito Sans" w:cs="Nunito Sans"/>
          <w:i/>
          <w:sz w:val="16"/>
          <w:szCs w:val="16"/>
        </w:rPr>
        <w:t xml:space="preserve"> Press Release on the Commemoration of 16 years of Peace Accord in 2021.</w:t>
      </w:r>
      <w:r>
        <w:rPr>
          <w:rFonts w:ascii="Nunito Sans" w:eastAsia="Nunito Sans" w:hAnsi="Nunito Sans" w:cs="Nunito Sans"/>
          <w:sz w:val="16"/>
          <w:szCs w:val="16"/>
        </w:rPr>
        <w:t xml:space="preserve"> Available in Bahasa Indonesia at: </w:t>
      </w:r>
      <w:hyperlink r:id="rId5">
        <w:r>
          <w:rPr>
            <w:rFonts w:ascii="Nunito Sans" w:eastAsia="Nunito Sans" w:hAnsi="Nunito Sans" w:cs="Nunito Sans"/>
            <w:color w:val="4B11A8"/>
            <w:sz w:val="16"/>
            <w:szCs w:val="16"/>
            <w:u w:val="single"/>
          </w:rPr>
          <w:t>https://komnasperempuan.go.id/siaran-pers-detail/siaran-pers-komnas-perempuan-menyambut-16-tahun-nota-kesepahaman-helsinki-15-agustus-2021</w:t>
        </w:r>
      </w:hyperlink>
      <w:r>
        <w:rPr>
          <w:rFonts w:ascii="Nunito Sans" w:eastAsia="Nunito Sans" w:hAnsi="Nunito Sans" w:cs="Nunito Sans"/>
          <w:sz w:val="16"/>
          <w:szCs w:val="16"/>
          <w:highlight w:val="white"/>
        </w:rPr>
        <w:t>.</w:t>
      </w:r>
    </w:p>
  </w:footnote>
  <w:footnote w:id="7">
    <w:p w14:paraId="641EFB28" w14:textId="77777777" w:rsidR="00D72089" w:rsidRDefault="00D07019">
      <w:pPr>
        <w:spacing w:line="240" w:lineRule="auto"/>
        <w:rPr>
          <w:rFonts w:ascii="Nunito Sans" w:eastAsia="Nunito Sans" w:hAnsi="Nunito Sans" w:cs="Nunito Sans"/>
          <w:sz w:val="16"/>
          <w:szCs w:val="16"/>
        </w:rPr>
      </w:pPr>
      <w:r>
        <w:rPr>
          <w:vertAlign w:val="superscript"/>
        </w:rPr>
        <w:footnoteRef/>
      </w:r>
      <w:r>
        <w:rPr>
          <w:rFonts w:ascii="Nunito Sans" w:eastAsia="Nunito Sans" w:hAnsi="Nunito Sans" w:cs="Nunito Sans"/>
          <w:sz w:val="16"/>
          <w:szCs w:val="16"/>
        </w:rPr>
        <w:t xml:space="preserve">Asia Justice and Rights, Surviving on Their Own, available at </w:t>
      </w:r>
      <w:hyperlink r:id="rId6">
        <w:r>
          <w:rPr>
            <w:rFonts w:ascii="Nunito Sans" w:eastAsia="Nunito Sans" w:hAnsi="Nunito Sans" w:cs="Nunito Sans"/>
            <w:color w:val="1155CC"/>
            <w:sz w:val="16"/>
            <w:szCs w:val="16"/>
            <w:u w:val="single"/>
          </w:rPr>
          <w:t>http://asia-ajar.org/files/Surviving%20on%20Their%20Own%20-%20Small%20Size.pdf</w:t>
        </w:r>
      </w:hyperlink>
      <w:r>
        <w:rPr>
          <w:rFonts w:ascii="Nunito Sans" w:eastAsia="Nunito Sans" w:hAnsi="Nunito Sans" w:cs="Nunito Sans"/>
          <w:sz w:val="16"/>
          <w:szCs w:val="16"/>
        </w:rPr>
        <w:t xml:space="preserve"> </w:t>
      </w:r>
    </w:p>
  </w:footnote>
  <w:footnote w:id="8">
    <w:p w14:paraId="139624D2" w14:textId="77777777" w:rsidR="00D72089" w:rsidRDefault="00D07019">
      <w:pPr>
        <w:spacing w:line="240" w:lineRule="auto"/>
        <w:rPr>
          <w:rFonts w:ascii="Nunito Sans" w:eastAsia="Nunito Sans" w:hAnsi="Nunito Sans" w:cs="Nunito Sans"/>
          <w:sz w:val="16"/>
          <w:szCs w:val="16"/>
        </w:rPr>
      </w:pPr>
      <w:r>
        <w:rPr>
          <w:vertAlign w:val="superscript"/>
        </w:rPr>
        <w:footnoteRef/>
      </w:r>
      <w:r>
        <w:rPr>
          <w:rFonts w:ascii="Nunito Sans" w:eastAsia="Nunito Sans" w:hAnsi="Nunito Sans" w:cs="Nunito Sans"/>
          <w:sz w:val="16"/>
          <w:szCs w:val="16"/>
        </w:rPr>
        <w:t xml:space="preserve"> National Commission on Violence against Women release a report in Indonesia on the situation of Women in Aceh, including the domestic violence. Read more at: </w:t>
      </w:r>
      <w:hyperlink r:id="rId7">
        <w:r>
          <w:rPr>
            <w:rFonts w:ascii="Nunito Sans" w:eastAsia="Nunito Sans" w:hAnsi="Nunito Sans" w:cs="Nunito Sans"/>
            <w:color w:val="1155CC"/>
            <w:sz w:val="16"/>
            <w:szCs w:val="16"/>
            <w:u w:val="single"/>
          </w:rPr>
          <w:t>https://www.komnasperempuan.go.id/file/pdf_file/2018/Publikasi/Catatan%20Dua%20Tahun%20Terkahir%20(2011-2012)%20Kekerasan%20Terhadap%20Perempuan%20di%20Aceh.pdf</w:t>
        </w:r>
      </w:hyperlink>
      <w:r>
        <w:rPr>
          <w:rFonts w:ascii="Nunito Sans" w:eastAsia="Nunito Sans" w:hAnsi="Nunito Sans" w:cs="Nunito Sans"/>
          <w:sz w:val="16"/>
          <w:szCs w:val="16"/>
        </w:rPr>
        <w:t xml:space="preserve">  </w:t>
      </w:r>
    </w:p>
  </w:footnote>
  <w:footnote w:id="9">
    <w:p w14:paraId="020F465D" w14:textId="77777777" w:rsidR="00D72089" w:rsidRDefault="00D07019">
      <w:pPr>
        <w:spacing w:line="240" w:lineRule="auto"/>
        <w:rPr>
          <w:rFonts w:ascii="Nunito Sans" w:eastAsia="Nunito Sans" w:hAnsi="Nunito Sans" w:cs="Nunito Sans"/>
          <w:sz w:val="16"/>
          <w:szCs w:val="16"/>
        </w:rPr>
      </w:pPr>
      <w:r>
        <w:rPr>
          <w:vertAlign w:val="superscript"/>
        </w:rPr>
        <w:footnoteRef/>
      </w:r>
      <w:r>
        <w:rPr>
          <w:rFonts w:ascii="Nunito Sans" w:eastAsia="Nunito Sans" w:hAnsi="Nunito Sans" w:cs="Nunito Sans"/>
          <w:sz w:val="16"/>
          <w:szCs w:val="16"/>
        </w:rPr>
        <w:t xml:space="preserve">See: Report of the Working Group on Enforced or Involuntary Disappearances, Mission to Timor Leste, A/HRC/19/58/Add.1, available at  </w:t>
      </w:r>
      <w:hyperlink r:id="rId8">
        <w:r>
          <w:rPr>
            <w:rFonts w:ascii="Nunito Sans" w:eastAsia="Nunito Sans" w:hAnsi="Nunito Sans" w:cs="Nunito Sans"/>
            <w:color w:val="1155CC"/>
            <w:sz w:val="16"/>
            <w:szCs w:val="16"/>
            <w:u w:val="single"/>
          </w:rPr>
          <w:t>https://www2.ohchr.org/english/bodies/hrcouncil/docs/19session/A.HRC.19.58.Add.1_English.pdf</w:t>
        </w:r>
      </w:hyperlink>
    </w:p>
  </w:footnote>
  <w:footnote w:id="10">
    <w:p w14:paraId="1F0B087F" w14:textId="77777777" w:rsidR="00D72089" w:rsidRDefault="00D07019">
      <w:pPr>
        <w:spacing w:line="240" w:lineRule="auto"/>
        <w:rPr>
          <w:rFonts w:ascii="Nunito Sans" w:eastAsia="Nunito Sans" w:hAnsi="Nunito Sans" w:cs="Nunito Sans"/>
          <w:sz w:val="16"/>
          <w:szCs w:val="16"/>
        </w:rPr>
      </w:pPr>
      <w:r>
        <w:rPr>
          <w:vertAlign w:val="superscript"/>
        </w:rPr>
        <w:footnoteRef/>
      </w:r>
      <w:r>
        <w:rPr>
          <w:rFonts w:ascii="Nunito Sans" w:eastAsia="Nunito Sans" w:hAnsi="Nunito Sans" w:cs="Nunito Sans"/>
          <w:sz w:val="16"/>
          <w:szCs w:val="16"/>
        </w:rPr>
        <w:t xml:space="preserve"> Policy briefing: Indonesia’s Obligations to Provide Reparations for Victims of Gross Human Rights Violations, </w:t>
      </w:r>
      <w:hyperlink r:id="rId9">
        <w:r>
          <w:rPr>
            <w:rFonts w:ascii="Nunito Sans" w:eastAsia="Nunito Sans" w:hAnsi="Nunito Sans" w:cs="Nunito Sans"/>
            <w:color w:val="1155CC"/>
            <w:sz w:val="16"/>
            <w:szCs w:val="16"/>
            <w:u w:val="single"/>
          </w:rPr>
          <w:t>https://www.ictj.org/publication/indonesias-obligations-provide-reparations-victims-gross-human-rights-violations</w:t>
        </w:r>
      </w:hyperlink>
      <w:r>
        <w:rPr>
          <w:rFonts w:ascii="Nunito Sans" w:eastAsia="Nunito Sans" w:hAnsi="Nunito Sans" w:cs="Nunito Sans"/>
          <w:sz w:val="16"/>
          <w:szCs w:val="16"/>
        </w:rPr>
        <w:t>, ICTJ IKOHI and KKPK, 2011.</w:t>
      </w:r>
    </w:p>
  </w:footnote>
  <w:footnote w:id="11">
    <w:p w14:paraId="0551B826" w14:textId="77777777" w:rsidR="00D72089" w:rsidRDefault="00D07019">
      <w:pPr>
        <w:spacing w:line="240" w:lineRule="auto"/>
        <w:rPr>
          <w:rFonts w:ascii="Nunito Sans" w:eastAsia="Nunito Sans" w:hAnsi="Nunito Sans" w:cs="Nunito Sans"/>
          <w:sz w:val="16"/>
          <w:szCs w:val="16"/>
        </w:rPr>
      </w:pPr>
      <w:r>
        <w:rPr>
          <w:vertAlign w:val="superscript"/>
        </w:rPr>
        <w:footnoteRef/>
      </w:r>
      <w:r>
        <w:rPr>
          <w:rFonts w:ascii="Nunito Sans" w:eastAsia="Nunito Sans" w:hAnsi="Nunito Sans" w:cs="Nunito Sans"/>
          <w:sz w:val="16"/>
          <w:szCs w:val="16"/>
        </w:rPr>
        <w:t xml:space="preserve"> The New Order Regime officially assigned the victims of 1965 atrocities according to their alleged involvement in the event of 30 September, the classifications: (A) was used to designate a political prisoner, (B) was used to refer to detainees, and (C) meant suspects. They also received a “ET” (former political prisoner) stamp on their identity cards.</w:t>
      </w:r>
    </w:p>
  </w:footnote>
  <w:footnote w:id="12">
    <w:p w14:paraId="2B124347" w14:textId="77777777" w:rsidR="00D72089" w:rsidRDefault="00D07019">
      <w:pPr>
        <w:spacing w:line="240" w:lineRule="auto"/>
        <w:rPr>
          <w:sz w:val="20"/>
          <w:szCs w:val="20"/>
        </w:rPr>
      </w:pPr>
      <w:r>
        <w:rPr>
          <w:vertAlign w:val="superscript"/>
        </w:rPr>
        <w:footnoteRef/>
      </w:r>
      <w:r>
        <w:rPr>
          <w:sz w:val="20"/>
          <w:szCs w:val="20"/>
        </w:rPr>
        <w:t xml:space="preserve"> </w:t>
      </w:r>
      <w:r>
        <w:rPr>
          <w:rFonts w:ascii="Nunito Sans" w:eastAsia="Nunito Sans" w:hAnsi="Nunito Sans" w:cs="Nunito Sans"/>
          <w:sz w:val="16"/>
          <w:szCs w:val="16"/>
        </w:rPr>
        <w:t xml:space="preserve"> Policy briefing: Indonesia’s Obligations to Provide Reparations for Victims of Gross Human Rights Violations, </w:t>
      </w:r>
      <w:hyperlink r:id="rId10">
        <w:r>
          <w:rPr>
            <w:rFonts w:ascii="Nunito Sans" w:eastAsia="Nunito Sans" w:hAnsi="Nunito Sans" w:cs="Nunito Sans"/>
            <w:color w:val="1155CC"/>
            <w:sz w:val="16"/>
            <w:szCs w:val="16"/>
            <w:u w:val="single"/>
          </w:rPr>
          <w:t>https://www.ictj.org/publication/indonesias-obligations-provide-reparations-victims-gross-human-rights-violations</w:t>
        </w:r>
      </w:hyperlink>
      <w:r>
        <w:rPr>
          <w:rFonts w:ascii="Nunito Sans" w:eastAsia="Nunito Sans" w:hAnsi="Nunito Sans" w:cs="Nunito Sans"/>
          <w:sz w:val="16"/>
          <w:szCs w:val="16"/>
        </w:rPr>
        <w:t>, ICTJ IKOHI and KKPK, 2011.</w:t>
      </w:r>
    </w:p>
  </w:footnote>
  <w:footnote w:id="13">
    <w:p w14:paraId="76ABBA7B" w14:textId="77777777" w:rsidR="00D72089" w:rsidRDefault="00D07019">
      <w:pPr>
        <w:spacing w:line="240" w:lineRule="auto"/>
        <w:rPr>
          <w:rFonts w:ascii="Nunito Sans" w:eastAsia="Nunito Sans" w:hAnsi="Nunito Sans" w:cs="Nunito Sans"/>
          <w:sz w:val="16"/>
          <w:szCs w:val="16"/>
          <w:highlight w:val="yellow"/>
        </w:rPr>
      </w:pPr>
      <w:r>
        <w:rPr>
          <w:vertAlign w:val="superscript"/>
        </w:rPr>
        <w:footnoteRef/>
      </w:r>
      <w:r>
        <w:rPr>
          <w:rFonts w:ascii="Nunito Sans" w:eastAsia="Nunito Sans" w:hAnsi="Nunito Sans" w:cs="Nunito Sans"/>
          <w:sz w:val="16"/>
          <w:szCs w:val="16"/>
        </w:rPr>
        <w:t xml:space="preserve"> Teresa Birks, Neglected Duty: Providing Comprehensive Reparations to the Indonesian “1965 Victims” of State Persecution, International Center for Transitional Justice (ICTJ), July 2006, </w:t>
      </w:r>
      <w:hyperlink r:id="rId11">
        <w:r>
          <w:rPr>
            <w:rFonts w:ascii="Nunito Sans" w:eastAsia="Nunito Sans" w:hAnsi="Nunito Sans" w:cs="Nunito Sans"/>
            <w:color w:val="1155CC"/>
            <w:sz w:val="16"/>
            <w:szCs w:val="16"/>
            <w:u w:val="single"/>
          </w:rPr>
          <w:t>https://www.ictj.org/sites/default/files/ICTJ-Indonesia-Reparations-Victims-2006-English.pdf</w:t>
        </w:r>
      </w:hyperlink>
      <w:r>
        <w:rPr>
          <w:rFonts w:ascii="Nunito Sans" w:eastAsia="Nunito Sans" w:hAnsi="Nunito Sans" w:cs="Nunito Sans"/>
          <w:sz w:val="16"/>
          <w:szCs w:val="16"/>
        </w:rPr>
        <w:t xml:space="preserve"> </w:t>
      </w:r>
    </w:p>
  </w:footnote>
  <w:footnote w:id="14">
    <w:p w14:paraId="351DE9A9" w14:textId="77777777" w:rsidR="00D72089" w:rsidRDefault="00D07019">
      <w:pPr>
        <w:spacing w:line="240" w:lineRule="auto"/>
        <w:rPr>
          <w:rFonts w:ascii="Nunito Sans" w:eastAsia="Nunito Sans" w:hAnsi="Nunito Sans" w:cs="Nunito Sans"/>
          <w:sz w:val="16"/>
          <w:szCs w:val="16"/>
        </w:rPr>
      </w:pPr>
      <w:r>
        <w:rPr>
          <w:vertAlign w:val="superscript"/>
        </w:rPr>
        <w:footnoteRef/>
      </w:r>
      <w:r>
        <w:rPr>
          <w:rFonts w:ascii="Nunito Sans" w:eastAsia="Nunito Sans" w:hAnsi="Nunito Sans" w:cs="Nunito Sans"/>
          <w:sz w:val="16"/>
          <w:szCs w:val="16"/>
        </w:rPr>
        <w:t xml:space="preserve">AJAR in 2016 has written a research report on the story of 140 women survivors of torture and other forms of violence from Indonesia, Timor-Leste and Myanmar. Based on participatory action research with women survivors, “Enduring Impunity” presents a new approach and knowledge on how women experience impunity in conflict and post-conflict settings in Southeast Asia. See more at:  </w:t>
      </w:r>
      <w:hyperlink r:id="rId12">
        <w:r>
          <w:rPr>
            <w:rFonts w:ascii="Nunito Sans" w:eastAsia="Nunito Sans" w:hAnsi="Nunito Sans" w:cs="Nunito Sans"/>
            <w:color w:val="1155CC"/>
            <w:sz w:val="16"/>
            <w:szCs w:val="16"/>
            <w:u w:val="single"/>
          </w:rPr>
          <w:t>http://www.asia-ajar.org/files/ENDURING%20IMPUNIY%20final-23%20Nov-press.pdf</w:t>
        </w:r>
      </w:hyperlink>
      <w:r>
        <w:rPr>
          <w:rFonts w:ascii="Nunito Sans" w:eastAsia="Nunito Sans" w:hAnsi="Nunito Sans" w:cs="Nunito Sans"/>
          <w:color w:val="1155CC"/>
          <w:sz w:val="16"/>
          <w:szCs w:val="16"/>
          <w:u w:val="single"/>
        </w:rPr>
        <w:t xml:space="preserve"> </w:t>
      </w:r>
      <w:r>
        <w:rPr>
          <w:rFonts w:ascii="Nunito Sans" w:eastAsia="Nunito Sans" w:hAnsi="Nunito Sans" w:cs="Nunito Sans"/>
          <w:sz w:val="16"/>
          <w:szCs w:val="16"/>
        </w:rPr>
        <w:t xml:space="preserve"> </w:t>
      </w:r>
    </w:p>
  </w:footnote>
  <w:footnote w:id="15">
    <w:p w14:paraId="5799BE4D" w14:textId="77777777" w:rsidR="00D72089" w:rsidRDefault="00D07019">
      <w:pPr>
        <w:spacing w:line="240" w:lineRule="auto"/>
        <w:rPr>
          <w:rFonts w:ascii="Nunito Sans" w:eastAsia="Nunito Sans" w:hAnsi="Nunito Sans" w:cs="Nunito Sans"/>
          <w:sz w:val="16"/>
          <w:szCs w:val="16"/>
        </w:rPr>
      </w:pPr>
      <w:r>
        <w:rPr>
          <w:vertAlign w:val="superscript"/>
        </w:rPr>
        <w:footnoteRef/>
      </w:r>
      <w:r>
        <w:rPr>
          <w:rFonts w:ascii="Nunito Sans" w:eastAsia="Nunito Sans" w:hAnsi="Nunito Sans" w:cs="Nunito Sans"/>
          <w:sz w:val="16"/>
          <w:szCs w:val="16"/>
        </w:rPr>
        <w:t xml:space="preserve"> See more: Rudy Mastura: The Mayor who said “sorry” for 1965: </w:t>
      </w:r>
      <w:hyperlink r:id="rId13">
        <w:r>
          <w:rPr>
            <w:rFonts w:ascii="Nunito Sans" w:eastAsia="Nunito Sans" w:hAnsi="Nunito Sans" w:cs="Nunito Sans"/>
            <w:color w:val="1155CC"/>
            <w:sz w:val="16"/>
            <w:szCs w:val="16"/>
            <w:u w:val="single"/>
          </w:rPr>
          <w:t>https://www.thejakartapost.com/news/2013/10/25/rusdy-mastura-the-mayor-who-said-sorry-1965.html</w:t>
        </w:r>
      </w:hyperlink>
      <w:r>
        <w:rPr>
          <w:rFonts w:ascii="Nunito Sans" w:eastAsia="Nunito Sans" w:hAnsi="Nunito Sans" w:cs="Nunito Sans"/>
          <w:sz w:val="16"/>
          <w:szCs w:val="16"/>
        </w:rPr>
        <w:t xml:space="preserve"> </w:t>
      </w:r>
    </w:p>
  </w:footnote>
  <w:footnote w:id="16">
    <w:p w14:paraId="40267BDF" w14:textId="77777777" w:rsidR="00D72089" w:rsidRDefault="00D07019">
      <w:pPr>
        <w:spacing w:line="240" w:lineRule="auto"/>
        <w:rPr>
          <w:rFonts w:ascii="Nunito Sans" w:eastAsia="Nunito Sans" w:hAnsi="Nunito Sans" w:cs="Nunito Sans"/>
          <w:color w:val="1D1D1D"/>
          <w:sz w:val="16"/>
          <w:szCs w:val="16"/>
          <w:highlight w:val="white"/>
        </w:rPr>
      </w:pPr>
      <w:r>
        <w:rPr>
          <w:vertAlign w:val="superscript"/>
        </w:rPr>
        <w:footnoteRef/>
      </w:r>
      <w:r>
        <w:rPr>
          <w:rFonts w:ascii="Nunito Sans" w:eastAsia="Nunito Sans" w:hAnsi="Nunito Sans" w:cs="Nunito Sans"/>
          <w:color w:val="1D1D1D"/>
          <w:sz w:val="16"/>
          <w:szCs w:val="16"/>
        </w:rPr>
        <w:t xml:space="preserve"> Koalisi Keadilan dan Pengungkapan Kebenaran (KKPK), Justiabilitas Ekosob (Pemulihan Hak Korban Pelanggaran HAM Masa Lalu Melalui Jalur Litigasi: Pengalaman dan Panduan), p.25. ; Jakarta State Administrative Court Decision No. </w:t>
      </w:r>
      <w:r>
        <w:rPr>
          <w:rFonts w:ascii="Nunito Sans" w:eastAsia="Nunito Sans" w:hAnsi="Nunito Sans" w:cs="Nunito Sans"/>
          <w:color w:val="1D1D1D"/>
          <w:sz w:val="16"/>
          <w:szCs w:val="16"/>
          <w:highlight w:val="white"/>
        </w:rPr>
        <w:t>60/G.TUN/2003/</w:t>
      </w:r>
    </w:p>
    <w:p w14:paraId="1F6AE312" w14:textId="77777777" w:rsidR="00D72089" w:rsidRDefault="00D07019">
      <w:pPr>
        <w:spacing w:line="240" w:lineRule="auto"/>
        <w:rPr>
          <w:rFonts w:ascii="Nunito Sans" w:eastAsia="Nunito Sans" w:hAnsi="Nunito Sans" w:cs="Nunito Sans"/>
          <w:color w:val="1D1D1D"/>
          <w:sz w:val="16"/>
          <w:szCs w:val="16"/>
        </w:rPr>
      </w:pPr>
      <w:r>
        <w:rPr>
          <w:rFonts w:ascii="Nunito Sans" w:eastAsia="Nunito Sans" w:hAnsi="Nunito Sans" w:cs="Nunito Sans"/>
          <w:color w:val="1D1D1D"/>
          <w:sz w:val="16"/>
          <w:szCs w:val="16"/>
        </w:rPr>
        <w:t>PTUN.JKT; Higher State Administrative Court Decision No. Jakarta No.203/B/2003/PT.TUN.JKT; Cassation Decision No. 400 K/TUN/2004</w:t>
      </w:r>
    </w:p>
  </w:footnote>
  <w:footnote w:id="17">
    <w:p w14:paraId="6295E0D6" w14:textId="77777777" w:rsidR="00D72089" w:rsidRDefault="00D07019">
      <w:pPr>
        <w:spacing w:line="240" w:lineRule="auto"/>
        <w:rPr>
          <w:rFonts w:ascii="Nunito Sans" w:eastAsia="Nunito Sans" w:hAnsi="Nunito Sans" w:cs="Nunito Sans"/>
          <w:color w:val="3C4043"/>
          <w:sz w:val="16"/>
          <w:szCs w:val="16"/>
          <w:highlight w:val="white"/>
        </w:rPr>
      </w:pPr>
      <w:r>
        <w:rPr>
          <w:vertAlign w:val="superscript"/>
        </w:rPr>
        <w:footnoteRef/>
      </w:r>
      <w:r>
        <w:rPr>
          <w:rFonts w:ascii="Nunito Sans" w:eastAsia="Nunito Sans" w:hAnsi="Nunito Sans" w:cs="Nunito Sans"/>
          <w:sz w:val="16"/>
          <w:szCs w:val="16"/>
        </w:rPr>
        <w:t xml:space="preserve"> </w:t>
      </w:r>
      <w:r>
        <w:rPr>
          <w:rFonts w:ascii="Nunito Sans" w:eastAsia="Nunito Sans" w:hAnsi="Nunito Sans" w:cs="Nunito Sans"/>
          <w:color w:val="3C4043"/>
          <w:sz w:val="16"/>
          <w:szCs w:val="16"/>
          <w:highlight w:val="white"/>
        </w:rPr>
        <w:t>Supreme Court Decision No. 33 P/HUM/2011</w:t>
      </w:r>
    </w:p>
    <w:p w14:paraId="2ADF4D88" w14:textId="77777777" w:rsidR="00D72089" w:rsidRDefault="00D72089">
      <w:pPr>
        <w:spacing w:line="240" w:lineRule="auto"/>
        <w:rPr>
          <w:rFonts w:ascii="Nunito Sans" w:eastAsia="Nunito Sans" w:hAnsi="Nunito Sans" w:cs="Nunito Sans"/>
          <w:sz w:val="16"/>
          <w:szCs w:val="16"/>
        </w:rPr>
      </w:pPr>
    </w:p>
  </w:footnote>
  <w:footnote w:id="18">
    <w:p w14:paraId="53AE2170" w14:textId="77777777" w:rsidR="00D72089" w:rsidRDefault="00D07019">
      <w:pPr>
        <w:spacing w:line="240" w:lineRule="auto"/>
        <w:rPr>
          <w:sz w:val="16"/>
          <w:szCs w:val="16"/>
          <w:highlight w:val="white"/>
        </w:rPr>
      </w:pPr>
      <w:r>
        <w:rPr>
          <w:vertAlign w:val="superscript"/>
        </w:rPr>
        <w:footnoteRef/>
      </w:r>
      <w:r>
        <w:rPr>
          <w:sz w:val="16"/>
          <w:szCs w:val="16"/>
          <w:highlight w:val="white"/>
        </w:rPr>
        <w:t xml:space="preserve"> </w:t>
      </w:r>
      <w:r>
        <w:rPr>
          <w:rFonts w:ascii="Nunito Sans" w:eastAsia="Nunito Sans" w:hAnsi="Nunito Sans" w:cs="Nunito Sans"/>
          <w:sz w:val="16"/>
          <w:szCs w:val="16"/>
          <w:highlight w:val="white"/>
        </w:rPr>
        <w:t xml:space="preserve">However, beginning in 2013, a group of civil society organizations in Indonesia and Timor-Leste (AJAR, KontraS, IKOHI, and Hak Association), in collaboration with the national human rights institutions of Indonesia and Timor-Leste, began looking for these stolen children, taken from East Timor between 1975-1999. By the end of 2021, we have documented more than 160 stolen children, 80 of whom have since participated in reunion visits with their families in Timor-Leste. </w:t>
      </w:r>
    </w:p>
  </w:footnote>
  <w:footnote w:id="19">
    <w:p w14:paraId="5A45A705" w14:textId="77777777" w:rsidR="00D72089" w:rsidRDefault="00D07019">
      <w:pPr>
        <w:spacing w:line="240" w:lineRule="auto"/>
        <w:rPr>
          <w:rFonts w:ascii="Nunito Sans" w:eastAsia="Nunito Sans" w:hAnsi="Nunito Sans" w:cs="Nunito Sans"/>
          <w:sz w:val="16"/>
          <w:szCs w:val="16"/>
        </w:rPr>
      </w:pPr>
      <w:r>
        <w:rPr>
          <w:vertAlign w:val="superscript"/>
        </w:rPr>
        <w:footnoteRef/>
      </w:r>
      <w:r>
        <w:rPr>
          <w:rFonts w:ascii="Nunito Sans" w:eastAsia="Nunito Sans" w:hAnsi="Nunito Sans" w:cs="Nunito Sans"/>
          <w:sz w:val="16"/>
          <w:szCs w:val="16"/>
        </w:rPr>
        <w:t xml:space="preserve"> See: Asia Justice and Rights, Long Journey Home: Stolen Children Timor Leste, available at </w:t>
      </w:r>
      <w:hyperlink r:id="rId14">
        <w:r>
          <w:rPr>
            <w:rFonts w:ascii="Nunito Sans" w:eastAsia="Nunito Sans" w:hAnsi="Nunito Sans" w:cs="Nunito Sans"/>
            <w:color w:val="1155CC"/>
            <w:sz w:val="16"/>
            <w:szCs w:val="16"/>
            <w:u w:val="single"/>
          </w:rPr>
          <w:t>https://asia-ajar.org/2016/08/long-journey-home-stolen-children-timor-leste/</w:t>
        </w:r>
      </w:hyperlink>
      <w:r>
        <w:rPr>
          <w:rFonts w:ascii="Nunito Sans" w:eastAsia="Nunito Sans" w:hAnsi="Nunito Sans" w:cs="Nunito Sans"/>
          <w:sz w:val="16"/>
          <w:szCs w:val="16"/>
        </w:rPr>
        <w:t xml:space="preserve"> </w:t>
      </w:r>
    </w:p>
  </w:footnote>
  <w:footnote w:id="20">
    <w:p w14:paraId="3D2542C8" w14:textId="77777777" w:rsidR="00D72089" w:rsidRDefault="00D07019">
      <w:pPr>
        <w:spacing w:line="240" w:lineRule="auto"/>
        <w:rPr>
          <w:rFonts w:ascii="Nunito Sans" w:eastAsia="Nunito Sans" w:hAnsi="Nunito Sans" w:cs="Nunito Sans"/>
          <w:sz w:val="16"/>
          <w:szCs w:val="16"/>
        </w:rPr>
      </w:pPr>
      <w:r>
        <w:rPr>
          <w:vertAlign w:val="superscript"/>
        </w:rPr>
        <w:footnoteRef/>
      </w:r>
      <w:r>
        <w:rPr>
          <w:rFonts w:ascii="Nunito Sans" w:eastAsia="Nunito Sans" w:hAnsi="Nunito Sans" w:cs="Nunito Sans"/>
          <w:sz w:val="16"/>
          <w:szCs w:val="16"/>
        </w:rPr>
        <w:t xml:space="preserve"> See information from the Website of the Ombudsman of the Republic of Indonesia, available at </w:t>
      </w:r>
      <w:hyperlink r:id="rId15">
        <w:r>
          <w:rPr>
            <w:rFonts w:ascii="Nunito Sans" w:eastAsia="Nunito Sans" w:hAnsi="Nunito Sans" w:cs="Nunito Sans"/>
            <w:color w:val="1155CC"/>
            <w:sz w:val="16"/>
            <w:szCs w:val="16"/>
            <w:u w:val="single"/>
          </w:rPr>
          <w:t>https://ombudsman.go.id/news/r/temui-pengungsi-nduga-ombudsman-ri-temukan-fakta-ini</w:t>
        </w:r>
      </w:hyperlink>
      <w:r>
        <w:rPr>
          <w:rFonts w:ascii="Nunito Sans" w:eastAsia="Nunito Sans" w:hAnsi="Nunito Sans" w:cs="Nunito Sans"/>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8C21E6"/>
    <w:multiLevelType w:val="multilevel"/>
    <w:tmpl w:val="3DE85F16"/>
    <w:lvl w:ilvl="0">
      <w:start w:val="1"/>
      <w:numFmt w:val="decimal"/>
      <w:lvlText w:val="%1."/>
      <w:lvlJc w:val="left"/>
      <w:pPr>
        <w:ind w:left="45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7565575"/>
    <w:multiLevelType w:val="multilevel"/>
    <w:tmpl w:val="5BBA56A2"/>
    <w:lvl w:ilvl="0">
      <w:start w:val="1"/>
      <w:numFmt w:val="decimal"/>
      <w:lvlText w:val="%1."/>
      <w:lvlJc w:val="left"/>
      <w:pPr>
        <w:ind w:left="45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089"/>
    <w:rsid w:val="007F40C8"/>
    <w:rsid w:val="00D07019"/>
    <w:rsid w:val="00D72089"/>
    <w:rsid w:val="00E2393C"/>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AA47B"/>
  <w15:docId w15:val="{35C8D9C1-F421-D04A-9A3B-93475695D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7F40C8"/>
    <w:pPr>
      <w:tabs>
        <w:tab w:val="center" w:pos="4680"/>
        <w:tab w:val="right" w:pos="9360"/>
      </w:tabs>
      <w:spacing w:line="240" w:lineRule="auto"/>
    </w:pPr>
  </w:style>
  <w:style w:type="character" w:customStyle="1" w:styleId="HeaderChar">
    <w:name w:val="Header Char"/>
    <w:basedOn w:val="DefaultParagraphFont"/>
    <w:link w:val="Header"/>
    <w:uiPriority w:val="99"/>
    <w:rsid w:val="007F40C8"/>
  </w:style>
  <w:style w:type="paragraph" w:styleId="Footer">
    <w:name w:val="footer"/>
    <w:basedOn w:val="Normal"/>
    <w:link w:val="FooterChar"/>
    <w:uiPriority w:val="99"/>
    <w:unhideWhenUsed/>
    <w:rsid w:val="007F40C8"/>
    <w:pPr>
      <w:tabs>
        <w:tab w:val="center" w:pos="4680"/>
        <w:tab w:val="right" w:pos="9360"/>
      </w:tabs>
      <w:spacing w:line="240" w:lineRule="auto"/>
    </w:pPr>
  </w:style>
  <w:style w:type="character" w:customStyle="1" w:styleId="FooterChar">
    <w:name w:val="Footer Char"/>
    <w:basedOn w:val="DefaultParagraphFont"/>
    <w:link w:val="Footer"/>
    <w:uiPriority w:val="99"/>
    <w:rsid w:val="007F40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yperlink" Target="mailto:mmakmun@asia-ajar.org" TargetMode="External"/><Relationship Id="rId4" Type="http://schemas.openxmlformats.org/officeDocument/2006/relationships/webSettings" Target="webSettings.xml"/><Relationship Id="rId9" Type="http://schemas.openxmlformats.org/officeDocument/2006/relationships/hyperlink" Target="mailto:gwandita@asia-ajar.org" TargetMode="Externa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8" Type="http://schemas.openxmlformats.org/officeDocument/2006/relationships/hyperlink" Target="https://www2.ohchr.org/english/bodies/hrcouncil/docs/19session/A.HRC.19.58.Add.1_English.pdf" TargetMode="External"/><Relationship Id="rId13" Type="http://schemas.openxmlformats.org/officeDocument/2006/relationships/hyperlink" Target="https://www.thejakartapost.com/news/2013/10/25/rusdy-mastura-the-mayor-who-said-sorry-1965.html" TargetMode="External"/><Relationship Id="rId3" Type="http://schemas.openxmlformats.org/officeDocument/2006/relationships/hyperlink" Target="https://asia-ajar.org/2021/12/31/indonesia-handover-of-truth-and-reconciliation-commission-findings-and-recommendations-to-aceh-parliament/" TargetMode="External"/><Relationship Id="rId7" Type="http://schemas.openxmlformats.org/officeDocument/2006/relationships/hyperlink" Target="https://www.komnasperempuan.go.id/file/pdf_file/2018/Publikasi/Catatan%20Dua%20Tahun%20Terkahir%20(2011-2012)%20Kekerasan%20Terhadap%20Perempuan%20di%20Aceh.pdf" TargetMode="External"/><Relationship Id="rId12" Type="http://schemas.openxmlformats.org/officeDocument/2006/relationships/hyperlink" Target="http://www.asia-ajar.org/files/ENDURING%20IMPUNIY%20final-23%20Nov-press.pdf" TargetMode="External"/><Relationship Id="rId2" Type="http://schemas.openxmlformats.org/officeDocument/2006/relationships/hyperlink" Target="https://kontras.org/en/2021/05/25/briefing-note-on-selected-human-rights-issues-in-indonesia/" TargetMode="External"/><Relationship Id="rId1" Type="http://schemas.openxmlformats.org/officeDocument/2006/relationships/hyperlink" Target="https://asia-ajar.org/wp-content/uploads/2018/12/English-Indonesia-Case-Study.pdf" TargetMode="External"/><Relationship Id="rId6" Type="http://schemas.openxmlformats.org/officeDocument/2006/relationships/hyperlink" Target="http://asia-ajar.org/files/Surviving%20on%20Their%20Own%20-%20Small%20Size.pdf" TargetMode="External"/><Relationship Id="rId11" Type="http://schemas.openxmlformats.org/officeDocument/2006/relationships/hyperlink" Target="https://www.ictj.org/sites/default/files/ICTJ-Indonesia-Reparations-Victims-2006-English.pdf" TargetMode="External"/><Relationship Id="rId5" Type="http://schemas.openxmlformats.org/officeDocument/2006/relationships/hyperlink" Target="https://komnasperempuan.go.id/siaran-pers-detail/siaran-pers-komnas-perempuan-menyambut-16-tahun-nota-kesepahaman-helsinki-15-agustus-2021" TargetMode="External"/><Relationship Id="rId15" Type="http://schemas.openxmlformats.org/officeDocument/2006/relationships/hyperlink" Target="https://ombudsman.go.id/news/r/temui-pengungsi-nduga-ombudsman-ri-temukan-fakta-ini" TargetMode="External"/><Relationship Id="rId10" Type="http://schemas.openxmlformats.org/officeDocument/2006/relationships/hyperlink" Target="https://www.ictj.org/publication/indonesias-obligations-provide-reparations-victims-gross-human-rights-violations" TargetMode="External"/><Relationship Id="rId4" Type="http://schemas.openxmlformats.org/officeDocument/2006/relationships/hyperlink" Target="https://kkr.acehprov.go.id/berita/kategori/news/pernyataan-kkr-aceh-penetapan-penerima-reparasi-mendesak-korban-pelanggaran-ham" TargetMode="External"/><Relationship Id="rId9" Type="http://schemas.openxmlformats.org/officeDocument/2006/relationships/hyperlink" Target="https://www.ictj.org/publication/indonesias-obligations-provide-reparations-victims-gross-human-rights-violations" TargetMode="External"/><Relationship Id="rId14" Type="http://schemas.openxmlformats.org/officeDocument/2006/relationships/hyperlink" Target="https://asia-ajar.org/2016/08/long-journey-home-stolen-children-timor-les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FA504B-46A0-456F-BC8A-BB9CECF3F745}"/>
</file>

<file path=customXml/itemProps2.xml><?xml version="1.0" encoding="utf-8"?>
<ds:datastoreItem xmlns:ds="http://schemas.openxmlformats.org/officeDocument/2006/customXml" ds:itemID="{2295AB14-3A4A-4E7D-BD31-7CF602846A3F}"/>
</file>

<file path=customXml/itemProps3.xml><?xml version="1.0" encoding="utf-8"?>
<ds:datastoreItem xmlns:ds="http://schemas.openxmlformats.org/officeDocument/2006/customXml" ds:itemID="{1B32AFC0-1833-4D19-BFE7-4B4B06138E43}"/>
</file>

<file path=docProps/app.xml><?xml version="1.0" encoding="utf-8"?>
<Properties xmlns="http://schemas.openxmlformats.org/officeDocument/2006/extended-properties" xmlns:vt="http://schemas.openxmlformats.org/officeDocument/2006/docPropsVTypes">
  <Template>Normal.dotm</Template>
  <TotalTime>0</TotalTime>
  <Pages>14</Pages>
  <Words>4209</Words>
  <Characters>23995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REYNAUD Céline</cp:lastModifiedBy>
  <cp:revision>2</cp:revision>
  <dcterms:created xsi:type="dcterms:W3CDTF">2022-01-17T09:32:00Z</dcterms:created>
  <dcterms:modified xsi:type="dcterms:W3CDTF">2022-01-17T09:32:00Z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