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31C46" w14:textId="77777777" w:rsidR="002F347A" w:rsidRDefault="002F347A" w:rsidP="00F17A84">
      <w:pPr>
        <w:shd w:val="clear" w:color="auto" w:fill="D9D9D9" w:themeFill="background1" w:themeFillShade="D9"/>
        <w:rPr>
          <w:i/>
          <w:lang w:val="en-GB"/>
        </w:rPr>
      </w:pPr>
      <w:r w:rsidRPr="002F347A">
        <w:rPr>
          <w:i/>
          <w:lang w:val="en-GB"/>
        </w:rPr>
        <w:t xml:space="preserve">Federal Ministry for Family Affairs, Senior Citizens, Women and Youth                                 12 May 2023 </w:t>
      </w:r>
    </w:p>
    <w:p w14:paraId="64E0A030" w14:textId="77777777" w:rsidR="00F17A84" w:rsidRDefault="00F17A84">
      <w:pPr>
        <w:rPr>
          <w:b/>
          <w:bCs/>
          <w:u w:val="single"/>
          <w:lang w:val="en-US"/>
        </w:rPr>
      </w:pPr>
    </w:p>
    <w:p w14:paraId="186E4DE5" w14:textId="77777777" w:rsidR="002F347A" w:rsidRPr="00117B94" w:rsidRDefault="002F347A">
      <w:pPr>
        <w:rPr>
          <w:b/>
          <w:bCs/>
          <w:u w:val="single"/>
          <w:lang w:val="en-US"/>
        </w:rPr>
      </w:pPr>
      <w:r w:rsidRPr="00117B94">
        <w:rPr>
          <w:b/>
          <w:bCs/>
          <w:u w:val="single"/>
          <w:lang w:val="en-US"/>
        </w:rPr>
        <w:t>Additional information to the CEDAW Committee after the constructive dialogue on 11 May, as announced by the German Federal Government</w:t>
      </w:r>
    </w:p>
    <w:p w14:paraId="5AAF18B7" w14:textId="77777777" w:rsidR="00E37AB4" w:rsidRDefault="00117B94" w:rsidP="00E37AB4">
      <w:pPr>
        <w:rPr>
          <w:b/>
          <w:lang w:val="en-GB"/>
        </w:rPr>
      </w:pPr>
      <w:r w:rsidRPr="00117B94">
        <w:rPr>
          <w:b/>
          <w:lang w:val="en-GB"/>
        </w:rPr>
        <w:t xml:space="preserve">Application of the principle of world law/ international criminal law with regard to gender-based violence and sexualized violence (cf. case law of Rwanda and "Islamic State") </w:t>
      </w:r>
    </w:p>
    <w:p w14:paraId="0A540C1C" w14:textId="77777777" w:rsidR="00F17A84" w:rsidRPr="00E37AB4" w:rsidRDefault="00E37AB4" w:rsidP="00E37AB4">
      <w:pPr>
        <w:rPr>
          <w:b/>
          <w:lang w:val="en-GB"/>
        </w:rPr>
      </w:pPr>
      <w:r>
        <w:rPr>
          <w:lang w:val="en-GB"/>
        </w:rPr>
        <w:t>The</w:t>
      </w:r>
      <w:r w:rsidRPr="00E37AB4">
        <w:rPr>
          <w:lang w:val="en-GB"/>
        </w:rPr>
        <w:t xml:space="preserve"> Federal Attorney General</w:t>
      </w:r>
      <w:r w:rsidRPr="00F17A84">
        <w:rPr>
          <w:lang w:val="en-GB"/>
        </w:rPr>
        <w:t xml:space="preserve"> </w:t>
      </w:r>
      <w:r>
        <w:rPr>
          <w:lang w:val="en-GB"/>
        </w:rPr>
        <w:t>(</w:t>
      </w:r>
      <w:r w:rsidR="00F17A84" w:rsidRPr="00F17A84">
        <w:rPr>
          <w:lang w:val="en-GB"/>
        </w:rPr>
        <w:t>GBA</w:t>
      </w:r>
      <w:r>
        <w:rPr>
          <w:lang w:val="en-GB"/>
        </w:rPr>
        <w:t>)</w:t>
      </w:r>
      <w:r w:rsidR="00F17A84" w:rsidRPr="00F17A84">
        <w:rPr>
          <w:lang w:val="en-GB"/>
        </w:rPr>
        <w:t xml:space="preserve"> investigates with great seriousness in its proceedings and pursues all possible factual variants; this also applies to past and future allegations of gender-specific and sexualized violence. It should be noted that it is the independent courts that ultimately decide on criminal charges and allegations of guilt.</w:t>
      </w:r>
    </w:p>
    <w:p w14:paraId="556149AA" w14:textId="77777777" w:rsidR="00F17A84" w:rsidRPr="00F17A84" w:rsidRDefault="00F17A84" w:rsidP="00F17A84">
      <w:pPr>
        <w:rPr>
          <w:lang w:val="en-GB"/>
        </w:rPr>
      </w:pPr>
      <w:r w:rsidRPr="00F17A84">
        <w:rPr>
          <w:lang w:val="en-GB"/>
        </w:rPr>
        <w:t>In the mentioned Rwanda trial, five allegations of crimes involving rape and/or sexual enslavement were originally also charged by the GBA. Due to the large number of complexes of offenses as well as evidentiary problems and investigative difficulties that arose, these criminal charges were dropped by the court in the course of the criminal proceedings.</w:t>
      </w:r>
    </w:p>
    <w:p w14:paraId="1053E124" w14:textId="77777777" w:rsidR="00F17A84" w:rsidRPr="00F17A84" w:rsidRDefault="00F17A84" w:rsidP="00F17A84">
      <w:pPr>
        <w:rPr>
          <w:lang w:val="en-GB"/>
        </w:rPr>
      </w:pPr>
      <w:r w:rsidRPr="00F17A84">
        <w:rPr>
          <w:lang w:val="en-GB"/>
        </w:rPr>
        <w:t xml:space="preserve">As for proceedings against IS members for crimes against members of the Yazidi community, on June 16, 2021, for example, the Düsseldorf Higher Regional Court sentenced a defendant to several years' imprisonment on charges brought for membership in the IS terrorist organization, aiding and abetting crimes against humanity through rape, and other crimes. Victims of the defendant's husband's crimes were five Yazidi women and two underage Yazidi girls. </w:t>
      </w:r>
    </w:p>
    <w:p w14:paraId="7CF0E882" w14:textId="77777777" w:rsidR="00F17A84" w:rsidRPr="00F17A84" w:rsidRDefault="00F17A84" w:rsidP="00F17A84">
      <w:pPr>
        <w:rPr>
          <w:lang w:val="en-GB"/>
        </w:rPr>
      </w:pPr>
      <w:r w:rsidRPr="00F17A84">
        <w:rPr>
          <w:lang w:val="en-GB"/>
        </w:rPr>
        <w:t xml:space="preserve">Because testimony by victims of gender-based or sexual violence in a main trial can lead to </w:t>
      </w:r>
      <w:proofErr w:type="spellStart"/>
      <w:r w:rsidRPr="00F17A84">
        <w:rPr>
          <w:lang w:val="en-GB"/>
        </w:rPr>
        <w:t>retraumatization</w:t>
      </w:r>
      <w:proofErr w:type="spellEnd"/>
      <w:r w:rsidRPr="00F17A84">
        <w:rPr>
          <w:lang w:val="en-GB"/>
        </w:rPr>
        <w:t xml:space="preserve"> and - especially in the Yezidi community - further stigmatization, refraining from questioning may be indicated for reasons of victim protection if other crimes have already been proven. That does not mean that gender-based/sexualized violence is marginalized or disregarded.</w:t>
      </w:r>
    </w:p>
    <w:p w14:paraId="4114B98A" w14:textId="77777777" w:rsidR="00F17A84" w:rsidRPr="00F17A84" w:rsidRDefault="00F17A84" w:rsidP="00F17A84">
      <w:pPr>
        <w:rPr>
          <w:lang w:val="en-GB"/>
        </w:rPr>
      </w:pPr>
      <w:r w:rsidRPr="00F17A84">
        <w:rPr>
          <w:lang w:val="en-GB"/>
        </w:rPr>
        <w:t>Finally, we would like to point out that the Frankfurt Higher Regional Court was the first court in the world to rule that the IS attack on the Yazidi community must be classified as genocide and that sexual violence was a central component of the genocidal acts (30. Nov. 2021). This ruling was upheld by the Federal Supreme Court.</w:t>
      </w:r>
    </w:p>
    <w:p w14:paraId="531EB5C7" w14:textId="77777777" w:rsidR="00117B94" w:rsidRPr="00117B94" w:rsidRDefault="00117B94" w:rsidP="00117B94">
      <w:pPr>
        <w:rPr>
          <w:b/>
          <w:lang w:val="en-GB"/>
        </w:rPr>
      </w:pPr>
    </w:p>
    <w:p w14:paraId="5C307A8B" w14:textId="77777777" w:rsidR="00117B94" w:rsidRDefault="00117B94" w:rsidP="00117B94">
      <w:pPr>
        <w:rPr>
          <w:b/>
          <w:lang w:val="en-GB"/>
        </w:rPr>
      </w:pPr>
      <w:r w:rsidRPr="00117B94">
        <w:rPr>
          <w:b/>
          <w:lang w:val="en-GB"/>
        </w:rPr>
        <w:t>Victims of human trafficking entitled to compensation in criminal proceedings, Victim Compensation Act</w:t>
      </w:r>
    </w:p>
    <w:p w14:paraId="4ADA0BE0" w14:textId="77777777" w:rsidR="00C029DF" w:rsidRPr="00C029DF" w:rsidRDefault="00C029DF" w:rsidP="00C029DF">
      <w:pPr>
        <w:rPr>
          <w:lang w:val="en-GB"/>
        </w:rPr>
      </w:pPr>
      <w:r w:rsidRPr="00C029DF">
        <w:rPr>
          <w:lang w:val="en-GB"/>
        </w:rPr>
        <w:t xml:space="preserve">All recognised victims of violent crimes are entitled to curative treatment and - if the corresponding needs exist - to welfare benefits, such as subsistence assistance. In certain </w:t>
      </w:r>
      <w:proofErr w:type="gramStart"/>
      <w:r w:rsidRPr="00C029DF">
        <w:rPr>
          <w:lang w:val="en-GB"/>
        </w:rPr>
        <w:t>cases</w:t>
      </w:r>
      <w:proofErr w:type="gramEnd"/>
      <w:r w:rsidRPr="00C029DF">
        <w:rPr>
          <w:lang w:val="en-GB"/>
        </w:rPr>
        <w:t xml:space="preserve"> also by providing for (permanent, monthly) compensation payments according to the Victim Compensation Act</w:t>
      </w:r>
      <w:r>
        <w:rPr>
          <w:lang w:val="en-GB"/>
        </w:rPr>
        <w:t xml:space="preserve"> (</w:t>
      </w:r>
      <w:r w:rsidRPr="00C029DF">
        <w:rPr>
          <w:lang w:val="en-GB"/>
        </w:rPr>
        <w:t>OEG</w:t>
      </w:r>
      <w:r>
        <w:rPr>
          <w:lang w:val="en-GB"/>
        </w:rPr>
        <w:t>)</w:t>
      </w:r>
      <w:r w:rsidRPr="00C029DF">
        <w:rPr>
          <w:lang w:val="en-GB"/>
        </w:rPr>
        <w:t>.</w:t>
      </w:r>
    </w:p>
    <w:p w14:paraId="2A066100" w14:textId="77777777" w:rsidR="00C029DF" w:rsidRPr="00C029DF" w:rsidRDefault="00C029DF" w:rsidP="00C029DF">
      <w:pPr>
        <w:rPr>
          <w:lang w:val="en-GB"/>
        </w:rPr>
      </w:pPr>
      <w:r w:rsidRPr="00C029DF">
        <w:rPr>
          <w:lang w:val="en-GB"/>
        </w:rPr>
        <w:t>These additional compensation payments are linked to further preconditions, such as a permanent health damage of at least 6 months and proof of causality between these health damages and the act of violent crime. Victims can get access to emergency aid in trauma outpatient clinics (so-called trauma ambulances) since 1. January 2021 and thus, receive the support they urgently need. These trauma ambulances are usually located at psychiatric and / or psychotherapeutic clinics.</w:t>
      </w:r>
    </w:p>
    <w:p w14:paraId="51C4018F" w14:textId="7DC80C63" w:rsidR="00C029DF" w:rsidRPr="00C029DF" w:rsidRDefault="00C029DF" w:rsidP="00C029DF">
      <w:pPr>
        <w:rPr>
          <w:lang w:val="en-GB"/>
        </w:rPr>
      </w:pPr>
      <w:r w:rsidRPr="00C029DF">
        <w:rPr>
          <w:lang w:val="en-GB"/>
        </w:rPr>
        <w:t>Furthermore, all victims can claim compensation for financial damages as well as for pain and suffering from the defendant by so-called “</w:t>
      </w:r>
      <w:proofErr w:type="spellStart"/>
      <w:r w:rsidRPr="00C029DF">
        <w:rPr>
          <w:lang w:val="en-GB"/>
        </w:rPr>
        <w:t>Adhäsionsklage</w:t>
      </w:r>
      <w:proofErr w:type="spellEnd"/>
      <w:r w:rsidRPr="00C029DF">
        <w:rPr>
          <w:lang w:val="en-GB"/>
        </w:rPr>
        <w:t xml:space="preserve">” (adhesion claims), a procedure which is </w:t>
      </w:r>
      <w:r w:rsidRPr="00C029DF">
        <w:rPr>
          <w:lang w:val="en-GB"/>
        </w:rPr>
        <w:lastRenderedPageBreak/>
        <w:t xml:space="preserve">integrated in the criminal procedure (§ 403 </w:t>
      </w:r>
      <w:proofErr w:type="spellStart"/>
      <w:r w:rsidRPr="00C029DF">
        <w:rPr>
          <w:lang w:val="en-GB"/>
        </w:rPr>
        <w:t>StPO</w:t>
      </w:r>
      <w:proofErr w:type="spellEnd"/>
      <w:r w:rsidRPr="00C029DF">
        <w:rPr>
          <w:lang w:val="en-GB"/>
        </w:rPr>
        <w:t xml:space="preserve">). </w:t>
      </w:r>
      <w:r w:rsidR="0025783F" w:rsidRPr="0025783F">
        <w:rPr>
          <w:lang w:val="en-GB"/>
        </w:rPr>
        <w:t xml:space="preserve">They can get legal aid according to the rules of civil law (§ 404 (5) </w:t>
      </w:r>
      <w:proofErr w:type="spellStart"/>
      <w:r w:rsidR="0025783F" w:rsidRPr="0025783F">
        <w:rPr>
          <w:lang w:val="en-GB"/>
        </w:rPr>
        <w:t>StPO</w:t>
      </w:r>
      <w:proofErr w:type="spellEnd"/>
      <w:r w:rsidR="0025783F" w:rsidRPr="0025783F">
        <w:rPr>
          <w:lang w:val="en-GB"/>
        </w:rPr>
        <w:t>).</w:t>
      </w:r>
    </w:p>
    <w:p w14:paraId="677CAC81" w14:textId="77777777" w:rsidR="00117B94" w:rsidRPr="00C029DF" w:rsidRDefault="00117B94" w:rsidP="00117B94">
      <w:pPr>
        <w:rPr>
          <w:lang w:val="en-GB"/>
        </w:rPr>
      </w:pPr>
    </w:p>
    <w:p w14:paraId="34F2BDBC" w14:textId="77777777" w:rsidR="00117B94" w:rsidRPr="00C029DF" w:rsidRDefault="00117B94" w:rsidP="00117B94">
      <w:pPr>
        <w:rPr>
          <w:b/>
          <w:lang w:val="en-GB"/>
        </w:rPr>
      </w:pPr>
      <w:r w:rsidRPr="00C029DF">
        <w:rPr>
          <w:b/>
          <w:lang w:val="en-GB"/>
        </w:rPr>
        <w:t>Criminal liability for</w:t>
      </w:r>
      <w:r w:rsidR="00C029DF" w:rsidRPr="00C029DF">
        <w:rPr>
          <w:b/>
          <w:lang w:val="en-GB"/>
        </w:rPr>
        <w:t xml:space="preserve"> prostitution clients</w:t>
      </w:r>
    </w:p>
    <w:p w14:paraId="5F65AC36" w14:textId="77777777" w:rsidR="00C029DF" w:rsidRPr="00C029DF" w:rsidRDefault="00C029DF" w:rsidP="00C029DF">
      <w:pPr>
        <w:rPr>
          <w:lang w:val="en-GB"/>
        </w:rPr>
      </w:pPr>
      <w:r w:rsidRPr="00C029DF">
        <w:rPr>
          <w:lang w:val="en-GB"/>
        </w:rPr>
        <w:t xml:space="preserve">The German police crime statistics show six cases in which prostitution clients were held criminally liable in the period 2017-2019. No such cases are recorded in the Federal Situation Report. </w:t>
      </w:r>
    </w:p>
    <w:p w14:paraId="5A8C886E" w14:textId="77777777" w:rsidR="00C029DF" w:rsidRPr="00C029DF" w:rsidRDefault="00C029DF" w:rsidP="00C029DF">
      <w:pPr>
        <w:rPr>
          <w:lang w:val="en-GB"/>
        </w:rPr>
      </w:pPr>
      <w:r w:rsidRPr="00C029DF">
        <w:rPr>
          <w:lang w:val="en-GB"/>
        </w:rPr>
        <w:t xml:space="preserve">When evaluating the norms regarding criminal liability for human trafficking the file analysis of the Criminological Research Centre of Lower Saxony identified one case in which a client was prosecuted pursuant to section 232a (6) sentence 1 </w:t>
      </w:r>
      <w:proofErr w:type="spellStart"/>
      <w:r w:rsidRPr="00C029DF">
        <w:rPr>
          <w:lang w:val="en-GB"/>
        </w:rPr>
        <w:t>StGB</w:t>
      </w:r>
      <w:proofErr w:type="spellEnd"/>
      <w:r w:rsidRPr="00C029DF">
        <w:rPr>
          <w:lang w:val="en-GB"/>
        </w:rPr>
        <w:t>. The defendant, who had engaged in paid sexual activities with a 16-year-old victim, was ultimately ordered to pay a fine totalling 4,500 euros (150 daily rates of 30 euros each).</w:t>
      </w:r>
    </w:p>
    <w:p w14:paraId="425D27FB" w14:textId="7CFE2C12" w:rsidR="0025783F" w:rsidRPr="0025783F" w:rsidRDefault="00C029DF" w:rsidP="0025783F">
      <w:pPr>
        <w:rPr>
          <w:lang w:val="en-GB"/>
        </w:rPr>
      </w:pPr>
      <w:r w:rsidRPr="00C029DF">
        <w:rPr>
          <w:lang w:val="en-GB"/>
        </w:rPr>
        <w:t>Figures on section 232a (6) of the Criminal Code, as amended with effect from 1 October 2021, were not yet available.</w:t>
      </w:r>
      <w:r w:rsidR="0025783F">
        <w:rPr>
          <w:lang w:val="en-GB"/>
        </w:rPr>
        <w:t xml:space="preserve"> </w:t>
      </w:r>
      <w:r w:rsidR="0025783F" w:rsidRPr="0025783F">
        <w:rPr>
          <w:lang w:val="en-GB"/>
        </w:rPr>
        <w:t>The amendment regards the addition of a new second sentence in § 232a(6): “If, when performing the sexual act, the offender at least recklessly fails to recognise the circumstances of sentence 1 no. 1 or no. 2 or the victim’s personal or economic predicament or helplessness, the penalty is imprisonment for a term not exceeding three years or a fine.”</w:t>
      </w:r>
    </w:p>
    <w:p w14:paraId="5C5AC49E" w14:textId="6B4275F2" w:rsidR="00C029DF" w:rsidRPr="00C029DF" w:rsidRDefault="00C029DF" w:rsidP="00117B94">
      <w:pPr>
        <w:rPr>
          <w:lang w:val="en-GB"/>
        </w:rPr>
      </w:pPr>
    </w:p>
    <w:p w14:paraId="2135C761" w14:textId="77777777" w:rsidR="00117B94" w:rsidRPr="00117B94" w:rsidRDefault="00117B94" w:rsidP="00117B94">
      <w:pPr>
        <w:rPr>
          <w:b/>
          <w:lang w:val="en-GB"/>
        </w:rPr>
      </w:pPr>
    </w:p>
    <w:p w14:paraId="272E8FE2" w14:textId="77777777" w:rsidR="00117B94" w:rsidRDefault="00E37AB4" w:rsidP="00117B94">
      <w:pPr>
        <w:rPr>
          <w:b/>
          <w:lang w:val="en-GB"/>
        </w:rPr>
      </w:pPr>
      <w:r>
        <w:rPr>
          <w:b/>
          <w:lang w:val="en-GB"/>
        </w:rPr>
        <w:t>‘</w:t>
      </w:r>
      <w:r w:rsidR="00117B94" w:rsidRPr="00117B94">
        <w:rPr>
          <w:b/>
          <w:lang w:val="en-GB"/>
        </w:rPr>
        <w:t xml:space="preserve">Electronic </w:t>
      </w:r>
      <w:r w:rsidR="00C029DF">
        <w:rPr>
          <w:b/>
          <w:lang w:val="en-GB"/>
        </w:rPr>
        <w:t>tag</w:t>
      </w:r>
      <w:r>
        <w:rPr>
          <w:b/>
          <w:lang w:val="en-GB"/>
        </w:rPr>
        <w:t>’</w:t>
      </w:r>
      <w:r w:rsidR="00C029DF">
        <w:rPr>
          <w:b/>
          <w:lang w:val="en-GB"/>
        </w:rPr>
        <w:t xml:space="preserve"> </w:t>
      </w:r>
      <w:r w:rsidR="00117B94" w:rsidRPr="00117B94">
        <w:rPr>
          <w:b/>
          <w:lang w:val="en-GB"/>
        </w:rPr>
        <w:t>for perpetrators/offenders of domestic violence</w:t>
      </w:r>
    </w:p>
    <w:p w14:paraId="40529B0E" w14:textId="77777777" w:rsidR="00C029DF" w:rsidRPr="00C029DF" w:rsidRDefault="00C029DF" w:rsidP="00C029DF">
      <w:pPr>
        <w:rPr>
          <w:lang w:val="en-GB"/>
        </w:rPr>
      </w:pPr>
      <w:r w:rsidRPr="00C029DF">
        <w:rPr>
          <w:lang w:val="en-GB"/>
        </w:rPr>
        <w:t>The carrying of technical means for the electronic monitoring (so-called ‘electronic tag’) can play a role in the execution of sentences if a corresponding direction is possible within the framework of supervision of conduct pursuant to § 68</w:t>
      </w:r>
      <w:proofErr w:type="gramStart"/>
      <w:r w:rsidRPr="00C029DF">
        <w:rPr>
          <w:lang w:val="en-GB"/>
        </w:rPr>
        <w:t>b(</w:t>
      </w:r>
      <w:proofErr w:type="gramEnd"/>
      <w:r w:rsidRPr="00C029DF">
        <w:rPr>
          <w:lang w:val="en-GB"/>
        </w:rPr>
        <w:t xml:space="preserve">1) no. 12 </w:t>
      </w:r>
      <w:proofErr w:type="spellStart"/>
      <w:r w:rsidRPr="00C029DF">
        <w:rPr>
          <w:lang w:val="en-GB"/>
        </w:rPr>
        <w:t>StGB</w:t>
      </w:r>
      <w:proofErr w:type="spellEnd"/>
      <w:r w:rsidRPr="00C029DF">
        <w:rPr>
          <w:lang w:val="en-GB"/>
        </w:rPr>
        <w:t xml:space="preserve">. </w:t>
      </w:r>
    </w:p>
    <w:p w14:paraId="3C134CA4" w14:textId="77777777" w:rsidR="00C029DF" w:rsidRPr="00C029DF" w:rsidRDefault="00C029DF" w:rsidP="00C029DF">
      <w:pPr>
        <w:rPr>
          <w:lang w:val="en-GB"/>
        </w:rPr>
      </w:pPr>
      <w:r w:rsidRPr="00C029DF">
        <w:rPr>
          <w:lang w:val="en-GB"/>
        </w:rPr>
        <w:t xml:space="preserve">In addition to statutory provisions for supervision of conduct, the court may order supervision of conduct. The ‘electronic tag’ is subject to specific conditions, one of them being the danger that the convicted person may commit further offences under § 66 (3) sentence 1 </w:t>
      </w:r>
      <w:proofErr w:type="spellStart"/>
      <w:r w:rsidRPr="00C029DF">
        <w:rPr>
          <w:lang w:val="en-GB"/>
        </w:rPr>
        <w:t>StGB</w:t>
      </w:r>
      <w:proofErr w:type="spellEnd"/>
      <w:r w:rsidRPr="00C029DF">
        <w:rPr>
          <w:lang w:val="en-GB"/>
        </w:rPr>
        <w:t xml:space="preserve">, e.g. specific offences of sexual abuse, sexual assault, sexual coercion and rape, dangerous bodily harm. </w:t>
      </w:r>
    </w:p>
    <w:p w14:paraId="4B700047" w14:textId="77777777" w:rsidR="00117B94" w:rsidRDefault="00C029DF" w:rsidP="00117B94">
      <w:pPr>
        <w:rPr>
          <w:lang w:val="en-GB"/>
        </w:rPr>
      </w:pPr>
      <w:r w:rsidRPr="00C029DF">
        <w:rPr>
          <w:lang w:val="en-GB"/>
        </w:rPr>
        <w:t>There are two possible uses for the ‘electronic tag’: The first is a general preventive, electronic residence monitoring. It is not connected with residence-restricting instructions. However, it does mean that the residence data can be evaluated in the event of subsequent suspicion of a crime. Secondly, the court can, as a special precautionary measure, define either exclusion zones that the person under surveillance is not allowed to leave or exclusion zones that he or she is not allowed to enter. This is intended to protect certain victims or to ensure that a dangerous environment cannot be entered.</w:t>
      </w:r>
    </w:p>
    <w:p w14:paraId="22C76F53" w14:textId="77777777" w:rsidR="00E37AB4" w:rsidRPr="00E37AB4" w:rsidRDefault="00E37AB4" w:rsidP="00117B94">
      <w:pPr>
        <w:rPr>
          <w:lang w:val="en-GB"/>
        </w:rPr>
      </w:pPr>
    </w:p>
    <w:p w14:paraId="58067A39" w14:textId="77777777" w:rsidR="00117B94" w:rsidRDefault="00117B94" w:rsidP="00117B94">
      <w:pPr>
        <w:rPr>
          <w:b/>
          <w:lang w:val="en-GB"/>
        </w:rPr>
      </w:pPr>
      <w:r w:rsidRPr="00117B94">
        <w:rPr>
          <w:b/>
          <w:lang w:val="en-GB"/>
        </w:rPr>
        <w:t xml:space="preserve">Statistics on participation (and measures) of women in armed forces, esp. in leadership positions </w:t>
      </w:r>
    </w:p>
    <w:p w14:paraId="0B8BC9F5" w14:textId="77777777" w:rsidR="00F24C70" w:rsidRDefault="00F24C70" w:rsidP="00F24C70">
      <w:pPr>
        <w:rPr>
          <w:lang w:val="en-GB"/>
        </w:rPr>
      </w:pPr>
      <w:r w:rsidRPr="00F24C70">
        <w:rPr>
          <w:lang w:val="en-GB"/>
        </w:rPr>
        <w:t xml:space="preserve">For over twenty years, women have been performing armed duties alongside their male comrades. Since then, the armed forces have been able to attract a large field of female applicants. The proportion of female military personnel in the armed forces has risen from 7.5 percent to 13.2 percent over the past 12 years. In the medical service alone, the proportion of uniformed female personnel increased by 10.6 percentage points to 45.6 percent during this period. The proportion of female personnel in the armed forces has also increased with regard to command positions: in the </w:t>
      </w:r>
      <w:r w:rsidRPr="00F24C70">
        <w:rPr>
          <w:lang w:val="en-GB"/>
        </w:rPr>
        <w:lastRenderedPageBreak/>
        <w:t>past ten years from 10.5 percent to 15.3 percent. The Federal Ministry of Defence promotes gender equality and sees it as an ongoing strategic task. It is aware that targeted and intensive efforts are required to achieve the declared goal of a 20 percent share of women in the armed forces in the future</w:t>
      </w:r>
      <w:r>
        <w:rPr>
          <w:lang w:val="en-GB"/>
        </w:rPr>
        <w:t>.</w:t>
      </w:r>
    </w:p>
    <w:p w14:paraId="0CCF690A" w14:textId="30D797E3" w:rsidR="00F24C70" w:rsidRDefault="00F24C70" w:rsidP="00F24C70">
      <w:pPr>
        <w:rPr>
          <w:lang w:val="en-GB"/>
        </w:rPr>
      </w:pPr>
      <w:r w:rsidRPr="00F17A84">
        <w:rPr>
          <w:lang w:val="en-GB"/>
        </w:rPr>
        <w:t>Development of the number of women in management positions (military</w:t>
      </w:r>
      <w:r w:rsidR="00F17A84">
        <w:rPr>
          <w:lang w:val="en-GB"/>
        </w:rPr>
        <w:t xml:space="preserve"> (blue) </w:t>
      </w:r>
      <w:r w:rsidRPr="00F17A84">
        <w:rPr>
          <w:lang w:val="en-GB"/>
        </w:rPr>
        <w:t>/</w:t>
      </w:r>
      <w:r w:rsidR="00F17A84">
        <w:rPr>
          <w:lang w:val="en-GB"/>
        </w:rPr>
        <w:t xml:space="preserve"> </w:t>
      </w:r>
      <w:r w:rsidRPr="00F17A84">
        <w:rPr>
          <w:lang w:val="en-GB"/>
        </w:rPr>
        <w:t>civilian</w:t>
      </w:r>
      <w:r w:rsidR="00F17A84">
        <w:rPr>
          <w:lang w:val="en-GB"/>
        </w:rPr>
        <w:t xml:space="preserve"> (grey)</w:t>
      </w:r>
      <w:r w:rsidRPr="00F17A84">
        <w:rPr>
          <w:lang w:val="en-GB"/>
        </w:rPr>
        <w:t>) in the portfolio of the Federal Ministry of Defen</w:t>
      </w:r>
      <w:r w:rsidR="003C51B7">
        <w:rPr>
          <w:lang w:val="en-GB"/>
        </w:rPr>
        <w:t>c</w:t>
      </w:r>
      <w:r w:rsidRPr="00F17A84">
        <w:rPr>
          <w:lang w:val="en-GB"/>
        </w:rPr>
        <w:t>e over the past ten years (as of December 31, 2022)</w:t>
      </w:r>
      <w:r w:rsidR="00E37AB4">
        <w:rPr>
          <w:lang w:val="en-GB"/>
        </w:rPr>
        <w:t>:</w:t>
      </w:r>
      <w:r w:rsidR="00F17A84">
        <w:rPr>
          <w:lang w:val="en-GB"/>
        </w:rPr>
        <w:t xml:space="preserve"> </w:t>
      </w:r>
    </w:p>
    <w:p w14:paraId="30108F91" w14:textId="3D4E13B3" w:rsidR="00F24C70" w:rsidRPr="003C51B7" w:rsidRDefault="00F24C70" w:rsidP="00117B94">
      <w:pPr>
        <w:rPr>
          <w:b/>
          <w:lang w:val="en"/>
        </w:rPr>
      </w:pPr>
      <w:r>
        <w:rPr>
          <w:b/>
          <w:noProof/>
          <w:lang w:val="en"/>
        </w:rPr>
        <w:drawing>
          <wp:inline distT="0" distB="0" distL="0" distR="0" wp14:anchorId="10861A7D" wp14:editId="03B2F592">
            <wp:extent cx="5409565" cy="2637790"/>
            <wp:effectExtent l="0" t="0" r="63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9565" cy="2637790"/>
                    </a:xfrm>
                    <a:prstGeom prst="rect">
                      <a:avLst/>
                    </a:prstGeom>
                    <a:noFill/>
                  </pic:spPr>
                </pic:pic>
              </a:graphicData>
            </a:graphic>
          </wp:inline>
        </w:drawing>
      </w:r>
    </w:p>
    <w:p w14:paraId="06607563" w14:textId="5A92D2B2" w:rsidR="00117B94" w:rsidRDefault="00117B94" w:rsidP="00117B94">
      <w:pPr>
        <w:rPr>
          <w:b/>
          <w:lang w:val="en-GB"/>
        </w:rPr>
      </w:pPr>
    </w:p>
    <w:p w14:paraId="4DA9E016" w14:textId="77777777" w:rsidR="006F7774" w:rsidRPr="00117B94" w:rsidRDefault="006F7774" w:rsidP="00117B94">
      <w:pPr>
        <w:rPr>
          <w:b/>
          <w:lang w:val="en-GB"/>
        </w:rPr>
      </w:pPr>
    </w:p>
    <w:p w14:paraId="3D8403EC" w14:textId="77777777" w:rsidR="00117B94" w:rsidRDefault="00117B94" w:rsidP="00117B94">
      <w:pPr>
        <w:rPr>
          <w:b/>
          <w:lang w:val="en-GB"/>
        </w:rPr>
      </w:pPr>
      <w:r w:rsidRPr="00117B94">
        <w:rPr>
          <w:b/>
          <w:lang w:val="en-GB"/>
        </w:rPr>
        <w:t>Measures taken as a result of the study on women in agriculture, increase in the proportion of women in farm management positions</w:t>
      </w:r>
    </w:p>
    <w:p w14:paraId="0C974DFA" w14:textId="19B7404C" w:rsidR="00117B94" w:rsidRPr="00117B94" w:rsidRDefault="00117B94" w:rsidP="00117B94">
      <w:pPr>
        <w:rPr>
          <w:lang w:val="en-GB"/>
        </w:rPr>
      </w:pPr>
      <w:r w:rsidRPr="00117B94">
        <w:rPr>
          <w:lang w:val="en-GB"/>
        </w:rPr>
        <w:t>To increase the proportion of female farm managers, a whole bundle of changes ha</w:t>
      </w:r>
      <w:r w:rsidR="006F7774">
        <w:rPr>
          <w:lang w:val="en-GB"/>
        </w:rPr>
        <w:t>s</w:t>
      </w:r>
      <w:r w:rsidRPr="00117B94">
        <w:rPr>
          <w:lang w:val="en-GB"/>
        </w:rPr>
        <w:t xml:space="preserve"> to take place. First of all, outdated gender roles and traditional inheritance patterns have to be overcome. The </w:t>
      </w:r>
      <w:bookmarkStart w:id="0" w:name="_GoBack"/>
      <w:bookmarkEnd w:id="0"/>
      <w:r w:rsidRPr="00117B94">
        <w:rPr>
          <w:lang w:val="en-GB"/>
        </w:rPr>
        <w:t>study’s findings are that women need empowerment, e. g. by special training courses, mentoring programmes, networking, special advisory services and support for better access to land. The study addresses politicians, women themselves, their partners and families, public and private advisors and educators as well as professional associations and stakeholder bodies. Most recommendations are beyond the responsibility of the Federal Government. However, the Federal Ministry of Food and Agriculture helps spreading the study and seeks to sensitize stakeholders as well as authorities to the necessity of changes.</w:t>
      </w:r>
    </w:p>
    <w:p w14:paraId="2397301C" w14:textId="77777777" w:rsidR="00117B94" w:rsidRPr="00117B94" w:rsidRDefault="00117B94" w:rsidP="00117B94">
      <w:pPr>
        <w:rPr>
          <w:b/>
          <w:lang w:val="en-GB"/>
        </w:rPr>
      </w:pPr>
    </w:p>
    <w:p w14:paraId="7A1D762A" w14:textId="77777777" w:rsidR="00846504" w:rsidRDefault="00117B94" w:rsidP="00E46D22">
      <w:pPr>
        <w:rPr>
          <w:b/>
          <w:lang w:val="en-GB"/>
        </w:rPr>
      </w:pPr>
      <w:r w:rsidRPr="00117B94">
        <w:rPr>
          <w:b/>
          <w:lang w:val="en-GB"/>
        </w:rPr>
        <w:t>Figures on poverty among single parents</w:t>
      </w:r>
    </w:p>
    <w:p w14:paraId="574B1AD9" w14:textId="77777777" w:rsidR="00846504" w:rsidRDefault="00846504" w:rsidP="00846504">
      <w:pPr>
        <w:rPr>
          <w:lang w:val="en-GB"/>
        </w:rPr>
      </w:pPr>
      <w:r w:rsidRPr="00846504">
        <w:rPr>
          <w:lang w:val="en-GB"/>
        </w:rPr>
        <w:t xml:space="preserve">According </w:t>
      </w:r>
      <w:r>
        <w:rPr>
          <w:lang w:val="en-GB"/>
        </w:rPr>
        <w:t xml:space="preserve">to </w:t>
      </w:r>
      <w:r w:rsidRPr="00846504">
        <w:rPr>
          <w:lang w:val="en-GB"/>
        </w:rPr>
        <w:t xml:space="preserve">the Statistics on Income and Living Conditions </w:t>
      </w:r>
      <w:r>
        <w:rPr>
          <w:lang w:val="en-GB"/>
        </w:rPr>
        <w:t>(</w:t>
      </w:r>
      <w:r w:rsidRPr="00846504">
        <w:rPr>
          <w:lang w:val="en-GB"/>
        </w:rPr>
        <w:t>SILC), in 2021, 1.604 million single-parent households existed in Germany, in which 3.952 million persons lived (4.8% of the population in main residence households).</w:t>
      </w:r>
      <w:r>
        <w:rPr>
          <w:lang w:val="en-GB"/>
        </w:rPr>
        <w:t xml:space="preserve"> </w:t>
      </w:r>
      <w:r w:rsidRPr="00846504">
        <w:rPr>
          <w:lang w:val="en-GB"/>
        </w:rPr>
        <w:t>Of the 3.952 million persons in single-parent households, 1.053 million (26.6%) were at risk of poverty.</w:t>
      </w:r>
    </w:p>
    <w:p w14:paraId="7751DEC1" w14:textId="77567E22" w:rsidR="005F659B" w:rsidRDefault="00CD4336" w:rsidP="00846504">
      <w:pPr>
        <w:rPr>
          <w:lang w:val="en-GB"/>
        </w:rPr>
      </w:pPr>
      <w:r w:rsidRPr="00CD4336">
        <w:rPr>
          <w:lang w:val="en-GB"/>
        </w:rPr>
        <w:t>According to the EU definition, a person is considered to be at risk of poverty if they have less than 60% of the mean income (median) of the total population.</w:t>
      </w:r>
      <w:r>
        <w:rPr>
          <w:lang w:val="en-GB"/>
        </w:rPr>
        <w:t xml:space="preserve"> </w:t>
      </w:r>
      <w:r w:rsidRPr="00CD4336">
        <w:rPr>
          <w:lang w:val="en-GB"/>
        </w:rPr>
        <w:t xml:space="preserve">Considered are single parents with child(ren) living in their main residence household. </w:t>
      </w:r>
    </w:p>
    <w:p w14:paraId="1ADB8FD8" w14:textId="77777777" w:rsidR="005F659B" w:rsidRPr="00846504" w:rsidRDefault="005F659B" w:rsidP="00846504">
      <w:pPr>
        <w:rPr>
          <w:lang w:val="en-GB"/>
        </w:rPr>
      </w:pPr>
    </w:p>
    <w:p w14:paraId="253AF32A" w14:textId="77777777" w:rsidR="00283993" w:rsidRPr="00283993" w:rsidRDefault="00283993" w:rsidP="00283993">
      <w:pPr>
        <w:rPr>
          <w:lang w:val="en-GB"/>
        </w:rPr>
      </w:pPr>
      <w:r w:rsidRPr="00283993">
        <w:rPr>
          <w:lang w:val="en-GB"/>
        </w:rPr>
        <w:t>At the Federal Statistical Office Germany, there are currently no analyses available regarding the at-risk-of-poverty rate of divorced women. We will take the question raised by the CEDAW committee as an occasion to produce such analysis as a part of our future work.</w:t>
      </w:r>
    </w:p>
    <w:p w14:paraId="4100AE50" w14:textId="77777777" w:rsidR="003C2986" w:rsidRPr="00E46D22" w:rsidRDefault="003C2986" w:rsidP="00117B94">
      <w:pPr>
        <w:rPr>
          <w:b/>
          <w:lang w:val="en-GB"/>
        </w:rPr>
      </w:pPr>
    </w:p>
    <w:p w14:paraId="522C148B" w14:textId="77777777" w:rsidR="002F347A" w:rsidRDefault="00117B94" w:rsidP="00117B94">
      <w:pPr>
        <w:rPr>
          <w:b/>
          <w:lang w:val="en-GB"/>
        </w:rPr>
      </w:pPr>
      <w:r w:rsidRPr="00117B94">
        <w:rPr>
          <w:b/>
          <w:lang w:val="en-GB"/>
        </w:rPr>
        <w:t>Figures on the division of care work among divorced parents, e.g. "nest model”</w:t>
      </w:r>
    </w:p>
    <w:p w14:paraId="001CFE67" w14:textId="77777777" w:rsidR="00846504" w:rsidRPr="00846504" w:rsidRDefault="00846504" w:rsidP="00846504">
      <w:pPr>
        <w:rPr>
          <w:lang w:val="en-GB"/>
        </w:rPr>
      </w:pPr>
      <w:r w:rsidRPr="00846504">
        <w:rPr>
          <w:lang w:val="en-GB"/>
        </w:rPr>
        <w:t>Official statistics in Germany do not regularly record the shared care of children of separated parents. Only in 2021</w:t>
      </w:r>
      <w:r>
        <w:rPr>
          <w:lang w:val="en-GB"/>
        </w:rPr>
        <w:t>,</w:t>
      </w:r>
      <w:r w:rsidRPr="00846504">
        <w:rPr>
          <w:lang w:val="en-GB"/>
        </w:rPr>
        <w:t xml:space="preserve"> the number of nights a child spends with the separated parent </w:t>
      </w:r>
      <w:r>
        <w:rPr>
          <w:lang w:val="en-GB"/>
        </w:rPr>
        <w:t xml:space="preserve">was </w:t>
      </w:r>
      <w:r w:rsidRPr="00846504">
        <w:rPr>
          <w:lang w:val="en-GB"/>
        </w:rPr>
        <w:t xml:space="preserve">recorded as part of </w:t>
      </w:r>
      <w:proofErr w:type="gramStart"/>
      <w:r w:rsidRPr="00846504">
        <w:rPr>
          <w:lang w:val="en-GB"/>
        </w:rPr>
        <w:t>a</w:t>
      </w:r>
      <w:proofErr w:type="gramEnd"/>
      <w:r w:rsidRPr="00846504">
        <w:rPr>
          <w:lang w:val="en-GB"/>
        </w:rPr>
        <w:t xml:space="preserve"> EU-SILC module with voluntary response. Including information on shared care of children in regular reporting would require the creation of a legal basis mandating official statistics to collect the data.</w:t>
      </w:r>
    </w:p>
    <w:p w14:paraId="73586A17" w14:textId="77777777" w:rsidR="003C2986" w:rsidRPr="003C2986" w:rsidRDefault="003C2986" w:rsidP="003C2986">
      <w:pPr>
        <w:rPr>
          <w:lang w:val="en-GB"/>
        </w:rPr>
      </w:pPr>
      <w:r w:rsidRPr="003C2986">
        <w:rPr>
          <w:lang w:val="en-GB"/>
        </w:rPr>
        <w:t xml:space="preserve">A survey of single parents conducted by </w:t>
      </w:r>
      <w:proofErr w:type="spellStart"/>
      <w:r w:rsidRPr="003C2986">
        <w:rPr>
          <w:lang w:val="en-GB"/>
        </w:rPr>
        <w:t>Allensbach</w:t>
      </w:r>
      <w:proofErr w:type="spellEnd"/>
      <w:r w:rsidRPr="003C2986">
        <w:rPr>
          <w:lang w:val="en-GB"/>
        </w:rPr>
        <w:t xml:space="preserve"> in 2020 (https://www.ifd-allensbach.de/fileadmin/IfD/sonstige_pdfs/8229_Alleinerziehende_Lebenssituation.pdf) revealed the following breakdown of childcare among parents: More than two-thirds (69 percent) of the single mothers and fathers surveyed say they care for their child on at least 25 days in a month, excluding vacations; the average is 27 days of care. Accordingly, the ex-partner takes care of the child on three to four days per month on average. In just under a third (31 percent) of single parents, the other parent takes over a noticeable share of care, with ten days or more.</w:t>
      </w:r>
    </w:p>
    <w:p w14:paraId="21EAE8CC" w14:textId="77777777" w:rsidR="003C2986" w:rsidRPr="003C2986" w:rsidRDefault="003C2986" w:rsidP="003C2986">
      <w:pPr>
        <w:rPr>
          <w:b/>
          <w:lang w:val="en-GB"/>
        </w:rPr>
      </w:pPr>
    </w:p>
    <w:p w14:paraId="4BF1A650" w14:textId="77777777" w:rsidR="00846504" w:rsidRPr="00117B94" w:rsidRDefault="00846504" w:rsidP="003C2986">
      <w:pPr>
        <w:rPr>
          <w:b/>
          <w:lang w:val="en-GB"/>
        </w:rPr>
      </w:pPr>
    </w:p>
    <w:sectPr w:rsidR="00846504" w:rsidRPr="00117B94">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A8E05" w14:textId="77777777" w:rsidR="001F1290" w:rsidRDefault="001F1290" w:rsidP="001F1290">
      <w:pPr>
        <w:spacing w:after="0" w:line="240" w:lineRule="auto"/>
      </w:pPr>
      <w:r>
        <w:separator/>
      </w:r>
    </w:p>
  </w:endnote>
  <w:endnote w:type="continuationSeparator" w:id="0">
    <w:p w14:paraId="59D07130" w14:textId="77777777" w:rsidR="001F1290" w:rsidRDefault="001F1290" w:rsidP="001F1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469511"/>
      <w:docPartObj>
        <w:docPartGallery w:val="Page Numbers (Bottom of Page)"/>
        <w:docPartUnique/>
      </w:docPartObj>
    </w:sdtPr>
    <w:sdtEndPr/>
    <w:sdtContent>
      <w:p w14:paraId="22A9C6DF" w14:textId="77777777" w:rsidR="001F1290" w:rsidRDefault="001F1290">
        <w:pPr>
          <w:pStyle w:val="Fuzeile"/>
          <w:jc w:val="center"/>
        </w:pPr>
        <w:r>
          <w:fldChar w:fldCharType="begin"/>
        </w:r>
        <w:r>
          <w:instrText>PAGE   \* MERGEFORMAT</w:instrText>
        </w:r>
        <w:r>
          <w:fldChar w:fldCharType="separate"/>
        </w:r>
        <w:r>
          <w:t>2</w:t>
        </w:r>
        <w:r>
          <w:fldChar w:fldCharType="end"/>
        </w:r>
      </w:p>
    </w:sdtContent>
  </w:sdt>
  <w:p w14:paraId="663F200B" w14:textId="77777777" w:rsidR="001F1290" w:rsidRDefault="001F129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E657E" w14:textId="77777777" w:rsidR="001F1290" w:rsidRDefault="001F1290" w:rsidP="001F1290">
      <w:pPr>
        <w:spacing w:after="0" w:line="240" w:lineRule="auto"/>
      </w:pPr>
      <w:r>
        <w:separator/>
      </w:r>
    </w:p>
  </w:footnote>
  <w:footnote w:type="continuationSeparator" w:id="0">
    <w:p w14:paraId="34AC8D77" w14:textId="77777777" w:rsidR="001F1290" w:rsidRDefault="001F1290" w:rsidP="001F1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6F5E97"/>
    <w:multiLevelType w:val="multilevel"/>
    <w:tmpl w:val="3DBCB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39C"/>
    <w:rsid w:val="00117B94"/>
    <w:rsid w:val="0016639C"/>
    <w:rsid w:val="001F1290"/>
    <w:rsid w:val="0025783F"/>
    <w:rsid w:val="00283993"/>
    <w:rsid w:val="002F347A"/>
    <w:rsid w:val="003C2986"/>
    <w:rsid w:val="003C51B7"/>
    <w:rsid w:val="004D5ACE"/>
    <w:rsid w:val="004F3678"/>
    <w:rsid w:val="005662B6"/>
    <w:rsid w:val="005F659B"/>
    <w:rsid w:val="006A513C"/>
    <w:rsid w:val="006F7774"/>
    <w:rsid w:val="007B5DA0"/>
    <w:rsid w:val="00846504"/>
    <w:rsid w:val="00C029DF"/>
    <w:rsid w:val="00CD4336"/>
    <w:rsid w:val="00DE1CBC"/>
    <w:rsid w:val="00E37AB4"/>
    <w:rsid w:val="00E46D22"/>
    <w:rsid w:val="00E90C81"/>
    <w:rsid w:val="00F17A84"/>
    <w:rsid w:val="00F24C7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F5F0F"/>
  <w15:chartTrackingRefBased/>
  <w15:docId w15:val="{EDDAD117-8CB7-46A3-9D56-2BDCB625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F129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F1290"/>
  </w:style>
  <w:style w:type="paragraph" w:styleId="Fuzeile">
    <w:name w:val="footer"/>
    <w:basedOn w:val="Standard"/>
    <w:link w:val="FuzeileZchn"/>
    <w:uiPriority w:val="99"/>
    <w:unhideWhenUsed/>
    <w:rsid w:val="001F129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F1290"/>
  </w:style>
  <w:style w:type="table" w:customStyle="1" w:styleId="TableNormal">
    <w:name w:val="Table Normal"/>
    <w:uiPriority w:val="2"/>
    <w:semiHidden/>
    <w:unhideWhenUsed/>
    <w:qFormat/>
    <w:rsid w:val="00E46D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yperlink">
    <w:name w:val="Hyperlink"/>
    <w:basedOn w:val="Absatz-Standardschriftart"/>
    <w:uiPriority w:val="99"/>
    <w:unhideWhenUsed/>
    <w:rsid w:val="003C2986"/>
    <w:rPr>
      <w:color w:val="0563C1" w:themeColor="hyperlink"/>
      <w:u w:val="single"/>
    </w:rPr>
  </w:style>
  <w:style w:type="character" w:styleId="NichtaufgelsteErwhnung">
    <w:name w:val="Unresolved Mention"/>
    <w:basedOn w:val="Absatz-Standardschriftart"/>
    <w:uiPriority w:val="99"/>
    <w:semiHidden/>
    <w:unhideWhenUsed/>
    <w:rsid w:val="003C2986"/>
    <w:rPr>
      <w:color w:val="605E5C"/>
      <w:shd w:val="clear" w:color="auto" w:fill="E1DFDD"/>
    </w:rPr>
  </w:style>
  <w:style w:type="character" w:styleId="Kommentarzeichen">
    <w:name w:val="annotation reference"/>
    <w:basedOn w:val="Absatz-Standardschriftart"/>
    <w:uiPriority w:val="99"/>
    <w:semiHidden/>
    <w:unhideWhenUsed/>
    <w:rsid w:val="00E37AB4"/>
    <w:rPr>
      <w:sz w:val="16"/>
      <w:szCs w:val="16"/>
    </w:rPr>
  </w:style>
  <w:style w:type="paragraph" w:styleId="Kommentartext">
    <w:name w:val="annotation text"/>
    <w:basedOn w:val="Standard"/>
    <w:link w:val="KommentartextZchn"/>
    <w:uiPriority w:val="99"/>
    <w:semiHidden/>
    <w:unhideWhenUsed/>
    <w:rsid w:val="00E37AB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E37AB4"/>
    <w:rPr>
      <w:sz w:val="20"/>
      <w:szCs w:val="20"/>
    </w:rPr>
  </w:style>
  <w:style w:type="paragraph" w:styleId="Kommentarthema">
    <w:name w:val="annotation subject"/>
    <w:basedOn w:val="Kommentartext"/>
    <w:next w:val="Kommentartext"/>
    <w:link w:val="KommentarthemaZchn"/>
    <w:uiPriority w:val="99"/>
    <w:semiHidden/>
    <w:unhideWhenUsed/>
    <w:rsid w:val="00E37AB4"/>
    <w:rPr>
      <w:b/>
      <w:bCs/>
    </w:rPr>
  </w:style>
  <w:style w:type="character" w:customStyle="1" w:styleId="KommentarthemaZchn">
    <w:name w:val="Kommentarthema Zchn"/>
    <w:basedOn w:val="KommentartextZchn"/>
    <w:link w:val="Kommentarthema"/>
    <w:uiPriority w:val="99"/>
    <w:semiHidden/>
    <w:rsid w:val="00E37AB4"/>
    <w:rPr>
      <w:b/>
      <w:bCs/>
      <w:sz w:val="20"/>
      <w:szCs w:val="20"/>
    </w:rPr>
  </w:style>
  <w:style w:type="paragraph" w:styleId="Sprechblasentext">
    <w:name w:val="Balloon Text"/>
    <w:basedOn w:val="Standard"/>
    <w:link w:val="SprechblasentextZchn"/>
    <w:uiPriority w:val="99"/>
    <w:semiHidden/>
    <w:unhideWhenUsed/>
    <w:rsid w:val="00E37AB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37A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01603">
      <w:bodyDiv w:val="1"/>
      <w:marLeft w:val="0"/>
      <w:marRight w:val="0"/>
      <w:marTop w:val="0"/>
      <w:marBottom w:val="0"/>
      <w:divBdr>
        <w:top w:val="none" w:sz="0" w:space="0" w:color="auto"/>
        <w:left w:val="none" w:sz="0" w:space="0" w:color="auto"/>
        <w:bottom w:val="none" w:sz="0" w:space="0" w:color="auto"/>
        <w:right w:val="none" w:sz="0" w:space="0" w:color="auto"/>
      </w:divBdr>
    </w:div>
    <w:div w:id="192503392">
      <w:bodyDiv w:val="1"/>
      <w:marLeft w:val="0"/>
      <w:marRight w:val="0"/>
      <w:marTop w:val="0"/>
      <w:marBottom w:val="0"/>
      <w:divBdr>
        <w:top w:val="none" w:sz="0" w:space="0" w:color="auto"/>
        <w:left w:val="none" w:sz="0" w:space="0" w:color="auto"/>
        <w:bottom w:val="none" w:sz="0" w:space="0" w:color="auto"/>
        <w:right w:val="none" w:sz="0" w:space="0" w:color="auto"/>
      </w:divBdr>
    </w:div>
    <w:div w:id="603346639">
      <w:bodyDiv w:val="1"/>
      <w:marLeft w:val="0"/>
      <w:marRight w:val="0"/>
      <w:marTop w:val="0"/>
      <w:marBottom w:val="0"/>
      <w:divBdr>
        <w:top w:val="none" w:sz="0" w:space="0" w:color="auto"/>
        <w:left w:val="none" w:sz="0" w:space="0" w:color="auto"/>
        <w:bottom w:val="none" w:sz="0" w:space="0" w:color="auto"/>
        <w:right w:val="none" w:sz="0" w:space="0" w:color="auto"/>
      </w:divBdr>
    </w:div>
    <w:div w:id="704519460">
      <w:bodyDiv w:val="1"/>
      <w:marLeft w:val="0"/>
      <w:marRight w:val="0"/>
      <w:marTop w:val="0"/>
      <w:marBottom w:val="0"/>
      <w:divBdr>
        <w:top w:val="none" w:sz="0" w:space="0" w:color="auto"/>
        <w:left w:val="none" w:sz="0" w:space="0" w:color="auto"/>
        <w:bottom w:val="none" w:sz="0" w:space="0" w:color="auto"/>
        <w:right w:val="none" w:sz="0" w:space="0" w:color="auto"/>
      </w:divBdr>
    </w:div>
    <w:div w:id="962422233">
      <w:bodyDiv w:val="1"/>
      <w:marLeft w:val="0"/>
      <w:marRight w:val="0"/>
      <w:marTop w:val="0"/>
      <w:marBottom w:val="0"/>
      <w:divBdr>
        <w:top w:val="none" w:sz="0" w:space="0" w:color="auto"/>
        <w:left w:val="none" w:sz="0" w:space="0" w:color="auto"/>
        <w:bottom w:val="none" w:sz="0" w:space="0" w:color="auto"/>
        <w:right w:val="none" w:sz="0" w:space="0" w:color="auto"/>
      </w:divBdr>
    </w:div>
    <w:div w:id="975912782">
      <w:bodyDiv w:val="1"/>
      <w:marLeft w:val="0"/>
      <w:marRight w:val="0"/>
      <w:marTop w:val="0"/>
      <w:marBottom w:val="0"/>
      <w:divBdr>
        <w:top w:val="none" w:sz="0" w:space="0" w:color="auto"/>
        <w:left w:val="none" w:sz="0" w:space="0" w:color="auto"/>
        <w:bottom w:val="none" w:sz="0" w:space="0" w:color="auto"/>
        <w:right w:val="none" w:sz="0" w:space="0" w:color="auto"/>
      </w:divBdr>
    </w:div>
    <w:div w:id="1083069042">
      <w:bodyDiv w:val="1"/>
      <w:marLeft w:val="0"/>
      <w:marRight w:val="0"/>
      <w:marTop w:val="0"/>
      <w:marBottom w:val="0"/>
      <w:divBdr>
        <w:top w:val="none" w:sz="0" w:space="0" w:color="auto"/>
        <w:left w:val="none" w:sz="0" w:space="0" w:color="auto"/>
        <w:bottom w:val="none" w:sz="0" w:space="0" w:color="auto"/>
        <w:right w:val="none" w:sz="0" w:space="0" w:color="auto"/>
      </w:divBdr>
    </w:div>
    <w:div w:id="1243829106">
      <w:bodyDiv w:val="1"/>
      <w:marLeft w:val="0"/>
      <w:marRight w:val="0"/>
      <w:marTop w:val="0"/>
      <w:marBottom w:val="0"/>
      <w:divBdr>
        <w:top w:val="none" w:sz="0" w:space="0" w:color="auto"/>
        <w:left w:val="none" w:sz="0" w:space="0" w:color="auto"/>
        <w:bottom w:val="none" w:sz="0" w:space="0" w:color="auto"/>
        <w:right w:val="none" w:sz="0" w:space="0" w:color="auto"/>
      </w:divBdr>
    </w:div>
    <w:div w:id="1320767331">
      <w:bodyDiv w:val="1"/>
      <w:marLeft w:val="0"/>
      <w:marRight w:val="0"/>
      <w:marTop w:val="0"/>
      <w:marBottom w:val="0"/>
      <w:divBdr>
        <w:top w:val="none" w:sz="0" w:space="0" w:color="auto"/>
        <w:left w:val="none" w:sz="0" w:space="0" w:color="auto"/>
        <w:bottom w:val="none" w:sz="0" w:space="0" w:color="auto"/>
        <w:right w:val="none" w:sz="0" w:space="0" w:color="auto"/>
      </w:divBdr>
    </w:div>
    <w:div w:id="1419445645">
      <w:bodyDiv w:val="1"/>
      <w:marLeft w:val="0"/>
      <w:marRight w:val="0"/>
      <w:marTop w:val="0"/>
      <w:marBottom w:val="0"/>
      <w:divBdr>
        <w:top w:val="none" w:sz="0" w:space="0" w:color="auto"/>
        <w:left w:val="none" w:sz="0" w:space="0" w:color="auto"/>
        <w:bottom w:val="none" w:sz="0" w:space="0" w:color="auto"/>
        <w:right w:val="none" w:sz="0" w:space="0" w:color="auto"/>
      </w:divBdr>
    </w:div>
    <w:div w:id="1738477442">
      <w:bodyDiv w:val="1"/>
      <w:marLeft w:val="0"/>
      <w:marRight w:val="0"/>
      <w:marTop w:val="0"/>
      <w:marBottom w:val="0"/>
      <w:divBdr>
        <w:top w:val="none" w:sz="0" w:space="0" w:color="auto"/>
        <w:left w:val="none" w:sz="0" w:space="0" w:color="auto"/>
        <w:bottom w:val="none" w:sz="0" w:space="0" w:color="auto"/>
        <w:right w:val="none" w:sz="0" w:space="0" w:color="auto"/>
      </w:divBdr>
    </w:div>
    <w:div w:id="1880434700">
      <w:bodyDiv w:val="1"/>
      <w:marLeft w:val="0"/>
      <w:marRight w:val="0"/>
      <w:marTop w:val="0"/>
      <w:marBottom w:val="0"/>
      <w:divBdr>
        <w:top w:val="none" w:sz="0" w:space="0" w:color="auto"/>
        <w:left w:val="none" w:sz="0" w:space="0" w:color="auto"/>
        <w:bottom w:val="none" w:sz="0" w:space="0" w:color="auto"/>
        <w:right w:val="none" w:sz="0" w:space="0" w:color="auto"/>
      </w:divBdr>
    </w:div>
    <w:div w:id="199645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1386</Words>
  <Characters>8733</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BMFSFJ</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Dahs, Waltraud</dc:creator>
  <cp:keywords/>
  <dc:description/>
  <cp:lastModifiedBy>Dahs, Waltraud</cp:lastModifiedBy>
  <cp:revision>6</cp:revision>
  <dcterms:created xsi:type="dcterms:W3CDTF">2023-05-12T12:38:00Z</dcterms:created>
  <dcterms:modified xsi:type="dcterms:W3CDTF">2023-05-12T14:17:00Z</dcterms:modified>
</cp:coreProperties>
</file>