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62559" w14:textId="77777777" w:rsidR="000D05C0" w:rsidRDefault="000D05C0" w:rsidP="008A4400">
      <w:pPr>
        <w:spacing w:line="360" w:lineRule="auto"/>
        <w:jc w:val="both"/>
        <w:rPr>
          <w:rFonts w:ascii="Times New Roman" w:eastAsia="Times New Roman" w:hAnsi="Times New Roman" w:cs="Times New Roman"/>
          <w:color w:val="FF0000"/>
          <w:szCs w:val="24"/>
        </w:rPr>
        <w:sectPr w:rsidR="000D05C0">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pPr>
    </w:p>
    <w:p w14:paraId="00000002" w14:textId="77777777" w:rsidR="00914CCC" w:rsidRPr="008A4400" w:rsidRDefault="00914CCC" w:rsidP="008A4400">
      <w:pPr>
        <w:spacing w:line="360" w:lineRule="auto"/>
        <w:jc w:val="both"/>
        <w:rPr>
          <w:rFonts w:ascii="Times New Roman" w:eastAsia="Times New Roman" w:hAnsi="Times New Roman" w:cs="Times New Roman"/>
          <w:szCs w:val="24"/>
        </w:rPr>
      </w:pPr>
    </w:p>
    <w:p w14:paraId="00000003" w14:textId="77777777" w:rsidR="00914CCC" w:rsidRPr="008A4400" w:rsidRDefault="00914CCC" w:rsidP="008A4400">
      <w:pPr>
        <w:spacing w:line="360" w:lineRule="auto"/>
        <w:jc w:val="both"/>
        <w:rPr>
          <w:rFonts w:ascii="Times New Roman" w:eastAsia="Times New Roman" w:hAnsi="Times New Roman" w:cs="Times New Roman"/>
          <w:szCs w:val="24"/>
        </w:rPr>
      </w:pPr>
    </w:p>
    <w:p w14:paraId="00000004" w14:textId="49D4729B" w:rsidR="00914CCC" w:rsidRPr="008A4400" w:rsidRDefault="00956C27" w:rsidP="008A4400">
      <w:pPr>
        <w:spacing w:line="360" w:lineRule="auto"/>
        <w:ind w:left="360"/>
        <w:jc w:val="center"/>
        <w:rPr>
          <w:rFonts w:ascii="Times New Roman" w:eastAsia="Times New Roman" w:hAnsi="Times New Roman" w:cs="Times New Roman"/>
          <w:szCs w:val="24"/>
          <w:vertAlign w:val="superscript"/>
        </w:rPr>
      </w:pPr>
      <w:r w:rsidRPr="008A4400">
        <w:rPr>
          <w:rFonts w:ascii="Times New Roman" w:eastAsia="Times New Roman" w:hAnsi="Times New Roman" w:cs="Times New Roman"/>
          <w:szCs w:val="24"/>
        </w:rPr>
        <w:t xml:space="preserve">INFORME ALTERNATIVO </w:t>
      </w:r>
      <w:r w:rsidR="002653AB">
        <w:rPr>
          <w:rFonts w:ascii="Times New Roman" w:eastAsia="Times New Roman" w:hAnsi="Times New Roman" w:cs="Times New Roman"/>
          <w:szCs w:val="24"/>
        </w:rPr>
        <w:t xml:space="preserve">de SEGUIMIENTO </w:t>
      </w:r>
      <w:r w:rsidRPr="008A4400">
        <w:rPr>
          <w:rFonts w:ascii="Times New Roman" w:eastAsia="Times New Roman" w:hAnsi="Times New Roman" w:cs="Times New Roman"/>
          <w:szCs w:val="24"/>
        </w:rPr>
        <w:t>PARA EL COMITÉ CERD. URUGUAY</w:t>
      </w:r>
      <w:r w:rsidRPr="008A4400">
        <w:rPr>
          <w:rFonts w:ascii="Times New Roman" w:eastAsia="Times New Roman" w:hAnsi="Times New Roman" w:cs="Times New Roman"/>
          <w:szCs w:val="24"/>
          <w:vertAlign w:val="superscript"/>
        </w:rPr>
        <w:footnoteReference w:id="1"/>
      </w:r>
    </w:p>
    <w:p w14:paraId="221916D2" w14:textId="77777777" w:rsidR="008A4400" w:rsidRDefault="00956C27" w:rsidP="008A4400">
      <w:pPr>
        <w:spacing w:line="360" w:lineRule="auto"/>
        <w:ind w:left="360"/>
        <w:jc w:val="both"/>
        <w:rPr>
          <w:rFonts w:ascii="Times New Roman" w:eastAsia="Times New Roman" w:hAnsi="Times New Roman" w:cs="Times New Roman"/>
          <w:szCs w:val="24"/>
        </w:rPr>
      </w:pPr>
      <w:r w:rsidRPr="008A4400">
        <w:rPr>
          <w:rFonts w:ascii="Times New Roman" w:eastAsia="Times New Roman" w:hAnsi="Times New Roman" w:cs="Times New Roman"/>
          <w:szCs w:val="24"/>
        </w:rPr>
        <w:t xml:space="preserve"> </w:t>
      </w:r>
    </w:p>
    <w:p w14:paraId="00000007" w14:textId="203165BF" w:rsidR="00914CCC" w:rsidRPr="008A4400" w:rsidRDefault="00956C27" w:rsidP="008A4400">
      <w:pPr>
        <w:spacing w:line="360" w:lineRule="auto"/>
        <w:ind w:left="360"/>
        <w:jc w:val="center"/>
        <w:rPr>
          <w:rFonts w:ascii="Times New Roman" w:eastAsia="Times New Roman" w:hAnsi="Times New Roman" w:cs="Times New Roman"/>
          <w:szCs w:val="24"/>
        </w:rPr>
      </w:pPr>
      <w:r w:rsidRPr="008A4400">
        <w:rPr>
          <w:rFonts w:ascii="Times New Roman" w:eastAsia="Times New Roman" w:hAnsi="Times New Roman" w:cs="Times New Roman"/>
          <w:szCs w:val="24"/>
        </w:rPr>
        <w:t>PRESENTACIÓN</w:t>
      </w:r>
    </w:p>
    <w:p w14:paraId="00000008" w14:textId="77777777" w:rsidR="00914CCC" w:rsidRPr="008A4400" w:rsidRDefault="00956C27" w:rsidP="008A4400">
      <w:pPr>
        <w:spacing w:after="120" w:line="360" w:lineRule="auto"/>
        <w:jc w:val="both"/>
        <w:rPr>
          <w:rFonts w:ascii="Times New Roman" w:eastAsia="Times New Roman" w:hAnsi="Times New Roman" w:cs="Times New Roman"/>
          <w:szCs w:val="24"/>
        </w:rPr>
      </w:pPr>
      <w:r w:rsidRPr="008A4400">
        <w:rPr>
          <w:rFonts w:ascii="Times New Roman" w:eastAsia="Times New Roman" w:hAnsi="Times New Roman" w:cs="Times New Roman"/>
          <w:szCs w:val="24"/>
        </w:rPr>
        <w:t xml:space="preserve"> </w:t>
      </w:r>
    </w:p>
    <w:p w14:paraId="1FA7FF0C" w14:textId="595144D6" w:rsidR="002653AB" w:rsidRDefault="00956C27" w:rsidP="008A4400">
      <w:pPr>
        <w:spacing w:line="360" w:lineRule="auto"/>
        <w:jc w:val="both"/>
        <w:rPr>
          <w:rFonts w:ascii="Times New Roman" w:eastAsia="Times New Roman" w:hAnsi="Times New Roman" w:cs="Times New Roman"/>
          <w:szCs w:val="24"/>
          <w:lang w:val="es-MX"/>
        </w:rPr>
      </w:pPr>
      <w:r w:rsidRPr="008A4400">
        <w:rPr>
          <w:rFonts w:ascii="Times New Roman" w:eastAsia="Times New Roman" w:hAnsi="Times New Roman" w:cs="Times New Roman"/>
          <w:szCs w:val="24"/>
        </w:rPr>
        <w:t xml:space="preserve">Este Informe se </w:t>
      </w:r>
      <w:r w:rsidR="002653AB">
        <w:rPr>
          <w:rFonts w:ascii="Times New Roman" w:eastAsia="Times New Roman" w:hAnsi="Times New Roman" w:cs="Times New Roman"/>
          <w:szCs w:val="24"/>
        </w:rPr>
        <w:t xml:space="preserve">realiza en seguimiento a las recomendaciones realizadas a la República Oriental del Uruguay </w:t>
      </w:r>
      <w:r w:rsidR="002653AB">
        <w:rPr>
          <w:rFonts w:ascii="Times New Roman" w:eastAsia="Times New Roman" w:hAnsi="Times New Roman" w:cs="Times New Roman"/>
          <w:szCs w:val="24"/>
          <w:lang w:val="es-MX"/>
        </w:rPr>
        <w:t xml:space="preserve">por el Comité el 31 de agosto de 2023 </w:t>
      </w:r>
      <w:r w:rsidR="002653AB">
        <w:rPr>
          <w:rFonts w:ascii="Times New Roman" w:eastAsia="Times New Roman" w:hAnsi="Times New Roman" w:cs="Times New Roman"/>
          <w:szCs w:val="24"/>
        </w:rPr>
        <w:t>(</w:t>
      </w:r>
      <w:r w:rsidR="002653AB" w:rsidRPr="002653AB">
        <w:rPr>
          <w:rFonts w:ascii="Times New Roman" w:eastAsia="Times New Roman" w:hAnsi="Times New Roman" w:cs="Times New Roman"/>
          <w:szCs w:val="24"/>
          <w:lang w:val="es-MX"/>
        </w:rPr>
        <w:t>CERD/C/URY/CO/24-26</w:t>
      </w:r>
      <w:r w:rsidR="002653AB">
        <w:rPr>
          <w:rFonts w:ascii="Times New Roman" w:eastAsia="Times New Roman" w:hAnsi="Times New Roman" w:cs="Times New Roman"/>
          <w:szCs w:val="24"/>
          <w:lang w:val="es-MX"/>
        </w:rPr>
        <w:t xml:space="preserve">). Refieren a la recomendaciones </w:t>
      </w:r>
      <w:r w:rsidR="00627117">
        <w:rPr>
          <w:rFonts w:ascii="Times New Roman" w:eastAsia="Times New Roman" w:hAnsi="Times New Roman" w:cs="Times New Roman"/>
          <w:szCs w:val="24"/>
          <w:lang w:val="es-MX"/>
        </w:rPr>
        <w:t xml:space="preserve">del  </w:t>
      </w:r>
      <w:r w:rsidR="002653AB">
        <w:rPr>
          <w:rFonts w:ascii="Times New Roman" w:eastAsia="Times New Roman" w:hAnsi="Times New Roman" w:cs="Times New Roman"/>
          <w:szCs w:val="24"/>
          <w:lang w:val="es-MX"/>
        </w:rPr>
        <w:t xml:space="preserve">párrafo 26, 26 c, 26 e y 30 párrafo c  en el plazo de un año a partir de la adopción de las observaciones. </w:t>
      </w:r>
    </w:p>
    <w:p w14:paraId="446833A0" w14:textId="7FC451CE" w:rsidR="002653AB" w:rsidRDefault="002653AB" w:rsidP="008A4400">
      <w:pPr>
        <w:spacing w:line="360" w:lineRule="auto"/>
        <w:jc w:val="both"/>
        <w:rPr>
          <w:rFonts w:ascii="Times New Roman" w:eastAsia="Times New Roman" w:hAnsi="Times New Roman" w:cs="Times New Roman"/>
          <w:szCs w:val="24"/>
          <w:lang w:val="es-MX"/>
        </w:rPr>
      </w:pPr>
      <w:r>
        <w:rPr>
          <w:rFonts w:ascii="Times New Roman" w:eastAsia="Times New Roman" w:hAnsi="Times New Roman" w:cs="Times New Roman"/>
          <w:szCs w:val="24"/>
          <w:lang w:val="es-MX"/>
        </w:rPr>
        <w:t>En cuanto las más urgentes e integrales en su alcance y conceptualizac</w:t>
      </w:r>
      <w:r w:rsidR="00627117">
        <w:rPr>
          <w:rFonts w:ascii="Times New Roman" w:eastAsia="Times New Roman" w:hAnsi="Times New Roman" w:cs="Times New Roman"/>
          <w:szCs w:val="24"/>
          <w:lang w:val="es-MX"/>
        </w:rPr>
        <w:t>i</w:t>
      </w:r>
      <w:r>
        <w:rPr>
          <w:rFonts w:ascii="Times New Roman" w:eastAsia="Times New Roman" w:hAnsi="Times New Roman" w:cs="Times New Roman"/>
          <w:szCs w:val="24"/>
          <w:lang w:val="es-MX"/>
        </w:rPr>
        <w:t>ón para eliminar la des</w:t>
      </w:r>
      <w:r w:rsidR="00627117">
        <w:rPr>
          <w:rFonts w:ascii="Times New Roman" w:eastAsia="Times New Roman" w:hAnsi="Times New Roman" w:cs="Times New Roman"/>
          <w:szCs w:val="24"/>
          <w:lang w:val="es-MX"/>
        </w:rPr>
        <w:t>i</w:t>
      </w:r>
      <w:r>
        <w:rPr>
          <w:rFonts w:ascii="Times New Roman" w:eastAsia="Times New Roman" w:hAnsi="Times New Roman" w:cs="Times New Roman"/>
          <w:szCs w:val="24"/>
          <w:lang w:val="es-MX"/>
        </w:rPr>
        <w:t>gualdad estructural existente en el país en perjuicio de la población afrodescendiente que afecta especialmente a mujeres, niñas y adolescentes afrouruguayas así como la insuficiente, ineficaz y segmentada respuesta de protección para eliminar las desigualdades, la pobreza y con ella</w:t>
      </w:r>
      <w:r w:rsidR="00627117">
        <w:rPr>
          <w:rFonts w:ascii="Times New Roman" w:eastAsia="Times New Roman" w:hAnsi="Times New Roman" w:cs="Times New Roman"/>
          <w:szCs w:val="24"/>
          <w:lang w:val="es-MX"/>
        </w:rPr>
        <w:t>,</w:t>
      </w:r>
      <w:r>
        <w:rPr>
          <w:rFonts w:ascii="Times New Roman" w:eastAsia="Times New Roman" w:hAnsi="Times New Roman" w:cs="Times New Roman"/>
          <w:szCs w:val="24"/>
          <w:lang w:val="es-MX"/>
        </w:rPr>
        <w:t xml:space="preserve"> la brecha persistente de acceso a la educación, vivienda, empleo decente, acceso a la salud, acceso a la justicia, entre otros derechos vulnerados, esta Coalición entiende necesario informar al </w:t>
      </w:r>
      <w:r w:rsidR="00627117">
        <w:rPr>
          <w:rFonts w:ascii="Times New Roman" w:eastAsia="Times New Roman" w:hAnsi="Times New Roman" w:cs="Times New Roman"/>
          <w:szCs w:val="24"/>
          <w:lang w:val="es-MX"/>
        </w:rPr>
        <w:t>C</w:t>
      </w:r>
      <w:r>
        <w:rPr>
          <w:rFonts w:ascii="Times New Roman" w:eastAsia="Times New Roman" w:hAnsi="Times New Roman" w:cs="Times New Roman"/>
          <w:szCs w:val="24"/>
          <w:lang w:val="es-MX"/>
        </w:rPr>
        <w:t>omité sobre la actualización que ha realizado el Estado al cumplirse el plazo de un año.</w:t>
      </w:r>
    </w:p>
    <w:p w14:paraId="4C005B0B" w14:textId="42F29792" w:rsidR="002653AB" w:rsidRPr="002653AB" w:rsidRDefault="002653AB" w:rsidP="002653AB">
      <w:pPr>
        <w:pStyle w:val="Prrafodelista"/>
        <w:numPr>
          <w:ilvl w:val="0"/>
          <w:numId w:val="1"/>
        </w:numPr>
        <w:spacing w:line="360" w:lineRule="auto"/>
        <w:jc w:val="both"/>
        <w:rPr>
          <w:rFonts w:ascii="Times New Roman" w:eastAsia="Times New Roman" w:hAnsi="Times New Roman" w:cs="Times New Roman"/>
          <w:szCs w:val="24"/>
          <w:lang w:val="es-MX"/>
        </w:rPr>
      </w:pPr>
      <w:r w:rsidRPr="002653AB">
        <w:rPr>
          <w:rFonts w:ascii="Times New Roman" w:eastAsia="Times New Roman" w:hAnsi="Times New Roman" w:cs="Times New Roman"/>
          <w:szCs w:val="24"/>
          <w:lang w:val="es-MX"/>
        </w:rPr>
        <w:t>El Estado ha cumplido con la debida diligencia e informado en plazo  al Comité. En el aspecto formal ha sido satisfactorio.</w:t>
      </w:r>
    </w:p>
    <w:p w14:paraId="47790990" w14:textId="2D96ADAB" w:rsidR="002653AB" w:rsidRDefault="002653AB" w:rsidP="002653AB">
      <w:pPr>
        <w:pStyle w:val="Prrafodelista"/>
        <w:numPr>
          <w:ilvl w:val="0"/>
          <w:numId w:val="1"/>
        </w:numPr>
        <w:spacing w:line="360" w:lineRule="auto"/>
        <w:jc w:val="both"/>
        <w:rPr>
          <w:rFonts w:ascii="Times New Roman" w:eastAsia="Times New Roman" w:hAnsi="Times New Roman" w:cs="Times New Roman"/>
          <w:szCs w:val="24"/>
          <w:lang w:val="es-MX"/>
        </w:rPr>
      </w:pPr>
      <w:r>
        <w:rPr>
          <w:rFonts w:ascii="Times New Roman" w:eastAsia="Times New Roman" w:hAnsi="Times New Roman" w:cs="Times New Roman"/>
          <w:szCs w:val="24"/>
          <w:lang w:val="es-MX"/>
        </w:rPr>
        <w:t>No resulta satisfactoria la actualización e información de avance de cumplimiento de las recomendaciones mencionadas.</w:t>
      </w:r>
    </w:p>
    <w:p w14:paraId="25D48405" w14:textId="5A46DAFA" w:rsidR="002653AB" w:rsidRDefault="002653AB" w:rsidP="002653AB">
      <w:pPr>
        <w:pStyle w:val="Prrafodelista"/>
        <w:numPr>
          <w:ilvl w:val="0"/>
          <w:numId w:val="1"/>
        </w:numPr>
        <w:spacing w:line="360" w:lineRule="auto"/>
        <w:jc w:val="both"/>
        <w:rPr>
          <w:rFonts w:ascii="Times New Roman" w:eastAsia="Times New Roman" w:hAnsi="Times New Roman" w:cs="Times New Roman"/>
          <w:szCs w:val="24"/>
          <w:lang w:val="es-MX"/>
        </w:rPr>
      </w:pPr>
      <w:r>
        <w:rPr>
          <w:rFonts w:ascii="Times New Roman" w:eastAsia="Times New Roman" w:hAnsi="Times New Roman" w:cs="Times New Roman"/>
          <w:szCs w:val="24"/>
          <w:lang w:val="es-MX"/>
        </w:rPr>
        <w:t>La información es confusa,  imprecisa e insuficiente para evaluar el cumplimiento y avance de del  diseño e implementación de una estrategia integral contra la pobreza infantil que afecte a la población afrodescendiente considerando elementos de acceso a la educación, salud alimentación y que contribuya a eliminar el trabajo intantil  (literal c del pá</w:t>
      </w:r>
      <w:r w:rsidR="00627117">
        <w:rPr>
          <w:rFonts w:ascii="Times New Roman" w:eastAsia="Times New Roman" w:hAnsi="Times New Roman" w:cs="Times New Roman"/>
          <w:szCs w:val="24"/>
          <w:lang w:val="es-MX"/>
        </w:rPr>
        <w:t>r</w:t>
      </w:r>
      <w:r>
        <w:rPr>
          <w:rFonts w:ascii="Times New Roman" w:eastAsia="Times New Roman" w:hAnsi="Times New Roman" w:cs="Times New Roman"/>
          <w:szCs w:val="24"/>
          <w:lang w:val="es-MX"/>
        </w:rPr>
        <w:t>rafo 26).</w:t>
      </w:r>
    </w:p>
    <w:p w14:paraId="394AD177" w14:textId="4A85EE68" w:rsidR="002653AB" w:rsidRDefault="002653AB" w:rsidP="002653AB">
      <w:pPr>
        <w:pStyle w:val="Prrafodelista"/>
        <w:numPr>
          <w:ilvl w:val="0"/>
          <w:numId w:val="1"/>
        </w:numPr>
        <w:spacing w:line="360" w:lineRule="auto"/>
        <w:jc w:val="both"/>
        <w:rPr>
          <w:rFonts w:ascii="Times New Roman" w:eastAsia="Times New Roman" w:hAnsi="Times New Roman" w:cs="Times New Roman"/>
          <w:szCs w:val="24"/>
          <w:lang w:val="es-MX"/>
        </w:rPr>
      </w:pPr>
      <w:r>
        <w:rPr>
          <w:rFonts w:ascii="Times New Roman" w:eastAsia="Times New Roman" w:hAnsi="Times New Roman" w:cs="Times New Roman"/>
          <w:szCs w:val="24"/>
          <w:lang w:val="es-MX"/>
        </w:rPr>
        <w:t xml:space="preserve">A esta coalición le preocupa la ausencia de un dato relevante: en el país hay 150.000 niños en situación de pobreza, </w:t>
      </w:r>
      <w:r w:rsidR="00F703A4">
        <w:rPr>
          <w:rFonts w:ascii="Times New Roman" w:eastAsia="Times New Roman" w:hAnsi="Times New Roman" w:cs="Times New Roman"/>
          <w:szCs w:val="24"/>
          <w:lang w:val="es-MX"/>
        </w:rPr>
        <w:t>uno de cada cinco niños es pobre en Uruguay, vi</w:t>
      </w:r>
      <w:r w:rsidR="007E32EA">
        <w:rPr>
          <w:rFonts w:ascii="Times New Roman" w:eastAsia="Times New Roman" w:hAnsi="Times New Roman" w:cs="Times New Roman"/>
          <w:szCs w:val="24"/>
          <w:lang w:val="es-MX"/>
        </w:rPr>
        <w:t>v</w:t>
      </w:r>
      <w:r w:rsidR="00F703A4">
        <w:rPr>
          <w:rFonts w:ascii="Times New Roman" w:eastAsia="Times New Roman" w:hAnsi="Times New Roman" w:cs="Times New Roman"/>
          <w:szCs w:val="24"/>
          <w:lang w:val="es-MX"/>
        </w:rPr>
        <w:t>e</w:t>
      </w:r>
      <w:r w:rsidR="00627117">
        <w:rPr>
          <w:rFonts w:ascii="Times New Roman" w:eastAsia="Times New Roman" w:hAnsi="Times New Roman" w:cs="Times New Roman"/>
          <w:szCs w:val="24"/>
          <w:lang w:val="es-MX"/>
        </w:rPr>
        <w:t>n</w:t>
      </w:r>
      <w:r w:rsidR="00F703A4">
        <w:rPr>
          <w:rFonts w:ascii="Times New Roman" w:eastAsia="Times New Roman" w:hAnsi="Times New Roman" w:cs="Times New Roman"/>
          <w:szCs w:val="24"/>
          <w:lang w:val="es-MX"/>
        </w:rPr>
        <w:t xml:space="preserve"> inseguridad alimentaria, no tiene</w:t>
      </w:r>
      <w:r w:rsidR="00627117">
        <w:rPr>
          <w:rFonts w:ascii="Times New Roman" w:eastAsia="Times New Roman" w:hAnsi="Times New Roman" w:cs="Times New Roman"/>
          <w:szCs w:val="24"/>
          <w:lang w:val="es-MX"/>
        </w:rPr>
        <w:t xml:space="preserve">n </w:t>
      </w:r>
      <w:r w:rsidR="00F703A4">
        <w:rPr>
          <w:rFonts w:ascii="Times New Roman" w:eastAsia="Times New Roman" w:hAnsi="Times New Roman" w:cs="Times New Roman"/>
          <w:szCs w:val="24"/>
          <w:lang w:val="es-MX"/>
        </w:rPr>
        <w:t>acceso a la salud, habitan viviendas precaria</w:t>
      </w:r>
      <w:r w:rsidR="00627117">
        <w:rPr>
          <w:rFonts w:ascii="Times New Roman" w:eastAsia="Times New Roman" w:hAnsi="Times New Roman" w:cs="Times New Roman"/>
          <w:szCs w:val="24"/>
          <w:lang w:val="es-MX"/>
        </w:rPr>
        <w:t>s</w:t>
      </w:r>
      <w:r w:rsidR="00F703A4">
        <w:rPr>
          <w:rFonts w:ascii="Times New Roman" w:eastAsia="Times New Roman" w:hAnsi="Times New Roman" w:cs="Times New Roman"/>
          <w:szCs w:val="24"/>
          <w:lang w:val="es-MX"/>
        </w:rPr>
        <w:t xml:space="preserve"> y sufren la crisis climática como las severas inundaciones o escasez de agua potable en las peores cond</w:t>
      </w:r>
      <w:r w:rsidR="00627117">
        <w:rPr>
          <w:rFonts w:ascii="Times New Roman" w:eastAsia="Times New Roman" w:hAnsi="Times New Roman" w:cs="Times New Roman"/>
          <w:szCs w:val="24"/>
          <w:lang w:val="es-MX"/>
        </w:rPr>
        <w:t>i</w:t>
      </w:r>
      <w:r w:rsidR="00F703A4">
        <w:rPr>
          <w:rFonts w:ascii="Times New Roman" w:eastAsia="Times New Roman" w:hAnsi="Times New Roman" w:cs="Times New Roman"/>
          <w:szCs w:val="24"/>
          <w:lang w:val="es-MX"/>
        </w:rPr>
        <w:t>ciones lo que as</w:t>
      </w:r>
      <w:r w:rsidR="00627117">
        <w:rPr>
          <w:rFonts w:ascii="Times New Roman" w:eastAsia="Times New Roman" w:hAnsi="Times New Roman" w:cs="Times New Roman"/>
          <w:szCs w:val="24"/>
          <w:lang w:val="es-MX"/>
        </w:rPr>
        <w:t>e</w:t>
      </w:r>
      <w:r w:rsidR="00F703A4">
        <w:rPr>
          <w:rFonts w:ascii="Times New Roman" w:eastAsia="Times New Roman" w:hAnsi="Times New Roman" w:cs="Times New Roman"/>
          <w:szCs w:val="24"/>
          <w:lang w:val="es-MX"/>
        </w:rPr>
        <w:t>gura la afectación de su proyecto vital y la segregac</w:t>
      </w:r>
      <w:r w:rsidR="00627117">
        <w:rPr>
          <w:rFonts w:ascii="Times New Roman" w:eastAsia="Times New Roman" w:hAnsi="Times New Roman" w:cs="Times New Roman"/>
          <w:szCs w:val="24"/>
          <w:lang w:val="es-MX"/>
        </w:rPr>
        <w:t>i</w:t>
      </w:r>
      <w:r w:rsidR="00F703A4">
        <w:rPr>
          <w:rFonts w:ascii="Times New Roman" w:eastAsia="Times New Roman" w:hAnsi="Times New Roman" w:cs="Times New Roman"/>
          <w:szCs w:val="24"/>
          <w:lang w:val="es-MX"/>
        </w:rPr>
        <w:t>ón social</w:t>
      </w:r>
      <w:r w:rsidR="00782907">
        <w:rPr>
          <w:rStyle w:val="Refdenotaalpie"/>
          <w:rFonts w:ascii="Times New Roman" w:eastAsia="Times New Roman" w:hAnsi="Times New Roman" w:cs="Times New Roman"/>
          <w:szCs w:val="24"/>
          <w:lang w:val="es-MX"/>
        </w:rPr>
        <w:footnoteReference w:id="2"/>
      </w:r>
      <w:r w:rsidR="008C1AAB">
        <w:rPr>
          <w:rFonts w:ascii="Times New Roman" w:eastAsia="Times New Roman" w:hAnsi="Times New Roman" w:cs="Times New Roman"/>
          <w:szCs w:val="24"/>
          <w:lang w:val="es-MX"/>
        </w:rPr>
        <w:t>.</w:t>
      </w:r>
      <w:r>
        <w:rPr>
          <w:rFonts w:ascii="Times New Roman" w:eastAsia="Times New Roman" w:hAnsi="Times New Roman" w:cs="Times New Roman"/>
          <w:szCs w:val="24"/>
          <w:lang w:val="es-MX"/>
        </w:rPr>
        <w:t xml:space="preserve"> En esos hogares los adultos trabajan, per</w:t>
      </w:r>
      <w:r w:rsidR="00F703A4">
        <w:rPr>
          <w:rFonts w:ascii="Times New Roman" w:eastAsia="Times New Roman" w:hAnsi="Times New Roman" w:cs="Times New Roman"/>
          <w:szCs w:val="24"/>
          <w:lang w:val="es-MX"/>
        </w:rPr>
        <w:t>o</w:t>
      </w:r>
      <w:r>
        <w:rPr>
          <w:rFonts w:ascii="Times New Roman" w:eastAsia="Times New Roman" w:hAnsi="Times New Roman" w:cs="Times New Roman"/>
          <w:szCs w:val="24"/>
          <w:lang w:val="es-MX"/>
        </w:rPr>
        <w:t xml:space="preserve"> lo hacen en empleos informales, inestables y mal remunerados.</w:t>
      </w:r>
    </w:p>
    <w:p w14:paraId="469CCEB3" w14:textId="0F17EF97" w:rsidR="002653AB" w:rsidRDefault="002653AB" w:rsidP="002653AB">
      <w:pPr>
        <w:pStyle w:val="Prrafodelista"/>
        <w:numPr>
          <w:ilvl w:val="0"/>
          <w:numId w:val="1"/>
        </w:numPr>
        <w:spacing w:line="360" w:lineRule="auto"/>
        <w:jc w:val="both"/>
        <w:rPr>
          <w:rFonts w:ascii="Times New Roman" w:eastAsia="Times New Roman" w:hAnsi="Times New Roman" w:cs="Times New Roman"/>
          <w:szCs w:val="24"/>
          <w:lang w:val="es-MX"/>
        </w:rPr>
      </w:pPr>
      <w:r>
        <w:rPr>
          <w:rFonts w:ascii="Times New Roman" w:eastAsia="Times New Roman" w:hAnsi="Times New Roman" w:cs="Times New Roman"/>
          <w:szCs w:val="24"/>
          <w:lang w:val="es-MX"/>
        </w:rPr>
        <w:lastRenderedPageBreak/>
        <w:t>En ellos, los jóvenes, las mujeres y las personas afrodescendientes enfrentan mayores problemas de inserción laboral con una tasa de desempleo que duplica el de otras ascendencias (13,8% frente a 7.6 % en abril 2024).</w:t>
      </w:r>
    </w:p>
    <w:p w14:paraId="00000010" w14:textId="77777777" w:rsidR="00914CCC" w:rsidRPr="008A4400" w:rsidRDefault="00914CCC" w:rsidP="008A4400">
      <w:pPr>
        <w:spacing w:line="360" w:lineRule="auto"/>
        <w:ind w:left="360"/>
        <w:jc w:val="both"/>
        <w:rPr>
          <w:rFonts w:ascii="Times New Roman" w:eastAsia="Times New Roman" w:hAnsi="Times New Roman" w:cs="Times New Roman"/>
          <w:szCs w:val="24"/>
        </w:rPr>
      </w:pPr>
    </w:p>
    <w:p w14:paraId="4913F545" w14:textId="56FCCAD7" w:rsidR="00F703A4" w:rsidRDefault="00825F06" w:rsidP="000511A5">
      <w:pPr>
        <w:spacing w:line="360" w:lineRule="auto"/>
        <w:jc w:val="both"/>
        <w:rPr>
          <w:rFonts w:ascii="Times New Roman" w:eastAsia="Times New Roman" w:hAnsi="Times New Roman" w:cs="Times New Roman"/>
          <w:szCs w:val="24"/>
        </w:rPr>
      </w:pPr>
      <w:r w:rsidRPr="00825F06">
        <w:rPr>
          <w:rFonts w:ascii="Times New Roman" w:eastAsia="Times New Roman" w:hAnsi="Times New Roman" w:cs="Times New Roman"/>
          <w:b/>
          <w:bCs/>
          <w:szCs w:val="24"/>
        </w:rPr>
        <w:t xml:space="preserve">6. </w:t>
      </w:r>
      <w:r w:rsidR="00F703A4">
        <w:rPr>
          <w:rFonts w:ascii="Times New Roman" w:eastAsia="Times New Roman" w:hAnsi="Times New Roman" w:cs="Times New Roman"/>
          <w:szCs w:val="24"/>
        </w:rPr>
        <w:t xml:space="preserve"> El parlamento no ha aprobado las leyes imprescindibles para enfrentar de manera integral la pobreza infantil a pesar de la existencia de anteproyectos que contemplan el diseño e implementación de estrategias y políticas integrales</w:t>
      </w:r>
      <w:r w:rsidR="00782907">
        <w:rPr>
          <w:rFonts w:ascii="Times New Roman" w:eastAsia="Times New Roman" w:hAnsi="Times New Roman" w:cs="Times New Roman"/>
          <w:szCs w:val="24"/>
        </w:rPr>
        <w:t>.</w:t>
      </w:r>
    </w:p>
    <w:p w14:paraId="4E5899AE" w14:textId="291B9674" w:rsidR="008255C7" w:rsidRDefault="00064C38" w:rsidP="000511A5">
      <w:pPr>
        <w:spacing w:line="360"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Es insuficiente la respuesta en </w:t>
      </w:r>
      <w:r w:rsidR="008255C7">
        <w:rPr>
          <w:rFonts w:ascii="Times New Roman" w:eastAsia="Times New Roman" w:hAnsi="Times New Roman" w:cs="Times New Roman"/>
          <w:szCs w:val="24"/>
        </w:rPr>
        <w:t>e</w:t>
      </w:r>
      <w:r>
        <w:rPr>
          <w:rFonts w:ascii="Times New Roman" w:eastAsia="Times New Roman" w:hAnsi="Times New Roman" w:cs="Times New Roman"/>
          <w:szCs w:val="24"/>
        </w:rPr>
        <w:t>l numeral</w:t>
      </w:r>
      <w:r w:rsidR="008255C7">
        <w:rPr>
          <w:rFonts w:ascii="Times New Roman" w:eastAsia="Times New Roman" w:hAnsi="Times New Roman" w:cs="Times New Roman"/>
          <w:szCs w:val="24"/>
        </w:rPr>
        <w:t xml:space="preserve"> 7 i en cuanto no se explica la razón por la cual ese proyecto de ley no ha sido aprobado. Ello, a pesar que aumentar, duplicando, las transferencias monetarias a las familias en situación de pobreza desde el Ministerio de Desarrollo Social MIDES, revertiría como expresa UNICEF el 32% de la pobreza infantil con impacto en 48.000 niños y adolescentes. </w:t>
      </w:r>
    </w:p>
    <w:p w14:paraId="14FC681A" w14:textId="7DBEA1BA" w:rsidR="008255C7" w:rsidRDefault="008255C7" w:rsidP="000511A5">
      <w:pPr>
        <w:spacing w:line="360" w:lineRule="auto"/>
        <w:jc w:val="both"/>
        <w:rPr>
          <w:rFonts w:ascii="Times New Roman" w:eastAsia="Times New Roman" w:hAnsi="Times New Roman" w:cs="Times New Roman"/>
          <w:szCs w:val="24"/>
        </w:rPr>
      </w:pPr>
      <w:r>
        <w:rPr>
          <w:rFonts w:ascii="Times New Roman" w:eastAsia="Times New Roman" w:hAnsi="Times New Roman" w:cs="Times New Roman"/>
          <w:szCs w:val="24"/>
        </w:rPr>
        <w:t xml:space="preserve">El gasto para el Estado de </w:t>
      </w:r>
      <w:proofErr w:type="spellStart"/>
      <w:r>
        <w:rPr>
          <w:rFonts w:ascii="Times New Roman" w:eastAsia="Times New Roman" w:hAnsi="Times New Roman" w:cs="Times New Roman"/>
          <w:szCs w:val="24"/>
        </w:rPr>
        <w:t>usd</w:t>
      </w:r>
      <w:proofErr w:type="spellEnd"/>
      <w:r>
        <w:rPr>
          <w:rFonts w:ascii="Times New Roman" w:eastAsia="Times New Roman" w:hAnsi="Times New Roman" w:cs="Times New Roman"/>
          <w:szCs w:val="24"/>
        </w:rPr>
        <w:t xml:space="preserve"> 380 millones significa un 0,5 del Producto Bruto Interno (PIB). </w:t>
      </w:r>
    </w:p>
    <w:p w14:paraId="5AF43A7C" w14:textId="244F253C" w:rsidR="00325E2D" w:rsidRDefault="008255C7" w:rsidP="00325E2D">
      <w:pPr>
        <w:spacing w:line="360" w:lineRule="auto"/>
        <w:jc w:val="both"/>
        <w:rPr>
          <w:rFonts w:ascii="Times New Roman" w:eastAsia="Times New Roman" w:hAnsi="Times New Roman" w:cs="Times New Roman"/>
          <w:szCs w:val="24"/>
        </w:rPr>
      </w:pPr>
      <w:r>
        <w:rPr>
          <w:rFonts w:ascii="Times New Roman" w:eastAsia="Times New Roman" w:hAnsi="Times New Roman" w:cs="Times New Roman"/>
          <w:szCs w:val="24"/>
        </w:rPr>
        <w:t>El Estado ha informado sobre el llamado “bono crianza” Al respecto</w:t>
      </w:r>
      <w:r w:rsidR="008C1AAB">
        <w:rPr>
          <w:rFonts w:ascii="Times New Roman" w:eastAsia="Times New Roman" w:hAnsi="Times New Roman" w:cs="Times New Roman"/>
          <w:szCs w:val="24"/>
        </w:rPr>
        <w:t>,</w:t>
      </w:r>
      <w:r>
        <w:rPr>
          <w:rFonts w:ascii="Times New Roman" w:eastAsia="Times New Roman" w:hAnsi="Times New Roman" w:cs="Times New Roman"/>
          <w:szCs w:val="24"/>
        </w:rPr>
        <w:t xml:space="preserve"> dos puntualizaciones: la primera no ha desagregado cuántas personas </w:t>
      </w:r>
      <w:proofErr w:type="spellStart"/>
      <w:r>
        <w:rPr>
          <w:rFonts w:ascii="Times New Roman" w:eastAsia="Times New Roman" w:hAnsi="Times New Roman" w:cs="Times New Roman"/>
          <w:szCs w:val="24"/>
        </w:rPr>
        <w:t>afrouruguayas</w:t>
      </w:r>
      <w:proofErr w:type="spellEnd"/>
      <w:r>
        <w:rPr>
          <w:rFonts w:ascii="Times New Roman" w:eastAsia="Times New Roman" w:hAnsi="Times New Roman" w:cs="Times New Roman"/>
          <w:szCs w:val="24"/>
        </w:rPr>
        <w:t xml:space="preserve"> son alcanzadas por esa política, la segunda, en este informe se la presenta como política pública, sin embargo</w:t>
      </w:r>
      <w:r w:rsidR="002E1916">
        <w:rPr>
          <w:rFonts w:ascii="Times New Roman" w:eastAsia="Times New Roman" w:hAnsi="Times New Roman" w:cs="Times New Roman"/>
          <w:szCs w:val="24"/>
        </w:rPr>
        <w:t>,</w:t>
      </w:r>
      <w:r>
        <w:rPr>
          <w:rFonts w:ascii="Times New Roman" w:eastAsia="Times New Roman" w:hAnsi="Times New Roman" w:cs="Times New Roman"/>
          <w:szCs w:val="24"/>
        </w:rPr>
        <w:t xml:space="preserve"> en la rendición de cuentas y presupuesto se la presenta como gasto extraordinario, lo que nos preocupa respecto a su sostenibilidad y eficacia en el tiempo.</w:t>
      </w:r>
    </w:p>
    <w:p w14:paraId="5A22E79F" w14:textId="0B543D2D" w:rsidR="002E1916" w:rsidRPr="00A22642" w:rsidRDefault="00A22642" w:rsidP="00A22642">
      <w:pPr>
        <w:spacing w:line="360" w:lineRule="auto"/>
        <w:jc w:val="both"/>
        <w:rPr>
          <w:rFonts w:ascii="Times New Roman" w:eastAsia="Times New Roman" w:hAnsi="Times New Roman" w:cs="Times New Roman"/>
          <w:szCs w:val="24"/>
        </w:rPr>
      </w:pPr>
      <w:r w:rsidRPr="00A22642">
        <w:rPr>
          <w:rFonts w:ascii="Times New Roman" w:eastAsia="Times New Roman" w:hAnsi="Times New Roman" w:cs="Times New Roman"/>
          <w:b/>
          <w:bCs/>
          <w:szCs w:val="24"/>
        </w:rPr>
        <w:t>7.</w:t>
      </w:r>
      <w:r w:rsidR="008C1AAB">
        <w:rPr>
          <w:rFonts w:ascii="Times New Roman" w:eastAsia="Times New Roman" w:hAnsi="Times New Roman" w:cs="Times New Roman"/>
          <w:b/>
          <w:bCs/>
          <w:szCs w:val="24"/>
        </w:rPr>
        <w:t xml:space="preserve"> </w:t>
      </w:r>
      <w:r w:rsidR="002E1916" w:rsidRPr="00A22642">
        <w:rPr>
          <w:rFonts w:ascii="Times New Roman" w:eastAsia="Times New Roman" w:hAnsi="Times New Roman" w:cs="Times New Roman"/>
          <w:szCs w:val="24"/>
        </w:rPr>
        <w:t xml:space="preserve">No son satisfactorias las informaciones en los numerales 8, 9, 10 a 12 debido a la imprecisión y falta de claridad. El Estado debe precisar cuáles son las transferencias que ha aumentado y/o creado en el período de un año: “bono crianza”, familia, qué número de familias </w:t>
      </w:r>
      <w:r w:rsidR="009042C0" w:rsidRPr="00A22642">
        <w:rPr>
          <w:rFonts w:ascii="Times New Roman" w:eastAsia="Times New Roman" w:hAnsi="Times New Roman" w:cs="Times New Roman"/>
          <w:szCs w:val="24"/>
        </w:rPr>
        <w:t>afro uruguayas</w:t>
      </w:r>
      <w:r w:rsidR="002E1916" w:rsidRPr="00A22642">
        <w:rPr>
          <w:rFonts w:ascii="Times New Roman" w:eastAsia="Times New Roman" w:hAnsi="Times New Roman" w:cs="Times New Roman"/>
          <w:szCs w:val="24"/>
        </w:rPr>
        <w:t xml:space="preserve"> con o sin niños acceden a la </w:t>
      </w:r>
      <w:r w:rsidR="00A30877" w:rsidRPr="00A22642">
        <w:rPr>
          <w:rFonts w:ascii="Times New Roman" w:eastAsia="Times New Roman" w:hAnsi="Times New Roman" w:cs="Times New Roman"/>
          <w:szCs w:val="24"/>
        </w:rPr>
        <w:t>misma,</w:t>
      </w:r>
      <w:r w:rsidR="002E1916" w:rsidRPr="00A22642">
        <w:rPr>
          <w:rFonts w:ascii="Times New Roman" w:eastAsia="Times New Roman" w:hAnsi="Times New Roman" w:cs="Times New Roman"/>
          <w:szCs w:val="24"/>
        </w:rPr>
        <w:t xml:space="preserve"> así como el impacto que las mismas han tenido en las necesidades básicas de esa población específica.</w:t>
      </w:r>
    </w:p>
    <w:p w14:paraId="07E344F3" w14:textId="763C32F9" w:rsidR="002E1916" w:rsidRPr="00A22642" w:rsidRDefault="00A22642" w:rsidP="00A22642">
      <w:pPr>
        <w:spacing w:line="360" w:lineRule="auto"/>
        <w:jc w:val="both"/>
        <w:rPr>
          <w:rFonts w:ascii="Times New Roman" w:eastAsia="Times New Roman" w:hAnsi="Times New Roman" w:cs="Times New Roman"/>
          <w:b/>
          <w:bCs/>
          <w:szCs w:val="24"/>
        </w:rPr>
      </w:pPr>
      <w:r w:rsidRPr="00A22642">
        <w:rPr>
          <w:rFonts w:ascii="Times New Roman" w:eastAsia="Times New Roman" w:hAnsi="Times New Roman" w:cs="Times New Roman"/>
          <w:b/>
          <w:bCs/>
          <w:szCs w:val="24"/>
        </w:rPr>
        <w:t>8</w:t>
      </w:r>
      <w:r>
        <w:rPr>
          <w:rFonts w:ascii="Times New Roman" w:eastAsia="Times New Roman" w:hAnsi="Times New Roman" w:cs="Times New Roman"/>
          <w:szCs w:val="24"/>
        </w:rPr>
        <w:t>.</w:t>
      </w:r>
      <w:r w:rsidR="002E1916" w:rsidRPr="00A22642">
        <w:rPr>
          <w:rFonts w:ascii="Times New Roman" w:eastAsia="Times New Roman" w:hAnsi="Times New Roman" w:cs="Times New Roman"/>
          <w:szCs w:val="24"/>
        </w:rPr>
        <w:t xml:space="preserve">Tampoco satisface que se informe de manera genérica que se dialoga con organizaciones de las poblaciones involucradas. El Estado debe indicar cuáles son. Especialmente debe indicar cuál ha sido el funcionamiento del Consejo Nacional </w:t>
      </w:r>
      <w:r w:rsidR="00A30877" w:rsidRPr="00A22642">
        <w:rPr>
          <w:rFonts w:ascii="Times New Roman" w:eastAsia="Times New Roman" w:hAnsi="Times New Roman" w:cs="Times New Roman"/>
          <w:szCs w:val="24"/>
        </w:rPr>
        <w:t xml:space="preserve">de Equidad Racial y </w:t>
      </w:r>
      <w:r w:rsidR="00335191" w:rsidRPr="00A22642">
        <w:rPr>
          <w:rFonts w:ascii="Times New Roman" w:eastAsia="Times New Roman" w:hAnsi="Times New Roman" w:cs="Times New Roman"/>
          <w:szCs w:val="24"/>
        </w:rPr>
        <w:t xml:space="preserve">Afro </w:t>
      </w:r>
      <w:r w:rsidR="002116D6" w:rsidRPr="00A22642">
        <w:rPr>
          <w:rFonts w:ascii="Times New Roman" w:eastAsia="Times New Roman" w:hAnsi="Times New Roman" w:cs="Times New Roman"/>
          <w:szCs w:val="24"/>
        </w:rPr>
        <w:t>descendencia, la</w:t>
      </w:r>
      <w:r w:rsidR="002E1916" w:rsidRPr="00A22642">
        <w:rPr>
          <w:rFonts w:ascii="Times New Roman" w:eastAsia="Times New Roman" w:hAnsi="Times New Roman" w:cs="Times New Roman"/>
          <w:szCs w:val="24"/>
        </w:rPr>
        <w:t xml:space="preserve"> comisión contra el racismo y otras formas de discriminación. </w:t>
      </w:r>
    </w:p>
    <w:p w14:paraId="5E23EFFA" w14:textId="77568ED5" w:rsidR="002E1916" w:rsidRPr="00A22642" w:rsidRDefault="00A22642" w:rsidP="00A22642">
      <w:pPr>
        <w:spacing w:line="360" w:lineRule="auto"/>
        <w:jc w:val="both"/>
        <w:rPr>
          <w:rFonts w:ascii="Times New Roman" w:eastAsia="Times New Roman" w:hAnsi="Times New Roman" w:cs="Times New Roman"/>
          <w:b/>
          <w:bCs/>
          <w:szCs w:val="24"/>
        </w:rPr>
      </w:pPr>
      <w:r w:rsidRPr="00A22642">
        <w:rPr>
          <w:rFonts w:ascii="Times New Roman" w:eastAsia="Times New Roman" w:hAnsi="Times New Roman" w:cs="Times New Roman"/>
          <w:b/>
          <w:bCs/>
          <w:szCs w:val="24"/>
        </w:rPr>
        <w:t>9.</w:t>
      </w:r>
      <w:r w:rsidR="008C1AAB">
        <w:rPr>
          <w:rFonts w:ascii="Times New Roman" w:eastAsia="Times New Roman" w:hAnsi="Times New Roman" w:cs="Times New Roman"/>
          <w:b/>
          <w:bCs/>
          <w:szCs w:val="24"/>
        </w:rPr>
        <w:t xml:space="preserve"> </w:t>
      </w:r>
      <w:r w:rsidR="002E1916" w:rsidRPr="00A22642">
        <w:rPr>
          <w:rFonts w:ascii="Times New Roman" w:eastAsia="Times New Roman" w:hAnsi="Times New Roman" w:cs="Times New Roman"/>
          <w:szCs w:val="24"/>
        </w:rPr>
        <w:t>Esta coalición destaca que la Plataforma de Infancias y Adolescencias (PIAS) plataforma que nuclea organizaciones de sociedad civil, actores sociales, académicos y personas comprometidas con los derechos de niños, niñas y adolescentes, con motivo del día mundial contra el trabajo infantil, el 12 de junio de 2024 ha exigido públicamente que el gobierno implemente el censo sobre trabajo infantil anunciado desde 2020, cuya realización también ha informado al Comité. Uno de cada diez niños trabaja en Uruguay a lo largo de la cadena productiva, en el trabajo doméstico y de cuidados, en el trabajo rural, en ventas callejeras, y en las organizaciones de narcotráfico</w:t>
      </w:r>
      <w:r w:rsidR="008C1AAB">
        <w:rPr>
          <w:rStyle w:val="Refdenotaalpie"/>
          <w:rFonts w:ascii="Times New Roman" w:eastAsia="Times New Roman" w:hAnsi="Times New Roman" w:cs="Times New Roman"/>
          <w:szCs w:val="24"/>
        </w:rPr>
        <w:footnoteReference w:id="3"/>
      </w:r>
      <w:r w:rsidR="002E1916" w:rsidRPr="00A22642">
        <w:rPr>
          <w:rFonts w:ascii="Times New Roman" w:eastAsia="Times New Roman" w:hAnsi="Times New Roman" w:cs="Times New Roman"/>
          <w:szCs w:val="24"/>
        </w:rPr>
        <w:t xml:space="preserve">.  Uruguay ha registrado en 2023 y 2024  </w:t>
      </w:r>
      <w:r w:rsidR="002116D6" w:rsidRPr="00A22642">
        <w:rPr>
          <w:rFonts w:ascii="Times New Roman" w:eastAsia="Times New Roman" w:hAnsi="Times New Roman" w:cs="Times New Roman"/>
          <w:szCs w:val="24"/>
        </w:rPr>
        <w:lastRenderedPageBreak/>
        <w:t xml:space="preserve">aumento de </w:t>
      </w:r>
      <w:r w:rsidR="002E1916" w:rsidRPr="00A22642">
        <w:rPr>
          <w:rFonts w:ascii="Times New Roman" w:eastAsia="Times New Roman" w:hAnsi="Times New Roman" w:cs="Times New Roman"/>
          <w:szCs w:val="24"/>
        </w:rPr>
        <w:t>muertes infantiles vinculadas al aumento de la violencia como consecuencia de la fragmentación social y la ausencia del Estado en territorios periféricos a la capital</w:t>
      </w:r>
      <w:r w:rsidR="003E2A30">
        <w:rPr>
          <w:rStyle w:val="Refdenotaalpie"/>
          <w:rFonts w:ascii="Times New Roman" w:eastAsia="Times New Roman" w:hAnsi="Times New Roman" w:cs="Times New Roman"/>
          <w:szCs w:val="24"/>
        </w:rPr>
        <w:footnoteReference w:id="4"/>
      </w:r>
    </w:p>
    <w:p w14:paraId="728E82BA" w14:textId="77777777" w:rsidR="008E752C" w:rsidRDefault="008E752C" w:rsidP="00B87C7E">
      <w:pPr>
        <w:spacing w:line="360" w:lineRule="auto"/>
        <w:jc w:val="both"/>
        <w:rPr>
          <w:rFonts w:ascii="Times New Roman" w:eastAsia="Times New Roman" w:hAnsi="Times New Roman" w:cs="Times New Roman"/>
          <w:b/>
          <w:bCs/>
          <w:szCs w:val="24"/>
        </w:rPr>
      </w:pPr>
    </w:p>
    <w:p w14:paraId="4D94AFB0" w14:textId="7D4CAD61" w:rsidR="002E1916" w:rsidRPr="00B87C7E" w:rsidRDefault="008E752C" w:rsidP="00B87C7E">
      <w:pPr>
        <w:spacing w:line="360" w:lineRule="auto"/>
        <w:jc w:val="both"/>
        <w:rPr>
          <w:rFonts w:ascii="Times New Roman" w:eastAsia="Times New Roman" w:hAnsi="Times New Roman" w:cs="Times New Roman"/>
        </w:rPr>
      </w:pPr>
      <w:r>
        <w:rPr>
          <w:rFonts w:ascii="Times New Roman" w:eastAsia="Times New Roman" w:hAnsi="Times New Roman" w:cs="Times New Roman"/>
          <w:b/>
          <w:bCs/>
          <w:szCs w:val="24"/>
        </w:rPr>
        <w:t>10.</w:t>
      </w:r>
      <w:r w:rsidR="002E1916" w:rsidRPr="00B87C7E">
        <w:rPr>
          <w:rFonts w:ascii="Times New Roman" w:eastAsia="Times New Roman" w:hAnsi="Times New Roman" w:cs="Times New Roman"/>
        </w:rPr>
        <w:t xml:space="preserve">Es insuficiente y fragmentada la información como la ha pedido el comité en cuanto no es comprehensiva de la perspectiva de género, de la perspectiva de la discriminación racial contra la población </w:t>
      </w:r>
      <w:proofErr w:type="gramStart"/>
      <w:r w:rsidR="002E1916" w:rsidRPr="00B87C7E">
        <w:rPr>
          <w:rFonts w:ascii="Times New Roman" w:eastAsia="Times New Roman" w:hAnsi="Times New Roman" w:cs="Times New Roman"/>
        </w:rPr>
        <w:t>afrodescendiente</w:t>
      </w:r>
      <w:proofErr w:type="gramEnd"/>
      <w:r w:rsidR="002E1916" w:rsidRPr="00B87C7E">
        <w:rPr>
          <w:rFonts w:ascii="Times New Roman" w:eastAsia="Times New Roman" w:hAnsi="Times New Roman" w:cs="Times New Roman"/>
        </w:rPr>
        <w:t xml:space="preserve"> así como tampoco surge ninguna medida afirmativa según las recomendaciones 25, 32 y 34 del Comité.</w:t>
      </w:r>
    </w:p>
    <w:p w14:paraId="6A069894" w14:textId="77777777" w:rsidR="002E1916" w:rsidRPr="002E1916" w:rsidRDefault="002E1916" w:rsidP="002E1916">
      <w:pPr>
        <w:pStyle w:val="Prrafodelista"/>
        <w:rPr>
          <w:rFonts w:ascii="Times New Roman" w:eastAsia="Times New Roman" w:hAnsi="Times New Roman" w:cs="Times New Roman"/>
        </w:rPr>
      </w:pPr>
    </w:p>
    <w:p w14:paraId="51D4CD1F" w14:textId="77777777" w:rsidR="008E752C" w:rsidRDefault="008E752C" w:rsidP="008E752C">
      <w:pPr>
        <w:spacing w:line="360" w:lineRule="auto"/>
        <w:jc w:val="both"/>
        <w:rPr>
          <w:rFonts w:ascii="Times New Roman" w:eastAsia="Times New Roman" w:hAnsi="Times New Roman" w:cs="Times New Roman"/>
        </w:rPr>
      </w:pPr>
      <w:r w:rsidRPr="008E752C">
        <w:rPr>
          <w:rFonts w:ascii="Times New Roman" w:eastAsia="Times New Roman" w:hAnsi="Times New Roman" w:cs="Times New Roman"/>
          <w:b/>
          <w:bCs/>
        </w:rPr>
        <w:t>11.</w:t>
      </w:r>
      <w:r w:rsidR="002E1916" w:rsidRPr="008E752C">
        <w:rPr>
          <w:rFonts w:ascii="Times New Roman" w:eastAsia="Times New Roman" w:hAnsi="Times New Roman" w:cs="Times New Roman"/>
        </w:rPr>
        <w:t>Reiteramos lo informado en 2023 (párr. 35) (</w:t>
      </w:r>
      <w:r w:rsidR="00956C27" w:rsidRPr="008E752C">
        <w:rPr>
          <w:rFonts w:ascii="Times New Roman" w:eastAsia="Times New Roman" w:hAnsi="Times New Roman" w:cs="Times New Roman"/>
        </w:rPr>
        <w:t>La pandemia impactó con crudeza en la población afrodescendiente en especial sobre las mujeres, niñas y adolescentes.</w:t>
      </w:r>
      <w:r w:rsidR="00956C27" w:rsidRPr="008A4400">
        <w:rPr>
          <w:vertAlign w:val="superscript"/>
        </w:rPr>
        <w:footnoteReference w:id="5"/>
      </w:r>
      <w:r w:rsidR="00956C27" w:rsidRPr="008E752C">
        <w:rPr>
          <w:rFonts w:ascii="Times New Roman" w:eastAsia="Times New Roman" w:hAnsi="Times New Roman" w:cs="Times New Roman"/>
        </w:rPr>
        <w:t xml:space="preserve"> La respuesta de protección hacia la población formal fue más consistente y se extendió por más tiempo con cobertura de seguro de trabajo. Para la población en la informalidad de empleo, la respuesta fue débil por la insuficiencia en las transferencias monetarias. </w:t>
      </w:r>
    </w:p>
    <w:p w14:paraId="58DBE1CC" w14:textId="77777777" w:rsidR="008E752C" w:rsidRDefault="00956C27" w:rsidP="008E752C">
      <w:pPr>
        <w:spacing w:line="360" w:lineRule="auto"/>
        <w:jc w:val="both"/>
        <w:rPr>
          <w:rFonts w:ascii="Times New Roman" w:eastAsia="Times New Roman" w:hAnsi="Times New Roman" w:cs="Times New Roman"/>
        </w:rPr>
      </w:pPr>
      <w:r w:rsidRPr="008E752C">
        <w:rPr>
          <w:rFonts w:ascii="Times New Roman" w:eastAsia="Times New Roman" w:hAnsi="Times New Roman" w:cs="Times New Roman"/>
        </w:rPr>
        <w:t xml:space="preserve">Al estar sobrerrepresentados en este grupo poblacional, las personas afrodescendientes sufrieron un impacto mayor a la población no afro. Igualmente, sufrió severamente la no presencialidad en los centros educativos públicos, con menores posibilidades de acceso a tecnología para mantener la educación virtual excepto porque el existente Plan Ceibal de 2008 que incorporó tecnología a la educación demostró una vez más, su valor de inversión en desarrollo. </w:t>
      </w:r>
    </w:p>
    <w:p w14:paraId="5E7C6A2D" w14:textId="6BCDFFD1" w:rsidR="002F6C76" w:rsidRPr="008E752C" w:rsidRDefault="00956C27" w:rsidP="008E752C">
      <w:pPr>
        <w:spacing w:line="360" w:lineRule="auto"/>
        <w:jc w:val="both"/>
        <w:rPr>
          <w:rFonts w:ascii="Times New Roman" w:eastAsia="Times New Roman" w:hAnsi="Times New Roman" w:cs="Times New Roman"/>
          <w:b/>
          <w:bCs/>
          <w:szCs w:val="24"/>
        </w:rPr>
      </w:pPr>
      <w:r w:rsidRPr="008E752C">
        <w:rPr>
          <w:rFonts w:ascii="Times New Roman" w:eastAsia="Times New Roman" w:hAnsi="Times New Roman" w:cs="Times New Roman"/>
        </w:rPr>
        <w:t>Particularmente las mujeres afrodescendientes vieron multiplicadas sus tareas al sumar teletrabajo, cuidado de niños y niñas y apoyo a las tareas educativas, tratándose de hogares con más niños/as, con mayor dependencia de la alimentación escolar y con población más joven - el 15% del 10% de la población afrodescendiente, es población joven entre 15 y 19 años</w:t>
      </w:r>
      <w:r w:rsidRPr="008A4400">
        <w:rPr>
          <w:vertAlign w:val="superscript"/>
        </w:rPr>
        <w:footnoteReference w:id="6"/>
      </w:r>
      <w:r w:rsidRPr="008E752C">
        <w:rPr>
          <w:rFonts w:ascii="Times New Roman" w:eastAsia="Times New Roman" w:hAnsi="Times New Roman" w:cs="Times New Roman"/>
        </w:rPr>
        <w:t>.</w:t>
      </w:r>
    </w:p>
    <w:p w14:paraId="6C5F7C3C" w14:textId="5BA0399A" w:rsidR="007F6D20" w:rsidRDefault="00956C27" w:rsidP="008E752C">
      <w:pPr>
        <w:spacing w:line="360" w:lineRule="auto"/>
        <w:ind w:left="-360" w:firstLine="360"/>
        <w:jc w:val="both"/>
        <w:rPr>
          <w:rFonts w:ascii="Times New Roman" w:eastAsia="Times New Roman" w:hAnsi="Times New Roman" w:cs="Times New Roman"/>
          <w:b/>
          <w:bCs/>
          <w:szCs w:val="24"/>
        </w:rPr>
      </w:pPr>
      <w:r w:rsidRPr="008A4400">
        <w:rPr>
          <w:rFonts w:ascii="Times New Roman" w:eastAsia="Times New Roman" w:hAnsi="Times New Roman" w:cs="Times New Roman"/>
          <w:color w:val="333333"/>
          <w:szCs w:val="24"/>
          <w:highlight w:val="white"/>
        </w:rPr>
        <w:t>“La edad y la ascendencia étnico-racial de las personas son variables relevantes para el análisis de la pobreza. Esta afecta en mayor medida a los más jóvenes. En particular, la población comprendida entre los tramos de menores de 6 años, de 6 a 12 años y de 13 a 17 años es donde se registra la mayor incidencia de la pobreza, independientemente de la región del país que se considere. En el Primer semestre del 2022, para el total del país, la incidencia de la pobreza para las personas que declaran tener ascendencia afro descendiente es superior a la estimación que para quienes declaran tener ascendencia blanca en 9,5 puntos porcentuales</w:t>
      </w:r>
      <w:r w:rsidR="00844320">
        <w:rPr>
          <w:rFonts w:ascii="Times New Roman" w:eastAsia="Times New Roman" w:hAnsi="Times New Roman" w:cs="Times New Roman"/>
          <w:color w:val="333333"/>
          <w:szCs w:val="24"/>
          <w:highlight w:val="white"/>
        </w:rPr>
        <w:t>”</w:t>
      </w:r>
      <w:r w:rsidRPr="008A4400">
        <w:rPr>
          <w:rFonts w:ascii="Times New Roman" w:eastAsia="Times New Roman" w:hAnsi="Times New Roman" w:cs="Times New Roman"/>
          <w:color w:val="333333"/>
          <w:szCs w:val="24"/>
          <w:highlight w:val="white"/>
        </w:rPr>
        <w:t>.</w:t>
      </w:r>
      <w:r w:rsidRPr="008A4400">
        <w:rPr>
          <w:rFonts w:ascii="Times New Roman" w:eastAsia="Times New Roman" w:hAnsi="Times New Roman" w:cs="Times New Roman"/>
          <w:color w:val="333333"/>
          <w:szCs w:val="24"/>
          <w:highlight w:val="white"/>
          <w:vertAlign w:val="superscript"/>
        </w:rPr>
        <w:footnoteReference w:id="7"/>
      </w:r>
      <w:r w:rsidRPr="008A4400">
        <w:rPr>
          <w:rFonts w:ascii="Times New Roman" w:eastAsia="Times New Roman" w:hAnsi="Times New Roman" w:cs="Times New Roman"/>
          <w:color w:val="333333"/>
          <w:szCs w:val="24"/>
          <w:highlight w:val="white"/>
        </w:rPr>
        <w:t xml:space="preserve"> </w:t>
      </w:r>
    </w:p>
    <w:p w14:paraId="21B6B212" w14:textId="41A3B1D8" w:rsidR="007F6D20" w:rsidRDefault="002E1916" w:rsidP="007F6D20">
      <w:pPr>
        <w:spacing w:line="360" w:lineRule="auto"/>
        <w:ind w:left="-360"/>
        <w:jc w:val="both"/>
        <w:rPr>
          <w:rFonts w:ascii="Times New Roman" w:eastAsia="Times New Roman" w:hAnsi="Times New Roman" w:cs="Times New Roman"/>
          <w:b/>
          <w:bCs/>
          <w:szCs w:val="24"/>
        </w:rPr>
      </w:pPr>
      <w:r w:rsidRPr="008E752C">
        <w:rPr>
          <w:rFonts w:ascii="Times New Roman" w:eastAsia="Times New Roman" w:hAnsi="Times New Roman" w:cs="Times New Roman"/>
          <w:szCs w:val="24"/>
        </w:rPr>
        <w:lastRenderedPageBreak/>
        <w:t>E</w:t>
      </w:r>
      <w:r w:rsidR="00956C27" w:rsidRPr="008E752C">
        <w:rPr>
          <w:rFonts w:ascii="Times New Roman" w:eastAsia="Times New Roman" w:hAnsi="Times New Roman" w:cs="Times New Roman"/>
          <w:szCs w:val="24"/>
        </w:rPr>
        <w:t xml:space="preserve">l </w:t>
      </w:r>
      <w:r w:rsidR="00956C27" w:rsidRPr="008A4400">
        <w:rPr>
          <w:rFonts w:ascii="Times New Roman" w:eastAsia="Times New Roman" w:hAnsi="Times New Roman" w:cs="Times New Roman"/>
          <w:szCs w:val="24"/>
        </w:rPr>
        <w:t xml:space="preserve">Estado </w:t>
      </w:r>
      <w:r>
        <w:rPr>
          <w:rFonts w:ascii="Times New Roman" w:eastAsia="Times New Roman" w:hAnsi="Times New Roman" w:cs="Times New Roman"/>
          <w:szCs w:val="24"/>
        </w:rPr>
        <w:t xml:space="preserve">no ha </w:t>
      </w:r>
      <w:r w:rsidR="00956C27" w:rsidRPr="008A4400">
        <w:rPr>
          <w:rFonts w:ascii="Times New Roman" w:eastAsia="Times New Roman" w:hAnsi="Times New Roman" w:cs="Times New Roman"/>
          <w:szCs w:val="24"/>
        </w:rPr>
        <w:t>incorpor</w:t>
      </w:r>
      <w:r>
        <w:rPr>
          <w:rFonts w:ascii="Times New Roman" w:eastAsia="Times New Roman" w:hAnsi="Times New Roman" w:cs="Times New Roman"/>
          <w:szCs w:val="24"/>
        </w:rPr>
        <w:t>ado</w:t>
      </w:r>
      <w:r w:rsidR="00956C27" w:rsidRPr="008A4400">
        <w:rPr>
          <w:rFonts w:ascii="Times New Roman" w:eastAsia="Times New Roman" w:hAnsi="Times New Roman" w:cs="Times New Roman"/>
          <w:szCs w:val="24"/>
        </w:rPr>
        <w:t xml:space="preserve"> de manera sistemática la variable </w:t>
      </w:r>
      <w:r w:rsidR="00844320">
        <w:rPr>
          <w:rFonts w:ascii="Times New Roman" w:eastAsia="Times New Roman" w:hAnsi="Times New Roman" w:cs="Times New Roman"/>
          <w:szCs w:val="24"/>
        </w:rPr>
        <w:t>é</w:t>
      </w:r>
      <w:r w:rsidR="00956C27" w:rsidRPr="008A4400">
        <w:rPr>
          <w:rFonts w:ascii="Times New Roman" w:eastAsia="Times New Roman" w:hAnsi="Times New Roman" w:cs="Times New Roman"/>
          <w:szCs w:val="24"/>
        </w:rPr>
        <w:t xml:space="preserve">tnico racial afrodescendiente en los registros administrativos de todos los </w:t>
      </w:r>
      <w:r w:rsidR="00255B61" w:rsidRPr="008A4400">
        <w:rPr>
          <w:rFonts w:ascii="Times New Roman" w:eastAsia="Times New Roman" w:hAnsi="Times New Roman" w:cs="Times New Roman"/>
          <w:szCs w:val="24"/>
        </w:rPr>
        <w:t>organismos</w:t>
      </w:r>
      <w:r w:rsidR="00255B61">
        <w:rPr>
          <w:rFonts w:ascii="Times New Roman" w:eastAsia="Times New Roman" w:hAnsi="Times New Roman" w:cs="Times New Roman"/>
          <w:szCs w:val="24"/>
        </w:rPr>
        <w:t xml:space="preserve">, esto impacta en </w:t>
      </w:r>
      <w:r w:rsidR="005D69F0">
        <w:rPr>
          <w:rFonts w:ascii="Times New Roman" w:eastAsia="Times New Roman" w:hAnsi="Times New Roman" w:cs="Times New Roman"/>
          <w:szCs w:val="24"/>
        </w:rPr>
        <w:t>l</w:t>
      </w:r>
      <w:r w:rsidR="009352F9">
        <w:rPr>
          <w:rFonts w:ascii="Times New Roman" w:eastAsia="Times New Roman" w:hAnsi="Times New Roman" w:cs="Times New Roman"/>
          <w:szCs w:val="24"/>
        </w:rPr>
        <w:t xml:space="preserve">as instituciones que </w:t>
      </w:r>
      <w:r w:rsidR="009C6C8D">
        <w:rPr>
          <w:rFonts w:ascii="Times New Roman" w:eastAsia="Times New Roman" w:hAnsi="Times New Roman" w:cs="Times New Roman"/>
          <w:szCs w:val="24"/>
        </w:rPr>
        <w:t>diseñan</w:t>
      </w:r>
      <w:r w:rsidR="009352F9">
        <w:rPr>
          <w:rFonts w:ascii="Times New Roman" w:eastAsia="Times New Roman" w:hAnsi="Times New Roman" w:cs="Times New Roman"/>
          <w:szCs w:val="24"/>
        </w:rPr>
        <w:t xml:space="preserve"> y ejecutan </w:t>
      </w:r>
      <w:r w:rsidR="009258CE">
        <w:rPr>
          <w:rFonts w:ascii="Times New Roman" w:eastAsia="Times New Roman" w:hAnsi="Times New Roman" w:cs="Times New Roman"/>
          <w:szCs w:val="24"/>
        </w:rPr>
        <w:t>la transferencia</w:t>
      </w:r>
      <w:r w:rsidR="009352F9">
        <w:rPr>
          <w:rFonts w:ascii="Times New Roman" w:eastAsia="Times New Roman" w:hAnsi="Times New Roman" w:cs="Times New Roman"/>
          <w:szCs w:val="24"/>
        </w:rPr>
        <w:t xml:space="preserve"> </w:t>
      </w:r>
      <w:r w:rsidR="009258CE">
        <w:rPr>
          <w:rFonts w:ascii="Times New Roman" w:eastAsia="Times New Roman" w:hAnsi="Times New Roman" w:cs="Times New Roman"/>
          <w:szCs w:val="24"/>
        </w:rPr>
        <w:t>como seguridad</w:t>
      </w:r>
      <w:r w:rsidR="009C6C8D">
        <w:rPr>
          <w:rFonts w:ascii="Times New Roman" w:eastAsia="Times New Roman" w:hAnsi="Times New Roman" w:cs="Times New Roman"/>
          <w:szCs w:val="24"/>
        </w:rPr>
        <w:t xml:space="preserve"> social</w:t>
      </w:r>
      <w:r w:rsidR="000B0F90">
        <w:rPr>
          <w:rFonts w:ascii="Times New Roman" w:eastAsia="Times New Roman" w:hAnsi="Times New Roman" w:cs="Times New Roman"/>
          <w:szCs w:val="24"/>
        </w:rPr>
        <w:t>,</w:t>
      </w:r>
      <w:r w:rsidR="009C6C8D">
        <w:rPr>
          <w:rFonts w:ascii="Times New Roman" w:eastAsia="Times New Roman" w:hAnsi="Times New Roman" w:cs="Times New Roman"/>
          <w:szCs w:val="24"/>
        </w:rPr>
        <w:t xml:space="preserve"> sistema de salud, </w:t>
      </w:r>
      <w:r w:rsidR="005D1B03">
        <w:rPr>
          <w:rFonts w:ascii="Times New Roman" w:eastAsia="Times New Roman" w:hAnsi="Times New Roman" w:cs="Times New Roman"/>
          <w:szCs w:val="24"/>
        </w:rPr>
        <w:t xml:space="preserve">sistema de vivienda, </w:t>
      </w:r>
      <w:r w:rsidR="005619A3">
        <w:rPr>
          <w:rFonts w:ascii="Times New Roman" w:eastAsia="Times New Roman" w:hAnsi="Times New Roman" w:cs="Times New Roman"/>
          <w:szCs w:val="24"/>
        </w:rPr>
        <w:t xml:space="preserve">empleo trabajo y </w:t>
      </w:r>
      <w:r w:rsidR="009258CE">
        <w:rPr>
          <w:rFonts w:ascii="Times New Roman" w:eastAsia="Times New Roman" w:hAnsi="Times New Roman" w:cs="Times New Roman"/>
          <w:szCs w:val="24"/>
        </w:rPr>
        <w:t>educación</w:t>
      </w:r>
      <w:r w:rsidR="000B0F90">
        <w:rPr>
          <w:rFonts w:ascii="Times New Roman" w:eastAsia="Times New Roman" w:hAnsi="Times New Roman" w:cs="Times New Roman"/>
          <w:szCs w:val="24"/>
        </w:rPr>
        <w:t>.</w:t>
      </w:r>
      <w:r w:rsidR="005619A3">
        <w:rPr>
          <w:rFonts w:ascii="Times New Roman" w:eastAsia="Times New Roman" w:hAnsi="Times New Roman" w:cs="Times New Roman"/>
          <w:szCs w:val="24"/>
        </w:rPr>
        <w:t xml:space="preserve"> </w:t>
      </w:r>
    </w:p>
    <w:p w14:paraId="18427BC3" w14:textId="1D1B76A7" w:rsidR="007F6D20" w:rsidRDefault="002E1916" w:rsidP="007F6D20">
      <w:pPr>
        <w:spacing w:line="360" w:lineRule="auto"/>
        <w:ind w:left="-360"/>
        <w:jc w:val="both"/>
        <w:rPr>
          <w:rFonts w:ascii="Times New Roman" w:eastAsia="Times New Roman" w:hAnsi="Times New Roman" w:cs="Times New Roman"/>
          <w:b/>
          <w:bCs/>
          <w:szCs w:val="24"/>
        </w:rPr>
      </w:pPr>
      <w:r>
        <w:rPr>
          <w:rFonts w:ascii="Times New Roman" w:eastAsia="Times New Roman" w:hAnsi="Times New Roman" w:cs="Times New Roman"/>
          <w:b/>
          <w:bCs/>
          <w:szCs w:val="24"/>
        </w:rPr>
        <w:t xml:space="preserve">Tampoco </w:t>
      </w:r>
      <w:r w:rsidR="00956C27" w:rsidRPr="008A4400">
        <w:rPr>
          <w:rFonts w:ascii="Times New Roman" w:eastAsia="Times New Roman" w:hAnsi="Times New Roman" w:cs="Times New Roman"/>
          <w:szCs w:val="24"/>
        </w:rPr>
        <w:t>ante situaciones de crisis como epidemias y/o crisis ambientales, las políticas y acciones desarrolladas por el Estado t</w:t>
      </w:r>
      <w:r w:rsidR="000B0F90">
        <w:rPr>
          <w:rFonts w:ascii="Times New Roman" w:eastAsia="Times New Roman" w:hAnsi="Times New Roman" w:cs="Times New Roman"/>
          <w:szCs w:val="24"/>
        </w:rPr>
        <w:t xml:space="preserve">ienen </w:t>
      </w:r>
      <w:r w:rsidR="00956C27" w:rsidRPr="008A4400">
        <w:rPr>
          <w:rFonts w:ascii="Times New Roman" w:eastAsia="Times New Roman" w:hAnsi="Times New Roman" w:cs="Times New Roman"/>
          <w:szCs w:val="24"/>
        </w:rPr>
        <w:t xml:space="preserve">en cuenta la perspectiva de género y de raza/etnia.  </w:t>
      </w:r>
    </w:p>
    <w:p w14:paraId="08324AAB" w14:textId="14B4A052" w:rsidR="002E1916" w:rsidRDefault="002E1916" w:rsidP="002E1916">
      <w:pPr>
        <w:spacing w:line="360" w:lineRule="auto"/>
        <w:ind w:left="-360"/>
        <w:jc w:val="both"/>
        <w:rPr>
          <w:rFonts w:ascii="Times New Roman" w:eastAsia="Times New Roman" w:hAnsi="Times New Roman" w:cs="Times New Roman"/>
          <w:b/>
          <w:bCs/>
          <w:szCs w:val="24"/>
        </w:rPr>
      </w:pPr>
      <w:r>
        <w:rPr>
          <w:rFonts w:ascii="Times New Roman" w:eastAsia="Times New Roman" w:hAnsi="Times New Roman" w:cs="Times New Roman"/>
        </w:rPr>
        <w:t xml:space="preserve">Es insuficiente la información del Estado en la dimensión de acceso a la educación en la creación e implementación de alguna de las estrategias que hubiere creado en este año. </w:t>
      </w:r>
      <w:r w:rsidR="00956C27" w:rsidRPr="008A4400">
        <w:rPr>
          <w:rFonts w:ascii="Times New Roman" w:eastAsia="Times New Roman" w:hAnsi="Times New Roman" w:cs="Times New Roman"/>
        </w:rPr>
        <w:t>La ausencia de políticas públicas para el acceso y permanencia de la población afrodescendiente, en especial de las adolescencias a establecimientos educativos de calidad, afecta negativamente el desempeño escolar y alienta el abandono del sistema educativo. Uruguay no ha cumplido con la Recomendación del Comité CEDAW de 2008 (CEDAW/C/URY/CO/7, párr. 33)</w:t>
      </w:r>
      <w:r w:rsidR="000B0F90">
        <w:rPr>
          <w:rFonts w:ascii="Times New Roman" w:eastAsia="Times New Roman" w:hAnsi="Times New Roman" w:cs="Times New Roman"/>
        </w:rPr>
        <w:t xml:space="preserve"> r</w:t>
      </w:r>
      <w:r w:rsidR="00956C27" w:rsidRPr="008A4400">
        <w:rPr>
          <w:rFonts w:ascii="Times New Roman" w:eastAsia="Times New Roman" w:hAnsi="Times New Roman" w:cs="Times New Roman"/>
        </w:rPr>
        <w:t>especto a la implementación de medidas especiales de carácter temporal para reducir y eliminar las causas expulsivas que generan el abandono del siste</w:t>
      </w:r>
      <w:r w:rsidR="00956C27" w:rsidRPr="008A4400">
        <w:rPr>
          <w:rFonts w:ascii="Times New Roman" w:eastAsia="Times New Roman" w:hAnsi="Times New Roman" w:cs="Times New Roman"/>
          <w:szCs w:val="24"/>
        </w:rPr>
        <w:t>ma educativo.</w:t>
      </w:r>
      <w:r w:rsidR="004F4E7A" w:rsidRPr="004F4E7A">
        <w:rPr>
          <w:rFonts w:ascii="Times New Roman" w:eastAsia="Times New Roman" w:hAnsi="Times New Roman" w:cs="Times New Roman"/>
          <w:b/>
          <w:bCs/>
          <w:szCs w:val="24"/>
        </w:rPr>
        <w:t xml:space="preserve"> </w:t>
      </w:r>
    </w:p>
    <w:p w14:paraId="1A7A77FF" w14:textId="25B18D42" w:rsidR="004F4E7A" w:rsidRDefault="002E1916" w:rsidP="002E1916">
      <w:pPr>
        <w:spacing w:line="360" w:lineRule="auto"/>
        <w:ind w:left="-360"/>
        <w:jc w:val="both"/>
        <w:rPr>
          <w:rFonts w:ascii="Times New Roman" w:eastAsia="Times New Roman" w:hAnsi="Times New Roman" w:cs="Times New Roman"/>
        </w:rPr>
      </w:pPr>
      <w:r>
        <w:rPr>
          <w:rFonts w:ascii="Times New Roman" w:eastAsia="Times New Roman" w:hAnsi="Times New Roman" w:cs="Times New Roman"/>
          <w:b/>
          <w:bCs/>
          <w:szCs w:val="24"/>
        </w:rPr>
        <w:t xml:space="preserve">11. </w:t>
      </w:r>
      <w:r w:rsidRPr="002E1916">
        <w:rPr>
          <w:rFonts w:ascii="Times New Roman" w:eastAsia="Times New Roman" w:hAnsi="Times New Roman" w:cs="Times New Roman"/>
          <w:szCs w:val="24"/>
        </w:rPr>
        <w:t xml:space="preserve">Del magro informe </w:t>
      </w:r>
      <w:r>
        <w:rPr>
          <w:rFonts w:ascii="Times New Roman" w:eastAsia="Times New Roman" w:hAnsi="Times New Roman" w:cs="Times New Roman"/>
          <w:szCs w:val="24"/>
        </w:rPr>
        <w:t xml:space="preserve">de los avances </w:t>
      </w:r>
      <w:r w:rsidRPr="002E1916">
        <w:rPr>
          <w:rFonts w:ascii="Times New Roman" w:eastAsia="Times New Roman" w:hAnsi="Times New Roman" w:cs="Times New Roman"/>
          <w:szCs w:val="24"/>
        </w:rPr>
        <w:t>estatal</w:t>
      </w:r>
      <w:r>
        <w:rPr>
          <w:rFonts w:ascii="Times New Roman" w:eastAsia="Times New Roman" w:hAnsi="Times New Roman" w:cs="Times New Roman"/>
          <w:szCs w:val="24"/>
        </w:rPr>
        <w:t xml:space="preserve">es, igualmente se desprende la disparidad y desigualdad en el acceso a becas en el Instituto de Formación y Empleo para población </w:t>
      </w:r>
      <w:proofErr w:type="spellStart"/>
      <w:r>
        <w:rPr>
          <w:rFonts w:ascii="Times New Roman" w:eastAsia="Times New Roman" w:hAnsi="Times New Roman" w:cs="Times New Roman"/>
          <w:szCs w:val="24"/>
        </w:rPr>
        <w:t>afrouruguaya</w:t>
      </w:r>
      <w:proofErr w:type="spellEnd"/>
      <w:r>
        <w:rPr>
          <w:rFonts w:ascii="Times New Roman" w:eastAsia="Times New Roman" w:hAnsi="Times New Roman" w:cs="Times New Roman"/>
          <w:szCs w:val="24"/>
        </w:rPr>
        <w:t xml:space="preserve"> ante población blanca (así citada).</w:t>
      </w:r>
      <w:r w:rsidRPr="002E1916">
        <w:rPr>
          <w:rFonts w:ascii="Times New Roman" w:eastAsia="Times New Roman" w:hAnsi="Times New Roman" w:cs="Times New Roman"/>
          <w:szCs w:val="24"/>
        </w:rPr>
        <w:t xml:space="preserve"> </w:t>
      </w:r>
      <w:r w:rsidR="004F4E7A" w:rsidRPr="004F4E7A">
        <w:rPr>
          <w:rFonts w:ascii="Times New Roman" w:eastAsia="Times New Roman" w:hAnsi="Times New Roman" w:cs="Times New Roman"/>
          <w:szCs w:val="24"/>
        </w:rPr>
        <w:t>L</w:t>
      </w:r>
      <w:r w:rsidR="001C1D51" w:rsidRPr="008A4400">
        <w:rPr>
          <w:rFonts w:ascii="Times New Roman" w:eastAsia="Times New Roman" w:hAnsi="Times New Roman" w:cs="Times New Roman"/>
        </w:rPr>
        <w:t xml:space="preserve">as becas estudiantiles </w:t>
      </w:r>
      <w:r w:rsidR="00956C27" w:rsidRPr="008A4400">
        <w:rPr>
          <w:rFonts w:ascii="Times New Roman" w:eastAsia="Times New Roman" w:hAnsi="Times New Roman" w:cs="Times New Roman"/>
        </w:rPr>
        <w:t xml:space="preserve">de acciones afirmativas para la población afrodescendiente han tenido dificultades para implementarse y no ha sido significativo el cambio y cierre de la brecha en lo laboral al no contar esta población con los estudios mínimos requeridos para empleos de calidad. </w:t>
      </w:r>
    </w:p>
    <w:p w14:paraId="4925676B" w14:textId="7523EA19" w:rsidR="00A01013" w:rsidRPr="002E1916" w:rsidRDefault="003D34DC" w:rsidP="00EE5393">
      <w:pPr>
        <w:spacing w:line="360" w:lineRule="auto"/>
        <w:ind w:left="-360"/>
        <w:jc w:val="both"/>
        <w:rPr>
          <w:rFonts w:ascii="Times New Roman" w:eastAsia="Times New Roman" w:hAnsi="Times New Roman" w:cs="Times New Roman"/>
        </w:rPr>
      </w:pPr>
      <w:r w:rsidRPr="00C72E46">
        <w:rPr>
          <w:rFonts w:ascii="Times New Roman" w:eastAsia="Times New Roman" w:hAnsi="Times New Roman" w:cs="Times New Roman"/>
          <w:szCs w:val="24"/>
        </w:rPr>
        <w:t xml:space="preserve">El informe de la Ley 19.122, </w:t>
      </w:r>
      <w:r w:rsidR="00B77F65" w:rsidRPr="00C72E46">
        <w:rPr>
          <w:rFonts w:ascii="Times New Roman" w:eastAsia="Times New Roman" w:hAnsi="Times New Roman" w:cs="Times New Roman"/>
          <w:szCs w:val="24"/>
        </w:rPr>
        <w:t>presentada en Julio 2024</w:t>
      </w:r>
      <w:r w:rsidR="00EE5393" w:rsidRPr="00C72E46">
        <w:rPr>
          <w:rFonts w:ascii="Times New Roman" w:eastAsia="Times New Roman" w:hAnsi="Times New Roman" w:cs="Times New Roman"/>
          <w:szCs w:val="24"/>
        </w:rPr>
        <w:t xml:space="preserve"> </w:t>
      </w:r>
      <w:r w:rsidR="00937066" w:rsidRPr="00C72E46">
        <w:rPr>
          <w:rFonts w:ascii="Times New Roman" w:eastAsia="Times New Roman" w:hAnsi="Times New Roman" w:cs="Times New Roman"/>
          <w:szCs w:val="24"/>
        </w:rPr>
        <w:t>señala</w:t>
      </w:r>
      <w:r w:rsidR="00EE5393" w:rsidRPr="00C72E46">
        <w:rPr>
          <w:rFonts w:ascii="Times New Roman" w:eastAsia="Times New Roman" w:hAnsi="Times New Roman" w:cs="Times New Roman"/>
          <w:szCs w:val="24"/>
        </w:rPr>
        <w:t xml:space="preserve"> </w:t>
      </w:r>
      <w:r w:rsidR="00224329" w:rsidRPr="00C72E46">
        <w:rPr>
          <w:rFonts w:ascii="Times New Roman" w:eastAsia="Times New Roman" w:hAnsi="Times New Roman" w:cs="Times New Roman"/>
          <w:szCs w:val="24"/>
        </w:rPr>
        <w:t xml:space="preserve">que las disparidades entre la </w:t>
      </w:r>
      <w:r w:rsidR="00937066" w:rsidRPr="00C72E46">
        <w:rPr>
          <w:rFonts w:ascii="Times New Roman" w:eastAsia="Times New Roman" w:hAnsi="Times New Roman" w:cs="Times New Roman"/>
          <w:szCs w:val="24"/>
        </w:rPr>
        <w:t>población</w:t>
      </w:r>
      <w:r w:rsidR="00224329">
        <w:rPr>
          <w:rFonts w:ascii="Times New Roman" w:eastAsia="Times New Roman" w:hAnsi="Times New Roman" w:cs="Times New Roman"/>
          <w:b/>
          <w:bCs/>
          <w:szCs w:val="24"/>
        </w:rPr>
        <w:t xml:space="preserve"> </w:t>
      </w:r>
      <w:r w:rsidR="00937066" w:rsidRPr="00D56F08">
        <w:rPr>
          <w:rFonts w:ascii="Times New Roman" w:eastAsia="Times New Roman" w:hAnsi="Times New Roman" w:cs="Times New Roman"/>
          <w:szCs w:val="24"/>
        </w:rPr>
        <w:t>afrodescendientes</w:t>
      </w:r>
      <w:r w:rsidR="00224329" w:rsidRPr="00D56F08">
        <w:rPr>
          <w:rFonts w:ascii="Times New Roman" w:eastAsia="Times New Roman" w:hAnsi="Times New Roman" w:cs="Times New Roman"/>
          <w:szCs w:val="24"/>
        </w:rPr>
        <w:t xml:space="preserve"> y no afro </w:t>
      </w:r>
      <w:r w:rsidR="00937066" w:rsidRPr="00D56F08">
        <w:rPr>
          <w:rFonts w:ascii="Times New Roman" w:eastAsia="Times New Roman" w:hAnsi="Times New Roman" w:cs="Times New Roman"/>
          <w:szCs w:val="24"/>
        </w:rPr>
        <w:t xml:space="preserve">no solo se </w:t>
      </w:r>
      <w:r w:rsidR="00D56F08" w:rsidRPr="00D56F08">
        <w:rPr>
          <w:rFonts w:ascii="Times New Roman" w:eastAsia="Times New Roman" w:hAnsi="Times New Roman" w:cs="Times New Roman"/>
          <w:szCs w:val="24"/>
        </w:rPr>
        <w:t>mantienen,</w:t>
      </w:r>
      <w:r w:rsidR="00937066" w:rsidRPr="00D56F08">
        <w:rPr>
          <w:rFonts w:ascii="Times New Roman" w:eastAsia="Times New Roman" w:hAnsi="Times New Roman" w:cs="Times New Roman"/>
          <w:szCs w:val="24"/>
        </w:rPr>
        <w:t xml:space="preserve"> sino que a</w:t>
      </w:r>
      <w:r w:rsidR="000B0F90">
        <w:rPr>
          <w:rFonts w:ascii="Times New Roman" w:eastAsia="Times New Roman" w:hAnsi="Times New Roman" w:cs="Times New Roman"/>
          <w:szCs w:val="24"/>
        </w:rPr>
        <w:t>umenta</w:t>
      </w:r>
      <w:r w:rsidR="00937066" w:rsidRPr="00D56F08">
        <w:rPr>
          <w:rFonts w:ascii="Times New Roman" w:eastAsia="Times New Roman" w:hAnsi="Times New Roman" w:cs="Times New Roman"/>
          <w:szCs w:val="24"/>
        </w:rPr>
        <w:t xml:space="preserve"> la brecha de exclusión y </w:t>
      </w:r>
      <w:r w:rsidR="00D56F08" w:rsidRPr="00D56F08">
        <w:rPr>
          <w:rFonts w:ascii="Times New Roman" w:eastAsia="Times New Roman" w:hAnsi="Times New Roman" w:cs="Times New Roman"/>
          <w:szCs w:val="24"/>
        </w:rPr>
        <w:t>discriminación “</w:t>
      </w:r>
      <w:r w:rsidR="00EE5393" w:rsidRPr="00D56F08">
        <w:rPr>
          <w:rFonts w:ascii="Times New Roman" w:eastAsia="Times New Roman" w:hAnsi="Times New Roman" w:cs="Times New Roman"/>
          <w:szCs w:val="24"/>
        </w:rPr>
        <w:t>Entre 2014 y 2022, solamente el 52,8% de los organismos obligados había</w:t>
      </w:r>
      <w:r w:rsidR="00937066" w:rsidRPr="00D56F08">
        <w:rPr>
          <w:rFonts w:ascii="Times New Roman" w:eastAsia="Times New Roman" w:hAnsi="Times New Roman" w:cs="Times New Roman"/>
          <w:szCs w:val="24"/>
        </w:rPr>
        <w:t xml:space="preserve"> </w:t>
      </w:r>
      <w:r w:rsidR="00EE5393" w:rsidRPr="00D56F08">
        <w:rPr>
          <w:rFonts w:ascii="Times New Roman" w:eastAsia="Times New Roman" w:hAnsi="Times New Roman" w:cs="Times New Roman"/>
          <w:szCs w:val="24"/>
        </w:rPr>
        <w:t>implementado ingresos de personas afrodescendientes por cuotas. Las tasas</w:t>
      </w:r>
      <w:r w:rsidR="00937066" w:rsidRPr="00D56F08">
        <w:rPr>
          <w:rFonts w:ascii="Times New Roman" w:eastAsia="Times New Roman" w:hAnsi="Times New Roman" w:cs="Times New Roman"/>
          <w:szCs w:val="24"/>
        </w:rPr>
        <w:t xml:space="preserve"> </w:t>
      </w:r>
      <w:r w:rsidR="00EE5393" w:rsidRPr="00D56F08">
        <w:rPr>
          <w:rFonts w:ascii="Times New Roman" w:eastAsia="Times New Roman" w:hAnsi="Times New Roman" w:cs="Times New Roman"/>
          <w:szCs w:val="24"/>
        </w:rPr>
        <w:t>más altas de cumplimiento corresponden al Poder Ejecutivo y las más bajas a</w:t>
      </w:r>
      <w:r w:rsidR="00D56F08" w:rsidRPr="00D56F08">
        <w:rPr>
          <w:rFonts w:ascii="Times New Roman" w:eastAsia="Times New Roman" w:hAnsi="Times New Roman" w:cs="Times New Roman"/>
          <w:szCs w:val="24"/>
        </w:rPr>
        <w:t xml:space="preserve"> </w:t>
      </w:r>
      <w:r w:rsidR="00EE5393" w:rsidRPr="00D56F08">
        <w:rPr>
          <w:rFonts w:ascii="Times New Roman" w:eastAsia="Times New Roman" w:hAnsi="Times New Roman" w:cs="Times New Roman"/>
          <w:szCs w:val="24"/>
        </w:rPr>
        <w:t>las personas jurídicas de derecho público no estatales y al Poder Legislativo.</w:t>
      </w:r>
      <w:r w:rsidR="00D56F08" w:rsidRPr="00D56F08">
        <w:rPr>
          <w:rFonts w:ascii="Times New Roman" w:eastAsia="Times New Roman" w:hAnsi="Times New Roman" w:cs="Times New Roman"/>
          <w:szCs w:val="24"/>
        </w:rPr>
        <w:t xml:space="preserve"> </w:t>
      </w:r>
      <w:r w:rsidR="00EE5393" w:rsidRPr="00D56F08">
        <w:rPr>
          <w:rFonts w:ascii="Times New Roman" w:eastAsia="Times New Roman" w:hAnsi="Times New Roman" w:cs="Times New Roman"/>
          <w:szCs w:val="24"/>
        </w:rPr>
        <w:t>Los afrodescendientes beneficiados han sido 2993 y aún no se ha llegado al</w:t>
      </w:r>
      <w:r w:rsidR="00D56F08" w:rsidRPr="00D56F08">
        <w:rPr>
          <w:rFonts w:ascii="Times New Roman" w:eastAsia="Times New Roman" w:hAnsi="Times New Roman" w:cs="Times New Roman"/>
          <w:szCs w:val="24"/>
        </w:rPr>
        <w:t xml:space="preserve"> </w:t>
      </w:r>
      <w:r w:rsidR="00EE5393" w:rsidRPr="00D56F08">
        <w:rPr>
          <w:rFonts w:ascii="Times New Roman" w:eastAsia="Times New Roman" w:hAnsi="Times New Roman" w:cs="Times New Roman"/>
          <w:szCs w:val="24"/>
        </w:rPr>
        <w:t xml:space="preserve">cumplimiento de la cuota, siendo el 2018 el año en que se registró el </w:t>
      </w:r>
      <w:r w:rsidR="00D56F08" w:rsidRPr="00D56F08">
        <w:rPr>
          <w:rFonts w:ascii="Times New Roman" w:eastAsia="Times New Roman" w:hAnsi="Times New Roman" w:cs="Times New Roman"/>
          <w:szCs w:val="24"/>
        </w:rPr>
        <w:t>número más</w:t>
      </w:r>
      <w:r w:rsidR="00EE5393" w:rsidRPr="00D56F08">
        <w:rPr>
          <w:rFonts w:ascii="Times New Roman" w:eastAsia="Times New Roman" w:hAnsi="Times New Roman" w:cs="Times New Roman"/>
          <w:szCs w:val="24"/>
        </w:rPr>
        <w:t xml:space="preserve"> alto de ingresos por cuota, con un 3,29%, seguido del 2,7% en el 2015</w:t>
      </w:r>
      <w:r w:rsidR="00EE5393" w:rsidRPr="00EE5393">
        <w:rPr>
          <w:rFonts w:ascii="Times New Roman" w:eastAsia="Times New Roman" w:hAnsi="Times New Roman" w:cs="Times New Roman"/>
          <w:b/>
          <w:bCs/>
          <w:szCs w:val="24"/>
        </w:rPr>
        <w:t>.</w:t>
      </w:r>
      <w:r w:rsidR="00AA5511">
        <w:rPr>
          <w:rStyle w:val="Refdenotaalpie"/>
          <w:rFonts w:ascii="Times New Roman" w:eastAsia="Times New Roman" w:hAnsi="Times New Roman" w:cs="Times New Roman"/>
          <w:b/>
          <w:bCs/>
          <w:szCs w:val="24"/>
        </w:rPr>
        <w:footnoteReference w:id="8"/>
      </w:r>
    </w:p>
    <w:p w14:paraId="66DC1031" w14:textId="0F7267E1" w:rsidR="000569B0" w:rsidRDefault="002E1916" w:rsidP="000569B0">
      <w:pPr>
        <w:spacing w:line="360" w:lineRule="auto"/>
        <w:ind w:left="-360"/>
        <w:jc w:val="both"/>
        <w:rPr>
          <w:rFonts w:ascii="Times New Roman" w:eastAsia="Times New Roman" w:hAnsi="Times New Roman" w:cs="Times New Roman"/>
          <w:b/>
          <w:bCs/>
          <w:szCs w:val="24"/>
        </w:rPr>
      </w:pPr>
      <w:r>
        <w:rPr>
          <w:rFonts w:ascii="Times New Roman" w:eastAsia="Times New Roman" w:hAnsi="Times New Roman" w:cs="Times New Roman"/>
        </w:rPr>
        <w:t xml:space="preserve">Reiteramos que </w:t>
      </w:r>
      <w:r w:rsidR="00956C27" w:rsidRPr="008A4400">
        <w:rPr>
          <w:rFonts w:ascii="Times New Roman" w:eastAsia="Times New Roman" w:hAnsi="Times New Roman" w:cs="Times New Roman"/>
        </w:rPr>
        <w:t xml:space="preserve">la razón de la deserción del ámbito educativo </w:t>
      </w:r>
      <w:r w:rsidR="00F94062">
        <w:rPr>
          <w:rFonts w:ascii="Times New Roman" w:eastAsia="Times New Roman" w:hAnsi="Times New Roman" w:cs="Times New Roman"/>
        </w:rPr>
        <w:t xml:space="preserve">se debe mayoritariamente a que la </w:t>
      </w:r>
      <w:r w:rsidR="00956C27" w:rsidRPr="008A4400">
        <w:rPr>
          <w:rFonts w:ascii="Times New Roman" w:eastAsia="Times New Roman" w:hAnsi="Times New Roman" w:cs="Times New Roman"/>
        </w:rPr>
        <w:t>discrimina</w:t>
      </w:r>
      <w:r w:rsidR="00F94062">
        <w:rPr>
          <w:rFonts w:ascii="Times New Roman" w:eastAsia="Times New Roman" w:hAnsi="Times New Roman" w:cs="Times New Roman"/>
        </w:rPr>
        <w:t>ción</w:t>
      </w:r>
      <w:r w:rsidR="00956C27" w:rsidRPr="008A4400">
        <w:rPr>
          <w:rFonts w:ascii="Times New Roman" w:eastAsia="Times New Roman" w:hAnsi="Times New Roman" w:cs="Times New Roman"/>
        </w:rPr>
        <w:t xml:space="preserve"> expulsa a la población afrodescendiente de los centros educativos, diariamente, un 33.9% de los estudiantes son discriminadas por su pelo y/o color de piel</w:t>
      </w:r>
      <w:r w:rsidR="00956C27" w:rsidRPr="008A4400">
        <w:rPr>
          <w:rFonts w:ascii="Times New Roman" w:eastAsia="Times New Roman" w:hAnsi="Times New Roman" w:cs="Times New Roman"/>
          <w:vertAlign w:val="superscript"/>
        </w:rPr>
        <w:footnoteReference w:id="9"/>
      </w:r>
      <w:r w:rsidR="00956C27" w:rsidRPr="008A4400">
        <w:rPr>
          <w:rFonts w:ascii="Times New Roman" w:eastAsia="Times New Roman" w:hAnsi="Times New Roman" w:cs="Times New Roman"/>
        </w:rPr>
        <w:t>.  Esto significa que las estrategias para lograr la permanencia resultan ineficaces y deben profundizar la construcción de lo identitario y en la modificación de un modelo social que a la población no afrodescendiente, indígena o migrante no le exige explicaciones que s</w:t>
      </w:r>
      <w:r w:rsidR="00F94062">
        <w:rPr>
          <w:rFonts w:ascii="Times New Roman" w:eastAsia="Times New Roman" w:hAnsi="Times New Roman" w:cs="Times New Roman"/>
        </w:rPr>
        <w:t>í</w:t>
      </w:r>
      <w:r w:rsidR="00956C27" w:rsidRPr="008A4400">
        <w:rPr>
          <w:rFonts w:ascii="Times New Roman" w:eastAsia="Times New Roman" w:hAnsi="Times New Roman" w:cs="Times New Roman"/>
        </w:rPr>
        <w:t xml:space="preserve"> exige a estos </w:t>
      </w:r>
      <w:r w:rsidR="001C1D51" w:rsidRPr="008A4400">
        <w:rPr>
          <w:rFonts w:ascii="Times New Roman" w:eastAsia="Times New Roman" w:hAnsi="Times New Roman" w:cs="Times New Roman"/>
        </w:rPr>
        <w:t>grupos.</w:t>
      </w:r>
      <w:r w:rsidR="00956C27" w:rsidRPr="008A4400">
        <w:rPr>
          <w:rFonts w:ascii="Times New Roman" w:eastAsia="Times New Roman" w:hAnsi="Times New Roman" w:cs="Times New Roman"/>
        </w:rPr>
        <w:t xml:space="preserve">  </w:t>
      </w:r>
    </w:p>
    <w:p w14:paraId="000000D5" w14:textId="77777777" w:rsidR="00914CCC" w:rsidRPr="008A4400" w:rsidRDefault="00914CCC" w:rsidP="008A4400">
      <w:pPr>
        <w:spacing w:line="360" w:lineRule="auto"/>
        <w:jc w:val="both"/>
        <w:rPr>
          <w:rFonts w:ascii="Times New Roman" w:eastAsia="Times New Roman" w:hAnsi="Times New Roman" w:cs="Times New Roman"/>
          <w:szCs w:val="26"/>
        </w:rPr>
      </w:pPr>
    </w:p>
    <w:sectPr w:rsidR="00914CCC" w:rsidRPr="008A4400" w:rsidSect="000D05C0">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0E797" w14:textId="77777777" w:rsidR="00625B27" w:rsidRDefault="00625B27">
      <w:pPr>
        <w:spacing w:line="240" w:lineRule="auto"/>
      </w:pPr>
      <w:r>
        <w:separator/>
      </w:r>
    </w:p>
  </w:endnote>
  <w:endnote w:type="continuationSeparator" w:id="0">
    <w:p w14:paraId="347B58D6" w14:textId="77777777" w:rsidR="00625B27" w:rsidRDefault="00625B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09D1D" w14:textId="77777777" w:rsidR="008C1AAB" w:rsidRDefault="008C1A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4A9A5" w14:textId="77777777" w:rsidR="008C1AAB" w:rsidRDefault="008C1A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3C598" w14:textId="77777777" w:rsidR="008C1AAB" w:rsidRDefault="008C1A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B3B12" w14:textId="77777777" w:rsidR="00625B27" w:rsidRDefault="00625B27">
      <w:pPr>
        <w:spacing w:line="240" w:lineRule="auto"/>
      </w:pPr>
      <w:r>
        <w:separator/>
      </w:r>
    </w:p>
  </w:footnote>
  <w:footnote w:type="continuationSeparator" w:id="0">
    <w:p w14:paraId="4B3E6172" w14:textId="77777777" w:rsidR="00625B27" w:rsidRDefault="00625B27">
      <w:pPr>
        <w:spacing w:line="240" w:lineRule="auto"/>
      </w:pPr>
      <w:r>
        <w:continuationSeparator/>
      </w:r>
    </w:p>
  </w:footnote>
  <w:footnote w:id="1">
    <w:p w14:paraId="00000103" w14:textId="64A8FD7D" w:rsidR="00914CCC" w:rsidRPr="000511A5" w:rsidRDefault="00956C27">
      <w:pPr>
        <w:spacing w:line="240" w:lineRule="auto"/>
        <w:rPr>
          <w:rFonts w:ascii="Times New Roman" w:hAnsi="Times New Roman" w:cs="Times New Roman"/>
          <w:sz w:val="20"/>
          <w:szCs w:val="20"/>
          <w:vertAlign w:val="superscript"/>
        </w:rPr>
      </w:pPr>
      <w:r w:rsidRPr="000511A5">
        <w:rPr>
          <w:rFonts w:ascii="Times New Roman" w:hAnsi="Times New Roman" w:cs="Times New Roman"/>
          <w:sz w:val="20"/>
          <w:szCs w:val="20"/>
          <w:vertAlign w:val="superscript"/>
        </w:rPr>
        <w:footnoteRef/>
      </w:r>
      <w:r w:rsidR="008A4400" w:rsidRPr="000511A5">
        <w:rPr>
          <w:rFonts w:ascii="Times New Roman" w:eastAsia="Times New Roman" w:hAnsi="Times New Roman" w:cs="Times New Roman"/>
          <w:sz w:val="20"/>
          <w:szCs w:val="20"/>
          <w:vertAlign w:val="superscript"/>
        </w:rPr>
        <w:t xml:space="preserve"> In</w:t>
      </w:r>
      <w:r w:rsidRPr="000511A5">
        <w:rPr>
          <w:rFonts w:ascii="Times New Roman" w:eastAsia="Times New Roman" w:hAnsi="Times New Roman" w:cs="Times New Roman"/>
          <w:sz w:val="20"/>
          <w:szCs w:val="20"/>
          <w:vertAlign w:val="superscript"/>
        </w:rPr>
        <w:t>forme elaborado por el Comité de América Latina y El Caribe para la defensa de lo</w:t>
      </w:r>
      <w:r w:rsidR="008A4400" w:rsidRPr="000511A5">
        <w:rPr>
          <w:rFonts w:ascii="Times New Roman" w:eastAsia="Times New Roman" w:hAnsi="Times New Roman" w:cs="Times New Roman"/>
          <w:sz w:val="20"/>
          <w:szCs w:val="20"/>
          <w:vertAlign w:val="superscript"/>
        </w:rPr>
        <w:t>s</w:t>
      </w:r>
      <w:r w:rsidRPr="000511A5">
        <w:rPr>
          <w:rFonts w:ascii="Times New Roman" w:eastAsia="Times New Roman" w:hAnsi="Times New Roman" w:cs="Times New Roman"/>
          <w:sz w:val="20"/>
          <w:szCs w:val="20"/>
          <w:vertAlign w:val="superscript"/>
        </w:rPr>
        <w:t xml:space="preserve"> derechos de las mujeres CLADEM Uruguay, </w:t>
      </w:r>
      <w:proofErr w:type="spellStart"/>
      <w:r w:rsidRPr="000511A5">
        <w:rPr>
          <w:rFonts w:ascii="Times New Roman" w:eastAsia="Times New Roman" w:hAnsi="Times New Roman" w:cs="Times New Roman"/>
          <w:sz w:val="20"/>
          <w:szCs w:val="20"/>
          <w:vertAlign w:val="superscript"/>
        </w:rPr>
        <w:t>ColectivaMujeres</w:t>
      </w:r>
      <w:proofErr w:type="spellEnd"/>
      <w:r w:rsidRPr="000511A5">
        <w:rPr>
          <w:rFonts w:ascii="Times New Roman" w:eastAsia="Times New Roman" w:hAnsi="Times New Roman" w:cs="Times New Roman"/>
          <w:sz w:val="20"/>
          <w:szCs w:val="20"/>
          <w:vertAlign w:val="superscript"/>
        </w:rPr>
        <w:t xml:space="preserve">, organización feminista </w:t>
      </w:r>
      <w:proofErr w:type="spellStart"/>
      <w:r w:rsidRPr="000511A5">
        <w:rPr>
          <w:rFonts w:ascii="Times New Roman" w:eastAsia="Times New Roman" w:hAnsi="Times New Roman" w:cs="Times New Roman"/>
          <w:sz w:val="20"/>
          <w:szCs w:val="20"/>
          <w:vertAlign w:val="superscript"/>
        </w:rPr>
        <w:t>afrouruguaya</w:t>
      </w:r>
      <w:proofErr w:type="spellEnd"/>
      <w:r w:rsidRPr="000511A5">
        <w:rPr>
          <w:rFonts w:ascii="Times New Roman" w:eastAsia="Times New Roman" w:hAnsi="Times New Roman" w:cs="Times New Roman"/>
          <w:sz w:val="20"/>
          <w:szCs w:val="20"/>
          <w:vertAlign w:val="superscript"/>
        </w:rPr>
        <w:t xml:space="preserve"> y el </w:t>
      </w:r>
      <w:r w:rsidR="000511A5" w:rsidRPr="000511A5">
        <w:rPr>
          <w:rFonts w:ascii="Times New Roman" w:eastAsia="Times New Roman" w:hAnsi="Times New Roman" w:cs="Times New Roman"/>
          <w:sz w:val="20"/>
          <w:szCs w:val="20"/>
          <w:vertAlign w:val="superscript"/>
        </w:rPr>
        <w:t>Instituto Afrodescendiente</w:t>
      </w:r>
      <w:r w:rsidRPr="000511A5">
        <w:rPr>
          <w:rFonts w:ascii="Times New Roman" w:eastAsia="Times New Roman" w:hAnsi="Times New Roman" w:cs="Times New Roman"/>
          <w:sz w:val="20"/>
          <w:szCs w:val="20"/>
          <w:vertAlign w:val="superscript"/>
        </w:rPr>
        <w:t xml:space="preserve"> para el estudio, la Investigación y el desarrollo</w:t>
      </w:r>
      <w:r w:rsidR="008A4400" w:rsidRPr="000511A5">
        <w:rPr>
          <w:rFonts w:ascii="Times New Roman" w:eastAsia="Times New Roman" w:hAnsi="Times New Roman" w:cs="Times New Roman"/>
          <w:sz w:val="20"/>
          <w:szCs w:val="20"/>
          <w:vertAlign w:val="superscript"/>
        </w:rPr>
        <w:t>.</w:t>
      </w:r>
      <w:r w:rsidRPr="000511A5">
        <w:rPr>
          <w:rFonts w:ascii="Times New Roman" w:hAnsi="Times New Roman" w:cs="Times New Roman"/>
          <w:sz w:val="20"/>
          <w:szCs w:val="20"/>
          <w:vertAlign w:val="superscript"/>
        </w:rPr>
        <w:t xml:space="preserve">  </w:t>
      </w:r>
    </w:p>
  </w:footnote>
  <w:footnote w:id="2">
    <w:p w14:paraId="28413D65" w14:textId="4E3B0D29" w:rsidR="008C1AAB" w:rsidRDefault="00782907">
      <w:pPr>
        <w:pStyle w:val="Textonotapie"/>
        <w:rPr>
          <w:rFonts w:ascii="Times New Roman" w:eastAsia="Times New Roman" w:hAnsi="Times New Roman" w:cs="Times New Roman"/>
          <w:sz w:val="16"/>
          <w:szCs w:val="16"/>
          <w:lang w:val="es-MX"/>
        </w:rPr>
      </w:pPr>
      <w:r>
        <w:rPr>
          <w:rStyle w:val="Refdenotaalpie"/>
        </w:rPr>
        <w:footnoteRef/>
      </w:r>
      <w:r>
        <w:t xml:space="preserve"> </w:t>
      </w:r>
      <w:r>
        <w:rPr>
          <w:rFonts w:ascii="Times New Roman" w:eastAsia="Times New Roman" w:hAnsi="Times New Roman" w:cs="Times New Roman"/>
          <w:szCs w:val="24"/>
          <w:lang w:val="es-MX"/>
        </w:rPr>
        <w:t xml:space="preserve"> </w:t>
      </w:r>
      <w:r w:rsidRPr="00782907">
        <w:rPr>
          <w:rFonts w:ascii="Times New Roman" w:eastAsia="Times New Roman" w:hAnsi="Times New Roman" w:cs="Times New Roman"/>
          <w:sz w:val="16"/>
          <w:szCs w:val="16"/>
          <w:lang w:val="es-MX"/>
        </w:rPr>
        <w:t>“La infancia como prioridad Seis desafios claves de politicas públicas en Uruguay</w:t>
      </w:r>
      <w:r>
        <w:rPr>
          <w:rFonts w:ascii="Times New Roman" w:eastAsia="Times New Roman" w:hAnsi="Times New Roman" w:cs="Times New Roman"/>
          <w:sz w:val="16"/>
          <w:szCs w:val="16"/>
          <w:lang w:val="es-MX"/>
        </w:rPr>
        <w:t>”</w:t>
      </w:r>
      <w:r w:rsidRPr="00782907">
        <w:rPr>
          <w:rFonts w:ascii="Times New Roman" w:eastAsia="Times New Roman" w:hAnsi="Times New Roman" w:cs="Times New Roman"/>
          <w:sz w:val="16"/>
          <w:szCs w:val="16"/>
          <w:lang w:val="es-MX"/>
        </w:rPr>
        <w:t xml:space="preserve"> Unicef</w:t>
      </w:r>
      <w:r>
        <w:rPr>
          <w:rFonts w:ascii="Times New Roman" w:eastAsia="Times New Roman" w:hAnsi="Times New Roman" w:cs="Times New Roman"/>
          <w:sz w:val="16"/>
          <w:szCs w:val="16"/>
          <w:lang w:val="es-MX"/>
        </w:rPr>
        <w:t>,</w:t>
      </w:r>
      <w:r w:rsidRPr="00782907">
        <w:rPr>
          <w:rFonts w:ascii="Times New Roman" w:eastAsia="Times New Roman" w:hAnsi="Times New Roman" w:cs="Times New Roman"/>
          <w:sz w:val="16"/>
          <w:szCs w:val="16"/>
          <w:lang w:val="es-MX"/>
        </w:rPr>
        <w:t xml:space="preserve"> julio 2024</w:t>
      </w:r>
      <w:r w:rsidR="008C1AAB">
        <w:rPr>
          <w:rFonts w:ascii="Times New Roman" w:eastAsia="Times New Roman" w:hAnsi="Times New Roman" w:cs="Times New Roman"/>
          <w:sz w:val="16"/>
          <w:szCs w:val="16"/>
          <w:lang w:val="es-MX"/>
        </w:rPr>
        <w:t xml:space="preserve"> disponible en </w:t>
      </w:r>
      <w:hyperlink r:id="rId1" w:history="1">
        <w:r w:rsidR="008C1AAB" w:rsidRPr="004A7761">
          <w:rPr>
            <w:rStyle w:val="Hipervnculo"/>
            <w:rFonts w:ascii="Times New Roman" w:eastAsia="Times New Roman" w:hAnsi="Times New Roman" w:cs="Times New Roman"/>
            <w:sz w:val="16"/>
            <w:szCs w:val="16"/>
            <w:lang w:val="es-MX"/>
          </w:rPr>
          <w:t>https://www.unicef.org/uruguay/documents/la-infancia-como-prioridad</w:t>
        </w:r>
      </w:hyperlink>
    </w:p>
    <w:p w14:paraId="3A029290" w14:textId="77777777" w:rsidR="008C1AAB" w:rsidRDefault="008C1AAB">
      <w:pPr>
        <w:pStyle w:val="Textonotapie"/>
        <w:rPr>
          <w:rFonts w:ascii="Times New Roman" w:eastAsia="Times New Roman" w:hAnsi="Times New Roman" w:cs="Times New Roman"/>
          <w:sz w:val="16"/>
          <w:szCs w:val="16"/>
          <w:lang w:val="es-MX"/>
        </w:rPr>
      </w:pPr>
    </w:p>
    <w:p w14:paraId="5FF3723F" w14:textId="77777777" w:rsidR="008C1AAB" w:rsidRDefault="008C1AAB">
      <w:pPr>
        <w:pStyle w:val="Textonotapie"/>
        <w:rPr>
          <w:rFonts w:ascii="Times New Roman" w:eastAsia="Times New Roman" w:hAnsi="Times New Roman" w:cs="Times New Roman"/>
          <w:sz w:val="16"/>
          <w:szCs w:val="16"/>
          <w:lang w:val="es-MX"/>
        </w:rPr>
      </w:pPr>
    </w:p>
    <w:p w14:paraId="4558AAA4" w14:textId="7EAD53FE" w:rsidR="00782907" w:rsidRPr="00782907" w:rsidRDefault="00782907">
      <w:pPr>
        <w:pStyle w:val="Textonotapie"/>
        <w:rPr>
          <w:rFonts w:ascii="Times New Roman" w:hAnsi="Times New Roman" w:cs="Times New Roman"/>
          <w:sz w:val="16"/>
          <w:szCs w:val="16"/>
        </w:rPr>
      </w:pPr>
    </w:p>
  </w:footnote>
  <w:footnote w:id="3">
    <w:p w14:paraId="4EB286FA" w14:textId="77ABAEDD" w:rsidR="008C1AAB" w:rsidRDefault="008C1AAB">
      <w:pPr>
        <w:pStyle w:val="Textonotapie"/>
      </w:pPr>
      <w:r>
        <w:rPr>
          <w:rStyle w:val="Refdenotaalpie"/>
        </w:rPr>
        <w:footnoteRef/>
      </w:r>
      <w:r>
        <w:t xml:space="preserve"> </w:t>
      </w:r>
      <w:hyperlink r:id="rId2" w:history="1">
        <w:r w:rsidRPr="004A7761">
          <w:rPr>
            <w:rStyle w:val="Hipervnculo"/>
          </w:rPr>
          <w:t>https://pias.org.uy/wp-content/uploads/2024/04/PIAs-Posicionamiento-25-de-abril-2024.pdf</w:t>
        </w:r>
      </w:hyperlink>
    </w:p>
    <w:p w14:paraId="238F2C40" w14:textId="77777777" w:rsidR="008C1AAB" w:rsidRPr="008C1AAB" w:rsidRDefault="008C1AAB">
      <w:pPr>
        <w:pStyle w:val="Textonotapie"/>
      </w:pPr>
    </w:p>
  </w:footnote>
  <w:footnote w:id="4">
    <w:p w14:paraId="7BF4D12E" w14:textId="0EFAAA82" w:rsidR="003E2A30" w:rsidRDefault="003E2A30" w:rsidP="00DA359C">
      <w:pPr>
        <w:pStyle w:val="Textonotapie"/>
        <w:jc w:val="both"/>
        <w:rPr>
          <w:rFonts w:ascii="Times New Roman" w:hAnsi="Times New Roman" w:cs="Times New Roman"/>
          <w:sz w:val="18"/>
          <w:szCs w:val="18"/>
        </w:rPr>
      </w:pPr>
      <w:r w:rsidRPr="00782907">
        <w:rPr>
          <w:rStyle w:val="Refdenotaalpie"/>
          <w:rFonts w:ascii="Times New Roman" w:hAnsi="Times New Roman" w:cs="Times New Roman"/>
        </w:rPr>
        <w:footnoteRef/>
      </w:r>
      <w:r w:rsidRPr="00782907">
        <w:rPr>
          <w:rFonts w:ascii="Times New Roman" w:hAnsi="Times New Roman" w:cs="Times New Roman"/>
        </w:rPr>
        <w:t xml:space="preserve"> </w:t>
      </w:r>
      <w:hyperlink r:id="rId3" w:history="1">
        <w:r w:rsidR="00DA359C" w:rsidRPr="004A7761">
          <w:rPr>
            <w:rStyle w:val="Hipervnculo"/>
            <w:rFonts w:ascii="Times New Roman" w:hAnsi="Times New Roman" w:cs="Times New Roman"/>
            <w:sz w:val="18"/>
            <w:szCs w:val="18"/>
          </w:rPr>
          <w:t>https://ladiaria.com.uy/verifica/articulo/2024/3/una-explicacion-sobre-la-polemica-y-la-diferencia-entre-baleados-y-homicidios/</w:t>
        </w:r>
      </w:hyperlink>
    </w:p>
    <w:p w14:paraId="67258DC1" w14:textId="3F5E1F41" w:rsidR="00DA359C" w:rsidRDefault="00DA359C" w:rsidP="00DA359C">
      <w:pPr>
        <w:pStyle w:val="Textonotapie"/>
        <w:jc w:val="both"/>
        <w:rPr>
          <w:rFonts w:ascii="Times New Roman" w:hAnsi="Times New Roman" w:cs="Times New Roman"/>
          <w:sz w:val="18"/>
          <w:szCs w:val="18"/>
          <w:lang w:val="es-UY"/>
        </w:rPr>
      </w:pPr>
      <w:hyperlink r:id="rId4" w:history="1">
        <w:r w:rsidRPr="004A7761">
          <w:rPr>
            <w:rStyle w:val="Hipervnculo"/>
            <w:rFonts w:ascii="Times New Roman" w:hAnsi="Times New Roman" w:cs="Times New Roman"/>
            <w:sz w:val="18"/>
            <w:szCs w:val="18"/>
            <w:lang w:val="es-UY"/>
          </w:rPr>
          <w:t>https://ladiaria.com.uy/justicia/articulo/2024/3/la-exposicion-diferencial-de-las-infancias-a-la-violencia-segun-el-barrio-que-habitan-y-el-panico-moral-que-generan-los-hechos-de-acuerdo-con-especialistas/</w:t>
        </w:r>
      </w:hyperlink>
    </w:p>
    <w:p w14:paraId="4AFFD166" w14:textId="77777777" w:rsidR="00DA359C" w:rsidRPr="00DA359C" w:rsidRDefault="00DA359C" w:rsidP="00DA359C">
      <w:pPr>
        <w:pStyle w:val="Textonotapie"/>
        <w:jc w:val="both"/>
        <w:rPr>
          <w:rFonts w:ascii="Times New Roman" w:hAnsi="Times New Roman" w:cs="Times New Roman"/>
          <w:sz w:val="18"/>
          <w:szCs w:val="18"/>
          <w:lang w:val="es-UY"/>
        </w:rPr>
      </w:pPr>
    </w:p>
  </w:footnote>
  <w:footnote w:id="5">
    <w:p w14:paraId="000000D6" w14:textId="55A8DF15" w:rsidR="00914CCC" w:rsidRDefault="00956C27" w:rsidP="008C1AAB">
      <w:pPr>
        <w:spacing w:line="240" w:lineRule="auto"/>
        <w:jc w:val="both"/>
        <w:rPr>
          <w:rFonts w:ascii="Times New Roman" w:eastAsia="Times New Roman" w:hAnsi="Times New Roman" w:cs="Times New Roman"/>
          <w:sz w:val="18"/>
          <w:szCs w:val="18"/>
        </w:rPr>
      </w:pPr>
      <w:r w:rsidRPr="00DA359C">
        <w:rPr>
          <w:rFonts w:ascii="Times New Roman" w:hAnsi="Times New Roman" w:cs="Times New Roman"/>
          <w:sz w:val="18"/>
          <w:szCs w:val="18"/>
          <w:vertAlign w:val="superscript"/>
        </w:rPr>
        <w:footnoteRef/>
      </w:r>
      <w:r w:rsidRPr="00DA359C">
        <w:rPr>
          <w:rFonts w:ascii="Times New Roman" w:hAnsi="Times New Roman" w:cs="Times New Roman"/>
          <w:sz w:val="18"/>
          <w:szCs w:val="18"/>
        </w:rPr>
        <w:t xml:space="preserve"> </w:t>
      </w:r>
      <w:r w:rsidRPr="00DA359C">
        <w:rPr>
          <w:rFonts w:ascii="Times New Roman" w:eastAsia="Times New Roman" w:hAnsi="Times New Roman" w:cs="Times New Roman"/>
          <w:sz w:val="18"/>
          <w:szCs w:val="18"/>
        </w:rPr>
        <w:t xml:space="preserve">“El impacto de la pandemia del COVID-19 en la población afrodescendiente en Uruguay, Fondo de Población de las Naciones Unidas, UNFPA, Uruguay, julio 2021. </w:t>
      </w:r>
      <w:hyperlink r:id="rId5" w:history="1">
        <w:r w:rsidR="000B0F90" w:rsidRPr="004A7761">
          <w:rPr>
            <w:rStyle w:val="Hipervnculo"/>
            <w:rFonts w:ascii="Times New Roman" w:eastAsia="Times New Roman" w:hAnsi="Times New Roman" w:cs="Times New Roman"/>
            <w:sz w:val="18"/>
            <w:szCs w:val="18"/>
          </w:rPr>
          <w:t>www.uruguay.unfpa.org</w:t>
        </w:r>
      </w:hyperlink>
    </w:p>
    <w:p w14:paraId="5804C824" w14:textId="77777777" w:rsidR="000B0F90" w:rsidRPr="00DA359C" w:rsidRDefault="000B0F90" w:rsidP="008C1AAB">
      <w:pPr>
        <w:spacing w:line="240" w:lineRule="auto"/>
        <w:jc w:val="both"/>
        <w:rPr>
          <w:rFonts w:ascii="Times New Roman" w:eastAsia="Times New Roman" w:hAnsi="Times New Roman" w:cs="Times New Roman"/>
          <w:sz w:val="18"/>
          <w:szCs w:val="18"/>
        </w:rPr>
      </w:pPr>
    </w:p>
  </w:footnote>
  <w:footnote w:id="6">
    <w:p w14:paraId="000000E1" w14:textId="1F4592A7" w:rsidR="00914CCC" w:rsidRPr="008C1AAB" w:rsidRDefault="00956C27" w:rsidP="008C1AAB">
      <w:pPr>
        <w:spacing w:line="240" w:lineRule="auto"/>
        <w:jc w:val="both"/>
        <w:rPr>
          <w:rFonts w:ascii="Times New Roman" w:eastAsia="Times New Roman" w:hAnsi="Times New Roman" w:cs="Times New Roman"/>
          <w:sz w:val="18"/>
          <w:szCs w:val="18"/>
          <w:vertAlign w:val="superscript"/>
        </w:rPr>
      </w:pPr>
      <w:r w:rsidRPr="008C1AAB">
        <w:rPr>
          <w:rFonts w:ascii="Times New Roman" w:hAnsi="Times New Roman" w:cs="Times New Roman"/>
          <w:sz w:val="18"/>
          <w:szCs w:val="18"/>
          <w:vertAlign w:val="superscript"/>
        </w:rPr>
        <w:footnoteRef/>
      </w:r>
      <w:r w:rsidRPr="008C1AAB">
        <w:rPr>
          <w:sz w:val="18"/>
          <w:szCs w:val="18"/>
          <w:vertAlign w:val="superscript"/>
        </w:rPr>
        <w:t xml:space="preserve"> </w:t>
      </w:r>
      <w:r w:rsidR="007F6D20" w:rsidRPr="008C1AAB">
        <w:rPr>
          <w:rFonts w:ascii="Times New Roman" w:eastAsia="Times New Roman" w:hAnsi="Times New Roman" w:cs="Times New Roman"/>
          <w:sz w:val="18"/>
          <w:szCs w:val="18"/>
          <w:vertAlign w:val="superscript"/>
        </w:rPr>
        <w:t>Ib</w:t>
      </w:r>
      <w:r w:rsidRPr="008C1AAB">
        <w:rPr>
          <w:rFonts w:ascii="Times New Roman" w:eastAsia="Times New Roman" w:hAnsi="Times New Roman" w:cs="Times New Roman"/>
          <w:sz w:val="18"/>
          <w:szCs w:val="18"/>
          <w:vertAlign w:val="superscript"/>
        </w:rPr>
        <w:t>idem 8</w:t>
      </w:r>
    </w:p>
  </w:footnote>
  <w:footnote w:id="7">
    <w:p w14:paraId="000000DF" w14:textId="490299CA" w:rsidR="00914CCC" w:rsidRDefault="00956C27">
      <w:pPr>
        <w:spacing w:line="240" w:lineRule="auto"/>
        <w:rPr>
          <w:rFonts w:ascii="Times New Roman" w:hAnsi="Times New Roman" w:cs="Times New Roman"/>
          <w:color w:val="032D5B"/>
          <w:sz w:val="18"/>
          <w:szCs w:val="18"/>
        </w:rPr>
      </w:pPr>
      <w:r w:rsidRPr="007F6D20">
        <w:rPr>
          <w:rFonts w:ascii="Times New Roman" w:hAnsi="Times New Roman" w:cs="Times New Roman"/>
          <w:sz w:val="20"/>
          <w:szCs w:val="20"/>
          <w:vertAlign w:val="superscript"/>
        </w:rPr>
        <w:footnoteRef/>
      </w:r>
      <w:r w:rsidRPr="007F6D20">
        <w:rPr>
          <w:rFonts w:ascii="Times New Roman" w:hAnsi="Times New Roman" w:cs="Times New Roman"/>
          <w:sz w:val="20"/>
          <w:szCs w:val="20"/>
          <w:vertAlign w:val="superscript"/>
        </w:rPr>
        <w:t xml:space="preserve"> </w:t>
      </w:r>
      <w:r w:rsidRPr="00DA359C">
        <w:rPr>
          <w:rFonts w:ascii="Times New Roman" w:hAnsi="Times New Roman" w:cs="Times New Roman"/>
          <w:color w:val="032D5B"/>
          <w:sz w:val="18"/>
          <w:szCs w:val="18"/>
          <w:highlight w:val="white"/>
        </w:rPr>
        <w:t>Estimación de la pobreza por el método del ingreso Primer semestre 2022 INE</w:t>
      </w:r>
      <w:r w:rsidR="000B0F90">
        <w:rPr>
          <w:rFonts w:ascii="Times New Roman" w:hAnsi="Times New Roman" w:cs="Times New Roman"/>
          <w:color w:val="032D5B"/>
          <w:sz w:val="18"/>
          <w:szCs w:val="18"/>
        </w:rPr>
        <w:t xml:space="preserve"> </w:t>
      </w:r>
    </w:p>
    <w:p w14:paraId="44674B3E" w14:textId="3AEDD863" w:rsidR="000B0F90" w:rsidRDefault="000B0F90">
      <w:pPr>
        <w:spacing w:line="240" w:lineRule="auto"/>
        <w:rPr>
          <w:rFonts w:ascii="Times New Roman" w:hAnsi="Times New Roman" w:cs="Times New Roman"/>
          <w:sz w:val="18"/>
          <w:szCs w:val="18"/>
          <w:vertAlign w:val="superscript"/>
        </w:rPr>
      </w:pPr>
      <w:hyperlink r:id="rId6" w:history="1">
        <w:r w:rsidRPr="004A7761">
          <w:rPr>
            <w:rStyle w:val="Hipervnculo"/>
            <w:rFonts w:ascii="Times New Roman" w:hAnsi="Times New Roman" w:cs="Times New Roman"/>
            <w:sz w:val="18"/>
            <w:szCs w:val="18"/>
            <w:vertAlign w:val="superscript"/>
          </w:rPr>
          <w:t>https://www5.ine.gub.uy/documents/Demograf%C3%ADayEESS/HTML/ECH/Pobreza/2023/Estimaci%C3%B3n%20de%20la%20pobreza%20por%20el%20m%C3%A9todo%20del%20ingreso%20anual%202023.html</w:t>
        </w:r>
      </w:hyperlink>
    </w:p>
    <w:p w14:paraId="2DF3CD41" w14:textId="77777777" w:rsidR="000B0F90" w:rsidRPr="000B0F90" w:rsidRDefault="000B0F90">
      <w:pPr>
        <w:spacing w:line="240" w:lineRule="auto"/>
        <w:rPr>
          <w:rFonts w:ascii="Times New Roman" w:hAnsi="Times New Roman" w:cs="Times New Roman"/>
          <w:sz w:val="18"/>
          <w:szCs w:val="18"/>
          <w:vertAlign w:val="superscript"/>
        </w:rPr>
      </w:pPr>
    </w:p>
  </w:footnote>
  <w:footnote w:id="8">
    <w:p w14:paraId="4F13E147" w14:textId="1A9A97A8" w:rsidR="00AA5511" w:rsidRPr="00AA5511" w:rsidRDefault="00AA5511" w:rsidP="00F94062">
      <w:pPr>
        <w:pStyle w:val="Textonotapie"/>
        <w:rPr>
          <w:lang w:val="es-UY"/>
        </w:rPr>
      </w:pPr>
      <w:r>
        <w:rPr>
          <w:rStyle w:val="Refdenotaalpie"/>
        </w:rPr>
        <w:footnoteRef/>
      </w:r>
      <w:r w:rsidRPr="00F94062">
        <w:rPr>
          <w:rFonts w:ascii="Times New Roman" w:hAnsi="Times New Roman" w:cs="Times New Roman"/>
          <w:sz w:val="18"/>
          <w:szCs w:val="18"/>
        </w:rPr>
        <w:t xml:space="preserve"> </w:t>
      </w:r>
      <w:r w:rsidR="00000000" w:rsidRPr="00F94062">
        <w:rPr>
          <w:rFonts w:ascii="Times New Roman" w:hAnsi="Times New Roman" w:cs="Times New Roman"/>
          <w:sz w:val="18"/>
          <w:szCs w:val="18"/>
        </w:rPr>
        <w:fldChar w:fldCharType="begin"/>
      </w:r>
      <w:r w:rsidR="00000000" w:rsidRPr="00F94062">
        <w:rPr>
          <w:rFonts w:ascii="Times New Roman" w:hAnsi="Times New Roman" w:cs="Times New Roman"/>
          <w:sz w:val="18"/>
          <w:szCs w:val="18"/>
        </w:rPr>
        <w:instrText>HYPERLINK "https://www.gub.uy/institucion-nacional-derechos-humanos-uruguay/comunicacion/publicaciones/informe-10-anos-cumplimiento-ley-19122-desafios-su-implementacion"</w:instrText>
      </w:r>
      <w:r w:rsidR="00000000" w:rsidRPr="00F94062">
        <w:rPr>
          <w:rFonts w:ascii="Times New Roman" w:hAnsi="Times New Roman" w:cs="Times New Roman"/>
          <w:sz w:val="18"/>
          <w:szCs w:val="18"/>
        </w:rPr>
      </w:r>
      <w:r w:rsidR="00000000" w:rsidRPr="00F94062">
        <w:rPr>
          <w:rFonts w:ascii="Times New Roman" w:hAnsi="Times New Roman" w:cs="Times New Roman"/>
          <w:sz w:val="18"/>
          <w:szCs w:val="18"/>
        </w:rPr>
        <w:fldChar w:fldCharType="separate"/>
      </w:r>
      <w:r w:rsidR="00C72E46" w:rsidRPr="00F94062">
        <w:rPr>
          <w:rStyle w:val="Hipervnculo"/>
          <w:rFonts w:ascii="Times New Roman" w:hAnsi="Times New Roman" w:cs="Times New Roman"/>
          <w:sz w:val="18"/>
          <w:szCs w:val="18"/>
        </w:rPr>
        <w:t>https://www.gub.uy/institucion-nacional-derechos-humanos-uruguay/comunicacion/publicaciones/informe-10-anos-cumplimiento-ley-19122-desafios-su-implementacion</w:t>
      </w:r>
      <w:r w:rsidR="00000000" w:rsidRPr="00F94062">
        <w:rPr>
          <w:rStyle w:val="Hipervnculo"/>
          <w:rFonts w:ascii="Times New Roman" w:hAnsi="Times New Roman" w:cs="Times New Roman"/>
          <w:sz w:val="18"/>
          <w:szCs w:val="18"/>
        </w:rPr>
        <w:fldChar w:fldCharType="end"/>
      </w:r>
      <w:r w:rsidR="00C72E46" w:rsidRPr="00F94062">
        <w:rPr>
          <w:sz w:val="18"/>
          <w:szCs w:val="18"/>
        </w:rPr>
        <w:t xml:space="preserve"> </w:t>
      </w:r>
    </w:p>
    <w:p w14:paraId="20CF7783" w14:textId="7385B611" w:rsidR="00AA5511" w:rsidRPr="00AA5511" w:rsidRDefault="00AA5511" w:rsidP="00AA5511">
      <w:pPr>
        <w:pStyle w:val="Textonotapie"/>
        <w:rPr>
          <w:lang w:val="es-UY"/>
        </w:rPr>
      </w:pPr>
    </w:p>
  </w:footnote>
  <w:footnote w:id="9">
    <w:p w14:paraId="000000E3" w14:textId="77777777" w:rsidR="00914CCC" w:rsidRDefault="00956C27" w:rsidP="00F94062">
      <w:pPr>
        <w:spacing w:line="240" w:lineRule="auto"/>
        <w:rPr>
          <w:rFonts w:ascii="Times New Roman" w:eastAsia="Times New Roman" w:hAnsi="Times New Roman" w:cs="Times New Roman"/>
          <w:sz w:val="16"/>
          <w:szCs w:val="16"/>
          <w:vertAlign w:val="superscript"/>
        </w:rPr>
      </w:pPr>
      <w:r w:rsidRPr="001C1D51">
        <w:rPr>
          <w:rFonts w:ascii="Times New Roman" w:hAnsi="Times New Roman" w:cs="Times New Roman"/>
          <w:sz w:val="20"/>
          <w:szCs w:val="20"/>
          <w:vertAlign w:val="superscript"/>
        </w:rPr>
        <w:footnoteRef/>
      </w:r>
      <w:r w:rsidRPr="00F94062">
        <w:rPr>
          <w:rFonts w:ascii="Times New Roman" w:hAnsi="Times New Roman" w:cs="Times New Roman"/>
          <w:sz w:val="18"/>
          <w:szCs w:val="18"/>
          <w:vertAlign w:val="superscript"/>
        </w:rPr>
        <w:t xml:space="preserve"> </w:t>
      </w:r>
      <w:r w:rsidRPr="00F94062">
        <w:rPr>
          <w:rFonts w:ascii="Times New Roman" w:eastAsia="Times New Roman" w:hAnsi="Times New Roman" w:cs="Times New Roman"/>
          <w:sz w:val="18"/>
          <w:szCs w:val="18"/>
        </w:rPr>
        <w:t>l</w:t>
      </w:r>
      <w:hyperlink r:id="rId7">
        <w:r w:rsidRPr="00F94062">
          <w:rPr>
            <w:rFonts w:ascii="Times New Roman" w:eastAsia="Times New Roman" w:hAnsi="Times New Roman" w:cs="Times New Roman"/>
            <w:color w:val="1155CC"/>
            <w:sz w:val="18"/>
            <w:szCs w:val="18"/>
            <w:u w:val="single"/>
          </w:rPr>
          <w:t>https://www.gub.uy/ministerio-desarrollo-social/sites/ministerio-desarrollo-social/files/documentos/publicaciones/2003.pdf</w:t>
        </w:r>
      </w:hyperlink>
      <w:r w:rsidRPr="001C1D51">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D89ED" w14:textId="77777777" w:rsidR="008C1AAB" w:rsidRDefault="008C1A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0F18" w14:textId="77777777" w:rsidR="008C1AAB" w:rsidRDefault="008C1AA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9694" w14:textId="77777777" w:rsidR="008C1AAB" w:rsidRDefault="008C1A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F3366"/>
    <w:multiLevelType w:val="hybridMultilevel"/>
    <w:tmpl w:val="2C90F9B2"/>
    <w:lvl w:ilvl="0" w:tplc="380A000F">
      <w:start w:val="7"/>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 w15:restartNumberingAfterBreak="0">
    <w:nsid w:val="6FAC722F"/>
    <w:multiLevelType w:val="hybridMultilevel"/>
    <w:tmpl w:val="BD7A8E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00444644">
    <w:abstractNumId w:val="1"/>
  </w:num>
  <w:num w:numId="2" w16cid:durableId="63132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CCC"/>
    <w:rsid w:val="000511A5"/>
    <w:rsid w:val="000569B0"/>
    <w:rsid w:val="00064C38"/>
    <w:rsid w:val="000B0F90"/>
    <w:rsid w:val="000D05C0"/>
    <w:rsid w:val="000E5F1C"/>
    <w:rsid w:val="001108DD"/>
    <w:rsid w:val="001309D7"/>
    <w:rsid w:val="0015713A"/>
    <w:rsid w:val="001B4977"/>
    <w:rsid w:val="001C1D51"/>
    <w:rsid w:val="00203491"/>
    <w:rsid w:val="00210A36"/>
    <w:rsid w:val="002116D6"/>
    <w:rsid w:val="00224329"/>
    <w:rsid w:val="00240F98"/>
    <w:rsid w:val="002508B1"/>
    <w:rsid w:val="00254919"/>
    <w:rsid w:val="002550AC"/>
    <w:rsid w:val="00255B61"/>
    <w:rsid w:val="002653AB"/>
    <w:rsid w:val="002A0F7A"/>
    <w:rsid w:val="002E1916"/>
    <w:rsid w:val="002F3381"/>
    <w:rsid w:val="002F6C76"/>
    <w:rsid w:val="00325E2D"/>
    <w:rsid w:val="00335191"/>
    <w:rsid w:val="00380C7B"/>
    <w:rsid w:val="00383D6F"/>
    <w:rsid w:val="003D34DC"/>
    <w:rsid w:val="003E2A30"/>
    <w:rsid w:val="003F3A1E"/>
    <w:rsid w:val="00410BCE"/>
    <w:rsid w:val="004B6FDC"/>
    <w:rsid w:val="004C781E"/>
    <w:rsid w:val="004F4E7A"/>
    <w:rsid w:val="005619A3"/>
    <w:rsid w:val="0058493E"/>
    <w:rsid w:val="00593F9E"/>
    <w:rsid w:val="005D1B03"/>
    <w:rsid w:val="005D69F0"/>
    <w:rsid w:val="00625B27"/>
    <w:rsid w:val="00627117"/>
    <w:rsid w:val="00682E84"/>
    <w:rsid w:val="006A6382"/>
    <w:rsid w:val="006B4309"/>
    <w:rsid w:val="006E03A5"/>
    <w:rsid w:val="00723FDB"/>
    <w:rsid w:val="00757355"/>
    <w:rsid w:val="00782907"/>
    <w:rsid w:val="007B5D1F"/>
    <w:rsid w:val="007C3593"/>
    <w:rsid w:val="007E32EA"/>
    <w:rsid w:val="007F6D20"/>
    <w:rsid w:val="00823641"/>
    <w:rsid w:val="008255C7"/>
    <w:rsid w:val="00825F06"/>
    <w:rsid w:val="00835CC3"/>
    <w:rsid w:val="00837646"/>
    <w:rsid w:val="00844320"/>
    <w:rsid w:val="00865AF4"/>
    <w:rsid w:val="008830C0"/>
    <w:rsid w:val="008A4400"/>
    <w:rsid w:val="008B5F46"/>
    <w:rsid w:val="008C1AAB"/>
    <w:rsid w:val="008D7E6A"/>
    <w:rsid w:val="008E752C"/>
    <w:rsid w:val="009042C0"/>
    <w:rsid w:val="00904D20"/>
    <w:rsid w:val="00914CCC"/>
    <w:rsid w:val="009258CE"/>
    <w:rsid w:val="009352F9"/>
    <w:rsid w:val="00937066"/>
    <w:rsid w:val="00946F6D"/>
    <w:rsid w:val="00956C27"/>
    <w:rsid w:val="009870D9"/>
    <w:rsid w:val="009C6C8D"/>
    <w:rsid w:val="00A01013"/>
    <w:rsid w:val="00A22642"/>
    <w:rsid w:val="00A30877"/>
    <w:rsid w:val="00A912DB"/>
    <w:rsid w:val="00AA5511"/>
    <w:rsid w:val="00AB696D"/>
    <w:rsid w:val="00AC17D1"/>
    <w:rsid w:val="00AC26DA"/>
    <w:rsid w:val="00B24759"/>
    <w:rsid w:val="00B34E7F"/>
    <w:rsid w:val="00B63DB0"/>
    <w:rsid w:val="00B77F65"/>
    <w:rsid w:val="00B87C7E"/>
    <w:rsid w:val="00B95720"/>
    <w:rsid w:val="00BB458C"/>
    <w:rsid w:val="00BF1629"/>
    <w:rsid w:val="00C01DAD"/>
    <w:rsid w:val="00C02AD2"/>
    <w:rsid w:val="00C148EB"/>
    <w:rsid w:val="00C72E46"/>
    <w:rsid w:val="00C902E8"/>
    <w:rsid w:val="00CA7FA2"/>
    <w:rsid w:val="00CB4489"/>
    <w:rsid w:val="00D56F08"/>
    <w:rsid w:val="00DA359C"/>
    <w:rsid w:val="00DB1A7C"/>
    <w:rsid w:val="00ED583C"/>
    <w:rsid w:val="00EE5393"/>
    <w:rsid w:val="00F703A4"/>
    <w:rsid w:val="00F94062"/>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8C087"/>
  <w15:docId w15:val="{5749BA6C-1E18-0F4E-8A5D-5D846857E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7F6D20"/>
    <w:rPr>
      <w:color w:val="0000FF" w:themeColor="hyperlink"/>
      <w:u w:val="single"/>
    </w:rPr>
  </w:style>
  <w:style w:type="character" w:styleId="Mencinsinresolver">
    <w:name w:val="Unresolved Mention"/>
    <w:basedOn w:val="Fuentedeprrafopredeter"/>
    <w:uiPriority w:val="99"/>
    <w:semiHidden/>
    <w:unhideWhenUsed/>
    <w:rsid w:val="007F6D20"/>
    <w:rPr>
      <w:color w:val="605E5C"/>
      <w:shd w:val="clear" w:color="auto" w:fill="E1DFDD"/>
    </w:rPr>
  </w:style>
  <w:style w:type="paragraph" w:styleId="Textonotapie">
    <w:name w:val="footnote text"/>
    <w:basedOn w:val="Normal"/>
    <w:link w:val="TextonotapieCar"/>
    <w:uiPriority w:val="99"/>
    <w:unhideWhenUsed/>
    <w:rsid w:val="000511A5"/>
    <w:pPr>
      <w:spacing w:line="240" w:lineRule="auto"/>
    </w:pPr>
    <w:rPr>
      <w:sz w:val="20"/>
      <w:szCs w:val="20"/>
    </w:rPr>
  </w:style>
  <w:style w:type="character" w:customStyle="1" w:styleId="TextonotapieCar">
    <w:name w:val="Texto nota pie Car"/>
    <w:basedOn w:val="Fuentedeprrafopredeter"/>
    <w:link w:val="Textonotapie"/>
    <w:uiPriority w:val="99"/>
    <w:rsid w:val="000511A5"/>
    <w:rPr>
      <w:sz w:val="20"/>
      <w:szCs w:val="20"/>
    </w:rPr>
  </w:style>
  <w:style w:type="character" w:styleId="Refdenotaalpie">
    <w:name w:val="footnote reference"/>
    <w:basedOn w:val="Fuentedeprrafopredeter"/>
    <w:uiPriority w:val="99"/>
    <w:semiHidden/>
    <w:unhideWhenUsed/>
    <w:rsid w:val="000511A5"/>
    <w:rPr>
      <w:vertAlign w:val="superscript"/>
    </w:rPr>
  </w:style>
  <w:style w:type="paragraph" w:styleId="Prrafodelista">
    <w:name w:val="List Paragraph"/>
    <w:basedOn w:val="Normal"/>
    <w:uiPriority w:val="34"/>
    <w:qFormat/>
    <w:rsid w:val="002653AB"/>
    <w:pPr>
      <w:ind w:left="720"/>
      <w:contextualSpacing/>
    </w:pPr>
  </w:style>
  <w:style w:type="paragraph" w:styleId="Encabezado">
    <w:name w:val="header"/>
    <w:basedOn w:val="Normal"/>
    <w:link w:val="EncabezadoCar"/>
    <w:uiPriority w:val="99"/>
    <w:unhideWhenUsed/>
    <w:rsid w:val="008C1AA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8C1AAB"/>
  </w:style>
  <w:style w:type="paragraph" w:styleId="Piedepgina">
    <w:name w:val="footer"/>
    <w:basedOn w:val="Normal"/>
    <w:link w:val="PiedepginaCar"/>
    <w:uiPriority w:val="99"/>
    <w:unhideWhenUsed/>
    <w:rsid w:val="008C1AA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8C1AAB"/>
  </w:style>
  <w:style w:type="character" w:styleId="Hipervnculovisitado">
    <w:name w:val="FollowedHyperlink"/>
    <w:basedOn w:val="Fuentedeprrafopredeter"/>
    <w:uiPriority w:val="99"/>
    <w:semiHidden/>
    <w:unhideWhenUsed/>
    <w:rsid w:val="00F940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diaria.com.uy/verifica/articulo/2024/3/una-explicacion-sobre-la-polemica-y-la-diferencia-entre-baleados-y-homicidios/" TargetMode="External"/><Relationship Id="rId7" Type="http://schemas.openxmlformats.org/officeDocument/2006/relationships/hyperlink" Target="https://www.gub.uy/ministerio-desarrollo-social/sites/ministerio-desarrollo-social/files/documentos/publicaciones/2003.pdf" TargetMode="External"/><Relationship Id="rId2" Type="http://schemas.openxmlformats.org/officeDocument/2006/relationships/hyperlink" Target="https://pias.org.uy/wp-content/uploads/2024/04/PIAs-Posicionamiento-25-de-abril-2024.pdf" TargetMode="External"/><Relationship Id="rId1" Type="http://schemas.openxmlformats.org/officeDocument/2006/relationships/hyperlink" Target="https://www.unicef.org/uruguay/documents/la-infancia-como-prioridad" TargetMode="External"/><Relationship Id="rId6" Type="http://schemas.openxmlformats.org/officeDocument/2006/relationships/hyperlink" Target="https://www5.ine.gub.uy/documents/Demograf%C3%ADayEESS/HTML/ECH/Pobreza/2023/Estimaci%C3%B3n%20de%20la%20pobreza%20por%20el%20m%C3%A9todo%20del%20ingreso%20anual%202023.html" TargetMode="External"/><Relationship Id="rId5" Type="http://schemas.openxmlformats.org/officeDocument/2006/relationships/hyperlink" Target="http://www.uruguay.unfpa.org" TargetMode="External"/><Relationship Id="rId4" Type="http://schemas.openxmlformats.org/officeDocument/2006/relationships/hyperlink" Target="https://ladiaria.com.uy/justicia/articulo/2024/3/la-exposicion-diferencial-de-las-infancias-a-la-violencia-segun-el-barrio-que-habitan-y-el-panico-moral-que-generan-los-hechos-de-acuerdo-con-especialist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4E9C07-6F64-446D-9858-A4D89FDA6320}">
  <ds:schemaRefs>
    <ds:schemaRef ds:uri="http://schemas.openxmlformats.org/officeDocument/2006/bibliography"/>
  </ds:schemaRefs>
</ds:datastoreItem>
</file>

<file path=customXml/itemProps2.xml><?xml version="1.0" encoding="utf-8"?>
<ds:datastoreItem xmlns:ds="http://schemas.openxmlformats.org/officeDocument/2006/customXml" ds:itemID="{6EF59086-DE0D-496C-B044-827E5CA1023E}"/>
</file>

<file path=customXml/itemProps3.xml><?xml version="1.0" encoding="utf-8"?>
<ds:datastoreItem xmlns:ds="http://schemas.openxmlformats.org/officeDocument/2006/customXml" ds:itemID="{27C78227-D2D6-4899-AD7A-9B07DC28044F}"/>
</file>

<file path=docProps/app.xml><?xml version="1.0" encoding="utf-8"?>
<Properties xmlns="http://schemas.openxmlformats.org/officeDocument/2006/extended-properties" xmlns:vt="http://schemas.openxmlformats.org/officeDocument/2006/docPropsVTypes">
  <Template>Normal.dotm</Template>
  <TotalTime>29</TotalTime>
  <Pages>4</Pages>
  <Words>1610</Words>
  <Characters>8861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Ana Lima</cp:lastModifiedBy>
  <cp:revision>8</cp:revision>
  <dcterms:created xsi:type="dcterms:W3CDTF">2024-09-30T15:43:00Z</dcterms:created>
  <dcterms:modified xsi:type="dcterms:W3CDTF">2024-09-30T16:29:00Z</dcterms:modified>
</cp:coreProperties>
</file>