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67206" w14:textId="3F643333" w:rsidR="001C4C5A" w:rsidRPr="00EC79A5" w:rsidRDefault="001C4C5A" w:rsidP="00EC79A5">
      <w:pPr>
        <w:spacing w:after="240" w:line="276" w:lineRule="auto"/>
        <w:jc w:val="both"/>
        <w:rPr>
          <w:rFonts w:ascii="Verdana" w:hAnsi="Verdana"/>
          <w:b/>
          <w:bCs/>
          <w:lang w:val="en-US"/>
        </w:rPr>
      </w:pPr>
    </w:p>
    <w:p w14:paraId="08710B4D" w14:textId="54471B94" w:rsidR="001C4C5A" w:rsidRPr="00EC79A5" w:rsidRDefault="00EC79A5" w:rsidP="00EC79A5">
      <w:pPr>
        <w:spacing w:after="80" w:line="276" w:lineRule="auto"/>
        <w:jc w:val="both"/>
        <w:rPr>
          <w:rFonts w:ascii="Verdana" w:hAnsi="Verdana"/>
          <w:b/>
          <w:bCs/>
          <w:color w:val="000000"/>
          <w:lang w:val="en-US"/>
        </w:rPr>
      </w:pPr>
      <w:r>
        <w:rPr>
          <w:rFonts w:ascii="Verdana" w:hAnsi="Verdana"/>
          <w:b/>
          <w:bCs/>
          <w:noProof/>
          <w:lang w:val="en-US"/>
        </w:rPr>
        <w:drawing>
          <wp:anchor distT="0" distB="0" distL="114300" distR="114300" simplePos="0" relativeHeight="251658240" behindDoc="0" locked="0" layoutInCell="1" allowOverlap="1" wp14:anchorId="643CC56C" wp14:editId="653A4AD7">
            <wp:simplePos x="0" y="0"/>
            <wp:positionH relativeFrom="column">
              <wp:posOffset>1135958</wp:posOffset>
            </wp:positionH>
            <wp:positionV relativeFrom="paragraph">
              <wp:posOffset>178608</wp:posOffset>
            </wp:positionV>
            <wp:extent cx="3546763" cy="1182254"/>
            <wp:effectExtent l="0" t="0" r="0" b="0"/>
            <wp:wrapNone/>
            <wp:docPr id="11655978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97814" name="Imagen 11655978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6763" cy="1182254"/>
                    </a:xfrm>
                    <a:prstGeom prst="rect">
                      <a:avLst/>
                    </a:prstGeom>
                  </pic:spPr>
                </pic:pic>
              </a:graphicData>
            </a:graphic>
            <wp14:sizeRelH relativeFrom="page">
              <wp14:pctWidth>0</wp14:pctWidth>
            </wp14:sizeRelH>
            <wp14:sizeRelV relativeFrom="page">
              <wp14:pctHeight>0</wp14:pctHeight>
            </wp14:sizeRelV>
          </wp:anchor>
        </w:drawing>
      </w:r>
    </w:p>
    <w:p w14:paraId="73CB4882" w14:textId="4D125B58" w:rsidR="001C4C5A" w:rsidRPr="00EC79A5" w:rsidRDefault="001C4C5A" w:rsidP="00EC79A5">
      <w:pPr>
        <w:spacing w:after="480" w:line="276" w:lineRule="auto"/>
        <w:jc w:val="both"/>
        <w:rPr>
          <w:rFonts w:ascii="Verdana" w:hAnsi="Verdana"/>
          <w:b/>
          <w:bCs/>
          <w:color w:val="000000"/>
        </w:rPr>
      </w:pPr>
    </w:p>
    <w:p w14:paraId="58A9A4A0" w14:textId="77777777" w:rsidR="001C4C5A" w:rsidRPr="00EC79A5" w:rsidRDefault="001C4C5A" w:rsidP="00EC79A5">
      <w:pPr>
        <w:spacing w:after="480" w:line="276" w:lineRule="auto"/>
        <w:jc w:val="both"/>
        <w:rPr>
          <w:rFonts w:ascii="Verdana" w:hAnsi="Verdana"/>
          <w:b/>
          <w:bCs/>
          <w:color w:val="000000"/>
        </w:rPr>
      </w:pPr>
    </w:p>
    <w:p w14:paraId="7F1D82A3" w14:textId="77777777" w:rsidR="001C4C5A" w:rsidRPr="00EC79A5" w:rsidRDefault="001C4C5A" w:rsidP="00EC79A5">
      <w:pPr>
        <w:spacing w:after="480" w:line="276" w:lineRule="auto"/>
        <w:jc w:val="both"/>
        <w:rPr>
          <w:rFonts w:ascii="Verdana" w:hAnsi="Verdana"/>
          <w:b/>
          <w:bCs/>
          <w:color w:val="000000"/>
        </w:rPr>
      </w:pPr>
    </w:p>
    <w:p w14:paraId="34269423" w14:textId="77777777" w:rsidR="00EC79A5" w:rsidRDefault="00EC79A5" w:rsidP="00EC79A5">
      <w:pPr>
        <w:spacing w:line="360" w:lineRule="auto"/>
        <w:jc w:val="center"/>
        <w:rPr>
          <w:rFonts w:ascii="Verdana" w:hAnsi="Verdana"/>
          <w:b/>
          <w:bCs/>
          <w:sz w:val="32"/>
          <w:szCs w:val="32"/>
        </w:rPr>
      </w:pPr>
    </w:p>
    <w:p w14:paraId="7AB05B4C" w14:textId="77777777" w:rsidR="00EC79A5" w:rsidRDefault="00EC79A5" w:rsidP="00EC79A5">
      <w:pPr>
        <w:spacing w:line="360" w:lineRule="auto"/>
        <w:jc w:val="center"/>
        <w:rPr>
          <w:rFonts w:ascii="Verdana" w:hAnsi="Verdana"/>
          <w:b/>
          <w:bCs/>
          <w:sz w:val="32"/>
          <w:szCs w:val="32"/>
        </w:rPr>
      </w:pPr>
    </w:p>
    <w:p w14:paraId="0844B0B8" w14:textId="470DE253" w:rsidR="00EC79A5" w:rsidRDefault="00000000" w:rsidP="00EC79A5">
      <w:pPr>
        <w:spacing w:line="360" w:lineRule="auto"/>
        <w:jc w:val="center"/>
        <w:rPr>
          <w:rFonts w:ascii="Verdana" w:hAnsi="Verdana"/>
          <w:b/>
          <w:bCs/>
          <w:sz w:val="32"/>
          <w:szCs w:val="32"/>
        </w:rPr>
      </w:pPr>
      <w:r w:rsidRPr="00EC79A5">
        <w:rPr>
          <w:rFonts w:ascii="Verdana" w:hAnsi="Verdana"/>
          <w:b/>
          <w:bCs/>
          <w:sz w:val="32"/>
          <w:szCs w:val="32"/>
        </w:rPr>
        <w:t xml:space="preserve">Informe Alternativo presentado </w:t>
      </w:r>
    </w:p>
    <w:p w14:paraId="2A29925D" w14:textId="41056D73" w:rsidR="001C4C5A" w:rsidRPr="00EC79A5" w:rsidRDefault="00000000" w:rsidP="00EC79A5">
      <w:pPr>
        <w:spacing w:line="360" w:lineRule="auto"/>
        <w:jc w:val="center"/>
        <w:rPr>
          <w:rFonts w:ascii="Verdana" w:hAnsi="Verdana"/>
          <w:b/>
          <w:bCs/>
          <w:sz w:val="32"/>
          <w:szCs w:val="32"/>
        </w:rPr>
      </w:pPr>
      <w:r w:rsidRPr="00EC79A5">
        <w:rPr>
          <w:rFonts w:ascii="Verdana" w:hAnsi="Verdana"/>
          <w:b/>
          <w:bCs/>
          <w:sz w:val="32"/>
          <w:szCs w:val="32"/>
        </w:rPr>
        <w:t>por el Centro UC Síndrome de Down</w:t>
      </w:r>
    </w:p>
    <w:p w14:paraId="17E0C9E3" w14:textId="10A9C524" w:rsidR="001C4C5A" w:rsidRPr="00EC79A5" w:rsidRDefault="00000000" w:rsidP="00EC79A5">
      <w:pPr>
        <w:spacing w:line="360" w:lineRule="auto"/>
        <w:jc w:val="center"/>
        <w:rPr>
          <w:rFonts w:ascii="Verdana" w:hAnsi="Verdana"/>
          <w:b/>
          <w:bCs/>
          <w:sz w:val="32"/>
          <w:szCs w:val="32"/>
        </w:rPr>
      </w:pPr>
      <w:r w:rsidRPr="00EC79A5">
        <w:rPr>
          <w:rFonts w:ascii="Verdana" w:hAnsi="Verdana"/>
          <w:b/>
          <w:bCs/>
          <w:sz w:val="32"/>
          <w:szCs w:val="32"/>
        </w:rPr>
        <w:t xml:space="preserve">al Comité sobre los Derechos de las Personas con </w:t>
      </w:r>
      <w:bookmarkStart w:id="0" w:name="_Int_M6tY0MJx"/>
      <w:r w:rsidRPr="00EC79A5">
        <w:rPr>
          <w:rFonts w:ascii="Verdana" w:hAnsi="Verdana"/>
          <w:b/>
          <w:bCs/>
          <w:sz w:val="32"/>
          <w:szCs w:val="32"/>
        </w:rPr>
        <w:t>Discapacidad</w:t>
      </w:r>
      <w:bookmarkEnd w:id="0"/>
      <w:r w:rsidRPr="00EC79A5">
        <w:rPr>
          <w:rFonts w:ascii="Verdana" w:hAnsi="Verdana"/>
          <w:b/>
          <w:bCs/>
          <w:sz w:val="32"/>
          <w:szCs w:val="32"/>
        </w:rPr>
        <w:t xml:space="preserve"> de Naciones Unidas</w:t>
      </w:r>
    </w:p>
    <w:p w14:paraId="25ADC39C" w14:textId="77777777" w:rsidR="001C4C5A" w:rsidRPr="00EC79A5" w:rsidRDefault="001C4C5A" w:rsidP="00EC79A5">
      <w:pPr>
        <w:spacing w:after="120" w:line="276" w:lineRule="auto"/>
        <w:jc w:val="both"/>
        <w:rPr>
          <w:rFonts w:ascii="Verdana" w:hAnsi="Verdana"/>
        </w:rPr>
      </w:pPr>
    </w:p>
    <w:p w14:paraId="16360FB7" w14:textId="77777777" w:rsidR="001C4C5A" w:rsidRPr="00EC79A5" w:rsidRDefault="001C4C5A" w:rsidP="00EC79A5">
      <w:pPr>
        <w:spacing w:after="120" w:line="276" w:lineRule="auto"/>
        <w:jc w:val="both"/>
        <w:rPr>
          <w:rFonts w:ascii="Verdana" w:hAnsi="Verdana"/>
        </w:rPr>
      </w:pPr>
    </w:p>
    <w:p w14:paraId="3305A35E" w14:textId="77777777" w:rsidR="001C4C5A" w:rsidRPr="00EC79A5" w:rsidRDefault="001C4C5A" w:rsidP="00EC79A5">
      <w:pPr>
        <w:spacing w:after="120" w:line="276" w:lineRule="auto"/>
        <w:jc w:val="both"/>
        <w:rPr>
          <w:rFonts w:ascii="Verdana" w:hAnsi="Verdana"/>
        </w:rPr>
      </w:pPr>
    </w:p>
    <w:p w14:paraId="106F8C44" w14:textId="77777777" w:rsidR="00EC79A5" w:rsidRDefault="00EC79A5" w:rsidP="00EC79A5">
      <w:pPr>
        <w:jc w:val="center"/>
        <w:rPr>
          <w:rFonts w:ascii="Verdana" w:hAnsi="Verdana"/>
          <w:color w:val="999999"/>
          <w:sz w:val="28"/>
          <w:szCs w:val="28"/>
        </w:rPr>
      </w:pPr>
    </w:p>
    <w:p w14:paraId="12D70ED6" w14:textId="77777777" w:rsidR="00EC79A5" w:rsidRDefault="00EC79A5" w:rsidP="00EC79A5">
      <w:pPr>
        <w:jc w:val="center"/>
        <w:rPr>
          <w:rFonts w:ascii="Verdana" w:hAnsi="Verdana"/>
          <w:color w:val="999999"/>
          <w:sz w:val="28"/>
          <w:szCs w:val="28"/>
        </w:rPr>
      </w:pPr>
      <w:r>
        <w:rPr>
          <w:rFonts w:ascii="Verdana" w:hAnsi="Verdana"/>
          <w:color w:val="999999"/>
          <w:sz w:val="28"/>
          <w:szCs w:val="28"/>
        </w:rPr>
        <w:t>Informe colectivo</w:t>
      </w:r>
    </w:p>
    <w:p w14:paraId="06AFB4AF" w14:textId="11E5DE6F" w:rsidR="00EC79A5" w:rsidRDefault="00EC79A5" w:rsidP="00EC79A5">
      <w:pPr>
        <w:jc w:val="center"/>
        <w:rPr>
          <w:rFonts w:ascii="Verdana" w:hAnsi="Verdana"/>
          <w:color w:val="999999"/>
          <w:sz w:val="28"/>
          <w:szCs w:val="28"/>
        </w:rPr>
      </w:pPr>
      <w:r w:rsidRPr="00EC79A5">
        <w:rPr>
          <w:rFonts w:ascii="Verdana" w:hAnsi="Verdana"/>
          <w:color w:val="999999"/>
          <w:sz w:val="28"/>
          <w:szCs w:val="28"/>
        </w:rPr>
        <w:t>Centro UC Síndrome de Down</w:t>
      </w:r>
    </w:p>
    <w:p w14:paraId="20AA3D53" w14:textId="77777777" w:rsidR="00EC79A5" w:rsidRDefault="00EC79A5" w:rsidP="00EC79A5">
      <w:pPr>
        <w:jc w:val="center"/>
        <w:rPr>
          <w:rFonts w:ascii="Verdana" w:hAnsi="Verdana"/>
          <w:color w:val="999999"/>
          <w:sz w:val="28"/>
          <w:szCs w:val="28"/>
        </w:rPr>
      </w:pPr>
    </w:p>
    <w:p w14:paraId="6BE1856A" w14:textId="77777777" w:rsidR="00EC79A5" w:rsidRDefault="00EC79A5" w:rsidP="00EC79A5">
      <w:pPr>
        <w:jc w:val="center"/>
        <w:rPr>
          <w:rFonts w:ascii="Verdana" w:hAnsi="Verdana"/>
          <w:color w:val="999999"/>
          <w:sz w:val="28"/>
          <w:szCs w:val="28"/>
        </w:rPr>
      </w:pPr>
    </w:p>
    <w:p w14:paraId="2BAB67EB" w14:textId="77777777" w:rsidR="00EC79A5" w:rsidRDefault="00EC79A5" w:rsidP="00EC79A5">
      <w:pPr>
        <w:jc w:val="center"/>
        <w:rPr>
          <w:rFonts w:ascii="Verdana" w:hAnsi="Verdana"/>
          <w:color w:val="999999"/>
          <w:sz w:val="28"/>
          <w:szCs w:val="28"/>
        </w:rPr>
      </w:pPr>
    </w:p>
    <w:p w14:paraId="49E6E9DA" w14:textId="77777777" w:rsidR="00EC79A5" w:rsidRDefault="00EC79A5" w:rsidP="00EC79A5">
      <w:pPr>
        <w:jc w:val="center"/>
        <w:rPr>
          <w:rFonts w:ascii="Verdana" w:hAnsi="Verdana"/>
          <w:color w:val="999999"/>
          <w:sz w:val="28"/>
          <w:szCs w:val="28"/>
        </w:rPr>
      </w:pPr>
    </w:p>
    <w:p w14:paraId="140C086B" w14:textId="77777777" w:rsidR="00EC79A5" w:rsidRDefault="00EC79A5" w:rsidP="00EC79A5">
      <w:pPr>
        <w:jc w:val="center"/>
        <w:rPr>
          <w:rFonts w:ascii="Verdana" w:hAnsi="Verdana"/>
          <w:color w:val="999999"/>
          <w:sz w:val="28"/>
          <w:szCs w:val="28"/>
        </w:rPr>
      </w:pPr>
    </w:p>
    <w:p w14:paraId="0E1E0CB6" w14:textId="77777777" w:rsidR="00EC79A5" w:rsidRDefault="00EC79A5" w:rsidP="00EC79A5">
      <w:pPr>
        <w:jc w:val="right"/>
        <w:rPr>
          <w:rFonts w:ascii="Verdana" w:hAnsi="Verdana"/>
          <w:color w:val="999999"/>
        </w:rPr>
      </w:pPr>
      <w:r>
        <w:rPr>
          <w:rFonts w:ascii="Verdana" w:hAnsi="Verdana"/>
          <w:color w:val="999999"/>
        </w:rPr>
        <w:t>Responsables:</w:t>
      </w:r>
      <w:r w:rsidRPr="00EC79A5">
        <w:rPr>
          <w:rFonts w:ascii="Verdana" w:hAnsi="Verdana"/>
          <w:color w:val="999999"/>
        </w:rPr>
        <w:t xml:space="preserve"> </w:t>
      </w:r>
    </w:p>
    <w:p w14:paraId="2A215F9C" w14:textId="77777777" w:rsidR="00EC79A5" w:rsidRDefault="00EC79A5" w:rsidP="00EC79A5">
      <w:pPr>
        <w:jc w:val="right"/>
        <w:rPr>
          <w:rFonts w:ascii="Verdana" w:hAnsi="Verdana"/>
          <w:color w:val="999999"/>
        </w:rPr>
      </w:pPr>
      <w:r w:rsidRPr="00EC79A5">
        <w:rPr>
          <w:rFonts w:ascii="Verdana" w:hAnsi="Verdana"/>
          <w:color w:val="999999"/>
        </w:rPr>
        <w:t>Macarena Lizama Calvo</w:t>
      </w:r>
    </w:p>
    <w:p w14:paraId="6FE44BFC" w14:textId="77777777" w:rsidR="00EC79A5" w:rsidRDefault="00EC79A5" w:rsidP="00EC79A5">
      <w:pPr>
        <w:jc w:val="right"/>
        <w:rPr>
          <w:rFonts w:ascii="Verdana" w:hAnsi="Verdana"/>
          <w:color w:val="999999"/>
        </w:rPr>
      </w:pPr>
      <w:proofErr w:type="spellStart"/>
      <w:r w:rsidRPr="00EC79A5">
        <w:rPr>
          <w:rFonts w:ascii="Verdana" w:hAnsi="Verdana"/>
          <w:color w:val="999999"/>
        </w:rPr>
        <w:t>Victor</w:t>
      </w:r>
      <w:proofErr w:type="spellEnd"/>
      <w:r w:rsidRPr="00EC79A5">
        <w:rPr>
          <w:rFonts w:ascii="Verdana" w:hAnsi="Verdana"/>
          <w:color w:val="999999"/>
        </w:rPr>
        <w:t xml:space="preserve"> Romero-Rojas</w:t>
      </w:r>
    </w:p>
    <w:p w14:paraId="06342DC7" w14:textId="754EECEE" w:rsidR="00EC79A5" w:rsidRDefault="00EC79A5" w:rsidP="00EC79A5">
      <w:pPr>
        <w:jc w:val="right"/>
        <w:rPr>
          <w:rFonts w:ascii="Verdana" w:hAnsi="Verdana"/>
          <w:color w:val="999999"/>
        </w:rPr>
      </w:pPr>
      <w:r>
        <w:rPr>
          <w:rFonts w:ascii="Verdana" w:hAnsi="Verdana"/>
          <w:color w:val="999999"/>
        </w:rPr>
        <w:t xml:space="preserve">Paula </w:t>
      </w:r>
      <w:proofErr w:type="spellStart"/>
      <w:r>
        <w:rPr>
          <w:rFonts w:ascii="Verdana" w:hAnsi="Verdana"/>
          <w:color w:val="999999"/>
        </w:rPr>
        <w:t>Cancino</w:t>
      </w:r>
      <w:proofErr w:type="spellEnd"/>
      <w:r>
        <w:rPr>
          <w:rFonts w:ascii="Verdana" w:hAnsi="Verdana"/>
          <w:color w:val="999999"/>
        </w:rPr>
        <w:t xml:space="preserve"> González</w:t>
      </w:r>
    </w:p>
    <w:p w14:paraId="60E24938" w14:textId="77777777" w:rsidR="00EC79A5" w:rsidRPr="00EC79A5" w:rsidRDefault="00EC79A5" w:rsidP="00EC79A5">
      <w:pPr>
        <w:jc w:val="right"/>
        <w:rPr>
          <w:rFonts w:ascii="Verdana" w:hAnsi="Verdana"/>
          <w:color w:val="999999"/>
        </w:rPr>
      </w:pPr>
    </w:p>
    <w:p w14:paraId="106B8986" w14:textId="0D4EBE14" w:rsidR="00EC79A5" w:rsidRPr="00EC79A5" w:rsidRDefault="33B13DBC" w:rsidP="00EC79A5">
      <w:pPr>
        <w:jc w:val="right"/>
      </w:pPr>
      <w:r w:rsidRPr="0BC8996A">
        <w:rPr>
          <w:rFonts w:ascii="Verdana" w:hAnsi="Verdana"/>
          <w:color w:val="999999"/>
        </w:rPr>
        <w:t xml:space="preserve">Contacto: </w:t>
      </w:r>
      <w:hyperlink r:id="rId11">
        <w:r w:rsidRPr="0BC8996A">
          <w:rPr>
            <w:rStyle w:val="Hipervnculo"/>
            <w:rFonts w:ascii="Verdana" w:hAnsi="Verdana"/>
          </w:rPr>
          <w:t>centroucdown@uc.cl</w:t>
        </w:r>
      </w:hyperlink>
    </w:p>
    <w:p w14:paraId="659F86B5" w14:textId="14E9F9CF" w:rsidR="0BC8996A" w:rsidRDefault="0BC8996A">
      <w:r>
        <w:br w:type="page"/>
      </w:r>
    </w:p>
    <w:p w14:paraId="703D69DF" w14:textId="58CDBBF3" w:rsidR="0BC8996A" w:rsidRDefault="0BC8996A" w:rsidP="0BC8996A">
      <w:pPr>
        <w:jc w:val="right"/>
      </w:pPr>
    </w:p>
    <w:tbl>
      <w:tblPr>
        <w:tblStyle w:val="Tablaconcuadrcula"/>
        <w:tblW w:w="0" w:type="auto"/>
        <w:tblBorders>
          <w:top w:val="none" w:sz="12" w:space="0" w:color="000000" w:themeColor="text2"/>
          <w:left w:val="none" w:sz="12" w:space="0" w:color="000000" w:themeColor="text2"/>
          <w:bottom w:val="none" w:sz="12" w:space="0" w:color="000000" w:themeColor="text2"/>
          <w:right w:val="none" w:sz="12" w:space="0" w:color="000000" w:themeColor="text2"/>
          <w:insideH w:val="none" w:sz="12" w:space="0" w:color="000000" w:themeColor="text2"/>
          <w:insideV w:val="none" w:sz="12" w:space="0" w:color="000000" w:themeColor="text2"/>
        </w:tblBorders>
        <w:tblLook w:val="04A0" w:firstRow="1" w:lastRow="0" w:firstColumn="1" w:lastColumn="0" w:noHBand="0" w:noVBand="1"/>
      </w:tblPr>
      <w:tblGrid>
        <w:gridCol w:w="2677"/>
        <w:gridCol w:w="6683"/>
      </w:tblGrid>
      <w:tr w:rsidR="0BC8996A" w14:paraId="64A70EB2" w14:textId="77777777" w:rsidTr="0BC8996A">
        <w:trPr>
          <w:trHeight w:val="51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shd w:val="clear" w:color="auto" w:fill="D9D9D9" w:themeFill="background2" w:themeFillShade="D9"/>
            <w:tcMar>
              <w:left w:w="108" w:type="dxa"/>
              <w:right w:w="108" w:type="dxa"/>
            </w:tcMar>
            <w:vAlign w:val="center"/>
          </w:tcPr>
          <w:p w14:paraId="3A8092F9" w14:textId="1EBE57E7"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Sigla</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shd w:val="clear" w:color="auto" w:fill="D9D9D9" w:themeFill="background2" w:themeFillShade="D9"/>
            <w:tcMar>
              <w:left w:w="108" w:type="dxa"/>
              <w:right w:w="108" w:type="dxa"/>
            </w:tcMar>
            <w:vAlign w:val="center"/>
          </w:tcPr>
          <w:p w14:paraId="2A1FB723" w14:textId="52622ADB"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Significado</w:t>
            </w:r>
          </w:p>
        </w:tc>
      </w:tr>
      <w:tr w:rsidR="0BC8996A" w14:paraId="0A03FA5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45A44B4" w14:textId="7F9EF11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A/RES/61/106</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7E73C25" w14:textId="313912F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Resolución de la Asamblea General de la ONU que adopta la Convención (2006)</w:t>
            </w:r>
          </w:p>
        </w:tc>
      </w:tr>
      <w:tr w:rsidR="0BC8996A" w14:paraId="16FD3AF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1DEAE94" w14:textId="284A191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CDPD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9A7DC72" w14:textId="587665C3"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Convención / Comité sobre los Derechos de las Personas con Discapacidad</w:t>
            </w:r>
          </w:p>
        </w:tc>
      </w:tr>
      <w:tr w:rsidR="0BC8996A" w14:paraId="0424D474"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6746673" w14:textId="15F93C7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F139C0E" w14:textId="6F877565" w:rsidR="0BC8996A" w:rsidRPr="005F58A7" w:rsidRDefault="0BC8996A" w:rsidP="0BC8996A">
            <w:pPr>
              <w:rPr>
                <w:rFonts w:ascii="Verdana" w:eastAsia="Verdana" w:hAnsi="Verdana" w:cs="Verdana"/>
                <w:sz w:val="20"/>
                <w:szCs w:val="20"/>
                <w:lang w:val="es-CL"/>
              </w:rPr>
            </w:pPr>
            <w:proofErr w:type="spellStart"/>
            <w:r w:rsidRPr="005F58A7">
              <w:rPr>
                <w:rFonts w:ascii="Verdana" w:eastAsia="Verdana" w:hAnsi="Verdana" w:cs="Verdana"/>
                <w:sz w:val="20"/>
                <w:szCs w:val="20"/>
                <w:lang w:val="es-CL"/>
              </w:rPr>
              <w:t>Committee</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on</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the</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Rights</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of</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Persons</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with</w:t>
            </w:r>
            <w:proofErr w:type="spellEnd"/>
            <w:r w:rsidRPr="005F58A7">
              <w:rPr>
                <w:rFonts w:ascii="Verdana" w:eastAsia="Verdana" w:hAnsi="Verdana" w:cs="Verdana"/>
                <w:sz w:val="20"/>
                <w:szCs w:val="20"/>
                <w:lang w:val="es-CL"/>
              </w:rPr>
              <w:t xml:space="preserve"> </w:t>
            </w:r>
            <w:proofErr w:type="spellStart"/>
            <w:r w:rsidRPr="005F58A7">
              <w:rPr>
                <w:rFonts w:ascii="Verdana" w:eastAsia="Verdana" w:hAnsi="Verdana" w:cs="Verdana"/>
                <w:sz w:val="20"/>
                <w:szCs w:val="20"/>
                <w:lang w:val="es-CL"/>
              </w:rPr>
              <w:t>Disabilities</w:t>
            </w:r>
            <w:proofErr w:type="spellEnd"/>
            <w:r w:rsidRPr="005F58A7">
              <w:rPr>
                <w:rFonts w:ascii="Verdana" w:eastAsia="Verdana" w:hAnsi="Verdana" w:cs="Verdana"/>
                <w:sz w:val="20"/>
                <w:szCs w:val="20"/>
                <w:lang w:val="es-CL"/>
              </w:rPr>
              <w:t xml:space="preserve"> (sigla en inglés, usada en las signaturas de documentos de Naciones Unidas)</w:t>
            </w:r>
          </w:p>
        </w:tc>
      </w:tr>
      <w:tr w:rsidR="0BC8996A" w14:paraId="1A486D0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D556409" w14:textId="2841040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CRPD/C/CHL/CO/1</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BF882D9" w14:textId="5EC5CCEE"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Observaciones finales sobre el informe inicial de Chile (2016)</w:t>
            </w:r>
          </w:p>
        </w:tc>
      </w:tr>
      <w:tr w:rsidR="0BC8996A" w14:paraId="5BB9C23E"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21E8E05" w14:textId="082094B8"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CRPD/C/CHL/QPR/2-4</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31146B3" w14:textId="3430946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Lista de cuestiones previa a los informes periódicos segundo a cuarto de Chile (2020)</w:t>
            </w:r>
          </w:p>
        </w:tc>
      </w:tr>
      <w:tr w:rsidR="0BC8996A" w14:paraId="46BC7432"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B561127" w14:textId="7F8D84D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CRPD/C/GC/7</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CFD973" w14:textId="4562EC4E"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Observación general N.º 7 del Comité (2018)</w:t>
            </w:r>
          </w:p>
        </w:tc>
      </w:tr>
      <w:tr w:rsidR="0BC8996A" w14:paraId="132BE264"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968490C" w14:textId="61110F77" w:rsidR="6A028107" w:rsidRDefault="6A028107"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CUCSD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9853AAD" w14:textId="0BE4B4CE" w:rsidR="6A028107" w:rsidRPr="005F58A7" w:rsidRDefault="6A028107" w:rsidP="0BC8996A">
            <w:pPr>
              <w:rPr>
                <w:rFonts w:ascii="Verdana" w:eastAsia="Verdana" w:hAnsi="Verdana" w:cs="Verdana"/>
                <w:sz w:val="20"/>
                <w:szCs w:val="20"/>
                <w:lang w:val="es-CL"/>
              </w:rPr>
            </w:pPr>
            <w:r w:rsidRPr="005F58A7">
              <w:rPr>
                <w:rFonts w:ascii="Verdana" w:eastAsia="Verdana" w:hAnsi="Verdana" w:cs="Verdana"/>
                <w:sz w:val="20"/>
                <w:szCs w:val="20"/>
                <w:lang w:val="es-CL"/>
              </w:rPr>
              <w:t xml:space="preserve">Centro UC síndrome de Down </w:t>
            </w:r>
          </w:p>
        </w:tc>
      </w:tr>
      <w:tr w:rsidR="0BC8996A" w14:paraId="3D6A3972"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11878F7" w14:textId="701E5AD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DEMRE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693A450" w14:textId="73B62AE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Departamento de Evaluación, Medición y Registro Educacional</w:t>
            </w:r>
          </w:p>
        </w:tc>
      </w:tr>
      <w:tr w:rsidR="0BC8996A" w14:paraId="5FDD20F1"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E62A396" w14:textId="56ED15AD"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DUA</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9AA08F9" w14:textId="00DD11F2"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Diseño Universal de Aprendizaje</w:t>
            </w:r>
          </w:p>
        </w:tc>
      </w:tr>
      <w:tr w:rsidR="0BC8996A" w14:paraId="2953C1F3"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6CD2CC5" w14:textId="768C2B7E"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ENDIDE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BEA2B42" w14:textId="04C09F38"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Encuesta Nacional de Discapacidad y Dependencia (2022)</w:t>
            </w:r>
          </w:p>
        </w:tc>
      </w:tr>
      <w:tr w:rsidR="0BC8996A" w14:paraId="0754167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629C707" w14:textId="653827C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ENDISC-II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BFEE38C" w14:textId="46076EA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Segunda Encuesta Nacional de Discapacidad (2015)</w:t>
            </w:r>
          </w:p>
        </w:tc>
      </w:tr>
      <w:tr w:rsidR="0BC8996A" w14:paraId="2BF3A785"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DD2C4DE" w14:textId="29E730F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GES</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7DA30D" w14:textId="563DDC6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Garantías Explícitas en Salud (Ley N.º 19.966)</w:t>
            </w:r>
          </w:p>
        </w:tc>
      </w:tr>
      <w:tr w:rsidR="0BC8996A" w14:paraId="7656275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947290" w14:textId="2584E5C0"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MINEDUC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6C407DC" w14:textId="717AC18D"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Ministerio de Educación</w:t>
            </w:r>
          </w:p>
        </w:tc>
      </w:tr>
      <w:tr w:rsidR="0BC8996A" w14:paraId="68177B3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5ED16D4" w14:textId="443F220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MINSAL</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94A3263" w14:textId="6CBEF196"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Ministerio de Salud</w:t>
            </w:r>
          </w:p>
        </w:tc>
      </w:tr>
      <w:tr w:rsidR="0BC8996A" w14:paraId="1C92584B"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2808900" w14:textId="61599AA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MINVU</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4115269" w14:textId="34C4F3A2"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Ministerio de Vivienda y Urbanismo</w:t>
            </w:r>
          </w:p>
        </w:tc>
      </w:tr>
      <w:tr w:rsidR="0BC8996A" w14:paraId="6CDE6B8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D7DEBE5" w14:textId="45B66732"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PASMI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B5F847D" w14:textId="370C4934"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Programa de Apoyo a la Salud Mental Infantil</w:t>
            </w:r>
          </w:p>
        </w:tc>
      </w:tr>
      <w:tr w:rsidR="0BC8996A" w14:paraId="6FC4A5B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A18F3FF" w14:textId="78B4CD0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PIE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1D652B6" w14:textId="21583DC6"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Programa de Integración Escolar</w:t>
            </w:r>
          </w:p>
        </w:tc>
      </w:tr>
      <w:tr w:rsidR="0BC8996A" w14:paraId="1F5F1CC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736A50C" w14:textId="28FFB4E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REVELO</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B150180" w14:textId="6D54D39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Piloto de SENADIS (nombre de programa; el informe no desarrolla la sigla)</w:t>
            </w:r>
          </w:p>
        </w:tc>
      </w:tr>
      <w:tr w:rsidR="0BC8996A" w14:paraId="33E9997A"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553254A" w14:textId="3B90C4FB"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SENADIS</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04C475D" w14:textId="0B3E16D0"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Servicio Nacional de la Discapacidad</w:t>
            </w:r>
          </w:p>
        </w:tc>
      </w:tr>
      <w:tr w:rsidR="0BC8996A" w14:paraId="7E00EB6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E36369E" w14:textId="5C45E9C2"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SMART</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49EA635" w14:textId="155333D8"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Específicas, medibles, alcanzables, relevantes y con plazo (specific, measurable, achievable, relevant, time-bound)</w:t>
            </w:r>
          </w:p>
        </w:tc>
      </w:tr>
      <w:tr w:rsidR="0BC8996A" w14:paraId="2B1652E3"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C6B4147" w14:textId="3E3FDEC6"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TVI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3E3DCE7" w14:textId="2A99AAD3"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Programa de Tránsito a la Vida Independiente</w:t>
            </w:r>
          </w:p>
        </w:tc>
      </w:tr>
      <w:tr w:rsidR="0BC8996A" w14:paraId="47FDD200"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201F33B" w14:textId="022642FD"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TIC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BF83411" w14:textId="57124814"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Tecnologías de la Información y la Comunicación</w:t>
            </w:r>
          </w:p>
        </w:tc>
      </w:tr>
      <w:tr w:rsidR="0BC8996A" w14:paraId="2ED5126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92630F7" w14:textId="5BDF09F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UC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FBD9B12" w14:textId="348C89EB"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Pontificia Universidad Católica de Chile</w:t>
            </w:r>
          </w:p>
        </w:tc>
      </w:tr>
    </w:tbl>
    <w:p w14:paraId="4C91C0D3" w14:textId="54433C4D" w:rsidR="092D695A" w:rsidRDefault="092D695A" w:rsidP="0BC8996A">
      <w:pPr>
        <w:spacing w:after="240" w:line="276" w:lineRule="auto"/>
      </w:pPr>
      <w:r w:rsidRPr="005F58A7">
        <w:rPr>
          <w:rFonts w:ascii="Verdana" w:eastAsia="Verdana" w:hAnsi="Verdana" w:cs="Verdana"/>
          <w:lang w:val="es-CL"/>
        </w:rPr>
        <w:t xml:space="preserve"> </w:t>
      </w:r>
    </w:p>
    <w:p w14:paraId="01000B6F" w14:textId="098D4916" w:rsidR="092D695A" w:rsidRPr="005F58A7" w:rsidRDefault="092D695A" w:rsidP="0BC8996A">
      <w:pPr>
        <w:spacing w:after="240" w:line="276" w:lineRule="auto"/>
        <w:rPr>
          <w:rFonts w:ascii="Verdana" w:eastAsia="Verdana" w:hAnsi="Verdana" w:cs="Verdana"/>
          <w:b/>
          <w:bCs/>
          <w:lang w:val="es-CL"/>
        </w:rPr>
      </w:pPr>
      <w:r w:rsidRPr="005F58A7">
        <w:rPr>
          <w:rFonts w:ascii="Verdana" w:eastAsia="Verdana" w:hAnsi="Verdana" w:cs="Verdana"/>
          <w:b/>
          <w:bCs/>
          <w:lang w:val="es-CL"/>
        </w:rPr>
        <w:t>Abreviaturas</w:t>
      </w:r>
    </w:p>
    <w:p w14:paraId="40F849A1" w14:textId="435FE583" w:rsidR="092D695A" w:rsidRDefault="092D695A" w:rsidP="0BC8996A">
      <w:pPr>
        <w:spacing w:after="240" w:line="276" w:lineRule="auto"/>
      </w:pPr>
      <w:r w:rsidRPr="0BC8996A">
        <w:rPr>
          <w:rFonts w:ascii="Verdana" w:eastAsia="Verdana" w:hAnsi="Verdana" w:cs="Verdana"/>
          <w:b/>
          <w:bCs/>
        </w:rPr>
        <w:t>art. / arts.</w:t>
      </w:r>
      <w:r w:rsidRPr="0BC8996A">
        <w:rPr>
          <w:rFonts w:ascii="Verdana" w:eastAsia="Verdana" w:hAnsi="Verdana" w:cs="Verdana"/>
        </w:rPr>
        <w:t xml:space="preserve"> — artículo / artículos.  </w:t>
      </w:r>
      <w:r w:rsidRPr="0BC8996A">
        <w:rPr>
          <w:rFonts w:ascii="Verdana" w:eastAsia="Verdana" w:hAnsi="Verdana" w:cs="Verdana"/>
          <w:b/>
          <w:bCs/>
        </w:rPr>
        <w:t>cap. / caps.</w:t>
      </w:r>
      <w:r w:rsidRPr="0BC8996A">
        <w:rPr>
          <w:rFonts w:ascii="Verdana" w:eastAsia="Verdana" w:hAnsi="Verdana" w:cs="Verdana"/>
        </w:rPr>
        <w:t xml:space="preserve"> — capítulo / capítulos.  </w:t>
      </w:r>
      <w:r w:rsidR="331AF78C" w:rsidRPr="0BC8996A">
        <w:rPr>
          <w:rFonts w:ascii="Verdana" w:eastAsia="Verdana" w:hAnsi="Verdana" w:cs="Verdana"/>
          <w:b/>
          <w:bCs/>
        </w:rPr>
        <w:t xml:space="preserve">cols. </w:t>
      </w:r>
      <w:r w:rsidR="331AF78C" w:rsidRPr="0BC8996A">
        <w:rPr>
          <w:rFonts w:ascii="Verdana" w:eastAsia="Verdana" w:hAnsi="Verdana" w:cs="Verdana"/>
        </w:rPr>
        <w:t xml:space="preserve">— colaboradores. </w:t>
      </w:r>
      <w:r w:rsidRPr="0BC8996A">
        <w:rPr>
          <w:rFonts w:ascii="Verdana" w:eastAsia="Verdana" w:hAnsi="Verdana" w:cs="Verdana"/>
          <w:b/>
          <w:bCs/>
        </w:rPr>
        <w:t>párr. / párrs.</w:t>
      </w:r>
      <w:r w:rsidRPr="0BC8996A">
        <w:rPr>
          <w:rFonts w:ascii="Verdana" w:eastAsia="Verdana" w:hAnsi="Verdana" w:cs="Verdana"/>
        </w:rPr>
        <w:t xml:space="preserve"> — párrafo / párrafos.  </w:t>
      </w:r>
      <w:r w:rsidRPr="0BC8996A">
        <w:rPr>
          <w:rFonts w:ascii="Verdana" w:eastAsia="Verdana" w:hAnsi="Verdana" w:cs="Verdana"/>
          <w:b/>
          <w:bCs/>
        </w:rPr>
        <w:t>N.º</w:t>
      </w:r>
      <w:r w:rsidRPr="0BC8996A">
        <w:rPr>
          <w:rFonts w:ascii="Verdana" w:eastAsia="Verdana" w:hAnsi="Verdana" w:cs="Verdana"/>
        </w:rPr>
        <w:t xml:space="preserve"> — número.   </w:t>
      </w:r>
      <w:r w:rsidRPr="0BC8996A">
        <w:rPr>
          <w:rFonts w:ascii="Verdana" w:eastAsia="Verdana" w:hAnsi="Verdana" w:cs="Verdana"/>
          <w:b/>
          <w:bCs/>
        </w:rPr>
        <w:t>II / III</w:t>
      </w:r>
      <w:r w:rsidRPr="0BC8996A">
        <w:rPr>
          <w:rFonts w:ascii="Verdana" w:eastAsia="Verdana" w:hAnsi="Verdana" w:cs="Verdana"/>
        </w:rPr>
        <w:t xml:space="preserve"> — numerales romanos (segunda / tercera versión de las encuestas nacionales).  </w:t>
      </w:r>
    </w:p>
    <w:p w14:paraId="4F9F2978" w14:textId="355C1293" w:rsidR="0BC8996A" w:rsidRDefault="0BC8996A" w:rsidP="0BC8996A">
      <w:pPr>
        <w:spacing w:after="240" w:line="276" w:lineRule="auto"/>
        <w:rPr>
          <w:rFonts w:ascii="Verdana" w:eastAsia="Verdana" w:hAnsi="Verdana" w:cs="Verdana"/>
        </w:rPr>
      </w:pPr>
    </w:p>
    <w:p w14:paraId="48BD5D2D" w14:textId="66C0585D" w:rsidR="0BC8996A" w:rsidRDefault="0BC8996A" w:rsidP="0BC8996A">
      <w:pPr>
        <w:spacing w:after="240" w:line="276" w:lineRule="auto"/>
        <w:rPr>
          <w:rFonts w:ascii="Verdana" w:eastAsia="Verdana" w:hAnsi="Verdana" w:cs="Verdana"/>
        </w:rPr>
      </w:pPr>
    </w:p>
    <w:p w14:paraId="3563E4A1" w14:textId="5C008E2E" w:rsidR="0BC8996A" w:rsidRDefault="0BC8996A">
      <w:r>
        <w:br w:type="page"/>
      </w:r>
    </w:p>
    <w:p w14:paraId="3D0537A7" w14:textId="06CAD788" w:rsidR="6C8F075E" w:rsidRDefault="6C8F075E" w:rsidP="0BC8996A">
      <w:pPr>
        <w:spacing w:line="259" w:lineRule="auto"/>
        <w:rPr>
          <w:rFonts w:ascii="Verdana" w:hAnsi="Verdana"/>
          <w:b/>
          <w:bCs/>
        </w:rPr>
      </w:pPr>
      <w:r w:rsidRPr="0BC8996A">
        <w:rPr>
          <w:rFonts w:ascii="Verdana" w:hAnsi="Verdana"/>
          <w:b/>
          <w:bCs/>
        </w:rPr>
        <w:lastRenderedPageBreak/>
        <w:t xml:space="preserve">ÍNDICE DE CONTENIDOS </w:t>
      </w:r>
    </w:p>
    <w:p w14:paraId="26802EB3" w14:textId="176F714B" w:rsidR="0BC8996A" w:rsidRDefault="0BC8996A" w:rsidP="0BC8996A">
      <w:pPr>
        <w:rPr>
          <w:rFonts w:ascii="Verdana" w:hAnsi="Verdana"/>
        </w:rPr>
      </w:pPr>
    </w:p>
    <w:tbl>
      <w:tblPr>
        <w:tblStyle w:val="Tablaconcuadrcula"/>
        <w:tblW w:w="0" w:type="auto"/>
        <w:tblBorders>
          <w:top w:val="none" w:sz="12" w:space="0" w:color="000000" w:themeColor="text2"/>
          <w:left w:val="none" w:sz="12" w:space="0" w:color="000000" w:themeColor="text2"/>
          <w:bottom w:val="none" w:sz="12" w:space="0" w:color="000000" w:themeColor="text2"/>
          <w:right w:val="none" w:sz="12" w:space="0" w:color="000000" w:themeColor="text2"/>
          <w:insideH w:val="none" w:sz="12" w:space="0" w:color="000000" w:themeColor="text2"/>
          <w:insideV w:val="none" w:sz="12" w:space="0" w:color="000000" w:themeColor="text2"/>
        </w:tblBorders>
        <w:tblLook w:val="06A0" w:firstRow="1" w:lastRow="0" w:firstColumn="1" w:lastColumn="0" w:noHBand="1" w:noVBand="1"/>
      </w:tblPr>
      <w:tblGrid>
        <w:gridCol w:w="8295"/>
        <w:gridCol w:w="1065"/>
      </w:tblGrid>
      <w:tr w:rsidR="0BC8996A" w14:paraId="7AD8F809" w14:textId="77777777" w:rsidTr="0BC8996A">
        <w:trPr>
          <w:trHeight w:val="300"/>
        </w:trPr>
        <w:tc>
          <w:tcPr>
            <w:tcW w:w="8295" w:type="dxa"/>
          </w:tcPr>
          <w:p w14:paraId="638A124C" w14:textId="57E2F077" w:rsidR="6C8F075E" w:rsidRDefault="6C8F075E" w:rsidP="0BC8996A">
            <w:pPr>
              <w:rPr>
                <w:rFonts w:ascii="Verdana" w:hAnsi="Verdana"/>
                <w:b/>
                <w:bCs/>
              </w:rPr>
            </w:pPr>
            <w:r w:rsidRPr="0BC8996A">
              <w:rPr>
                <w:rFonts w:ascii="Verdana" w:hAnsi="Verdana"/>
                <w:b/>
                <w:bCs/>
              </w:rPr>
              <w:t>GENERALIDADES</w:t>
            </w:r>
          </w:p>
        </w:tc>
        <w:tc>
          <w:tcPr>
            <w:tcW w:w="1065" w:type="dxa"/>
          </w:tcPr>
          <w:p w14:paraId="4C1B0FB6" w14:textId="07BD2ECE" w:rsidR="0BC8996A" w:rsidRDefault="0BC8996A" w:rsidP="0BC8996A">
            <w:pPr>
              <w:rPr>
                <w:rFonts w:ascii="Verdana" w:hAnsi="Verdana"/>
              </w:rPr>
            </w:pPr>
          </w:p>
        </w:tc>
      </w:tr>
      <w:tr w:rsidR="0BC8996A" w14:paraId="4B1EDCE9" w14:textId="77777777" w:rsidTr="0BC8996A">
        <w:trPr>
          <w:trHeight w:val="300"/>
        </w:trPr>
        <w:tc>
          <w:tcPr>
            <w:tcW w:w="8295" w:type="dxa"/>
          </w:tcPr>
          <w:p w14:paraId="7FAF1E7E" w14:textId="146EB5C8" w:rsidR="0BC8996A" w:rsidRDefault="0BC8996A" w:rsidP="0BC8996A">
            <w:pPr>
              <w:pStyle w:val="Prrafodelista"/>
              <w:numPr>
                <w:ilvl w:val="0"/>
                <w:numId w:val="2"/>
              </w:numPr>
              <w:rPr>
                <w:rFonts w:ascii="Verdana" w:hAnsi="Verdana"/>
              </w:rPr>
            </w:pPr>
            <w:r w:rsidRPr="0BC8996A">
              <w:rPr>
                <w:rFonts w:ascii="Verdana" w:hAnsi="Verdana"/>
              </w:rPr>
              <w:t>Resumen ejecutivo</w:t>
            </w:r>
          </w:p>
        </w:tc>
        <w:tc>
          <w:tcPr>
            <w:tcW w:w="1065" w:type="dxa"/>
          </w:tcPr>
          <w:p w14:paraId="73961FBF" w14:textId="7F8CB110" w:rsidR="2DA53FB7" w:rsidRDefault="2DA53FB7" w:rsidP="0BC8996A">
            <w:r w:rsidRPr="0BC8996A">
              <w:rPr>
                <w:rFonts w:ascii="Verdana" w:hAnsi="Verdana"/>
              </w:rPr>
              <w:t>4</w:t>
            </w:r>
          </w:p>
        </w:tc>
      </w:tr>
      <w:tr w:rsidR="0BC8996A" w14:paraId="48303A7C" w14:textId="77777777" w:rsidTr="0BC8996A">
        <w:trPr>
          <w:trHeight w:val="300"/>
        </w:trPr>
        <w:tc>
          <w:tcPr>
            <w:tcW w:w="8295" w:type="dxa"/>
          </w:tcPr>
          <w:p w14:paraId="7C994F97" w14:textId="4CE59E50" w:rsidR="0BC8996A" w:rsidRDefault="0BC8996A" w:rsidP="0BC8996A">
            <w:pPr>
              <w:pStyle w:val="Prrafodelista"/>
              <w:numPr>
                <w:ilvl w:val="0"/>
                <w:numId w:val="2"/>
              </w:numPr>
              <w:rPr>
                <w:rFonts w:ascii="Verdana" w:hAnsi="Verdana"/>
              </w:rPr>
            </w:pPr>
            <w:r w:rsidRPr="0BC8996A">
              <w:rPr>
                <w:rFonts w:ascii="Verdana" w:hAnsi="Verdana"/>
              </w:rPr>
              <w:t>Introducción</w:t>
            </w:r>
          </w:p>
        </w:tc>
        <w:tc>
          <w:tcPr>
            <w:tcW w:w="1065" w:type="dxa"/>
          </w:tcPr>
          <w:p w14:paraId="6DE847B7" w14:textId="01CBCD76" w:rsidR="608A9A5E" w:rsidRDefault="608A9A5E" w:rsidP="0BC8996A">
            <w:r w:rsidRPr="0BC8996A">
              <w:rPr>
                <w:rFonts w:ascii="Verdana" w:hAnsi="Verdana"/>
              </w:rPr>
              <w:t>5</w:t>
            </w:r>
          </w:p>
        </w:tc>
      </w:tr>
      <w:tr w:rsidR="0BC8996A" w14:paraId="6883DAFD" w14:textId="77777777" w:rsidTr="0BC8996A">
        <w:trPr>
          <w:trHeight w:val="300"/>
        </w:trPr>
        <w:tc>
          <w:tcPr>
            <w:tcW w:w="8295" w:type="dxa"/>
          </w:tcPr>
          <w:p w14:paraId="76E3BBFA" w14:textId="0EA07B3E" w:rsidR="0BC8996A" w:rsidRDefault="0BC8996A" w:rsidP="0BC8996A">
            <w:pPr>
              <w:pStyle w:val="Ttulo3"/>
              <w:spacing w:line="276" w:lineRule="auto"/>
              <w:ind w:left="1440"/>
              <w:jc w:val="both"/>
              <w:rPr>
                <w:rFonts w:ascii="Verdana" w:hAnsi="Verdana"/>
                <w:b w:val="0"/>
                <w:sz w:val="22"/>
                <w:szCs w:val="22"/>
              </w:rPr>
            </w:pPr>
            <w:r w:rsidRPr="0BC8996A">
              <w:rPr>
                <w:rFonts w:ascii="Verdana" w:hAnsi="Verdana"/>
                <w:b w:val="0"/>
                <w:sz w:val="22"/>
                <w:szCs w:val="22"/>
              </w:rPr>
              <w:t>2.1 Quién presenta este informe</w:t>
            </w:r>
          </w:p>
        </w:tc>
        <w:tc>
          <w:tcPr>
            <w:tcW w:w="1065" w:type="dxa"/>
          </w:tcPr>
          <w:p w14:paraId="05594780" w14:textId="17ACF633" w:rsidR="76EBA940" w:rsidRDefault="76EBA940" w:rsidP="0BC8996A">
            <w:r w:rsidRPr="0BC8996A">
              <w:rPr>
                <w:rFonts w:ascii="Verdana" w:hAnsi="Verdana"/>
              </w:rPr>
              <w:t>5</w:t>
            </w:r>
          </w:p>
        </w:tc>
      </w:tr>
      <w:tr w:rsidR="0BC8996A" w14:paraId="70B6C211" w14:textId="77777777" w:rsidTr="0BC8996A">
        <w:trPr>
          <w:trHeight w:val="300"/>
        </w:trPr>
        <w:tc>
          <w:tcPr>
            <w:tcW w:w="8295" w:type="dxa"/>
          </w:tcPr>
          <w:p w14:paraId="6C99C468" w14:textId="388A01C8" w:rsidR="0BC8996A" w:rsidRDefault="0BC8996A" w:rsidP="0BC8996A">
            <w:pPr>
              <w:pStyle w:val="Ttulo3"/>
              <w:spacing w:line="276" w:lineRule="auto"/>
              <w:ind w:left="1440"/>
              <w:jc w:val="both"/>
              <w:rPr>
                <w:rFonts w:ascii="Verdana" w:hAnsi="Verdana"/>
                <w:b w:val="0"/>
                <w:sz w:val="22"/>
                <w:szCs w:val="22"/>
              </w:rPr>
            </w:pPr>
            <w:r w:rsidRPr="0BC8996A">
              <w:rPr>
                <w:rFonts w:ascii="Verdana" w:hAnsi="Verdana"/>
                <w:b w:val="0"/>
                <w:sz w:val="22"/>
                <w:szCs w:val="22"/>
              </w:rPr>
              <w:t>2.2 Fuentes de evidencia y jerarquía metodológica</w:t>
            </w:r>
          </w:p>
        </w:tc>
        <w:tc>
          <w:tcPr>
            <w:tcW w:w="1065" w:type="dxa"/>
          </w:tcPr>
          <w:p w14:paraId="2A1F7343" w14:textId="55DF1C2D" w:rsidR="6E531E9C" w:rsidRDefault="6E531E9C" w:rsidP="0BC8996A">
            <w:r w:rsidRPr="0BC8996A">
              <w:rPr>
                <w:rFonts w:ascii="Verdana" w:hAnsi="Verdana"/>
              </w:rPr>
              <w:t>5</w:t>
            </w:r>
          </w:p>
        </w:tc>
      </w:tr>
      <w:tr w:rsidR="0BC8996A" w14:paraId="44E2F4E5" w14:textId="77777777" w:rsidTr="0BC8996A">
        <w:trPr>
          <w:trHeight w:val="300"/>
        </w:trPr>
        <w:tc>
          <w:tcPr>
            <w:tcW w:w="8295" w:type="dxa"/>
          </w:tcPr>
          <w:p w14:paraId="066C4F20" w14:textId="736DCC0A" w:rsidR="0BC8996A" w:rsidRDefault="0BC8996A" w:rsidP="0BC8996A">
            <w:pPr>
              <w:pStyle w:val="Ttulo3"/>
              <w:ind w:left="1440"/>
              <w:rPr>
                <w:rFonts w:ascii="Verdana" w:hAnsi="Verdana"/>
                <w:b w:val="0"/>
                <w:sz w:val="22"/>
                <w:szCs w:val="22"/>
              </w:rPr>
            </w:pPr>
            <w:r w:rsidRPr="0BC8996A">
              <w:rPr>
                <w:rFonts w:ascii="Verdana" w:hAnsi="Verdana"/>
                <w:b w:val="0"/>
                <w:sz w:val="22"/>
                <w:szCs w:val="22"/>
              </w:rPr>
              <w:t>2.3 Alcance y límites de este informe</w:t>
            </w:r>
          </w:p>
        </w:tc>
        <w:tc>
          <w:tcPr>
            <w:tcW w:w="1065" w:type="dxa"/>
          </w:tcPr>
          <w:p w14:paraId="036A3A9E" w14:textId="74157AF3" w:rsidR="550733C2" w:rsidRDefault="550733C2" w:rsidP="0BC8996A">
            <w:r w:rsidRPr="0BC8996A">
              <w:rPr>
                <w:rFonts w:ascii="Verdana" w:hAnsi="Verdana"/>
              </w:rPr>
              <w:t>6</w:t>
            </w:r>
          </w:p>
        </w:tc>
      </w:tr>
      <w:tr w:rsidR="0BC8996A" w14:paraId="785BAEC4" w14:textId="77777777" w:rsidTr="0BC8996A">
        <w:trPr>
          <w:trHeight w:val="300"/>
        </w:trPr>
        <w:tc>
          <w:tcPr>
            <w:tcW w:w="8295" w:type="dxa"/>
          </w:tcPr>
          <w:p w14:paraId="514E9BFB" w14:textId="26CE9AF8" w:rsidR="0BC8996A" w:rsidRDefault="0BC8996A" w:rsidP="0BC8996A">
            <w:pPr>
              <w:pStyle w:val="Ttulo3"/>
              <w:ind w:left="1440"/>
              <w:rPr>
                <w:rFonts w:ascii="Verdana" w:hAnsi="Verdana"/>
                <w:b w:val="0"/>
                <w:sz w:val="22"/>
                <w:szCs w:val="22"/>
              </w:rPr>
            </w:pPr>
            <w:r w:rsidRPr="0BC8996A">
              <w:rPr>
                <w:rFonts w:ascii="Verdana" w:hAnsi="Verdana"/>
                <w:b w:val="0"/>
                <w:sz w:val="22"/>
                <w:szCs w:val="22"/>
              </w:rPr>
              <w:t>2.4 Declaración de confidencialidad y protección de datos</w:t>
            </w:r>
          </w:p>
        </w:tc>
        <w:tc>
          <w:tcPr>
            <w:tcW w:w="1065" w:type="dxa"/>
          </w:tcPr>
          <w:p w14:paraId="2B8D6D43" w14:textId="48657918" w:rsidR="435F0919" w:rsidRDefault="435F0919" w:rsidP="0BC8996A">
            <w:r w:rsidRPr="0BC8996A">
              <w:rPr>
                <w:rFonts w:ascii="Verdana" w:hAnsi="Verdana"/>
              </w:rPr>
              <w:t>7</w:t>
            </w:r>
          </w:p>
        </w:tc>
      </w:tr>
      <w:tr w:rsidR="0BC8996A" w14:paraId="5C5D5CF7" w14:textId="77777777" w:rsidTr="0BC8996A">
        <w:trPr>
          <w:trHeight w:val="300"/>
        </w:trPr>
        <w:tc>
          <w:tcPr>
            <w:tcW w:w="8295" w:type="dxa"/>
          </w:tcPr>
          <w:p w14:paraId="5402B8FD" w14:textId="11BA23D6" w:rsidR="0BC8996A" w:rsidRDefault="0BC8996A" w:rsidP="0BC8996A">
            <w:pPr>
              <w:pStyle w:val="Prrafodelista"/>
              <w:numPr>
                <w:ilvl w:val="0"/>
                <w:numId w:val="2"/>
              </w:numPr>
              <w:rPr>
                <w:rFonts w:ascii="Verdana" w:hAnsi="Verdana"/>
              </w:rPr>
            </w:pPr>
            <w:r w:rsidRPr="0BC8996A">
              <w:rPr>
                <w:rFonts w:ascii="Verdana" w:hAnsi="Verdana"/>
              </w:rPr>
              <w:t>Marco conceptual</w:t>
            </w:r>
          </w:p>
        </w:tc>
        <w:tc>
          <w:tcPr>
            <w:tcW w:w="1065" w:type="dxa"/>
          </w:tcPr>
          <w:p w14:paraId="5FC43ED9" w14:textId="3BA09028" w:rsidR="7E18B547" w:rsidRDefault="7E18B547" w:rsidP="0BC8996A">
            <w:r w:rsidRPr="0BC8996A">
              <w:rPr>
                <w:rFonts w:ascii="Verdana" w:hAnsi="Verdana"/>
              </w:rPr>
              <w:t>8</w:t>
            </w:r>
          </w:p>
        </w:tc>
      </w:tr>
      <w:tr w:rsidR="0BC8996A" w14:paraId="4B6F9835" w14:textId="77777777" w:rsidTr="0BC8996A">
        <w:trPr>
          <w:trHeight w:val="300"/>
        </w:trPr>
        <w:tc>
          <w:tcPr>
            <w:tcW w:w="8295" w:type="dxa"/>
          </w:tcPr>
          <w:p w14:paraId="5ED40849" w14:textId="34708C53" w:rsidR="0BC8996A" w:rsidRDefault="0BC8996A" w:rsidP="0BC8996A">
            <w:pPr>
              <w:rPr>
                <w:rFonts w:ascii="Verdana" w:hAnsi="Verdana"/>
              </w:rPr>
            </w:pPr>
          </w:p>
        </w:tc>
        <w:tc>
          <w:tcPr>
            <w:tcW w:w="1065" w:type="dxa"/>
          </w:tcPr>
          <w:p w14:paraId="7CBB6538" w14:textId="6274DF8B" w:rsidR="0BC8996A" w:rsidRDefault="0BC8996A" w:rsidP="0BC8996A">
            <w:pPr>
              <w:rPr>
                <w:rFonts w:ascii="Verdana" w:hAnsi="Verdana"/>
              </w:rPr>
            </w:pPr>
          </w:p>
        </w:tc>
      </w:tr>
      <w:tr w:rsidR="0BC8996A" w14:paraId="1F5F1728" w14:textId="77777777" w:rsidTr="0BC8996A">
        <w:trPr>
          <w:trHeight w:val="300"/>
        </w:trPr>
        <w:tc>
          <w:tcPr>
            <w:tcW w:w="8295" w:type="dxa"/>
          </w:tcPr>
          <w:p w14:paraId="3BF5378A" w14:textId="0016B80E" w:rsidR="0BC8996A" w:rsidRDefault="0BC8996A" w:rsidP="0BC8996A">
            <w:pPr>
              <w:pStyle w:val="Ttulo1"/>
              <w:spacing w:line="276" w:lineRule="auto"/>
              <w:jc w:val="both"/>
              <w:rPr>
                <w:rFonts w:ascii="Verdana" w:hAnsi="Verdana"/>
                <w:sz w:val="22"/>
                <w:szCs w:val="22"/>
              </w:rPr>
            </w:pPr>
            <w:r w:rsidRPr="0BC8996A">
              <w:rPr>
                <w:rFonts w:ascii="Verdana" w:hAnsi="Verdana"/>
                <w:sz w:val="22"/>
                <w:szCs w:val="22"/>
              </w:rPr>
              <w:t xml:space="preserve">SECCIÓN I. </w:t>
            </w:r>
          </w:p>
          <w:p w14:paraId="17C3102C" w14:textId="5EED5102" w:rsidR="0BC8996A" w:rsidRDefault="0BC8996A" w:rsidP="0BC8996A">
            <w:pPr>
              <w:pStyle w:val="Ttulo1"/>
              <w:spacing w:line="276" w:lineRule="auto"/>
              <w:jc w:val="both"/>
              <w:rPr>
                <w:rFonts w:ascii="Verdana" w:hAnsi="Verdana"/>
                <w:b w:val="0"/>
                <w:sz w:val="22"/>
                <w:szCs w:val="22"/>
              </w:rPr>
            </w:pPr>
            <w:r w:rsidRPr="0BC8996A">
              <w:rPr>
                <w:rFonts w:ascii="Verdana" w:hAnsi="Verdana"/>
                <w:b w:val="0"/>
                <w:sz w:val="22"/>
                <w:szCs w:val="22"/>
              </w:rPr>
              <w:t>CAPACIDAD JURÍDICA, ACCESO A LA JUSTICIA Y VIDA INDEPENDIENTE</w:t>
            </w:r>
          </w:p>
        </w:tc>
        <w:tc>
          <w:tcPr>
            <w:tcW w:w="1065" w:type="dxa"/>
          </w:tcPr>
          <w:p w14:paraId="3734BE22" w14:textId="45E16B29" w:rsidR="24F26852" w:rsidRDefault="24F26852" w:rsidP="0BC8996A">
            <w:r w:rsidRPr="0BC8996A">
              <w:rPr>
                <w:rFonts w:ascii="Verdana" w:hAnsi="Verdana"/>
              </w:rPr>
              <w:t>9</w:t>
            </w:r>
          </w:p>
        </w:tc>
      </w:tr>
      <w:tr w:rsidR="0BC8996A" w14:paraId="55A29D81" w14:textId="77777777" w:rsidTr="0BC8996A">
        <w:trPr>
          <w:trHeight w:val="300"/>
        </w:trPr>
        <w:tc>
          <w:tcPr>
            <w:tcW w:w="8295" w:type="dxa"/>
          </w:tcPr>
          <w:p w14:paraId="34E040D0" w14:textId="4BCA8E22" w:rsidR="0BC8996A" w:rsidRDefault="0BC8996A" w:rsidP="0BC8996A">
            <w:pPr>
              <w:ind w:left="720"/>
            </w:pPr>
            <w:r w:rsidRPr="0BC8996A">
              <w:rPr>
                <w:rFonts w:ascii="Verdana" w:hAnsi="Verdana"/>
              </w:rPr>
              <w:t>1. Capacidad jurídica y transición a la vida adulta (Art. 12)</w:t>
            </w:r>
          </w:p>
        </w:tc>
        <w:tc>
          <w:tcPr>
            <w:tcW w:w="1065" w:type="dxa"/>
          </w:tcPr>
          <w:p w14:paraId="33655B55" w14:textId="30EC676A" w:rsidR="7BA60781" w:rsidRDefault="7BA60781" w:rsidP="0BC8996A">
            <w:r w:rsidRPr="0BC8996A">
              <w:rPr>
                <w:rFonts w:ascii="Verdana" w:hAnsi="Verdana"/>
              </w:rPr>
              <w:t>9</w:t>
            </w:r>
          </w:p>
        </w:tc>
      </w:tr>
      <w:tr w:rsidR="0BC8996A" w14:paraId="038FA558" w14:textId="77777777" w:rsidTr="0BC8996A">
        <w:trPr>
          <w:trHeight w:val="300"/>
        </w:trPr>
        <w:tc>
          <w:tcPr>
            <w:tcW w:w="8295" w:type="dxa"/>
          </w:tcPr>
          <w:p w14:paraId="434332A3" w14:textId="1EA6DF19" w:rsidR="0BC8996A" w:rsidRDefault="0BC8996A" w:rsidP="0BC8996A">
            <w:pPr>
              <w:ind w:left="720"/>
              <w:rPr>
                <w:rFonts w:ascii="Verdana" w:hAnsi="Verdana"/>
              </w:rPr>
            </w:pPr>
            <w:r w:rsidRPr="0BC8996A">
              <w:rPr>
                <w:rFonts w:ascii="Verdana" w:hAnsi="Verdana"/>
              </w:rPr>
              <w:t>2. Acceso a la justicia (Art. 13)</w:t>
            </w:r>
          </w:p>
        </w:tc>
        <w:tc>
          <w:tcPr>
            <w:tcW w:w="1065" w:type="dxa"/>
          </w:tcPr>
          <w:p w14:paraId="7D6ABF90" w14:textId="65B1C24F" w:rsidR="4D8A379B" w:rsidRDefault="4D8A379B" w:rsidP="0BC8996A">
            <w:r w:rsidRPr="0BC8996A">
              <w:rPr>
                <w:rFonts w:ascii="Verdana" w:hAnsi="Verdana"/>
              </w:rPr>
              <w:t>1</w:t>
            </w:r>
            <w:r w:rsidR="6D2466F4" w:rsidRPr="0BC8996A">
              <w:rPr>
                <w:rFonts w:ascii="Verdana" w:hAnsi="Verdana"/>
              </w:rPr>
              <w:t>1</w:t>
            </w:r>
          </w:p>
        </w:tc>
      </w:tr>
      <w:tr w:rsidR="0BC8996A" w14:paraId="28DC5560" w14:textId="77777777" w:rsidTr="0BC8996A">
        <w:trPr>
          <w:trHeight w:val="300"/>
        </w:trPr>
        <w:tc>
          <w:tcPr>
            <w:tcW w:w="8295" w:type="dxa"/>
          </w:tcPr>
          <w:p w14:paraId="10782159" w14:textId="065E8C70" w:rsidR="0BC8996A" w:rsidRDefault="0BC8996A" w:rsidP="0BC8996A">
            <w:pPr>
              <w:ind w:left="720"/>
            </w:pPr>
            <w:r w:rsidRPr="0BC8996A">
              <w:rPr>
                <w:rFonts w:ascii="Verdana" w:hAnsi="Verdana"/>
              </w:rPr>
              <w:t>3. Libertad y seguridad de la persona (Art. 14)</w:t>
            </w:r>
          </w:p>
        </w:tc>
        <w:tc>
          <w:tcPr>
            <w:tcW w:w="1065" w:type="dxa"/>
          </w:tcPr>
          <w:p w14:paraId="61A22C89" w14:textId="73A777C7" w:rsidR="51016757" w:rsidRDefault="51016757" w:rsidP="0BC8996A">
            <w:r w:rsidRPr="0BC8996A">
              <w:rPr>
                <w:rFonts w:ascii="Verdana" w:hAnsi="Verdana"/>
              </w:rPr>
              <w:t>1</w:t>
            </w:r>
            <w:r w:rsidR="572FF2E7" w:rsidRPr="0BC8996A">
              <w:rPr>
                <w:rFonts w:ascii="Verdana" w:hAnsi="Verdana"/>
              </w:rPr>
              <w:t>3</w:t>
            </w:r>
          </w:p>
        </w:tc>
      </w:tr>
      <w:tr w:rsidR="0BC8996A" w14:paraId="368FA01B" w14:textId="77777777" w:rsidTr="0BC8996A">
        <w:trPr>
          <w:trHeight w:val="300"/>
        </w:trPr>
        <w:tc>
          <w:tcPr>
            <w:tcW w:w="8295" w:type="dxa"/>
          </w:tcPr>
          <w:p w14:paraId="7FCF1A49" w14:textId="210F96F0" w:rsidR="0BC8996A" w:rsidRDefault="0BC8996A" w:rsidP="0BC8996A">
            <w:pPr>
              <w:ind w:left="720"/>
            </w:pPr>
            <w:r w:rsidRPr="0BC8996A">
              <w:rPr>
                <w:rFonts w:ascii="Verdana" w:hAnsi="Verdana"/>
              </w:rPr>
              <w:t>4. Protección de la integridad personal, esterilización sin consentimiento y mujeres cuidadoras (Art. 17)</w:t>
            </w:r>
          </w:p>
        </w:tc>
        <w:tc>
          <w:tcPr>
            <w:tcW w:w="1065" w:type="dxa"/>
          </w:tcPr>
          <w:p w14:paraId="1C3B29E6" w14:textId="20E516D7" w:rsidR="314C6AE0" w:rsidRDefault="314C6AE0" w:rsidP="0BC8996A">
            <w:r w:rsidRPr="0BC8996A">
              <w:rPr>
                <w:rFonts w:ascii="Verdana" w:hAnsi="Verdana"/>
              </w:rPr>
              <w:t>1</w:t>
            </w:r>
            <w:r w:rsidR="5F1562C7" w:rsidRPr="0BC8996A">
              <w:rPr>
                <w:rFonts w:ascii="Verdana" w:hAnsi="Verdana"/>
              </w:rPr>
              <w:t>5</w:t>
            </w:r>
          </w:p>
        </w:tc>
      </w:tr>
      <w:tr w:rsidR="0BC8996A" w14:paraId="3637A0C3" w14:textId="77777777" w:rsidTr="0BC8996A">
        <w:trPr>
          <w:trHeight w:val="300"/>
        </w:trPr>
        <w:tc>
          <w:tcPr>
            <w:tcW w:w="8295" w:type="dxa"/>
          </w:tcPr>
          <w:p w14:paraId="07A0BAA4" w14:textId="21E3AA25" w:rsidR="0BC8996A" w:rsidRDefault="0BC8996A" w:rsidP="0BC8996A">
            <w:pPr>
              <w:ind w:left="720"/>
            </w:pPr>
            <w:r w:rsidRPr="0BC8996A">
              <w:rPr>
                <w:rFonts w:ascii="Verdana" w:hAnsi="Verdana"/>
              </w:rPr>
              <w:t>5. Vida independiente, vivienda y autodeterminación (Art. 19)</w:t>
            </w:r>
          </w:p>
        </w:tc>
        <w:tc>
          <w:tcPr>
            <w:tcW w:w="1065" w:type="dxa"/>
          </w:tcPr>
          <w:p w14:paraId="4E2EC5E3" w14:textId="348014D7" w:rsidR="260D5D0B" w:rsidRDefault="260D5D0B" w:rsidP="0BC8996A">
            <w:r w:rsidRPr="0BC8996A">
              <w:rPr>
                <w:rFonts w:ascii="Verdana" w:hAnsi="Verdana"/>
              </w:rPr>
              <w:t>1</w:t>
            </w:r>
            <w:r w:rsidR="30B6AEB4" w:rsidRPr="0BC8996A">
              <w:rPr>
                <w:rFonts w:ascii="Verdana" w:hAnsi="Verdana"/>
              </w:rPr>
              <w:t>7</w:t>
            </w:r>
          </w:p>
        </w:tc>
      </w:tr>
      <w:tr w:rsidR="0BC8996A" w14:paraId="1C4FF6B6" w14:textId="77777777" w:rsidTr="0BC8996A">
        <w:trPr>
          <w:trHeight w:val="300"/>
        </w:trPr>
        <w:tc>
          <w:tcPr>
            <w:tcW w:w="8295" w:type="dxa"/>
          </w:tcPr>
          <w:p w14:paraId="1EC364EF" w14:textId="1D7417C7" w:rsidR="0BC8996A" w:rsidRDefault="0BC8996A" w:rsidP="0BC8996A">
            <w:pPr>
              <w:ind w:left="720"/>
            </w:pPr>
            <w:r w:rsidRPr="0BC8996A">
              <w:rPr>
                <w:rFonts w:ascii="Verdana" w:hAnsi="Verdana"/>
              </w:rPr>
              <w:t>6. Artículo 31: la invisibilidad estadística y normativa del síndrome de Down en Chile</w:t>
            </w:r>
          </w:p>
        </w:tc>
        <w:tc>
          <w:tcPr>
            <w:tcW w:w="1065" w:type="dxa"/>
          </w:tcPr>
          <w:p w14:paraId="5F6C52FB" w14:textId="1AE577F2" w:rsidR="5406D59B" w:rsidRDefault="5406D59B" w:rsidP="0BC8996A">
            <w:r w:rsidRPr="0BC8996A">
              <w:rPr>
                <w:rFonts w:ascii="Verdana" w:hAnsi="Verdana"/>
              </w:rPr>
              <w:t>19</w:t>
            </w:r>
          </w:p>
        </w:tc>
      </w:tr>
      <w:tr w:rsidR="0BC8996A" w14:paraId="6FDE55A1" w14:textId="77777777" w:rsidTr="0BC8996A">
        <w:trPr>
          <w:trHeight w:val="300"/>
        </w:trPr>
        <w:tc>
          <w:tcPr>
            <w:tcW w:w="8295" w:type="dxa"/>
          </w:tcPr>
          <w:p w14:paraId="7569903C" w14:textId="27D4B3FC" w:rsidR="0BC8996A" w:rsidRDefault="0BC8996A" w:rsidP="0BC8996A">
            <w:pPr>
              <w:ind w:left="720"/>
            </w:pPr>
            <w:r w:rsidRPr="0BC8996A">
              <w:rPr>
                <w:rFonts w:ascii="Verdana" w:hAnsi="Verdana"/>
              </w:rPr>
              <w:t>7. Síntesis de recomendaciones SMART</w:t>
            </w:r>
          </w:p>
        </w:tc>
        <w:tc>
          <w:tcPr>
            <w:tcW w:w="1065" w:type="dxa"/>
          </w:tcPr>
          <w:p w14:paraId="448D097C" w14:textId="23F6AF56" w:rsidR="3D9AFE69" w:rsidRDefault="3D9AFE69" w:rsidP="0BC8996A">
            <w:r w:rsidRPr="0BC8996A">
              <w:rPr>
                <w:rFonts w:ascii="Verdana" w:hAnsi="Verdana"/>
              </w:rPr>
              <w:t>2</w:t>
            </w:r>
            <w:r w:rsidR="005F58A7">
              <w:rPr>
                <w:rFonts w:ascii="Verdana" w:hAnsi="Verdana"/>
              </w:rPr>
              <w:t>1</w:t>
            </w:r>
          </w:p>
        </w:tc>
      </w:tr>
      <w:tr w:rsidR="0BC8996A" w14:paraId="79FD6E0D" w14:textId="77777777" w:rsidTr="0BC8996A">
        <w:trPr>
          <w:trHeight w:val="300"/>
        </w:trPr>
        <w:tc>
          <w:tcPr>
            <w:tcW w:w="8295" w:type="dxa"/>
          </w:tcPr>
          <w:p w14:paraId="28C42E9E" w14:textId="579E15F2" w:rsidR="0BC8996A" w:rsidRDefault="0BC8996A" w:rsidP="0BC8996A">
            <w:pPr>
              <w:ind w:left="720"/>
            </w:pPr>
            <w:r w:rsidRPr="0BC8996A">
              <w:rPr>
                <w:rFonts w:ascii="Verdana" w:hAnsi="Verdana"/>
              </w:rPr>
              <w:t>8. Conclusiones y llamado al Comité</w:t>
            </w:r>
          </w:p>
        </w:tc>
        <w:tc>
          <w:tcPr>
            <w:tcW w:w="1065" w:type="dxa"/>
          </w:tcPr>
          <w:p w14:paraId="1257B623" w14:textId="2AFFEAF6" w:rsidR="49D8D700" w:rsidRDefault="49D8D700" w:rsidP="0BC8996A">
            <w:r w:rsidRPr="0BC8996A">
              <w:rPr>
                <w:rFonts w:ascii="Verdana" w:hAnsi="Verdana"/>
              </w:rPr>
              <w:t>2</w:t>
            </w:r>
            <w:r w:rsidR="005F58A7">
              <w:rPr>
                <w:rFonts w:ascii="Verdana" w:hAnsi="Verdana"/>
              </w:rPr>
              <w:t>4</w:t>
            </w:r>
          </w:p>
        </w:tc>
      </w:tr>
      <w:tr w:rsidR="0BC8996A" w14:paraId="5E5B3EB4" w14:textId="77777777" w:rsidTr="0BC8996A">
        <w:trPr>
          <w:trHeight w:val="300"/>
        </w:trPr>
        <w:tc>
          <w:tcPr>
            <w:tcW w:w="8295" w:type="dxa"/>
          </w:tcPr>
          <w:p w14:paraId="714AF2A3" w14:textId="47F87231" w:rsidR="0BC8996A" w:rsidRDefault="0BC8996A" w:rsidP="0BC8996A">
            <w:pPr>
              <w:rPr>
                <w:rFonts w:ascii="Verdana" w:hAnsi="Verdana"/>
              </w:rPr>
            </w:pPr>
          </w:p>
        </w:tc>
        <w:tc>
          <w:tcPr>
            <w:tcW w:w="1065" w:type="dxa"/>
          </w:tcPr>
          <w:p w14:paraId="388FAAFC" w14:textId="1C97B72F" w:rsidR="0BC8996A" w:rsidRDefault="0BC8996A" w:rsidP="0BC8996A">
            <w:pPr>
              <w:rPr>
                <w:rFonts w:ascii="Verdana" w:hAnsi="Verdana"/>
              </w:rPr>
            </w:pPr>
          </w:p>
        </w:tc>
      </w:tr>
      <w:tr w:rsidR="0BC8996A" w14:paraId="576483EC" w14:textId="77777777" w:rsidTr="0BC8996A">
        <w:trPr>
          <w:trHeight w:val="300"/>
        </w:trPr>
        <w:tc>
          <w:tcPr>
            <w:tcW w:w="8295" w:type="dxa"/>
          </w:tcPr>
          <w:p w14:paraId="1D8C2D3D" w14:textId="36CB4D1C" w:rsidR="0BC8996A" w:rsidRDefault="0BC8996A" w:rsidP="0BC8996A">
            <w:pPr>
              <w:pStyle w:val="Ttulo1"/>
              <w:spacing w:line="276" w:lineRule="auto"/>
              <w:jc w:val="both"/>
              <w:rPr>
                <w:rFonts w:ascii="Verdana" w:hAnsi="Verdana"/>
                <w:sz w:val="22"/>
                <w:szCs w:val="22"/>
              </w:rPr>
            </w:pPr>
            <w:r w:rsidRPr="0BC8996A">
              <w:rPr>
                <w:rFonts w:ascii="Verdana" w:hAnsi="Verdana"/>
                <w:sz w:val="22"/>
                <w:szCs w:val="22"/>
              </w:rPr>
              <w:t>SECCIÓN II.</w:t>
            </w:r>
          </w:p>
          <w:p w14:paraId="015D5157" w14:textId="5B23E7A3" w:rsidR="0BC8996A" w:rsidRDefault="0BC8996A" w:rsidP="0BC8996A">
            <w:r w:rsidRPr="0BC8996A">
              <w:rPr>
                <w:rFonts w:ascii="Verdana" w:hAnsi="Verdana"/>
              </w:rPr>
              <w:t xml:space="preserve">EDUCACIÓN INCLUSIVA, SALUD Y ATENCIÓN TEMPRANA  </w:t>
            </w:r>
          </w:p>
        </w:tc>
        <w:tc>
          <w:tcPr>
            <w:tcW w:w="1065" w:type="dxa"/>
          </w:tcPr>
          <w:p w14:paraId="1C4F03AE" w14:textId="2F158CF0" w:rsidR="0B0160D0" w:rsidRDefault="0B0160D0" w:rsidP="0BC8996A">
            <w:r w:rsidRPr="0BC8996A">
              <w:rPr>
                <w:rFonts w:ascii="Verdana" w:hAnsi="Verdana"/>
              </w:rPr>
              <w:t>2</w:t>
            </w:r>
            <w:r w:rsidR="005F58A7">
              <w:rPr>
                <w:rFonts w:ascii="Verdana" w:hAnsi="Verdana"/>
              </w:rPr>
              <w:t>5</w:t>
            </w:r>
          </w:p>
        </w:tc>
      </w:tr>
      <w:tr w:rsidR="0BC8996A" w14:paraId="7A658A59" w14:textId="77777777" w:rsidTr="0BC8996A">
        <w:trPr>
          <w:trHeight w:val="300"/>
        </w:trPr>
        <w:tc>
          <w:tcPr>
            <w:tcW w:w="8295" w:type="dxa"/>
          </w:tcPr>
          <w:p w14:paraId="05039BFC" w14:textId="4EBADCE4" w:rsidR="0BC8996A" w:rsidRDefault="0BC8996A" w:rsidP="0BC8996A">
            <w:pPr>
              <w:ind w:left="720"/>
            </w:pPr>
            <w:r w:rsidRPr="0BC8996A">
              <w:rPr>
                <w:rFonts w:ascii="Verdana" w:hAnsi="Verdana"/>
              </w:rPr>
              <w:t>1. Derecho a la educación inclusiva (Art. 24)</w:t>
            </w:r>
          </w:p>
        </w:tc>
        <w:tc>
          <w:tcPr>
            <w:tcW w:w="1065" w:type="dxa"/>
          </w:tcPr>
          <w:p w14:paraId="1944C6D4" w14:textId="0AC40902" w:rsidR="740C9ECE" w:rsidRDefault="740C9ECE" w:rsidP="0BC8996A">
            <w:r w:rsidRPr="0BC8996A">
              <w:rPr>
                <w:rFonts w:ascii="Verdana" w:hAnsi="Verdana"/>
              </w:rPr>
              <w:t>2</w:t>
            </w:r>
            <w:r w:rsidR="005F58A7">
              <w:rPr>
                <w:rFonts w:ascii="Verdana" w:hAnsi="Verdana"/>
              </w:rPr>
              <w:t>5</w:t>
            </w:r>
          </w:p>
        </w:tc>
      </w:tr>
      <w:tr w:rsidR="0BC8996A" w14:paraId="2B8D29C5" w14:textId="77777777" w:rsidTr="0BC8996A">
        <w:trPr>
          <w:trHeight w:val="300"/>
        </w:trPr>
        <w:tc>
          <w:tcPr>
            <w:tcW w:w="8295" w:type="dxa"/>
          </w:tcPr>
          <w:p w14:paraId="456AD9A2" w14:textId="6F9FCEC9" w:rsidR="0BC8996A" w:rsidRDefault="0BC8996A" w:rsidP="0BC8996A">
            <w:pPr>
              <w:ind w:left="720"/>
            </w:pPr>
            <w:r w:rsidRPr="0BC8996A">
              <w:rPr>
                <w:rFonts w:ascii="Verdana" w:hAnsi="Verdana"/>
              </w:rPr>
              <w:t>2. Derecho a la salud, atención temprana y habilitación (Art. 25, con vínculo al Art. 26)</w:t>
            </w:r>
          </w:p>
        </w:tc>
        <w:tc>
          <w:tcPr>
            <w:tcW w:w="1065" w:type="dxa"/>
          </w:tcPr>
          <w:p w14:paraId="44C81ED7" w14:textId="445A76AC" w:rsidR="0EF92866" w:rsidRDefault="0EF92866" w:rsidP="0BC8996A">
            <w:r w:rsidRPr="0BC8996A">
              <w:rPr>
                <w:rFonts w:ascii="Verdana" w:hAnsi="Verdana"/>
              </w:rPr>
              <w:t>2</w:t>
            </w:r>
            <w:r w:rsidR="005F58A7">
              <w:rPr>
                <w:rFonts w:ascii="Verdana" w:hAnsi="Verdana"/>
              </w:rPr>
              <w:t>8</w:t>
            </w:r>
          </w:p>
        </w:tc>
      </w:tr>
      <w:tr w:rsidR="0BC8996A" w14:paraId="34259BA8" w14:textId="77777777" w:rsidTr="0BC8996A">
        <w:trPr>
          <w:trHeight w:val="300"/>
        </w:trPr>
        <w:tc>
          <w:tcPr>
            <w:tcW w:w="8295" w:type="dxa"/>
          </w:tcPr>
          <w:p w14:paraId="4E80863C" w14:textId="3B8701FA" w:rsidR="0BC8996A" w:rsidRDefault="0BC8996A" w:rsidP="0BC8996A">
            <w:pPr>
              <w:ind w:left="720"/>
            </w:pPr>
            <w:r w:rsidRPr="0BC8996A">
              <w:rPr>
                <w:rFonts w:ascii="Verdana" w:hAnsi="Verdana"/>
              </w:rPr>
              <w:t>3. Artículo 31: la invisibilidad estadística del síndrome de Down en salud y educación</w:t>
            </w:r>
          </w:p>
        </w:tc>
        <w:tc>
          <w:tcPr>
            <w:tcW w:w="1065" w:type="dxa"/>
          </w:tcPr>
          <w:p w14:paraId="0DC6E5D5" w14:textId="31E0A982" w:rsidR="29DCA2CF" w:rsidRDefault="29DCA2CF" w:rsidP="0BC8996A">
            <w:r w:rsidRPr="0BC8996A">
              <w:rPr>
                <w:rFonts w:ascii="Verdana" w:hAnsi="Verdana"/>
              </w:rPr>
              <w:t>3</w:t>
            </w:r>
            <w:r w:rsidR="005F58A7">
              <w:rPr>
                <w:rFonts w:ascii="Verdana" w:hAnsi="Verdana"/>
              </w:rPr>
              <w:t>1</w:t>
            </w:r>
          </w:p>
        </w:tc>
      </w:tr>
      <w:tr w:rsidR="0BC8996A" w14:paraId="2C7A7D7F" w14:textId="77777777" w:rsidTr="0BC8996A">
        <w:trPr>
          <w:trHeight w:val="300"/>
        </w:trPr>
        <w:tc>
          <w:tcPr>
            <w:tcW w:w="8295" w:type="dxa"/>
          </w:tcPr>
          <w:p w14:paraId="635CB357" w14:textId="51159B1B" w:rsidR="0BC8996A" w:rsidRDefault="0BC8996A" w:rsidP="0BC8996A">
            <w:pPr>
              <w:ind w:left="720"/>
            </w:pPr>
            <w:r w:rsidRPr="0BC8996A">
              <w:rPr>
                <w:rFonts w:ascii="Verdana" w:hAnsi="Verdana"/>
              </w:rPr>
              <w:t>4. Síntesis de recomendaciones SMART</w:t>
            </w:r>
          </w:p>
        </w:tc>
        <w:tc>
          <w:tcPr>
            <w:tcW w:w="1065" w:type="dxa"/>
          </w:tcPr>
          <w:p w14:paraId="15AC1C61" w14:textId="5C0C7895" w:rsidR="14A72994" w:rsidRDefault="14A72994" w:rsidP="0BC8996A">
            <w:r w:rsidRPr="0BC8996A">
              <w:rPr>
                <w:rFonts w:ascii="Verdana" w:hAnsi="Verdana"/>
              </w:rPr>
              <w:t>3</w:t>
            </w:r>
            <w:r w:rsidR="005F58A7">
              <w:rPr>
                <w:rFonts w:ascii="Verdana" w:hAnsi="Verdana"/>
              </w:rPr>
              <w:t>3</w:t>
            </w:r>
          </w:p>
        </w:tc>
      </w:tr>
      <w:tr w:rsidR="0BC8996A" w14:paraId="5A274ACA" w14:textId="77777777" w:rsidTr="0BC8996A">
        <w:trPr>
          <w:trHeight w:val="300"/>
        </w:trPr>
        <w:tc>
          <w:tcPr>
            <w:tcW w:w="8295" w:type="dxa"/>
          </w:tcPr>
          <w:p w14:paraId="1A76D213" w14:textId="0EE6DA90" w:rsidR="0BC8996A" w:rsidRDefault="0BC8996A" w:rsidP="0BC8996A">
            <w:pPr>
              <w:ind w:left="720"/>
            </w:pPr>
            <w:r w:rsidRPr="0BC8996A">
              <w:rPr>
                <w:rFonts w:ascii="Verdana" w:hAnsi="Verdana"/>
              </w:rPr>
              <w:t>5. Conclusiones y llamado al Comité</w:t>
            </w:r>
          </w:p>
        </w:tc>
        <w:tc>
          <w:tcPr>
            <w:tcW w:w="1065" w:type="dxa"/>
          </w:tcPr>
          <w:p w14:paraId="70B1DE68" w14:textId="36C97610" w:rsidR="16064B36" w:rsidRDefault="16064B36" w:rsidP="0BC8996A">
            <w:r w:rsidRPr="0BC8996A">
              <w:rPr>
                <w:rFonts w:ascii="Verdana" w:hAnsi="Verdana"/>
              </w:rPr>
              <w:t>3</w:t>
            </w:r>
            <w:r w:rsidR="005F58A7">
              <w:rPr>
                <w:rFonts w:ascii="Verdana" w:hAnsi="Verdana"/>
              </w:rPr>
              <w:t>5</w:t>
            </w:r>
          </w:p>
        </w:tc>
      </w:tr>
      <w:tr w:rsidR="0BC8996A" w14:paraId="4CCB4B42" w14:textId="77777777" w:rsidTr="0BC8996A">
        <w:trPr>
          <w:trHeight w:val="300"/>
        </w:trPr>
        <w:tc>
          <w:tcPr>
            <w:tcW w:w="8295" w:type="dxa"/>
          </w:tcPr>
          <w:p w14:paraId="505CD41F" w14:textId="139456D3" w:rsidR="0BC8996A" w:rsidRDefault="0BC8996A" w:rsidP="0BC8996A">
            <w:pPr>
              <w:rPr>
                <w:rFonts w:ascii="Verdana" w:hAnsi="Verdana"/>
              </w:rPr>
            </w:pPr>
          </w:p>
        </w:tc>
        <w:tc>
          <w:tcPr>
            <w:tcW w:w="1065" w:type="dxa"/>
          </w:tcPr>
          <w:p w14:paraId="1C46A7A3" w14:textId="3AFB70FD" w:rsidR="0BC8996A" w:rsidRDefault="0BC8996A" w:rsidP="0BC8996A">
            <w:pPr>
              <w:rPr>
                <w:rFonts w:ascii="Verdana" w:hAnsi="Verdana"/>
              </w:rPr>
            </w:pPr>
          </w:p>
        </w:tc>
      </w:tr>
      <w:tr w:rsidR="0BC8996A" w14:paraId="4C497D37" w14:textId="77777777" w:rsidTr="0BC8996A">
        <w:trPr>
          <w:trHeight w:val="300"/>
        </w:trPr>
        <w:tc>
          <w:tcPr>
            <w:tcW w:w="8295" w:type="dxa"/>
          </w:tcPr>
          <w:p w14:paraId="45A0DEBF" w14:textId="1B8997BB" w:rsidR="0BC8996A" w:rsidRDefault="0BC8996A" w:rsidP="0BC8996A">
            <w:pPr>
              <w:rPr>
                <w:rFonts w:ascii="Verdana" w:hAnsi="Verdana"/>
                <w:b/>
                <w:bCs/>
              </w:rPr>
            </w:pPr>
            <w:r w:rsidRPr="0BC8996A">
              <w:rPr>
                <w:rFonts w:ascii="Verdana" w:hAnsi="Verdana"/>
                <w:b/>
                <w:bCs/>
              </w:rPr>
              <w:t>ANEXOS</w:t>
            </w:r>
          </w:p>
        </w:tc>
        <w:tc>
          <w:tcPr>
            <w:tcW w:w="1065" w:type="dxa"/>
          </w:tcPr>
          <w:p w14:paraId="278655DE" w14:textId="7ABD5F36" w:rsidR="06C1811C" w:rsidRDefault="06C1811C" w:rsidP="0BC8996A">
            <w:r w:rsidRPr="0BC8996A">
              <w:rPr>
                <w:rFonts w:ascii="Verdana" w:hAnsi="Verdana"/>
              </w:rPr>
              <w:t>3</w:t>
            </w:r>
            <w:r w:rsidR="005F58A7">
              <w:rPr>
                <w:rFonts w:ascii="Verdana" w:hAnsi="Verdana"/>
              </w:rPr>
              <w:t>6</w:t>
            </w:r>
          </w:p>
        </w:tc>
      </w:tr>
      <w:tr w:rsidR="0BC8996A" w14:paraId="3035C1E7" w14:textId="77777777" w:rsidTr="0BC8996A">
        <w:trPr>
          <w:trHeight w:val="300"/>
        </w:trPr>
        <w:tc>
          <w:tcPr>
            <w:tcW w:w="8295" w:type="dxa"/>
          </w:tcPr>
          <w:p w14:paraId="634E40AD" w14:textId="421A838F" w:rsidR="06C1811C" w:rsidRDefault="06C1811C" w:rsidP="0BC8996A">
            <w:pPr>
              <w:ind w:left="720"/>
              <w:rPr>
                <w:rFonts w:ascii="Verdana" w:hAnsi="Verdana"/>
              </w:rPr>
            </w:pPr>
            <w:r w:rsidRPr="0BC8996A">
              <w:rPr>
                <w:rFonts w:ascii="Verdana" w:hAnsi="Verdana"/>
              </w:rPr>
              <w:t>Anexo A Nota metodológica ampliada</w:t>
            </w:r>
          </w:p>
        </w:tc>
        <w:tc>
          <w:tcPr>
            <w:tcW w:w="1065" w:type="dxa"/>
          </w:tcPr>
          <w:p w14:paraId="11C3C3DF" w14:textId="20EFE906" w:rsidR="06C1811C" w:rsidRDefault="06C1811C" w:rsidP="0BC8996A">
            <w:r w:rsidRPr="0BC8996A">
              <w:rPr>
                <w:rFonts w:ascii="Verdana" w:hAnsi="Verdana"/>
              </w:rPr>
              <w:t>3</w:t>
            </w:r>
            <w:r w:rsidR="005F58A7">
              <w:rPr>
                <w:rFonts w:ascii="Verdana" w:hAnsi="Verdana"/>
              </w:rPr>
              <w:t>6</w:t>
            </w:r>
          </w:p>
        </w:tc>
      </w:tr>
      <w:tr w:rsidR="0BC8996A" w14:paraId="0576FB6D" w14:textId="77777777" w:rsidTr="0BC8996A">
        <w:trPr>
          <w:trHeight w:val="300"/>
        </w:trPr>
        <w:tc>
          <w:tcPr>
            <w:tcW w:w="8295" w:type="dxa"/>
          </w:tcPr>
          <w:p w14:paraId="63756318" w14:textId="52460D96" w:rsidR="06C1811C" w:rsidRDefault="06C1811C" w:rsidP="0BC8996A">
            <w:pPr>
              <w:ind w:left="720"/>
            </w:pPr>
            <w:r w:rsidRPr="0BC8996A">
              <w:rPr>
                <w:rFonts w:ascii="Verdana" w:hAnsi="Verdana"/>
              </w:rPr>
              <w:t>Anexo B</w:t>
            </w:r>
            <w:r w:rsidR="12BC5CC5" w:rsidRPr="0BC8996A">
              <w:rPr>
                <w:rFonts w:ascii="Verdana" w:hAnsi="Verdana"/>
              </w:rPr>
              <w:t xml:space="preserve"> Glosario de lenguaje respetuoso utilizado</w:t>
            </w:r>
          </w:p>
        </w:tc>
        <w:tc>
          <w:tcPr>
            <w:tcW w:w="1065" w:type="dxa"/>
          </w:tcPr>
          <w:p w14:paraId="17E77738" w14:textId="4B00AD39" w:rsidR="06C1811C" w:rsidRDefault="06C1811C" w:rsidP="0BC8996A">
            <w:r w:rsidRPr="0BC8996A">
              <w:rPr>
                <w:rFonts w:ascii="Verdana" w:hAnsi="Verdana"/>
              </w:rPr>
              <w:t>3</w:t>
            </w:r>
            <w:r w:rsidR="005F58A7">
              <w:rPr>
                <w:rFonts w:ascii="Verdana" w:hAnsi="Verdana"/>
              </w:rPr>
              <w:t>7</w:t>
            </w:r>
          </w:p>
        </w:tc>
      </w:tr>
      <w:tr w:rsidR="0BC8996A" w14:paraId="3BEA62E1" w14:textId="77777777" w:rsidTr="0BC8996A">
        <w:trPr>
          <w:trHeight w:val="300"/>
        </w:trPr>
        <w:tc>
          <w:tcPr>
            <w:tcW w:w="8295" w:type="dxa"/>
          </w:tcPr>
          <w:p w14:paraId="361554B7" w14:textId="49E64C77" w:rsidR="06C1811C" w:rsidRDefault="06C1811C" w:rsidP="0BC8996A">
            <w:pPr>
              <w:ind w:left="720"/>
              <w:rPr>
                <w:rFonts w:ascii="Verdana" w:hAnsi="Verdana"/>
              </w:rPr>
            </w:pPr>
            <w:r w:rsidRPr="0BC8996A">
              <w:rPr>
                <w:rFonts w:ascii="Verdana" w:hAnsi="Verdana"/>
              </w:rPr>
              <w:t>Anexo C Referencias y fuentes oficiales citadas</w:t>
            </w:r>
          </w:p>
        </w:tc>
        <w:tc>
          <w:tcPr>
            <w:tcW w:w="1065" w:type="dxa"/>
          </w:tcPr>
          <w:p w14:paraId="033562F4" w14:textId="14731BDF" w:rsidR="2904DBE3" w:rsidRDefault="2904DBE3" w:rsidP="0BC8996A">
            <w:r w:rsidRPr="0BC8996A">
              <w:rPr>
                <w:rFonts w:ascii="Verdana" w:hAnsi="Verdana"/>
              </w:rPr>
              <w:t>3</w:t>
            </w:r>
            <w:r w:rsidR="005F58A7">
              <w:rPr>
                <w:rFonts w:ascii="Verdana" w:hAnsi="Verdana"/>
              </w:rPr>
              <w:t>8</w:t>
            </w:r>
          </w:p>
        </w:tc>
      </w:tr>
    </w:tbl>
    <w:p w14:paraId="29D1F302" w14:textId="13AF8B67" w:rsidR="0BC8996A" w:rsidRDefault="0BC8996A" w:rsidP="0BC8996A">
      <w:pPr>
        <w:rPr>
          <w:rFonts w:ascii="Verdana" w:hAnsi="Verdana"/>
        </w:rPr>
      </w:pPr>
    </w:p>
    <w:p w14:paraId="7A29AD6C" w14:textId="24FCC829" w:rsidR="0BC8996A" w:rsidRDefault="0BC8996A" w:rsidP="0BC8996A">
      <w:pPr>
        <w:spacing w:after="240" w:line="276" w:lineRule="auto"/>
        <w:rPr>
          <w:rFonts w:ascii="Verdana" w:eastAsia="Verdana" w:hAnsi="Verdana" w:cs="Verdana"/>
        </w:rPr>
      </w:pPr>
    </w:p>
    <w:p w14:paraId="7A71DA59" w14:textId="58078EC1" w:rsidR="0BC8996A" w:rsidRDefault="0BC8996A">
      <w:r>
        <w:br w:type="page"/>
      </w:r>
    </w:p>
    <w:p w14:paraId="29176023" w14:textId="30E1C3E5" w:rsidR="1494EFEB" w:rsidRDefault="1494EFEB" w:rsidP="0BC8996A">
      <w:pPr>
        <w:pStyle w:val="ChapterPlain"/>
        <w:shd w:val="clear" w:color="auto" w:fill="D9D9D9" w:themeFill="background2" w:themeFillShade="D9"/>
        <w:spacing w:before="400" w:line="276" w:lineRule="auto"/>
        <w:jc w:val="both"/>
      </w:pPr>
      <w:r w:rsidRPr="0BC8996A">
        <w:rPr>
          <w:rFonts w:ascii="Verdana" w:hAnsi="Verdana"/>
          <w:sz w:val="22"/>
        </w:rPr>
        <w:lastRenderedPageBreak/>
        <w:t>GENERALIDADES</w:t>
      </w:r>
    </w:p>
    <w:p w14:paraId="0863C6B9" w14:textId="31E8BF58" w:rsidR="0FD20B37" w:rsidRDefault="0FD20B37" w:rsidP="0BC8996A">
      <w:pPr>
        <w:pStyle w:val="ChapterPlain"/>
        <w:numPr>
          <w:ilvl w:val="0"/>
          <w:numId w:val="3"/>
        </w:numPr>
        <w:shd w:val="clear" w:color="auto" w:fill="D9D9D9" w:themeFill="background2" w:themeFillShade="D9"/>
        <w:spacing w:before="400" w:line="276" w:lineRule="auto"/>
        <w:jc w:val="both"/>
        <w:rPr>
          <w:rFonts w:ascii="Verdana" w:hAnsi="Verdana"/>
          <w:sz w:val="22"/>
        </w:rPr>
      </w:pPr>
      <w:r w:rsidRPr="0BC8996A">
        <w:rPr>
          <w:rFonts w:ascii="Verdana" w:hAnsi="Verdana"/>
          <w:sz w:val="22"/>
        </w:rPr>
        <w:t>Resumen ejecutivo</w:t>
      </w:r>
    </w:p>
    <w:p w14:paraId="37E747EB" w14:textId="435B28B3" w:rsidR="001C4C5A" w:rsidRPr="00EC79A5" w:rsidRDefault="0FD20B37" w:rsidP="0BC8996A">
      <w:pPr>
        <w:spacing w:after="160" w:line="276" w:lineRule="auto"/>
        <w:jc w:val="both"/>
        <w:rPr>
          <w:rFonts w:ascii="Verdana" w:hAnsi="Verdana"/>
        </w:rPr>
      </w:pPr>
      <w:r w:rsidRPr="0BC8996A">
        <w:rPr>
          <w:rFonts w:ascii="Verdana" w:hAnsi="Verdana"/>
        </w:rPr>
        <w:t>Este informe se presenta bajo los Temas 1 y 5 de la convocatoria a informes alternativos sobre Chile y se organiza en dos secciones: la Sección I aborda el acceso a la justicia, la capacidad jurídica y la desinstitucionalización (arts</w:t>
      </w:r>
      <w:r w:rsidR="3F1D27DA" w:rsidRPr="0BC8996A">
        <w:rPr>
          <w:rFonts w:ascii="Verdana" w:hAnsi="Verdana"/>
        </w:rPr>
        <w:t>.</w:t>
      </w:r>
      <w:r w:rsidRPr="0BC8996A">
        <w:rPr>
          <w:rFonts w:ascii="Verdana" w:hAnsi="Verdana"/>
        </w:rPr>
        <w:t xml:space="preserve"> 12, 13, 14, 17 y 19 de la Convención); la Sección II, la educación inclusiva, la salud y la atención temprana (arts</w:t>
      </w:r>
      <w:r w:rsidR="13568500" w:rsidRPr="0BC8996A">
        <w:rPr>
          <w:rFonts w:ascii="Verdana" w:hAnsi="Verdana"/>
        </w:rPr>
        <w:t>.</w:t>
      </w:r>
      <w:r w:rsidRPr="0BC8996A">
        <w:rPr>
          <w:rFonts w:ascii="Verdana" w:hAnsi="Verdana"/>
        </w:rPr>
        <w:t xml:space="preserve"> 24 y 25, con vínculo al 26); ambas desarrollan el artículo 31 como condición habilitante. Se sustenta en doce años de trabajo del Centro UC Síndrome de Down</w:t>
      </w:r>
      <w:r w:rsidR="1933C6E1" w:rsidRPr="0BC8996A">
        <w:rPr>
          <w:rFonts w:ascii="Verdana" w:hAnsi="Verdana"/>
        </w:rPr>
        <w:t xml:space="preserve"> (CUCSD)</w:t>
      </w:r>
      <w:r w:rsidRPr="0BC8996A">
        <w:rPr>
          <w:rFonts w:ascii="Verdana" w:hAnsi="Verdana"/>
        </w:rPr>
        <w:t xml:space="preserve">, en </w:t>
      </w:r>
      <w:r w:rsidR="6A0E1139" w:rsidRPr="0BC8996A">
        <w:rPr>
          <w:rFonts w:ascii="Verdana" w:hAnsi="Verdana"/>
        </w:rPr>
        <w:t xml:space="preserve">los resultados de </w:t>
      </w:r>
      <w:r w:rsidRPr="0BC8996A">
        <w:rPr>
          <w:rFonts w:ascii="Verdana" w:hAnsi="Verdana"/>
        </w:rPr>
        <w:t xml:space="preserve">un proceso participativo que consultó a 367 personas </w:t>
      </w:r>
      <w:r w:rsidR="3866C1D2" w:rsidRPr="0BC8996A">
        <w:rPr>
          <w:rFonts w:ascii="Verdana" w:hAnsi="Verdana"/>
        </w:rPr>
        <w:t xml:space="preserve">durante los años 2024 y 2025, </w:t>
      </w:r>
      <w:r w:rsidRPr="0BC8996A">
        <w:rPr>
          <w:rFonts w:ascii="Verdana" w:hAnsi="Verdana"/>
        </w:rPr>
        <w:t xml:space="preserve">y en una Jornada de Investigación donde personas con síndrome de Down, familiares y profesionales </w:t>
      </w:r>
      <w:r w:rsidR="1FF8B77C" w:rsidRPr="0BC8996A">
        <w:rPr>
          <w:rFonts w:ascii="Verdana" w:hAnsi="Verdana"/>
        </w:rPr>
        <w:t>expusieron</w:t>
      </w:r>
      <w:r w:rsidRPr="0BC8996A">
        <w:rPr>
          <w:rFonts w:ascii="Verdana" w:hAnsi="Verdana"/>
        </w:rPr>
        <w:t xml:space="preserve"> las brechas que enfrentan, en línea con el principio “nada sobre nosotros sin nosotros” y la Observación General N.º 7 del Comité.</w:t>
      </w:r>
    </w:p>
    <w:p w14:paraId="3EBED218" w14:textId="001F918B" w:rsidR="001C4C5A" w:rsidRPr="00EC79A5" w:rsidRDefault="0FD20B37" w:rsidP="00EC79A5">
      <w:pPr>
        <w:spacing w:after="200" w:line="276" w:lineRule="auto"/>
        <w:jc w:val="both"/>
        <w:rPr>
          <w:rFonts w:ascii="Verdana" w:hAnsi="Verdana"/>
        </w:rPr>
      </w:pPr>
      <w:r w:rsidRPr="0BC8996A">
        <w:rPr>
          <w:rFonts w:ascii="Verdana" w:hAnsi="Verdana"/>
        </w:rPr>
        <w:t xml:space="preserve">Cinco hallazgos estructuran este informe. </w:t>
      </w:r>
      <w:r w:rsidR="4A4000BF" w:rsidRPr="0BC8996A">
        <w:rPr>
          <w:rFonts w:ascii="Verdana" w:hAnsi="Verdana"/>
        </w:rPr>
        <w:t>(1)</w:t>
      </w:r>
      <w:r w:rsidRPr="0BC8996A">
        <w:rPr>
          <w:rFonts w:ascii="Verdana" w:hAnsi="Verdana"/>
        </w:rPr>
        <w:t xml:space="preserve"> una invisibilidad estadística y normativa difícil de justificar: en las 24.629 palabras del informe combinado que Chile presentó en 2022, “síndrome de Down” aparece una sola vez, y en las 1.590 palabras dedicadas a educación y salud no aparece ninguna, pese a que nacen anualmente en Chile alrededor de 430 </w:t>
      </w:r>
      <w:proofErr w:type="gramStart"/>
      <w:r w:rsidRPr="0BC8996A">
        <w:rPr>
          <w:rFonts w:ascii="Verdana" w:hAnsi="Verdana"/>
        </w:rPr>
        <w:t>niños y niñas</w:t>
      </w:r>
      <w:proofErr w:type="gramEnd"/>
      <w:r w:rsidRPr="0BC8996A">
        <w:rPr>
          <w:rFonts w:ascii="Verdana" w:hAnsi="Verdana"/>
        </w:rPr>
        <w:t xml:space="preserve"> con síndrome de Down y unos 7.640 niños, niñas y adolescentes viven con esta condición. </w:t>
      </w:r>
      <w:r w:rsidR="0C37335B" w:rsidRPr="0BC8996A">
        <w:rPr>
          <w:rFonts w:ascii="Verdana" w:hAnsi="Verdana"/>
        </w:rPr>
        <w:t>(2)</w:t>
      </w:r>
      <w:r w:rsidRPr="0BC8996A">
        <w:rPr>
          <w:rFonts w:ascii="Verdana" w:hAnsi="Verdana"/>
        </w:rPr>
        <w:t xml:space="preserve"> una infantilización sistemática y estructural: la persona con síndrome de Down permanece, social e institucionalmente, en una condición de eterna niñez que limita su autonomía y la toma de decisiones sobre su propia vida. </w:t>
      </w:r>
      <w:r w:rsidR="04807FCC" w:rsidRPr="0BC8996A">
        <w:rPr>
          <w:rFonts w:ascii="Verdana" w:hAnsi="Verdana"/>
        </w:rPr>
        <w:t>(3)</w:t>
      </w:r>
      <w:r w:rsidRPr="0BC8996A">
        <w:rPr>
          <w:rFonts w:ascii="Verdana" w:hAnsi="Verdana"/>
        </w:rPr>
        <w:t xml:space="preserve"> una ausencia casi total de política pública de vida independiente diseñada para la discapacidad intelectual, sin correlato del avance reportado para la discapacidad psicosocial. </w:t>
      </w:r>
      <w:r w:rsidR="258777CE" w:rsidRPr="0BC8996A">
        <w:rPr>
          <w:rFonts w:ascii="Verdana" w:hAnsi="Verdana"/>
        </w:rPr>
        <w:t>(4)</w:t>
      </w:r>
      <w:r w:rsidRPr="0BC8996A">
        <w:rPr>
          <w:rFonts w:ascii="Verdana" w:hAnsi="Verdana"/>
        </w:rPr>
        <w:t xml:space="preserve"> </w:t>
      </w:r>
      <w:r w:rsidR="03EAD44E" w:rsidRPr="0BC8996A">
        <w:rPr>
          <w:rFonts w:ascii="Verdana" w:hAnsi="Verdana"/>
        </w:rPr>
        <w:t>entrega de la noticia del diagnóstico sobre</w:t>
      </w:r>
      <w:r w:rsidRPr="0BC8996A">
        <w:rPr>
          <w:rFonts w:ascii="Verdana" w:hAnsi="Verdana"/>
        </w:rPr>
        <w:t xml:space="preserve"> síndrome de Down poco humanizado</w:t>
      </w:r>
      <w:r w:rsidR="00E062B2" w:rsidRPr="0BC8996A">
        <w:rPr>
          <w:rFonts w:ascii="Verdana" w:hAnsi="Verdana"/>
        </w:rPr>
        <w:t xml:space="preserve"> y acceso inequitativo a salud</w:t>
      </w:r>
      <w:r w:rsidRPr="0BC8996A">
        <w:rPr>
          <w:rFonts w:ascii="Verdana" w:hAnsi="Verdana"/>
        </w:rPr>
        <w:t xml:space="preserve">: </w:t>
      </w:r>
      <w:r w:rsidR="2521877D" w:rsidRPr="0BC8996A">
        <w:rPr>
          <w:rFonts w:ascii="Verdana" w:hAnsi="Verdana"/>
        </w:rPr>
        <w:t>el diagnóstico</w:t>
      </w:r>
      <w:r w:rsidRPr="0BC8996A">
        <w:rPr>
          <w:rFonts w:ascii="Verdana" w:hAnsi="Verdana"/>
        </w:rPr>
        <w:t xml:space="preserve"> prenatal no supera el 50% pudiendo alcanzar el 90%, y quienes nacen en el sistema público acceden once veces más tarde a la estimulación temprana. </w:t>
      </w:r>
      <w:r w:rsidR="70CED77F" w:rsidRPr="0BC8996A">
        <w:rPr>
          <w:rFonts w:ascii="Verdana" w:hAnsi="Verdana"/>
        </w:rPr>
        <w:t xml:space="preserve">(5) </w:t>
      </w:r>
      <w:r w:rsidRPr="0BC8996A">
        <w:rPr>
          <w:rFonts w:ascii="Verdana" w:hAnsi="Verdana"/>
        </w:rPr>
        <w:t xml:space="preserve">sistemas de garantías y educativo desalineados del perfil de esta población: el catálogo GES cubre </w:t>
      </w:r>
      <w:r w:rsidR="218A36A9" w:rsidRPr="0BC8996A">
        <w:rPr>
          <w:rFonts w:ascii="Verdana" w:hAnsi="Verdana"/>
        </w:rPr>
        <w:t>problemas de salud</w:t>
      </w:r>
      <w:r w:rsidRPr="0BC8996A">
        <w:rPr>
          <w:rFonts w:ascii="Verdana" w:hAnsi="Verdana"/>
        </w:rPr>
        <w:t xml:space="preserve"> </w:t>
      </w:r>
      <w:r w:rsidR="50584C50" w:rsidRPr="0BC8996A">
        <w:rPr>
          <w:rFonts w:ascii="Verdana" w:hAnsi="Verdana"/>
        </w:rPr>
        <w:t>a destiempo de las necesidades de las personas con síndrome de Down</w:t>
      </w:r>
      <w:r w:rsidRPr="0BC8996A">
        <w:rPr>
          <w:rFonts w:ascii="Verdana" w:hAnsi="Verdana"/>
        </w:rPr>
        <w:t>, y no existe una vía de continuidad a la educación superior para quienes egresan de escuelas especiales.</w:t>
      </w:r>
    </w:p>
    <w:p w14:paraId="398EC6C0" w14:textId="3C90DD7F" w:rsidR="001C4C5A" w:rsidRPr="00EC79A5" w:rsidRDefault="0FD20B37" w:rsidP="00EC79A5">
      <w:pPr>
        <w:spacing w:after="200" w:line="276" w:lineRule="auto"/>
        <w:jc w:val="both"/>
        <w:rPr>
          <w:rFonts w:ascii="Verdana" w:hAnsi="Verdana"/>
        </w:rPr>
      </w:pPr>
      <w:r w:rsidRPr="0BC8996A">
        <w:rPr>
          <w:rFonts w:ascii="Verdana" w:hAnsi="Verdana"/>
        </w:rPr>
        <w:t>A partir de esta evidencia, el informe solicita al Comité incorporar en su lista de cuestiones y observaciones finales preguntas y recomendaciones específicas sobre síndrome de Down y discapacidad intelectual en capacidad jurídica (art. 12), acceso a la justicia (art. 13), libertad y seguridad (art. 14), integridad personal (art. 17), vida independiente (art. 19), educación inclusiva (art. 24) y salud (art. 25, con vínculo al 26), sustentadas en los datos desagregados que exige el artículo 31, con plazos e indicadores verificables.</w:t>
      </w:r>
    </w:p>
    <w:p w14:paraId="356B7A09" w14:textId="64943FB4" w:rsidR="001C4C5A" w:rsidRPr="00EC79A5" w:rsidRDefault="00000000"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2. Introducción</w:t>
      </w:r>
    </w:p>
    <w:p w14:paraId="77356D47" w14:textId="77777777" w:rsidR="001C4C5A" w:rsidRPr="00EC79A5" w:rsidRDefault="0FD20B37" w:rsidP="0BC8996A">
      <w:pPr>
        <w:pStyle w:val="Ttulo3"/>
        <w:spacing w:before="300" w:after="200" w:line="276" w:lineRule="auto"/>
        <w:jc w:val="both"/>
        <w:rPr>
          <w:rFonts w:ascii="Verdana" w:hAnsi="Verdana"/>
          <w:sz w:val="22"/>
          <w:szCs w:val="22"/>
        </w:rPr>
      </w:pPr>
      <w:bookmarkStart w:id="1" w:name="_Toc234609782"/>
      <w:bookmarkStart w:id="2" w:name="_Toc1286684877"/>
      <w:r w:rsidRPr="0BC8996A">
        <w:rPr>
          <w:rFonts w:ascii="Verdana" w:hAnsi="Verdana"/>
          <w:sz w:val="22"/>
          <w:szCs w:val="22"/>
        </w:rPr>
        <w:t>2.1 Quién presenta este informe</w:t>
      </w:r>
      <w:bookmarkEnd w:id="1"/>
      <w:bookmarkEnd w:id="2"/>
    </w:p>
    <w:p w14:paraId="57AE3DF8" w14:textId="7663F77C" w:rsidR="001C4C5A" w:rsidRPr="00EC79A5" w:rsidRDefault="0FD20B37" w:rsidP="00EC79A5">
      <w:pPr>
        <w:spacing w:after="200" w:line="276" w:lineRule="auto"/>
        <w:jc w:val="both"/>
        <w:rPr>
          <w:rFonts w:ascii="Verdana" w:hAnsi="Verdana"/>
        </w:rPr>
      </w:pPr>
      <w:r w:rsidRPr="0BC8996A">
        <w:rPr>
          <w:rFonts w:ascii="Verdana" w:hAnsi="Verdana"/>
        </w:rPr>
        <w:t>El C</w:t>
      </w:r>
      <w:r w:rsidR="31A08FC9" w:rsidRPr="0BC8996A">
        <w:rPr>
          <w:rFonts w:ascii="Verdana" w:hAnsi="Verdana"/>
        </w:rPr>
        <w:t xml:space="preserve">UCSD </w:t>
      </w:r>
      <w:r w:rsidRPr="0BC8996A">
        <w:rPr>
          <w:rFonts w:ascii="Verdana" w:hAnsi="Verdana"/>
        </w:rPr>
        <w:t xml:space="preserve">es una unidad interdisciplinaria de la Pontificia Universidad Católica de Chile y un referente latinoamericano dedicado a mejorar la calidad de vida de las personas con síndrome de Down y sus familias. Fundado el 9 de octubre de 2014, articula a las Facultades de Medicina, Ciencias Biológicas, Ingeniería, Educación y Artes, y despliega programas diferenciados por etapa de vida, desde el acompañamiento prenatal hasta la vida independiente adulta. En 2024, su Programa de Estimulación Integral del Desarrollo (0 a 6 años) fue premiado por Zero Project, y participa junto al Centro de Políticas Públicas UC en una propuesta legislativa para reducir brechas en el ejercicio de derechos de las personas con discapacidad. </w:t>
      </w:r>
    </w:p>
    <w:p w14:paraId="528C32A0" w14:textId="77777777" w:rsidR="001C4C5A" w:rsidRPr="00EC79A5" w:rsidRDefault="0FD20B37" w:rsidP="0BC8996A">
      <w:pPr>
        <w:pStyle w:val="Ttulo3"/>
        <w:spacing w:before="300" w:after="200" w:line="276" w:lineRule="auto"/>
        <w:jc w:val="both"/>
        <w:rPr>
          <w:rFonts w:ascii="Verdana" w:hAnsi="Verdana"/>
          <w:sz w:val="22"/>
          <w:szCs w:val="22"/>
        </w:rPr>
      </w:pPr>
      <w:bookmarkStart w:id="3" w:name="_Toc234609783"/>
      <w:bookmarkStart w:id="4" w:name="_Toc143864692"/>
      <w:r w:rsidRPr="0BC8996A">
        <w:rPr>
          <w:rFonts w:ascii="Verdana" w:hAnsi="Verdana"/>
          <w:sz w:val="22"/>
          <w:szCs w:val="22"/>
        </w:rPr>
        <w:t>2.2 Fuentes de evidencia y jerarquía metodológica</w:t>
      </w:r>
      <w:bookmarkEnd w:id="3"/>
      <w:bookmarkEnd w:id="4"/>
    </w:p>
    <w:p w14:paraId="1B00E0F8" w14:textId="3EE469EA" w:rsidR="00EC79A5" w:rsidRDefault="0FD20B37" w:rsidP="00EC79A5">
      <w:pPr>
        <w:spacing w:after="200" w:line="276" w:lineRule="auto"/>
        <w:jc w:val="both"/>
        <w:rPr>
          <w:rFonts w:ascii="Verdana" w:hAnsi="Verdana"/>
        </w:rPr>
      </w:pPr>
      <w:r w:rsidRPr="0BC8996A">
        <w:rPr>
          <w:rFonts w:ascii="Verdana" w:hAnsi="Verdana"/>
        </w:rPr>
        <w:t xml:space="preserve">Este informe se construye sobre </w:t>
      </w:r>
      <w:r w:rsidR="1B33B1CE" w:rsidRPr="0BC8996A">
        <w:rPr>
          <w:rFonts w:ascii="Verdana" w:hAnsi="Verdana"/>
        </w:rPr>
        <w:t>las siguientes</w:t>
      </w:r>
      <w:r w:rsidRPr="0BC8996A">
        <w:rPr>
          <w:rFonts w:ascii="Verdana" w:hAnsi="Verdana"/>
        </w:rPr>
        <w:t xml:space="preserve"> fuentes: </w:t>
      </w:r>
    </w:p>
    <w:p w14:paraId="5BA24145" w14:textId="61E073E1" w:rsidR="00EC79A5" w:rsidRPr="00EC79A5" w:rsidRDefault="00000000" w:rsidP="00EC79A5">
      <w:pPr>
        <w:pStyle w:val="Prrafodelista"/>
        <w:numPr>
          <w:ilvl w:val="0"/>
          <w:numId w:val="4"/>
        </w:numPr>
        <w:spacing w:after="200" w:line="276" w:lineRule="auto"/>
        <w:jc w:val="both"/>
        <w:rPr>
          <w:rFonts w:ascii="Verdana" w:hAnsi="Verdana"/>
        </w:rPr>
      </w:pPr>
      <w:r w:rsidRPr="00EC79A5">
        <w:rPr>
          <w:rFonts w:ascii="Verdana" w:hAnsi="Verdana"/>
        </w:rPr>
        <w:t xml:space="preserve">los documentos oficiales del proceso de revisión de Chile (Observaciones Finales CRPD/C/CHL/CO/1, 2016; Lista de Cuestiones Previa CRPD/C/CHL/QPR/2-4, 2020; e informe combinado del Estado, 2022); </w:t>
      </w:r>
    </w:p>
    <w:p w14:paraId="1FC06829" w14:textId="27D8A487" w:rsidR="00EC79A5" w:rsidRDefault="0FD20B37" w:rsidP="00EC79A5">
      <w:pPr>
        <w:pStyle w:val="Prrafodelista"/>
        <w:numPr>
          <w:ilvl w:val="0"/>
          <w:numId w:val="4"/>
        </w:numPr>
        <w:spacing w:after="200" w:line="276" w:lineRule="auto"/>
        <w:jc w:val="both"/>
        <w:rPr>
          <w:rFonts w:ascii="Verdana" w:hAnsi="Verdana"/>
        </w:rPr>
      </w:pPr>
      <w:r w:rsidRPr="0BC8996A">
        <w:rPr>
          <w:rFonts w:ascii="Verdana" w:hAnsi="Verdana"/>
        </w:rPr>
        <w:t xml:space="preserve">las Mesas Participativas desarrolladas junto al Centro de Políticas Públicas UC (2024-2025), que consultaron a 367 personas y convocaron mesas de trabajo con 100 asistentes, sistematizadas en </w:t>
      </w:r>
      <w:r w:rsidR="33B13DBC" w:rsidRPr="0BC8996A">
        <w:rPr>
          <w:rFonts w:ascii="Verdana" w:hAnsi="Verdana"/>
        </w:rPr>
        <w:t xml:space="preserve">el documento </w:t>
      </w:r>
      <w:r w:rsidRPr="0BC8996A">
        <w:rPr>
          <w:rFonts w:ascii="Verdana" w:hAnsi="Verdana"/>
        </w:rPr>
        <w:t>"Un Chile mejor para personas con síndrome de Down: propuestas para una política nacional 2025"</w:t>
      </w:r>
      <w:r w:rsidR="7A03201C" w:rsidRPr="0BC8996A">
        <w:rPr>
          <w:rFonts w:ascii="Verdana" w:hAnsi="Verdana"/>
        </w:rPr>
        <w:t xml:space="preserve"> [disponible en </w:t>
      </w:r>
      <w:hyperlink r:id="rId12">
        <w:r w:rsidR="6C021CE6" w:rsidRPr="0BC8996A">
          <w:rPr>
            <w:rStyle w:val="Hipervnculo"/>
            <w:rFonts w:ascii="Verdana" w:hAnsi="Verdana"/>
          </w:rPr>
          <w:t>https://politicaspublicas.uc.cl/publicacion/un-chile-mejor-para-personas-con-sindrome-de-down-propuestas-para-una-politica-nacional-2025/</w:t>
        </w:r>
      </w:hyperlink>
      <w:r w:rsidR="6C021CE6" w:rsidRPr="0BC8996A">
        <w:rPr>
          <w:rFonts w:ascii="Verdana" w:hAnsi="Verdana"/>
        </w:rPr>
        <w:t>]</w:t>
      </w:r>
      <w:r w:rsidRPr="0BC8996A">
        <w:rPr>
          <w:rFonts w:ascii="Verdana" w:hAnsi="Verdana"/>
        </w:rPr>
        <w:t xml:space="preserve">; </w:t>
      </w:r>
    </w:p>
    <w:p w14:paraId="766AA269" w14:textId="40150F80" w:rsidR="00EC79A5" w:rsidRDefault="2FBB233F" w:rsidP="00EC79A5">
      <w:pPr>
        <w:pStyle w:val="Prrafodelista"/>
        <w:numPr>
          <w:ilvl w:val="0"/>
          <w:numId w:val="4"/>
        </w:numPr>
        <w:spacing w:after="200" w:line="276" w:lineRule="auto"/>
        <w:jc w:val="both"/>
        <w:rPr>
          <w:rFonts w:ascii="Verdana" w:hAnsi="Verdana"/>
        </w:rPr>
      </w:pPr>
      <w:r w:rsidRPr="0BC8996A">
        <w:rPr>
          <w:rFonts w:ascii="Verdana" w:hAnsi="Verdana"/>
        </w:rPr>
        <w:t xml:space="preserve">El documento </w:t>
      </w:r>
      <w:r w:rsidR="7495DF3D" w:rsidRPr="0BC8996A">
        <w:rPr>
          <w:rFonts w:ascii="Verdana" w:hAnsi="Verdana"/>
        </w:rPr>
        <w:t xml:space="preserve">Panorama actual sobre personas con síndrome de Down en Chile: políticas, legislación y brechas [disponible en: </w:t>
      </w:r>
      <w:hyperlink r:id="rId13">
        <w:r w:rsidR="3FE9255D" w:rsidRPr="0BC8996A">
          <w:rPr>
            <w:rStyle w:val="Hipervnculo"/>
            <w:rFonts w:ascii="Verdana" w:hAnsi="Verdana"/>
          </w:rPr>
          <w:t>https://politicaspublicas.uc.cl/publicacion/panorama-actual-sobre-personas-con-sindrome-de-down-en-chile-politicas-legislacion-y-brechas/</w:t>
        </w:r>
      </w:hyperlink>
      <w:r w:rsidR="748504AC" w:rsidRPr="0BC8996A">
        <w:rPr>
          <w:rFonts w:ascii="Verdana" w:hAnsi="Verdana"/>
        </w:rPr>
        <w:t>]</w:t>
      </w:r>
    </w:p>
    <w:p w14:paraId="0AAA8B89" w14:textId="41EC44CD" w:rsidR="00EC79A5" w:rsidRDefault="748504AC" w:rsidP="00EC79A5">
      <w:pPr>
        <w:pStyle w:val="Prrafodelista"/>
        <w:numPr>
          <w:ilvl w:val="0"/>
          <w:numId w:val="4"/>
        </w:numPr>
        <w:spacing w:after="200" w:line="276" w:lineRule="auto"/>
        <w:jc w:val="both"/>
        <w:rPr>
          <w:rFonts w:ascii="Verdana" w:hAnsi="Verdana"/>
        </w:rPr>
      </w:pPr>
      <w:r w:rsidRPr="0BC8996A">
        <w:rPr>
          <w:rFonts w:ascii="Verdana" w:hAnsi="Verdana"/>
        </w:rPr>
        <w:t xml:space="preserve"> </w:t>
      </w:r>
      <w:r w:rsidR="0FD20B37" w:rsidRPr="0BC8996A">
        <w:rPr>
          <w:rFonts w:ascii="Verdana" w:hAnsi="Verdana"/>
        </w:rPr>
        <w:t xml:space="preserve">el Policy Brief "Propuestas presidenciales para personas con </w:t>
      </w:r>
      <w:r w:rsidR="2BAB1130" w:rsidRPr="0BC8996A">
        <w:rPr>
          <w:rFonts w:ascii="Verdana" w:hAnsi="Verdana"/>
        </w:rPr>
        <w:t>discapacidad intelectual</w:t>
      </w:r>
      <w:r w:rsidR="0FD20B37" w:rsidRPr="0BC8996A">
        <w:rPr>
          <w:rFonts w:ascii="Verdana" w:hAnsi="Verdana"/>
        </w:rPr>
        <w:t xml:space="preserve"> y síndrome de Down" (2026-2030)</w:t>
      </w:r>
      <w:r w:rsidR="7AD8D2D4" w:rsidRPr="0BC8996A">
        <w:rPr>
          <w:rFonts w:ascii="Verdana" w:hAnsi="Verdana"/>
        </w:rPr>
        <w:t xml:space="preserve"> [disponible en</w:t>
      </w:r>
      <w:r w:rsidR="59F252FF" w:rsidRPr="0BC8996A">
        <w:rPr>
          <w:rFonts w:ascii="Verdana" w:hAnsi="Verdana"/>
        </w:rPr>
        <w:t xml:space="preserve"> </w:t>
      </w:r>
      <w:hyperlink r:id="rId14">
        <w:r w:rsidR="59F252FF" w:rsidRPr="0BC8996A">
          <w:rPr>
            <w:rStyle w:val="Hipervnculo"/>
            <w:rFonts w:ascii="Verdana" w:hAnsi="Verdana"/>
          </w:rPr>
          <w:t>https://politicaspublicas.uc.cl/publicacion/propuestas-presidenciales-para-personas-con-discapacidad-cognitiva-y-sindrome-de-down/</w:t>
        </w:r>
      </w:hyperlink>
      <w:proofErr w:type="gramStart"/>
      <w:r w:rsidR="59F252FF" w:rsidRPr="0BC8996A">
        <w:rPr>
          <w:rFonts w:ascii="Verdana" w:hAnsi="Verdana"/>
        </w:rPr>
        <w:t xml:space="preserve">] </w:t>
      </w:r>
      <w:r w:rsidR="0FD20B37" w:rsidRPr="0BC8996A">
        <w:rPr>
          <w:rFonts w:ascii="Verdana" w:hAnsi="Verdana"/>
        </w:rPr>
        <w:t>;</w:t>
      </w:r>
      <w:proofErr w:type="gramEnd"/>
      <w:r w:rsidR="0FD20B37" w:rsidRPr="0BC8996A">
        <w:rPr>
          <w:rFonts w:ascii="Verdana" w:hAnsi="Verdana"/>
        </w:rPr>
        <w:t xml:space="preserve"> y </w:t>
      </w:r>
    </w:p>
    <w:p w14:paraId="546E1C57" w14:textId="486EB6A0" w:rsidR="00EC79A5" w:rsidRDefault="766CD1BD" w:rsidP="00EC79A5">
      <w:pPr>
        <w:pStyle w:val="Prrafodelista"/>
        <w:numPr>
          <w:ilvl w:val="0"/>
          <w:numId w:val="4"/>
        </w:numPr>
        <w:spacing w:after="200" w:line="276" w:lineRule="auto"/>
        <w:jc w:val="both"/>
        <w:rPr>
          <w:rFonts w:ascii="Verdana" w:hAnsi="Verdana"/>
        </w:rPr>
      </w:pPr>
      <w:r w:rsidRPr="0BC8996A">
        <w:rPr>
          <w:rFonts w:ascii="Verdana" w:hAnsi="Verdana"/>
        </w:rPr>
        <w:t>la Jornada de Investigación del Centro, instancia cualitativa cuyos resultados (plenario colectivo, cartografía de derechos y carta colectiva) se citan respetando la confidencialidad de sus participantes;</w:t>
      </w:r>
    </w:p>
    <w:p w14:paraId="0484CE0A" w14:textId="5405E606" w:rsidR="00EC79A5" w:rsidRDefault="0FD20B37" w:rsidP="00EC79A5">
      <w:pPr>
        <w:pStyle w:val="Prrafodelista"/>
        <w:numPr>
          <w:ilvl w:val="0"/>
          <w:numId w:val="4"/>
        </w:numPr>
        <w:spacing w:after="200" w:line="276" w:lineRule="auto"/>
        <w:jc w:val="both"/>
        <w:rPr>
          <w:rFonts w:ascii="Verdana" w:hAnsi="Verdana"/>
        </w:rPr>
      </w:pPr>
      <w:r w:rsidRPr="0BC8996A">
        <w:rPr>
          <w:rFonts w:ascii="Verdana" w:hAnsi="Verdana"/>
        </w:rPr>
        <w:lastRenderedPageBreak/>
        <w:t>los programas del propio Centro</w:t>
      </w:r>
      <w:r w:rsidR="18F2F9AE" w:rsidRPr="0BC8996A">
        <w:rPr>
          <w:rFonts w:ascii="Verdana" w:hAnsi="Verdana"/>
        </w:rPr>
        <w:t xml:space="preserve"> [disponible en: </w:t>
      </w:r>
      <w:hyperlink r:id="rId15">
        <w:r w:rsidR="18F2F9AE" w:rsidRPr="0BC8996A">
          <w:rPr>
            <w:rStyle w:val="Hipervnculo"/>
            <w:rFonts w:ascii="Verdana" w:hAnsi="Verdana"/>
          </w:rPr>
          <w:t>www.centroucdown.uc.cl</w:t>
        </w:r>
      </w:hyperlink>
      <w:proofErr w:type="gramStart"/>
      <w:r w:rsidR="18F2F9AE" w:rsidRPr="0BC8996A">
        <w:rPr>
          <w:rFonts w:ascii="Verdana" w:hAnsi="Verdana"/>
        </w:rPr>
        <w:t xml:space="preserve">] </w:t>
      </w:r>
      <w:r w:rsidRPr="0BC8996A">
        <w:rPr>
          <w:rFonts w:ascii="Verdana" w:hAnsi="Verdana"/>
        </w:rPr>
        <w:t xml:space="preserve"> y</w:t>
      </w:r>
      <w:proofErr w:type="gramEnd"/>
      <w:r w:rsidRPr="0BC8996A">
        <w:rPr>
          <w:rFonts w:ascii="Verdana" w:hAnsi="Verdana"/>
        </w:rPr>
        <w:t xml:space="preserve"> la literatura científica disponible. </w:t>
      </w:r>
    </w:p>
    <w:p w14:paraId="677F14AA" w14:textId="3DBEC139" w:rsidR="001C4C5A" w:rsidRPr="00EC79A5" w:rsidRDefault="74236222" w:rsidP="00EC79A5">
      <w:pPr>
        <w:spacing w:after="200" w:line="276" w:lineRule="auto"/>
        <w:jc w:val="both"/>
        <w:rPr>
          <w:rFonts w:ascii="Verdana" w:hAnsi="Verdana"/>
        </w:rPr>
      </w:pPr>
      <w:r w:rsidRPr="0BC8996A">
        <w:rPr>
          <w:rFonts w:ascii="Verdana" w:hAnsi="Verdana"/>
        </w:rPr>
        <w:t>En el contexto de este informe, c</w:t>
      </w:r>
      <w:r w:rsidR="0FD20B37" w:rsidRPr="0BC8996A">
        <w:rPr>
          <w:rFonts w:ascii="Verdana" w:hAnsi="Verdana"/>
        </w:rPr>
        <w:t>uando la evidencia corresponde a una opinión institucional o a un juicio informado sin respaldo estadístico representativo, así se indica expresamente; cuando no existen datos nacionales sobre una materia, este informe lo señala como una brecha en sí misma.</w:t>
      </w:r>
    </w:p>
    <w:p w14:paraId="1148B738" w14:textId="3F59F76A" w:rsidR="001C4C5A" w:rsidRPr="00EC79A5" w:rsidRDefault="0FD20B37" w:rsidP="0BC8996A">
      <w:pPr>
        <w:pStyle w:val="Ttulo3"/>
        <w:spacing w:before="300" w:after="200" w:line="276" w:lineRule="auto"/>
        <w:rPr>
          <w:rFonts w:ascii="Verdana" w:hAnsi="Verdana"/>
          <w:sz w:val="22"/>
          <w:szCs w:val="22"/>
        </w:rPr>
      </w:pPr>
      <w:bookmarkStart w:id="5" w:name="_Toc234609784"/>
      <w:bookmarkStart w:id="6" w:name="_Toc6346313"/>
      <w:r w:rsidRPr="0BC8996A">
        <w:rPr>
          <w:rFonts w:ascii="Verdana" w:hAnsi="Verdana"/>
          <w:sz w:val="22"/>
          <w:szCs w:val="22"/>
        </w:rPr>
        <w:t>2.3 Alcance y límites de este informe</w:t>
      </w:r>
      <w:bookmarkEnd w:id="5"/>
      <w:bookmarkEnd w:id="6"/>
    </w:p>
    <w:p w14:paraId="2DA9A3AE" w14:textId="32251AAB" w:rsidR="001C4C5A" w:rsidRPr="00EC79A5" w:rsidRDefault="0FD20B37" w:rsidP="00EC79A5">
      <w:pPr>
        <w:spacing w:after="200" w:line="276" w:lineRule="auto"/>
        <w:jc w:val="both"/>
        <w:rPr>
          <w:rFonts w:ascii="Verdana" w:hAnsi="Verdana"/>
        </w:rPr>
      </w:pPr>
      <w:r w:rsidRPr="0BC8996A">
        <w:rPr>
          <w:rFonts w:ascii="Verdana" w:hAnsi="Verdana"/>
        </w:rPr>
        <w:t>Este informe no examina los 33 artículos de la Convención con el mismo nivel de profundidad. Se presenta en dos secciones: la Sección I aborda el acceso a la justicia, la capacidad jurídica y la desinstitucionalización (artículos 12, 13, 14, 17 y 19 de la Convención); la Sección II, la educación inclusiva, la salud y la atención temprana (artículos 24 y 25, con vínculo al artículo 26). Ambas desarrollan el artículo 31 como condición habilitante.</w:t>
      </w:r>
    </w:p>
    <w:p w14:paraId="234D2B45" w14:textId="3522B7AF" w:rsidR="001C4C5A" w:rsidRPr="00EC79A5" w:rsidRDefault="0FD20B37" w:rsidP="00EC79A5">
      <w:pPr>
        <w:spacing w:after="200" w:line="276" w:lineRule="auto"/>
        <w:jc w:val="both"/>
      </w:pPr>
      <w:r w:rsidRPr="0BC8996A">
        <w:rPr>
          <w:rFonts w:ascii="Verdana" w:hAnsi="Verdana"/>
          <w:color w:val="000000" w:themeColor="text2"/>
        </w:rPr>
        <w:t xml:space="preserve">Para lograr focalización e impacto </w:t>
      </w:r>
      <w:r w:rsidRPr="0BC8996A">
        <w:rPr>
          <w:rFonts w:ascii="Verdana" w:hAnsi="Verdana"/>
        </w:rPr>
        <w:t xml:space="preserve">se optó por no desarrollar </w:t>
      </w:r>
      <w:r w:rsidR="33B13DBC" w:rsidRPr="0BC8996A">
        <w:rPr>
          <w:rFonts w:ascii="Verdana" w:hAnsi="Verdana"/>
        </w:rPr>
        <w:t>inextenso</w:t>
      </w:r>
      <w:r w:rsidRPr="0BC8996A">
        <w:rPr>
          <w:rFonts w:ascii="Verdana" w:hAnsi="Verdana"/>
        </w:rPr>
        <w:t xml:space="preserve"> las otras temáticas, sin embargo, </w:t>
      </w:r>
      <w:r w:rsidR="74DAA050" w:rsidRPr="0BC8996A">
        <w:rPr>
          <w:rFonts w:ascii="Verdana" w:hAnsi="Verdana"/>
        </w:rPr>
        <w:t xml:space="preserve">en la Tabla 1 se </w:t>
      </w:r>
      <w:r w:rsidRPr="0BC8996A">
        <w:rPr>
          <w:rFonts w:ascii="Verdana" w:hAnsi="Verdana"/>
        </w:rPr>
        <w:t xml:space="preserve">expone </w:t>
      </w:r>
      <w:r w:rsidR="2BB1149D" w:rsidRPr="0BC8996A">
        <w:rPr>
          <w:rFonts w:ascii="Verdana" w:hAnsi="Verdana"/>
        </w:rPr>
        <w:t xml:space="preserve">un resumen de </w:t>
      </w:r>
      <w:r w:rsidRPr="0BC8996A">
        <w:rPr>
          <w:rFonts w:ascii="Verdana" w:hAnsi="Verdana"/>
        </w:rPr>
        <w:t xml:space="preserve">las brechas asociadas a las otras temáticas y que fueron identificadas a partir de las mesas colaborativas con la comunidad.    </w:t>
      </w:r>
    </w:p>
    <w:p w14:paraId="2B3F14D2" w14:textId="4C342A27" w:rsidR="337A7629" w:rsidRDefault="337A7629" w:rsidP="0BC8996A">
      <w:pPr>
        <w:spacing w:after="200" w:line="276" w:lineRule="auto"/>
        <w:jc w:val="both"/>
      </w:pPr>
      <w:r w:rsidRPr="0BC8996A">
        <w:rPr>
          <w:rFonts w:ascii="Verdana" w:hAnsi="Verdana"/>
          <w:b/>
          <w:bCs/>
        </w:rPr>
        <w:t>Tabla 1:</w:t>
      </w:r>
      <w:r w:rsidRPr="0BC8996A">
        <w:rPr>
          <w:rFonts w:ascii="Verdana" w:hAnsi="Verdana"/>
        </w:rPr>
        <w:t xml:space="preserve"> Resumen de las brechas asociadas a temáticas no abordadas en las secciones de este informe</w:t>
      </w:r>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1982"/>
        <w:gridCol w:w="1230"/>
        <w:gridCol w:w="6148"/>
      </w:tblGrid>
      <w:tr w:rsidR="001C4C5A" w:rsidRPr="00EC79A5" w14:paraId="3C9AA72A" w14:textId="77777777" w:rsidTr="0BC8996A">
        <w:trPr>
          <w:tblHeader/>
        </w:trPr>
        <w:tc>
          <w:tcPr>
            <w:tcW w:w="1982"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6281BC6C" w14:textId="77777777" w:rsidR="001C4C5A" w:rsidRPr="00EC79A5" w:rsidRDefault="00000000" w:rsidP="00EC79A5">
            <w:pPr>
              <w:spacing w:line="276" w:lineRule="auto"/>
              <w:jc w:val="both"/>
              <w:rPr>
                <w:rFonts w:ascii="Verdana" w:hAnsi="Verdana"/>
                <w:b/>
                <w:bCs/>
                <w:sz w:val="21"/>
                <w:szCs w:val="21"/>
              </w:rPr>
            </w:pPr>
            <w:r w:rsidRPr="00EC79A5">
              <w:rPr>
                <w:rFonts w:ascii="Verdana" w:hAnsi="Verdana"/>
                <w:b/>
                <w:bCs/>
                <w:sz w:val="21"/>
                <w:szCs w:val="21"/>
              </w:rPr>
              <w:t>Materia</w:t>
            </w:r>
          </w:p>
        </w:tc>
        <w:tc>
          <w:tcPr>
            <w:tcW w:w="1230"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26266A94" w14:textId="415B9447" w:rsidR="001C4C5A" w:rsidRPr="00EC79A5" w:rsidRDefault="128FD9FC" w:rsidP="00EC79A5">
            <w:pPr>
              <w:spacing w:line="276" w:lineRule="auto"/>
              <w:jc w:val="both"/>
              <w:rPr>
                <w:rFonts w:ascii="Verdana" w:hAnsi="Verdana"/>
                <w:b/>
                <w:bCs/>
                <w:sz w:val="21"/>
                <w:szCs w:val="21"/>
              </w:rPr>
            </w:pPr>
            <w:r w:rsidRPr="0BC8996A">
              <w:rPr>
                <w:rFonts w:ascii="Verdana" w:hAnsi="Verdana"/>
                <w:b/>
                <w:bCs/>
                <w:sz w:val="21"/>
                <w:szCs w:val="21"/>
              </w:rPr>
              <w:t>a</w:t>
            </w:r>
            <w:r w:rsidR="0FD20B37" w:rsidRPr="0BC8996A">
              <w:rPr>
                <w:rFonts w:ascii="Verdana" w:hAnsi="Verdana"/>
                <w:b/>
                <w:bCs/>
                <w:sz w:val="21"/>
                <w:szCs w:val="21"/>
              </w:rPr>
              <w:t>rt</w:t>
            </w:r>
            <w:r w:rsidR="5C168364" w:rsidRPr="0BC8996A">
              <w:rPr>
                <w:rFonts w:ascii="Verdana" w:hAnsi="Verdana"/>
                <w:b/>
                <w:bCs/>
                <w:sz w:val="21"/>
                <w:szCs w:val="21"/>
              </w:rPr>
              <w:t>s.</w:t>
            </w:r>
            <w:r w:rsidR="0FD20B37" w:rsidRPr="0BC8996A">
              <w:rPr>
                <w:rFonts w:ascii="Verdana" w:hAnsi="Verdana"/>
                <w:b/>
                <w:bCs/>
                <w:sz w:val="21"/>
                <w:szCs w:val="21"/>
              </w:rPr>
              <w:t xml:space="preserve"> </w:t>
            </w:r>
          </w:p>
        </w:tc>
        <w:tc>
          <w:tcPr>
            <w:tcW w:w="6148"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0FDA166A" w14:textId="655E7836" w:rsidR="001C4C5A" w:rsidRPr="00EC79A5" w:rsidRDefault="00000000" w:rsidP="00EC79A5">
            <w:pPr>
              <w:spacing w:line="276" w:lineRule="auto"/>
              <w:jc w:val="both"/>
              <w:rPr>
                <w:rFonts w:ascii="Verdana" w:hAnsi="Verdana"/>
                <w:b/>
                <w:bCs/>
                <w:sz w:val="21"/>
                <w:szCs w:val="21"/>
              </w:rPr>
            </w:pPr>
            <w:r w:rsidRPr="00EC79A5">
              <w:rPr>
                <w:rFonts w:ascii="Verdana" w:hAnsi="Verdana"/>
                <w:b/>
                <w:bCs/>
                <w:sz w:val="21"/>
                <w:szCs w:val="21"/>
              </w:rPr>
              <w:t xml:space="preserve">Síntesis de la brecha </w:t>
            </w:r>
          </w:p>
        </w:tc>
      </w:tr>
      <w:tr w:rsidR="001C4C5A" w:rsidRPr="00EC79A5" w14:paraId="55900E14"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4C5FFA43"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Trabajo, protección social y envejecimiento</w:t>
            </w:r>
          </w:p>
        </w:tc>
        <w:tc>
          <w:tcPr>
            <w:tcW w:w="1230" w:type="dxa"/>
            <w:tcBorders>
              <w:top w:val="single" w:sz="2" w:space="0" w:color="BBBBBB"/>
              <w:left w:val="single" w:sz="2" w:space="0" w:color="BBBBBB"/>
              <w:bottom w:val="single" w:sz="2" w:space="0" w:color="BBBBBB"/>
              <w:right w:val="single" w:sz="2" w:space="0" w:color="BBBBBB"/>
            </w:tcBorders>
            <w:vAlign w:val="center"/>
          </w:tcPr>
          <w:p w14:paraId="1910CCBC"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27, 28</w:t>
            </w:r>
          </w:p>
        </w:tc>
        <w:tc>
          <w:tcPr>
            <w:tcW w:w="6148" w:type="dxa"/>
            <w:tcBorders>
              <w:top w:val="single" w:sz="2" w:space="0" w:color="BBBBBB"/>
              <w:left w:val="single" w:sz="2" w:space="0" w:color="BBBBBB"/>
              <w:bottom w:val="single" w:sz="2" w:space="0" w:color="BBBBBB"/>
              <w:right w:val="single" w:sz="2" w:space="0" w:color="BBBBBB"/>
            </w:tcBorders>
            <w:vAlign w:val="center"/>
          </w:tcPr>
          <w:p w14:paraId="348B0D75"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La Ley de Inclusión Laboral no distingue tipo de discapacidad, lo que permite cubrir la cuota legal mayoritariamente con discapacidad física; no existe política de envejecimiento diseñada para una esperanza de vida estimada de 55 a 58 años.</w:t>
            </w:r>
          </w:p>
        </w:tc>
      </w:tr>
      <w:tr w:rsidR="001C4C5A" w:rsidRPr="00EC79A5" w14:paraId="37C6213B"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12790789"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Accesibilidad cognitiva y toma de conciencia</w:t>
            </w:r>
          </w:p>
        </w:tc>
        <w:tc>
          <w:tcPr>
            <w:tcW w:w="1230" w:type="dxa"/>
            <w:tcBorders>
              <w:top w:val="single" w:sz="2" w:space="0" w:color="BBBBBB"/>
              <w:left w:val="single" w:sz="2" w:space="0" w:color="BBBBBB"/>
              <w:bottom w:val="single" w:sz="2" w:space="0" w:color="BBBBBB"/>
              <w:right w:val="single" w:sz="2" w:space="0" w:color="BBBBBB"/>
            </w:tcBorders>
            <w:vAlign w:val="center"/>
          </w:tcPr>
          <w:p w14:paraId="4822C652"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8, 9, 21</w:t>
            </w:r>
          </w:p>
        </w:tc>
        <w:tc>
          <w:tcPr>
            <w:tcW w:w="6148" w:type="dxa"/>
            <w:tcBorders>
              <w:top w:val="single" w:sz="2" w:space="0" w:color="BBBBBB"/>
              <w:left w:val="single" w:sz="2" w:space="0" w:color="BBBBBB"/>
              <w:bottom w:val="single" w:sz="2" w:space="0" w:color="BBBBBB"/>
              <w:right w:val="single" w:sz="2" w:space="0" w:color="BBBBBB"/>
            </w:tcBorders>
            <w:vAlign w:val="center"/>
          </w:tcPr>
          <w:p w14:paraId="791F106D"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No existe un estándar nacional de accesibilidad cognitiva ni de lectura fácil; cada institución resuelve de manera artesanal y desigual la comunicación con personas con discapacidad intelectual.</w:t>
            </w:r>
          </w:p>
        </w:tc>
      </w:tr>
      <w:tr w:rsidR="001C4C5A" w:rsidRPr="00EC79A5" w14:paraId="261B548E"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46F5A309"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Capacitismo y modelo asistencialista</w:t>
            </w:r>
          </w:p>
        </w:tc>
        <w:tc>
          <w:tcPr>
            <w:tcW w:w="1230" w:type="dxa"/>
            <w:tcBorders>
              <w:top w:val="single" w:sz="2" w:space="0" w:color="BBBBBB"/>
              <w:left w:val="single" w:sz="2" w:space="0" w:color="BBBBBB"/>
              <w:bottom w:val="single" w:sz="2" w:space="0" w:color="BBBBBB"/>
              <w:right w:val="single" w:sz="2" w:space="0" w:color="BBBBBB"/>
            </w:tcBorders>
            <w:vAlign w:val="center"/>
          </w:tcPr>
          <w:p w14:paraId="587C5880"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8</w:t>
            </w:r>
          </w:p>
        </w:tc>
        <w:tc>
          <w:tcPr>
            <w:tcW w:w="6148" w:type="dxa"/>
            <w:tcBorders>
              <w:top w:val="single" w:sz="2" w:space="0" w:color="BBBBBB"/>
              <w:left w:val="single" w:sz="2" w:space="0" w:color="BBBBBB"/>
              <w:bottom w:val="single" w:sz="2" w:space="0" w:color="BBBBBB"/>
              <w:right w:val="single" w:sz="2" w:space="0" w:color="BBBBBB"/>
            </w:tcBorders>
            <w:vAlign w:val="center"/>
          </w:tcPr>
          <w:p w14:paraId="355C043C"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Persiste un modelo médico centrado en la deficiencia y un enfoque asistencialista que no reconoce a las personas con discapacidad como sujetos activos en la construcción de políticas.</w:t>
            </w:r>
          </w:p>
        </w:tc>
      </w:tr>
      <w:tr w:rsidR="001C4C5A" w:rsidRPr="00EC79A5" w14:paraId="5AAFCC25"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01878E80"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lastRenderedPageBreak/>
              <w:t>Participación política y ciudadanía</w:t>
            </w:r>
          </w:p>
        </w:tc>
        <w:tc>
          <w:tcPr>
            <w:tcW w:w="1230" w:type="dxa"/>
            <w:tcBorders>
              <w:top w:val="single" w:sz="2" w:space="0" w:color="BBBBBB"/>
              <w:left w:val="single" w:sz="2" w:space="0" w:color="BBBBBB"/>
              <w:bottom w:val="single" w:sz="2" w:space="0" w:color="BBBBBB"/>
              <w:right w:val="single" w:sz="2" w:space="0" w:color="BBBBBB"/>
            </w:tcBorders>
            <w:vAlign w:val="center"/>
          </w:tcPr>
          <w:p w14:paraId="48727FD8"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29</w:t>
            </w:r>
          </w:p>
        </w:tc>
        <w:tc>
          <w:tcPr>
            <w:tcW w:w="6148" w:type="dxa"/>
            <w:tcBorders>
              <w:top w:val="single" w:sz="2" w:space="0" w:color="BBBBBB"/>
              <w:left w:val="single" w:sz="2" w:space="0" w:color="BBBBBB"/>
              <w:bottom w:val="single" w:sz="2" w:space="0" w:color="BBBBBB"/>
              <w:right w:val="single" w:sz="2" w:space="0" w:color="BBBBBB"/>
            </w:tcBorders>
            <w:vAlign w:val="center"/>
          </w:tcPr>
          <w:p w14:paraId="6B9F55E9" w14:textId="77777777" w:rsidR="001C4C5A" w:rsidRPr="00EC79A5" w:rsidRDefault="00000000" w:rsidP="00EC79A5">
            <w:pPr>
              <w:spacing w:line="276" w:lineRule="auto"/>
              <w:jc w:val="both"/>
              <w:rPr>
                <w:rFonts w:ascii="Verdana" w:hAnsi="Verdana"/>
                <w:sz w:val="21"/>
                <w:szCs w:val="21"/>
              </w:rPr>
            </w:pPr>
            <w:r w:rsidRPr="00EC79A5">
              <w:rPr>
                <w:rFonts w:ascii="Verdana" w:hAnsi="Verdana"/>
                <w:sz w:val="21"/>
                <w:szCs w:val="21"/>
              </w:rPr>
              <w:t>La interdicción continúa operando como barrera de hecho para el ejercicio del derecho a voto y la participación política de personas con discapacidad intelectual.</w:t>
            </w:r>
          </w:p>
        </w:tc>
      </w:tr>
    </w:tbl>
    <w:p w14:paraId="57B66548" w14:textId="0EDC4A12" w:rsidR="001C4C5A" w:rsidRPr="00EC79A5" w:rsidRDefault="001C4C5A" w:rsidP="0BC8996A">
      <w:pPr>
        <w:pStyle w:val="Ttulo3"/>
        <w:spacing w:before="300" w:after="200" w:line="276" w:lineRule="auto"/>
        <w:rPr>
          <w:rFonts w:ascii="Verdana" w:hAnsi="Verdana"/>
          <w:sz w:val="22"/>
          <w:szCs w:val="22"/>
        </w:rPr>
      </w:pPr>
    </w:p>
    <w:p w14:paraId="25379510" w14:textId="45DE3008" w:rsidR="001C4C5A" w:rsidRPr="00EC79A5" w:rsidRDefault="0FD20B37" w:rsidP="0BC8996A">
      <w:pPr>
        <w:pStyle w:val="Ttulo3"/>
        <w:spacing w:before="300" w:after="200" w:line="276" w:lineRule="auto"/>
        <w:rPr>
          <w:rFonts w:ascii="Verdana" w:hAnsi="Verdana"/>
          <w:sz w:val="22"/>
          <w:szCs w:val="22"/>
        </w:rPr>
      </w:pPr>
      <w:bookmarkStart w:id="7" w:name="_Toc234609785"/>
      <w:bookmarkStart w:id="8" w:name="_Toc2070741006"/>
      <w:r w:rsidRPr="0BC8996A">
        <w:rPr>
          <w:rFonts w:ascii="Verdana" w:hAnsi="Verdana"/>
          <w:sz w:val="22"/>
          <w:szCs w:val="22"/>
        </w:rPr>
        <w:t>2.4 Declaración de confidencialidad y protección de datos</w:t>
      </w:r>
      <w:bookmarkEnd w:id="7"/>
      <w:bookmarkEnd w:id="8"/>
    </w:p>
    <w:p w14:paraId="605E56AF" w14:textId="49E7FB73" w:rsidR="001C4C5A" w:rsidRPr="00EC79A5" w:rsidRDefault="0FD20B37" w:rsidP="00EC79A5">
      <w:pPr>
        <w:spacing w:before="400" w:after="200" w:line="276" w:lineRule="auto"/>
        <w:jc w:val="both"/>
        <w:rPr>
          <w:rFonts w:ascii="Verdana" w:hAnsi="Verdana"/>
        </w:rPr>
      </w:pPr>
      <w:r w:rsidRPr="0BC8996A">
        <w:rPr>
          <w:rFonts w:ascii="Verdana" w:hAnsi="Verdana"/>
        </w:rPr>
        <w:t>El Centro no solicita confidencialidad y autoriza expresamente la publicación de este informe en el sitio web del Comité. Los testimonios citados provienen de la Jornada de Investigación y de las Mesas Participativas, y se presentan anonimizados salvo autorización expresa de l</w:t>
      </w:r>
      <w:r w:rsidR="4B17508D" w:rsidRPr="0BC8996A">
        <w:rPr>
          <w:rFonts w:ascii="Verdana" w:hAnsi="Verdana"/>
        </w:rPr>
        <w:t>os participantes</w:t>
      </w:r>
      <w:r w:rsidRPr="0BC8996A">
        <w:rPr>
          <w:rFonts w:ascii="Verdana" w:hAnsi="Verdana"/>
        </w:rPr>
        <w:t>, como Sergio Mejía Álvarez, persona con síndrome de Down y vocero oficial del proceso, en cumplimiento del estándar de protección de víctimas y testigos que exige el Comité.</w:t>
      </w:r>
    </w:p>
    <w:p w14:paraId="2F6AB2BB" w14:textId="27773019" w:rsidR="001C4C5A" w:rsidRPr="00EC79A5" w:rsidRDefault="001C4C5A" w:rsidP="0BC8996A">
      <w:pPr>
        <w:pStyle w:val="ChapterPlain"/>
        <w:shd w:val="clear" w:color="auto" w:fill="D9D9D9" w:themeFill="background2" w:themeFillShade="D9"/>
        <w:spacing w:before="400" w:after="200" w:line="276" w:lineRule="auto"/>
        <w:jc w:val="both"/>
        <w:rPr>
          <w:rFonts w:ascii="Verdana" w:hAnsi="Verdana"/>
          <w:sz w:val="22"/>
        </w:rPr>
      </w:pPr>
    </w:p>
    <w:p w14:paraId="6393A4C7" w14:textId="719ADD55" w:rsidR="001C4C5A" w:rsidRPr="00EC79A5" w:rsidRDefault="00000000" w:rsidP="0BC8996A">
      <w:pPr>
        <w:spacing w:before="400" w:after="200" w:line="276" w:lineRule="auto"/>
      </w:pPr>
      <w:r>
        <w:br w:type="page"/>
      </w:r>
    </w:p>
    <w:p w14:paraId="1E30698B" w14:textId="1BE59558" w:rsidR="001C4C5A" w:rsidRPr="00EC79A5" w:rsidRDefault="0FD20B37" w:rsidP="0BC8996A">
      <w:pPr>
        <w:pStyle w:val="ChapterPlain"/>
        <w:shd w:val="clear" w:color="auto" w:fill="D9D9D9" w:themeFill="background2" w:themeFillShade="D9"/>
        <w:spacing w:before="400" w:after="200" w:line="276" w:lineRule="auto"/>
        <w:jc w:val="both"/>
        <w:rPr>
          <w:rFonts w:ascii="Verdana" w:hAnsi="Verdana"/>
          <w:sz w:val="22"/>
        </w:rPr>
      </w:pPr>
      <w:r w:rsidRPr="0BC8996A">
        <w:rPr>
          <w:rFonts w:ascii="Verdana" w:hAnsi="Verdana"/>
          <w:sz w:val="22"/>
        </w:rPr>
        <w:lastRenderedPageBreak/>
        <w:t>3. Marco conceptual</w:t>
      </w:r>
    </w:p>
    <w:p w14:paraId="424DB789" w14:textId="5D198C82" w:rsidR="001C4C5A" w:rsidRPr="00EC79A5" w:rsidRDefault="0FD20B37" w:rsidP="00EC79A5">
      <w:pPr>
        <w:spacing w:after="200" w:line="276" w:lineRule="auto"/>
        <w:jc w:val="both"/>
        <w:rPr>
          <w:rFonts w:ascii="Verdana" w:hAnsi="Verdana"/>
        </w:rPr>
      </w:pPr>
      <w:r w:rsidRPr="0BC8996A">
        <w:rPr>
          <w:rFonts w:ascii="Verdana" w:hAnsi="Verdana"/>
        </w:rPr>
        <w:t xml:space="preserve">Este informe se elabora desde el modelo social y de derechos humanos de la discapacidad y desde los Estudios Críticos en Discapacidad: la discapacidad no es un atributo individual, sino el resultado de la interacción entre una condición corporal o cognitiva y un entorno que erige barreras (Naciones Unidas, 2006, preámbulo, inciso e). </w:t>
      </w:r>
      <w:r w:rsidR="2D2188C3" w:rsidRPr="0BC8996A">
        <w:rPr>
          <w:rFonts w:ascii="Verdana" w:hAnsi="Verdana"/>
        </w:rPr>
        <w:t>La condición de</w:t>
      </w:r>
      <w:r w:rsidRPr="0BC8996A">
        <w:rPr>
          <w:rFonts w:ascii="Verdana" w:hAnsi="Verdana"/>
        </w:rPr>
        <w:t xml:space="preserve"> síndrome de Down no constituye en sí mismo una limitación irreductible; son las barreras normativas, actitudinales, comunicacionales y de acceso a apoyos las que producen la situación de discapacidad y restringen el ejercicio de derechos.</w:t>
      </w:r>
    </w:p>
    <w:p w14:paraId="3A86EBE5" w14:textId="77777777" w:rsidR="001C4C5A" w:rsidRPr="00EC79A5" w:rsidRDefault="00000000" w:rsidP="00EC79A5">
      <w:pPr>
        <w:spacing w:after="200" w:line="276" w:lineRule="auto"/>
        <w:jc w:val="both"/>
        <w:rPr>
          <w:rFonts w:ascii="Verdana" w:hAnsi="Verdana"/>
        </w:rPr>
      </w:pPr>
      <w:r w:rsidRPr="00EC79A5">
        <w:rPr>
          <w:rFonts w:ascii="Verdana" w:hAnsi="Verdana"/>
        </w:rPr>
        <w:t>En consonancia con la Observación General N.º 7 (Comité CDPD, 2018), este informe se elaboró con la participación directa de personas con síndrome de Down en cada etapa —identificación de brechas, formulación de mensajes y definición de recomendaciones—, asumiendo el principio "nada sobre nosotros sin nosotros" como estándar metodológico verificable en la trazabilidad de las fuentes citadas.</w:t>
      </w:r>
    </w:p>
    <w:p w14:paraId="651483F6" w14:textId="3EBBD6BB" w:rsidR="001C4C5A" w:rsidRPr="00EC79A5" w:rsidRDefault="00000000" w:rsidP="00EC79A5">
      <w:pPr>
        <w:spacing w:after="200" w:line="276" w:lineRule="auto"/>
        <w:jc w:val="both"/>
        <w:rPr>
          <w:rFonts w:ascii="Verdana" w:hAnsi="Verdana"/>
        </w:rPr>
      </w:pPr>
      <w:r w:rsidRPr="00EC79A5">
        <w:rPr>
          <w:rFonts w:ascii="Verdana" w:hAnsi="Verdana"/>
        </w:rPr>
        <w:t xml:space="preserve">Adoptamos, además, un enfoque interseccional y de curso de vida: las barreras se agravan según género, edad, territorio y pertenencia a pueblos indígenas, y se encadenan a lo largo de la vida —diagnóstico tardío y atención temprana desigual en la infancia, tensión entre inclusión nominal y apoyos reales en la trayectoria educativa, capacidad jurídica y vida independiente mediadas por decisiones de terceros en la adultez, y un envejecimiento sin política pública diseñada—. </w:t>
      </w:r>
    </w:p>
    <w:p w14:paraId="5F17510D" w14:textId="77777777" w:rsidR="00AD514F" w:rsidRPr="00EC79A5" w:rsidRDefault="00000000" w:rsidP="00EC79A5">
      <w:pPr>
        <w:spacing w:line="276" w:lineRule="auto"/>
        <w:jc w:val="both"/>
        <w:rPr>
          <w:rFonts w:ascii="Verdana" w:hAnsi="Verdana"/>
        </w:rPr>
      </w:pPr>
      <w:r w:rsidRPr="00EC79A5">
        <w:rPr>
          <w:rFonts w:ascii="Verdana" w:hAnsi="Verdana"/>
        </w:rPr>
        <w:t>En salud y educación, el enfoque de curso de vida resulta especialmente pertinente: el momento y la calidad de las intervenciones tempranas condicionan la trayectoria completa, y las brechas de acceso se agravan según el territorio y el sistema de aseguramiento.</w:t>
      </w:r>
    </w:p>
    <w:p w14:paraId="55BE1257" w14:textId="4729A544" w:rsidR="00AD514F" w:rsidRPr="00EC79A5" w:rsidRDefault="00AD514F" w:rsidP="00EC79A5">
      <w:pPr>
        <w:spacing w:line="276" w:lineRule="auto"/>
        <w:jc w:val="both"/>
        <w:rPr>
          <w:rFonts w:ascii="Verdana" w:hAnsi="Verdana"/>
        </w:rPr>
      </w:pPr>
    </w:p>
    <w:p w14:paraId="7DCAA165" w14:textId="362A6874" w:rsidR="00EC79A5" w:rsidRDefault="00EC79A5" w:rsidP="0BC8996A">
      <w:pPr>
        <w:spacing w:line="276" w:lineRule="auto"/>
        <w:jc w:val="both"/>
        <w:rPr>
          <w:rFonts w:ascii="Verdana" w:hAnsi="Verdana"/>
        </w:rPr>
      </w:pPr>
    </w:p>
    <w:p w14:paraId="2785D967" w14:textId="6ADE6FDD" w:rsidR="00EC79A5" w:rsidRDefault="00EC79A5" w:rsidP="0BC8996A">
      <w:pPr>
        <w:spacing w:line="276" w:lineRule="auto"/>
        <w:jc w:val="both"/>
        <w:rPr>
          <w:rFonts w:ascii="Verdana" w:hAnsi="Verdana"/>
        </w:rPr>
      </w:pPr>
    </w:p>
    <w:p w14:paraId="04E014C8" w14:textId="212EDB69" w:rsidR="00EC79A5" w:rsidRDefault="00EC79A5" w:rsidP="0BC8996A">
      <w:pPr>
        <w:spacing w:line="276" w:lineRule="auto"/>
        <w:jc w:val="both"/>
        <w:rPr>
          <w:rFonts w:ascii="Verdana" w:hAnsi="Verdana"/>
        </w:rPr>
      </w:pPr>
    </w:p>
    <w:p w14:paraId="704187D3" w14:textId="63E36C95" w:rsidR="00EC79A5" w:rsidRDefault="00EC79A5" w:rsidP="0BC8996A">
      <w:pPr>
        <w:spacing w:line="276" w:lineRule="auto"/>
        <w:jc w:val="both"/>
        <w:rPr>
          <w:rFonts w:ascii="Verdana" w:hAnsi="Verdana"/>
        </w:rPr>
      </w:pPr>
    </w:p>
    <w:p w14:paraId="3B5ABC37" w14:textId="634FE7AF" w:rsidR="00EC79A5" w:rsidRDefault="00EC79A5" w:rsidP="0BC8996A">
      <w:pPr>
        <w:pStyle w:val="Ttulo1"/>
        <w:spacing w:line="276" w:lineRule="auto"/>
        <w:jc w:val="both"/>
        <w:rPr>
          <w:rFonts w:ascii="Verdana" w:hAnsi="Verdana"/>
          <w:sz w:val="22"/>
          <w:szCs w:val="22"/>
        </w:rPr>
      </w:pPr>
    </w:p>
    <w:p w14:paraId="732FF699" w14:textId="77DD8D13" w:rsidR="00EC79A5" w:rsidRDefault="00000000" w:rsidP="0BC8996A">
      <w:pPr>
        <w:spacing w:line="276" w:lineRule="auto"/>
      </w:pPr>
      <w:r>
        <w:br w:type="page"/>
      </w:r>
    </w:p>
    <w:p w14:paraId="2475D1BC" w14:textId="0016B80E" w:rsidR="00EC79A5" w:rsidRDefault="0FD20B37" w:rsidP="00EC79A5">
      <w:pPr>
        <w:pStyle w:val="Ttulo1"/>
        <w:spacing w:line="276" w:lineRule="auto"/>
        <w:jc w:val="both"/>
        <w:rPr>
          <w:rFonts w:ascii="Verdana" w:hAnsi="Verdana"/>
          <w:sz w:val="22"/>
          <w:szCs w:val="22"/>
        </w:rPr>
      </w:pPr>
      <w:bookmarkStart w:id="9" w:name="_Toc166837755"/>
      <w:bookmarkStart w:id="10" w:name="_Toc234609779"/>
      <w:r w:rsidRPr="0BC8996A">
        <w:rPr>
          <w:rFonts w:ascii="Verdana" w:hAnsi="Verdana"/>
          <w:sz w:val="22"/>
          <w:szCs w:val="22"/>
        </w:rPr>
        <w:lastRenderedPageBreak/>
        <w:t>SECCIÓN I.</w:t>
      </w:r>
      <w:bookmarkEnd w:id="9"/>
      <w:r w:rsidRPr="0BC8996A">
        <w:rPr>
          <w:rFonts w:ascii="Verdana" w:hAnsi="Verdana"/>
          <w:sz w:val="22"/>
          <w:szCs w:val="22"/>
        </w:rPr>
        <w:t xml:space="preserve"> </w:t>
      </w:r>
    </w:p>
    <w:p w14:paraId="77D272FC" w14:textId="7329C4F5" w:rsidR="001C4C5A" w:rsidRPr="00EC79A5" w:rsidRDefault="0FD20B37" w:rsidP="00EC79A5">
      <w:pPr>
        <w:pStyle w:val="Ttulo1"/>
        <w:spacing w:line="276" w:lineRule="auto"/>
        <w:jc w:val="both"/>
        <w:rPr>
          <w:rFonts w:ascii="Verdana" w:hAnsi="Verdana"/>
          <w:sz w:val="22"/>
          <w:szCs w:val="22"/>
        </w:rPr>
      </w:pPr>
      <w:bookmarkStart w:id="11" w:name="_Toc341486716"/>
      <w:r w:rsidRPr="0BC8996A">
        <w:rPr>
          <w:rFonts w:ascii="Verdana" w:hAnsi="Verdana"/>
          <w:sz w:val="22"/>
          <w:szCs w:val="22"/>
        </w:rPr>
        <w:t>CAPACIDAD JURÍDICA, ACCESO A LA JUSTICIA Y VIDA INDEPENDIENTE (TEMA 1)</w:t>
      </w:r>
      <w:bookmarkEnd w:id="10"/>
      <w:bookmarkEnd w:id="11"/>
    </w:p>
    <w:p w14:paraId="5F923684" w14:textId="77777777" w:rsidR="001C4C5A" w:rsidRPr="00EC79A5" w:rsidRDefault="0FD20B37" w:rsidP="0BC8996A">
      <w:pPr>
        <w:pStyle w:val="Ttulo2"/>
        <w:shd w:val="clear" w:color="auto" w:fill="D9D9D9" w:themeFill="background2" w:themeFillShade="D9"/>
        <w:spacing w:before="300" w:after="200" w:line="276" w:lineRule="auto"/>
        <w:jc w:val="both"/>
        <w:rPr>
          <w:rFonts w:ascii="Verdana" w:hAnsi="Verdana"/>
          <w:sz w:val="22"/>
          <w:szCs w:val="22"/>
        </w:rPr>
      </w:pPr>
      <w:bookmarkStart w:id="12" w:name="_Toc811043507"/>
      <w:r w:rsidRPr="0BC8996A">
        <w:rPr>
          <w:rFonts w:ascii="Verdana" w:hAnsi="Verdana"/>
          <w:sz w:val="22"/>
          <w:szCs w:val="22"/>
        </w:rPr>
        <w:t>1. Capacidad jurídica y transición a la vida adulta (Art. 12)</w:t>
      </w:r>
      <w:bookmarkEnd w:id="12"/>
    </w:p>
    <w:p w14:paraId="0742414B" w14:textId="77777777" w:rsidR="001C4C5A" w:rsidRPr="00EC79A5" w:rsidRDefault="0FD20B37" w:rsidP="0BC8996A">
      <w:pPr>
        <w:pStyle w:val="Ttulo3"/>
        <w:spacing w:before="300" w:after="200" w:line="276" w:lineRule="auto"/>
        <w:jc w:val="both"/>
        <w:rPr>
          <w:rFonts w:ascii="Verdana" w:hAnsi="Verdana"/>
          <w:sz w:val="22"/>
          <w:szCs w:val="22"/>
        </w:rPr>
      </w:pPr>
      <w:bookmarkStart w:id="13" w:name="_Toc2015215102"/>
      <w:r w:rsidRPr="0BC8996A">
        <w:rPr>
          <w:rFonts w:ascii="Verdana" w:hAnsi="Verdana"/>
          <w:sz w:val="22"/>
          <w:szCs w:val="22"/>
        </w:rPr>
        <w:t>1.1 Marco normativo</w:t>
      </w:r>
      <w:bookmarkEnd w:id="13"/>
    </w:p>
    <w:p w14:paraId="13CF9DD6" w14:textId="77777777" w:rsidR="001C4C5A" w:rsidRPr="00EC79A5" w:rsidRDefault="00000000" w:rsidP="00EC79A5">
      <w:pPr>
        <w:spacing w:after="200" w:line="276" w:lineRule="auto"/>
        <w:jc w:val="both"/>
        <w:rPr>
          <w:rFonts w:ascii="Verdana" w:hAnsi="Verdana"/>
        </w:rPr>
      </w:pPr>
      <w:r w:rsidRPr="00EC79A5">
        <w:rPr>
          <w:rFonts w:ascii="Verdana" w:hAnsi="Verdana"/>
        </w:rPr>
        <w:t>El artículo 12 reconoce el derecho al igual reconocimiento de la personalidad jurídica y obliga a los Estados a proporcionar apoyos para ejercer la capacidad jurídica, en reemplazo de los modelos de sustitución de la voluntad. En 2016, el Comité expresó preocupación por la vigencia del Código Civil de 1857, que establece la incapacidad legal de personas con discapacidad, y por la Ley N.º 18.600, que regula la interdicción con base en certificación psiquiátrica, y solicitó derogar toda disposición que limite la capacidad jurídica de personas adultas con discapacidad y adoptar un modelo de toma de decisiones con apoyo (Comité CDPD, 2016, párrs. 23-24). La Lista de Cuestiones de 2020 pidió información sobre avances en la derogación del régimen de interdicción (pregunta 9).</w:t>
      </w:r>
    </w:p>
    <w:p w14:paraId="1EE6C813" w14:textId="77777777" w:rsidR="001C4C5A" w:rsidRPr="00EC79A5" w:rsidRDefault="0FD20B37" w:rsidP="0BC8996A">
      <w:pPr>
        <w:pStyle w:val="Ttulo3"/>
        <w:spacing w:before="300" w:after="200" w:line="276" w:lineRule="auto"/>
        <w:jc w:val="both"/>
        <w:rPr>
          <w:rFonts w:ascii="Verdana" w:hAnsi="Verdana"/>
          <w:sz w:val="22"/>
          <w:szCs w:val="22"/>
        </w:rPr>
      </w:pPr>
      <w:bookmarkStart w:id="14" w:name="_Toc424968657"/>
      <w:r w:rsidRPr="0BC8996A">
        <w:rPr>
          <w:rFonts w:ascii="Verdana" w:hAnsi="Verdana"/>
          <w:sz w:val="22"/>
          <w:szCs w:val="22"/>
        </w:rPr>
        <w:t>1.2 Políticas públicas</w:t>
      </w:r>
      <w:bookmarkEnd w:id="14"/>
    </w:p>
    <w:p w14:paraId="169656A0" w14:textId="756F2DD2" w:rsidR="001C4C5A" w:rsidRPr="00EC79A5" w:rsidRDefault="0FD20B37" w:rsidP="00EC79A5">
      <w:pPr>
        <w:spacing w:before="300" w:after="200" w:line="276" w:lineRule="auto"/>
        <w:jc w:val="both"/>
        <w:rPr>
          <w:rFonts w:ascii="Verdana" w:hAnsi="Verdana"/>
        </w:rPr>
      </w:pPr>
      <w:r w:rsidRPr="0BC8996A">
        <w:rPr>
          <w:rFonts w:ascii="Verdana" w:hAnsi="Verdana"/>
        </w:rPr>
        <w:t>El Estado informa en 2022 la tramitación de proyectos de ley sobre capacidad jurídica, entre ellos el Boletín N.º 12.441-17, orientado a eliminar la discriminación contra personas con discapacidad intelectual</w:t>
      </w:r>
      <w:r w:rsidR="78AE6909" w:rsidRPr="0BC8996A">
        <w:rPr>
          <w:rFonts w:ascii="Verdana" w:hAnsi="Verdana"/>
        </w:rPr>
        <w:t xml:space="preserve"> </w:t>
      </w:r>
      <w:r w:rsidRPr="0BC8996A">
        <w:rPr>
          <w:rFonts w:ascii="Verdana" w:hAnsi="Verdana"/>
        </w:rPr>
        <w:t>y psicosocial, y el Boletín N.º 14.783-07 (enero de 2022), que modifica el Código Civil eliminando de la categoría de incapaces absolutos a las personas sordas que no pueden darse a entender claramente y establece un estatuto de facilitadores para la capacidad jurídica (Estado de Chile, 2022, párrs. 70-72). El proyecto avanza hacia el modelo de apoyos que exige la Convención, pero mantiene la interdicción y la categoría de "demencia", sin precisar si el estatuto incorporará a la discapacidad intelectual más allá de la sensorial. Su desarrollo se retoma en el capítulo 2.</w:t>
      </w:r>
    </w:p>
    <w:p w14:paraId="2085E3CF" w14:textId="77777777" w:rsidR="001C4C5A" w:rsidRPr="00EC79A5" w:rsidRDefault="0FD20B37" w:rsidP="0BC8996A">
      <w:pPr>
        <w:pStyle w:val="Ttulo3"/>
        <w:spacing w:before="300" w:after="200" w:line="276" w:lineRule="auto"/>
        <w:jc w:val="both"/>
        <w:rPr>
          <w:rFonts w:ascii="Verdana" w:hAnsi="Verdana"/>
          <w:sz w:val="22"/>
          <w:szCs w:val="22"/>
        </w:rPr>
      </w:pPr>
      <w:bookmarkStart w:id="15" w:name="_Toc1774599249"/>
      <w:r w:rsidRPr="0BC8996A">
        <w:rPr>
          <w:rFonts w:ascii="Verdana" w:hAnsi="Verdana"/>
          <w:sz w:val="22"/>
          <w:szCs w:val="22"/>
        </w:rPr>
        <w:t>1.3 Implementación práctica</w:t>
      </w:r>
      <w:bookmarkEnd w:id="15"/>
    </w:p>
    <w:p w14:paraId="3B363629" w14:textId="7EAA5E0B" w:rsidR="001C4C5A" w:rsidRPr="00EC79A5" w:rsidRDefault="0FD20B37" w:rsidP="0BC8996A">
      <w:pPr>
        <w:spacing w:after="200" w:line="276" w:lineRule="auto"/>
        <w:jc w:val="both"/>
        <w:rPr>
          <w:rFonts w:ascii="Verdana" w:hAnsi="Verdana"/>
        </w:rPr>
      </w:pPr>
      <w:r w:rsidRPr="0BC8996A">
        <w:rPr>
          <w:rFonts w:ascii="Verdana" w:hAnsi="Verdana"/>
        </w:rPr>
        <w:t>Más allá del debate legislativo, la evidencia del Centro documenta que la sustitución de la voluntad de personas adultas con síndrome de Down sigue operando en la práctica judicial: en el plenario colectivo de la Jornada de Investigación 2026 se expuso el caso de una persona a quien, al cumplir 19 años, un tribunal obligó a mantener visitas con uno de sus progenitores, evidencia</w:t>
      </w:r>
      <w:r w:rsidR="576BF398" w:rsidRPr="0BC8996A">
        <w:rPr>
          <w:rFonts w:ascii="Verdana" w:hAnsi="Verdana"/>
        </w:rPr>
        <w:t>ndo</w:t>
      </w:r>
      <w:r w:rsidRPr="0BC8996A">
        <w:rPr>
          <w:rFonts w:ascii="Verdana" w:hAnsi="Verdana"/>
        </w:rPr>
        <w:t xml:space="preserve"> que la capacidad jurídica de las personas adultas con discapacidad intelectual sigue sujeta a decisiones de terceros.</w:t>
      </w:r>
      <w:r w:rsidR="5F9B37BD" w:rsidRPr="0BC8996A">
        <w:rPr>
          <w:rFonts w:ascii="Verdana" w:hAnsi="Verdana"/>
        </w:rPr>
        <w:t xml:space="preserve"> </w:t>
      </w:r>
      <w:r w:rsidRPr="0BC8996A">
        <w:rPr>
          <w:rFonts w:ascii="Verdana" w:hAnsi="Verdana"/>
        </w:rPr>
        <w:t>La misma Jornada identificó que "la interdicción sigue siendo una barrera para la autonomía y autodeterminación de las personas con discapacidad" (C</w:t>
      </w:r>
      <w:r w:rsidR="681145BB" w:rsidRPr="0BC8996A">
        <w:rPr>
          <w:rFonts w:ascii="Verdana" w:hAnsi="Verdana"/>
        </w:rPr>
        <w:t>UCSD</w:t>
      </w:r>
      <w:r w:rsidRPr="0BC8996A">
        <w:rPr>
          <w:rFonts w:ascii="Verdana" w:hAnsi="Verdana"/>
        </w:rPr>
        <w:t>, Jornada de Investigación 2026).</w:t>
      </w:r>
    </w:p>
    <w:p w14:paraId="29C89086" w14:textId="77777777" w:rsidR="001C4C5A" w:rsidRPr="00EC79A5" w:rsidRDefault="0FD20B37" w:rsidP="0BC8996A">
      <w:pPr>
        <w:pStyle w:val="Ttulo3"/>
        <w:spacing w:before="300" w:after="200" w:line="276" w:lineRule="auto"/>
        <w:jc w:val="both"/>
        <w:rPr>
          <w:rFonts w:ascii="Verdana" w:hAnsi="Verdana"/>
          <w:sz w:val="22"/>
          <w:szCs w:val="22"/>
        </w:rPr>
      </w:pPr>
      <w:bookmarkStart w:id="16" w:name="_Toc910681916"/>
      <w:r w:rsidRPr="0BC8996A">
        <w:rPr>
          <w:rFonts w:ascii="Verdana" w:hAnsi="Verdana"/>
          <w:sz w:val="22"/>
          <w:szCs w:val="22"/>
        </w:rPr>
        <w:lastRenderedPageBreak/>
        <w:t>1.4 Evidencia</w:t>
      </w:r>
      <w:bookmarkEnd w:id="16"/>
    </w:p>
    <w:p w14:paraId="0E5D1F0D" w14:textId="4284A36E" w:rsidR="001C4C5A" w:rsidRPr="00EC79A5" w:rsidRDefault="0FD20B37" w:rsidP="00EC79A5">
      <w:pPr>
        <w:spacing w:before="300" w:after="200" w:line="276" w:lineRule="auto"/>
        <w:jc w:val="both"/>
        <w:rPr>
          <w:rFonts w:ascii="Verdana" w:hAnsi="Verdana"/>
          <w:color w:val="FF0000"/>
        </w:rPr>
      </w:pPr>
      <w:r w:rsidRPr="0BC8996A">
        <w:rPr>
          <w:rFonts w:ascii="Verdana" w:hAnsi="Verdana"/>
        </w:rPr>
        <w:t xml:space="preserve">La evidencia </w:t>
      </w:r>
      <w:r w:rsidR="24F0FACD" w:rsidRPr="0BC8996A">
        <w:rPr>
          <w:rFonts w:ascii="Verdana" w:hAnsi="Verdana"/>
        </w:rPr>
        <w:t>aquí expuesta e</w:t>
      </w:r>
      <w:r w:rsidRPr="0BC8996A">
        <w:rPr>
          <w:rFonts w:ascii="Verdana" w:hAnsi="Verdana"/>
        </w:rPr>
        <w:t xml:space="preserve">s cualitativa (plenario colectivo y testimonios de la Jornada de Investigación y las Mesas Participativas); no existe un registro estatal que </w:t>
      </w:r>
      <w:r w:rsidR="223A4480" w:rsidRPr="0BC8996A">
        <w:rPr>
          <w:rFonts w:ascii="Verdana" w:hAnsi="Verdana"/>
        </w:rPr>
        <w:t>report</w:t>
      </w:r>
      <w:r w:rsidRPr="0BC8996A">
        <w:rPr>
          <w:rFonts w:ascii="Verdana" w:hAnsi="Verdana"/>
        </w:rPr>
        <w:t>e cuántas personas con síndrome de Down están bajo interdicción o curatela en Chile, ausencia que es en sí misma una manifestación de la invisibilidad estadística d</w:t>
      </w:r>
      <w:r w:rsidR="015F79DA" w:rsidRPr="0BC8996A">
        <w:rPr>
          <w:rFonts w:ascii="Verdana" w:hAnsi="Verdana"/>
        </w:rPr>
        <w:t>etallada</w:t>
      </w:r>
      <w:r w:rsidRPr="0BC8996A">
        <w:rPr>
          <w:rFonts w:ascii="Verdana" w:hAnsi="Verdana"/>
        </w:rPr>
        <w:t xml:space="preserve"> en el capítulo </w:t>
      </w:r>
      <w:r w:rsidR="43480130" w:rsidRPr="0BC8996A">
        <w:rPr>
          <w:rFonts w:ascii="Verdana" w:hAnsi="Verdana"/>
        </w:rPr>
        <w:t>6</w:t>
      </w:r>
      <w:r w:rsidRPr="0BC8996A">
        <w:rPr>
          <w:rFonts w:ascii="Verdana" w:hAnsi="Verdana"/>
        </w:rPr>
        <w:t xml:space="preserve">. El trabajo permanente del Centro registra además una asociación negativa que hacen las familias entre </w:t>
      </w:r>
      <w:r w:rsidR="22206CD1" w:rsidRPr="0BC8996A">
        <w:rPr>
          <w:rFonts w:ascii="Verdana" w:hAnsi="Verdana"/>
        </w:rPr>
        <w:t>el registro nacional de discapacidad y la obtención de la</w:t>
      </w:r>
      <w:r w:rsidRPr="0BC8996A">
        <w:rPr>
          <w:rFonts w:ascii="Verdana" w:hAnsi="Verdana"/>
        </w:rPr>
        <w:t xml:space="preserve"> credencial de discapacidad y la interdicción, malentendida como causalidad directa</w:t>
      </w:r>
      <w:r w:rsidR="165177CF" w:rsidRPr="0BC8996A">
        <w:rPr>
          <w:rFonts w:ascii="Verdana" w:hAnsi="Verdana"/>
        </w:rPr>
        <w:t xml:space="preserve"> por la celeridad </w:t>
      </w:r>
      <w:r w:rsidR="451328F2" w:rsidRPr="0BC8996A">
        <w:rPr>
          <w:rFonts w:ascii="Verdana" w:hAnsi="Verdana"/>
        </w:rPr>
        <w:t xml:space="preserve">jurídica </w:t>
      </w:r>
      <w:r w:rsidR="165177CF" w:rsidRPr="0BC8996A">
        <w:rPr>
          <w:rFonts w:ascii="Verdana" w:hAnsi="Verdana"/>
        </w:rPr>
        <w:t>(“</w:t>
      </w:r>
      <w:r w:rsidR="165177CF" w:rsidRPr="0BC8996A">
        <w:rPr>
          <w:rFonts w:ascii="Verdana" w:hAnsi="Verdana"/>
          <w:i/>
          <w:iCs/>
        </w:rPr>
        <w:t xml:space="preserve">fast </w:t>
      </w:r>
      <w:r w:rsidR="3AF6BB32" w:rsidRPr="0BC8996A">
        <w:rPr>
          <w:rFonts w:ascii="Verdana" w:hAnsi="Verdana"/>
          <w:i/>
          <w:iCs/>
        </w:rPr>
        <w:t>track</w:t>
      </w:r>
      <w:r w:rsidR="3AF6BB32" w:rsidRPr="0BC8996A">
        <w:rPr>
          <w:rFonts w:ascii="Verdana" w:hAnsi="Verdana"/>
        </w:rPr>
        <w:t xml:space="preserve">”) </w:t>
      </w:r>
      <w:r w:rsidR="165177CF" w:rsidRPr="0BC8996A">
        <w:rPr>
          <w:rFonts w:ascii="Verdana" w:hAnsi="Verdana"/>
        </w:rPr>
        <w:t xml:space="preserve">que entrega </w:t>
      </w:r>
      <w:r w:rsidR="61AC794F" w:rsidRPr="0BC8996A">
        <w:rPr>
          <w:rFonts w:ascii="Verdana" w:hAnsi="Verdana"/>
        </w:rPr>
        <w:t>esta</w:t>
      </w:r>
      <w:r w:rsidR="165177CF" w:rsidRPr="0BC8996A">
        <w:rPr>
          <w:rFonts w:ascii="Verdana" w:hAnsi="Verdana"/>
        </w:rPr>
        <w:t>r</w:t>
      </w:r>
      <w:r w:rsidR="61AC794F" w:rsidRPr="0BC8996A">
        <w:rPr>
          <w:rFonts w:ascii="Verdana" w:hAnsi="Verdana"/>
        </w:rPr>
        <w:t xml:space="preserve"> en</w:t>
      </w:r>
      <w:r w:rsidR="165177CF" w:rsidRPr="0BC8996A">
        <w:rPr>
          <w:rFonts w:ascii="Verdana" w:hAnsi="Verdana"/>
        </w:rPr>
        <w:t xml:space="preserve"> el registro de discapacidad al momento de la solicitud de interdicción</w:t>
      </w:r>
      <w:r w:rsidRPr="0BC8996A">
        <w:rPr>
          <w:rFonts w:ascii="Verdana" w:hAnsi="Verdana"/>
        </w:rPr>
        <w:t xml:space="preserve">, </w:t>
      </w:r>
      <w:r w:rsidR="7B7E085A" w:rsidRPr="0BC8996A">
        <w:rPr>
          <w:rFonts w:ascii="Verdana" w:hAnsi="Verdana"/>
        </w:rPr>
        <w:t xml:space="preserve">y </w:t>
      </w:r>
      <w:r w:rsidRPr="0BC8996A">
        <w:rPr>
          <w:rFonts w:ascii="Verdana" w:hAnsi="Verdana"/>
        </w:rPr>
        <w:t xml:space="preserve">que </w:t>
      </w:r>
      <w:r w:rsidR="5581DCA2" w:rsidRPr="0BC8996A">
        <w:rPr>
          <w:rFonts w:ascii="Verdana" w:hAnsi="Verdana"/>
        </w:rPr>
        <w:t xml:space="preserve">genera desconfianza a las familias respecto del futuro de sus hijos al momento en que ellas no estén y </w:t>
      </w:r>
      <w:r w:rsidRPr="0BC8996A">
        <w:rPr>
          <w:rFonts w:ascii="Verdana" w:hAnsi="Verdana"/>
        </w:rPr>
        <w:t>las aleja del registro nacional de discapacidad y sus beneficios.</w:t>
      </w:r>
    </w:p>
    <w:p w14:paraId="257CFC4F" w14:textId="0580EB0B" w:rsidR="001C4C5A" w:rsidRPr="00EC79A5" w:rsidRDefault="0FD20B37" w:rsidP="0BC8996A">
      <w:pPr>
        <w:spacing w:before="300" w:after="200" w:line="276" w:lineRule="auto"/>
        <w:jc w:val="both"/>
        <w:rPr>
          <w:rFonts w:ascii="Verdana" w:hAnsi="Verdana"/>
          <w:b/>
          <w:bCs/>
        </w:rPr>
      </w:pPr>
      <w:r w:rsidRPr="0BC8996A">
        <w:rPr>
          <w:rFonts w:ascii="Verdana" w:hAnsi="Verdana"/>
          <w:b/>
          <w:bCs/>
        </w:rPr>
        <w:t xml:space="preserve">Punto crítico para esta etapa de supervisión: </w:t>
      </w:r>
      <w:r w:rsidRPr="0BC8996A">
        <w:rPr>
          <w:rFonts w:ascii="Verdana" w:hAnsi="Verdana"/>
        </w:rPr>
        <w:t xml:space="preserve">la Ley N.º 18.600 regula la interdicción sobre la base de un certificado psiquiátrico de "discapacidad mental", categoría bajo la cual se declara interdicta a la inmensa mayoría de personas adultas con discapacidad intelectual. Casos como el de una persona adulta obligada judicialmente a un régimen de visitas fijado como si fuera menor de edad ilustran la infantilización jurídica que este informe denuncia. </w:t>
      </w:r>
      <w:r w:rsidR="144CB7FB" w:rsidRPr="0BC8996A">
        <w:rPr>
          <w:rFonts w:ascii="Verdana" w:hAnsi="Verdana"/>
        </w:rPr>
        <w:t>S</w:t>
      </w:r>
      <w:r w:rsidR="144CB7FB" w:rsidRPr="0BC8996A">
        <w:rPr>
          <w:rFonts w:ascii="Verdana" w:eastAsia="Verdana" w:hAnsi="Verdana" w:cs="Verdana"/>
        </w:rPr>
        <w:t xml:space="preserve">ugerimos al Comité </w:t>
      </w:r>
      <w:r w:rsidRPr="0BC8996A">
        <w:rPr>
          <w:rFonts w:ascii="Verdana" w:hAnsi="Verdana"/>
        </w:rPr>
        <w:t xml:space="preserve">preguntar a Chile qué salvaguardias existen, más allá del proyecto de ley en tramitación, para que los tribunales dejen de sustituir esa voluntad mientras la reforma no </w:t>
      </w:r>
      <w:r w:rsidR="77860415" w:rsidRPr="0BC8996A">
        <w:rPr>
          <w:rFonts w:ascii="Verdana" w:hAnsi="Verdana"/>
        </w:rPr>
        <w:t>entra en vigor</w:t>
      </w:r>
      <w:r w:rsidRPr="0BC8996A">
        <w:rPr>
          <w:rFonts w:ascii="Verdana" w:hAnsi="Verdana"/>
        </w:rPr>
        <w:t>.</w:t>
      </w:r>
      <w:r w:rsidR="687B8367" w:rsidRPr="0BC8996A">
        <w:rPr>
          <w:rFonts w:ascii="Verdana" w:hAnsi="Verdana"/>
        </w:rPr>
        <w:t xml:space="preserve"> Adicionalmente, se hace evidente la permanencia de lenguaje discordante en la legislación usando términos como “dementes”, “discapacidad mental”, sin armonización ni </w:t>
      </w:r>
      <w:r w:rsidR="5AF22E98" w:rsidRPr="0BC8996A">
        <w:rPr>
          <w:rFonts w:ascii="Verdana" w:hAnsi="Verdana"/>
        </w:rPr>
        <w:t>actualización</w:t>
      </w:r>
      <w:r w:rsidR="687B8367" w:rsidRPr="0BC8996A">
        <w:rPr>
          <w:rFonts w:ascii="Verdana" w:hAnsi="Verdana"/>
        </w:rPr>
        <w:t xml:space="preserve"> de términos respetuosos</w:t>
      </w:r>
      <w:r w:rsidR="02530600" w:rsidRPr="0BC8996A">
        <w:rPr>
          <w:rFonts w:ascii="Verdana" w:hAnsi="Verdana"/>
        </w:rPr>
        <w:t xml:space="preserve"> en relación con las personas con discapacidad intelectual.</w:t>
      </w:r>
    </w:p>
    <w:p w14:paraId="46E81A39" w14:textId="77777777" w:rsidR="001C4C5A" w:rsidRPr="00EC79A5" w:rsidRDefault="0FD20B37" w:rsidP="0BC8996A">
      <w:pPr>
        <w:pStyle w:val="Ttulo3"/>
        <w:spacing w:before="300" w:after="200" w:line="276" w:lineRule="auto"/>
        <w:jc w:val="both"/>
        <w:rPr>
          <w:rFonts w:ascii="Verdana" w:hAnsi="Verdana"/>
          <w:sz w:val="22"/>
          <w:szCs w:val="22"/>
        </w:rPr>
      </w:pPr>
      <w:bookmarkStart w:id="17" w:name="_Toc562550560"/>
      <w:r w:rsidRPr="0BC8996A">
        <w:rPr>
          <w:rFonts w:ascii="Verdana" w:hAnsi="Verdana"/>
          <w:sz w:val="22"/>
          <w:szCs w:val="22"/>
        </w:rPr>
        <w:t>1.5 Recomendaciones</w:t>
      </w:r>
      <w:bookmarkEnd w:id="17"/>
    </w:p>
    <w:p w14:paraId="09DA854E" w14:textId="06965CF2" w:rsidR="001C4C5A" w:rsidRPr="00EC79A5" w:rsidRDefault="0A841499" w:rsidP="0BC8996A">
      <w:pPr>
        <w:spacing w:before="300" w:after="200" w:line="276" w:lineRule="auto"/>
        <w:jc w:val="both"/>
        <w:rPr>
          <w:rFonts w:ascii="Verdana" w:hAnsi="Verdana"/>
        </w:rPr>
      </w:pPr>
      <w:r w:rsidRPr="0BC8996A">
        <w:rPr>
          <w:rFonts w:ascii="Verdana" w:hAnsi="Verdana"/>
        </w:rPr>
        <w:t>S</w:t>
      </w:r>
      <w:r w:rsidRPr="0BC8996A">
        <w:rPr>
          <w:rFonts w:ascii="Verdana" w:eastAsia="Verdana" w:hAnsi="Verdana" w:cs="Verdana"/>
        </w:rPr>
        <w:t>ugerimos al Comité</w:t>
      </w:r>
      <w:r w:rsidR="0FD20B37" w:rsidRPr="0BC8996A">
        <w:rPr>
          <w:rFonts w:ascii="Verdana" w:hAnsi="Verdana"/>
        </w:rPr>
        <w:t xml:space="preserve"> instar al Estado de Chile a: (a) aprobar</w:t>
      </w:r>
      <w:r w:rsidR="108AE92E" w:rsidRPr="0BC8996A">
        <w:rPr>
          <w:rFonts w:ascii="Verdana" w:hAnsi="Verdana"/>
        </w:rPr>
        <w:t xml:space="preserve"> </w:t>
      </w:r>
      <w:r w:rsidR="0FD20B37" w:rsidRPr="0BC8996A">
        <w:rPr>
          <w:rFonts w:ascii="Verdana" w:hAnsi="Verdana"/>
        </w:rPr>
        <w:t>la reforma al Código Civil del Boletín N.º 14.783-07, asegurando que el modelo de apoyos incorpore explícitamente a la discapacidad intelectual; (b) revisar prioritariamente los criterios judiciales que permiten sustituir la voluntad de personas adultas con discapacidad intelectual en materias de familia; (c) reportar, en el próximo informe periódico, el número de personas bajo interdicción o curatela, desagregado por diagnóstico</w:t>
      </w:r>
      <w:r w:rsidR="1F89FA61" w:rsidRPr="0BC8996A">
        <w:rPr>
          <w:rFonts w:ascii="Verdana" w:hAnsi="Verdana"/>
        </w:rPr>
        <w:t>, y (d) armonizar la legislación utilizando terminología respetuosa y actual respecto a personas con discapacidad intelectual</w:t>
      </w:r>
      <w:r w:rsidR="0FD20B37" w:rsidRPr="0BC8996A">
        <w:rPr>
          <w:rFonts w:ascii="Verdana" w:hAnsi="Verdana"/>
        </w:rPr>
        <w:t>.</w:t>
      </w:r>
    </w:p>
    <w:p w14:paraId="7581C2AB" w14:textId="225D5396" w:rsidR="001C4C5A" w:rsidRPr="00EC79A5" w:rsidRDefault="00000000" w:rsidP="0BC8996A">
      <w:pPr>
        <w:spacing w:before="300" w:after="200" w:line="276" w:lineRule="auto"/>
      </w:pPr>
      <w:r>
        <w:br w:type="page"/>
      </w:r>
    </w:p>
    <w:p w14:paraId="1F38BD6E" w14:textId="314BB65D" w:rsidR="001C4C5A" w:rsidRPr="00EC79A5" w:rsidRDefault="0FD20B37" w:rsidP="0BC8996A">
      <w:pPr>
        <w:pStyle w:val="Ttulo2"/>
        <w:shd w:val="clear" w:color="auto" w:fill="D9D9D9" w:themeFill="background2" w:themeFillShade="D9"/>
        <w:spacing w:before="300" w:after="200" w:line="276" w:lineRule="auto"/>
        <w:jc w:val="both"/>
        <w:rPr>
          <w:rFonts w:ascii="Verdana" w:hAnsi="Verdana"/>
          <w:sz w:val="22"/>
          <w:szCs w:val="22"/>
        </w:rPr>
      </w:pPr>
      <w:bookmarkStart w:id="18" w:name="_Toc933196449"/>
      <w:r w:rsidRPr="0BC8996A">
        <w:rPr>
          <w:rFonts w:ascii="Verdana" w:hAnsi="Verdana"/>
          <w:sz w:val="22"/>
          <w:szCs w:val="22"/>
        </w:rPr>
        <w:lastRenderedPageBreak/>
        <w:t>2. Acceso a la justicia (Art. 13)</w:t>
      </w:r>
      <w:bookmarkEnd w:id="18"/>
    </w:p>
    <w:p w14:paraId="5EC7F25C" w14:textId="77777777" w:rsidR="001C4C5A" w:rsidRPr="00EC79A5" w:rsidRDefault="0FD20B37" w:rsidP="0BC8996A">
      <w:pPr>
        <w:pStyle w:val="Ttulo3"/>
        <w:spacing w:before="300" w:after="200" w:line="276" w:lineRule="auto"/>
        <w:jc w:val="both"/>
        <w:rPr>
          <w:rFonts w:ascii="Verdana" w:hAnsi="Verdana"/>
          <w:sz w:val="22"/>
          <w:szCs w:val="22"/>
        </w:rPr>
      </w:pPr>
      <w:bookmarkStart w:id="19" w:name="_Toc914421959"/>
      <w:r w:rsidRPr="0BC8996A">
        <w:rPr>
          <w:rFonts w:ascii="Verdana" w:hAnsi="Verdana"/>
          <w:sz w:val="22"/>
          <w:szCs w:val="22"/>
        </w:rPr>
        <w:t>2.1 Marco normativo</w:t>
      </w:r>
      <w:bookmarkEnd w:id="19"/>
    </w:p>
    <w:p w14:paraId="02434AFC" w14:textId="11D72097" w:rsidR="001C4C5A" w:rsidRPr="00EC79A5" w:rsidRDefault="00000000" w:rsidP="00EC79A5">
      <w:pPr>
        <w:spacing w:after="200" w:line="276" w:lineRule="auto"/>
        <w:jc w:val="both"/>
        <w:rPr>
          <w:rFonts w:ascii="Verdana" w:hAnsi="Verdana"/>
        </w:rPr>
      </w:pPr>
      <w:r w:rsidRPr="00EC79A5">
        <w:rPr>
          <w:rFonts w:ascii="Verdana" w:hAnsi="Verdana"/>
        </w:rPr>
        <w:t>El artículo 13 obliga a asegurar el acceso efectivo a la justicia en igualdad de condiciones, incluso mediante ajustes de procedimiento adecuados a la edad. En 2016, el Comité expresó preocupación porque Chile no había implementado ajustes efectivos y porque las personas interdictas o institucionalizadas enfrentan barreras normativas en procesos judiciales (párr. 27), recomendando eliminar toda restricción a la capacidad de actuar en cualquier proceso y proporcionar ajustes razonables, incluida asistencia personal o intermediaria (párr. 28).</w:t>
      </w:r>
    </w:p>
    <w:p w14:paraId="6AA05BF1" w14:textId="77777777" w:rsidR="001C4C5A" w:rsidRPr="00EC79A5" w:rsidRDefault="0FD20B37" w:rsidP="0BC8996A">
      <w:pPr>
        <w:pStyle w:val="Ttulo3"/>
        <w:spacing w:before="300" w:after="200" w:line="276" w:lineRule="auto"/>
        <w:jc w:val="both"/>
        <w:rPr>
          <w:rFonts w:ascii="Verdana" w:hAnsi="Verdana"/>
          <w:sz w:val="22"/>
          <w:szCs w:val="22"/>
        </w:rPr>
      </w:pPr>
      <w:bookmarkStart w:id="20" w:name="_Toc196371820"/>
      <w:r w:rsidRPr="0BC8996A">
        <w:rPr>
          <w:rFonts w:ascii="Verdana" w:hAnsi="Verdana"/>
          <w:sz w:val="22"/>
          <w:szCs w:val="22"/>
        </w:rPr>
        <w:t>2.2 Políticas públicas</w:t>
      </w:r>
      <w:bookmarkEnd w:id="20"/>
    </w:p>
    <w:p w14:paraId="24F427D0" w14:textId="708C1E34"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Boletín N.º 14.783-07 (enero de 2022) establece un estatuto de facilitadores, concebido como el principal ajuste de procedimiento en discusión legislativa (Estado de Chile, 2022, párrs. 70-72). El informe estatal no precisa si contemplará formación específica en discapacidad </w:t>
      </w:r>
      <w:r w:rsidR="4757A9C1" w:rsidRPr="0BC8996A">
        <w:rPr>
          <w:rFonts w:ascii="Verdana" w:hAnsi="Verdana"/>
        </w:rPr>
        <w:t>intelectual</w:t>
      </w:r>
      <w:r w:rsidRPr="0BC8996A">
        <w:rPr>
          <w:rFonts w:ascii="Verdana" w:hAnsi="Verdana"/>
        </w:rPr>
        <w:t xml:space="preserve"> o se orientará prioritariamente a la sensorial, ámbito donde concentra la mayoría de los avances reportados (intérpretes en lengua de señas, sistemas inclusivos de atención judicial; párrs. 75-87).</w:t>
      </w:r>
    </w:p>
    <w:p w14:paraId="45A81953" w14:textId="77777777" w:rsidR="001C4C5A" w:rsidRPr="00EC79A5" w:rsidRDefault="0FD20B37" w:rsidP="0BC8996A">
      <w:pPr>
        <w:pStyle w:val="Ttulo3"/>
        <w:spacing w:before="300" w:after="200" w:line="276" w:lineRule="auto"/>
        <w:jc w:val="both"/>
        <w:rPr>
          <w:rFonts w:ascii="Verdana" w:hAnsi="Verdana"/>
          <w:sz w:val="22"/>
          <w:szCs w:val="22"/>
        </w:rPr>
      </w:pPr>
      <w:bookmarkStart w:id="21" w:name="_Toc953875358"/>
      <w:r w:rsidRPr="0BC8996A">
        <w:rPr>
          <w:rFonts w:ascii="Verdana" w:hAnsi="Verdana"/>
          <w:sz w:val="22"/>
          <w:szCs w:val="22"/>
        </w:rPr>
        <w:t>2.3 Implementación práctica</w:t>
      </w:r>
      <w:bookmarkEnd w:id="21"/>
    </w:p>
    <w:p w14:paraId="1CCCF197" w14:textId="3B3CE3D9" w:rsidR="0FD20B37" w:rsidRDefault="0FD20B37" w:rsidP="0BC8996A">
      <w:pPr>
        <w:spacing w:after="200" w:line="276" w:lineRule="auto"/>
        <w:jc w:val="both"/>
      </w:pPr>
      <w:r w:rsidRPr="0BC8996A">
        <w:rPr>
          <w:rFonts w:ascii="Verdana" w:hAnsi="Verdana"/>
        </w:rPr>
        <w:t>La Jornada de Investigación 2026 documentó la ausencia de mecanismos efectivos de apoyo: "no hay facilitadores o mediadores que acompañen a las personas con síndrome de Down en procesos legales". Es la contracara procesal de lo documentado en el capítulo 1: un sistema que sigue tratando a las personas con discapacidad intelectual como objeto, y no sujeto, de los procesos que las afectan.</w:t>
      </w:r>
      <w:r w:rsidR="3C6362B4" w:rsidRPr="0BC8996A">
        <w:rPr>
          <w:rFonts w:ascii="Verdana" w:hAnsi="Verdana"/>
        </w:rPr>
        <w:t xml:space="preserve"> Adicional a ello, en el contexto de ausencia de facilitadores o mediadores </w:t>
      </w:r>
      <w:r w:rsidR="0240E72B" w:rsidRPr="0BC8996A">
        <w:rPr>
          <w:rFonts w:ascii="Verdana" w:hAnsi="Verdana"/>
        </w:rPr>
        <w:t xml:space="preserve">capacitados en estrategias de accesibilidad cognitiva, </w:t>
      </w:r>
      <w:r w:rsidR="62B8AA58" w:rsidRPr="0BC8996A">
        <w:rPr>
          <w:rFonts w:ascii="Verdana" w:hAnsi="Verdana"/>
        </w:rPr>
        <w:t xml:space="preserve">la inequidad </w:t>
      </w:r>
      <w:r w:rsidR="72C85751" w:rsidRPr="0BC8996A">
        <w:rPr>
          <w:rFonts w:ascii="Verdana" w:hAnsi="Verdana"/>
        </w:rPr>
        <w:t xml:space="preserve">en </w:t>
      </w:r>
      <w:r w:rsidR="0240E72B" w:rsidRPr="0BC8996A">
        <w:rPr>
          <w:rFonts w:ascii="Verdana" w:hAnsi="Verdana"/>
        </w:rPr>
        <w:t xml:space="preserve">el acceso a la justicia </w:t>
      </w:r>
      <w:r w:rsidR="049662E7" w:rsidRPr="0BC8996A">
        <w:rPr>
          <w:rFonts w:ascii="Verdana" w:hAnsi="Verdana"/>
        </w:rPr>
        <w:t xml:space="preserve">por parte </w:t>
      </w:r>
      <w:r w:rsidR="5B0D9B6F" w:rsidRPr="0BC8996A">
        <w:rPr>
          <w:rFonts w:ascii="Verdana" w:hAnsi="Verdana"/>
        </w:rPr>
        <w:t xml:space="preserve">de las personas con síndrome de </w:t>
      </w:r>
      <w:r w:rsidR="693599D2" w:rsidRPr="0BC8996A">
        <w:rPr>
          <w:rFonts w:ascii="Verdana" w:hAnsi="Verdana"/>
        </w:rPr>
        <w:t>Down</w:t>
      </w:r>
      <w:r w:rsidR="5B0D9B6F" w:rsidRPr="0BC8996A">
        <w:rPr>
          <w:rFonts w:ascii="Verdana" w:hAnsi="Verdana"/>
        </w:rPr>
        <w:t xml:space="preserve"> </w:t>
      </w:r>
      <w:r w:rsidR="4E023ED5" w:rsidRPr="0BC8996A">
        <w:rPr>
          <w:rFonts w:ascii="Verdana" w:hAnsi="Verdana"/>
        </w:rPr>
        <w:t xml:space="preserve">sea </w:t>
      </w:r>
      <w:r w:rsidR="27D448F9" w:rsidRPr="0BC8996A">
        <w:rPr>
          <w:rFonts w:ascii="Verdana" w:hAnsi="Verdana"/>
        </w:rPr>
        <w:t xml:space="preserve">una brecha evidente no solo en comparación con personas sin discapacidad, sino que también </w:t>
      </w:r>
      <w:r w:rsidR="09D11CE6" w:rsidRPr="0BC8996A">
        <w:rPr>
          <w:rFonts w:ascii="Verdana" w:hAnsi="Verdana"/>
        </w:rPr>
        <w:t>en relación con</w:t>
      </w:r>
      <w:r w:rsidR="27D448F9" w:rsidRPr="0BC8996A">
        <w:rPr>
          <w:rFonts w:ascii="Verdana" w:hAnsi="Verdana"/>
        </w:rPr>
        <w:t xml:space="preserve"> personas con otras discapacidades.</w:t>
      </w:r>
    </w:p>
    <w:p w14:paraId="25C0326C" w14:textId="77777777" w:rsidR="001C4C5A" w:rsidRPr="00EC79A5" w:rsidRDefault="0FD20B37" w:rsidP="0BC8996A">
      <w:pPr>
        <w:pStyle w:val="Ttulo3"/>
        <w:spacing w:before="300" w:after="200" w:line="276" w:lineRule="auto"/>
        <w:jc w:val="both"/>
        <w:rPr>
          <w:rFonts w:ascii="Verdana" w:hAnsi="Verdana"/>
          <w:sz w:val="22"/>
          <w:szCs w:val="22"/>
        </w:rPr>
      </w:pPr>
      <w:bookmarkStart w:id="22" w:name="_Toc948847971"/>
      <w:r w:rsidRPr="0BC8996A">
        <w:rPr>
          <w:rFonts w:ascii="Verdana" w:hAnsi="Verdana"/>
          <w:sz w:val="22"/>
          <w:szCs w:val="22"/>
        </w:rPr>
        <w:t>2.4 Evidencia</w:t>
      </w:r>
      <w:bookmarkEnd w:id="22"/>
    </w:p>
    <w:p w14:paraId="4F95E92D" w14:textId="66ABC7A4"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informe estatal reporta 223 causas judicializadas por vulneración o discriminación </w:t>
      </w:r>
      <w:r w:rsidR="5BC7887A" w:rsidRPr="0BC8996A">
        <w:rPr>
          <w:rFonts w:ascii="Verdana" w:hAnsi="Verdana"/>
        </w:rPr>
        <w:t>debido a</w:t>
      </w:r>
      <w:r w:rsidRPr="0BC8996A">
        <w:rPr>
          <w:rFonts w:ascii="Verdana" w:hAnsi="Verdana"/>
        </w:rPr>
        <w:t xml:space="preserve"> discapacidad en 2020 y 226 en 2021 (párr. 86), sin identificar cuántas involucran a personas con discapacidad intelectual ni evaluar la disponibilidad de facilitadores especializados en </w:t>
      </w:r>
      <w:r w:rsidR="2BAB1130" w:rsidRPr="0BC8996A">
        <w:rPr>
          <w:rFonts w:ascii="Verdana" w:hAnsi="Verdana"/>
        </w:rPr>
        <w:t>discapacidad intelectual</w:t>
      </w:r>
      <w:r w:rsidRPr="0BC8996A">
        <w:rPr>
          <w:rFonts w:ascii="Verdana" w:hAnsi="Verdana"/>
        </w:rPr>
        <w:t>, figura distinta de la interpretación en lengua de señas que concentra las medidas reportadas.</w:t>
      </w:r>
    </w:p>
    <w:p w14:paraId="451F42BB" w14:textId="7751A439" w:rsidR="001C4C5A" w:rsidRPr="00EC79A5" w:rsidRDefault="0FD20B37" w:rsidP="00EC79A5">
      <w:pPr>
        <w:spacing w:line="276" w:lineRule="auto"/>
        <w:jc w:val="both"/>
        <w:rPr>
          <w:rFonts w:ascii="Verdana" w:hAnsi="Verdana"/>
        </w:rPr>
      </w:pPr>
      <w:r w:rsidRPr="0BC8996A">
        <w:rPr>
          <w:rFonts w:ascii="Verdana" w:hAnsi="Verdana"/>
          <w:b/>
          <w:bCs/>
        </w:rPr>
        <w:lastRenderedPageBreak/>
        <w:t xml:space="preserve">Punto crítico para esta etapa de supervisión: </w:t>
      </w:r>
      <w:r w:rsidRPr="0BC8996A">
        <w:rPr>
          <w:rFonts w:ascii="Verdana" w:hAnsi="Verdana"/>
        </w:rPr>
        <w:t xml:space="preserve">la recomendación de 2016 vincula el acceso a la justicia con la eliminación de las restricciones derivadas de la interdicción (capítulo 1): mientras esta siga operando como régimen por defecto, ninguna reforma procesal aislada bastará para garantizar el acceso efectivo a la justicia. La ausencia de facilitadores o mediadores, identificada por las propias personas con síndrome de Down y sus familias, es exactamente la medida que el Comité solicitó en 2016 (párr. 28) y que sigue sin implementarse. </w:t>
      </w:r>
      <w:r w:rsidR="19C77AA0" w:rsidRPr="0BC8996A">
        <w:rPr>
          <w:rFonts w:ascii="Verdana" w:hAnsi="Verdana"/>
        </w:rPr>
        <w:t xml:space="preserve">Se sugiere al </w:t>
      </w:r>
      <w:r w:rsidRPr="0BC8996A">
        <w:rPr>
          <w:rFonts w:ascii="Verdana" w:hAnsi="Verdana"/>
        </w:rPr>
        <w:t>Comité exigir un cronograma vinculante y no aceptar la sola tramitación del Boletín N.º 14.783-07 como evidencia de cumplimiento.</w:t>
      </w:r>
    </w:p>
    <w:p w14:paraId="5B4FE28A" w14:textId="77777777" w:rsidR="001C4C5A" w:rsidRPr="00EC79A5" w:rsidRDefault="0FD20B37" w:rsidP="0BC8996A">
      <w:pPr>
        <w:pStyle w:val="Ttulo3"/>
        <w:spacing w:before="300" w:after="200" w:line="276" w:lineRule="auto"/>
        <w:jc w:val="both"/>
        <w:rPr>
          <w:rFonts w:ascii="Verdana" w:hAnsi="Verdana"/>
          <w:sz w:val="22"/>
          <w:szCs w:val="22"/>
        </w:rPr>
      </w:pPr>
      <w:bookmarkStart w:id="23" w:name="_Toc513818742"/>
      <w:r w:rsidRPr="0BC8996A">
        <w:rPr>
          <w:rFonts w:ascii="Verdana" w:hAnsi="Verdana"/>
          <w:sz w:val="22"/>
          <w:szCs w:val="22"/>
        </w:rPr>
        <w:t>2.5 Recomendaciones</w:t>
      </w:r>
      <w:bookmarkEnd w:id="23"/>
    </w:p>
    <w:p w14:paraId="22B2A379" w14:textId="601FD44E"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Comité </w:t>
      </w:r>
      <w:r w:rsidR="20C26177" w:rsidRPr="0BC8996A">
        <w:rPr>
          <w:rFonts w:ascii="Verdana" w:hAnsi="Verdana"/>
        </w:rPr>
        <w:t>podría considerar</w:t>
      </w:r>
      <w:r w:rsidRPr="0BC8996A">
        <w:rPr>
          <w:rFonts w:ascii="Verdana" w:hAnsi="Verdana"/>
        </w:rPr>
        <w:t xml:space="preserve"> instar al Estado de Chile a: (a) crear la figura de facilitador judicial especializado en </w:t>
      </w:r>
      <w:r w:rsidR="2BAB1130" w:rsidRPr="0BC8996A">
        <w:rPr>
          <w:rFonts w:ascii="Verdana" w:hAnsi="Verdana"/>
        </w:rPr>
        <w:t>discapacidad intelectual</w:t>
      </w:r>
      <w:r w:rsidRPr="0BC8996A">
        <w:rPr>
          <w:rFonts w:ascii="Verdana" w:hAnsi="Verdana"/>
        </w:rPr>
        <w:t>, con formación específica y protocolos de entrevista adaptados</w:t>
      </w:r>
      <w:r w:rsidR="3E395127" w:rsidRPr="0BC8996A">
        <w:rPr>
          <w:rFonts w:ascii="Verdana" w:hAnsi="Verdana"/>
        </w:rPr>
        <w:t>, con especial capacitación en estrategias de accesibilidad cognitiva</w:t>
      </w:r>
      <w:r w:rsidRPr="0BC8996A">
        <w:rPr>
          <w:rFonts w:ascii="Verdana" w:hAnsi="Verdana"/>
        </w:rPr>
        <w:t>; (b) garantizar, en la reglamentación del Boletín N.º 14.783-07, que el estatuto de facilitadores incorpore explícitamente la discapacidad intelectual; y (c) desagregar las causas judicializadas por vulneración de derechos según tipo de discapacidad, desde el próximo informe periódico.</w:t>
      </w:r>
    </w:p>
    <w:p w14:paraId="49D21ED0" w14:textId="77777777" w:rsidR="00EC79A5" w:rsidRDefault="00EC79A5" w:rsidP="0BC8996A">
      <w:pPr>
        <w:rPr>
          <w:rFonts w:ascii="Verdana" w:hAnsi="Verdana"/>
          <w:b/>
          <w:bCs/>
          <w:color w:val="000000"/>
        </w:rPr>
      </w:pPr>
      <w:r w:rsidRPr="0BC8996A">
        <w:rPr>
          <w:rFonts w:ascii="Verdana" w:hAnsi="Verdana"/>
        </w:rPr>
        <w:br w:type="page"/>
      </w:r>
    </w:p>
    <w:p w14:paraId="3A361C8B" w14:textId="69179C3F" w:rsidR="001C4C5A" w:rsidRPr="00EC79A5" w:rsidRDefault="0FD20B37" w:rsidP="0BC8996A">
      <w:pPr>
        <w:pStyle w:val="Ttulo2"/>
        <w:shd w:val="clear" w:color="auto" w:fill="D9D9D9" w:themeFill="background2" w:themeFillShade="D9"/>
        <w:spacing w:before="300" w:after="200" w:line="276" w:lineRule="auto"/>
        <w:jc w:val="both"/>
        <w:rPr>
          <w:rFonts w:ascii="Verdana" w:hAnsi="Verdana"/>
          <w:sz w:val="22"/>
          <w:szCs w:val="22"/>
        </w:rPr>
      </w:pPr>
      <w:bookmarkStart w:id="24" w:name="_Toc2108946575"/>
      <w:r w:rsidRPr="0BC8996A">
        <w:rPr>
          <w:rFonts w:ascii="Verdana" w:hAnsi="Verdana"/>
          <w:sz w:val="22"/>
          <w:szCs w:val="22"/>
        </w:rPr>
        <w:lastRenderedPageBreak/>
        <w:t>3. Libertad y seguridad de la persona (Art. 14)</w:t>
      </w:r>
      <w:bookmarkEnd w:id="24"/>
    </w:p>
    <w:p w14:paraId="48F1D431" w14:textId="77777777" w:rsidR="001C4C5A" w:rsidRPr="00EC79A5" w:rsidRDefault="0FD20B37" w:rsidP="0BC8996A">
      <w:pPr>
        <w:pStyle w:val="Ttulo3"/>
        <w:spacing w:before="300" w:after="200" w:line="276" w:lineRule="auto"/>
        <w:jc w:val="both"/>
        <w:rPr>
          <w:rFonts w:ascii="Verdana" w:hAnsi="Verdana"/>
          <w:sz w:val="22"/>
          <w:szCs w:val="22"/>
        </w:rPr>
      </w:pPr>
      <w:bookmarkStart w:id="25" w:name="_Toc1283838004"/>
      <w:r w:rsidRPr="0BC8996A">
        <w:rPr>
          <w:rFonts w:ascii="Verdana" w:hAnsi="Verdana"/>
          <w:sz w:val="22"/>
          <w:szCs w:val="22"/>
        </w:rPr>
        <w:t>3.1 Marco normativo</w:t>
      </w:r>
      <w:bookmarkEnd w:id="25"/>
    </w:p>
    <w:p w14:paraId="00663186" w14:textId="77777777" w:rsidR="001C4C5A" w:rsidRPr="00EC79A5" w:rsidRDefault="00000000" w:rsidP="00EC79A5">
      <w:pPr>
        <w:spacing w:after="200" w:line="276" w:lineRule="auto"/>
        <w:jc w:val="both"/>
        <w:rPr>
          <w:rFonts w:ascii="Verdana" w:hAnsi="Verdana"/>
        </w:rPr>
      </w:pPr>
      <w:r w:rsidRPr="00EC79A5">
        <w:rPr>
          <w:rFonts w:ascii="Verdana" w:hAnsi="Verdana"/>
        </w:rPr>
        <w:t>El artículo 14 exige que la discapacidad no justifique una privación de libertad y que se garantice el debido proceso. En 2016, el Comité expresó preocupación por el criterio de "peligrosidad" y por el elevado número de personas inimputables internadas por períodos prolongados —mayoritariamente en el Hospital Philippe Pinel de Putaendo— sin revisión judicial oportuna (párr. 29), y recomendó reformar el Código Penal para proteger las garantías de las personas con discapacidad, "particularmente con discapacidad psicosocial y/o intelectual" (párr. 30), y prohibir la institucionalización forzada a requerimiento familiar sin consentimiento libre e informado (párrs. 31-32).</w:t>
      </w:r>
    </w:p>
    <w:p w14:paraId="6B868D5C" w14:textId="77777777" w:rsidR="001C4C5A" w:rsidRPr="00EC79A5" w:rsidRDefault="0FD20B37" w:rsidP="0BC8996A">
      <w:pPr>
        <w:pStyle w:val="Ttulo3"/>
        <w:spacing w:before="300" w:after="200" w:line="276" w:lineRule="auto"/>
        <w:jc w:val="both"/>
        <w:rPr>
          <w:rFonts w:ascii="Verdana" w:hAnsi="Verdana"/>
          <w:sz w:val="22"/>
          <w:szCs w:val="22"/>
        </w:rPr>
      </w:pPr>
      <w:bookmarkStart w:id="26" w:name="_Toc1471259990"/>
      <w:r w:rsidRPr="0BC8996A">
        <w:rPr>
          <w:rFonts w:ascii="Verdana" w:hAnsi="Verdana"/>
          <w:sz w:val="22"/>
          <w:szCs w:val="22"/>
        </w:rPr>
        <w:t>3.2 Políticas públicas</w:t>
      </w:r>
      <w:bookmarkEnd w:id="26"/>
    </w:p>
    <w:p w14:paraId="23E9FEA8" w14:textId="77777777" w:rsidR="001C4C5A" w:rsidRPr="00EC79A5" w:rsidRDefault="00000000" w:rsidP="00EC79A5">
      <w:pPr>
        <w:spacing w:before="300" w:after="200" w:line="276" w:lineRule="auto"/>
        <w:jc w:val="both"/>
        <w:rPr>
          <w:rFonts w:ascii="Verdana" w:hAnsi="Verdana"/>
        </w:rPr>
      </w:pPr>
      <w:r w:rsidRPr="00EC79A5">
        <w:rPr>
          <w:rFonts w:ascii="Verdana" w:hAnsi="Verdana"/>
        </w:rPr>
        <w:t>El informe estatal de 2022 responde casi exclusivamente en relación con el Hospital Philippe Pinel y la Ley N.º 21.331 (párr. 126; véase cap. 6). El Centro no ha identificado una política que aborde el criterio de peligrosidad o el debido proceso para la discapacidad intelectual, distinta de la reforma general orientada a la psicosocial.</w:t>
      </w:r>
    </w:p>
    <w:p w14:paraId="62DB3B09" w14:textId="77777777" w:rsidR="001C4C5A" w:rsidRPr="00EC79A5" w:rsidRDefault="0FD20B37" w:rsidP="0BC8996A">
      <w:pPr>
        <w:pStyle w:val="Ttulo3"/>
        <w:spacing w:before="300" w:after="200" w:line="276" w:lineRule="auto"/>
        <w:jc w:val="both"/>
        <w:rPr>
          <w:rFonts w:ascii="Verdana" w:hAnsi="Verdana"/>
          <w:sz w:val="22"/>
          <w:szCs w:val="22"/>
        </w:rPr>
      </w:pPr>
      <w:bookmarkStart w:id="27" w:name="_Toc190434890"/>
      <w:r w:rsidRPr="0BC8996A">
        <w:rPr>
          <w:rFonts w:ascii="Verdana" w:hAnsi="Verdana"/>
          <w:sz w:val="22"/>
          <w:szCs w:val="22"/>
        </w:rPr>
        <w:t>3.3 Implementación práctica</w:t>
      </w:r>
      <w:bookmarkEnd w:id="27"/>
    </w:p>
    <w:p w14:paraId="0F74B777" w14:textId="77777777" w:rsidR="001C4C5A" w:rsidRPr="00EC79A5" w:rsidRDefault="00000000" w:rsidP="00EC79A5">
      <w:pPr>
        <w:spacing w:after="200" w:line="276" w:lineRule="auto"/>
        <w:jc w:val="both"/>
        <w:rPr>
          <w:rFonts w:ascii="Verdana" w:hAnsi="Verdana"/>
        </w:rPr>
      </w:pPr>
      <w:r w:rsidRPr="00EC79A5">
        <w:rPr>
          <w:rFonts w:ascii="Verdana" w:hAnsi="Verdana"/>
        </w:rPr>
        <w:t>El Centro no cuenta con investigación de campo propia sobre privación de libertad, internamiento por peligrosidad o institucionalización a requerimiento familiar de personas con síndrome de Down. Señalamos esta ausencia como brecha en la propia base de evidencia del Centro, no como afirmación sobre la magnitud del problema, precisamente porque esa magnitud es hoy desconocida para el Estado, el Comité y el propio Centro.</w:t>
      </w:r>
    </w:p>
    <w:p w14:paraId="0BAF18FD" w14:textId="77777777" w:rsidR="001C4C5A" w:rsidRPr="00EC79A5" w:rsidRDefault="0FD20B37" w:rsidP="0BC8996A">
      <w:pPr>
        <w:pStyle w:val="Ttulo3"/>
        <w:spacing w:before="300" w:after="200" w:line="276" w:lineRule="auto"/>
        <w:jc w:val="both"/>
        <w:rPr>
          <w:rFonts w:ascii="Verdana" w:hAnsi="Verdana"/>
          <w:sz w:val="22"/>
          <w:szCs w:val="22"/>
        </w:rPr>
      </w:pPr>
      <w:bookmarkStart w:id="28" w:name="_Toc1740618777"/>
      <w:r w:rsidRPr="0BC8996A">
        <w:rPr>
          <w:rFonts w:ascii="Verdana" w:hAnsi="Verdana"/>
          <w:sz w:val="22"/>
          <w:szCs w:val="22"/>
        </w:rPr>
        <w:t>3.4 Evidencia</w:t>
      </w:r>
      <w:bookmarkEnd w:id="28"/>
    </w:p>
    <w:p w14:paraId="575E63B2" w14:textId="0B392A26" w:rsidR="001C4C5A" w:rsidRPr="00EC79A5" w:rsidRDefault="0FD20B37" w:rsidP="00EC79A5">
      <w:pPr>
        <w:spacing w:before="300" w:after="200" w:line="276" w:lineRule="auto"/>
        <w:jc w:val="both"/>
        <w:rPr>
          <w:rFonts w:ascii="Verdana" w:hAnsi="Verdana"/>
        </w:rPr>
      </w:pPr>
      <w:r w:rsidRPr="0BC8996A">
        <w:rPr>
          <w:rFonts w:ascii="Verdana" w:hAnsi="Verdana"/>
        </w:rPr>
        <w:t xml:space="preserve">No existe evidencia nacional desagregada por diagnóstico sobre personas con discapacidad intelectual privadas de libertad bajo el criterio de peligrosidad o institucionalizadas a requerimiento familiar. </w:t>
      </w:r>
      <w:r w:rsidR="17B02CFA" w:rsidRPr="0BC8996A">
        <w:rPr>
          <w:rFonts w:ascii="Verdana" w:hAnsi="Verdana"/>
        </w:rPr>
        <w:t xml:space="preserve">Tampoco existe un plan especial para la transición de cuidados y evitar con ello la institucionalización. </w:t>
      </w:r>
      <w:r w:rsidRPr="0BC8996A">
        <w:rPr>
          <w:rFonts w:ascii="Verdana" w:hAnsi="Verdana"/>
        </w:rPr>
        <w:t>Esta ausencia es consistente con el diagnóstico transversal de invisibilidad estadística del capítulo 7.</w:t>
      </w:r>
    </w:p>
    <w:p w14:paraId="5B238FEF" w14:textId="238BCA00" w:rsidR="001C4C5A" w:rsidRPr="00EC79A5" w:rsidRDefault="0FD20B37" w:rsidP="0BC8996A">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la recomendación de 2016 nombra explícitamente a la discapacidad intelectual como afectada por el criterio de peligrosidad y las fallas de debido proceso (párr. 30); sin embargo, el Estado no ha reportado, ni en 2016 ni en 2022, cifra alguna sobre cuántas personas con </w:t>
      </w:r>
      <w:r w:rsidRPr="0BC8996A">
        <w:rPr>
          <w:rFonts w:ascii="Verdana" w:hAnsi="Verdana"/>
        </w:rPr>
        <w:lastRenderedPageBreak/>
        <w:t xml:space="preserve">discapacidad intelectual están privadas de libertad bajo esta figura o institucionalizadas sin su consentimiento. Esa falta de datos oculta, además, un problema de fondo: la institucionalización opera como única alternativa ante la pérdida de cuidadores o familia de apoyo, al no existir políticas públicas que concreten los apoyos para la vida independiente. </w:t>
      </w:r>
      <w:r w:rsidR="1AA9EE0B" w:rsidRPr="0BC8996A">
        <w:rPr>
          <w:rFonts w:ascii="Verdana" w:hAnsi="Verdana"/>
        </w:rPr>
        <w:t>En particular, las personas con síndrome de Down y sus familias, se enfrentan a una situación de mayor fragil</w:t>
      </w:r>
      <w:r w:rsidR="5C2D7399" w:rsidRPr="0BC8996A">
        <w:rPr>
          <w:rFonts w:ascii="Verdana" w:hAnsi="Verdana"/>
        </w:rPr>
        <w:t xml:space="preserve">idad: las madres y padres tienden a ser mayores al momento del nacimiento de su hijo o hija con síndrome de Down (el promedio de edad </w:t>
      </w:r>
      <w:r w:rsidR="0E79AB10" w:rsidRPr="0BC8996A">
        <w:rPr>
          <w:rFonts w:ascii="Verdana" w:hAnsi="Verdana"/>
        </w:rPr>
        <w:t xml:space="preserve">de la madre al momento de nacimiento </w:t>
      </w:r>
      <w:r w:rsidR="5C2D7399" w:rsidRPr="0BC8996A">
        <w:rPr>
          <w:rFonts w:ascii="Verdana" w:hAnsi="Verdana"/>
        </w:rPr>
        <w:t>es 38 años)</w:t>
      </w:r>
      <w:r w:rsidR="5C738BEB" w:rsidRPr="0BC8996A">
        <w:rPr>
          <w:rFonts w:ascii="Verdana" w:hAnsi="Verdana"/>
        </w:rPr>
        <w:t>, vinculado a que el cuidado que van a requerir sus hijos es para toda la vida</w:t>
      </w:r>
      <w:r w:rsidR="6B019C05" w:rsidRPr="0BC8996A">
        <w:rPr>
          <w:rFonts w:ascii="Verdana" w:hAnsi="Verdana"/>
        </w:rPr>
        <w:t>, en intensidad y dependencia variable ,con una expectativa de vida de personas con síndrome de Down de 58 años</w:t>
      </w:r>
      <w:r w:rsidR="5C738BEB" w:rsidRPr="0BC8996A">
        <w:rPr>
          <w:rFonts w:ascii="Verdana" w:hAnsi="Verdana"/>
        </w:rPr>
        <w:t>,</w:t>
      </w:r>
      <w:r w:rsidR="19739DDF" w:rsidRPr="0BC8996A">
        <w:rPr>
          <w:rFonts w:ascii="Verdana" w:hAnsi="Verdana"/>
        </w:rPr>
        <w:t xml:space="preserve"> existiendo ausencia de medidas del estado para la vida independiente de los adultos, serán principalmente los padres los cuidadores principales, quienes serán mayores </w:t>
      </w:r>
      <w:r w:rsidR="3B7439DE" w:rsidRPr="0BC8996A">
        <w:rPr>
          <w:rFonts w:ascii="Verdana" w:hAnsi="Verdana"/>
        </w:rPr>
        <w:t xml:space="preserve">con los desafíos propios de los adultos mayores, y con hijos bajo su cuidado y el gran desafío de </w:t>
      </w:r>
      <w:r w:rsidR="49076F78" w:rsidRPr="0BC8996A">
        <w:rPr>
          <w:rFonts w:ascii="Verdana" w:hAnsi="Verdana"/>
        </w:rPr>
        <w:t>enfrentar el delegar su cuidado a terceras personas</w:t>
      </w:r>
      <w:r w:rsidR="162E3790" w:rsidRPr="0BC8996A">
        <w:rPr>
          <w:rFonts w:ascii="Verdana" w:hAnsi="Verdana"/>
        </w:rPr>
        <w:t>,</w:t>
      </w:r>
      <w:r w:rsidR="49076F78" w:rsidRPr="0BC8996A">
        <w:rPr>
          <w:rFonts w:ascii="Verdana" w:hAnsi="Verdana"/>
        </w:rPr>
        <w:t xml:space="preserve"> preparándose para cuando no estén en condiciones de cuidar</w:t>
      </w:r>
      <w:r w:rsidR="5748BA6D" w:rsidRPr="0BC8996A">
        <w:rPr>
          <w:rFonts w:ascii="Verdana" w:hAnsi="Verdana"/>
        </w:rPr>
        <w:t>. La complejidad es aún mayor cuando son mujeres solas, con su único hijo o hija con síndrome de Down, sin redes de apoyo</w:t>
      </w:r>
      <w:r w:rsidR="52699953" w:rsidRPr="0BC8996A">
        <w:rPr>
          <w:rFonts w:ascii="Verdana" w:hAnsi="Verdana"/>
        </w:rPr>
        <w:t xml:space="preserve"> a quienes delegar la responsabilidad del cuidado y en ausencia del Estado para apoyar en forma oportuna y digna ese cuidado</w:t>
      </w:r>
      <w:r w:rsidR="49076F78" w:rsidRPr="0BC8996A">
        <w:rPr>
          <w:rFonts w:ascii="Verdana" w:hAnsi="Verdana"/>
        </w:rPr>
        <w:t xml:space="preserve">. </w:t>
      </w:r>
      <w:r w:rsidRPr="0BC8996A">
        <w:rPr>
          <w:rFonts w:ascii="Verdana" w:hAnsi="Verdana"/>
        </w:rPr>
        <w:t>El Comité debería exigir que el próximo informe periódico incluya, en cumplimiento del artículo 31, el número de personas con discapacidad intelectual internadas bajo ese régimen o a requerimiento familiar.</w:t>
      </w:r>
    </w:p>
    <w:p w14:paraId="7E55AFB8" w14:textId="77777777" w:rsidR="001C4C5A" w:rsidRPr="00EC79A5" w:rsidRDefault="0FD20B37" w:rsidP="0BC8996A">
      <w:pPr>
        <w:pStyle w:val="Ttulo3"/>
        <w:spacing w:before="300" w:after="200" w:line="276" w:lineRule="auto"/>
        <w:jc w:val="both"/>
        <w:rPr>
          <w:rFonts w:ascii="Verdana" w:hAnsi="Verdana"/>
          <w:sz w:val="22"/>
          <w:szCs w:val="22"/>
        </w:rPr>
      </w:pPr>
      <w:bookmarkStart w:id="29" w:name="_Toc1977688741"/>
      <w:r w:rsidRPr="0BC8996A">
        <w:rPr>
          <w:rFonts w:ascii="Verdana" w:hAnsi="Verdana"/>
          <w:sz w:val="22"/>
          <w:szCs w:val="22"/>
        </w:rPr>
        <w:t>3.5 Recomendaciones</w:t>
      </w:r>
      <w:bookmarkEnd w:id="29"/>
    </w:p>
    <w:p w14:paraId="38431543" w14:textId="742C9237" w:rsidR="001C4C5A" w:rsidRPr="00EC79A5" w:rsidRDefault="3F4B217F" w:rsidP="00EC79A5">
      <w:pPr>
        <w:spacing w:before="300" w:after="200" w:line="276" w:lineRule="auto"/>
        <w:jc w:val="both"/>
        <w:rPr>
          <w:rFonts w:ascii="Verdana" w:hAnsi="Verdana"/>
        </w:rPr>
      </w:pPr>
      <w:r w:rsidRPr="0BC8996A">
        <w:rPr>
          <w:rFonts w:ascii="Verdana" w:hAnsi="Verdana"/>
        </w:rPr>
        <w:t xml:space="preserve">Se sugiere al </w:t>
      </w:r>
      <w:r w:rsidR="0FD20B37" w:rsidRPr="0BC8996A">
        <w:rPr>
          <w:rFonts w:ascii="Verdana" w:hAnsi="Verdana"/>
        </w:rPr>
        <w:t xml:space="preserve">Comité instar al Estado de Chile a: (a) </w:t>
      </w:r>
      <w:r w:rsidR="50E47439" w:rsidRPr="0BC8996A">
        <w:rPr>
          <w:rFonts w:ascii="Verdana" w:hAnsi="Verdana"/>
        </w:rPr>
        <w:t>d</w:t>
      </w:r>
      <w:r w:rsidR="4A6162A2" w:rsidRPr="0BC8996A">
        <w:rPr>
          <w:rFonts w:ascii="Verdana" w:hAnsi="Verdana"/>
        </w:rPr>
        <w:t xml:space="preserve">iseñar un programa para la planificación de </w:t>
      </w:r>
      <w:r w:rsidR="21D34430" w:rsidRPr="0BC8996A">
        <w:rPr>
          <w:rFonts w:ascii="Verdana" w:hAnsi="Verdana"/>
        </w:rPr>
        <w:t xml:space="preserve">delegación </w:t>
      </w:r>
      <w:r w:rsidR="12D1F0FC" w:rsidRPr="0BC8996A">
        <w:rPr>
          <w:rFonts w:ascii="Verdana" w:hAnsi="Verdana"/>
        </w:rPr>
        <w:t xml:space="preserve">y transición </w:t>
      </w:r>
      <w:r w:rsidR="21D34430" w:rsidRPr="0BC8996A">
        <w:rPr>
          <w:rFonts w:ascii="Verdana" w:hAnsi="Verdana"/>
        </w:rPr>
        <w:t xml:space="preserve">de </w:t>
      </w:r>
      <w:r w:rsidR="4A6162A2" w:rsidRPr="0BC8996A">
        <w:rPr>
          <w:rFonts w:ascii="Verdana" w:hAnsi="Verdana"/>
        </w:rPr>
        <w:t xml:space="preserve">cuidados en personas sin redes de apoyo familiares, dejando la institucionalización como última medida; (b) </w:t>
      </w:r>
      <w:r w:rsidR="0FD20B37" w:rsidRPr="0BC8996A">
        <w:rPr>
          <w:rFonts w:ascii="Verdana" w:hAnsi="Verdana"/>
        </w:rPr>
        <w:t>revisar el criterio de "peligrosidad", reportando su efecto sobre personas con discapacidad intelectual, incluido el síndrome de Down; (b) prohibir explícitamente, la institucionalización forzada por motivo de discapacidad, incluida la practicada a requerimiento familiar; y (c) incorporar en el próximo informe datos desagregados por diagnóstico sobre personas inimputables o internadas en centros psiquiátricos y de larga estadía.</w:t>
      </w:r>
    </w:p>
    <w:p w14:paraId="00938914" w14:textId="77777777" w:rsidR="001C4C5A" w:rsidRPr="00EC79A5" w:rsidRDefault="001C4C5A" w:rsidP="00EC79A5">
      <w:pPr>
        <w:spacing w:before="300" w:after="200" w:line="276" w:lineRule="auto"/>
        <w:jc w:val="both"/>
        <w:rPr>
          <w:rFonts w:ascii="Verdana" w:hAnsi="Verdana"/>
        </w:rPr>
      </w:pPr>
    </w:p>
    <w:p w14:paraId="36FE80A9" w14:textId="77777777" w:rsidR="001C4C5A" w:rsidRPr="00EC79A5" w:rsidRDefault="001C4C5A" w:rsidP="00EC79A5">
      <w:pPr>
        <w:spacing w:before="300" w:after="200" w:line="276" w:lineRule="auto"/>
        <w:jc w:val="both"/>
        <w:rPr>
          <w:rFonts w:ascii="Verdana" w:hAnsi="Verdana"/>
        </w:rPr>
      </w:pPr>
    </w:p>
    <w:p w14:paraId="4CC7CD91" w14:textId="04E55CA1" w:rsidR="00EC79A5" w:rsidRDefault="00EC79A5" w:rsidP="0BC8996A">
      <w:pPr>
        <w:rPr>
          <w:rFonts w:ascii="Verdana" w:hAnsi="Verdana"/>
          <w:b/>
          <w:bCs/>
          <w:color w:val="000000"/>
        </w:rPr>
      </w:pPr>
      <w:r w:rsidRPr="0BC8996A">
        <w:rPr>
          <w:rFonts w:ascii="Verdana" w:hAnsi="Verdana"/>
        </w:rPr>
        <w:br w:type="page"/>
      </w:r>
    </w:p>
    <w:p w14:paraId="5FF9A73D" w14:textId="67B102AA" w:rsidR="001C4C5A" w:rsidRPr="00EC79A5" w:rsidRDefault="1CDCB6D9" w:rsidP="0BC8996A">
      <w:pPr>
        <w:pStyle w:val="Ttulo2"/>
        <w:shd w:val="clear" w:color="auto" w:fill="D9D9D9" w:themeFill="background2" w:themeFillShade="D9"/>
        <w:spacing w:before="300" w:after="200" w:line="276" w:lineRule="auto"/>
        <w:jc w:val="both"/>
        <w:rPr>
          <w:rFonts w:ascii="Verdana" w:hAnsi="Verdana"/>
          <w:sz w:val="22"/>
          <w:szCs w:val="22"/>
        </w:rPr>
      </w:pPr>
      <w:bookmarkStart w:id="30" w:name="_Toc298581319"/>
      <w:r w:rsidRPr="0BC8996A">
        <w:rPr>
          <w:rFonts w:ascii="Verdana" w:hAnsi="Verdana"/>
          <w:sz w:val="22"/>
          <w:szCs w:val="22"/>
        </w:rPr>
        <w:lastRenderedPageBreak/>
        <w:t>4</w:t>
      </w:r>
      <w:r w:rsidR="0FD20B37" w:rsidRPr="0BC8996A">
        <w:rPr>
          <w:rFonts w:ascii="Verdana" w:hAnsi="Verdana"/>
          <w:sz w:val="22"/>
          <w:szCs w:val="22"/>
        </w:rPr>
        <w:t>. Protección de la integridad personal, esterilización sin consentimiento y mujeres cuidadoras (Art. 17)</w:t>
      </w:r>
      <w:bookmarkEnd w:id="30"/>
    </w:p>
    <w:p w14:paraId="0791B31F" w14:textId="65E8E0EC" w:rsidR="001C4C5A" w:rsidRPr="00EC79A5" w:rsidRDefault="4783E550" w:rsidP="0BC8996A">
      <w:pPr>
        <w:pStyle w:val="Ttulo3"/>
        <w:spacing w:before="300" w:after="200" w:line="276" w:lineRule="auto"/>
        <w:jc w:val="both"/>
        <w:rPr>
          <w:rFonts w:ascii="Verdana" w:hAnsi="Verdana"/>
          <w:sz w:val="22"/>
          <w:szCs w:val="22"/>
        </w:rPr>
      </w:pPr>
      <w:bookmarkStart w:id="31" w:name="_Toc533643079"/>
      <w:r w:rsidRPr="0BC8996A">
        <w:rPr>
          <w:rFonts w:ascii="Verdana" w:hAnsi="Verdana"/>
          <w:sz w:val="22"/>
          <w:szCs w:val="22"/>
        </w:rPr>
        <w:t>4</w:t>
      </w:r>
      <w:r w:rsidR="0FD20B37" w:rsidRPr="0BC8996A">
        <w:rPr>
          <w:rFonts w:ascii="Verdana" w:hAnsi="Verdana"/>
          <w:sz w:val="22"/>
          <w:szCs w:val="22"/>
        </w:rPr>
        <w:t>.1 Marco normativo</w:t>
      </w:r>
      <w:bookmarkEnd w:id="31"/>
    </w:p>
    <w:p w14:paraId="7B9150AC" w14:textId="77777777" w:rsidR="001C4C5A" w:rsidRPr="00EC79A5" w:rsidRDefault="00000000" w:rsidP="00EC79A5">
      <w:pPr>
        <w:spacing w:after="200" w:line="276" w:lineRule="auto"/>
        <w:jc w:val="both"/>
        <w:rPr>
          <w:rFonts w:ascii="Verdana" w:hAnsi="Verdana"/>
        </w:rPr>
      </w:pPr>
      <w:r w:rsidRPr="00EC79A5">
        <w:rPr>
          <w:rFonts w:ascii="Verdana" w:hAnsi="Verdana"/>
        </w:rPr>
        <w:t>El artículo 17 reconoce el derecho al respeto de la integridad física y mental en igualdad de condiciones. En 2016, el Comité expresó preocupación porque en Chile se seguían practicando esterilizaciones sin consentimiento libre e informado a personas con discapacidad —en su mayoría mujeres y niñas— con la sola solicitud de un familiar o tutor (párr. 41), y solicitó revisar la Ley N.º 20.584 y el Decreto 570 para garantizar sin excepción el consentimiento, incluidas las personas interdictas, en toda intervención irreversible (párr. 42). Advirtió además la ausencia de políticas de género y discapacidad (párrs. 13-14).</w:t>
      </w:r>
    </w:p>
    <w:p w14:paraId="10D0E154" w14:textId="72EF4BAB" w:rsidR="001C4C5A" w:rsidRPr="00EC79A5" w:rsidRDefault="69370A5F" w:rsidP="0BC8996A">
      <w:pPr>
        <w:pStyle w:val="Ttulo3"/>
        <w:spacing w:before="300" w:after="200" w:line="276" w:lineRule="auto"/>
        <w:jc w:val="both"/>
        <w:rPr>
          <w:rFonts w:ascii="Verdana" w:hAnsi="Verdana"/>
          <w:sz w:val="22"/>
          <w:szCs w:val="22"/>
        </w:rPr>
      </w:pPr>
      <w:bookmarkStart w:id="32" w:name="_Toc382462705"/>
      <w:r w:rsidRPr="0BC8996A">
        <w:rPr>
          <w:rFonts w:ascii="Verdana" w:hAnsi="Verdana"/>
          <w:sz w:val="22"/>
          <w:szCs w:val="22"/>
        </w:rPr>
        <w:t>4</w:t>
      </w:r>
      <w:r w:rsidR="0FD20B37" w:rsidRPr="0BC8996A">
        <w:rPr>
          <w:rFonts w:ascii="Verdana" w:hAnsi="Verdana"/>
          <w:sz w:val="22"/>
          <w:szCs w:val="22"/>
        </w:rPr>
        <w:t>.2 Políticas públicas</w:t>
      </w:r>
      <w:bookmarkEnd w:id="32"/>
    </w:p>
    <w:p w14:paraId="38611D52" w14:textId="0095C112" w:rsidR="001C4C5A" w:rsidRPr="00EC79A5" w:rsidRDefault="0FD20B37" w:rsidP="0BC8996A">
      <w:pPr>
        <w:spacing w:before="300" w:after="200" w:line="276" w:lineRule="auto"/>
        <w:jc w:val="both"/>
        <w:rPr>
          <w:rFonts w:ascii="Verdana" w:eastAsia="Verdana" w:hAnsi="Verdana" w:cs="Verdana"/>
        </w:rPr>
      </w:pPr>
      <w:r w:rsidRPr="0BC8996A">
        <w:rPr>
          <w:rFonts w:ascii="Verdana" w:hAnsi="Verdana"/>
        </w:rPr>
        <w:t>El Estado responde citando la Ley N.º 21.331, que reconoce el derecho a no ser esterilizado sin consentimiento y prohíbe la esterilización de niños, niñas y adolescentes (párr. 113). Es un avance normativo real, pero ni el informe estatal ni las Observaciones de 2016 aportan datos desagregados que permitan saber si se traduce en algo concreto para niñas y mujeres con síndrome de Down.</w:t>
      </w:r>
      <w:r w:rsidR="2625EA78" w:rsidRPr="0BC8996A">
        <w:rPr>
          <w:rFonts w:ascii="Verdana" w:hAnsi="Verdana"/>
        </w:rPr>
        <w:t xml:space="preserve"> Posterior al informe del Estado</w:t>
      </w:r>
      <w:r w:rsidR="1FE4FAC7" w:rsidRPr="0BC8996A">
        <w:rPr>
          <w:rFonts w:ascii="Verdana" w:hAnsi="Verdana"/>
        </w:rPr>
        <w:t>,</w:t>
      </w:r>
      <w:r w:rsidR="2625EA78" w:rsidRPr="0BC8996A">
        <w:rPr>
          <w:rFonts w:ascii="Verdana" w:hAnsi="Verdana"/>
        </w:rPr>
        <w:t xml:space="preserve"> el 202</w:t>
      </w:r>
      <w:r w:rsidR="1CADF4C8" w:rsidRPr="0BC8996A">
        <w:rPr>
          <w:rFonts w:ascii="Verdana" w:hAnsi="Verdana"/>
        </w:rPr>
        <w:t>5 se crea</w:t>
      </w:r>
      <w:r w:rsidR="14E7861E" w:rsidRPr="0BC8996A">
        <w:rPr>
          <w:sz w:val="24"/>
          <w:szCs w:val="24"/>
        </w:rPr>
        <w:t xml:space="preserve"> El Sistema Nacional de Apoyos y Cuidados, conocido como "Chile Cuida"</w:t>
      </w:r>
      <w:r w:rsidR="14E7861E" w:rsidRPr="0BC8996A">
        <w:rPr>
          <w:rFonts w:ascii="Verdana" w:eastAsia="Verdana" w:hAnsi="Verdana" w:cs="Verdana"/>
        </w:rPr>
        <w:t>, es un derecho social garantizado por ley que ampara a quienes requieren asistencia y a sus cuidadores. Su objetivo es aliviar la carga doméstica y otorgar beneficios directos a las personas cuidadoras, sin importar su condición socioeconómica</w:t>
      </w:r>
      <w:r w:rsidR="01200226" w:rsidRPr="0BC8996A">
        <w:rPr>
          <w:rFonts w:ascii="Verdana" w:eastAsia="Verdana" w:hAnsi="Verdana" w:cs="Verdana"/>
        </w:rPr>
        <w:t xml:space="preserve">. Este sistema crea un registro de cuidadores de personas mayores o con discapacidad y dependencia, sin embargo, se limita a aquellos cuidadores de personas con dependencia severa, sin considerar a cuidadores de larga data, como lo son </w:t>
      </w:r>
      <w:r w:rsidR="6DF2551D" w:rsidRPr="0BC8996A">
        <w:rPr>
          <w:rFonts w:ascii="Verdana" w:eastAsia="Verdana" w:hAnsi="Verdana" w:cs="Verdana"/>
        </w:rPr>
        <w:t>cuidadores de personas con síndrome de Down que cuidan toda la vida a personas con discapacidad y dependencia variable.</w:t>
      </w:r>
    </w:p>
    <w:p w14:paraId="00AEA969" w14:textId="7DC3A86F" w:rsidR="001C4C5A" w:rsidRPr="00EC79A5" w:rsidRDefault="542E13D7" w:rsidP="0BC8996A">
      <w:pPr>
        <w:pStyle w:val="Ttulo3"/>
        <w:spacing w:before="300" w:after="200" w:line="276" w:lineRule="auto"/>
        <w:jc w:val="both"/>
        <w:rPr>
          <w:rFonts w:ascii="Verdana" w:hAnsi="Verdana"/>
          <w:sz w:val="22"/>
          <w:szCs w:val="22"/>
        </w:rPr>
      </w:pPr>
      <w:bookmarkStart w:id="33" w:name="_Toc2116475047"/>
      <w:r w:rsidRPr="0BC8996A">
        <w:rPr>
          <w:rFonts w:ascii="Verdana" w:hAnsi="Verdana"/>
          <w:sz w:val="22"/>
          <w:szCs w:val="22"/>
        </w:rPr>
        <w:t>4</w:t>
      </w:r>
      <w:r w:rsidR="0FD20B37" w:rsidRPr="0BC8996A">
        <w:rPr>
          <w:rFonts w:ascii="Verdana" w:hAnsi="Verdana"/>
          <w:sz w:val="22"/>
          <w:szCs w:val="22"/>
        </w:rPr>
        <w:t>.3 Implementación práctica</w:t>
      </w:r>
      <w:bookmarkEnd w:id="33"/>
    </w:p>
    <w:p w14:paraId="47A5D3B9" w14:textId="6538F77D" w:rsidR="001C4C5A" w:rsidRPr="00EC79A5" w:rsidRDefault="0FD20B37" w:rsidP="00EC79A5">
      <w:pPr>
        <w:spacing w:after="200" w:line="276" w:lineRule="auto"/>
        <w:jc w:val="both"/>
        <w:rPr>
          <w:rFonts w:ascii="Verdana" w:hAnsi="Verdana"/>
        </w:rPr>
      </w:pPr>
      <w:r w:rsidRPr="0BC8996A">
        <w:rPr>
          <w:rFonts w:ascii="Verdana" w:hAnsi="Verdana"/>
        </w:rPr>
        <w:t xml:space="preserve">A este vacío se suma </w:t>
      </w:r>
      <w:r w:rsidR="6EBFFBD2" w:rsidRPr="0BC8996A">
        <w:rPr>
          <w:rFonts w:ascii="Verdana" w:hAnsi="Verdana"/>
        </w:rPr>
        <w:t xml:space="preserve">el </w:t>
      </w:r>
      <w:r w:rsidRPr="0BC8996A">
        <w:rPr>
          <w:rFonts w:ascii="Verdana" w:hAnsi="Verdana"/>
        </w:rPr>
        <w:t xml:space="preserve">problema </w:t>
      </w:r>
      <w:r w:rsidR="0095F6F2" w:rsidRPr="0BC8996A">
        <w:rPr>
          <w:rFonts w:ascii="Verdana" w:hAnsi="Verdana"/>
        </w:rPr>
        <w:t>repor</w:t>
      </w:r>
      <w:r w:rsidRPr="0BC8996A">
        <w:rPr>
          <w:rFonts w:ascii="Verdana" w:hAnsi="Verdana"/>
        </w:rPr>
        <w:t>tado por las propias familias: "las mujeres cuidadoras de personas con síndrome de Down no son consideradas en investigaciones, ni en políticas públicas específicas" (Jornada de Investigación 2026), componente de género que el Comité identificó como pendiente en 2016 (párrs. 13-14). Esta doble ausencia —de protección frente a la esterilización sin consentimiento y de política para quienes cuidan— configura una misma brecha de género transversal al eje de integridad personal.</w:t>
      </w:r>
      <w:r w:rsidR="4A18D331" w:rsidRPr="0BC8996A">
        <w:rPr>
          <w:rFonts w:ascii="Verdana" w:hAnsi="Verdana"/>
        </w:rPr>
        <w:t xml:space="preserve"> La angustia que viven esas madres frente a quién cuidará a sus hijos cuando ellas no estén, es patente en la etapa adulta de sus hijos y una preocupación real</w:t>
      </w:r>
      <w:r w:rsidR="4EFA297E" w:rsidRPr="0BC8996A">
        <w:rPr>
          <w:rFonts w:ascii="Verdana" w:hAnsi="Verdana"/>
        </w:rPr>
        <w:t xml:space="preserve"> por la ausencia de apoyo estatal.</w:t>
      </w:r>
    </w:p>
    <w:p w14:paraId="3FB82AFD" w14:textId="2A3B3DED" w:rsidR="001C4C5A" w:rsidRPr="00EC79A5" w:rsidRDefault="2C810B7B" w:rsidP="0BC8996A">
      <w:pPr>
        <w:pStyle w:val="Ttulo3"/>
        <w:spacing w:before="300" w:after="200" w:line="276" w:lineRule="auto"/>
        <w:jc w:val="both"/>
        <w:rPr>
          <w:rFonts w:ascii="Verdana" w:hAnsi="Verdana"/>
          <w:sz w:val="22"/>
          <w:szCs w:val="22"/>
        </w:rPr>
      </w:pPr>
      <w:bookmarkStart w:id="34" w:name="_Toc1958619181"/>
      <w:r w:rsidRPr="0BC8996A">
        <w:rPr>
          <w:rFonts w:ascii="Verdana" w:hAnsi="Verdana"/>
          <w:sz w:val="22"/>
          <w:szCs w:val="22"/>
        </w:rPr>
        <w:lastRenderedPageBreak/>
        <w:t>4</w:t>
      </w:r>
      <w:r w:rsidR="0FD20B37" w:rsidRPr="0BC8996A">
        <w:rPr>
          <w:rFonts w:ascii="Verdana" w:hAnsi="Verdana"/>
          <w:sz w:val="22"/>
          <w:szCs w:val="22"/>
        </w:rPr>
        <w:t>.4 Evidencia</w:t>
      </w:r>
      <w:bookmarkEnd w:id="34"/>
    </w:p>
    <w:p w14:paraId="7F4616B0" w14:textId="59A94548" w:rsidR="0FD20B37" w:rsidRDefault="0FD20B37" w:rsidP="0BC8996A">
      <w:pPr>
        <w:spacing w:before="300" w:after="200" w:line="276" w:lineRule="auto"/>
        <w:jc w:val="both"/>
        <w:rPr>
          <w:rFonts w:ascii="Verdana" w:hAnsi="Verdana"/>
        </w:rPr>
      </w:pPr>
      <w:r w:rsidRPr="0BC8996A">
        <w:rPr>
          <w:rFonts w:ascii="Verdana" w:hAnsi="Verdana"/>
        </w:rPr>
        <w:t xml:space="preserve">Ni el informe estatal ni las Observaciones de 2016 aportan cifras desagregadas por diagnóstico sobre esterilizaciones u otras intervenciones irreversibles practicadas con autorización de un tercero. </w:t>
      </w:r>
    </w:p>
    <w:p w14:paraId="57B7A47C" w14:textId="002D2C65"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la Ley N.º 18.600 (capítulo 1) y el requisito de "sola solicitud de un familiar o tutor" documentado en 2016 (párr. 41) operan como un mismo mecanismo legal: una persona con síndrome de Down declarada interdicta puede, en teoría, ser esterilizada sin su consentimiento, con la sola autorización de quien ejerce su curatela. El Comité </w:t>
      </w:r>
      <w:r w:rsidR="3B434A8C" w:rsidRPr="0BC8996A">
        <w:rPr>
          <w:rFonts w:ascii="Verdana" w:hAnsi="Verdana"/>
        </w:rPr>
        <w:t>podría considerar</w:t>
      </w:r>
      <w:r w:rsidRPr="0BC8996A">
        <w:rPr>
          <w:rFonts w:ascii="Verdana" w:hAnsi="Verdana"/>
        </w:rPr>
        <w:t xml:space="preserve"> preguntar si esta posibilidad legal se ha modificado desde 2016 y, de no ser así, exigir su eliminación prioritaria. A ello se suma la pregunta de la Jornada "¿quién cuida a los cuidadores?": sin investigación ni política sobre mujeres cuidadoras, el Estado tampoco puede garantizar que estén en condiciones de proteger, acompañar o denunciar vulneraciones a la integridad de quienes cuidan. El Comité debería solicitar una política específica de apoyo </w:t>
      </w:r>
      <w:r w:rsidR="0D8A805E" w:rsidRPr="0BC8996A">
        <w:rPr>
          <w:rFonts w:ascii="Verdana" w:hAnsi="Verdana"/>
        </w:rPr>
        <w:t>a cuidadores</w:t>
      </w:r>
      <w:r w:rsidR="3C4B228D" w:rsidRPr="0BC8996A">
        <w:rPr>
          <w:rFonts w:ascii="Verdana" w:hAnsi="Verdana"/>
        </w:rPr>
        <w:t xml:space="preserve">, transición de cuidados </w:t>
      </w:r>
      <w:r w:rsidRPr="0BC8996A">
        <w:rPr>
          <w:rFonts w:ascii="Verdana" w:hAnsi="Verdana"/>
        </w:rPr>
        <w:t>e investigación</w:t>
      </w:r>
      <w:r w:rsidR="5750E979" w:rsidRPr="0BC8996A">
        <w:rPr>
          <w:rFonts w:ascii="Verdana" w:hAnsi="Verdana"/>
        </w:rPr>
        <w:t xml:space="preserve"> en esta materia</w:t>
      </w:r>
      <w:r w:rsidRPr="0BC8996A">
        <w:rPr>
          <w:rFonts w:ascii="Verdana" w:hAnsi="Verdana"/>
        </w:rPr>
        <w:t>, articulada con las garantías del artículo 17.</w:t>
      </w:r>
    </w:p>
    <w:p w14:paraId="3B2E0E5A" w14:textId="7BDA2179" w:rsidR="001C4C5A" w:rsidRPr="00EC79A5" w:rsidRDefault="33A722F6" w:rsidP="0BC8996A">
      <w:pPr>
        <w:pStyle w:val="Ttulo3"/>
        <w:spacing w:before="300" w:after="200" w:line="276" w:lineRule="auto"/>
        <w:jc w:val="both"/>
        <w:rPr>
          <w:rFonts w:ascii="Verdana" w:hAnsi="Verdana"/>
          <w:sz w:val="22"/>
          <w:szCs w:val="22"/>
        </w:rPr>
      </w:pPr>
      <w:bookmarkStart w:id="35" w:name="_Toc1254529524"/>
      <w:r w:rsidRPr="0BC8996A">
        <w:rPr>
          <w:rFonts w:ascii="Verdana" w:hAnsi="Verdana"/>
          <w:sz w:val="22"/>
          <w:szCs w:val="22"/>
        </w:rPr>
        <w:t>4</w:t>
      </w:r>
      <w:r w:rsidR="0FD20B37" w:rsidRPr="0BC8996A">
        <w:rPr>
          <w:rFonts w:ascii="Verdana" w:hAnsi="Verdana"/>
          <w:sz w:val="22"/>
          <w:szCs w:val="22"/>
        </w:rPr>
        <w:t>.5 Recomendaciones</w:t>
      </w:r>
      <w:bookmarkEnd w:id="35"/>
    </w:p>
    <w:p w14:paraId="70E95C59" w14:textId="73BC25DA" w:rsidR="001C4C5A" w:rsidRPr="00EC79A5" w:rsidRDefault="2475472F" w:rsidP="00EC79A5">
      <w:pPr>
        <w:spacing w:before="400" w:after="200" w:line="276" w:lineRule="auto"/>
        <w:jc w:val="both"/>
        <w:rPr>
          <w:rFonts w:ascii="Verdana" w:hAnsi="Verdana"/>
        </w:rPr>
      </w:pPr>
      <w:r w:rsidRPr="0BC8996A">
        <w:rPr>
          <w:rFonts w:ascii="Verdana" w:hAnsi="Verdana"/>
        </w:rPr>
        <w:t xml:space="preserve">Se sugiere al </w:t>
      </w:r>
      <w:r w:rsidR="0FD20B37" w:rsidRPr="0BC8996A">
        <w:rPr>
          <w:rFonts w:ascii="Verdana" w:hAnsi="Verdana"/>
        </w:rPr>
        <w:t xml:space="preserve">Comité instar al Estado de Chile a: (a) eliminar prioritariamente, toda disposición que permita autorizar esterilizaciones u otras intervenciones irreversibles con la sola solicitud de un familiar, tutor o curador; (b) reportar esterilizaciones e intervenciones irreversibles desagregadas por diagnóstico, edad y sexo; (c) </w:t>
      </w:r>
      <w:r w:rsidR="6A25791B" w:rsidRPr="0BC8996A">
        <w:rPr>
          <w:rFonts w:ascii="Verdana" w:hAnsi="Verdana"/>
        </w:rPr>
        <w:t>desarrollar un sistema de apoyo específico para cuidadores de personas con discapacidad intelectual de largo aliento (condición genética que implica necesidad de cuidados y acompañamiento en niveles variables, pero durante toda la vida de la persona); (d) diseñar un sistema de apoyo estatal en la transición de cuidados, desde cuidadores padres a cuidadores hermanos u otros familiares o el Estado</w:t>
      </w:r>
      <w:r w:rsidR="3239B797" w:rsidRPr="0BC8996A">
        <w:rPr>
          <w:rFonts w:ascii="Verdana" w:hAnsi="Verdana"/>
        </w:rPr>
        <w:t xml:space="preserve">, considerando la opinión de la propia persona con discapacidad intelectual; (e) </w:t>
      </w:r>
      <w:r w:rsidR="0FD20B37" w:rsidRPr="0BC8996A">
        <w:rPr>
          <w:rFonts w:ascii="Verdana" w:hAnsi="Verdana"/>
        </w:rPr>
        <w:t>implementar una política de investigación y apoyo a mujeres cuidadoras de personas con discapacidad intelectual; y (</w:t>
      </w:r>
      <w:r w:rsidR="213FB630" w:rsidRPr="0BC8996A">
        <w:rPr>
          <w:rFonts w:ascii="Verdana" w:hAnsi="Verdana"/>
        </w:rPr>
        <w:t>f</w:t>
      </w:r>
      <w:r w:rsidR="0FD20B37" w:rsidRPr="0BC8996A">
        <w:rPr>
          <w:rFonts w:ascii="Verdana" w:hAnsi="Verdana"/>
        </w:rPr>
        <w:t>) fiscalizar activamente el cumplimiento de la Ley N.º 21.331 en centros de discapacidad intelectual, y no solo psicosocial.</w:t>
      </w:r>
    </w:p>
    <w:p w14:paraId="5609BC53" w14:textId="77777777" w:rsidR="00EC79A5" w:rsidRDefault="00EC79A5" w:rsidP="0BC8996A">
      <w:pPr>
        <w:rPr>
          <w:rFonts w:ascii="Verdana" w:hAnsi="Verdana"/>
          <w:b/>
          <w:bCs/>
          <w:color w:val="000000"/>
        </w:rPr>
      </w:pPr>
      <w:r w:rsidRPr="0BC8996A">
        <w:rPr>
          <w:rFonts w:ascii="Verdana" w:hAnsi="Verdana"/>
        </w:rPr>
        <w:br w:type="page"/>
      </w:r>
    </w:p>
    <w:p w14:paraId="4388B160" w14:textId="7E8E6A51" w:rsidR="001C4C5A" w:rsidRPr="00EC79A5" w:rsidRDefault="02BB2A5A" w:rsidP="0BC8996A">
      <w:pPr>
        <w:pStyle w:val="Ttulo2"/>
        <w:shd w:val="clear" w:color="auto" w:fill="D9D9D9" w:themeFill="background2" w:themeFillShade="D9"/>
        <w:spacing w:before="400" w:after="200" w:line="276" w:lineRule="auto"/>
        <w:jc w:val="both"/>
        <w:rPr>
          <w:rFonts w:ascii="Verdana" w:hAnsi="Verdana"/>
          <w:sz w:val="22"/>
          <w:szCs w:val="22"/>
        </w:rPr>
      </w:pPr>
      <w:bookmarkStart w:id="36" w:name="_Toc1714972659"/>
      <w:r w:rsidRPr="0BC8996A">
        <w:rPr>
          <w:rFonts w:ascii="Verdana" w:hAnsi="Verdana"/>
          <w:sz w:val="22"/>
          <w:szCs w:val="22"/>
        </w:rPr>
        <w:lastRenderedPageBreak/>
        <w:t>5</w:t>
      </w:r>
      <w:r w:rsidR="0FD20B37" w:rsidRPr="0BC8996A">
        <w:rPr>
          <w:rFonts w:ascii="Verdana" w:hAnsi="Verdana"/>
          <w:sz w:val="22"/>
          <w:szCs w:val="22"/>
        </w:rPr>
        <w:t>. Vida independiente, vivienda y autodeterminación (Art. 19)</w:t>
      </w:r>
      <w:bookmarkEnd w:id="36"/>
    </w:p>
    <w:p w14:paraId="6E09910E" w14:textId="29264AE8" w:rsidR="001C4C5A" w:rsidRPr="00EC79A5" w:rsidRDefault="0FD20B37" w:rsidP="00EC79A5">
      <w:pPr>
        <w:spacing w:before="300" w:after="200" w:line="276" w:lineRule="auto"/>
        <w:jc w:val="both"/>
        <w:rPr>
          <w:rFonts w:ascii="Verdana" w:hAnsi="Verdana"/>
        </w:rPr>
      </w:pPr>
      <w:r w:rsidRPr="0BC8996A">
        <w:rPr>
          <w:rFonts w:ascii="Verdana" w:hAnsi="Verdana"/>
        </w:rPr>
        <w:t xml:space="preserve">Sergio Mejía Álvarez, </w:t>
      </w:r>
      <w:r w:rsidR="0D26D5AE" w:rsidRPr="0BC8996A">
        <w:rPr>
          <w:rFonts w:ascii="Verdana" w:hAnsi="Verdana"/>
        </w:rPr>
        <w:t xml:space="preserve">adulto con síndrome de Down, </w:t>
      </w:r>
      <w:r w:rsidRPr="0BC8996A">
        <w:rPr>
          <w:rFonts w:ascii="Verdana" w:hAnsi="Verdana"/>
        </w:rPr>
        <w:t>vocero de la mesa participativa, lo plantea sin ambigüedad: "una de las barreras significativas que dificulta nuestra inclusión y autonomía es la infantilización, que limita el acceso a la independencia en la vida diaria</w:t>
      </w:r>
      <w:r w:rsidR="2AC1BCD2" w:rsidRPr="0BC8996A">
        <w:rPr>
          <w:rFonts w:ascii="Verdana" w:hAnsi="Verdana"/>
        </w:rPr>
        <w:t xml:space="preserve"> (...) </w:t>
      </w:r>
      <w:r w:rsidRPr="0BC8996A">
        <w:rPr>
          <w:rFonts w:ascii="Verdana" w:hAnsi="Verdana"/>
        </w:rPr>
        <w:t>más allá de las diferencias y la edad, todas las personas merecemos la oportunidad de desarrollarnos plenamente" (Mejía Álvarez, en C</w:t>
      </w:r>
      <w:r w:rsidR="3780BD8C" w:rsidRPr="0BC8996A">
        <w:rPr>
          <w:rFonts w:ascii="Verdana" w:hAnsi="Verdana"/>
        </w:rPr>
        <w:t>UCSD</w:t>
      </w:r>
      <w:r w:rsidRPr="0BC8996A">
        <w:rPr>
          <w:rFonts w:ascii="Verdana" w:hAnsi="Verdana"/>
        </w:rPr>
        <w:t>, 202</w:t>
      </w:r>
      <w:r w:rsidR="498DFCD3" w:rsidRPr="0BC8996A">
        <w:rPr>
          <w:rFonts w:ascii="Verdana" w:hAnsi="Verdana"/>
        </w:rPr>
        <w:t>6</w:t>
      </w:r>
      <w:r w:rsidRPr="0BC8996A">
        <w:rPr>
          <w:rFonts w:ascii="Verdana" w:hAnsi="Verdana"/>
        </w:rPr>
        <w:t xml:space="preserve">). </w:t>
      </w:r>
    </w:p>
    <w:p w14:paraId="000EB67C" w14:textId="79945DFB" w:rsidR="001C4C5A" w:rsidRPr="00EC79A5" w:rsidRDefault="1E706DFB" w:rsidP="0BC8996A">
      <w:pPr>
        <w:pStyle w:val="Ttulo3"/>
        <w:spacing w:before="300" w:after="200" w:line="276" w:lineRule="auto"/>
        <w:jc w:val="both"/>
        <w:rPr>
          <w:rFonts w:ascii="Verdana" w:hAnsi="Verdana"/>
          <w:sz w:val="22"/>
          <w:szCs w:val="22"/>
        </w:rPr>
      </w:pPr>
      <w:bookmarkStart w:id="37" w:name="_Toc603174593"/>
      <w:r w:rsidRPr="0BC8996A">
        <w:rPr>
          <w:rFonts w:ascii="Verdana" w:hAnsi="Verdana"/>
          <w:sz w:val="22"/>
          <w:szCs w:val="22"/>
        </w:rPr>
        <w:t>5</w:t>
      </w:r>
      <w:r w:rsidR="0FD20B37" w:rsidRPr="0BC8996A">
        <w:rPr>
          <w:rFonts w:ascii="Verdana" w:hAnsi="Verdana"/>
          <w:sz w:val="22"/>
          <w:szCs w:val="22"/>
        </w:rPr>
        <w:t>.1 Marco normativo</w:t>
      </w:r>
      <w:bookmarkEnd w:id="37"/>
    </w:p>
    <w:p w14:paraId="4F7B51D7" w14:textId="77777777" w:rsidR="001C4C5A" w:rsidRPr="00EC79A5" w:rsidRDefault="00000000" w:rsidP="00EC79A5">
      <w:pPr>
        <w:spacing w:after="200" w:line="276" w:lineRule="auto"/>
        <w:jc w:val="both"/>
        <w:rPr>
          <w:rFonts w:ascii="Verdana" w:hAnsi="Verdana"/>
        </w:rPr>
      </w:pPr>
      <w:r w:rsidRPr="00EC79A5">
        <w:rPr>
          <w:rFonts w:ascii="Verdana" w:hAnsi="Verdana"/>
        </w:rPr>
        <w:t>El artículo 19 reconoce el derecho a vivir de forma independiente y a ser incluido en la comunidad, con acceso a asistencia domiciliaria, residencial y otros apoyos comunitarios. En 2016, el Comité expresó preocupación por los escasos avances de la Ley N.º 20.422 en apoyos para la vida independiente y por la falta de un plan de desinstitucionalización, recomendando un plan "particularmente [para] personas con discapacidad intelectual o psicosocial", con plazos concretos y presupuesto suficiente (párrs. 43-44). El informe estatal de 2022 concentra su respuesta en la desinstitucionalización psiquiátrica (Hospital Philippe Pinel de Putaendo) y en la Ley N.º 21.331; en ninguno de los siete párrafos dedicados al artículo 19 se menciona a la discapacidad intelectual ni al síndrome de Down. La omisión no es menor: la vida independiente para la discapacidad intelectual exige habilitación de habilidades, vivienda con apoyos graduales y planificación del cuidado a lo largo del curso de vida, desafíos que no se resuelven con el marco de la desinstitucionalización psiquiátrica.</w:t>
      </w:r>
    </w:p>
    <w:p w14:paraId="48FF980C" w14:textId="38DFD777" w:rsidR="001C4C5A" w:rsidRPr="00EC79A5" w:rsidRDefault="7078ED00" w:rsidP="0BC8996A">
      <w:pPr>
        <w:pStyle w:val="Ttulo3"/>
        <w:spacing w:before="300" w:after="200" w:line="276" w:lineRule="auto"/>
        <w:jc w:val="both"/>
        <w:rPr>
          <w:rFonts w:ascii="Verdana" w:hAnsi="Verdana"/>
          <w:sz w:val="22"/>
          <w:szCs w:val="22"/>
        </w:rPr>
      </w:pPr>
      <w:bookmarkStart w:id="38" w:name="_Toc1378903123"/>
      <w:r w:rsidRPr="0BC8996A">
        <w:rPr>
          <w:rFonts w:ascii="Verdana" w:hAnsi="Verdana"/>
          <w:sz w:val="22"/>
          <w:szCs w:val="22"/>
        </w:rPr>
        <w:t>5</w:t>
      </w:r>
      <w:r w:rsidR="0FD20B37" w:rsidRPr="0BC8996A">
        <w:rPr>
          <w:rFonts w:ascii="Verdana" w:hAnsi="Verdana"/>
          <w:sz w:val="22"/>
          <w:szCs w:val="22"/>
        </w:rPr>
        <w:t>.2 Políticas públicas</w:t>
      </w:r>
      <w:bookmarkEnd w:id="38"/>
    </w:p>
    <w:p w14:paraId="1078DDE7" w14:textId="77777777" w:rsidR="001C4C5A" w:rsidRPr="00EC79A5" w:rsidRDefault="00000000" w:rsidP="00EC79A5">
      <w:pPr>
        <w:spacing w:before="300" w:after="200" w:line="276" w:lineRule="auto"/>
        <w:jc w:val="both"/>
        <w:rPr>
          <w:rFonts w:ascii="Verdana" w:hAnsi="Verdana"/>
        </w:rPr>
      </w:pPr>
      <w:r w:rsidRPr="00EC79A5">
        <w:rPr>
          <w:rFonts w:ascii="Verdana" w:hAnsi="Verdana"/>
        </w:rPr>
        <w:t>El Estado reporta el Programa de Tránsito a la Vida Independiente (TVI) de SENADIS —168 proyectos individuales y 44 colectivos en ejecución a 2021—, el piloto REVELO en tres comunas y avances de diseño accesible de MINVU (párrs. 122-125). La existencia del programa es positiva, pero el informe no reporta cuántas iniciativas corresponden a discapacidad intelectual ni articula el TVI con una oferta de vivienda con apoyos graduales; atiende capacitación y adaptación del entorno, pero no constituye por sí mismo una política nacional de vivienda con apoyos.</w:t>
      </w:r>
    </w:p>
    <w:p w14:paraId="07E59CB8" w14:textId="2D19E48A" w:rsidR="001C4C5A" w:rsidRPr="00EC79A5" w:rsidRDefault="0EEE8C82" w:rsidP="0BC8996A">
      <w:pPr>
        <w:pStyle w:val="Ttulo3"/>
        <w:spacing w:before="300" w:after="200" w:line="276" w:lineRule="auto"/>
        <w:jc w:val="both"/>
        <w:rPr>
          <w:rFonts w:ascii="Verdana" w:hAnsi="Verdana"/>
          <w:sz w:val="22"/>
          <w:szCs w:val="22"/>
        </w:rPr>
      </w:pPr>
      <w:bookmarkStart w:id="39" w:name="_Toc1944685161"/>
      <w:r w:rsidRPr="0BC8996A">
        <w:rPr>
          <w:rFonts w:ascii="Verdana" w:hAnsi="Verdana"/>
          <w:sz w:val="22"/>
          <w:szCs w:val="22"/>
        </w:rPr>
        <w:t>5</w:t>
      </w:r>
      <w:r w:rsidR="0FD20B37" w:rsidRPr="0BC8996A">
        <w:rPr>
          <w:rFonts w:ascii="Verdana" w:hAnsi="Verdana"/>
          <w:sz w:val="22"/>
          <w:szCs w:val="22"/>
        </w:rPr>
        <w:t>.3 Implementación práctica</w:t>
      </w:r>
      <w:bookmarkEnd w:id="39"/>
    </w:p>
    <w:p w14:paraId="0EBA025C" w14:textId="48914081" w:rsidR="001C4C5A" w:rsidRPr="00EC79A5" w:rsidRDefault="0FD20B37" w:rsidP="0BC8996A">
      <w:pPr>
        <w:spacing w:after="200" w:line="276" w:lineRule="auto"/>
        <w:jc w:val="both"/>
        <w:rPr>
          <w:rFonts w:ascii="Verdana" w:hAnsi="Verdana"/>
        </w:rPr>
      </w:pPr>
      <w:r w:rsidRPr="0BC8996A">
        <w:rPr>
          <w:rFonts w:ascii="Verdana" w:hAnsi="Verdana"/>
        </w:rPr>
        <w:t>Las personas con síndrome de Down y discapacidad intelectual que participaron en las Mesas y en la Jornada identificaron la infantilización como la brecha más determinante: "se les sigue tratando como eternos niños, limitando su autonomía y toma de decisiones" (C</w:t>
      </w:r>
      <w:r w:rsidR="2FECCC6B" w:rsidRPr="0BC8996A">
        <w:rPr>
          <w:rFonts w:ascii="Verdana" w:hAnsi="Verdana"/>
        </w:rPr>
        <w:t>UCSD</w:t>
      </w:r>
      <w:r w:rsidRPr="0BC8996A">
        <w:rPr>
          <w:rFonts w:ascii="Verdana" w:hAnsi="Verdana"/>
        </w:rPr>
        <w:t>, Jornada de Investigación 2026). Documentaron además la falta de programas estructurados para enseñar habilidades de vida independiente, la escasa oferta de viviendas inclusivas con apoyo graduado, la sobre</w:t>
      </w:r>
      <w:r w:rsidR="316BD4EC" w:rsidRPr="0BC8996A">
        <w:rPr>
          <w:rFonts w:ascii="Verdana" w:hAnsi="Verdana"/>
        </w:rPr>
        <w:t>-</w:t>
      </w:r>
      <w:r w:rsidRPr="0BC8996A">
        <w:rPr>
          <w:rFonts w:ascii="Verdana" w:hAnsi="Verdana"/>
        </w:rPr>
        <w:t xml:space="preserve">dependencia de cuidadores familiares sin planes de transición cuando los padres </w:t>
      </w:r>
      <w:r w:rsidRPr="0BC8996A">
        <w:rPr>
          <w:rFonts w:ascii="Verdana" w:hAnsi="Verdana"/>
        </w:rPr>
        <w:lastRenderedPageBreak/>
        <w:t>envejecen o fallecen, y limitaciones en la toma de decisiones sobre finanzas, vivienda y salud (</w:t>
      </w:r>
      <w:r w:rsidR="35803057" w:rsidRPr="0BC8996A">
        <w:rPr>
          <w:rFonts w:ascii="Verdana" w:hAnsi="Verdana"/>
        </w:rPr>
        <w:t>Lizama y cols.</w:t>
      </w:r>
      <w:r w:rsidRPr="0BC8996A">
        <w:rPr>
          <w:rFonts w:ascii="Verdana" w:hAnsi="Verdana"/>
        </w:rPr>
        <w:t xml:space="preserve"> 2025), brechas que conectan con la pregunta de la Jornada: "¿quién cuida a los cuidadores?". La carta colectiva elaborada en esa instancia sintetiza la demanda: "queremos vivir independiente, nuestras exigencias no son un favor, sino que son nuestros derechos y dignidad"; "solicitamos implementar AHORA fiscalizadores" y un "Proyecto de Vida independiente asociados a Vivienda".</w:t>
      </w:r>
    </w:p>
    <w:p w14:paraId="10F929CA" w14:textId="5A02EF4E" w:rsidR="001C4C5A" w:rsidRPr="00EC79A5" w:rsidRDefault="56D59B9C" w:rsidP="0BC8996A">
      <w:pPr>
        <w:pStyle w:val="Ttulo3"/>
        <w:spacing w:before="300" w:after="200" w:line="276" w:lineRule="auto"/>
        <w:jc w:val="both"/>
        <w:rPr>
          <w:rFonts w:ascii="Verdana" w:hAnsi="Verdana"/>
          <w:sz w:val="22"/>
          <w:szCs w:val="22"/>
        </w:rPr>
      </w:pPr>
      <w:bookmarkStart w:id="40" w:name="_Toc215813032"/>
      <w:r w:rsidRPr="0BC8996A">
        <w:rPr>
          <w:rFonts w:ascii="Verdana" w:hAnsi="Verdana"/>
          <w:sz w:val="22"/>
          <w:szCs w:val="22"/>
        </w:rPr>
        <w:t>5</w:t>
      </w:r>
      <w:r w:rsidR="0FD20B37" w:rsidRPr="0BC8996A">
        <w:rPr>
          <w:rFonts w:ascii="Verdana" w:hAnsi="Verdana"/>
          <w:sz w:val="22"/>
          <w:szCs w:val="22"/>
        </w:rPr>
        <w:t>.4 Evidencia</w:t>
      </w:r>
      <w:bookmarkEnd w:id="40"/>
    </w:p>
    <w:p w14:paraId="41C4DDDC" w14:textId="0D3A3A08" w:rsidR="001C4C5A" w:rsidRPr="00EC79A5" w:rsidRDefault="0FD20B37" w:rsidP="00EC79A5">
      <w:pPr>
        <w:spacing w:before="300" w:after="200" w:line="276" w:lineRule="auto"/>
        <w:jc w:val="both"/>
        <w:rPr>
          <w:rFonts w:ascii="Verdana" w:hAnsi="Verdana"/>
        </w:rPr>
      </w:pPr>
      <w:r w:rsidRPr="0BC8996A">
        <w:rPr>
          <w:rFonts w:ascii="Verdana" w:hAnsi="Verdana"/>
        </w:rPr>
        <w:t>La sistematización de las Mesas Participativas (</w:t>
      </w:r>
      <w:r w:rsidR="165F35DB" w:rsidRPr="0BC8996A">
        <w:rPr>
          <w:rFonts w:ascii="Verdana" w:hAnsi="Verdana"/>
        </w:rPr>
        <w:t>2024-</w:t>
      </w:r>
      <w:r w:rsidRPr="0BC8996A">
        <w:rPr>
          <w:rFonts w:ascii="Verdana" w:hAnsi="Verdana"/>
        </w:rPr>
        <w:t>2025) identificó cinco brechas específicas en vida independiente que coinciden con lo reportado sobre cobertura del TVI, sin que exista un estudio nacional que mida el acceso de personas con síndrome de Down a modelos de vivienda con apoyos.</w:t>
      </w:r>
    </w:p>
    <w:p w14:paraId="38801298" w14:textId="6C6886DF" w:rsidR="001C4C5A" w:rsidRPr="00EC79A5" w:rsidRDefault="0FD20B37" w:rsidP="0BC8996A">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el Comité nombró a la discapacidad intelectual, junto a la psicosocial, como destinataria prioritaria del plan de desinstitucionalización de 2016 (párr. 44); ocho años después, el Estado solo reporta avances para la discapacidad psicosocial, lo que constituye un </w:t>
      </w:r>
      <w:r w:rsidR="4424FC66" w:rsidRPr="0BC8996A">
        <w:rPr>
          <w:rFonts w:ascii="Verdana" w:eastAsia="Verdana" w:hAnsi="Verdana" w:cs="Verdana"/>
        </w:rPr>
        <w:t>cumplimiento insuficiente</w:t>
      </w:r>
      <w:r w:rsidRPr="0BC8996A">
        <w:rPr>
          <w:rFonts w:ascii="Verdana" w:hAnsi="Verdana"/>
        </w:rPr>
        <w:t xml:space="preserve"> de su propia recomendación. La carta colectiva citada fue redactada y firmada por las propias personas con síndrome de Down y discapacidad intelectual: no es una interpretación del Centro sobre sus necesidades, sino su demanda directa al Estado, en primera persona. El Comité debería considerar incorporarla como evidencia en su lista de cuestiones a Chile, en línea con la Observación General </w:t>
      </w:r>
      <w:proofErr w:type="gramStart"/>
      <w:r w:rsidRPr="0BC8996A">
        <w:rPr>
          <w:rFonts w:ascii="Verdana" w:hAnsi="Verdana"/>
        </w:rPr>
        <w:t>N.º</w:t>
      </w:r>
      <w:proofErr w:type="gramEnd"/>
      <w:r w:rsidRPr="0BC8996A">
        <w:rPr>
          <w:rFonts w:ascii="Verdana" w:hAnsi="Verdana"/>
        </w:rPr>
        <w:t>7.</w:t>
      </w:r>
    </w:p>
    <w:p w14:paraId="24562A9C" w14:textId="25411506" w:rsidR="001C4C5A" w:rsidRPr="00EC79A5" w:rsidRDefault="6D42F079" w:rsidP="0BC8996A">
      <w:pPr>
        <w:pStyle w:val="Ttulo3"/>
        <w:spacing w:before="300" w:after="200" w:line="276" w:lineRule="auto"/>
        <w:jc w:val="both"/>
        <w:rPr>
          <w:rFonts w:ascii="Verdana" w:hAnsi="Verdana"/>
          <w:sz w:val="22"/>
          <w:szCs w:val="22"/>
        </w:rPr>
      </w:pPr>
      <w:bookmarkStart w:id="41" w:name="_Toc119521714"/>
      <w:r w:rsidRPr="0BC8996A">
        <w:rPr>
          <w:rFonts w:ascii="Verdana" w:hAnsi="Verdana"/>
          <w:sz w:val="22"/>
          <w:szCs w:val="22"/>
        </w:rPr>
        <w:t>5</w:t>
      </w:r>
      <w:r w:rsidR="0FD20B37" w:rsidRPr="0BC8996A">
        <w:rPr>
          <w:rFonts w:ascii="Verdana" w:hAnsi="Verdana"/>
          <w:sz w:val="22"/>
          <w:szCs w:val="22"/>
        </w:rPr>
        <w:t>.5 Recomendaciones</w:t>
      </w:r>
      <w:bookmarkEnd w:id="41"/>
    </w:p>
    <w:p w14:paraId="678D5A64" w14:textId="7438D80F" w:rsidR="0FD20B37" w:rsidRDefault="0FD20B37" w:rsidP="0BC8996A">
      <w:pPr>
        <w:spacing w:before="400" w:after="200" w:line="276" w:lineRule="auto"/>
        <w:jc w:val="both"/>
      </w:pPr>
      <w:r w:rsidRPr="0BC8996A">
        <w:rPr>
          <w:rFonts w:ascii="Verdana" w:hAnsi="Verdana"/>
        </w:rPr>
        <w:t>Sugerimos que el Comité inste al Estado de Chile a: (a) implementar un programa nacional de vivienda con apoyos graduales para personas con discapacidad intelectual (vivienda tutelada, asistencia personal en vivienda propia y hogares protegidos), con metas de cobertura territorial; (b) crear un programa de planificación de la transición del cuidado ante el envejecimiento o fallecimiento de los cuidadores; (c) desagregar los beneficiarios del TVI por tipo de discapacidad desde el próximo informe periódico; y (d) fortalecer la fiscalización activa de los programas de vida independiente existentes.</w:t>
      </w:r>
    </w:p>
    <w:p w14:paraId="7B006678" w14:textId="77777777" w:rsidR="00EC79A5" w:rsidRDefault="00EC79A5" w:rsidP="0BC8996A">
      <w:pPr>
        <w:rPr>
          <w:rFonts w:ascii="Verdana" w:hAnsi="Verdana"/>
          <w:b/>
          <w:bCs/>
          <w:color w:val="000000"/>
        </w:rPr>
      </w:pPr>
      <w:r w:rsidRPr="0BC8996A">
        <w:rPr>
          <w:rFonts w:ascii="Verdana" w:hAnsi="Verdana"/>
        </w:rPr>
        <w:br w:type="page"/>
      </w:r>
    </w:p>
    <w:p w14:paraId="50D0F34E" w14:textId="65843F8F" w:rsidR="001C4C5A" w:rsidRPr="00EC79A5" w:rsidRDefault="54554E9D" w:rsidP="0BC8996A">
      <w:pPr>
        <w:pStyle w:val="Ttulo2"/>
        <w:shd w:val="clear" w:color="auto" w:fill="D9D9D9" w:themeFill="background2" w:themeFillShade="D9"/>
        <w:spacing w:before="400" w:after="200" w:line="276" w:lineRule="auto"/>
        <w:jc w:val="both"/>
        <w:rPr>
          <w:rFonts w:ascii="Verdana" w:hAnsi="Verdana"/>
          <w:sz w:val="22"/>
          <w:szCs w:val="22"/>
        </w:rPr>
      </w:pPr>
      <w:bookmarkStart w:id="42" w:name="_Toc1137633440"/>
      <w:r w:rsidRPr="0BC8996A">
        <w:rPr>
          <w:rFonts w:ascii="Verdana" w:hAnsi="Verdana"/>
          <w:sz w:val="22"/>
          <w:szCs w:val="22"/>
        </w:rPr>
        <w:lastRenderedPageBreak/>
        <w:t>6</w:t>
      </w:r>
      <w:r w:rsidR="0FD20B37" w:rsidRPr="0BC8996A">
        <w:rPr>
          <w:rFonts w:ascii="Verdana" w:hAnsi="Verdana"/>
          <w:sz w:val="22"/>
          <w:szCs w:val="22"/>
        </w:rPr>
        <w:t>. Artículo 31: la invisibilidad estadística y normativa del síndrome de Down en Chile</w:t>
      </w:r>
      <w:bookmarkEnd w:id="42"/>
    </w:p>
    <w:p w14:paraId="7B12E9AC" w14:textId="77777777" w:rsidR="001C4C5A" w:rsidRPr="00EC79A5" w:rsidRDefault="00000000" w:rsidP="00EC79A5">
      <w:pPr>
        <w:spacing w:before="300" w:after="200" w:line="276" w:lineRule="auto"/>
        <w:jc w:val="both"/>
        <w:rPr>
          <w:rFonts w:ascii="Verdana" w:hAnsi="Verdana"/>
        </w:rPr>
      </w:pPr>
      <w:r w:rsidRPr="00EC79A5">
        <w:rPr>
          <w:rFonts w:ascii="Verdana" w:hAnsi="Verdana"/>
        </w:rPr>
        <w:t>Este capítulo de cierre desarrolla el artículo 31, ubicado por la Convención entre las obligaciones de implementación (arts. 31 a 33). Se presenta al final porque no es un derecho sustantivo adicional, sino la condición habilitante que determina si los compromisos que Chile asuma respecto de los artículos anteriores pueden ser verificados por el Comité.</w:t>
      </w:r>
    </w:p>
    <w:p w14:paraId="1F9B72BB" w14:textId="6E847E76" w:rsidR="001C4C5A" w:rsidRPr="00EC79A5" w:rsidRDefault="437E4F59" w:rsidP="0BC8996A">
      <w:pPr>
        <w:pStyle w:val="Ttulo3"/>
        <w:spacing w:before="300" w:after="200" w:line="276" w:lineRule="auto"/>
        <w:jc w:val="both"/>
        <w:rPr>
          <w:rFonts w:ascii="Verdana" w:hAnsi="Verdana"/>
          <w:sz w:val="22"/>
          <w:szCs w:val="22"/>
        </w:rPr>
      </w:pPr>
      <w:bookmarkStart w:id="43" w:name="_Toc1247969960"/>
      <w:r w:rsidRPr="0BC8996A">
        <w:rPr>
          <w:rFonts w:ascii="Verdana" w:hAnsi="Verdana"/>
          <w:sz w:val="22"/>
          <w:szCs w:val="22"/>
        </w:rPr>
        <w:t>6</w:t>
      </w:r>
      <w:r w:rsidR="0FD20B37" w:rsidRPr="0BC8996A">
        <w:rPr>
          <w:rFonts w:ascii="Verdana" w:hAnsi="Verdana"/>
          <w:sz w:val="22"/>
          <w:szCs w:val="22"/>
        </w:rPr>
        <w:t>.1 Marco normativo</w:t>
      </w:r>
      <w:bookmarkEnd w:id="43"/>
    </w:p>
    <w:p w14:paraId="298D4488" w14:textId="77777777" w:rsidR="001C4C5A" w:rsidRPr="00EC79A5" w:rsidRDefault="00000000" w:rsidP="00EC79A5">
      <w:pPr>
        <w:spacing w:after="200" w:line="276" w:lineRule="auto"/>
        <w:jc w:val="both"/>
        <w:rPr>
          <w:rFonts w:ascii="Verdana" w:hAnsi="Verdana"/>
        </w:rPr>
      </w:pPr>
      <w:r w:rsidRPr="00EC79A5">
        <w:rPr>
          <w:rFonts w:ascii="Verdana" w:hAnsi="Verdana"/>
        </w:rPr>
        <w:t>El artículo 31 obliga a recopilar información adecuada, incluidos datos estadísticos y de investigación, desglosada para supervisar el cumplimiento de la Convención y determinar las barreras existentes. En 2016, el Comité constató que la ENDISC-II (2015) no incluía a personas institucionalizadas, privadas de libertad, en situación de calle o indígenas, y recomendó recopilar datos desglosados por edad, sexo, tipo de deficiencia, pertenencia étnica y localización, incluyendo institucionalización y casos de discriminación o violencia (párrs. 63-64); en 2020 reiteró la solicitud (pregunta 27).</w:t>
      </w:r>
    </w:p>
    <w:p w14:paraId="2B8ACBA8" w14:textId="7ED385C9" w:rsidR="001C4C5A" w:rsidRPr="00EC79A5" w:rsidRDefault="0CFDC421" w:rsidP="0BC8996A">
      <w:pPr>
        <w:pStyle w:val="Ttulo3"/>
        <w:spacing w:before="300" w:after="200" w:line="276" w:lineRule="auto"/>
        <w:jc w:val="both"/>
        <w:rPr>
          <w:rFonts w:ascii="Verdana" w:hAnsi="Verdana"/>
          <w:sz w:val="22"/>
          <w:szCs w:val="22"/>
        </w:rPr>
      </w:pPr>
      <w:bookmarkStart w:id="44" w:name="_Toc1452393810"/>
      <w:r w:rsidRPr="0BC8996A">
        <w:rPr>
          <w:rFonts w:ascii="Verdana" w:hAnsi="Verdana"/>
          <w:sz w:val="22"/>
          <w:szCs w:val="22"/>
        </w:rPr>
        <w:t>6</w:t>
      </w:r>
      <w:r w:rsidR="0FD20B37" w:rsidRPr="0BC8996A">
        <w:rPr>
          <w:rFonts w:ascii="Verdana" w:hAnsi="Verdana"/>
          <w:sz w:val="22"/>
          <w:szCs w:val="22"/>
        </w:rPr>
        <w:t>.2 Políticas públicas</w:t>
      </w:r>
      <w:bookmarkEnd w:id="44"/>
    </w:p>
    <w:p w14:paraId="06B3B2FE" w14:textId="77777777" w:rsidR="001C4C5A" w:rsidRPr="00EC79A5" w:rsidRDefault="00000000" w:rsidP="00EC79A5">
      <w:pPr>
        <w:spacing w:after="200" w:line="276" w:lineRule="auto"/>
        <w:jc w:val="both"/>
        <w:rPr>
          <w:rFonts w:ascii="Verdana" w:hAnsi="Verdana"/>
        </w:rPr>
      </w:pPr>
      <w:r w:rsidRPr="00EC79A5">
        <w:rPr>
          <w:rFonts w:ascii="Verdana" w:hAnsi="Verdana"/>
        </w:rPr>
        <w:t>El Estado informa en 2022 el levantamiento de la Encuesta Nacional de Discapacidad y Dependencia (ENDIDE, 2022) y que la Ley N.º 21.403 obliga a que los estudios de SENADIS consideren los diversos tipos de discapacidad (párrs. 203-204). Ese reconocimiento es un avance formal, pero el informe no acredita que la diferenciación permita identificar a la población con síndrome de Down dentro de la discapacidad intelectual, ni que exista un registro obligatorio de nacimientos o defunciones asociado a esta condición.</w:t>
      </w:r>
    </w:p>
    <w:p w14:paraId="36E66E46" w14:textId="3E5825C2" w:rsidR="001C4C5A" w:rsidRPr="00EC79A5" w:rsidRDefault="676663EC" w:rsidP="0BC8996A">
      <w:pPr>
        <w:pStyle w:val="Ttulo3"/>
        <w:spacing w:before="300" w:after="200" w:line="276" w:lineRule="auto"/>
        <w:jc w:val="both"/>
        <w:rPr>
          <w:rFonts w:ascii="Verdana" w:hAnsi="Verdana"/>
          <w:sz w:val="22"/>
          <w:szCs w:val="22"/>
        </w:rPr>
      </w:pPr>
      <w:bookmarkStart w:id="45" w:name="_Toc2011626107"/>
      <w:r w:rsidRPr="0BC8996A">
        <w:rPr>
          <w:rFonts w:ascii="Verdana" w:hAnsi="Verdana"/>
          <w:sz w:val="22"/>
          <w:szCs w:val="22"/>
        </w:rPr>
        <w:t>6</w:t>
      </w:r>
      <w:r w:rsidR="0FD20B37" w:rsidRPr="0BC8996A">
        <w:rPr>
          <w:rFonts w:ascii="Verdana" w:hAnsi="Verdana"/>
          <w:sz w:val="22"/>
          <w:szCs w:val="22"/>
        </w:rPr>
        <w:t>.3 Implementación práctica</w:t>
      </w:r>
      <w:bookmarkEnd w:id="45"/>
    </w:p>
    <w:p w14:paraId="41214F84" w14:textId="5AE026CA" w:rsidR="001C4C5A" w:rsidRPr="00EC79A5" w:rsidRDefault="0FD20B37" w:rsidP="00EC79A5">
      <w:pPr>
        <w:spacing w:after="200" w:line="276" w:lineRule="auto"/>
        <w:jc w:val="both"/>
        <w:rPr>
          <w:rFonts w:ascii="Verdana" w:hAnsi="Verdana"/>
        </w:rPr>
      </w:pPr>
      <w:r w:rsidRPr="0BC8996A">
        <w:rPr>
          <w:rFonts w:ascii="Verdana" w:hAnsi="Verdana"/>
        </w:rPr>
        <w:t>La constatación más directa de esta brecha surge del propio informe estatal. De las 24.629 palabras del informe combinado de Chile de 2022, "síndrome de Down" aparece una única vez, como excepción sanitaria durante la pandemia, y "discapacidad intelectual" y "</w:t>
      </w:r>
      <w:r w:rsidR="2BAB1130" w:rsidRPr="0BC8996A">
        <w:rPr>
          <w:rFonts w:ascii="Verdana" w:hAnsi="Verdana"/>
        </w:rPr>
        <w:t>discapacidad intelectual</w:t>
      </w:r>
      <w:r w:rsidRPr="0BC8996A">
        <w:rPr>
          <w:rFonts w:ascii="Verdana" w:hAnsi="Verdana"/>
        </w:rPr>
        <w:t>" aparecen, en conjunto, solo cuatro veces, principalmente asociadas a deportistas en juegos binacionales y a residencias para niños, niñas y adolescentes. En ningún artículo el Estado reporta una política, programa o dato construido específicamente para esta población.</w:t>
      </w:r>
    </w:p>
    <w:p w14:paraId="35F45DDC" w14:textId="17701F9E" w:rsidR="001C4C5A" w:rsidRPr="00EC79A5" w:rsidRDefault="0FD20B37" w:rsidP="0BC8996A">
      <w:pPr>
        <w:spacing w:after="200" w:line="276" w:lineRule="auto"/>
        <w:jc w:val="both"/>
        <w:rPr>
          <w:rFonts w:ascii="Verdana" w:hAnsi="Verdana"/>
        </w:rPr>
      </w:pPr>
      <w:r w:rsidRPr="0BC8996A">
        <w:rPr>
          <w:rFonts w:ascii="Verdana" w:hAnsi="Verdana"/>
        </w:rPr>
        <w:t xml:space="preserve">Esta ausencia no es solo un problema técnico. En la Jornada de Investigación, una participante lo expresó con precisión: "no tenemos idea cuántas personas con síndrome de Down hay en Chile, son una población importante que requiere </w:t>
      </w:r>
      <w:r w:rsidRPr="0BC8996A">
        <w:rPr>
          <w:rFonts w:ascii="Verdana" w:hAnsi="Verdana"/>
        </w:rPr>
        <w:lastRenderedPageBreak/>
        <w:t>políticas". El mismo diagnóstico fue documentado de forma independiente en las Mesas Participativas, donde la falta de datos oficiales fue identificada como la primera de cinco brechas del eje de investigación (</w:t>
      </w:r>
      <w:r w:rsidR="3603B291" w:rsidRPr="0BC8996A">
        <w:rPr>
          <w:rFonts w:ascii="Verdana" w:hAnsi="Verdana"/>
        </w:rPr>
        <w:t>Lizama y cols.</w:t>
      </w:r>
      <w:r w:rsidRPr="0BC8996A">
        <w:rPr>
          <w:rFonts w:ascii="Verdana" w:hAnsi="Verdana"/>
        </w:rPr>
        <w:t xml:space="preserve"> 2025).</w:t>
      </w:r>
    </w:p>
    <w:p w14:paraId="7AC191C4" w14:textId="4B32BF3B" w:rsidR="001C4C5A" w:rsidRPr="00EC79A5" w:rsidRDefault="74109094" w:rsidP="0BC8996A">
      <w:pPr>
        <w:pStyle w:val="Ttulo3"/>
        <w:spacing w:before="300" w:after="200" w:line="276" w:lineRule="auto"/>
        <w:jc w:val="both"/>
        <w:rPr>
          <w:rFonts w:ascii="Verdana" w:hAnsi="Verdana"/>
          <w:sz w:val="22"/>
          <w:szCs w:val="22"/>
        </w:rPr>
      </w:pPr>
      <w:bookmarkStart w:id="46" w:name="_Toc53158331"/>
      <w:r w:rsidRPr="0BC8996A">
        <w:rPr>
          <w:rFonts w:ascii="Verdana" w:hAnsi="Verdana"/>
          <w:sz w:val="22"/>
          <w:szCs w:val="22"/>
        </w:rPr>
        <w:t>6</w:t>
      </w:r>
      <w:r w:rsidR="0FD20B37" w:rsidRPr="0BC8996A">
        <w:rPr>
          <w:rFonts w:ascii="Verdana" w:hAnsi="Verdana"/>
          <w:sz w:val="22"/>
          <w:szCs w:val="22"/>
        </w:rPr>
        <w:t>.4 Evidencia</w:t>
      </w:r>
      <w:bookmarkEnd w:id="46"/>
    </w:p>
    <w:p w14:paraId="6F020C07" w14:textId="0363788A" w:rsidR="001C4C5A" w:rsidRPr="00EC79A5" w:rsidRDefault="0FD20B37" w:rsidP="00EC79A5">
      <w:pPr>
        <w:spacing w:after="200" w:line="276" w:lineRule="auto"/>
        <w:jc w:val="both"/>
        <w:rPr>
          <w:rFonts w:ascii="Verdana" w:hAnsi="Verdana"/>
        </w:rPr>
      </w:pPr>
      <w:r w:rsidRPr="0BC8996A">
        <w:rPr>
          <w:rFonts w:ascii="Verdana" w:hAnsi="Verdana"/>
        </w:rPr>
        <w:t xml:space="preserve">Ante la ausencia de un registro estatal, </w:t>
      </w:r>
      <w:r w:rsidR="26ADA1FF" w:rsidRPr="0BC8996A">
        <w:rPr>
          <w:rFonts w:ascii="Verdana" w:hAnsi="Verdana"/>
        </w:rPr>
        <w:t>la tasa de nacimientos de personas con síndrome de Down es una estimación, a partir de dat</w:t>
      </w:r>
      <w:r w:rsidR="7F9D2736" w:rsidRPr="0BC8996A">
        <w:rPr>
          <w:rFonts w:ascii="Verdana" w:hAnsi="Verdana"/>
        </w:rPr>
        <w:t>os publicados hace más de 15 años, con una</w:t>
      </w:r>
      <w:r w:rsidRPr="0BC8996A">
        <w:rPr>
          <w:rFonts w:ascii="Verdana" w:hAnsi="Verdana"/>
        </w:rPr>
        <w:t xml:space="preserve"> tasa de recién nacidos con síndrome de Down </w:t>
      </w:r>
      <w:r w:rsidR="5D0C7F8F" w:rsidRPr="0BC8996A">
        <w:rPr>
          <w:rFonts w:ascii="Verdana" w:hAnsi="Verdana"/>
        </w:rPr>
        <w:t>estimada</w:t>
      </w:r>
      <w:r w:rsidRPr="0BC8996A">
        <w:rPr>
          <w:rFonts w:ascii="Verdana" w:hAnsi="Verdana"/>
        </w:rPr>
        <w:t xml:space="preserve"> de 2,5 por cada 1.000 nacidos vivos, lo que permite estimar</w:t>
      </w:r>
      <w:r w:rsidR="7C6D65D3" w:rsidRPr="0BC8996A">
        <w:rPr>
          <w:rFonts w:ascii="Verdana" w:hAnsi="Verdana"/>
        </w:rPr>
        <w:t xml:space="preserve">, con la tasa de nacimientos actual, que nacen </w:t>
      </w:r>
      <w:r w:rsidRPr="0BC8996A">
        <w:rPr>
          <w:rFonts w:ascii="Verdana" w:hAnsi="Verdana"/>
        </w:rPr>
        <w:t xml:space="preserve">unos 430 </w:t>
      </w:r>
      <w:r w:rsidR="14942BC2" w:rsidRPr="0BC8996A">
        <w:rPr>
          <w:rFonts w:ascii="Verdana" w:hAnsi="Verdana"/>
        </w:rPr>
        <w:t>recién nacidos con síndrome de Down al año</w:t>
      </w:r>
      <w:r w:rsidRPr="0BC8996A">
        <w:rPr>
          <w:rFonts w:ascii="Verdana" w:hAnsi="Verdana"/>
        </w:rPr>
        <w:t>; la III Encuesta Nacional de Discapacidad (2022) reporta que el 1,3% de la población de 2 a 17 años con discapacidad (7.640 personas) presenta síndrome de Down; y la esperanza de vida puede alcanzar los 55 a 58 años, con un patrón de envejecimiento prematuro (Policy Brief 2026-2030). Son estimaciones institucionales, no un registro estatal exhaustivo: ese registro es, precisamente, lo que no existe.</w:t>
      </w:r>
    </w:p>
    <w:p w14:paraId="3C94641A" w14:textId="5B035467"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39989236" w:rsidRPr="0BC8996A">
        <w:rPr>
          <w:rFonts w:ascii="Verdana" w:hAnsi="Verdana"/>
        </w:rPr>
        <w:t>la ausencia</w:t>
      </w:r>
      <w:r w:rsidRPr="0BC8996A">
        <w:rPr>
          <w:rFonts w:ascii="Verdana" w:hAnsi="Verdana"/>
        </w:rPr>
        <w:t xml:space="preserve"> </w:t>
      </w:r>
      <w:r w:rsidR="39989236" w:rsidRPr="0BC8996A">
        <w:rPr>
          <w:rFonts w:ascii="Verdana" w:hAnsi="Verdana"/>
        </w:rPr>
        <w:t xml:space="preserve">de </w:t>
      </w:r>
      <w:r w:rsidRPr="0BC8996A">
        <w:rPr>
          <w:rFonts w:ascii="Verdana" w:hAnsi="Verdana"/>
        </w:rPr>
        <w:t xml:space="preserve">desagregación de datos </w:t>
      </w:r>
      <w:r w:rsidR="78B4B489" w:rsidRPr="0BC8996A">
        <w:rPr>
          <w:rFonts w:ascii="Verdana" w:hAnsi="Verdana"/>
        </w:rPr>
        <w:t>co</w:t>
      </w:r>
      <w:r w:rsidRPr="0BC8996A">
        <w:rPr>
          <w:rFonts w:ascii="Verdana" w:hAnsi="Verdana"/>
        </w:rPr>
        <w:t>n un registro específico de síndrome de Down</w:t>
      </w:r>
      <w:r w:rsidR="72A100D1" w:rsidRPr="0BC8996A">
        <w:rPr>
          <w:rFonts w:ascii="Verdana" w:hAnsi="Verdana"/>
        </w:rPr>
        <w:t xml:space="preserve"> es un problema que impide el ejercicio de derechos en igualdad de condiciones de este grupo. C</w:t>
      </w:r>
      <w:r w:rsidRPr="0BC8996A">
        <w:rPr>
          <w:rFonts w:ascii="Verdana" w:hAnsi="Verdana"/>
        </w:rPr>
        <w:t xml:space="preserve">omo muestran los capítulos 1 a </w:t>
      </w:r>
      <w:r w:rsidR="689DA451" w:rsidRPr="0BC8996A">
        <w:rPr>
          <w:rFonts w:ascii="Verdana" w:hAnsi="Verdana"/>
        </w:rPr>
        <w:t>5</w:t>
      </w:r>
      <w:r w:rsidRPr="0BC8996A">
        <w:rPr>
          <w:rFonts w:ascii="Verdana" w:hAnsi="Verdana"/>
        </w:rPr>
        <w:t xml:space="preserve">, esa ausencia impide verificar si esta población está protegida en la práctica. La base probatoria es sólida y de bajo costo de verificación: la ausencia de "síndrome de Down" en 24.628 de las 24.629 palabras del informe estatal es un dato verificable en el propio documento presentado por Chile. La ENDIDE 2022 debería contar ya con resultados publicados, por lo que </w:t>
      </w:r>
      <w:r w:rsidR="5EEB0293" w:rsidRPr="0BC8996A">
        <w:rPr>
          <w:rFonts w:ascii="Verdana" w:hAnsi="Verdana"/>
        </w:rPr>
        <w:t xml:space="preserve">se sugiere al </w:t>
      </w:r>
      <w:r w:rsidRPr="0BC8996A">
        <w:rPr>
          <w:rFonts w:ascii="Verdana" w:hAnsi="Verdana"/>
        </w:rPr>
        <w:t>Comité precisar si están disponibles y si incluyen desagregación por diagnóstico, en lugar de aceptar la existencia de la encuesta como cumplimiento en sí misma; y las estimaciones académicas del Centro no deberían usarse como sustituto permanente de la obligación estatal de generar el registro oficial. Dado que estas recomendaciones retoman observaciones de 2016 y 2020, su valor depende de indicadores de verificación concretos, plazos exigibles y un mecanismo de seguimiento vinculante.</w:t>
      </w:r>
    </w:p>
    <w:p w14:paraId="23D10127" w14:textId="25F0B990" w:rsidR="001C4C5A" w:rsidRPr="00EC79A5" w:rsidRDefault="3218C5DE" w:rsidP="0BC8996A">
      <w:pPr>
        <w:pStyle w:val="Ttulo3"/>
        <w:spacing w:before="300" w:after="200" w:line="276" w:lineRule="auto"/>
        <w:jc w:val="both"/>
        <w:rPr>
          <w:rFonts w:ascii="Verdana" w:hAnsi="Verdana"/>
          <w:sz w:val="22"/>
          <w:szCs w:val="22"/>
        </w:rPr>
      </w:pPr>
      <w:bookmarkStart w:id="47" w:name="_Toc1362322277"/>
      <w:r w:rsidRPr="0BC8996A">
        <w:rPr>
          <w:rFonts w:ascii="Verdana" w:hAnsi="Verdana"/>
          <w:sz w:val="22"/>
          <w:szCs w:val="22"/>
        </w:rPr>
        <w:t>6</w:t>
      </w:r>
      <w:r w:rsidR="0FD20B37" w:rsidRPr="0BC8996A">
        <w:rPr>
          <w:rFonts w:ascii="Verdana" w:hAnsi="Verdana"/>
          <w:sz w:val="22"/>
          <w:szCs w:val="22"/>
        </w:rPr>
        <w:t>.5 Recomendaciones preliminares</w:t>
      </w:r>
      <w:bookmarkEnd w:id="47"/>
    </w:p>
    <w:p w14:paraId="5EDAF1B7" w14:textId="4BED5339" w:rsidR="001C4C5A" w:rsidRPr="00EC79A5" w:rsidRDefault="0FD20B37" w:rsidP="0BC8996A">
      <w:pPr>
        <w:spacing w:before="400" w:after="200" w:line="276" w:lineRule="auto"/>
        <w:jc w:val="both"/>
        <w:rPr>
          <w:rFonts w:ascii="Verdana" w:hAnsi="Verdana"/>
        </w:rPr>
      </w:pPr>
      <w:r w:rsidRPr="0BC8996A">
        <w:rPr>
          <w:rFonts w:ascii="Verdana" w:hAnsi="Verdana"/>
        </w:rPr>
        <w:t>Recomendamos que el Comité inste al Estado de Chile a: (a) incorporar en la</w:t>
      </w:r>
      <w:r w:rsidR="15F88E2A" w:rsidRPr="0BC8996A">
        <w:rPr>
          <w:rFonts w:ascii="Verdana" w:hAnsi="Verdana"/>
        </w:rPr>
        <w:t>s</w:t>
      </w:r>
      <w:r w:rsidRPr="0BC8996A">
        <w:rPr>
          <w:rFonts w:ascii="Verdana" w:hAnsi="Verdana"/>
        </w:rPr>
        <w:t xml:space="preserve"> futuras versiones </w:t>
      </w:r>
      <w:r w:rsidR="5C4EF80E" w:rsidRPr="0BC8996A">
        <w:rPr>
          <w:rFonts w:ascii="Verdana" w:hAnsi="Verdana"/>
        </w:rPr>
        <w:t xml:space="preserve">de encuestas nacionales, </w:t>
      </w:r>
      <w:r w:rsidRPr="0BC8996A">
        <w:rPr>
          <w:rFonts w:ascii="Verdana" w:hAnsi="Verdana"/>
        </w:rPr>
        <w:t>la desagregación por diagnóstico específico dentro de discapacidad intelectual, incluido el síndrome de Down; (b) establecer la notificación obligatoria de nacimientos con síndrome de Down y su registro en los formularios de defunción; y (c) publicar anualmente, a través de SENADIS, un reporte sobre la situación de las personas con discapacidad intelectual, en consulta con centros especializados.</w:t>
      </w:r>
    </w:p>
    <w:p w14:paraId="62207CA6" w14:textId="667B022F" w:rsidR="001C4C5A" w:rsidRPr="00973C08" w:rsidRDefault="710935DF" w:rsidP="00973C08">
      <w:pPr>
        <w:shd w:val="clear" w:color="auto" w:fill="D9D9D9" w:themeFill="background1" w:themeFillShade="D9"/>
        <w:spacing w:before="400" w:after="200" w:line="276" w:lineRule="auto"/>
        <w:rPr>
          <w:b/>
          <w:bCs/>
        </w:rPr>
      </w:pPr>
      <w:r w:rsidRPr="00973C08">
        <w:rPr>
          <w:rFonts w:ascii="Verdana" w:hAnsi="Verdana"/>
          <w:b/>
          <w:bCs/>
        </w:rPr>
        <w:lastRenderedPageBreak/>
        <w:t>7</w:t>
      </w:r>
      <w:r w:rsidR="0FD20B37" w:rsidRPr="00973C08">
        <w:rPr>
          <w:rFonts w:ascii="Verdana" w:hAnsi="Verdana"/>
          <w:b/>
          <w:bCs/>
        </w:rPr>
        <w:t>. Síntesis de recomendaciones SMART</w:t>
      </w:r>
    </w:p>
    <w:p w14:paraId="135AD2F6" w14:textId="632AE8AC" w:rsidR="001C4C5A" w:rsidRPr="00EC79A5" w:rsidRDefault="0FD20B37" w:rsidP="00EC79A5">
      <w:pPr>
        <w:spacing w:after="200" w:line="276" w:lineRule="auto"/>
        <w:jc w:val="both"/>
        <w:rPr>
          <w:rFonts w:ascii="Verdana" w:hAnsi="Verdana"/>
        </w:rPr>
      </w:pPr>
      <w:r w:rsidRPr="0BC8996A">
        <w:rPr>
          <w:rFonts w:ascii="Verdana" w:hAnsi="Verdana"/>
        </w:rPr>
        <w:t xml:space="preserve">La </w:t>
      </w:r>
      <w:r w:rsidR="1F2AD69A" w:rsidRPr="0BC8996A">
        <w:rPr>
          <w:rFonts w:ascii="Verdana" w:hAnsi="Verdana"/>
        </w:rPr>
        <w:t>T</w:t>
      </w:r>
      <w:r w:rsidRPr="0BC8996A">
        <w:rPr>
          <w:rFonts w:ascii="Verdana" w:hAnsi="Verdana"/>
        </w:rPr>
        <w:t xml:space="preserve">abla </w:t>
      </w:r>
      <w:r w:rsidR="53ED8AF1" w:rsidRPr="0BC8996A">
        <w:rPr>
          <w:rFonts w:ascii="Verdana" w:hAnsi="Verdana"/>
        </w:rPr>
        <w:t xml:space="preserve">2 </w:t>
      </w:r>
      <w:r w:rsidRPr="0BC8996A">
        <w:rPr>
          <w:rFonts w:ascii="Verdana" w:hAnsi="Verdana"/>
        </w:rPr>
        <w:t>resume las recomendaciones formuladas a lo largo de esta sección; cada una especifica una acción concreta, un plazo y un artículo de la Convención, de modo que su cumplimiento pueda ser objeto de seguimiento por el Comité en el próximo ciclo de reporte.</w:t>
      </w:r>
    </w:p>
    <w:p w14:paraId="2D76E2CD" w14:textId="7DA07BDB" w:rsidR="5CDD8155" w:rsidRDefault="5CDD8155" w:rsidP="0BC8996A">
      <w:pPr>
        <w:spacing w:line="276" w:lineRule="auto"/>
        <w:jc w:val="both"/>
      </w:pPr>
      <w:r w:rsidRPr="0BC8996A">
        <w:rPr>
          <w:rFonts w:ascii="Verdana" w:hAnsi="Verdana"/>
          <w:b/>
          <w:bCs/>
        </w:rPr>
        <w:t>Tabla 2:</w:t>
      </w:r>
      <w:r w:rsidRPr="0BC8996A">
        <w:rPr>
          <w:rFonts w:ascii="Verdana" w:hAnsi="Verdana"/>
        </w:rPr>
        <w:t xml:space="preserve"> </w:t>
      </w:r>
      <w:r w:rsidR="6117354D" w:rsidRPr="0BC8996A">
        <w:rPr>
          <w:rFonts w:ascii="Verdana" w:hAnsi="Verdana"/>
        </w:rPr>
        <w:t>Resumen de recomendaciones sobre Temática 1 Capacidad jurídica, acceso a la justicia y vida independiente</w:t>
      </w:r>
    </w:p>
    <w:p w14:paraId="731A4FAD" w14:textId="2E31699A" w:rsidR="0BC8996A" w:rsidRDefault="0BC8996A" w:rsidP="0BC8996A">
      <w:pPr>
        <w:spacing w:line="276" w:lineRule="auto"/>
        <w:jc w:val="both"/>
        <w:rPr>
          <w:rFonts w:ascii="Verdana" w:hAnsi="Verdana"/>
        </w:rPr>
      </w:pPr>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810"/>
        <w:gridCol w:w="4545"/>
        <w:gridCol w:w="2573"/>
        <w:gridCol w:w="1432"/>
      </w:tblGrid>
      <w:tr w:rsidR="001C4C5A" w:rsidRPr="00EC79A5" w14:paraId="605D4242" w14:textId="77777777" w:rsidTr="0BC8996A">
        <w:trPr>
          <w:tblHeader/>
        </w:trPr>
        <w:tc>
          <w:tcPr>
            <w:tcW w:w="810"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1E5BD500" w14:textId="353D3A17" w:rsidR="001C4C5A" w:rsidRPr="00EC79A5" w:rsidRDefault="7344B005" w:rsidP="00EC79A5">
            <w:pPr>
              <w:spacing w:line="276" w:lineRule="auto"/>
              <w:jc w:val="both"/>
              <w:rPr>
                <w:rFonts w:ascii="Verdana" w:hAnsi="Verdana"/>
                <w:b/>
                <w:bCs/>
              </w:rPr>
            </w:pPr>
            <w:r w:rsidRPr="0BC8996A">
              <w:rPr>
                <w:rFonts w:ascii="Verdana" w:hAnsi="Verdana"/>
                <w:b/>
                <w:bCs/>
              </w:rPr>
              <w:t>Cap.</w:t>
            </w:r>
          </w:p>
        </w:tc>
        <w:tc>
          <w:tcPr>
            <w:tcW w:w="4545"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44072C3A" w14:textId="77777777" w:rsidR="001C4C5A" w:rsidRPr="00EC79A5" w:rsidRDefault="00000000" w:rsidP="00EC79A5">
            <w:pPr>
              <w:spacing w:line="276" w:lineRule="auto"/>
              <w:jc w:val="both"/>
              <w:rPr>
                <w:rFonts w:ascii="Verdana" w:hAnsi="Verdana"/>
                <w:b/>
                <w:bCs/>
              </w:rPr>
            </w:pPr>
            <w:r w:rsidRPr="00EC79A5">
              <w:rPr>
                <w:rFonts w:ascii="Verdana" w:hAnsi="Verdana"/>
                <w:b/>
                <w:bCs/>
              </w:rPr>
              <w:t>Recomendación (síntesis)</w:t>
            </w:r>
          </w:p>
        </w:tc>
        <w:tc>
          <w:tcPr>
            <w:tcW w:w="2573"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623894FE" w14:textId="77777777" w:rsidR="001C4C5A" w:rsidRPr="00EC79A5" w:rsidRDefault="00000000" w:rsidP="00EC79A5">
            <w:pPr>
              <w:spacing w:line="276" w:lineRule="auto"/>
              <w:jc w:val="both"/>
              <w:rPr>
                <w:rFonts w:ascii="Verdana" w:hAnsi="Verdana"/>
                <w:b/>
                <w:bCs/>
              </w:rPr>
            </w:pPr>
            <w:r w:rsidRPr="00EC79A5">
              <w:rPr>
                <w:rFonts w:ascii="Verdana" w:hAnsi="Verdana"/>
                <w:b/>
                <w:bCs/>
              </w:rPr>
              <w:t>Plazo</w:t>
            </w:r>
          </w:p>
        </w:tc>
        <w:tc>
          <w:tcPr>
            <w:tcW w:w="1432"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2FB8D201" w14:textId="77777777" w:rsidR="001C4C5A" w:rsidRPr="00EC79A5" w:rsidRDefault="00000000" w:rsidP="00EC79A5">
            <w:pPr>
              <w:spacing w:line="276" w:lineRule="auto"/>
              <w:jc w:val="both"/>
              <w:rPr>
                <w:rFonts w:ascii="Verdana" w:hAnsi="Verdana"/>
                <w:b/>
                <w:bCs/>
              </w:rPr>
            </w:pPr>
            <w:r w:rsidRPr="00EC79A5">
              <w:rPr>
                <w:rFonts w:ascii="Verdana" w:hAnsi="Verdana"/>
                <w:b/>
                <w:bCs/>
              </w:rPr>
              <w:t>Art. CDPD</w:t>
            </w:r>
          </w:p>
        </w:tc>
      </w:tr>
      <w:tr w:rsidR="001C4C5A" w:rsidRPr="00EC79A5" w14:paraId="2D7E8CF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4C3CC45"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16805B4B" w14:textId="77777777" w:rsidR="001C4C5A" w:rsidRPr="00EC79A5" w:rsidRDefault="00000000" w:rsidP="00EC79A5">
            <w:pPr>
              <w:spacing w:line="276" w:lineRule="auto"/>
              <w:jc w:val="both"/>
              <w:rPr>
                <w:rFonts w:ascii="Verdana" w:hAnsi="Verdana"/>
              </w:rPr>
            </w:pPr>
            <w:r w:rsidRPr="00EC79A5">
              <w:rPr>
                <w:rFonts w:ascii="Verdana" w:hAnsi="Verdana"/>
              </w:rPr>
              <w:t>Aprobar la reforma del Código Civil (Boletín 14.783-07) asegurando modelo de apoyos para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53B1932" w14:textId="790F58A0" w:rsidR="001C4C5A" w:rsidRPr="00EC79A5" w:rsidRDefault="7EB53EB7"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574281E8" w14:textId="77777777" w:rsidR="001C4C5A" w:rsidRPr="00EC79A5" w:rsidRDefault="00000000" w:rsidP="00EC79A5">
            <w:pPr>
              <w:spacing w:line="276" w:lineRule="auto"/>
              <w:jc w:val="both"/>
              <w:rPr>
                <w:rFonts w:ascii="Verdana" w:hAnsi="Verdana"/>
              </w:rPr>
            </w:pPr>
            <w:r w:rsidRPr="00EC79A5">
              <w:rPr>
                <w:rFonts w:ascii="Verdana" w:hAnsi="Verdana"/>
              </w:rPr>
              <w:t>12</w:t>
            </w:r>
          </w:p>
        </w:tc>
      </w:tr>
      <w:tr w:rsidR="001C4C5A" w:rsidRPr="00EC79A5" w14:paraId="294C3233"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AF24727"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6BA08D30" w14:textId="77777777" w:rsidR="001C4C5A" w:rsidRPr="00EC79A5" w:rsidRDefault="00000000" w:rsidP="00EC79A5">
            <w:pPr>
              <w:spacing w:line="276" w:lineRule="auto"/>
              <w:jc w:val="both"/>
              <w:rPr>
                <w:rFonts w:ascii="Verdana" w:hAnsi="Verdana"/>
              </w:rPr>
            </w:pPr>
            <w:r w:rsidRPr="00EC79A5">
              <w:rPr>
                <w:rFonts w:ascii="Verdana" w:hAnsi="Verdana"/>
              </w:rPr>
              <w:t>Revisar criterios judiciales que sustituyen la voluntad de adultos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09556B8B" w14:textId="77777777" w:rsidR="001C4C5A" w:rsidRPr="00EC79A5" w:rsidRDefault="00000000" w:rsidP="00EC79A5">
            <w:pPr>
              <w:spacing w:line="276" w:lineRule="auto"/>
              <w:jc w:val="both"/>
              <w:rPr>
                <w:rFonts w:ascii="Verdana" w:hAnsi="Verdana"/>
              </w:rPr>
            </w:pPr>
            <w:r w:rsidRPr="00EC79A5">
              <w:rPr>
                <w:rFonts w:ascii="Verdana" w:hAnsi="Verdana"/>
              </w:rPr>
              <w:t>Prioritario</w:t>
            </w:r>
          </w:p>
        </w:tc>
        <w:tc>
          <w:tcPr>
            <w:tcW w:w="1432" w:type="dxa"/>
            <w:tcBorders>
              <w:top w:val="single" w:sz="2" w:space="0" w:color="BBBBBB"/>
              <w:left w:val="single" w:sz="2" w:space="0" w:color="BBBBBB"/>
              <w:bottom w:val="single" w:sz="2" w:space="0" w:color="BBBBBB"/>
              <w:right w:val="single" w:sz="2" w:space="0" w:color="BBBBBB"/>
            </w:tcBorders>
            <w:vAlign w:val="center"/>
          </w:tcPr>
          <w:p w14:paraId="2D0B65C6" w14:textId="77777777" w:rsidR="001C4C5A" w:rsidRPr="00EC79A5" w:rsidRDefault="00000000" w:rsidP="00EC79A5">
            <w:pPr>
              <w:spacing w:line="276" w:lineRule="auto"/>
              <w:jc w:val="both"/>
              <w:rPr>
                <w:rFonts w:ascii="Verdana" w:hAnsi="Verdana"/>
              </w:rPr>
            </w:pPr>
            <w:r w:rsidRPr="00EC79A5">
              <w:rPr>
                <w:rFonts w:ascii="Verdana" w:hAnsi="Verdana"/>
              </w:rPr>
              <w:t>12</w:t>
            </w:r>
          </w:p>
        </w:tc>
      </w:tr>
      <w:tr w:rsidR="001C4C5A" w:rsidRPr="00EC79A5" w14:paraId="0FAE43F7"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B2E9D20"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764EC337" w14:textId="77777777" w:rsidR="001C4C5A" w:rsidRPr="00EC79A5" w:rsidRDefault="00000000" w:rsidP="00EC79A5">
            <w:pPr>
              <w:spacing w:line="276" w:lineRule="auto"/>
              <w:jc w:val="both"/>
              <w:rPr>
                <w:rFonts w:ascii="Verdana" w:hAnsi="Verdana"/>
              </w:rPr>
            </w:pPr>
            <w:r w:rsidRPr="00EC79A5">
              <w:rPr>
                <w:rFonts w:ascii="Verdana" w:hAnsi="Verdana"/>
              </w:rPr>
              <w:t>Reportar el número de personas con discapacidad intelectual bajo interdicción o curatela, desagregado por diagnóstico</w:t>
            </w:r>
          </w:p>
        </w:tc>
        <w:tc>
          <w:tcPr>
            <w:tcW w:w="2573" w:type="dxa"/>
            <w:tcBorders>
              <w:top w:val="single" w:sz="2" w:space="0" w:color="BBBBBB"/>
              <w:left w:val="single" w:sz="2" w:space="0" w:color="BBBBBB"/>
              <w:bottom w:val="single" w:sz="2" w:space="0" w:color="BBBBBB"/>
              <w:right w:val="single" w:sz="2" w:space="0" w:color="BBBBBB"/>
            </w:tcBorders>
            <w:vAlign w:val="center"/>
          </w:tcPr>
          <w:p w14:paraId="46A41914" w14:textId="77777777" w:rsidR="001C4C5A" w:rsidRPr="00EC79A5" w:rsidRDefault="00000000"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2062F719" w14:textId="77777777" w:rsidR="001C4C5A" w:rsidRPr="00EC79A5" w:rsidRDefault="00000000" w:rsidP="00EC79A5">
            <w:pPr>
              <w:spacing w:line="276" w:lineRule="auto"/>
              <w:jc w:val="both"/>
              <w:rPr>
                <w:rFonts w:ascii="Verdana" w:hAnsi="Verdana"/>
              </w:rPr>
            </w:pPr>
            <w:r w:rsidRPr="00EC79A5">
              <w:rPr>
                <w:rFonts w:ascii="Verdana" w:hAnsi="Verdana"/>
              </w:rPr>
              <w:t>12, 31</w:t>
            </w:r>
          </w:p>
        </w:tc>
      </w:tr>
      <w:tr w:rsidR="001C4C5A" w:rsidRPr="00EC79A5" w14:paraId="20B34B6B"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2B7211F4"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52279275" w14:textId="6A59D6FB" w:rsidR="001C4C5A" w:rsidRPr="00EC79A5" w:rsidRDefault="0FD20B37" w:rsidP="00EC79A5">
            <w:pPr>
              <w:spacing w:line="276" w:lineRule="auto"/>
              <w:jc w:val="both"/>
              <w:rPr>
                <w:rFonts w:ascii="Verdana" w:hAnsi="Verdana"/>
              </w:rPr>
            </w:pPr>
            <w:r w:rsidRPr="0BC8996A">
              <w:rPr>
                <w:rFonts w:ascii="Verdana" w:hAnsi="Verdana"/>
              </w:rPr>
              <w:t xml:space="preserve">Crear la figura de facilitador judicial especializado en </w:t>
            </w:r>
            <w:r w:rsidR="2BAB1130" w:rsidRPr="0BC8996A">
              <w:rPr>
                <w:rFonts w:ascii="Verdana" w:hAnsi="Verdana"/>
              </w:rPr>
              <w:t>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32A8405" w14:textId="0E8F7805" w:rsidR="001C4C5A" w:rsidRPr="00EC79A5" w:rsidRDefault="0F602D25"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11794C7" w14:textId="77777777" w:rsidR="001C4C5A" w:rsidRPr="00EC79A5" w:rsidRDefault="00000000" w:rsidP="00EC79A5">
            <w:pPr>
              <w:spacing w:line="276" w:lineRule="auto"/>
              <w:jc w:val="both"/>
              <w:rPr>
                <w:rFonts w:ascii="Verdana" w:hAnsi="Verdana"/>
              </w:rPr>
            </w:pPr>
            <w:r w:rsidRPr="00EC79A5">
              <w:rPr>
                <w:rFonts w:ascii="Verdana" w:hAnsi="Verdana"/>
              </w:rPr>
              <w:t>12, 13</w:t>
            </w:r>
          </w:p>
        </w:tc>
      </w:tr>
      <w:tr w:rsidR="001C4C5A" w:rsidRPr="00EC79A5" w14:paraId="2F33AC5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9611965"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3D180325" w14:textId="77777777" w:rsidR="001C4C5A" w:rsidRPr="00EC79A5" w:rsidRDefault="00000000" w:rsidP="00EC79A5">
            <w:pPr>
              <w:spacing w:line="276" w:lineRule="auto"/>
              <w:jc w:val="both"/>
              <w:rPr>
                <w:rFonts w:ascii="Verdana" w:hAnsi="Verdana"/>
              </w:rPr>
            </w:pPr>
            <w:r w:rsidRPr="00EC79A5">
              <w:rPr>
                <w:rFonts w:ascii="Verdana" w:hAnsi="Verdana"/>
              </w:rPr>
              <w:t>Garantizar que el estatuto de facilitadores del Boletín 14.783-07 incorpore explícitamente la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D3D78E8" w14:textId="0CB007E7" w:rsidR="001C4C5A" w:rsidRPr="00EC79A5" w:rsidRDefault="598B052A"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1A544DA6" w14:textId="77777777" w:rsidR="001C4C5A" w:rsidRPr="00EC79A5" w:rsidRDefault="00000000" w:rsidP="00EC79A5">
            <w:pPr>
              <w:spacing w:line="276" w:lineRule="auto"/>
              <w:jc w:val="both"/>
              <w:rPr>
                <w:rFonts w:ascii="Verdana" w:hAnsi="Verdana"/>
              </w:rPr>
            </w:pPr>
            <w:r w:rsidRPr="00EC79A5">
              <w:rPr>
                <w:rFonts w:ascii="Verdana" w:hAnsi="Verdana"/>
              </w:rPr>
              <w:t>13</w:t>
            </w:r>
          </w:p>
        </w:tc>
      </w:tr>
      <w:tr w:rsidR="001C4C5A" w:rsidRPr="00EC79A5" w14:paraId="739431C5"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C66CFE1"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3F41E1E0" w14:textId="77777777" w:rsidR="001C4C5A" w:rsidRPr="00EC79A5" w:rsidRDefault="00000000" w:rsidP="00EC79A5">
            <w:pPr>
              <w:spacing w:line="276" w:lineRule="auto"/>
              <w:jc w:val="both"/>
              <w:rPr>
                <w:rFonts w:ascii="Verdana" w:hAnsi="Verdana"/>
              </w:rPr>
            </w:pPr>
            <w:r w:rsidRPr="00EC79A5">
              <w:rPr>
                <w:rFonts w:ascii="Verdana" w:hAnsi="Verdana"/>
              </w:rPr>
              <w:t>Desagregar causas judicializadas por tipo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5D8320DF" w14:textId="77777777" w:rsidR="001C4C5A" w:rsidRPr="00EC79A5" w:rsidRDefault="00000000"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A90E454" w14:textId="77777777" w:rsidR="001C4C5A" w:rsidRPr="00EC79A5" w:rsidRDefault="00000000" w:rsidP="00EC79A5">
            <w:pPr>
              <w:spacing w:line="276" w:lineRule="auto"/>
              <w:jc w:val="both"/>
              <w:rPr>
                <w:rFonts w:ascii="Verdana" w:hAnsi="Verdana"/>
              </w:rPr>
            </w:pPr>
            <w:r w:rsidRPr="00EC79A5">
              <w:rPr>
                <w:rFonts w:ascii="Verdana" w:hAnsi="Verdana"/>
              </w:rPr>
              <w:t>13, 31</w:t>
            </w:r>
          </w:p>
        </w:tc>
      </w:tr>
      <w:tr w:rsidR="001C4C5A" w:rsidRPr="00EC79A5" w14:paraId="2D9B407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74648CE" w14:textId="77777777" w:rsidR="001C4C5A" w:rsidRPr="00EC79A5" w:rsidRDefault="0FD20B37" w:rsidP="0BC8996A">
            <w:pPr>
              <w:spacing w:line="276" w:lineRule="auto"/>
              <w:jc w:val="center"/>
              <w:rPr>
                <w:rFonts w:ascii="Verdana" w:hAnsi="Verdana"/>
              </w:rPr>
            </w:pPr>
            <w:r w:rsidRPr="0BC8996A">
              <w:rPr>
                <w:rFonts w:ascii="Verdana" w:hAnsi="Verdana"/>
              </w:rPr>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7E63D26F" w14:textId="77777777" w:rsidR="001C4C5A" w:rsidRPr="00EC79A5" w:rsidRDefault="00000000" w:rsidP="00EC79A5">
            <w:pPr>
              <w:spacing w:line="276" w:lineRule="auto"/>
              <w:jc w:val="both"/>
              <w:rPr>
                <w:rFonts w:ascii="Verdana" w:hAnsi="Verdana"/>
              </w:rPr>
            </w:pPr>
            <w:r w:rsidRPr="00EC79A5">
              <w:rPr>
                <w:rFonts w:ascii="Verdana" w:hAnsi="Verdana"/>
              </w:rPr>
              <w:t>Revisar el criterio de "peligrosidad", reportando su efecto sobre personas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68CF717" w14:textId="09742ACC" w:rsidR="001C4C5A" w:rsidRPr="00EC79A5" w:rsidRDefault="38175BCE"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78F0167A" w14:textId="77777777" w:rsidR="001C4C5A" w:rsidRPr="00EC79A5" w:rsidRDefault="00000000" w:rsidP="00EC79A5">
            <w:pPr>
              <w:spacing w:line="276" w:lineRule="auto"/>
              <w:jc w:val="both"/>
              <w:rPr>
                <w:rFonts w:ascii="Verdana" w:hAnsi="Verdana"/>
              </w:rPr>
            </w:pPr>
            <w:r w:rsidRPr="00EC79A5">
              <w:rPr>
                <w:rFonts w:ascii="Verdana" w:hAnsi="Verdana"/>
              </w:rPr>
              <w:t>14</w:t>
            </w:r>
          </w:p>
        </w:tc>
      </w:tr>
      <w:tr w:rsidR="001C4C5A" w:rsidRPr="00EC79A5" w14:paraId="2A9F7BA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38047ED4" w14:textId="77777777" w:rsidR="001C4C5A" w:rsidRPr="00EC79A5" w:rsidRDefault="0FD20B37" w:rsidP="0BC8996A">
            <w:pPr>
              <w:spacing w:line="276" w:lineRule="auto"/>
              <w:jc w:val="center"/>
              <w:rPr>
                <w:rFonts w:ascii="Verdana" w:hAnsi="Verdana"/>
              </w:rPr>
            </w:pPr>
            <w:r w:rsidRPr="0BC8996A">
              <w:rPr>
                <w:rFonts w:ascii="Verdana" w:hAnsi="Verdana"/>
              </w:rPr>
              <w:lastRenderedPageBreak/>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1F8258F1" w14:textId="77777777" w:rsidR="001C4C5A" w:rsidRPr="00EC79A5" w:rsidRDefault="00000000" w:rsidP="00EC79A5">
            <w:pPr>
              <w:spacing w:line="276" w:lineRule="auto"/>
              <w:jc w:val="both"/>
              <w:rPr>
                <w:rFonts w:ascii="Verdana" w:hAnsi="Verdana"/>
              </w:rPr>
            </w:pPr>
            <w:r w:rsidRPr="00EC79A5">
              <w:rPr>
                <w:rFonts w:ascii="Verdana" w:hAnsi="Verdana"/>
              </w:rPr>
              <w:t>Prohibir explícitamente la institucionalización forzada por motivo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669AEBCB" w14:textId="2F2E9D07" w:rsidR="001C4C5A" w:rsidRPr="00EC79A5" w:rsidRDefault="53E8F653"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6054A735" w14:textId="77777777" w:rsidR="001C4C5A" w:rsidRPr="00EC79A5" w:rsidRDefault="00000000" w:rsidP="00EC79A5">
            <w:pPr>
              <w:spacing w:line="276" w:lineRule="auto"/>
              <w:jc w:val="both"/>
              <w:rPr>
                <w:rFonts w:ascii="Verdana" w:hAnsi="Verdana"/>
              </w:rPr>
            </w:pPr>
            <w:r w:rsidRPr="00EC79A5">
              <w:rPr>
                <w:rFonts w:ascii="Verdana" w:hAnsi="Verdana"/>
              </w:rPr>
              <w:t>14</w:t>
            </w:r>
          </w:p>
        </w:tc>
      </w:tr>
      <w:tr w:rsidR="001C4C5A" w:rsidRPr="00EC79A5" w14:paraId="3795404D"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4356FED2" w14:textId="77777777" w:rsidR="001C4C5A" w:rsidRPr="00EC79A5" w:rsidRDefault="0FD20B37" w:rsidP="0BC8996A">
            <w:pPr>
              <w:spacing w:line="276" w:lineRule="auto"/>
              <w:jc w:val="center"/>
              <w:rPr>
                <w:rFonts w:ascii="Verdana" w:hAnsi="Verdana"/>
              </w:rPr>
            </w:pPr>
            <w:r w:rsidRPr="0BC8996A">
              <w:rPr>
                <w:rFonts w:ascii="Verdana" w:hAnsi="Verdana"/>
              </w:rPr>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7B7A99A0" w14:textId="77777777" w:rsidR="001C4C5A" w:rsidRPr="00EC79A5" w:rsidRDefault="00000000" w:rsidP="00EC79A5">
            <w:pPr>
              <w:spacing w:line="276" w:lineRule="auto"/>
              <w:jc w:val="both"/>
              <w:rPr>
                <w:rFonts w:ascii="Verdana" w:hAnsi="Verdana"/>
              </w:rPr>
            </w:pPr>
            <w:r w:rsidRPr="00EC79A5">
              <w:rPr>
                <w:rFonts w:ascii="Verdana" w:hAnsi="Verdana"/>
              </w:rPr>
              <w:t>Incorporar datos desagregados por diagnóstico sobre personas inimputables o internadas</w:t>
            </w:r>
          </w:p>
        </w:tc>
        <w:tc>
          <w:tcPr>
            <w:tcW w:w="2573" w:type="dxa"/>
            <w:tcBorders>
              <w:top w:val="single" w:sz="2" w:space="0" w:color="BBBBBB"/>
              <w:left w:val="single" w:sz="2" w:space="0" w:color="BBBBBB"/>
              <w:bottom w:val="single" w:sz="2" w:space="0" w:color="BBBBBB"/>
              <w:right w:val="single" w:sz="2" w:space="0" w:color="BBBBBB"/>
            </w:tcBorders>
            <w:vAlign w:val="center"/>
          </w:tcPr>
          <w:p w14:paraId="29647913" w14:textId="77777777" w:rsidR="001C4C5A" w:rsidRPr="00EC79A5" w:rsidRDefault="00000000"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E85A19A" w14:textId="77777777" w:rsidR="001C4C5A" w:rsidRPr="00EC79A5" w:rsidRDefault="00000000" w:rsidP="00EC79A5">
            <w:pPr>
              <w:spacing w:line="276" w:lineRule="auto"/>
              <w:jc w:val="both"/>
              <w:rPr>
                <w:rFonts w:ascii="Verdana" w:hAnsi="Verdana"/>
              </w:rPr>
            </w:pPr>
            <w:r w:rsidRPr="00EC79A5">
              <w:rPr>
                <w:rFonts w:ascii="Verdana" w:hAnsi="Verdana"/>
              </w:rPr>
              <w:t>14, 31</w:t>
            </w:r>
          </w:p>
        </w:tc>
      </w:tr>
      <w:tr w:rsidR="001C4C5A" w:rsidRPr="00EC79A5" w14:paraId="2EC9186A"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2C9ADDC" w14:textId="0A95D4CF" w:rsidR="001C4C5A" w:rsidRPr="00EC79A5" w:rsidRDefault="0E921A39"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5E1F98A0" w14:textId="77777777" w:rsidR="001C4C5A" w:rsidRPr="00EC79A5" w:rsidRDefault="00000000" w:rsidP="00EC79A5">
            <w:pPr>
              <w:spacing w:line="276" w:lineRule="auto"/>
              <w:jc w:val="both"/>
              <w:rPr>
                <w:rFonts w:ascii="Verdana" w:hAnsi="Verdana"/>
              </w:rPr>
            </w:pPr>
            <w:r w:rsidRPr="00EC79A5">
              <w:rPr>
                <w:rFonts w:ascii="Verdana" w:hAnsi="Verdana"/>
              </w:rPr>
              <w:t>Eliminar la esterilización u otra intervención irreversible autorizada por sola solicitud de un tercero, sin consentimiento de la persona</w:t>
            </w:r>
          </w:p>
        </w:tc>
        <w:tc>
          <w:tcPr>
            <w:tcW w:w="2573" w:type="dxa"/>
            <w:tcBorders>
              <w:top w:val="single" w:sz="2" w:space="0" w:color="BBBBBB"/>
              <w:left w:val="single" w:sz="2" w:space="0" w:color="BBBBBB"/>
              <w:bottom w:val="single" w:sz="2" w:space="0" w:color="BBBBBB"/>
              <w:right w:val="single" w:sz="2" w:space="0" w:color="BBBBBB"/>
            </w:tcBorders>
            <w:vAlign w:val="center"/>
          </w:tcPr>
          <w:p w14:paraId="7D2F2BCE" w14:textId="59DD26B6" w:rsidR="001C4C5A" w:rsidRPr="00EC79A5" w:rsidRDefault="45D900C8"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15B07D71" w14:textId="77777777" w:rsidR="001C4C5A" w:rsidRPr="00EC79A5" w:rsidRDefault="00000000" w:rsidP="00EC79A5">
            <w:pPr>
              <w:spacing w:line="276" w:lineRule="auto"/>
              <w:jc w:val="both"/>
              <w:rPr>
                <w:rFonts w:ascii="Verdana" w:hAnsi="Verdana"/>
              </w:rPr>
            </w:pPr>
            <w:r w:rsidRPr="00EC79A5">
              <w:rPr>
                <w:rFonts w:ascii="Verdana" w:hAnsi="Verdana"/>
              </w:rPr>
              <w:t>17</w:t>
            </w:r>
          </w:p>
        </w:tc>
      </w:tr>
      <w:tr w:rsidR="001C4C5A" w:rsidRPr="00EC79A5" w14:paraId="01B022CA"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3BA7578" w14:textId="09EF89A0" w:rsidR="001C4C5A" w:rsidRPr="00EC79A5" w:rsidRDefault="0E921A39"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53396A10" w14:textId="77777777" w:rsidR="001C4C5A" w:rsidRPr="00EC79A5" w:rsidRDefault="00000000" w:rsidP="00EC79A5">
            <w:pPr>
              <w:spacing w:line="276" w:lineRule="auto"/>
              <w:jc w:val="both"/>
              <w:rPr>
                <w:rFonts w:ascii="Verdana" w:hAnsi="Verdana"/>
              </w:rPr>
            </w:pPr>
            <w:r w:rsidRPr="00EC79A5">
              <w:rPr>
                <w:rFonts w:ascii="Verdana" w:hAnsi="Verdana"/>
              </w:rPr>
              <w:t>Reportar esterilizaciones e intervenciones irreversibles desagregadas por diagnóstico, edad y sexo</w:t>
            </w:r>
          </w:p>
        </w:tc>
        <w:tc>
          <w:tcPr>
            <w:tcW w:w="2573" w:type="dxa"/>
            <w:tcBorders>
              <w:top w:val="single" w:sz="2" w:space="0" w:color="BBBBBB"/>
              <w:left w:val="single" w:sz="2" w:space="0" w:color="BBBBBB"/>
              <w:bottom w:val="single" w:sz="2" w:space="0" w:color="BBBBBB"/>
              <w:right w:val="single" w:sz="2" w:space="0" w:color="BBBBBB"/>
            </w:tcBorders>
            <w:vAlign w:val="center"/>
          </w:tcPr>
          <w:p w14:paraId="5CA6D030" w14:textId="77777777" w:rsidR="001C4C5A" w:rsidRPr="00EC79A5" w:rsidRDefault="00000000"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68D9C41" w14:textId="77777777" w:rsidR="001C4C5A" w:rsidRPr="00EC79A5" w:rsidRDefault="00000000" w:rsidP="00EC79A5">
            <w:pPr>
              <w:spacing w:line="276" w:lineRule="auto"/>
              <w:jc w:val="both"/>
              <w:rPr>
                <w:rFonts w:ascii="Verdana" w:hAnsi="Verdana"/>
              </w:rPr>
            </w:pPr>
            <w:r w:rsidRPr="00EC79A5">
              <w:rPr>
                <w:rFonts w:ascii="Verdana" w:hAnsi="Verdana"/>
              </w:rPr>
              <w:t>17, 31</w:t>
            </w:r>
          </w:p>
        </w:tc>
      </w:tr>
      <w:tr w:rsidR="001C4C5A" w:rsidRPr="00EC79A5" w14:paraId="1C32A0A0"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D334332" w14:textId="327E46D5" w:rsidR="001C4C5A" w:rsidRPr="00EC79A5" w:rsidRDefault="5A0ADF6D"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12A5CEA1" w14:textId="77777777" w:rsidR="001C4C5A" w:rsidRPr="00EC79A5" w:rsidRDefault="00000000" w:rsidP="00EC79A5">
            <w:pPr>
              <w:spacing w:line="276" w:lineRule="auto"/>
              <w:jc w:val="both"/>
              <w:rPr>
                <w:rFonts w:ascii="Verdana" w:hAnsi="Verdana"/>
              </w:rPr>
            </w:pPr>
            <w:r w:rsidRPr="00EC79A5">
              <w:rPr>
                <w:rFonts w:ascii="Verdana" w:hAnsi="Verdana"/>
              </w:rPr>
              <w:t>Diseñar política de investigación y apoyo a mujeres cuidadoras de personas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7DF4AB76" w14:textId="713BE9DA" w:rsidR="001C4C5A" w:rsidRPr="00EC79A5" w:rsidRDefault="2847941A"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E62B7D1" w14:textId="77777777" w:rsidR="001C4C5A" w:rsidRPr="00EC79A5" w:rsidRDefault="00000000" w:rsidP="00EC79A5">
            <w:pPr>
              <w:spacing w:line="276" w:lineRule="auto"/>
              <w:jc w:val="both"/>
              <w:rPr>
                <w:rFonts w:ascii="Verdana" w:hAnsi="Verdana"/>
              </w:rPr>
            </w:pPr>
            <w:r w:rsidRPr="00EC79A5">
              <w:rPr>
                <w:rFonts w:ascii="Verdana" w:hAnsi="Verdana"/>
              </w:rPr>
              <w:t>17</w:t>
            </w:r>
          </w:p>
        </w:tc>
      </w:tr>
      <w:tr w:rsidR="001C4C5A" w:rsidRPr="00EC79A5" w14:paraId="172EDA22"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D48C97A" w14:textId="5F38A2DC" w:rsidR="001C4C5A" w:rsidRPr="00EC79A5" w:rsidRDefault="5A0ADF6D"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4C6645BB" w14:textId="3E8FA32D" w:rsidR="001C4C5A" w:rsidRPr="00EC79A5" w:rsidRDefault="0FD20B37" w:rsidP="00EC79A5">
            <w:pPr>
              <w:spacing w:line="276" w:lineRule="auto"/>
              <w:jc w:val="both"/>
            </w:pPr>
            <w:r w:rsidRPr="0BC8996A">
              <w:rPr>
                <w:rFonts w:ascii="Verdana" w:hAnsi="Verdana"/>
              </w:rPr>
              <w:t>Fiscalizar activamente el cumplimiento de la Ley N.º 21.331 en centros de discapacidad intelectua</w:t>
            </w:r>
            <w:r w:rsidR="1F28C808" w:rsidRPr="0BC8996A">
              <w:rPr>
                <w:rFonts w:ascii="Verdana" w:hAnsi="Verdana"/>
              </w:rPr>
              <w:t>l</w:t>
            </w:r>
          </w:p>
        </w:tc>
        <w:tc>
          <w:tcPr>
            <w:tcW w:w="2573" w:type="dxa"/>
            <w:tcBorders>
              <w:top w:val="single" w:sz="2" w:space="0" w:color="BBBBBB"/>
              <w:left w:val="single" w:sz="2" w:space="0" w:color="BBBBBB"/>
              <w:bottom w:val="single" w:sz="2" w:space="0" w:color="BBBBBB"/>
              <w:right w:val="single" w:sz="2" w:space="0" w:color="BBBBBB"/>
            </w:tcBorders>
            <w:vAlign w:val="center"/>
          </w:tcPr>
          <w:p w14:paraId="0A8DECCE" w14:textId="77777777" w:rsidR="001C4C5A" w:rsidRPr="00EC79A5" w:rsidRDefault="00000000" w:rsidP="00EC79A5">
            <w:pPr>
              <w:spacing w:line="276" w:lineRule="auto"/>
              <w:jc w:val="both"/>
              <w:rPr>
                <w:rFonts w:ascii="Verdana" w:hAnsi="Verdana"/>
              </w:rPr>
            </w:pPr>
            <w:r w:rsidRPr="00EC79A5">
              <w:rPr>
                <w:rFonts w:ascii="Verdana" w:hAnsi="Verdana"/>
              </w:rPr>
              <w:t>Inmediato</w:t>
            </w:r>
          </w:p>
        </w:tc>
        <w:tc>
          <w:tcPr>
            <w:tcW w:w="1432" w:type="dxa"/>
            <w:tcBorders>
              <w:top w:val="single" w:sz="2" w:space="0" w:color="BBBBBB"/>
              <w:left w:val="single" w:sz="2" w:space="0" w:color="BBBBBB"/>
              <w:bottom w:val="single" w:sz="2" w:space="0" w:color="BBBBBB"/>
              <w:right w:val="single" w:sz="2" w:space="0" w:color="BBBBBB"/>
            </w:tcBorders>
            <w:vAlign w:val="center"/>
          </w:tcPr>
          <w:p w14:paraId="43957A38" w14:textId="6DFB998E" w:rsidR="001C4C5A" w:rsidRPr="00EC79A5" w:rsidRDefault="001C4C5A" w:rsidP="0BC8996A">
            <w:pPr>
              <w:spacing w:line="276" w:lineRule="auto"/>
              <w:jc w:val="both"/>
              <w:rPr>
                <w:rFonts w:ascii="Verdana" w:hAnsi="Verdana"/>
              </w:rPr>
            </w:pPr>
          </w:p>
          <w:p w14:paraId="1E88D89F" w14:textId="24EEC559" w:rsidR="001C4C5A" w:rsidRPr="00EC79A5" w:rsidRDefault="3EB00CC2" w:rsidP="0BC8996A">
            <w:pPr>
              <w:spacing w:line="276" w:lineRule="auto"/>
              <w:jc w:val="both"/>
            </w:pPr>
            <w:r w:rsidRPr="0BC8996A">
              <w:rPr>
                <w:rFonts w:ascii="Verdana" w:hAnsi="Verdana"/>
              </w:rPr>
              <w:t>17</w:t>
            </w:r>
          </w:p>
          <w:p w14:paraId="01C25476" w14:textId="47C21BF0" w:rsidR="001C4C5A" w:rsidRPr="00EC79A5" w:rsidRDefault="001C4C5A" w:rsidP="00EC79A5">
            <w:pPr>
              <w:spacing w:line="276" w:lineRule="auto"/>
              <w:jc w:val="both"/>
              <w:rPr>
                <w:rFonts w:ascii="Verdana" w:hAnsi="Verdana"/>
              </w:rPr>
            </w:pPr>
          </w:p>
        </w:tc>
      </w:tr>
      <w:tr w:rsidR="001C4C5A" w:rsidRPr="00EC79A5" w14:paraId="766DD2DC"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B7304B8" w14:textId="0123E20C" w:rsidR="001C4C5A" w:rsidRPr="00EC79A5" w:rsidRDefault="0E839F9E"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06890ACC" w14:textId="77777777" w:rsidR="001C4C5A" w:rsidRPr="00EC79A5" w:rsidRDefault="00000000" w:rsidP="00EC79A5">
            <w:pPr>
              <w:spacing w:line="276" w:lineRule="auto"/>
              <w:jc w:val="both"/>
              <w:rPr>
                <w:rFonts w:ascii="Verdana" w:hAnsi="Verdana"/>
              </w:rPr>
            </w:pPr>
            <w:r w:rsidRPr="00EC79A5">
              <w:rPr>
                <w:rFonts w:ascii="Verdana" w:hAnsi="Verdana"/>
              </w:rPr>
              <w:t>Programa nacional de vivienda con apoyos graduales</w:t>
            </w:r>
          </w:p>
        </w:tc>
        <w:tc>
          <w:tcPr>
            <w:tcW w:w="2573" w:type="dxa"/>
            <w:tcBorders>
              <w:top w:val="single" w:sz="2" w:space="0" w:color="BBBBBB"/>
              <w:left w:val="single" w:sz="2" w:space="0" w:color="BBBBBB"/>
              <w:bottom w:val="single" w:sz="2" w:space="0" w:color="BBBBBB"/>
              <w:right w:val="single" w:sz="2" w:space="0" w:color="BBBBBB"/>
            </w:tcBorders>
            <w:vAlign w:val="center"/>
          </w:tcPr>
          <w:p w14:paraId="526FE2A4" w14:textId="7E21A4B2" w:rsidR="001C4C5A" w:rsidRPr="00EC79A5" w:rsidRDefault="688ACF99"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9567FB4" w14:textId="77777777" w:rsidR="001C4C5A" w:rsidRPr="00EC79A5" w:rsidRDefault="00000000" w:rsidP="00EC79A5">
            <w:pPr>
              <w:spacing w:line="276" w:lineRule="auto"/>
              <w:jc w:val="both"/>
              <w:rPr>
                <w:rFonts w:ascii="Verdana" w:hAnsi="Verdana"/>
              </w:rPr>
            </w:pPr>
            <w:r w:rsidRPr="00EC79A5">
              <w:rPr>
                <w:rFonts w:ascii="Verdana" w:hAnsi="Verdana"/>
              </w:rPr>
              <w:t>19</w:t>
            </w:r>
          </w:p>
        </w:tc>
      </w:tr>
      <w:tr w:rsidR="001C4C5A" w:rsidRPr="00EC79A5" w14:paraId="0AD14BAE"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E3F4425" w14:textId="5C0AEF77" w:rsidR="001C4C5A" w:rsidRPr="00EC79A5" w:rsidRDefault="62CF268D"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0C2633CF" w14:textId="77777777" w:rsidR="001C4C5A" w:rsidRPr="00EC79A5" w:rsidRDefault="00000000" w:rsidP="00EC79A5">
            <w:pPr>
              <w:spacing w:line="276" w:lineRule="auto"/>
              <w:jc w:val="both"/>
              <w:rPr>
                <w:rFonts w:ascii="Verdana" w:hAnsi="Verdana"/>
              </w:rPr>
            </w:pPr>
            <w:r w:rsidRPr="00EC79A5">
              <w:rPr>
                <w:rFonts w:ascii="Verdana" w:hAnsi="Verdana"/>
              </w:rPr>
              <w:t>Programa de planificación de la transición del cuidado</w:t>
            </w:r>
          </w:p>
        </w:tc>
        <w:tc>
          <w:tcPr>
            <w:tcW w:w="2573" w:type="dxa"/>
            <w:tcBorders>
              <w:top w:val="single" w:sz="2" w:space="0" w:color="BBBBBB"/>
              <w:left w:val="single" w:sz="2" w:space="0" w:color="BBBBBB"/>
              <w:bottom w:val="single" w:sz="2" w:space="0" w:color="BBBBBB"/>
              <w:right w:val="single" w:sz="2" w:space="0" w:color="BBBBBB"/>
            </w:tcBorders>
            <w:vAlign w:val="center"/>
          </w:tcPr>
          <w:p w14:paraId="309E431F" w14:textId="078BB860" w:rsidR="001C4C5A" w:rsidRPr="00EC79A5" w:rsidRDefault="26B95698"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4281DB92" w14:textId="77777777" w:rsidR="001C4C5A" w:rsidRPr="00EC79A5" w:rsidRDefault="00000000" w:rsidP="00EC79A5">
            <w:pPr>
              <w:spacing w:line="276" w:lineRule="auto"/>
              <w:jc w:val="both"/>
              <w:rPr>
                <w:rFonts w:ascii="Verdana" w:hAnsi="Verdana"/>
              </w:rPr>
            </w:pPr>
            <w:r w:rsidRPr="00EC79A5">
              <w:rPr>
                <w:rFonts w:ascii="Verdana" w:hAnsi="Verdana"/>
              </w:rPr>
              <w:t>19, 28</w:t>
            </w:r>
          </w:p>
        </w:tc>
      </w:tr>
      <w:tr w:rsidR="001C4C5A" w:rsidRPr="00EC79A5" w14:paraId="34E2DC10"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A510B4F" w14:textId="00604C09" w:rsidR="001C4C5A" w:rsidRPr="00EC79A5" w:rsidRDefault="62CF268D"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322B98E9" w14:textId="77777777" w:rsidR="001C4C5A" w:rsidRPr="00EC79A5" w:rsidRDefault="00000000" w:rsidP="00EC79A5">
            <w:pPr>
              <w:spacing w:line="276" w:lineRule="auto"/>
              <w:jc w:val="both"/>
              <w:rPr>
                <w:rFonts w:ascii="Verdana" w:hAnsi="Verdana"/>
              </w:rPr>
            </w:pPr>
            <w:r w:rsidRPr="00EC79A5">
              <w:rPr>
                <w:rFonts w:ascii="Verdana" w:hAnsi="Verdana"/>
              </w:rPr>
              <w:t>Desagregar beneficiarios del TVI por tipo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4D95F9DC" w14:textId="77777777" w:rsidR="001C4C5A" w:rsidRPr="00EC79A5" w:rsidRDefault="00000000"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D9F5740" w14:textId="77777777" w:rsidR="001C4C5A" w:rsidRPr="00EC79A5" w:rsidRDefault="00000000" w:rsidP="00EC79A5">
            <w:pPr>
              <w:spacing w:line="276" w:lineRule="auto"/>
              <w:jc w:val="both"/>
              <w:rPr>
                <w:rFonts w:ascii="Verdana" w:hAnsi="Verdana"/>
              </w:rPr>
            </w:pPr>
            <w:r w:rsidRPr="00EC79A5">
              <w:rPr>
                <w:rFonts w:ascii="Verdana" w:hAnsi="Verdana"/>
              </w:rPr>
              <w:t>19, 31</w:t>
            </w:r>
          </w:p>
        </w:tc>
      </w:tr>
      <w:tr w:rsidR="001C4C5A" w:rsidRPr="00EC79A5" w14:paraId="57038345"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E2112EC" w14:textId="794BA502" w:rsidR="001C4C5A" w:rsidRPr="00EC79A5" w:rsidRDefault="5BFA8B4A"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55DFE204" w14:textId="77777777" w:rsidR="001C4C5A" w:rsidRPr="00EC79A5" w:rsidRDefault="00000000" w:rsidP="00EC79A5">
            <w:pPr>
              <w:spacing w:line="276" w:lineRule="auto"/>
              <w:jc w:val="both"/>
              <w:rPr>
                <w:rFonts w:ascii="Verdana" w:hAnsi="Verdana"/>
              </w:rPr>
            </w:pPr>
            <w:r w:rsidRPr="00EC79A5">
              <w:rPr>
                <w:rFonts w:ascii="Verdana" w:hAnsi="Verdana"/>
              </w:rPr>
              <w:t>Fiscalización activa de programas de vida independiente</w:t>
            </w:r>
          </w:p>
        </w:tc>
        <w:tc>
          <w:tcPr>
            <w:tcW w:w="2573" w:type="dxa"/>
            <w:tcBorders>
              <w:top w:val="single" w:sz="2" w:space="0" w:color="BBBBBB"/>
              <w:left w:val="single" w:sz="2" w:space="0" w:color="BBBBBB"/>
              <w:bottom w:val="single" w:sz="2" w:space="0" w:color="BBBBBB"/>
              <w:right w:val="single" w:sz="2" w:space="0" w:color="BBBBBB"/>
            </w:tcBorders>
            <w:vAlign w:val="center"/>
          </w:tcPr>
          <w:p w14:paraId="08EE9E14" w14:textId="77777777" w:rsidR="001C4C5A" w:rsidRPr="00EC79A5" w:rsidRDefault="00000000" w:rsidP="00EC79A5">
            <w:pPr>
              <w:spacing w:line="276" w:lineRule="auto"/>
              <w:jc w:val="both"/>
              <w:rPr>
                <w:rFonts w:ascii="Verdana" w:hAnsi="Verdana"/>
              </w:rPr>
            </w:pPr>
            <w:r w:rsidRPr="00EC79A5">
              <w:rPr>
                <w:rFonts w:ascii="Verdana" w:hAnsi="Verdana"/>
              </w:rPr>
              <w:t>Inmediato</w:t>
            </w:r>
          </w:p>
        </w:tc>
        <w:tc>
          <w:tcPr>
            <w:tcW w:w="1432" w:type="dxa"/>
            <w:tcBorders>
              <w:top w:val="single" w:sz="2" w:space="0" w:color="BBBBBB"/>
              <w:left w:val="single" w:sz="2" w:space="0" w:color="BBBBBB"/>
              <w:bottom w:val="single" w:sz="2" w:space="0" w:color="BBBBBB"/>
              <w:right w:val="single" w:sz="2" w:space="0" w:color="BBBBBB"/>
            </w:tcBorders>
            <w:vAlign w:val="center"/>
          </w:tcPr>
          <w:p w14:paraId="45332AF3" w14:textId="77777777" w:rsidR="001C4C5A" w:rsidRPr="00EC79A5" w:rsidRDefault="00000000" w:rsidP="00EC79A5">
            <w:pPr>
              <w:spacing w:line="276" w:lineRule="auto"/>
              <w:jc w:val="both"/>
              <w:rPr>
                <w:rFonts w:ascii="Verdana" w:hAnsi="Verdana"/>
              </w:rPr>
            </w:pPr>
            <w:r w:rsidRPr="00EC79A5">
              <w:rPr>
                <w:rFonts w:ascii="Verdana" w:hAnsi="Verdana"/>
              </w:rPr>
              <w:t>19</w:t>
            </w:r>
          </w:p>
        </w:tc>
      </w:tr>
      <w:tr w:rsidR="001C4C5A" w:rsidRPr="00EC79A5" w14:paraId="09533856"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3CCFC37C" w14:textId="24828739" w:rsidR="001C4C5A" w:rsidRPr="00EC79A5" w:rsidRDefault="10D77590" w:rsidP="0BC8996A">
            <w:pPr>
              <w:spacing w:line="276" w:lineRule="auto"/>
              <w:jc w:val="center"/>
            </w:pPr>
            <w:r w:rsidRPr="0BC8996A">
              <w:rPr>
                <w:rFonts w:ascii="Verdana" w:hAnsi="Verdana"/>
              </w:rPr>
              <w:lastRenderedPageBreak/>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098B4896" w14:textId="77777777" w:rsidR="001C4C5A" w:rsidRPr="00EC79A5" w:rsidRDefault="00000000" w:rsidP="00EC79A5">
            <w:pPr>
              <w:spacing w:line="276" w:lineRule="auto"/>
              <w:jc w:val="both"/>
              <w:rPr>
                <w:rFonts w:ascii="Verdana" w:hAnsi="Verdana"/>
              </w:rPr>
            </w:pPr>
            <w:r w:rsidRPr="00EC79A5">
              <w:rPr>
                <w:rFonts w:ascii="Verdana" w:hAnsi="Verdana"/>
              </w:rPr>
              <w:t>Desagregar la ENDIDE por diagnóstico específico, incluyendo síndrome de Down</w:t>
            </w:r>
          </w:p>
        </w:tc>
        <w:tc>
          <w:tcPr>
            <w:tcW w:w="2573" w:type="dxa"/>
            <w:tcBorders>
              <w:top w:val="single" w:sz="2" w:space="0" w:color="BBBBBB"/>
              <w:left w:val="single" w:sz="2" w:space="0" w:color="BBBBBB"/>
              <w:bottom w:val="single" w:sz="2" w:space="0" w:color="BBBBBB"/>
              <w:right w:val="single" w:sz="2" w:space="0" w:color="BBBBBB"/>
            </w:tcBorders>
            <w:vAlign w:val="center"/>
          </w:tcPr>
          <w:p w14:paraId="3F6C627B" w14:textId="1FAD8128" w:rsidR="001C4C5A" w:rsidRPr="00EC79A5" w:rsidRDefault="0B1EDB5F"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3C0AE72B" w14:textId="77777777" w:rsidR="001C4C5A" w:rsidRPr="00EC79A5" w:rsidRDefault="00000000" w:rsidP="00EC79A5">
            <w:pPr>
              <w:spacing w:line="276" w:lineRule="auto"/>
              <w:jc w:val="both"/>
              <w:rPr>
                <w:rFonts w:ascii="Verdana" w:hAnsi="Verdana"/>
              </w:rPr>
            </w:pPr>
            <w:r w:rsidRPr="00EC79A5">
              <w:rPr>
                <w:rFonts w:ascii="Verdana" w:hAnsi="Verdana"/>
              </w:rPr>
              <w:t>31</w:t>
            </w:r>
          </w:p>
        </w:tc>
      </w:tr>
      <w:tr w:rsidR="001C4C5A" w:rsidRPr="00EC79A5" w14:paraId="279490E9"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8A4FB4E" w14:textId="617CFC2B" w:rsidR="001C4C5A" w:rsidRPr="00EC79A5" w:rsidRDefault="10D77590" w:rsidP="0BC8996A">
            <w:pPr>
              <w:spacing w:line="276" w:lineRule="auto"/>
              <w:jc w:val="center"/>
            </w:pPr>
            <w:r w:rsidRPr="0BC8996A">
              <w:rPr>
                <w:rFonts w:ascii="Verdana" w:hAnsi="Verdana"/>
              </w:rPr>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4C49C4CA" w14:textId="77777777" w:rsidR="001C4C5A" w:rsidRPr="00EC79A5" w:rsidRDefault="00000000" w:rsidP="00EC79A5">
            <w:pPr>
              <w:spacing w:line="276" w:lineRule="auto"/>
              <w:jc w:val="both"/>
              <w:rPr>
                <w:rFonts w:ascii="Verdana" w:hAnsi="Verdana"/>
              </w:rPr>
            </w:pPr>
            <w:r w:rsidRPr="00EC79A5">
              <w:rPr>
                <w:rFonts w:ascii="Verdana" w:hAnsi="Verdana"/>
              </w:rPr>
              <w:t>Notificación obligatoria de nacimientos con síndrome de Down</w:t>
            </w:r>
          </w:p>
        </w:tc>
        <w:tc>
          <w:tcPr>
            <w:tcW w:w="2573" w:type="dxa"/>
            <w:tcBorders>
              <w:top w:val="single" w:sz="2" w:space="0" w:color="BBBBBB"/>
              <w:left w:val="single" w:sz="2" w:space="0" w:color="BBBBBB"/>
              <w:bottom w:val="single" w:sz="2" w:space="0" w:color="BBBBBB"/>
              <w:right w:val="single" w:sz="2" w:space="0" w:color="BBBBBB"/>
            </w:tcBorders>
            <w:vAlign w:val="center"/>
          </w:tcPr>
          <w:p w14:paraId="450F50F9" w14:textId="3DC83EE2" w:rsidR="001C4C5A" w:rsidRPr="00EC79A5" w:rsidRDefault="69DF337A" w:rsidP="0BC8996A">
            <w:pPr>
              <w:spacing w:line="276" w:lineRule="auto"/>
              <w:jc w:val="both"/>
            </w:pPr>
            <w:r w:rsidRPr="0BC8996A">
              <w:rPr>
                <w:rFonts w:ascii="Verdana" w:eastAsia="Verdana" w:hAnsi="Verdana" w:cs="Verdana"/>
              </w:rPr>
              <w:t xml:space="preserve">Considerar una plazo definido y verificable </w:t>
            </w:r>
            <w:r w:rsidR="63881C61" w:rsidRPr="0BC8996A">
              <w:rPr>
                <w:rFonts w:ascii="Verdana" w:eastAsia="Verdana" w:hAnsi="Verdana" w:cs="Verdana"/>
              </w:rPr>
              <w:t>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77A24741" w14:textId="77777777" w:rsidR="001C4C5A" w:rsidRPr="00EC79A5" w:rsidRDefault="00000000" w:rsidP="00EC79A5">
            <w:pPr>
              <w:spacing w:line="276" w:lineRule="auto"/>
              <w:jc w:val="both"/>
              <w:rPr>
                <w:rFonts w:ascii="Verdana" w:hAnsi="Verdana"/>
              </w:rPr>
            </w:pPr>
            <w:r w:rsidRPr="00EC79A5">
              <w:rPr>
                <w:rFonts w:ascii="Verdana" w:hAnsi="Verdana"/>
              </w:rPr>
              <w:t>31</w:t>
            </w:r>
          </w:p>
        </w:tc>
      </w:tr>
      <w:tr w:rsidR="001C4C5A" w:rsidRPr="00EC79A5" w14:paraId="372B2BC2"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0987FDB6" w14:textId="34DFD599" w:rsidR="001C4C5A" w:rsidRPr="00EC79A5" w:rsidRDefault="330F918A" w:rsidP="0BC8996A">
            <w:pPr>
              <w:spacing w:line="276" w:lineRule="auto"/>
              <w:jc w:val="center"/>
            </w:pPr>
            <w:r w:rsidRPr="0BC8996A">
              <w:rPr>
                <w:rFonts w:ascii="Verdana" w:hAnsi="Verdana"/>
              </w:rPr>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411CD209" w14:textId="77777777" w:rsidR="001C4C5A" w:rsidRPr="00EC79A5" w:rsidRDefault="00000000" w:rsidP="00EC79A5">
            <w:pPr>
              <w:spacing w:line="276" w:lineRule="auto"/>
              <w:jc w:val="both"/>
              <w:rPr>
                <w:rFonts w:ascii="Verdana" w:hAnsi="Verdana"/>
              </w:rPr>
            </w:pPr>
            <w:r w:rsidRPr="00EC79A5">
              <w:rPr>
                <w:rFonts w:ascii="Verdana" w:hAnsi="Verdana"/>
              </w:rPr>
              <w:t>Reporte anual de SENADIS sobre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09B26F7A" w14:textId="77777777" w:rsidR="001C4C5A" w:rsidRPr="00EC79A5" w:rsidRDefault="00000000" w:rsidP="00EC79A5">
            <w:pPr>
              <w:spacing w:line="276" w:lineRule="auto"/>
              <w:jc w:val="both"/>
              <w:rPr>
                <w:rFonts w:ascii="Verdana" w:hAnsi="Verdana"/>
              </w:rPr>
            </w:pPr>
            <w:r w:rsidRPr="00EC79A5">
              <w:rPr>
                <w:rFonts w:ascii="Verdana" w:hAnsi="Verdana"/>
              </w:rPr>
              <w:t>Anual</w:t>
            </w:r>
          </w:p>
        </w:tc>
        <w:tc>
          <w:tcPr>
            <w:tcW w:w="1432" w:type="dxa"/>
            <w:tcBorders>
              <w:top w:val="single" w:sz="2" w:space="0" w:color="BBBBBB"/>
              <w:left w:val="single" w:sz="2" w:space="0" w:color="BBBBBB"/>
              <w:bottom w:val="single" w:sz="2" w:space="0" w:color="BBBBBB"/>
              <w:right w:val="single" w:sz="2" w:space="0" w:color="BBBBBB"/>
            </w:tcBorders>
            <w:vAlign w:val="center"/>
          </w:tcPr>
          <w:p w14:paraId="1D6B4462" w14:textId="77777777" w:rsidR="001C4C5A" w:rsidRPr="00EC79A5" w:rsidRDefault="00000000" w:rsidP="00EC79A5">
            <w:pPr>
              <w:spacing w:line="276" w:lineRule="auto"/>
              <w:jc w:val="both"/>
              <w:rPr>
                <w:rFonts w:ascii="Verdana" w:hAnsi="Verdana"/>
              </w:rPr>
            </w:pPr>
            <w:r w:rsidRPr="00EC79A5">
              <w:rPr>
                <w:rFonts w:ascii="Verdana" w:hAnsi="Verdana"/>
              </w:rPr>
              <w:t>31</w:t>
            </w:r>
          </w:p>
        </w:tc>
      </w:tr>
    </w:tbl>
    <w:p w14:paraId="2263C6A5" w14:textId="173C7F68" w:rsidR="001C4C5A" w:rsidRPr="00EC79A5" w:rsidRDefault="001C4C5A" w:rsidP="0BC8996A">
      <w:pPr>
        <w:pStyle w:val="ChapterPlain"/>
        <w:shd w:val="clear" w:color="auto" w:fill="D9D9D9" w:themeFill="background2" w:themeFillShade="D9"/>
        <w:spacing w:before="400" w:after="200" w:line="276" w:lineRule="auto"/>
        <w:jc w:val="both"/>
        <w:rPr>
          <w:rFonts w:ascii="Verdana" w:hAnsi="Verdana"/>
          <w:sz w:val="22"/>
        </w:rPr>
      </w:pPr>
    </w:p>
    <w:p w14:paraId="3015E8AB" w14:textId="45F32142" w:rsidR="001C4C5A" w:rsidRPr="00EC79A5" w:rsidRDefault="00000000" w:rsidP="0BC8996A">
      <w:pPr>
        <w:spacing w:before="400" w:after="200" w:line="276" w:lineRule="auto"/>
      </w:pPr>
      <w:r>
        <w:br w:type="page"/>
      </w:r>
    </w:p>
    <w:p w14:paraId="76899966" w14:textId="0E828D3D" w:rsidR="001C4C5A" w:rsidRPr="00EC79A5" w:rsidRDefault="7D0AFA10" w:rsidP="0BC8996A">
      <w:pPr>
        <w:pStyle w:val="ChapterPlain"/>
        <w:shd w:val="clear" w:color="auto" w:fill="D9D9D9" w:themeFill="background2" w:themeFillShade="D9"/>
        <w:spacing w:before="400" w:after="200" w:line="276" w:lineRule="auto"/>
        <w:jc w:val="both"/>
        <w:rPr>
          <w:rFonts w:ascii="Verdana" w:hAnsi="Verdana"/>
          <w:sz w:val="22"/>
        </w:rPr>
      </w:pPr>
      <w:r w:rsidRPr="0BC8996A">
        <w:rPr>
          <w:rFonts w:ascii="Verdana" w:hAnsi="Verdana"/>
          <w:sz w:val="22"/>
        </w:rPr>
        <w:lastRenderedPageBreak/>
        <w:t>8</w:t>
      </w:r>
      <w:r w:rsidR="0FD20B37" w:rsidRPr="0BC8996A">
        <w:rPr>
          <w:rFonts w:ascii="Verdana" w:hAnsi="Verdana"/>
          <w:sz w:val="22"/>
        </w:rPr>
        <w:t>. Conclusiones y llamado al Comité</w:t>
      </w:r>
    </w:p>
    <w:p w14:paraId="17CEC6F5" w14:textId="77777777" w:rsidR="001C4C5A" w:rsidRPr="00EC79A5" w:rsidRDefault="00000000" w:rsidP="00EC79A5">
      <w:pPr>
        <w:spacing w:after="200" w:line="276" w:lineRule="auto"/>
        <w:jc w:val="both"/>
        <w:rPr>
          <w:rFonts w:ascii="Verdana" w:hAnsi="Verdana"/>
        </w:rPr>
      </w:pPr>
      <w:r w:rsidRPr="00EC79A5">
        <w:rPr>
          <w:rFonts w:ascii="Verdana" w:hAnsi="Verdana"/>
        </w:rPr>
        <w:t>Este informe ha documentado, con evidencia estadística propia, testimonios directos y análisis normativo, que el Estado de Chile trata a las personas con síndrome de Down como una categoría permanentemente infantilizada e invisible en sus estadísticas y políticas; y que son ellas mismas, sus familias y quienes las acompañan profesionalmente quienes hoy piden, con una misma voz, ser vistas como sujetos de derecho con una trayectoria de vida completa, con capacidad jurídica plena y con la posibilidad real de vivir de forma independiente.</w:t>
      </w:r>
    </w:p>
    <w:p w14:paraId="72B363DE" w14:textId="1FF97E8A" w:rsidR="001C4C5A" w:rsidRPr="00EC79A5" w:rsidRDefault="0FD20B37" w:rsidP="00EC79A5">
      <w:pPr>
        <w:spacing w:after="200" w:line="276" w:lineRule="auto"/>
        <w:jc w:val="both"/>
        <w:rPr>
          <w:rFonts w:ascii="Verdana" w:hAnsi="Verdana"/>
        </w:rPr>
      </w:pPr>
      <w:r w:rsidRPr="0BC8996A">
        <w:rPr>
          <w:rFonts w:ascii="Verdana" w:hAnsi="Verdana"/>
        </w:rPr>
        <w:t xml:space="preserve">La invisibilidad estadística del capítulo </w:t>
      </w:r>
      <w:r w:rsidR="77900026" w:rsidRPr="0BC8996A">
        <w:rPr>
          <w:rFonts w:ascii="Verdana" w:hAnsi="Verdana"/>
        </w:rPr>
        <w:t>6</w:t>
      </w:r>
      <w:r w:rsidRPr="0BC8996A">
        <w:rPr>
          <w:rFonts w:ascii="Verdana" w:hAnsi="Verdana"/>
        </w:rPr>
        <w:t xml:space="preserve"> no es un defecto técnico aislado, y la infantilización documentada en los testimonios no es una percepción subjetiva: aparece de forma convergente en la práctica judicial que sustituye la voluntad de personas adultas (cap. 1), en la ausencia de facilitadores para un acceso efectivo a la justicia (cap. 2), en la falta de datos que impide verificar la exposición a privaciones de libertad injustificadas (cap. 3), en un régimen legal que permite autorizar intervenciones irreversibles como la esterilización con la sola solicitud de un tercero (cap. 5) y en la ausencia de programas de vida independiente y vivienda con apoyos (cap. 6). La falta de un modelo de vida independiente para </w:t>
      </w:r>
      <w:r w:rsidR="531E63B4" w:rsidRPr="0BC8996A">
        <w:rPr>
          <w:rFonts w:ascii="Verdana" w:hAnsi="Verdana"/>
        </w:rPr>
        <w:t>personas con</w:t>
      </w:r>
      <w:r w:rsidRPr="0BC8996A">
        <w:rPr>
          <w:rFonts w:ascii="Verdana" w:hAnsi="Verdana"/>
        </w:rPr>
        <w:t xml:space="preserve"> discapacidad intelectual, a diferencia del existente para </w:t>
      </w:r>
      <w:r w:rsidR="05B01AFC" w:rsidRPr="0BC8996A">
        <w:rPr>
          <w:rFonts w:ascii="Verdana" w:hAnsi="Verdana"/>
        </w:rPr>
        <w:t>personas con discapacidad</w:t>
      </w:r>
      <w:r w:rsidRPr="0BC8996A">
        <w:rPr>
          <w:rFonts w:ascii="Verdana" w:hAnsi="Verdana"/>
        </w:rPr>
        <w:t xml:space="preserve"> psicosocial, expone una asimetría que el Estado no ha explicado ante este Comité.</w:t>
      </w:r>
    </w:p>
    <w:p w14:paraId="670B24B2" w14:textId="58CB6B9D" w:rsidR="001C4C5A" w:rsidRPr="00EC79A5" w:rsidRDefault="0FD20B37" w:rsidP="00EC79A5">
      <w:pPr>
        <w:spacing w:before="300" w:after="200" w:line="276" w:lineRule="auto"/>
        <w:jc w:val="both"/>
        <w:rPr>
          <w:rFonts w:ascii="Verdana" w:hAnsi="Verdana"/>
        </w:rPr>
      </w:pPr>
      <w:r w:rsidRPr="0BC8996A">
        <w:rPr>
          <w:rFonts w:ascii="Verdana" w:hAnsi="Verdana"/>
        </w:rPr>
        <w:t>El C</w:t>
      </w:r>
      <w:r w:rsidR="5EEFA569" w:rsidRPr="0BC8996A">
        <w:rPr>
          <w:rFonts w:ascii="Verdana" w:hAnsi="Verdana"/>
        </w:rPr>
        <w:t xml:space="preserve">UCSD </w:t>
      </w:r>
      <w:r w:rsidRPr="0BC8996A">
        <w:rPr>
          <w:rFonts w:ascii="Verdana" w:hAnsi="Verdana"/>
        </w:rPr>
        <w:t>solicita respetuosamente al Comité incorporar, en su próxima lista de cuestiones y observaciones finales, preguntas y recomendaciones específicas sobre síndrome de Down y discapacidad intelectual en los artículos 12, 13, 14, 17 y 19, sustentadas en los datos desagregados que exige el artículo 31, con plazos e indicadores verificables como los propuestos en esta sección. Este informe fue elaborado con personas con síndrome de Down, y no solo sobre ellas; su voz, la de Sergio Mejía Álvarez y la de quienes participaron de forma anonimizada, constituye la evidencia más sólida de que el cambio que piden es posible: "si yo quiero, yo puedo" (C</w:t>
      </w:r>
      <w:r w:rsidR="1CC6C965" w:rsidRPr="0BC8996A">
        <w:rPr>
          <w:rFonts w:ascii="Verdana" w:hAnsi="Verdana"/>
        </w:rPr>
        <w:t>UCSD</w:t>
      </w:r>
      <w:r w:rsidR="347C5D76" w:rsidRPr="0BC8996A">
        <w:rPr>
          <w:rFonts w:ascii="Verdana" w:hAnsi="Verdana"/>
        </w:rPr>
        <w:t>,</w:t>
      </w:r>
      <w:r w:rsidRPr="0BC8996A">
        <w:rPr>
          <w:rFonts w:ascii="Verdana" w:hAnsi="Verdana"/>
        </w:rPr>
        <w:t xml:space="preserve"> 202</w:t>
      </w:r>
      <w:r w:rsidR="37FC51DB" w:rsidRPr="0BC8996A">
        <w:rPr>
          <w:rFonts w:ascii="Verdana" w:hAnsi="Verdana"/>
        </w:rPr>
        <w:t>6</w:t>
      </w:r>
      <w:r w:rsidRPr="0BC8996A">
        <w:rPr>
          <w:rFonts w:ascii="Verdana" w:hAnsi="Verdana"/>
        </w:rPr>
        <w:t>).</w:t>
      </w:r>
    </w:p>
    <w:p w14:paraId="318BB3D4" w14:textId="77777777" w:rsidR="001C4C5A" w:rsidRPr="00EC79A5" w:rsidRDefault="00000000" w:rsidP="00EC79A5">
      <w:pPr>
        <w:spacing w:line="276" w:lineRule="auto"/>
        <w:jc w:val="both"/>
        <w:rPr>
          <w:rFonts w:ascii="Verdana" w:hAnsi="Verdana"/>
        </w:rPr>
      </w:pPr>
      <w:r w:rsidRPr="00EC79A5">
        <w:rPr>
          <w:rFonts w:ascii="Verdana" w:hAnsi="Verdana"/>
        </w:rPr>
        <w:br w:type="page"/>
      </w:r>
    </w:p>
    <w:p w14:paraId="6F60418F" w14:textId="77777777" w:rsidR="00EC79A5" w:rsidRDefault="0FD20B37" w:rsidP="00EC79A5">
      <w:pPr>
        <w:pStyle w:val="Ttulo1"/>
        <w:spacing w:line="276" w:lineRule="auto"/>
        <w:jc w:val="both"/>
        <w:rPr>
          <w:rFonts w:ascii="Verdana" w:hAnsi="Verdana"/>
          <w:sz w:val="22"/>
          <w:szCs w:val="22"/>
        </w:rPr>
      </w:pPr>
      <w:bookmarkStart w:id="48" w:name="_Toc2103790787"/>
      <w:bookmarkStart w:id="49" w:name="_Toc234609838"/>
      <w:r w:rsidRPr="0BC8996A">
        <w:rPr>
          <w:rFonts w:ascii="Verdana" w:hAnsi="Verdana"/>
          <w:sz w:val="22"/>
          <w:szCs w:val="22"/>
        </w:rPr>
        <w:lastRenderedPageBreak/>
        <w:t>SECCIÓN II.</w:t>
      </w:r>
      <w:bookmarkEnd w:id="48"/>
      <w:r w:rsidRPr="0BC8996A">
        <w:rPr>
          <w:rFonts w:ascii="Verdana" w:hAnsi="Verdana"/>
          <w:sz w:val="22"/>
          <w:szCs w:val="22"/>
        </w:rPr>
        <w:t xml:space="preserve"> </w:t>
      </w:r>
    </w:p>
    <w:p w14:paraId="577EACD2" w14:textId="565754E2" w:rsidR="001C4C5A" w:rsidRPr="00EC79A5" w:rsidRDefault="0FD20B37" w:rsidP="00EC79A5">
      <w:pPr>
        <w:pStyle w:val="Ttulo1"/>
        <w:spacing w:line="276" w:lineRule="auto"/>
        <w:jc w:val="both"/>
        <w:rPr>
          <w:rFonts w:ascii="Verdana" w:hAnsi="Verdana"/>
          <w:sz w:val="22"/>
          <w:szCs w:val="22"/>
        </w:rPr>
      </w:pPr>
      <w:bookmarkStart w:id="50" w:name="_Toc2007079215"/>
      <w:r w:rsidRPr="0BC8996A">
        <w:rPr>
          <w:rFonts w:ascii="Verdana" w:hAnsi="Verdana"/>
          <w:sz w:val="22"/>
          <w:szCs w:val="22"/>
        </w:rPr>
        <w:t>EDUCACIÓN INCLUSIVA, SALUD Y ATENCIÓN TEMPRANA (TEMA 5)</w:t>
      </w:r>
      <w:bookmarkEnd w:id="49"/>
      <w:bookmarkEnd w:id="50"/>
    </w:p>
    <w:p w14:paraId="31B8E834" w14:textId="77777777" w:rsidR="001C4C5A" w:rsidRPr="00EC79A5" w:rsidRDefault="0FD20B37" w:rsidP="0BC8996A">
      <w:pPr>
        <w:pStyle w:val="Ttulo2"/>
        <w:shd w:val="clear" w:color="auto" w:fill="D9D9D9" w:themeFill="background2" w:themeFillShade="D9"/>
        <w:spacing w:before="280" w:after="140" w:line="276" w:lineRule="auto"/>
        <w:jc w:val="both"/>
        <w:rPr>
          <w:rFonts w:ascii="Verdana" w:hAnsi="Verdana"/>
          <w:sz w:val="22"/>
          <w:szCs w:val="22"/>
        </w:rPr>
      </w:pPr>
      <w:bookmarkStart w:id="51" w:name="_Toc2097946235"/>
      <w:r w:rsidRPr="0BC8996A">
        <w:rPr>
          <w:rFonts w:ascii="Verdana" w:hAnsi="Verdana"/>
          <w:sz w:val="22"/>
          <w:szCs w:val="22"/>
        </w:rPr>
        <w:t>1. Derecho a la educación inclusiva (Art. 24)</w:t>
      </w:r>
      <w:bookmarkEnd w:id="51"/>
    </w:p>
    <w:p w14:paraId="1DB0ECA8" w14:textId="77777777" w:rsidR="001C4C5A" w:rsidRPr="00EC79A5" w:rsidRDefault="0FD20B37" w:rsidP="00EC79A5">
      <w:pPr>
        <w:pStyle w:val="Ttulo3"/>
        <w:spacing w:before="200" w:after="100" w:line="276" w:lineRule="auto"/>
        <w:jc w:val="both"/>
        <w:rPr>
          <w:rFonts w:ascii="Verdana" w:hAnsi="Verdana"/>
          <w:sz w:val="22"/>
          <w:szCs w:val="22"/>
        </w:rPr>
      </w:pPr>
      <w:bookmarkStart w:id="52" w:name="_Toc1386814898"/>
      <w:r w:rsidRPr="0BC8996A">
        <w:rPr>
          <w:rFonts w:ascii="Verdana" w:hAnsi="Verdana"/>
          <w:sz w:val="22"/>
          <w:szCs w:val="22"/>
        </w:rPr>
        <w:t>1.1 Marco normativo</w:t>
      </w:r>
      <w:bookmarkEnd w:id="52"/>
    </w:p>
    <w:p w14:paraId="2773B3BD" w14:textId="1CAE1BA0" w:rsidR="001C4C5A" w:rsidRPr="00EC79A5" w:rsidRDefault="0FD20B37" w:rsidP="00EC79A5">
      <w:pPr>
        <w:spacing w:after="160" w:line="276" w:lineRule="auto"/>
        <w:jc w:val="both"/>
        <w:rPr>
          <w:rFonts w:ascii="Verdana" w:hAnsi="Verdana"/>
        </w:rPr>
      </w:pPr>
      <w:r w:rsidRPr="0BC8996A">
        <w:rPr>
          <w:rFonts w:ascii="Verdana" w:hAnsi="Verdana"/>
        </w:rPr>
        <w:t>El artículo 24 reconoce el derecho a la educación inclusiva en todos los niveles, incluido el superior. En 2016, el Comité expresó preocupación porque la educación inclusiva no era prioritaria y prevalecía la educación especial segregada</w:t>
      </w:r>
      <w:r w:rsidR="0CE801F1" w:rsidRPr="0BC8996A">
        <w:rPr>
          <w:rFonts w:ascii="Verdana" w:hAnsi="Verdana"/>
        </w:rPr>
        <w:t xml:space="preserve"> y</w:t>
      </w:r>
      <w:r w:rsidRPr="0BC8996A">
        <w:rPr>
          <w:rFonts w:ascii="Verdana" w:hAnsi="Verdana"/>
        </w:rPr>
        <w:t xml:space="preserve"> sin esfuerzos para promover la educación superior inclusiva (párr. 49). Recomendó un plan de transición hacia la educación inclusiva a todo nivel con capacitación docente, apoyos individualizados —considerando especialmente a personas con discapacidad intelectual o psicosocial— y ajustes razonables en los procedimientos de admisión a la educación superior (párr. 50).</w:t>
      </w:r>
    </w:p>
    <w:p w14:paraId="1CC310CF" w14:textId="0CDC45FD" w:rsidR="001C4C5A" w:rsidRPr="00EC79A5" w:rsidRDefault="0FD20B37" w:rsidP="00EC79A5">
      <w:pPr>
        <w:spacing w:after="160" w:line="276" w:lineRule="auto"/>
        <w:jc w:val="both"/>
        <w:rPr>
          <w:rFonts w:ascii="Verdana" w:hAnsi="Verdana"/>
        </w:rPr>
      </w:pPr>
      <w:r w:rsidRPr="0BC8996A">
        <w:rPr>
          <w:rFonts w:ascii="Verdana" w:hAnsi="Verdana"/>
          <w:color w:val="000000" w:themeColor="text2"/>
        </w:rPr>
        <w:t>En Chile, el marco legal vigente en educación inclusiva combina la Ley N.º 20.845 (2015, Ley de Inclusión Escolar), el Decreto N.º 83 exento (2015, que regula la diversificación de la enseñanza para estudiantes con necesidades educativas especiales) y el Decreto N.º 170, que en 2017 incorporó formalmente a los estudiantes con síndrome de Down como "estudiantes con necesidades educativas especiales permanentes", habilitándolos como beneficiarios del Programa de Integración Escolar (PIE) (</w:t>
      </w:r>
      <w:r w:rsidR="64A64345" w:rsidRPr="0BC8996A">
        <w:rPr>
          <w:rFonts w:ascii="Verdana" w:hAnsi="Verdana"/>
          <w:color w:val="000000" w:themeColor="text2"/>
        </w:rPr>
        <w:t>Lizama y cols</w:t>
      </w:r>
      <w:r w:rsidRPr="0BC8996A">
        <w:rPr>
          <w:rFonts w:ascii="Verdana" w:hAnsi="Verdana"/>
          <w:color w:val="000000" w:themeColor="text2"/>
        </w:rPr>
        <w:t>, 2025).</w:t>
      </w:r>
    </w:p>
    <w:p w14:paraId="0268A30E" w14:textId="77777777" w:rsidR="001C4C5A" w:rsidRPr="00EC79A5" w:rsidRDefault="0FD20B37" w:rsidP="00EC79A5">
      <w:pPr>
        <w:pStyle w:val="Ttulo3"/>
        <w:spacing w:before="200" w:after="100" w:line="276" w:lineRule="auto"/>
        <w:jc w:val="both"/>
        <w:rPr>
          <w:rFonts w:ascii="Verdana" w:hAnsi="Verdana"/>
          <w:sz w:val="22"/>
          <w:szCs w:val="22"/>
        </w:rPr>
      </w:pPr>
      <w:bookmarkStart w:id="53" w:name="_Toc1689514124"/>
      <w:r w:rsidRPr="0BC8996A">
        <w:rPr>
          <w:rFonts w:ascii="Verdana" w:hAnsi="Verdana"/>
          <w:sz w:val="22"/>
          <w:szCs w:val="22"/>
        </w:rPr>
        <w:t>1.2 Políticas públicas</w:t>
      </w:r>
      <w:bookmarkEnd w:id="53"/>
    </w:p>
    <w:p w14:paraId="0343F900" w14:textId="77777777" w:rsidR="001C4C5A" w:rsidRPr="00EC79A5" w:rsidRDefault="00000000" w:rsidP="00EC79A5">
      <w:pPr>
        <w:spacing w:after="160" w:line="276" w:lineRule="auto"/>
        <w:jc w:val="both"/>
        <w:rPr>
          <w:rFonts w:ascii="Verdana" w:hAnsi="Verdana"/>
        </w:rPr>
      </w:pPr>
      <w:r w:rsidRPr="00EC79A5">
        <w:rPr>
          <w:rFonts w:ascii="Verdana" w:hAnsi="Verdana"/>
        </w:rPr>
        <w:t>El Estado informa en 2022 acciones de implementación del Decreto N.º 83: acompañamiento remoto desde 2019 a 157 escuelas especiales; el programa de SENADIS de apoyo a instituciones educativas, que financia tecnologías, capacitación docente en Diseño Universal de Aprendizaje (DUA) y adecuaciones metodológicas; y, desde 2018, apoyos adicionales del DEMRE en las pruebas de acceso a la educación superior (párrs. 143-144, 148).</w:t>
      </w:r>
    </w:p>
    <w:p w14:paraId="61B42F38" w14:textId="1E0DD6AE" w:rsidR="001C4C5A" w:rsidRPr="00EC79A5" w:rsidRDefault="0D2C56C0" w:rsidP="00EC79A5">
      <w:pPr>
        <w:spacing w:after="160" w:line="276" w:lineRule="auto"/>
        <w:jc w:val="both"/>
        <w:rPr>
          <w:rFonts w:ascii="Verdana" w:hAnsi="Verdana"/>
        </w:rPr>
      </w:pPr>
      <w:r w:rsidRPr="0BC8996A">
        <w:rPr>
          <w:rFonts w:ascii="Verdana" w:hAnsi="Verdana"/>
          <w:color w:val="000000" w:themeColor="text2"/>
        </w:rPr>
        <w:t>A</w:t>
      </w:r>
      <w:r w:rsidR="0FD20B37" w:rsidRPr="0BC8996A">
        <w:rPr>
          <w:rFonts w:ascii="Verdana" w:hAnsi="Verdana"/>
          <w:color w:val="000000" w:themeColor="text2"/>
        </w:rPr>
        <w:t xml:space="preserve"> través de las Mesas Participativas, </w:t>
      </w:r>
      <w:r w:rsidR="1BEB0B8E" w:rsidRPr="0BC8996A">
        <w:rPr>
          <w:rFonts w:ascii="Verdana" w:hAnsi="Verdana"/>
          <w:color w:val="000000" w:themeColor="text2"/>
        </w:rPr>
        <w:t>se expone la necesidad de</w:t>
      </w:r>
      <w:r w:rsidR="0FD20B37" w:rsidRPr="0BC8996A">
        <w:rPr>
          <w:rFonts w:ascii="Verdana" w:hAnsi="Verdana"/>
          <w:color w:val="000000" w:themeColor="text2"/>
        </w:rPr>
        <w:t xml:space="preserve"> fortalecer la Superintendencia de Educación para la regulación y fiscalización del cumplimiento de la Ley de Inclusión Escolar en todas las escuelas, e incorporar formación en metodologías para enseñar a personas con síndrome de Down y otras discapacidades </w:t>
      </w:r>
      <w:r w:rsidR="6363D616" w:rsidRPr="0BC8996A">
        <w:rPr>
          <w:rFonts w:ascii="Verdana" w:hAnsi="Verdana"/>
          <w:color w:val="000000" w:themeColor="text2"/>
        </w:rPr>
        <w:t>intelectuale</w:t>
      </w:r>
      <w:r w:rsidR="0FD20B37" w:rsidRPr="0BC8996A">
        <w:rPr>
          <w:rFonts w:ascii="Verdana" w:hAnsi="Verdana"/>
          <w:color w:val="000000" w:themeColor="text2"/>
        </w:rPr>
        <w:t>s en los programas de pregrado de todas las carreras de educación</w:t>
      </w:r>
      <w:r w:rsidR="3FABD81C" w:rsidRPr="0BC8996A">
        <w:rPr>
          <w:rFonts w:ascii="Verdana" w:hAnsi="Verdana"/>
          <w:color w:val="000000" w:themeColor="text2"/>
        </w:rPr>
        <w:t xml:space="preserve"> y</w:t>
      </w:r>
      <w:r w:rsidR="0FD20B37" w:rsidRPr="0BC8996A">
        <w:rPr>
          <w:rFonts w:ascii="Verdana" w:hAnsi="Verdana"/>
          <w:color w:val="000000" w:themeColor="text2"/>
        </w:rPr>
        <w:t xml:space="preserve"> no solo en capacitaciones posteriores a la titulación (</w:t>
      </w:r>
      <w:r w:rsidR="4C33F576" w:rsidRPr="0BC8996A">
        <w:rPr>
          <w:rFonts w:ascii="Verdana" w:hAnsi="Verdana"/>
          <w:color w:val="000000" w:themeColor="text2"/>
        </w:rPr>
        <w:t>Lizama y cols</w:t>
      </w:r>
      <w:r w:rsidR="0FD20B37" w:rsidRPr="0BC8996A">
        <w:rPr>
          <w:rFonts w:ascii="Verdana" w:hAnsi="Verdana"/>
          <w:color w:val="000000" w:themeColor="text2"/>
        </w:rPr>
        <w:t>, 2025).</w:t>
      </w:r>
    </w:p>
    <w:p w14:paraId="4C42A945" w14:textId="046B2DED" w:rsidR="001C4C5A" w:rsidRPr="00EC79A5" w:rsidRDefault="001C4C5A" w:rsidP="0BC8996A">
      <w:pPr>
        <w:pStyle w:val="Ttulo3"/>
        <w:spacing w:before="200" w:after="100" w:line="276" w:lineRule="auto"/>
        <w:jc w:val="both"/>
        <w:rPr>
          <w:rFonts w:ascii="Verdana" w:hAnsi="Verdana"/>
          <w:sz w:val="22"/>
          <w:szCs w:val="22"/>
        </w:rPr>
      </w:pPr>
    </w:p>
    <w:p w14:paraId="7A56794B" w14:textId="665F85CE" w:rsidR="001C4C5A" w:rsidRPr="00EC79A5" w:rsidRDefault="00000000" w:rsidP="0BC8996A">
      <w:pPr>
        <w:spacing w:before="200" w:after="100" w:line="276" w:lineRule="auto"/>
      </w:pPr>
      <w:r>
        <w:br w:type="page"/>
      </w:r>
    </w:p>
    <w:p w14:paraId="58846D5A" w14:textId="49BA8558" w:rsidR="001C4C5A" w:rsidRPr="00EC79A5" w:rsidRDefault="0FD20B37" w:rsidP="00EC79A5">
      <w:pPr>
        <w:pStyle w:val="Ttulo3"/>
        <w:spacing w:before="200" w:after="100" w:line="276" w:lineRule="auto"/>
        <w:jc w:val="both"/>
        <w:rPr>
          <w:rFonts w:ascii="Verdana" w:hAnsi="Verdana"/>
          <w:sz w:val="22"/>
          <w:szCs w:val="22"/>
        </w:rPr>
      </w:pPr>
      <w:bookmarkStart w:id="54" w:name="_Toc822046600"/>
      <w:r w:rsidRPr="0BC8996A">
        <w:rPr>
          <w:rFonts w:ascii="Verdana" w:hAnsi="Verdana"/>
          <w:sz w:val="22"/>
          <w:szCs w:val="22"/>
        </w:rPr>
        <w:lastRenderedPageBreak/>
        <w:t>1.3 Implementación práctica</w:t>
      </w:r>
      <w:bookmarkEnd w:id="54"/>
    </w:p>
    <w:p w14:paraId="6B63EB1C" w14:textId="77777777" w:rsidR="001C4C5A" w:rsidRPr="00EC79A5" w:rsidRDefault="00000000" w:rsidP="00EC79A5">
      <w:pPr>
        <w:spacing w:after="160" w:line="276" w:lineRule="auto"/>
        <w:jc w:val="both"/>
        <w:rPr>
          <w:rFonts w:ascii="Verdana" w:hAnsi="Verdana"/>
        </w:rPr>
      </w:pPr>
      <w:r w:rsidRPr="00EC79A5">
        <w:rPr>
          <w:rFonts w:ascii="Verdana" w:hAnsi="Verdana"/>
        </w:rPr>
        <w:t>El Estado reporta que el PIE elevó la matrícula de estudiantes con discapacidad en educación regular a un promedio de 70%, con un 30% en escuelas especiales; la matrícula PIE creció de 75.717 estudiantes en 2017 a 102.452 en 2022, mientras la de escuelas especiales se mantuvo estable (39.977 a 38.701) (Estado de Chile, 2022, párr. 147).</w:t>
      </w:r>
    </w:p>
    <w:p w14:paraId="733F9412" w14:textId="33339250" w:rsidR="001C4C5A" w:rsidRPr="00EC79A5" w:rsidRDefault="0FD20B37" w:rsidP="00EC79A5">
      <w:pPr>
        <w:spacing w:after="160" w:line="276" w:lineRule="auto"/>
        <w:jc w:val="both"/>
        <w:rPr>
          <w:rFonts w:ascii="Verdana" w:hAnsi="Verdana"/>
        </w:rPr>
      </w:pPr>
      <w:r w:rsidRPr="0BC8996A">
        <w:rPr>
          <w:rFonts w:ascii="Verdana" w:hAnsi="Verdana"/>
        </w:rPr>
        <w:t>Las Mesas Participativas documentan una brecha entre esa cobertura formal y la calidad de los apoyos: la "implementación deficiente de normativas" ("la Ley de Inclusión no se cumple en muchas escuelas"), los escasos recursos para ajustes razonables —materiales accesibles, asistentes de aula, tecnologías de apoyo— y un sistema que "sigue utilizando un sistema de evaluación tradicional que no reconoce los distintos ritmos de aprendizaje" (</w:t>
      </w:r>
      <w:r w:rsidR="61B4CF31" w:rsidRPr="0BC8996A">
        <w:rPr>
          <w:rFonts w:ascii="Verdana" w:hAnsi="Verdana"/>
        </w:rPr>
        <w:t>Lizama y cols</w:t>
      </w:r>
      <w:r w:rsidR="020C99F2" w:rsidRPr="0BC8996A">
        <w:rPr>
          <w:rFonts w:ascii="Verdana" w:hAnsi="Verdana"/>
        </w:rPr>
        <w:t>.</w:t>
      </w:r>
      <w:r w:rsidR="61B4CF31" w:rsidRPr="0BC8996A">
        <w:rPr>
          <w:rFonts w:ascii="Verdana" w:hAnsi="Verdana"/>
        </w:rPr>
        <w:t>,</w:t>
      </w:r>
      <w:r w:rsidRPr="0BC8996A">
        <w:rPr>
          <w:rFonts w:ascii="Verdana" w:hAnsi="Verdana"/>
        </w:rPr>
        <w:t xml:space="preserve"> 2025). Es evidencia cualitativa de un patrón identificado en siete mesas de trabajo, no una muestra representativa.</w:t>
      </w:r>
    </w:p>
    <w:p w14:paraId="69205CF7" w14:textId="5A5DE40D" w:rsidR="001C4C5A" w:rsidRPr="00EC79A5" w:rsidRDefault="0FD20B37" w:rsidP="00EC79A5">
      <w:pPr>
        <w:spacing w:after="160" w:line="276" w:lineRule="auto"/>
        <w:jc w:val="both"/>
        <w:rPr>
          <w:rFonts w:ascii="Verdana" w:hAnsi="Verdana"/>
        </w:rPr>
      </w:pPr>
      <w:r w:rsidRPr="0BC8996A">
        <w:rPr>
          <w:rFonts w:ascii="Verdana" w:hAnsi="Verdana"/>
          <w:color w:val="000000" w:themeColor="text2"/>
        </w:rPr>
        <w:t xml:space="preserve">La brecha más significativa para la transición a la vida adulta, no obstante, se ubica en la educación superior: no existen adaptaciones en programas universitarios ni alternativas accesibles para personas con </w:t>
      </w:r>
      <w:r w:rsidR="2BAB1130" w:rsidRPr="0BC8996A">
        <w:rPr>
          <w:rFonts w:ascii="Verdana" w:hAnsi="Verdana"/>
          <w:color w:val="000000" w:themeColor="text2"/>
        </w:rPr>
        <w:t>discapacidad intelectual</w:t>
      </w:r>
      <w:r w:rsidRPr="0BC8996A">
        <w:rPr>
          <w:rFonts w:ascii="Verdana" w:hAnsi="Verdana"/>
          <w:color w:val="000000" w:themeColor="text2"/>
        </w:rPr>
        <w:t>, y las escuelas especiales no otorgan una certificación de egreso homologable a la licencia de educación media, lo que impide a sus egresados postular a educación técnico-superior incluso cuando cuentan con las competencias necesarias (</w:t>
      </w:r>
      <w:r w:rsidR="6DA64FBB" w:rsidRPr="0BC8996A">
        <w:rPr>
          <w:rFonts w:ascii="Verdana" w:hAnsi="Verdana"/>
          <w:color w:val="000000" w:themeColor="text2"/>
        </w:rPr>
        <w:t>Lizama y cols</w:t>
      </w:r>
      <w:r w:rsidR="2A8C3F77" w:rsidRPr="0BC8996A">
        <w:rPr>
          <w:rFonts w:ascii="Verdana" w:hAnsi="Verdana"/>
          <w:color w:val="000000" w:themeColor="text2"/>
        </w:rPr>
        <w:t>.</w:t>
      </w:r>
      <w:r w:rsidRPr="0BC8996A">
        <w:rPr>
          <w:rFonts w:ascii="Verdana" w:hAnsi="Verdana"/>
          <w:color w:val="000000" w:themeColor="text2"/>
        </w:rPr>
        <w:t>, 2025).</w:t>
      </w:r>
    </w:p>
    <w:p w14:paraId="199B5543" w14:textId="77777777" w:rsidR="001C4C5A" w:rsidRPr="00EC79A5" w:rsidRDefault="0FD20B37" w:rsidP="00EC79A5">
      <w:pPr>
        <w:pStyle w:val="Ttulo3"/>
        <w:spacing w:before="200" w:after="100" w:line="276" w:lineRule="auto"/>
        <w:jc w:val="both"/>
        <w:rPr>
          <w:rFonts w:ascii="Verdana" w:hAnsi="Verdana"/>
          <w:sz w:val="22"/>
          <w:szCs w:val="22"/>
        </w:rPr>
      </w:pPr>
      <w:bookmarkStart w:id="55" w:name="_Toc1261023945"/>
      <w:r w:rsidRPr="0BC8996A">
        <w:rPr>
          <w:rFonts w:ascii="Verdana" w:hAnsi="Verdana"/>
          <w:sz w:val="22"/>
          <w:szCs w:val="22"/>
        </w:rPr>
        <w:t>1.4 Evidencia</w:t>
      </w:r>
      <w:bookmarkEnd w:id="55"/>
    </w:p>
    <w:p w14:paraId="7722A388" w14:textId="1F6E9259" w:rsidR="001C4C5A" w:rsidRPr="00EC79A5" w:rsidRDefault="0FD20B37" w:rsidP="00EC79A5">
      <w:pPr>
        <w:spacing w:after="160" w:line="276" w:lineRule="auto"/>
        <w:jc w:val="both"/>
        <w:rPr>
          <w:rFonts w:ascii="Verdana" w:hAnsi="Verdana"/>
        </w:rPr>
      </w:pPr>
      <w:r w:rsidRPr="0BC8996A">
        <w:rPr>
          <w:rFonts w:ascii="Verdana" w:hAnsi="Verdana"/>
        </w:rPr>
        <w:t xml:space="preserve">Más allá de las cifras de matrícula, no existe evidencia pública desagregada por diagnóstico dentro del sistema PIE, lo que impide determinar cuántos estudiantes con síndrome de Down están matriculados, cómo se distribuyen entre escuelas regulares y especiales, y cuál es su tasa de egreso o de tránsito a la educación superior. Las Mesas Participativas identificaron seis brechas convergentes: implementación deficiente de la normativa, falta de formación docente en </w:t>
      </w:r>
      <w:r w:rsidR="2BAB1130" w:rsidRPr="0BC8996A">
        <w:rPr>
          <w:rFonts w:ascii="Verdana" w:hAnsi="Verdana"/>
        </w:rPr>
        <w:t>discapacidad intelectual</w:t>
      </w:r>
      <w:r w:rsidRPr="0BC8996A">
        <w:rPr>
          <w:rFonts w:ascii="Verdana" w:hAnsi="Verdana"/>
        </w:rPr>
        <w:t>, escasos recursos para ajustes razonables, barreras de acceso a la educación superior, material educativo poco accesible y ausencia de sistemas de evaluación inclusivos (</w:t>
      </w:r>
      <w:r w:rsidR="3CE2CC23" w:rsidRPr="0BC8996A">
        <w:rPr>
          <w:rFonts w:ascii="Verdana" w:hAnsi="Verdana"/>
        </w:rPr>
        <w:t>Lizama y cols.</w:t>
      </w:r>
      <w:r w:rsidRPr="0BC8996A">
        <w:rPr>
          <w:rFonts w:ascii="Verdana" w:hAnsi="Verdana"/>
        </w:rPr>
        <w:t>, 2025). La convergencia entre este ejercicio participativo y la ausencia de indicadores oficiales de resultado constituye, en sí misma, un hallazgo relevante para el Comité.</w:t>
      </w:r>
    </w:p>
    <w:p w14:paraId="06E8A174" w14:textId="77777777" w:rsidR="001C4C5A" w:rsidRPr="00EC79A5" w:rsidRDefault="00000000" w:rsidP="00EC79A5">
      <w:pPr>
        <w:spacing w:line="276" w:lineRule="auto"/>
        <w:jc w:val="both"/>
        <w:rPr>
          <w:rFonts w:ascii="Verdana" w:hAnsi="Verdana"/>
        </w:rPr>
      </w:pPr>
      <w:r w:rsidRPr="00EC79A5">
        <w:rPr>
          <w:rFonts w:ascii="Verdana" w:hAnsi="Verdana"/>
          <w:b/>
        </w:rPr>
        <w:t xml:space="preserve">Punto crítico para esta etapa de supervisión: </w:t>
      </w:r>
      <w:r w:rsidRPr="00EC79A5">
        <w:rPr>
          <w:rFonts w:ascii="Verdana" w:hAnsi="Verdana"/>
        </w:rPr>
        <w:t xml:space="preserve">la incorporación del síndrome de Down como beneficiario del PIE data de 2017, ciclo posterior a las Observaciones de 2016; el Comité debería preguntar por qué el informe estatal de 2022 no la reporta como avance específico para esta población. El Estado reporta el DUA como contenido de capacitación docente, pero no reporta ningún mecanismo que verifique si esa capacitación se traduce en aulas efectivamente diversificadas: se requieren indicadores de resultado sobre la implementación del Decreto N.º 83. Finalmente, la </w:t>
      </w:r>
      <w:r w:rsidRPr="00EC79A5">
        <w:rPr>
          <w:rFonts w:ascii="Verdana" w:hAnsi="Verdana"/>
        </w:rPr>
        <w:lastRenderedPageBreak/>
        <w:t>ausencia de una certificación de egreso homologable convierte la segregación educativa en una barrera de por vida, al cerrar el acceso a la educación técnico-superior; el Comité debería preguntar por qué no existe un mecanismo de homologación o de examen libre para los egresados de escuelas especiales.</w:t>
      </w:r>
    </w:p>
    <w:p w14:paraId="25869B29" w14:textId="77777777" w:rsidR="001C4C5A" w:rsidRPr="00EC79A5" w:rsidRDefault="0FD20B37" w:rsidP="00EC79A5">
      <w:pPr>
        <w:pStyle w:val="Ttulo3"/>
        <w:spacing w:before="200" w:after="100" w:line="276" w:lineRule="auto"/>
        <w:jc w:val="both"/>
        <w:rPr>
          <w:rFonts w:ascii="Verdana" w:hAnsi="Verdana"/>
          <w:sz w:val="22"/>
          <w:szCs w:val="22"/>
        </w:rPr>
      </w:pPr>
      <w:bookmarkStart w:id="56" w:name="_Toc803453166"/>
      <w:r w:rsidRPr="0BC8996A">
        <w:rPr>
          <w:rFonts w:ascii="Verdana" w:hAnsi="Verdana"/>
          <w:sz w:val="22"/>
          <w:szCs w:val="22"/>
        </w:rPr>
        <w:t>1.5 Recomendaciones</w:t>
      </w:r>
      <w:bookmarkEnd w:id="56"/>
    </w:p>
    <w:p w14:paraId="37FB3A54" w14:textId="62EEE734" w:rsidR="001C4C5A" w:rsidRPr="00EC79A5" w:rsidRDefault="0FD20B37" w:rsidP="00EC79A5">
      <w:pPr>
        <w:spacing w:after="160" w:line="276" w:lineRule="auto"/>
        <w:jc w:val="both"/>
        <w:rPr>
          <w:rFonts w:ascii="Verdana" w:hAnsi="Verdana"/>
        </w:rPr>
      </w:pPr>
      <w:r w:rsidRPr="0BC8996A">
        <w:rPr>
          <w:rFonts w:ascii="Verdana" w:hAnsi="Verdana"/>
        </w:rPr>
        <w:t>El Comité debería instar al Estado de Chile a: (a) reportar la matrícula de estudiantes con síndrome de Down desagregada dentro del sistema PIE, distinguiendo escuelas regulares y especiales; (b) diseñar</w:t>
      </w:r>
      <w:r w:rsidR="0281220B" w:rsidRPr="0BC8996A">
        <w:rPr>
          <w:rFonts w:ascii="Verdana" w:hAnsi="Verdana"/>
        </w:rPr>
        <w:t xml:space="preserve"> </w:t>
      </w:r>
      <w:r w:rsidRPr="0BC8996A">
        <w:rPr>
          <w:rFonts w:ascii="Verdana" w:hAnsi="Verdana"/>
        </w:rPr>
        <w:t xml:space="preserve">una certificación de egreso de escuelas especiales homologable a la licencia de educación media, que habilite el acceso a la educación técnico-superior; (c) incorporar formación obligatoria en metodologías de enseñanza para </w:t>
      </w:r>
      <w:r w:rsidR="2BAB1130" w:rsidRPr="0BC8996A">
        <w:rPr>
          <w:rFonts w:ascii="Verdana" w:hAnsi="Verdana"/>
        </w:rPr>
        <w:t>discapacidad intelectual</w:t>
      </w:r>
      <w:r w:rsidRPr="0BC8996A">
        <w:rPr>
          <w:rFonts w:ascii="Verdana" w:hAnsi="Verdana"/>
        </w:rPr>
        <w:t xml:space="preserve"> en el pregrado de todas las carreras de educación; y (d) fortalecer la fiscalización de la Superintendencia de Educación sobre el cumplimiento efectivo, y no solo formal, de la Ley de Inclusión Escolar.</w:t>
      </w:r>
    </w:p>
    <w:p w14:paraId="5038E1FC" w14:textId="77777777" w:rsidR="00EC79A5" w:rsidRDefault="00EC79A5" w:rsidP="0BC8996A">
      <w:pPr>
        <w:rPr>
          <w:rFonts w:ascii="Verdana" w:hAnsi="Verdana"/>
          <w:b/>
          <w:bCs/>
          <w:color w:val="000000"/>
        </w:rPr>
      </w:pPr>
      <w:r w:rsidRPr="0BC8996A">
        <w:rPr>
          <w:rFonts w:ascii="Verdana" w:hAnsi="Verdana"/>
        </w:rPr>
        <w:br w:type="page"/>
      </w:r>
    </w:p>
    <w:p w14:paraId="3BF97877" w14:textId="06D26352" w:rsidR="001C4C5A" w:rsidRPr="00EC79A5" w:rsidRDefault="0FD20B37" w:rsidP="0BC8996A">
      <w:pPr>
        <w:pStyle w:val="Ttulo2"/>
        <w:shd w:val="clear" w:color="auto" w:fill="D9D9D9" w:themeFill="background2" w:themeFillShade="D9"/>
        <w:spacing w:before="280" w:after="140" w:line="276" w:lineRule="auto"/>
        <w:jc w:val="both"/>
        <w:rPr>
          <w:rFonts w:ascii="Verdana" w:hAnsi="Verdana"/>
          <w:sz w:val="22"/>
          <w:szCs w:val="22"/>
        </w:rPr>
      </w:pPr>
      <w:bookmarkStart w:id="57" w:name="_Toc1170306930"/>
      <w:r w:rsidRPr="0BC8996A">
        <w:rPr>
          <w:rFonts w:ascii="Verdana" w:hAnsi="Verdana"/>
          <w:sz w:val="22"/>
          <w:szCs w:val="22"/>
        </w:rPr>
        <w:lastRenderedPageBreak/>
        <w:t>2. Derecho a la salud, atención temprana y habilitación (Art. 25, con vínculo al Art. 26)</w:t>
      </w:r>
      <w:bookmarkEnd w:id="57"/>
    </w:p>
    <w:p w14:paraId="6C8F3FCD" w14:textId="77777777" w:rsidR="001C4C5A" w:rsidRPr="00EC79A5" w:rsidRDefault="0FD20B37" w:rsidP="00EC79A5">
      <w:pPr>
        <w:pStyle w:val="Ttulo3"/>
        <w:spacing w:before="200" w:after="100" w:line="276" w:lineRule="auto"/>
        <w:jc w:val="both"/>
        <w:rPr>
          <w:rFonts w:ascii="Verdana" w:hAnsi="Verdana"/>
          <w:sz w:val="22"/>
          <w:szCs w:val="22"/>
        </w:rPr>
      </w:pPr>
      <w:bookmarkStart w:id="58" w:name="_Toc1034984013"/>
      <w:r w:rsidRPr="0BC8996A">
        <w:rPr>
          <w:rFonts w:ascii="Verdana" w:hAnsi="Verdana"/>
          <w:sz w:val="22"/>
          <w:szCs w:val="22"/>
        </w:rPr>
        <w:t>2.1 Marco normativo</w:t>
      </w:r>
      <w:bookmarkEnd w:id="58"/>
    </w:p>
    <w:p w14:paraId="4E8F7BC1" w14:textId="77777777" w:rsidR="001C4C5A" w:rsidRPr="00EC79A5" w:rsidRDefault="00000000" w:rsidP="00EC79A5">
      <w:pPr>
        <w:spacing w:after="160" w:line="276" w:lineRule="auto"/>
        <w:jc w:val="both"/>
        <w:rPr>
          <w:rFonts w:ascii="Verdana" w:hAnsi="Verdana"/>
        </w:rPr>
      </w:pPr>
      <w:r w:rsidRPr="00EC79A5">
        <w:rPr>
          <w:rFonts w:ascii="Verdana" w:hAnsi="Verdana"/>
        </w:rPr>
        <w:t>El artículo 25 reconoce el derecho al más alto nivel posible de salud sin discriminación, incluidos los servicios de salud sexual y reproductiva; el artículo 26 obliga a organizar y fortalecer servicios de habilitación y rehabilitación para alcanzar y mantener la máxima independencia posible. En 2016, el Comité expresó preocupación por la escasez de información accesible sobre salud sexual y reproductiva, particularmente para mujeres y niñas con discapacidad intelectual o psicosocial (párr. 51); por una política de salud mental anclada en el modelo médico, con personal no capacitado en derechos de las personas con discapacidad (párr. 53); y por la cobertura limitada de los servicios de rehabilitación y el financiamiento de organizaciones privadas sin fiscalización (párr. 55).</w:t>
      </w:r>
    </w:p>
    <w:p w14:paraId="718B84AF" w14:textId="77777777" w:rsidR="001C4C5A" w:rsidRPr="00EC79A5" w:rsidRDefault="0FD20B37" w:rsidP="00EC79A5">
      <w:pPr>
        <w:pStyle w:val="Ttulo3"/>
        <w:spacing w:before="200" w:after="100" w:line="276" w:lineRule="auto"/>
        <w:jc w:val="both"/>
        <w:rPr>
          <w:rFonts w:ascii="Verdana" w:hAnsi="Verdana"/>
          <w:sz w:val="22"/>
          <w:szCs w:val="22"/>
        </w:rPr>
      </w:pPr>
      <w:bookmarkStart w:id="59" w:name="_Toc762177626"/>
      <w:r w:rsidRPr="0BC8996A">
        <w:rPr>
          <w:rFonts w:ascii="Verdana" w:hAnsi="Verdana"/>
          <w:sz w:val="22"/>
          <w:szCs w:val="22"/>
        </w:rPr>
        <w:t>2.2 Políticas públicas</w:t>
      </w:r>
      <w:bookmarkEnd w:id="59"/>
    </w:p>
    <w:p w14:paraId="106E2B28" w14:textId="77777777" w:rsidR="001C4C5A" w:rsidRPr="00EC79A5" w:rsidRDefault="00000000" w:rsidP="00EC79A5">
      <w:pPr>
        <w:spacing w:after="160" w:line="276" w:lineRule="auto"/>
        <w:jc w:val="both"/>
        <w:rPr>
          <w:rFonts w:ascii="Verdana" w:hAnsi="Verdana"/>
        </w:rPr>
      </w:pPr>
      <w:r w:rsidRPr="00EC79A5">
        <w:rPr>
          <w:rFonts w:ascii="Verdana" w:hAnsi="Verdana"/>
        </w:rPr>
        <w:t>El Estado informa avances en tres líneas: el Manual de Sexualidad e Inclusión de Personas con Discapacidad (2018, con versión en lectura fácil en 2020), base de capacitaciones en Atención Primaria y a más de 400 profesionales de rehabilitación (párr. 152); la Ley N.º 21.331 y el Plan Nacional de Salud Mental 2017-2025, con una propuesta de ley que duplicaría el presupuesto del área y crearía 15 nuevos Centros Comunitarios de Salud Mental (párrs. 154-155); y más de 200 dispositivos de rehabilitación implementados desde 2016 en las 16 regiones, con enfoque de base comunitaria (párr. 160).</w:t>
      </w:r>
    </w:p>
    <w:p w14:paraId="6D7A617D" w14:textId="77777777" w:rsidR="001C4C5A" w:rsidRPr="00EC79A5" w:rsidRDefault="00000000" w:rsidP="00EC79A5">
      <w:pPr>
        <w:spacing w:after="160" w:line="276" w:lineRule="auto"/>
        <w:jc w:val="both"/>
        <w:rPr>
          <w:rFonts w:ascii="Verdana" w:hAnsi="Verdana"/>
        </w:rPr>
      </w:pPr>
      <w:r w:rsidRPr="00EC79A5">
        <w:rPr>
          <w:rFonts w:ascii="Verdana" w:hAnsi="Verdana"/>
        </w:rPr>
        <w:t xml:space="preserve">Fuera del informe estatal, Chile Crece Contigo implementa desde 2019 las "Modalidades de apoyo al desarrollo infantil en discapacidad" en 21 comunas, para </w:t>
      </w:r>
      <w:proofErr w:type="gramStart"/>
      <w:r w:rsidRPr="00EC79A5">
        <w:rPr>
          <w:rFonts w:ascii="Verdana" w:hAnsi="Verdana"/>
        </w:rPr>
        <w:t>niños y niñas</w:t>
      </w:r>
      <w:proofErr w:type="gramEnd"/>
      <w:r w:rsidRPr="00EC79A5">
        <w:rPr>
          <w:rFonts w:ascii="Verdana" w:hAnsi="Verdana"/>
        </w:rPr>
        <w:t xml:space="preserve"> de 0 a 9 años en mayor vulnerabilidad social, y financió la impresión del manual de atención temprana y el cuaderno de supervisión de salud para síndrome de Down desarrollados por el propio Centro (2025).</w:t>
      </w:r>
    </w:p>
    <w:p w14:paraId="0AFAEEF3" w14:textId="77777777" w:rsidR="001C4C5A" w:rsidRPr="00EC79A5" w:rsidRDefault="0FD20B37" w:rsidP="00EC79A5">
      <w:pPr>
        <w:pStyle w:val="Ttulo3"/>
        <w:spacing w:before="200" w:after="100" w:line="276" w:lineRule="auto"/>
        <w:jc w:val="both"/>
        <w:rPr>
          <w:rFonts w:ascii="Verdana" w:hAnsi="Verdana"/>
          <w:sz w:val="22"/>
          <w:szCs w:val="22"/>
        </w:rPr>
      </w:pPr>
      <w:bookmarkStart w:id="60" w:name="_Toc668358930"/>
      <w:r w:rsidRPr="0BC8996A">
        <w:rPr>
          <w:rFonts w:ascii="Verdana" w:hAnsi="Verdana"/>
          <w:sz w:val="22"/>
          <w:szCs w:val="22"/>
        </w:rPr>
        <w:t>2.3 Implementación práctica</w:t>
      </w:r>
      <w:bookmarkEnd w:id="60"/>
    </w:p>
    <w:p w14:paraId="57ADA164" w14:textId="77777777" w:rsidR="001C4C5A" w:rsidRPr="00EC79A5" w:rsidRDefault="00000000" w:rsidP="00EC79A5">
      <w:pPr>
        <w:spacing w:after="160" w:line="276" w:lineRule="auto"/>
        <w:jc w:val="both"/>
        <w:rPr>
          <w:rFonts w:ascii="Verdana" w:hAnsi="Verdana"/>
        </w:rPr>
      </w:pPr>
      <w:r w:rsidRPr="00EC79A5">
        <w:rPr>
          <w:rFonts w:ascii="Verdana" w:hAnsi="Verdana"/>
        </w:rPr>
        <w:t>El diagnóstico prenatal de síndrome de Down no supera el 50% de cobertura, con disparidades entre sistema público y privado y entre regiones, pese a que con tamizaje bien implementado y personal capacitado podría alcanzarse cerca del 90% (Policy Brief 2026-2030). Además, la mitad de las veces la noticia del diagnóstico se entrega de forma inadecuada, sin protocolos ni material de apoyo para una comunicación humanizada, lo que "marca a las familias para toda la vida".</w:t>
      </w:r>
    </w:p>
    <w:p w14:paraId="3B154D40" w14:textId="6F8032D4" w:rsidR="001C4C5A" w:rsidRPr="00EC79A5" w:rsidRDefault="0FD20B37" w:rsidP="0BC8996A">
      <w:pPr>
        <w:spacing w:after="160" w:line="276" w:lineRule="auto"/>
        <w:jc w:val="both"/>
        <w:rPr>
          <w:rFonts w:ascii="Verdana" w:hAnsi="Verdana"/>
        </w:rPr>
      </w:pPr>
      <w:r w:rsidRPr="0BC8996A">
        <w:rPr>
          <w:rFonts w:ascii="Verdana" w:hAnsi="Verdana"/>
        </w:rPr>
        <w:t xml:space="preserve">Respecto de la atención temprana, la evidencia del Centro documenta que quienes nacen en el sistema público de salud tienen once veces mayor riesgo de acceder de forma tardía a programas de estimulación temprana que quienes nacen en el sistema privado (Policy Brief 2026-2030). Las Mesas de Salud y Atención Temprana </w:t>
      </w:r>
      <w:r w:rsidRPr="0BC8996A">
        <w:rPr>
          <w:rFonts w:ascii="Verdana" w:hAnsi="Verdana"/>
        </w:rPr>
        <w:lastRenderedPageBreak/>
        <w:t>identifican seis brechas convergentes: falta de formación en síndrome de Down desde el pregrado; diagnóstico tardío y poco humanizado; acceso desigual a estimulación temprana entre regiones; atención médica fragmentada; ausencia de protocolos nacionales de seguimiento a lo largo del ciclo vital; y escasa cobertura en salud mental para personas con síndrome de Down, sus familias y cuidadores (</w:t>
      </w:r>
      <w:r w:rsidR="15458D89" w:rsidRPr="0BC8996A">
        <w:rPr>
          <w:rFonts w:ascii="Verdana" w:hAnsi="Verdana"/>
        </w:rPr>
        <w:t>Lizama y cols.</w:t>
      </w:r>
      <w:r w:rsidRPr="0BC8996A">
        <w:rPr>
          <w:rFonts w:ascii="Verdana" w:hAnsi="Verdana"/>
        </w:rPr>
        <w:t>, 2025).</w:t>
      </w:r>
    </w:p>
    <w:p w14:paraId="3B415483" w14:textId="22DF42D1" w:rsidR="001C4C5A" w:rsidRPr="00EC79A5" w:rsidRDefault="0FD20B37" w:rsidP="00EC79A5">
      <w:pPr>
        <w:spacing w:after="160" w:line="276" w:lineRule="auto"/>
        <w:jc w:val="both"/>
        <w:rPr>
          <w:rFonts w:ascii="Verdana" w:hAnsi="Verdana"/>
        </w:rPr>
      </w:pPr>
      <w:r w:rsidRPr="0BC8996A">
        <w:rPr>
          <w:rFonts w:ascii="Verdana" w:hAnsi="Verdana"/>
        </w:rPr>
        <w:t>El Régimen de Garantías Explícitas en Salud (Ley N.º 19.966) cubre a</w:t>
      </w:r>
      <w:r w:rsidR="189FF6BC" w:rsidRPr="0BC8996A">
        <w:rPr>
          <w:rFonts w:ascii="Verdana" w:hAnsi="Verdana"/>
        </w:rPr>
        <w:t>l</w:t>
      </w:r>
      <w:r w:rsidRPr="0BC8996A">
        <w:rPr>
          <w:rFonts w:ascii="Verdana" w:hAnsi="Verdana"/>
        </w:rPr>
        <w:t xml:space="preserve"> 2025 87 patologías, incluidas varias de las más frecuentes en síndrome de Down —hipoacusia sensorioneural, cardiopatía congénita, epilepsia no refractaria, hipotiroidismo, cataratas, escoliosis—, pero en tramos etarios que no coinciden con el perfil clínico real: por su envejecimiento acelerado, estas condiciones suelen presentarse antes de la edad cubierta por la garantía, sin que la persona alcance a beneficiarse de ella (</w:t>
      </w:r>
      <w:r w:rsidR="5452D1CC" w:rsidRPr="0BC8996A">
        <w:rPr>
          <w:rFonts w:ascii="Verdana" w:hAnsi="Verdana"/>
        </w:rPr>
        <w:t>Lizama y cols.</w:t>
      </w:r>
      <w:r w:rsidRPr="0BC8996A">
        <w:rPr>
          <w:rFonts w:ascii="Verdana" w:hAnsi="Verdana"/>
        </w:rPr>
        <w:t>, 2025).</w:t>
      </w:r>
    </w:p>
    <w:p w14:paraId="5453EB46" w14:textId="77777777" w:rsidR="001C4C5A" w:rsidRPr="00EC79A5" w:rsidRDefault="00000000" w:rsidP="00EC79A5">
      <w:pPr>
        <w:spacing w:after="160" w:line="276" w:lineRule="auto"/>
        <w:jc w:val="both"/>
        <w:rPr>
          <w:rFonts w:ascii="Verdana" w:hAnsi="Verdana"/>
        </w:rPr>
      </w:pPr>
      <w:r w:rsidRPr="00EC79A5">
        <w:rPr>
          <w:rFonts w:ascii="Verdana" w:hAnsi="Verdana"/>
        </w:rPr>
        <w:t>En salud mental, el programa PASMI atendió en 2021 a 37.699 niñas y niños (147.324 consultas); en 2022 se amplió a 90 comunas, con 256 aún sin implementación (párr. 156). El informe estatal no reporta si personas con síndrome de Down u otras discapacidades intelectuales acceden a este programa ni en qué proporción.</w:t>
      </w:r>
    </w:p>
    <w:p w14:paraId="3275B36C" w14:textId="77777777" w:rsidR="001C4C5A" w:rsidRPr="00EC79A5" w:rsidRDefault="0FD20B37" w:rsidP="00EC79A5">
      <w:pPr>
        <w:pStyle w:val="Ttulo3"/>
        <w:spacing w:before="200" w:after="100" w:line="276" w:lineRule="auto"/>
        <w:jc w:val="both"/>
        <w:rPr>
          <w:rFonts w:ascii="Verdana" w:hAnsi="Verdana"/>
          <w:sz w:val="22"/>
          <w:szCs w:val="22"/>
        </w:rPr>
      </w:pPr>
      <w:bookmarkStart w:id="61" w:name="_Toc424884323"/>
      <w:r w:rsidRPr="0BC8996A">
        <w:rPr>
          <w:rFonts w:ascii="Verdana" w:hAnsi="Verdana"/>
          <w:sz w:val="22"/>
          <w:szCs w:val="22"/>
        </w:rPr>
        <w:t>2.4 Evidencia</w:t>
      </w:r>
      <w:bookmarkEnd w:id="61"/>
    </w:p>
    <w:p w14:paraId="68710BA7" w14:textId="77777777" w:rsidR="001C4C5A" w:rsidRPr="00EC79A5" w:rsidRDefault="00000000" w:rsidP="00EC79A5">
      <w:pPr>
        <w:spacing w:after="160" w:line="276" w:lineRule="auto"/>
        <w:jc w:val="both"/>
        <w:rPr>
          <w:rFonts w:ascii="Verdana" w:hAnsi="Verdana"/>
        </w:rPr>
      </w:pPr>
      <w:r w:rsidRPr="00EC79A5">
        <w:rPr>
          <w:rFonts w:ascii="Verdana" w:hAnsi="Verdana"/>
        </w:rPr>
        <w:t>La evidencia epidemiológica proviene de estimaciones institucionales del Centro: 2,5 recién nacidos con síndrome de Down por cada 1.000 nacidos vivos (2001-2010), unos 430 nacimientos anuales, y una esperanza de vida de 55 a 58 años con envejecimiento prematuro (Policy Brief 2026-2030). No constituyen un registro estatal exhaustivo; se retoman en el capítulo 3.</w:t>
      </w:r>
    </w:p>
    <w:p w14:paraId="53D8E234" w14:textId="77777777" w:rsidR="001C4C5A" w:rsidRPr="00EC79A5" w:rsidRDefault="00000000" w:rsidP="00EC79A5">
      <w:pPr>
        <w:spacing w:after="160" w:line="276" w:lineRule="auto"/>
        <w:jc w:val="both"/>
        <w:rPr>
          <w:rFonts w:ascii="Verdana" w:hAnsi="Verdana"/>
        </w:rPr>
      </w:pPr>
      <w:r w:rsidRPr="00EC79A5">
        <w:rPr>
          <w:rFonts w:ascii="Verdana" w:hAnsi="Verdana"/>
        </w:rPr>
        <w:t>La convergencia entre el testimonio de las Mesas y la ausencia de datos oficiales desagregados —ni diagnóstico prenatal, ni estimulación temprana, ni cobertura del PASMI se reportan por diagnóstico— evidencia que el sistema de salud no está diseñado para dar seguimiento diferenciado a esta población, más allá de la voluntad de los equipos clínicos que sí la atienden.</w:t>
      </w:r>
    </w:p>
    <w:p w14:paraId="426ACB3E" w14:textId="4E87E9C9"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ninguna de las tres preocupaciones del Comité en 2016 —salud sexual y reproductiva, salud mental y rehabilitación— distingue a la discapacidad intelectual dentro de "personas con discapacidad"; el Comité debería formular sus preguntas exigiendo respuestas desagregadas por tipo de discapacidad. Dos hallazgos lo refuerzan: los materiales de Chile Crece Contigo sobre síndrome de Down fueron desarrollados por el Centro</w:t>
      </w:r>
      <w:r w:rsidR="79B085C6" w:rsidRPr="0BC8996A">
        <w:rPr>
          <w:rFonts w:ascii="Verdana" w:hAnsi="Verdana"/>
        </w:rPr>
        <w:t>,</w:t>
      </w:r>
      <w:r w:rsidRPr="0BC8996A">
        <w:rPr>
          <w:rFonts w:ascii="Verdana" w:hAnsi="Verdana"/>
        </w:rPr>
        <w:t xml:space="preserve"> con recomendaciones no vinculantes y sin actualización institucionalizada bajo responsabilidad estatal; y la desconexión de tramos etarios entre el catálogo GES y el perfil clínico es un problema de diseño normativo verificable —la garantía cubre la patología, pero no a la persona </w:t>
      </w:r>
      <w:r w:rsidRPr="0BC8996A">
        <w:rPr>
          <w:rFonts w:ascii="Verdana" w:hAnsi="Verdana"/>
        </w:rPr>
        <w:lastRenderedPageBreak/>
        <w:t>en la edad en que efectivamente la presenta—, que amerita un análisis técnico de correspondencia.</w:t>
      </w:r>
    </w:p>
    <w:p w14:paraId="1603E803" w14:textId="77777777" w:rsidR="001C4C5A" w:rsidRPr="00EC79A5" w:rsidRDefault="0FD20B37" w:rsidP="00EC79A5">
      <w:pPr>
        <w:pStyle w:val="Ttulo3"/>
        <w:spacing w:before="200" w:after="100" w:line="276" w:lineRule="auto"/>
        <w:jc w:val="both"/>
        <w:rPr>
          <w:rFonts w:ascii="Verdana" w:hAnsi="Verdana"/>
          <w:sz w:val="22"/>
          <w:szCs w:val="22"/>
        </w:rPr>
      </w:pPr>
      <w:bookmarkStart w:id="62" w:name="_Toc1105647148"/>
      <w:r w:rsidRPr="0BC8996A">
        <w:rPr>
          <w:rFonts w:ascii="Verdana" w:hAnsi="Verdana"/>
          <w:sz w:val="22"/>
          <w:szCs w:val="22"/>
        </w:rPr>
        <w:t>2.5 Recomendaciones</w:t>
      </w:r>
      <w:bookmarkEnd w:id="62"/>
    </w:p>
    <w:p w14:paraId="2EE87071" w14:textId="02F418C4" w:rsidR="001C4C5A" w:rsidRPr="00EC79A5" w:rsidRDefault="0FD20B37" w:rsidP="00EC79A5">
      <w:pPr>
        <w:spacing w:after="160" w:line="276" w:lineRule="auto"/>
        <w:jc w:val="both"/>
        <w:rPr>
          <w:rFonts w:ascii="Verdana" w:hAnsi="Verdana"/>
        </w:rPr>
      </w:pPr>
      <w:r w:rsidRPr="0BC8996A">
        <w:rPr>
          <w:rFonts w:ascii="Verdana" w:hAnsi="Verdana"/>
        </w:rPr>
        <w:t>El Comité debería instar al Estado de Chile a: (a) implementar</w:t>
      </w:r>
      <w:r w:rsidR="05B1F96F" w:rsidRPr="0BC8996A">
        <w:rPr>
          <w:rFonts w:ascii="Verdana" w:hAnsi="Verdana"/>
        </w:rPr>
        <w:t xml:space="preserve"> </w:t>
      </w:r>
      <w:r w:rsidRPr="0BC8996A">
        <w:rPr>
          <w:rFonts w:ascii="Verdana" w:hAnsi="Verdana"/>
        </w:rPr>
        <w:t>un protocolo nacional de tamizaje y entrega humanizada del diagnóstico prenatal y postnatal de síndrome de Down, con capacitación obligatoria de los equipos de salud desde el pregrado; (b) crear un programa nacional de atención temprana (0 a 6 años) en la Atención Primaria de Salud, con cobertura equitativa entre regiones y entre sistema público y privado; (c) realizar</w:t>
      </w:r>
      <w:r w:rsidR="73787D1C" w:rsidRPr="0BC8996A">
        <w:rPr>
          <w:rFonts w:ascii="Verdana" w:hAnsi="Verdana"/>
        </w:rPr>
        <w:t xml:space="preserve"> </w:t>
      </w:r>
      <w:r w:rsidRPr="0BC8996A">
        <w:rPr>
          <w:rFonts w:ascii="Verdana" w:hAnsi="Verdana"/>
        </w:rPr>
        <w:t>un análisis técnico de correspondencia entre los tramos etarios GES y el perfil clínico del síndrome de Down, ajustando la normativa cuando corresponda; y (d) diseñar un programa nacional de salud para todo el ciclo de vida, con protocolos específicos de seguimiento médico y salud mental.</w:t>
      </w:r>
    </w:p>
    <w:p w14:paraId="59F3B93A" w14:textId="77777777" w:rsidR="00EC79A5" w:rsidRDefault="00EC79A5" w:rsidP="0BC8996A">
      <w:pPr>
        <w:rPr>
          <w:rFonts w:ascii="Verdana" w:hAnsi="Verdana"/>
          <w:b/>
          <w:bCs/>
          <w:color w:val="000000"/>
        </w:rPr>
      </w:pPr>
      <w:r w:rsidRPr="0BC8996A">
        <w:rPr>
          <w:rFonts w:ascii="Verdana" w:hAnsi="Verdana"/>
        </w:rPr>
        <w:br w:type="page"/>
      </w:r>
    </w:p>
    <w:p w14:paraId="262E5F1E" w14:textId="31425CED" w:rsidR="001C4C5A" w:rsidRPr="00EC79A5" w:rsidRDefault="0FD20B37" w:rsidP="0BC8996A">
      <w:pPr>
        <w:pStyle w:val="Ttulo2"/>
        <w:shd w:val="clear" w:color="auto" w:fill="D9D9D9" w:themeFill="background2" w:themeFillShade="D9"/>
        <w:spacing w:before="280" w:after="140" w:line="276" w:lineRule="auto"/>
        <w:jc w:val="both"/>
        <w:rPr>
          <w:rFonts w:ascii="Verdana" w:hAnsi="Verdana"/>
          <w:sz w:val="22"/>
          <w:szCs w:val="22"/>
        </w:rPr>
      </w:pPr>
      <w:bookmarkStart w:id="63" w:name="_Toc162717081"/>
      <w:r w:rsidRPr="0BC8996A">
        <w:rPr>
          <w:rFonts w:ascii="Verdana" w:hAnsi="Verdana"/>
          <w:sz w:val="22"/>
          <w:szCs w:val="22"/>
        </w:rPr>
        <w:lastRenderedPageBreak/>
        <w:t>3. Artículo 31: la invisibilidad estadística del síndrome de Down en salud y educación</w:t>
      </w:r>
      <w:bookmarkEnd w:id="63"/>
    </w:p>
    <w:p w14:paraId="5C03C0FD" w14:textId="77777777" w:rsidR="001C4C5A" w:rsidRPr="00EC79A5" w:rsidRDefault="00000000" w:rsidP="00EC79A5">
      <w:pPr>
        <w:spacing w:after="160" w:line="276" w:lineRule="auto"/>
        <w:jc w:val="both"/>
        <w:rPr>
          <w:rFonts w:ascii="Verdana" w:hAnsi="Verdana"/>
        </w:rPr>
      </w:pPr>
      <w:r w:rsidRPr="00EC79A5">
        <w:rPr>
          <w:rFonts w:ascii="Verdana" w:hAnsi="Verdana"/>
          <w:color w:val="000000"/>
        </w:rPr>
        <w:t>Este capítulo de cierre desarrolla el artículo 31, ubicado por la Convención entre las obligaciones de implementación (arts. 31 a 33) y no entre los derechos sustantivos (arts. 5 a 30). Se presenta al final de este informe, y no junto a los artículos 24 y 25, precisamente porque no es un derecho sustantivo adicional sino la condición habilitante que determina si los compromisos que Chile asuma en educación y salud pueden ser verificados por el Comité.</w:t>
      </w:r>
    </w:p>
    <w:p w14:paraId="170F8181" w14:textId="77777777" w:rsidR="001C4C5A" w:rsidRPr="00EC79A5" w:rsidRDefault="0FD20B37" w:rsidP="00EC79A5">
      <w:pPr>
        <w:pStyle w:val="Ttulo3"/>
        <w:spacing w:before="200" w:after="100" w:line="276" w:lineRule="auto"/>
        <w:jc w:val="both"/>
        <w:rPr>
          <w:rFonts w:ascii="Verdana" w:hAnsi="Verdana"/>
          <w:sz w:val="22"/>
          <w:szCs w:val="22"/>
        </w:rPr>
      </w:pPr>
      <w:bookmarkStart w:id="64" w:name="_Toc973754148"/>
      <w:r w:rsidRPr="0BC8996A">
        <w:rPr>
          <w:rFonts w:ascii="Verdana" w:hAnsi="Verdana"/>
          <w:sz w:val="22"/>
          <w:szCs w:val="22"/>
        </w:rPr>
        <w:t>3.1 Marco normativo</w:t>
      </w:r>
      <w:bookmarkEnd w:id="64"/>
    </w:p>
    <w:p w14:paraId="48E7F24D" w14:textId="77777777" w:rsidR="001C4C5A" w:rsidRPr="00EC79A5" w:rsidRDefault="00000000" w:rsidP="00EC79A5">
      <w:pPr>
        <w:spacing w:after="160" w:line="276" w:lineRule="auto"/>
        <w:jc w:val="both"/>
        <w:rPr>
          <w:rFonts w:ascii="Verdana" w:hAnsi="Verdana"/>
        </w:rPr>
      </w:pPr>
      <w:r w:rsidRPr="00EC79A5">
        <w:rPr>
          <w:rFonts w:ascii="Verdana" w:hAnsi="Verdana"/>
          <w:color w:val="000000"/>
        </w:rPr>
        <w:t xml:space="preserve">El artículo 31 obliga a los Estados a recopilar información adecuada, incluidos datos estadísticos y de investigación, que permita formular y aplicar políticas para dar efecto a la Convención. En 2016, el Comité ya había recomendado a Chile recopilar datos desglosados por edad, sexo, tipo de deficiencia, pertenencia étnica y localización geográfica (Comité CDPD, 2016, </w:t>
      </w:r>
      <w:proofErr w:type="spellStart"/>
      <w:r w:rsidRPr="00EC79A5">
        <w:rPr>
          <w:rFonts w:ascii="Verdana" w:hAnsi="Verdana"/>
          <w:color w:val="000000"/>
        </w:rPr>
        <w:t>párrs</w:t>
      </w:r>
      <w:proofErr w:type="spellEnd"/>
      <w:r w:rsidRPr="00EC79A5">
        <w:rPr>
          <w:rFonts w:ascii="Verdana" w:hAnsi="Verdana"/>
          <w:color w:val="000000"/>
        </w:rPr>
        <w:t>. 63-64), recomendación reiterada en la Lista de Cuestiones de 2020.</w:t>
      </w:r>
    </w:p>
    <w:p w14:paraId="054755E8" w14:textId="77777777" w:rsidR="001C4C5A" w:rsidRPr="00EC79A5" w:rsidRDefault="0FD20B37" w:rsidP="00EC79A5">
      <w:pPr>
        <w:pStyle w:val="Ttulo3"/>
        <w:spacing w:before="200" w:after="100" w:line="276" w:lineRule="auto"/>
        <w:jc w:val="both"/>
        <w:rPr>
          <w:rFonts w:ascii="Verdana" w:hAnsi="Verdana"/>
          <w:sz w:val="22"/>
          <w:szCs w:val="22"/>
        </w:rPr>
      </w:pPr>
      <w:bookmarkStart w:id="65" w:name="_Toc1919790870"/>
      <w:r w:rsidRPr="0BC8996A">
        <w:rPr>
          <w:rFonts w:ascii="Verdana" w:hAnsi="Verdana"/>
          <w:sz w:val="22"/>
          <w:szCs w:val="22"/>
        </w:rPr>
        <w:t>3.2 Políticas públicas</w:t>
      </w:r>
      <w:bookmarkEnd w:id="65"/>
    </w:p>
    <w:p w14:paraId="1CB76845" w14:textId="77777777" w:rsidR="001C4C5A" w:rsidRPr="00EC79A5" w:rsidRDefault="00000000" w:rsidP="00EC79A5">
      <w:pPr>
        <w:spacing w:after="160" w:line="276" w:lineRule="auto"/>
        <w:jc w:val="both"/>
        <w:rPr>
          <w:rFonts w:ascii="Verdana" w:hAnsi="Verdana"/>
        </w:rPr>
      </w:pPr>
      <w:r w:rsidRPr="00EC79A5">
        <w:rPr>
          <w:rFonts w:ascii="Verdana" w:hAnsi="Verdana"/>
          <w:color w:val="000000"/>
        </w:rPr>
        <w:t>El Estado informa en 2022 que se encuentra en levantamiento la Encuesta Nacional de Discapacidad y Dependencia (ENDIDE, 2022) (Estado de Chile, 2022, párr. 203). Ni en el capítulo de educación ni en el de salud del informe estatal se anuncia un mecanismo específico de desagregación por diagnóstico dentro de discapacidad intelectual, aplicable a la matrícula PIE, al diagnóstico prenatal o a la cobertura de programas de salud mental.</w:t>
      </w:r>
    </w:p>
    <w:p w14:paraId="4327E161" w14:textId="77777777" w:rsidR="001C4C5A" w:rsidRPr="00EC79A5" w:rsidRDefault="0FD20B37" w:rsidP="00EC79A5">
      <w:pPr>
        <w:pStyle w:val="Ttulo3"/>
        <w:spacing w:before="200" w:after="100" w:line="276" w:lineRule="auto"/>
        <w:jc w:val="both"/>
        <w:rPr>
          <w:rFonts w:ascii="Verdana" w:hAnsi="Verdana"/>
          <w:sz w:val="22"/>
          <w:szCs w:val="22"/>
        </w:rPr>
      </w:pPr>
      <w:bookmarkStart w:id="66" w:name="_Toc273194819"/>
      <w:r w:rsidRPr="0BC8996A">
        <w:rPr>
          <w:rFonts w:ascii="Verdana" w:hAnsi="Verdana"/>
          <w:sz w:val="22"/>
          <w:szCs w:val="22"/>
        </w:rPr>
        <w:t>3.3 Implementación práctica</w:t>
      </w:r>
      <w:bookmarkEnd w:id="66"/>
    </w:p>
    <w:p w14:paraId="6BFE168F" w14:textId="65AEABC3" w:rsidR="001C4C5A" w:rsidRPr="00EC79A5" w:rsidRDefault="0FD20B37" w:rsidP="00EC79A5">
      <w:pPr>
        <w:spacing w:after="160" w:line="276" w:lineRule="auto"/>
        <w:jc w:val="both"/>
        <w:rPr>
          <w:rFonts w:ascii="Verdana" w:hAnsi="Verdana"/>
        </w:rPr>
      </w:pPr>
      <w:r w:rsidRPr="0BC8996A">
        <w:rPr>
          <w:rFonts w:ascii="Verdana" w:hAnsi="Verdana"/>
        </w:rPr>
        <w:t>La constatación más directa surge del propio informe estatal: en las 1.590 palabras que Chile dedica a los artículos 24, 25 y 26 no aparece una sola vez "síndrome de Down", "discapacidad intelectual" ni "</w:t>
      </w:r>
      <w:r w:rsidR="2BAB1130" w:rsidRPr="0BC8996A">
        <w:rPr>
          <w:rFonts w:ascii="Verdana" w:hAnsi="Verdana"/>
        </w:rPr>
        <w:t>discapacidad intelectual</w:t>
      </w:r>
      <w:r w:rsidRPr="0BC8996A">
        <w:rPr>
          <w:rFonts w:ascii="Verdana" w:hAnsi="Verdana"/>
        </w:rPr>
        <w:t>"; todo se reporta bajo la categoría genérica "personas con discapacidad". La ausencia se replica en la matrícula PIE, la cobertura del PASMI y el presupuesto de rehabilitación, ninguno desagregado por tipo de discapacidad.</w:t>
      </w:r>
    </w:p>
    <w:p w14:paraId="0DB4615E" w14:textId="77777777" w:rsidR="001C4C5A" w:rsidRPr="00EC79A5" w:rsidRDefault="0FD20B37" w:rsidP="00EC79A5">
      <w:pPr>
        <w:pStyle w:val="Ttulo3"/>
        <w:spacing w:before="200" w:after="100" w:line="276" w:lineRule="auto"/>
        <w:jc w:val="both"/>
        <w:rPr>
          <w:rFonts w:ascii="Verdana" w:hAnsi="Verdana"/>
          <w:sz w:val="22"/>
          <w:szCs w:val="22"/>
        </w:rPr>
      </w:pPr>
      <w:bookmarkStart w:id="67" w:name="_Toc1696589904"/>
      <w:r w:rsidRPr="0BC8996A">
        <w:rPr>
          <w:rFonts w:ascii="Verdana" w:hAnsi="Verdana"/>
          <w:sz w:val="22"/>
          <w:szCs w:val="22"/>
        </w:rPr>
        <w:t>3.4 Evidencia</w:t>
      </w:r>
      <w:bookmarkEnd w:id="67"/>
    </w:p>
    <w:p w14:paraId="5C07F889" w14:textId="77777777" w:rsidR="001C4C5A" w:rsidRPr="00EC79A5" w:rsidRDefault="00000000" w:rsidP="00EC79A5">
      <w:pPr>
        <w:spacing w:after="160" w:line="276" w:lineRule="auto"/>
        <w:jc w:val="both"/>
        <w:rPr>
          <w:rFonts w:ascii="Verdana" w:hAnsi="Verdana"/>
        </w:rPr>
      </w:pPr>
      <w:r w:rsidRPr="00EC79A5">
        <w:rPr>
          <w:rFonts w:ascii="Verdana" w:hAnsi="Verdana"/>
        </w:rPr>
        <w:t>Ante la ausencia de registro estatal desagregado, el Centro ha debido construir estimaciones indirectas: tasa de natalidad de 2,5 por 1.000 nacidos vivos (2001-2010), prevalencia de 1,3% en la población de 2 a 17 años con discapacidad (7.640 personas) y esperanza de vida de 55 a 58 años (Policy Brief 2026-2030). Ninguna proviene de un registro sanitario o educativo oficial; son estimaciones institucionales, no un censo estatal.</w:t>
      </w:r>
    </w:p>
    <w:p w14:paraId="38D6921C" w14:textId="77777777" w:rsidR="001C4C5A" w:rsidRPr="00EC79A5" w:rsidRDefault="00000000" w:rsidP="00EC79A5">
      <w:pPr>
        <w:spacing w:line="276" w:lineRule="auto"/>
        <w:jc w:val="both"/>
        <w:rPr>
          <w:rFonts w:ascii="Verdana" w:hAnsi="Verdana"/>
        </w:rPr>
      </w:pPr>
      <w:r w:rsidRPr="00EC79A5">
        <w:rPr>
          <w:rFonts w:ascii="Verdana" w:hAnsi="Verdana"/>
          <w:b/>
        </w:rPr>
        <w:lastRenderedPageBreak/>
        <w:t xml:space="preserve">Punto crítico para esta etapa de supervisión: </w:t>
      </w:r>
      <w:r w:rsidRPr="00EC79A5">
        <w:rPr>
          <w:rFonts w:ascii="Verdana" w:hAnsi="Verdana"/>
        </w:rPr>
        <w:t>que ni el capítulo de educación ni el de salud del informe estatal mencionen al síndrome de Down una sola vez, en una población estimada de al menos 7.640 niñas, niños y adolescentes según la propia Encuesta Nacional de Discapacidad, no es una omisión menor: es la evidencia directa de que ningún programa educativo o de salud reportado por Chile fue diseñado, monitoreado o evaluado considerando a esta población de forma diferenciada. El Comité cuenta aquí con una base probatoria verificable directamente en el documento oficial, sin depender de fuentes externas.</w:t>
      </w:r>
    </w:p>
    <w:p w14:paraId="1AB01D0F" w14:textId="77777777" w:rsidR="001C4C5A" w:rsidRPr="00EC79A5" w:rsidRDefault="0FD20B37" w:rsidP="00EC79A5">
      <w:pPr>
        <w:pStyle w:val="Ttulo3"/>
        <w:spacing w:before="200" w:after="100" w:line="276" w:lineRule="auto"/>
        <w:jc w:val="both"/>
        <w:rPr>
          <w:rFonts w:ascii="Verdana" w:hAnsi="Verdana"/>
          <w:sz w:val="22"/>
          <w:szCs w:val="22"/>
        </w:rPr>
      </w:pPr>
      <w:bookmarkStart w:id="68" w:name="_Toc1909786480"/>
      <w:r w:rsidRPr="0BC8996A">
        <w:rPr>
          <w:rFonts w:ascii="Verdana" w:hAnsi="Verdana"/>
          <w:sz w:val="22"/>
          <w:szCs w:val="22"/>
        </w:rPr>
        <w:t>3.5 Recomendaciones preliminares</w:t>
      </w:r>
      <w:bookmarkEnd w:id="68"/>
    </w:p>
    <w:p w14:paraId="7157769A" w14:textId="7A3F0965" w:rsidR="001C4C5A" w:rsidRPr="00EC79A5" w:rsidRDefault="0FD20B37" w:rsidP="00EC79A5">
      <w:pPr>
        <w:spacing w:after="160" w:line="276" w:lineRule="auto"/>
        <w:jc w:val="both"/>
        <w:rPr>
          <w:rFonts w:ascii="Verdana" w:hAnsi="Verdana"/>
        </w:rPr>
      </w:pPr>
      <w:r w:rsidRPr="0BC8996A">
        <w:rPr>
          <w:rFonts w:ascii="Verdana" w:hAnsi="Verdana"/>
        </w:rPr>
        <w:t xml:space="preserve">Recomendamos que el Comité inste al Estado de Chile a: (a) incorporar en las futuras versiones </w:t>
      </w:r>
      <w:r w:rsidR="79413F3C" w:rsidRPr="0BC8996A">
        <w:rPr>
          <w:rFonts w:ascii="Verdana" w:hAnsi="Verdana"/>
        </w:rPr>
        <w:t xml:space="preserve">de encuestas nacionales – incluida ENDIDE- </w:t>
      </w:r>
      <w:r w:rsidRPr="0BC8996A">
        <w:rPr>
          <w:rFonts w:ascii="Verdana" w:hAnsi="Verdana"/>
        </w:rPr>
        <w:t xml:space="preserve">la desagregación por diagnóstico específico, incluido el síndrome de Down; (b) reportar </w:t>
      </w:r>
      <w:r w:rsidR="2F6B0149" w:rsidRPr="0BC8996A">
        <w:rPr>
          <w:rFonts w:ascii="Verdana" w:hAnsi="Verdana"/>
        </w:rPr>
        <w:t xml:space="preserve">desagregadamente </w:t>
      </w:r>
      <w:r w:rsidRPr="0BC8996A">
        <w:rPr>
          <w:rFonts w:ascii="Verdana" w:hAnsi="Verdana"/>
        </w:rPr>
        <w:t>la matrícula PIE, el diagnóstico prenatal y la cobertura del PASMI desagregados por diagnóstico en el próximo informe periódico; y (c) publicar anualmente, a través de MINEDUC, MINSAL y SENADIS, un reporte sobre la situación educativa y sanitaria de las personas con discapacidad intelectual, en consulta con centros especializados.</w:t>
      </w:r>
    </w:p>
    <w:p w14:paraId="3E431785" w14:textId="77777777" w:rsidR="00EC79A5" w:rsidRDefault="00EC79A5">
      <w:pPr>
        <w:rPr>
          <w:rFonts w:ascii="Verdana" w:hAnsi="Verdana"/>
          <w:b/>
        </w:rPr>
      </w:pPr>
      <w:r>
        <w:rPr>
          <w:rFonts w:ascii="Verdana" w:hAnsi="Verdana"/>
        </w:rPr>
        <w:br w:type="page"/>
      </w:r>
    </w:p>
    <w:p w14:paraId="436DEDF4" w14:textId="7B992C3D" w:rsidR="001C4C5A" w:rsidRPr="00EC79A5" w:rsidRDefault="00000000" w:rsidP="00EC79A5">
      <w:pPr>
        <w:pStyle w:val="ChapterPlain"/>
        <w:shd w:val="clear" w:color="auto" w:fill="D9D9D9" w:themeFill="background1" w:themeFillShade="D9"/>
        <w:spacing w:after="140" w:line="276" w:lineRule="auto"/>
        <w:jc w:val="both"/>
        <w:rPr>
          <w:rFonts w:ascii="Verdana" w:hAnsi="Verdana"/>
          <w:sz w:val="22"/>
        </w:rPr>
      </w:pPr>
      <w:r w:rsidRPr="00EC79A5">
        <w:rPr>
          <w:rFonts w:ascii="Verdana" w:hAnsi="Verdana"/>
          <w:sz w:val="22"/>
        </w:rPr>
        <w:lastRenderedPageBreak/>
        <w:t>4. Síntesis de recomendaciones SMART</w:t>
      </w:r>
    </w:p>
    <w:p w14:paraId="6B4E74CB" w14:textId="490D4A29" w:rsidR="001C4C5A" w:rsidRPr="00EC79A5" w:rsidRDefault="0FD20B37" w:rsidP="00EC79A5">
      <w:pPr>
        <w:spacing w:after="160" w:line="276" w:lineRule="auto"/>
        <w:jc w:val="both"/>
      </w:pPr>
      <w:r w:rsidRPr="0BC8996A">
        <w:rPr>
          <w:rFonts w:ascii="Verdana" w:hAnsi="Verdana"/>
        </w:rPr>
        <w:t>La siguiente tabla resume las recomendaciones formuladas a lo largo de esta sección; cada una especifica una acción concreta, plazo y artículo de la C</w:t>
      </w:r>
      <w:r w:rsidR="604BF342" w:rsidRPr="0BC8996A">
        <w:rPr>
          <w:rFonts w:ascii="Verdana" w:hAnsi="Verdana"/>
        </w:rPr>
        <w:t>DPD</w:t>
      </w:r>
      <w:r w:rsidRPr="0BC8996A">
        <w:rPr>
          <w:rFonts w:ascii="Verdana" w:hAnsi="Verdana"/>
        </w:rPr>
        <w:t>, de modo que su cumplimiento pueda ser objeto de seguimiento por el Comité.</w:t>
      </w:r>
    </w:p>
    <w:p w14:paraId="1DE6A249" w14:textId="7F98B622" w:rsidR="1C619352" w:rsidRDefault="1C619352" w:rsidP="0BC8996A">
      <w:pPr>
        <w:spacing w:line="276" w:lineRule="auto"/>
        <w:jc w:val="both"/>
      </w:pPr>
      <w:r w:rsidRPr="0BC8996A">
        <w:rPr>
          <w:rFonts w:ascii="Verdana" w:hAnsi="Verdana"/>
          <w:b/>
          <w:bCs/>
        </w:rPr>
        <w:t>Tabla 3:</w:t>
      </w:r>
      <w:r w:rsidRPr="0BC8996A">
        <w:rPr>
          <w:rFonts w:ascii="Verdana" w:hAnsi="Verdana"/>
        </w:rPr>
        <w:t xml:space="preserve"> Resumen de recomendaciones sobre Temática 5 sobre Educación inclusiva, salud y atención tempr</w:t>
      </w:r>
      <w:r w:rsidR="79C65016" w:rsidRPr="0BC8996A">
        <w:rPr>
          <w:rFonts w:ascii="Verdana" w:hAnsi="Verdana"/>
        </w:rPr>
        <w:t xml:space="preserve">ana. </w:t>
      </w:r>
    </w:p>
    <w:p w14:paraId="0B21C71C" w14:textId="4ADBE56E" w:rsidR="0BC8996A" w:rsidRDefault="0BC8996A" w:rsidP="0BC8996A">
      <w:pPr>
        <w:spacing w:line="276" w:lineRule="auto"/>
        <w:jc w:val="both"/>
        <w:rPr>
          <w:rFonts w:ascii="Verdana" w:hAnsi="Verdana"/>
        </w:rPr>
      </w:pPr>
    </w:p>
    <w:tbl>
      <w:tblPr>
        <w:tblW w:w="9360" w:type="dxa"/>
        <w:tblLayout w:type="fixed"/>
        <w:tblCellMar>
          <w:top w:w="80" w:type="dxa"/>
          <w:left w:w="120" w:type="dxa"/>
          <w:bottom w:w="80" w:type="dxa"/>
          <w:right w:w="120" w:type="dxa"/>
        </w:tblCellMar>
        <w:tblLook w:val="06A0" w:firstRow="1" w:lastRow="0" w:firstColumn="1" w:lastColumn="0" w:noHBand="1" w:noVBand="1"/>
      </w:tblPr>
      <w:tblGrid>
        <w:gridCol w:w="900"/>
        <w:gridCol w:w="5100"/>
        <w:gridCol w:w="2280"/>
        <w:gridCol w:w="1080"/>
      </w:tblGrid>
      <w:tr w:rsidR="001C4C5A" w:rsidRPr="00EC79A5" w14:paraId="07E8C838"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3BE370B4" w14:textId="3A643F8F" w:rsidR="001C4C5A" w:rsidRPr="00EC79A5" w:rsidRDefault="0FD20B37" w:rsidP="0BC8996A">
            <w:pPr>
              <w:spacing w:line="276" w:lineRule="auto"/>
              <w:jc w:val="both"/>
              <w:rPr>
                <w:rFonts w:ascii="Verdana" w:hAnsi="Verdana"/>
                <w:b/>
                <w:bCs/>
                <w:color w:val="000000" w:themeColor="text2"/>
              </w:rPr>
            </w:pPr>
            <w:r w:rsidRPr="0BC8996A">
              <w:rPr>
                <w:rFonts w:ascii="Verdana" w:hAnsi="Verdana"/>
                <w:b/>
                <w:bCs/>
                <w:color w:val="000000" w:themeColor="text2"/>
              </w:rPr>
              <w:t>Cap</w:t>
            </w:r>
            <w:r w:rsidR="365085B9" w:rsidRPr="0BC8996A">
              <w:rPr>
                <w:rFonts w:ascii="Verdana" w:hAnsi="Verdana"/>
                <w:b/>
                <w:bCs/>
                <w:color w:val="000000" w:themeColor="text2"/>
              </w:rPr>
              <w:t>.</w:t>
            </w:r>
          </w:p>
        </w:tc>
        <w:tc>
          <w:tcPr>
            <w:tcW w:w="510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1F6784E1" w14:textId="77777777" w:rsidR="001C4C5A" w:rsidRPr="00EC79A5" w:rsidRDefault="00000000" w:rsidP="00EC79A5">
            <w:pPr>
              <w:spacing w:line="276" w:lineRule="auto"/>
              <w:jc w:val="both"/>
              <w:rPr>
                <w:rFonts w:ascii="Verdana" w:hAnsi="Verdana"/>
              </w:rPr>
            </w:pPr>
            <w:r w:rsidRPr="00EC79A5">
              <w:rPr>
                <w:rFonts w:ascii="Verdana" w:hAnsi="Verdana"/>
                <w:b/>
                <w:bCs/>
                <w:color w:val="000000"/>
              </w:rPr>
              <w:t>Recomendación (síntesis)</w:t>
            </w:r>
          </w:p>
        </w:tc>
        <w:tc>
          <w:tcPr>
            <w:tcW w:w="228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61617D42" w14:textId="77777777" w:rsidR="001C4C5A" w:rsidRPr="00EC79A5" w:rsidRDefault="00000000" w:rsidP="00EC79A5">
            <w:pPr>
              <w:spacing w:line="276" w:lineRule="auto"/>
              <w:jc w:val="both"/>
              <w:rPr>
                <w:rFonts w:ascii="Verdana" w:hAnsi="Verdana"/>
              </w:rPr>
            </w:pPr>
            <w:r w:rsidRPr="00EC79A5">
              <w:rPr>
                <w:rFonts w:ascii="Verdana" w:hAnsi="Verdana"/>
                <w:b/>
                <w:bCs/>
                <w:color w:val="000000"/>
              </w:rPr>
              <w:t>Plazo</w:t>
            </w:r>
          </w:p>
        </w:tc>
        <w:tc>
          <w:tcPr>
            <w:tcW w:w="108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740F3ECA" w14:textId="3437FBF8" w:rsidR="001C4C5A" w:rsidRPr="00EC79A5" w:rsidRDefault="00000000" w:rsidP="00EC79A5">
            <w:pPr>
              <w:spacing w:line="276" w:lineRule="auto"/>
              <w:jc w:val="both"/>
              <w:rPr>
                <w:rFonts w:ascii="Verdana" w:hAnsi="Verdana"/>
              </w:rPr>
            </w:pPr>
            <w:r w:rsidRPr="00EC79A5">
              <w:rPr>
                <w:rFonts w:ascii="Verdana" w:hAnsi="Verdana"/>
                <w:b/>
                <w:bCs/>
                <w:color w:val="000000"/>
              </w:rPr>
              <w:t xml:space="preserve">Art. </w:t>
            </w:r>
          </w:p>
        </w:tc>
      </w:tr>
      <w:tr w:rsidR="001C4C5A" w:rsidRPr="00EC79A5" w14:paraId="615CD415"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0855B0FD" w14:textId="77777777" w:rsidR="001C4C5A" w:rsidRPr="00EC79A5" w:rsidRDefault="00000000"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5A738691" w14:textId="77777777" w:rsidR="001C4C5A" w:rsidRPr="00EC79A5" w:rsidRDefault="00000000" w:rsidP="00EC79A5">
            <w:pPr>
              <w:spacing w:line="276" w:lineRule="auto"/>
              <w:jc w:val="both"/>
              <w:rPr>
                <w:rFonts w:ascii="Verdana" w:hAnsi="Verdana"/>
              </w:rPr>
            </w:pPr>
            <w:r w:rsidRPr="00EC79A5">
              <w:rPr>
                <w:rFonts w:ascii="Verdana" w:hAnsi="Verdana"/>
                <w:color w:val="000000"/>
              </w:rPr>
              <w:t>Reportar matrícula de estudiantes con síndrome de Down desagregada dentro del sistema PIE</w:t>
            </w:r>
          </w:p>
        </w:tc>
        <w:tc>
          <w:tcPr>
            <w:tcW w:w="2280" w:type="dxa"/>
            <w:tcBorders>
              <w:top w:val="single" w:sz="8" w:space="0" w:color="CCCCCC"/>
              <w:left w:val="single" w:sz="8" w:space="0" w:color="CCCCCC"/>
              <w:bottom w:val="single" w:sz="8" w:space="0" w:color="CCCCCC"/>
              <w:right w:val="single" w:sz="8" w:space="0" w:color="CCCCCC"/>
            </w:tcBorders>
            <w:vAlign w:val="center"/>
          </w:tcPr>
          <w:p w14:paraId="1CFE4C68" w14:textId="77777777" w:rsidR="001C4C5A" w:rsidRPr="00EC79A5" w:rsidRDefault="00000000" w:rsidP="00EC79A5">
            <w:pPr>
              <w:spacing w:line="276" w:lineRule="auto"/>
              <w:jc w:val="both"/>
              <w:rPr>
                <w:rFonts w:ascii="Verdana" w:hAnsi="Verdana"/>
              </w:rPr>
            </w:pPr>
            <w:r w:rsidRPr="00EC79A5">
              <w:rPr>
                <w:rFonts w:ascii="Verdana" w:hAnsi="Verdana"/>
                <w:color w:val="000000"/>
              </w:rPr>
              <w:t>Próximo informe</w:t>
            </w:r>
          </w:p>
        </w:tc>
        <w:tc>
          <w:tcPr>
            <w:tcW w:w="1080" w:type="dxa"/>
            <w:tcBorders>
              <w:top w:val="single" w:sz="8" w:space="0" w:color="CCCCCC"/>
              <w:left w:val="single" w:sz="8" w:space="0" w:color="CCCCCC"/>
              <w:bottom w:val="single" w:sz="8" w:space="0" w:color="CCCCCC"/>
              <w:right w:val="single" w:sz="8" w:space="0" w:color="CCCCCC"/>
            </w:tcBorders>
            <w:vAlign w:val="center"/>
          </w:tcPr>
          <w:p w14:paraId="62C6028D" w14:textId="77777777" w:rsidR="001C4C5A" w:rsidRPr="00EC79A5" w:rsidRDefault="00000000" w:rsidP="00EC79A5">
            <w:pPr>
              <w:spacing w:line="276" w:lineRule="auto"/>
              <w:jc w:val="both"/>
              <w:rPr>
                <w:rFonts w:ascii="Verdana" w:hAnsi="Verdana"/>
              </w:rPr>
            </w:pPr>
            <w:r w:rsidRPr="00EC79A5">
              <w:rPr>
                <w:rFonts w:ascii="Verdana" w:hAnsi="Verdana"/>
                <w:color w:val="000000"/>
              </w:rPr>
              <w:t>24, 31</w:t>
            </w:r>
          </w:p>
        </w:tc>
      </w:tr>
      <w:tr w:rsidR="001C4C5A" w:rsidRPr="00EC79A5" w14:paraId="4B678828"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414102F2" w14:textId="77777777" w:rsidR="001C4C5A" w:rsidRPr="00EC79A5" w:rsidRDefault="00000000"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761AC52B" w14:textId="5C05DA27" w:rsidR="001C4C5A" w:rsidRPr="00EC79A5" w:rsidRDefault="0FD20B37" w:rsidP="00EC79A5">
            <w:pPr>
              <w:spacing w:line="276" w:lineRule="auto"/>
              <w:jc w:val="both"/>
              <w:rPr>
                <w:rFonts w:ascii="Verdana" w:hAnsi="Verdana"/>
              </w:rPr>
            </w:pPr>
            <w:r w:rsidRPr="0BC8996A">
              <w:rPr>
                <w:rFonts w:ascii="Verdana" w:hAnsi="Verdana"/>
                <w:color w:val="000000" w:themeColor="text2"/>
              </w:rPr>
              <w:t>Diseñar certificación de egreso de escuelas especiales homologable a licencia de educación media</w:t>
            </w:r>
          </w:p>
        </w:tc>
        <w:tc>
          <w:tcPr>
            <w:tcW w:w="2280" w:type="dxa"/>
            <w:tcBorders>
              <w:top w:val="single" w:sz="8" w:space="0" w:color="CCCCCC"/>
              <w:left w:val="single" w:sz="8" w:space="0" w:color="CCCCCC"/>
              <w:bottom w:val="single" w:sz="8" w:space="0" w:color="CCCCCC"/>
              <w:right w:val="single" w:sz="8" w:space="0" w:color="CCCCCC"/>
            </w:tcBorders>
            <w:vAlign w:val="center"/>
          </w:tcPr>
          <w:p w14:paraId="7C0AF8DB" w14:textId="02B5CD2C" w:rsidR="001C4C5A" w:rsidRPr="00EC79A5" w:rsidRDefault="16EF9737"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4BF9DB86" w14:textId="77777777" w:rsidR="001C4C5A" w:rsidRPr="00EC79A5" w:rsidRDefault="00000000" w:rsidP="00EC79A5">
            <w:pPr>
              <w:spacing w:line="276" w:lineRule="auto"/>
              <w:jc w:val="both"/>
              <w:rPr>
                <w:rFonts w:ascii="Verdana" w:hAnsi="Verdana"/>
              </w:rPr>
            </w:pPr>
            <w:r w:rsidRPr="00EC79A5">
              <w:rPr>
                <w:rFonts w:ascii="Verdana" w:hAnsi="Verdana"/>
                <w:color w:val="000000"/>
              </w:rPr>
              <w:t>24</w:t>
            </w:r>
          </w:p>
        </w:tc>
      </w:tr>
      <w:tr w:rsidR="001C4C5A" w:rsidRPr="00EC79A5" w14:paraId="6A77F1D9"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5DDF569F" w14:textId="77777777" w:rsidR="001C4C5A" w:rsidRPr="00EC79A5" w:rsidRDefault="00000000"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5C0B07C6" w14:textId="44003B1B" w:rsidR="001C4C5A" w:rsidRPr="00EC79A5" w:rsidRDefault="0FD20B37" w:rsidP="00EC79A5">
            <w:pPr>
              <w:spacing w:line="276" w:lineRule="auto"/>
              <w:jc w:val="both"/>
              <w:rPr>
                <w:rFonts w:ascii="Verdana" w:hAnsi="Verdana"/>
              </w:rPr>
            </w:pPr>
            <w:r w:rsidRPr="0BC8996A">
              <w:rPr>
                <w:rFonts w:ascii="Verdana" w:hAnsi="Verdana"/>
                <w:color w:val="000000" w:themeColor="text2"/>
              </w:rPr>
              <w:t xml:space="preserve">Incorporar formación obligatoria en </w:t>
            </w:r>
            <w:r w:rsidR="2BAB1130" w:rsidRPr="0BC8996A">
              <w:rPr>
                <w:rFonts w:ascii="Verdana" w:hAnsi="Verdana"/>
                <w:color w:val="000000" w:themeColor="text2"/>
              </w:rPr>
              <w:t>discapacidad intelectual</w:t>
            </w:r>
            <w:r w:rsidRPr="0BC8996A">
              <w:rPr>
                <w:rFonts w:ascii="Verdana" w:hAnsi="Verdana"/>
                <w:color w:val="000000" w:themeColor="text2"/>
              </w:rPr>
              <w:t xml:space="preserve"> en pregrado de carreras de educación</w:t>
            </w:r>
          </w:p>
        </w:tc>
        <w:tc>
          <w:tcPr>
            <w:tcW w:w="2280" w:type="dxa"/>
            <w:tcBorders>
              <w:top w:val="single" w:sz="8" w:space="0" w:color="CCCCCC"/>
              <w:left w:val="single" w:sz="8" w:space="0" w:color="CCCCCC"/>
              <w:bottom w:val="single" w:sz="8" w:space="0" w:color="CCCCCC"/>
              <w:right w:val="single" w:sz="8" w:space="0" w:color="CCCCCC"/>
            </w:tcBorders>
            <w:vAlign w:val="center"/>
          </w:tcPr>
          <w:p w14:paraId="2E3613FE" w14:textId="480AF113" w:rsidR="001C4C5A" w:rsidRPr="00EC79A5" w:rsidRDefault="22365C95"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6BA9C1AD" w14:textId="77777777" w:rsidR="001C4C5A" w:rsidRPr="00EC79A5" w:rsidRDefault="00000000" w:rsidP="00EC79A5">
            <w:pPr>
              <w:spacing w:line="276" w:lineRule="auto"/>
              <w:jc w:val="both"/>
              <w:rPr>
                <w:rFonts w:ascii="Verdana" w:hAnsi="Verdana"/>
              </w:rPr>
            </w:pPr>
            <w:r w:rsidRPr="00EC79A5">
              <w:rPr>
                <w:rFonts w:ascii="Verdana" w:hAnsi="Verdana"/>
                <w:color w:val="000000"/>
              </w:rPr>
              <w:t>24</w:t>
            </w:r>
          </w:p>
        </w:tc>
      </w:tr>
      <w:tr w:rsidR="001C4C5A" w:rsidRPr="00EC79A5" w14:paraId="5EAE6442"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1685F02B" w14:textId="77777777" w:rsidR="001C4C5A" w:rsidRPr="00EC79A5" w:rsidRDefault="00000000"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2B5B6F66" w14:textId="77777777" w:rsidR="001C4C5A" w:rsidRPr="00EC79A5" w:rsidRDefault="00000000" w:rsidP="00EC79A5">
            <w:pPr>
              <w:spacing w:line="276" w:lineRule="auto"/>
              <w:jc w:val="both"/>
              <w:rPr>
                <w:rFonts w:ascii="Verdana" w:hAnsi="Verdana"/>
              </w:rPr>
            </w:pPr>
            <w:r w:rsidRPr="00EC79A5">
              <w:rPr>
                <w:rFonts w:ascii="Verdana" w:hAnsi="Verdana"/>
                <w:color w:val="000000"/>
              </w:rPr>
              <w:t>Fortalecer fiscalización de la Superintendencia de Educación sobre cumplimiento efectivo de la Ley de Inclusión</w:t>
            </w:r>
          </w:p>
        </w:tc>
        <w:tc>
          <w:tcPr>
            <w:tcW w:w="2280" w:type="dxa"/>
            <w:tcBorders>
              <w:top w:val="single" w:sz="8" w:space="0" w:color="CCCCCC"/>
              <w:left w:val="single" w:sz="8" w:space="0" w:color="CCCCCC"/>
              <w:bottom w:val="single" w:sz="8" w:space="0" w:color="CCCCCC"/>
              <w:right w:val="single" w:sz="8" w:space="0" w:color="CCCCCC"/>
            </w:tcBorders>
            <w:vAlign w:val="center"/>
          </w:tcPr>
          <w:p w14:paraId="6DCD645C" w14:textId="0F60D7D3" w:rsidR="001C4C5A" w:rsidRPr="00EC79A5" w:rsidRDefault="2EDDD271"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7B90021F" w14:textId="77777777" w:rsidR="001C4C5A" w:rsidRPr="00EC79A5" w:rsidRDefault="00000000" w:rsidP="00EC79A5">
            <w:pPr>
              <w:spacing w:line="276" w:lineRule="auto"/>
              <w:jc w:val="both"/>
              <w:rPr>
                <w:rFonts w:ascii="Verdana" w:hAnsi="Verdana"/>
              </w:rPr>
            </w:pPr>
            <w:r w:rsidRPr="00EC79A5">
              <w:rPr>
                <w:rFonts w:ascii="Verdana" w:hAnsi="Verdana"/>
                <w:color w:val="000000"/>
              </w:rPr>
              <w:t>24</w:t>
            </w:r>
          </w:p>
        </w:tc>
      </w:tr>
      <w:tr w:rsidR="001C4C5A" w:rsidRPr="00EC79A5" w14:paraId="4CF94B8E"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34921B3" w14:textId="77777777" w:rsidR="001C4C5A" w:rsidRPr="00EC79A5" w:rsidRDefault="00000000"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079EB52F" w14:textId="77777777" w:rsidR="001C4C5A" w:rsidRPr="00EC79A5" w:rsidRDefault="00000000" w:rsidP="00EC79A5">
            <w:pPr>
              <w:spacing w:line="276" w:lineRule="auto"/>
              <w:jc w:val="both"/>
              <w:rPr>
                <w:rFonts w:ascii="Verdana" w:hAnsi="Verdana"/>
              </w:rPr>
            </w:pPr>
            <w:r w:rsidRPr="00EC79A5">
              <w:rPr>
                <w:rFonts w:ascii="Verdana" w:hAnsi="Verdana"/>
                <w:color w:val="000000"/>
              </w:rPr>
              <w:t>Protocolo nacional de tamizaje y entrega humanizada del diagnóstico prenatal y postnatal de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6E9987CA" w14:textId="6EB42E8D" w:rsidR="001C4C5A" w:rsidRPr="00EC79A5" w:rsidRDefault="11CDDCA2"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12FB47AC" w14:textId="77777777" w:rsidR="001C4C5A" w:rsidRPr="00EC79A5" w:rsidRDefault="00000000" w:rsidP="00EC79A5">
            <w:pPr>
              <w:spacing w:line="276" w:lineRule="auto"/>
              <w:jc w:val="both"/>
              <w:rPr>
                <w:rFonts w:ascii="Verdana" w:hAnsi="Verdana"/>
              </w:rPr>
            </w:pPr>
            <w:r w:rsidRPr="00EC79A5">
              <w:rPr>
                <w:rFonts w:ascii="Verdana" w:hAnsi="Verdana"/>
                <w:color w:val="000000"/>
              </w:rPr>
              <w:t>25</w:t>
            </w:r>
          </w:p>
        </w:tc>
      </w:tr>
      <w:tr w:rsidR="001C4C5A" w:rsidRPr="00EC79A5" w14:paraId="67207483"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12D457A9" w14:textId="77777777" w:rsidR="001C4C5A" w:rsidRPr="00EC79A5" w:rsidRDefault="00000000"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7733B666" w14:textId="77777777" w:rsidR="001C4C5A" w:rsidRPr="00EC79A5" w:rsidRDefault="00000000" w:rsidP="00EC79A5">
            <w:pPr>
              <w:spacing w:line="276" w:lineRule="auto"/>
              <w:jc w:val="both"/>
              <w:rPr>
                <w:rFonts w:ascii="Verdana" w:hAnsi="Verdana"/>
              </w:rPr>
            </w:pPr>
            <w:r w:rsidRPr="00EC79A5">
              <w:rPr>
                <w:rFonts w:ascii="Verdana" w:hAnsi="Verdana"/>
                <w:color w:val="000000"/>
              </w:rPr>
              <w:t>Programa nacional de atención temprana (0-6 años) con cobertura equitativa público-privada y regional</w:t>
            </w:r>
          </w:p>
        </w:tc>
        <w:tc>
          <w:tcPr>
            <w:tcW w:w="2280" w:type="dxa"/>
            <w:tcBorders>
              <w:top w:val="single" w:sz="8" w:space="0" w:color="CCCCCC"/>
              <w:left w:val="single" w:sz="8" w:space="0" w:color="CCCCCC"/>
              <w:bottom w:val="single" w:sz="8" w:space="0" w:color="CCCCCC"/>
              <w:right w:val="single" w:sz="8" w:space="0" w:color="CCCCCC"/>
            </w:tcBorders>
            <w:vAlign w:val="center"/>
          </w:tcPr>
          <w:p w14:paraId="15E95640" w14:textId="44E82954" w:rsidR="001C4C5A" w:rsidRPr="00EC79A5" w:rsidRDefault="59A25D6F"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339E9E02" w14:textId="77777777" w:rsidR="001C4C5A" w:rsidRPr="00EC79A5" w:rsidRDefault="00000000" w:rsidP="00EC79A5">
            <w:pPr>
              <w:spacing w:line="276" w:lineRule="auto"/>
              <w:jc w:val="both"/>
              <w:rPr>
                <w:rFonts w:ascii="Verdana" w:hAnsi="Verdana"/>
              </w:rPr>
            </w:pPr>
            <w:r w:rsidRPr="00EC79A5">
              <w:rPr>
                <w:rFonts w:ascii="Verdana" w:hAnsi="Verdana"/>
                <w:color w:val="000000"/>
              </w:rPr>
              <w:t>25, 26</w:t>
            </w:r>
          </w:p>
        </w:tc>
      </w:tr>
      <w:tr w:rsidR="001C4C5A" w:rsidRPr="00EC79A5" w14:paraId="510CAE46"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322B1DC" w14:textId="77777777" w:rsidR="001C4C5A" w:rsidRPr="00EC79A5" w:rsidRDefault="00000000" w:rsidP="00EC79A5">
            <w:pPr>
              <w:spacing w:line="276" w:lineRule="auto"/>
              <w:jc w:val="both"/>
              <w:rPr>
                <w:rFonts w:ascii="Verdana" w:hAnsi="Verdana"/>
              </w:rPr>
            </w:pPr>
            <w:r w:rsidRPr="00EC79A5">
              <w:rPr>
                <w:rFonts w:ascii="Verdana" w:hAnsi="Verdana"/>
              </w:rPr>
              <w:lastRenderedPageBreak/>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450E30D2" w14:textId="77777777" w:rsidR="001C4C5A" w:rsidRPr="00EC79A5" w:rsidRDefault="00000000" w:rsidP="00EC79A5">
            <w:pPr>
              <w:spacing w:line="276" w:lineRule="auto"/>
              <w:jc w:val="both"/>
              <w:rPr>
                <w:rFonts w:ascii="Verdana" w:hAnsi="Verdana"/>
              </w:rPr>
            </w:pPr>
            <w:r w:rsidRPr="00EC79A5">
              <w:rPr>
                <w:rFonts w:ascii="Verdana" w:hAnsi="Verdana"/>
                <w:color w:val="000000"/>
              </w:rPr>
              <w:t>Análisis técnico de correspondencia entre tramos etarios GES y perfil clínico del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4C73B158" w14:textId="6CE0EB34" w:rsidR="001C4C5A" w:rsidRPr="00EC79A5" w:rsidRDefault="78A5772E"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0D675AA2" w14:textId="77777777" w:rsidR="001C4C5A" w:rsidRPr="00EC79A5" w:rsidRDefault="00000000" w:rsidP="00EC79A5">
            <w:pPr>
              <w:spacing w:line="276" w:lineRule="auto"/>
              <w:jc w:val="both"/>
              <w:rPr>
                <w:rFonts w:ascii="Verdana" w:hAnsi="Verdana"/>
              </w:rPr>
            </w:pPr>
            <w:r w:rsidRPr="00EC79A5">
              <w:rPr>
                <w:rFonts w:ascii="Verdana" w:hAnsi="Verdana"/>
                <w:color w:val="000000"/>
              </w:rPr>
              <w:t>25</w:t>
            </w:r>
          </w:p>
        </w:tc>
      </w:tr>
      <w:tr w:rsidR="001C4C5A" w:rsidRPr="00EC79A5" w14:paraId="7266643A"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E86A0D3" w14:textId="77777777" w:rsidR="001C4C5A" w:rsidRPr="00EC79A5" w:rsidRDefault="00000000"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3DD49FFC" w14:textId="77777777" w:rsidR="001C4C5A" w:rsidRPr="00EC79A5" w:rsidRDefault="00000000" w:rsidP="00EC79A5">
            <w:pPr>
              <w:spacing w:line="276" w:lineRule="auto"/>
              <w:jc w:val="both"/>
              <w:rPr>
                <w:rFonts w:ascii="Verdana" w:hAnsi="Verdana"/>
              </w:rPr>
            </w:pPr>
            <w:r w:rsidRPr="00EC79A5">
              <w:rPr>
                <w:rFonts w:ascii="Verdana" w:hAnsi="Verdana"/>
                <w:color w:val="000000"/>
              </w:rPr>
              <w:t>Programa nacional de salud para síndrome de Down a lo largo del ciclo de vida</w:t>
            </w:r>
          </w:p>
        </w:tc>
        <w:tc>
          <w:tcPr>
            <w:tcW w:w="2280" w:type="dxa"/>
            <w:tcBorders>
              <w:top w:val="single" w:sz="8" w:space="0" w:color="CCCCCC"/>
              <w:left w:val="single" w:sz="8" w:space="0" w:color="CCCCCC"/>
              <w:bottom w:val="single" w:sz="8" w:space="0" w:color="CCCCCC"/>
              <w:right w:val="single" w:sz="8" w:space="0" w:color="CCCCCC"/>
            </w:tcBorders>
            <w:vAlign w:val="center"/>
          </w:tcPr>
          <w:p w14:paraId="210A5E97" w14:textId="054DA299" w:rsidR="001C4C5A" w:rsidRPr="00EC79A5" w:rsidRDefault="6C31A79D"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25DB8ABE" w14:textId="77777777" w:rsidR="001C4C5A" w:rsidRPr="00EC79A5" w:rsidRDefault="00000000" w:rsidP="00EC79A5">
            <w:pPr>
              <w:spacing w:line="276" w:lineRule="auto"/>
              <w:jc w:val="both"/>
              <w:rPr>
                <w:rFonts w:ascii="Verdana" w:hAnsi="Verdana"/>
              </w:rPr>
            </w:pPr>
            <w:r w:rsidRPr="00EC79A5">
              <w:rPr>
                <w:rFonts w:ascii="Verdana" w:hAnsi="Verdana"/>
                <w:color w:val="000000"/>
              </w:rPr>
              <w:t>25</w:t>
            </w:r>
          </w:p>
        </w:tc>
      </w:tr>
      <w:tr w:rsidR="001C4C5A" w:rsidRPr="00EC79A5" w14:paraId="46906C73"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5D1FF0AA" w14:textId="77777777" w:rsidR="001C4C5A" w:rsidRPr="00EC79A5" w:rsidRDefault="00000000"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2D60A3AB" w14:textId="77777777" w:rsidR="001C4C5A" w:rsidRPr="00EC79A5" w:rsidRDefault="00000000" w:rsidP="00EC79A5">
            <w:pPr>
              <w:spacing w:line="276" w:lineRule="auto"/>
              <w:jc w:val="both"/>
              <w:rPr>
                <w:rFonts w:ascii="Verdana" w:hAnsi="Verdana"/>
              </w:rPr>
            </w:pPr>
            <w:r w:rsidRPr="00EC79A5">
              <w:rPr>
                <w:rFonts w:ascii="Verdana" w:hAnsi="Verdana"/>
                <w:color w:val="000000"/>
              </w:rPr>
              <w:t>Desagregar la ENDIDE por diagnóstico específico, incluyendo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6F739EE6" w14:textId="1C9E2A2E" w:rsidR="001C4C5A" w:rsidRPr="00EC79A5" w:rsidRDefault="1C318C69"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41A3DE35" w14:textId="77777777" w:rsidR="001C4C5A" w:rsidRPr="00EC79A5" w:rsidRDefault="00000000" w:rsidP="00EC79A5">
            <w:pPr>
              <w:spacing w:line="276" w:lineRule="auto"/>
              <w:jc w:val="both"/>
              <w:rPr>
                <w:rFonts w:ascii="Verdana" w:hAnsi="Verdana"/>
              </w:rPr>
            </w:pPr>
            <w:r w:rsidRPr="00EC79A5">
              <w:rPr>
                <w:rFonts w:ascii="Verdana" w:hAnsi="Verdana"/>
                <w:color w:val="000000"/>
              </w:rPr>
              <w:t>31</w:t>
            </w:r>
          </w:p>
        </w:tc>
      </w:tr>
      <w:tr w:rsidR="001C4C5A" w:rsidRPr="00EC79A5" w14:paraId="31AE1406"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2D9D3F69" w14:textId="77777777" w:rsidR="001C4C5A" w:rsidRPr="00EC79A5" w:rsidRDefault="00000000"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04966B80" w14:textId="77777777" w:rsidR="001C4C5A" w:rsidRPr="00EC79A5" w:rsidRDefault="00000000" w:rsidP="00EC79A5">
            <w:pPr>
              <w:spacing w:line="276" w:lineRule="auto"/>
              <w:jc w:val="both"/>
              <w:rPr>
                <w:rFonts w:ascii="Verdana" w:hAnsi="Verdana"/>
              </w:rPr>
            </w:pPr>
            <w:r w:rsidRPr="00EC79A5">
              <w:rPr>
                <w:rFonts w:ascii="Verdana" w:hAnsi="Verdana"/>
                <w:color w:val="000000"/>
              </w:rPr>
              <w:t>Reportar matrícula PIE, diagnóstico prenatal y cobertura PASMI desagregados por diagnóstico</w:t>
            </w:r>
          </w:p>
        </w:tc>
        <w:tc>
          <w:tcPr>
            <w:tcW w:w="2280" w:type="dxa"/>
            <w:tcBorders>
              <w:top w:val="single" w:sz="8" w:space="0" w:color="CCCCCC"/>
              <w:left w:val="single" w:sz="8" w:space="0" w:color="CCCCCC"/>
              <w:bottom w:val="single" w:sz="8" w:space="0" w:color="CCCCCC"/>
              <w:right w:val="single" w:sz="8" w:space="0" w:color="CCCCCC"/>
            </w:tcBorders>
            <w:vAlign w:val="center"/>
          </w:tcPr>
          <w:p w14:paraId="19A6C480" w14:textId="77777777" w:rsidR="001C4C5A" w:rsidRPr="00EC79A5" w:rsidRDefault="00000000" w:rsidP="00EC79A5">
            <w:pPr>
              <w:spacing w:line="276" w:lineRule="auto"/>
              <w:jc w:val="both"/>
              <w:rPr>
                <w:rFonts w:ascii="Verdana" w:hAnsi="Verdana"/>
              </w:rPr>
            </w:pPr>
            <w:r w:rsidRPr="00EC79A5">
              <w:rPr>
                <w:rFonts w:ascii="Verdana" w:hAnsi="Verdana"/>
                <w:color w:val="000000"/>
              </w:rPr>
              <w:t>Próximo informe</w:t>
            </w:r>
          </w:p>
        </w:tc>
        <w:tc>
          <w:tcPr>
            <w:tcW w:w="1080" w:type="dxa"/>
            <w:tcBorders>
              <w:top w:val="single" w:sz="8" w:space="0" w:color="CCCCCC"/>
              <w:left w:val="single" w:sz="8" w:space="0" w:color="CCCCCC"/>
              <w:bottom w:val="single" w:sz="8" w:space="0" w:color="CCCCCC"/>
              <w:right w:val="single" w:sz="8" w:space="0" w:color="CCCCCC"/>
            </w:tcBorders>
            <w:vAlign w:val="center"/>
          </w:tcPr>
          <w:p w14:paraId="2DCD226A" w14:textId="77777777" w:rsidR="001C4C5A" w:rsidRPr="00EC79A5" w:rsidRDefault="00000000" w:rsidP="00EC79A5">
            <w:pPr>
              <w:spacing w:line="276" w:lineRule="auto"/>
              <w:jc w:val="both"/>
              <w:rPr>
                <w:rFonts w:ascii="Verdana" w:hAnsi="Verdana"/>
              </w:rPr>
            </w:pPr>
            <w:r w:rsidRPr="00EC79A5">
              <w:rPr>
                <w:rFonts w:ascii="Verdana" w:hAnsi="Verdana"/>
                <w:color w:val="000000"/>
              </w:rPr>
              <w:t>24, 25, 31</w:t>
            </w:r>
          </w:p>
        </w:tc>
      </w:tr>
      <w:tr w:rsidR="001C4C5A" w:rsidRPr="00EC79A5" w14:paraId="390EC72C"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7E430A02" w14:textId="77777777" w:rsidR="001C4C5A" w:rsidRPr="00EC79A5" w:rsidRDefault="00000000"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6CE3FB24" w14:textId="77777777" w:rsidR="001C4C5A" w:rsidRPr="00EC79A5" w:rsidRDefault="00000000" w:rsidP="00EC79A5">
            <w:pPr>
              <w:spacing w:line="276" w:lineRule="auto"/>
              <w:jc w:val="both"/>
              <w:rPr>
                <w:rFonts w:ascii="Verdana" w:hAnsi="Verdana"/>
              </w:rPr>
            </w:pPr>
            <w:r w:rsidRPr="00EC79A5">
              <w:rPr>
                <w:rFonts w:ascii="Verdana" w:hAnsi="Verdana"/>
                <w:color w:val="000000"/>
              </w:rPr>
              <w:t>Reporte anual conjunto MINEDUC-MINSAL-SENADIS sobre situación educativa y sanitaria de discapacidad intelectual</w:t>
            </w:r>
          </w:p>
        </w:tc>
        <w:tc>
          <w:tcPr>
            <w:tcW w:w="2280" w:type="dxa"/>
            <w:tcBorders>
              <w:top w:val="single" w:sz="8" w:space="0" w:color="CCCCCC"/>
              <w:left w:val="single" w:sz="8" w:space="0" w:color="CCCCCC"/>
              <w:bottom w:val="single" w:sz="8" w:space="0" w:color="CCCCCC"/>
              <w:right w:val="single" w:sz="8" w:space="0" w:color="CCCCCC"/>
            </w:tcBorders>
            <w:vAlign w:val="center"/>
          </w:tcPr>
          <w:p w14:paraId="01267D0F" w14:textId="77777777" w:rsidR="001C4C5A" w:rsidRPr="00EC79A5" w:rsidRDefault="00000000" w:rsidP="00EC79A5">
            <w:pPr>
              <w:spacing w:line="276" w:lineRule="auto"/>
              <w:jc w:val="both"/>
              <w:rPr>
                <w:rFonts w:ascii="Verdana" w:hAnsi="Verdana"/>
              </w:rPr>
            </w:pPr>
            <w:r w:rsidRPr="00EC79A5">
              <w:rPr>
                <w:rFonts w:ascii="Verdana" w:hAnsi="Verdana"/>
                <w:color w:val="000000"/>
              </w:rPr>
              <w:t>Anual</w:t>
            </w:r>
          </w:p>
        </w:tc>
        <w:tc>
          <w:tcPr>
            <w:tcW w:w="1080" w:type="dxa"/>
            <w:tcBorders>
              <w:top w:val="single" w:sz="8" w:space="0" w:color="CCCCCC"/>
              <w:left w:val="single" w:sz="8" w:space="0" w:color="CCCCCC"/>
              <w:bottom w:val="single" w:sz="8" w:space="0" w:color="CCCCCC"/>
              <w:right w:val="single" w:sz="8" w:space="0" w:color="CCCCCC"/>
            </w:tcBorders>
            <w:vAlign w:val="center"/>
          </w:tcPr>
          <w:p w14:paraId="3C9847FF" w14:textId="77777777" w:rsidR="001C4C5A" w:rsidRPr="00EC79A5" w:rsidRDefault="00000000" w:rsidP="00EC79A5">
            <w:pPr>
              <w:spacing w:line="276" w:lineRule="auto"/>
              <w:jc w:val="both"/>
              <w:rPr>
                <w:rFonts w:ascii="Verdana" w:hAnsi="Verdana"/>
              </w:rPr>
            </w:pPr>
            <w:r w:rsidRPr="00EC79A5">
              <w:rPr>
                <w:rFonts w:ascii="Verdana" w:hAnsi="Verdana"/>
                <w:color w:val="000000"/>
              </w:rPr>
              <w:t>24, 25, 31</w:t>
            </w:r>
          </w:p>
        </w:tc>
      </w:tr>
    </w:tbl>
    <w:p w14:paraId="06FBB782" w14:textId="77777777" w:rsidR="001C4C5A" w:rsidRPr="00EC79A5" w:rsidRDefault="00000000" w:rsidP="00EC79A5">
      <w:pPr>
        <w:spacing w:after="120" w:line="276" w:lineRule="auto"/>
        <w:jc w:val="both"/>
        <w:rPr>
          <w:rFonts w:ascii="Verdana" w:hAnsi="Verdana"/>
        </w:rPr>
      </w:pPr>
      <w:r w:rsidRPr="00EC79A5">
        <w:rPr>
          <w:rFonts w:ascii="Verdana" w:hAnsi="Verdana"/>
          <w:color w:val="000000"/>
        </w:rPr>
        <w:t xml:space="preserve"> </w:t>
      </w:r>
    </w:p>
    <w:p w14:paraId="2A9490B1" w14:textId="7B967743" w:rsidR="001C4C5A" w:rsidRPr="00EC79A5" w:rsidRDefault="001C4C5A" w:rsidP="0BC8996A">
      <w:pPr>
        <w:pStyle w:val="ChapterPlain"/>
        <w:shd w:val="clear" w:color="auto" w:fill="D9D9D9" w:themeFill="background2" w:themeFillShade="D9"/>
        <w:spacing w:after="140" w:line="276" w:lineRule="auto"/>
        <w:jc w:val="both"/>
        <w:rPr>
          <w:rFonts w:ascii="Verdana" w:hAnsi="Verdana"/>
          <w:sz w:val="22"/>
        </w:rPr>
      </w:pPr>
    </w:p>
    <w:p w14:paraId="2826FE4F" w14:textId="1684FD12" w:rsidR="001C4C5A" w:rsidRPr="00EC79A5" w:rsidRDefault="00000000" w:rsidP="0BC8996A">
      <w:pPr>
        <w:spacing w:after="140" w:line="276" w:lineRule="auto"/>
      </w:pPr>
      <w:r>
        <w:br w:type="page"/>
      </w:r>
    </w:p>
    <w:p w14:paraId="01BBA583" w14:textId="44E3ACF0" w:rsidR="001C4C5A" w:rsidRPr="00EC79A5" w:rsidRDefault="0FD20B37" w:rsidP="0BC8996A">
      <w:pPr>
        <w:pStyle w:val="ChapterPlain"/>
        <w:shd w:val="clear" w:color="auto" w:fill="D9D9D9" w:themeFill="background2" w:themeFillShade="D9"/>
        <w:spacing w:after="140" w:line="276" w:lineRule="auto"/>
        <w:jc w:val="both"/>
        <w:rPr>
          <w:rFonts w:ascii="Verdana" w:hAnsi="Verdana"/>
          <w:sz w:val="22"/>
        </w:rPr>
      </w:pPr>
      <w:r w:rsidRPr="0BC8996A">
        <w:rPr>
          <w:rFonts w:ascii="Verdana" w:hAnsi="Verdana"/>
          <w:sz w:val="22"/>
        </w:rPr>
        <w:lastRenderedPageBreak/>
        <w:t>5. Conclusiones y llamado al Comité</w:t>
      </w:r>
    </w:p>
    <w:p w14:paraId="16C9374F" w14:textId="77777777" w:rsidR="001C4C5A" w:rsidRPr="00EC79A5" w:rsidRDefault="00000000" w:rsidP="00EC79A5">
      <w:pPr>
        <w:spacing w:after="160" w:line="276" w:lineRule="auto"/>
        <w:jc w:val="both"/>
        <w:rPr>
          <w:rFonts w:ascii="Verdana" w:hAnsi="Verdana"/>
        </w:rPr>
      </w:pPr>
      <w:r w:rsidRPr="00EC79A5">
        <w:rPr>
          <w:rFonts w:ascii="Verdana" w:hAnsi="Verdana"/>
        </w:rPr>
        <w:t>Este informe ha documentado que el diseño de los sistemas de salud y educación en Chile no está adaptado al perfil específico del síndrome de Down, y que esta desadaptación se reproduce a lo largo del curso de vida: un diagnóstico que, pudiendo alcanzar 90% de cobertura, no supera el 50%; una brecha de acceso a la atención temprana de once veces entre sistema público y privado; un régimen de garantías que cubre las patologías correctas en los tramos etarios incorrectos; y un sistema educativo sin vía de continuidad hacia la educación superior para quienes egresan de escuelas especiales.</w:t>
      </w:r>
    </w:p>
    <w:p w14:paraId="405B8554" w14:textId="77777777" w:rsidR="001C4C5A" w:rsidRPr="00EC79A5" w:rsidRDefault="00000000" w:rsidP="00EC79A5">
      <w:pPr>
        <w:spacing w:after="160" w:line="276" w:lineRule="auto"/>
        <w:jc w:val="both"/>
        <w:rPr>
          <w:rFonts w:ascii="Verdana" w:hAnsi="Verdana"/>
        </w:rPr>
      </w:pPr>
      <w:r w:rsidRPr="00EC79A5">
        <w:rPr>
          <w:rFonts w:ascii="Verdana" w:hAnsi="Verdana"/>
          <w:color w:val="000000"/>
        </w:rPr>
        <w:t>La invisibilidad estadística del capítulo 3 no es un defecto técnico aislado: es la misma invisibilidad que el Centro documentó en su Informe Temático 1 para capacidad jurídica y vida independiente, ahora confirmada de forma independiente en los capítulos de educación y salud del informe estatal, donde tampoco aparece una sola vez la expresión "síndrome de Down" en 1.590 palabras. Esta convergencia, verificada en dos ejes temáticos distintos con la misma metodología, refuerza la solidez del hallazgo: no se trata de una omisión puntual, sino de un patrón sistemático en la forma en que el Estado produce y reporta información sobre esta población.</w:t>
      </w:r>
    </w:p>
    <w:p w14:paraId="1216B7C4" w14:textId="77777777" w:rsidR="001C4C5A" w:rsidRPr="00EC79A5" w:rsidRDefault="00000000" w:rsidP="00EC79A5">
      <w:pPr>
        <w:spacing w:after="160" w:line="276" w:lineRule="auto"/>
        <w:jc w:val="both"/>
        <w:rPr>
          <w:rFonts w:ascii="Verdana" w:hAnsi="Verdana"/>
        </w:rPr>
      </w:pPr>
      <w:r w:rsidRPr="00EC79A5">
        <w:rPr>
          <w:rFonts w:ascii="Verdana" w:hAnsi="Verdana"/>
        </w:rPr>
        <w:t>El Centro solicita respetuosamente al Comité incorporar, en su próxima lista de cuestiones y observaciones finales, preguntas y recomendaciones específicas sobre síndrome de Down y discapacidad intelectual en educación inclusiva (art. 24) y salud (art. 25), con vínculo a la habilitación y rehabilitación (art. 26), sustentadas en los datos desagregados que exige el artículo 31, con plazos e indicadores verificables como los propuestos en esta sección.</w:t>
      </w:r>
    </w:p>
    <w:p w14:paraId="0C94A24A" w14:textId="77777777" w:rsidR="001C4C5A" w:rsidRPr="00EC79A5" w:rsidRDefault="00000000" w:rsidP="00EC79A5">
      <w:pPr>
        <w:spacing w:line="276" w:lineRule="auto"/>
        <w:jc w:val="both"/>
        <w:rPr>
          <w:rFonts w:ascii="Verdana" w:hAnsi="Verdana"/>
        </w:rPr>
      </w:pPr>
      <w:r w:rsidRPr="00EC79A5">
        <w:rPr>
          <w:rFonts w:ascii="Verdana" w:hAnsi="Verdana"/>
        </w:rPr>
        <w:br w:type="page"/>
      </w:r>
    </w:p>
    <w:p w14:paraId="3D229A52" w14:textId="77777777" w:rsidR="001C4C5A" w:rsidRPr="00EC79A5" w:rsidRDefault="00000000" w:rsidP="00EC79A5">
      <w:pPr>
        <w:pStyle w:val="ChapterPlain"/>
        <w:spacing w:after="200" w:line="276" w:lineRule="auto"/>
        <w:jc w:val="both"/>
        <w:rPr>
          <w:rFonts w:ascii="Verdana" w:hAnsi="Verdana"/>
          <w:bCs/>
          <w:sz w:val="22"/>
        </w:rPr>
      </w:pPr>
      <w:r w:rsidRPr="00EC79A5">
        <w:rPr>
          <w:rFonts w:ascii="Verdana" w:hAnsi="Verdana"/>
          <w:sz w:val="22"/>
        </w:rPr>
        <w:lastRenderedPageBreak/>
        <w:t>Anexos</w:t>
      </w:r>
    </w:p>
    <w:p w14:paraId="7387006C" w14:textId="77777777" w:rsidR="001C4C5A" w:rsidRPr="00EC79A5" w:rsidRDefault="00000000"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t>Anexo A — Nota metodológica ampliada</w:t>
      </w:r>
    </w:p>
    <w:p w14:paraId="1D2817C3" w14:textId="77777777" w:rsidR="001C4C5A" w:rsidRPr="00EC79A5" w:rsidRDefault="00000000" w:rsidP="00EC79A5">
      <w:pPr>
        <w:spacing w:before="300" w:after="200" w:line="276" w:lineRule="auto"/>
        <w:jc w:val="both"/>
        <w:rPr>
          <w:rFonts w:ascii="Verdana" w:hAnsi="Verdana"/>
        </w:rPr>
      </w:pPr>
      <w:r w:rsidRPr="00EC79A5">
        <w:rPr>
          <w:rFonts w:ascii="Verdana" w:hAnsi="Verdana"/>
        </w:rPr>
        <w:t>Las Mesas Participativas "Por una propuesta legislativa para personas con síndrome de Down" fueron desarrolladas por el Centro junto al Centro de Políticas Públicas UC entre 2024 y 2025, con 367 personas consultadas mediante encuesta abierta y cinco jornadas de mesas de trabajo presenciales con 100 asistentes, distribuidos en siete mesas temáticas (Salud y Atención Temprana, Acceso a la Justicia, Cultura y Deportes, Educación, Vida Independiente, Inclusión Laboral e Investigación), con participación de personas con síndrome de Down mayores de 18 años, academia, fundaciones, agrupaciones y expertos temáticos. Sus hallazgos fueron sistematizados en "Un Chile mejor para personas con síndrome de Down: propuestas para una política nacional 2025" (ISBN 978-956-423-173-0). La Jornada de Investigación fue una instancia cualitativa posterior, en la que personas con síndrome de Down, familiares y profesionales identificaron brechas mediante un "Plenario colectivo", una "Cartografía de Derechos" y una carta colectiva dirigida al Estado. Ninguna de las dos fuentes constituye una muestra estadísticamente representativa; su valor es cualitativo y participativo, y así se ha señalado cada vez que se cita en este informe.</w:t>
      </w:r>
    </w:p>
    <w:p w14:paraId="56B43301" w14:textId="77777777" w:rsidR="00EC79A5" w:rsidRDefault="00EC79A5">
      <w:pPr>
        <w:rPr>
          <w:rFonts w:ascii="Verdana" w:hAnsi="Verdana"/>
          <w:b/>
        </w:rPr>
      </w:pPr>
      <w:r>
        <w:rPr>
          <w:rFonts w:ascii="Verdana" w:hAnsi="Verdana"/>
        </w:rPr>
        <w:br w:type="page"/>
      </w:r>
    </w:p>
    <w:p w14:paraId="2624564E" w14:textId="2B50D2D0" w:rsidR="001C4C5A" w:rsidRPr="00EC79A5" w:rsidRDefault="00000000"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Anexo B — Glosario de lenguaje respetuoso utilizado</w:t>
      </w:r>
    </w:p>
    <w:p w14:paraId="5B0FA63B" w14:textId="77777777" w:rsidR="001C4C5A" w:rsidRPr="00EC79A5" w:rsidRDefault="00000000" w:rsidP="00EC79A5">
      <w:pPr>
        <w:spacing w:before="300" w:after="200" w:line="276" w:lineRule="auto"/>
        <w:jc w:val="both"/>
        <w:rPr>
          <w:rFonts w:ascii="Verdana" w:hAnsi="Verdana"/>
        </w:rPr>
      </w:pPr>
      <w:r w:rsidRPr="00EC79A5">
        <w:rPr>
          <w:rFonts w:ascii="Verdana" w:hAnsi="Verdana"/>
        </w:rPr>
        <w:t xml:space="preserve">Este informe utiliza "personas con síndrome de Down" y "personas con discapacidad intelectual" como términos preferentes, evitando expresiones como "portador", "que sufre de" o "enfermo de síndrome de Down". Se evita el uso de diminutivos o expresiones </w:t>
      </w:r>
      <w:proofErr w:type="spellStart"/>
      <w:r w:rsidRPr="00EC79A5">
        <w:rPr>
          <w:rFonts w:ascii="Verdana" w:hAnsi="Verdana"/>
        </w:rPr>
        <w:t>infantilizantes</w:t>
      </w:r>
      <w:proofErr w:type="spellEnd"/>
      <w:r w:rsidRPr="00EC79A5">
        <w:rPr>
          <w:rFonts w:ascii="Verdana" w:hAnsi="Verdana"/>
        </w:rPr>
        <w:t xml:space="preserve"> para referirse a personas adultas, así como cualquier expresión </w:t>
      </w:r>
      <w:proofErr w:type="spellStart"/>
      <w:r w:rsidRPr="00EC79A5">
        <w:rPr>
          <w:rFonts w:ascii="Verdana" w:hAnsi="Verdana"/>
        </w:rPr>
        <w:t>estereotipante</w:t>
      </w:r>
      <w:proofErr w:type="spellEnd"/>
      <w:r w:rsidRPr="00EC79A5">
        <w:rPr>
          <w:rFonts w:ascii="Verdana" w:hAnsi="Verdana"/>
        </w:rPr>
        <w:t xml:space="preserve"> identificada en los testimonios recogidos, las que no se reproducen textualmente en el cuerpo del informe. Se utiliza "diagnóstico prenatal" y "entrega de la noticia diagnóstica" en lugar de expresiones que connoten valoración negativa de la condición.</w:t>
      </w:r>
    </w:p>
    <w:p w14:paraId="36991F41" w14:textId="77777777" w:rsidR="00EC79A5" w:rsidRDefault="00EC79A5">
      <w:pPr>
        <w:rPr>
          <w:rFonts w:ascii="Verdana" w:hAnsi="Verdana"/>
          <w:b/>
        </w:rPr>
      </w:pPr>
      <w:r>
        <w:rPr>
          <w:rFonts w:ascii="Verdana" w:hAnsi="Verdana"/>
        </w:rPr>
        <w:br w:type="page"/>
      </w:r>
    </w:p>
    <w:p w14:paraId="0269129C" w14:textId="4B7A86FB" w:rsidR="001C4C5A" w:rsidRPr="00EC79A5" w:rsidRDefault="00000000"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Anexo C — Referencias y fuentes oficiales citadas</w:t>
      </w:r>
    </w:p>
    <w:p w14:paraId="13FB90BD"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Centro UC Síndrome de Down (2026). </w:t>
      </w:r>
      <w:r w:rsidRPr="0BC8996A">
        <w:rPr>
          <w:rFonts w:ascii="Verdana" w:hAnsi="Verdana"/>
          <w:i/>
          <w:iCs/>
        </w:rPr>
        <w:t>Jornada de Investigación</w:t>
      </w:r>
      <w:r w:rsidRPr="0BC8996A">
        <w:rPr>
          <w:rFonts w:ascii="Verdana" w:hAnsi="Verdana"/>
        </w:rPr>
        <w:t xml:space="preserve"> (documento de trabajo interno, sistematización propia).</w:t>
      </w:r>
    </w:p>
    <w:p w14:paraId="34EC60A1" w14:textId="67904C18" w:rsidR="001C4C5A" w:rsidRPr="00EC79A5" w:rsidRDefault="26568A72" w:rsidP="0BC8996A">
      <w:pPr>
        <w:spacing w:after="240" w:line="276" w:lineRule="auto"/>
        <w:ind w:left="720" w:hanging="720"/>
        <w:jc w:val="both"/>
        <w:rPr>
          <w:rFonts w:ascii="Verdana" w:hAnsi="Verdana"/>
        </w:rPr>
      </w:pPr>
      <w:r w:rsidRPr="0BC8996A">
        <w:rPr>
          <w:rFonts w:ascii="Verdana" w:eastAsia="Verdana" w:hAnsi="Verdana" w:cs="Verdana"/>
        </w:rPr>
        <w:t>M. Lizama, T. Duarte, I. Cáceres, V. Romero-Rojas y P. Cancino</w:t>
      </w:r>
      <w:r w:rsidRPr="0BC8996A">
        <w:rPr>
          <w:rFonts w:ascii="Verdana" w:hAnsi="Verdana"/>
        </w:rPr>
        <w:t xml:space="preserve"> </w:t>
      </w:r>
      <w:r w:rsidR="0FD20B37" w:rsidRPr="0BC8996A">
        <w:rPr>
          <w:rFonts w:ascii="Verdana" w:hAnsi="Verdana"/>
        </w:rPr>
        <w:t xml:space="preserve">(2025). </w:t>
      </w:r>
      <w:r w:rsidR="0FD20B37" w:rsidRPr="0BC8996A">
        <w:rPr>
          <w:rFonts w:ascii="Verdana" w:hAnsi="Verdana"/>
          <w:i/>
          <w:iCs/>
        </w:rPr>
        <w:t>Un Chile mejor para personas con síndrome de Down: propuestas para una política nacional 2025</w:t>
      </w:r>
      <w:r w:rsidR="0FD20B37" w:rsidRPr="0BC8996A">
        <w:rPr>
          <w:rFonts w:ascii="Verdana" w:hAnsi="Verdana"/>
        </w:rPr>
        <w:t>. ISBN 978-956-423-173-0.</w:t>
      </w:r>
      <w:r w:rsidR="121D0403" w:rsidRPr="0BC8996A">
        <w:rPr>
          <w:rFonts w:ascii="Verdana" w:hAnsi="Verdana"/>
        </w:rPr>
        <w:t xml:space="preserve"> [disponible en </w:t>
      </w:r>
      <w:hyperlink r:id="rId16">
        <w:r w:rsidR="121D0403" w:rsidRPr="0BC8996A">
          <w:rPr>
            <w:rStyle w:val="Hipervnculo"/>
            <w:rFonts w:ascii="Verdana" w:hAnsi="Verdana"/>
          </w:rPr>
          <w:t>https://politicaspublicas.uc.cl/publicacion/un-chile-mejor-para-personas-con-sindrome-de-down-propuestas-para-una-politica-nacional-2025/</w:t>
        </w:r>
      </w:hyperlink>
      <w:r w:rsidR="121D0403" w:rsidRPr="0BC8996A">
        <w:rPr>
          <w:rFonts w:ascii="Verdana" w:hAnsi="Verdana"/>
        </w:rPr>
        <w:t>]</w:t>
      </w:r>
    </w:p>
    <w:p w14:paraId="6B43D348" w14:textId="222B3379" w:rsidR="001C4C5A" w:rsidRPr="00EC79A5" w:rsidRDefault="73F30F4E" w:rsidP="0BC8996A">
      <w:pPr>
        <w:spacing w:after="240" w:line="276" w:lineRule="auto"/>
        <w:ind w:left="720" w:hanging="720"/>
        <w:jc w:val="both"/>
        <w:rPr>
          <w:rFonts w:ascii="Verdana" w:hAnsi="Verdana"/>
        </w:rPr>
      </w:pPr>
      <w:r w:rsidRPr="0BC8996A">
        <w:rPr>
          <w:rFonts w:ascii="Verdana" w:hAnsi="Verdana"/>
        </w:rPr>
        <w:t xml:space="preserve">M. Lizama, B. Bilbeny, I. Cáceres, P. Cancino, T. Duarte, V. Romero-Rojas </w:t>
      </w:r>
      <w:r w:rsidR="0FD20B37" w:rsidRPr="0BC8996A">
        <w:rPr>
          <w:rFonts w:ascii="Verdana" w:hAnsi="Verdana"/>
        </w:rPr>
        <w:t xml:space="preserve">(2025). </w:t>
      </w:r>
      <w:r w:rsidR="0FD20B37" w:rsidRPr="0BC8996A">
        <w:rPr>
          <w:rFonts w:ascii="Verdana" w:hAnsi="Verdana"/>
          <w:i/>
          <w:iCs/>
        </w:rPr>
        <w:t xml:space="preserve">Propuestas presidenciales para personas con </w:t>
      </w:r>
      <w:r w:rsidR="2BAB1130" w:rsidRPr="0BC8996A">
        <w:rPr>
          <w:rFonts w:ascii="Verdana" w:hAnsi="Verdana"/>
          <w:i/>
          <w:iCs/>
        </w:rPr>
        <w:t>discapacidad intelectual</w:t>
      </w:r>
      <w:r w:rsidR="0FD20B37" w:rsidRPr="0BC8996A">
        <w:rPr>
          <w:rFonts w:ascii="Verdana" w:hAnsi="Verdana"/>
          <w:i/>
          <w:iCs/>
        </w:rPr>
        <w:t xml:space="preserve"> y síndrome de Down</w:t>
      </w:r>
      <w:r w:rsidR="0FD20B37" w:rsidRPr="0BC8996A">
        <w:rPr>
          <w:rFonts w:ascii="Verdana" w:hAnsi="Verdana"/>
        </w:rPr>
        <w:t xml:space="preserve"> (Policy Brief)</w:t>
      </w:r>
      <w:r w:rsidR="318EB63B" w:rsidRPr="0BC8996A">
        <w:rPr>
          <w:rFonts w:ascii="Verdana" w:hAnsi="Verdana"/>
        </w:rPr>
        <w:t xml:space="preserve"> [disponible en: </w:t>
      </w:r>
      <w:hyperlink r:id="rId17">
        <w:r w:rsidR="318EB63B" w:rsidRPr="0BC8996A">
          <w:rPr>
            <w:rStyle w:val="Hipervnculo"/>
            <w:rFonts w:ascii="Verdana" w:hAnsi="Verdana"/>
          </w:rPr>
          <w:t>https://politicaspublicas.uc.cl/publicacion/propuestas-presidenciales-para-personas-con-discapacidad-cognitiva-y-sindrome-de-down/</w:t>
        </w:r>
      </w:hyperlink>
      <w:r w:rsidR="318EB63B" w:rsidRPr="0BC8996A">
        <w:rPr>
          <w:rFonts w:ascii="Verdana" w:hAnsi="Verdana"/>
        </w:rPr>
        <w:t>]</w:t>
      </w:r>
    </w:p>
    <w:p w14:paraId="06F0A028" w14:textId="6684AEC8" w:rsidR="31420E28" w:rsidRDefault="31420E28" w:rsidP="0BC8996A">
      <w:pPr>
        <w:spacing w:after="240" w:line="276" w:lineRule="auto"/>
        <w:ind w:left="720" w:hanging="720"/>
        <w:jc w:val="both"/>
        <w:rPr>
          <w:rFonts w:ascii="Verdana" w:hAnsi="Verdana"/>
        </w:rPr>
      </w:pPr>
      <w:r w:rsidRPr="0BC8996A">
        <w:rPr>
          <w:rFonts w:ascii="Verdana" w:eastAsia="Verdana" w:hAnsi="Verdana" w:cs="Verdana"/>
        </w:rPr>
        <w:t>M. Lizama, T. Duarte, V. Romero-Rojas y P. Cancino</w:t>
      </w:r>
      <w:r w:rsidRPr="0BC8996A">
        <w:rPr>
          <w:rFonts w:ascii="Verdana" w:hAnsi="Verdana"/>
        </w:rPr>
        <w:t xml:space="preserve"> (2025)</w:t>
      </w:r>
      <w:r w:rsidR="16E3A931" w:rsidRPr="0BC8996A">
        <w:rPr>
          <w:rFonts w:ascii="Verdana" w:hAnsi="Verdana"/>
        </w:rPr>
        <w:t xml:space="preserve"> (2025). </w:t>
      </w:r>
      <w:r w:rsidR="16E3A931" w:rsidRPr="0BC8996A">
        <w:rPr>
          <w:rFonts w:ascii="Verdana" w:hAnsi="Verdana"/>
          <w:i/>
          <w:iCs/>
        </w:rPr>
        <w:t>Panorama actual sobre personas con síndrome de Down en Chile: políticas, legislación y brechas</w:t>
      </w:r>
      <w:r w:rsidR="16E3A931" w:rsidRPr="0BC8996A">
        <w:rPr>
          <w:rFonts w:ascii="Verdana" w:hAnsi="Verdana"/>
        </w:rPr>
        <w:t xml:space="preserve"> [disponible en: </w:t>
      </w:r>
      <w:hyperlink r:id="rId18">
        <w:r w:rsidR="16E3A931" w:rsidRPr="0BC8996A">
          <w:rPr>
            <w:rStyle w:val="Hipervnculo"/>
            <w:rFonts w:ascii="Verdana" w:hAnsi="Verdana"/>
          </w:rPr>
          <w:t>https://politicaspublicas.uc.cl/publicacion/panorama-actual-sobre-personas-con-sindrome-de-down-en-chile-politicas-legislacion-y-brechas/</w:t>
        </w:r>
      </w:hyperlink>
      <w:r w:rsidR="16E3A931" w:rsidRPr="0BC8996A">
        <w:rPr>
          <w:rFonts w:ascii="Verdana" w:hAnsi="Verdana"/>
        </w:rPr>
        <w:t>]</w:t>
      </w:r>
    </w:p>
    <w:p w14:paraId="240D6659"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(2016). </w:t>
      </w:r>
      <w:r w:rsidRPr="0BC8996A">
        <w:rPr>
          <w:rFonts w:ascii="Verdana" w:hAnsi="Verdana"/>
          <w:i/>
          <w:iCs/>
        </w:rPr>
        <w:t>Observaciones finales sobre el informe inicial de Chile</w:t>
      </w:r>
      <w:r w:rsidRPr="0BC8996A">
        <w:rPr>
          <w:rFonts w:ascii="Verdana" w:hAnsi="Verdana"/>
        </w:rPr>
        <w:t>, CRPD/C/CHL/CO/1.</w:t>
      </w:r>
    </w:p>
    <w:p w14:paraId="311C1B1B"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(2018). </w:t>
      </w:r>
      <w:r w:rsidRPr="0BC8996A">
        <w:rPr>
          <w:rFonts w:ascii="Verdana" w:hAnsi="Verdana"/>
          <w:i/>
          <w:iCs/>
        </w:rPr>
        <w:t xml:space="preserve">Observación general núm. 7 sobre la participación de las personas con discapacidad, incluidos </w:t>
      </w:r>
      <w:proofErr w:type="gramStart"/>
      <w:r w:rsidRPr="0BC8996A">
        <w:rPr>
          <w:rFonts w:ascii="Verdana" w:hAnsi="Verdana"/>
          <w:i/>
          <w:iCs/>
        </w:rPr>
        <w:t>los niños y las niñas</w:t>
      </w:r>
      <w:proofErr w:type="gramEnd"/>
      <w:r w:rsidRPr="0BC8996A">
        <w:rPr>
          <w:rFonts w:ascii="Verdana" w:hAnsi="Verdana"/>
          <w:i/>
          <w:iCs/>
        </w:rPr>
        <w:t xml:space="preserve"> con discapacidad, a través de las organizaciones que las representan, en la aplicación y el seguimiento de la Convención</w:t>
      </w:r>
      <w:r w:rsidRPr="0BC8996A">
        <w:rPr>
          <w:rFonts w:ascii="Verdana" w:hAnsi="Verdana"/>
        </w:rPr>
        <w:t>, CRPD/C/GC/7.</w:t>
      </w:r>
    </w:p>
    <w:p w14:paraId="1E48AC2F"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(2020). </w:t>
      </w:r>
      <w:r w:rsidRPr="0BC8996A">
        <w:rPr>
          <w:rFonts w:ascii="Verdana" w:hAnsi="Verdana"/>
          <w:i/>
          <w:iCs/>
        </w:rPr>
        <w:t>Lista de cuestiones relativa a los informes periódicos segundo a cuarto combinados de Chile</w:t>
      </w:r>
      <w:r w:rsidRPr="0BC8996A">
        <w:rPr>
          <w:rFonts w:ascii="Verdana" w:hAnsi="Verdana"/>
        </w:rPr>
        <w:t>, CRPD/C/CHL/QPR/2-4.</w:t>
      </w:r>
    </w:p>
    <w:p w14:paraId="65024497"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Estado de Chile (2022). </w:t>
      </w:r>
      <w:r w:rsidRPr="0BC8996A">
        <w:rPr>
          <w:rFonts w:ascii="Verdana" w:hAnsi="Verdana"/>
          <w:i/>
          <w:iCs/>
        </w:rPr>
        <w:t>Informe combinado segundo a cuarto periódico presentado por Chile ante el Comité sobre los Derechos de las Personas con Discapacidad</w:t>
      </w:r>
      <w:r w:rsidRPr="0BC8996A">
        <w:rPr>
          <w:rFonts w:ascii="Verdana" w:hAnsi="Verdana"/>
        </w:rPr>
        <w:t>.</w:t>
      </w:r>
    </w:p>
    <w:p w14:paraId="230E3391"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Chile. Ministerio de Salud (2004). Establece un régimen de garantías en salud, Ley N.º 19.966.</w:t>
      </w:r>
    </w:p>
    <w:p w14:paraId="72DD0BED"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Chile. Ministerio de Educación (2015). Ley de Inclusión Escolar, Ley N.º 20.845.</w:t>
      </w:r>
    </w:p>
    <w:p w14:paraId="251F8387" w14:textId="77777777" w:rsidR="001C4C5A" w:rsidRPr="00EC79A5" w:rsidRDefault="0FD20B37" w:rsidP="0BC8996A">
      <w:pPr>
        <w:spacing w:before="200" w:after="200" w:line="276" w:lineRule="auto"/>
        <w:ind w:left="720" w:hanging="720"/>
        <w:jc w:val="both"/>
        <w:rPr>
          <w:rFonts w:ascii="Verdana" w:hAnsi="Verdana"/>
        </w:rPr>
      </w:pPr>
      <w:r w:rsidRPr="0BC8996A">
        <w:rPr>
          <w:rFonts w:ascii="Verdana" w:hAnsi="Verdana"/>
        </w:rPr>
        <w:lastRenderedPageBreak/>
        <w:t xml:space="preserve">Naciones Unidas (2006). </w:t>
      </w:r>
      <w:r w:rsidRPr="0BC8996A">
        <w:rPr>
          <w:rFonts w:ascii="Verdana" w:hAnsi="Verdana"/>
          <w:i/>
          <w:iCs/>
        </w:rPr>
        <w:t>Convención sobre los Derechos de las Personas con Discapacidad y su Protocolo Facultativo</w:t>
      </w:r>
      <w:r w:rsidRPr="0BC8996A">
        <w:rPr>
          <w:rFonts w:ascii="Verdana" w:hAnsi="Verdana"/>
        </w:rPr>
        <w:t>, A/RES/61/106.</w:t>
      </w:r>
    </w:p>
    <w:p w14:paraId="45059242" w14:textId="77777777" w:rsidR="001C4C5A" w:rsidRPr="00EC79A5" w:rsidRDefault="001C4C5A" w:rsidP="00EC79A5">
      <w:pPr>
        <w:spacing w:after="200" w:line="276" w:lineRule="auto"/>
        <w:jc w:val="both"/>
        <w:rPr>
          <w:rFonts w:ascii="Verdana" w:hAnsi="Verdana"/>
        </w:rPr>
      </w:pPr>
    </w:p>
    <w:sectPr w:rsidR="001C4C5A" w:rsidRPr="00EC79A5" w:rsidSect="00EC79A5">
      <w:headerReference w:type="default" r:id="rId19"/>
      <w:footerReference w:type="default" r:id="rId20"/>
      <w:headerReference w:type="first" r:id="rId21"/>
      <w:footerReference w:type="first" r:id="rId22"/>
      <w:pgSz w:w="12240" w:h="15840"/>
      <w:pgMar w:top="1440" w:right="1440" w:bottom="1440" w:left="1440" w:header="708"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FF5B0" w14:textId="77777777" w:rsidR="007876A5" w:rsidRDefault="007876A5">
      <w:r>
        <w:separator/>
      </w:r>
    </w:p>
  </w:endnote>
  <w:endnote w:type="continuationSeparator" w:id="0">
    <w:p w14:paraId="2FE05892" w14:textId="77777777" w:rsidR="007876A5" w:rsidRDefault="0078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DejaVu Sans">
    <w:altName w:val="Verdana"/>
    <w:panose1 w:val="020B0604020202020204"/>
    <w:charset w:val="00"/>
    <w:family w:val="roman"/>
    <w:notTrueType/>
    <w:pitch w:val="default"/>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7F2DF" w14:textId="77777777" w:rsidR="001C4C5A" w:rsidRDefault="00000000">
    <w:pPr>
      <w:jc w:val="center"/>
    </w:pPr>
    <w:r>
      <w:rPr>
        <w:color w:val="000000"/>
        <w:sz w:val="18"/>
        <w:szCs w:val="18"/>
      </w:rPr>
      <w:t xml:space="preserve">Página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color w:val="000000"/>
        <w:sz w:val="18"/>
        <w:szCs w:val="18"/>
      </w:rPr>
      <w:t>42</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color w:val="000000"/>
        <w:sz w:val="18"/>
        <w:szCs w:val="18"/>
      </w:rPr>
      <w:t>42</w:t>
    </w:r>
    <w:r>
      <w:rPr>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E86F" w14:textId="303FF0F0" w:rsidR="001C4C5A" w:rsidRDefault="001C4C5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2BF35" w14:textId="77777777" w:rsidR="007876A5" w:rsidRDefault="007876A5">
      <w:r>
        <w:separator/>
      </w:r>
    </w:p>
  </w:footnote>
  <w:footnote w:type="continuationSeparator" w:id="0">
    <w:p w14:paraId="6E0B6B1B" w14:textId="77777777" w:rsidR="007876A5" w:rsidRDefault="00787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F2CAA" w14:textId="1665FE5C" w:rsidR="001C4C5A" w:rsidRPr="007D0ED0" w:rsidRDefault="00EC79A5">
    <w:pPr>
      <w:jc w:val="right"/>
      <w:rPr>
        <w:color w:val="999999"/>
        <w:sz w:val="16"/>
        <w:szCs w:val="16"/>
        <w:lang w:val="es-CL"/>
      </w:rPr>
    </w:pPr>
    <w:r>
      <w:rPr>
        <w:rFonts w:ascii="Verdana" w:hAnsi="Verdana"/>
        <w:b/>
        <w:bCs/>
        <w:noProof/>
        <w:lang w:val="en-US"/>
      </w:rPr>
      <w:drawing>
        <wp:anchor distT="0" distB="0" distL="114300" distR="114300" simplePos="0" relativeHeight="251659264" behindDoc="0" locked="0" layoutInCell="1" allowOverlap="1" wp14:anchorId="61DBD3AE" wp14:editId="3E959C90">
          <wp:simplePos x="0" y="0"/>
          <wp:positionH relativeFrom="column">
            <wp:posOffset>0</wp:posOffset>
          </wp:positionH>
          <wp:positionV relativeFrom="paragraph">
            <wp:posOffset>-80588</wp:posOffset>
          </wp:positionV>
          <wp:extent cx="1182255" cy="394085"/>
          <wp:effectExtent l="0" t="0" r="0" b="0"/>
          <wp:wrapNone/>
          <wp:docPr id="8993827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97814" name="Imagen 1165597814"/>
                  <pic:cNvPicPr/>
                </pic:nvPicPr>
                <pic:blipFill>
                  <a:blip r:embed="rId1">
                    <a:extLst>
                      <a:ext uri="{28A0092B-C50C-407E-A947-70E740481C1C}">
                        <a14:useLocalDpi xmlns:a14="http://schemas.microsoft.com/office/drawing/2010/main" val="0"/>
                      </a:ext>
                    </a:extLst>
                  </a:blip>
                  <a:stretch>
                    <a:fillRect/>
                  </a:stretch>
                </pic:blipFill>
                <pic:spPr>
                  <a:xfrm>
                    <a:off x="0" y="0"/>
                    <a:ext cx="1182255" cy="394085"/>
                  </a:xfrm>
                  <a:prstGeom prst="rect">
                    <a:avLst/>
                  </a:prstGeom>
                </pic:spPr>
              </pic:pic>
            </a:graphicData>
          </a:graphic>
          <wp14:sizeRelH relativeFrom="page">
            <wp14:pctWidth>0</wp14:pctWidth>
          </wp14:sizeRelH>
          <wp14:sizeRelV relativeFrom="page">
            <wp14:pctHeight>0</wp14:pctHeight>
          </wp14:sizeRelV>
        </wp:anchor>
      </w:drawing>
    </w:r>
    <w:r>
      <w:rPr>
        <w:color w:val="999999"/>
        <w:sz w:val="16"/>
        <w:szCs w:val="16"/>
      </w:rPr>
      <w:t>Unidad de Investigación y Desarrollo Académico</w:t>
    </w:r>
  </w:p>
  <w:p w14:paraId="6B416FAA" w14:textId="77777777" w:rsidR="001C4C5A" w:rsidRPr="007D0ED0" w:rsidRDefault="00000000">
    <w:pPr>
      <w:jc w:val="right"/>
      <w:rPr>
        <w:color w:val="999999"/>
        <w:sz w:val="16"/>
        <w:szCs w:val="16"/>
        <w:lang w:val="es-CL"/>
      </w:rPr>
    </w:pPr>
    <w:r>
      <w:rPr>
        <w:color w:val="999999"/>
        <w:sz w:val="16"/>
        <w:szCs w:val="16"/>
      </w:rPr>
      <w:t xml:space="preserve">Centro UC Síndrome de Down </w:t>
    </w:r>
  </w:p>
  <w:p w14:paraId="4865BAFA" w14:textId="77777777" w:rsidR="001C4C5A" w:rsidRPr="007D0ED0" w:rsidRDefault="00000000">
    <w:pPr>
      <w:jc w:val="right"/>
      <w:rPr>
        <w:color w:val="999999"/>
        <w:sz w:val="16"/>
        <w:szCs w:val="16"/>
        <w:lang w:val="es-CL"/>
      </w:rPr>
    </w:pPr>
    <w:r>
      <w:rPr>
        <w:color w:val="999999"/>
        <w:sz w:val="16"/>
        <w:szCs w:val="16"/>
      </w:rPr>
      <w:t>Informe Alternativo CDPD</w:t>
    </w:r>
  </w:p>
  <w:p w14:paraId="01C2EA28" w14:textId="77777777" w:rsidR="001C4C5A" w:rsidRPr="007D0ED0" w:rsidRDefault="001C4C5A">
    <w:pPr>
      <w:jc w:val="right"/>
      <w:rPr>
        <w:color w:val="000000"/>
        <w:sz w:val="16"/>
        <w:szCs w:val="16"/>
        <w:lang w:val="es-C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CA828" w14:textId="77777777" w:rsidR="001C4C5A" w:rsidRPr="007D0ED0" w:rsidRDefault="001C4C5A">
    <w:pPr>
      <w:jc w:val="right"/>
      <w:rPr>
        <w:color w:val="000000"/>
        <w:sz w:val="16"/>
        <w:szCs w:val="16"/>
        <w:lang w:val="es-C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C3FAC"/>
    <w:multiLevelType w:val="hybridMultilevel"/>
    <w:tmpl w:val="AE600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170C0EC3"/>
    <w:multiLevelType w:val="hybridMultilevel"/>
    <w:tmpl w:val="BA16823C"/>
    <w:lvl w:ilvl="0" w:tplc="B0F89E9A">
      <w:start w:val="1"/>
      <w:numFmt w:val="decimal"/>
      <w:lvlText w:val="%1."/>
      <w:lvlJc w:val="left"/>
      <w:pPr>
        <w:ind w:left="1080" w:hanging="360"/>
      </w:pPr>
    </w:lvl>
    <w:lvl w:ilvl="1" w:tplc="EDBC0C18">
      <w:start w:val="1"/>
      <w:numFmt w:val="lowerLetter"/>
      <w:lvlText w:val="%2."/>
      <w:lvlJc w:val="left"/>
      <w:pPr>
        <w:ind w:left="1800" w:hanging="360"/>
      </w:pPr>
    </w:lvl>
    <w:lvl w:ilvl="2" w:tplc="3FD4030A">
      <w:start w:val="1"/>
      <w:numFmt w:val="lowerRoman"/>
      <w:lvlText w:val="%3."/>
      <w:lvlJc w:val="right"/>
      <w:pPr>
        <w:ind w:left="2520" w:hanging="180"/>
      </w:pPr>
    </w:lvl>
    <w:lvl w:ilvl="3" w:tplc="F94A1CA2">
      <w:start w:val="1"/>
      <w:numFmt w:val="decimal"/>
      <w:lvlText w:val="%4."/>
      <w:lvlJc w:val="left"/>
      <w:pPr>
        <w:ind w:left="3240" w:hanging="360"/>
      </w:pPr>
    </w:lvl>
    <w:lvl w:ilvl="4" w:tplc="F38AA862">
      <w:start w:val="1"/>
      <w:numFmt w:val="lowerLetter"/>
      <w:lvlText w:val="%5."/>
      <w:lvlJc w:val="left"/>
      <w:pPr>
        <w:ind w:left="3960" w:hanging="360"/>
      </w:pPr>
    </w:lvl>
    <w:lvl w:ilvl="5" w:tplc="3822FA6A">
      <w:start w:val="1"/>
      <w:numFmt w:val="lowerRoman"/>
      <w:lvlText w:val="%6."/>
      <w:lvlJc w:val="right"/>
      <w:pPr>
        <w:ind w:left="4680" w:hanging="180"/>
      </w:pPr>
    </w:lvl>
    <w:lvl w:ilvl="6" w:tplc="441C655E">
      <w:start w:val="1"/>
      <w:numFmt w:val="decimal"/>
      <w:lvlText w:val="%7."/>
      <w:lvlJc w:val="left"/>
      <w:pPr>
        <w:ind w:left="5400" w:hanging="360"/>
      </w:pPr>
    </w:lvl>
    <w:lvl w:ilvl="7" w:tplc="34388EDE">
      <w:start w:val="1"/>
      <w:numFmt w:val="lowerLetter"/>
      <w:lvlText w:val="%8."/>
      <w:lvlJc w:val="left"/>
      <w:pPr>
        <w:ind w:left="6120" w:hanging="360"/>
      </w:pPr>
    </w:lvl>
    <w:lvl w:ilvl="8" w:tplc="5EA42E78">
      <w:start w:val="1"/>
      <w:numFmt w:val="lowerRoman"/>
      <w:lvlText w:val="%9."/>
      <w:lvlJc w:val="right"/>
      <w:pPr>
        <w:ind w:left="6840" w:hanging="180"/>
      </w:pPr>
    </w:lvl>
  </w:abstractNum>
  <w:abstractNum w:abstractNumId="2" w15:restartNumberingAfterBreak="0">
    <w:nsid w:val="229B56BA"/>
    <w:multiLevelType w:val="hybridMultilevel"/>
    <w:tmpl w:val="4748EF7C"/>
    <w:lvl w:ilvl="0" w:tplc="F6FA5B6A">
      <w:start w:val="1"/>
      <w:numFmt w:val="lowerRoman"/>
      <w:lvlText w:val="(%1)"/>
      <w:lvlJc w:val="left"/>
      <w:pPr>
        <w:ind w:left="1080" w:hanging="1080"/>
      </w:pPr>
      <w:rPr>
        <w:rFonts w:ascii="Verdana" w:eastAsia="Arial" w:hAnsi="Verdana" w:cs="Arial"/>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5029DEC2"/>
    <w:multiLevelType w:val="hybridMultilevel"/>
    <w:tmpl w:val="EA6E26CE"/>
    <w:lvl w:ilvl="0" w:tplc="05C6D0A8">
      <w:start w:val="1"/>
      <w:numFmt w:val="decimal"/>
      <w:lvlText w:val="%1."/>
      <w:lvlJc w:val="left"/>
      <w:pPr>
        <w:ind w:left="360" w:hanging="360"/>
      </w:pPr>
    </w:lvl>
    <w:lvl w:ilvl="1" w:tplc="64EC0AA8">
      <w:start w:val="1"/>
      <w:numFmt w:val="lowerLetter"/>
      <w:lvlText w:val="%2."/>
      <w:lvlJc w:val="left"/>
      <w:pPr>
        <w:ind w:left="1080" w:hanging="360"/>
      </w:pPr>
    </w:lvl>
    <w:lvl w:ilvl="2" w:tplc="1BF635F2">
      <w:start w:val="1"/>
      <w:numFmt w:val="lowerRoman"/>
      <w:lvlText w:val="%3."/>
      <w:lvlJc w:val="right"/>
      <w:pPr>
        <w:ind w:left="1800" w:hanging="180"/>
      </w:pPr>
    </w:lvl>
    <w:lvl w:ilvl="3" w:tplc="F4AC17F2">
      <w:start w:val="1"/>
      <w:numFmt w:val="decimal"/>
      <w:lvlText w:val="%4."/>
      <w:lvlJc w:val="left"/>
      <w:pPr>
        <w:ind w:left="2520" w:hanging="360"/>
      </w:pPr>
    </w:lvl>
    <w:lvl w:ilvl="4" w:tplc="E4EAA148">
      <w:start w:val="1"/>
      <w:numFmt w:val="lowerLetter"/>
      <w:lvlText w:val="%5."/>
      <w:lvlJc w:val="left"/>
      <w:pPr>
        <w:ind w:left="3240" w:hanging="360"/>
      </w:pPr>
    </w:lvl>
    <w:lvl w:ilvl="5" w:tplc="C5AE2FDC">
      <w:start w:val="1"/>
      <w:numFmt w:val="lowerRoman"/>
      <w:lvlText w:val="%6."/>
      <w:lvlJc w:val="right"/>
      <w:pPr>
        <w:ind w:left="3960" w:hanging="180"/>
      </w:pPr>
    </w:lvl>
    <w:lvl w:ilvl="6" w:tplc="5146580A">
      <w:start w:val="1"/>
      <w:numFmt w:val="decimal"/>
      <w:lvlText w:val="%7."/>
      <w:lvlJc w:val="left"/>
      <w:pPr>
        <w:ind w:left="4680" w:hanging="360"/>
      </w:pPr>
    </w:lvl>
    <w:lvl w:ilvl="7" w:tplc="D7741B02">
      <w:start w:val="1"/>
      <w:numFmt w:val="lowerLetter"/>
      <w:lvlText w:val="%8."/>
      <w:lvlJc w:val="left"/>
      <w:pPr>
        <w:ind w:left="5400" w:hanging="360"/>
      </w:pPr>
    </w:lvl>
    <w:lvl w:ilvl="8" w:tplc="7564EE58">
      <w:start w:val="1"/>
      <w:numFmt w:val="lowerRoman"/>
      <w:lvlText w:val="%9."/>
      <w:lvlJc w:val="right"/>
      <w:pPr>
        <w:ind w:left="6120" w:hanging="180"/>
      </w:pPr>
    </w:lvl>
  </w:abstractNum>
  <w:abstractNum w:abstractNumId="4" w15:restartNumberingAfterBreak="0">
    <w:nsid w:val="5D9A021F"/>
    <w:multiLevelType w:val="hybridMultilevel"/>
    <w:tmpl w:val="E5F8F04E"/>
    <w:lvl w:ilvl="0" w:tplc="9C24877E">
      <w:start w:val="1"/>
      <w:numFmt w:val="decimal"/>
      <w:lvlText w:val="%1."/>
      <w:lvlJc w:val="left"/>
      <w:pPr>
        <w:ind w:left="720" w:hanging="360"/>
      </w:pPr>
    </w:lvl>
    <w:lvl w:ilvl="1" w:tplc="949A671E">
      <w:start w:val="1"/>
      <w:numFmt w:val="lowerLetter"/>
      <w:lvlText w:val="%2."/>
      <w:lvlJc w:val="left"/>
      <w:pPr>
        <w:ind w:left="1440" w:hanging="360"/>
      </w:pPr>
    </w:lvl>
    <w:lvl w:ilvl="2" w:tplc="403E1252">
      <w:start w:val="1"/>
      <w:numFmt w:val="lowerRoman"/>
      <w:lvlText w:val="%3."/>
      <w:lvlJc w:val="right"/>
      <w:pPr>
        <w:ind w:left="2160" w:hanging="180"/>
      </w:pPr>
    </w:lvl>
    <w:lvl w:ilvl="3" w:tplc="2DBE5A76">
      <w:start w:val="1"/>
      <w:numFmt w:val="decimal"/>
      <w:lvlText w:val="%4."/>
      <w:lvlJc w:val="left"/>
      <w:pPr>
        <w:ind w:left="2880" w:hanging="360"/>
      </w:pPr>
    </w:lvl>
    <w:lvl w:ilvl="4" w:tplc="D3CE40A0">
      <w:start w:val="1"/>
      <w:numFmt w:val="lowerLetter"/>
      <w:lvlText w:val="%5."/>
      <w:lvlJc w:val="left"/>
      <w:pPr>
        <w:ind w:left="3600" w:hanging="360"/>
      </w:pPr>
    </w:lvl>
    <w:lvl w:ilvl="5" w:tplc="A430794E">
      <w:start w:val="1"/>
      <w:numFmt w:val="lowerRoman"/>
      <w:lvlText w:val="%6."/>
      <w:lvlJc w:val="right"/>
      <w:pPr>
        <w:ind w:left="4320" w:hanging="180"/>
      </w:pPr>
    </w:lvl>
    <w:lvl w:ilvl="6" w:tplc="403A4F4A">
      <w:start w:val="1"/>
      <w:numFmt w:val="decimal"/>
      <w:lvlText w:val="%7."/>
      <w:lvlJc w:val="left"/>
      <w:pPr>
        <w:ind w:left="5040" w:hanging="360"/>
      </w:pPr>
    </w:lvl>
    <w:lvl w:ilvl="7" w:tplc="27DC9102">
      <w:start w:val="1"/>
      <w:numFmt w:val="lowerLetter"/>
      <w:lvlText w:val="%8."/>
      <w:lvlJc w:val="left"/>
      <w:pPr>
        <w:ind w:left="5760" w:hanging="360"/>
      </w:pPr>
    </w:lvl>
    <w:lvl w:ilvl="8" w:tplc="A2C4D2A2">
      <w:start w:val="1"/>
      <w:numFmt w:val="lowerRoman"/>
      <w:lvlText w:val="%9."/>
      <w:lvlJc w:val="right"/>
      <w:pPr>
        <w:ind w:left="6480" w:hanging="180"/>
      </w:pPr>
    </w:lvl>
  </w:abstractNum>
  <w:num w:numId="1" w16cid:durableId="1696031611">
    <w:abstractNumId w:val="4"/>
  </w:num>
  <w:num w:numId="2" w16cid:durableId="525754169">
    <w:abstractNumId w:val="1"/>
  </w:num>
  <w:num w:numId="3" w16cid:durableId="1431855582">
    <w:abstractNumId w:val="3"/>
  </w:num>
  <w:num w:numId="4" w16cid:durableId="597562511">
    <w:abstractNumId w:val="2"/>
  </w:num>
  <w:num w:numId="5" w16cid:durableId="113325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C5A"/>
    <w:rsid w:val="001C4C5A"/>
    <w:rsid w:val="005E3B07"/>
    <w:rsid w:val="005F58A7"/>
    <w:rsid w:val="007876A5"/>
    <w:rsid w:val="007D0ED0"/>
    <w:rsid w:val="00822B42"/>
    <w:rsid w:val="0095F6F2"/>
    <w:rsid w:val="00973C08"/>
    <w:rsid w:val="00AD514F"/>
    <w:rsid w:val="00C03F7A"/>
    <w:rsid w:val="00CC4AAF"/>
    <w:rsid w:val="00E062B2"/>
    <w:rsid w:val="00EC79A5"/>
    <w:rsid w:val="00F8E948"/>
    <w:rsid w:val="00FD2D70"/>
    <w:rsid w:val="01200226"/>
    <w:rsid w:val="015F79DA"/>
    <w:rsid w:val="020C99F2"/>
    <w:rsid w:val="0212FE07"/>
    <w:rsid w:val="0240E72B"/>
    <w:rsid w:val="02530600"/>
    <w:rsid w:val="0281220B"/>
    <w:rsid w:val="02BB2A5A"/>
    <w:rsid w:val="03443CDA"/>
    <w:rsid w:val="03C0D28D"/>
    <w:rsid w:val="03EAD44E"/>
    <w:rsid w:val="04213336"/>
    <w:rsid w:val="04807FCC"/>
    <w:rsid w:val="049662E7"/>
    <w:rsid w:val="04A96629"/>
    <w:rsid w:val="05B01AFC"/>
    <w:rsid w:val="05B1F96F"/>
    <w:rsid w:val="061F0B19"/>
    <w:rsid w:val="06248D87"/>
    <w:rsid w:val="066A3CB8"/>
    <w:rsid w:val="066A65F6"/>
    <w:rsid w:val="06C1811C"/>
    <w:rsid w:val="0761A5AB"/>
    <w:rsid w:val="076260F7"/>
    <w:rsid w:val="078FFECF"/>
    <w:rsid w:val="07DE35AD"/>
    <w:rsid w:val="0800EC4F"/>
    <w:rsid w:val="088C1F23"/>
    <w:rsid w:val="08B72A59"/>
    <w:rsid w:val="092D695A"/>
    <w:rsid w:val="09D11CE6"/>
    <w:rsid w:val="09D3EB5F"/>
    <w:rsid w:val="0A039C2D"/>
    <w:rsid w:val="0A841499"/>
    <w:rsid w:val="0A9455F6"/>
    <w:rsid w:val="0AD73B38"/>
    <w:rsid w:val="0B0160D0"/>
    <w:rsid w:val="0B1EDB5F"/>
    <w:rsid w:val="0B288F48"/>
    <w:rsid w:val="0BAD8C2F"/>
    <w:rsid w:val="0BC8996A"/>
    <w:rsid w:val="0C37335B"/>
    <w:rsid w:val="0C87C12F"/>
    <w:rsid w:val="0CE801F1"/>
    <w:rsid w:val="0CFDC421"/>
    <w:rsid w:val="0D26D5AE"/>
    <w:rsid w:val="0D2C56C0"/>
    <w:rsid w:val="0D8A805E"/>
    <w:rsid w:val="0DB0ED89"/>
    <w:rsid w:val="0DF1F47D"/>
    <w:rsid w:val="0DFAD752"/>
    <w:rsid w:val="0E0394F0"/>
    <w:rsid w:val="0E79AB10"/>
    <w:rsid w:val="0E839F9E"/>
    <w:rsid w:val="0E921A39"/>
    <w:rsid w:val="0ED608A3"/>
    <w:rsid w:val="0EEE8C82"/>
    <w:rsid w:val="0EF92866"/>
    <w:rsid w:val="0F04CB8C"/>
    <w:rsid w:val="0F3852E2"/>
    <w:rsid w:val="0F602D25"/>
    <w:rsid w:val="0FBFEC8C"/>
    <w:rsid w:val="0FD20B37"/>
    <w:rsid w:val="108AE92E"/>
    <w:rsid w:val="10D77590"/>
    <w:rsid w:val="10DAA05F"/>
    <w:rsid w:val="10DE8CAB"/>
    <w:rsid w:val="11CDDCA2"/>
    <w:rsid w:val="121D0403"/>
    <w:rsid w:val="12403B43"/>
    <w:rsid w:val="128F7B3F"/>
    <w:rsid w:val="128FD9FC"/>
    <w:rsid w:val="12BC5CC5"/>
    <w:rsid w:val="12D1F0FC"/>
    <w:rsid w:val="12E0996D"/>
    <w:rsid w:val="1310F0DE"/>
    <w:rsid w:val="13568500"/>
    <w:rsid w:val="13A40334"/>
    <w:rsid w:val="144CB7FB"/>
    <w:rsid w:val="147B339F"/>
    <w:rsid w:val="14942BC2"/>
    <w:rsid w:val="1494EFEB"/>
    <w:rsid w:val="14A72994"/>
    <w:rsid w:val="14E7861E"/>
    <w:rsid w:val="15458D89"/>
    <w:rsid w:val="15B1E8F0"/>
    <w:rsid w:val="15EAACAB"/>
    <w:rsid w:val="15F88E2A"/>
    <w:rsid w:val="16064B36"/>
    <w:rsid w:val="16184DC0"/>
    <w:rsid w:val="162B6135"/>
    <w:rsid w:val="162E3790"/>
    <w:rsid w:val="165177CF"/>
    <w:rsid w:val="1655189D"/>
    <w:rsid w:val="165F35DB"/>
    <w:rsid w:val="16E3A931"/>
    <w:rsid w:val="16EF9737"/>
    <w:rsid w:val="17B02CFA"/>
    <w:rsid w:val="1807B12E"/>
    <w:rsid w:val="1888DEAC"/>
    <w:rsid w:val="189FF6BC"/>
    <w:rsid w:val="18F2F9AE"/>
    <w:rsid w:val="1933C6E1"/>
    <w:rsid w:val="1964EFDC"/>
    <w:rsid w:val="19714872"/>
    <w:rsid w:val="19739DDF"/>
    <w:rsid w:val="19C77AA0"/>
    <w:rsid w:val="1AA9EE0B"/>
    <w:rsid w:val="1B33B1CE"/>
    <w:rsid w:val="1B39F4DD"/>
    <w:rsid w:val="1BEB0B8E"/>
    <w:rsid w:val="1C318C69"/>
    <w:rsid w:val="1C619352"/>
    <w:rsid w:val="1CADF4C8"/>
    <w:rsid w:val="1CC6C965"/>
    <w:rsid w:val="1CD1F970"/>
    <w:rsid w:val="1CDCB6D9"/>
    <w:rsid w:val="1DDF4ADA"/>
    <w:rsid w:val="1E706DFB"/>
    <w:rsid w:val="1E76DF62"/>
    <w:rsid w:val="1F28C808"/>
    <w:rsid w:val="1F2AD69A"/>
    <w:rsid w:val="1F89FA61"/>
    <w:rsid w:val="1FE4FAC7"/>
    <w:rsid w:val="1FF8B77C"/>
    <w:rsid w:val="1FFC89D8"/>
    <w:rsid w:val="200782E6"/>
    <w:rsid w:val="20C26177"/>
    <w:rsid w:val="213FB630"/>
    <w:rsid w:val="21774C68"/>
    <w:rsid w:val="218A36A9"/>
    <w:rsid w:val="218A74BB"/>
    <w:rsid w:val="218B329E"/>
    <w:rsid w:val="2193C1EA"/>
    <w:rsid w:val="21B76265"/>
    <w:rsid w:val="21D34430"/>
    <w:rsid w:val="2202E505"/>
    <w:rsid w:val="220A570C"/>
    <w:rsid w:val="22206CD1"/>
    <w:rsid w:val="22365C95"/>
    <w:rsid w:val="223A4480"/>
    <w:rsid w:val="223BE797"/>
    <w:rsid w:val="22D3AF50"/>
    <w:rsid w:val="2368BCDB"/>
    <w:rsid w:val="23769D11"/>
    <w:rsid w:val="23875481"/>
    <w:rsid w:val="23953612"/>
    <w:rsid w:val="243E2DC6"/>
    <w:rsid w:val="2475472F"/>
    <w:rsid w:val="249310F0"/>
    <w:rsid w:val="24AF35D0"/>
    <w:rsid w:val="24EF4162"/>
    <w:rsid w:val="24F0FACD"/>
    <w:rsid w:val="24F26852"/>
    <w:rsid w:val="24FBC6B7"/>
    <w:rsid w:val="2521877D"/>
    <w:rsid w:val="254E06C4"/>
    <w:rsid w:val="258777CE"/>
    <w:rsid w:val="25A95E6F"/>
    <w:rsid w:val="25E2BD95"/>
    <w:rsid w:val="260D5D0B"/>
    <w:rsid w:val="2625EA78"/>
    <w:rsid w:val="26568A72"/>
    <w:rsid w:val="26586F19"/>
    <w:rsid w:val="26866988"/>
    <w:rsid w:val="26A4F1AF"/>
    <w:rsid w:val="26ADA1FF"/>
    <w:rsid w:val="26B95698"/>
    <w:rsid w:val="27AE3958"/>
    <w:rsid w:val="27AEDF31"/>
    <w:rsid w:val="27D448F9"/>
    <w:rsid w:val="2847941A"/>
    <w:rsid w:val="2863039C"/>
    <w:rsid w:val="28769185"/>
    <w:rsid w:val="287822AB"/>
    <w:rsid w:val="2904DBE3"/>
    <w:rsid w:val="295AC25B"/>
    <w:rsid w:val="29CD5807"/>
    <w:rsid w:val="29DCA2CF"/>
    <w:rsid w:val="2A4DFA6B"/>
    <w:rsid w:val="2A8C3F77"/>
    <w:rsid w:val="2AC1885A"/>
    <w:rsid w:val="2AC1BCD2"/>
    <w:rsid w:val="2AF2C7BC"/>
    <w:rsid w:val="2B095094"/>
    <w:rsid w:val="2BAB1130"/>
    <w:rsid w:val="2BB1149D"/>
    <w:rsid w:val="2BEEACE8"/>
    <w:rsid w:val="2C810B7B"/>
    <w:rsid w:val="2CFB5730"/>
    <w:rsid w:val="2CFC8348"/>
    <w:rsid w:val="2D2188C3"/>
    <w:rsid w:val="2D9F5EA7"/>
    <w:rsid w:val="2DA53FB7"/>
    <w:rsid w:val="2DBE35FD"/>
    <w:rsid w:val="2EDDD271"/>
    <w:rsid w:val="2F6B0149"/>
    <w:rsid w:val="2FBB233F"/>
    <w:rsid w:val="2FECCC6B"/>
    <w:rsid w:val="2FFC07BA"/>
    <w:rsid w:val="3035C634"/>
    <w:rsid w:val="30482573"/>
    <w:rsid w:val="30B6AEB4"/>
    <w:rsid w:val="311DFAB1"/>
    <w:rsid w:val="31420E28"/>
    <w:rsid w:val="314C6AE0"/>
    <w:rsid w:val="316BD4EC"/>
    <w:rsid w:val="318EB63B"/>
    <w:rsid w:val="31A08FC9"/>
    <w:rsid w:val="3218C5DE"/>
    <w:rsid w:val="3239B797"/>
    <w:rsid w:val="32BA33A6"/>
    <w:rsid w:val="32BDECCB"/>
    <w:rsid w:val="330F918A"/>
    <w:rsid w:val="331AF78C"/>
    <w:rsid w:val="337A7629"/>
    <w:rsid w:val="33A722F6"/>
    <w:rsid w:val="33B13DBC"/>
    <w:rsid w:val="3468D002"/>
    <w:rsid w:val="347C5D76"/>
    <w:rsid w:val="34D9D960"/>
    <w:rsid w:val="35803057"/>
    <w:rsid w:val="35BDF30B"/>
    <w:rsid w:val="3603B291"/>
    <w:rsid w:val="365085B9"/>
    <w:rsid w:val="36DDF3C3"/>
    <w:rsid w:val="3710F0E6"/>
    <w:rsid w:val="37203A6F"/>
    <w:rsid w:val="3780BD8C"/>
    <w:rsid w:val="37DDBF36"/>
    <w:rsid w:val="37FC51DB"/>
    <w:rsid w:val="38175BCE"/>
    <w:rsid w:val="3856881F"/>
    <w:rsid w:val="3866C1D2"/>
    <w:rsid w:val="3915D6FD"/>
    <w:rsid w:val="39737BE1"/>
    <w:rsid w:val="399306E2"/>
    <w:rsid w:val="39989236"/>
    <w:rsid w:val="39A0CCDA"/>
    <w:rsid w:val="39BDDE88"/>
    <w:rsid w:val="39C793DE"/>
    <w:rsid w:val="3A3A351C"/>
    <w:rsid w:val="3A47B3DC"/>
    <w:rsid w:val="3ADED86C"/>
    <w:rsid w:val="3AF6BB32"/>
    <w:rsid w:val="3B434A8C"/>
    <w:rsid w:val="3B50C46B"/>
    <w:rsid w:val="3B59AC67"/>
    <w:rsid w:val="3B7439DE"/>
    <w:rsid w:val="3C4B228D"/>
    <w:rsid w:val="3C6362B4"/>
    <w:rsid w:val="3CE2CC23"/>
    <w:rsid w:val="3D9AFE69"/>
    <w:rsid w:val="3E19303C"/>
    <w:rsid w:val="3E2DDEE3"/>
    <w:rsid w:val="3E395127"/>
    <w:rsid w:val="3E58E576"/>
    <w:rsid w:val="3E994743"/>
    <w:rsid w:val="3EB00CC2"/>
    <w:rsid w:val="3F1D27DA"/>
    <w:rsid w:val="3F4B217F"/>
    <w:rsid w:val="3FABD81C"/>
    <w:rsid w:val="3FDB04D5"/>
    <w:rsid w:val="3FE9255D"/>
    <w:rsid w:val="40730D80"/>
    <w:rsid w:val="40DDA57B"/>
    <w:rsid w:val="4103FAC8"/>
    <w:rsid w:val="4277C84D"/>
    <w:rsid w:val="42A05AD2"/>
    <w:rsid w:val="43480130"/>
    <w:rsid w:val="435F0919"/>
    <w:rsid w:val="4363AD28"/>
    <w:rsid w:val="437E4F59"/>
    <w:rsid w:val="4424FC66"/>
    <w:rsid w:val="451328F2"/>
    <w:rsid w:val="45D900C8"/>
    <w:rsid w:val="45E4FA7B"/>
    <w:rsid w:val="45E8A06C"/>
    <w:rsid w:val="4648A2DF"/>
    <w:rsid w:val="46A5E103"/>
    <w:rsid w:val="46F14C2A"/>
    <w:rsid w:val="4757A9C1"/>
    <w:rsid w:val="4783E550"/>
    <w:rsid w:val="478F3DBD"/>
    <w:rsid w:val="482DA5ED"/>
    <w:rsid w:val="4865B984"/>
    <w:rsid w:val="48920114"/>
    <w:rsid w:val="489C0054"/>
    <w:rsid w:val="49076F78"/>
    <w:rsid w:val="497B9E59"/>
    <w:rsid w:val="498DFCD3"/>
    <w:rsid w:val="49D8D700"/>
    <w:rsid w:val="49EFC123"/>
    <w:rsid w:val="4A18D331"/>
    <w:rsid w:val="4A4000BF"/>
    <w:rsid w:val="4A4B1F71"/>
    <w:rsid w:val="4A6162A2"/>
    <w:rsid w:val="4AA1FA5D"/>
    <w:rsid w:val="4B17508D"/>
    <w:rsid w:val="4B42941E"/>
    <w:rsid w:val="4BA20C8F"/>
    <w:rsid w:val="4BA94FBD"/>
    <w:rsid w:val="4C328795"/>
    <w:rsid w:val="4C33F576"/>
    <w:rsid w:val="4C4A4CE2"/>
    <w:rsid w:val="4CA66513"/>
    <w:rsid w:val="4D16C44A"/>
    <w:rsid w:val="4D43E594"/>
    <w:rsid w:val="4D8A379B"/>
    <w:rsid w:val="4DD2D11D"/>
    <w:rsid w:val="4DF2F58A"/>
    <w:rsid w:val="4E023ED5"/>
    <w:rsid w:val="4E33BF41"/>
    <w:rsid w:val="4E42EF35"/>
    <w:rsid w:val="4E6B163C"/>
    <w:rsid w:val="4EFA297E"/>
    <w:rsid w:val="4F43B43B"/>
    <w:rsid w:val="4FD8EB06"/>
    <w:rsid w:val="50584C50"/>
    <w:rsid w:val="5067DAF2"/>
    <w:rsid w:val="507A0153"/>
    <w:rsid w:val="50E47439"/>
    <w:rsid w:val="50FBB41D"/>
    <w:rsid w:val="51016757"/>
    <w:rsid w:val="518D5DA8"/>
    <w:rsid w:val="51F284DF"/>
    <w:rsid w:val="5250CFD6"/>
    <w:rsid w:val="52699953"/>
    <w:rsid w:val="53138172"/>
    <w:rsid w:val="531E63B4"/>
    <w:rsid w:val="5350C173"/>
    <w:rsid w:val="53E8F653"/>
    <w:rsid w:val="53ED8AF1"/>
    <w:rsid w:val="5406D59B"/>
    <w:rsid w:val="5411733B"/>
    <w:rsid w:val="541568E5"/>
    <w:rsid w:val="542E13D7"/>
    <w:rsid w:val="5452D1CC"/>
    <w:rsid w:val="54554E9D"/>
    <w:rsid w:val="545A9A0E"/>
    <w:rsid w:val="54BA6716"/>
    <w:rsid w:val="54DA6B51"/>
    <w:rsid w:val="550733C2"/>
    <w:rsid w:val="5581DCA2"/>
    <w:rsid w:val="55C3F831"/>
    <w:rsid w:val="56C7030A"/>
    <w:rsid w:val="56D59B9C"/>
    <w:rsid w:val="572FF2E7"/>
    <w:rsid w:val="5748BA6D"/>
    <w:rsid w:val="5750E979"/>
    <w:rsid w:val="576BF398"/>
    <w:rsid w:val="58296EA7"/>
    <w:rsid w:val="5882AA8D"/>
    <w:rsid w:val="58C131AE"/>
    <w:rsid w:val="598B052A"/>
    <w:rsid w:val="5992D3EB"/>
    <w:rsid w:val="59A25D6F"/>
    <w:rsid w:val="59BA0A93"/>
    <w:rsid w:val="59F252FF"/>
    <w:rsid w:val="5A0ADF6D"/>
    <w:rsid w:val="5AA54BE6"/>
    <w:rsid w:val="5AF22E98"/>
    <w:rsid w:val="5B0D9B6F"/>
    <w:rsid w:val="5BC7887A"/>
    <w:rsid w:val="5BFA8B4A"/>
    <w:rsid w:val="5C044965"/>
    <w:rsid w:val="5C168364"/>
    <w:rsid w:val="5C2D7399"/>
    <w:rsid w:val="5C4EF80E"/>
    <w:rsid w:val="5C738BEB"/>
    <w:rsid w:val="5CDD8155"/>
    <w:rsid w:val="5CFE577E"/>
    <w:rsid w:val="5D0C7F8F"/>
    <w:rsid w:val="5E83AADE"/>
    <w:rsid w:val="5E885FF6"/>
    <w:rsid w:val="5E8B509B"/>
    <w:rsid w:val="5EBF5001"/>
    <w:rsid w:val="5ED135BA"/>
    <w:rsid w:val="5ED5EDF4"/>
    <w:rsid w:val="5EEB0293"/>
    <w:rsid w:val="5EEFA569"/>
    <w:rsid w:val="5F1562C7"/>
    <w:rsid w:val="5F9B37BD"/>
    <w:rsid w:val="5F9ECC68"/>
    <w:rsid w:val="60076410"/>
    <w:rsid w:val="6048930E"/>
    <w:rsid w:val="604BF342"/>
    <w:rsid w:val="608A9A5E"/>
    <w:rsid w:val="60E17163"/>
    <w:rsid w:val="610FFFB6"/>
    <w:rsid w:val="6117354D"/>
    <w:rsid w:val="611851B1"/>
    <w:rsid w:val="61264BAE"/>
    <w:rsid w:val="6171756F"/>
    <w:rsid w:val="61AC794F"/>
    <w:rsid w:val="61B4CF31"/>
    <w:rsid w:val="621A0906"/>
    <w:rsid w:val="6227CA7D"/>
    <w:rsid w:val="624D5B52"/>
    <w:rsid w:val="62B8AA58"/>
    <w:rsid w:val="62CF268D"/>
    <w:rsid w:val="6363D616"/>
    <w:rsid w:val="6366D349"/>
    <w:rsid w:val="63881C61"/>
    <w:rsid w:val="63DA85D7"/>
    <w:rsid w:val="6414A5B9"/>
    <w:rsid w:val="641B8205"/>
    <w:rsid w:val="64350ED3"/>
    <w:rsid w:val="64A64345"/>
    <w:rsid w:val="65F887D6"/>
    <w:rsid w:val="65FFD9AD"/>
    <w:rsid w:val="6608E3FF"/>
    <w:rsid w:val="66A13E08"/>
    <w:rsid w:val="66AEE71D"/>
    <w:rsid w:val="66DA365C"/>
    <w:rsid w:val="66DC111E"/>
    <w:rsid w:val="6745363D"/>
    <w:rsid w:val="676663EC"/>
    <w:rsid w:val="67C0394E"/>
    <w:rsid w:val="67F178FB"/>
    <w:rsid w:val="681145BB"/>
    <w:rsid w:val="6828E595"/>
    <w:rsid w:val="683FC4EA"/>
    <w:rsid w:val="687B8367"/>
    <w:rsid w:val="688ACF99"/>
    <w:rsid w:val="689DA451"/>
    <w:rsid w:val="68C33C88"/>
    <w:rsid w:val="68E7044F"/>
    <w:rsid w:val="68E955F1"/>
    <w:rsid w:val="690D02EC"/>
    <w:rsid w:val="693599D2"/>
    <w:rsid w:val="69370A5F"/>
    <w:rsid w:val="69A4367E"/>
    <w:rsid w:val="69B87657"/>
    <w:rsid w:val="69DF337A"/>
    <w:rsid w:val="69E0E72A"/>
    <w:rsid w:val="6A028107"/>
    <w:rsid w:val="6A0E1139"/>
    <w:rsid w:val="6A25791B"/>
    <w:rsid w:val="6A7E2004"/>
    <w:rsid w:val="6A8EE99D"/>
    <w:rsid w:val="6B019C05"/>
    <w:rsid w:val="6B2CDA84"/>
    <w:rsid w:val="6B864D65"/>
    <w:rsid w:val="6BFC47D2"/>
    <w:rsid w:val="6C021CE6"/>
    <w:rsid w:val="6C31A79D"/>
    <w:rsid w:val="6C59D448"/>
    <w:rsid w:val="6C8F075E"/>
    <w:rsid w:val="6CA3AAA6"/>
    <w:rsid w:val="6CAD8D00"/>
    <w:rsid w:val="6D2466F4"/>
    <w:rsid w:val="6D369851"/>
    <w:rsid w:val="6D42F079"/>
    <w:rsid w:val="6DA64FBB"/>
    <w:rsid w:val="6DF2551D"/>
    <w:rsid w:val="6DF7D8A6"/>
    <w:rsid w:val="6E531E9C"/>
    <w:rsid w:val="6EBFFBD2"/>
    <w:rsid w:val="6F4AB3D8"/>
    <w:rsid w:val="6FF7B987"/>
    <w:rsid w:val="70155830"/>
    <w:rsid w:val="7078ED00"/>
    <w:rsid w:val="70CED77F"/>
    <w:rsid w:val="710935DF"/>
    <w:rsid w:val="711687D2"/>
    <w:rsid w:val="71A5FC57"/>
    <w:rsid w:val="71DA5548"/>
    <w:rsid w:val="722DCFE9"/>
    <w:rsid w:val="725B2DAF"/>
    <w:rsid w:val="729561D2"/>
    <w:rsid w:val="72A100D1"/>
    <w:rsid w:val="72B20A79"/>
    <w:rsid w:val="72C85751"/>
    <w:rsid w:val="7344B005"/>
    <w:rsid w:val="73787D1C"/>
    <w:rsid w:val="7383317C"/>
    <w:rsid w:val="739AA988"/>
    <w:rsid w:val="73D00C7A"/>
    <w:rsid w:val="73F30F4E"/>
    <w:rsid w:val="740C9ECE"/>
    <w:rsid w:val="74109094"/>
    <w:rsid w:val="74236222"/>
    <w:rsid w:val="748504AC"/>
    <w:rsid w:val="74880A52"/>
    <w:rsid w:val="7494F5C6"/>
    <w:rsid w:val="7495DF3D"/>
    <w:rsid w:val="74DAA050"/>
    <w:rsid w:val="766CD1BD"/>
    <w:rsid w:val="76C2790D"/>
    <w:rsid w:val="76EBA940"/>
    <w:rsid w:val="76F01AB4"/>
    <w:rsid w:val="76FBD272"/>
    <w:rsid w:val="776FBD60"/>
    <w:rsid w:val="77860415"/>
    <w:rsid w:val="77900026"/>
    <w:rsid w:val="78A5772E"/>
    <w:rsid w:val="78AE6909"/>
    <w:rsid w:val="78B4B489"/>
    <w:rsid w:val="78E4FE71"/>
    <w:rsid w:val="78E87AE0"/>
    <w:rsid w:val="79413F3C"/>
    <w:rsid w:val="79418A56"/>
    <w:rsid w:val="799AAF40"/>
    <w:rsid w:val="79B085C6"/>
    <w:rsid w:val="79C249A6"/>
    <w:rsid w:val="79C65016"/>
    <w:rsid w:val="79EBD76A"/>
    <w:rsid w:val="7A03201C"/>
    <w:rsid w:val="7A0EB40B"/>
    <w:rsid w:val="7A27F933"/>
    <w:rsid w:val="7A4FF943"/>
    <w:rsid w:val="7AD8D2D4"/>
    <w:rsid w:val="7B7E085A"/>
    <w:rsid w:val="7BA60781"/>
    <w:rsid w:val="7C564780"/>
    <w:rsid w:val="7C6D65D3"/>
    <w:rsid w:val="7CAB5EFD"/>
    <w:rsid w:val="7CD6E425"/>
    <w:rsid w:val="7D0AFA10"/>
    <w:rsid w:val="7D1CD336"/>
    <w:rsid w:val="7D63AD04"/>
    <w:rsid w:val="7D9F3148"/>
    <w:rsid w:val="7DF526F8"/>
    <w:rsid w:val="7E18B547"/>
    <w:rsid w:val="7EAAA7EC"/>
    <w:rsid w:val="7EB53EB7"/>
    <w:rsid w:val="7F48F28D"/>
    <w:rsid w:val="7F9D2736"/>
    <w:rsid w:val="7FA20492"/>
    <w:rsid w:val="7FE8BB9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B62F2"/>
  <w15:docId w15:val="{88C30553-DC34-DF48-89D3-98FD5127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DD7CE4"/>
    <w:rPr>
      <w:lang w:val="es-ES"/>
    </w:rPr>
  </w:style>
  <w:style w:type="paragraph" w:styleId="Ttulo1">
    <w:name w:val="heading 1"/>
    <w:basedOn w:val="Normal"/>
    <w:next w:val="Normal"/>
    <w:uiPriority w:val="9"/>
    <w:qFormat/>
    <w:pPr>
      <w:outlineLvl w:val="0"/>
    </w:pPr>
    <w:rPr>
      <w:b/>
      <w:color w:val="000000"/>
      <w:sz w:val="32"/>
      <w:szCs w:val="32"/>
    </w:rPr>
  </w:style>
  <w:style w:type="paragraph" w:styleId="Ttulo2">
    <w:name w:val="heading 2"/>
    <w:basedOn w:val="Normal"/>
    <w:next w:val="Normal"/>
    <w:uiPriority w:val="9"/>
    <w:unhideWhenUsed/>
    <w:qFormat/>
    <w:pPr>
      <w:outlineLvl w:val="1"/>
    </w:pPr>
    <w:rPr>
      <w:b/>
      <w:color w:val="000000"/>
      <w:sz w:val="26"/>
      <w:szCs w:val="26"/>
    </w:rPr>
  </w:style>
  <w:style w:type="paragraph" w:styleId="Ttulo3">
    <w:name w:val="heading 3"/>
    <w:basedOn w:val="Normal"/>
    <w:next w:val="Normal"/>
    <w:uiPriority w:val="9"/>
    <w:unhideWhenUsed/>
    <w:qFormat/>
    <w:rsid w:val="5BDD7CE4"/>
    <w:pPr>
      <w:outlineLvl w:val="2"/>
    </w:pPr>
    <w:rPr>
      <w:b/>
      <w:color w:val="000000"/>
      <w:sz w:val="24"/>
      <w:szCs w:val="24"/>
    </w:rPr>
  </w:style>
  <w:style w:type="paragraph" w:styleId="Ttulo4">
    <w:name w:val="heading 4"/>
    <w:basedOn w:val="Normal"/>
    <w:next w:val="Normal"/>
    <w:uiPriority w:val="9"/>
    <w:semiHidden/>
    <w:unhideWhenUsed/>
    <w:qFormat/>
    <w:rsid w:val="5BDD7CE4"/>
    <w:pPr>
      <w:outlineLvl w:val="3"/>
    </w:pPr>
    <w:rPr>
      <w:i/>
      <w:iCs/>
      <w:color w:val="2E74B5"/>
    </w:rPr>
  </w:style>
  <w:style w:type="paragraph" w:styleId="Ttulo5">
    <w:name w:val="heading 5"/>
    <w:basedOn w:val="Normal"/>
    <w:next w:val="Normal"/>
    <w:uiPriority w:val="9"/>
    <w:semiHidden/>
    <w:unhideWhenUsed/>
    <w:qFormat/>
    <w:rsid w:val="5BDD7CE4"/>
    <w:pPr>
      <w:outlineLvl w:val="4"/>
    </w:pPr>
    <w:rPr>
      <w:color w:val="2E74B5"/>
    </w:rPr>
  </w:style>
  <w:style w:type="paragraph" w:styleId="Ttulo6">
    <w:name w:val="heading 6"/>
    <w:basedOn w:val="Normal"/>
    <w:next w:val="Normal"/>
    <w:uiPriority w:val="9"/>
    <w:semiHidden/>
    <w:unhideWhenUsed/>
    <w:qFormat/>
    <w:rsid w:val="5BDD7CE4"/>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Refdenotaalpie">
    <w:name w:val="footnote reference"/>
    <w:rPr>
      <w:vertAlign w:val="superscript"/>
    </w:rPr>
  </w:style>
  <w:style w:type="character" w:customStyle="1" w:styleId="TextonotapieCar">
    <w:name w:val="Texto nota pie Car"/>
    <w:link w:val="Textonotapie"/>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Refdenotaalfinal">
    <w:name w:val="endnote reference"/>
    <w:rPr>
      <w:vertAlign w:val="superscript"/>
    </w:rPr>
  </w:style>
  <w:style w:type="character" w:customStyle="1" w:styleId="TextonotaalfinalCar">
    <w:name w:val="Texto nota al final Car"/>
    <w:link w:val="Textonotaalfinal"/>
    <w:uiPriority w:val="99"/>
    <w:semiHidden/>
    <w:unhideWhenUsed/>
    <w:qFormat/>
    <w:rPr>
      <w:sz w:val="20"/>
      <w:szCs w:val="20"/>
    </w:rPr>
  </w:style>
  <w:style w:type="character" w:styleId="Nmerodelnea">
    <w:name w:val="line number"/>
  </w:style>
  <w:style w:type="paragraph" w:customStyle="1" w:styleId="Heading">
    <w:name w:val="Heading"/>
    <w:basedOn w:val="Normal"/>
    <w:next w:val="Textoindependiente"/>
    <w:qFormat/>
    <w:pPr>
      <w:keepNext/>
      <w:spacing w:before="240" w:after="120"/>
    </w:pPr>
    <w:rPr>
      <w:rFonts w:ascii="Liberation Sans" w:eastAsia="Noto Sans CJK SC"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DejaVu Sans"/>
    </w:rPr>
  </w:style>
  <w:style w:type="paragraph" w:styleId="Descripcin">
    <w:name w:val="caption"/>
    <w:basedOn w:val="Normal"/>
    <w:qFormat/>
    <w:pPr>
      <w:suppressLineNumbers/>
      <w:spacing w:before="120" w:after="120"/>
    </w:pPr>
    <w:rPr>
      <w:rFonts w:cs="DejaVu Sans"/>
      <w:i/>
      <w:iCs/>
      <w:sz w:val="24"/>
      <w:szCs w:val="24"/>
    </w:rPr>
  </w:style>
  <w:style w:type="paragraph" w:customStyle="1" w:styleId="Index">
    <w:name w:val="Index"/>
    <w:basedOn w:val="Normal"/>
    <w:qFormat/>
    <w:pPr>
      <w:suppressLineNumbers/>
    </w:pPr>
    <w:rPr>
      <w:rFonts w:cs="DejaVu Sans"/>
    </w:rPr>
  </w:style>
  <w:style w:type="paragraph" w:styleId="Ttulo">
    <w:name w:val="Title"/>
    <w:basedOn w:val="Normal"/>
    <w:next w:val="Normal"/>
    <w:uiPriority w:val="10"/>
    <w:qFormat/>
    <w:rsid w:val="5BDD7CE4"/>
    <w:rPr>
      <w:sz w:val="56"/>
      <w:szCs w:val="56"/>
    </w:rPr>
  </w:style>
  <w:style w:type="paragraph" w:customStyle="1" w:styleId="StrongEmphasis">
    <w:name w:val="Strong Emphasis"/>
    <w:basedOn w:val="Normal"/>
    <w:next w:val="Normal"/>
    <w:uiPriority w:val="22"/>
    <w:qFormat/>
    <w:rsid w:val="5BDD7CE4"/>
    <w:rPr>
      <w:b/>
      <w:bCs/>
    </w:rPr>
  </w:style>
  <w:style w:type="paragraph" w:styleId="Prrafodelista">
    <w:name w:val="List Paragraph"/>
    <w:basedOn w:val="Normal"/>
    <w:uiPriority w:val="34"/>
    <w:qFormat/>
    <w:rsid w:val="5BDD7CE4"/>
  </w:style>
  <w:style w:type="paragraph" w:styleId="Textonotapie">
    <w:name w:val="footnote text"/>
    <w:basedOn w:val="Normal"/>
    <w:link w:val="TextonotapieCar"/>
    <w:uiPriority w:val="99"/>
    <w:semiHidden/>
    <w:unhideWhenUsed/>
    <w:rsid w:val="5BDD7CE4"/>
    <w:rPr>
      <w:sz w:val="20"/>
      <w:szCs w:val="20"/>
    </w:rPr>
  </w:style>
  <w:style w:type="paragraph" w:styleId="Textonotaalfinal">
    <w:name w:val="endnote text"/>
    <w:basedOn w:val="Normal"/>
    <w:link w:val="TextonotaalfinalCar"/>
    <w:uiPriority w:val="99"/>
    <w:semiHidden/>
    <w:unhideWhenUsed/>
    <w:rsid w:val="5BDD7CE4"/>
    <w:rPr>
      <w:sz w:val="20"/>
      <w:szCs w:val="20"/>
    </w:rPr>
  </w:style>
  <w:style w:type="paragraph" w:customStyle="1" w:styleId="heading10">
    <w:name w:val="heading 10"/>
    <w:basedOn w:val="Normal"/>
    <w:next w:val="Normal"/>
    <w:uiPriority w:val="9"/>
    <w:qFormat/>
    <w:rsid w:val="5BDD7CE4"/>
    <w:pPr>
      <w:spacing w:before="360" w:after="200"/>
      <w:outlineLvl w:val="0"/>
    </w:pPr>
    <w:rPr>
      <w:b/>
      <w:bCs/>
      <w:color w:val="000000"/>
      <w:sz w:val="30"/>
      <w:szCs w:val="30"/>
    </w:rPr>
  </w:style>
  <w:style w:type="paragraph" w:customStyle="1" w:styleId="heading20">
    <w:name w:val="heading 20"/>
    <w:basedOn w:val="Normal"/>
    <w:next w:val="Normal"/>
    <w:uiPriority w:val="9"/>
    <w:unhideWhenUsed/>
    <w:qFormat/>
    <w:rsid w:val="5BDD7CE4"/>
    <w:pPr>
      <w:spacing w:before="240" w:after="140"/>
      <w:outlineLvl w:val="1"/>
    </w:pPr>
    <w:rPr>
      <w:b/>
      <w:bCs/>
      <w:color w:val="000000"/>
      <w:sz w:val="24"/>
      <w:szCs w:val="24"/>
    </w:rPr>
  </w:style>
  <w:style w:type="paragraph" w:customStyle="1" w:styleId="HeaderandFooter">
    <w:name w:val="Header and Footer"/>
    <w:basedOn w:val="Normal"/>
    <w:qFormat/>
  </w:style>
  <w:style w:type="paragraph" w:styleId="Encabezado">
    <w:name w:val="header"/>
    <w:basedOn w:val="HeaderandFooter"/>
  </w:style>
  <w:style w:type="paragraph" w:styleId="Piedepgina">
    <w:name w:val="footer"/>
    <w:basedOn w:val="HeaderandFoote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DC1">
    <w:name w:val="toc 1"/>
    <w:basedOn w:val="Normal"/>
    <w:next w:val="Normal"/>
    <w:autoRedefine/>
    <w:uiPriority w:val="39"/>
    <w:unhideWhenUsed/>
    <w:rsid w:val="00EC79A5"/>
    <w:pPr>
      <w:tabs>
        <w:tab w:val="right" w:leader="dot" w:pos="9350"/>
      </w:tabs>
      <w:spacing w:after="100"/>
    </w:pPr>
    <w:rPr>
      <w:rFonts w:cs="Mangal"/>
      <w:szCs w:val="20"/>
    </w:rPr>
  </w:style>
  <w:style w:type="paragraph" w:styleId="TDC2">
    <w:name w:val="toc 2"/>
    <w:basedOn w:val="Normal"/>
    <w:next w:val="Normal"/>
    <w:autoRedefine/>
    <w:uiPriority w:val="39"/>
    <w:unhideWhenUsed/>
    <w:rsid w:val="007D0ED0"/>
    <w:pPr>
      <w:spacing w:after="100"/>
      <w:ind w:left="220"/>
    </w:pPr>
    <w:rPr>
      <w:rFonts w:cs="Mangal"/>
      <w:szCs w:val="20"/>
    </w:rPr>
  </w:style>
  <w:style w:type="paragraph" w:styleId="TDC3">
    <w:name w:val="toc 3"/>
    <w:basedOn w:val="Normal"/>
    <w:next w:val="Normal"/>
    <w:autoRedefine/>
    <w:uiPriority w:val="39"/>
    <w:unhideWhenUsed/>
    <w:rsid w:val="007D0ED0"/>
    <w:pPr>
      <w:spacing w:after="100"/>
      <w:ind w:left="440"/>
    </w:pPr>
    <w:rPr>
      <w:rFonts w:cs="Mangal"/>
      <w:szCs w:val="20"/>
    </w:rPr>
  </w:style>
  <w:style w:type="paragraph" w:styleId="TDC4">
    <w:name w:val="toc 4"/>
    <w:basedOn w:val="Normal"/>
    <w:next w:val="Normal"/>
    <w:autoRedefine/>
    <w:uiPriority w:val="39"/>
    <w:unhideWhenUsed/>
    <w:rsid w:val="007D0ED0"/>
    <w:pPr>
      <w:suppressAutoHyphens w:val="0"/>
      <w:spacing w:after="100" w:line="278" w:lineRule="auto"/>
      <w:ind w:left="720"/>
    </w:pPr>
    <w:rPr>
      <w:rFonts w:asciiTheme="minorHAnsi" w:eastAsiaTheme="minorEastAsia" w:hAnsiTheme="minorHAnsi" w:cstheme="minorBidi"/>
      <w:kern w:val="2"/>
      <w:sz w:val="24"/>
      <w:szCs w:val="24"/>
      <w:lang w:val="es-CL" w:eastAsia="es-MX" w:bidi="ar-SA"/>
      <w14:ligatures w14:val="standardContextual"/>
    </w:rPr>
  </w:style>
  <w:style w:type="paragraph" w:styleId="TDC5">
    <w:name w:val="toc 5"/>
    <w:basedOn w:val="Normal"/>
    <w:next w:val="Normal"/>
    <w:autoRedefine/>
    <w:uiPriority w:val="39"/>
    <w:unhideWhenUsed/>
    <w:rsid w:val="007D0ED0"/>
    <w:pPr>
      <w:suppressAutoHyphens w:val="0"/>
      <w:spacing w:after="100" w:line="278" w:lineRule="auto"/>
      <w:ind w:left="960"/>
    </w:pPr>
    <w:rPr>
      <w:rFonts w:asciiTheme="minorHAnsi" w:eastAsiaTheme="minorEastAsia" w:hAnsiTheme="minorHAnsi" w:cstheme="minorBidi"/>
      <w:kern w:val="2"/>
      <w:sz w:val="24"/>
      <w:szCs w:val="24"/>
      <w:lang w:val="es-CL" w:eastAsia="es-MX" w:bidi="ar-SA"/>
      <w14:ligatures w14:val="standardContextual"/>
    </w:rPr>
  </w:style>
  <w:style w:type="paragraph" w:styleId="TDC6">
    <w:name w:val="toc 6"/>
    <w:basedOn w:val="Normal"/>
    <w:next w:val="Normal"/>
    <w:autoRedefine/>
    <w:uiPriority w:val="39"/>
    <w:unhideWhenUsed/>
    <w:rsid w:val="007D0ED0"/>
    <w:pPr>
      <w:suppressAutoHyphens w:val="0"/>
      <w:spacing w:after="100" w:line="278" w:lineRule="auto"/>
      <w:ind w:left="1200"/>
    </w:pPr>
    <w:rPr>
      <w:rFonts w:asciiTheme="minorHAnsi" w:eastAsiaTheme="minorEastAsia" w:hAnsiTheme="minorHAnsi" w:cstheme="minorBidi"/>
      <w:kern w:val="2"/>
      <w:sz w:val="24"/>
      <w:szCs w:val="24"/>
      <w:lang w:val="es-CL" w:eastAsia="es-MX" w:bidi="ar-SA"/>
      <w14:ligatures w14:val="standardContextual"/>
    </w:rPr>
  </w:style>
  <w:style w:type="paragraph" w:styleId="TDC7">
    <w:name w:val="toc 7"/>
    <w:basedOn w:val="Normal"/>
    <w:next w:val="Normal"/>
    <w:autoRedefine/>
    <w:uiPriority w:val="39"/>
    <w:unhideWhenUsed/>
    <w:rsid w:val="007D0ED0"/>
    <w:pPr>
      <w:suppressAutoHyphens w:val="0"/>
      <w:spacing w:after="100" w:line="278" w:lineRule="auto"/>
      <w:ind w:left="1440"/>
    </w:pPr>
    <w:rPr>
      <w:rFonts w:asciiTheme="minorHAnsi" w:eastAsiaTheme="minorEastAsia" w:hAnsiTheme="minorHAnsi" w:cstheme="minorBidi"/>
      <w:kern w:val="2"/>
      <w:sz w:val="24"/>
      <w:szCs w:val="24"/>
      <w:lang w:val="es-CL" w:eastAsia="es-MX" w:bidi="ar-SA"/>
      <w14:ligatures w14:val="standardContextual"/>
    </w:rPr>
  </w:style>
  <w:style w:type="paragraph" w:styleId="TDC8">
    <w:name w:val="toc 8"/>
    <w:basedOn w:val="Normal"/>
    <w:next w:val="Normal"/>
    <w:autoRedefine/>
    <w:uiPriority w:val="39"/>
    <w:unhideWhenUsed/>
    <w:rsid w:val="007D0ED0"/>
    <w:pPr>
      <w:suppressAutoHyphens w:val="0"/>
      <w:spacing w:after="100" w:line="278" w:lineRule="auto"/>
      <w:ind w:left="1680"/>
    </w:pPr>
    <w:rPr>
      <w:rFonts w:asciiTheme="minorHAnsi" w:eastAsiaTheme="minorEastAsia" w:hAnsiTheme="minorHAnsi" w:cstheme="minorBidi"/>
      <w:kern w:val="2"/>
      <w:sz w:val="24"/>
      <w:szCs w:val="24"/>
      <w:lang w:val="es-CL" w:eastAsia="es-MX" w:bidi="ar-SA"/>
      <w14:ligatures w14:val="standardContextual"/>
    </w:rPr>
  </w:style>
  <w:style w:type="paragraph" w:styleId="TDC9">
    <w:name w:val="toc 9"/>
    <w:basedOn w:val="Normal"/>
    <w:next w:val="Normal"/>
    <w:autoRedefine/>
    <w:uiPriority w:val="39"/>
    <w:unhideWhenUsed/>
    <w:rsid w:val="007D0ED0"/>
    <w:pPr>
      <w:suppressAutoHyphens w:val="0"/>
      <w:spacing w:after="100" w:line="278" w:lineRule="auto"/>
      <w:ind w:left="1920"/>
    </w:pPr>
    <w:rPr>
      <w:rFonts w:asciiTheme="minorHAnsi" w:eastAsiaTheme="minorEastAsia" w:hAnsiTheme="minorHAnsi" w:cstheme="minorBidi"/>
      <w:kern w:val="2"/>
      <w:sz w:val="24"/>
      <w:szCs w:val="24"/>
      <w:lang w:val="es-CL" w:eastAsia="es-MX" w:bidi="ar-SA"/>
      <w14:ligatures w14:val="standardContextual"/>
    </w:rPr>
  </w:style>
  <w:style w:type="character" w:styleId="Mencinsinresolver">
    <w:name w:val="Unresolved Mention"/>
    <w:basedOn w:val="Fuentedeprrafopredeter"/>
    <w:uiPriority w:val="99"/>
    <w:semiHidden/>
    <w:unhideWhenUsed/>
    <w:rsid w:val="007D0ED0"/>
    <w:rPr>
      <w:color w:val="605E5C"/>
      <w:shd w:val="clear" w:color="auto" w:fill="E1DFDD"/>
    </w:rPr>
  </w:style>
  <w:style w:type="paragraph" w:customStyle="1" w:styleId="ChapterPlain">
    <w:name w:val="ChapterPlain"/>
    <w:basedOn w:val="Normal"/>
    <w:pPr>
      <w:keepNext/>
      <w:spacing w:before="280" w:after="160"/>
    </w:pPr>
    <w:rPr>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liticaspublicas.uc.cl/publicacion/panorama-actual-sobre-personas-con-sindrome-de-down-en-chile-politicas-legislacion-y-brechas/" TargetMode="External"/><Relationship Id="rId18" Type="http://schemas.openxmlformats.org/officeDocument/2006/relationships/hyperlink" Target="https://politicaspublicas.uc.cl/publicacion/panorama-actual-sobre-personas-con-sindrome-de-down-en-chile-politicas-legislacion-y-brecha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politicaspublicas.uc.cl/publicacion/un-chile-mejor-para-personas-con-sindrome-de-down-propuestas-para-una-politica-nacional-2025/" TargetMode="External"/><Relationship Id="rId17" Type="http://schemas.openxmlformats.org/officeDocument/2006/relationships/hyperlink" Target="https://politicaspublicas.uc.cl/publicacion/propuestas-presidenciales-para-personas-con-discapacidad-cognitiva-y-sindrome-de-down/" TargetMode="External"/><Relationship Id="rId2" Type="http://schemas.openxmlformats.org/officeDocument/2006/relationships/customXml" Target="../customXml/item2.xml"/><Relationship Id="rId16" Type="http://schemas.openxmlformats.org/officeDocument/2006/relationships/hyperlink" Target="https://politicaspublicas.uc.cl/publicacion/un-chile-mejor-para-personas-con-sindrome-de-down-propuestas-para-una-politica-nacional-20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ntroucdown@uc.c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entroucdown.uc.cl"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liticaspublicas.uc.cl/publicacion/propuestas-presidenciales-para-personas-con-discapacidad-cognitiva-y-sindrome-de-down/"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316eff-18b2-41d6-9d90-e08bbff94e6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EB724C7516474BB7AADC1FE1C5E6F9" ma:contentTypeVersion="12" ma:contentTypeDescription="Create a new document." ma:contentTypeScope="" ma:versionID="fc70d28ea8173c1f5a4e1bde36890d3d">
  <xsd:schema xmlns:xsd="http://www.w3.org/2001/XMLSchema" xmlns:xs="http://www.w3.org/2001/XMLSchema" xmlns:p="http://schemas.microsoft.com/office/2006/metadata/properties" xmlns:ns2="d7316eff-18b2-41d6-9d90-e08bbff94e6b" targetNamespace="http://schemas.microsoft.com/office/2006/metadata/properties" ma:root="true" ma:fieldsID="f7b0ae79be0eccefdfe07ffb3c76d7b4" ns2:_="">
    <xsd:import namespace="d7316eff-18b2-41d6-9d90-e08bbff94e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16eff-18b2-41d6-9d90-e08bbff94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c44c076-1990-432d-b910-f78c9fed31b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5B2D96-B358-453D-AAE5-D57108B78D28}">
  <ds:schemaRefs>
    <ds:schemaRef ds:uri="http://schemas.microsoft.com/office/2006/metadata/properties"/>
    <ds:schemaRef ds:uri="http://schemas.microsoft.com/office/infopath/2007/PartnerControls"/>
    <ds:schemaRef ds:uri="d7316eff-18b2-41d6-9d90-e08bbff94e6b"/>
  </ds:schemaRefs>
</ds:datastoreItem>
</file>

<file path=customXml/itemProps2.xml><?xml version="1.0" encoding="utf-8"?>
<ds:datastoreItem xmlns:ds="http://schemas.openxmlformats.org/officeDocument/2006/customXml" ds:itemID="{A71F1E5C-7090-4904-A29B-0934756DA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16eff-18b2-41d6-9d90-e08bbff94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57FD31-6766-4C3E-9E58-497A8135D3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11034</Words>
  <Characters>60689</Characters>
  <Application>Microsoft Office Word</Application>
  <DocSecurity>0</DocSecurity>
  <Lines>505</Lines>
  <Paragraphs>143</Paragraphs>
  <ScaleCrop>false</ScaleCrop>
  <Company/>
  <LinksUpToDate>false</LinksUpToDate>
  <CharactersWithSpaces>71580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Macarena Lizama Calvo</cp:lastModifiedBy>
  <cp:revision>2</cp:revision>
  <dcterms:created xsi:type="dcterms:W3CDTF">2026-07-11T20:23:00Z</dcterms:created>
  <dcterms:modified xsi:type="dcterms:W3CDTF">2026-07-11T20:23:00Z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0x010100CAEB724C7516474BB7AADC1FE1C5E6F9</vt:lpwstr>
  </property>
  <property fmtid="{D5CDD505-2E9C-101B-9397-08002B2CF9AE}" pid="3" name="MediaServiceImageTags">
    <vt:lpwstr/>
  </property>
</Properties>
</file>