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6.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5.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7BA" w:rsidRDefault="00B617BA" w:rsidP="00B617BA">
      <w:pPr>
        <w:ind w:hanging="900"/>
        <w:jc w:val="center"/>
        <w:rPr>
          <w:rFonts w:ascii="Cambria" w:hAnsi="Cambria" w:cs="Arial"/>
          <w:b/>
          <w:color w:val="222222"/>
          <w:sz w:val="56"/>
          <w:szCs w:val="56"/>
          <w:shd w:val="clear" w:color="auto" w:fill="FFFFFF"/>
          <w:lang w:val="en-US" w:eastAsia="en-US"/>
        </w:rPr>
      </w:pPr>
      <w:bookmarkStart w:id="0" w:name="_Toc379980833"/>
      <w:r>
        <w:rPr>
          <w:rFonts w:ascii="Cambria" w:hAnsi="Cambria" w:cs="Arial"/>
          <w:b/>
          <w:noProof/>
          <w:color w:val="222222"/>
          <w:sz w:val="56"/>
          <w:szCs w:val="56"/>
          <w:shd w:val="clear" w:color="auto" w:fill="FFFFFF"/>
          <w:lang w:val="en-US" w:eastAsia="en-US"/>
        </w:rPr>
        <w:drawing>
          <wp:anchor distT="0" distB="0" distL="114300" distR="114300" simplePos="0" relativeHeight="251659264" behindDoc="0" locked="0" layoutInCell="1" allowOverlap="1">
            <wp:simplePos x="0" y="0"/>
            <wp:positionH relativeFrom="column">
              <wp:posOffset>-486410</wp:posOffset>
            </wp:positionH>
            <wp:positionV relativeFrom="paragraph">
              <wp:posOffset>-96520</wp:posOffset>
            </wp:positionV>
            <wp:extent cx="9252585" cy="5967095"/>
            <wp:effectExtent l="19050" t="0" r="5715" b="0"/>
            <wp:wrapSquare wrapText="bothSides"/>
            <wp:docPr id="3" name="Picture 0" descr="illigal arrest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ligal arrest copy.jpg"/>
                    <pic:cNvPicPr/>
                  </pic:nvPicPr>
                  <pic:blipFill>
                    <a:blip r:embed="rId8" cstate="print"/>
                    <a:stretch>
                      <a:fillRect/>
                    </a:stretch>
                  </pic:blipFill>
                  <pic:spPr>
                    <a:xfrm>
                      <a:off x="0" y="0"/>
                      <a:ext cx="9252585" cy="5967095"/>
                    </a:xfrm>
                    <a:prstGeom prst="rect">
                      <a:avLst/>
                    </a:prstGeom>
                  </pic:spPr>
                </pic:pic>
              </a:graphicData>
            </a:graphic>
          </wp:anchor>
        </w:drawing>
      </w:r>
    </w:p>
    <w:p w:rsidR="00B617BA" w:rsidRDefault="00B617BA" w:rsidP="00B617BA">
      <w:pPr>
        <w:rPr>
          <w:rFonts w:ascii="Cambria" w:hAnsi="Cambria" w:cs="Arial"/>
          <w:b/>
          <w:color w:val="222222"/>
          <w:sz w:val="56"/>
          <w:szCs w:val="56"/>
          <w:shd w:val="clear" w:color="auto" w:fill="FFFFFF"/>
          <w:lang w:val="en-US" w:eastAsia="en-US"/>
        </w:rPr>
        <w:sectPr w:rsidR="00B617BA" w:rsidSect="00B617BA">
          <w:footerReference w:type="even" r:id="rId9"/>
          <w:footerReference w:type="default" r:id="rId10"/>
          <w:pgSz w:w="15840" w:h="12240" w:orient="landscape" w:code="1"/>
          <w:pgMar w:top="1440" w:right="1440" w:bottom="1440" w:left="1440" w:header="720" w:footer="720" w:gutter="0"/>
          <w:cols w:space="720"/>
          <w:titlePg/>
          <w:docGrid w:linePitch="326"/>
        </w:sectPr>
      </w:pPr>
    </w:p>
    <w:p w:rsidR="00B617BA" w:rsidRPr="005914AF" w:rsidRDefault="00B617BA" w:rsidP="00B617BA">
      <w:pPr>
        <w:jc w:val="center"/>
        <w:rPr>
          <w:rFonts w:ascii="Cambria" w:hAnsi="Cambria" w:cs="Arial"/>
          <w:b/>
          <w:color w:val="222222"/>
          <w:sz w:val="56"/>
          <w:szCs w:val="56"/>
          <w:shd w:val="clear" w:color="auto" w:fill="FFFFFF"/>
          <w:lang w:val="en-US" w:eastAsia="en-US"/>
        </w:rPr>
      </w:pPr>
      <w:r w:rsidRPr="005914AF">
        <w:rPr>
          <w:rFonts w:ascii="Cambria" w:hAnsi="Cambria" w:cs="Arial"/>
          <w:b/>
          <w:color w:val="222222"/>
          <w:sz w:val="56"/>
          <w:szCs w:val="56"/>
          <w:shd w:val="clear" w:color="auto" w:fill="FFFFFF"/>
          <w:lang w:val="en-US" w:eastAsia="en-US"/>
        </w:rPr>
        <w:lastRenderedPageBreak/>
        <w:t>Continuing Extrajudicial Executions</w:t>
      </w:r>
    </w:p>
    <w:p w:rsidR="00B617BA" w:rsidRPr="005914AF" w:rsidRDefault="00B617BA" w:rsidP="00B617BA">
      <w:pPr>
        <w:jc w:val="center"/>
        <w:rPr>
          <w:rFonts w:ascii="Cambria" w:hAnsi="Cambria"/>
          <w:b/>
          <w:sz w:val="56"/>
          <w:szCs w:val="56"/>
          <w:lang w:val="en-US" w:eastAsia="en-US"/>
        </w:rPr>
      </w:pPr>
      <w:r w:rsidRPr="005914AF">
        <w:rPr>
          <w:rFonts w:ascii="Cambria" w:hAnsi="Cambria" w:cs="Arial"/>
          <w:b/>
          <w:color w:val="222222"/>
          <w:sz w:val="56"/>
          <w:szCs w:val="56"/>
          <w:shd w:val="clear" w:color="auto" w:fill="FFFFFF"/>
          <w:lang w:val="en-US" w:eastAsia="en-US"/>
        </w:rPr>
        <w:t>In The Terai</w:t>
      </w: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tabs>
          <w:tab w:val="left" w:pos="420"/>
        </w:tabs>
        <w:autoSpaceDE w:val="0"/>
        <w:autoSpaceDN w:val="0"/>
        <w:adjustRightInd w:val="0"/>
        <w:rPr>
          <w:b/>
          <w:sz w:val="28"/>
          <w:szCs w:val="28"/>
        </w:rPr>
      </w:pPr>
      <w:r>
        <w:rPr>
          <w:b/>
          <w:sz w:val="28"/>
          <w:szCs w:val="28"/>
        </w:rPr>
        <w:tab/>
      </w: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Pr="005914AF" w:rsidRDefault="00B617BA" w:rsidP="00B617BA">
      <w:pPr>
        <w:jc w:val="center"/>
        <w:rPr>
          <w:rFonts w:ascii="Cambria" w:hAnsi="Cambria" w:cs="Arial"/>
          <w:b/>
          <w:color w:val="222222"/>
          <w:sz w:val="44"/>
          <w:szCs w:val="44"/>
          <w:shd w:val="clear" w:color="auto" w:fill="FFFFFF"/>
          <w:lang w:val="en-US" w:eastAsia="en-US"/>
        </w:rPr>
      </w:pPr>
      <w:r w:rsidRPr="005914AF">
        <w:rPr>
          <w:rFonts w:ascii="Cambria" w:hAnsi="Cambria" w:cs="Arial"/>
          <w:b/>
          <w:color w:val="222222"/>
          <w:sz w:val="44"/>
          <w:szCs w:val="44"/>
          <w:shd w:val="clear" w:color="auto" w:fill="FFFFFF"/>
          <w:lang w:val="en-US" w:eastAsia="en-US"/>
        </w:rPr>
        <w:t>THRD Alliance</w:t>
      </w:r>
    </w:p>
    <w:p w:rsidR="00B617BA" w:rsidRPr="005914AF" w:rsidRDefault="00B617BA" w:rsidP="00B617BA">
      <w:pPr>
        <w:jc w:val="center"/>
        <w:rPr>
          <w:rFonts w:ascii="Cambria" w:hAnsi="Cambria" w:cs="Arial"/>
          <w:b/>
          <w:color w:val="222222"/>
          <w:sz w:val="44"/>
          <w:szCs w:val="44"/>
          <w:shd w:val="clear" w:color="auto" w:fill="FFFFFF"/>
          <w:lang w:val="en-US" w:eastAsia="en-US"/>
        </w:rPr>
      </w:pPr>
      <w:r w:rsidRPr="005914AF">
        <w:rPr>
          <w:rFonts w:ascii="Cambria" w:hAnsi="Cambria" w:cs="Arial"/>
          <w:b/>
          <w:color w:val="222222"/>
          <w:sz w:val="44"/>
          <w:szCs w:val="44"/>
          <w:shd w:val="clear" w:color="auto" w:fill="FFFFFF"/>
          <w:lang w:val="en-US" w:eastAsia="en-US"/>
        </w:rPr>
        <w:t>February 2014</w:t>
      </w:r>
    </w:p>
    <w:p w:rsidR="00B617BA" w:rsidRPr="00F46713" w:rsidRDefault="00B617BA" w:rsidP="00B617BA">
      <w:pPr>
        <w:pStyle w:val="TOCHeading1"/>
        <w:jc w:val="center"/>
        <w:rPr>
          <w:rFonts w:ascii="Calibri" w:hAnsi="Calibri"/>
          <w:sz w:val="36"/>
          <w:szCs w:val="36"/>
        </w:rPr>
      </w:pPr>
      <w:r w:rsidRPr="00F46713">
        <w:rPr>
          <w:rFonts w:ascii="Calibri" w:hAnsi="Calibri"/>
          <w:sz w:val="36"/>
          <w:szCs w:val="36"/>
        </w:rPr>
        <w:lastRenderedPageBreak/>
        <w:t>Table of Contents</w:t>
      </w:r>
    </w:p>
    <w:p w:rsidR="00B617BA" w:rsidRPr="00F46713" w:rsidRDefault="00B617BA" w:rsidP="00B617BA">
      <w:pPr>
        <w:rPr>
          <w:rFonts w:ascii="Calibri" w:hAnsi="Calibri"/>
          <w:sz w:val="32"/>
          <w:szCs w:val="32"/>
          <w:lang w:val="en-US" w:eastAsia="en-US"/>
        </w:rPr>
      </w:pPr>
    </w:p>
    <w:p w:rsidR="00B617BA" w:rsidRPr="00C50191" w:rsidRDefault="002B0D6B">
      <w:pPr>
        <w:pStyle w:val="TOC1"/>
        <w:tabs>
          <w:tab w:val="left" w:pos="440"/>
          <w:tab w:val="right" w:leader="dot" w:pos="9350"/>
        </w:tabs>
        <w:rPr>
          <w:rFonts w:ascii="Times New Roman" w:eastAsiaTheme="minorEastAsia" w:hAnsi="Times New Roman"/>
          <w:noProof/>
        </w:rPr>
      </w:pPr>
      <w:r>
        <w:rPr>
          <w:sz w:val="32"/>
          <w:szCs w:val="32"/>
        </w:rPr>
        <w:fldChar w:fldCharType="begin"/>
      </w:r>
      <w:r w:rsidR="00B617BA">
        <w:rPr>
          <w:sz w:val="32"/>
          <w:szCs w:val="32"/>
        </w:rPr>
        <w:instrText xml:space="preserve"> TOC \o "1-3" \h \z \u </w:instrText>
      </w:r>
      <w:r>
        <w:rPr>
          <w:sz w:val="32"/>
          <w:szCs w:val="32"/>
        </w:rPr>
        <w:fldChar w:fldCharType="separate"/>
      </w:r>
      <w:hyperlink w:anchor="_Toc379983646" w:history="1">
        <w:r w:rsidR="00B617BA" w:rsidRPr="00C50191">
          <w:rPr>
            <w:rStyle w:val="Hyperlink"/>
            <w:rFonts w:ascii="Times New Roman" w:hAnsi="Times New Roman"/>
            <w:noProof/>
          </w:rPr>
          <w:t>1</w:t>
        </w:r>
        <w:r w:rsidR="00B617BA" w:rsidRPr="00C50191">
          <w:rPr>
            <w:rFonts w:ascii="Times New Roman" w:eastAsiaTheme="minorEastAsia" w:hAnsi="Times New Roman"/>
            <w:noProof/>
          </w:rPr>
          <w:tab/>
        </w:r>
        <w:r w:rsidR="00B617BA" w:rsidRPr="00C50191">
          <w:rPr>
            <w:rStyle w:val="Hyperlink"/>
            <w:rFonts w:ascii="Times New Roman" w:hAnsi="Times New Roman"/>
            <w:noProof/>
          </w:rPr>
          <w:t>Introduction</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_Toc379983646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1</w:t>
        </w:r>
        <w:r w:rsidRPr="00C50191">
          <w:rPr>
            <w:rFonts w:ascii="Times New Roman" w:hAnsi="Times New Roman"/>
            <w:noProof/>
            <w:webHidden/>
          </w:rPr>
          <w:fldChar w:fldCharType="end"/>
        </w:r>
      </w:hyperlink>
    </w:p>
    <w:p w:rsidR="00B617BA" w:rsidRPr="00C50191" w:rsidRDefault="002B0D6B">
      <w:pPr>
        <w:pStyle w:val="TOC1"/>
        <w:tabs>
          <w:tab w:val="left" w:pos="440"/>
          <w:tab w:val="right" w:leader="dot" w:pos="9350"/>
        </w:tabs>
        <w:rPr>
          <w:rFonts w:ascii="Times New Roman" w:eastAsiaTheme="minorEastAsia" w:hAnsi="Times New Roman"/>
          <w:noProof/>
        </w:rPr>
      </w:pPr>
      <w:hyperlink w:anchor="_Toc379983647" w:history="1">
        <w:r w:rsidR="00B617BA" w:rsidRPr="00C50191">
          <w:rPr>
            <w:rStyle w:val="Hyperlink"/>
            <w:rFonts w:ascii="Times New Roman" w:hAnsi="Times New Roman"/>
            <w:noProof/>
          </w:rPr>
          <w:t>2</w:t>
        </w:r>
        <w:r w:rsidR="00B617BA" w:rsidRPr="00C50191">
          <w:rPr>
            <w:rFonts w:ascii="Times New Roman" w:eastAsiaTheme="minorEastAsia" w:hAnsi="Times New Roman"/>
            <w:noProof/>
          </w:rPr>
          <w:tab/>
        </w:r>
        <w:r w:rsidR="00B617BA" w:rsidRPr="00C50191">
          <w:rPr>
            <w:rStyle w:val="Hyperlink"/>
            <w:rFonts w:ascii="Times New Roman" w:hAnsi="Times New Roman"/>
            <w:noProof/>
          </w:rPr>
          <w:t>Methodology</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_Toc379983647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2</w:t>
        </w:r>
        <w:r w:rsidRPr="00C50191">
          <w:rPr>
            <w:rFonts w:ascii="Times New Roman" w:hAnsi="Times New Roman"/>
            <w:noProof/>
            <w:webHidden/>
          </w:rPr>
          <w:fldChar w:fldCharType="end"/>
        </w:r>
      </w:hyperlink>
    </w:p>
    <w:p w:rsidR="00B617BA" w:rsidRPr="00C50191" w:rsidRDefault="002B0D6B">
      <w:pPr>
        <w:pStyle w:val="TOC1"/>
        <w:tabs>
          <w:tab w:val="left" w:pos="440"/>
          <w:tab w:val="right" w:leader="dot" w:pos="9350"/>
        </w:tabs>
        <w:rPr>
          <w:rFonts w:ascii="Times New Roman" w:eastAsiaTheme="minorEastAsia" w:hAnsi="Times New Roman"/>
          <w:noProof/>
        </w:rPr>
      </w:pPr>
      <w:hyperlink w:anchor="_Toc379983648" w:history="1">
        <w:r w:rsidR="00B617BA" w:rsidRPr="00C50191">
          <w:rPr>
            <w:rStyle w:val="Hyperlink"/>
            <w:rFonts w:ascii="Times New Roman" w:hAnsi="Times New Roman"/>
            <w:noProof/>
          </w:rPr>
          <w:t>3</w:t>
        </w:r>
        <w:r w:rsidR="00B617BA" w:rsidRPr="00C50191">
          <w:rPr>
            <w:rFonts w:ascii="Times New Roman" w:eastAsiaTheme="minorEastAsia" w:hAnsi="Times New Roman"/>
            <w:noProof/>
          </w:rPr>
          <w:tab/>
        </w:r>
        <w:r w:rsidR="00B617BA" w:rsidRPr="00C50191">
          <w:rPr>
            <w:rStyle w:val="Hyperlink"/>
            <w:rFonts w:ascii="Times New Roman" w:hAnsi="Times New Roman"/>
            <w:noProof/>
          </w:rPr>
          <w:t>International and National Legal Standards</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_Toc379983648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3</w:t>
        </w:r>
        <w:r w:rsidRPr="00C50191">
          <w:rPr>
            <w:rFonts w:ascii="Times New Roman" w:hAnsi="Times New Roman"/>
            <w:noProof/>
            <w:webHidden/>
          </w:rPr>
          <w:fldChar w:fldCharType="end"/>
        </w:r>
      </w:hyperlink>
    </w:p>
    <w:p w:rsidR="00B617BA" w:rsidRPr="00C50191" w:rsidRDefault="002B0D6B">
      <w:pPr>
        <w:pStyle w:val="TOC1"/>
        <w:tabs>
          <w:tab w:val="left" w:pos="440"/>
          <w:tab w:val="right" w:leader="dot" w:pos="9350"/>
        </w:tabs>
        <w:rPr>
          <w:rFonts w:ascii="Times New Roman" w:eastAsiaTheme="minorEastAsia" w:hAnsi="Times New Roman"/>
          <w:noProof/>
        </w:rPr>
      </w:pPr>
      <w:hyperlink w:anchor="_Toc379983649" w:history="1">
        <w:r w:rsidR="00B617BA" w:rsidRPr="00C50191">
          <w:rPr>
            <w:rStyle w:val="Hyperlink"/>
            <w:rFonts w:ascii="Times New Roman" w:hAnsi="Times New Roman"/>
            <w:noProof/>
          </w:rPr>
          <w:t>4</w:t>
        </w:r>
        <w:r w:rsidR="00B617BA" w:rsidRPr="00C50191">
          <w:rPr>
            <w:rFonts w:ascii="Times New Roman" w:eastAsiaTheme="minorEastAsia" w:hAnsi="Times New Roman"/>
            <w:noProof/>
          </w:rPr>
          <w:tab/>
        </w:r>
        <w:r w:rsidR="00B617BA" w:rsidRPr="00C50191">
          <w:rPr>
            <w:rStyle w:val="Hyperlink"/>
            <w:rFonts w:ascii="Times New Roman" w:hAnsi="Times New Roman"/>
            <w:noProof/>
          </w:rPr>
          <w:t>Political Background</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_Toc379983649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5</w:t>
        </w:r>
        <w:r w:rsidRPr="00C50191">
          <w:rPr>
            <w:rFonts w:ascii="Times New Roman" w:hAnsi="Times New Roman"/>
            <w:noProof/>
            <w:webHidden/>
          </w:rPr>
          <w:fldChar w:fldCharType="end"/>
        </w:r>
      </w:hyperlink>
    </w:p>
    <w:p w:rsidR="00B617BA" w:rsidRPr="00C50191" w:rsidRDefault="002B0D6B">
      <w:pPr>
        <w:pStyle w:val="TOC2"/>
        <w:tabs>
          <w:tab w:val="left" w:pos="880"/>
          <w:tab w:val="right" w:leader="dot" w:pos="9350"/>
        </w:tabs>
        <w:rPr>
          <w:rFonts w:ascii="Times New Roman" w:eastAsiaTheme="minorEastAsia" w:hAnsi="Times New Roman"/>
          <w:noProof/>
        </w:rPr>
      </w:pPr>
      <w:hyperlink w:anchor="_Toc379983650" w:history="1">
        <w:r w:rsidR="00B617BA" w:rsidRPr="00C50191">
          <w:rPr>
            <w:rStyle w:val="Hyperlink"/>
            <w:rFonts w:ascii="Times New Roman" w:hAnsi="Times New Roman"/>
            <w:noProof/>
          </w:rPr>
          <w:t>4.1</w:t>
        </w:r>
        <w:r w:rsidR="00B617BA" w:rsidRPr="00C50191">
          <w:rPr>
            <w:rFonts w:ascii="Times New Roman" w:eastAsiaTheme="minorEastAsia" w:hAnsi="Times New Roman"/>
            <w:noProof/>
          </w:rPr>
          <w:tab/>
        </w:r>
        <w:r w:rsidR="00B617BA" w:rsidRPr="00C50191">
          <w:rPr>
            <w:rStyle w:val="Hyperlink"/>
            <w:rFonts w:ascii="Times New Roman" w:hAnsi="Times New Roman"/>
            <w:noProof/>
          </w:rPr>
          <w:t>National</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_Toc379983650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5</w:t>
        </w:r>
        <w:r w:rsidRPr="00C50191">
          <w:rPr>
            <w:rFonts w:ascii="Times New Roman" w:hAnsi="Times New Roman"/>
            <w:noProof/>
            <w:webHidden/>
          </w:rPr>
          <w:fldChar w:fldCharType="end"/>
        </w:r>
      </w:hyperlink>
    </w:p>
    <w:p w:rsidR="00B617BA" w:rsidRPr="00C50191" w:rsidRDefault="002B0D6B">
      <w:pPr>
        <w:pStyle w:val="TOC2"/>
        <w:tabs>
          <w:tab w:val="left" w:pos="880"/>
          <w:tab w:val="right" w:leader="dot" w:pos="9350"/>
        </w:tabs>
        <w:rPr>
          <w:rFonts w:ascii="Times New Roman" w:eastAsiaTheme="minorEastAsia" w:hAnsi="Times New Roman"/>
          <w:noProof/>
        </w:rPr>
      </w:pPr>
      <w:hyperlink w:anchor="_Toc379983651" w:history="1">
        <w:r w:rsidR="00B617BA" w:rsidRPr="00C50191">
          <w:rPr>
            <w:rStyle w:val="Hyperlink"/>
            <w:rFonts w:ascii="Times New Roman" w:hAnsi="Times New Roman"/>
            <w:noProof/>
          </w:rPr>
          <w:t>4.2</w:t>
        </w:r>
        <w:r w:rsidR="00B617BA" w:rsidRPr="00C50191">
          <w:rPr>
            <w:rFonts w:ascii="Times New Roman" w:eastAsiaTheme="minorEastAsia" w:hAnsi="Times New Roman"/>
            <w:noProof/>
          </w:rPr>
          <w:tab/>
        </w:r>
        <w:r w:rsidR="00B617BA" w:rsidRPr="00C50191">
          <w:rPr>
            <w:rStyle w:val="Hyperlink"/>
            <w:rFonts w:ascii="Times New Roman" w:hAnsi="Times New Roman"/>
            <w:noProof/>
          </w:rPr>
          <w:t>The Terai</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_Toc379983651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6</w:t>
        </w:r>
        <w:r w:rsidRPr="00C50191">
          <w:rPr>
            <w:rFonts w:ascii="Times New Roman" w:hAnsi="Times New Roman"/>
            <w:noProof/>
            <w:webHidden/>
          </w:rPr>
          <w:fldChar w:fldCharType="end"/>
        </w:r>
      </w:hyperlink>
    </w:p>
    <w:p w:rsidR="00B617BA" w:rsidRPr="00C50191" w:rsidRDefault="002B0D6B">
      <w:pPr>
        <w:pStyle w:val="TOC1"/>
        <w:tabs>
          <w:tab w:val="left" w:pos="440"/>
          <w:tab w:val="right" w:leader="dot" w:pos="9350"/>
        </w:tabs>
        <w:rPr>
          <w:rFonts w:ascii="Times New Roman" w:eastAsiaTheme="minorEastAsia" w:hAnsi="Times New Roman"/>
          <w:noProof/>
        </w:rPr>
      </w:pPr>
      <w:hyperlink w:anchor="_Toc379983652" w:history="1">
        <w:r w:rsidR="00B617BA" w:rsidRPr="00C50191">
          <w:rPr>
            <w:rStyle w:val="Hyperlink"/>
            <w:rFonts w:ascii="Times New Roman" w:hAnsi="Times New Roman"/>
            <w:noProof/>
          </w:rPr>
          <w:t>5</w:t>
        </w:r>
        <w:r w:rsidR="00B617BA" w:rsidRPr="00C50191">
          <w:rPr>
            <w:rFonts w:ascii="Times New Roman" w:eastAsiaTheme="minorEastAsia" w:hAnsi="Times New Roman"/>
            <w:noProof/>
          </w:rPr>
          <w:tab/>
        </w:r>
        <w:r w:rsidR="00B617BA" w:rsidRPr="00C50191">
          <w:rPr>
            <w:rStyle w:val="Hyperlink"/>
            <w:rFonts w:ascii="Times New Roman" w:hAnsi="Times New Roman"/>
            <w:noProof/>
          </w:rPr>
          <w:t>Extrajudicial Executions</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_Toc379983652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10</w:t>
        </w:r>
        <w:r w:rsidRPr="00C50191">
          <w:rPr>
            <w:rFonts w:ascii="Times New Roman" w:hAnsi="Times New Roman"/>
            <w:noProof/>
            <w:webHidden/>
          </w:rPr>
          <w:fldChar w:fldCharType="end"/>
        </w:r>
      </w:hyperlink>
    </w:p>
    <w:p w:rsidR="00B617BA" w:rsidRPr="00C50191" w:rsidRDefault="002B0D6B">
      <w:pPr>
        <w:pStyle w:val="TOC2"/>
        <w:tabs>
          <w:tab w:val="left" w:pos="880"/>
          <w:tab w:val="right" w:leader="dot" w:pos="9350"/>
        </w:tabs>
        <w:rPr>
          <w:rFonts w:ascii="Times New Roman" w:eastAsiaTheme="minorEastAsia" w:hAnsi="Times New Roman"/>
          <w:noProof/>
        </w:rPr>
      </w:pPr>
      <w:hyperlink w:anchor="_Toc379983653" w:history="1">
        <w:r w:rsidR="00B617BA" w:rsidRPr="00C50191">
          <w:rPr>
            <w:rStyle w:val="Hyperlink"/>
            <w:rFonts w:ascii="Times New Roman" w:hAnsi="Times New Roman"/>
            <w:noProof/>
          </w:rPr>
          <w:t>5.1</w:t>
        </w:r>
        <w:r w:rsidR="00B617BA" w:rsidRPr="00C50191">
          <w:rPr>
            <w:rFonts w:ascii="Times New Roman" w:eastAsiaTheme="minorEastAsia" w:hAnsi="Times New Roman"/>
            <w:noProof/>
          </w:rPr>
          <w:tab/>
        </w:r>
        <w:r w:rsidR="00B617BA" w:rsidRPr="00C50191">
          <w:rPr>
            <w:rStyle w:val="Hyperlink"/>
            <w:rFonts w:ascii="Times New Roman" w:hAnsi="Times New Roman"/>
            <w:noProof/>
          </w:rPr>
          <w:t>Extrajudicial executions – a longstanding pattern in nepal</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_Toc379983653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10</w:t>
        </w:r>
        <w:r w:rsidRPr="00C50191">
          <w:rPr>
            <w:rFonts w:ascii="Times New Roman" w:hAnsi="Times New Roman"/>
            <w:noProof/>
            <w:webHidden/>
          </w:rPr>
          <w:fldChar w:fldCharType="end"/>
        </w:r>
      </w:hyperlink>
    </w:p>
    <w:p w:rsidR="00B617BA" w:rsidRPr="00C50191" w:rsidRDefault="002B0D6B">
      <w:pPr>
        <w:pStyle w:val="TOC2"/>
        <w:tabs>
          <w:tab w:val="left" w:pos="880"/>
          <w:tab w:val="right" w:leader="dot" w:pos="9350"/>
        </w:tabs>
        <w:rPr>
          <w:rFonts w:ascii="Times New Roman" w:eastAsiaTheme="minorEastAsia" w:hAnsi="Times New Roman"/>
          <w:noProof/>
        </w:rPr>
      </w:pPr>
      <w:hyperlink w:anchor="_Toc379983654" w:history="1">
        <w:r w:rsidR="00B617BA" w:rsidRPr="00C50191">
          <w:rPr>
            <w:rStyle w:val="Hyperlink"/>
            <w:rFonts w:ascii="Times New Roman" w:hAnsi="Times New Roman"/>
            <w:noProof/>
          </w:rPr>
          <w:t>5.2</w:t>
        </w:r>
        <w:r w:rsidR="00B617BA" w:rsidRPr="00C50191">
          <w:rPr>
            <w:rFonts w:ascii="Times New Roman" w:eastAsiaTheme="minorEastAsia" w:hAnsi="Times New Roman"/>
            <w:noProof/>
          </w:rPr>
          <w:tab/>
        </w:r>
        <w:r w:rsidR="00B617BA" w:rsidRPr="00C50191">
          <w:rPr>
            <w:rStyle w:val="Hyperlink"/>
            <w:rFonts w:ascii="Times New Roman" w:hAnsi="Times New Roman"/>
            <w:noProof/>
          </w:rPr>
          <w:t>Extrajudicial executions in the Terai- January 2011 August 2013</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_Toc379983654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11</w:t>
        </w:r>
        <w:r w:rsidRPr="00C50191">
          <w:rPr>
            <w:rFonts w:ascii="Times New Roman" w:hAnsi="Times New Roman"/>
            <w:noProof/>
            <w:webHidden/>
          </w:rPr>
          <w:fldChar w:fldCharType="end"/>
        </w:r>
      </w:hyperlink>
    </w:p>
    <w:p w:rsidR="00B617BA" w:rsidRPr="00C50191" w:rsidRDefault="002B0D6B">
      <w:pPr>
        <w:pStyle w:val="TOC2"/>
        <w:tabs>
          <w:tab w:val="left" w:pos="880"/>
          <w:tab w:val="right" w:leader="dot" w:pos="9350"/>
        </w:tabs>
        <w:rPr>
          <w:rFonts w:ascii="Times New Roman" w:eastAsiaTheme="minorEastAsia" w:hAnsi="Times New Roman"/>
          <w:noProof/>
        </w:rPr>
      </w:pPr>
      <w:hyperlink w:anchor="_Toc379983655" w:history="1">
        <w:r w:rsidR="00B617BA" w:rsidRPr="00C50191">
          <w:rPr>
            <w:rStyle w:val="Hyperlink"/>
            <w:rFonts w:ascii="Times New Roman" w:hAnsi="Times New Roman"/>
            <w:noProof/>
          </w:rPr>
          <w:t>5.3</w:t>
        </w:r>
        <w:r w:rsidR="00B617BA" w:rsidRPr="00C50191">
          <w:rPr>
            <w:rFonts w:ascii="Times New Roman" w:eastAsiaTheme="minorEastAsia" w:hAnsi="Times New Roman"/>
            <w:noProof/>
          </w:rPr>
          <w:tab/>
        </w:r>
        <w:r w:rsidR="00B617BA" w:rsidRPr="00C50191">
          <w:rPr>
            <w:rStyle w:val="Hyperlink"/>
            <w:rFonts w:ascii="Times New Roman" w:hAnsi="Times New Roman"/>
            <w:noProof/>
          </w:rPr>
          <w:t>Policing and security procedures in the Terai</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_Toc379983655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11</w:t>
        </w:r>
        <w:r w:rsidRPr="00C50191">
          <w:rPr>
            <w:rFonts w:ascii="Times New Roman" w:hAnsi="Times New Roman"/>
            <w:noProof/>
            <w:webHidden/>
          </w:rPr>
          <w:fldChar w:fldCharType="end"/>
        </w:r>
      </w:hyperlink>
    </w:p>
    <w:p w:rsidR="00B617BA" w:rsidRPr="00C50191" w:rsidRDefault="002B0D6B">
      <w:pPr>
        <w:pStyle w:val="TOC2"/>
        <w:tabs>
          <w:tab w:val="left" w:pos="880"/>
          <w:tab w:val="right" w:leader="dot" w:pos="9350"/>
        </w:tabs>
        <w:rPr>
          <w:rFonts w:ascii="Times New Roman" w:eastAsiaTheme="minorEastAsia" w:hAnsi="Times New Roman"/>
          <w:noProof/>
        </w:rPr>
      </w:pPr>
      <w:hyperlink w:anchor="_Toc379983656" w:history="1">
        <w:r w:rsidR="00B617BA" w:rsidRPr="00C50191">
          <w:rPr>
            <w:rStyle w:val="Hyperlink"/>
            <w:rFonts w:ascii="Times New Roman" w:hAnsi="Times New Roman"/>
            <w:noProof/>
          </w:rPr>
          <w:t>5.4</w:t>
        </w:r>
        <w:r w:rsidR="00B617BA" w:rsidRPr="00C50191">
          <w:rPr>
            <w:rFonts w:ascii="Times New Roman" w:eastAsiaTheme="minorEastAsia" w:hAnsi="Times New Roman"/>
            <w:noProof/>
          </w:rPr>
          <w:tab/>
        </w:r>
        <w:r w:rsidR="00B617BA" w:rsidRPr="00C50191">
          <w:rPr>
            <w:rStyle w:val="Hyperlink"/>
            <w:rFonts w:ascii="Times New Roman" w:hAnsi="Times New Roman"/>
            <w:noProof/>
          </w:rPr>
          <w:t>Detention practices</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_Toc379983656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11</w:t>
        </w:r>
        <w:r w:rsidRPr="00C50191">
          <w:rPr>
            <w:rFonts w:ascii="Times New Roman" w:hAnsi="Times New Roman"/>
            <w:noProof/>
            <w:webHidden/>
          </w:rPr>
          <w:fldChar w:fldCharType="end"/>
        </w:r>
      </w:hyperlink>
    </w:p>
    <w:p w:rsidR="00B617BA" w:rsidRPr="00C50191" w:rsidRDefault="002B0D6B">
      <w:pPr>
        <w:pStyle w:val="TOC2"/>
        <w:tabs>
          <w:tab w:val="left" w:pos="880"/>
          <w:tab w:val="right" w:leader="dot" w:pos="9350"/>
        </w:tabs>
        <w:rPr>
          <w:rFonts w:ascii="Times New Roman" w:eastAsiaTheme="minorEastAsia" w:hAnsi="Times New Roman"/>
          <w:noProof/>
        </w:rPr>
      </w:pPr>
      <w:hyperlink w:anchor="_Toc379983657" w:history="1">
        <w:r w:rsidR="00B617BA" w:rsidRPr="00C50191">
          <w:rPr>
            <w:rStyle w:val="Hyperlink"/>
            <w:rFonts w:ascii="Times New Roman" w:hAnsi="Times New Roman"/>
            <w:noProof/>
          </w:rPr>
          <w:t>5.5</w:t>
        </w:r>
        <w:r w:rsidR="00B617BA" w:rsidRPr="00C50191">
          <w:rPr>
            <w:rFonts w:ascii="Times New Roman" w:eastAsiaTheme="minorEastAsia" w:hAnsi="Times New Roman"/>
            <w:noProof/>
          </w:rPr>
          <w:tab/>
        </w:r>
        <w:r w:rsidR="00B617BA" w:rsidRPr="00C50191">
          <w:rPr>
            <w:rStyle w:val="Hyperlink"/>
            <w:rFonts w:ascii="Times New Roman" w:hAnsi="Times New Roman"/>
            <w:noProof/>
          </w:rPr>
          <w:t>The Madhesi Community and police brutality</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_Toc379983657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12</w:t>
        </w:r>
        <w:r w:rsidRPr="00C50191">
          <w:rPr>
            <w:rFonts w:ascii="Times New Roman" w:hAnsi="Times New Roman"/>
            <w:noProof/>
            <w:webHidden/>
          </w:rPr>
          <w:fldChar w:fldCharType="end"/>
        </w:r>
      </w:hyperlink>
    </w:p>
    <w:p w:rsidR="00B617BA" w:rsidRPr="00C50191" w:rsidRDefault="002B0D6B">
      <w:pPr>
        <w:pStyle w:val="TOC1"/>
        <w:tabs>
          <w:tab w:val="left" w:pos="440"/>
          <w:tab w:val="right" w:leader="dot" w:pos="9350"/>
        </w:tabs>
        <w:rPr>
          <w:rFonts w:ascii="Times New Roman" w:eastAsiaTheme="minorEastAsia" w:hAnsi="Times New Roman"/>
          <w:noProof/>
        </w:rPr>
      </w:pPr>
      <w:hyperlink w:anchor="_Toc379983658" w:history="1">
        <w:r w:rsidR="00B617BA" w:rsidRPr="00C50191">
          <w:rPr>
            <w:rStyle w:val="Hyperlink"/>
            <w:rFonts w:ascii="Times New Roman" w:hAnsi="Times New Roman"/>
            <w:noProof/>
          </w:rPr>
          <w:t>6</w:t>
        </w:r>
        <w:r w:rsidR="00B617BA" w:rsidRPr="00C50191">
          <w:rPr>
            <w:rFonts w:ascii="Times New Roman" w:eastAsiaTheme="minorEastAsia" w:hAnsi="Times New Roman"/>
            <w:noProof/>
          </w:rPr>
          <w:tab/>
        </w:r>
        <w:r w:rsidR="00B617BA" w:rsidRPr="00C50191">
          <w:rPr>
            <w:rStyle w:val="Hyperlink"/>
            <w:rFonts w:ascii="Times New Roman" w:hAnsi="Times New Roman"/>
            <w:noProof/>
          </w:rPr>
          <w:t>Patterns</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_Toc379983658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13</w:t>
        </w:r>
        <w:r w:rsidRPr="00C50191">
          <w:rPr>
            <w:rFonts w:ascii="Times New Roman" w:hAnsi="Times New Roman"/>
            <w:noProof/>
            <w:webHidden/>
          </w:rPr>
          <w:fldChar w:fldCharType="end"/>
        </w:r>
      </w:hyperlink>
    </w:p>
    <w:p w:rsidR="00B617BA" w:rsidRPr="00C50191" w:rsidRDefault="002B0D6B">
      <w:pPr>
        <w:pStyle w:val="TOC2"/>
        <w:tabs>
          <w:tab w:val="left" w:pos="880"/>
          <w:tab w:val="right" w:leader="dot" w:pos="9350"/>
        </w:tabs>
        <w:rPr>
          <w:rFonts w:ascii="Times New Roman" w:eastAsiaTheme="minorEastAsia" w:hAnsi="Times New Roman"/>
          <w:noProof/>
        </w:rPr>
      </w:pPr>
      <w:hyperlink w:anchor="_Toc379983659" w:history="1">
        <w:r w:rsidR="00B617BA" w:rsidRPr="00C50191">
          <w:rPr>
            <w:rStyle w:val="Hyperlink"/>
            <w:rFonts w:ascii="Times New Roman" w:hAnsi="Times New Roman"/>
            <w:noProof/>
          </w:rPr>
          <w:t>6.1</w:t>
        </w:r>
        <w:r w:rsidR="00B617BA" w:rsidRPr="00C50191">
          <w:rPr>
            <w:rFonts w:ascii="Times New Roman" w:eastAsiaTheme="minorEastAsia" w:hAnsi="Times New Roman"/>
            <w:noProof/>
          </w:rPr>
          <w:tab/>
        </w:r>
        <w:r w:rsidR="00B617BA" w:rsidRPr="00C50191">
          <w:rPr>
            <w:rStyle w:val="Hyperlink"/>
            <w:rFonts w:ascii="Times New Roman" w:hAnsi="Times New Roman"/>
            <w:noProof/>
          </w:rPr>
          <w:t>General patterns to extrajudicial executions</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_Toc379983659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13</w:t>
        </w:r>
        <w:r w:rsidRPr="00C50191">
          <w:rPr>
            <w:rFonts w:ascii="Times New Roman" w:hAnsi="Times New Roman"/>
            <w:noProof/>
            <w:webHidden/>
          </w:rPr>
          <w:fldChar w:fldCharType="end"/>
        </w:r>
      </w:hyperlink>
    </w:p>
    <w:p w:rsidR="00B617BA" w:rsidRPr="00C50191" w:rsidRDefault="002B0D6B">
      <w:pPr>
        <w:pStyle w:val="TOC2"/>
        <w:tabs>
          <w:tab w:val="left" w:pos="880"/>
          <w:tab w:val="right" w:leader="dot" w:pos="9350"/>
        </w:tabs>
        <w:rPr>
          <w:rFonts w:ascii="Times New Roman" w:eastAsiaTheme="minorEastAsia" w:hAnsi="Times New Roman"/>
          <w:noProof/>
        </w:rPr>
      </w:pPr>
      <w:hyperlink w:anchor="_Toc379983660" w:history="1">
        <w:r w:rsidR="00B617BA" w:rsidRPr="00C50191">
          <w:rPr>
            <w:rStyle w:val="Hyperlink"/>
            <w:rFonts w:ascii="Times New Roman" w:hAnsi="Times New Roman"/>
            <w:noProof/>
          </w:rPr>
          <w:t>6.2</w:t>
        </w:r>
        <w:r w:rsidR="00B617BA" w:rsidRPr="00C50191">
          <w:rPr>
            <w:rFonts w:ascii="Times New Roman" w:eastAsiaTheme="minorEastAsia" w:hAnsi="Times New Roman"/>
            <w:noProof/>
          </w:rPr>
          <w:tab/>
        </w:r>
        <w:r w:rsidR="00B617BA" w:rsidRPr="00C50191">
          <w:rPr>
            <w:rStyle w:val="Hyperlink"/>
            <w:rFonts w:ascii="Times New Roman" w:hAnsi="Times New Roman"/>
            <w:noProof/>
          </w:rPr>
          <w:t>General patterns to investigations into killings committed by police and security forces.</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_Toc379983660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16</w:t>
        </w:r>
        <w:r w:rsidRPr="00C50191">
          <w:rPr>
            <w:rFonts w:ascii="Times New Roman" w:hAnsi="Times New Roman"/>
            <w:noProof/>
            <w:webHidden/>
          </w:rPr>
          <w:fldChar w:fldCharType="end"/>
        </w:r>
      </w:hyperlink>
    </w:p>
    <w:p w:rsidR="00B617BA" w:rsidRPr="00C50191" w:rsidRDefault="002B0D6B">
      <w:pPr>
        <w:pStyle w:val="TOC2"/>
        <w:tabs>
          <w:tab w:val="left" w:pos="880"/>
          <w:tab w:val="right" w:leader="dot" w:pos="9350"/>
        </w:tabs>
        <w:rPr>
          <w:rFonts w:ascii="Times New Roman" w:eastAsiaTheme="minorEastAsia" w:hAnsi="Times New Roman"/>
          <w:noProof/>
        </w:rPr>
      </w:pPr>
      <w:hyperlink w:anchor="_Toc379983661" w:history="1">
        <w:r w:rsidR="00B617BA" w:rsidRPr="00C50191">
          <w:rPr>
            <w:rStyle w:val="Hyperlink"/>
            <w:rFonts w:ascii="Times New Roman" w:hAnsi="Times New Roman"/>
            <w:noProof/>
          </w:rPr>
          <w:t>6.3</w:t>
        </w:r>
        <w:r w:rsidR="00B617BA" w:rsidRPr="00C50191">
          <w:rPr>
            <w:rFonts w:ascii="Times New Roman" w:eastAsiaTheme="minorEastAsia" w:hAnsi="Times New Roman"/>
            <w:noProof/>
          </w:rPr>
          <w:tab/>
        </w:r>
        <w:r w:rsidR="00B617BA" w:rsidRPr="00C50191">
          <w:rPr>
            <w:rStyle w:val="Hyperlink"/>
            <w:rFonts w:ascii="Times New Roman" w:hAnsi="Times New Roman"/>
            <w:noProof/>
          </w:rPr>
          <w:t>Threats to human rights defenders investigating and families of victims, Access to information for INGO’s and NGO’s</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_Toc379983661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18</w:t>
        </w:r>
        <w:r w:rsidRPr="00C50191">
          <w:rPr>
            <w:rFonts w:ascii="Times New Roman" w:hAnsi="Times New Roman"/>
            <w:noProof/>
            <w:webHidden/>
          </w:rPr>
          <w:fldChar w:fldCharType="end"/>
        </w:r>
      </w:hyperlink>
    </w:p>
    <w:p w:rsidR="00B617BA" w:rsidRPr="00C50191" w:rsidRDefault="002B0D6B">
      <w:pPr>
        <w:pStyle w:val="TOC1"/>
        <w:tabs>
          <w:tab w:val="left" w:pos="440"/>
          <w:tab w:val="right" w:leader="dot" w:pos="9350"/>
        </w:tabs>
        <w:rPr>
          <w:rFonts w:ascii="Times New Roman" w:eastAsiaTheme="minorEastAsia" w:hAnsi="Times New Roman"/>
          <w:noProof/>
        </w:rPr>
      </w:pPr>
      <w:hyperlink w:anchor="_Toc379983662" w:history="1">
        <w:r w:rsidR="00B617BA" w:rsidRPr="00C50191">
          <w:rPr>
            <w:rStyle w:val="Hyperlink"/>
            <w:rFonts w:ascii="Times New Roman" w:hAnsi="Times New Roman"/>
            <w:noProof/>
          </w:rPr>
          <w:t>7</w:t>
        </w:r>
        <w:r w:rsidR="00B617BA" w:rsidRPr="00C50191">
          <w:rPr>
            <w:rFonts w:ascii="Times New Roman" w:eastAsiaTheme="minorEastAsia" w:hAnsi="Times New Roman"/>
            <w:noProof/>
          </w:rPr>
          <w:tab/>
        </w:r>
        <w:r w:rsidR="00B617BA" w:rsidRPr="00C50191">
          <w:rPr>
            <w:rStyle w:val="Hyperlink"/>
            <w:rFonts w:ascii="Times New Roman" w:hAnsi="Times New Roman"/>
            <w:noProof/>
          </w:rPr>
          <w:t>Recommendations</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_Toc379983662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19</w:t>
        </w:r>
        <w:r w:rsidRPr="00C50191">
          <w:rPr>
            <w:rFonts w:ascii="Times New Roman" w:hAnsi="Times New Roman"/>
            <w:noProof/>
            <w:webHidden/>
          </w:rPr>
          <w:fldChar w:fldCharType="end"/>
        </w:r>
      </w:hyperlink>
    </w:p>
    <w:p w:rsidR="00B617BA" w:rsidRDefault="002B0D6B">
      <w:pPr>
        <w:pStyle w:val="TOC1"/>
        <w:tabs>
          <w:tab w:val="left" w:pos="440"/>
          <w:tab w:val="right" w:leader="dot" w:pos="9350"/>
        </w:tabs>
        <w:rPr>
          <w:rFonts w:asciiTheme="minorHAnsi" w:eastAsiaTheme="minorEastAsia" w:hAnsiTheme="minorHAnsi" w:cstheme="minorBidi"/>
          <w:noProof/>
        </w:rPr>
      </w:pPr>
      <w:hyperlink w:anchor="_Toc379983663" w:history="1">
        <w:r w:rsidR="00673C3B" w:rsidRPr="00C50191">
          <w:rPr>
            <w:rStyle w:val="Hyperlink"/>
            <w:rFonts w:ascii="Times New Roman" w:hAnsi="Times New Roman"/>
            <w:noProof/>
          </w:rPr>
          <w:tab/>
        </w:r>
        <w:r w:rsidR="00673C3B" w:rsidRPr="00C50191">
          <w:rPr>
            <w:rFonts w:ascii="Times New Roman" w:eastAsiaTheme="minorEastAsia" w:hAnsi="Times New Roman"/>
            <w:noProof/>
          </w:rPr>
          <w:t xml:space="preserve">Annex -1 </w:t>
        </w:r>
        <w:r w:rsidR="00B617BA" w:rsidRPr="00C50191">
          <w:rPr>
            <w:rStyle w:val="Hyperlink"/>
            <w:rFonts w:ascii="Times New Roman" w:hAnsi="Times New Roman"/>
            <w:noProof/>
          </w:rPr>
          <w:t>:</w:t>
        </w:r>
        <w:r w:rsidR="00B617BA" w:rsidRPr="00C50191">
          <w:rPr>
            <w:rFonts w:ascii="Times New Roman" w:hAnsi="Times New Roman"/>
            <w:noProof/>
            <w:webHidden/>
          </w:rPr>
          <w:tab/>
        </w:r>
        <w:r w:rsidRPr="00C50191">
          <w:rPr>
            <w:rFonts w:ascii="Times New Roman" w:hAnsi="Times New Roman"/>
            <w:noProof/>
            <w:webHidden/>
          </w:rPr>
          <w:fldChar w:fldCharType="begin"/>
        </w:r>
        <w:r w:rsidR="00B617BA" w:rsidRPr="00C50191">
          <w:rPr>
            <w:rFonts w:ascii="Times New Roman" w:hAnsi="Times New Roman"/>
            <w:noProof/>
            <w:webHidden/>
          </w:rPr>
          <w:instrText xml:space="preserve"> PAGEREF _Toc379983663 \h </w:instrText>
        </w:r>
        <w:r w:rsidRPr="00C50191">
          <w:rPr>
            <w:rFonts w:ascii="Times New Roman" w:hAnsi="Times New Roman"/>
            <w:noProof/>
            <w:webHidden/>
          </w:rPr>
        </w:r>
        <w:r w:rsidRPr="00C50191">
          <w:rPr>
            <w:rFonts w:ascii="Times New Roman" w:hAnsi="Times New Roman"/>
            <w:noProof/>
            <w:webHidden/>
          </w:rPr>
          <w:fldChar w:fldCharType="separate"/>
        </w:r>
        <w:r w:rsidR="008169A2">
          <w:rPr>
            <w:rFonts w:ascii="Times New Roman" w:hAnsi="Times New Roman"/>
            <w:noProof/>
            <w:webHidden/>
          </w:rPr>
          <w:t>20</w:t>
        </w:r>
        <w:r w:rsidRPr="00C50191">
          <w:rPr>
            <w:rFonts w:ascii="Times New Roman" w:hAnsi="Times New Roman"/>
            <w:noProof/>
            <w:webHidden/>
          </w:rPr>
          <w:fldChar w:fldCharType="end"/>
        </w:r>
      </w:hyperlink>
      <w:r w:rsidR="00673C3B">
        <w:rPr>
          <w:rStyle w:val="Hyperlink"/>
          <w:noProof/>
        </w:rPr>
        <w:t>-</w:t>
      </w:r>
      <w:r w:rsidR="00673C3B" w:rsidRPr="007307D2">
        <w:rPr>
          <w:rStyle w:val="Hyperlink"/>
          <w:noProof/>
          <w:color w:val="auto"/>
          <w:u w:val="none"/>
        </w:rPr>
        <w:t>50</w:t>
      </w:r>
    </w:p>
    <w:p w:rsidR="00B617BA" w:rsidRDefault="002B0D6B" w:rsidP="00B617BA">
      <w:r>
        <w:rPr>
          <w:rFonts w:ascii="Calibri" w:hAnsi="Calibri"/>
          <w:sz w:val="32"/>
          <w:szCs w:val="32"/>
          <w:lang w:val="en-US" w:eastAsia="en-US"/>
        </w:rPr>
        <w:fldChar w:fldCharType="end"/>
      </w:r>
    </w:p>
    <w:p w:rsidR="00B617BA" w:rsidRDefault="00B617BA" w:rsidP="00B617BA">
      <w:pPr>
        <w:pStyle w:val="Title"/>
        <w:rPr>
          <w:rFonts w:ascii="Times New Roman" w:hAnsi="Times New Roman"/>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Default="00B617BA" w:rsidP="00B617BA">
      <w:pPr>
        <w:widowControl w:val="0"/>
        <w:autoSpaceDE w:val="0"/>
        <w:autoSpaceDN w:val="0"/>
        <w:adjustRightInd w:val="0"/>
        <w:jc w:val="center"/>
        <w:rPr>
          <w:b/>
          <w:sz w:val="28"/>
          <w:szCs w:val="28"/>
        </w:rPr>
      </w:pPr>
    </w:p>
    <w:p w:rsidR="00B617BA" w:rsidRPr="00DB4EB7" w:rsidRDefault="00B617BA" w:rsidP="00B617BA">
      <w:pPr>
        <w:widowControl w:val="0"/>
        <w:autoSpaceDE w:val="0"/>
        <w:autoSpaceDN w:val="0"/>
        <w:adjustRightInd w:val="0"/>
        <w:jc w:val="center"/>
        <w:rPr>
          <w:b/>
          <w:sz w:val="28"/>
          <w:szCs w:val="28"/>
          <w:vertAlign w:val="subscript"/>
        </w:rPr>
      </w:pPr>
    </w:p>
    <w:p w:rsidR="00B617BA" w:rsidRPr="005914AF" w:rsidRDefault="00B617BA" w:rsidP="00B617BA">
      <w:pPr>
        <w:widowControl w:val="0"/>
        <w:autoSpaceDE w:val="0"/>
        <w:autoSpaceDN w:val="0"/>
        <w:adjustRightInd w:val="0"/>
        <w:jc w:val="center"/>
        <w:rPr>
          <w:rFonts w:ascii="Cambria" w:hAnsi="Cambria"/>
          <w:b/>
          <w:sz w:val="28"/>
          <w:szCs w:val="28"/>
        </w:rPr>
      </w:pPr>
      <w:r w:rsidRPr="005914AF">
        <w:rPr>
          <w:rFonts w:ascii="Cambria" w:hAnsi="Cambria"/>
          <w:b/>
          <w:sz w:val="28"/>
          <w:szCs w:val="28"/>
        </w:rPr>
        <w:lastRenderedPageBreak/>
        <w:t>Acknowledgements</w:t>
      </w:r>
    </w:p>
    <w:p w:rsidR="00B617BA" w:rsidRPr="005914AF" w:rsidRDefault="00B617BA" w:rsidP="00B617BA">
      <w:pPr>
        <w:jc w:val="both"/>
        <w:rPr>
          <w:rFonts w:ascii="Cambria" w:hAnsi="Cambria"/>
          <w:sz w:val="28"/>
          <w:szCs w:val="28"/>
        </w:rPr>
      </w:pPr>
    </w:p>
    <w:p w:rsidR="00A25387" w:rsidRPr="00714ECD" w:rsidRDefault="00A25387" w:rsidP="00A25387">
      <w:pPr>
        <w:jc w:val="both"/>
        <w:rPr>
          <w:rFonts w:ascii="Cambria" w:hAnsi="Cambria"/>
          <w:sz w:val="28"/>
          <w:szCs w:val="28"/>
        </w:rPr>
      </w:pPr>
      <w:r w:rsidRPr="00714ECD">
        <w:rPr>
          <w:rFonts w:ascii="Cambria" w:hAnsi="Cambria"/>
          <w:sz w:val="28"/>
          <w:szCs w:val="28"/>
        </w:rPr>
        <w:t xml:space="preserve">This report was written by Susan Carr, based on the field research done by the human rights defenders associated with THRD Alliance, Avinash Sajan Karn, Shailendra Prasad Harijan, Alam Khan, Ananta Chaudhary, Roshandip Dhakal, Anil Jha and Nagendra Karn. The report was reviewed and edited by Ingrid Massage. </w:t>
      </w:r>
    </w:p>
    <w:p w:rsidR="00A25387" w:rsidRPr="00714ECD" w:rsidRDefault="00A25387" w:rsidP="00A25387">
      <w:pPr>
        <w:jc w:val="both"/>
        <w:rPr>
          <w:rFonts w:ascii="Cambria" w:hAnsi="Cambria"/>
          <w:sz w:val="28"/>
          <w:szCs w:val="28"/>
        </w:rPr>
      </w:pPr>
    </w:p>
    <w:p w:rsidR="00A25387" w:rsidRPr="00714ECD" w:rsidRDefault="00A25387" w:rsidP="00A25387">
      <w:pPr>
        <w:jc w:val="both"/>
        <w:rPr>
          <w:rFonts w:ascii="Cambria" w:hAnsi="Cambria"/>
          <w:sz w:val="28"/>
          <w:szCs w:val="28"/>
        </w:rPr>
      </w:pPr>
      <w:r w:rsidRPr="00714ECD">
        <w:rPr>
          <w:rFonts w:ascii="Cambria" w:hAnsi="Cambria"/>
          <w:sz w:val="28"/>
          <w:szCs w:val="28"/>
        </w:rPr>
        <w:t xml:space="preserve">I extend my gratitude to </w:t>
      </w:r>
      <w:r w:rsidR="00914AC7">
        <w:rPr>
          <w:rFonts w:ascii="Cambria" w:hAnsi="Cambria"/>
          <w:sz w:val="28"/>
          <w:szCs w:val="28"/>
        </w:rPr>
        <w:t>Randhir Chaudhary</w:t>
      </w:r>
      <w:r w:rsidRPr="00714ECD">
        <w:rPr>
          <w:rFonts w:ascii="Cambria" w:hAnsi="Cambria"/>
          <w:sz w:val="28"/>
          <w:szCs w:val="28"/>
        </w:rPr>
        <w:t xml:space="preserve"> for translating the report from Nepali to English and English to Nepali. I am also thankful to Frederick Rawski and John Tyynela for their insightful comments and suggestions. Dipendra Das, Raksha Ram Chamar</w:t>
      </w:r>
      <w:r>
        <w:rPr>
          <w:rFonts w:ascii="Cambria" w:hAnsi="Cambria"/>
          <w:sz w:val="28"/>
          <w:szCs w:val="28"/>
        </w:rPr>
        <w:t xml:space="preserve"> (Harijan)</w:t>
      </w:r>
      <w:r w:rsidRPr="00714ECD">
        <w:rPr>
          <w:rFonts w:ascii="Cambria" w:hAnsi="Cambria"/>
          <w:sz w:val="28"/>
          <w:szCs w:val="28"/>
        </w:rPr>
        <w:t>, Balmukund Jha, Manoj Thakur also receive sincere thanks for their hard work to complete the report on time. Finally, thanks to many people who gave their time to provide information for this report and especially to Susan Carr and Ingrid Massage.</w:t>
      </w:r>
    </w:p>
    <w:p w:rsidR="00A25387" w:rsidRPr="00714ECD" w:rsidRDefault="00A25387" w:rsidP="00A25387">
      <w:pPr>
        <w:widowControl w:val="0"/>
        <w:autoSpaceDE w:val="0"/>
        <w:autoSpaceDN w:val="0"/>
        <w:adjustRightInd w:val="0"/>
        <w:jc w:val="both"/>
        <w:rPr>
          <w:rFonts w:ascii="Cambria" w:hAnsi="Cambria"/>
          <w:sz w:val="28"/>
          <w:szCs w:val="28"/>
        </w:rPr>
      </w:pPr>
    </w:p>
    <w:p w:rsidR="00A25387" w:rsidRPr="00714ECD" w:rsidRDefault="00A25387" w:rsidP="00A25387">
      <w:pPr>
        <w:widowControl w:val="0"/>
        <w:autoSpaceDE w:val="0"/>
        <w:autoSpaceDN w:val="0"/>
        <w:adjustRightInd w:val="0"/>
        <w:jc w:val="both"/>
        <w:rPr>
          <w:rFonts w:ascii="Cambria" w:hAnsi="Cambria"/>
          <w:sz w:val="28"/>
          <w:szCs w:val="28"/>
        </w:rPr>
      </w:pPr>
    </w:p>
    <w:p w:rsidR="00A25387" w:rsidRPr="00714ECD" w:rsidRDefault="00A25387" w:rsidP="00A25387">
      <w:pPr>
        <w:widowControl w:val="0"/>
        <w:autoSpaceDE w:val="0"/>
        <w:autoSpaceDN w:val="0"/>
        <w:adjustRightInd w:val="0"/>
        <w:jc w:val="both"/>
        <w:rPr>
          <w:rFonts w:ascii="Cambria" w:hAnsi="Cambria"/>
          <w:sz w:val="28"/>
          <w:szCs w:val="28"/>
        </w:rPr>
      </w:pPr>
      <w:r w:rsidRPr="00714ECD">
        <w:rPr>
          <w:rFonts w:ascii="Cambria" w:hAnsi="Cambria"/>
          <w:sz w:val="28"/>
          <w:szCs w:val="28"/>
        </w:rPr>
        <w:t>Advocate Dipendra Jha</w:t>
      </w:r>
    </w:p>
    <w:p w:rsidR="00A25387" w:rsidRPr="00714ECD" w:rsidRDefault="00A25387" w:rsidP="00A25387">
      <w:pPr>
        <w:widowControl w:val="0"/>
        <w:autoSpaceDE w:val="0"/>
        <w:autoSpaceDN w:val="0"/>
        <w:adjustRightInd w:val="0"/>
        <w:jc w:val="both"/>
        <w:rPr>
          <w:rFonts w:ascii="Cambria" w:hAnsi="Cambria"/>
          <w:sz w:val="28"/>
          <w:szCs w:val="28"/>
        </w:rPr>
      </w:pPr>
      <w:r w:rsidRPr="00714ECD">
        <w:rPr>
          <w:rFonts w:ascii="Cambria" w:hAnsi="Cambria"/>
          <w:sz w:val="28"/>
          <w:szCs w:val="28"/>
        </w:rPr>
        <w:t>Chairperson, THRD Alliance</w:t>
      </w:r>
    </w:p>
    <w:p w:rsidR="00A25387" w:rsidRDefault="00A25387" w:rsidP="00A25387">
      <w:pPr>
        <w:widowControl w:val="0"/>
        <w:autoSpaceDE w:val="0"/>
        <w:autoSpaceDN w:val="0"/>
        <w:adjustRightInd w:val="0"/>
        <w:jc w:val="both"/>
        <w:rPr>
          <w:rFonts w:ascii="Cambria" w:hAnsi="Cambria"/>
          <w:sz w:val="28"/>
          <w:szCs w:val="28"/>
        </w:rPr>
      </w:pPr>
      <w:r w:rsidRPr="00714ECD">
        <w:rPr>
          <w:rFonts w:ascii="Cambria" w:hAnsi="Cambria"/>
          <w:sz w:val="28"/>
          <w:szCs w:val="28"/>
        </w:rPr>
        <w:t>February 12, 2014</w:t>
      </w:r>
    </w:p>
    <w:p w:rsidR="00872B23" w:rsidRDefault="00872B23" w:rsidP="00A25387">
      <w:pPr>
        <w:widowControl w:val="0"/>
        <w:autoSpaceDE w:val="0"/>
        <w:autoSpaceDN w:val="0"/>
        <w:adjustRightInd w:val="0"/>
        <w:jc w:val="both"/>
        <w:rPr>
          <w:rFonts w:ascii="Cambria" w:hAnsi="Cambria"/>
          <w:sz w:val="28"/>
          <w:szCs w:val="28"/>
        </w:rPr>
      </w:pPr>
    </w:p>
    <w:p w:rsidR="00872B23" w:rsidRDefault="00872B23" w:rsidP="00A25387">
      <w:pPr>
        <w:widowControl w:val="0"/>
        <w:autoSpaceDE w:val="0"/>
        <w:autoSpaceDN w:val="0"/>
        <w:adjustRightInd w:val="0"/>
        <w:jc w:val="both"/>
        <w:rPr>
          <w:rFonts w:ascii="Cambria" w:hAnsi="Cambria"/>
          <w:sz w:val="28"/>
          <w:szCs w:val="28"/>
        </w:rPr>
      </w:pPr>
    </w:p>
    <w:p w:rsidR="00872B23" w:rsidRPr="00714ECD" w:rsidRDefault="00872B23" w:rsidP="00A25387">
      <w:pPr>
        <w:widowControl w:val="0"/>
        <w:autoSpaceDE w:val="0"/>
        <w:autoSpaceDN w:val="0"/>
        <w:adjustRightInd w:val="0"/>
        <w:jc w:val="both"/>
        <w:rPr>
          <w:rFonts w:ascii="Cambria" w:hAnsi="Cambria"/>
          <w:sz w:val="28"/>
          <w:szCs w:val="28"/>
        </w:rPr>
      </w:pPr>
    </w:p>
    <w:p w:rsidR="00872B23" w:rsidRDefault="00872B23" w:rsidP="00B617BA">
      <w:pPr>
        <w:widowControl w:val="0"/>
        <w:autoSpaceDE w:val="0"/>
        <w:autoSpaceDN w:val="0"/>
        <w:adjustRightInd w:val="0"/>
        <w:jc w:val="both"/>
      </w:pPr>
    </w:p>
    <w:p w:rsidR="00872B23" w:rsidRDefault="00872B23" w:rsidP="00B617BA">
      <w:pPr>
        <w:widowControl w:val="0"/>
        <w:autoSpaceDE w:val="0"/>
        <w:autoSpaceDN w:val="0"/>
        <w:adjustRightInd w:val="0"/>
        <w:jc w:val="both"/>
      </w:pPr>
    </w:p>
    <w:p w:rsidR="00872B23" w:rsidRDefault="00872B23" w:rsidP="00B617BA">
      <w:pPr>
        <w:widowControl w:val="0"/>
        <w:autoSpaceDE w:val="0"/>
        <w:autoSpaceDN w:val="0"/>
        <w:adjustRightInd w:val="0"/>
        <w:jc w:val="both"/>
      </w:pPr>
    </w:p>
    <w:p w:rsidR="00872B23" w:rsidRDefault="00872B23" w:rsidP="00B617BA">
      <w:pPr>
        <w:widowControl w:val="0"/>
        <w:autoSpaceDE w:val="0"/>
        <w:autoSpaceDN w:val="0"/>
        <w:adjustRightInd w:val="0"/>
        <w:jc w:val="both"/>
      </w:pPr>
    </w:p>
    <w:p w:rsidR="00872B23" w:rsidRDefault="00872B23" w:rsidP="00B617BA">
      <w:pPr>
        <w:widowControl w:val="0"/>
        <w:autoSpaceDE w:val="0"/>
        <w:autoSpaceDN w:val="0"/>
        <w:adjustRightInd w:val="0"/>
        <w:jc w:val="both"/>
      </w:pPr>
    </w:p>
    <w:p w:rsidR="00872B23" w:rsidRDefault="00872B23" w:rsidP="00B617BA">
      <w:pPr>
        <w:widowControl w:val="0"/>
        <w:autoSpaceDE w:val="0"/>
        <w:autoSpaceDN w:val="0"/>
        <w:adjustRightInd w:val="0"/>
        <w:jc w:val="both"/>
      </w:pPr>
    </w:p>
    <w:p w:rsidR="00872B23" w:rsidRDefault="00872B23" w:rsidP="00B617BA">
      <w:pPr>
        <w:widowControl w:val="0"/>
        <w:autoSpaceDE w:val="0"/>
        <w:autoSpaceDN w:val="0"/>
        <w:adjustRightInd w:val="0"/>
        <w:jc w:val="both"/>
      </w:pPr>
    </w:p>
    <w:p w:rsidR="00872B23" w:rsidRDefault="00872B23" w:rsidP="00B617BA">
      <w:pPr>
        <w:widowControl w:val="0"/>
        <w:autoSpaceDE w:val="0"/>
        <w:autoSpaceDN w:val="0"/>
        <w:adjustRightInd w:val="0"/>
        <w:jc w:val="both"/>
      </w:pPr>
    </w:p>
    <w:p w:rsidR="00872B23" w:rsidRDefault="00872B23" w:rsidP="00B617BA">
      <w:pPr>
        <w:widowControl w:val="0"/>
        <w:autoSpaceDE w:val="0"/>
        <w:autoSpaceDN w:val="0"/>
        <w:adjustRightInd w:val="0"/>
        <w:jc w:val="both"/>
      </w:pPr>
    </w:p>
    <w:p w:rsidR="00B617BA" w:rsidRPr="005914AF" w:rsidRDefault="00872B23" w:rsidP="00B617BA">
      <w:pPr>
        <w:widowControl w:val="0"/>
        <w:autoSpaceDE w:val="0"/>
        <w:autoSpaceDN w:val="0"/>
        <w:adjustRightInd w:val="0"/>
        <w:jc w:val="both"/>
        <w:rPr>
          <w:rFonts w:ascii="Cambria" w:hAnsi="Cambria"/>
          <w:sz w:val="28"/>
          <w:szCs w:val="28"/>
        </w:rPr>
      </w:pPr>
      <w:r w:rsidRPr="00872B23">
        <w:rPr>
          <w:i/>
        </w:rPr>
        <w:t xml:space="preserve">Note: (The issue of </w:t>
      </w:r>
      <w:r w:rsidR="007307D2">
        <w:rPr>
          <w:i/>
        </w:rPr>
        <w:t xml:space="preserve">Continuing </w:t>
      </w:r>
      <w:r w:rsidRPr="00872B23">
        <w:rPr>
          <w:i/>
        </w:rPr>
        <w:t xml:space="preserve">Extra-judicial killings in the Terai, a broader report covering general aspects of concern </w:t>
      </w:r>
      <w:r w:rsidR="007307D2">
        <w:rPr>
          <w:i/>
        </w:rPr>
        <w:t>has</w:t>
      </w:r>
      <w:r w:rsidRPr="00872B23">
        <w:rPr>
          <w:i/>
        </w:rPr>
        <w:t xml:space="preserve"> also be</w:t>
      </w:r>
      <w:r w:rsidR="007307D2">
        <w:rPr>
          <w:i/>
        </w:rPr>
        <w:t>en</w:t>
      </w:r>
      <w:r w:rsidRPr="00872B23">
        <w:rPr>
          <w:i/>
        </w:rPr>
        <w:t xml:space="preserve"> submitted to the </w:t>
      </w:r>
      <w:r>
        <w:rPr>
          <w:i/>
        </w:rPr>
        <w:t xml:space="preserve">Human Rights </w:t>
      </w:r>
      <w:r w:rsidRPr="00872B23">
        <w:rPr>
          <w:i/>
        </w:rPr>
        <w:t>Committee jointly by TRIAL, THRD Alliance and our other partner-organizations)</w:t>
      </w:r>
      <w:r>
        <w:t>.</w:t>
      </w:r>
    </w:p>
    <w:p w:rsidR="00B617BA" w:rsidRPr="005914AF" w:rsidRDefault="00B617BA" w:rsidP="00B617BA">
      <w:pPr>
        <w:widowControl w:val="0"/>
        <w:autoSpaceDE w:val="0"/>
        <w:autoSpaceDN w:val="0"/>
        <w:adjustRightInd w:val="0"/>
        <w:jc w:val="both"/>
        <w:rPr>
          <w:rFonts w:ascii="Cambria" w:hAnsi="Cambria"/>
          <w:sz w:val="28"/>
          <w:szCs w:val="28"/>
        </w:rPr>
      </w:pPr>
    </w:p>
    <w:p w:rsidR="00833503" w:rsidRDefault="00833503" w:rsidP="00B617BA">
      <w:pPr>
        <w:spacing w:before="100" w:beforeAutospacing="1" w:after="100" w:afterAutospacing="1"/>
        <w:rPr>
          <w:sz w:val="28"/>
          <w:szCs w:val="28"/>
        </w:rPr>
        <w:sectPr w:rsidR="00833503" w:rsidSect="00833503">
          <w:footerReference w:type="even" r:id="rId11"/>
          <w:footerReference w:type="default" r:id="rId12"/>
          <w:pgSz w:w="12240" w:h="15840" w:code="1"/>
          <w:pgMar w:top="1440" w:right="1440" w:bottom="1440" w:left="1440" w:header="720" w:footer="720" w:gutter="0"/>
          <w:pgNumType w:fmt="lowerRoman"/>
          <w:cols w:space="720"/>
          <w:titlePg/>
          <w:docGrid w:linePitch="326"/>
        </w:sectPr>
      </w:pPr>
    </w:p>
    <w:p w:rsidR="008C4466" w:rsidRPr="00631F09" w:rsidRDefault="008C4466" w:rsidP="00833503">
      <w:pPr>
        <w:pStyle w:val="Heading1"/>
        <w:tabs>
          <w:tab w:val="left" w:pos="2430"/>
        </w:tabs>
        <w:spacing w:before="100" w:beforeAutospacing="1" w:after="100" w:afterAutospacing="1" w:line="240" w:lineRule="auto"/>
        <w:rPr>
          <w:rFonts w:ascii="Times New Roman" w:hAnsi="Times New Roman"/>
          <w:sz w:val="28"/>
          <w:szCs w:val="28"/>
        </w:rPr>
      </w:pPr>
      <w:bookmarkStart w:id="1" w:name="_Toc379983646"/>
      <w:r w:rsidRPr="00631F09">
        <w:rPr>
          <w:rFonts w:ascii="Times New Roman" w:hAnsi="Times New Roman"/>
          <w:sz w:val="28"/>
          <w:szCs w:val="28"/>
        </w:rPr>
        <w:lastRenderedPageBreak/>
        <w:t>Introduction</w:t>
      </w:r>
      <w:bookmarkEnd w:id="0"/>
      <w:bookmarkEnd w:id="1"/>
    </w:p>
    <w:p w:rsidR="008C4466" w:rsidRDefault="008C4466" w:rsidP="008C4466">
      <w:pPr>
        <w:spacing w:before="100" w:beforeAutospacing="1" w:after="100" w:afterAutospacing="1"/>
        <w:jc w:val="both"/>
        <w:rPr>
          <w:sz w:val="28"/>
          <w:szCs w:val="28"/>
        </w:rPr>
      </w:pPr>
      <w:r>
        <w:rPr>
          <w:sz w:val="28"/>
          <w:szCs w:val="28"/>
        </w:rPr>
        <w:t xml:space="preserve">This report documents </w:t>
      </w:r>
      <w:r w:rsidR="00D43136">
        <w:rPr>
          <w:sz w:val="28"/>
          <w:szCs w:val="28"/>
        </w:rPr>
        <w:t>12</w:t>
      </w:r>
      <w:r>
        <w:rPr>
          <w:sz w:val="28"/>
          <w:szCs w:val="28"/>
        </w:rPr>
        <w:t xml:space="preserve"> cases of alleged extrajudicial executions investigated by the Terai Human Rights Defenders Alliance (THRD Alliance) between January 2011 and August 2013.  It describes a pattern of killings similar to that found by the Office of the High Commissioner of Human Rights (OHCHR) in its July 2010 report, for which it investigated 57 alleged extra-judicial killings between January 2008 and July 2010.</w:t>
      </w:r>
      <w:r>
        <w:rPr>
          <w:rStyle w:val="FootnoteReference"/>
          <w:sz w:val="28"/>
          <w:szCs w:val="28"/>
        </w:rPr>
        <w:footnoteReference w:id="2"/>
      </w:r>
      <w:r>
        <w:rPr>
          <w:sz w:val="28"/>
          <w:szCs w:val="28"/>
        </w:rPr>
        <w:t xml:space="preserve">  This report offers further evidence that the Nepali Police and Armed Police Force utilize extra-judicial killings of Madhesi youth as part of their policing strategy in the Terai.</w:t>
      </w:r>
    </w:p>
    <w:p w:rsidR="008C4466" w:rsidRDefault="008C4466" w:rsidP="008C4466">
      <w:pPr>
        <w:spacing w:before="100" w:beforeAutospacing="1" w:after="100" w:afterAutospacing="1"/>
        <w:jc w:val="both"/>
        <w:rPr>
          <w:sz w:val="28"/>
          <w:szCs w:val="28"/>
        </w:rPr>
      </w:pPr>
      <w:r>
        <w:rPr>
          <w:sz w:val="28"/>
          <w:szCs w:val="28"/>
        </w:rPr>
        <w:t>The Government of Nepal has yet to take any meaningful measures to respond to the concerns and recommendations of the OHCHR’s July 2010 report, and the persistent advocacy of non-governmental organizations and citizens in Nepal.  Instead, it has denied the veracity of the OHCHR report without responding to its substantive concerns.</w:t>
      </w:r>
      <w:r>
        <w:rPr>
          <w:rStyle w:val="FootnoteReference"/>
          <w:sz w:val="28"/>
          <w:szCs w:val="28"/>
        </w:rPr>
        <w:footnoteReference w:id="3"/>
      </w:r>
      <w:r>
        <w:rPr>
          <w:sz w:val="28"/>
          <w:szCs w:val="28"/>
        </w:rPr>
        <w:t xml:space="preserve">  </w:t>
      </w:r>
    </w:p>
    <w:p w:rsidR="008C4466" w:rsidRDefault="008C4466" w:rsidP="008C4466">
      <w:pPr>
        <w:spacing w:before="100" w:beforeAutospacing="1" w:after="100" w:afterAutospacing="1"/>
        <w:jc w:val="both"/>
        <w:rPr>
          <w:sz w:val="28"/>
          <w:szCs w:val="28"/>
        </w:rPr>
      </w:pPr>
      <w:r>
        <w:rPr>
          <w:sz w:val="28"/>
          <w:szCs w:val="28"/>
        </w:rPr>
        <w:t>The conclusions of this report reinforce those of the OHCHR and Nepali non-government organizations,</w:t>
      </w:r>
      <w:r>
        <w:rPr>
          <w:rStyle w:val="FootnoteReference"/>
          <w:sz w:val="28"/>
          <w:szCs w:val="28"/>
        </w:rPr>
        <w:footnoteReference w:id="4"/>
      </w:r>
      <w:r>
        <w:rPr>
          <w:sz w:val="28"/>
          <w:szCs w:val="28"/>
        </w:rPr>
        <w:t xml:space="preserve"> that: </w:t>
      </w:r>
    </w:p>
    <w:p w:rsidR="008C4466" w:rsidRPr="000D3308" w:rsidRDefault="008C4466" w:rsidP="008C4466">
      <w:pPr>
        <w:numPr>
          <w:ilvl w:val="0"/>
          <w:numId w:val="3"/>
        </w:numPr>
        <w:spacing w:before="120" w:after="120"/>
        <w:jc w:val="both"/>
        <w:rPr>
          <w:sz w:val="28"/>
          <w:szCs w:val="28"/>
        </w:rPr>
      </w:pPr>
      <w:r>
        <w:rPr>
          <w:sz w:val="28"/>
          <w:szCs w:val="28"/>
        </w:rPr>
        <w:t>The Nepal Police, at times with the assistance of the Armed Police Force, continue to use unlawful lethal force when apprehending suspects;</w:t>
      </w:r>
    </w:p>
    <w:p w:rsidR="008C4466" w:rsidRPr="000D3308" w:rsidRDefault="008C4466" w:rsidP="008C4466">
      <w:pPr>
        <w:numPr>
          <w:ilvl w:val="0"/>
          <w:numId w:val="3"/>
        </w:numPr>
        <w:spacing w:before="120" w:after="120"/>
        <w:jc w:val="both"/>
        <w:rPr>
          <w:sz w:val="28"/>
          <w:szCs w:val="28"/>
        </w:rPr>
      </w:pPr>
      <w:r>
        <w:rPr>
          <w:sz w:val="28"/>
          <w:szCs w:val="28"/>
        </w:rPr>
        <w:t>The police justify these killings by claiming, usually without any evidence, that individuals were killed during incidents of “crossfire”;</w:t>
      </w:r>
    </w:p>
    <w:p w:rsidR="008C4466" w:rsidRDefault="008C4466" w:rsidP="008C4466">
      <w:pPr>
        <w:numPr>
          <w:ilvl w:val="0"/>
          <w:numId w:val="3"/>
        </w:numPr>
        <w:spacing w:before="120" w:after="120"/>
        <w:jc w:val="both"/>
        <w:rPr>
          <w:sz w:val="28"/>
          <w:szCs w:val="28"/>
        </w:rPr>
      </w:pPr>
      <w:r>
        <w:rPr>
          <w:sz w:val="28"/>
          <w:szCs w:val="28"/>
        </w:rPr>
        <w:t>The majority of victims of unlawful killings by the police are young Madhesi men, a fact consistent with historical patterns of discrimination;</w:t>
      </w:r>
    </w:p>
    <w:p w:rsidR="008C4466" w:rsidRDefault="008C4466" w:rsidP="008C4466">
      <w:pPr>
        <w:numPr>
          <w:ilvl w:val="0"/>
          <w:numId w:val="3"/>
        </w:numPr>
        <w:spacing w:before="120" w:after="120"/>
        <w:jc w:val="both"/>
        <w:rPr>
          <w:sz w:val="28"/>
          <w:szCs w:val="28"/>
        </w:rPr>
      </w:pPr>
      <w:r>
        <w:rPr>
          <w:sz w:val="28"/>
          <w:szCs w:val="28"/>
        </w:rPr>
        <w:t>The use of lethal force is rarely investigated by the authorities, even when there is clear evidence that the killing was unlawful;</w:t>
      </w:r>
    </w:p>
    <w:p w:rsidR="008C4466" w:rsidRDefault="008C4466" w:rsidP="008C4466">
      <w:pPr>
        <w:numPr>
          <w:ilvl w:val="0"/>
          <w:numId w:val="3"/>
        </w:numPr>
        <w:spacing w:before="120" w:after="120"/>
        <w:jc w:val="both"/>
        <w:rPr>
          <w:sz w:val="28"/>
          <w:szCs w:val="28"/>
        </w:rPr>
      </w:pPr>
      <w:r>
        <w:rPr>
          <w:sz w:val="28"/>
          <w:szCs w:val="28"/>
        </w:rPr>
        <w:t>Investigations, when they do occur, are inadequate or subject to falsification;</w:t>
      </w:r>
    </w:p>
    <w:p w:rsidR="008C4466" w:rsidRPr="005B11C4" w:rsidRDefault="008C4466" w:rsidP="008C4466">
      <w:pPr>
        <w:numPr>
          <w:ilvl w:val="0"/>
          <w:numId w:val="3"/>
        </w:numPr>
        <w:spacing w:before="120" w:after="120"/>
        <w:jc w:val="both"/>
        <w:rPr>
          <w:sz w:val="28"/>
          <w:szCs w:val="28"/>
        </w:rPr>
      </w:pPr>
      <w:r w:rsidRPr="005B11C4">
        <w:rPr>
          <w:sz w:val="28"/>
          <w:szCs w:val="28"/>
        </w:rPr>
        <w:lastRenderedPageBreak/>
        <w:t>Human rights defenders, lawyer</w:t>
      </w:r>
      <w:r w:rsidR="00BB4204">
        <w:rPr>
          <w:sz w:val="28"/>
          <w:szCs w:val="28"/>
        </w:rPr>
        <w:t>s</w:t>
      </w:r>
      <w:r w:rsidRPr="005B11C4">
        <w:rPr>
          <w:sz w:val="28"/>
          <w:szCs w:val="28"/>
        </w:rPr>
        <w:t xml:space="preserve"> and journalists investigating this unlawful activity are subject to threats and intimidation; and</w:t>
      </w:r>
    </w:p>
    <w:p w:rsidR="008C4466" w:rsidRDefault="008C4466" w:rsidP="008C4466">
      <w:pPr>
        <w:numPr>
          <w:ilvl w:val="0"/>
          <w:numId w:val="3"/>
        </w:numPr>
        <w:jc w:val="both"/>
        <w:rPr>
          <w:sz w:val="28"/>
          <w:szCs w:val="28"/>
        </w:rPr>
      </w:pPr>
      <w:r>
        <w:rPr>
          <w:sz w:val="28"/>
          <w:szCs w:val="28"/>
        </w:rPr>
        <w:t>The current legal and policy framework provides inadequate accountability for unlawful activity, and in fact, encourages it.</w:t>
      </w:r>
    </w:p>
    <w:p w:rsidR="008C4466" w:rsidRPr="001C57F2" w:rsidRDefault="008C4466" w:rsidP="008C4466">
      <w:pPr>
        <w:spacing w:before="100" w:beforeAutospacing="1" w:after="100" w:afterAutospacing="1"/>
        <w:jc w:val="both"/>
        <w:rPr>
          <w:sz w:val="28"/>
          <w:szCs w:val="28"/>
          <w:lang w:val="en-US"/>
        </w:rPr>
      </w:pPr>
      <w:r>
        <w:rPr>
          <w:sz w:val="28"/>
          <w:szCs w:val="28"/>
        </w:rPr>
        <w:t xml:space="preserve">The Government of Nepal needs to be held to its commitments, including those made during Nepal’s Universal Periodic Review when it </w:t>
      </w:r>
      <w:r w:rsidRPr="00631F09">
        <w:rPr>
          <w:sz w:val="28"/>
          <w:szCs w:val="28"/>
        </w:rPr>
        <w:t>accepted states</w:t>
      </w:r>
      <w:r w:rsidRPr="00631F09">
        <w:rPr>
          <w:rFonts w:hint="eastAsia"/>
          <w:sz w:val="28"/>
          <w:szCs w:val="28"/>
        </w:rPr>
        <w:t>’</w:t>
      </w:r>
      <w:r w:rsidRPr="00631F09">
        <w:rPr>
          <w:sz w:val="28"/>
          <w:szCs w:val="28"/>
        </w:rPr>
        <w:t xml:space="preserve"> recommendations</w:t>
      </w:r>
      <w:r>
        <w:rPr>
          <w:sz w:val="28"/>
          <w:szCs w:val="28"/>
        </w:rPr>
        <w:t xml:space="preserve"> </w:t>
      </w:r>
      <w:r w:rsidRPr="00631F09">
        <w:rPr>
          <w:rFonts w:hint="eastAsia"/>
          <w:sz w:val="28"/>
          <w:szCs w:val="28"/>
        </w:rPr>
        <w:t>“</w:t>
      </w:r>
      <w:r w:rsidRPr="00631F09">
        <w:rPr>
          <w:sz w:val="28"/>
          <w:szCs w:val="28"/>
        </w:rPr>
        <w:t>to tackle impunity by investigating and prosecuting human rights abuses committed by state and non-state actors during and since the conflict</w:t>
      </w:r>
      <w:r w:rsidRPr="00631F09">
        <w:rPr>
          <w:rFonts w:hint="eastAsia"/>
          <w:sz w:val="28"/>
          <w:szCs w:val="28"/>
        </w:rPr>
        <w:t>”</w:t>
      </w:r>
      <w:r>
        <w:rPr>
          <w:sz w:val="28"/>
          <w:szCs w:val="28"/>
          <w:lang w:val="en-US"/>
        </w:rPr>
        <w:t xml:space="preserve"> and “review legislations, </w:t>
      </w:r>
      <w:r w:rsidRPr="001C57F2">
        <w:rPr>
          <w:bCs/>
          <w:sz w:val="28"/>
          <w:szCs w:val="28"/>
          <w:lang w:val="en-US"/>
        </w:rPr>
        <w:t xml:space="preserve">and amend </w:t>
      </w:r>
      <w:r>
        <w:rPr>
          <w:bCs/>
          <w:sz w:val="28"/>
          <w:szCs w:val="28"/>
          <w:lang w:val="en-US"/>
        </w:rPr>
        <w:t>them</w:t>
      </w:r>
      <w:r w:rsidRPr="001C57F2">
        <w:rPr>
          <w:bCs/>
          <w:sz w:val="28"/>
          <w:szCs w:val="28"/>
          <w:lang w:val="en-US"/>
        </w:rPr>
        <w:t xml:space="preserve"> where necessary, to remove provisions which allow Government and military personnel to act with impunity</w:t>
      </w:r>
      <w:r>
        <w:rPr>
          <w:sz w:val="28"/>
          <w:szCs w:val="28"/>
          <w:lang w:val="en-US"/>
        </w:rPr>
        <w:t>”.</w:t>
      </w:r>
      <w:r w:rsidRPr="00631F09">
        <w:rPr>
          <w:rStyle w:val="FootnoteReference"/>
          <w:sz w:val="28"/>
          <w:szCs w:val="28"/>
        </w:rPr>
        <w:footnoteReference w:id="5"/>
      </w:r>
      <w:r>
        <w:rPr>
          <w:sz w:val="28"/>
          <w:szCs w:val="28"/>
        </w:rPr>
        <w:t xml:space="preserve">  </w:t>
      </w:r>
    </w:p>
    <w:p w:rsidR="008C4466" w:rsidRDefault="008C4466" w:rsidP="008C4466">
      <w:pPr>
        <w:spacing w:before="100" w:beforeAutospacing="1" w:after="100" w:afterAutospacing="1"/>
        <w:jc w:val="both"/>
        <w:rPr>
          <w:sz w:val="28"/>
          <w:szCs w:val="28"/>
        </w:rPr>
      </w:pPr>
      <w:r>
        <w:rPr>
          <w:sz w:val="28"/>
          <w:szCs w:val="28"/>
        </w:rPr>
        <w:t>The p</w:t>
      </w:r>
      <w:r w:rsidRPr="00631F09">
        <w:rPr>
          <w:sz w:val="28"/>
          <w:szCs w:val="28"/>
        </w:rPr>
        <w:t xml:space="preserve">ersistent impunity </w:t>
      </w:r>
      <w:r>
        <w:rPr>
          <w:sz w:val="28"/>
          <w:szCs w:val="28"/>
        </w:rPr>
        <w:t xml:space="preserve">for police violence in the Terai </w:t>
      </w:r>
      <w:r w:rsidRPr="00AD5624">
        <w:rPr>
          <w:sz w:val="28"/>
          <w:szCs w:val="28"/>
        </w:rPr>
        <w:t>has had</w:t>
      </w:r>
      <w:r w:rsidRPr="00631F09">
        <w:rPr>
          <w:sz w:val="28"/>
          <w:szCs w:val="28"/>
        </w:rPr>
        <w:t xml:space="preserve"> a corrosive effect on </w:t>
      </w:r>
      <w:r w:rsidR="00BB4204">
        <w:rPr>
          <w:sz w:val="28"/>
          <w:szCs w:val="28"/>
        </w:rPr>
        <w:t xml:space="preserve">the </w:t>
      </w:r>
      <w:r w:rsidRPr="00631F09">
        <w:rPr>
          <w:sz w:val="28"/>
          <w:szCs w:val="28"/>
        </w:rPr>
        <w:t xml:space="preserve">rule of law institutions and has contributed to </w:t>
      </w:r>
      <w:r>
        <w:rPr>
          <w:sz w:val="28"/>
          <w:szCs w:val="28"/>
        </w:rPr>
        <w:t xml:space="preserve">a </w:t>
      </w:r>
      <w:r w:rsidRPr="00631F09">
        <w:rPr>
          <w:sz w:val="28"/>
          <w:szCs w:val="28"/>
        </w:rPr>
        <w:t xml:space="preserve">widespread </w:t>
      </w:r>
      <w:r>
        <w:rPr>
          <w:sz w:val="28"/>
          <w:szCs w:val="28"/>
        </w:rPr>
        <w:t>loss of faith in public institutions, above all in the Nepal Police.  This effect is especially acute in the Terai, where the population has historically been subjected to state-sponsored violence and discriminatory policies.</w:t>
      </w:r>
    </w:p>
    <w:p w:rsidR="008C4466" w:rsidRPr="00631F09" w:rsidRDefault="008C4466" w:rsidP="008C4466">
      <w:pPr>
        <w:spacing w:before="100" w:beforeAutospacing="1" w:after="100" w:afterAutospacing="1"/>
        <w:jc w:val="both"/>
        <w:rPr>
          <w:sz w:val="28"/>
          <w:szCs w:val="28"/>
        </w:rPr>
      </w:pPr>
      <w:r>
        <w:rPr>
          <w:sz w:val="28"/>
          <w:szCs w:val="28"/>
        </w:rPr>
        <w:t>This report aims to document the continued abuse of power taking place in the Terai, filling a gap left by the departure of the OHCHR from Nepal. The recommendations to this report call upon the government of Nepal to uphold the rule of law, provide meaningful accountability for serious human rights violations in the Terai, and make good on its promises to the people of Nepal, and the international community during the Universal Periodic Review process.</w:t>
      </w:r>
    </w:p>
    <w:p w:rsidR="008C4466" w:rsidRDefault="008C4466" w:rsidP="008C4466">
      <w:pPr>
        <w:pStyle w:val="Heading1"/>
        <w:spacing w:before="100" w:beforeAutospacing="1" w:after="100" w:afterAutospacing="1" w:line="240" w:lineRule="auto"/>
      </w:pPr>
      <w:bookmarkStart w:id="2" w:name="_Toc379980834"/>
      <w:bookmarkStart w:id="3" w:name="_Toc379983647"/>
      <w:r w:rsidRPr="00667143">
        <w:rPr>
          <w:rFonts w:ascii="Times New Roman" w:hAnsi="Times New Roman"/>
          <w:sz w:val="28"/>
          <w:szCs w:val="28"/>
        </w:rPr>
        <w:t>Methodology</w:t>
      </w:r>
      <w:bookmarkEnd w:id="2"/>
      <w:bookmarkEnd w:id="3"/>
    </w:p>
    <w:p w:rsidR="008C4466" w:rsidRDefault="008C4466" w:rsidP="008C4466">
      <w:pPr>
        <w:pStyle w:val="NormalWeb"/>
        <w:ind w:left="43"/>
        <w:jc w:val="both"/>
        <w:rPr>
          <w:sz w:val="28"/>
          <w:szCs w:val="28"/>
        </w:rPr>
      </w:pPr>
      <w:r w:rsidRPr="00631F09">
        <w:rPr>
          <w:color w:val="000000"/>
          <w:sz w:val="28"/>
          <w:szCs w:val="28"/>
        </w:rPr>
        <w:t>The Terai Human Rights Defenders Alliance (THRD Alliance) began as an informal human rights group in the Terai in 2006. In 2011, the THRD Alliance was officially registered as a</w:t>
      </w:r>
      <w:r>
        <w:rPr>
          <w:color w:val="000000"/>
          <w:sz w:val="28"/>
          <w:szCs w:val="28"/>
        </w:rPr>
        <w:t>n independent</w:t>
      </w:r>
      <w:r w:rsidRPr="00631F09">
        <w:rPr>
          <w:color w:val="000000"/>
          <w:sz w:val="28"/>
          <w:szCs w:val="28"/>
        </w:rPr>
        <w:t xml:space="preserve"> non-governmental organization in Mahotari. The main objectives of the THRD Alliance are to strengthen the voice of </w:t>
      </w:r>
      <w:r>
        <w:rPr>
          <w:color w:val="000000"/>
          <w:sz w:val="28"/>
          <w:szCs w:val="28"/>
        </w:rPr>
        <w:t xml:space="preserve">the </w:t>
      </w:r>
      <w:r w:rsidRPr="00631F09">
        <w:rPr>
          <w:color w:val="000000"/>
          <w:sz w:val="28"/>
          <w:szCs w:val="28"/>
        </w:rPr>
        <w:t>Madhes (Terai region) and to promote equity and justice by addressing the issues faced by the people of Terai (“Madhesi” people).</w:t>
      </w:r>
      <w:r w:rsidRPr="00631F09">
        <w:rPr>
          <w:rStyle w:val="FootnoteReference"/>
          <w:color w:val="000000"/>
          <w:sz w:val="28"/>
          <w:szCs w:val="28"/>
        </w:rPr>
        <w:footnoteReference w:id="6"/>
      </w:r>
      <w:r>
        <w:rPr>
          <w:color w:val="000000"/>
          <w:sz w:val="28"/>
          <w:szCs w:val="28"/>
        </w:rPr>
        <w:t xml:space="preserve"> THRD Alliance has filed several cases of human rights violations in the domestic courts and championed the cause of human rights before international forums. Some of the key past achievements of THRD Alliance are filing public interest litigation at the Supreme Court on extrajudicial killings of Madhesi youths, citizenship cases to address </w:t>
      </w:r>
      <w:r>
        <w:rPr>
          <w:color w:val="000000"/>
          <w:sz w:val="28"/>
          <w:szCs w:val="28"/>
        </w:rPr>
        <w:lastRenderedPageBreak/>
        <w:t xml:space="preserve">problem of statelessness, non-recruitment of Madhesis into the Nepal Army, Nepal Police and government services. </w:t>
      </w:r>
    </w:p>
    <w:p w:rsidR="008C4466" w:rsidRDefault="008C4466" w:rsidP="008C4466">
      <w:pPr>
        <w:pStyle w:val="NormalWeb"/>
        <w:ind w:left="43"/>
        <w:jc w:val="both"/>
        <w:rPr>
          <w:sz w:val="28"/>
          <w:szCs w:val="28"/>
        </w:rPr>
      </w:pPr>
      <w:r w:rsidRPr="00631F09">
        <w:rPr>
          <w:sz w:val="28"/>
          <w:szCs w:val="28"/>
        </w:rPr>
        <w:t xml:space="preserve">THRD </w:t>
      </w:r>
      <w:r>
        <w:rPr>
          <w:sz w:val="28"/>
          <w:szCs w:val="28"/>
        </w:rPr>
        <w:t>A</w:t>
      </w:r>
      <w:r w:rsidRPr="00631F09">
        <w:rPr>
          <w:sz w:val="28"/>
          <w:szCs w:val="28"/>
        </w:rPr>
        <w:t>lliance works in 1</w:t>
      </w:r>
      <w:r>
        <w:rPr>
          <w:sz w:val="28"/>
          <w:szCs w:val="28"/>
        </w:rPr>
        <w:t>7</w:t>
      </w:r>
      <w:r w:rsidRPr="00631F09">
        <w:rPr>
          <w:sz w:val="28"/>
          <w:szCs w:val="28"/>
        </w:rPr>
        <w:t xml:space="preserve"> districts </w:t>
      </w:r>
      <w:r>
        <w:rPr>
          <w:sz w:val="28"/>
          <w:szCs w:val="28"/>
        </w:rPr>
        <w:t>of</w:t>
      </w:r>
      <w:r w:rsidRPr="00631F09">
        <w:rPr>
          <w:sz w:val="28"/>
          <w:szCs w:val="28"/>
        </w:rPr>
        <w:t xml:space="preserve"> the Terai:  Morang, Sunsari, Saptari, Siraha, Dhanusha, Mahotari, Sarlahi, </w:t>
      </w:r>
      <w:r>
        <w:rPr>
          <w:sz w:val="28"/>
          <w:szCs w:val="28"/>
        </w:rPr>
        <w:t>Rautah</w:t>
      </w:r>
      <w:r w:rsidRPr="00631F09">
        <w:rPr>
          <w:sz w:val="28"/>
          <w:szCs w:val="28"/>
        </w:rPr>
        <w:t>at, Bara, Parsa, Kapilvastu, Na</w:t>
      </w:r>
      <w:r>
        <w:rPr>
          <w:sz w:val="28"/>
          <w:szCs w:val="28"/>
        </w:rPr>
        <w:t>w</w:t>
      </w:r>
      <w:r w:rsidRPr="00631F09">
        <w:rPr>
          <w:sz w:val="28"/>
          <w:szCs w:val="28"/>
        </w:rPr>
        <w:t xml:space="preserve">alparasi, Rupandehi, Banke, </w:t>
      </w:r>
      <w:r>
        <w:rPr>
          <w:sz w:val="28"/>
          <w:szCs w:val="28"/>
        </w:rPr>
        <w:t xml:space="preserve">Dang, </w:t>
      </w:r>
      <w:r w:rsidRPr="00631F09">
        <w:rPr>
          <w:sz w:val="28"/>
          <w:szCs w:val="28"/>
        </w:rPr>
        <w:t>Kailali</w:t>
      </w:r>
      <w:r>
        <w:rPr>
          <w:sz w:val="28"/>
          <w:szCs w:val="28"/>
        </w:rPr>
        <w:t xml:space="preserve"> and </w:t>
      </w:r>
      <w:r w:rsidRPr="00631F09">
        <w:rPr>
          <w:sz w:val="28"/>
          <w:szCs w:val="28"/>
        </w:rPr>
        <w:t xml:space="preserve">Kanchanpur. THRD Alliance does not currently work in the other </w:t>
      </w:r>
      <w:r>
        <w:rPr>
          <w:sz w:val="28"/>
          <w:szCs w:val="28"/>
        </w:rPr>
        <w:t xml:space="preserve">three </w:t>
      </w:r>
      <w:r w:rsidRPr="00631F09">
        <w:rPr>
          <w:sz w:val="28"/>
          <w:szCs w:val="28"/>
        </w:rPr>
        <w:t>districts</w:t>
      </w:r>
      <w:r>
        <w:rPr>
          <w:sz w:val="28"/>
          <w:szCs w:val="28"/>
        </w:rPr>
        <w:t xml:space="preserve"> of the Terai</w:t>
      </w:r>
      <w:r w:rsidRPr="00631F09">
        <w:rPr>
          <w:sz w:val="28"/>
          <w:szCs w:val="28"/>
        </w:rPr>
        <w:t xml:space="preserve">, namely Jhapa, Chitwan, </w:t>
      </w:r>
      <w:r>
        <w:rPr>
          <w:sz w:val="28"/>
          <w:szCs w:val="28"/>
        </w:rPr>
        <w:t xml:space="preserve">and </w:t>
      </w:r>
      <w:r w:rsidRPr="00631F09">
        <w:rPr>
          <w:sz w:val="28"/>
          <w:szCs w:val="28"/>
        </w:rPr>
        <w:t xml:space="preserve">Bardiya. THRD Alliance has focused its work on the </w:t>
      </w:r>
      <w:r>
        <w:rPr>
          <w:sz w:val="28"/>
          <w:szCs w:val="28"/>
        </w:rPr>
        <w:t xml:space="preserve">17 </w:t>
      </w:r>
      <w:r w:rsidRPr="00631F09">
        <w:rPr>
          <w:sz w:val="28"/>
          <w:szCs w:val="28"/>
        </w:rPr>
        <w:t>core Madhesi districts w</w:t>
      </w:r>
      <w:r>
        <w:rPr>
          <w:sz w:val="28"/>
          <w:szCs w:val="28"/>
        </w:rPr>
        <w:t>h</w:t>
      </w:r>
      <w:r w:rsidRPr="00631F09">
        <w:rPr>
          <w:sz w:val="28"/>
          <w:szCs w:val="28"/>
        </w:rPr>
        <w:t>ere they have identified the human right situation as being the most serious due to discrimination, security concerns and socio</w:t>
      </w:r>
      <w:r>
        <w:rPr>
          <w:sz w:val="28"/>
          <w:szCs w:val="28"/>
        </w:rPr>
        <w:t>-</w:t>
      </w:r>
      <w:r w:rsidRPr="00631F09">
        <w:rPr>
          <w:sz w:val="28"/>
          <w:szCs w:val="28"/>
        </w:rPr>
        <w:t>economic problems</w:t>
      </w:r>
      <w:r>
        <w:rPr>
          <w:sz w:val="28"/>
          <w:szCs w:val="28"/>
        </w:rPr>
        <w:t>.</w:t>
      </w:r>
      <w:r>
        <w:rPr>
          <w:rStyle w:val="FootnoteReference"/>
          <w:sz w:val="28"/>
          <w:szCs w:val="28"/>
        </w:rPr>
        <w:footnoteReference w:id="7"/>
      </w:r>
      <w:r w:rsidRPr="00631F09">
        <w:rPr>
          <w:sz w:val="28"/>
          <w:szCs w:val="28"/>
        </w:rPr>
        <w:t xml:space="preserve">  </w:t>
      </w:r>
    </w:p>
    <w:p w:rsidR="008C4466" w:rsidRPr="00631F09" w:rsidRDefault="008C4466" w:rsidP="008C4466">
      <w:pPr>
        <w:pStyle w:val="NormalWeb"/>
        <w:ind w:left="43"/>
        <w:jc w:val="both"/>
        <w:rPr>
          <w:sz w:val="28"/>
          <w:szCs w:val="28"/>
        </w:rPr>
      </w:pPr>
      <w:r w:rsidRPr="00631F09">
        <w:rPr>
          <w:sz w:val="28"/>
          <w:szCs w:val="28"/>
        </w:rPr>
        <w:t xml:space="preserve">THRD Alliance staff through direct interviews gathered information on the cases </w:t>
      </w:r>
      <w:r>
        <w:rPr>
          <w:sz w:val="28"/>
          <w:szCs w:val="28"/>
        </w:rPr>
        <w:t xml:space="preserve">in this report </w:t>
      </w:r>
      <w:r w:rsidRPr="00631F09">
        <w:rPr>
          <w:sz w:val="28"/>
          <w:szCs w:val="28"/>
        </w:rPr>
        <w:t>with the victims’ families and friends. They also carried out interviews with witnesses and police personnel. They h</w:t>
      </w:r>
      <w:r>
        <w:rPr>
          <w:sz w:val="28"/>
          <w:szCs w:val="28"/>
        </w:rPr>
        <w:t>e</w:t>
      </w:r>
      <w:r w:rsidRPr="00631F09">
        <w:rPr>
          <w:sz w:val="28"/>
          <w:szCs w:val="28"/>
        </w:rPr>
        <w:t>ld meetings with other human rights organisations active in the area as well as with government official</w:t>
      </w:r>
      <w:r>
        <w:rPr>
          <w:sz w:val="28"/>
          <w:szCs w:val="28"/>
        </w:rPr>
        <w:t>s</w:t>
      </w:r>
      <w:r w:rsidRPr="00631F09">
        <w:rPr>
          <w:sz w:val="28"/>
          <w:szCs w:val="28"/>
        </w:rPr>
        <w:t xml:space="preserve"> and the National Human Rights Commission. THRD </w:t>
      </w:r>
      <w:r>
        <w:rPr>
          <w:sz w:val="28"/>
          <w:szCs w:val="28"/>
        </w:rPr>
        <w:t xml:space="preserve">Alliance </w:t>
      </w:r>
      <w:r w:rsidRPr="00631F09">
        <w:rPr>
          <w:sz w:val="28"/>
          <w:szCs w:val="28"/>
        </w:rPr>
        <w:t>staff also visit</w:t>
      </w:r>
      <w:r>
        <w:rPr>
          <w:sz w:val="28"/>
          <w:szCs w:val="28"/>
        </w:rPr>
        <w:t>ed</w:t>
      </w:r>
      <w:r w:rsidRPr="00631F09">
        <w:rPr>
          <w:sz w:val="28"/>
          <w:szCs w:val="28"/>
        </w:rPr>
        <w:t xml:space="preserve"> the locations of the killings, gather</w:t>
      </w:r>
      <w:r>
        <w:rPr>
          <w:sz w:val="28"/>
          <w:szCs w:val="28"/>
        </w:rPr>
        <w:t>ed</w:t>
      </w:r>
      <w:r w:rsidRPr="00631F09">
        <w:rPr>
          <w:sz w:val="28"/>
          <w:szCs w:val="28"/>
        </w:rPr>
        <w:t xml:space="preserve"> evidence and </w:t>
      </w:r>
      <w:r>
        <w:rPr>
          <w:sz w:val="28"/>
          <w:szCs w:val="28"/>
        </w:rPr>
        <w:t xml:space="preserve">took </w:t>
      </w:r>
      <w:r w:rsidRPr="00631F09">
        <w:rPr>
          <w:sz w:val="28"/>
          <w:szCs w:val="28"/>
        </w:rPr>
        <w:t>photo</w:t>
      </w:r>
      <w:r>
        <w:rPr>
          <w:sz w:val="28"/>
          <w:szCs w:val="28"/>
        </w:rPr>
        <w:t>graphs</w:t>
      </w:r>
      <w:r w:rsidRPr="00631F09">
        <w:rPr>
          <w:sz w:val="28"/>
          <w:szCs w:val="28"/>
        </w:rPr>
        <w:t xml:space="preserve"> of the area</w:t>
      </w:r>
      <w:r>
        <w:rPr>
          <w:sz w:val="28"/>
          <w:szCs w:val="28"/>
        </w:rPr>
        <w:t xml:space="preserve"> a</w:t>
      </w:r>
      <w:r w:rsidRPr="00631F09">
        <w:rPr>
          <w:sz w:val="28"/>
          <w:szCs w:val="28"/>
        </w:rPr>
        <w:t>nd whenever possible obtain</w:t>
      </w:r>
      <w:r w:rsidR="00BB4204">
        <w:rPr>
          <w:sz w:val="28"/>
          <w:szCs w:val="28"/>
        </w:rPr>
        <w:t>ed</w:t>
      </w:r>
      <w:r w:rsidRPr="00631F09">
        <w:rPr>
          <w:sz w:val="28"/>
          <w:szCs w:val="28"/>
        </w:rPr>
        <w:t xml:space="preserve"> copies of the post-mortem reports. </w:t>
      </w:r>
    </w:p>
    <w:p w:rsidR="008C4466" w:rsidRPr="00631F09" w:rsidRDefault="008C4466" w:rsidP="008C4466">
      <w:pPr>
        <w:pStyle w:val="Heading1"/>
        <w:spacing w:before="100" w:beforeAutospacing="1" w:after="100" w:afterAutospacing="1"/>
      </w:pPr>
      <w:bookmarkStart w:id="4" w:name="_Toc379980835"/>
      <w:bookmarkStart w:id="5" w:name="_Toc379983648"/>
      <w:r>
        <w:rPr>
          <w:rFonts w:ascii="Times New Roman" w:hAnsi="Times New Roman"/>
          <w:sz w:val="28"/>
          <w:szCs w:val="28"/>
        </w:rPr>
        <w:t>International and National Legal Standards</w:t>
      </w:r>
      <w:bookmarkEnd w:id="4"/>
      <w:bookmarkEnd w:id="5"/>
    </w:p>
    <w:p w:rsidR="008C4466" w:rsidRDefault="008C4466" w:rsidP="008C4466">
      <w:pPr>
        <w:spacing w:before="100" w:beforeAutospacing="1" w:after="100" w:afterAutospacing="1"/>
        <w:jc w:val="both"/>
        <w:rPr>
          <w:sz w:val="28"/>
          <w:szCs w:val="28"/>
        </w:rPr>
      </w:pPr>
      <w:r w:rsidRPr="00631F09">
        <w:rPr>
          <w:sz w:val="28"/>
          <w:szCs w:val="28"/>
        </w:rPr>
        <w:t xml:space="preserve">Nepal is a party to most of the major international human rights treaties, including the International Covenant on Civil and Political Rights (the “ICCPR”), the Convention </w:t>
      </w:r>
      <w:r w:rsidRPr="00AD5624">
        <w:rPr>
          <w:sz w:val="28"/>
          <w:szCs w:val="28"/>
        </w:rPr>
        <w:t>against</w:t>
      </w:r>
      <w:r w:rsidRPr="00631F09">
        <w:rPr>
          <w:sz w:val="28"/>
          <w:szCs w:val="28"/>
        </w:rPr>
        <w:t xml:space="preserve"> Torture and Other Cruel Inhuman or Degrading Treatment or Punishment (“CAT”) and the International Convention on the Elimination of All Forms of Racial Discrimination (“CERD”). </w:t>
      </w:r>
    </w:p>
    <w:p w:rsidR="008C4466" w:rsidRPr="00631F09" w:rsidRDefault="008C4466" w:rsidP="008C4466">
      <w:pPr>
        <w:spacing w:before="100" w:beforeAutospacing="1" w:after="100" w:afterAutospacing="1"/>
        <w:jc w:val="both"/>
        <w:rPr>
          <w:sz w:val="28"/>
          <w:szCs w:val="28"/>
        </w:rPr>
      </w:pPr>
      <w:r w:rsidRPr="00631F09">
        <w:rPr>
          <w:sz w:val="28"/>
          <w:szCs w:val="28"/>
        </w:rPr>
        <w:t xml:space="preserve">The UN Special Rapporteur on </w:t>
      </w:r>
      <w:r>
        <w:rPr>
          <w:sz w:val="28"/>
          <w:szCs w:val="28"/>
        </w:rPr>
        <w:t>e</w:t>
      </w:r>
      <w:r w:rsidRPr="00631F09">
        <w:rPr>
          <w:sz w:val="28"/>
          <w:szCs w:val="28"/>
        </w:rPr>
        <w:t xml:space="preserve">xtrajudicial, summary or arbitrary </w:t>
      </w:r>
      <w:r>
        <w:rPr>
          <w:sz w:val="28"/>
          <w:szCs w:val="28"/>
        </w:rPr>
        <w:t>e</w:t>
      </w:r>
      <w:r w:rsidRPr="00631F09">
        <w:rPr>
          <w:sz w:val="28"/>
          <w:szCs w:val="28"/>
        </w:rPr>
        <w:t xml:space="preserve">xecutions, defines an </w:t>
      </w:r>
      <w:r>
        <w:rPr>
          <w:sz w:val="28"/>
          <w:szCs w:val="28"/>
        </w:rPr>
        <w:t>e</w:t>
      </w:r>
      <w:r w:rsidRPr="00631F09">
        <w:rPr>
          <w:sz w:val="28"/>
          <w:szCs w:val="28"/>
        </w:rPr>
        <w:t xml:space="preserve">xtrajudicial killing as any killing that violates international human rights or humanitarian law, including “unlawful killings by the police”, “deaths in military or civilian custody” and </w:t>
      </w:r>
      <w:r>
        <w:rPr>
          <w:sz w:val="28"/>
          <w:szCs w:val="28"/>
        </w:rPr>
        <w:t>“</w:t>
      </w:r>
      <w:r w:rsidRPr="00631F09">
        <w:rPr>
          <w:sz w:val="28"/>
          <w:szCs w:val="28"/>
        </w:rPr>
        <w:t>patterns of killings by private individuals that are not adequately investigated and prosecuted by the authorities</w:t>
      </w:r>
      <w:r>
        <w:rPr>
          <w:sz w:val="28"/>
          <w:szCs w:val="28"/>
        </w:rPr>
        <w:t>.</w:t>
      </w:r>
      <w:r w:rsidRPr="00631F09">
        <w:rPr>
          <w:sz w:val="28"/>
          <w:szCs w:val="28"/>
        </w:rPr>
        <w:t>”</w:t>
      </w:r>
      <w:r w:rsidRPr="00631F09">
        <w:rPr>
          <w:rStyle w:val="FootnoteReference"/>
          <w:sz w:val="28"/>
          <w:szCs w:val="28"/>
        </w:rPr>
        <w:footnoteReference w:id="8"/>
      </w:r>
      <w:r>
        <w:rPr>
          <w:sz w:val="28"/>
          <w:szCs w:val="28"/>
        </w:rPr>
        <w:t xml:space="preserve"> T</w:t>
      </w:r>
      <w:r w:rsidRPr="00631F09">
        <w:rPr>
          <w:sz w:val="28"/>
          <w:szCs w:val="28"/>
        </w:rPr>
        <w:t xml:space="preserve">his report </w:t>
      </w:r>
      <w:r>
        <w:rPr>
          <w:sz w:val="28"/>
          <w:szCs w:val="28"/>
        </w:rPr>
        <w:t xml:space="preserve">documents </w:t>
      </w:r>
      <w:r w:rsidRPr="00631F09">
        <w:rPr>
          <w:sz w:val="28"/>
          <w:szCs w:val="28"/>
        </w:rPr>
        <w:t>cases of deaths in police custody and during security operations w</w:t>
      </w:r>
      <w:r>
        <w:rPr>
          <w:sz w:val="28"/>
          <w:szCs w:val="28"/>
        </w:rPr>
        <w:t>h</w:t>
      </w:r>
      <w:r w:rsidRPr="00631F09">
        <w:rPr>
          <w:sz w:val="28"/>
          <w:szCs w:val="28"/>
        </w:rPr>
        <w:t xml:space="preserve">ere the deceased did not pose a threat to life or limb and could have been </w:t>
      </w:r>
      <w:r>
        <w:rPr>
          <w:sz w:val="28"/>
          <w:szCs w:val="28"/>
        </w:rPr>
        <w:t>arrested and detained, rather than killed</w:t>
      </w:r>
      <w:r w:rsidRPr="00631F09">
        <w:rPr>
          <w:sz w:val="28"/>
          <w:szCs w:val="28"/>
        </w:rPr>
        <w:t xml:space="preserve">. </w:t>
      </w:r>
    </w:p>
    <w:p w:rsidR="008C4466" w:rsidRDefault="008C4466" w:rsidP="008C4466">
      <w:pPr>
        <w:pStyle w:val="NormalWeb"/>
        <w:jc w:val="both"/>
        <w:rPr>
          <w:color w:val="000000"/>
          <w:sz w:val="28"/>
          <w:szCs w:val="28"/>
        </w:rPr>
      </w:pPr>
      <w:r w:rsidRPr="00631F09">
        <w:rPr>
          <w:sz w:val="28"/>
          <w:szCs w:val="28"/>
        </w:rPr>
        <w:lastRenderedPageBreak/>
        <w:t xml:space="preserve">Extrajudicial executions are violations of the right to life, as recognised in </w:t>
      </w:r>
      <w:r>
        <w:rPr>
          <w:color w:val="000000"/>
          <w:sz w:val="28"/>
          <w:szCs w:val="28"/>
        </w:rPr>
        <w:t>A</w:t>
      </w:r>
      <w:r w:rsidRPr="00631F09">
        <w:rPr>
          <w:color w:val="000000"/>
          <w:sz w:val="28"/>
          <w:szCs w:val="28"/>
        </w:rPr>
        <w:t>rticle 3 of the Universal Declaration of Human Rights</w:t>
      </w:r>
      <w:r>
        <w:rPr>
          <w:color w:val="000000"/>
          <w:sz w:val="28"/>
          <w:szCs w:val="28"/>
        </w:rPr>
        <w:t xml:space="preserve"> (UDHR)</w:t>
      </w:r>
      <w:r w:rsidRPr="00631F09">
        <w:rPr>
          <w:color w:val="000000"/>
          <w:sz w:val="28"/>
          <w:szCs w:val="28"/>
        </w:rPr>
        <w:t xml:space="preserve"> as well as </w:t>
      </w:r>
      <w:r>
        <w:rPr>
          <w:color w:val="000000"/>
          <w:sz w:val="28"/>
          <w:szCs w:val="28"/>
        </w:rPr>
        <w:t xml:space="preserve">in </w:t>
      </w:r>
      <w:r w:rsidRPr="00631F09">
        <w:rPr>
          <w:color w:val="000000"/>
          <w:sz w:val="28"/>
          <w:szCs w:val="28"/>
        </w:rPr>
        <w:t xml:space="preserve">Article 6 of the </w:t>
      </w:r>
      <w:r>
        <w:rPr>
          <w:color w:val="000000"/>
          <w:sz w:val="28"/>
          <w:szCs w:val="28"/>
        </w:rPr>
        <w:t>ICCPR</w:t>
      </w:r>
      <w:r w:rsidRPr="00631F09">
        <w:rPr>
          <w:color w:val="000000"/>
          <w:sz w:val="28"/>
          <w:szCs w:val="28"/>
        </w:rPr>
        <w:t xml:space="preserve">. Article 6 specifies that this right "shall be protected by law" and that "no one shall be arbitrarily deprived of life". </w:t>
      </w:r>
    </w:p>
    <w:p w:rsidR="008C4466" w:rsidRDefault="008C4466" w:rsidP="008C4466">
      <w:pPr>
        <w:pStyle w:val="NormalWeb"/>
        <w:jc w:val="both"/>
        <w:rPr>
          <w:color w:val="000000"/>
          <w:sz w:val="28"/>
          <w:szCs w:val="28"/>
        </w:rPr>
      </w:pPr>
      <w:r w:rsidRPr="00631F09">
        <w:rPr>
          <w:color w:val="000000"/>
          <w:sz w:val="28"/>
          <w:szCs w:val="28"/>
        </w:rPr>
        <w:t xml:space="preserve">Furthermore, Article 2 of the UDHR and Articles 2 and 26 of the ICCPR provide that everyone is entitled to the protection of the right to life without distinction or discrimination of any kind, and all persons shall be guaranteed equal and effective access to remedies for the violation of this right. </w:t>
      </w:r>
      <w:r>
        <w:rPr>
          <w:color w:val="000000"/>
          <w:sz w:val="28"/>
          <w:szCs w:val="28"/>
        </w:rPr>
        <w:t>In addition, t</w:t>
      </w:r>
      <w:r w:rsidRPr="00631F09">
        <w:rPr>
          <w:color w:val="000000"/>
          <w:sz w:val="28"/>
          <w:szCs w:val="28"/>
        </w:rPr>
        <w:t xml:space="preserve">he international standards are </w:t>
      </w:r>
      <w:r>
        <w:rPr>
          <w:color w:val="000000"/>
          <w:sz w:val="28"/>
          <w:szCs w:val="28"/>
        </w:rPr>
        <w:t>summarized</w:t>
      </w:r>
      <w:r w:rsidRPr="00631F09">
        <w:rPr>
          <w:color w:val="000000"/>
          <w:sz w:val="28"/>
          <w:szCs w:val="28"/>
        </w:rPr>
        <w:t xml:space="preserve"> in the Principles on the Effective Prevention and Investigation of Extra-legal, Arbitrary and Summary Executions, adopted by the Economic and Social Council in its resolution 1989/65 of 24 May 1989.</w:t>
      </w:r>
    </w:p>
    <w:p w:rsidR="008C4466" w:rsidRDefault="008C4466" w:rsidP="008C4466">
      <w:pPr>
        <w:pStyle w:val="NormalWeb"/>
        <w:jc w:val="both"/>
        <w:rPr>
          <w:sz w:val="28"/>
          <w:szCs w:val="28"/>
        </w:rPr>
      </w:pPr>
      <w:r w:rsidRPr="00631F09">
        <w:rPr>
          <w:sz w:val="28"/>
          <w:szCs w:val="28"/>
        </w:rPr>
        <w:t xml:space="preserve">Under </w:t>
      </w:r>
      <w:r>
        <w:rPr>
          <w:sz w:val="28"/>
          <w:szCs w:val="28"/>
        </w:rPr>
        <w:t>Nepal’s</w:t>
      </w:r>
      <w:r w:rsidRPr="00631F09">
        <w:rPr>
          <w:sz w:val="28"/>
          <w:szCs w:val="28"/>
        </w:rPr>
        <w:t xml:space="preserve"> Treaty Act, provisions of international treaties to which Nepal is </w:t>
      </w:r>
      <w:r>
        <w:rPr>
          <w:sz w:val="28"/>
          <w:szCs w:val="28"/>
        </w:rPr>
        <w:t xml:space="preserve">a </w:t>
      </w:r>
      <w:r w:rsidRPr="00631F09">
        <w:rPr>
          <w:sz w:val="28"/>
          <w:szCs w:val="28"/>
        </w:rPr>
        <w:t>party are incorporated into and enforceable as part of Nepal’s domestic law. The importance of human rights in domestic law is also enshrined in the interim constitution of 2007.</w:t>
      </w:r>
    </w:p>
    <w:p w:rsidR="008C4466" w:rsidRDefault="008C4466" w:rsidP="008C4466">
      <w:pPr>
        <w:pStyle w:val="NormalWeb"/>
        <w:jc w:val="both"/>
        <w:rPr>
          <w:sz w:val="28"/>
          <w:szCs w:val="28"/>
        </w:rPr>
      </w:pPr>
      <w:r w:rsidRPr="00631F09">
        <w:rPr>
          <w:sz w:val="28"/>
          <w:szCs w:val="28"/>
        </w:rPr>
        <w:t>The police are under the general duty to investigate crimes under the Police Act</w:t>
      </w:r>
      <w:r>
        <w:rPr>
          <w:sz w:val="28"/>
          <w:szCs w:val="28"/>
        </w:rPr>
        <w:t xml:space="preserve"> and the State Cases Act.</w:t>
      </w:r>
      <w:r w:rsidRPr="00631F09">
        <w:rPr>
          <w:rStyle w:val="FootnoteReference"/>
          <w:sz w:val="28"/>
          <w:szCs w:val="28"/>
        </w:rPr>
        <w:footnoteReference w:id="9"/>
      </w:r>
      <w:r w:rsidRPr="00631F09">
        <w:rPr>
          <w:sz w:val="28"/>
          <w:szCs w:val="28"/>
        </w:rPr>
        <w:t xml:space="preserve"> They are also required to preserve evidence and, “as soon as possible”, to investigate and collect evidence in all cases where a complaint (First Information Report “FIR”) has been submitted.</w:t>
      </w:r>
      <w:r w:rsidRPr="00631F09">
        <w:rPr>
          <w:rStyle w:val="FootnoteReference"/>
          <w:sz w:val="28"/>
          <w:szCs w:val="28"/>
        </w:rPr>
        <w:footnoteReference w:id="10"/>
      </w:r>
      <w:r w:rsidRPr="00631F09">
        <w:rPr>
          <w:sz w:val="28"/>
          <w:szCs w:val="28"/>
        </w:rPr>
        <w:t xml:space="preserve"> Finally they have a duty to investigate if they learn “through any means or medium” that a crime may have been committed.</w:t>
      </w:r>
      <w:r w:rsidRPr="00631F09">
        <w:rPr>
          <w:rStyle w:val="FootnoteReference"/>
          <w:sz w:val="28"/>
          <w:szCs w:val="28"/>
        </w:rPr>
        <w:footnoteReference w:id="11"/>
      </w:r>
    </w:p>
    <w:p w:rsidR="008C4466" w:rsidRDefault="008C4466" w:rsidP="008C4466">
      <w:pPr>
        <w:pStyle w:val="NormalWeb"/>
        <w:jc w:val="both"/>
        <w:rPr>
          <w:sz w:val="28"/>
          <w:szCs w:val="28"/>
        </w:rPr>
      </w:pPr>
      <w:r w:rsidRPr="00631F09">
        <w:rPr>
          <w:sz w:val="28"/>
          <w:szCs w:val="28"/>
        </w:rPr>
        <w:t xml:space="preserve">Although most national laws and procedures </w:t>
      </w:r>
      <w:r>
        <w:rPr>
          <w:sz w:val="28"/>
          <w:szCs w:val="28"/>
        </w:rPr>
        <w:t>are in line</w:t>
      </w:r>
      <w:r w:rsidRPr="00631F09">
        <w:rPr>
          <w:sz w:val="28"/>
          <w:szCs w:val="28"/>
        </w:rPr>
        <w:t xml:space="preserve"> with international standards there are some provisions on the use of force that need to be revised. The Local Administration Act (1971) and the National Parks and Wildlife Conservation Act (1973) permit the use of lethal force for the protection of government property or wildlife. </w:t>
      </w:r>
      <w:r>
        <w:rPr>
          <w:sz w:val="28"/>
          <w:szCs w:val="28"/>
        </w:rPr>
        <w:t xml:space="preserve">This is in violation of </w:t>
      </w:r>
      <w:r w:rsidRPr="00631F09">
        <w:rPr>
          <w:sz w:val="28"/>
          <w:szCs w:val="28"/>
        </w:rPr>
        <w:t>international law</w:t>
      </w:r>
      <w:r>
        <w:rPr>
          <w:sz w:val="28"/>
          <w:szCs w:val="28"/>
        </w:rPr>
        <w:t xml:space="preserve"> which requires that</w:t>
      </w:r>
      <w:r w:rsidRPr="00631F09">
        <w:rPr>
          <w:sz w:val="28"/>
          <w:szCs w:val="28"/>
        </w:rPr>
        <w:t xml:space="preserve"> “</w:t>
      </w:r>
      <w:r>
        <w:rPr>
          <w:sz w:val="28"/>
          <w:szCs w:val="28"/>
        </w:rPr>
        <w:t>[f]</w:t>
      </w:r>
      <w:r w:rsidRPr="00631F09">
        <w:rPr>
          <w:sz w:val="28"/>
          <w:szCs w:val="28"/>
        </w:rPr>
        <w:t>or deadly force to be used by the police, there must be an immediate or ongoing threat to the public if the person were to escape.”</w:t>
      </w:r>
      <w:r w:rsidRPr="00631F09">
        <w:rPr>
          <w:rStyle w:val="FootnoteReference"/>
          <w:sz w:val="28"/>
          <w:szCs w:val="28"/>
        </w:rPr>
        <w:footnoteReference w:id="12"/>
      </w:r>
    </w:p>
    <w:p w:rsidR="008C4466" w:rsidRDefault="008C4466" w:rsidP="008C4466">
      <w:pPr>
        <w:pStyle w:val="NormalWeb"/>
        <w:jc w:val="both"/>
        <w:rPr>
          <w:sz w:val="28"/>
          <w:szCs w:val="28"/>
        </w:rPr>
      </w:pPr>
      <w:r w:rsidRPr="00631F09">
        <w:rPr>
          <w:sz w:val="28"/>
          <w:szCs w:val="28"/>
        </w:rPr>
        <w:t>Furthermore</w:t>
      </w:r>
      <w:r w:rsidR="00BB4204">
        <w:rPr>
          <w:sz w:val="28"/>
          <w:szCs w:val="28"/>
        </w:rPr>
        <w:t>,</w:t>
      </w:r>
      <w:r w:rsidRPr="00631F09">
        <w:rPr>
          <w:sz w:val="28"/>
          <w:szCs w:val="28"/>
        </w:rPr>
        <w:t xml:space="preserve"> there are currently insufficient procedures </w:t>
      </w:r>
      <w:r>
        <w:rPr>
          <w:sz w:val="28"/>
          <w:szCs w:val="28"/>
        </w:rPr>
        <w:t xml:space="preserve">to ensure </w:t>
      </w:r>
      <w:r w:rsidRPr="00631F09">
        <w:rPr>
          <w:sz w:val="28"/>
          <w:szCs w:val="28"/>
        </w:rPr>
        <w:t xml:space="preserve">effective internal investigations into cases of </w:t>
      </w:r>
      <w:r>
        <w:rPr>
          <w:sz w:val="28"/>
          <w:szCs w:val="28"/>
        </w:rPr>
        <w:t>extrajudicial executions</w:t>
      </w:r>
      <w:r w:rsidRPr="00631F09">
        <w:rPr>
          <w:sz w:val="28"/>
          <w:szCs w:val="28"/>
        </w:rPr>
        <w:t xml:space="preserve">. </w:t>
      </w:r>
    </w:p>
    <w:p w:rsidR="008C4466" w:rsidRDefault="008C4466" w:rsidP="008C4466">
      <w:pPr>
        <w:pStyle w:val="NormalWeb"/>
        <w:jc w:val="both"/>
        <w:rPr>
          <w:sz w:val="28"/>
          <w:szCs w:val="28"/>
        </w:rPr>
      </w:pPr>
      <w:r w:rsidRPr="00631F09">
        <w:rPr>
          <w:sz w:val="28"/>
          <w:szCs w:val="28"/>
        </w:rPr>
        <w:lastRenderedPageBreak/>
        <w:t>These failings of the legal framework are amplified by the current weakness of Nepal’s legal system. The first hurdle to any criminal investigation is the filing of a First Information Report</w:t>
      </w:r>
      <w:r>
        <w:rPr>
          <w:sz w:val="28"/>
          <w:szCs w:val="28"/>
        </w:rPr>
        <w:t xml:space="preserve"> (FIR)</w:t>
      </w:r>
      <w:r w:rsidRPr="00631F09">
        <w:rPr>
          <w:sz w:val="28"/>
          <w:szCs w:val="28"/>
        </w:rPr>
        <w:t xml:space="preserve">. However </w:t>
      </w:r>
      <w:r>
        <w:rPr>
          <w:sz w:val="28"/>
          <w:szCs w:val="28"/>
        </w:rPr>
        <w:t xml:space="preserve">police regularly refuse to file </w:t>
      </w:r>
      <w:r w:rsidRPr="00631F09">
        <w:rPr>
          <w:sz w:val="28"/>
          <w:szCs w:val="28"/>
        </w:rPr>
        <w:t xml:space="preserve">FIRs. </w:t>
      </w:r>
      <w:r w:rsidR="00BB4204">
        <w:rPr>
          <w:sz w:val="28"/>
          <w:szCs w:val="28"/>
        </w:rPr>
        <w:t xml:space="preserve">The </w:t>
      </w:r>
      <w:r w:rsidRPr="00631F09">
        <w:rPr>
          <w:sz w:val="28"/>
          <w:szCs w:val="28"/>
        </w:rPr>
        <w:t>OHCHR reported</w:t>
      </w:r>
      <w:r>
        <w:rPr>
          <w:sz w:val="28"/>
          <w:szCs w:val="28"/>
        </w:rPr>
        <w:t xml:space="preserve"> </w:t>
      </w:r>
      <w:r w:rsidRPr="00631F09">
        <w:rPr>
          <w:sz w:val="28"/>
          <w:szCs w:val="28"/>
        </w:rPr>
        <w:t>that</w:t>
      </w:r>
      <w:r>
        <w:rPr>
          <w:sz w:val="28"/>
          <w:szCs w:val="28"/>
        </w:rPr>
        <w:t>,</w:t>
      </w:r>
      <w:r w:rsidRPr="00631F09">
        <w:rPr>
          <w:sz w:val="28"/>
          <w:szCs w:val="28"/>
        </w:rPr>
        <w:t xml:space="preserve"> “refusing to file FIRs is so widespread that it appears to be an unofficial policy to avoid scrutiny of alleged unlawful police action</w:t>
      </w:r>
      <w:r>
        <w:rPr>
          <w:sz w:val="28"/>
          <w:szCs w:val="28"/>
        </w:rPr>
        <w:t>.</w:t>
      </w:r>
      <w:r w:rsidRPr="00631F09">
        <w:rPr>
          <w:sz w:val="28"/>
          <w:szCs w:val="28"/>
        </w:rPr>
        <w:t>”</w:t>
      </w:r>
      <w:r w:rsidRPr="00631F09">
        <w:rPr>
          <w:rStyle w:val="FootnoteReference"/>
          <w:sz w:val="28"/>
          <w:szCs w:val="28"/>
        </w:rPr>
        <w:footnoteReference w:id="13"/>
      </w:r>
    </w:p>
    <w:p w:rsidR="008C4466" w:rsidRPr="002C2705" w:rsidRDefault="008C4466" w:rsidP="008C4466">
      <w:pPr>
        <w:pStyle w:val="NormalWeb"/>
        <w:jc w:val="both"/>
        <w:rPr>
          <w:color w:val="000000"/>
          <w:sz w:val="28"/>
          <w:szCs w:val="28"/>
        </w:rPr>
      </w:pPr>
      <w:r w:rsidRPr="00631F09">
        <w:rPr>
          <w:sz w:val="28"/>
          <w:szCs w:val="28"/>
        </w:rPr>
        <w:t>Furthermore</w:t>
      </w:r>
      <w:r>
        <w:rPr>
          <w:sz w:val="28"/>
          <w:szCs w:val="28"/>
        </w:rPr>
        <w:t xml:space="preserve">, </w:t>
      </w:r>
      <w:r w:rsidRPr="00631F09">
        <w:rPr>
          <w:sz w:val="28"/>
          <w:szCs w:val="28"/>
        </w:rPr>
        <w:t>FIRs are to be filed at the police office closest to the incident</w:t>
      </w:r>
      <w:r>
        <w:rPr>
          <w:sz w:val="28"/>
          <w:szCs w:val="28"/>
        </w:rPr>
        <w:t>.</w:t>
      </w:r>
      <w:r w:rsidRPr="00631F09">
        <w:rPr>
          <w:rStyle w:val="FootnoteReference"/>
          <w:sz w:val="28"/>
          <w:szCs w:val="28"/>
        </w:rPr>
        <w:footnoteReference w:id="14"/>
      </w:r>
      <w:r w:rsidRPr="00631F09">
        <w:rPr>
          <w:sz w:val="28"/>
          <w:szCs w:val="28"/>
        </w:rPr>
        <w:t xml:space="preserve"> This generally means </w:t>
      </w:r>
      <w:r>
        <w:rPr>
          <w:sz w:val="28"/>
          <w:szCs w:val="28"/>
        </w:rPr>
        <w:t xml:space="preserve">before </w:t>
      </w:r>
      <w:r w:rsidRPr="00631F09">
        <w:rPr>
          <w:sz w:val="28"/>
          <w:szCs w:val="28"/>
        </w:rPr>
        <w:t>the same officers or at least the colleagues of the officers who carried out the killing. This will obviously not lead to an impartial investigation. Finally, although the Attorney General and the public prosecutors have the authority to supervise police investigations, this only applies once a preliminary report is filed</w:t>
      </w:r>
      <w:r>
        <w:rPr>
          <w:sz w:val="28"/>
          <w:szCs w:val="28"/>
        </w:rPr>
        <w:t>.</w:t>
      </w:r>
      <w:r w:rsidRPr="00631F09">
        <w:rPr>
          <w:rStyle w:val="FootnoteReference"/>
          <w:sz w:val="28"/>
          <w:szCs w:val="28"/>
        </w:rPr>
        <w:footnoteReference w:id="15"/>
      </w:r>
      <w:r w:rsidRPr="00631F09">
        <w:rPr>
          <w:sz w:val="28"/>
          <w:szCs w:val="28"/>
        </w:rPr>
        <w:t xml:space="preserve"> The police </w:t>
      </w:r>
      <w:r>
        <w:rPr>
          <w:sz w:val="28"/>
          <w:szCs w:val="28"/>
        </w:rPr>
        <w:t xml:space="preserve">most commonly </w:t>
      </w:r>
      <w:r w:rsidRPr="00631F09">
        <w:rPr>
          <w:sz w:val="28"/>
          <w:szCs w:val="28"/>
        </w:rPr>
        <w:t>classify cases as accidental deaths or delay the preliminary report for years</w:t>
      </w:r>
      <w:r>
        <w:rPr>
          <w:sz w:val="28"/>
          <w:szCs w:val="28"/>
        </w:rPr>
        <w:t>.</w:t>
      </w:r>
      <w:r w:rsidRPr="00631F09">
        <w:rPr>
          <w:rStyle w:val="FootnoteReference"/>
          <w:sz w:val="28"/>
          <w:szCs w:val="28"/>
        </w:rPr>
        <w:footnoteReference w:id="16"/>
      </w:r>
    </w:p>
    <w:p w:rsidR="008C4466" w:rsidRPr="00BB4204" w:rsidRDefault="008C4466" w:rsidP="008C4466">
      <w:pPr>
        <w:pStyle w:val="Heading1"/>
        <w:rPr>
          <w:rFonts w:ascii="Times New Roman" w:hAnsi="Times New Roman"/>
        </w:rPr>
      </w:pPr>
      <w:r w:rsidRPr="00BB4204">
        <w:t xml:space="preserve"> </w:t>
      </w:r>
      <w:bookmarkStart w:id="6" w:name="_Toc379980836"/>
      <w:bookmarkStart w:id="7" w:name="_Toc379983649"/>
      <w:r w:rsidRPr="00BB4204">
        <w:rPr>
          <w:rFonts w:ascii="Times New Roman" w:hAnsi="Times New Roman"/>
          <w:sz w:val="28"/>
        </w:rPr>
        <w:t>Political Background</w:t>
      </w:r>
      <w:bookmarkEnd w:id="6"/>
      <w:bookmarkEnd w:id="7"/>
    </w:p>
    <w:p w:rsidR="008C4466" w:rsidRPr="00BB4204" w:rsidRDefault="008C4466" w:rsidP="008C4466">
      <w:pPr>
        <w:pStyle w:val="Heading2"/>
        <w:spacing w:before="100" w:beforeAutospacing="1" w:after="100" w:afterAutospacing="1"/>
        <w:jc w:val="both"/>
        <w:rPr>
          <w:rFonts w:ascii="Times New Roman" w:hAnsi="Times New Roman"/>
        </w:rPr>
      </w:pPr>
      <w:bookmarkStart w:id="8" w:name="_Toc379980837"/>
      <w:bookmarkStart w:id="9" w:name="_Toc379983650"/>
      <w:r w:rsidRPr="00BB4204">
        <w:rPr>
          <w:rFonts w:ascii="Times New Roman" w:hAnsi="Times New Roman"/>
        </w:rPr>
        <w:t>National</w:t>
      </w:r>
      <w:bookmarkEnd w:id="8"/>
      <w:bookmarkEnd w:id="9"/>
    </w:p>
    <w:p w:rsidR="008C4466" w:rsidRPr="00631F09" w:rsidRDefault="008C4466" w:rsidP="008C4466">
      <w:pPr>
        <w:spacing w:before="100" w:beforeAutospacing="1" w:after="100" w:afterAutospacing="1"/>
        <w:jc w:val="both"/>
        <w:rPr>
          <w:sz w:val="28"/>
          <w:szCs w:val="28"/>
        </w:rPr>
      </w:pPr>
      <w:r w:rsidRPr="00631F09">
        <w:rPr>
          <w:sz w:val="28"/>
          <w:szCs w:val="28"/>
        </w:rPr>
        <w:t>In May 2012, Baburam</w:t>
      </w:r>
      <w:r>
        <w:rPr>
          <w:sz w:val="28"/>
          <w:szCs w:val="28"/>
        </w:rPr>
        <w:t xml:space="preserve"> </w:t>
      </w:r>
      <w:r w:rsidRPr="00631F09">
        <w:rPr>
          <w:sz w:val="28"/>
          <w:szCs w:val="28"/>
        </w:rPr>
        <w:t>Bhattarai</w:t>
      </w:r>
      <w:r>
        <w:rPr>
          <w:sz w:val="28"/>
          <w:szCs w:val="28"/>
        </w:rPr>
        <w:t>,</w:t>
      </w:r>
      <w:r w:rsidRPr="00631F09">
        <w:rPr>
          <w:sz w:val="28"/>
          <w:szCs w:val="28"/>
        </w:rPr>
        <w:t xml:space="preserve"> the then Prime Minister, admitted that the </w:t>
      </w:r>
      <w:r>
        <w:rPr>
          <w:sz w:val="28"/>
          <w:szCs w:val="28"/>
        </w:rPr>
        <w:t xml:space="preserve">four </w:t>
      </w:r>
      <w:r w:rsidRPr="00631F09">
        <w:rPr>
          <w:sz w:val="28"/>
          <w:szCs w:val="28"/>
        </w:rPr>
        <w:t>year</w:t>
      </w:r>
      <w:r>
        <w:rPr>
          <w:sz w:val="28"/>
          <w:szCs w:val="28"/>
        </w:rPr>
        <w:t xml:space="preserve"> long </w:t>
      </w:r>
      <w:r w:rsidRPr="00631F09">
        <w:rPr>
          <w:sz w:val="28"/>
          <w:szCs w:val="28"/>
        </w:rPr>
        <w:t>effort to write a new constitution had ended with the “collective failure” of the countr</w:t>
      </w:r>
      <w:r>
        <w:rPr>
          <w:sz w:val="28"/>
          <w:szCs w:val="28"/>
        </w:rPr>
        <w:t>y’s</w:t>
      </w:r>
      <w:r w:rsidRPr="00631F09">
        <w:rPr>
          <w:sz w:val="28"/>
          <w:szCs w:val="28"/>
        </w:rPr>
        <w:t xml:space="preserve"> politicians</w:t>
      </w:r>
      <w:r>
        <w:rPr>
          <w:sz w:val="28"/>
          <w:szCs w:val="28"/>
        </w:rPr>
        <w:t>.</w:t>
      </w:r>
      <w:r w:rsidRPr="00631F09">
        <w:rPr>
          <w:rStyle w:val="FootnoteReference"/>
          <w:sz w:val="28"/>
          <w:szCs w:val="28"/>
        </w:rPr>
        <w:footnoteReference w:id="17"/>
      </w:r>
      <w:r w:rsidRPr="00631F09">
        <w:rPr>
          <w:sz w:val="28"/>
          <w:szCs w:val="28"/>
        </w:rPr>
        <w:t xml:space="preserve"> The Interim Constitution does not have provisions for new elections nor the replacement of the government. By November 2012, opposition parties failed to agree on arrangements for elections and the President rejected two ord</w:t>
      </w:r>
      <w:r>
        <w:rPr>
          <w:sz w:val="28"/>
          <w:szCs w:val="28"/>
        </w:rPr>
        <w:t>i</w:t>
      </w:r>
      <w:r w:rsidRPr="00631F09">
        <w:rPr>
          <w:sz w:val="28"/>
          <w:szCs w:val="28"/>
        </w:rPr>
        <w:t>nances on new elections</w:t>
      </w:r>
      <w:r>
        <w:rPr>
          <w:sz w:val="28"/>
          <w:szCs w:val="28"/>
        </w:rPr>
        <w:t>.</w:t>
      </w:r>
      <w:r w:rsidRPr="00631F09">
        <w:rPr>
          <w:rStyle w:val="FootnoteReference"/>
          <w:sz w:val="28"/>
          <w:szCs w:val="28"/>
        </w:rPr>
        <w:footnoteReference w:id="18"/>
      </w:r>
    </w:p>
    <w:p w:rsidR="008C4466" w:rsidRPr="00631F09" w:rsidRDefault="008C4466" w:rsidP="008C4466">
      <w:pPr>
        <w:spacing w:before="100" w:beforeAutospacing="1" w:after="100" w:afterAutospacing="1"/>
        <w:jc w:val="both"/>
        <w:rPr>
          <w:sz w:val="28"/>
          <w:szCs w:val="28"/>
        </w:rPr>
      </w:pPr>
      <w:r w:rsidRPr="00631F09">
        <w:rPr>
          <w:sz w:val="28"/>
          <w:szCs w:val="28"/>
        </w:rPr>
        <w:t xml:space="preserve">On </w:t>
      </w:r>
      <w:r w:rsidR="00BB4204">
        <w:rPr>
          <w:sz w:val="28"/>
          <w:szCs w:val="28"/>
        </w:rPr>
        <w:t xml:space="preserve">March </w:t>
      </w:r>
      <w:r w:rsidRPr="00631F09">
        <w:rPr>
          <w:sz w:val="28"/>
          <w:szCs w:val="28"/>
        </w:rPr>
        <w:t>14</w:t>
      </w:r>
      <w:r w:rsidR="00BB4204">
        <w:rPr>
          <w:sz w:val="28"/>
          <w:szCs w:val="28"/>
        </w:rPr>
        <w:t>,</w:t>
      </w:r>
      <w:r w:rsidRPr="00631F09">
        <w:rPr>
          <w:sz w:val="28"/>
          <w:szCs w:val="28"/>
        </w:rPr>
        <w:t xml:space="preserve"> 2013</w:t>
      </w:r>
      <w:r>
        <w:rPr>
          <w:sz w:val="28"/>
          <w:szCs w:val="28"/>
        </w:rPr>
        <w:t>,</w:t>
      </w:r>
      <w:r w:rsidRPr="00631F09">
        <w:rPr>
          <w:sz w:val="28"/>
          <w:szCs w:val="28"/>
        </w:rPr>
        <w:t xml:space="preserve"> the Chief Justice of the Supreme Court was appointed to preside over a caretaker government as Chairperson of the Interim Council of Ministers</w:t>
      </w:r>
      <w:r>
        <w:rPr>
          <w:sz w:val="28"/>
          <w:szCs w:val="28"/>
        </w:rPr>
        <w:t>.</w:t>
      </w:r>
      <w:r w:rsidRPr="00631F09">
        <w:rPr>
          <w:rStyle w:val="FootnoteReference"/>
          <w:sz w:val="28"/>
          <w:szCs w:val="28"/>
        </w:rPr>
        <w:footnoteReference w:id="19"/>
      </w:r>
      <w:r w:rsidRPr="00631F09">
        <w:rPr>
          <w:sz w:val="28"/>
          <w:szCs w:val="28"/>
        </w:rPr>
        <w:t xml:space="preserve"> Following a legal challenge, his position as </w:t>
      </w:r>
      <w:r>
        <w:rPr>
          <w:sz w:val="28"/>
          <w:szCs w:val="28"/>
        </w:rPr>
        <w:t>C</w:t>
      </w:r>
      <w:r w:rsidRPr="00631F09">
        <w:rPr>
          <w:sz w:val="28"/>
          <w:szCs w:val="28"/>
        </w:rPr>
        <w:t xml:space="preserve">hief </w:t>
      </w:r>
      <w:r>
        <w:rPr>
          <w:sz w:val="28"/>
          <w:szCs w:val="28"/>
        </w:rPr>
        <w:t>J</w:t>
      </w:r>
      <w:r w:rsidRPr="00631F09">
        <w:rPr>
          <w:sz w:val="28"/>
          <w:szCs w:val="28"/>
        </w:rPr>
        <w:t>ustice was</w:t>
      </w:r>
      <w:r>
        <w:rPr>
          <w:sz w:val="28"/>
          <w:szCs w:val="28"/>
        </w:rPr>
        <w:t xml:space="preserve"> </w:t>
      </w:r>
      <w:r w:rsidRPr="00631F09">
        <w:rPr>
          <w:sz w:val="28"/>
          <w:szCs w:val="28"/>
        </w:rPr>
        <w:lastRenderedPageBreak/>
        <w:t>suspended while he h</w:t>
      </w:r>
      <w:r>
        <w:rPr>
          <w:sz w:val="28"/>
          <w:szCs w:val="28"/>
        </w:rPr>
        <w:t>eld</w:t>
      </w:r>
      <w:r w:rsidRPr="00631F09">
        <w:rPr>
          <w:sz w:val="28"/>
          <w:szCs w:val="28"/>
        </w:rPr>
        <w:t xml:space="preserve"> the position of head of the executive.</w:t>
      </w:r>
      <w:r w:rsidRPr="00631F09">
        <w:rPr>
          <w:rStyle w:val="FootnoteReference"/>
          <w:sz w:val="28"/>
          <w:szCs w:val="28"/>
        </w:rPr>
        <w:footnoteReference w:id="20"/>
      </w:r>
      <w:r>
        <w:rPr>
          <w:sz w:val="28"/>
          <w:szCs w:val="28"/>
        </w:rPr>
        <w:t xml:space="preserve"> </w:t>
      </w:r>
      <w:r w:rsidRPr="00631F09">
        <w:rPr>
          <w:sz w:val="28"/>
          <w:szCs w:val="28"/>
        </w:rPr>
        <w:t xml:space="preserve">There are currently seven writ petitions being heard by the Supreme Court challenging the Constitutional changes made by </w:t>
      </w:r>
      <w:r>
        <w:rPr>
          <w:sz w:val="28"/>
          <w:szCs w:val="28"/>
        </w:rPr>
        <w:t>Ordinance</w:t>
      </w:r>
      <w:r w:rsidRPr="00631F09">
        <w:rPr>
          <w:sz w:val="28"/>
          <w:szCs w:val="28"/>
        </w:rPr>
        <w:t xml:space="preserve"> to do this, with warnings that such changes could pave the way towards totalitarianism.</w:t>
      </w:r>
      <w:r w:rsidRPr="00631F09">
        <w:rPr>
          <w:rStyle w:val="FootnoteReference"/>
          <w:sz w:val="28"/>
          <w:szCs w:val="28"/>
        </w:rPr>
        <w:footnoteReference w:id="21"/>
      </w:r>
    </w:p>
    <w:p w:rsidR="008C4466" w:rsidRPr="00631F09" w:rsidRDefault="008C4466" w:rsidP="008C4466">
      <w:pPr>
        <w:spacing w:before="100" w:beforeAutospacing="1" w:after="100" w:afterAutospacing="1"/>
        <w:jc w:val="both"/>
        <w:rPr>
          <w:sz w:val="28"/>
          <w:szCs w:val="28"/>
        </w:rPr>
      </w:pPr>
      <w:r w:rsidRPr="00631F09">
        <w:rPr>
          <w:sz w:val="28"/>
          <w:szCs w:val="28"/>
        </w:rPr>
        <w:t>Elections for the Second Constituent Assembly</w:t>
      </w:r>
      <w:r>
        <w:rPr>
          <w:sz w:val="28"/>
          <w:szCs w:val="28"/>
        </w:rPr>
        <w:t xml:space="preserve"> were </w:t>
      </w:r>
      <w:r w:rsidRPr="00631F09">
        <w:rPr>
          <w:sz w:val="28"/>
          <w:szCs w:val="28"/>
        </w:rPr>
        <w:t>held</w:t>
      </w:r>
      <w:r>
        <w:rPr>
          <w:sz w:val="28"/>
          <w:szCs w:val="28"/>
        </w:rPr>
        <w:t xml:space="preserve"> on 21 November </w:t>
      </w:r>
      <w:r w:rsidRPr="00631F09">
        <w:rPr>
          <w:sz w:val="28"/>
          <w:szCs w:val="28"/>
        </w:rPr>
        <w:t>2013. It is optimistically hoped that the new constitution will be written by 2017</w:t>
      </w:r>
      <w:r>
        <w:rPr>
          <w:sz w:val="28"/>
          <w:szCs w:val="28"/>
        </w:rPr>
        <w:t>.</w:t>
      </w:r>
      <w:r w:rsidRPr="00631F09">
        <w:rPr>
          <w:rStyle w:val="FootnoteReference"/>
          <w:sz w:val="28"/>
          <w:szCs w:val="28"/>
        </w:rPr>
        <w:footnoteReference w:id="22"/>
      </w:r>
      <w:r w:rsidRPr="00631F09">
        <w:rPr>
          <w:sz w:val="28"/>
          <w:szCs w:val="28"/>
        </w:rPr>
        <w:t xml:space="preserve"> In the Terai, widespread cyni</w:t>
      </w:r>
      <w:r>
        <w:rPr>
          <w:sz w:val="28"/>
          <w:szCs w:val="28"/>
        </w:rPr>
        <w:t>ci</w:t>
      </w:r>
      <w:r w:rsidRPr="00631F09">
        <w:rPr>
          <w:sz w:val="28"/>
          <w:szCs w:val="28"/>
        </w:rPr>
        <w:t xml:space="preserve">sm means that most people expect little change no matter which party is in power. </w:t>
      </w:r>
      <w:r>
        <w:rPr>
          <w:sz w:val="28"/>
          <w:szCs w:val="28"/>
        </w:rPr>
        <w:t>The Nepali Congress party won the most seats, followed by the Communist Party of Nepal (Unified Marist-Leninist), with the Unified Communist Party of Nepal (Maoist) getting the third largest number of seats. Despite claims by Maoists that the elections were rigged, the party has agreed to participate in the Constitutional Assembly on condition that the allegations of vote rigging be investigated and decisions on how to resolve the most contentious problems the Assembly will be faced with will be taken by consensus among party leaders.</w:t>
      </w:r>
      <w:r>
        <w:rPr>
          <w:rStyle w:val="FootnoteReference"/>
          <w:sz w:val="28"/>
          <w:szCs w:val="28"/>
        </w:rPr>
        <w:footnoteReference w:id="23"/>
      </w:r>
    </w:p>
    <w:p w:rsidR="008C4466" w:rsidRDefault="008C4466" w:rsidP="008C4466">
      <w:pPr>
        <w:spacing w:before="100" w:beforeAutospacing="1" w:after="100" w:afterAutospacing="1"/>
        <w:jc w:val="both"/>
        <w:rPr>
          <w:sz w:val="28"/>
          <w:szCs w:val="28"/>
        </w:rPr>
      </w:pPr>
      <w:r w:rsidRPr="00631F09">
        <w:rPr>
          <w:sz w:val="28"/>
          <w:szCs w:val="28"/>
        </w:rPr>
        <w:t>One of the critical issues in Nepal</w:t>
      </w:r>
      <w:r>
        <w:rPr>
          <w:sz w:val="28"/>
          <w:szCs w:val="28"/>
        </w:rPr>
        <w:t>’</w:t>
      </w:r>
      <w:r w:rsidRPr="00631F09">
        <w:rPr>
          <w:sz w:val="28"/>
          <w:szCs w:val="28"/>
        </w:rPr>
        <w:t xml:space="preserve">s political/constitutional crisis is </w:t>
      </w:r>
      <w:r>
        <w:rPr>
          <w:sz w:val="28"/>
          <w:szCs w:val="28"/>
        </w:rPr>
        <w:t>f</w:t>
      </w:r>
      <w:r w:rsidRPr="00631F09">
        <w:rPr>
          <w:sz w:val="28"/>
          <w:szCs w:val="28"/>
        </w:rPr>
        <w:t>ederalism. Demanded by the historically marginalised such as the Madhesi</w:t>
      </w:r>
      <w:r>
        <w:rPr>
          <w:sz w:val="28"/>
          <w:szCs w:val="28"/>
        </w:rPr>
        <w:t>s</w:t>
      </w:r>
      <w:r w:rsidRPr="00631F09">
        <w:rPr>
          <w:sz w:val="28"/>
          <w:szCs w:val="28"/>
        </w:rPr>
        <w:t>, it remains strongly opposed. Madhesi parties and other “indigenous” groups are forming alliances and threatening a national street movement against the new constitution, should federalism fail to be delivered.</w:t>
      </w:r>
      <w:r w:rsidRPr="00631F09">
        <w:rPr>
          <w:rStyle w:val="FootnoteReference"/>
          <w:sz w:val="28"/>
          <w:szCs w:val="28"/>
        </w:rPr>
        <w:footnoteReference w:id="24"/>
      </w:r>
      <w:r>
        <w:rPr>
          <w:sz w:val="28"/>
          <w:szCs w:val="28"/>
        </w:rPr>
        <w:t xml:space="preserve"> Increases in security threats and violence in the Terai have in the past been accompanied by alleged increases in </w:t>
      </w:r>
      <w:r w:rsidRPr="00D96DB4">
        <w:rPr>
          <w:sz w:val="28"/>
          <w:szCs w:val="28"/>
        </w:rPr>
        <w:t>extrajudicial executions</w:t>
      </w:r>
      <w:r>
        <w:rPr>
          <w:sz w:val="28"/>
          <w:szCs w:val="28"/>
        </w:rPr>
        <w:t xml:space="preserve"> committed by the security forces</w:t>
      </w:r>
      <w:r>
        <w:rPr>
          <w:rStyle w:val="FootnoteReference"/>
          <w:sz w:val="28"/>
          <w:szCs w:val="28"/>
        </w:rPr>
        <w:footnoteReference w:id="25"/>
      </w:r>
      <w:r>
        <w:rPr>
          <w:sz w:val="28"/>
          <w:szCs w:val="28"/>
        </w:rPr>
        <w:t xml:space="preserve">. </w:t>
      </w:r>
    </w:p>
    <w:p w:rsidR="008C4466" w:rsidRPr="00BB4204" w:rsidRDefault="008C4466" w:rsidP="008C4466">
      <w:pPr>
        <w:pStyle w:val="Heading2"/>
        <w:spacing w:before="100" w:beforeAutospacing="1" w:after="100" w:afterAutospacing="1"/>
        <w:jc w:val="both"/>
        <w:rPr>
          <w:rFonts w:ascii="Times New Roman" w:hAnsi="Times New Roman"/>
        </w:rPr>
      </w:pPr>
      <w:bookmarkStart w:id="10" w:name="_Toc379980838"/>
      <w:bookmarkStart w:id="11" w:name="_Toc379983651"/>
      <w:r w:rsidRPr="00BB4204">
        <w:rPr>
          <w:rFonts w:ascii="Times New Roman" w:hAnsi="Times New Roman"/>
        </w:rPr>
        <w:t>The Terai</w:t>
      </w:r>
      <w:bookmarkEnd w:id="10"/>
      <w:bookmarkEnd w:id="11"/>
    </w:p>
    <w:p w:rsidR="008C4466" w:rsidRDefault="008C4466" w:rsidP="008C4466">
      <w:pPr>
        <w:spacing w:before="100" w:beforeAutospacing="1" w:after="100" w:afterAutospacing="1"/>
        <w:jc w:val="both"/>
        <w:rPr>
          <w:sz w:val="28"/>
          <w:szCs w:val="28"/>
        </w:rPr>
      </w:pPr>
      <w:r w:rsidRPr="00631F09">
        <w:rPr>
          <w:sz w:val="28"/>
          <w:szCs w:val="28"/>
        </w:rPr>
        <w:t>Terai is known as Nepal’s breadbasket</w:t>
      </w:r>
      <w:r>
        <w:rPr>
          <w:sz w:val="28"/>
          <w:szCs w:val="28"/>
        </w:rPr>
        <w:t xml:space="preserve"> but, while this may be the case, its inhabitants suffer both </w:t>
      </w:r>
      <w:r w:rsidRPr="00631F09">
        <w:rPr>
          <w:sz w:val="28"/>
          <w:szCs w:val="28"/>
        </w:rPr>
        <w:t>high levels of poverty</w:t>
      </w:r>
      <w:r>
        <w:rPr>
          <w:sz w:val="28"/>
          <w:szCs w:val="28"/>
        </w:rPr>
        <w:t xml:space="preserve"> as well as discrimination in comparison to the rest of the country</w:t>
      </w:r>
      <w:r w:rsidRPr="00631F09">
        <w:rPr>
          <w:sz w:val="28"/>
          <w:szCs w:val="28"/>
        </w:rPr>
        <w:t xml:space="preserve">. Education and literacy levels </w:t>
      </w:r>
      <w:r>
        <w:rPr>
          <w:sz w:val="28"/>
          <w:szCs w:val="28"/>
        </w:rPr>
        <w:t xml:space="preserve">are the lowest </w:t>
      </w:r>
      <w:r>
        <w:rPr>
          <w:sz w:val="28"/>
          <w:szCs w:val="28"/>
        </w:rPr>
        <w:lastRenderedPageBreak/>
        <w:t>in Nepal.  Youth</w:t>
      </w:r>
      <w:r w:rsidRPr="00631F09">
        <w:rPr>
          <w:sz w:val="28"/>
          <w:szCs w:val="28"/>
        </w:rPr>
        <w:t xml:space="preserve"> have few prospects. </w:t>
      </w:r>
      <w:r>
        <w:rPr>
          <w:sz w:val="28"/>
          <w:szCs w:val="28"/>
        </w:rPr>
        <w:t xml:space="preserve"> Discrimination is systemic and manifested in multiple ways, many of which have been the subject of political negotiation as well as Supreme Court public interest litigation</w:t>
      </w:r>
      <w:r>
        <w:rPr>
          <w:rStyle w:val="FootnoteReference"/>
          <w:sz w:val="28"/>
          <w:szCs w:val="28"/>
        </w:rPr>
        <w:footnoteReference w:id="26"/>
      </w:r>
      <w:r>
        <w:rPr>
          <w:sz w:val="28"/>
          <w:szCs w:val="28"/>
        </w:rPr>
        <w:t>.  For example, Mad</w:t>
      </w:r>
      <w:r w:rsidR="00BB4204">
        <w:rPr>
          <w:sz w:val="28"/>
          <w:szCs w:val="28"/>
        </w:rPr>
        <w:t>h</w:t>
      </w:r>
      <w:r>
        <w:rPr>
          <w:sz w:val="28"/>
          <w:szCs w:val="28"/>
        </w:rPr>
        <w:t>esi face obstacles in acquiring citizenship or in applying for public service positions</w:t>
      </w:r>
      <w:r w:rsidRPr="00631F09">
        <w:rPr>
          <w:sz w:val="28"/>
          <w:szCs w:val="28"/>
        </w:rPr>
        <w:t xml:space="preserve">. </w:t>
      </w:r>
      <w:r w:rsidRPr="00AD5624">
        <w:rPr>
          <w:sz w:val="28"/>
          <w:szCs w:val="28"/>
        </w:rPr>
        <w:t xml:space="preserve">Recent reforms </w:t>
      </w:r>
      <w:r>
        <w:rPr>
          <w:sz w:val="28"/>
          <w:szCs w:val="28"/>
        </w:rPr>
        <w:t xml:space="preserve">providing quotas for those from disadvantaged backgrounds (including Madhesi) and </w:t>
      </w:r>
      <w:r w:rsidRPr="00AD5624">
        <w:rPr>
          <w:sz w:val="28"/>
          <w:szCs w:val="28"/>
        </w:rPr>
        <w:t>to the Public Service Commissions seem</w:t>
      </w:r>
      <w:r w:rsidRPr="00631F09">
        <w:rPr>
          <w:sz w:val="28"/>
          <w:szCs w:val="28"/>
        </w:rPr>
        <w:t xml:space="preserve"> to indicate a shift in the right direction. However much remains to be done. </w:t>
      </w:r>
    </w:p>
    <w:p w:rsidR="008C4466" w:rsidRDefault="008C4466" w:rsidP="008C4466">
      <w:pPr>
        <w:spacing w:before="100" w:beforeAutospacing="1" w:after="100" w:afterAutospacing="1"/>
        <w:jc w:val="both"/>
        <w:rPr>
          <w:sz w:val="28"/>
          <w:szCs w:val="28"/>
        </w:rPr>
      </w:pPr>
      <w:r>
        <w:rPr>
          <w:sz w:val="28"/>
          <w:szCs w:val="28"/>
        </w:rPr>
        <w:t>On the basis of this history and persistent conditions of economic hardship and discrimination, Madeshi political parties had received strong public support since 2007 to open up a new era of political representation that could lead to greater equality.  These parties emerged as a significant force in Nepal’s political landscape following the 2008 elections.</w:t>
      </w:r>
    </w:p>
    <w:p w:rsidR="008C4466" w:rsidRDefault="008C4466" w:rsidP="008C4466">
      <w:pPr>
        <w:spacing w:before="100" w:beforeAutospacing="1" w:after="100" w:afterAutospacing="1"/>
        <w:jc w:val="both"/>
        <w:rPr>
          <w:sz w:val="28"/>
          <w:szCs w:val="28"/>
        </w:rPr>
      </w:pPr>
      <w:r>
        <w:rPr>
          <w:sz w:val="28"/>
          <w:szCs w:val="28"/>
        </w:rPr>
        <w:t xml:space="preserve">As the new government formed in 2008 and began to grapple with the challenges of federalism, the Madhesi political parties were campaigning for the entire southern plains of Nepal to be a separate province.  The envisaged Madhesi province would encompass the country’s main agricultural land and industries as well as the crucial border with India, effectively making the province the most important in Nepal if it were to be created.  No issue was more sensitive during the previous government, which heightened the consequences of the many perceived failures in leadership.   </w:t>
      </w:r>
    </w:p>
    <w:p w:rsidR="008C4466" w:rsidRPr="00631F09" w:rsidRDefault="008C4466" w:rsidP="008C4466">
      <w:pPr>
        <w:spacing w:before="100" w:beforeAutospacing="1" w:after="100" w:afterAutospacing="1"/>
        <w:jc w:val="both"/>
        <w:rPr>
          <w:sz w:val="28"/>
          <w:szCs w:val="28"/>
        </w:rPr>
      </w:pPr>
      <w:r>
        <w:rPr>
          <w:sz w:val="28"/>
          <w:szCs w:val="28"/>
        </w:rPr>
        <w:t>During this period, the presence of armed groups i</w:t>
      </w:r>
      <w:r w:rsidRPr="00631F09">
        <w:rPr>
          <w:sz w:val="28"/>
          <w:szCs w:val="28"/>
        </w:rPr>
        <w:t>n the Terai</w:t>
      </w:r>
      <w:r>
        <w:rPr>
          <w:sz w:val="28"/>
          <w:szCs w:val="28"/>
        </w:rPr>
        <w:t xml:space="preserve"> became a factor in the political process</w:t>
      </w:r>
      <w:r w:rsidRPr="00631F09">
        <w:rPr>
          <w:sz w:val="28"/>
          <w:szCs w:val="28"/>
        </w:rPr>
        <w:t xml:space="preserve">. </w:t>
      </w:r>
      <w:r>
        <w:rPr>
          <w:sz w:val="28"/>
          <w:szCs w:val="28"/>
        </w:rPr>
        <w:t xml:space="preserve"> After the initial emergence of the Madhesi movement in 2007, many of </w:t>
      </w:r>
      <w:r w:rsidRPr="00631F09">
        <w:rPr>
          <w:sz w:val="28"/>
          <w:szCs w:val="28"/>
        </w:rPr>
        <w:t xml:space="preserve">these groups </w:t>
      </w:r>
      <w:r>
        <w:rPr>
          <w:sz w:val="28"/>
          <w:szCs w:val="28"/>
        </w:rPr>
        <w:t>took</w:t>
      </w:r>
      <w:r w:rsidRPr="00631F09">
        <w:rPr>
          <w:sz w:val="28"/>
          <w:szCs w:val="28"/>
        </w:rPr>
        <w:t xml:space="preserve"> up criminal activities. </w:t>
      </w:r>
      <w:r>
        <w:rPr>
          <w:sz w:val="28"/>
          <w:szCs w:val="28"/>
        </w:rPr>
        <w:t xml:space="preserve"> This trend was f</w:t>
      </w:r>
      <w:r w:rsidRPr="00AD5624">
        <w:rPr>
          <w:sz w:val="28"/>
          <w:szCs w:val="28"/>
        </w:rPr>
        <w:t>uelled</w:t>
      </w:r>
      <w:r>
        <w:rPr>
          <w:sz w:val="28"/>
          <w:szCs w:val="28"/>
        </w:rPr>
        <w:t xml:space="preserve"> by economic hardship</w:t>
      </w:r>
      <w:r w:rsidRPr="00631F09">
        <w:rPr>
          <w:sz w:val="28"/>
          <w:szCs w:val="28"/>
        </w:rPr>
        <w:t xml:space="preserve"> as well as the waning credibility of the political parties</w:t>
      </w:r>
      <w:r>
        <w:rPr>
          <w:sz w:val="28"/>
          <w:szCs w:val="28"/>
        </w:rPr>
        <w:t>.  The increase in armed criminal activity</w:t>
      </w:r>
      <w:r w:rsidRPr="00631F09">
        <w:rPr>
          <w:sz w:val="28"/>
          <w:szCs w:val="28"/>
        </w:rPr>
        <w:t xml:space="preserve"> </w:t>
      </w:r>
      <w:r>
        <w:rPr>
          <w:sz w:val="28"/>
          <w:szCs w:val="28"/>
        </w:rPr>
        <w:t xml:space="preserve">in a context of political instability was used by the government to justify its controversial </w:t>
      </w:r>
      <w:r w:rsidRPr="00631F09">
        <w:rPr>
          <w:sz w:val="28"/>
          <w:szCs w:val="28"/>
        </w:rPr>
        <w:t xml:space="preserve">Special Security Plan </w:t>
      </w:r>
      <w:r>
        <w:rPr>
          <w:sz w:val="28"/>
          <w:szCs w:val="28"/>
        </w:rPr>
        <w:t xml:space="preserve">put into effect </w:t>
      </w:r>
      <w:r w:rsidRPr="00631F09">
        <w:rPr>
          <w:sz w:val="28"/>
          <w:szCs w:val="28"/>
        </w:rPr>
        <w:t xml:space="preserve">on 9 July 2009. </w:t>
      </w:r>
      <w:r>
        <w:rPr>
          <w:sz w:val="28"/>
          <w:szCs w:val="28"/>
        </w:rPr>
        <w:t xml:space="preserve">  This was followed by an </w:t>
      </w:r>
      <w:r w:rsidRPr="00631F09">
        <w:rPr>
          <w:sz w:val="28"/>
          <w:szCs w:val="28"/>
        </w:rPr>
        <w:t xml:space="preserve">increase in cases of </w:t>
      </w:r>
      <w:r>
        <w:rPr>
          <w:sz w:val="28"/>
          <w:szCs w:val="28"/>
        </w:rPr>
        <w:t>extrajudicial execution, as reported by the OHCHR, and further documented as a continuing phenomena in this report</w:t>
      </w:r>
      <w:r>
        <w:rPr>
          <w:rStyle w:val="FootnoteReference"/>
          <w:sz w:val="28"/>
          <w:szCs w:val="28"/>
        </w:rPr>
        <w:footnoteReference w:id="27"/>
      </w:r>
      <w:r>
        <w:rPr>
          <w:sz w:val="28"/>
          <w:szCs w:val="28"/>
        </w:rPr>
        <w:t>.</w:t>
      </w:r>
    </w:p>
    <w:p w:rsidR="008C4466" w:rsidRDefault="008C4466" w:rsidP="008C4466">
      <w:pPr>
        <w:spacing w:before="100" w:beforeAutospacing="1" w:after="100" w:afterAutospacing="1"/>
        <w:jc w:val="both"/>
        <w:rPr>
          <w:sz w:val="28"/>
          <w:szCs w:val="28"/>
        </w:rPr>
      </w:pPr>
      <w:r>
        <w:rPr>
          <w:sz w:val="28"/>
          <w:szCs w:val="28"/>
        </w:rPr>
        <w:t xml:space="preserve">The alleged violations are not linked in any simple way to armed groups, although this association has often been presented by the media in a simplistic and </w:t>
      </w:r>
      <w:r>
        <w:rPr>
          <w:sz w:val="28"/>
          <w:szCs w:val="28"/>
        </w:rPr>
        <w:lastRenderedPageBreak/>
        <w:t>misleading way.  It is critical to understand the alleged practices within the larger history of economic hardship and discrimination.  Failure to understand this at a policy level will create increase the risk of violence due to failures of leadership in addressing the deeper roots of conflict.  For example, in the Far West region in May 2012, a political vacuum and advocacy by the major national parties against identity-based federalism led to communal violence that narrowly averted more grave consequences.</w:t>
      </w:r>
      <w:r>
        <w:rPr>
          <w:rStyle w:val="FootnoteReference"/>
          <w:sz w:val="28"/>
          <w:szCs w:val="28"/>
        </w:rPr>
        <w:footnoteReference w:id="28"/>
      </w:r>
      <w:r>
        <w:rPr>
          <w:sz w:val="28"/>
          <w:szCs w:val="28"/>
        </w:rPr>
        <w:t xml:space="preserve">  </w:t>
      </w:r>
    </w:p>
    <w:p w:rsidR="008C4466" w:rsidRDefault="008C4466" w:rsidP="008C4466">
      <w:pPr>
        <w:spacing w:before="100" w:beforeAutospacing="1" w:after="100" w:afterAutospacing="1"/>
        <w:jc w:val="both"/>
        <w:rPr>
          <w:sz w:val="28"/>
          <w:szCs w:val="28"/>
        </w:rPr>
      </w:pPr>
      <w:r>
        <w:rPr>
          <w:sz w:val="28"/>
          <w:szCs w:val="28"/>
        </w:rPr>
        <w:t>The issues that gave rise to public support to the Madhesi parties in the 2008 elections and that underly risks of violence have not dissipated.  Yet, in the 2013 elections these parties were effectively routed, as was the Maoist Party, also an advocate for a more “identity-based” based approach to politics.</w:t>
      </w:r>
      <w:r>
        <w:rPr>
          <w:rStyle w:val="FootnoteReference"/>
          <w:sz w:val="28"/>
          <w:szCs w:val="28"/>
        </w:rPr>
        <w:footnoteReference w:id="29"/>
      </w:r>
      <w:r>
        <w:rPr>
          <w:sz w:val="28"/>
          <w:szCs w:val="28"/>
        </w:rPr>
        <w:t xml:space="preserve">  Research and analysis of the 2013 elections continues.  To date, several reasons for the striking defeat of the Madhesi parties have been put forward.  These include perceived weaknesses in regional political party representation since the 2008 elections (multiple party splits and inter-party rivalries) combined with the lack of stability, security, and economic growth. </w:t>
      </w:r>
    </w:p>
    <w:p w:rsidR="008C4466" w:rsidRDefault="008C4466" w:rsidP="008C4466">
      <w:pPr>
        <w:spacing w:before="100" w:beforeAutospacing="1" w:after="100" w:afterAutospacing="1"/>
        <w:jc w:val="both"/>
        <w:rPr>
          <w:sz w:val="28"/>
          <w:szCs w:val="28"/>
        </w:rPr>
      </w:pPr>
      <w:r>
        <w:rPr>
          <w:sz w:val="28"/>
          <w:szCs w:val="28"/>
        </w:rPr>
        <w:t>For the past five years the region suffered from high levels of banditry, political violence, and an economic downturn with continuing weak investment and some of the poorest infrastructure in the country.</w:t>
      </w:r>
      <w:r>
        <w:rPr>
          <w:rStyle w:val="FootnoteReference"/>
          <w:sz w:val="28"/>
          <w:szCs w:val="28"/>
        </w:rPr>
        <w:footnoteReference w:id="30"/>
      </w:r>
      <w:r>
        <w:rPr>
          <w:sz w:val="28"/>
          <w:szCs w:val="28"/>
        </w:rPr>
        <w:t xml:space="preserve">  Most of the population still lacks adequate access to education and health care.  High</w:t>
      </w:r>
      <w:r w:rsidRPr="00631F09">
        <w:rPr>
          <w:sz w:val="28"/>
          <w:szCs w:val="28"/>
        </w:rPr>
        <w:t xml:space="preserve"> rates of illiteracy and poverty lead to </w:t>
      </w:r>
      <w:r w:rsidRPr="00BF6EBC">
        <w:rPr>
          <w:i/>
          <w:sz w:val="28"/>
          <w:szCs w:val="28"/>
        </w:rPr>
        <w:t>de facto</w:t>
      </w:r>
      <w:r w:rsidRPr="00631F09">
        <w:rPr>
          <w:sz w:val="28"/>
          <w:szCs w:val="28"/>
        </w:rPr>
        <w:t xml:space="preserve"> disenfranchisement of large sectors of the population</w:t>
      </w:r>
      <w:r>
        <w:rPr>
          <w:sz w:val="28"/>
          <w:szCs w:val="28"/>
        </w:rPr>
        <w:t xml:space="preserve"> while also limiting employment opportunities</w:t>
      </w:r>
      <w:r w:rsidRPr="00631F09">
        <w:rPr>
          <w:sz w:val="28"/>
          <w:szCs w:val="28"/>
        </w:rPr>
        <w:t>.</w:t>
      </w:r>
      <w:r w:rsidRPr="00631F09">
        <w:rPr>
          <w:rStyle w:val="FootnoteReference"/>
          <w:sz w:val="28"/>
          <w:szCs w:val="28"/>
        </w:rPr>
        <w:footnoteReference w:id="31"/>
      </w:r>
      <w:r>
        <w:rPr>
          <w:sz w:val="28"/>
          <w:szCs w:val="28"/>
        </w:rPr>
        <w:t xml:space="preserve"> </w:t>
      </w:r>
    </w:p>
    <w:p w:rsidR="008C4466" w:rsidRDefault="008C4466" w:rsidP="008C4466">
      <w:pPr>
        <w:spacing w:before="100" w:beforeAutospacing="1" w:after="100" w:afterAutospacing="1"/>
        <w:jc w:val="both"/>
        <w:rPr>
          <w:sz w:val="28"/>
          <w:szCs w:val="28"/>
        </w:rPr>
      </w:pPr>
      <w:r>
        <w:rPr>
          <w:sz w:val="28"/>
          <w:szCs w:val="28"/>
        </w:rPr>
        <w:t xml:space="preserve">One of the most dramatic signs of the socioeconomic crisis in the Madhesi area is the sharp increase since 2006 in the number of migrant workers seeking employment oversees, with large numbers going to the Gulf states. The revenue from their work represents approximately 22% of the national GDP, but it also represents the poverty of Nepal’s putative breadbasket.  </w:t>
      </w:r>
    </w:p>
    <w:p w:rsidR="008C4466" w:rsidRDefault="008C4466" w:rsidP="008C4466">
      <w:pPr>
        <w:spacing w:before="100" w:beforeAutospacing="1" w:after="100" w:afterAutospacing="1"/>
        <w:jc w:val="both"/>
        <w:rPr>
          <w:sz w:val="28"/>
          <w:szCs w:val="28"/>
        </w:rPr>
      </w:pPr>
      <w:r>
        <w:rPr>
          <w:sz w:val="28"/>
          <w:szCs w:val="28"/>
        </w:rPr>
        <w:t xml:space="preserve">Statistics from the Foreign Employment Agency reveal </w:t>
      </w:r>
      <w:r w:rsidRPr="009A0D21">
        <w:rPr>
          <w:sz w:val="28"/>
          <w:szCs w:val="28"/>
        </w:rPr>
        <w:t xml:space="preserve">that </w:t>
      </w:r>
      <w:r w:rsidRPr="003E04B5">
        <w:rPr>
          <w:color w:val="333333"/>
          <w:sz w:val="28"/>
          <w:szCs w:val="28"/>
        </w:rPr>
        <w:t xml:space="preserve">between </w:t>
      </w:r>
      <w:r w:rsidRPr="003E04B5">
        <w:rPr>
          <w:sz w:val="28"/>
          <w:szCs w:val="28"/>
        </w:rPr>
        <w:t>2060 and 2066 BS</w:t>
      </w:r>
      <w:r>
        <w:rPr>
          <w:sz w:val="28"/>
          <w:szCs w:val="28"/>
        </w:rPr>
        <w:t xml:space="preserve"> (2003-2009),</w:t>
      </w:r>
      <w:r w:rsidRPr="003E04B5">
        <w:rPr>
          <w:sz w:val="28"/>
          <w:szCs w:val="28"/>
        </w:rPr>
        <w:t xml:space="preserve"> 47.8 per cent </w:t>
      </w:r>
      <w:r>
        <w:rPr>
          <w:sz w:val="28"/>
          <w:szCs w:val="28"/>
        </w:rPr>
        <w:t xml:space="preserve">of Nepali migrant </w:t>
      </w:r>
      <w:r w:rsidRPr="003E04B5">
        <w:rPr>
          <w:sz w:val="28"/>
          <w:szCs w:val="28"/>
        </w:rPr>
        <w:t xml:space="preserve">workers </w:t>
      </w:r>
      <w:r>
        <w:rPr>
          <w:sz w:val="28"/>
          <w:szCs w:val="28"/>
        </w:rPr>
        <w:t>were</w:t>
      </w:r>
      <w:r w:rsidRPr="003E04B5">
        <w:rPr>
          <w:sz w:val="28"/>
          <w:szCs w:val="28"/>
        </w:rPr>
        <w:t xml:space="preserve"> from </w:t>
      </w:r>
      <w:r>
        <w:rPr>
          <w:sz w:val="28"/>
          <w:szCs w:val="28"/>
        </w:rPr>
        <w:t xml:space="preserve">the </w:t>
      </w:r>
      <w:r w:rsidRPr="003E04B5">
        <w:rPr>
          <w:sz w:val="28"/>
          <w:szCs w:val="28"/>
        </w:rPr>
        <w:lastRenderedPageBreak/>
        <w:t xml:space="preserve">Madhesh, 46.2 per cent from </w:t>
      </w:r>
      <w:r>
        <w:rPr>
          <w:sz w:val="28"/>
          <w:szCs w:val="28"/>
        </w:rPr>
        <w:t xml:space="preserve">the </w:t>
      </w:r>
      <w:r w:rsidRPr="003E04B5">
        <w:rPr>
          <w:sz w:val="28"/>
          <w:szCs w:val="28"/>
        </w:rPr>
        <w:t xml:space="preserve">hill districts and 6 per cent from </w:t>
      </w:r>
      <w:r>
        <w:rPr>
          <w:sz w:val="28"/>
          <w:szCs w:val="28"/>
        </w:rPr>
        <w:t xml:space="preserve">the </w:t>
      </w:r>
      <w:r w:rsidRPr="003E04B5">
        <w:rPr>
          <w:sz w:val="28"/>
          <w:szCs w:val="28"/>
        </w:rPr>
        <w:t>mountain districts. Dhanusha tops the Madhesh districts that send the most workers to Gulf countries and other destinations followed by Jhapa (5.3 per cent), Siraha (4.8 per cent), Morang (4.2 per cent), Mahottari (4 per cent), Nawalparasi (3.2 per cent), and Chitwan (2.9 per cent)</w:t>
      </w:r>
      <w:r>
        <w:rPr>
          <w:sz w:val="28"/>
          <w:szCs w:val="28"/>
        </w:rPr>
        <w:t>.</w:t>
      </w:r>
      <w:r w:rsidRPr="0051107C">
        <w:rPr>
          <w:rStyle w:val="FootnoteReference"/>
          <w:sz w:val="28"/>
          <w:szCs w:val="28"/>
        </w:rPr>
        <w:footnoteReference w:id="32"/>
      </w:r>
      <w:r w:rsidRPr="003E04B5">
        <w:rPr>
          <w:sz w:val="28"/>
          <w:szCs w:val="28"/>
        </w:rPr>
        <w:t xml:space="preserve">  </w:t>
      </w:r>
    </w:p>
    <w:p w:rsidR="008C4466" w:rsidRDefault="008C4466" w:rsidP="008C4466">
      <w:pPr>
        <w:spacing w:before="100" w:beforeAutospacing="1" w:after="100" w:afterAutospacing="1"/>
        <w:jc w:val="both"/>
        <w:rPr>
          <w:sz w:val="28"/>
          <w:szCs w:val="28"/>
        </w:rPr>
      </w:pPr>
      <w:r w:rsidRPr="003E04B5">
        <w:rPr>
          <w:sz w:val="28"/>
          <w:szCs w:val="28"/>
        </w:rPr>
        <w:t xml:space="preserve">Although </w:t>
      </w:r>
      <w:r>
        <w:rPr>
          <w:sz w:val="28"/>
          <w:szCs w:val="28"/>
        </w:rPr>
        <w:t>migrant labour</w:t>
      </w:r>
      <w:r w:rsidRPr="003E04B5">
        <w:rPr>
          <w:sz w:val="28"/>
          <w:szCs w:val="28"/>
        </w:rPr>
        <w:t xml:space="preserve"> has alleviated poverty f</w:t>
      </w:r>
      <w:r>
        <w:rPr>
          <w:sz w:val="28"/>
          <w:szCs w:val="28"/>
        </w:rPr>
        <w:t>or a large number of Madeshi families, it has also le</w:t>
      </w:r>
      <w:r w:rsidRPr="003E04B5">
        <w:rPr>
          <w:sz w:val="28"/>
          <w:szCs w:val="28"/>
        </w:rPr>
        <w:t xml:space="preserve">d to </w:t>
      </w:r>
      <w:r>
        <w:rPr>
          <w:sz w:val="28"/>
          <w:szCs w:val="28"/>
        </w:rPr>
        <w:t>exploitation. The majority of migrants are young men with very low levels of education. Many do not speak Nepali. This makes them easy targets for middlemen who take a cut of their salaries.  Contractual conditions and promises to employees are frequently ignored and workers are subjected to dangerous working conditions with no accountability. They are also discriminated against when they seek help at their embassies, where they are mostly perceived as Indians.  The migrant labour phenomena has also led to family and community disintegration as large numbers of young healthy men leave their homes.</w:t>
      </w:r>
      <w:r>
        <w:rPr>
          <w:rStyle w:val="FootnoteReference"/>
          <w:sz w:val="28"/>
          <w:szCs w:val="28"/>
        </w:rPr>
        <w:footnoteReference w:id="33"/>
      </w:r>
      <w:r>
        <w:rPr>
          <w:sz w:val="28"/>
          <w:szCs w:val="28"/>
        </w:rPr>
        <w:t xml:space="preserve"> In Dhanusha district, young men are nowhere to be found. Fields are left untended, the cost of local goods rises, and a disproportionate social and economic burden falls on women left behind.</w:t>
      </w:r>
      <w:r>
        <w:rPr>
          <w:rStyle w:val="FootnoteReference"/>
          <w:sz w:val="28"/>
          <w:szCs w:val="28"/>
        </w:rPr>
        <w:footnoteReference w:id="34"/>
      </w:r>
    </w:p>
    <w:p w:rsidR="008C4466" w:rsidRDefault="008C4466" w:rsidP="008C4466">
      <w:pPr>
        <w:spacing w:before="100" w:beforeAutospacing="1" w:after="100" w:afterAutospacing="1"/>
        <w:jc w:val="both"/>
        <w:rPr>
          <w:sz w:val="28"/>
          <w:szCs w:val="28"/>
        </w:rPr>
      </w:pPr>
      <w:r>
        <w:rPr>
          <w:sz w:val="28"/>
          <w:szCs w:val="28"/>
        </w:rPr>
        <w:t xml:space="preserve">In addition to the growing hardships of daily life, the perception of discrimination against Madhesi identity was reinforced in several ways during the previous government.  This has heightened criticism of the Madhesi parties.  For example, while members of these parties held key ministries under Prime Minister Baburam Bhattarai, they were unable to fulfil their promise to overcome discrimination against Madhesi youth in the Nepal Army recruitment process.  The necessary statutory and regulatory reform aimed at inclusion was not passed.  Similarly, under Prime Minister Madhav Kumar Nepal, the Madhesi parties did not successfully oppose the declaration of the ‘national dress’ as that belonging to only one part of the population, the ‘Daura Suruwal’ (formal dress popular in the Hill region but not representative of the Madhesi area). </w:t>
      </w:r>
    </w:p>
    <w:p w:rsidR="008C4466" w:rsidRDefault="008C4466" w:rsidP="008C4466">
      <w:pPr>
        <w:spacing w:before="100" w:beforeAutospacing="1" w:after="100" w:afterAutospacing="1"/>
        <w:jc w:val="both"/>
        <w:rPr>
          <w:sz w:val="28"/>
          <w:szCs w:val="28"/>
        </w:rPr>
      </w:pPr>
      <w:r>
        <w:rPr>
          <w:sz w:val="28"/>
          <w:szCs w:val="28"/>
        </w:rPr>
        <w:t xml:space="preserve">More recently, the media widely reported the government’s controversial introduction of a voter identity card inaccessible to many Madheshi citizens who were unable to acquire formal documentation of their citizenship.  As a result, </w:t>
      </w:r>
      <w:r>
        <w:rPr>
          <w:sz w:val="28"/>
          <w:szCs w:val="28"/>
        </w:rPr>
        <w:lastRenderedPageBreak/>
        <w:t>there is strong public criticism, exacerbated by longstanding perceived unfairness in the drawing of electoral boundaries, that many were disenfranchised during the 2013 national elections</w:t>
      </w:r>
      <w:r>
        <w:rPr>
          <w:rStyle w:val="FootnoteReference"/>
          <w:sz w:val="28"/>
          <w:szCs w:val="28"/>
        </w:rPr>
        <w:footnoteReference w:id="35"/>
      </w:r>
      <w:r>
        <w:rPr>
          <w:sz w:val="28"/>
          <w:szCs w:val="28"/>
        </w:rPr>
        <w:t xml:space="preserve">.  </w:t>
      </w:r>
    </w:p>
    <w:p w:rsidR="008C4466" w:rsidRPr="00BC0C1D" w:rsidRDefault="008C4466" w:rsidP="008C4466">
      <w:pPr>
        <w:pStyle w:val="Heading1"/>
        <w:spacing w:before="100" w:beforeAutospacing="1" w:after="100" w:afterAutospacing="1"/>
        <w:jc w:val="both"/>
        <w:rPr>
          <w:rFonts w:ascii="Times New Roman" w:hAnsi="Times New Roman"/>
          <w:sz w:val="28"/>
        </w:rPr>
      </w:pPr>
      <w:bookmarkStart w:id="12" w:name="_Toc379980839"/>
      <w:bookmarkStart w:id="13" w:name="_Toc379983652"/>
      <w:r w:rsidRPr="00BC0C1D">
        <w:rPr>
          <w:rFonts w:ascii="Times New Roman" w:hAnsi="Times New Roman"/>
          <w:sz w:val="28"/>
        </w:rPr>
        <w:t>Extrajudicial Executions</w:t>
      </w:r>
      <w:bookmarkEnd w:id="12"/>
      <w:bookmarkEnd w:id="13"/>
    </w:p>
    <w:p w:rsidR="008C4466" w:rsidRPr="00BC0C1D" w:rsidRDefault="008C4466" w:rsidP="008C4466">
      <w:pPr>
        <w:pStyle w:val="Heading2"/>
        <w:spacing w:before="100" w:beforeAutospacing="1" w:after="100" w:afterAutospacing="1"/>
        <w:jc w:val="both"/>
        <w:rPr>
          <w:rFonts w:ascii="Times New Roman" w:hAnsi="Times New Roman"/>
        </w:rPr>
      </w:pPr>
      <w:bookmarkStart w:id="14" w:name="_Toc379980840"/>
      <w:bookmarkStart w:id="15" w:name="_Toc379983653"/>
      <w:r w:rsidRPr="00BC0C1D">
        <w:rPr>
          <w:rFonts w:ascii="Times New Roman" w:hAnsi="Times New Roman"/>
        </w:rPr>
        <w:t>Extrajudicial executions – a longstanding pattern in nepal</w:t>
      </w:r>
      <w:bookmarkEnd w:id="14"/>
      <w:bookmarkEnd w:id="15"/>
    </w:p>
    <w:p w:rsidR="008C4466" w:rsidRPr="00EF5BB4" w:rsidRDefault="008C4466" w:rsidP="008C4466">
      <w:pPr>
        <w:spacing w:before="100" w:beforeAutospacing="1" w:after="100" w:afterAutospacing="1"/>
        <w:jc w:val="both"/>
        <w:rPr>
          <w:sz w:val="28"/>
          <w:szCs w:val="28"/>
          <w:highlight w:val="yellow"/>
        </w:rPr>
      </w:pPr>
      <w:r>
        <w:rPr>
          <w:sz w:val="28"/>
          <w:szCs w:val="28"/>
        </w:rPr>
        <w:t xml:space="preserve">Before presented twelve recent cases of alleged extrajudicial execution, it is important to locate this practice in its historical context.  It is not new to Nepal.  </w:t>
      </w:r>
      <w:r w:rsidRPr="00D96DB4">
        <w:rPr>
          <w:sz w:val="28"/>
          <w:szCs w:val="28"/>
        </w:rPr>
        <w:t>Extrajudicial executions were widespread during the armed conflict</w:t>
      </w:r>
      <w:r>
        <w:rPr>
          <w:sz w:val="28"/>
          <w:szCs w:val="28"/>
        </w:rPr>
        <w:t xml:space="preserve"> from 1996 to 2006.  Most commonly,</w:t>
      </w:r>
      <w:r w:rsidRPr="00D96DB4">
        <w:rPr>
          <w:sz w:val="28"/>
          <w:szCs w:val="28"/>
        </w:rPr>
        <w:t xml:space="preserve"> </w:t>
      </w:r>
      <w:r>
        <w:rPr>
          <w:sz w:val="28"/>
          <w:szCs w:val="28"/>
        </w:rPr>
        <w:t>State authorities would report</w:t>
      </w:r>
      <w:r w:rsidRPr="00D96DB4">
        <w:rPr>
          <w:sz w:val="28"/>
          <w:szCs w:val="28"/>
        </w:rPr>
        <w:t xml:space="preserve"> </w:t>
      </w:r>
      <w:r>
        <w:rPr>
          <w:sz w:val="28"/>
          <w:szCs w:val="28"/>
        </w:rPr>
        <w:t xml:space="preserve">that </w:t>
      </w:r>
      <w:r w:rsidRPr="00D96DB4">
        <w:rPr>
          <w:sz w:val="28"/>
          <w:szCs w:val="28"/>
        </w:rPr>
        <w:t xml:space="preserve">suspected insurgents </w:t>
      </w:r>
      <w:r>
        <w:rPr>
          <w:sz w:val="28"/>
          <w:szCs w:val="28"/>
        </w:rPr>
        <w:t>were</w:t>
      </w:r>
      <w:r w:rsidRPr="00D96DB4">
        <w:rPr>
          <w:sz w:val="28"/>
          <w:szCs w:val="28"/>
        </w:rPr>
        <w:t xml:space="preserve"> killed in an “encounter”</w:t>
      </w:r>
      <w:r>
        <w:rPr>
          <w:sz w:val="28"/>
          <w:szCs w:val="28"/>
        </w:rPr>
        <w:t>.  An encounter refers to an exchange of gunfire</w:t>
      </w:r>
      <w:r w:rsidRPr="00D96DB4">
        <w:rPr>
          <w:sz w:val="28"/>
          <w:szCs w:val="28"/>
        </w:rPr>
        <w:t xml:space="preserve"> between the security forces and </w:t>
      </w:r>
      <w:r>
        <w:rPr>
          <w:sz w:val="28"/>
          <w:szCs w:val="28"/>
        </w:rPr>
        <w:t>insurgent forces</w:t>
      </w:r>
      <w:r w:rsidRPr="00D96DB4">
        <w:rPr>
          <w:sz w:val="28"/>
          <w:szCs w:val="28"/>
        </w:rPr>
        <w:t xml:space="preserve">. </w:t>
      </w:r>
      <w:r>
        <w:rPr>
          <w:sz w:val="28"/>
          <w:szCs w:val="28"/>
        </w:rPr>
        <w:t xml:space="preserve"> The word ‘encounter’, however, became a euphemism for an extrajudicial killing.  </w:t>
      </w:r>
      <w:r w:rsidR="00DE2535" w:rsidRPr="00DE2535">
        <w:rPr>
          <w:sz w:val="28"/>
          <w:szCs w:val="28"/>
        </w:rPr>
        <w:t>The widespread nature of this practice was documented by the OHCHR, which reports 2,000 incidents that raise a reasonable basis for suspicion that one or more killings occurred in circumstances amounting to a serious violation of international law.</w:t>
      </w:r>
      <w:r w:rsidR="00DE2535" w:rsidRPr="00DE2535">
        <w:rPr>
          <w:rStyle w:val="FootnoteReference"/>
          <w:sz w:val="28"/>
          <w:szCs w:val="28"/>
        </w:rPr>
        <w:footnoteReference w:id="36"/>
      </w:r>
    </w:p>
    <w:p w:rsidR="008C4466" w:rsidRPr="00D96DB4" w:rsidRDefault="008C4466" w:rsidP="008C4466">
      <w:pPr>
        <w:spacing w:before="100" w:beforeAutospacing="1" w:after="100" w:afterAutospacing="1"/>
        <w:jc w:val="both"/>
        <w:rPr>
          <w:sz w:val="28"/>
          <w:szCs w:val="28"/>
        </w:rPr>
      </w:pPr>
      <w:r w:rsidRPr="00D96DB4">
        <w:rPr>
          <w:sz w:val="28"/>
          <w:szCs w:val="28"/>
        </w:rPr>
        <w:t xml:space="preserve">Following the </w:t>
      </w:r>
      <w:r>
        <w:rPr>
          <w:sz w:val="28"/>
          <w:szCs w:val="28"/>
        </w:rPr>
        <w:t>Comprehensive Peace Agreement</w:t>
      </w:r>
      <w:r w:rsidRPr="00D96DB4">
        <w:rPr>
          <w:sz w:val="28"/>
          <w:szCs w:val="28"/>
        </w:rPr>
        <w:t xml:space="preserve"> of 2006, the number of </w:t>
      </w:r>
      <w:r>
        <w:rPr>
          <w:sz w:val="28"/>
          <w:szCs w:val="28"/>
        </w:rPr>
        <w:t xml:space="preserve">reported </w:t>
      </w:r>
      <w:r w:rsidRPr="00D96DB4">
        <w:rPr>
          <w:sz w:val="28"/>
          <w:szCs w:val="28"/>
        </w:rPr>
        <w:t xml:space="preserve">extrajudicial executions </w:t>
      </w:r>
      <w:r>
        <w:rPr>
          <w:sz w:val="28"/>
          <w:szCs w:val="28"/>
        </w:rPr>
        <w:t xml:space="preserve">was </w:t>
      </w:r>
      <w:r w:rsidRPr="00D96DB4">
        <w:rPr>
          <w:sz w:val="28"/>
          <w:szCs w:val="28"/>
        </w:rPr>
        <w:t xml:space="preserve">drastically reduced throughout the country. However, </w:t>
      </w:r>
      <w:r>
        <w:rPr>
          <w:sz w:val="28"/>
          <w:szCs w:val="28"/>
        </w:rPr>
        <w:t>a new</w:t>
      </w:r>
      <w:r w:rsidRPr="00D96DB4">
        <w:rPr>
          <w:sz w:val="28"/>
          <w:szCs w:val="28"/>
        </w:rPr>
        <w:t xml:space="preserve"> trend </w:t>
      </w:r>
      <w:r>
        <w:rPr>
          <w:sz w:val="28"/>
          <w:szCs w:val="28"/>
        </w:rPr>
        <w:t>with similar patterns emerged</w:t>
      </w:r>
      <w:r w:rsidRPr="00D96DB4">
        <w:rPr>
          <w:sz w:val="28"/>
          <w:szCs w:val="28"/>
        </w:rPr>
        <w:t xml:space="preserve"> once again after the 2008 Constituent Assembly elections</w:t>
      </w:r>
      <w:r>
        <w:rPr>
          <w:sz w:val="28"/>
          <w:szCs w:val="28"/>
        </w:rPr>
        <w:t xml:space="preserve">.  This pattern emerged in a new political context, that of the </w:t>
      </w:r>
      <w:r w:rsidRPr="00D96DB4">
        <w:rPr>
          <w:sz w:val="28"/>
          <w:szCs w:val="28"/>
        </w:rPr>
        <w:t xml:space="preserve"> </w:t>
      </w:r>
      <w:r>
        <w:rPr>
          <w:sz w:val="28"/>
          <w:szCs w:val="28"/>
        </w:rPr>
        <w:t xml:space="preserve">agitation by the Madhesi population for greater equality through </w:t>
      </w:r>
      <w:r w:rsidRPr="00D96DB4">
        <w:rPr>
          <w:sz w:val="28"/>
          <w:szCs w:val="28"/>
        </w:rPr>
        <w:t>constitutional federalism</w:t>
      </w:r>
      <w:r>
        <w:rPr>
          <w:sz w:val="28"/>
          <w:szCs w:val="28"/>
        </w:rPr>
        <w:t xml:space="preserve"> (see above)</w:t>
      </w:r>
      <w:r w:rsidRPr="00D96DB4">
        <w:rPr>
          <w:sz w:val="28"/>
          <w:szCs w:val="28"/>
        </w:rPr>
        <w:t xml:space="preserve">. Between April 2008 and May 2011, 281 </w:t>
      </w:r>
      <w:r>
        <w:rPr>
          <w:sz w:val="28"/>
          <w:szCs w:val="28"/>
        </w:rPr>
        <w:t xml:space="preserve">alleged </w:t>
      </w:r>
      <w:r w:rsidRPr="00D96DB4">
        <w:rPr>
          <w:sz w:val="28"/>
          <w:szCs w:val="28"/>
        </w:rPr>
        <w:t>extrajudicial</w:t>
      </w:r>
      <w:r>
        <w:rPr>
          <w:sz w:val="28"/>
          <w:szCs w:val="28"/>
        </w:rPr>
        <w:t xml:space="preserve"> </w:t>
      </w:r>
      <w:r w:rsidRPr="00D96DB4">
        <w:rPr>
          <w:sz w:val="28"/>
          <w:szCs w:val="28"/>
        </w:rPr>
        <w:t xml:space="preserve">executions </w:t>
      </w:r>
      <w:r>
        <w:rPr>
          <w:sz w:val="28"/>
          <w:szCs w:val="28"/>
        </w:rPr>
        <w:t xml:space="preserve">were </w:t>
      </w:r>
      <w:r w:rsidRPr="00D96DB4">
        <w:rPr>
          <w:sz w:val="28"/>
          <w:szCs w:val="28"/>
        </w:rPr>
        <w:t>reported in the Terai</w:t>
      </w:r>
      <w:r>
        <w:rPr>
          <w:sz w:val="28"/>
          <w:szCs w:val="28"/>
        </w:rPr>
        <w:t xml:space="preserve">, with almost have (132) identifying </w:t>
      </w:r>
      <w:r w:rsidRPr="00D96DB4">
        <w:rPr>
          <w:sz w:val="28"/>
          <w:szCs w:val="28"/>
        </w:rPr>
        <w:t xml:space="preserve">the security forces </w:t>
      </w:r>
      <w:r>
        <w:rPr>
          <w:sz w:val="28"/>
          <w:szCs w:val="28"/>
        </w:rPr>
        <w:t>as perpetrators</w:t>
      </w:r>
      <w:r w:rsidRPr="00D96DB4">
        <w:rPr>
          <w:sz w:val="28"/>
          <w:szCs w:val="28"/>
        </w:rPr>
        <w:t>.</w:t>
      </w:r>
      <w:r w:rsidRPr="00D96DB4">
        <w:rPr>
          <w:rStyle w:val="FootnoteReference"/>
          <w:sz w:val="28"/>
          <w:szCs w:val="28"/>
        </w:rPr>
        <w:footnoteReference w:id="37"/>
      </w:r>
      <w:r w:rsidRPr="00D96DB4">
        <w:rPr>
          <w:sz w:val="28"/>
          <w:szCs w:val="28"/>
        </w:rPr>
        <w:t xml:space="preserve"> According to reports by DFHRI,</w:t>
      </w:r>
      <w:r w:rsidRPr="00D96DB4">
        <w:rPr>
          <w:rStyle w:val="FootnoteReference"/>
          <w:sz w:val="28"/>
          <w:szCs w:val="28"/>
        </w:rPr>
        <w:footnoteReference w:id="38"/>
      </w:r>
      <w:r w:rsidRPr="00D96DB4">
        <w:rPr>
          <w:sz w:val="28"/>
          <w:szCs w:val="28"/>
        </w:rPr>
        <w:t>between March 2008 and June 2010, 65 people were killed in this manner and 116 between June 2010 and May 2011. The majority of the victims are Madeshi men aged 20-30.</w:t>
      </w:r>
    </w:p>
    <w:p w:rsidR="008C4466" w:rsidRPr="00D96DB4" w:rsidRDefault="008C4466" w:rsidP="008C4466">
      <w:pPr>
        <w:tabs>
          <w:tab w:val="left" w:pos="2520"/>
        </w:tabs>
        <w:spacing w:before="100" w:beforeAutospacing="1" w:after="100" w:afterAutospacing="1"/>
        <w:jc w:val="both"/>
        <w:rPr>
          <w:sz w:val="28"/>
          <w:szCs w:val="28"/>
        </w:rPr>
      </w:pPr>
      <w:r w:rsidRPr="00D96DB4">
        <w:rPr>
          <w:sz w:val="28"/>
          <w:szCs w:val="28"/>
        </w:rPr>
        <w:tab/>
      </w:r>
    </w:p>
    <w:p w:rsidR="008C4466" w:rsidRPr="00D96DB4" w:rsidRDefault="008C4466" w:rsidP="008C4466">
      <w:pPr>
        <w:pStyle w:val="Heading2"/>
        <w:spacing w:before="100" w:beforeAutospacing="1" w:after="100" w:afterAutospacing="1"/>
        <w:jc w:val="both"/>
      </w:pPr>
      <w:bookmarkStart w:id="16" w:name="_Toc379980841"/>
      <w:bookmarkStart w:id="17" w:name="_Toc379983654"/>
      <w:r w:rsidRPr="00D96DB4">
        <w:lastRenderedPageBreak/>
        <w:t>Extrajudicial executions in the Terai- January 2011 August 2013</w:t>
      </w:r>
      <w:bookmarkEnd w:id="16"/>
      <w:bookmarkEnd w:id="17"/>
    </w:p>
    <w:p w:rsidR="008C4466" w:rsidRPr="00631F09" w:rsidRDefault="008C4466" w:rsidP="008C4466">
      <w:pPr>
        <w:spacing w:before="100" w:beforeAutospacing="1" w:after="100" w:afterAutospacing="1"/>
        <w:jc w:val="both"/>
        <w:rPr>
          <w:sz w:val="28"/>
          <w:szCs w:val="28"/>
        </w:rPr>
      </w:pPr>
      <w:r>
        <w:rPr>
          <w:sz w:val="28"/>
          <w:szCs w:val="28"/>
        </w:rPr>
        <w:t>This report suggests that the pattern reported by the OHCHR continues. The</w:t>
      </w:r>
      <w:r w:rsidRPr="00D96DB4">
        <w:rPr>
          <w:sz w:val="28"/>
          <w:szCs w:val="28"/>
        </w:rPr>
        <w:t xml:space="preserve"> THRD Alliance documented 12</w:t>
      </w:r>
      <w:r>
        <w:rPr>
          <w:sz w:val="28"/>
          <w:szCs w:val="28"/>
        </w:rPr>
        <w:t xml:space="preserve"> alleged </w:t>
      </w:r>
      <w:r w:rsidRPr="00D96DB4">
        <w:rPr>
          <w:sz w:val="28"/>
          <w:szCs w:val="28"/>
        </w:rPr>
        <w:t>cases of extrajudicial execution in the Terai</w:t>
      </w:r>
      <w:r>
        <w:rPr>
          <w:sz w:val="28"/>
          <w:szCs w:val="28"/>
        </w:rPr>
        <w:t xml:space="preserve"> occurring b</w:t>
      </w:r>
      <w:r w:rsidRPr="00D96DB4">
        <w:rPr>
          <w:sz w:val="28"/>
          <w:szCs w:val="28"/>
        </w:rPr>
        <w:t>etween January 2011 and August 2013.</w:t>
      </w:r>
      <w:r w:rsidRPr="00631F09">
        <w:rPr>
          <w:sz w:val="28"/>
          <w:szCs w:val="28"/>
        </w:rPr>
        <w:t xml:space="preserve"> </w:t>
      </w:r>
      <w:r>
        <w:rPr>
          <w:sz w:val="28"/>
          <w:szCs w:val="28"/>
        </w:rPr>
        <w:t xml:space="preserve">Alleged perpetrators include the Nepal Police (9 cases), the Armed Police Force (APF) (1 case), as well as joint operations between these two institutions (2 cases).  The victims were all Madeshi men, most between the ages of 19 and 27 (9 cases), two in their 40s, and one of unknown age.  </w:t>
      </w:r>
    </w:p>
    <w:p w:rsidR="008C4466" w:rsidRPr="00631F09" w:rsidRDefault="008C4466" w:rsidP="008C4466">
      <w:pPr>
        <w:pStyle w:val="Heading2"/>
        <w:spacing w:before="100" w:beforeAutospacing="1" w:after="100" w:afterAutospacing="1"/>
        <w:jc w:val="both"/>
      </w:pPr>
      <w:bookmarkStart w:id="18" w:name="_Toc379980842"/>
      <w:bookmarkStart w:id="19" w:name="_Toc379983655"/>
      <w:r>
        <w:t>P</w:t>
      </w:r>
      <w:r w:rsidRPr="00631F09">
        <w:t>olicing</w:t>
      </w:r>
      <w:r>
        <w:t xml:space="preserve"> and </w:t>
      </w:r>
      <w:r w:rsidRPr="00631F09">
        <w:t xml:space="preserve">security procedures in </w:t>
      </w:r>
      <w:r>
        <w:t xml:space="preserve">the </w:t>
      </w:r>
      <w:r w:rsidRPr="00631F09">
        <w:t>Terai</w:t>
      </w:r>
      <w:bookmarkEnd w:id="18"/>
      <w:bookmarkEnd w:id="19"/>
    </w:p>
    <w:p w:rsidR="008C4466" w:rsidRPr="001422FE" w:rsidRDefault="008C4466" w:rsidP="008C4466">
      <w:pPr>
        <w:spacing w:before="100" w:beforeAutospacing="1" w:after="100" w:afterAutospacing="1"/>
        <w:jc w:val="both"/>
        <w:rPr>
          <w:sz w:val="28"/>
          <w:szCs w:val="28"/>
        </w:rPr>
      </w:pPr>
      <w:r>
        <w:rPr>
          <w:sz w:val="28"/>
          <w:szCs w:val="28"/>
        </w:rPr>
        <w:t>Historically</w:t>
      </w:r>
      <w:r w:rsidRPr="001422FE">
        <w:rPr>
          <w:sz w:val="28"/>
          <w:szCs w:val="28"/>
        </w:rPr>
        <w:t xml:space="preserve"> there has been little police presence in the Terai. This has </w:t>
      </w:r>
      <w:r>
        <w:rPr>
          <w:sz w:val="28"/>
          <w:szCs w:val="28"/>
        </w:rPr>
        <w:t>permitted</w:t>
      </w:r>
      <w:r w:rsidRPr="001422FE">
        <w:rPr>
          <w:sz w:val="28"/>
          <w:szCs w:val="28"/>
        </w:rPr>
        <w:t xml:space="preserve"> </w:t>
      </w:r>
      <w:r>
        <w:rPr>
          <w:sz w:val="28"/>
          <w:szCs w:val="28"/>
        </w:rPr>
        <w:t>impunity for</w:t>
      </w:r>
      <w:r w:rsidRPr="001422FE">
        <w:rPr>
          <w:sz w:val="28"/>
          <w:szCs w:val="28"/>
        </w:rPr>
        <w:t xml:space="preserve"> criminal</w:t>
      </w:r>
      <w:r>
        <w:rPr>
          <w:sz w:val="28"/>
          <w:szCs w:val="28"/>
        </w:rPr>
        <w:t xml:space="preserve"> behaviour and also subjected inhabitants to a persistent sense of vulnerability.</w:t>
      </w:r>
      <w:r>
        <w:rPr>
          <w:rStyle w:val="FootnoteReference"/>
          <w:sz w:val="28"/>
          <w:szCs w:val="28"/>
        </w:rPr>
        <w:footnoteReference w:id="39"/>
      </w:r>
      <w:r w:rsidRPr="001422FE">
        <w:rPr>
          <w:sz w:val="28"/>
          <w:szCs w:val="28"/>
        </w:rPr>
        <w:t xml:space="preserve"> </w:t>
      </w:r>
      <w:r>
        <w:rPr>
          <w:sz w:val="28"/>
          <w:szCs w:val="28"/>
        </w:rPr>
        <w:t xml:space="preserve">Following the armed conflict, security forces in the region were re-established, and </w:t>
      </w:r>
      <w:r w:rsidRPr="001422FE">
        <w:rPr>
          <w:sz w:val="28"/>
          <w:szCs w:val="28"/>
        </w:rPr>
        <w:t xml:space="preserve">in 2009 the government implemented the Special Security Plan. Although the exact details of the </w:t>
      </w:r>
      <w:r>
        <w:rPr>
          <w:sz w:val="28"/>
          <w:szCs w:val="28"/>
        </w:rPr>
        <w:t>P</w:t>
      </w:r>
      <w:r w:rsidRPr="001422FE">
        <w:rPr>
          <w:sz w:val="28"/>
          <w:szCs w:val="28"/>
        </w:rPr>
        <w:t xml:space="preserve">lan </w:t>
      </w:r>
      <w:r>
        <w:rPr>
          <w:sz w:val="28"/>
          <w:szCs w:val="28"/>
        </w:rPr>
        <w:t>were never</w:t>
      </w:r>
      <w:r w:rsidRPr="001422FE">
        <w:rPr>
          <w:sz w:val="28"/>
          <w:szCs w:val="28"/>
        </w:rPr>
        <w:t xml:space="preserve"> disclosed, </w:t>
      </w:r>
      <w:r>
        <w:rPr>
          <w:sz w:val="28"/>
          <w:szCs w:val="28"/>
        </w:rPr>
        <w:t xml:space="preserve">it was accompanied by </w:t>
      </w:r>
      <w:r w:rsidRPr="001422FE">
        <w:rPr>
          <w:sz w:val="28"/>
          <w:szCs w:val="28"/>
        </w:rPr>
        <w:t xml:space="preserve"> a significant </w:t>
      </w:r>
      <w:r>
        <w:rPr>
          <w:sz w:val="28"/>
          <w:szCs w:val="28"/>
        </w:rPr>
        <w:t>increase</w:t>
      </w:r>
      <w:r w:rsidRPr="001422FE">
        <w:rPr>
          <w:sz w:val="28"/>
          <w:szCs w:val="28"/>
        </w:rPr>
        <w:t xml:space="preserve"> in the number of Armed Police Force </w:t>
      </w:r>
      <w:r>
        <w:rPr>
          <w:sz w:val="28"/>
          <w:szCs w:val="28"/>
        </w:rPr>
        <w:t xml:space="preserve">personnel </w:t>
      </w:r>
      <w:r w:rsidRPr="001422FE">
        <w:rPr>
          <w:sz w:val="28"/>
          <w:szCs w:val="28"/>
        </w:rPr>
        <w:t xml:space="preserve">in the Terai. The Plan was implemented following strong political and community pressure to tackle the problem of widespread criminality in the region. There has therefore been tacit support for strong-armed tactics, as well as pressure to not investigate </w:t>
      </w:r>
      <w:r>
        <w:rPr>
          <w:sz w:val="28"/>
          <w:szCs w:val="28"/>
        </w:rPr>
        <w:t>“</w:t>
      </w:r>
      <w:r w:rsidRPr="001422FE">
        <w:rPr>
          <w:sz w:val="28"/>
          <w:szCs w:val="28"/>
        </w:rPr>
        <w:t>encounter killings</w:t>
      </w:r>
      <w:r>
        <w:rPr>
          <w:sz w:val="28"/>
          <w:szCs w:val="28"/>
        </w:rPr>
        <w:t>”</w:t>
      </w:r>
      <w:r w:rsidRPr="001422FE">
        <w:rPr>
          <w:sz w:val="28"/>
          <w:szCs w:val="28"/>
        </w:rPr>
        <w:t xml:space="preserve">. </w:t>
      </w:r>
    </w:p>
    <w:p w:rsidR="008C4466" w:rsidRDefault="008C4466" w:rsidP="008C4466">
      <w:pPr>
        <w:spacing w:before="100" w:beforeAutospacing="1" w:after="100" w:afterAutospacing="1"/>
        <w:jc w:val="both"/>
        <w:rPr>
          <w:sz w:val="28"/>
          <w:szCs w:val="28"/>
        </w:rPr>
      </w:pPr>
      <w:r w:rsidRPr="00631F09">
        <w:rPr>
          <w:sz w:val="28"/>
          <w:szCs w:val="28"/>
        </w:rPr>
        <w:t xml:space="preserve">Furthermore in </w:t>
      </w:r>
      <w:r>
        <w:rPr>
          <w:sz w:val="28"/>
          <w:szCs w:val="28"/>
        </w:rPr>
        <w:t>2007</w:t>
      </w:r>
      <w:r w:rsidRPr="00631F09">
        <w:rPr>
          <w:sz w:val="28"/>
          <w:szCs w:val="28"/>
        </w:rPr>
        <w:t xml:space="preserve"> the Arms and Ammunition Act 1962 was amended,</w:t>
      </w:r>
      <w:r>
        <w:rPr>
          <w:sz w:val="28"/>
          <w:szCs w:val="28"/>
        </w:rPr>
        <w:t xml:space="preserve"> </w:t>
      </w:r>
      <w:r w:rsidRPr="00631F09">
        <w:rPr>
          <w:sz w:val="28"/>
          <w:szCs w:val="28"/>
        </w:rPr>
        <w:t xml:space="preserve">providing the Chief </w:t>
      </w:r>
      <w:r w:rsidRPr="00AD5624">
        <w:rPr>
          <w:sz w:val="28"/>
          <w:szCs w:val="28"/>
        </w:rPr>
        <w:t>District</w:t>
      </w:r>
      <w:r w:rsidRPr="00631F09">
        <w:rPr>
          <w:sz w:val="28"/>
          <w:szCs w:val="28"/>
        </w:rPr>
        <w:t xml:space="preserve"> Officers with extended powers</w:t>
      </w:r>
      <w:r>
        <w:rPr>
          <w:rStyle w:val="FootnoteReference"/>
          <w:sz w:val="28"/>
          <w:szCs w:val="28"/>
        </w:rPr>
        <w:footnoteReference w:id="40"/>
      </w:r>
      <w:r w:rsidRPr="00631F09">
        <w:rPr>
          <w:sz w:val="28"/>
          <w:szCs w:val="28"/>
        </w:rPr>
        <w:t xml:space="preserve">. </w:t>
      </w:r>
      <w:r>
        <w:rPr>
          <w:sz w:val="28"/>
          <w:szCs w:val="28"/>
        </w:rPr>
        <w:t xml:space="preserve">These powers were used to crack down on armed groups active in the Terai. </w:t>
      </w:r>
      <w:r w:rsidRPr="00631F09">
        <w:rPr>
          <w:sz w:val="28"/>
          <w:szCs w:val="28"/>
        </w:rPr>
        <w:t>Under this Act, 1</w:t>
      </w:r>
      <w:r>
        <w:rPr>
          <w:sz w:val="28"/>
          <w:szCs w:val="28"/>
        </w:rPr>
        <w:t>,</w:t>
      </w:r>
      <w:r w:rsidRPr="00631F09">
        <w:rPr>
          <w:sz w:val="28"/>
          <w:szCs w:val="28"/>
        </w:rPr>
        <w:t xml:space="preserve">131 Madhesi youths have been arrested in Bara, Parsa, Rauthat, </w:t>
      </w:r>
      <w:r>
        <w:rPr>
          <w:sz w:val="28"/>
          <w:szCs w:val="28"/>
        </w:rPr>
        <w:t>Sa</w:t>
      </w:r>
      <w:r w:rsidRPr="00631F09">
        <w:rPr>
          <w:sz w:val="28"/>
          <w:szCs w:val="28"/>
        </w:rPr>
        <w:t>rlahi, Mahottari, Dhanusha, Siraha and Saptari in 2011 alone</w:t>
      </w:r>
      <w:r>
        <w:rPr>
          <w:sz w:val="28"/>
          <w:szCs w:val="28"/>
        </w:rPr>
        <w:t>.</w:t>
      </w:r>
      <w:r w:rsidRPr="00631F09">
        <w:rPr>
          <w:rStyle w:val="FootnoteReference"/>
          <w:sz w:val="28"/>
          <w:szCs w:val="28"/>
        </w:rPr>
        <w:footnoteReference w:id="41"/>
      </w:r>
    </w:p>
    <w:p w:rsidR="008C4466" w:rsidRPr="00561186" w:rsidRDefault="008C4466" w:rsidP="008C4466">
      <w:pPr>
        <w:pStyle w:val="Heading2"/>
        <w:spacing w:before="100" w:beforeAutospacing="1" w:after="100" w:afterAutospacing="1"/>
        <w:jc w:val="both"/>
        <w:rPr>
          <w:rFonts w:ascii="Times New Roman" w:hAnsi="Times New Roman"/>
        </w:rPr>
      </w:pPr>
      <w:bookmarkStart w:id="20" w:name="_Toc379980843"/>
      <w:bookmarkStart w:id="21" w:name="_Toc379983656"/>
      <w:r w:rsidRPr="00561186">
        <w:rPr>
          <w:rStyle w:val="Heading2Char"/>
          <w:rFonts w:ascii="Times New Roman" w:hAnsi="Times New Roman"/>
        </w:rPr>
        <w:t>Detention practices</w:t>
      </w:r>
      <w:bookmarkEnd w:id="20"/>
      <w:bookmarkEnd w:id="21"/>
    </w:p>
    <w:p w:rsidR="008C4466" w:rsidRPr="00631F09" w:rsidRDefault="008C4466" w:rsidP="008C4466">
      <w:pPr>
        <w:spacing w:before="100" w:beforeAutospacing="1" w:after="100" w:afterAutospacing="1"/>
        <w:jc w:val="both"/>
        <w:rPr>
          <w:sz w:val="28"/>
          <w:szCs w:val="28"/>
          <w:lang w:val="en-US" w:eastAsia="ja-JP"/>
        </w:rPr>
      </w:pPr>
      <w:r>
        <w:rPr>
          <w:sz w:val="28"/>
          <w:szCs w:val="28"/>
          <w:lang w:val="en-US" w:eastAsia="ja-JP"/>
        </w:rPr>
        <w:t>During the reporting period, l</w:t>
      </w:r>
      <w:r w:rsidRPr="00631F09">
        <w:rPr>
          <w:sz w:val="28"/>
          <w:szCs w:val="28"/>
          <w:lang w:val="en-US" w:eastAsia="ja-JP"/>
        </w:rPr>
        <w:t xml:space="preserve">ocal </w:t>
      </w:r>
      <w:r>
        <w:rPr>
          <w:sz w:val="28"/>
          <w:szCs w:val="28"/>
          <w:lang w:val="en-US" w:eastAsia="ja-JP"/>
        </w:rPr>
        <w:t>a</w:t>
      </w:r>
      <w:r w:rsidRPr="00631F09">
        <w:rPr>
          <w:sz w:val="28"/>
          <w:szCs w:val="28"/>
          <w:lang w:val="en-US" w:eastAsia="ja-JP"/>
        </w:rPr>
        <w:t xml:space="preserve">dministrators and </w:t>
      </w:r>
      <w:r>
        <w:rPr>
          <w:sz w:val="28"/>
          <w:szCs w:val="28"/>
          <w:lang w:val="en-US" w:eastAsia="ja-JP"/>
        </w:rPr>
        <w:t>s</w:t>
      </w:r>
      <w:r w:rsidRPr="00631F09">
        <w:rPr>
          <w:sz w:val="28"/>
          <w:szCs w:val="28"/>
          <w:lang w:val="en-US" w:eastAsia="ja-JP"/>
        </w:rPr>
        <w:t xml:space="preserve">ecurity personnel </w:t>
      </w:r>
      <w:r>
        <w:rPr>
          <w:sz w:val="28"/>
          <w:szCs w:val="28"/>
          <w:lang w:val="en-US" w:eastAsia="ja-JP"/>
        </w:rPr>
        <w:t>were</w:t>
      </w:r>
      <w:r w:rsidRPr="00631F09">
        <w:rPr>
          <w:sz w:val="28"/>
          <w:szCs w:val="28"/>
          <w:lang w:val="en-US" w:eastAsia="ja-JP"/>
        </w:rPr>
        <w:t xml:space="preserve"> using </w:t>
      </w:r>
      <w:r>
        <w:rPr>
          <w:sz w:val="28"/>
          <w:szCs w:val="28"/>
          <w:lang w:val="en-US" w:eastAsia="ja-JP"/>
        </w:rPr>
        <w:t xml:space="preserve">a </w:t>
      </w:r>
      <w:r w:rsidRPr="00631F09">
        <w:rPr>
          <w:sz w:val="28"/>
          <w:szCs w:val="28"/>
          <w:lang w:val="en-US" w:eastAsia="ja-JP"/>
        </w:rPr>
        <w:t>more aggressive approach to enforce the Public Offences Act</w:t>
      </w:r>
      <w:r>
        <w:rPr>
          <w:rStyle w:val="FootnoteReference"/>
          <w:sz w:val="28"/>
          <w:szCs w:val="28"/>
          <w:lang w:val="en-US" w:eastAsia="ja-JP"/>
        </w:rPr>
        <w:footnoteReference w:id="42"/>
      </w:r>
      <w:r w:rsidRPr="00631F09">
        <w:rPr>
          <w:sz w:val="28"/>
          <w:szCs w:val="28"/>
          <w:lang w:val="en-US" w:eastAsia="ja-JP"/>
        </w:rPr>
        <w:t xml:space="preserve">. </w:t>
      </w:r>
      <w:r>
        <w:rPr>
          <w:sz w:val="28"/>
          <w:szCs w:val="28"/>
          <w:lang w:val="en-US" w:eastAsia="ja-JP"/>
        </w:rPr>
        <w:t>According to data gathered by THRD, t</w:t>
      </w:r>
      <w:r w:rsidRPr="00631F09">
        <w:rPr>
          <w:sz w:val="28"/>
          <w:szCs w:val="28"/>
          <w:lang w:val="en-US" w:eastAsia="ja-JP"/>
        </w:rPr>
        <w:t xml:space="preserve">he districts the most affected are Siraha, Saptari, Sunsari, </w:t>
      </w:r>
      <w:r w:rsidRPr="00631F09">
        <w:rPr>
          <w:sz w:val="28"/>
          <w:szCs w:val="28"/>
          <w:lang w:val="en-US" w:eastAsia="ja-JP"/>
        </w:rPr>
        <w:lastRenderedPageBreak/>
        <w:t>Dhanusha, Banke and Kapilvastu</w:t>
      </w:r>
      <w:r>
        <w:rPr>
          <w:sz w:val="28"/>
          <w:szCs w:val="28"/>
          <w:lang w:val="en-US" w:eastAsia="ja-JP"/>
        </w:rPr>
        <w:t>, with the highest numbers of people arrested under the Act.</w:t>
      </w:r>
      <w:r w:rsidRPr="00631F09">
        <w:rPr>
          <w:rStyle w:val="FootnoteReference"/>
          <w:sz w:val="28"/>
          <w:szCs w:val="28"/>
          <w:lang w:val="en-US" w:eastAsia="ja-JP"/>
        </w:rPr>
        <w:footnoteReference w:id="43"/>
      </w:r>
    </w:p>
    <w:p w:rsidR="008C4466" w:rsidRPr="00631F09" w:rsidRDefault="008C4466" w:rsidP="008C4466">
      <w:pPr>
        <w:spacing w:before="100" w:beforeAutospacing="1" w:after="100" w:afterAutospacing="1"/>
        <w:jc w:val="both"/>
        <w:rPr>
          <w:sz w:val="28"/>
          <w:szCs w:val="28"/>
          <w:lang w:val="en-US" w:eastAsia="ja-JP"/>
        </w:rPr>
      </w:pPr>
      <w:r>
        <w:rPr>
          <w:sz w:val="28"/>
          <w:szCs w:val="28"/>
        </w:rPr>
        <w:t xml:space="preserve">It is </w:t>
      </w:r>
      <w:r w:rsidRPr="00D3784A">
        <w:rPr>
          <w:sz w:val="28"/>
          <w:szCs w:val="28"/>
        </w:rPr>
        <w:t xml:space="preserve">widely </w:t>
      </w:r>
      <w:r>
        <w:rPr>
          <w:sz w:val="28"/>
          <w:szCs w:val="28"/>
        </w:rPr>
        <w:t xml:space="preserve">perceived that the loopholes in the act are </w:t>
      </w:r>
      <w:r w:rsidRPr="00D3784A">
        <w:rPr>
          <w:sz w:val="28"/>
          <w:szCs w:val="28"/>
        </w:rPr>
        <w:t xml:space="preserve">misused by the </w:t>
      </w:r>
      <w:r>
        <w:rPr>
          <w:sz w:val="28"/>
          <w:szCs w:val="28"/>
        </w:rPr>
        <w:t>administration and security</w:t>
      </w:r>
      <w:r w:rsidRPr="00D3784A">
        <w:rPr>
          <w:sz w:val="28"/>
          <w:szCs w:val="28"/>
        </w:rPr>
        <w:t xml:space="preserve"> to cover-up cases of torture an</w:t>
      </w:r>
      <w:r>
        <w:rPr>
          <w:sz w:val="28"/>
          <w:szCs w:val="28"/>
        </w:rPr>
        <w:t>d making money from youths in Te</w:t>
      </w:r>
      <w:r w:rsidRPr="00D3784A">
        <w:rPr>
          <w:sz w:val="28"/>
          <w:szCs w:val="28"/>
        </w:rPr>
        <w:t xml:space="preserve">rai. </w:t>
      </w:r>
      <w:r w:rsidRPr="00170F17">
        <w:rPr>
          <w:sz w:val="28"/>
          <w:szCs w:val="28"/>
        </w:rPr>
        <w:t>The Arms and Ammunitions Act, 1962 under which a Chief District Officer (CDO) has the power to sentence people up to six years’ imprisonment increases the risk of denial of justice and exposes the vulnerable citizens to arbitrary arrest and detention</w:t>
      </w:r>
      <w:r w:rsidRPr="00170F17">
        <w:rPr>
          <w:rStyle w:val="FootnoteReference"/>
          <w:rFonts w:eastAsia="Meiryo"/>
          <w:sz w:val="28"/>
          <w:szCs w:val="28"/>
        </w:rPr>
        <w:footnoteReference w:id="44"/>
      </w:r>
      <w:r w:rsidRPr="00170F17">
        <w:rPr>
          <w:sz w:val="28"/>
          <w:szCs w:val="28"/>
        </w:rPr>
        <w:t>.</w:t>
      </w:r>
      <w:r>
        <w:rPr>
          <w:sz w:val="28"/>
          <w:szCs w:val="28"/>
        </w:rPr>
        <w:t xml:space="preserve"> </w:t>
      </w:r>
      <w:r w:rsidRPr="00D3784A">
        <w:rPr>
          <w:sz w:val="28"/>
          <w:szCs w:val="28"/>
        </w:rPr>
        <w:t>The misuse of the Arms and Am</w:t>
      </w:r>
      <w:r>
        <w:rPr>
          <w:sz w:val="28"/>
          <w:szCs w:val="28"/>
        </w:rPr>
        <w:t>munition A</w:t>
      </w:r>
      <w:r w:rsidRPr="00D3784A">
        <w:rPr>
          <w:sz w:val="28"/>
          <w:szCs w:val="28"/>
        </w:rPr>
        <w:t>ct</w:t>
      </w:r>
      <w:r>
        <w:rPr>
          <w:sz w:val="28"/>
          <w:szCs w:val="28"/>
        </w:rPr>
        <w:t>-</w:t>
      </w:r>
      <w:r w:rsidRPr="00D3784A">
        <w:rPr>
          <w:sz w:val="28"/>
          <w:szCs w:val="28"/>
        </w:rPr>
        <w:t xml:space="preserve">1962 </w:t>
      </w:r>
      <w:r>
        <w:rPr>
          <w:sz w:val="28"/>
          <w:szCs w:val="28"/>
        </w:rPr>
        <w:t xml:space="preserve">by the Chief District Officers (CDO) </w:t>
      </w:r>
      <w:r w:rsidRPr="00D3784A">
        <w:rPr>
          <w:sz w:val="28"/>
          <w:szCs w:val="28"/>
        </w:rPr>
        <w:t>is a big issue of human rights in Terai</w:t>
      </w:r>
      <w:r>
        <w:rPr>
          <w:sz w:val="28"/>
          <w:szCs w:val="28"/>
        </w:rPr>
        <w:t xml:space="preserve">. Several news paper reports including the Nepal Magazine report on 'Misuse of Arms and Ammunition' </w:t>
      </w:r>
      <w:r>
        <w:rPr>
          <w:rStyle w:val="FootnoteReference"/>
          <w:rFonts w:eastAsia="Meiryo"/>
          <w:sz w:val="28"/>
          <w:szCs w:val="28"/>
        </w:rPr>
        <w:footnoteReference w:id="45"/>
      </w:r>
      <w:r>
        <w:rPr>
          <w:sz w:val="28"/>
          <w:szCs w:val="28"/>
        </w:rPr>
        <w:t>act shows that the local a</w:t>
      </w:r>
      <w:r w:rsidRPr="00D3784A">
        <w:rPr>
          <w:sz w:val="28"/>
          <w:szCs w:val="28"/>
        </w:rPr>
        <w:t>dministration including security agencies have been misusing the prevailing Act on the Arms and Am</w:t>
      </w:r>
      <w:r>
        <w:rPr>
          <w:sz w:val="28"/>
          <w:szCs w:val="28"/>
        </w:rPr>
        <w:t>munition</w:t>
      </w:r>
      <w:r w:rsidRPr="00D3784A">
        <w:rPr>
          <w:sz w:val="28"/>
          <w:szCs w:val="28"/>
        </w:rPr>
        <w:t xml:space="preserve"> to get financial benefits from the Madhesi youths</w:t>
      </w:r>
      <w:r w:rsidRPr="00631F09">
        <w:rPr>
          <w:sz w:val="28"/>
          <w:szCs w:val="28"/>
          <w:lang w:val="en-US" w:eastAsia="ja-JP"/>
        </w:rPr>
        <w:t xml:space="preserve">The Supreme Court has found that the </w:t>
      </w:r>
      <w:r>
        <w:rPr>
          <w:sz w:val="28"/>
          <w:szCs w:val="28"/>
          <w:lang w:val="en-US" w:eastAsia="ja-JP"/>
        </w:rPr>
        <w:t>q</w:t>
      </w:r>
      <w:r w:rsidRPr="00631F09">
        <w:rPr>
          <w:sz w:val="28"/>
          <w:szCs w:val="28"/>
          <w:lang w:val="en-US" w:eastAsia="ja-JP"/>
        </w:rPr>
        <w:t xml:space="preserve">uasi-judicial powers given to </w:t>
      </w:r>
      <w:r w:rsidRPr="00AD5624">
        <w:rPr>
          <w:sz w:val="28"/>
          <w:szCs w:val="28"/>
          <w:lang w:val="en-US" w:eastAsia="ja-JP"/>
        </w:rPr>
        <w:t>CDOs under</w:t>
      </w:r>
      <w:r>
        <w:rPr>
          <w:sz w:val="28"/>
          <w:szCs w:val="28"/>
          <w:lang w:val="en-US" w:eastAsia="ja-JP"/>
        </w:rPr>
        <w:t xml:space="preserve"> </w:t>
      </w:r>
      <w:r w:rsidRPr="001422FE">
        <w:rPr>
          <w:sz w:val="28"/>
          <w:szCs w:val="28"/>
          <w:lang w:val="en-US" w:eastAsia="ja-JP"/>
        </w:rPr>
        <w:t>this Act</w:t>
      </w:r>
      <w:r>
        <w:rPr>
          <w:sz w:val="28"/>
          <w:szCs w:val="28"/>
          <w:lang w:val="en-US" w:eastAsia="ja-JP"/>
        </w:rPr>
        <w:t xml:space="preserve"> </w:t>
      </w:r>
      <w:r w:rsidRPr="00631F09">
        <w:rPr>
          <w:sz w:val="28"/>
          <w:szCs w:val="28"/>
          <w:lang w:val="en-US" w:eastAsia="ja-JP"/>
        </w:rPr>
        <w:t xml:space="preserve">are not in conformity with the constitution and </w:t>
      </w:r>
      <w:r>
        <w:rPr>
          <w:sz w:val="28"/>
          <w:szCs w:val="28"/>
          <w:lang w:val="en-US" w:eastAsia="ja-JP"/>
        </w:rPr>
        <w:t>h</w:t>
      </w:r>
      <w:r w:rsidRPr="00631F09">
        <w:rPr>
          <w:sz w:val="28"/>
          <w:szCs w:val="28"/>
          <w:lang w:val="en-US" w:eastAsia="ja-JP"/>
        </w:rPr>
        <w:t xml:space="preserve">uman </w:t>
      </w:r>
      <w:r>
        <w:rPr>
          <w:sz w:val="28"/>
          <w:szCs w:val="28"/>
          <w:lang w:val="en-US" w:eastAsia="ja-JP"/>
        </w:rPr>
        <w:t>r</w:t>
      </w:r>
      <w:r w:rsidRPr="00631F09">
        <w:rPr>
          <w:sz w:val="28"/>
          <w:szCs w:val="28"/>
          <w:lang w:val="en-US" w:eastAsia="ja-JP"/>
        </w:rPr>
        <w:t xml:space="preserve">ights </w:t>
      </w:r>
      <w:r>
        <w:rPr>
          <w:sz w:val="28"/>
          <w:szCs w:val="28"/>
          <w:lang w:val="en-US" w:eastAsia="ja-JP"/>
        </w:rPr>
        <w:t>i</w:t>
      </w:r>
      <w:r w:rsidRPr="00631F09">
        <w:rPr>
          <w:sz w:val="28"/>
          <w:szCs w:val="28"/>
          <w:lang w:val="en-US" w:eastAsia="ja-JP"/>
        </w:rPr>
        <w:t>nstruments, and has ordered the government to review the applicable law. However as of yet this review has not taken place.</w:t>
      </w:r>
      <w:r w:rsidRPr="00631F09">
        <w:rPr>
          <w:rStyle w:val="FootnoteReference"/>
          <w:sz w:val="28"/>
          <w:szCs w:val="28"/>
          <w:lang w:val="en-US" w:eastAsia="ja-JP"/>
        </w:rPr>
        <w:footnoteReference w:id="46"/>
      </w:r>
    </w:p>
    <w:p w:rsidR="008C4466" w:rsidRDefault="008C4466" w:rsidP="008C4466">
      <w:pPr>
        <w:spacing w:before="100" w:beforeAutospacing="1" w:after="100" w:afterAutospacing="1"/>
        <w:jc w:val="both"/>
        <w:rPr>
          <w:sz w:val="28"/>
          <w:szCs w:val="28"/>
          <w:lang w:val="en-US" w:eastAsia="ja-JP"/>
        </w:rPr>
      </w:pPr>
      <w:r w:rsidRPr="00631F09">
        <w:rPr>
          <w:sz w:val="28"/>
          <w:szCs w:val="28"/>
          <w:lang w:val="en-US" w:eastAsia="ja-JP"/>
        </w:rPr>
        <w:t>A new penal code and anti-torture bill were introduce</w:t>
      </w:r>
      <w:r>
        <w:rPr>
          <w:sz w:val="28"/>
          <w:szCs w:val="28"/>
          <w:lang w:val="en-US" w:eastAsia="ja-JP"/>
        </w:rPr>
        <w:t>d</w:t>
      </w:r>
      <w:r w:rsidRPr="00631F09">
        <w:rPr>
          <w:sz w:val="28"/>
          <w:szCs w:val="28"/>
          <w:lang w:val="en-US" w:eastAsia="ja-JP"/>
        </w:rPr>
        <w:t xml:space="preserve"> to parliament </w:t>
      </w:r>
      <w:r>
        <w:rPr>
          <w:sz w:val="28"/>
          <w:szCs w:val="28"/>
          <w:lang w:val="en-US" w:eastAsia="ja-JP"/>
        </w:rPr>
        <w:t>in 2011</w:t>
      </w:r>
      <w:r w:rsidRPr="00631F09">
        <w:rPr>
          <w:sz w:val="28"/>
          <w:szCs w:val="28"/>
          <w:lang w:val="en-US" w:eastAsia="ja-JP"/>
        </w:rPr>
        <w:t xml:space="preserve"> but the </w:t>
      </w:r>
      <w:r w:rsidRPr="00AD5624">
        <w:rPr>
          <w:sz w:val="28"/>
          <w:szCs w:val="28"/>
          <w:lang w:val="en-US" w:eastAsia="ja-JP"/>
        </w:rPr>
        <w:t>Constitue</w:t>
      </w:r>
      <w:r>
        <w:rPr>
          <w:sz w:val="28"/>
          <w:szCs w:val="28"/>
          <w:lang w:val="en-US" w:eastAsia="ja-JP"/>
        </w:rPr>
        <w:t>nt</w:t>
      </w:r>
      <w:r w:rsidRPr="00631F09">
        <w:rPr>
          <w:sz w:val="28"/>
          <w:szCs w:val="28"/>
          <w:lang w:val="en-US" w:eastAsia="ja-JP"/>
        </w:rPr>
        <w:t xml:space="preserve"> Assembly was dissolved before they could be enacted. </w:t>
      </w:r>
      <w:r>
        <w:rPr>
          <w:sz w:val="28"/>
          <w:szCs w:val="28"/>
          <w:lang w:val="en-US" w:eastAsia="ja-JP"/>
        </w:rPr>
        <w:t>It remains to be seen whether they will be prioritized by the new Constituent Assembly.</w:t>
      </w:r>
    </w:p>
    <w:p w:rsidR="008C4466" w:rsidRDefault="008C4466" w:rsidP="008C4466">
      <w:pPr>
        <w:pStyle w:val="Heading2"/>
        <w:spacing w:before="100" w:beforeAutospacing="1" w:after="100" w:afterAutospacing="1"/>
        <w:jc w:val="both"/>
        <w:rPr>
          <w:rFonts w:ascii="Times New Roman" w:hAnsi="Times New Roman"/>
        </w:rPr>
      </w:pPr>
      <w:bookmarkStart w:id="22" w:name="_Toc379980844"/>
      <w:bookmarkStart w:id="23" w:name="_Toc379983657"/>
      <w:r w:rsidRPr="00561186">
        <w:rPr>
          <w:rFonts w:ascii="Times New Roman" w:hAnsi="Times New Roman"/>
        </w:rPr>
        <w:t>The Madhesi Community</w:t>
      </w:r>
      <w:r>
        <w:rPr>
          <w:rFonts w:ascii="Times New Roman" w:hAnsi="Times New Roman"/>
        </w:rPr>
        <w:t xml:space="preserve"> and</w:t>
      </w:r>
      <w:r w:rsidRPr="00561186">
        <w:rPr>
          <w:rFonts w:ascii="Times New Roman" w:hAnsi="Times New Roman"/>
        </w:rPr>
        <w:t xml:space="preserve"> police</w:t>
      </w:r>
      <w:r>
        <w:rPr>
          <w:rFonts w:ascii="Times New Roman" w:hAnsi="Times New Roman"/>
        </w:rPr>
        <w:t xml:space="preserve"> </w:t>
      </w:r>
      <w:r w:rsidRPr="00561186">
        <w:rPr>
          <w:rFonts w:ascii="Times New Roman" w:hAnsi="Times New Roman"/>
        </w:rPr>
        <w:t>brutality</w:t>
      </w:r>
      <w:bookmarkEnd w:id="22"/>
      <w:bookmarkEnd w:id="23"/>
    </w:p>
    <w:p w:rsidR="008C4466" w:rsidRDefault="008C4466" w:rsidP="008C4466">
      <w:pPr>
        <w:spacing w:before="100" w:beforeAutospacing="1" w:after="100" w:afterAutospacing="1"/>
        <w:jc w:val="both"/>
        <w:rPr>
          <w:sz w:val="28"/>
          <w:szCs w:val="28"/>
        </w:rPr>
      </w:pPr>
      <w:r w:rsidRPr="001422FE">
        <w:rPr>
          <w:sz w:val="28"/>
          <w:szCs w:val="28"/>
        </w:rPr>
        <w:t>Madhesi people are the residents of southern plains</w:t>
      </w:r>
      <w:r>
        <w:rPr>
          <w:sz w:val="28"/>
          <w:szCs w:val="28"/>
        </w:rPr>
        <w:t xml:space="preserve"> of Nepal. There are significant cultural differences with their </w:t>
      </w:r>
      <w:r w:rsidRPr="001422FE">
        <w:rPr>
          <w:sz w:val="28"/>
          <w:szCs w:val="28"/>
        </w:rPr>
        <w:t xml:space="preserve">hill counterparts and people of hill origin. Madhesi speak Maithili, Bhojpuri, Awadhi, Hindi and Tharu as their mother tongues. They wear different clothes and have their own culture. </w:t>
      </w:r>
      <w:r>
        <w:rPr>
          <w:sz w:val="28"/>
          <w:szCs w:val="28"/>
        </w:rPr>
        <w:t xml:space="preserve">Although some of the hill people also speak their own dialects mother tongue, most of them, </w:t>
      </w:r>
      <w:r w:rsidRPr="001422FE">
        <w:rPr>
          <w:sz w:val="28"/>
          <w:szCs w:val="28"/>
        </w:rPr>
        <w:t xml:space="preserve">particularly the Khas Brahmins/Chhetris (known as ruling class) speak Nepali. Nepali language is the official language of the country. </w:t>
      </w:r>
      <w:r>
        <w:rPr>
          <w:sz w:val="28"/>
          <w:szCs w:val="28"/>
        </w:rPr>
        <w:t xml:space="preserve">This leads to discrimination in education and employment. There is also a lack of people from the Madhesi community within the justice system and civil service. Of Nepal’s 20 Police Superintendents, 18 are of Pahade origin. </w:t>
      </w:r>
      <w:r w:rsidRPr="001015A7">
        <w:rPr>
          <w:sz w:val="28"/>
          <w:szCs w:val="28"/>
        </w:rPr>
        <w:t>18 CDOs are ethnically of Pahade origin; in 20 district of Terai-</w:t>
      </w:r>
      <w:r w:rsidRPr="001015A7">
        <w:rPr>
          <w:sz w:val="28"/>
          <w:szCs w:val="28"/>
        </w:rPr>
        <w:lastRenderedPageBreak/>
        <w:t xml:space="preserve">Madesh region among the 127 district judges, there are five Madhesis, five </w:t>
      </w:r>
      <w:r>
        <w:rPr>
          <w:sz w:val="28"/>
          <w:szCs w:val="28"/>
        </w:rPr>
        <w:t>women</w:t>
      </w:r>
      <w:r w:rsidRPr="001015A7">
        <w:rPr>
          <w:sz w:val="28"/>
          <w:szCs w:val="28"/>
        </w:rPr>
        <w:t xml:space="preserve"> and 10 from the indigenous population; and among Nepal’s total of 247 judges, there are only 17 Madhesi judges: three in the Supreme Court, nine in the Appellate Court and five in the District Courts which comes to be approximately 7 percent</w:t>
      </w:r>
      <w:r>
        <w:rPr>
          <w:sz w:val="28"/>
          <w:szCs w:val="28"/>
        </w:rPr>
        <w:t>.</w:t>
      </w:r>
      <w:r>
        <w:rPr>
          <w:rStyle w:val="FootnoteReference"/>
          <w:sz w:val="28"/>
          <w:szCs w:val="28"/>
        </w:rPr>
        <w:footnoteReference w:id="47"/>
      </w:r>
      <w:r>
        <w:rPr>
          <w:sz w:val="28"/>
          <w:szCs w:val="28"/>
        </w:rPr>
        <w:t xml:space="preserve"> It’s therefore not surprising that many Madeshi detainees report feeling they were discriminated against during arrest and detention. </w:t>
      </w:r>
    </w:p>
    <w:p w:rsidR="008C4466" w:rsidRDefault="008C4466" w:rsidP="008C4466">
      <w:pPr>
        <w:spacing w:before="100" w:beforeAutospacing="1" w:after="100" w:afterAutospacing="1"/>
        <w:jc w:val="both"/>
        <w:rPr>
          <w:sz w:val="28"/>
          <w:szCs w:val="28"/>
        </w:rPr>
      </w:pPr>
      <w:r>
        <w:rPr>
          <w:sz w:val="28"/>
          <w:szCs w:val="28"/>
        </w:rPr>
        <w:t>The THRD Alliance’s documented cases support this feeling of discrimination. Of the 25 cases of arbitrary detention and torture or cruel and inhuman treatment documented by the THRD Alliance from 2012 to 2013, 23 concerned Madhesi. In 9 cases there was no legal basis for detention, and in 7 cases the detention resulted from the prisoner having exercised a fundamental right and was being “punished” as a result. In 18 of these cases the detainee was tortured or treated in a cruel, inhuman or degrading manner.</w:t>
      </w:r>
      <w:r>
        <w:rPr>
          <w:rStyle w:val="FootnoteReference"/>
          <w:sz w:val="28"/>
          <w:szCs w:val="28"/>
        </w:rPr>
        <w:footnoteReference w:id="48"/>
      </w:r>
    </w:p>
    <w:p w:rsidR="008C4466" w:rsidRDefault="008C4466" w:rsidP="008C4466">
      <w:pPr>
        <w:spacing w:before="100" w:beforeAutospacing="1" w:after="100" w:afterAutospacing="1"/>
        <w:jc w:val="both"/>
        <w:rPr>
          <w:sz w:val="28"/>
          <w:szCs w:val="28"/>
        </w:rPr>
      </w:pPr>
      <w:r>
        <w:rPr>
          <w:sz w:val="28"/>
          <w:szCs w:val="28"/>
        </w:rPr>
        <w:t>The THRD Alliance has also documented the excessive use of force by the APF when braking up demonstrations often resulting in high numbers of serious injuries and deaths. During these operations cases of looting by the APF of local residences are also reported frequently.</w:t>
      </w:r>
      <w:r>
        <w:rPr>
          <w:rStyle w:val="FootnoteReference"/>
          <w:sz w:val="28"/>
          <w:szCs w:val="28"/>
        </w:rPr>
        <w:footnoteReference w:id="49"/>
      </w:r>
    </w:p>
    <w:p w:rsidR="008C4466" w:rsidRPr="001422FE" w:rsidRDefault="008C4466" w:rsidP="008C4466">
      <w:pPr>
        <w:spacing w:before="100" w:beforeAutospacing="1" w:after="100" w:afterAutospacing="1"/>
        <w:jc w:val="both"/>
        <w:rPr>
          <w:sz w:val="28"/>
          <w:szCs w:val="28"/>
        </w:rPr>
      </w:pPr>
      <w:r w:rsidRPr="001422FE">
        <w:rPr>
          <w:sz w:val="28"/>
          <w:szCs w:val="28"/>
        </w:rPr>
        <w:t xml:space="preserve">All the cases </w:t>
      </w:r>
      <w:r>
        <w:rPr>
          <w:sz w:val="28"/>
          <w:szCs w:val="28"/>
        </w:rPr>
        <w:t xml:space="preserve">of extrajudicial killings </w:t>
      </w:r>
      <w:r w:rsidRPr="001422FE">
        <w:rPr>
          <w:sz w:val="28"/>
          <w:szCs w:val="28"/>
        </w:rPr>
        <w:t>that the THRD A</w:t>
      </w:r>
      <w:r>
        <w:rPr>
          <w:sz w:val="28"/>
          <w:szCs w:val="28"/>
        </w:rPr>
        <w:t>lliance</w:t>
      </w:r>
      <w:r w:rsidRPr="001422FE">
        <w:rPr>
          <w:sz w:val="28"/>
          <w:szCs w:val="28"/>
        </w:rPr>
        <w:t xml:space="preserve"> has documented are of Madhesis.</w:t>
      </w:r>
    </w:p>
    <w:p w:rsidR="008C4466" w:rsidRPr="00631F09" w:rsidRDefault="008C4466" w:rsidP="008C4466">
      <w:pPr>
        <w:pStyle w:val="Heading1"/>
        <w:spacing w:before="100" w:beforeAutospacing="1" w:after="100" w:afterAutospacing="1"/>
        <w:jc w:val="both"/>
        <w:rPr>
          <w:rFonts w:ascii="Times New Roman" w:hAnsi="Times New Roman"/>
          <w:sz w:val="28"/>
          <w:szCs w:val="28"/>
        </w:rPr>
      </w:pPr>
      <w:bookmarkStart w:id="24" w:name="_Toc379980845"/>
      <w:bookmarkStart w:id="25" w:name="_Toc379983658"/>
      <w:r w:rsidRPr="00631F09">
        <w:rPr>
          <w:rFonts w:ascii="Times New Roman" w:hAnsi="Times New Roman"/>
          <w:sz w:val="28"/>
          <w:szCs w:val="28"/>
        </w:rPr>
        <w:t>Patterns</w:t>
      </w:r>
      <w:bookmarkEnd w:id="24"/>
      <w:bookmarkEnd w:id="25"/>
    </w:p>
    <w:p w:rsidR="008C4466" w:rsidRPr="00561186" w:rsidRDefault="008C4466" w:rsidP="008C4466">
      <w:pPr>
        <w:pStyle w:val="Heading2"/>
        <w:spacing w:before="100" w:beforeAutospacing="1" w:after="100" w:afterAutospacing="1"/>
        <w:jc w:val="both"/>
        <w:rPr>
          <w:rFonts w:ascii="Times New Roman" w:hAnsi="Times New Roman"/>
        </w:rPr>
      </w:pPr>
      <w:bookmarkStart w:id="26" w:name="_Toc379980846"/>
      <w:bookmarkStart w:id="27" w:name="_Toc379983659"/>
      <w:r w:rsidRPr="00561186">
        <w:rPr>
          <w:rFonts w:ascii="Times New Roman" w:hAnsi="Times New Roman"/>
        </w:rPr>
        <w:t xml:space="preserve">General patterns to </w:t>
      </w:r>
      <w:r>
        <w:rPr>
          <w:rFonts w:ascii="Times New Roman" w:hAnsi="Times New Roman"/>
        </w:rPr>
        <w:t>extrajudicial execution</w:t>
      </w:r>
      <w:r w:rsidRPr="00561186">
        <w:rPr>
          <w:rFonts w:ascii="Times New Roman" w:hAnsi="Times New Roman"/>
        </w:rPr>
        <w:t>s</w:t>
      </w:r>
      <w:bookmarkEnd w:id="26"/>
      <w:bookmarkEnd w:id="27"/>
    </w:p>
    <w:p w:rsidR="008C4466" w:rsidRDefault="008C4466" w:rsidP="008C4466">
      <w:pPr>
        <w:spacing w:before="100" w:beforeAutospacing="1" w:after="100" w:afterAutospacing="1"/>
        <w:jc w:val="both"/>
        <w:rPr>
          <w:sz w:val="28"/>
          <w:szCs w:val="28"/>
        </w:rPr>
      </w:pPr>
      <w:r w:rsidRPr="00631F09">
        <w:rPr>
          <w:sz w:val="28"/>
          <w:szCs w:val="28"/>
        </w:rPr>
        <w:t xml:space="preserve">In </w:t>
      </w:r>
      <w:r>
        <w:rPr>
          <w:sz w:val="28"/>
          <w:szCs w:val="28"/>
        </w:rPr>
        <w:t>10 out of the twelve</w:t>
      </w:r>
      <w:r w:rsidRPr="00631F09">
        <w:rPr>
          <w:sz w:val="28"/>
          <w:szCs w:val="28"/>
        </w:rPr>
        <w:t xml:space="preserve"> cases </w:t>
      </w:r>
      <w:r>
        <w:rPr>
          <w:sz w:val="28"/>
          <w:szCs w:val="28"/>
        </w:rPr>
        <w:t xml:space="preserve">documented by TRHD Alliance between January 2011 and August 2013, </w:t>
      </w:r>
      <w:r w:rsidRPr="00631F09">
        <w:rPr>
          <w:sz w:val="28"/>
          <w:szCs w:val="28"/>
        </w:rPr>
        <w:t xml:space="preserve">the police claim that the deaths are the result of </w:t>
      </w:r>
      <w:r w:rsidRPr="00AD5624">
        <w:rPr>
          <w:sz w:val="28"/>
          <w:szCs w:val="28"/>
        </w:rPr>
        <w:t>crossfire</w:t>
      </w:r>
      <w:r>
        <w:rPr>
          <w:sz w:val="28"/>
          <w:szCs w:val="28"/>
        </w:rPr>
        <w:t xml:space="preserve"> and reported them as “encounter killings”. </w:t>
      </w:r>
      <w:r w:rsidRPr="00631F09">
        <w:rPr>
          <w:sz w:val="28"/>
          <w:szCs w:val="28"/>
        </w:rPr>
        <w:t xml:space="preserve">None of these deaths </w:t>
      </w:r>
      <w:r>
        <w:rPr>
          <w:sz w:val="28"/>
          <w:szCs w:val="28"/>
        </w:rPr>
        <w:t xml:space="preserve">were initially </w:t>
      </w:r>
      <w:r w:rsidRPr="00631F09">
        <w:rPr>
          <w:sz w:val="28"/>
          <w:szCs w:val="28"/>
        </w:rPr>
        <w:t xml:space="preserve">reported by the </w:t>
      </w:r>
      <w:r>
        <w:rPr>
          <w:sz w:val="28"/>
          <w:szCs w:val="28"/>
        </w:rPr>
        <w:t>authorities; instead</w:t>
      </w:r>
      <w:r w:rsidRPr="00631F09">
        <w:rPr>
          <w:sz w:val="28"/>
          <w:szCs w:val="28"/>
        </w:rPr>
        <w:t xml:space="preserve"> reports </w:t>
      </w:r>
      <w:r>
        <w:rPr>
          <w:sz w:val="28"/>
          <w:szCs w:val="28"/>
        </w:rPr>
        <w:t xml:space="preserve">have </w:t>
      </w:r>
      <w:r w:rsidRPr="00631F09">
        <w:rPr>
          <w:sz w:val="28"/>
          <w:szCs w:val="28"/>
        </w:rPr>
        <w:t xml:space="preserve">always come from journalists or families </w:t>
      </w:r>
      <w:r>
        <w:rPr>
          <w:sz w:val="28"/>
          <w:szCs w:val="28"/>
        </w:rPr>
        <w:t>assisted by</w:t>
      </w:r>
      <w:r w:rsidRPr="00631F09">
        <w:rPr>
          <w:sz w:val="28"/>
          <w:szCs w:val="28"/>
        </w:rPr>
        <w:t xml:space="preserve"> human rights organizations. </w:t>
      </w:r>
      <w:r>
        <w:rPr>
          <w:sz w:val="28"/>
          <w:szCs w:val="28"/>
        </w:rPr>
        <w:t>In other cases</w:t>
      </w:r>
      <w:r w:rsidRPr="00631F09">
        <w:rPr>
          <w:sz w:val="28"/>
          <w:szCs w:val="28"/>
        </w:rPr>
        <w:t xml:space="preserve">, the police </w:t>
      </w:r>
      <w:r>
        <w:rPr>
          <w:sz w:val="28"/>
          <w:szCs w:val="28"/>
        </w:rPr>
        <w:t>have</w:t>
      </w:r>
      <w:r w:rsidRPr="00631F09">
        <w:rPr>
          <w:sz w:val="28"/>
          <w:szCs w:val="28"/>
        </w:rPr>
        <w:t xml:space="preserve"> release</w:t>
      </w:r>
      <w:r>
        <w:rPr>
          <w:sz w:val="28"/>
          <w:szCs w:val="28"/>
        </w:rPr>
        <w:t>d</w:t>
      </w:r>
      <w:r w:rsidRPr="00631F09">
        <w:rPr>
          <w:sz w:val="28"/>
          <w:szCs w:val="28"/>
        </w:rPr>
        <w:t xml:space="preserve"> a press statement reporting that a </w:t>
      </w:r>
      <w:r w:rsidRPr="00AD5624">
        <w:rPr>
          <w:sz w:val="28"/>
          <w:szCs w:val="28"/>
        </w:rPr>
        <w:t>thief</w:t>
      </w:r>
      <w:r w:rsidRPr="00631F09">
        <w:rPr>
          <w:sz w:val="28"/>
          <w:szCs w:val="28"/>
        </w:rPr>
        <w:t xml:space="preserve"> or member of an armed group was killed when the police tried to arrest </w:t>
      </w:r>
      <w:r w:rsidRPr="00AD5624">
        <w:rPr>
          <w:sz w:val="28"/>
          <w:szCs w:val="28"/>
        </w:rPr>
        <w:t xml:space="preserve">him. </w:t>
      </w:r>
      <w:r>
        <w:rPr>
          <w:sz w:val="28"/>
          <w:szCs w:val="28"/>
        </w:rPr>
        <w:t>In eight cases, e</w:t>
      </w:r>
      <w:r w:rsidRPr="00AD5624">
        <w:rPr>
          <w:sz w:val="28"/>
          <w:szCs w:val="28"/>
        </w:rPr>
        <w:t>yewitne</w:t>
      </w:r>
      <w:r>
        <w:rPr>
          <w:sz w:val="28"/>
          <w:szCs w:val="28"/>
        </w:rPr>
        <w:t>sses</w:t>
      </w:r>
      <w:r w:rsidRPr="00631F09">
        <w:rPr>
          <w:sz w:val="28"/>
          <w:szCs w:val="28"/>
        </w:rPr>
        <w:t xml:space="preserve"> report</w:t>
      </w:r>
      <w:r>
        <w:rPr>
          <w:sz w:val="28"/>
          <w:szCs w:val="28"/>
        </w:rPr>
        <w:t>ed</w:t>
      </w:r>
      <w:r w:rsidRPr="00631F09">
        <w:rPr>
          <w:sz w:val="28"/>
          <w:szCs w:val="28"/>
        </w:rPr>
        <w:t xml:space="preserve"> that the victim was kept in police custody and killed intentionally there</w:t>
      </w:r>
      <w:r>
        <w:rPr>
          <w:sz w:val="28"/>
          <w:szCs w:val="28"/>
        </w:rPr>
        <w:t>.</w:t>
      </w:r>
      <w:r>
        <w:rPr>
          <w:rStyle w:val="FootnoteReference"/>
          <w:sz w:val="28"/>
          <w:szCs w:val="28"/>
        </w:rPr>
        <w:footnoteReference w:id="50"/>
      </w:r>
      <w:r w:rsidRPr="00631F09">
        <w:rPr>
          <w:sz w:val="28"/>
          <w:szCs w:val="28"/>
        </w:rPr>
        <w:t xml:space="preserve"> </w:t>
      </w:r>
      <w:r>
        <w:rPr>
          <w:sz w:val="28"/>
          <w:szCs w:val="28"/>
        </w:rPr>
        <w:t xml:space="preserve">In all but three of these cases witnesses reported that shots were fired after the arrest. </w:t>
      </w:r>
      <w:r w:rsidRPr="00631F09">
        <w:rPr>
          <w:sz w:val="28"/>
          <w:szCs w:val="28"/>
        </w:rPr>
        <w:t xml:space="preserve"> In two </w:t>
      </w:r>
      <w:r w:rsidRPr="00631F09">
        <w:rPr>
          <w:sz w:val="28"/>
          <w:szCs w:val="28"/>
        </w:rPr>
        <w:lastRenderedPageBreak/>
        <w:t>other cases, death was caused by beatings received in custody. However in these cases the police deny the arrest occurred</w:t>
      </w:r>
      <w:r>
        <w:rPr>
          <w:sz w:val="28"/>
          <w:szCs w:val="28"/>
        </w:rPr>
        <w:t>.</w:t>
      </w:r>
      <w:r w:rsidRPr="00631F09">
        <w:rPr>
          <w:rStyle w:val="FootnoteReference"/>
          <w:sz w:val="28"/>
          <w:szCs w:val="28"/>
        </w:rPr>
        <w:footnoteReference w:id="51"/>
      </w:r>
    </w:p>
    <w:p w:rsidR="008C4466" w:rsidRDefault="008C4466" w:rsidP="008C4466">
      <w:pPr>
        <w:spacing w:before="100" w:beforeAutospacing="1" w:after="100" w:afterAutospacing="1"/>
        <w:jc w:val="both"/>
        <w:rPr>
          <w:sz w:val="28"/>
          <w:szCs w:val="28"/>
        </w:rPr>
      </w:pPr>
      <w:r>
        <w:rPr>
          <w:sz w:val="28"/>
          <w:szCs w:val="28"/>
        </w:rPr>
        <w:t>The police authorities’ version of events is very similar in all cases. No police officers are ever reported injured or killed in these “encounters”, despite always allegedly shooting in response to being shot at. In one case the police reported that two police officers were injured in the “encounter” but refused to provide their names, or details of where they were being treated.</w:t>
      </w:r>
      <w:r>
        <w:rPr>
          <w:rStyle w:val="FootnoteReference"/>
          <w:sz w:val="28"/>
          <w:szCs w:val="28"/>
        </w:rPr>
        <w:footnoteReference w:id="52"/>
      </w:r>
      <w:r>
        <w:rPr>
          <w:sz w:val="28"/>
          <w:szCs w:val="28"/>
        </w:rPr>
        <w:t xml:space="preserve"> The police always report that multiple rounds were shot, but local witnesses systematically report a lot fewer shots being heard. In the case of Santosh Sing</w:t>
      </w:r>
      <w:r>
        <w:rPr>
          <w:rStyle w:val="FootnoteReference"/>
          <w:sz w:val="28"/>
          <w:szCs w:val="28"/>
        </w:rPr>
        <w:footnoteReference w:id="53"/>
      </w:r>
      <w:r>
        <w:rPr>
          <w:sz w:val="28"/>
          <w:szCs w:val="28"/>
        </w:rPr>
        <w:t>, the police reported 20 shots being fired, 5 by the bandits, 15 by the police, but villagers reported hearing only two or three shots. In the case of Harendra Shah Teli</w:t>
      </w:r>
      <w:r>
        <w:rPr>
          <w:rStyle w:val="FootnoteReference"/>
          <w:sz w:val="28"/>
          <w:szCs w:val="28"/>
        </w:rPr>
        <w:footnoteReference w:id="54"/>
      </w:r>
      <w:r>
        <w:rPr>
          <w:sz w:val="28"/>
          <w:szCs w:val="28"/>
        </w:rPr>
        <w:t>, witnesses heard 2 rounds; the police reported 10-11. In the case of Jay Narayan Paswan the number of shots heard by witnesses correlate exactly with the number of bullet wounds on the victim.</w:t>
      </w:r>
      <w:r>
        <w:rPr>
          <w:rStyle w:val="FootnoteReference"/>
          <w:sz w:val="28"/>
          <w:szCs w:val="28"/>
        </w:rPr>
        <w:footnoteReference w:id="55"/>
      </w:r>
    </w:p>
    <w:p w:rsidR="008C4466" w:rsidRDefault="008C4466" w:rsidP="008C4466">
      <w:pPr>
        <w:spacing w:before="100" w:beforeAutospacing="1" w:after="100" w:afterAutospacing="1"/>
        <w:jc w:val="both"/>
        <w:rPr>
          <w:sz w:val="28"/>
          <w:szCs w:val="28"/>
        </w:rPr>
      </w:pPr>
      <w:r>
        <w:rPr>
          <w:sz w:val="28"/>
          <w:szCs w:val="28"/>
        </w:rPr>
        <w:t>In two cases involving “encounters” with groups of bandits, the police allegedly shot in retaliation at three men riding on one motorbike. In both cases, only the man in the middle was shot multiple times and killed, the others apparently escaping uninjured. This was the case in the killings of Jay Narayan Paswan and Santosh Singh.</w:t>
      </w:r>
      <w:r>
        <w:rPr>
          <w:rStyle w:val="FootnoteReference"/>
          <w:sz w:val="28"/>
          <w:szCs w:val="28"/>
        </w:rPr>
        <w:footnoteReference w:id="56"/>
      </w:r>
      <w:r>
        <w:rPr>
          <w:sz w:val="28"/>
          <w:szCs w:val="28"/>
        </w:rPr>
        <w:t xml:space="preserve">  Jay was shot 6 times, Santosh 3.</w:t>
      </w:r>
      <w:r>
        <w:rPr>
          <w:rStyle w:val="FootnoteReference"/>
          <w:sz w:val="28"/>
          <w:szCs w:val="28"/>
        </w:rPr>
        <w:footnoteReference w:id="57"/>
      </w:r>
    </w:p>
    <w:p w:rsidR="008C4466" w:rsidRDefault="008C4466" w:rsidP="008C4466">
      <w:pPr>
        <w:spacing w:before="100" w:beforeAutospacing="1" w:after="100" w:afterAutospacing="1"/>
        <w:jc w:val="both"/>
        <w:rPr>
          <w:sz w:val="28"/>
          <w:szCs w:val="28"/>
        </w:rPr>
      </w:pPr>
      <w:r>
        <w:rPr>
          <w:sz w:val="28"/>
          <w:szCs w:val="28"/>
        </w:rPr>
        <w:t xml:space="preserve">Finally, human rights activists who have inspected the location of these “encounters” report that there are no physical signs of them. In locations where if the police reports are truthful there should be more than a dozen bullet casing scattered, and well as signs of people running and escaping, they have found only a few casings and no traces that such an encounter occurred. </w:t>
      </w:r>
    </w:p>
    <w:p w:rsidR="008C4466" w:rsidRDefault="008C4466" w:rsidP="008C4466">
      <w:pPr>
        <w:spacing w:before="100" w:beforeAutospacing="1" w:after="100" w:afterAutospacing="1"/>
        <w:jc w:val="both"/>
        <w:rPr>
          <w:sz w:val="28"/>
          <w:szCs w:val="28"/>
        </w:rPr>
      </w:pPr>
      <w:r>
        <w:rPr>
          <w:sz w:val="28"/>
          <w:szCs w:val="28"/>
        </w:rPr>
        <w:t>In some cases there has been a certain level of “investigation” into the allegations, but this generally is only done after protests by students and/or the local community, including by closing markets and public places.</w:t>
      </w:r>
      <w:r>
        <w:rPr>
          <w:rStyle w:val="FootnoteReference"/>
          <w:sz w:val="28"/>
          <w:szCs w:val="28"/>
        </w:rPr>
        <w:footnoteReference w:id="58"/>
      </w:r>
      <w:r>
        <w:rPr>
          <w:sz w:val="28"/>
          <w:szCs w:val="28"/>
        </w:rPr>
        <w:t xml:space="preserve"> Even in these cases, there have so far not been any prosecutions or departmental action taken against the policemen involved. In other cases, police have told human rights activists that </w:t>
      </w:r>
      <w:r>
        <w:rPr>
          <w:sz w:val="28"/>
          <w:szCs w:val="28"/>
        </w:rPr>
        <w:lastRenderedPageBreak/>
        <w:t>the death is being investigated as involuntary manslaughter, but no visible progress has been made in these cases.</w:t>
      </w:r>
      <w:r>
        <w:rPr>
          <w:rStyle w:val="FootnoteReference"/>
          <w:sz w:val="28"/>
          <w:szCs w:val="28"/>
        </w:rPr>
        <w:footnoteReference w:id="59"/>
      </w:r>
    </w:p>
    <w:p w:rsidR="008C4466" w:rsidRPr="00D96DB4" w:rsidRDefault="008C4466" w:rsidP="008C4466">
      <w:pPr>
        <w:spacing w:before="100" w:beforeAutospacing="1" w:after="100" w:afterAutospacing="1"/>
        <w:jc w:val="both"/>
        <w:rPr>
          <w:sz w:val="28"/>
          <w:szCs w:val="28"/>
          <w:lang w:val="en-US"/>
        </w:rPr>
      </w:pPr>
      <w:r>
        <w:rPr>
          <w:sz w:val="28"/>
          <w:szCs w:val="28"/>
        </w:rPr>
        <w:t>In a number of cases, police personnel allegedly involved in the incidents have been relocated to different districts. This occurred in the cases of Harendra Shah Teli</w:t>
      </w:r>
      <w:r>
        <w:rPr>
          <w:rStyle w:val="FootnoteReference"/>
          <w:sz w:val="28"/>
          <w:szCs w:val="28"/>
        </w:rPr>
        <w:footnoteReference w:id="60"/>
      </w:r>
      <w:r>
        <w:rPr>
          <w:sz w:val="28"/>
          <w:szCs w:val="28"/>
        </w:rPr>
        <w:t>, were two policemen were transferred shortly after his death and in the case of Phuldhari Mukhiya</w:t>
      </w:r>
      <w:r>
        <w:rPr>
          <w:rStyle w:val="FootnoteReference"/>
          <w:sz w:val="28"/>
          <w:szCs w:val="28"/>
        </w:rPr>
        <w:footnoteReference w:id="61"/>
      </w:r>
      <w:r>
        <w:rPr>
          <w:sz w:val="28"/>
          <w:szCs w:val="28"/>
        </w:rPr>
        <w:t xml:space="preserve"> where all the policemen involved were transferred to Dhanusha. Although it is good practice to move the officers allegedly involved, this has reduced the ability for human rights activists and government officials to conduct investigations into the events, as they are finding it difficult to access those officers who witnessed and participated in the “encounter” or “arrest”. </w:t>
      </w:r>
      <w:r>
        <w:rPr>
          <w:sz w:val="28"/>
          <w:szCs w:val="28"/>
          <w:lang w:val="en-US"/>
        </w:rPr>
        <w:t xml:space="preserve">The moving of the officers must be conducted in a manner that guarantees that those investigating the allegations have continued and unimpeded access to them.  </w:t>
      </w:r>
    </w:p>
    <w:p w:rsidR="008C4466" w:rsidRPr="00631F09" w:rsidRDefault="008C4466" w:rsidP="008C4466">
      <w:pPr>
        <w:spacing w:before="100" w:beforeAutospacing="1" w:after="100" w:afterAutospacing="1"/>
        <w:jc w:val="both"/>
        <w:rPr>
          <w:sz w:val="28"/>
          <w:szCs w:val="28"/>
        </w:rPr>
      </w:pPr>
      <w:r w:rsidRPr="00631F09">
        <w:rPr>
          <w:sz w:val="28"/>
          <w:szCs w:val="28"/>
        </w:rPr>
        <w:t>A large number of the victims were involved in criminal activ</w:t>
      </w:r>
      <w:r>
        <w:rPr>
          <w:sz w:val="28"/>
          <w:szCs w:val="28"/>
        </w:rPr>
        <w:t>i</w:t>
      </w:r>
      <w:r w:rsidRPr="00631F09">
        <w:rPr>
          <w:sz w:val="28"/>
          <w:szCs w:val="28"/>
        </w:rPr>
        <w:t>t</w:t>
      </w:r>
      <w:r>
        <w:rPr>
          <w:sz w:val="28"/>
          <w:szCs w:val="28"/>
        </w:rPr>
        <w:t>i</w:t>
      </w:r>
      <w:r w:rsidRPr="00631F09">
        <w:rPr>
          <w:sz w:val="28"/>
          <w:szCs w:val="28"/>
        </w:rPr>
        <w:t xml:space="preserve">es carried out by armed groups with political affiliations. Many of these groups are considered </w:t>
      </w:r>
      <w:r>
        <w:rPr>
          <w:sz w:val="28"/>
          <w:szCs w:val="28"/>
        </w:rPr>
        <w:t>“</w:t>
      </w:r>
      <w:r w:rsidRPr="00631F09">
        <w:rPr>
          <w:sz w:val="28"/>
          <w:szCs w:val="28"/>
        </w:rPr>
        <w:t>terrorist</w:t>
      </w:r>
      <w:r>
        <w:rPr>
          <w:sz w:val="28"/>
          <w:szCs w:val="28"/>
        </w:rPr>
        <w:t>”</w:t>
      </w:r>
      <w:r w:rsidRPr="00631F09">
        <w:rPr>
          <w:sz w:val="28"/>
          <w:szCs w:val="28"/>
        </w:rPr>
        <w:t xml:space="preserve"> groups by the government and claim to be fighting for the independence of the Terai/ Madhes</w:t>
      </w:r>
      <w:r>
        <w:rPr>
          <w:rStyle w:val="FootnoteReference"/>
          <w:sz w:val="28"/>
          <w:szCs w:val="28"/>
        </w:rPr>
        <w:footnoteReference w:id="62"/>
      </w:r>
      <w:r w:rsidRPr="00631F09">
        <w:rPr>
          <w:sz w:val="28"/>
          <w:szCs w:val="28"/>
        </w:rPr>
        <w:t xml:space="preserve">. </w:t>
      </w:r>
      <w:r>
        <w:rPr>
          <w:sz w:val="28"/>
          <w:szCs w:val="28"/>
        </w:rPr>
        <w:t>In other cases such as that of Harendra Shah Teli</w:t>
      </w:r>
      <w:r>
        <w:rPr>
          <w:rStyle w:val="FootnoteReference"/>
          <w:sz w:val="28"/>
          <w:szCs w:val="28"/>
        </w:rPr>
        <w:footnoteReference w:id="63"/>
      </w:r>
      <w:r>
        <w:rPr>
          <w:sz w:val="28"/>
          <w:szCs w:val="28"/>
        </w:rPr>
        <w:t xml:space="preserve">, the police reported that he was involved with a group of bandits and suspected of involvement in past criminal activities, but the family deny this and there had been no cases or FIR filed against him. </w:t>
      </w:r>
    </w:p>
    <w:p w:rsidR="008C4466" w:rsidRDefault="008C4466" w:rsidP="008C4466">
      <w:pPr>
        <w:spacing w:before="100" w:beforeAutospacing="1" w:after="100" w:afterAutospacing="1"/>
        <w:jc w:val="both"/>
        <w:rPr>
          <w:sz w:val="28"/>
          <w:szCs w:val="28"/>
        </w:rPr>
      </w:pPr>
      <w:r>
        <w:rPr>
          <w:sz w:val="28"/>
          <w:szCs w:val="28"/>
        </w:rPr>
        <w:t xml:space="preserve">In one </w:t>
      </w:r>
      <w:r w:rsidRPr="00631F09">
        <w:rPr>
          <w:sz w:val="28"/>
          <w:szCs w:val="28"/>
        </w:rPr>
        <w:t>case</w:t>
      </w:r>
      <w:r>
        <w:rPr>
          <w:sz w:val="28"/>
          <w:szCs w:val="28"/>
        </w:rPr>
        <w:t>,</w:t>
      </w:r>
      <w:r w:rsidRPr="00631F09">
        <w:rPr>
          <w:sz w:val="28"/>
          <w:szCs w:val="28"/>
        </w:rPr>
        <w:t xml:space="preserve"> Indian Police have arrested members/suspected members of an armed group and handed them over to the Nepal Police. They have then been killed</w:t>
      </w:r>
      <w:r>
        <w:rPr>
          <w:sz w:val="28"/>
          <w:szCs w:val="28"/>
        </w:rPr>
        <w:t>.</w:t>
      </w:r>
      <w:r>
        <w:rPr>
          <w:rStyle w:val="FootnoteReference"/>
          <w:sz w:val="28"/>
          <w:szCs w:val="28"/>
        </w:rPr>
        <w:footnoteReference w:id="64"/>
      </w:r>
    </w:p>
    <w:p w:rsidR="008C4466" w:rsidRPr="00631F09" w:rsidRDefault="008C4466" w:rsidP="008C4466">
      <w:pPr>
        <w:spacing w:before="100" w:beforeAutospacing="1" w:after="100" w:afterAutospacing="1"/>
        <w:jc w:val="both"/>
        <w:rPr>
          <w:sz w:val="28"/>
          <w:szCs w:val="28"/>
        </w:rPr>
      </w:pPr>
      <w:r>
        <w:rPr>
          <w:sz w:val="28"/>
          <w:szCs w:val="28"/>
        </w:rPr>
        <w:t>All of the deceased have been Madesh men aged between 19 and late 40s. In this traditional community, this means that often the families’ main wage earner is killed. The majority of these men come from poor backgrounds, and they and their families were struggling economically before their death. The removal of the main breadwinner, who in some cases was also supporting his parents, leaves their families in dire economic situations. In at least three cases, families have sold what little land they possessed to cover funeral costs as well as simply the cost of running a family.</w:t>
      </w:r>
      <w:r>
        <w:rPr>
          <w:rStyle w:val="FootnoteReference"/>
          <w:sz w:val="28"/>
          <w:szCs w:val="28"/>
        </w:rPr>
        <w:footnoteReference w:id="65"/>
      </w:r>
      <w:r>
        <w:rPr>
          <w:sz w:val="28"/>
          <w:szCs w:val="28"/>
        </w:rPr>
        <w:t xml:space="preserve"> This combined with low levels of formal education makes it even more difficult for families to access the authorities, and push for full impartial </w:t>
      </w:r>
      <w:r>
        <w:rPr>
          <w:sz w:val="28"/>
          <w:szCs w:val="28"/>
        </w:rPr>
        <w:lastRenderedPageBreak/>
        <w:t xml:space="preserve">investigations. Many families have been made to sign documents by the police that they have been unable to read. </w:t>
      </w:r>
    </w:p>
    <w:p w:rsidR="008C4466" w:rsidRPr="00561186" w:rsidRDefault="008C4466" w:rsidP="008C4466">
      <w:pPr>
        <w:pStyle w:val="Heading2"/>
        <w:spacing w:before="100" w:beforeAutospacing="1" w:after="100" w:afterAutospacing="1"/>
        <w:jc w:val="both"/>
        <w:rPr>
          <w:rFonts w:ascii="Times New Roman" w:hAnsi="Times New Roman"/>
        </w:rPr>
      </w:pPr>
      <w:bookmarkStart w:id="28" w:name="_Toc379980847"/>
      <w:bookmarkStart w:id="29" w:name="_Toc379983660"/>
      <w:r w:rsidRPr="00561186">
        <w:rPr>
          <w:rFonts w:ascii="Times New Roman" w:hAnsi="Times New Roman"/>
        </w:rPr>
        <w:t>General patterns to investigations into killings committed by police and security forces.</w:t>
      </w:r>
      <w:bookmarkEnd w:id="28"/>
      <w:bookmarkEnd w:id="29"/>
    </w:p>
    <w:p w:rsidR="008C4466" w:rsidRPr="00631F09" w:rsidRDefault="008C4466" w:rsidP="008C4466">
      <w:pPr>
        <w:spacing w:before="100" w:beforeAutospacing="1" w:after="100" w:afterAutospacing="1"/>
        <w:jc w:val="both"/>
        <w:rPr>
          <w:sz w:val="28"/>
          <w:szCs w:val="28"/>
        </w:rPr>
      </w:pPr>
      <w:r w:rsidRPr="00631F09">
        <w:rPr>
          <w:sz w:val="28"/>
          <w:szCs w:val="28"/>
        </w:rPr>
        <w:t xml:space="preserve">The nexus between armed groups, police force and political groups often leads to cases not being investigated. To date there have been no </w:t>
      </w:r>
      <w:r>
        <w:rPr>
          <w:sz w:val="28"/>
          <w:szCs w:val="28"/>
        </w:rPr>
        <w:t xml:space="preserve">charges </w:t>
      </w:r>
      <w:r w:rsidRPr="00631F09">
        <w:rPr>
          <w:sz w:val="28"/>
          <w:szCs w:val="28"/>
        </w:rPr>
        <w:t xml:space="preserve">brought against the police personnel involved in carrying out </w:t>
      </w:r>
      <w:r>
        <w:rPr>
          <w:sz w:val="28"/>
          <w:szCs w:val="28"/>
        </w:rPr>
        <w:t>e</w:t>
      </w:r>
      <w:r w:rsidRPr="00631F09">
        <w:rPr>
          <w:sz w:val="28"/>
          <w:szCs w:val="28"/>
        </w:rPr>
        <w:t>xtra</w:t>
      </w:r>
      <w:r>
        <w:rPr>
          <w:sz w:val="28"/>
          <w:szCs w:val="28"/>
        </w:rPr>
        <w:t>j</w:t>
      </w:r>
      <w:r w:rsidRPr="00631F09">
        <w:rPr>
          <w:sz w:val="28"/>
          <w:szCs w:val="28"/>
        </w:rPr>
        <w:t xml:space="preserve">udicial </w:t>
      </w:r>
      <w:r>
        <w:rPr>
          <w:sz w:val="28"/>
          <w:szCs w:val="28"/>
        </w:rPr>
        <w:t>e</w:t>
      </w:r>
      <w:r w:rsidRPr="00631F09">
        <w:rPr>
          <w:sz w:val="28"/>
          <w:szCs w:val="28"/>
        </w:rPr>
        <w:t xml:space="preserve">xecutions. </w:t>
      </w:r>
      <w:r>
        <w:rPr>
          <w:sz w:val="28"/>
          <w:szCs w:val="28"/>
        </w:rPr>
        <w:t>Instead, there are regular reports that those involved have been promoted or sent on peacekeeping operations. In September 2012, for example, Kuber Singh Rana was promoted to Nepal’s Inspector General of Police despite the fact that he was being investigated for his alleged involvement in the enforced disappearance and killing of five youths in the Terai’s Dhanusha district in 2003.</w:t>
      </w:r>
      <w:r>
        <w:rPr>
          <w:rStyle w:val="FootnoteReference"/>
          <w:sz w:val="28"/>
          <w:szCs w:val="28"/>
        </w:rPr>
        <w:footnoteReference w:id="66"/>
      </w:r>
    </w:p>
    <w:p w:rsidR="008C4466" w:rsidRPr="00631F09" w:rsidRDefault="008C4466" w:rsidP="008C4466">
      <w:pPr>
        <w:spacing w:before="100" w:beforeAutospacing="1" w:after="100" w:afterAutospacing="1"/>
        <w:jc w:val="both"/>
        <w:rPr>
          <w:sz w:val="28"/>
          <w:szCs w:val="28"/>
        </w:rPr>
      </w:pPr>
      <w:r w:rsidRPr="00631F09">
        <w:rPr>
          <w:sz w:val="28"/>
          <w:szCs w:val="28"/>
        </w:rPr>
        <w:t xml:space="preserve">In </w:t>
      </w:r>
      <w:r w:rsidRPr="00E649E2">
        <w:rPr>
          <w:sz w:val="28"/>
          <w:szCs w:val="28"/>
        </w:rPr>
        <w:t>f</w:t>
      </w:r>
      <w:r>
        <w:rPr>
          <w:sz w:val="28"/>
          <w:szCs w:val="28"/>
        </w:rPr>
        <w:t>ive of the cases documented here</w:t>
      </w:r>
      <w:r w:rsidRPr="00631F09">
        <w:rPr>
          <w:sz w:val="28"/>
          <w:szCs w:val="28"/>
        </w:rPr>
        <w:t xml:space="preserve">, the families have alleged that powerful politicians orchestrated the killing by police or </w:t>
      </w:r>
      <w:r>
        <w:rPr>
          <w:sz w:val="28"/>
          <w:szCs w:val="28"/>
        </w:rPr>
        <w:t xml:space="preserve">that </w:t>
      </w:r>
      <w:r w:rsidRPr="00631F09">
        <w:rPr>
          <w:sz w:val="28"/>
          <w:szCs w:val="28"/>
        </w:rPr>
        <w:t xml:space="preserve">businessmen paid the police to kill the victim as retribution for a perceived wrong or as part of a family feud. </w:t>
      </w:r>
      <w:r>
        <w:rPr>
          <w:sz w:val="28"/>
          <w:szCs w:val="28"/>
        </w:rPr>
        <w:t>The family of Sukhkhi Loniya</w:t>
      </w:r>
      <w:r>
        <w:rPr>
          <w:rStyle w:val="FootnoteReference"/>
          <w:sz w:val="28"/>
          <w:szCs w:val="28"/>
        </w:rPr>
        <w:footnoteReference w:id="67"/>
      </w:r>
      <w:r>
        <w:rPr>
          <w:sz w:val="28"/>
          <w:szCs w:val="28"/>
        </w:rPr>
        <w:t xml:space="preserve"> believe that Hiralal Loniya, the chairman of the district committee, is behind the killing. A powerful local politician, he had previously made threats against Loniya due to his marriage to Reena Loniya, whom a relative of Hiralal wanted to marry. These threats had caused the couple to move to India, from where Loniya had been induced to return for unknown reasons just days before his death. In the case of Hareshiv Yadav</w:t>
      </w:r>
      <w:r>
        <w:rPr>
          <w:rStyle w:val="FootnoteReference"/>
          <w:sz w:val="28"/>
          <w:szCs w:val="28"/>
        </w:rPr>
        <w:footnoteReference w:id="68"/>
      </w:r>
      <w:r>
        <w:rPr>
          <w:sz w:val="28"/>
          <w:szCs w:val="28"/>
        </w:rPr>
        <w:t xml:space="preserve">, the family believe that the police acted at the behest of Suresh Yadav’s son, the two families being involved in a feud over communal land. Before Hareshiv was killed, the police appeared to be supporting Suresh Yadav and after his death, his son in their dispute with villagers over some communal land. After Suresh was killed, the police and his family harassed the wives of those suspected of killing him, Suresh’s family was provided with around the clock protection and the police participated in vandalising the houses of those suspected of killing Suresh. They also threated the village’s women with violence and with the filing of false criminal charges. This is in stark contrast to the aftermath of Hareshiv’s killing, when the police threatened villagers that any sign that they supported Hareshiv’s family would result in them being considered accomplices to a criminal. His wife was harassed by the police and at one point was so scarred she would not leave the house to go to the pharmacy despite needing medication. </w:t>
      </w:r>
    </w:p>
    <w:p w:rsidR="008C4466" w:rsidRDefault="008C4466" w:rsidP="008C4466">
      <w:pPr>
        <w:spacing w:before="100" w:beforeAutospacing="1" w:after="100" w:afterAutospacing="1"/>
        <w:jc w:val="both"/>
        <w:rPr>
          <w:sz w:val="28"/>
          <w:szCs w:val="28"/>
        </w:rPr>
      </w:pPr>
    </w:p>
    <w:p w:rsidR="008C4466" w:rsidRDefault="008C4466" w:rsidP="008C4466">
      <w:pPr>
        <w:spacing w:before="100" w:beforeAutospacing="1" w:after="100" w:afterAutospacing="1"/>
        <w:jc w:val="both"/>
        <w:rPr>
          <w:sz w:val="28"/>
          <w:szCs w:val="28"/>
        </w:rPr>
      </w:pPr>
      <w:r>
        <w:rPr>
          <w:sz w:val="28"/>
          <w:szCs w:val="28"/>
        </w:rPr>
        <w:t>Due to the high levels of insecurity, there have been three cases, where although it is widely believed that the police used excessive force and could have apprehended the suspects alive instead, the actions taken by the police are supported by the local community.</w:t>
      </w:r>
      <w:r>
        <w:rPr>
          <w:rStyle w:val="FootnoteReference"/>
          <w:sz w:val="28"/>
          <w:szCs w:val="28"/>
        </w:rPr>
        <w:footnoteReference w:id="69"/>
      </w:r>
      <w:r>
        <w:rPr>
          <w:sz w:val="28"/>
          <w:szCs w:val="28"/>
        </w:rPr>
        <w:t xml:space="preserve"> In these cases human rights defenders and media have been unable to carry out effective investigations, as they fear the reaction of the community. </w:t>
      </w:r>
    </w:p>
    <w:p w:rsidR="008C4466" w:rsidRDefault="008C4466" w:rsidP="008C4466">
      <w:pPr>
        <w:spacing w:before="100" w:beforeAutospacing="1" w:after="100" w:afterAutospacing="1"/>
        <w:jc w:val="both"/>
        <w:rPr>
          <w:sz w:val="28"/>
          <w:szCs w:val="28"/>
        </w:rPr>
      </w:pPr>
      <w:r>
        <w:rPr>
          <w:sz w:val="28"/>
          <w:szCs w:val="28"/>
        </w:rPr>
        <w:t>And in cases where none of these factors are apparent there is still a failure to investigate and prosecute. In the case of Mangare Murau</w:t>
      </w:r>
      <w:r>
        <w:rPr>
          <w:rStyle w:val="FootnoteReference"/>
          <w:sz w:val="28"/>
          <w:szCs w:val="28"/>
        </w:rPr>
        <w:footnoteReference w:id="70"/>
      </w:r>
      <w:r>
        <w:rPr>
          <w:sz w:val="28"/>
          <w:szCs w:val="28"/>
        </w:rPr>
        <w:t>, following protests organised by his family, a meeting was organised with the APF, the district police, the victim’s family, civil society, human rights activists and the media. At this meeting the APF admitted its men were at fault. They promised NRs 150,000 immediate compensation to be paid by the APF, and NRs 1 million to be paid by the government. They also promised to prosecute those responsible. On these terms his family agreed to end the protests. However there was no action taken against any APF personnel, and the family received only NRs 450,000 from the government. Students and family members took similar action following the killing of Dipendra Jha.</w:t>
      </w:r>
      <w:r>
        <w:rPr>
          <w:rStyle w:val="FootnoteReference"/>
          <w:sz w:val="28"/>
          <w:szCs w:val="28"/>
        </w:rPr>
        <w:footnoteReference w:id="71"/>
      </w:r>
      <w:r>
        <w:rPr>
          <w:sz w:val="28"/>
          <w:szCs w:val="28"/>
        </w:rPr>
        <w:t xml:space="preserve"> This led to the formation of a five member investigative team formed by members of the NHRC, FNJ and FSU as well as a family member. The NHRC later declined to participate saying it has its own procedures of investigation and being part of a government formed team could come into conflict with those procedures. Following the student protests, student leaders were arrested. No action has resulted from the formation of the investigative team. </w:t>
      </w:r>
    </w:p>
    <w:p w:rsidR="008C4466" w:rsidRDefault="008C4466" w:rsidP="008C4466">
      <w:pPr>
        <w:spacing w:before="100" w:beforeAutospacing="1" w:after="100" w:afterAutospacing="1"/>
        <w:jc w:val="both"/>
        <w:rPr>
          <w:sz w:val="28"/>
          <w:szCs w:val="28"/>
        </w:rPr>
      </w:pPr>
      <w:r>
        <w:rPr>
          <w:sz w:val="28"/>
          <w:szCs w:val="28"/>
        </w:rPr>
        <w:t>In the case of Phuldhari Mukhiya</w:t>
      </w:r>
      <w:r>
        <w:rPr>
          <w:rStyle w:val="FootnoteReference"/>
          <w:sz w:val="28"/>
          <w:szCs w:val="28"/>
        </w:rPr>
        <w:footnoteReference w:id="72"/>
      </w:r>
      <w:r>
        <w:rPr>
          <w:sz w:val="28"/>
          <w:szCs w:val="28"/>
        </w:rPr>
        <w:t xml:space="preserve">, the SP told human rights activists that if police personnel were found responsible they would be prosecuted and the SSP of the Zonal Police office said that if anyone was found violating the law they would not be protected but that there was no evidence to lead to a prosecution. However, in the same case, the NHRC recommended that criminal action be taken against one of the officers involved under the Homicide Chapter of the Country Code (Muluki Ain) and that departmental action be taken against two other. They also recommended that departmental action be taken against one officer for failure to cooperate in an investigation. These contradictory findings have not lead to any action being taken in this case. </w:t>
      </w:r>
    </w:p>
    <w:p w:rsidR="008C4466" w:rsidRPr="00631F09" w:rsidRDefault="008C4466" w:rsidP="008C4466">
      <w:pPr>
        <w:spacing w:before="100" w:beforeAutospacing="1" w:after="100" w:afterAutospacing="1"/>
        <w:jc w:val="both"/>
        <w:rPr>
          <w:sz w:val="28"/>
          <w:szCs w:val="28"/>
        </w:rPr>
      </w:pPr>
    </w:p>
    <w:p w:rsidR="008C4466" w:rsidRPr="00561186" w:rsidRDefault="008C4466" w:rsidP="008C4466">
      <w:pPr>
        <w:pStyle w:val="Heading2"/>
        <w:spacing w:before="100" w:beforeAutospacing="1" w:after="100" w:afterAutospacing="1"/>
        <w:jc w:val="both"/>
        <w:rPr>
          <w:rFonts w:ascii="Times New Roman" w:hAnsi="Times New Roman"/>
        </w:rPr>
      </w:pPr>
      <w:bookmarkStart w:id="30" w:name="_Toc379980848"/>
      <w:bookmarkStart w:id="31" w:name="_Toc379983661"/>
      <w:r w:rsidRPr="00561186">
        <w:rPr>
          <w:rFonts w:ascii="Times New Roman" w:hAnsi="Times New Roman"/>
        </w:rPr>
        <w:lastRenderedPageBreak/>
        <w:t>Threats to human rights defenders investigating and families of victims</w:t>
      </w:r>
      <w:r w:rsidRPr="00631F09">
        <w:rPr>
          <w:rFonts w:ascii="Times New Roman" w:hAnsi="Times New Roman"/>
        </w:rPr>
        <w:t>, Access to information for INGO’s and NGO’s</w:t>
      </w:r>
      <w:bookmarkEnd w:id="30"/>
      <w:bookmarkEnd w:id="31"/>
    </w:p>
    <w:p w:rsidR="008C4466" w:rsidRPr="00631F09" w:rsidRDefault="008C4466" w:rsidP="008C4466">
      <w:pPr>
        <w:spacing w:before="100" w:beforeAutospacing="1" w:after="100" w:afterAutospacing="1"/>
        <w:jc w:val="both"/>
        <w:rPr>
          <w:sz w:val="28"/>
          <w:szCs w:val="28"/>
        </w:rPr>
      </w:pPr>
      <w:r w:rsidRPr="00631F09">
        <w:rPr>
          <w:sz w:val="28"/>
          <w:szCs w:val="28"/>
        </w:rPr>
        <w:t>Human rights defender</w:t>
      </w:r>
      <w:r>
        <w:rPr>
          <w:sz w:val="28"/>
          <w:szCs w:val="28"/>
        </w:rPr>
        <w:t>s</w:t>
      </w:r>
      <w:r w:rsidRPr="00631F09">
        <w:rPr>
          <w:sz w:val="28"/>
          <w:szCs w:val="28"/>
        </w:rPr>
        <w:t xml:space="preserve"> are faced with difficulties in all Terai districts. </w:t>
      </w:r>
      <w:r>
        <w:rPr>
          <w:sz w:val="28"/>
          <w:szCs w:val="28"/>
        </w:rPr>
        <w:t xml:space="preserve">Particularly </w:t>
      </w:r>
      <w:r w:rsidRPr="00631F09">
        <w:rPr>
          <w:sz w:val="28"/>
          <w:szCs w:val="28"/>
        </w:rPr>
        <w:t>in Siraha, Kapilvastu, Rupandehi</w:t>
      </w:r>
      <w:r>
        <w:rPr>
          <w:sz w:val="28"/>
          <w:szCs w:val="28"/>
        </w:rPr>
        <w:t>, Dhanusha</w:t>
      </w:r>
      <w:r w:rsidRPr="00631F09">
        <w:rPr>
          <w:sz w:val="28"/>
          <w:szCs w:val="28"/>
        </w:rPr>
        <w:t xml:space="preserve"> and Banke</w:t>
      </w:r>
      <w:r>
        <w:rPr>
          <w:sz w:val="28"/>
          <w:szCs w:val="28"/>
        </w:rPr>
        <w:t>,</w:t>
      </w:r>
      <w:r w:rsidRPr="00631F09">
        <w:rPr>
          <w:sz w:val="28"/>
          <w:szCs w:val="28"/>
        </w:rPr>
        <w:t xml:space="preserve"> the police are obstructive and </w:t>
      </w:r>
      <w:r>
        <w:rPr>
          <w:sz w:val="28"/>
          <w:szCs w:val="28"/>
        </w:rPr>
        <w:t>h</w:t>
      </w:r>
      <w:r w:rsidRPr="00631F09">
        <w:rPr>
          <w:sz w:val="28"/>
          <w:szCs w:val="28"/>
        </w:rPr>
        <w:t xml:space="preserve">uman </w:t>
      </w:r>
      <w:r>
        <w:rPr>
          <w:sz w:val="28"/>
          <w:szCs w:val="28"/>
        </w:rPr>
        <w:t>r</w:t>
      </w:r>
      <w:r w:rsidRPr="00631F09">
        <w:rPr>
          <w:sz w:val="28"/>
          <w:szCs w:val="28"/>
        </w:rPr>
        <w:t xml:space="preserve">ights defenders receive </w:t>
      </w:r>
      <w:r>
        <w:rPr>
          <w:sz w:val="28"/>
          <w:szCs w:val="28"/>
        </w:rPr>
        <w:t xml:space="preserve">regular </w:t>
      </w:r>
      <w:r w:rsidRPr="00631F09">
        <w:rPr>
          <w:sz w:val="28"/>
          <w:szCs w:val="28"/>
        </w:rPr>
        <w:t xml:space="preserve">threats. </w:t>
      </w:r>
      <w:r>
        <w:rPr>
          <w:sz w:val="28"/>
          <w:szCs w:val="28"/>
        </w:rPr>
        <w:t>On 22 May 2012, a Janakpur-based human rights activist was gagged by two policemen and punched in the head several times by a third.</w:t>
      </w:r>
      <w:r w:rsidRPr="00631F09">
        <w:rPr>
          <w:rStyle w:val="FootnoteReference"/>
          <w:sz w:val="28"/>
          <w:szCs w:val="28"/>
        </w:rPr>
        <w:footnoteReference w:id="73"/>
      </w:r>
      <w:r>
        <w:rPr>
          <w:sz w:val="28"/>
          <w:szCs w:val="28"/>
        </w:rPr>
        <w:t xml:space="preserve"> The human rights activist was punched for trying to stop an Indian number plate vehicle, which was being driven by some APF personnel.</w:t>
      </w:r>
    </w:p>
    <w:p w:rsidR="008C4466" w:rsidRDefault="008C4466" w:rsidP="008C4466">
      <w:pPr>
        <w:spacing w:before="100" w:beforeAutospacing="1" w:after="100" w:afterAutospacing="1"/>
        <w:jc w:val="both"/>
        <w:rPr>
          <w:sz w:val="28"/>
          <w:szCs w:val="28"/>
        </w:rPr>
      </w:pPr>
      <w:r w:rsidRPr="00631F09">
        <w:rPr>
          <w:sz w:val="28"/>
          <w:szCs w:val="28"/>
        </w:rPr>
        <w:t xml:space="preserve">Similarly, people are reluctant to come forward in all those districts because of fear of revenge from police. In the case of </w:t>
      </w:r>
      <w:r w:rsidRPr="00631F09">
        <w:rPr>
          <w:b/>
          <w:sz w:val="28"/>
          <w:szCs w:val="28"/>
        </w:rPr>
        <w:t>S</w:t>
      </w:r>
      <w:r w:rsidRPr="00631F09">
        <w:rPr>
          <w:sz w:val="28"/>
          <w:szCs w:val="28"/>
        </w:rPr>
        <w:t>ukhi</w:t>
      </w:r>
      <w:r>
        <w:rPr>
          <w:sz w:val="28"/>
          <w:szCs w:val="28"/>
        </w:rPr>
        <w:t xml:space="preserve"> </w:t>
      </w:r>
      <w:r w:rsidRPr="00631F09">
        <w:rPr>
          <w:sz w:val="28"/>
          <w:szCs w:val="28"/>
        </w:rPr>
        <w:t>Loniya, Aslam’s (one of the witnesses) father, reported that the police told him that if his son returned to Nepal, he would suffer the same fate as SukhiLoniya</w:t>
      </w:r>
      <w:r>
        <w:rPr>
          <w:sz w:val="28"/>
          <w:szCs w:val="28"/>
        </w:rPr>
        <w:t>, i.e. being killed.</w:t>
      </w:r>
      <w:r w:rsidRPr="00631F09">
        <w:rPr>
          <w:rStyle w:val="FootnoteReference"/>
          <w:sz w:val="28"/>
          <w:szCs w:val="28"/>
        </w:rPr>
        <w:footnoteReference w:id="74"/>
      </w:r>
      <w:r>
        <w:rPr>
          <w:sz w:val="28"/>
          <w:szCs w:val="28"/>
        </w:rPr>
        <w:t xml:space="preserve"> In the case of Ramsewak Dhobi</w:t>
      </w:r>
      <w:r>
        <w:rPr>
          <w:rStyle w:val="FootnoteReference"/>
          <w:sz w:val="28"/>
          <w:szCs w:val="28"/>
        </w:rPr>
        <w:footnoteReference w:id="75"/>
      </w:r>
      <w:r>
        <w:rPr>
          <w:sz w:val="28"/>
          <w:szCs w:val="28"/>
        </w:rPr>
        <w:t xml:space="preserve">, the police pressurised the family into cremating his body without conducting a post mortem. This can be contrasted with the accidental drowning of a young girl two weeks prior, where the police had pressurised the family to have a post-mortem despite their objections. The police also repeatedly visited the family to obtain a signature on a deed, on the first visit there were 2 policemen, but when the family refused to sign they returned with a group of 10 policemen. They only backed down when villagers came out to support the family. </w:t>
      </w:r>
    </w:p>
    <w:p w:rsidR="008C4466" w:rsidRDefault="008C4466" w:rsidP="008C4466">
      <w:pPr>
        <w:spacing w:before="100" w:beforeAutospacing="1" w:after="100" w:afterAutospacing="1"/>
        <w:jc w:val="both"/>
        <w:rPr>
          <w:sz w:val="28"/>
          <w:szCs w:val="28"/>
        </w:rPr>
      </w:pPr>
      <w:r w:rsidRPr="00631F09">
        <w:rPr>
          <w:sz w:val="28"/>
          <w:szCs w:val="28"/>
        </w:rPr>
        <w:t xml:space="preserve">Furthermore in many cases human rights defenders are denied access to the information necessary to </w:t>
      </w:r>
      <w:r>
        <w:rPr>
          <w:sz w:val="28"/>
          <w:szCs w:val="28"/>
        </w:rPr>
        <w:t>investigate</w:t>
      </w:r>
      <w:r w:rsidRPr="00631F09">
        <w:rPr>
          <w:sz w:val="28"/>
          <w:szCs w:val="28"/>
        </w:rPr>
        <w:t xml:space="preserve"> cases effectively. In </w:t>
      </w:r>
      <w:r>
        <w:rPr>
          <w:sz w:val="28"/>
          <w:szCs w:val="28"/>
        </w:rPr>
        <w:t>two</w:t>
      </w:r>
      <w:r w:rsidRPr="00631F09">
        <w:rPr>
          <w:sz w:val="28"/>
          <w:szCs w:val="28"/>
        </w:rPr>
        <w:t xml:space="preserve"> cases, THRD</w:t>
      </w:r>
      <w:r>
        <w:rPr>
          <w:sz w:val="28"/>
          <w:szCs w:val="28"/>
        </w:rPr>
        <w:t xml:space="preserve"> Alliance</w:t>
      </w:r>
      <w:r w:rsidRPr="00631F09">
        <w:rPr>
          <w:sz w:val="28"/>
          <w:szCs w:val="28"/>
        </w:rPr>
        <w:t xml:space="preserve"> was denied access to the post-mortem</w:t>
      </w:r>
      <w:r>
        <w:rPr>
          <w:sz w:val="28"/>
          <w:szCs w:val="28"/>
        </w:rPr>
        <w:t xml:space="preserve"> report.</w:t>
      </w:r>
      <w:r>
        <w:rPr>
          <w:rStyle w:val="FootnoteReference"/>
          <w:sz w:val="28"/>
          <w:szCs w:val="28"/>
        </w:rPr>
        <w:footnoteReference w:id="76"/>
      </w:r>
      <w:r w:rsidRPr="00631F09">
        <w:rPr>
          <w:sz w:val="28"/>
          <w:szCs w:val="28"/>
        </w:rPr>
        <w:t xml:space="preserve"> The reasons given rang from it having already been sent to Kathmandu, to the doctor who carried it out being on holiday. </w:t>
      </w:r>
      <w:r>
        <w:rPr>
          <w:sz w:val="28"/>
          <w:szCs w:val="28"/>
        </w:rPr>
        <w:t>In one other case no post-mortem examination was carried out at all despite the family requesting one.</w:t>
      </w:r>
      <w:r>
        <w:rPr>
          <w:rStyle w:val="FootnoteReference"/>
          <w:sz w:val="28"/>
          <w:szCs w:val="28"/>
        </w:rPr>
        <w:footnoteReference w:id="77"/>
      </w:r>
      <w:r>
        <w:rPr>
          <w:sz w:val="28"/>
          <w:szCs w:val="28"/>
        </w:rPr>
        <w:t xml:space="preserve"> </w:t>
      </w:r>
      <w:r w:rsidRPr="00631F09">
        <w:rPr>
          <w:sz w:val="28"/>
          <w:szCs w:val="28"/>
        </w:rPr>
        <w:t xml:space="preserve">In other cases information on the </w:t>
      </w:r>
      <w:r>
        <w:rPr>
          <w:sz w:val="28"/>
          <w:szCs w:val="28"/>
        </w:rPr>
        <w:t>c</w:t>
      </w:r>
      <w:r w:rsidRPr="00631F09">
        <w:rPr>
          <w:sz w:val="28"/>
          <w:szCs w:val="28"/>
        </w:rPr>
        <w:t xml:space="preserve">ommanding officer in charge at the time of the “encounter” has been refused. Without such information it is impossible for a full and impartial investigation to be carried out.  </w:t>
      </w:r>
    </w:p>
    <w:p w:rsidR="008C4466" w:rsidRDefault="008C4466" w:rsidP="008C4466">
      <w:pPr>
        <w:pStyle w:val="Heading1"/>
        <w:spacing w:before="100" w:beforeAutospacing="1" w:after="100" w:afterAutospacing="1"/>
        <w:jc w:val="both"/>
        <w:rPr>
          <w:rFonts w:ascii="Times New Roman" w:hAnsi="Times New Roman"/>
          <w:sz w:val="28"/>
          <w:szCs w:val="28"/>
        </w:rPr>
      </w:pPr>
      <w:bookmarkStart w:id="32" w:name="_Toc379980849"/>
      <w:bookmarkStart w:id="33" w:name="_Toc379983662"/>
      <w:r w:rsidRPr="00631F09">
        <w:rPr>
          <w:rFonts w:ascii="Times New Roman" w:hAnsi="Times New Roman"/>
          <w:sz w:val="28"/>
          <w:szCs w:val="28"/>
        </w:rPr>
        <w:lastRenderedPageBreak/>
        <w:t>Recommendations</w:t>
      </w:r>
      <w:bookmarkEnd w:id="32"/>
      <w:bookmarkEnd w:id="33"/>
    </w:p>
    <w:p w:rsidR="008C4466" w:rsidRDefault="008C4466" w:rsidP="008C4466">
      <w:pPr>
        <w:spacing w:before="100" w:beforeAutospacing="1" w:after="100" w:afterAutospacing="1"/>
        <w:jc w:val="both"/>
        <w:rPr>
          <w:sz w:val="28"/>
          <w:szCs w:val="28"/>
          <w:lang w:val="en-US" w:eastAsia="ja-JP"/>
        </w:rPr>
      </w:pPr>
      <w:r>
        <w:rPr>
          <w:sz w:val="28"/>
          <w:szCs w:val="28"/>
          <w:lang w:val="en-US" w:eastAsia="ja-JP"/>
        </w:rPr>
        <w:t>C</w:t>
      </w:r>
      <w:r w:rsidRPr="00616F03">
        <w:rPr>
          <w:sz w:val="28"/>
          <w:szCs w:val="28"/>
          <w:lang w:val="en-US" w:eastAsia="ja-JP"/>
        </w:rPr>
        <w:t>urrent number</w:t>
      </w:r>
      <w:r>
        <w:rPr>
          <w:sz w:val="28"/>
          <w:szCs w:val="28"/>
          <w:lang w:val="en-US" w:eastAsia="ja-JP"/>
        </w:rPr>
        <w:t>s</w:t>
      </w:r>
      <w:r w:rsidRPr="00616F03">
        <w:rPr>
          <w:sz w:val="28"/>
          <w:szCs w:val="28"/>
          <w:lang w:val="en-US" w:eastAsia="ja-JP"/>
        </w:rPr>
        <w:t xml:space="preserve"> indicate that there has been a decrease in the number of </w:t>
      </w:r>
      <w:r>
        <w:rPr>
          <w:sz w:val="28"/>
          <w:szCs w:val="28"/>
          <w:lang w:val="en-US" w:eastAsia="ja-JP"/>
        </w:rPr>
        <w:t xml:space="preserve">extrajudicial executions in the guise of </w:t>
      </w:r>
      <w:r w:rsidRPr="00616F03">
        <w:rPr>
          <w:sz w:val="28"/>
          <w:szCs w:val="28"/>
          <w:lang w:val="en-US" w:eastAsia="ja-JP"/>
        </w:rPr>
        <w:t xml:space="preserve">“encounter killings” reported to </w:t>
      </w:r>
      <w:r>
        <w:rPr>
          <w:sz w:val="28"/>
          <w:szCs w:val="28"/>
          <w:lang w:val="en-US" w:eastAsia="ja-JP"/>
        </w:rPr>
        <w:t>h</w:t>
      </w:r>
      <w:r w:rsidRPr="00616F03">
        <w:rPr>
          <w:sz w:val="28"/>
          <w:szCs w:val="28"/>
          <w:lang w:val="en-US" w:eastAsia="ja-JP"/>
        </w:rPr>
        <w:t xml:space="preserve">uman </w:t>
      </w:r>
      <w:r>
        <w:rPr>
          <w:sz w:val="28"/>
          <w:szCs w:val="28"/>
          <w:lang w:val="en-US" w:eastAsia="ja-JP"/>
        </w:rPr>
        <w:t>r</w:t>
      </w:r>
      <w:r w:rsidRPr="00616F03">
        <w:rPr>
          <w:sz w:val="28"/>
          <w:szCs w:val="28"/>
          <w:lang w:val="en-US" w:eastAsia="ja-JP"/>
        </w:rPr>
        <w:t xml:space="preserve">ights defenders in the </w:t>
      </w:r>
      <w:r>
        <w:rPr>
          <w:sz w:val="28"/>
          <w:szCs w:val="28"/>
          <w:lang w:val="en-US" w:eastAsia="ja-JP"/>
        </w:rPr>
        <w:t xml:space="preserve">Terai </w:t>
      </w:r>
      <w:r w:rsidRPr="00616F03">
        <w:rPr>
          <w:sz w:val="28"/>
          <w:szCs w:val="28"/>
          <w:lang w:val="en-US" w:eastAsia="ja-JP"/>
        </w:rPr>
        <w:t>region</w:t>
      </w:r>
      <w:r>
        <w:rPr>
          <w:sz w:val="28"/>
          <w:szCs w:val="28"/>
          <w:lang w:val="en-US" w:eastAsia="ja-JP"/>
        </w:rPr>
        <w:t xml:space="preserve">, in comparison with the large number of extrajudicial executions reported </w:t>
      </w:r>
      <w:r w:rsidRPr="00616F03">
        <w:rPr>
          <w:sz w:val="28"/>
          <w:szCs w:val="28"/>
          <w:lang w:val="en-US" w:eastAsia="ja-JP"/>
        </w:rPr>
        <w:t xml:space="preserve">between 2008 and May 2011. </w:t>
      </w:r>
      <w:r>
        <w:rPr>
          <w:sz w:val="28"/>
          <w:szCs w:val="28"/>
          <w:lang w:val="en-US" w:eastAsia="ja-JP"/>
        </w:rPr>
        <w:t xml:space="preserve"> Nevertheless, the regular occurrence of extrajudicial executions in Nepal remains a serious concern. The patterns identified in this report are the same as those reported by the OHCHR in 2010. </w:t>
      </w:r>
    </w:p>
    <w:p w:rsidR="008C4466" w:rsidRPr="00616F03" w:rsidRDefault="008C4466" w:rsidP="00660B32">
      <w:pPr>
        <w:spacing w:before="100" w:beforeAutospacing="1" w:after="100" w:afterAutospacing="1"/>
        <w:jc w:val="both"/>
        <w:rPr>
          <w:sz w:val="28"/>
          <w:szCs w:val="28"/>
          <w:lang w:val="en-US" w:eastAsia="ja-JP"/>
        </w:rPr>
      </w:pPr>
      <w:r w:rsidRPr="00616F03">
        <w:rPr>
          <w:sz w:val="28"/>
          <w:szCs w:val="28"/>
          <w:lang w:val="en-US" w:eastAsia="ja-JP"/>
        </w:rPr>
        <w:t>These cases highlight the ongoing violation of the right to life (Art 3 UDHR and Art 6 ICCPR) as well as the duty to protect life and guarantee equal and effective access to remedies in cases were a life has been taken (Art 2 UDHR and Art 2 and 6 ICCPR).</w:t>
      </w:r>
      <w:r>
        <w:rPr>
          <w:sz w:val="28"/>
          <w:szCs w:val="28"/>
          <w:lang w:val="en-US" w:eastAsia="ja-JP"/>
        </w:rPr>
        <w:t xml:space="preserve"> </w:t>
      </w:r>
      <w:r w:rsidRPr="00616F03">
        <w:rPr>
          <w:sz w:val="28"/>
          <w:szCs w:val="28"/>
          <w:lang w:val="en-US" w:eastAsia="ja-JP"/>
        </w:rPr>
        <w:t xml:space="preserve">They also represent failures to implement national laws and procedures when undertaking security operations. </w:t>
      </w:r>
    </w:p>
    <w:p w:rsidR="008C4466" w:rsidRPr="00616F03" w:rsidRDefault="008C4466" w:rsidP="008C4466">
      <w:pPr>
        <w:spacing w:before="100" w:beforeAutospacing="1" w:after="100" w:afterAutospacing="1"/>
        <w:jc w:val="both"/>
        <w:rPr>
          <w:sz w:val="28"/>
          <w:szCs w:val="28"/>
          <w:lang w:val="en-US" w:eastAsia="ja-JP"/>
        </w:rPr>
      </w:pPr>
      <w:r>
        <w:rPr>
          <w:sz w:val="28"/>
          <w:szCs w:val="28"/>
          <w:lang w:val="en-US" w:eastAsia="ja-JP"/>
        </w:rPr>
        <w:t>In addition,</w:t>
      </w:r>
      <w:r w:rsidRPr="00616F03">
        <w:rPr>
          <w:sz w:val="28"/>
          <w:szCs w:val="28"/>
          <w:lang w:val="en-US" w:eastAsia="ja-JP"/>
        </w:rPr>
        <w:t xml:space="preserve"> there are still no investigations into these cases. </w:t>
      </w:r>
      <w:r>
        <w:rPr>
          <w:sz w:val="28"/>
          <w:szCs w:val="28"/>
          <w:lang w:val="en-US" w:eastAsia="ja-JP"/>
        </w:rPr>
        <w:t>T</w:t>
      </w:r>
      <w:r w:rsidRPr="00616F03">
        <w:rPr>
          <w:sz w:val="28"/>
          <w:szCs w:val="28"/>
          <w:lang w:val="en-US" w:eastAsia="ja-JP"/>
        </w:rPr>
        <w:t xml:space="preserve">he police fail to investigate cases </w:t>
      </w:r>
      <w:r>
        <w:rPr>
          <w:sz w:val="28"/>
          <w:szCs w:val="28"/>
          <w:lang w:val="en-US" w:eastAsia="ja-JP"/>
        </w:rPr>
        <w:t xml:space="preserve">and </w:t>
      </w:r>
      <w:r w:rsidRPr="00616F03">
        <w:rPr>
          <w:sz w:val="28"/>
          <w:szCs w:val="28"/>
          <w:lang w:val="en-US" w:eastAsia="ja-JP"/>
        </w:rPr>
        <w:t>w</w:t>
      </w:r>
      <w:r>
        <w:rPr>
          <w:sz w:val="28"/>
          <w:szCs w:val="28"/>
          <w:lang w:val="en-US" w:eastAsia="ja-JP"/>
        </w:rPr>
        <w:t>h</w:t>
      </w:r>
      <w:r w:rsidRPr="00616F03">
        <w:rPr>
          <w:sz w:val="28"/>
          <w:szCs w:val="28"/>
          <w:lang w:val="en-US" w:eastAsia="ja-JP"/>
        </w:rPr>
        <w:t xml:space="preserve">ere their operations come under criticism, they </w:t>
      </w:r>
      <w:r>
        <w:rPr>
          <w:sz w:val="28"/>
          <w:szCs w:val="28"/>
          <w:lang w:val="en-US" w:eastAsia="ja-JP"/>
        </w:rPr>
        <w:t xml:space="preserve">engage </w:t>
      </w:r>
      <w:r w:rsidRPr="00616F03">
        <w:rPr>
          <w:sz w:val="28"/>
          <w:szCs w:val="28"/>
          <w:lang w:val="en-US" w:eastAsia="ja-JP"/>
        </w:rPr>
        <w:t xml:space="preserve">in witness intimidation and bribery intended to cover-up their crimes. These cases have furthermore highlighted that in some areas the police are actively involved in local conflicts, and may have killed civilians to further their private interests. </w:t>
      </w:r>
    </w:p>
    <w:p w:rsidR="008C4466" w:rsidRDefault="008C4466" w:rsidP="008C4466">
      <w:pPr>
        <w:spacing w:before="100" w:beforeAutospacing="1" w:after="100" w:afterAutospacing="1"/>
        <w:jc w:val="both"/>
        <w:rPr>
          <w:sz w:val="28"/>
          <w:szCs w:val="28"/>
          <w:lang w:val="en-US" w:eastAsia="ja-JP"/>
        </w:rPr>
      </w:pPr>
      <w:r w:rsidRPr="00616F03">
        <w:rPr>
          <w:sz w:val="28"/>
          <w:szCs w:val="28"/>
          <w:lang w:val="en-US" w:eastAsia="ja-JP"/>
        </w:rPr>
        <w:t>These violations are symptomatic of the greater failure of the rule of law, and the government</w:t>
      </w:r>
      <w:r>
        <w:rPr>
          <w:sz w:val="28"/>
          <w:szCs w:val="28"/>
          <w:lang w:val="en-US" w:eastAsia="ja-JP"/>
        </w:rPr>
        <w:t>’</w:t>
      </w:r>
      <w:r w:rsidRPr="00616F03">
        <w:rPr>
          <w:sz w:val="28"/>
          <w:szCs w:val="28"/>
          <w:lang w:val="en-US" w:eastAsia="ja-JP"/>
        </w:rPr>
        <w:t>s inability to re-establish security as well as trust in the police and government bodies in the Terai region. As long as this is the case the Terai will remain a region that suffers from high levels of crime as well as separatist activ</w:t>
      </w:r>
      <w:r>
        <w:rPr>
          <w:sz w:val="28"/>
          <w:szCs w:val="28"/>
          <w:lang w:val="en-US" w:eastAsia="ja-JP"/>
        </w:rPr>
        <w:t>i</w:t>
      </w:r>
      <w:r w:rsidRPr="00616F03">
        <w:rPr>
          <w:sz w:val="28"/>
          <w:szCs w:val="28"/>
          <w:lang w:val="en-US" w:eastAsia="ja-JP"/>
        </w:rPr>
        <w:t>t</w:t>
      </w:r>
      <w:r>
        <w:rPr>
          <w:sz w:val="28"/>
          <w:szCs w:val="28"/>
          <w:lang w:val="en-US" w:eastAsia="ja-JP"/>
        </w:rPr>
        <w:t>i</w:t>
      </w:r>
      <w:r w:rsidRPr="00616F03">
        <w:rPr>
          <w:sz w:val="28"/>
          <w:szCs w:val="28"/>
          <w:lang w:val="en-US" w:eastAsia="ja-JP"/>
        </w:rPr>
        <w:t xml:space="preserve">es. </w:t>
      </w:r>
    </w:p>
    <w:p w:rsidR="008C4466" w:rsidRPr="00D94CB2" w:rsidRDefault="008C4466" w:rsidP="008C4466">
      <w:pPr>
        <w:spacing w:before="100" w:beforeAutospacing="1" w:after="100" w:afterAutospacing="1"/>
        <w:jc w:val="both"/>
        <w:rPr>
          <w:sz w:val="28"/>
          <w:szCs w:val="28"/>
          <w:lang w:val="en-US" w:eastAsia="ja-JP"/>
        </w:rPr>
      </w:pPr>
      <w:r w:rsidRPr="00616F03">
        <w:rPr>
          <w:sz w:val="28"/>
          <w:szCs w:val="28"/>
        </w:rPr>
        <w:t>THRD A</w:t>
      </w:r>
      <w:r>
        <w:rPr>
          <w:sz w:val="28"/>
          <w:szCs w:val="28"/>
        </w:rPr>
        <w:t>lliance</w:t>
      </w:r>
      <w:r w:rsidRPr="00616F03">
        <w:rPr>
          <w:sz w:val="28"/>
          <w:szCs w:val="28"/>
        </w:rPr>
        <w:t xml:space="preserve"> therefore recommends that the Government: </w:t>
      </w:r>
    </w:p>
    <w:p w:rsidR="008C4466" w:rsidRPr="00616F03" w:rsidRDefault="008C4466" w:rsidP="0071770B">
      <w:pPr>
        <w:pStyle w:val="ColorfulList-Accent11"/>
        <w:numPr>
          <w:ilvl w:val="0"/>
          <w:numId w:val="2"/>
        </w:numPr>
        <w:spacing w:before="100" w:beforeAutospacing="1" w:after="100" w:afterAutospacing="1"/>
        <w:rPr>
          <w:rFonts w:ascii="Times New Roman" w:hAnsi="Times New Roman" w:cs="Times New Roman"/>
          <w:sz w:val="28"/>
          <w:szCs w:val="28"/>
        </w:rPr>
      </w:pPr>
      <w:r w:rsidRPr="00616F03">
        <w:rPr>
          <w:rFonts w:ascii="Times New Roman" w:hAnsi="Times New Roman" w:cs="Times New Roman"/>
          <w:sz w:val="28"/>
          <w:szCs w:val="28"/>
        </w:rPr>
        <w:t xml:space="preserve">Immediately set up </w:t>
      </w:r>
      <w:r>
        <w:rPr>
          <w:rFonts w:ascii="Times New Roman" w:hAnsi="Times New Roman" w:cs="Times New Roman"/>
          <w:sz w:val="28"/>
          <w:szCs w:val="28"/>
        </w:rPr>
        <w:t xml:space="preserve">an </w:t>
      </w:r>
      <w:r w:rsidRPr="00616F03">
        <w:rPr>
          <w:rFonts w:ascii="Times New Roman" w:hAnsi="Times New Roman" w:cs="Times New Roman"/>
          <w:sz w:val="28"/>
          <w:szCs w:val="28"/>
        </w:rPr>
        <w:t xml:space="preserve">independent investigation into all allegations of </w:t>
      </w:r>
      <w:r>
        <w:rPr>
          <w:rFonts w:ascii="Times New Roman" w:hAnsi="Times New Roman" w:cs="Times New Roman"/>
          <w:sz w:val="28"/>
          <w:szCs w:val="28"/>
        </w:rPr>
        <w:t>e</w:t>
      </w:r>
      <w:r w:rsidRPr="00616F03">
        <w:rPr>
          <w:rFonts w:ascii="Times New Roman" w:hAnsi="Times New Roman" w:cs="Times New Roman"/>
          <w:sz w:val="28"/>
          <w:szCs w:val="28"/>
        </w:rPr>
        <w:t>xtra</w:t>
      </w:r>
      <w:r>
        <w:rPr>
          <w:rFonts w:ascii="Times New Roman" w:hAnsi="Times New Roman" w:cs="Times New Roman"/>
          <w:sz w:val="28"/>
          <w:szCs w:val="28"/>
        </w:rPr>
        <w:t>j</w:t>
      </w:r>
      <w:r w:rsidRPr="00616F03">
        <w:rPr>
          <w:rFonts w:ascii="Times New Roman" w:hAnsi="Times New Roman" w:cs="Times New Roman"/>
          <w:sz w:val="28"/>
          <w:szCs w:val="28"/>
        </w:rPr>
        <w:t xml:space="preserve">udicial </w:t>
      </w:r>
      <w:r>
        <w:rPr>
          <w:rFonts w:ascii="Times New Roman" w:hAnsi="Times New Roman" w:cs="Times New Roman"/>
          <w:sz w:val="28"/>
          <w:szCs w:val="28"/>
        </w:rPr>
        <w:t>k</w:t>
      </w:r>
      <w:r w:rsidRPr="00616F03">
        <w:rPr>
          <w:rFonts w:ascii="Times New Roman" w:hAnsi="Times New Roman" w:cs="Times New Roman"/>
          <w:sz w:val="28"/>
          <w:szCs w:val="28"/>
        </w:rPr>
        <w:t>illings</w:t>
      </w:r>
      <w:r>
        <w:rPr>
          <w:rFonts w:ascii="Times New Roman" w:hAnsi="Times New Roman" w:cs="Times New Roman"/>
          <w:sz w:val="28"/>
          <w:szCs w:val="28"/>
        </w:rPr>
        <w:t xml:space="preserve"> documented in this report</w:t>
      </w:r>
      <w:r w:rsidRPr="00616F03">
        <w:rPr>
          <w:rFonts w:ascii="Times New Roman" w:hAnsi="Times New Roman" w:cs="Times New Roman"/>
          <w:sz w:val="28"/>
          <w:szCs w:val="28"/>
        </w:rPr>
        <w:t>;</w:t>
      </w:r>
    </w:p>
    <w:p w:rsidR="008C4466" w:rsidRPr="00616F03" w:rsidRDefault="008C4466" w:rsidP="0071770B">
      <w:pPr>
        <w:pStyle w:val="ColorfulList-Accent11"/>
        <w:numPr>
          <w:ilvl w:val="0"/>
          <w:numId w:val="2"/>
        </w:numPr>
        <w:spacing w:before="100" w:beforeAutospacing="1" w:after="100" w:afterAutospacing="1"/>
        <w:rPr>
          <w:rFonts w:ascii="Times New Roman" w:hAnsi="Times New Roman" w:cs="Times New Roman"/>
          <w:sz w:val="28"/>
          <w:szCs w:val="28"/>
        </w:rPr>
      </w:pPr>
      <w:r w:rsidRPr="00616F03">
        <w:rPr>
          <w:rFonts w:ascii="Times New Roman" w:hAnsi="Times New Roman" w:cs="Times New Roman"/>
          <w:sz w:val="28"/>
          <w:szCs w:val="28"/>
        </w:rPr>
        <w:t xml:space="preserve">Prosecute all security personnel and civilians </w:t>
      </w:r>
      <w:r>
        <w:rPr>
          <w:rFonts w:ascii="Times New Roman" w:hAnsi="Times New Roman" w:cs="Times New Roman"/>
          <w:sz w:val="28"/>
          <w:szCs w:val="28"/>
        </w:rPr>
        <w:t xml:space="preserve">against whom there is evidence of their </w:t>
      </w:r>
      <w:r w:rsidRPr="00616F03">
        <w:rPr>
          <w:rFonts w:ascii="Times New Roman" w:hAnsi="Times New Roman" w:cs="Times New Roman"/>
          <w:sz w:val="28"/>
          <w:szCs w:val="28"/>
        </w:rPr>
        <w:t>involve</w:t>
      </w:r>
      <w:r>
        <w:rPr>
          <w:rFonts w:ascii="Times New Roman" w:hAnsi="Times New Roman" w:cs="Times New Roman"/>
          <w:sz w:val="28"/>
          <w:szCs w:val="28"/>
        </w:rPr>
        <w:t>ment</w:t>
      </w:r>
      <w:r w:rsidRPr="00616F03">
        <w:rPr>
          <w:rFonts w:ascii="Times New Roman" w:hAnsi="Times New Roman" w:cs="Times New Roman"/>
          <w:sz w:val="28"/>
          <w:szCs w:val="28"/>
        </w:rPr>
        <w:t xml:space="preserve"> in </w:t>
      </w:r>
      <w:r>
        <w:rPr>
          <w:rFonts w:ascii="Times New Roman" w:hAnsi="Times New Roman" w:cs="Times New Roman"/>
          <w:sz w:val="28"/>
          <w:szCs w:val="28"/>
        </w:rPr>
        <w:t>e</w:t>
      </w:r>
      <w:r w:rsidRPr="00616F03">
        <w:rPr>
          <w:rFonts w:ascii="Times New Roman" w:hAnsi="Times New Roman" w:cs="Times New Roman"/>
          <w:sz w:val="28"/>
          <w:szCs w:val="28"/>
        </w:rPr>
        <w:t>xtra</w:t>
      </w:r>
      <w:r>
        <w:rPr>
          <w:rFonts w:ascii="Times New Roman" w:hAnsi="Times New Roman" w:cs="Times New Roman"/>
          <w:sz w:val="28"/>
          <w:szCs w:val="28"/>
        </w:rPr>
        <w:t>j</w:t>
      </w:r>
      <w:r w:rsidRPr="00616F03">
        <w:rPr>
          <w:rFonts w:ascii="Times New Roman" w:hAnsi="Times New Roman" w:cs="Times New Roman"/>
          <w:sz w:val="28"/>
          <w:szCs w:val="28"/>
        </w:rPr>
        <w:t xml:space="preserve">udicial </w:t>
      </w:r>
      <w:r>
        <w:rPr>
          <w:rFonts w:ascii="Times New Roman" w:hAnsi="Times New Roman" w:cs="Times New Roman"/>
          <w:sz w:val="28"/>
          <w:szCs w:val="28"/>
        </w:rPr>
        <w:t>executions</w:t>
      </w:r>
      <w:r w:rsidRPr="00616F03">
        <w:rPr>
          <w:rFonts w:ascii="Times New Roman" w:hAnsi="Times New Roman" w:cs="Times New Roman"/>
          <w:sz w:val="28"/>
          <w:szCs w:val="28"/>
        </w:rPr>
        <w:t xml:space="preserve">; </w:t>
      </w:r>
    </w:p>
    <w:p w:rsidR="008C4466" w:rsidRPr="00616F03" w:rsidRDefault="008C4466" w:rsidP="0071770B">
      <w:pPr>
        <w:pStyle w:val="ColorfulList-Accent11"/>
        <w:numPr>
          <w:ilvl w:val="0"/>
          <w:numId w:val="2"/>
        </w:numPr>
        <w:spacing w:before="100" w:beforeAutospacing="1" w:after="100" w:afterAutospacing="1"/>
        <w:rPr>
          <w:rFonts w:ascii="Times New Roman" w:hAnsi="Times New Roman" w:cs="Times New Roman"/>
          <w:sz w:val="28"/>
          <w:szCs w:val="28"/>
        </w:rPr>
      </w:pPr>
      <w:r w:rsidRPr="00616F03">
        <w:rPr>
          <w:rFonts w:ascii="Times New Roman" w:hAnsi="Times New Roman" w:cs="Times New Roman"/>
          <w:sz w:val="28"/>
          <w:szCs w:val="28"/>
        </w:rPr>
        <w:t>Provide adequate remedies to the victims</w:t>
      </w:r>
      <w:r>
        <w:rPr>
          <w:rFonts w:ascii="Times New Roman" w:hAnsi="Times New Roman" w:cs="Times New Roman"/>
          <w:sz w:val="28"/>
          <w:szCs w:val="28"/>
        </w:rPr>
        <w:t>’</w:t>
      </w:r>
      <w:r w:rsidRPr="00616F03">
        <w:rPr>
          <w:rFonts w:ascii="Times New Roman" w:hAnsi="Times New Roman" w:cs="Times New Roman"/>
          <w:sz w:val="28"/>
          <w:szCs w:val="28"/>
        </w:rPr>
        <w:t xml:space="preserve"> families;</w:t>
      </w:r>
    </w:p>
    <w:p w:rsidR="008C4466" w:rsidRPr="00616F03" w:rsidRDefault="008C4466" w:rsidP="0071770B">
      <w:pPr>
        <w:pStyle w:val="ColorfulList-Accent11"/>
        <w:numPr>
          <w:ilvl w:val="0"/>
          <w:numId w:val="2"/>
        </w:numPr>
        <w:spacing w:before="100" w:beforeAutospacing="1" w:after="100" w:afterAutospacing="1"/>
        <w:rPr>
          <w:rFonts w:ascii="Times New Roman" w:hAnsi="Times New Roman" w:cs="Times New Roman"/>
          <w:sz w:val="28"/>
          <w:szCs w:val="28"/>
        </w:rPr>
      </w:pPr>
      <w:r w:rsidRPr="00616F03">
        <w:rPr>
          <w:rFonts w:ascii="Times New Roman" w:hAnsi="Times New Roman" w:cs="Times New Roman"/>
          <w:sz w:val="28"/>
          <w:szCs w:val="28"/>
        </w:rPr>
        <w:t>Hold talks with Indian authorities to prevent unofficial handing over of suspects;</w:t>
      </w:r>
    </w:p>
    <w:p w:rsidR="004C48F3" w:rsidRDefault="008C4466" w:rsidP="004C48F3">
      <w:pPr>
        <w:pStyle w:val="ColorfulList-Accent11"/>
        <w:numPr>
          <w:ilvl w:val="0"/>
          <w:numId w:val="2"/>
        </w:numPr>
        <w:rPr>
          <w:rFonts w:ascii="Times New Roman" w:hAnsi="Times New Roman" w:cs="Times New Roman"/>
          <w:sz w:val="28"/>
          <w:szCs w:val="28"/>
        </w:rPr>
      </w:pPr>
      <w:r w:rsidRPr="00616F03">
        <w:rPr>
          <w:rFonts w:ascii="Times New Roman" w:hAnsi="Times New Roman" w:cs="Times New Roman"/>
          <w:sz w:val="28"/>
          <w:szCs w:val="28"/>
        </w:rPr>
        <w:t xml:space="preserve">Work with </w:t>
      </w:r>
      <w:r>
        <w:rPr>
          <w:rFonts w:ascii="Times New Roman" w:hAnsi="Times New Roman" w:cs="Times New Roman"/>
          <w:sz w:val="28"/>
          <w:szCs w:val="28"/>
        </w:rPr>
        <w:t>h</w:t>
      </w:r>
      <w:r w:rsidRPr="00616F03">
        <w:rPr>
          <w:rFonts w:ascii="Times New Roman" w:hAnsi="Times New Roman" w:cs="Times New Roman"/>
          <w:sz w:val="28"/>
          <w:szCs w:val="28"/>
        </w:rPr>
        <w:t>uman rights defenders and other interest groups to revise the provision on the lawful use of force and other areas of national law that require amendments</w:t>
      </w:r>
      <w:r>
        <w:rPr>
          <w:rFonts w:ascii="Times New Roman" w:hAnsi="Times New Roman" w:cs="Times New Roman"/>
          <w:sz w:val="28"/>
          <w:szCs w:val="28"/>
        </w:rPr>
        <w:t xml:space="preserve">. </w:t>
      </w:r>
    </w:p>
    <w:p w:rsidR="004C48F3" w:rsidRPr="00C53069" w:rsidRDefault="004C48F3" w:rsidP="00DE79E1">
      <w:pPr>
        <w:pStyle w:val="ColorfulList-Accent11"/>
        <w:ind w:hanging="720"/>
        <w:rPr>
          <w:rFonts w:ascii="Times New Roman" w:hAnsi="Times New Roman" w:cs="Times New Roman"/>
          <w:sz w:val="34"/>
          <w:szCs w:val="28"/>
        </w:rPr>
      </w:pPr>
      <w:r w:rsidRPr="00C53069">
        <w:rPr>
          <w:rFonts w:ascii="Times New Roman" w:hAnsi="Times New Roman" w:cs="Times New Roman"/>
          <w:b/>
          <w:sz w:val="30"/>
          <w:szCs w:val="24"/>
        </w:rPr>
        <w:lastRenderedPageBreak/>
        <w:t>Annex-1 (Case Section)</w:t>
      </w:r>
    </w:p>
    <w:p w:rsidR="008C4466" w:rsidRPr="00B669E5" w:rsidRDefault="008C4466" w:rsidP="008C4772">
      <w:pPr>
        <w:pStyle w:val="Title"/>
        <w:numPr>
          <w:ilvl w:val="0"/>
          <w:numId w:val="5"/>
        </w:numPr>
        <w:pBdr>
          <w:top w:val="single" w:sz="8" w:space="1" w:color="4D4D4D"/>
        </w:pBdr>
        <w:spacing w:after="120"/>
        <w:ind w:hanging="287"/>
        <w:contextualSpacing w:val="0"/>
        <w:jc w:val="right"/>
        <w:rPr>
          <w:b/>
          <w:sz w:val="28"/>
          <w:szCs w:val="24"/>
        </w:rPr>
      </w:pPr>
      <w:r w:rsidRPr="00B669E5">
        <w:rPr>
          <w:b/>
          <w:sz w:val="28"/>
          <w:szCs w:val="24"/>
        </w:rPr>
        <w:t>Anil Chamar, “Encounter Killing”</w:t>
      </w:r>
    </w:p>
    <w:p w:rsidR="008C4466" w:rsidRPr="00B669E5" w:rsidRDefault="008C4466" w:rsidP="008C4466">
      <w:pPr>
        <w:rPr>
          <w:sz w:val="28"/>
        </w:rPr>
      </w:pPr>
    </w:p>
    <w:p w:rsidR="008C4466" w:rsidRPr="00B669E5" w:rsidRDefault="008C4466" w:rsidP="008C4466">
      <w:pPr>
        <w:jc w:val="both"/>
        <w:rPr>
          <w:sz w:val="28"/>
        </w:rPr>
      </w:pPr>
      <w:r w:rsidRPr="00B669E5">
        <w:rPr>
          <w:sz w:val="28"/>
        </w:rPr>
        <w:t xml:space="preserve">Details of Victim: </w:t>
      </w:r>
      <w:r w:rsidRPr="00B669E5">
        <w:rPr>
          <w:bCs/>
          <w:sz w:val="28"/>
        </w:rPr>
        <w:t xml:space="preserve">Anil </w:t>
      </w:r>
      <w:r w:rsidR="0085224E">
        <w:rPr>
          <w:bCs/>
          <w:sz w:val="28"/>
        </w:rPr>
        <w:t>Chamar</w:t>
      </w:r>
      <w:r w:rsidRPr="00B669E5">
        <w:rPr>
          <w:bCs/>
          <w:sz w:val="28"/>
        </w:rPr>
        <w:t>, 27, of Swathi VDC-8, Nawalparasi district</w:t>
      </w:r>
    </w:p>
    <w:p w:rsidR="008C4466" w:rsidRPr="00B669E5" w:rsidRDefault="008C4466" w:rsidP="008C4466">
      <w:pPr>
        <w:jc w:val="both"/>
        <w:rPr>
          <w:sz w:val="28"/>
        </w:rPr>
      </w:pPr>
      <w:r w:rsidRPr="00B669E5">
        <w:rPr>
          <w:sz w:val="28"/>
        </w:rPr>
        <w:t xml:space="preserve">Date of incident: </w:t>
      </w:r>
      <w:r w:rsidRPr="00B669E5">
        <w:rPr>
          <w:bCs/>
          <w:sz w:val="28"/>
        </w:rPr>
        <w:t>April 28, 2011 around 12 midnight</w:t>
      </w:r>
    </w:p>
    <w:p w:rsidR="008C4466" w:rsidRPr="00B669E5" w:rsidRDefault="008C4466" w:rsidP="008C4466">
      <w:pPr>
        <w:jc w:val="both"/>
        <w:rPr>
          <w:sz w:val="28"/>
        </w:rPr>
      </w:pPr>
      <w:r w:rsidRPr="00B669E5">
        <w:rPr>
          <w:sz w:val="28"/>
        </w:rPr>
        <w:t xml:space="preserve">Location: </w:t>
      </w:r>
      <w:r w:rsidRPr="00B669E5">
        <w:rPr>
          <w:bCs/>
          <w:sz w:val="28"/>
        </w:rPr>
        <w:t xml:space="preserve">Dhakdhai VDC-3, Rupandehi district, 25 meters from Rohini </w:t>
      </w:r>
      <w:r w:rsidR="0085224E">
        <w:rPr>
          <w:bCs/>
          <w:sz w:val="28"/>
        </w:rPr>
        <w:t>B</w:t>
      </w:r>
      <w:r w:rsidRPr="00B669E5">
        <w:rPr>
          <w:bCs/>
          <w:sz w:val="28"/>
        </w:rPr>
        <w:t>ridge and six meters south from Bhairahawa – Parasi Postal Road</w:t>
      </w:r>
    </w:p>
    <w:p w:rsidR="008C4466" w:rsidRPr="00B669E5" w:rsidRDefault="008C4466" w:rsidP="008C4466">
      <w:pPr>
        <w:jc w:val="both"/>
        <w:rPr>
          <w:sz w:val="28"/>
        </w:rPr>
      </w:pPr>
      <w:r w:rsidRPr="00B669E5">
        <w:rPr>
          <w:sz w:val="28"/>
        </w:rPr>
        <w:t xml:space="preserve">Suspected perpetrators: </w:t>
      </w:r>
      <w:r w:rsidRPr="00B669E5">
        <w:rPr>
          <w:bCs/>
          <w:sz w:val="28"/>
        </w:rPr>
        <w:t>Patrolling team of Area Police Dhakdhai, Rupandehi, commanded by Police Inspector Namraj Bhattarai</w:t>
      </w:r>
    </w:p>
    <w:p w:rsidR="008C4466" w:rsidRPr="002945A5" w:rsidRDefault="008C4466" w:rsidP="008C4466">
      <w:pPr>
        <w:pStyle w:val="Heading1"/>
        <w:rPr>
          <w:rFonts w:ascii="Times New Roman" w:hAnsi="Times New Roman"/>
          <w:sz w:val="28"/>
          <w:szCs w:val="24"/>
        </w:rPr>
      </w:pPr>
      <w:bookmarkStart w:id="34" w:name="_Toc379980850"/>
      <w:bookmarkStart w:id="35" w:name="_Toc379983663"/>
      <w:r w:rsidRPr="002945A5">
        <w:rPr>
          <w:rFonts w:ascii="Times New Roman" w:hAnsi="Times New Roman"/>
          <w:sz w:val="28"/>
          <w:szCs w:val="24"/>
        </w:rPr>
        <w:t>Case details:</w:t>
      </w:r>
      <w:bookmarkEnd w:id="34"/>
      <w:bookmarkEnd w:id="35"/>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bCs/>
          <w:sz w:val="28"/>
        </w:rPr>
      </w:pPr>
      <w:r w:rsidRPr="00B669E5">
        <w:rPr>
          <w:bCs/>
          <w:sz w:val="28"/>
        </w:rPr>
        <w:t xml:space="preserve"> A patrolling police team deployed under police inspector Namraj Bhattarai of the Area Police Office, Dhakdhai killed Anil Chamar also known as Anil Harijan, 27, of Swathi VDC-8, Nawalparasi district in an “encounter”. The police said he was killed “around midnight on April 28, 2011”. </w:t>
      </w:r>
    </w:p>
    <w:p w:rsidR="008C4466" w:rsidRPr="00B669E5" w:rsidRDefault="008C4466" w:rsidP="008C4466">
      <w:pPr>
        <w:spacing w:before="100" w:beforeAutospacing="1" w:after="100" w:afterAutospacing="1"/>
        <w:jc w:val="both"/>
        <w:rPr>
          <w:bCs/>
          <w:sz w:val="28"/>
        </w:rPr>
      </w:pPr>
      <w:r w:rsidRPr="00B669E5">
        <w:rPr>
          <w:bCs/>
          <w:sz w:val="28"/>
        </w:rPr>
        <w:t xml:space="preserve">A villager living nearby (name withheld for security reasons), said he found the victim’s body on the western bank of Rohini River with his head facing northeast and feet facing west. He said he found gunshot wounds on the victim’s left temple and left side of the abdomen. </w:t>
      </w:r>
    </w:p>
    <w:p w:rsidR="008C4466" w:rsidRPr="00B669E5" w:rsidRDefault="008C4466" w:rsidP="008C4466">
      <w:pPr>
        <w:spacing w:before="100" w:beforeAutospacing="1" w:after="100" w:afterAutospacing="1"/>
        <w:jc w:val="both"/>
        <w:rPr>
          <w:bCs/>
          <w:sz w:val="28"/>
        </w:rPr>
      </w:pPr>
      <w:r w:rsidRPr="00B669E5">
        <w:rPr>
          <w:bCs/>
          <w:sz w:val="28"/>
        </w:rPr>
        <w:t>The victim was associated with Jay Krishna Goit, the leader of the Akhil Terai Jantantrik Mukti Morcha, an armed group waging a separatist war in the southern plains.</w:t>
      </w:r>
    </w:p>
    <w:p w:rsidR="008C4466" w:rsidRPr="00B669E5" w:rsidRDefault="008C4466" w:rsidP="008C4466">
      <w:pPr>
        <w:spacing w:before="100" w:beforeAutospacing="1" w:after="100" w:afterAutospacing="1"/>
        <w:jc w:val="both"/>
        <w:rPr>
          <w:bCs/>
          <w:sz w:val="28"/>
        </w:rPr>
      </w:pPr>
      <w:r w:rsidRPr="00B669E5">
        <w:rPr>
          <w:bCs/>
          <w:sz w:val="28"/>
        </w:rPr>
        <w:t xml:space="preserve">Chamar was allegedly the main conspirator in the killing of Kapilvastu-based businessman Jagadish Yadav. Chamar was also suspected of kidnapping Aqbal Hussain on December 14, 2009. Hussain was tortured and dumped at Sidharth Nagar VDC-1 on December 22, 2009 in a seriously injured condition.   Cases of kidnapping, hostage taking, and attempt to murder were filed against Chamar and some other people after Hussain’s kidnapping. </w:t>
      </w:r>
    </w:p>
    <w:p w:rsidR="008C4466" w:rsidRPr="00B669E5" w:rsidRDefault="008C4466" w:rsidP="008C4466">
      <w:pPr>
        <w:spacing w:before="100" w:beforeAutospacing="1" w:after="100" w:afterAutospacing="1"/>
        <w:jc w:val="both"/>
        <w:rPr>
          <w:bCs/>
          <w:sz w:val="28"/>
        </w:rPr>
      </w:pPr>
      <w:r w:rsidRPr="00B669E5">
        <w:rPr>
          <w:bCs/>
          <w:sz w:val="28"/>
        </w:rPr>
        <w:t xml:space="preserve">Assistant Police Inspector Thaman Khatri of Area Police Office, Dhakdhai said criminals hiding in the area suddenly attacked a team of police patrol on the night of April 28, 2011. He said the police then fired in self-defence killing one person.  The alleged encounter took place in an isolated bamboo grove.  Dried bloodstains were seen around the incident site. </w:t>
      </w:r>
    </w:p>
    <w:p w:rsidR="008C4466" w:rsidRPr="00B669E5" w:rsidRDefault="008C4466" w:rsidP="008C4466">
      <w:pPr>
        <w:spacing w:before="100" w:beforeAutospacing="1" w:after="100" w:afterAutospacing="1"/>
        <w:jc w:val="both"/>
        <w:rPr>
          <w:bCs/>
          <w:sz w:val="28"/>
        </w:rPr>
      </w:pPr>
      <w:r w:rsidRPr="00B669E5">
        <w:rPr>
          <w:bCs/>
          <w:sz w:val="28"/>
        </w:rPr>
        <w:lastRenderedPageBreak/>
        <w:t>A villager (name withheld for security reasons) living near the incident site heard 3-4 rounds fired around midnight on the night the incident happened. “I peered through the window and saw a vehicle parked across the road and 3-4 people around it.” He said he could not recognize anybody, as it was very dark.</w:t>
      </w:r>
    </w:p>
    <w:p w:rsidR="008C4466" w:rsidRPr="00B669E5" w:rsidRDefault="008C4466" w:rsidP="008C4466">
      <w:pPr>
        <w:spacing w:before="100" w:beforeAutospacing="1" w:after="100" w:afterAutospacing="1"/>
        <w:jc w:val="both"/>
        <w:rPr>
          <w:bCs/>
          <w:sz w:val="28"/>
        </w:rPr>
      </w:pPr>
      <w:r w:rsidRPr="00B669E5">
        <w:rPr>
          <w:bCs/>
          <w:sz w:val="28"/>
        </w:rPr>
        <w:t xml:space="preserve">Another villager who lived 180 meters northeast from the incident site said such incidents had occurred on the bridge in the past. People do not venture out in the area after nightfall. He said he heard 3-4 rounds of bullet fired at around midnight that day but came to know of the “encounter killing” only in the morning when police personnel and onlookers gathered there. He reported seeing a dark faced man lying dead with gunshot wounds to the left temple. The police were preparing a recognizance of dead body deed. The police took the body away from there at around 9am for a post-mortem. A homemade pistol was also found near the dead body. </w:t>
      </w:r>
    </w:p>
    <w:p w:rsidR="008C4466" w:rsidRPr="00B669E5" w:rsidRDefault="008C4466" w:rsidP="008C4466">
      <w:pPr>
        <w:pStyle w:val="Title"/>
        <w:numPr>
          <w:ilvl w:val="0"/>
          <w:numId w:val="5"/>
        </w:numPr>
        <w:pBdr>
          <w:top w:val="single" w:sz="8" w:space="1" w:color="4D4D4D"/>
        </w:pBdr>
        <w:spacing w:before="100" w:beforeAutospacing="1" w:after="100" w:afterAutospacing="1"/>
        <w:contextualSpacing w:val="0"/>
        <w:jc w:val="right"/>
        <w:rPr>
          <w:b/>
          <w:sz w:val="28"/>
          <w:szCs w:val="24"/>
        </w:rPr>
      </w:pPr>
      <w:r w:rsidRPr="00B669E5">
        <w:rPr>
          <w:b/>
          <w:sz w:val="28"/>
          <w:szCs w:val="24"/>
        </w:rPr>
        <w:t xml:space="preserve">Phuldhari Mukhiya, “Encounter killing” </w:t>
      </w:r>
    </w:p>
    <w:p w:rsidR="008C4466" w:rsidRPr="00B669E5" w:rsidRDefault="008C4466" w:rsidP="008C4466">
      <w:pPr>
        <w:spacing w:before="100" w:beforeAutospacing="1" w:after="100" w:afterAutospacing="1"/>
        <w:jc w:val="both"/>
        <w:rPr>
          <w:sz w:val="28"/>
        </w:rPr>
      </w:pPr>
      <w:r w:rsidRPr="00B669E5">
        <w:rPr>
          <w:sz w:val="28"/>
        </w:rPr>
        <w:t>Details of Victim: Phuldhari Mukhiya aka Jivachh Mukhiya 47 years old (Date of birth: November 20, 1965), resident of Mukhiyapatti Ward No-2, Dhanusha</w:t>
      </w:r>
    </w:p>
    <w:p w:rsidR="008C4466" w:rsidRPr="00B669E5" w:rsidRDefault="008C4466" w:rsidP="008C4466">
      <w:pPr>
        <w:spacing w:before="100" w:beforeAutospacing="1" w:after="100" w:afterAutospacing="1"/>
        <w:rPr>
          <w:sz w:val="28"/>
        </w:rPr>
      </w:pPr>
      <w:r w:rsidRPr="00B669E5">
        <w:rPr>
          <w:sz w:val="28"/>
        </w:rPr>
        <w:t>Date of Incident: October 7, 2011</w:t>
      </w:r>
    </w:p>
    <w:p w:rsidR="008C4466" w:rsidRPr="00B669E5" w:rsidRDefault="008C4466" w:rsidP="008C4466">
      <w:pPr>
        <w:spacing w:before="100" w:beforeAutospacing="1" w:after="100" w:afterAutospacing="1"/>
        <w:jc w:val="both"/>
        <w:rPr>
          <w:sz w:val="28"/>
        </w:rPr>
      </w:pPr>
      <w:r w:rsidRPr="00B669E5">
        <w:rPr>
          <w:sz w:val="28"/>
        </w:rPr>
        <w:t xml:space="preserve">Location: A grazing field at Dhaka Bardaha of Mukhiyyapatti Musharniya VDC, Dhanusha district. </w:t>
      </w:r>
    </w:p>
    <w:p w:rsidR="008C4466" w:rsidRPr="00B669E5" w:rsidRDefault="008C4466" w:rsidP="008C4466">
      <w:pPr>
        <w:spacing w:before="100" w:beforeAutospacing="1" w:after="100" w:afterAutospacing="1"/>
        <w:jc w:val="both"/>
        <w:rPr>
          <w:sz w:val="28"/>
        </w:rPr>
      </w:pPr>
      <w:r w:rsidRPr="00B669E5">
        <w:rPr>
          <w:sz w:val="28"/>
        </w:rPr>
        <w:t>Suspected perpetrators: Assistant Police Inspector Jay Narayan Yadav, constables Upendra Yadav and Ram Dinesh Yadav of Musharniya Police Post, Dhanusha</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36" w:name="_Toc379980851"/>
      <w:bookmarkStart w:id="37" w:name="_Toc379983664"/>
      <w:r w:rsidRPr="002945A5">
        <w:rPr>
          <w:rFonts w:ascii="Times New Roman" w:hAnsi="Times New Roman"/>
          <w:sz w:val="28"/>
          <w:szCs w:val="24"/>
        </w:rPr>
        <w:t>Case Details:</w:t>
      </w:r>
      <w:bookmarkEnd w:id="36"/>
      <w:bookmarkEnd w:id="37"/>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sz w:val="28"/>
        </w:rPr>
      </w:pPr>
      <w:r w:rsidRPr="00B669E5">
        <w:rPr>
          <w:sz w:val="28"/>
        </w:rPr>
        <w:t>According to neighbours of the deceased and villagers, Phuldhari, a father of six children, came from a very poor family who only had a mud hut built on a four-dhur (lowest unit of measurement of land used at local level in the Madhesh) land, the only property he owned. He was working at a brick kiln factory to earn a living for his family.</w:t>
      </w:r>
    </w:p>
    <w:p w:rsidR="008C4466" w:rsidRPr="00B669E5" w:rsidRDefault="008C4466" w:rsidP="008C4466">
      <w:pPr>
        <w:spacing w:before="100" w:beforeAutospacing="1" w:after="100" w:afterAutospacing="1"/>
        <w:jc w:val="both"/>
        <w:rPr>
          <w:sz w:val="28"/>
        </w:rPr>
      </w:pPr>
      <w:r w:rsidRPr="00B669E5">
        <w:rPr>
          <w:sz w:val="28"/>
        </w:rPr>
        <w:t xml:space="preserve">Phuldhari's neighbours said he was fasting during Navaratri (Dashain festival observed for 10 days) and on the eighth day of the festival, on October 3, 2011, he went to take a dip in the Jamuni River. On his way back home, a team of police led </w:t>
      </w:r>
      <w:r w:rsidRPr="00B669E5">
        <w:rPr>
          <w:sz w:val="28"/>
        </w:rPr>
        <w:lastRenderedPageBreak/>
        <w:t>by ASI Jay Narayan Yadav stopped Phuldhari at around 4 am.</w:t>
      </w:r>
      <w:r w:rsidRPr="00B669E5">
        <w:rPr>
          <w:rStyle w:val="FootnoteReference"/>
          <w:sz w:val="28"/>
        </w:rPr>
        <w:footnoteReference w:id="78"/>
      </w:r>
      <w:r w:rsidRPr="00B669E5">
        <w:rPr>
          <w:sz w:val="28"/>
        </w:rPr>
        <w:t xml:space="preserve">  The police accused him of being a robber and took the measurement of his feet (so that if he participated in any crime, it could be ascertained). According to villagers, the police team asked for NRs 1,000 from Phuldhari and threatened to send him to jail if he did not pay the amount. Following inquiries by the police at his village he was released. However, Musharniya police arrested Phuldhari again in the night of October 6, 2011 when he was going to watch an orchestra at Matihani bazaar. Villagers said Phuldhari was arrested when he was passing through a police post at around 10.30pm. Locals said police constable Upendra Yadav of the Musharniya Police Post had been beaten by some youths earlier in the night. According to villagers, constable Upendra arrested Phuldhari accusing him of being among his attackers. </w:t>
      </w:r>
    </w:p>
    <w:p w:rsidR="008C4466" w:rsidRPr="00B669E5" w:rsidRDefault="008C4466" w:rsidP="008C4466">
      <w:pPr>
        <w:spacing w:before="100" w:beforeAutospacing="1" w:after="100" w:afterAutospacing="1"/>
        <w:jc w:val="both"/>
        <w:rPr>
          <w:sz w:val="28"/>
        </w:rPr>
      </w:pPr>
      <w:r w:rsidRPr="00B669E5">
        <w:rPr>
          <w:sz w:val="28"/>
        </w:rPr>
        <w:t xml:space="preserve">Locals gave conflicting reports about what happened that night. Some said constable Upendra was taking Phuldhari to District Police Office on his bike and shot him dead at around 12.30pm at Dhaka Bardah grazing field. Some people said constable Upendra was stabbed by two assailants on a motorbike for allegedly having illicit relationship with a woman and Phuldhari was arrested mainly because he was in the wrong place at a wrong time. </w:t>
      </w:r>
    </w:p>
    <w:p w:rsidR="008C4466" w:rsidRPr="00B669E5" w:rsidRDefault="008C4466" w:rsidP="008C4466">
      <w:pPr>
        <w:spacing w:before="100" w:beforeAutospacing="1" w:after="100" w:afterAutospacing="1"/>
        <w:jc w:val="both"/>
        <w:rPr>
          <w:sz w:val="28"/>
        </w:rPr>
      </w:pPr>
      <w:r w:rsidRPr="00B669E5">
        <w:rPr>
          <w:sz w:val="28"/>
        </w:rPr>
        <w:t>One local resident said he heard that one police constable was injured in an attack, and he went to the police office to enquire about the incident. He spoke to an ASI who was taking constable Upendra to the hospital. The villager said he saw Phuldhari Mukhiya lying in the grounds of the police office with his face down and his hands tied in his back. He was unable to speak. He said 15 minutes after he first saw Phuldhari at the police office, he saw an ASI from nearby Tulsyahi Police Office arrive at the police office who took Phuldhari away on a bike.</w:t>
      </w:r>
    </w:p>
    <w:p w:rsidR="008C4466" w:rsidRPr="00B669E5" w:rsidRDefault="008C4466" w:rsidP="008C4466">
      <w:pPr>
        <w:spacing w:before="100" w:beforeAutospacing="1" w:after="100" w:afterAutospacing="1"/>
        <w:jc w:val="both"/>
        <w:rPr>
          <w:sz w:val="28"/>
        </w:rPr>
      </w:pPr>
      <w:r w:rsidRPr="00B669E5">
        <w:rPr>
          <w:sz w:val="28"/>
        </w:rPr>
        <w:t xml:space="preserve">He said that a few minutes later he also saw ASI Jay Narayan Yadav going on a bike through the crowd of Matihani market, his clothes soaked in blood. He asked about it and was told that Phuldhari Mukhiya (nicknamed Maharaj jee in Musharniya village because of his long hair and beards) stabbed constable Upendra. The eye-witness went with ASI Yadav towards Bighi </w:t>
      </w:r>
      <w:r w:rsidR="005B22BA">
        <w:rPr>
          <w:sz w:val="28"/>
        </w:rPr>
        <w:t>B</w:t>
      </w:r>
      <w:r w:rsidRPr="00B669E5">
        <w:rPr>
          <w:sz w:val="28"/>
        </w:rPr>
        <w:t xml:space="preserve">ridge which lies in Tulsyahi VDC. He saw 8-10 police personnel gathered there. The ASI asked his men where Maharaj jee was. A policeman then showed Phuldhari’s face to the ASI.  The eye-witness told the police that this person was Phuldhari Mukhiya of his village. Phuldhari asked the witness for some water, but the police took him away before the witness could give him water. </w:t>
      </w:r>
    </w:p>
    <w:p w:rsidR="008C4466" w:rsidRPr="00B669E5" w:rsidRDefault="008C4466" w:rsidP="008C4466">
      <w:pPr>
        <w:spacing w:before="100" w:beforeAutospacing="1" w:after="100" w:afterAutospacing="1"/>
        <w:jc w:val="both"/>
        <w:rPr>
          <w:sz w:val="28"/>
        </w:rPr>
      </w:pPr>
      <w:r w:rsidRPr="00B669E5">
        <w:rPr>
          <w:sz w:val="28"/>
        </w:rPr>
        <w:lastRenderedPageBreak/>
        <w:t xml:space="preserve">The police’s account of the incident differs from this. They claimed that Mukhiya was arrested when he suddenly stabbed constable Upendra with a knife at the police station. Police said ASI Jay Narayan Yadav then took the injured constable to a nearby hospital. </w:t>
      </w:r>
    </w:p>
    <w:p w:rsidR="008C4466" w:rsidRPr="00B669E5" w:rsidRDefault="008C4466" w:rsidP="008C4466">
      <w:pPr>
        <w:spacing w:before="100" w:beforeAutospacing="1" w:after="100" w:afterAutospacing="1"/>
        <w:jc w:val="both"/>
        <w:rPr>
          <w:sz w:val="28"/>
        </w:rPr>
      </w:pPr>
      <w:r w:rsidRPr="00B669E5">
        <w:rPr>
          <w:sz w:val="28"/>
        </w:rPr>
        <w:t xml:space="preserve">ASI Yadav told a group of human rights defenders including the representative of THRD Alliance that Phuldhari first approached Upendra that night and told him that a dacoity (robbery) was in progress in his village, Mukhiyapatti. Upendra informed the ASI of this and when he was returning to the sentry, Phuldhari reportedly stabbed him.  After this there was a scuffle between the two and Phuldhari was seriously injured in the scuffle. </w:t>
      </w:r>
    </w:p>
    <w:p w:rsidR="008C4466" w:rsidRPr="00B669E5" w:rsidRDefault="008C4466" w:rsidP="008C4466">
      <w:pPr>
        <w:spacing w:before="100" w:beforeAutospacing="1" w:after="100" w:afterAutospacing="1"/>
        <w:jc w:val="both"/>
        <w:rPr>
          <w:sz w:val="28"/>
        </w:rPr>
      </w:pPr>
      <w:r w:rsidRPr="00B669E5">
        <w:rPr>
          <w:sz w:val="28"/>
        </w:rPr>
        <w:t xml:space="preserve">ASI Yadav said he started to take constable Upendra on his bike to the hospital but the DPO sent a vehicle and they transferred Upendra into the vehicle. </w:t>
      </w:r>
    </w:p>
    <w:p w:rsidR="008C4466" w:rsidRPr="00B669E5" w:rsidRDefault="008C4466" w:rsidP="008C4466">
      <w:pPr>
        <w:spacing w:before="100" w:beforeAutospacing="1" w:after="100" w:afterAutospacing="1"/>
        <w:jc w:val="both"/>
        <w:rPr>
          <w:sz w:val="28"/>
        </w:rPr>
      </w:pPr>
      <w:r w:rsidRPr="00B669E5">
        <w:rPr>
          <w:sz w:val="28"/>
        </w:rPr>
        <w:t>ASI Yadav said he then took Phuldhari to Tulsyahi Police Post and from there he and constable Ram Dinesh Yadav were taking Phuldhari on a bike to Janakpur Zonal Hospital. ASI Yadav said when he and constable Ram Dinesh were taking Phuldhari to the hospital, Phuldhari tried to run away. The ASI reported that he warned Phuldhari not to run away before firing shots below the knee. After Phuldhari was injured, they brought him to the hospital but the hospital declared him dead on arrival. ASI Yadav said he did not let Phuldhari drink water because he was injured and allowing him to drink water could be fatal.</w:t>
      </w:r>
    </w:p>
    <w:p w:rsidR="008C4466" w:rsidRPr="00B669E5" w:rsidRDefault="008C4466" w:rsidP="008C4466">
      <w:pPr>
        <w:spacing w:before="100" w:beforeAutospacing="1" w:after="100" w:afterAutospacing="1"/>
        <w:jc w:val="both"/>
        <w:rPr>
          <w:sz w:val="28"/>
        </w:rPr>
      </w:pPr>
      <w:r w:rsidRPr="00B669E5">
        <w:rPr>
          <w:sz w:val="28"/>
        </w:rPr>
        <w:t xml:space="preserve">On October 7, 2011, Dhanusha FM radios broadcasted the news that Phuldhari Mukhiya had been killed in crossfire with the police. </w:t>
      </w:r>
    </w:p>
    <w:p w:rsidR="008C4466" w:rsidRPr="00B669E5" w:rsidRDefault="008C4466" w:rsidP="008C4466">
      <w:pPr>
        <w:spacing w:before="100" w:beforeAutospacing="1" w:after="100" w:afterAutospacing="1"/>
        <w:jc w:val="both"/>
        <w:rPr>
          <w:sz w:val="28"/>
        </w:rPr>
      </w:pPr>
      <w:r w:rsidRPr="00B669E5">
        <w:rPr>
          <w:sz w:val="28"/>
        </w:rPr>
        <w:t>The eye-witnesses who observed Mukhiya's dead body before the post-mortem said there where gunshot wounds in the front of Phuldhari’s right thigh and in the ankle of left leg. Phuldhari’s left eye-ball had come out and blood was oozing out too. The victim’s leg showed gunshot wounds as well as some burn injuries.</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38" w:name="_Toc379980852"/>
      <w:bookmarkStart w:id="39" w:name="_Toc379983665"/>
      <w:r w:rsidRPr="002945A5">
        <w:rPr>
          <w:rFonts w:ascii="Times New Roman" w:hAnsi="Times New Roman"/>
          <w:sz w:val="28"/>
          <w:szCs w:val="24"/>
        </w:rPr>
        <w:t>Response by State:</w:t>
      </w:r>
      <w:bookmarkEnd w:id="38"/>
      <w:bookmarkEnd w:id="39"/>
    </w:p>
    <w:p w:rsidR="008C4466" w:rsidRPr="00B669E5" w:rsidRDefault="008C4466" w:rsidP="008C4466">
      <w:pPr>
        <w:spacing w:before="100" w:beforeAutospacing="1" w:after="100" w:afterAutospacing="1"/>
        <w:jc w:val="both"/>
        <w:rPr>
          <w:sz w:val="28"/>
        </w:rPr>
      </w:pPr>
      <w:r w:rsidRPr="00B669E5">
        <w:rPr>
          <w:sz w:val="28"/>
        </w:rPr>
        <w:t>Superintendent of Police Hari Bahadur Pal told a joint group of human rights defenders including the representative of THRD Alliance that if the police personnel were found guilty in the incident, they would be prosecuted and would not be shielded. He, however, said there was lack of evidence to prosecute ASI Yadav.</w:t>
      </w:r>
    </w:p>
    <w:p w:rsidR="008C4466" w:rsidRPr="00B669E5" w:rsidRDefault="008C4466" w:rsidP="008C4466">
      <w:pPr>
        <w:spacing w:before="100" w:beforeAutospacing="1" w:after="100" w:afterAutospacing="1"/>
        <w:jc w:val="both"/>
        <w:rPr>
          <w:sz w:val="28"/>
        </w:rPr>
      </w:pPr>
      <w:r w:rsidRPr="00B669E5">
        <w:rPr>
          <w:sz w:val="28"/>
        </w:rPr>
        <w:lastRenderedPageBreak/>
        <w:t xml:space="preserve">All five police personnel who were allegedly involved in the incident were transferred to District Police Office, Dhanusha after the incident. </w:t>
      </w:r>
    </w:p>
    <w:p w:rsidR="008C4466" w:rsidRPr="00B669E5" w:rsidRDefault="008C4466" w:rsidP="008C4466">
      <w:pPr>
        <w:spacing w:before="100" w:beforeAutospacing="1" w:after="100" w:afterAutospacing="1"/>
        <w:jc w:val="both"/>
        <w:rPr>
          <w:sz w:val="28"/>
        </w:rPr>
      </w:pPr>
      <w:r w:rsidRPr="00B669E5">
        <w:rPr>
          <w:sz w:val="28"/>
        </w:rPr>
        <w:t>The DPO formed a three-member investigation committee under Deputy Superintendent of Police (DSP) Tek Bahadur Gurung to probe the incident. The probe committee submitted the report to the concerned agency but the report has not been made public.</w:t>
      </w:r>
    </w:p>
    <w:p w:rsidR="008C4466" w:rsidRPr="00B669E5" w:rsidRDefault="008C4466" w:rsidP="008C4466">
      <w:pPr>
        <w:spacing w:before="100" w:beforeAutospacing="1" w:after="100" w:afterAutospacing="1"/>
        <w:jc w:val="both"/>
        <w:rPr>
          <w:sz w:val="28"/>
        </w:rPr>
      </w:pPr>
      <w:r w:rsidRPr="00B669E5">
        <w:rPr>
          <w:sz w:val="28"/>
        </w:rPr>
        <w:t xml:space="preserve">The National Human Rights Commission, Janakpur, on May 14, 2012, recommended action against ASI Yadav under the homicide chapter of the Country Code and departmental action against constables Upendra and Ram Dinesh. However, the agencies concerned, has not taken any action against them. Advocacy Forum is trying to file an FIR against the alleged police officers but the police have so far refused to file the FIR. The NHRC also recommended departmental action against DSP Gurung for not cooperating in the investigation. The human rights body said constable Safi should be given a warning letter. The NHRC also urged the government to provide NRs 300,000 as compensation to the victim's family. </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40" w:name="_Toc379980853"/>
      <w:bookmarkStart w:id="41" w:name="_Toc379983666"/>
      <w:r w:rsidRPr="002945A5">
        <w:rPr>
          <w:rFonts w:ascii="Times New Roman" w:hAnsi="Times New Roman"/>
          <w:sz w:val="28"/>
          <w:szCs w:val="24"/>
        </w:rPr>
        <w:t>Analysis:</w:t>
      </w:r>
      <w:bookmarkEnd w:id="40"/>
      <w:bookmarkEnd w:id="41"/>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sz w:val="28"/>
        </w:rPr>
      </w:pPr>
      <w:r w:rsidRPr="00B669E5">
        <w:rPr>
          <w:sz w:val="28"/>
        </w:rPr>
        <w:t xml:space="preserve">Close analysis of the facts reveals that since Phuldhari was injured it was highly unlikely he could attempt to escape and even if he did two police personnel who were taking him to the hospital could easily apprehend him. If Phuldhari ran away from the police as claimed by the latter, and if the police were under an obligation to fire shots at him, the victims should have sustained injury in the back of his leg but he sustained injury in the frontal part of his leg. The fact that the DPO replaced the Musharniya Police team also suggests wrongdoing by the police personnel who were deployed at the post. </w:t>
      </w:r>
    </w:p>
    <w:p w:rsidR="008C4466" w:rsidRPr="00B669E5" w:rsidRDefault="008C4466" w:rsidP="008C4466">
      <w:pPr>
        <w:pStyle w:val="Title"/>
        <w:numPr>
          <w:ilvl w:val="0"/>
          <w:numId w:val="5"/>
        </w:numPr>
        <w:pBdr>
          <w:top w:val="single" w:sz="8" w:space="1" w:color="4D4D4D"/>
        </w:pBdr>
        <w:spacing w:before="100" w:beforeAutospacing="1" w:after="100" w:afterAutospacing="1"/>
        <w:contextualSpacing w:val="0"/>
        <w:jc w:val="right"/>
        <w:rPr>
          <w:b/>
          <w:sz w:val="28"/>
          <w:szCs w:val="24"/>
        </w:rPr>
      </w:pPr>
      <w:r w:rsidRPr="00B669E5">
        <w:rPr>
          <w:b/>
          <w:sz w:val="28"/>
          <w:szCs w:val="24"/>
        </w:rPr>
        <w:t>Dipendra Jha, “Encounter killing”</w:t>
      </w:r>
    </w:p>
    <w:p w:rsidR="008C4466" w:rsidRPr="00B669E5" w:rsidRDefault="008C4466" w:rsidP="008C4466">
      <w:pPr>
        <w:spacing w:before="100" w:beforeAutospacing="1" w:after="100" w:afterAutospacing="1"/>
        <w:rPr>
          <w:sz w:val="28"/>
        </w:rPr>
      </w:pPr>
      <w:r w:rsidRPr="00B669E5">
        <w:rPr>
          <w:sz w:val="28"/>
        </w:rPr>
        <w:t>Details of victim: Dipendra Jha, 26, of Banauli, Danauli VDC-8 of Mahottari district</w:t>
      </w:r>
    </w:p>
    <w:p w:rsidR="008C4466" w:rsidRPr="00B669E5" w:rsidRDefault="008C4466" w:rsidP="008C4466">
      <w:pPr>
        <w:spacing w:before="100" w:beforeAutospacing="1" w:after="100" w:afterAutospacing="1"/>
        <w:rPr>
          <w:sz w:val="28"/>
        </w:rPr>
      </w:pPr>
      <w:r w:rsidRPr="00B669E5">
        <w:rPr>
          <w:sz w:val="28"/>
        </w:rPr>
        <w:t>Date of incident: Around 5am on January 27, 2011</w:t>
      </w:r>
    </w:p>
    <w:p w:rsidR="008C4466" w:rsidRPr="00B669E5" w:rsidRDefault="008C4466" w:rsidP="008C4466">
      <w:pPr>
        <w:spacing w:before="100" w:beforeAutospacing="1" w:after="100" w:afterAutospacing="1"/>
        <w:jc w:val="both"/>
        <w:rPr>
          <w:sz w:val="28"/>
        </w:rPr>
      </w:pPr>
      <w:r w:rsidRPr="00B669E5">
        <w:rPr>
          <w:sz w:val="28"/>
        </w:rPr>
        <w:t xml:space="preserve">Location: Pra.ko.( Praganna Kodari), Mahuwa VDC -8 of Dhanusha district road at Prako Mahuwa VDC-8 </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42" w:name="_Toc379980854"/>
      <w:bookmarkStart w:id="43" w:name="_Toc379983667"/>
      <w:r w:rsidRPr="002945A5">
        <w:rPr>
          <w:rFonts w:ascii="Times New Roman" w:hAnsi="Times New Roman"/>
          <w:sz w:val="28"/>
          <w:szCs w:val="24"/>
        </w:rPr>
        <w:lastRenderedPageBreak/>
        <w:t>Case Details:</w:t>
      </w:r>
      <w:bookmarkEnd w:id="42"/>
      <w:bookmarkEnd w:id="43"/>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sz w:val="28"/>
        </w:rPr>
      </w:pPr>
      <w:r w:rsidRPr="00B669E5">
        <w:rPr>
          <w:sz w:val="28"/>
        </w:rPr>
        <w:t>Dipendra Jha, belonged to a well to do family. His father worked at the District Education Office, Dhanusha. The victim was associated with the Nepal Students Union, a sister wing of the Nepali Congress and had become Vice Chair of Free Students Union, Ra Ra Multiple Campus, Janakpur in 2006 and held the post till 2009.</w:t>
      </w:r>
    </w:p>
    <w:p w:rsidR="008C4466" w:rsidRPr="00B669E5" w:rsidRDefault="008C4466" w:rsidP="008C4466">
      <w:pPr>
        <w:spacing w:before="100" w:beforeAutospacing="1" w:after="100" w:afterAutospacing="1"/>
        <w:jc w:val="both"/>
        <w:rPr>
          <w:sz w:val="28"/>
        </w:rPr>
      </w:pPr>
      <w:r w:rsidRPr="00B669E5">
        <w:rPr>
          <w:sz w:val="28"/>
        </w:rPr>
        <w:t>Interviews with locals revealed that the victim was working as General Secretary of Rajan Mukti led Janatantrik Terai Mukti Morcha</w:t>
      </w:r>
      <w:r w:rsidRPr="00B669E5">
        <w:rPr>
          <w:rStyle w:val="FootnoteReference"/>
          <w:sz w:val="28"/>
        </w:rPr>
        <w:footnoteReference w:id="79"/>
      </w:r>
      <w:r w:rsidRPr="00B669E5">
        <w:rPr>
          <w:sz w:val="28"/>
        </w:rPr>
        <w:t xml:space="preserve"> from October 2009 and had been involved in several criminal acts carried out by the group. He was believed to be the Chief of the Students’ front of the Rajan Mukti led armed group. Interviews with local people also revealed that he had claimed responsibility for criminal acts carried out by the group in the area particularly in Dhanusha district. He was suspected to have been involved in extortion and kidnapping. </w:t>
      </w:r>
    </w:p>
    <w:p w:rsidR="008C4466" w:rsidRPr="00B669E5" w:rsidRDefault="008C4466" w:rsidP="008C4466">
      <w:pPr>
        <w:spacing w:before="100" w:beforeAutospacing="1" w:after="100" w:afterAutospacing="1"/>
        <w:jc w:val="both"/>
        <w:rPr>
          <w:sz w:val="28"/>
        </w:rPr>
      </w:pPr>
      <w:r w:rsidRPr="00B669E5">
        <w:rPr>
          <w:sz w:val="28"/>
        </w:rPr>
        <w:t xml:space="preserve">However, Rajan Mukti, the chief of Jantantrik Terai Mukti Morcha, issued a press release to the local media on January 29, 2011 saying that the victim was not associated with his party in any way. </w:t>
      </w:r>
    </w:p>
    <w:p w:rsidR="008C4466" w:rsidRPr="00B669E5" w:rsidRDefault="008C4466" w:rsidP="008C4466">
      <w:pPr>
        <w:spacing w:before="100" w:beforeAutospacing="1" w:after="100" w:afterAutospacing="1"/>
        <w:jc w:val="both"/>
        <w:rPr>
          <w:sz w:val="28"/>
        </w:rPr>
      </w:pPr>
      <w:r w:rsidRPr="00B669E5">
        <w:rPr>
          <w:sz w:val="28"/>
        </w:rPr>
        <w:t xml:space="preserve">Deputy Superintendent of Police (DSP), Dinesh Amatya, told human rights activists that Dipendra was killed in an encounter with the police. He said the incident happened when police returned fire after being fired upon at Mahuwa. He said the police was patrolling the area as usual. It was a group of 9-10 police commanded by a Sub Inspector or Assistant Sub Inspector. DSP Amatya, however, declined to give the commanding officer’s name. He said police fired 10-11 rounds of bullets in self-defence. It was only after the incident that the victim was identified as Ujwal Mukti (AKA Dipendra) of the Rajan Mukti led armed group. Amatya said he would have to see the case file particularly the post-mortem report to know where the bullets actually hit the victim’s body. </w:t>
      </w:r>
    </w:p>
    <w:p w:rsidR="008C4466" w:rsidRPr="00B669E5" w:rsidRDefault="008C4466" w:rsidP="008C4466">
      <w:pPr>
        <w:spacing w:before="100" w:beforeAutospacing="1" w:after="100" w:afterAutospacing="1"/>
        <w:jc w:val="both"/>
        <w:rPr>
          <w:sz w:val="28"/>
        </w:rPr>
      </w:pPr>
      <w:r w:rsidRPr="00B669E5">
        <w:rPr>
          <w:sz w:val="28"/>
        </w:rPr>
        <w:t>According to a press release issued by the District Police Office, Dhanusha, on January 27, 2011, one homemade pistol, one magazine, and 10 bullets were recovered from the incident site. Similarly, a blue coloured Hero Honda motorcycle without a number plate, two mobile phones, four Nepali SIM cards and one Indian SIM card were also recovered from the incident site.</w:t>
      </w:r>
    </w:p>
    <w:p w:rsidR="008C4466" w:rsidRPr="00B669E5" w:rsidRDefault="008C4466" w:rsidP="008C4466">
      <w:pPr>
        <w:spacing w:before="100" w:beforeAutospacing="1" w:after="100" w:afterAutospacing="1"/>
        <w:jc w:val="both"/>
        <w:rPr>
          <w:sz w:val="28"/>
        </w:rPr>
      </w:pPr>
      <w:r w:rsidRPr="00B669E5">
        <w:rPr>
          <w:sz w:val="28"/>
        </w:rPr>
        <w:t xml:space="preserve">The information provided by the family and witnesses does not corroborate the police’s version of events. On January 26, 2011, Dipendra Jha went to Janakpur at </w:t>
      </w:r>
      <w:r w:rsidRPr="00B669E5">
        <w:rPr>
          <w:sz w:val="28"/>
        </w:rPr>
        <w:lastRenderedPageBreak/>
        <w:t xml:space="preserve">around 12.30pm with his younger brother’s brother-in-law. Dipendra then went somewhere with  Dinesh (a friend, name changed) after having snacks. When Pankaj Jha, the victim’s brother, contacted Dipendra at around 7.45pm, the same day, the latter told him that he was near Zero Mile and would be home in 10 minutes. His family was unable to get in contact with him after this. They learnt about the encounter killing of Dipendra the next day through Janakpur FM radio. Dipendra’s father went to Janakpur Zonal Hospital to ascertain whether the victim was his son. </w:t>
      </w:r>
    </w:p>
    <w:p w:rsidR="008C4466" w:rsidRPr="00B669E5" w:rsidRDefault="008C4466" w:rsidP="008C4466">
      <w:pPr>
        <w:spacing w:before="100" w:beforeAutospacing="1" w:after="100" w:afterAutospacing="1"/>
        <w:jc w:val="both"/>
        <w:rPr>
          <w:sz w:val="28"/>
        </w:rPr>
      </w:pPr>
      <w:r w:rsidRPr="00B669E5">
        <w:rPr>
          <w:sz w:val="28"/>
        </w:rPr>
        <w:t xml:space="preserve">The family said that according to information collected by villagers, Dipendra was arrested by a </w:t>
      </w:r>
      <w:r w:rsidRPr="00B669E5">
        <w:rPr>
          <w:i/>
          <w:sz w:val="28"/>
        </w:rPr>
        <w:t>ghumuwa</w:t>
      </w:r>
      <w:r w:rsidRPr="00B669E5">
        <w:rPr>
          <w:sz w:val="28"/>
        </w:rPr>
        <w:t xml:space="preserve"> (mobile team of police) from zero mile of Janakpur and taken to the road that connects Mahuwa VDC where he was shot seven times. According to the family, the victim had gunshot wounds in both sides of his chest; both thighs; head and temple. One bullet pierced through the area above the abdomen and below the chest. “If it was an encounter, why was he shot seven times and nothing happened to the police personnel?” the family wondered. They also believe that Dinesh (Name Changed) whom he was last seen with might have been involved in some way. Interviews with people revealed that the police arrested Dinesh before and after the incident and that he was released both times. He also absconded for some time after the killing. Dipendra’s older brother and other villagers were told conflicting stories by Dinesh (Name Changed)  as to how and when he and Dipendra parted ways. Dinesh (Name changed) has refused to talk to human rights activists investigating the case. </w:t>
      </w:r>
    </w:p>
    <w:p w:rsidR="008C4466" w:rsidRPr="00B669E5" w:rsidRDefault="008C4466" w:rsidP="008C4466">
      <w:pPr>
        <w:spacing w:before="100" w:beforeAutospacing="1" w:after="100" w:afterAutospacing="1"/>
        <w:jc w:val="both"/>
        <w:rPr>
          <w:sz w:val="28"/>
        </w:rPr>
      </w:pPr>
      <w:r w:rsidRPr="00B669E5">
        <w:rPr>
          <w:sz w:val="28"/>
        </w:rPr>
        <w:t xml:space="preserve">The victim’s father Govinda said that had his son fired shots at the police as the latter claimed, the bullets should have hit either the police personnel or their vehicle or any object but there was no trace of such fired bullets. He also reported that the bullet wounds that were seen in Dipendra’s thigh had not pierced his trouser and the skins around the wounds appears to have almost been burnt suggesting that he might have been shot from close range. The family said the police raided their home after Dipendra was killed. </w:t>
      </w:r>
    </w:p>
    <w:p w:rsidR="008C4466" w:rsidRPr="00B669E5" w:rsidRDefault="008C4466" w:rsidP="008C4466">
      <w:pPr>
        <w:spacing w:before="100" w:beforeAutospacing="1" w:after="100" w:afterAutospacing="1"/>
        <w:jc w:val="both"/>
        <w:rPr>
          <w:sz w:val="28"/>
        </w:rPr>
      </w:pPr>
      <w:r w:rsidRPr="00B669E5">
        <w:rPr>
          <w:bCs/>
          <w:sz w:val="28"/>
        </w:rPr>
        <w:t>An witness (name withheld for security reasons)</w:t>
      </w:r>
      <w:r w:rsidRPr="00B669E5">
        <w:rPr>
          <w:sz w:val="28"/>
        </w:rPr>
        <w:t xml:space="preserve">, a resident of Prako Mahuwa VDC-2, who was also a friend of the victim said in the night the incident happened, he was returning home at around 8-8.30pm. He said he saw Armed Police Force conducting security check at Bhoil. He was stopped and subjected to a search but later allowed to go. He said the next day his wife told him that somebody came looking for him that night.  He said he heard the next morning that the police killed somebody at Bhoil but he did not know who the victim was. It was only after he got the particulars of the victim from the villagers that he </w:t>
      </w:r>
      <w:r w:rsidRPr="00B669E5">
        <w:rPr>
          <w:sz w:val="28"/>
        </w:rPr>
        <w:lastRenderedPageBreak/>
        <w:t xml:space="preserve">suspected it could be Dipendra who had gone to his place asking for him. He said Dipendra might have been brought from Janakpur to Bhoil on a motorbike and been shot dead there. He said the victim might have been killed at around 10-10.30 pm because the electricity went off around that time in that area and villagers heard shots fired around the same time. </w:t>
      </w:r>
    </w:p>
    <w:p w:rsidR="008C4466" w:rsidRPr="00B669E5" w:rsidRDefault="008C4466" w:rsidP="008C4466">
      <w:pPr>
        <w:spacing w:before="100" w:beforeAutospacing="1" w:after="100" w:afterAutospacing="1"/>
        <w:jc w:val="both"/>
        <w:rPr>
          <w:sz w:val="28"/>
        </w:rPr>
      </w:pPr>
      <w:r w:rsidRPr="00B669E5">
        <w:rPr>
          <w:sz w:val="28"/>
        </w:rPr>
        <w:t xml:space="preserve">The victim was found dead on Janakpur-Parvaha road section at Thakur Pokhari area in Prako Mahuwa VDC-8. Local residents told human rights activists that they saw the body of a young man the next morning after the news of alleged encounter spread in the village. The villagers also said they saw a bullet hole in the temple of the victim and a fallen motorbike two meters from the victim’s body.  The villagers said they saw the victim’s face upward and his legs facing north. Villagers said they did not hear the gunshots that night which may have been because fire crackers were being exploded in a marriage ceremony that night. Some villagers said they saw 3-4 gunshot wounds in the victim’s body but one villager said he saw only one bullet wound in the victim’s temple. The police removed the body from the incident site at around 7-7.30am the next day. </w:t>
      </w:r>
    </w:p>
    <w:p w:rsidR="008C4466" w:rsidRPr="00B669E5" w:rsidRDefault="008C4466" w:rsidP="008C4466">
      <w:pPr>
        <w:spacing w:before="100" w:beforeAutospacing="1" w:after="100" w:afterAutospacing="1"/>
        <w:jc w:val="both"/>
        <w:rPr>
          <w:sz w:val="28"/>
        </w:rPr>
      </w:pPr>
      <w:r w:rsidRPr="00B669E5">
        <w:rPr>
          <w:sz w:val="28"/>
        </w:rPr>
        <w:t>Local human rights activists and an officer from the National Human Rights Commission (Regional Office, Janakpur) observed the victim’s body at the morgue. The entry point of one bullet was between the ear and eye of the left temple. The exit point of the bullet was above the ear of the right temple. The victim wore denim jeans and shirt, blue vest, black underwear and a black jacket. One leg of the victim had sports shoe and the other leg did not have a shoe.</w:t>
      </w:r>
    </w:p>
    <w:p w:rsidR="008C4466" w:rsidRPr="00B669E5" w:rsidRDefault="008C4466" w:rsidP="008C4466">
      <w:pPr>
        <w:spacing w:before="100" w:beforeAutospacing="1" w:after="100" w:afterAutospacing="1"/>
        <w:jc w:val="both"/>
        <w:rPr>
          <w:sz w:val="28"/>
        </w:rPr>
      </w:pPr>
      <w:r w:rsidRPr="00B669E5">
        <w:rPr>
          <w:sz w:val="28"/>
        </w:rPr>
        <w:t xml:space="preserve">Human rights activists were told to get a copy of post-mortem report from police headquarters in Kathmandu as the report had already been sent there. However human rights groups were unable to obtain a copy. </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44" w:name="_Toc379980855"/>
      <w:bookmarkStart w:id="45" w:name="_Toc379983668"/>
      <w:r w:rsidRPr="002945A5">
        <w:rPr>
          <w:rFonts w:ascii="Times New Roman" w:hAnsi="Times New Roman"/>
          <w:sz w:val="28"/>
          <w:szCs w:val="24"/>
        </w:rPr>
        <w:t>Response by State:</w:t>
      </w:r>
      <w:bookmarkEnd w:id="44"/>
      <w:bookmarkEnd w:id="45"/>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sz w:val="28"/>
        </w:rPr>
      </w:pPr>
      <w:r w:rsidRPr="00B669E5">
        <w:rPr>
          <w:sz w:val="28"/>
        </w:rPr>
        <w:t xml:space="preserve">Students of local colleges shut down markets to protest against the killing. Following this, a five-member investigation team was formed under Assistant Chief District Officer Khadagraj Sharma on January 27, 2011 to investigate the incident. The team consisted of representatives from NHRC, FNJ, FSU and a member of the victim’s family but the NHRC latter notified the government that it would not join the team. The NHRC said it had its own standards for investigation and it could not join a governmental probe committee. The family of the victim staged a sit-in at District Administration Office on January 27, 2011 demanding impartial investigation into the incident. Chief District Officer and Assistant Chief </w:t>
      </w:r>
      <w:r w:rsidRPr="00B669E5">
        <w:rPr>
          <w:sz w:val="28"/>
        </w:rPr>
        <w:lastRenderedPageBreak/>
        <w:t xml:space="preserve">District Officer of Dhanusha, were, however, not present in the office that day. A group of students had forced closure of schools and shops in protest </w:t>
      </w:r>
      <w:r w:rsidR="00AA70B9">
        <w:rPr>
          <w:sz w:val="28"/>
        </w:rPr>
        <w:t xml:space="preserve">of Dipendra Jha's </w:t>
      </w:r>
      <w:r w:rsidRPr="00B669E5">
        <w:rPr>
          <w:sz w:val="28"/>
        </w:rPr>
        <w:t xml:space="preserve">killing </w:t>
      </w:r>
      <w:r w:rsidR="00AA70B9">
        <w:rPr>
          <w:sz w:val="28"/>
        </w:rPr>
        <w:t>o</w:t>
      </w:r>
      <w:r w:rsidRPr="00B669E5">
        <w:rPr>
          <w:sz w:val="28"/>
        </w:rPr>
        <w:t xml:space="preserve">n January 27. The Police arrested student leaders Naresh Yadav, Shambhu Yadav and Ranjit Kumar Jha for leading the campaign to shut schools and shops but released them in the evening. </w:t>
      </w:r>
    </w:p>
    <w:p w:rsidR="008C4466" w:rsidRPr="00B669E5" w:rsidRDefault="008C4466" w:rsidP="008C4466">
      <w:pPr>
        <w:spacing w:before="100" w:beforeAutospacing="1" w:after="100" w:afterAutospacing="1"/>
        <w:jc w:val="both"/>
        <w:rPr>
          <w:sz w:val="28"/>
        </w:rPr>
      </w:pPr>
      <w:r w:rsidRPr="00B669E5">
        <w:rPr>
          <w:sz w:val="28"/>
        </w:rPr>
        <w:t>The family of the victim gave a memorandum to the Prime Minister’s Office, Home Ministry, National Human Rights Commission and national human rights organisation, INSEC, demanding action against those who t</w:t>
      </w:r>
      <w:r w:rsidR="000F0F0C">
        <w:rPr>
          <w:sz w:val="28"/>
        </w:rPr>
        <w:t>hey believed were responsible for Dipendra's killing.</w:t>
      </w:r>
    </w:p>
    <w:p w:rsidR="008C4466" w:rsidRPr="00B669E5" w:rsidRDefault="008C4466" w:rsidP="008C4466">
      <w:pPr>
        <w:pStyle w:val="Title"/>
        <w:numPr>
          <w:ilvl w:val="0"/>
          <w:numId w:val="5"/>
        </w:numPr>
        <w:pBdr>
          <w:top w:val="single" w:sz="8" w:space="1" w:color="4D4D4D"/>
        </w:pBdr>
        <w:spacing w:before="100" w:beforeAutospacing="1" w:after="100" w:afterAutospacing="1"/>
        <w:contextualSpacing w:val="0"/>
        <w:jc w:val="right"/>
        <w:rPr>
          <w:b/>
          <w:sz w:val="28"/>
          <w:szCs w:val="24"/>
        </w:rPr>
      </w:pPr>
      <w:r w:rsidRPr="00B669E5">
        <w:rPr>
          <w:b/>
          <w:sz w:val="28"/>
          <w:szCs w:val="24"/>
        </w:rPr>
        <w:t xml:space="preserve">Sukhi Loniya, “encounter” killing </w:t>
      </w:r>
    </w:p>
    <w:p w:rsidR="008C4466" w:rsidRPr="00B669E5" w:rsidRDefault="008C4466" w:rsidP="008C4466">
      <w:pPr>
        <w:spacing w:before="100" w:beforeAutospacing="1" w:after="100" w:afterAutospacing="1"/>
        <w:rPr>
          <w:rFonts w:cs="Arial"/>
          <w:sz w:val="28"/>
        </w:rPr>
      </w:pPr>
      <w:r w:rsidRPr="00B669E5">
        <w:rPr>
          <w:rFonts w:cs="Arial"/>
          <w:sz w:val="28"/>
        </w:rPr>
        <w:t xml:space="preserve">Details of Victim: Sukhi Loniya, 22 years old [Date of birth: December 11, 1990] resident of Chaudhari Purwa-1 of Hirminiya VDC in Banke district </w:t>
      </w:r>
    </w:p>
    <w:p w:rsidR="008C4466" w:rsidRPr="00B669E5" w:rsidRDefault="008C4466" w:rsidP="008C4466">
      <w:pPr>
        <w:spacing w:before="100" w:beforeAutospacing="1" w:after="100" w:afterAutospacing="1"/>
        <w:rPr>
          <w:rFonts w:cs="Arial"/>
          <w:sz w:val="28"/>
        </w:rPr>
      </w:pPr>
      <w:r w:rsidRPr="00B669E5">
        <w:rPr>
          <w:rFonts w:cs="Arial"/>
          <w:sz w:val="28"/>
        </w:rPr>
        <w:t xml:space="preserve">Date of incident: December 8, 2012 </w:t>
      </w:r>
    </w:p>
    <w:p w:rsidR="008C4466" w:rsidRPr="00B669E5" w:rsidRDefault="008C4466" w:rsidP="008C4466">
      <w:pPr>
        <w:spacing w:before="100" w:beforeAutospacing="1" w:after="100" w:afterAutospacing="1"/>
        <w:rPr>
          <w:rFonts w:cs="Arial"/>
          <w:sz w:val="28"/>
        </w:rPr>
      </w:pPr>
      <w:r w:rsidRPr="00B669E5">
        <w:rPr>
          <w:rFonts w:cs="Arial"/>
          <w:sz w:val="28"/>
        </w:rPr>
        <w:t>Location: Kudawa, Gangapur, Banke district</w:t>
      </w:r>
    </w:p>
    <w:p w:rsidR="008C4466" w:rsidRPr="00B669E5" w:rsidRDefault="008C4466" w:rsidP="008C4466">
      <w:pPr>
        <w:spacing w:before="100" w:beforeAutospacing="1" w:after="100" w:afterAutospacing="1"/>
        <w:rPr>
          <w:rFonts w:cs="Arial"/>
          <w:sz w:val="28"/>
        </w:rPr>
      </w:pPr>
      <w:r w:rsidRPr="00B669E5">
        <w:rPr>
          <w:rFonts w:cs="Arial"/>
          <w:sz w:val="28"/>
        </w:rPr>
        <w:t>Suspected perpetrators: Deputy Superintendent of police (DSP) Surya Bahadur KC</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46" w:name="_Toc379980856"/>
      <w:bookmarkStart w:id="47" w:name="_Toc379983669"/>
      <w:r w:rsidRPr="002945A5">
        <w:rPr>
          <w:rFonts w:ascii="Times New Roman" w:hAnsi="Times New Roman"/>
          <w:sz w:val="28"/>
          <w:szCs w:val="24"/>
        </w:rPr>
        <w:t>Case Details:</w:t>
      </w:r>
      <w:bookmarkEnd w:id="46"/>
      <w:bookmarkEnd w:id="47"/>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rFonts w:cs="Arial"/>
          <w:sz w:val="28"/>
        </w:rPr>
      </w:pPr>
      <w:r w:rsidRPr="00B669E5">
        <w:rPr>
          <w:rFonts w:cs="Arial"/>
          <w:sz w:val="28"/>
        </w:rPr>
        <w:t xml:space="preserve">Sukhi Loniya, was allegedly killed on December 8, 2012, after he was arrested with three others, who were later released.  </w:t>
      </w:r>
    </w:p>
    <w:p w:rsidR="008C4466" w:rsidRPr="00B669E5" w:rsidRDefault="008C4466" w:rsidP="008C4466">
      <w:pPr>
        <w:spacing w:before="100" w:beforeAutospacing="1" w:after="100" w:afterAutospacing="1"/>
        <w:jc w:val="both"/>
        <w:rPr>
          <w:rFonts w:cs="Arial"/>
          <w:sz w:val="28"/>
        </w:rPr>
      </w:pPr>
      <w:r w:rsidRPr="00B669E5">
        <w:rPr>
          <w:rFonts w:cs="Arial"/>
          <w:sz w:val="28"/>
        </w:rPr>
        <w:t xml:space="preserve">Police claim that Sukhi Loniya was killed in "crossfire" by a Nepal Police team led by Deputy Superintendent of police (DSP), Surya Bahadur KC, on December 8, 2012. According to DSP Surya Bahadur KC, “a group of policemen from the Regional Police Office, Surkhet and District police team Banke, had tried to arrest Sukhi Loniya at Gangapur on suspicion of being associated with an armed group. He opened fire on them and then the police team, led by KC fired back at him, as a result of which he was killed.” According to the police, a </w:t>
      </w:r>
      <w:r w:rsidRPr="00B669E5">
        <w:rPr>
          <w:rFonts w:cs="Arial"/>
          <w:i/>
          <w:sz w:val="28"/>
        </w:rPr>
        <w:t>Katuwa</w:t>
      </w:r>
      <w:r w:rsidRPr="00B669E5">
        <w:rPr>
          <w:rFonts w:cs="Arial"/>
          <w:sz w:val="28"/>
        </w:rPr>
        <w:t xml:space="preserve"> pistol was recovered from his body.</w:t>
      </w:r>
    </w:p>
    <w:p w:rsidR="008C4466" w:rsidRPr="00B669E5" w:rsidRDefault="008C4466" w:rsidP="008C4466">
      <w:pPr>
        <w:spacing w:before="100" w:beforeAutospacing="1" w:after="100" w:afterAutospacing="1"/>
        <w:jc w:val="both"/>
        <w:rPr>
          <w:rFonts w:cs="Arial"/>
          <w:sz w:val="28"/>
        </w:rPr>
      </w:pPr>
      <w:r w:rsidRPr="00B669E5">
        <w:rPr>
          <w:rFonts w:cs="Arial"/>
          <w:sz w:val="28"/>
        </w:rPr>
        <w:t xml:space="preserve">However, villagers have refused to accept this account of events by the police, instead claiming that the police planted the </w:t>
      </w:r>
      <w:r w:rsidRPr="00B669E5">
        <w:rPr>
          <w:rFonts w:cs="Arial"/>
          <w:i/>
          <w:sz w:val="28"/>
        </w:rPr>
        <w:t>katuwa</w:t>
      </w:r>
      <w:r w:rsidRPr="00B669E5">
        <w:rPr>
          <w:rFonts w:cs="Arial"/>
          <w:sz w:val="28"/>
        </w:rPr>
        <w:t xml:space="preserve"> pistol on him. </w:t>
      </w:r>
    </w:p>
    <w:p w:rsidR="008C4466" w:rsidRPr="00B669E5" w:rsidRDefault="008C4466" w:rsidP="008C4466">
      <w:pPr>
        <w:spacing w:before="100" w:beforeAutospacing="1" w:after="100" w:afterAutospacing="1"/>
        <w:jc w:val="both"/>
        <w:rPr>
          <w:rFonts w:cs="Arial"/>
          <w:sz w:val="28"/>
        </w:rPr>
      </w:pPr>
      <w:r w:rsidRPr="00B669E5">
        <w:rPr>
          <w:rFonts w:cs="Arial"/>
          <w:sz w:val="28"/>
        </w:rPr>
        <w:lastRenderedPageBreak/>
        <w:t>Loniya had been living with his wife Reena Loniya in a village called Mahari Machhariwa in the Shrawasti district of India for the last year. It is reported that he was enticed to return to Nepal for unknown reasons on December 7.</w:t>
      </w:r>
    </w:p>
    <w:p w:rsidR="008C4466" w:rsidRPr="00B669E5" w:rsidRDefault="008C4466" w:rsidP="008C4466">
      <w:pPr>
        <w:spacing w:before="100" w:beforeAutospacing="1" w:after="100" w:afterAutospacing="1"/>
        <w:jc w:val="both"/>
        <w:rPr>
          <w:rFonts w:cs="Arial"/>
          <w:sz w:val="28"/>
        </w:rPr>
      </w:pPr>
      <w:r w:rsidRPr="00B669E5">
        <w:rPr>
          <w:rFonts w:cs="Arial"/>
          <w:sz w:val="28"/>
        </w:rPr>
        <w:t>On December 8, 2012, 24-year-old Salman Behona of Hirminiya-66, Banke District; Guddu Pandey (resident of Nampara) and Sukhi Loniya (resident of Hirminiya-1) were staying at Gomati Loniya’s house in Kodawa, Gangapur. At 3am, members of the Nepal Police arrested them. According to Gomati Loniya, the police team was headed by Surya KC who came to his house dressed in uniform and arrested the four young men. All but Sukhi were later released and are now in India.</w:t>
      </w:r>
      <w:r w:rsidRPr="00B669E5">
        <w:rPr>
          <w:rStyle w:val="FootnoteReference"/>
          <w:rFonts w:cs="Arial"/>
          <w:sz w:val="28"/>
        </w:rPr>
        <w:footnoteReference w:id="80"/>
      </w:r>
    </w:p>
    <w:p w:rsidR="008C4466" w:rsidRPr="00B669E5" w:rsidRDefault="008C4466" w:rsidP="008C4466">
      <w:pPr>
        <w:spacing w:before="100" w:beforeAutospacing="1" w:after="100" w:afterAutospacing="1"/>
        <w:jc w:val="both"/>
        <w:rPr>
          <w:rFonts w:cs="Arial"/>
          <w:sz w:val="28"/>
        </w:rPr>
      </w:pPr>
      <w:r w:rsidRPr="00B669E5">
        <w:rPr>
          <w:rFonts w:cs="Arial"/>
          <w:sz w:val="28"/>
        </w:rPr>
        <w:t xml:space="preserve">Buluri Loniya, son of Gomati Loniya, who was sharing a room with Sukhi, reported that “they took Sukhi Loniya out of the room in Kodawa village, where he was shot in the head and chest.” He also reported: “We have been threatened and instructed to not speak about the incident. The police threatened to kill us if we return to Nepal.” </w:t>
      </w:r>
    </w:p>
    <w:p w:rsidR="008C4466" w:rsidRPr="00B669E5" w:rsidRDefault="002E140F" w:rsidP="008C4466">
      <w:pPr>
        <w:spacing w:before="100" w:beforeAutospacing="1" w:after="100" w:afterAutospacing="1"/>
        <w:jc w:val="both"/>
        <w:rPr>
          <w:rFonts w:cs="Arial"/>
          <w:sz w:val="28"/>
        </w:rPr>
      </w:pPr>
      <w:r>
        <w:rPr>
          <w:rFonts w:cs="Arial"/>
          <w:sz w:val="28"/>
        </w:rPr>
        <w:t>Mukesh (name change)</w:t>
      </w:r>
      <w:r w:rsidR="008C4466" w:rsidRPr="00B669E5">
        <w:rPr>
          <w:rFonts w:cs="Arial"/>
          <w:sz w:val="28"/>
        </w:rPr>
        <w:t xml:space="preserve">, a resident of Kudawa, Gangapur where the police claimed to have killed Sukhi in crossfire, said that no sound of firing was heard in the village on that day, and that he did not see any policemen in uniform there. He rejected the police’s story of Sukhi’s death. Other villagers of Gangapur had no knowledge of police firing in their village on December 8 either. A local witness Bhola Shah (name changed) claimed that “it is all a fake story created by the police, we did not hear the sound of any firing, let alone cross firing, it is police team who killed Sukhi after he was arrested.” </w:t>
      </w:r>
    </w:p>
    <w:p w:rsidR="008C4466" w:rsidRPr="00B669E5" w:rsidRDefault="008C4466" w:rsidP="008C4466">
      <w:pPr>
        <w:spacing w:before="100" w:beforeAutospacing="1" w:after="100" w:afterAutospacing="1"/>
        <w:jc w:val="both"/>
        <w:rPr>
          <w:rFonts w:cs="Arial"/>
          <w:sz w:val="28"/>
        </w:rPr>
      </w:pPr>
      <w:r w:rsidRPr="00B669E5">
        <w:rPr>
          <w:rFonts w:cs="Arial"/>
          <w:sz w:val="28"/>
        </w:rPr>
        <w:t xml:space="preserve">The deceased’s family suspects Hiralal Loniya, the chairman of the district committee of the Madheshi Janadhikar Forum (Democratic), to be the mastermind behind Sukhi’s killing. According to them, Hiralal had threatened to kill Sukhi several times in the past, the reason being Sukhi’s marriage with Reena Loniya whom a relative of Hiralal wanted to marry. “It was because of death threats from a powerful politician that Sukhi had been living with his bride in India”, said Sukhi’s elder brother. “He did not have any criminal background, nor was he involved with any underground armed group.” A </w:t>
      </w:r>
      <w:r w:rsidRPr="00B669E5">
        <w:rPr>
          <w:rFonts w:cs="Arial"/>
          <w:i/>
          <w:sz w:val="28"/>
        </w:rPr>
        <w:t>Katuwa</w:t>
      </w:r>
      <w:r w:rsidRPr="00B669E5">
        <w:rPr>
          <w:rFonts w:cs="Arial"/>
          <w:sz w:val="28"/>
        </w:rPr>
        <w:t xml:space="preserve"> pistol recovered from the dead was planted on him because he did not know how to use a gun, according to his brother. Sukhi’s wife, Reena also refutes the allegation that he was armed, saying that he never carried a gun or ammunition.</w:t>
      </w:r>
    </w:p>
    <w:p w:rsidR="008C4466" w:rsidRPr="00B669E5" w:rsidRDefault="008C4466" w:rsidP="008C4466">
      <w:pPr>
        <w:spacing w:before="100" w:beforeAutospacing="1" w:after="100" w:afterAutospacing="1"/>
        <w:jc w:val="both"/>
        <w:rPr>
          <w:rFonts w:cs="Arial"/>
          <w:sz w:val="28"/>
        </w:rPr>
      </w:pPr>
      <w:r w:rsidRPr="00B669E5">
        <w:rPr>
          <w:rFonts w:cs="Arial"/>
          <w:sz w:val="28"/>
        </w:rPr>
        <w:lastRenderedPageBreak/>
        <w:t>The police have reported that they suspected Sukhi to have affiliation with an armed group named the Terai Janatantrik Party Madhesh.</w:t>
      </w:r>
      <w:r w:rsidRPr="00B669E5">
        <w:rPr>
          <w:rStyle w:val="FootnoteReference"/>
          <w:rFonts w:cs="Arial"/>
          <w:sz w:val="28"/>
        </w:rPr>
        <w:footnoteReference w:id="81"/>
      </w:r>
      <w:r w:rsidRPr="00B669E5">
        <w:rPr>
          <w:rFonts w:cs="Arial"/>
          <w:sz w:val="28"/>
        </w:rPr>
        <w:t xml:space="preserve"> However, no such party has claimed that he was its member.</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48" w:name="_Toc379980857"/>
      <w:bookmarkStart w:id="49" w:name="_Toc379983670"/>
      <w:r w:rsidRPr="002945A5">
        <w:rPr>
          <w:rFonts w:ascii="Times New Roman" w:hAnsi="Times New Roman"/>
          <w:sz w:val="28"/>
          <w:szCs w:val="24"/>
        </w:rPr>
        <w:t>Witness Intimidation:</w:t>
      </w:r>
      <w:bookmarkEnd w:id="48"/>
      <w:bookmarkEnd w:id="49"/>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rFonts w:cs="Arial"/>
          <w:sz w:val="28"/>
        </w:rPr>
      </w:pPr>
      <w:r w:rsidRPr="00B669E5">
        <w:rPr>
          <w:rFonts w:cs="Arial"/>
          <w:sz w:val="28"/>
        </w:rPr>
        <w:t>The police allegedly told Aslam’s father that if his son returned to Nepal, he would suffer the same fate as Sukhi Loniya.</w:t>
      </w:r>
      <w:r w:rsidRPr="00B669E5" w:rsidDel="00B57F67">
        <w:rPr>
          <w:rStyle w:val="FootnoteReference"/>
          <w:rFonts w:cs="Arial"/>
          <w:sz w:val="28"/>
        </w:rPr>
        <w:t xml:space="preserve"> </w:t>
      </w:r>
    </w:p>
    <w:p w:rsidR="008C4466" w:rsidRPr="00B669E5" w:rsidRDefault="008C4466" w:rsidP="008C4466">
      <w:pPr>
        <w:spacing w:before="100" w:beforeAutospacing="1" w:after="100" w:afterAutospacing="1"/>
        <w:jc w:val="both"/>
        <w:rPr>
          <w:rFonts w:cs="Arial"/>
          <w:sz w:val="28"/>
        </w:rPr>
      </w:pPr>
      <w:r w:rsidRPr="00B669E5">
        <w:rPr>
          <w:rFonts w:cs="Arial"/>
          <w:sz w:val="28"/>
        </w:rPr>
        <w:t xml:space="preserve">The family members and THRD Alliance have been receiving threats from the local police not to pursue the case. On the evening of December 26, 2012, when the Nepal police came to know that the victim’s family was trying to pursue the case, some policemen came to the victim’s family again </w:t>
      </w:r>
      <w:r w:rsidR="00763E16">
        <w:rPr>
          <w:rFonts w:cs="Arial"/>
          <w:sz w:val="28"/>
        </w:rPr>
        <w:t xml:space="preserve">and </w:t>
      </w:r>
      <w:r w:rsidRPr="00B669E5">
        <w:rPr>
          <w:rFonts w:cs="Arial"/>
          <w:sz w:val="28"/>
        </w:rPr>
        <w:t xml:space="preserve">threatened them with dire consequences. On this day, they also kicked over their bucket full of rice as punishment for receiving THRD Alliance's financial support to travel to file the case. </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50" w:name="_Toc379980858"/>
      <w:bookmarkStart w:id="51" w:name="_Toc379983671"/>
      <w:r w:rsidRPr="002945A5">
        <w:rPr>
          <w:rFonts w:ascii="Times New Roman" w:hAnsi="Times New Roman"/>
          <w:sz w:val="28"/>
          <w:szCs w:val="24"/>
        </w:rPr>
        <w:t>State Response:</w:t>
      </w:r>
      <w:bookmarkEnd w:id="50"/>
      <w:bookmarkEnd w:id="51"/>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rFonts w:cs="Arial"/>
          <w:sz w:val="28"/>
        </w:rPr>
      </w:pPr>
      <w:r w:rsidRPr="00B669E5">
        <w:rPr>
          <w:rFonts w:cs="Arial"/>
          <w:sz w:val="28"/>
        </w:rPr>
        <w:t xml:space="preserve">When human rights defenders approached the police to inquire about the shooting the police stated that Sukhi Loniya was killed during an encounter. There has been no investigation by the government or police into the case. </w:t>
      </w:r>
    </w:p>
    <w:p w:rsidR="008C4466" w:rsidRPr="00B669E5" w:rsidRDefault="008C4466" w:rsidP="008C4466">
      <w:pPr>
        <w:spacing w:before="100" w:beforeAutospacing="1" w:after="100" w:afterAutospacing="1"/>
        <w:jc w:val="both"/>
        <w:rPr>
          <w:rFonts w:cs="Arial"/>
          <w:sz w:val="28"/>
        </w:rPr>
      </w:pPr>
      <w:r w:rsidRPr="00B669E5">
        <w:rPr>
          <w:rFonts w:cs="Arial"/>
          <w:sz w:val="28"/>
        </w:rPr>
        <w:t>Dukhi Loniya, Sukhi‘s elder brother, has lodged a complaint at the National Human Rights Commission. The National Human Rights Commission’s regional office in Nepalgunj started an investigation into the shooting. It is not known what the outcome is.</w:t>
      </w:r>
    </w:p>
    <w:p w:rsidR="008C4466" w:rsidRPr="00B669E5" w:rsidRDefault="008C4466" w:rsidP="008C4466">
      <w:pPr>
        <w:spacing w:before="100" w:beforeAutospacing="1" w:after="100" w:afterAutospacing="1"/>
        <w:jc w:val="both"/>
        <w:rPr>
          <w:rFonts w:cs="Arial"/>
          <w:sz w:val="28"/>
        </w:rPr>
      </w:pPr>
      <w:r w:rsidRPr="00B669E5">
        <w:rPr>
          <w:rFonts w:cs="Arial"/>
          <w:sz w:val="28"/>
        </w:rPr>
        <w:t xml:space="preserve">THRD Alliance filed a written complaint in the Human Rights Cell of the Nepal Police on December 10, 2012. However, the police have never responded. </w:t>
      </w:r>
    </w:p>
    <w:p w:rsidR="008C4466" w:rsidRPr="00B669E5" w:rsidRDefault="008C4466" w:rsidP="00763E16">
      <w:pPr>
        <w:pStyle w:val="Title"/>
        <w:numPr>
          <w:ilvl w:val="0"/>
          <w:numId w:val="5"/>
        </w:numPr>
        <w:pBdr>
          <w:top w:val="single" w:sz="8" w:space="1" w:color="4D4D4D"/>
        </w:pBdr>
        <w:spacing w:before="100" w:beforeAutospacing="1" w:after="100" w:afterAutospacing="1"/>
        <w:ind w:hanging="287"/>
        <w:contextualSpacing w:val="0"/>
        <w:jc w:val="right"/>
        <w:rPr>
          <w:b/>
          <w:sz w:val="28"/>
          <w:szCs w:val="24"/>
        </w:rPr>
      </w:pPr>
      <w:r w:rsidRPr="00B669E5">
        <w:rPr>
          <w:b/>
          <w:sz w:val="28"/>
          <w:szCs w:val="24"/>
        </w:rPr>
        <w:t>Sanjay Sah, “Encounter Killing” and 6-</w:t>
      </w:r>
      <w:r>
        <w:rPr>
          <w:b/>
          <w:sz w:val="28"/>
          <w:szCs w:val="24"/>
        </w:rPr>
        <w:t xml:space="preserve"> </w:t>
      </w:r>
      <w:r w:rsidRPr="00B669E5">
        <w:rPr>
          <w:b/>
          <w:sz w:val="28"/>
          <w:szCs w:val="24"/>
        </w:rPr>
        <w:t>ramod singh</w:t>
      </w:r>
    </w:p>
    <w:p w:rsidR="008C4466" w:rsidRPr="00B669E5" w:rsidRDefault="008C4466" w:rsidP="008C4466">
      <w:pPr>
        <w:tabs>
          <w:tab w:val="left" w:pos="2745"/>
        </w:tabs>
        <w:spacing w:before="100" w:beforeAutospacing="1" w:after="100" w:afterAutospacing="1"/>
        <w:jc w:val="both"/>
        <w:rPr>
          <w:sz w:val="28"/>
        </w:rPr>
      </w:pPr>
      <w:r w:rsidRPr="00B669E5">
        <w:rPr>
          <w:sz w:val="28"/>
        </w:rPr>
        <w:t>Details of Victims: Sanjay Sah, of Lalpur VDC-5, Siraha and Ramod Sah of Pipra Pra. Pi VDC-6, Siraha district</w:t>
      </w:r>
    </w:p>
    <w:p w:rsidR="008C4466" w:rsidRPr="00B669E5" w:rsidRDefault="008C4466" w:rsidP="008C4466">
      <w:pPr>
        <w:spacing w:before="100" w:beforeAutospacing="1" w:after="100" w:afterAutospacing="1"/>
        <w:rPr>
          <w:sz w:val="28"/>
        </w:rPr>
      </w:pPr>
      <w:r w:rsidRPr="00B669E5">
        <w:rPr>
          <w:sz w:val="28"/>
        </w:rPr>
        <w:t>Date of incident: March 21, 2012</w:t>
      </w:r>
    </w:p>
    <w:p w:rsidR="008C4466" w:rsidRPr="00B669E5" w:rsidRDefault="008C4466" w:rsidP="008C4466">
      <w:pPr>
        <w:spacing w:before="100" w:beforeAutospacing="1" w:after="100" w:afterAutospacing="1"/>
        <w:rPr>
          <w:w w:val="120"/>
          <w:sz w:val="28"/>
        </w:rPr>
      </w:pPr>
      <w:r w:rsidRPr="00B669E5">
        <w:rPr>
          <w:sz w:val="28"/>
        </w:rPr>
        <w:t>Location: Andheri gorge, north of Policepatta at Phulbariya VDC-1, Siraha district</w:t>
      </w:r>
    </w:p>
    <w:p w:rsidR="008C4466" w:rsidRPr="00B669E5" w:rsidRDefault="008C4466" w:rsidP="008C4466">
      <w:pPr>
        <w:spacing w:before="100" w:beforeAutospacing="1" w:after="100" w:afterAutospacing="1"/>
        <w:jc w:val="both"/>
        <w:rPr>
          <w:bCs/>
          <w:sz w:val="28"/>
        </w:rPr>
      </w:pPr>
      <w:r w:rsidRPr="00B669E5">
        <w:rPr>
          <w:sz w:val="28"/>
        </w:rPr>
        <w:lastRenderedPageBreak/>
        <w:t xml:space="preserve">Suspected perpetrators: Rajesh Lal Karna, Superintendent of Police, District Office, Siraha; Shailendra Gachhdar, In-charge of area police office Golbazar and Inspector Chiranjibi Dahal of Armed Police Force Base Camp Golbazar. </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52" w:name="_Toc379980859"/>
      <w:bookmarkStart w:id="53" w:name="_Toc379983672"/>
      <w:r w:rsidRPr="002945A5">
        <w:rPr>
          <w:rFonts w:ascii="Times New Roman" w:hAnsi="Times New Roman"/>
          <w:sz w:val="28"/>
          <w:szCs w:val="24"/>
        </w:rPr>
        <w:t>Case details:</w:t>
      </w:r>
      <w:bookmarkEnd w:id="52"/>
      <w:bookmarkEnd w:id="53"/>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sz w:val="28"/>
        </w:rPr>
      </w:pPr>
      <w:r w:rsidRPr="00B669E5">
        <w:rPr>
          <w:sz w:val="28"/>
        </w:rPr>
        <w:t xml:space="preserve">Sanjay Sah of Lalpur VDC-5 and Ramod Singh of Pipra Pra. Pi, VDC-6, Siraha were killed an alleged encounter with thee police on March 21, 2012, during a police operation to free a person who had been kidnapped. </w:t>
      </w:r>
    </w:p>
    <w:p w:rsidR="008C4466" w:rsidRPr="00B669E5" w:rsidRDefault="008C4466" w:rsidP="008C4466">
      <w:pPr>
        <w:spacing w:before="100" w:beforeAutospacing="1" w:after="100" w:afterAutospacing="1"/>
        <w:jc w:val="both"/>
        <w:rPr>
          <w:sz w:val="28"/>
        </w:rPr>
      </w:pPr>
      <w:r w:rsidRPr="00B669E5">
        <w:rPr>
          <w:sz w:val="28"/>
        </w:rPr>
        <w:t xml:space="preserve">On March 22, 2012 local newspapers reported that, a Golbazar trader named Bijay Sah had been abducted on March 17 and that the police had arrested one Haridev Thakur on March 20 in connection to the crime. It was also reported that the police came to know from Thakur where the hostage was being held. It was on the basis of Thakur's revelation that a police team jointly led by Sub Inspector Shailendra Gachhadar of Area Police Office Golbazar and Armed Police Inspector Chiranjibi Dahal of Armed Police Force Base Camp, Golbazar carried out a search and rescue operation near Andheri </w:t>
      </w:r>
      <w:r w:rsidR="00E97A17">
        <w:rPr>
          <w:sz w:val="28"/>
        </w:rPr>
        <w:t>creek</w:t>
      </w:r>
      <w:r w:rsidRPr="00B669E5">
        <w:rPr>
          <w:sz w:val="28"/>
        </w:rPr>
        <w:t xml:space="preserve"> at Policepatta. Newspapers reported that when police team reached the area, the kidnappers first fired shots, which prompted the police to return fire in defence. Two alleged kidnappers were killed. Siraha residents took the police’s action as a relief as incidents of kidnapping were a frequent occurrence in the area and the security situation was worsening. </w:t>
      </w:r>
    </w:p>
    <w:p w:rsidR="008C4466" w:rsidRPr="00B669E5" w:rsidRDefault="008C4466" w:rsidP="008C4466">
      <w:pPr>
        <w:spacing w:before="100" w:beforeAutospacing="1" w:after="100" w:afterAutospacing="1"/>
        <w:jc w:val="both"/>
        <w:rPr>
          <w:sz w:val="28"/>
          <w:lang w:val="en-US"/>
        </w:rPr>
      </w:pPr>
      <w:r w:rsidRPr="00B669E5">
        <w:rPr>
          <w:sz w:val="28"/>
        </w:rPr>
        <w:t xml:space="preserve">The police organised a press conference at Golbazar conference on March 22, and produced Bijay Sah, the kidnap victim before them.  Locals gave a heroic welcome to the police and the victim.  </w:t>
      </w:r>
      <w:r w:rsidRPr="00B669E5">
        <w:rPr>
          <w:sz w:val="28"/>
          <w:lang w:val="en-US"/>
        </w:rPr>
        <w:t xml:space="preserve">Armed Police Force Inspector Chiranjibi Dahal said that a team of police commanded jointly by him and Sub Inspector Shailendra Gachhadar of Area Police Office, Golbazar had gone to Policepatta looking for kidnappers but as they reached the area, the kidnappers fired on them and they retaliated. It was in this retaliatory action the two kidnappers died, Dahal claimed. Superintendent of Police Rajesh Lal Karna also said that the kidnappers were killed when police retaliated against the kidnappers’ attack. </w:t>
      </w:r>
    </w:p>
    <w:p w:rsidR="008C4466" w:rsidRPr="00B669E5" w:rsidRDefault="008C4466" w:rsidP="008C4466">
      <w:pPr>
        <w:spacing w:before="100" w:beforeAutospacing="1" w:after="100" w:afterAutospacing="1"/>
        <w:jc w:val="both"/>
        <w:rPr>
          <w:sz w:val="28"/>
          <w:lang w:val="en-US"/>
        </w:rPr>
      </w:pPr>
      <w:r w:rsidRPr="00B669E5">
        <w:rPr>
          <w:sz w:val="28"/>
          <w:lang w:val="en-US"/>
        </w:rPr>
        <w:t xml:space="preserve">However there are discrepancies between the police’s version of events and the information provided by witnesses. </w:t>
      </w:r>
    </w:p>
    <w:p w:rsidR="008C4466" w:rsidRPr="00B669E5" w:rsidRDefault="008C4466" w:rsidP="008C4466">
      <w:pPr>
        <w:spacing w:before="100" w:beforeAutospacing="1" w:after="100" w:afterAutospacing="1"/>
        <w:jc w:val="both"/>
        <w:rPr>
          <w:sz w:val="28"/>
          <w:lang w:val="en-US"/>
        </w:rPr>
      </w:pPr>
      <w:r w:rsidRPr="00B669E5">
        <w:rPr>
          <w:sz w:val="28"/>
          <w:lang w:val="en-US"/>
        </w:rPr>
        <w:t xml:space="preserve">Sanjay’s mother reported that the villagers told her that her son had not been killed immediately, and that she heard that he had been tied to a tree first and then killed. Others told her he had been shot. His brother reported seeing six or seven gunshot </w:t>
      </w:r>
      <w:r w:rsidRPr="00B669E5">
        <w:rPr>
          <w:sz w:val="28"/>
          <w:lang w:val="en-US"/>
        </w:rPr>
        <w:lastRenderedPageBreak/>
        <w:t xml:space="preserve">wounds and his body when it was returned to the family three days after the killing. </w:t>
      </w:r>
    </w:p>
    <w:p w:rsidR="008C4466" w:rsidRPr="00B669E5" w:rsidRDefault="008C4466" w:rsidP="008C4466">
      <w:pPr>
        <w:spacing w:before="100" w:beforeAutospacing="1" w:after="100" w:afterAutospacing="1"/>
        <w:jc w:val="both"/>
        <w:rPr>
          <w:sz w:val="28"/>
          <w:lang w:val="en-US"/>
        </w:rPr>
      </w:pPr>
      <w:r w:rsidRPr="00B669E5">
        <w:rPr>
          <w:sz w:val="28"/>
          <w:lang w:val="en-US"/>
        </w:rPr>
        <w:t>Sanjay's maternal uncle Rajesh Sah's stated: “As far as gunshot wounds on my nephew's body are concerned, one bullet entered the left eye and exited from the right eye. His right leg had sustained bullet wound and that leg had also been fractured. Bruises were found on his body.”</w:t>
      </w:r>
    </w:p>
    <w:p w:rsidR="008C4466" w:rsidRPr="00B669E5" w:rsidRDefault="008C4466" w:rsidP="008C4466">
      <w:pPr>
        <w:spacing w:before="100" w:beforeAutospacing="1" w:after="100" w:afterAutospacing="1"/>
        <w:jc w:val="both"/>
        <w:rPr>
          <w:sz w:val="28"/>
          <w:lang w:val="en-US"/>
        </w:rPr>
      </w:pPr>
      <w:r w:rsidRPr="00B669E5">
        <w:rPr>
          <w:sz w:val="28"/>
          <w:lang w:val="en-US"/>
        </w:rPr>
        <w:t>Residents of the area reported that they no longer go to that area, as it is known for criminal activity and police patrols. After the shooting they found bloodstains, empty plastic wraps, food wrappers and a water container.</w:t>
      </w:r>
    </w:p>
    <w:p w:rsidR="008C4466" w:rsidRPr="00B669E5" w:rsidRDefault="008C4466" w:rsidP="008C4466">
      <w:pPr>
        <w:spacing w:before="100" w:beforeAutospacing="1" w:after="100" w:afterAutospacing="1"/>
        <w:jc w:val="both"/>
        <w:rPr>
          <w:sz w:val="28"/>
          <w:lang w:val="en-US"/>
        </w:rPr>
      </w:pPr>
      <w:r w:rsidRPr="00B669E5">
        <w:rPr>
          <w:sz w:val="28"/>
          <w:lang w:val="en-US"/>
        </w:rPr>
        <w:t xml:space="preserve">Nuniya tole residents of Phulbariya said they saw 4-5 police vans and 8-10 motorcycles parked at a nearby </w:t>
      </w:r>
      <w:r w:rsidRPr="00B669E5">
        <w:rPr>
          <w:i/>
          <w:sz w:val="28"/>
          <w:lang w:val="en-US"/>
        </w:rPr>
        <w:t>chowk</w:t>
      </w:r>
      <w:r w:rsidRPr="00B669E5">
        <w:rPr>
          <w:sz w:val="28"/>
          <w:lang w:val="en-US"/>
        </w:rPr>
        <w:t xml:space="preserve"> (thoroughfare). There was a heavy presence of police personnel. The police would come to shops to drink water that day but would not speak a word with anybody. They had brought one boy with them whom they had blindfolded. They said they did not hear any gunshots but heard that the police killed two boys and brought the dead bodies with them.</w:t>
      </w:r>
    </w:p>
    <w:p w:rsidR="008C4466" w:rsidRPr="00B669E5" w:rsidRDefault="008C4466" w:rsidP="008C4466">
      <w:pPr>
        <w:spacing w:before="100" w:beforeAutospacing="1" w:after="100" w:afterAutospacing="1"/>
        <w:jc w:val="both"/>
        <w:rPr>
          <w:sz w:val="28"/>
          <w:lang w:val="en-US"/>
        </w:rPr>
      </w:pPr>
      <w:r w:rsidRPr="00B669E5">
        <w:rPr>
          <w:sz w:val="28"/>
          <w:lang w:val="en-US"/>
        </w:rPr>
        <w:t xml:space="preserve">Bijay Kumar Sah who was held hostage gave the following statement, to THRD Alliance about the day he was released: </w:t>
      </w:r>
    </w:p>
    <w:p w:rsidR="008C4466" w:rsidRPr="00B669E5" w:rsidRDefault="008C4466" w:rsidP="008C4466">
      <w:pPr>
        <w:spacing w:before="100" w:beforeAutospacing="1" w:after="100" w:afterAutospacing="1"/>
        <w:jc w:val="both"/>
        <w:rPr>
          <w:sz w:val="28"/>
          <w:lang w:val="en-US"/>
        </w:rPr>
      </w:pPr>
      <w:r w:rsidRPr="00B669E5">
        <w:rPr>
          <w:sz w:val="28"/>
        </w:rPr>
        <w:t xml:space="preserve">“The day this incident happened, it was around 6pm that I was talking to one of the kidnappers above the </w:t>
      </w:r>
      <w:r w:rsidR="00533486">
        <w:rPr>
          <w:sz w:val="28"/>
        </w:rPr>
        <w:t>creek</w:t>
      </w:r>
      <w:r w:rsidRPr="00B669E5">
        <w:rPr>
          <w:sz w:val="28"/>
        </w:rPr>
        <w:t xml:space="preserve">. They boy was 18-20 years old. All of a sudden he attacked me with a dagger. I saved myself by ducking backward. That boy ran away. When I looked back I saw three plain clothed police. I thought I would be killed. Then behind these three men I saw police personnel in their uniform. Another </w:t>
      </w:r>
      <w:r w:rsidR="00D60681">
        <w:rPr>
          <w:sz w:val="28"/>
        </w:rPr>
        <w:t>kidnapper who was near the creek</w:t>
      </w:r>
      <w:r w:rsidRPr="00B669E5">
        <w:rPr>
          <w:sz w:val="28"/>
        </w:rPr>
        <w:t xml:space="preserve"> attacked a police with a knife (Khukuri). It was then the police fired shots. Had the police not fired shots, the hand of a police might have been chopped off. Apart from the initial gunshot sounds, I could hear nothing. The plain clothed policeman who led the team at </w:t>
      </w:r>
      <w:r w:rsidRPr="00B669E5">
        <w:rPr>
          <w:sz w:val="28"/>
          <w:lang w:val="en-US"/>
        </w:rPr>
        <w:t xml:space="preserve">that place was a bulky person with thick mustache. There were 15-16 policemen. Sub Inspector Gachhadar was also in the front. After that the police shouted asking who Bijay was. They asked 2-3 times yet I could not speak a word. My silence infuriated the police. One of the policemen shouted, “Tell me who is Bijay or I will shoot you.” Then I told him that I was the man they wanted to rescue.  Police brought me to the village after the incident. It frightens me when I recount the incident.” Bijay Kumar Sah was rescued by the police and cannot be trusted. He said one of the kidnappers with whom he was talking when the police reached the spot all of a sudden tried to attack him (Sah) with a knife after seeing the police. </w:t>
      </w:r>
      <w:r w:rsidRPr="00B669E5">
        <w:rPr>
          <w:sz w:val="28"/>
          <w:lang w:val="en-US"/>
        </w:rPr>
        <w:lastRenderedPageBreak/>
        <w:t xml:space="preserve">Why would a criminal attack a victim in such a situation without thinking of running from the spot or without attacking the police? Sah's testimony that the police fired shots at a kidnapper after he attacked the police with a knife is also unreliable. </w:t>
      </w:r>
    </w:p>
    <w:p w:rsidR="008C4466" w:rsidRPr="00B669E5" w:rsidRDefault="008C4466" w:rsidP="008C4466">
      <w:pPr>
        <w:spacing w:before="100" w:beforeAutospacing="1" w:after="100" w:afterAutospacing="1"/>
        <w:jc w:val="both"/>
        <w:rPr>
          <w:sz w:val="28"/>
          <w:lang w:val="en-US"/>
        </w:rPr>
      </w:pPr>
      <w:r w:rsidRPr="00B669E5">
        <w:rPr>
          <w:sz w:val="28"/>
        </w:rPr>
        <w:t xml:space="preserve">Acting Medical Superintendent of Siraha District Hospital Manisha did Sanjay Sah’s post-mortem. The post-mortem details were as follows: </w:t>
      </w:r>
    </w:p>
    <w:p w:rsidR="008C4466" w:rsidRPr="00B669E5" w:rsidRDefault="008C4466" w:rsidP="008C4466">
      <w:pPr>
        <w:spacing w:before="100" w:beforeAutospacing="1" w:after="100" w:afterAutospacing="1"/>
        <w:jc w:val="both"/>
        <w:rPr>
          <w:sz w:val="28"/>
          <w:lang w:val="en-US"/>
        </w:rPr>
      </w:pPr>
      <w:r w:rsidRPr="00B669E5">
        <w:rPr>
          <w:i/>
          <w:sz w:val="28"/>
        </w:rPr>
        <w:t>Height 5’6’’ 20 years, right orbital cavity executed out and empty. Medial part of orbital cavity being portal of entry. 0.3 cm hole on Left parietal region. Brain parenchyma extruding out through the parietal wound. Multiple abrasions and abrasions on the face and skin. Other entry point 0.3 cm on abdominal wall. 5</w:t>
      </w:r>
      <w:r w:rsidRPr="00B669E5">
        <w:rPr>
          <w:i/>
          <w:sz w:val="28"/>
          <w:vertAlign w:val="superscript"/>
        </w:rPr>
        <w:t>1</w:t>
      </w:r>
      <w:r w:rsidRPr="00B669E5">
        <w:rPr>
          <w:i/>
          <w:sz w:val="28"/>
        </w:rPr>
        <w:t>/</w:t>
      </w:r>
      <w:r w:rsidRPr="00B669E5">
        <w:rPr>
          <w:i/>
          <w:sz w:val="28"/>
          <w:vertAlign w:val="subscript"/>
        </w:rPr>
        <w:t xml:space="preserve">2 </w:t>
      </w:r>
      <w:r w:rsidRPr="00B669E5">
        <w:rPr>
          <w:i/>
          <w:sz w:val="28"/>
        </w:rPr>
        <w:t>inch above left mid ingonial region/ portion. 1</w:t>
      </w:r>
      <w:r w:rsidRPr="00B669E5">
        <w:rPr>
          <w:i/>
          <w:sz w:val="28"/>
          <w:vertAlign w:val="superscript"/>
        </w:rPr>
        <w:t>1</w:t>
      </w:r>
      <w:r w:rsidRPr="00B669E5">
        <w:rPr>
          <w:i/>
          <w:sz w:val="28"/>
        </w:rPr>
        <w:t>/</w:t>
      </w:r>
      <w:r w:rsidRPr="00B669E5">
        <w:rPr>
          <w:i/>
          <w:sz w:val="28"/>
          <w:vertAlign w:val="subscript"/>
        </w:rPr>
        <w:t>2</w:t>
      </w:r>
      <w:r w:rsidRPr="00B669E5">
        <w:rPr>
          <w:i/>
          <w:sz w:val="28"/>
        </w:rPr>
        <w:t xml:space="preserve"> inch whole in mid clavicular line. Intestinal content extruded out to the exit wound on anterior part. Frontal lobe of both hemisphere of parietal lobe is lacerated. Left hemisphere of brain possessing a lacerated. </w:t>
      </w:r>
    </w:p>
    <w:p w:rsidR="008C4466" w:rsidRPr="00B669E5" w:rsidRDefault="008C4466" w:rsidP="008C4466">
      <w:pPr>
        <w:spacing w:before="100" w:beforeAutospacing="1" w:after="100" w:afterAutospacing="1"/>
        <w:jc w:val="both"/>
        <w:rPr>
          <w:sz w:val="28"/>
          <w:lang w:val="en-US"/>
        </w:rPr>
      </w:pPr>
      <w:r w:rsidRPr="00B669E5">
        <w:rPr>
          <w:i/>
          <w:sz w:val="28"/>
        </w:rPr>
        <w:t xml:space="preserve">Internal organ: On opening of abdomen, intra peritoneal with bowel and omental rupture present. </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54" w:name="_Toc379980860"/>
      <w:bookmarkStart w:id="55" w:name="_Toc379983673"/>
      <w:r w:rsidRPr="002945A5">
        <w:rPr>
          <w:rFonts w:ascii="Times New Roman" w:hAnsi="Times New Roman"/>
          <w:sz w:val="28"/>
          <w:szCs w:val="24"/>
        </w:rPr>
        <w:t>Response by State:</w:t>
      </w:r>
      <w:bookmarkEnd w:id="54"/>
      <w:bookmarkEnd w:id="55"/>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color w:val="231F20"/>
          <w:sz w:val="28"/>
        </w:rPr>
      </w:pPr>
      <w:r w:rsidRPr="00B669E5">
        <w:rPr>
          <w:color w:val="231F20"/>
          <w:sz w:val="28"/>
        </w:rPr>
        <w:t xml:space="preserve">When contacted by THRD Alliance, SP Purna Chandra Joshi, District Police Office, Siraha said he was not there at that time. He told the investigators to call the next day. The next day Joshi said a case of involuntary manslaughter was filed and being investigated.  </w:t>
      </w:r>
    </w:p>
    <w:p w:rsidR="008C4466" w:rsidRPr="00B669E5" w:rsidRDefault="008C4466" w:rsidP="008C4466">
      <w:pPr>
        <w:spacing w:before="100" w:beforeAutospacing="1" w:after="100" w:afterAutospacing="1"/>
        <w:jc w:val="both"/>
        <w:rPr>
          <w:sz w:val="28"/>
          <w:lang w:val="en-US"/>
        </w:rPr>
      </w:pPr>
      <w:r w:rsidRPr="00B669E5">
        <w:rPr>
          <w:sz w:val="28"/>
        </w:rPr>
        <w:t>When the locals honoured the police for ‘their success and bravery’ Armed Police Force authorities did not attend the programme. This could indicate that the APF did not agree with what the Nepal Police did.</w:t>
      </w:r>
      <w:r w:rsidRPr="00B669E5">
        <w:rPr>
          <w:sz w:val="28"/>
          <w:lang w:val="en-US"/>
        </w:rPr>
        <w:t xml:space="preserve"> Inspector of Armed Police Force Dahal refused to receive vermillion powder, a sign of award for bravery and success. All other high officials of the Nepal Police were, however, present. </w:t>
      </w:r>
    </w:p>
    <w:p w:rsidR="008C4466" w:rsidRPr="00B669E5" w:rsidRDefault="008C4466" w:rsidP="008C4466">
      <w:pPr>
        <w:spacing w:before="100" w:beforeAutospacing="1" w:after="100" w:afterAutospacing="1"/>
        <w:jc w:val="both"/>
        <w:rPr>
          <w:sz w:val="28"/>
        </w:rPr>
      </w:pPr>
      <w:r w:rsidRPr="00B669E5">
        <w:rPr>
          <w:sz w:val="28"/>
        </w:rPr>
        <w:t xml:space="preserve">Ramod was killed in the same police operation as Sanjay Sah. </w:t>
      </w:r>
    </w:p>
    <w:p w:rsidR="008C4466" w:rsidRPr="00B669E5" w:rsidRDefault="008C4466" w:rsidP="008C4466">
      <w:pPr>
        <w:spacing w:before="100" w:beforeAutospacing="1" w:after="100" w:afterAutospacing="1"/>
        <w:jc w:val="both"/>
        <w:rPr>
          <w:sz w:val="28"/>
        </w:rPr>
      </w:pPr>
      <w:r w:rsidRPr="00B669E5">
        <w:rPr>
          <w:sz w:val="28"/>
        </w:rPr>
        <w:t>Ramod Singh's elder brother Raj Kumar Singh reported that he had been unaware of his brother’s activities but that he had recently said he was going to teach at a school in Golbazar. When he went to collect his brother’s body he saw one bullet wound in his brother's head and two bullet wounds in the chest.</w:t>
      </w:r>
    </w:p>
    <w:p w:rsidR="008C4466" w:rsidRPr="00B669E5" w:rsidRDefault="008C4466" w:rsidP="008C4466">
      <w:pPr>
        <w:autoSpaceDE w:val="0"/>
        <w:autoSpaceDN w:val="0"/>
        <w:adjustRightInd w:val="0"/>
        <w:spacing w:before="100" w:beforeAutospacing="1" w:after="100" w:afterAutospacing="1"/>
        <w:jc w:val="both"/>
        <w:rPr>
          <w:color w:val="231F20"/>
          <w:sz w:val="28"/>
        </w:rPr>
      </w:pPr>
      <w:r w:rsidRPr="00B669E5">
        <w:rPr>
          <w:color w:val="231F20"/>
          <w:sz w:val="28"/>
        </w:rPr>
        <w:lastRenderedPageBreak/>
        <w:t xml:space="preserve">District Chair of Unified CPN-Maoist Rajdev Sah who knew Ramod reported: “I was in Biratnagar when the incident happened. I heard that the police took them under control and then killed them. The other boys of that group were hiding in Jijhaul Kachnari VDC but there too they were </w:t>
      </w:r>
      <w:r w:rsidRPr="00B669E5">
        <w:rPr>
          <w:color w:val="231F20"/>
          <w:sz w:val="28"/>
          <w:lang w:val="en-US"/>
        </w:rPr>
        <w:t>indulging in kidnapping and extortion. I heard that one Thakur boy called his father and informed him about the kidnapping of Bijay Sah following which the father of that boy informed the police. The police took the boy to the incident site. According to locals the police cordoned off the gorge where Bijay Sah had been held captive and then killed his kidnappers. After this incident, there have not been any incidents of kidnapping and ransom demands. It is true that the police first took the boys under their control and then killed them. The other boys fled from the area.”</w:t>
      </w:r>
    </w:p>
    <w:p w:rsidR="008C4466" w:rsidRPr="00B669E5" w:rsidRDefault="008C4466" w:rsidP="008C4466">
      <w:pPr>
        <w:spacing w:before="100" w:beforeAutospacing="1" w:after="100" w:afterAutospacing="1"/>
        <w:rPr>
          <w:sz w:val="28"/>
        </w:rPr>
      </w:pPr>
      <w:r w:rsidRPr="00B669E5">
        <w:rPr>
          <w:sz w:val="28"/>
        </w:rPr>
        <w:t xml:space="preserve">The post-mortem details for Ramod Singh are as follows: </w:t>
      </w:r>
    </w:p>
    <w:p w:rsidR="008C4466" w:rsidRPr="00B669E5" w:rsidRDefault="008C4466" w:rsidP="008C4466">
      <w:pPr>
        <w:spacing w:before="100" w:beforeAutospacing="1" w:after="100" w:afterAutospacing="1"/>
        <w:jc w:val="both"/>
        <w:rPr>
          <w:sz w:val="28"/>
        </w:rPr>
      </w:pPr>
      <w:r w:rsidRPr="00B669E5">
        <w:rPr>
          <w:i/>
          <w:sz w:val="28"/>
        </w:rPr>
        <w:t>19 years, 5’5’’. Lacerated injury of 0.5 cm presented over the parietal region. Abrasion of 5 cm present over right forehead. 3 entry wound of the gun shot injury of 0.3 cm present on anterior chest wall. Entry present along medial of sternum below. 2</w:t>
      </w:r>
      <w:r w:rsidRPr="00B669E5">
        <w:rPr>
          <w:i/>
          <w:sz w:val="28"/>
          <w:vertAlign w:val="superscript"/>
        </w:rPr>
        <w:t>nd</w:t>
      </w:r>
      <w:r w:rsidRPr="00B669E5">
        <w:rPr>
          <w:i/>
          <w:sz w:val="28"/>
        </w:rPr>
        <w:t xml:space="preserve"> entry point present over nipple. 5</w:t>
      </w:r>
      <w:r w:rsidRPr="00B669E5">
        <w:rPr>
          <w:i/>
          <w:sz w:val="28"/>
          <w:vertAlign w:val="superscript"/>
        </w:rPr>
        <w:t>1/</w:t>
      </w:r>
      <w:r w:rsidRPr="00B669E5">
        <w:rPr>
          <w:i/>
          <w:sz w:val="28"/>
          <w:vertAlign w:val="subscript"/>
        </w:rPr>
        <w:t xml:space="preserve">2 </w:t>
      </w:r>
      <w:r w:rsidRPr="00B669E5">
        <w:rPr>
          <w:i/>
          <w:sz w:val="28"/>
        </w:rPr>
        <w:t xml:space="preserve">inch below clavical along anterior auxiliary line and 6’’ abrasion present on right chest wall. Internal: sternum fractured bone cage inside of right side and rib also fractured. Right lung’s parenchyma lacerated with thoracic cavity and full of blood. </w:t>
      </w:r>
      <w:r w:rsidRPr="00B669E5">
        <w:rPr>
          <w:sz w:val="28"/>
        </w:rPr>
        <w:t>Cause of Death is haemorrhage due to gunshot.</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56" w:name="_Toc379980861"/>
      <w:bookmarkStart w:id="57" w:name="_Toc379983674"/>
      <w:r w:rsidRPr="002945A5">
        <w:rPr>
          <w:rFonts w:ascii="Times New Roman" w:hAnsi="Times New Roman"/>
          <w:sz w:val="28"/>
          <w:szCs w:val="24"/>
        </w:rPr>
        <w:t>Analysis:</w:t>
      </w:r>
      <w:bookmarkEnd w:id="56"/>
      <w:bookmarkEnd w:id="57"/>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sz w:val="28"/>
        </w:rPr>
      </w:pPr>
      <w:r w:rsidRPr="00B669E5">
        <w:rPr>
          <w:sz w:val="28"/>
        </w:rPr>
        <w:t xml:space="preserve"> Sanjay Sah’s maternal uncle Rajesh Sah said while the post mortem report confirmed other injuries, it did not mention that his right leg was fractured and it also had a bullet injury. The fact that Sanjay Sah’s right leg was fractured seems to indicate that the police used excessive force against him. Bijay Sah said he only saw a dagger and a </w:t>
      </w:r>
      <w:r w:rsidRPr="00B669E5">
        <w:rPr>
          <w:i/>
          <w:sz w:val="28"/>
        </w:rPr>
        <w:t>khukuri</w:t>
      </w:r>
      <w:r w:rsidRPr="00B669E5">
        <w:rPr>
          <w:sz w:val="28"/>
        </w:rPr>
        <w:t xml:space="preserve"> (knife) with the kidnappers but police said they fired retaliatory shots after the kidnappers first fired on them. One can accept the version that one police fired shots when one of the kidnappers attacked a plain clothed police with a dagger but the fact that the police fired shots  on the head, eye, chest and abdomen suggests that they used excessive force against the two persons. If Sanjay Sah had attacked the police as claimed, there was no reason for the police to fire shots at Ramod Singh. Both Sanjay and Ramod were killed in the alleged encounter.  On the bodies of both victims, bullet injuries were found above the waistline. According to locals, the team of Armed Police Force had entered the forest before sunset and the team of Nepal Police had entered the area after sunset. </w:t>
      </w:r>
    </w:p>
    <w:p w:rsidR="008C4466" w:rsidRPr="00B669E5" w:rsidRDefault="008C4466" w:rsidP="008C4466">
      <w:pPr>
        <w:spacing w:before="100" w:beforeAutospacing="1" w:after="100" w:afterAutospacing="1"/>
        <w:jc w:val="both"/>
        <w:rPr>
          <w:sz w:val="28"/>
        </w:rPr>
      </w:pPr>
      <w:r w:rsidRPr="00B669E5">
        <w:rPr>
          <w:sz w:val="28"/>
        </w:rPr>
        <w:lastRenderedPageBreak/>
        <w:t xml:space="preserve">The post-mortem report reveals that Ramod received three bullet injuries in his chest. He also suffered fracture injuries in the right side of his chest. His lung was also badly damaged. These injuries indicate that Ramod was beaten and tortured by the police before he was shot dead. Kidnapping victim Bijay Sah said he only saw dagger and Khukuri (knife) with his kidnappers but the police said they fired shots when the kidnappers first fired shots at them. </w:t>
      </w:r>
    </w:p>
    <w:p w:rsidR="008C4466" w:rsidRPr="002945A5" w:rsidRDefault="008C4466" w:rsidP="008C4466">
      <w:pPr>
        <w:pStyle w:val="Heading1"/>
        <w:spacing w:before="100" w:beforeAutospacing="1" w:after="100" w:afterAutospacing="1"/>
        <w:rPr>
          <w:rFonts w:ascii="Times New Roman" w:hAnsi="Times New Roman"/>
          <w:sz w:val="28"/>
          <w:szCs w:val="24"/>
          <w:lang w:val="en-US"/>
        </w:rPr>
      </w:pPr>
      <w:bookmarkStart w:id="58" w:name="_Toc379980862"/>
      <w:bookmarkStart w:id="59" w:name="_Toc379983675"/>
      <w:r w:rsidRPr="002945A5">
        <w:rPr>
          <w:rFonts w:ascii="Times New Roman" w:hAnsi="Times New Roman"/>
          <w:sz w:val="28"/>
          <w:szCs w:val="24"/>
          <w:lang w:val="en-US"/>
        </w:rPr>
        <w:t>Conclusion:</w:t>
      </w:r>
      <w:bookmarkEnd w:id="58"/>
      <w:bookmarkEnd w:id="59"/>
      <w:r w:rsidRPr="002945A5">
        <w:rPr>
          <w:rFonts w:ascii="Times New Roman" w:hAnsi="Times New Roman"/>
          <w:sz w:val="28"/>
          <w:szCs w:val="24"/>
          <w:lang w:val="en-US"/>
        </w:rPr>
        <w:t xml:space="preserve"> </w:t>
      </w:r>
    </w:p>
    <w:p w:rsidR="008C4466" w:rsidRPr="00B669E5" w:rsidRDefault="008C4466" w:rsidP="008C4466">
      <w:pPr>
        <w:spacing w:before="100" w:beforeAutospacing="1" w:after="100" w:afterAutospacing="1"/>
        <w:jc w:val="both"/>
        <w:rPr>
          <w:sz w:val="28"/>
          <w:lang w:val="en-US"/>
        </w:rPr>
      </w:pPr>
      <w:r w:rsidRPr="00B669E5">
        <w:rPr>
          <w:sz w:val="28"/>
          <w:lang w:val="en-US"/>
        </w:rPr>
        <w:t xml:space="preserve">A human rights activist who worked for a national human rights organization at the time of the incident said on condition of anonymity: </w:t>
      </w:r>
    </w:p>
    <w:p w:rsidR="008C4466" w:rsidRPr="00B669E5" w:rsidRDefault="008C4466" w:rsidP="008C4466">
      <w:pPr>
        <w:spacing w:before="100" w:beforeAutospacing="1" w:after="100" w:afterAutospacing="1"/>
        <w:jc w:val="both"/>
        <w:rPr>
          <w:sz w:val="28"/>
          <w:lang w:val="en-US"/>
        </w:rPr>
      </w:pPr>
      <w:r w:rsidRPr="00B669E5">
        <w:rPr>
          <w:sz w:val="28"/>
          <w:lang w:val="en-US"/>
        </w:rPr>
        <w:t xml:space="preserve">“I heard that the police used excessive force against the kidnappers. Villagers had no sympathy for those who were killed by the police. We wanted to investigate the incident but could not do so because we feared reprisal from the villagers. Other human rights activists based in Siraha said the same thing. They said they did not investigate the case because locals were satisfied with the police’s action and did not want anybody to raise the issue. Local journalists said they knew that some facts were kept under wrap but they did not investigate the matter keeping in mind the hostile situation that existed in the area.” </w:t>
      </w:r>
    </w:p>
    <w:p w:rsidR="008C4466" w:rsidRPr="00B669E5" w:rsidRDefault="008C4466" w:rsidP="008C4466">
      <w:pPr>
        <w:spacing w:before="100" w:beforeAutospacing="1" w:after="100" w:afterAutospacing="1"/>
        <w:jc w:val="both"/>
        <w:rPr>
          <w:sz w:val="28"/>
        </w:rPr>
      </w:pPr>
      <w:r w:rsidRPr="00B669E5">
        <w:rPr>
          <w:sz w:val="28"/>
        </w:rPr>
        <w:t>Local human rights organisations and media persons could not independently investigate this incident due to local’s overwhelming support for the police action. Human rights organisations and media persons did not investigate the case, as they feared a public backlash.</w:t>
      </w:r>
    </w:p>
    <w:p w:rsidR="008C4466" w:rsidRPr="00B669E5" w:rsidRDefault="008C4466" w:rsidP="008C4466">
      <w:pPr>
        <w:spacing w:before="100" w:beforeAutospacing="1" w:after="100" w:afterAutospacing="1"/>
        <w:rPr>
          <w:sz w:val="28"/>
        </w:rPr>
      </w:pPr>
    </w:p>
    <w:p w:rsidR="008C4466" w:rsidRPr="00B669E5" w:rsidRDefault="008C4466" w:rsidP="008C4466">
      <w:pPr>
        <w:pStyle w:val="Title"/>
        <w:numPr>
          <w:ilvl w:val="0"/>
          <w:numId w:val="4"/>
        </w:numPr>
        <w:pBdr>
          <w:top w:val="single" w:sz="8" w:space="1" w:color="4D4D4D"/>
        </w:pBdr>
        <w:spacing w:before="100" w:beforeAutospacing="1" w:after="100" w:afterAutospacing="1"/>
        <w:contextualSpacing w:val="0"/>
        <w:jc w:val="right"/>
        <w:rPr>
          <w:b/>
          <w:sz w:val="28"/>
          <w:szCs w:val="24"/>
        </w:rPr>
      </w:pPr>
      <w:r w:rsidRPr="00B669E5">
        <w:rPr>
          <w:b/>
          <w:sz w:val="28"/>
          <w:szCs w:val="24"/>
        </w:rPr>
        <w:t>Hareshiv Yadav,”Encounter Killing”</w:t>
      </w:r>
    </w:p>
    <w:p w:rsidR="008C4466" w:rsidRPr="00B669E5" w:rsidRDefault="008C4466" w:rsidP="008C4466">
      <w:pPr>
        <w:tabs>
          <w:tab w:val="left" w:pos="2622"/>
        </w:tabs>
        <w:spacing w:before="100" w:beforeAutospacing="1" w:after="100" w:afterAutospacing="1"/>
        <w:rPr>
          <w:sz w:val="28"/>
        </w:rPr>
      </w:pPr>
      <w:r w:rsidRPr="00B669E5">
        <w:rPr>
          <w:sz w:val="28"/>
        </w:rPr>
        <w:t>Details of victim: Hareshiv Yadav of Tarapatti Sirsiya VDC-Ward No-1, Dhanusha</w:t>
      </w:r>
    </w:p>
    <w:p w:rsidR="008C4466" w:rsidRPr="00B669E5" w:rsidRDefault="008C4466" w:rsidP="008C4466">
      <w:pPr>
        <w:tabs>
          <w:tab w:val="left" w:pos="2622"/>
        </w:tabs>
        <w:spacing w:before="100" w:beforeAutospacing="1" w:after="100" w:afterAutospacing="1"/>
        <w:rPr>
          <w:sz w:val="28"/>
        </w:rPr>
      </w:pPr>
      <w:r w:rsidRPr="00B669E5">
        <w:rPr>
          <w:sz w:val="28"/>
        </w:rPr>
        <w:t xml:space="preserve">Date of incident:  9pm on July 21, 2012 </w:t>
      </w:r>
    </w:p>
    <w:p w:rsidR="008C4466" w:rsidRPr="00B669E5" w:rsidRDefault="008C4466" w:rsidP="008C4466">
      <w:pPr>
        <w:tabs>
          <w:tab w:val="left" w:pos="2622"/>
        </w:tabs>
        <w:spacing w:before="100" w:beforeAutospacing="1" w:after="100" w:afterAutospacing="1"/>
        <w:rPr>
          <w:sz w:val="28"/>
        </w:rPr>
      </w:pPr>
      <w:r w:rsidRPr="00B669E5">
        <w:rPr>
          <w:sz w:val="28"/>
        </w:rPr>
        <w:t xml:space="preserve">Location: Dhanusha District, Duhabi VDC Ward-5, Rajdevi Temple. </w:t>
      </w:r>
    </w:p>
    <w:p w:rsidR="008C4466" w:rsidRPr="00B669E5" w:rsidRDefault="008C4466" w:rsidP="008C4466">
      <w:pPr>
        <w:tabs>
          <w:tab w:val="left" w:pos="2622"/>
        </w:tabs>
        <w:spacing w:before="100" w:beforeAutospacing="1" w:after="100" w:afterAutospacing="1"/>
        <w:jc w:val="both"/>
        <w:rPr>
          <w:sz w:val="28"/>
        </w:rPr>
      </w:pPr>
      <w:r w:rsidRPr="00B669E5">
        <w:rPr>
          <w:sz w:val="28"/>
        </w:rPr>
        <w:t>Suspected perpetrators: A police team led by Sub Inspector Ayodhya Sharan Yadav of Area Police Office, Aurahi, Dhanusha</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60" w:name="_Toc379980863"/>
      <w:bookmarkStart w:id="61" w:name="_Toc379983676"/>
      <w:r w:rsidRPr="002945A5">
        <w:rPr>
          <w:rFonts w:ascii="Times New Roman" w:hAnsi="Times New Roman"/>
          <w:sz w:val="28"/>
          <w:szCs w:val="24"/>
        </w:rPr>
        <w:lastRenderedPageBreak/>
        <w:t>Case Details:</w:t>
      </w:r>
      <w:bookmarkEnd w:id="60"/>
      <w:bookmarkEnd w:id="61"/>
      <w:r w:rsidRPr="002945A5">
        <w:rPr>
          <w:rFonts w:ascii="Times New Roman" w:hAnsi="Times New Roman"/>
          <w:sz w:val="28"/>
          <w:szCs w:val="24"/>
        </w:rPr>
        <w:t xml:space="preserve"> </w:t>
      </w:r>
    </w:p>
    <w:p w:rsidR="008C4466" w:rsidRPr="00B669E5" w:rsidRDefault="008C4466" w:rsidP="008C4466">
      <w:pPr>
        <w:tabs>
          <w:tab w:val="left" w:pos="2622"/>
        </w:tabs>
        <w:spacing w:before="100" w:beforeAutospacing="1" w:after="100" w:afterAutospacing="1"/>
        <w:jc w:val="both"/>
        <w:rPr>
          <w:sz w:val="28"/>
        </w:rPr>
      </w:pPr>
      <w:r w:rsidRPr="00B669E5">
        <w:rPr>
          <w:sz w:val="28"/>
        </w:rPr>
        <w:t>On July 22, 2012, the media (print and radio) reported that a dacoit</w:t>
      </w:r>
      <w:r w:rsidRPr="00B669E5">
        <w:rPr>
          <w:rStyle w:val="FootnoteReference"/>
          <w:sz w:val="28"/>
        </w:rPr>
        <w:footnoteReference w:id="82"/>
      </w:r>
      <w:r w:rsidRPr="00B669E5">
        <w:rPr>
          <w:sz w:val="28"/>
        </w:rPr>
        <w:t xml:space="preserve"> was killed during an encounter with the police the previous day. According to the reports a police team patrolling Duhabi VDC-5 returned fire in self-defence after being fired upon by a group of dacoits. </w:t>
      </w:r>
    </w:p>
    <w:p w:rsidR="008C4466" w:rsidRPr="00B669E5" w:rsidRDefault="008C4466" w:rsidP="008C4466">
      <w:pPr>
        <w:tabs>
          <w:tab w:val="left" w:pos="2622"/>
        </w:tabs>
        <w:spacing w:before="100" w:beforeAutospacing="1" w:after="100" w:afterAutospacing="1"/>
        <w:jc w:val="both"/>
        <w:rPr>
          <w:sz w:val="28"/>
        </w:rPr>
      </w:pPr>
      <w:r w:rsidRPr="00B669E5">
        <w:rPr>
          <w:sz w:val="28"/>
        </w:rPr>
        <w:t>News reports published on July 23, said that the killing of Hareshiv Yadav a resident of Tarapatti Sirsiya VDC-1 who was suspected of killing Suresh Yadav, Manager of Nepal Railway on May 19, 2012</w:t>
      </w:r>
      <w:r w:rsidRPr="00B669E5">
        <w:rPr>
          <w:rStyle w:val="FootnoteReference"/>
          <w:sz w:val="28"/>
        </w:rPr>
        <w:footnoteReference w:id="83"/>
      </w:r>
      <w:r w:rsidRPr="00B669E5">
        <w:rPr>
          <w:sz w:val="28"/>
        </w:rPr>
        <w:t xml:space="preserve">, was mysterious. </w:t>
      </w:r>
    </w:p>
    <w:p w:rsidR="008C4466" w:rsidRPr="00B669E5" w:rsidRDefault="008C4466" w:rsidP="008C4466">
      <w:pPr>
        <w:tabs>
          <w:tab w:val="left" w:pos="2622"/>
        </w:tabs>
        <w:spacing w:before="100" w:beforeAutospacing="1" w:after="100" w:afterAutospacing="1"/>
        <w:jc w:val="both"/>
        <w:rPr>
          <w:sz w:val="28"/>
        </w:rPr>
      </w:pPr>
      <w:r w:rsidRPr="00B669E5">
        <w:rPr>
          <w:sz w:val="28"/>
        </w:rPr>
        <w:t>When the District Police Office Dhanusha was contacted, it responded that one person was killed at that location when a police team from Aurahi, Dhanusha deployed under the command of Sub Inspector Ayodhya Sharan Yadav fired five shots in self-defence at around 10.30pm near the road of Duhabi VDC-5. The District Police Office said the police team returned fire when armed dacoits fired upon the police. The police confirmed that the body was that of Hareshiv Yadav. District Police Office Dhanusha has said that Hareshiv Yadav was suspected in the killings of Suresh Yadav, (former General Manager of Nepal Railway). District Police Office Dhanusha also said that Hareshiv was associated with Janatantrik Terai Mukti Morcha, Samajwadi, an armed group.</w:t>
      </w:r>
    </w:p>
    <w:p w:rsidR="008C4466" w:rsidRPr="00B669E5" w:rsidRDefault="008C4466" w:rsidP="008C4466">
      <w:pPr>
        <w:spacing w:before="100" w:beforeAutospacing="1" w:after="100" w:afterAutospacing="1"/>
        <w:jc w:val="both"/>
        <w:rPr>
          <w:sz w:val="28"/>
        </w:rPr>
      </w:pPr>
      <w:r w:rsidRPr="00B669E5">
        <w:rPr>
          <w:sz w:val="28"/>
        </w:rPr>
        <w:t>The Police said they recovered one homemade pistol, one magazine, two bullets, three SIM cards, INRs 2000 and NRs 1000 from the incident site.</w:t>
      </w:r>
    </w:p>
    <w:p w:rsidR="008C4466" w:rsidRPr="00B669E5" w:rsidRDefault="008C4466" w:rsidP="008C4466">
      <w:pPr>
        <w:spacing w:before="100" w:beforeAutospacing="1" w:after="100" w:afterAutospacing="1"/>
        <w:jc w:val="both"/>
        <w:rPr>
          <w:sz w:val="28"/>
        </w:rPr>
      </w:pPr>
      <w:r w:rsidRPr="00B669E5">
        <w:rPr>
          <w:sz w:val="28"/>
        </w:rPr>
        <w:t>Hareshiv's father Mahendra Yadav (now deceased) stated that he believed the killing of his son was linked to a family feud with Suresh Yadav who allegedly encroached on public land leading to him being in conflict with villagers, who filed a case against him. He believes that the SP Dinesh Amatya came under Suresh’s influence and harassed both his sons, repeatedly conducting search and seizure operations. Furthermore he reported that when Suresh was killed, his family was given four million rupees by the government. They used that money to erect a wall on the disputed land. After Suresh Yadav was killed, a team of police under the command of a havildar (Head constable) were deployed round the clock at Suresh's house. Police personnel and Naresh Yadav’s</w:t>
      </w:r>
      <w:r w:rsidRPr="00B669E5">
        <w:rPr>
          <w:rStyle w:val="FootnoteReference"/>
          <w:sz w:val="28"/>
        </w:rPr>
        <w:footnoteReference w:id="84"/>
      </w:r>
      <w:r w:rsidRPr="00B669E5">
        <w:rPr>
          <w:sz w:val="28"/>
        </w:rPr>
        <w:t xml:space="preserve"> son, Krishna Yadav, threatened and harassed the wives of the men suspected of killing Suresh Yadav.  Suresh's brother, </w:t>
      </w:r>
      <w:r w:rsidRPr="00B669E5">
        <w:rPr>
          <w:sz w:val="28"/>
        </w:rPr>
        <w:lastRenderedPageBreak/>
        <w:t>son and nephews with the support of the police go to the suspects’ houses at night and vandalize their houses. They have threated the village’s women with violence and with filing false criminal cases against them. He believed that Hareshiv was captured and then killed. He believed that the police in India where he was hiding entrapped Hareshiv. The victim's family said Hareshiv was entrapped by one of his friends who got him arrested by Nepal police. He was killed within 24 hours from the time he was out of touch with his family. The victim's family alleged that he was arrested and then shot dead.</w:t>
      </w:r>
    </w:p>
    <w:p w:rsidR="008C4466" w:rsidRPr="00B669E5" w:rsidRDefault="008C4466" w:rsidP="008C4466">
      <w:pPr>
        <w:spacing w:before="100" w:beforeAutospacing="1" w:after="100" w:afterAutospacing="1"/>
        <w:jc w:val="both"/>
        <w:rPr>
          <w:sz w:val="28"/>
        </w:rPr>
      </w:pPr>
      <w:r w:rsidRPr="00B669E5">
        <w:rPr>
          <w:sz w:val="28"/>
        </w:rPr>
        <w:t xml:space="preserve">Shail Devi (wife of Hareshiv Yadav) reported police harassment following her husband’s death. She was arrested in March 2012, and when her brother-in-law came to the police station he was arrested.  She was not allowed to see her husband’s body before his last rites were carried out. And that night she was too scared to leave the house to go to the pharmacy despite being taken ill. The police have been terrorizing the villagers saying if they sympathised with the victim’s family they could be considered accomplices of a criminal and could be punished for it. She also reported hearing that Suresh Yadav’s son spent 2.5 million Rupees to kill Hareshiv. </w:t>
      </w:r>
    </w:p>
    <w:p w:rsidR="008C4466" w:rsidRPr="00B669E5" w:rsidRDefault="008C4466" w:rsidP="008C4466">
      <w:pPr>
        <w:spacing w:before="100" w:beforeAutospacing="1" w:after="100" w:afterAutospacing="1"/>
        <w:jc w:val="both"/>
        <w:rPr>
          <w:sz w:val="28"/>
        </w:rPr>
      </w:pPr>
      <w:r w:rsidRPr="00B669E5">
        <w:rPr>
          <w:sz w:val="28"/>
        </w:rPr>
        <w:t xml:space="preserve">She is left widowed with three daughters and a son, aged 16 to 4. Her brother-in-law has been accused of murder and fled the country. </w:t>
      </w:r>
    </w:p>
    <w:p w:rsidR="008C4466" w:rsidRPr="00B669E5" w:rsidRDefault="008C4466" w:rsidP="008C4466">
      <w:pPr>
        <w:spacing w:before="100" w:beforeAutospacing="1" w:after="100" w:afterAutospacing="1"/>
        <w:jc w:val="both"/>
        <w:rPr>
          <w:sz w:val="28"/>
        </w:rPr>
      </w:pPr>
      <w:r w:rsidRPr="00B669E5">
        <w:rPr>
          <w:sz w:val="28"/>
        </w:rPr>
        <w:t xml:space="preserve">Sanjogiya Devi Yadav (Hareshiv's mother) in an interview with human rights activists investigating the case including THRD members recalled the events as follows: </w:t>
      </w:r>
    </w:p>
    <w:p w:rsidR="008C4466" w:rsidRPr="00B669E5" w:rsidRDefault="008C4466" w:rsidP="008C4466">
      <w:pPr>
        <w:spacing w:before="100" w:beforeAutospacing="1" w:after="100" w:afterAutospacing="1"/>
        <w:jc w:val="both"/>
        <w:rPr>
          <w:sz w:val="28"/>
        </w:rPr>
      </w:pPr>
      <w:r w:rsidRPr="00B669E5">
        <w:rPr>
          <w:sz w:val="28"/>
        </w:rPr>
        <w:t xml:space="preserve">“In-charge of the Hospital Sudhir Yadav said the dead body was brought to the hospital at around 2 am on July 22. Gunshot wounds on Hareshiv's body were analysed. The right side of Hareshiv's chest had sustained a bullet wound, which indicated that the bullet was fired from the front. The bullet pierced through the chest and the bullet wound on the backside of the body was found above 10 inch on the right side of the chest. Three bullet holes were also found bellow the armpit on the left side of the chest. </w:t>
      </w:r>
    </w:p>
    <w:p w:rsidR="008C4466" w:rsidRPr="00B669E5" w:rsidRDefault="008C4466" w:rsidP="008C4466">
      <w:pPr>
        <w:pStyle w:val="Title"/>
        <w:numPr>
          <w:ilvl w:val="0"/>
          <w:numId w:val="4"/>
        </w:numPr>
        <w:pBdr>
          <w:top w:val="single" w:sz="8" w:space="1" w:color="4D4D4D"/>
        </w:pBdr>
        <w:spacing w:before="100" w:beforeAutospacing="1" w:after="100" w:afterAutospacing="1"/>
        <w:contextualSpacing w:val="0"/>
        <w:jc w:val="right"/>
        <w:rPr>
          <w:b/>
          <w:sz w:val="28"/>
          <w:szCs w:val="24"/>
        </w:rPr>
      </w:pPr>
      <w:r w:rsidRPr="00B669E5">
        <w:rPr>
          <w:b/>
          <w:sz w:val="28"/>
          <w:szCs w:val="24"/>
        </w:rPr>
        <w:t>Jay Narayan Paswan aka Barood Tyagi, “encounter killing”</w:t>
      </w:r>
    </w:p>
    <w:p w:rsidR="008C4466" w:rsidRPr="00B669E5" w:rsidRDefault="008C4466" w:rsidP="008C4466">
      <w:pPr>
        <w:spacing w:before="100" w:beforeAutospacing="1" w:after="100" w:afterAutospacing="1"/>
        <w:rPr>
          <w:sz w:val="28"/>
        </w:rPr>
      </w:pPr>
      <w:r w:rsidRPr="00B669E5">
        <w:rPr>
          <w:sz w:val="28"/>
        </w:rPr>
        <w:t>Details of victim: Jay Narayan Paswan, a 20-22 year-old resident of Bichala Tol, Paroul VDC, Mahottari District</w:t>
      </w:r>
    </w:p>
    <w:p w:rsidR="008C4466" w:rsidRPr="00B669E5" w:rsidRDefault="008C4466" w:rsidP="008C4466">
      <w:pPr>
        <w:spacing w:before="100" w:beforeAutospacing="1" w:after="100" w:afterAutospacing="1"/>
        <w:rPr>
          <w:sz w:val="28"/>
        </w:rPr>
      </w:pPr>
      <w:r w:rsidRPr="00B669E5">
        <w:rPr>
          <w:sz w:val="28"/>
        </w:rPr>
        <w:t>Date of incident: August 11, 2012, 3pm</w:t>
      </w:r>
    </w:p>
    <w:p w:rsidR="008C4466" w:rsidRPr="00B669E5" w:rsidRDefault="008C4466" w:rsidP="008C4466">
      <w:pPr>
        <w:spacing w:before="100" w:beforeAutospacing="1" w:after="100" w:afterAutospacing="1"/>
        <w:jc w:val="both"/>
        <w:rPr>
          <w:sz w:val="28"/>
        </w:rPr>
      </w:pPr>
      <w:r w:rsidRPr="00B669E5">
        <w:rPr>
          <w:sz w:val="28"/>
        </w:rPr>
        <w:lastRenderedPageBreak/>
        <w:t>Location: In the east of Jangaha Bridge that lies between Ekdara Bela VDC and Manara-Katti in Mahottari district</w:t>
      </w:r>
    </w:p>
    <w:p w:rsidR="008C4466" w:rsidRPr="00B669E5" w:rsidRDefault="008C4466" w:rsidP="008C4466">
      <w:pPr>
        <w:spacing w:before="100" w:beforeAutospacing="1" w:after="100" w:afterAutospacing="1"/>
        <w:jc w:val="both"/>
        <w:rPr>
          <w:sz w:val="28"/>
        </w:rPr>
      </w:pPr>
      <w:r w:rsidRPr="00B669E5">
        <w:rPr>
          <w:iCs/>
          <w:sz w:val="28"/>
        </w:rPr>
        <w:t xml:space="preserve">Suspected perpetrator(s): </w:t>
      </w:r>
      <w:r w:rsidRPr="00B669E5">
        <w:rPr>
          <w:i/>
          <w:iCs/>
          <w:sz w:val="28"/>
        </w:rPr>
        <w:t xml:space="preserve">Ghumuwa </w:t>
      </w:r>
      <w:r w:rsidRPr="00B669E5">
        <w:rPr>
          <w:sz w:val="28"/>
        </w:rPr>
        <w:t>policemen Bachchu Yadav and Sanjiv Singh of District Police Office of Mahottari</w:t>
      </w:r>
      <w:r w:rsidRPr="00B669E5">
        <w:rPr>
          <w:rStyle w:val="FootnoteReference"/>
          <w:sz w:val="28"/>
        </w:rPr>
        <w:footnoteReference w:id="85"/>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62" w:name="_Toc379980864"/>
      <w:bookmarkStart w:id="63" w:name="_Toc379983677"/>
      <w:r w:rsidRPr="002945A5">
        <w:rPr>
          <w:rFonts w:ascii="Times New Roman" w:hAnsi="Times New Roman"/>
          <w:sz w:val="28"/>
          <w:szCs w:val="24"/>
        </w:rPr>
        <w:t>Case Details:</w:t>
      </w:r>
      <w:bookmarkEnd w:id="62"/>
      <w:bookmarkEnd w:id="63"/>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sz w:val="28"/>
        </w:rPr>
      </w:pPr>
      <w:r w:rsidRPr="00B669E5">
        <w:rPr>
          <w:sz w:val="28"/>
        </w:rPr>
        <w:t xml:space="preserve">On 11 August 2012, at approximately 2pm, 22-year-old Jay Narayan Paswan, aka Barood Tyagi was shot and killed by armed police. He was allegedly running an underground armed group called the Terai Mukti Morcha (Tyagi Group) in Mahottari, Dhanusha and Sarlahi.  </w:t>
      </w:r>
    </w:p>
    <w:p w:rsidR="008C4466" w:rsidRPr="00B669E5" w:rsidRDefault="008C4466" w:rsidP="008C4466">
      <w:pPr>
        <w:spacing w:before="100" w:beforeAutospacing="1" w:after="100" w:afterAutospacing="1"/>
        <w:jc w:val="both"/>
        <w:rPr>
          <w:sz w:val="28"/>
        </w:rPr>
      </w:pPr>
      <w:r w:rsidRPr="00B669E5">
        <w:rPr>
          <w:sz w:val="28"/>
        </w:rPr>
        <w:t xml:space="preserve">According to the Mahottari District Police Office, a team of policemen in plain clothes deployed from the Crime Branch of the District Police Office saw three men, all on the same Discover motorcycle (number Ja. 4 P. 6956) travelling from Bela Machhkapaini, India.  The police requested that they stop, as their activities were suspicious. The suspects fired on the police instead of complying. According to police, Jay Narayan Paswan was hit with six bullets when police fired in retaliation. The other two suspects escaped. The DPO Mahottari refused to provide information about the weapons that the police used in the incident. According to the DPO, two policemen were also injured in the crossfire. However, they refused to provide information about them or the place where they were receiving medical treatment. </w:t>
      </w:r>
    </w:p>
    <w:p w:rsidR="008C4466" w:rsidRPr="00B669E5" w:rsidRDefault="008C4466" w:rsidP="008C4466">
      <w:pPr>
        <w:spacing w:before="100" w:beforeAutospacing="1" w:after="100" w:afterAutospacing="1"/>
        <w:jc w:val="both"/>
        <w:rPr>
          <w:sz w:val="28"/>
        </w:rPr>
      </w:pPr>
      <w:r w:rsidRPr="00B669E5">
        <w:rPr>
          <w:sz w:val="28"/>
        </w:rPr>
        <w:t xml:space="preserve">This statement contradicts that provided by the in-charge of the Police Station, Assistant Sub Inspector (ASI) Ashok Kumar Singh. ASI Ashok reported that seven personnel including him were deployed at Manara and Sandha VDCs, which are under his charge. When asked about the incident, he claimed to have no information about it and said all his officers were at the station at the time of the shooting. He reported that on August 11, 2012 he was informed by the Armed Police Force based at Ekdara that there was a man who had been shot on the road near Ekdara. Upon arrival at the location he found the victim dead on the ground and an APF group consisting of a police inspector and several constables. No members of the Nepal Police were present. He reported that one </w:t>
      </w:r>
      <w:r w:rsidRPr="00B669E5">
        <w:rPr>
          <w:i/>
          <w:sz w:val="28"/>
        </w:rPr>
        <w:t>katuwa</w:t>
      </w:r>
      <w:r w:rsidRPr="00B669E5">
        <w:rPr>
          <w:sz w:val="28"/>
        </w:rPr>
        <w:t xml:space="preserve"> pistol (homemade pistol), one bullet, one bullet magazine, one 10 rupees note of Indian currency, one red glass and one colourful handkerchief of large size were recovered from the decease</w:t>
      </w:r>
      <w:r w:rsidR="00FD58A5">
        <w:rPr>
          <w:sz w:val="28"/>
        </w:rPr>
        <w:t>d. He seemed to have been shot five</w:t>
      </w:r>
      <w:r w:rsidRPr="00B669E5">
        <w:rPr>
          <w:sz w:val="28"/>
        </w:rPr>
        <w:t xml:space="preserve"> to </w:t>
      </w:r>
      <w:r w:rsidR="00FD58A5">
        <w:rPr>
          <w:sz w:val="28"/>
        </w:rPr>
        <w:t>six</w:t>
      </w:r>
      <w:r w:rsidRPr="00B669E5">
        <w:rPr>
          <w:sz w:val="28"/>
        </w:rPr>
        <w:t xml:space="preserve"> times. Bullet magazines were seen scattered within three meters of the dead body. Bullets seem </w:t>
      </w:r>
      <w:r w:rsidRPr="00B669E5">
        <w:rPr>
          <w:sz w:val="28"/>
        </w:rPr>
        <w:lastRenderedPageBreak/>
        <w:t xml:space="preserve">to have been fired from short range. He claimed to not have been informed as to who was involved in the encounter.  </w:t>
      </w:r>
    </w:p>
    <w:p w:rsidR="008C4466" w:rsidRPr="00B669E5" w:rsidRDefault="008C4466" w:rsidP="008C4466">
      <w:pPr>
        <w:spacing w:before="100" w:beforeAutospacing="1" w:after="100" w:afterAutospacing="1"/>
        <w:jc w:val="both"/>
        <w:rPr>
          <w:sz w:val="28"/>
        </w:rPr>
      </w:pPr>
      <w:r w:rsidRPr="00B669E5">
        <w:rPr>
          <w:sz w:val="28"/>
        </w:rPr>
        <w:t xml:space="preserve">However this report does not correspond with what local residents report. </w:t>
      </w:r>
    </w:p>
    <w:p w:rsidR="008C4466" w:rsidRPr="00B669E5" w:rsidRDefault="008C4466" w:rsidP="008C4466">
      <w:pPr>
        <w:spacing w:before="100" w:beforeAutospacing="1" w:after="100" w:afterAutospacing="1"/>
        <w:jc w:val="both"/>
        <w:rPr>
          <w:sz w:val="28"/>
        </w:rPr>
      </w:pPr>
      <w:r w:rsidRPr="00B669E5">
        <w:rPr>
          <w:sz w:val="28"/>
        </w:rPr>
        <w:t xml:space="preserve">A resident of Manara VDC-7,  Ramesh (Name changed)is one among many who witnessed Jay Narayan Paswan's arrest in front of the Manara VDC Office at the crossroad.  other two persons of Manara VDC-1, also said they had witnessed Paswan's arrest at the crossroad. Ramesh (Name changed) reported seeing three men (civilians) fighting with four men (policemen in civilian clothes identified by their haircuts) at the cross road at around 2pm. One of the civilians escaped, the other two were arrested and searched. He then heard one of the policemen saying that the “main target” was under control. The two prisoners were kept on two bikes with a policeman behind each one. One of the prisoners managed to escape, and the police were unable to catch him. The escaped prisoner later returned to the crossroad. He looked scared and refused to say more than that he lived in Maithan. Ramesh (Name changed) later heard that someone had been killed on the way to Ekdara, but does not know if it was the man he witnessed being arrested. </w:t>
      </w:r>
    </w:p>
    <w:p w:rsidR="008C4466" w:rsidRPr="00B669E5" w:rsidRDefault="008C4466" w:rsidP="008C4466">
      <w:pPr>
        <w:spacing w:before="100" w:beforeAutospacing="1" w:after="100" w:afterAutospacing="1"/>
        <w:jc w:val="both"/>
        <w:rPr>
          <w:sz w:val="28"/>
        </w:rPr>
      </w:pPr>
      <w:r w:rsidRPr="00B669E5">
        <w:rPr>
          <w:sz w:val="28"/>
        </w:rPr>
        <w:t>Some locals of Ekdara Bela VDC-8 including the ex-VDC chairperson reported a different part of the story. While sitting at the crossroad on August 11, 2012, he saw four men on two bikes. He thought they were policemen (in civilian clothes identified by their haircuts). One</w:t>
      </w:r>
      <w:r w:rsidR="00080ED5">
        <w:rPr>
          <w:sz w:val="28"/>
        </w:rPr>
        <w:t xml:space="preserve"> among them looked like a Pahadi</w:t>
      </w:r>
      <w:r w:rsidRPr="00B669E5">
        <w:rPr>
          <w:sz w:val="28"/>
        </w:rPr>
        <w:t xml:space="preserve"> and the remaining three like Madhesi. One of them received a phone call, after which he said “Aaundaichh (He is coming)” to the three other. All of them left, going towards the bazaar chowk, and after sometime two came back on a bike with a third individual in-between them. The two other followed on a bike each, one of which they had not had earlier. They all drove off towards Ekdara. Later they heard that a man was killed in crossfire with police to the east of Jungaha Bridge near Ekdara. </w:t>
      </w:r>
    </w:p>
    <w:p w:rsidR="008C4466" w:rsidRPr="00B669E5" w:rsidRDefault="008C4466" w:rsidP="008C4466">
      <w:pPr>
        <w:spacing w:before="100" w:beforeAutospacing="1" w:after="100" w:afterAutospacing="1"/>
        <w:jc w:val="both"/>
        <w:rPr>
          <w:sz w:val="28"/>
        </w:rPr>
      </w:pPr>
      <w:r w:rsidRPr="00B669E5">
        <w:rPr>
          <w:sz w:val="28"/>
        </w:rPr>
        <w:t>According to residents of Ekdara Bela VDC, the shooting took place on the road between Ekdara Bela VDC-8 and Manara Katti VDC. It was near Jungaha Bridge. Soil was put on the spot to cover the blood stained patches. When the soil was removed it was possible to see the bloodstains. There was also a blood stained surgical glove thrown three meters away from the spot to the west.</w:t>
      </w:r>
    </w:p>
    <w:p w:rsidR="008C4466" w:rsidRPr="00B669E5" w:rsidRDefault="008C4466" w:rsidP="008C4466">
      <w:pPr>
        <w:spacing w:before="100" w:beforeAutospacing="1" w:after="100" w:afterAutospacing="1"/>
        <w:jc w:val="both"/>
        <w:rPr>
          <w:sz w:val="28"/>
        </w:rPr>
      </w:pPr>
      <w:r w:rsidRPr="00B669E5">
        <w:rPr>
          <w:sz w:val="28"/>
        </w:rPr>
        <w:t>According to the locals who were present in the nearby farms when the incident took place:</w:t>
      </w:r>
    </w:p>
    <w:p w:rsidR="008C4466" w:rsidRPr="00B669E5" w:rsidRDefault="008C4466" w:rsidP="008C4466">
      <w:pPr>
        <w:spacing w:before="100" w:beforeAutospacing="1" w:after="100" w:afterAutospacing="1"/>
        <w:jc w:val="both"/>
        <w:rPr>
          <w:sz w:val="28"/>
        </w:rPr>
      </w:pPr>
      <w:r w:rsidRPr="00B669E5">
        <w:rPr>
          <w:sz w:val="28"/>
        </w:rPr>
        <w:lastRenderedPageBreak/>
        <w:t xml:space="preserve">"While we were working in the fields nearby Jungaha Bridge, we suddenly heard the sound of gunfire at around 2pm on August 11, 2013. We heard 5/6 rounds of firing. The man who was shot fell on the road. The event spot was between Jangaha Bridge and the culvert. We saw that he was surrounded by four persons in plain clothes. We went near the site and saw that the shot man was young and still breathing on the ground. At around 3pm a police van came. By that time he was dead. His dead body was taken in that police van. Around </w:t>
      </w:r>
      <w:r w:rsidR="008845E9">
        <w:rPr>
          <w:sz w:val="28"/>
        </w:rPr>
        <w:t>15</w:t>
      </w:r>
      <w:r w:rsidRPr="00B669E5">
        <w:rPr>
          <w:sz w:val="28"/>
        </w:rPr>
        <w:t xml:space="preserve">meters to the east of the site a bike (with the number Ja. 4 Pa. 6956) was standing on its stand." </w:t>
      </w:r>
    </w:p>
    <w:p w:rsidR="008C4466" w:rsidRPr="00B669E5" w:rsidRDefault="008C4466" w:rsidP="008C4466">
      <w:pPr>
        <w:spacing w:before="100" w:beforeAutospacing="1" w:after="100" w:afterAutospacing="1"/>
        <w:jc w:val="both"/>
        <w:rPr>
          <w:sz w:val="28"/>
        </w:rPr>
      </w:pPr>
      <w:r w:rsidRPr="00B669E5">
        <w:rPr>
          <w:sz w:val="28"/>
        </w:rPr>
        <w:t xml:space="preserve">The post-mortem on the body revealed: two bullets wounds on his right hand and a third bullet wound on his left arm. The bullet seemed to have come from above, so that the trajectory pointed downwards. His left elbow was broken.  A fourth bullet hit the centre of parietal bone on his head and had penetrated through the left part of maxilla. A fifth bullet wound on the left side of his stomach about five inches lower than the navel. The bullet was seen exposed some four cm in the right side of the lumber region of the vertebral column. The sixth bullet wound was on right side of his chest. Its entry point was four centimetres away from the nipple and two cm right from the sternum. The bullet was seen on his back two centimetres to the right of the vertebra. The skin around all the bullets entry points were burnt and their exit points' diameters were no more than 1 cm. His mouth was smeared with soil, small bits of concrete and sand. The dead body seemed to have been dragged because soil and small bits of straw were seen on his trousers. </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64" w:name="_Toc379980865"/>
      <w:bookmarkStart w:id="65" w:name="_Toc379983678"/>
      <w:r w:rsidRPr="002945A5">
        <w:rPr>
          <w:rFonts w:ascii="Times New Roman" w:hAnsi="Times New Roman"/>
          <w:sz w:val="28"/>
          <w:szCs w:val="24"/>
        </w:rPr>
        <w:t>Analysis:</w:t>
      </w:r>
      <w:bookmarkEnd w:id="64"/>
      <w:bookmarkEnd w:id="65"/>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sz w:val="28"/>
        </w:rPr>
      </w:pPr>
      <w:r w:rsidRPr="00B669E5">
        <w:rPr>
          <w:sz w:val="28"/>
        </w:rPr>
        <w:t xml:space="preserve">Paswan was reportedly arrested at a crossroad that is between Ward no. 1 and 6 of Manara VDC, and was shot near Jungahaa Bridge. He therefore had to have been transported to the location he was shot at after his arrest. Witnesses report hearing </w:t>
      </w:r>
      <w:r w:rsidR="00103552">
        <w:rPr>
          <w:sz w:val="28"/>
        </w:rPr>
        <w:t>five to six</w:t>
      </w:r>
      <w:r w:rsidRPr="00B669E5">
        <w:rPr>
          <w:sz w:val="28"/>
        </w:rPr>
        <w:t xml:space="preserve"> rounds of shots. Paswan’s body had six shot wounds. Therefore it would seem that he could not have shot at the police as witnesses would have reported hearing more than 6 shots. There are two contradicting reports by different members of the police as to what occurred that night. </w:t>
      </w:r>
    </w:p>
    <w:p w:rsidR="008C4466" w:rsidRPr="00B669E5" w:rsidRDefault="008C4466" w:rsidP="008C4466">
      <w:pPr>
        <w:pStyle w:val="Title"/>
        <w:numPr>
          <w:ilvl w:val="0"/>
          <w:numId w:val="4"/>
        </w:numPr>
        <w:pBdr>
          <w:top w:val="single" w:sz="8" w:space="1" w:color="4D4D4D"/>
        </w:pBdr>
        <w:spacing w:before="100" w:beforeAutospacing="1" w:after="100" w:afterAutospacing="1"/>
        <w:contextualSpacing w:val="0"/>
        <w:jc w:val="right"/>
        <w:rPr>
          <w:b/>
          <w:color w:val="231F20"/>
          <w:sz w:val="28"/>
          <w:szCs w:val="24"/>
          <w:lang w:val="en-US"/>
        </w:rPr>
      </w:pPr>
      <w:r w:rsidRPr="00B669E5">
        <w:rPr>
          <w:b/>
          <w:sz w:val="28"/>
          <w:szCs w:val="24"/>
        </w:rPr>
        <w:t>Santosh Singh, “Encounter Killing”</w:t>
      </w:r>
    </w:p>
    <w:p w:rsidR="008C4466" w:rsidRPr="00B669E5" w:rsidRDefault="008C4466" w:rsidP="008C4466">
      <w:pPr>
        <w:tabs>
          <w:tab w:val="left" w:pos="2745"/>
        </w:tabs>
        <w:spacing w:before="100" w:beforeAutospacing="1" w:after="100" w:afterAutospacing="1"/>
        <w:jc w:val="both"/>
        <w:rPr>
          <w:sz w:val="28"/>
        </w:rPr>
      </w:pPr>
      <w:r w:rsidRPr="00B669E5">
        <w:rPr>
          <w:sz w:val="28"/>
        </w:rPr>
        <w:t>Details of Victims: Santosh Singh, 25, the eldest son of Bihari Mahato, a resident of Asanpur Ward No-7, Siraha district</w:t>
      </w:r>
    </w:p>
    <w:p w:rsidR="008C4466" w:rsidRPr="00B669E5" w:rsidRDefault="008C4466" w:rsidP="008C4466">
      <w:pPr>
        <w:spacing w:before="100" w:beforeAutospacing="1" w:after="100" w:afterAutospacing="1"/>
        <w:rPr>
          <w:sz w:val="28"/>
        </w:rPr>
      </w:pPr>
      <w:r w:rsidRPr="00B669E5">
        <w:rPr>
          <w:sz w:val="28"/>
        </w:rPr>
        <w:t xml:space="preserve">Date of incident: September 29, 2012, 12.30am </w:t>
      </w:r>
    </w:p>
    <w:p w:rsidR="008C4466" w:rsidRPr="00B669E5" w:rsidRDefault="008C4466" w:rsidP="008C4466">
      <w:pPr>
        <w:spacing w:before="100" w:beforeAutospacing="1" w:after="100" w:afterAutospacing="1"/>
        <w:jc w:val="both"/>
        <w:rPr>
          <w:sz w:val="28"/>
          <w:lang w:val="en-US"/>
        </w:rPr>
      </w:pPr>
      <w:r w:rsidRPr="00B669E5">
        <w:rPr>
          <w:sz w:val="28"/>
        </w:rPr>
        <w:lastRenderedPageBreak/>
        <w:t xml:space="preserve">Location: </w:t>
      </w:r>
      <w:r w:rsidRPr="00B669E5">
        <w:rPr>
          <w:sz w:val="28"/>
          <w:lang w:val="en-US"/>
        </w:rPr>
        <w:t>On the main road near eastern bank of Kataniya River that links Jijhaul VDC, Siraha district. The area is on the border of Maheshpur Patari and Jijhaul VDC. (Geographic Location: 86</w:t>
      </w:r>
      <w:r w:rsidRPr="00B669E5">
        <w:rPr>
          <w:sz w:val="28"/>
          <w:vertAlign w:val="superscript"/>
          <w:lang w:val="en-US"/>
        </w:rPr>
        <w:t>0</w:t>
      </w:r>
      <w:r w:rsidRPr="00B669E5">
        <w:rPr>
          <w:sz w:val="28"/>
          <w:lang w:val="en-US"/>
        </w:rPr>
        <w:t>23’16”E &amp; 26</w:t>
      </w:r>
      <w:r w:rsidRPr="00B669E5">
        <w:rPr>
          <w:sz w:val="28"/>
          <w:vertAlign w:val="superscript"/>
          <w:lang w:val="en-US"/>
        </w:rPr>
        <w:t>0</w:t>
      </w:r>
      <w:r w:rsidRPr="00B669E5">
        <w:rPr>
          <w:sz w:val="28"/>
          <w:lang w:val="en-US"/>
        </w:rPr>
        <w:t>38’46”N)</w:t>
      </w:r>
    </w:p>
    <w:p w:rsidR="008C4466" w:rsidRPr="00B669E5" w:rsidRDefault="008C4466" w:rsidP="008C4466">
      <w:pPr>
        <w:tabs>
          <w:tab w:val="left" w:pos="2745"/>
        </w:tabs>
        <w:spacing w:before="100" w:beforeAutospacing="1" w:after="100" w:afterAutospacing="1"/>
        <w:jc w:val="both"/>
        <w:rPr>
          <w:sz w:val="28"/>
        </w:rPr>
      </w:pPr>
      <w:r w:rsidRPr="00B669E5">
        <w:rPr>
          <w:sz w:val="28"/>
        </w:rPr>
        <w:t xml:space="preserve">Suspected perpetrators: </w:t>
      </w:r>
      <w:r w:rsidRPr="00B669E5">
        <w:rPr>
          <w:sz w:val="28"/>
          <w:lang w:val="en-US"/>
        </w:rPr>
        <w:t>The then SP Bikram Gurung, District Police, Siraha, Police Inspector Raj Kumar Sahi, District Police Office, Siraha</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66" w:name="_Toc379980866"/>
      <w:bookmarkStart w:id="67" w:name="_Toc379983679"/>
      <w:r w:rsidRPr="002945A5">
        <w:rPr>
          <w:rFonts w:ascii="Times New Roman" w:hAnsi="Times New Roman"/>
          <w:sz w:val="28"/>
          <w:szCs w:val="24"/>
        </w:rPr>
        <w:t>Case details:</w:t>
      </w:r>
      <w:bookmarkEnd w:id="66"/>
      <w:bookmarkEnd w:id="67"/>
    </w:p>
    <w:p w:rsidR="008C4466" w:rsidRPr="00B669E5" w:rsidRDefault="008C4466" w:rsidP="008C4466">
      <w:pPr>
        <w:spacing w:before="100" w:beforeAutospacing="1" w:after="100" w:afterAutospacing="1"/>
        <w:jc w:val="both"/>
        <w:rPr>
          <w:sz w:val="28"/>
        </w:rPr>
      </w:pPr>
      <w:r w:rsidRPr="00B669E5">
        <w:rPr>
          <w:sz w:val="28"/>
        </w:rPr>
        <w:t xml:space="preserve">On September 30, 2012, local newspapers published a news report saying an armed man was killed in the crossfire with police the previous night. According to SP Gurung, the encounter took place at around 1.30am. The police had said they recovered one homemade pistol and two bullets from the victim's possession. The police said Santosh Singh was involved in the kidnapping of Golbazar trader Bijay Sah on March 17, 2012 (see also Case 5 and 6 Sanjay Sah and Ramod Singh above). The police said in the face of increased incidents of looting, they had stepped up an ambush campaign in the Kataniya River area. According to police, three persons were coming on a 135 CC Discover motorbike from Maheshpur Patari at around 1.30am. They were headed to Kajara village. The police said they first ordered the bike to stop but the persons riding it fired shots at the police following which the police fired shots in retaliation. The police said that the bikers fired five shots and the police fired 15 rounds. One person (Santosh Singh) was shot five times and died on the spot. The police said three bullets hit Santosh, one in the chest, one in the abdomen and one in the back. The police said they recovered a home-made pistol and two .303 bullets from him. </w:t>
      </w:r>
    </w:p>
    <w:p w:rsidR="008C4466" w:rsidRPr="00B669E5" w:rsidRDefault="00B53B1A" w:rsidP="008C4466">
      <w:pPr>
        <w:spacing w:before="100" w:beforeAutospacing="1" w:after="100" w:afterAutospacing="1"/>
        <w:jc w:val="both"/>
        <w:rPr>
          <w:sz w:val="28"/>
        </w:rPr>
      </w:pPr>
      <w:r>
        <w:rPr>
          <w:sz w:val="28"/>
        </w:rPr>
        <w:t xml:space="preserve">According to police, </w:t>
      </w:r>
      <w:r w:rsidR="008C4466" w:rsidRPr="00B669E5">
        <w:rPr>
          <w:sz w:val="28"/>
        </w:rPr>
        <w:t xml:space="preserve">Santosh had previously been </w:t>
      </w:r>
      <w:r w:rsidR="00762BEC">
        <w:rPr>
          <w:sz w:val="28"/>
        </w:rPr>
        <w:t xml:space="preserve">indicted </w:t>
      </w:r>
      <w:r w:rsidR="008C4466" w:rsidRPr="00B669E5">
        <w:rPr>
          <w:sz w:val="28"/>
        </w:rPr>
        <w:t xml:space="preserve">in a number of cases including car and motorcycle theft, stealing, looting and murder. He was the District Chief of Madhesh Youth Forum, a youth wing of Madhesi Janadhikar Forum-Democratic. He was also believed to be involved in the kidnapping of Bijay Mahato's son, although the son is also said to have faked his own kidnapping.  The police took Santosh’s mother in custody for six days in relation to this kidnapping. After this, Santosh was hiding in India. Some villagers said Santosh was involved in cross-border crime and was hiding in the border areas. </w:t>
      </w:r>
    </w:p>
    <w:p w:rsidR="008C4466" w:rsidRPr="00B669E5" w:rsidRDefault="008C4466" w:rsidP="008C4466">
      <w:pPr>
        <w:spacing w:before="100" w:beforeAutospacing="1" w:after="100" w:afterAutospacing="1"/>
        <w:jc w:val="both"/>
        <w:rPr>
          <w:sz w:val="28"/>
        </w:rPr>
      </w:pPr>
      <w:r w:rsidRPr="00B669E5">
        <w:rPr>
          <w:sz w:val="28"/>
        </w:rPr>
        <w:t xml:space="preserve">The police said Santosh was sitting in the middle of the bike and the two persons who were sitting in the front and back of the bike escaped. </w:t>
      </w:r>
    </w:p>
    <w:p w:rsidR="008C4466" w:rsidRPr="00B669E5" w:rsidRDefault="008C4466" w:rsidP="008C4466">
      <w:pPr>
        <w:spacing w:before="100" w:beforeAutospacing="1" w:after="100" w:afterAutospacing="1"/>
        <w:jc w:val="both"/>
        <w:rPr>
          <w:sz w:val="28"/>
        </w:rPr>
      </w:pPr>
      <w:r w:rsidRPr="00B669E5">
        <w:rPr>
          <w:sz w:val="28"/>
        </w:rPr>
        <w:t xml:space="preserve">However there have been conflicting reports from local: </w:t>
      </w:r>
    </w:p>
    <w:p w:rsidR="008C4466" w:rsidRPr="00B669E5" w:rsidRDefault="008C4466" w:rsidP="008C4466">
      <w:pPr>
        <w:spacing w:before="100" w:beforeAutospacing="1" w:after="100" w:afterAutospacing="1"/>
        <w:jc w:val="both"/>
        <w:rPr>
          <w:sz w:val="28"/>
        </w:rPr>
      </w:pPr>
      <w:r w:rsidRPr="00B669E5">
        <w:rPr>
          <w:sz w:val="28"/>
        </w:rPr>
        <w:lastRenderedPageBreak/>
        <w:t xml:space="preserve">Unified CPN-Maoist member of Mithila State Committee Haridev Thakur's stated: </w:t>
      </w:r>
    </w:p>
    <w:p w:rsidR="008C4466" w:rsidRPr="00B669E5" w:rsidRDefault="008C4466" w:rsidP="008C4466">
      <w:pPr>
        <w:spacing w:before="100" w:beforeAutospacing="1" w:after="100" w:afterAutospacing="1"/>
        <w:jc w:val="both"/>
        <w:rPr>
          <w:sz w:val="28"/>
        </w:rPr>
      </w:pPr>
      <w:r w:rsidRPr="00B669E5">
        <w:rPr>
          <w:sz w:val="28"/>
        </w:rPr>
        <w:t>“I heard that Santosh's bike collided with the police's van. I also heard that Santosh fled from the scene and the next morning he was killed.”</w:t>
      </w:r>
    </w:p>
    <w:p w:rsidR="008C4466" w:rsidRPr="00B669E5" w:rsidRDefault="008C4466" w:rsidP="008C4466">
      <w:pPr>
        <w:spacing w:before="100" w:beforeAutospacing="1" w:after="100" w:afterAutospacing="1"/>
        <w:jc w:val="both"/>
        <w:rPr>
          <w:sz w:val="28"/>
        </w:rPr>
      </w:pPr>
      <w:r w:rsidRPr="00B669E5">
        <w:rPr>
          <w:bCs/>
          <w:sz w:val="28"/>
        </w:rPr>
        <w:t xml:space="preserve">The day before the “encounter” killing, </w:t>
      </w:r>
      <w:r w:rsidRPr="00B669E5">
        <w:rPr>
          <w:sz w:val="28"/>
        </w:rPr>
        <w:t xml:space="preserve">Krishnadev Yadav, 32, of Jijhaul VDC-8 was the victims of an attempted kidnapping attempt and had his motorcycle stolen. He was able to escape to the APF camp at Bariyarpur. The following day he was informed that one person was killed in an encounter and his motorbike had been recovered. He was taken to the incident site to identify his bike and saw 8-10 police personnel surrounding a dead body. </w:t>
      </w:r>
    </w:p>
    <w:p w:rsidR="008C4466" w:rsidRPr="00B669E5" w:rsidRDefault="008C4466" w:rsidP="008C4466">
      <w:pPr>
        <w:spacing w:before="100" w:beforeAutospacing="1" w:after="100" w:afterAutospacing="1"/>
        <w:jc w:val="both"/>
        <w:rPr>
          <w:sz w:val="28"/>
        </w:rPr>
      </w:pPr>
      <w:r w:rsidRPr="00B669E5">
        <w:rPr>
          <w:sz w:val="28"/>
        </w:rPr>
        <w:t>Local residents of Jijhaul VDC said they heard the sound of only two or three gunshots that night. The Police, however, claimed that they fired 15 shots in retaliation to the suspected criminals' five shots.</w:t>
      </w:r>
    </w:p>
    <w:p w:rsidR="008C4466" w:rsidRPr="00B669E5" w:rsidRDefault="008C4466" w:rsidP="008C4466">
      <w:pPr>
        <w:spacing w:before="100" w:beforeAutospacing="1" w:after="100" w:afterAutospacing="1"/>
        <w:jc w:val="both"/>
        <w:rPr>
          <w:sz w:val="28"/>
        </w:rPr>
      </w:pPr>
      <w:r w:rsidRPr="00B669E5">
        <w:rPr>
          <w:sz w:val="28"/>
        </w:rPr>
        <w:t xml:space="preserve">Rajdev Sah, Chairperson of the Unified CPN-Maoist, Siraha stated to the human rights investigative team including members of THRD Alliance in the first week of September, 2013:    </w:t>
      </w:r>
    </w:p>
    <w:p w:rsidR="008C4466" w:rsidRPr="00B669E5" w:rsidRDefault="008C4466" w:rsidP="008C4466">
      <w:pPr>
        <w:spacing w:before="100" w:beforeAutospacing="1" w:after="100" w:afterAutospacing="1"/>
        <w:jc w:val="both"/>
        <w:rPr>
          <w:sz w:val="28"/>
        </w:rPr>
      </w:pPr>
      <w:r w:rsidRPr="00B669E5">
        <w:rPr>
          <w:sz w:val="28"/>
        </w:rPr>
        <w:t xml:space="preserve">“I heard that the police took Santosh Singh under their control and killed him.” </w:t>
      </w:r>
    </w:p>
    <w:p w:rsidR="008C4466" w:rsidRPr="00B669E5" w:rsidRDefault="008C4466" w:rsidP="008C4466">
      <w:pPr>
        <w:spacing w:before="100" w:beforeAutospacing="1" w:after="100" w:afterAutospacing="1"/>
        <w:jc w:val="both"/>
        <w:rPr>
          <w:sz w:val="28"/>
        </w:rPr>
      </w:pPr>
      <w:r w:rsidRPr="00B669E5">
        <w:rPr>
          <w:sz w:val="28"/>
        </w:rPr>
        <w:t xml:space="preserve">The post-mortem was done at Ram Kumar Sharada Uma Prasad Murarka Memorial Hospital, Lahan. THRD Alliance officially wrote to the hospital seeking a copy of the post-mortem report. The hospital responded that it did not have a record of the post-mortem. The SP of the Siraha district also declined to give the post-mortem report saying the case was under investigation.  </w:t>
      </w:r>
    </w:p>
    <w:p w:rsidR="008C4466" w:rsidRPr="00B669E5" w:rsidRDefault="008C4466" w:rsidP="008C4466">
      <w:pPr>
        <w:spacing w:before="100" w:beforeAutospacing="1" w:after="100" w:afterAutospacing="1"/>
        <w:jc w:val="both"/>
        <w:rPr>
          <w:sz w:val="28"/>
        </w:rPr>
      </w:pPr>
      <w:r w:rsidRPr="00B669E5">
        <w:rPr>
          <w:sz w:val="28"/>
        </w:rPr>
        <w:t xml:space="preserve">Santosh's father who was out of the country at the time of the incident had told the family to wait until he returns to cremate the body, but the villagers pressurised the deceased's family to cremate the body saying a sinner’s body should not be kept at home. According to the victim's family, Santosh's father had demanded independent post-mortem of the body but it was not carried out. </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68" w:name="_Toc379980867"/>
      <w:bookmarkStart w:id="69" w:name="_Toc379983680"/>
      <w:r w:rsidRPr="002945A5">
        <w:rPr>
          <w:rFonts w:ascii="Times New Roman" w:hAnsi="Times New Roman"/>
          <w:sz w:val="28"/>
          <w:szCs w:val="24"/>
        </w:rPr>
        <w:t>Response by State:</w:t>
      </w:r>
      <w:bookmarkEnd w:id="68"/>
      <w:bookmarkEnd w:id="69"/>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color w:val="231F20"/>
          <w:sz w:val="28"/>
        </w:rPr>
      </w:pPr>
      <w:r w:rsidRPr="00B669E5">
        <w:rPr>
          <w:color w:val="231F20"/>
          <w:sz w:val="28"/>
        </w:rPr>
        <w:t xml:space="preserve">SP Purna Chandra Joshi, District Police Office, Siraha reported that the case was being investigated as a case of involuntary manslaughter. </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70" w:name="_Toc379980868"/>
      <w:bookmarkStart w:id="71" w:name="_Toc379983681"/>
      <w:r w:rsidRPr="002945A5">
        <w:rPr>
          <w:rFonts w:ascii="Times New Roman" w:hAnsi="Times New Roman"/>
          <w:sz w:val="28"/>
          <w:szCs w:val="24"/>
        </w:rPr>
        <w:lastRenderedPageBreak/>
        <w:t>Analysis:</w:t>
      </w:r>
      <w:bookmarkEnd w:id="70"/>
      <w:bookmarkEnd w:id="71"/>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rFonts w:ascii="Preeti" w:hAnsi="Preeti"/>
          <w:sz w:val="28"/>
        </w:rPr>
      </w:pPr>
      <w:r w:rsidRPr="00B669E5">
        <w:rPr>
          <w:sz w:val="28"/>
        </w:rPr>
        <w:t xml:space="preserve">The circumstances in which Santosh Singh was killed are mysterious. It is alleged that </w:t>
      </w:r>
      <w:r w:rsidR="00D31378">
        <w:rPr>
          <w:sz w:val="28"/>
        </w:rPr>
        <w:t>four</w:t>
      </w:r>
      <w:r w:rsidRPr="00B669E5">
        <w:rPr>
          <w:sz w:val="28"/>
        </w:rPr>
        <w:t xml:space="preserve"> days earlier he had tried to steal a motorcycle at that exact location. If this is the case it is unlikely he would have returned there so soon. Furthermore the police had told some members of the media in the evening of September 29 that “something will happen today”</w:t>
      </w:r>
      <w:r w:rsidRPr="00B669E5">
        <w:rPr>
          <w:rFonts w:ascii="Preeti" w:hAnsi="Preeti"/>
          <w:sz w:val="28"/>
        </w:rPr>
        <w:t>.</w:t>
      </w:r>
    </w:p>
    <w:p w:rsidR="008C4466" w:rsidRPr="00B669E5" w:rsidRDefault="008C4466" w:rsidP="008C4466">
      <w:pPr>
        <w:spacing w:before="100" w:beforeAutospacing="1" w:after="100" w:afterAutospacing="1"/>
        <w:jc w:val="both"/>
        <w:rPr>
          <w:sz w:val="28"/>
        </w:rPr>
      </w:pPr>
      <w:r w:rsidRPr="00B669E5">
        <w:rPr>
          <w:sz w:val="28"/>
        </w:rPr>
        <w:t xml:space="preserve">The nearest human settlement from the incident site is a brick kiln factory one kilometre away. Police said 20 shots were fired, 15 from their side and 5 from the suspected criminals' side, but locals said they heard only 2-3 gunshots. Furthermore, the police said there were three persons on the bike. If Santosh was riding on a motorbike sitting in between two other persons, how could the other two suspects escape unhurt while he was killed? Local residents said they saw blood only around the place where Santosh's body was found. </w:t>
      </w:r>
    </w:p>
    <w:p w:rsidR="008C4466" w:rsidRPr="00B669E5" w:rsidRDefault="008C4466" w:rsidP="008C4466">
      <w:pPr>
        <w:spacing w:before="100" w:beforeAutospacing="1" w:after="100" w:afterAutospacing="1"/>
        <w:jc w:val="both"/>
        <w:rPr>
          <w:sz w:val="28"/>
        </w:rPr>
      </w:pPr>
      <w:r w:rsidRPr="00B669E5">
        <w:rPr>
          <w:sz w:val="28"/>
        </w:rPr>
        <w:t>If the police are to be trusted, the police needs to set up ambushes in that area to reduce the levels of crime but at the same time they need to act in accordance with the laws of the country. The police could have easily taken Santosh under control. Although the police claimed to have recovered a homemade pistol and two bullets, the case file does not indicate recovery of any magazines. Had the suspected criminals fired five shots as claimed by the police, the latter should have recovered some magazines as well.</w:t>
      </w:r>
    </w:p>
    <w:p w:rsidR="008C4466" w:rsidRPr="00B669E5" w:rsidRDefault="008C4466" w:rsidP="008C4466">
      <w:pPr>
        <w:spacing w:before="100" w:beforeAutospacing="1" w:after="100" w:afterAutospacing="1"/>
        <w:jc w:val="both"/>
        <w:rPr>
          <w:sz w:val="28"/>
        </w:rPr>
      </w:pPr>
      <w:r w:rsidRPr="00B669E5">
        <w:rPr>
          <w:sz w:val="28"/>
        </w:rPr>
        <w:t xml:space="preserve">Santosh's body was smeared with sand. The place where Santosh's body was found was 15-20 meters from the river. The fact that Santosh had sand on his body indicates that he might have had a scuffle with the police. This points to the possibility of police using excessive force against the victim. Furthermore, police normally do not allow anybody's entry at a place where an encounter has taken place, but in this case, a sub inspector took Krishna Yadav to the place at around 12.30am and this is unusual behaviour on the part of police. </w:t>
      </w:r>
    </w:p>
    <w:p w:rsidR="008C4466" w:rsidRPr="00B669E5" w:rsidRDefault="008C4466" w:rsidP="008C4466">
      <w:pPr>
        <w:spacing w:before="100" w:beforeAutospacing="1" w:after="100" w:afterAutospacing="1"/>
        <w:jc w:val="both"/>
        <w:rPr>
          <w:sz w:val="28"/>
        </w:rPr>
      </w:pPr>
      <w:r w:rsidRPr="00B669E5">
        <w:rPr>
          <w:sz w:val="28"/>
        </w:rPr>
        <w:t xml:space="preserve">Finally, the police post that is closest to the incident site was not involved in setting up checkpoint in that night. Ward Police Office Lahan carried out the operation. The fact that the local police had no information about this raises a question about the motive of the police. Normally when one police office intends to take action beyond its jurisdiction, it follows the rules by informing the jurisdiction concerned about its plans. This did not happen in this case. Doubts were raised whether the police took Santosh Singh under control first and then killed him. </w:t>
      </w:r>
    </w:p>
    <w:p w:rsidR="008C4466" w:rsidRPr="00B669E5" w:rsidRDefault="008C4466" w:rsidP="008C4466">
      <w:pPr>
        <w:spacing w:before="100" w:beforeAutospacing="1" w:after="100" w:afterAutospacing="1"/>
        <w:jc w:val="both"/>
        <w:rPr>
          <w:sz w:val="28"/>
        </w:rPr>
      </w:pPr>
      <w:r w:rsidRPr="00B669E5">
        <w:rPr>
          <w:sz w:val="28"/>
        </w:rPr>
        <w:lastRenderedPageBreak/>
        <w:t xml:space="preserve">Human rights activists of Siraha said the locals did not express any sympathy for the victim because there had been an increase in criminal activities in the district around that time. Human rights activists did not investigate the case at the time due to fear of reprisals and resistance from the villagers. </w:t>
      </w:r>
    </w:p>
    <w:p w:rsidR="008C4466" w:rsidRPr="00B669E5" w:rsidRDefault="008C4466" w:rsidP="008C4466">
      <w:pPr>
        <w:pStyle w:val="Title"/>
        <w:numPr>
          <w:ilvl w:val="0"/>
          <w:numId w:val="4"/>
        </w:numPr>
        <w:pBdr>
          <w:top w:val="single" w:sz="8" w:space="1" w:color="4D4D4D"/>
        </w:pBdr>
        <w:spacing w:before="100" w:beforeAutospacing="1" w:after="100" w:afterAutospacing="1"/>
        <w:contextualSpacing w:val="0"/>
        <w:jc w:val="right"/>
        <w:rPr>
          <w:b/>
          <w:sz w:val="28"/>
          <w:szCs w:val="24"/>
        </w:rPr>
      </w:pPr>
      <w:r w:rsidRPr="00B669E5">
        <w:rPr>
          <w:b/>
          <w:sz w:val="28"/>
          <w:szCs w:val="24"/>
        </w:rPr>
        <w:t xml:space="preserve">Harendra Shah Teli, “Encounter” Killing </w:t>
      </w:r>
    </w:p>
    <w:p w:rsidR="008C4466" w:rsidRPr="00B669E5" w:rsidRDefault="008C4466" w:rsidP="008C4466">
      <w:pPr>
        <w:spacing w:before="100" w:beforeAutospacing="1" w:after="100" w:afterAutospacing="1"/>
        <w:ind w:right="-15"/>
        <w:jc w:val="both"/>
        <w:rPr>
          <w:sz w:val="28"/>
        </w:rPr>
      </w:pPr>
      <w:r w:rsidRPr="00B669E5">
        <w:rPr>
          <w:sz w:val="28"/>
        </w:rPr>
        <w:t xml:space="preserve">Name and Address of the deceased:  Harendra Shah Teli, about 40, from village Jataulia Telhara, Kundawa Chainpur </w:t>
      </w:r>
      <w:r w:rsidRPr="00B669E5">
        <w:rPr>
          <w:i/>
          <w:sz w:val="28"/>
        </w:rPr>
        <w:t>Thana</w:t>
      </w:r>
      <w:r w:rsidRPr="00B669E5">
        <w:rPr>
          <w:sz w:val="28"/>
        </w:rPr>
        <w:t xml:space="preserve">, East Champaran district, Bihar, India. </w:t>
      </w:r>
    </w:p>
    <w:p w:rsidR="008C4466" w:rsidRPr="00B669E5" w:rsidRDefault="008C4466" w:rsidP="008C4466">
      <w:pPr>
        <w:spacing w:before="100" w:beforeAutospacing="1" w:after="100" w:afterAutospacing="1"/>
        <w:rPr>
          <w:sz w:val="28"/>
        </w:rPr>
      </w:pPr>
      <w:r w:rsidRPr="00B669E5">
        <w:rPr>
          <w:sz w:val="28"/>
        </w:rPr>
        <w:t xml:space="preserve">Date of incident: About 00:30pm on April 13, 2013 </w:t>
      </w:r>
    </w:p>
    <w:p w:rsidR="008C4466" w:rsidRPr="00B669E5" w:rsidRDefault="008C4466" w:rsidP="008C4466">
      <w:pPr>
        <w:spacing w:before="100" w:beforeAutospacing="1" w:after="100" w:afterAutospacing="1"/>
        <w:ind w:right="-15"/>
        <w:jc w:val="both"/>
        <w:rPr>
          <w:sz w:val="28"/>
        </w:rPr>
      </w:pPr>
      <w:r w:rsidRPr="00B669E5">
        <w:rPr>
          <w:sz w:val="28"/>
        </w:rPr>
        <w:t xml:space="preserve">Location:  10 yards north (no-man’s land) of Nepal-India border, on isolated silt; 200 meter north from Guwabari Lalbakiya river bank, and about 1-1.5km east from Nepal-India border pillar no. 346 in Rautahat district of Nepal </w:t>
      </w:r>
    </w:p>
    <w:p w:rsidR="008C4466" w:rsidRPr="00B669E5" w:rsidRDefault="008C4466" w:rsidP="008C4466">
      <w:pPr>
        <w:spacing w:before="100" w:beforeAutospacing="1" w:after="100" w:afterAutospacing="1"/>
        <w:ind w:right="-15"/>
        <w:jc w:val="both"/>
        <w:rPr>
          <w:sz w:val="28"/>
        </w:rPr>
      </w:pPr>
      <w:r w:rsidRPr="00B669E5">
        <w:rPr>
          <w:sz w:val="28"/>
        </w:rPr>
        <w:t>Suspected Perpetrator:  Superintendent of Police (SP) Gobind Ram Pariyar, District Police Office of Rautahat</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72" w:name="_Toc379980869"/>
      <w:bookmarkStart w:id="73" w:name="_Toc379983682"/>
      <w:r w:rsidRPr="002945A5">
        <w:rPr>
          <w:rFonts w:ascii="Times New Roman" w:hAnsi="Times New Roman"/>
          <w:sz w:val="28"/>
          <w:szCs w:val="24"/>
        </w:rPr>
        <w:t>Case Details:</w:t>
      </w:r>
      <w:bookmarkEnd w:id="72"/>
      <w:bookmarkEnd w:id="73"/>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sz w:val="28"/>
        </w:rPr>
      </w:pPr>
      <w:r w:rsidRPr="00B669E5">
        <w:rPr>
          <w:sz w:val="28"/>
        </w:rPr>
        <w:t xml:space="preserve">On April 13, 2013, local newspapers reported that during an encounter between the police and a group of thieves, one of the thieves was killed. At the same time, the District Police Office of Rautahat, released a press statement providing information on the death of a thief during a police operation to prevent a group of robbers arriving in the area from Balua, India. </w:t>
      </w:r>
    </w:p>
    <w:p w:rsidR="008C4466" w:rsidRPr="00B669E5" w:rsidRDefault="008C4466" w:rsidP="008C4466">
      <w:pPr>
        <w:spacing w:before="100" w:beforeAutospacing="1" w:after="100" w:afterAutospacing="1"/>
        <w:ind w:right="-15"/>
        <w:jc w:val="both"/>
        <w:rPr>
          <w:sz w:val="28"/>
        </w:rPr>
      </w:pPr>
      <w:r w:rsidRPr="00B669E5">
        <w:rPr>
          <w:sz w:val="28"/>
        </w:rPr>
        <w:t>Gobind Ram Pariyar, SP, District Police Office, Rautahat when asked by THRD</w:t>
      </w:r>
      <w:r w:rsidR="00EF1ADD">
        <w:rPr>
          <w:sz w:val="28"/>
        </w:rPr>
        <w:t xml:space="preserve"> Alliance</w:t>
      </w:r>
      <w:r w:rsidRPr="00B669E5">
        <w:rPr>
          <w:sz w:val="28"/>
        </w:rPr>
        <w:t xml:space="preserve"> recalled the enc</w:t>
      </w:r>
      <w:r w:rsidR="00EF1ADD">
        <w:rPr>
          <w:sz w:val="28"/>
        </w:rPr>
        <w:t>ounter in the following manner:</w:t>
      </w:r>
      <w:r w:rsidRPr="00B669E5">
        <w:rPr>
          <w:sz w:val="28"/>
        </w:rPr>
        <w:t xml:space="preserve"> “In the last one month three incidents of robbery have taken place in the district and those robberies are carried out by Indian dacoits. So, we have intensified patrolling. Under my command seven policemen were waiting after set</w:t>
      </w:r>
      <w:r w:rsidR="00EF1ADD">
        <w:rPr>
          <w:sz w:val="28"/>
        </w:rPr>
        <w:t>ting an ambush near Lalbakaiya R</w:t>
      </w:r>
      <w:r w:rsidRPr="00B669E5">
        <w:rPr>
          <w:sz w:val="28"/>
        </w:rPr>
        <w:t xml:space="preserve">iver. We saw 7-8 robbers coming from the Indian side at 12 am. There was gunfire from both sides. We fired 11 rounds of bullets. When the robbers ran away, we saw that a robber was lying dead.” </w:t>
      </w:r>
    </w:p>
    <w:p w:rsidR="008C4466" w:rsidRPr="00B669E5" w:rsidRDefault="008C4466" w:rsidP="008C4466">
      <w:pPr>
        <w:spacing w:before="100" w:beforeAutospacing="1" w:after="100" w:afterAutospacing="1"/>
        <w:ind w:right="-15"/>
        <w:jc w:val="both"/>
        <w:rPr>
          <w:sz w:val="28"/>
        </w:rPr>
      </w:pPr>
      <w:r w:rsidRPr="00B669E5">
        <w:rPr>
          <w:sz w:val="28"/>
        </w:rPr>
        <w:t xml:space="preserve">However, on May 7, 2013, at a press conference at Gaur municipality in Rautahat district, Harendra Shah’s wife, Sona Shah from Jatabaliya </w:t>
      </w:r>
      <w:r w:rsidRPr="00B669E5">
        <w:rPr>
          <w:i/>
          <w:sz w:val="28"/>
        </w:rPr>
        <w:t>Gram Panchayat</w:t>
      </w:r>
      <w:r w:rsidRPr="00B669E5">
        <w:rPr>
          <w:sz w:val="28"/>
        </w:rPr>
        <w:t xml:space="preserve"> of Bihar accused the Rautahat police of killing her husband, after arresting him from </w:t>
      </w:r>
      <w:r w:rsidRPr="00B669E5">
        <w:rPr>
          <w:sz w:val="28"/>
        </w:rPr>
        <w:lastRenderedPageBreak/>
        <w:t>their house. She alleged that two men in civilian clothes</w:t>
      </w:r>
      <w:r w:rsidRPr="00B669E5">
        <w:rPr>
          <w:rStyle w:val="FootnoteReference"/>
          <w:sz w:val="28"/>
        </w:rPr>
        <w:footnoteReference w:id="86"/>
      </w:r>
      <w:r w:rsidRPr="00B669E5">
        <w:rPr>
          <w:sz w:val="28"/>
        </w:rPr>
        <w:t xml:space="preserve"> took her husband on a bike from his house and later killed him.  They then falsely accused him of being a thief and invented the story of him being killed in an encounter with the police.</w:t>
      </w:r>
      <w:r w:rsidRPr="00B669E5">
        <w:rPr>
          <w:rStyle w:val="FootnoteReference"/>
          <w:sz w:val="28"/>
        </w:rPr>
        <w:footnoteReference w:id="87"/>
      </w:r>
      <w:r w:rsidRPr="00B669E5">
        <w:rPr>
          <w:sz w:val="28"/>
        </w:rPr>
        <w:t xml:space="preserve"> The next day, Rautahat DPO organized a press conference and denied the allegations of Sona Shah. In that press conference, it was reported that Harendra was involved in several criminal activities including robbery. However no case or FRI was filed against him at the DPO. When a THRD Alliance investigator asked SP Pariyar on May 11, 2013 if ghumuwa policemen named Tildhari Sah and Shreelochan had arrested Harendra at his house, Pariyar claimed this had not happened.  </w:t>
      </w:r>
    </w:p>
    <w:p w:rsidR="008C4466" w:rsidRPr="00B669E5" w:rsidRDefault="008C4466" w:rsidP="008C4466">
      <w:pPr>
        <w:spacing w:before="100" w:beforeAutospacing="1" w:after="100" w:afterAutospacing="1"/>
        <w:jc w:val="both"/>
        <w:rPr>
          <w:sz w:val="28"/>
        </w:rPr>
      </w:pPr>
      <w:r w:rsidRPr="00B669E5">
        <w:rPr>
          <w:sz w:val="28"/>
        </w:rPr>
        <w:t xml:space="preserve">The youngest of three brothers, Harendra was married and had two sons and a daughter. His mother also lived with him, his father having died. He lived in Calcutta for 20 years, working in a pharmacy and an electronic appliances shop. He had returned to his home village around 8-9 months before his death. He had bought a Tata Magic car that he hired out as a taxi.  He also owned one </w:t>
      </w:r>
      <w:r w:rsidRPr="00B669E5">
        <w:rPr>
          <w:i/>
          <w:sz w:val="28"/>
        </w:rPr>
        <w:t>bigha</w:t>
      </w:r>
      <w:r w:rsidRPr="00B669E5">
        <w:rPr>
          <w:sz w:val="28"/>
        </w:rPr>
        <w:t xml:space="preserve"> of land.  It has been reported that Harendra was a big drinker, and would follow anyone who offered him a drink. He was a sociable and friendly person.  He was the sole breadwinner for the family and his two sons are still of school age. His wife has had to sell some of their land to cover living costs since his death. </w:t>
      </w:r>
    </w:p>
    <w:p w:rsidR="008C4466" w:rsidRPr="00B669E5" w:rsidRDefault="008C4466" w:rsidP="008C4466">
      <w:pPr>
        <w:spacing w:before="100" w:beforeAutospacing="1" w:after="100" w:afterAutospacing="1"/>
        <w:jc w:val="both"/>
        <w:rPr>
          <w:sz w:val="28"/>
        </w:rPr>
      </w:pPr>
      <w:r w:rsidRPr="00B669E5">
        <w:rPr>
          <w:sz w:val="28"/>
        </w:rPr>
        <w:t xml:space="preserve">His wife, Sona Devi Shah, daughter of Devdhari Prasad Shah of Thetaraiya-7, Rautahat district is approximately 40 years old. She reports that two men came to their house in India and asked her husband to go with them. This was at midday. According to Sona, the two men who took her husband had said that they were from her parental village of Nepal. She said in the press conference that they were </w:t>
      </w:r>
      <w:r w:rsidRPr="00B669E5">
        <w:rPr>
          <w:i/>
          <w:sz w:val="28"/>
        </w:rPr>
        <w:t>ghumuwa</w:t>
      </w:r>
      <w:r w:rsidRPr="00B669E5">
        <w:rPr>
          <w:sz w:val="28"/>
        </w:rPr>
        <w:t xml:space="preserve"> police from DPO of Rautahat. (She also told this to a joint team of investigators comprised of representatives of THRD Alliance and National Human Rights Commission). One person from Banjarha-1 of Rautahat district later saw him</w:t>
      </w:r>
      <w:r w:rsidRPr="00B669E5">
        <w:rPr>
          <w:rStyle w:val="FootnoteReference"/>
          <w:sz w:val="28"/>
        </w:rPr>
        <w:footnoteReference w:id="88"/>
      </w:r>
      <w:r w:rsidRPr="00B669E5">
        <w:rPr>
          <w:sz w:val="28"/>
        </w:rPr>
        <w:t xml:space="preserve"> drinking and eating with these men at Banjaraha-1 based alcohol shop of Nathuni Chaudhari. Harendra then passed out and was taken to the police station at the Gaur Custom Office. </w:t>
      </w:r>
    </w:p>
    <w:p w:rsidR="008C4466" w:rsidRPr="00B669E5" w:rsidRDefault="008C4466" w:rsidP="008C4466">
      <w:pPr>
        <w:spacing w:before="100" w:beforeAutospacing="1" w:after="100" w:afterAutospacing="1"/>
        <w:jc w:val="both"/>
        <w:rPr>
          <w:sz w:val="28"/>
        </w:rPr>
      </w:pPr>
      <w:r w:rsidRPr="00B669E5">
        <w:rPr>
          <w:sz w:val="28"/>
        </w:rPr>
        <w:lastRenderedPageBreak/>
        <w:t>According to villagers, goods are smuggled through that area almost every day. They reported that on the night of the April 13, they heard two rounds of shots around 10.30-11pm. The police claim that 10-11 rounds were fired. The following morning they saw two police vans parked near the Indian border. Harendra’s body was surrounded by police. Later the police removed the body by dragging it of the temporary bamboo bridge and put it into a police van.</w:t>
      </w:r>
      <w:r w:rsidRPr="00B669E5">
        <w:rPr>
          <w:rStyle w:val="FootnoteReference"/>
          <w:sz w:val="28"/>
        </w:rPr>
        <w:footnoteReference w:id="89"/>
      </w:r>
    </w:p>
    <w:p w:rsidR="008C4466" w:rsidRPr="00B669E5" w:rsidRDefault="008C4466" w:rsidP="008C4466">
      <w:pPr>
        <w:spacing w:before="100" w:beforeAutospacing="1" w:after="100" w:afterAutospacing="1"/>
        <w:jc w:val="both"/>
        <w:rPr>
          <w:sz w:val="28"/>
        </w:rPr>
      </w:pPr>
      <w:r w:rsidRPr="00B669E5">
        <w:rPr>
          <w:sz w:val="28"/>
        </w:rPr>
        <w:t xml:space="preserve">It has not been possible to obtain the post-mortem examination report. However, analysis of the photographs attached with e-mail sent by Rautahat District Police Office to some journalists on April 13, 2013 raises several questions. Although he was allegedly shot in the chest no bloodstains were visible on his chest. If he was shot during an encounter, there would be bloodstains on his shirt. But through close observation of the deceased’s photograph, a tiny hole was found on his vest in chest area. When the monitoring team asked SP Pariyar which part of the body was Harendra shot, the former failed to answer but he claimed that his bullets killed Shah and he was present at the time of the incident. While observing the dead body lying on the ground, a </w:t>
      </w:r>
      <w:r w:rsidRPr="00B669E5">
        <w:rPr>
          <w:i/>
          <w:sz w:val="28"/>
        </w:rPr>
        <w:t xml:space="preserve">katuwa </w:t>
      </w:r>
      <w:r w:rsidRPr="00B669E5">
        <w:rPr>
          <w:sz w:val="28"/>
        </w:rPr>
        <w:t xml:space="preserve">pistol (a homemade pistol) was found near his right hand. It seems as if the pistol was placed there after the deceased was laid on the ground to give the impression that he was a criminal. Near the dead body a pair of slippers was found facing two different directions, which does not fit with the official report of what happened. The dead body seemed to be on wet sand but there was no mark of wet sand or clay on his feet. There must have been running during the encounter by both sides but there is no indication of this in the photo. A bloodstain covers the deceased’s back. Near the lower backbone a fresh lesion mark is visible. SP Pariyar denies any sort of beating of the victim. If the police are right, there shouldn’t be any fresh mark or cut on the victim's back.  </w:t>
      </w:r>
    </w:p>
    <w:p w:rsidR="008C4466" w:rsidRPr="002945A5" w:rsidRDefault="008C4466" w:rsidP="008C4466">
      <w:pPr>
        <w:pStyle w:val="Heading1"/>
        <w:spacing w:before="100" w:beforeAutospacing="1" w:after="100" w:afterAutospacing="1"/>
        <w:rPr>
          <w:rFonts w:ascii="Times New Roman" w:hAnsi="Times New Roman"/>
          <w:sz w:val="28"/>
          <w:szCs w:val="24"/>
        </w:rPr>
      </w:pPr>
      <w:bookmarkStart w:id="74" w:name="_Toc379980870"/>
      <w:bookmarkStart w:id="75" w:name="_Toc379983683"/>
      <w:r w:rsidRPr="002945A5">
        <w:rPr>
          <w:rFonts w:ascii="Times New Roman" w:hAnsi="Times New Roman"/>
          <w:sz w:val="28"/>
          <w:szCs w:val="24"/>
        </w:rPr>
        <w:t>Response by State:</w:t>
      </w:r>
      <w:bookmarkEnd w:id="74"/>
      <w:bookmarkEnd w:id="75"/>
      <w:r w:rsidRPr="002945A5">
        <w:rPr>
          <w:rFonts w:ascii="Times New Roman" w:hAnsi="Times New Roman"/>
          <w:sz w:val="28"/>
          <w:szCs w:val="24"/>
        </w:rPr>
        <w:t xml:space="preserve"> </w:t>
      </w:r>
    </w:p>
    <w:p w:rsidR="008C4466" w:rsidRPr="00B669E5" w:rsidRDefault="008C4466" w:rsidP="008C4466">
      <w:pPr>
        <w:spacing w:before="100" w:beforeAutospacing="1" w:after="100" w:afterAutospacing="1"/>
        <w:jc w:val="both"/>
        <w:rPr>
          <w:sz w:val="28"/>
        </w:rPr>
      </w:pPr>
      <w:r w:rsidRPr="00B669E5">
        <w:rPr>
          <w:sz w:val="28"/>
        </w:rPr>
        <w:t xml:space="preserve">Although the border police beat is just one km in the west of the spot of incident at Banjaraha VDC, Rautahat DPO sent police inspector Lal Babu Sah to prepare the affidavit and other legal procedures the day after the incident; and the border police was unaware of the incident.  Soon after the incident, Assistant Sub Inspector, Ram Sarobar Singh and Deputy Superintendent of Police (DSP) Krishna Pyara Shrestha who were deployed at the spot that night for security, were transferred to a different police station. The other two policemen were not transferred. Since the police denied their involvement in the arrest of the victim, their transfer might </w:t>
      </w:r>
      <w:r w:rsidRPr="00B669E5">
        <w:rPr>
          <w:sz w:val="28"/>
        </w:rPr>
        <w:lastRenderedPageBreak/>
        <w:t xml:space="preserve">arouse suspicion and this could be the reason why the police did not transfer these two policemen. </w:t>
      </w:r>
    </w:p>
    <w:p w:rsidR="008C4466" w:rsidRPr="002945A5" w:rsidRDefault="008C4466" w:rsidP="008C4466">
      <w:pPr>
        <w:pStyle w:val="Title"/>
        <w:numPr>
          <w:ilvl w:val="0"/>
          <w:numId w:val="6"/>
        </w:numPr>
        <w:pBdr>
          <w:top w:val="single" w:sz="8" w:space="1" w:color="F79646"/>
        </w:pBdr>
        <w:spacing w:before="100" w:beforeAutospacing="1" w:after="100" w:afterAutospacing="1"/>
        <w:contextualSpacing w:val="0"/>
        <w:jc w:val="right"/>
        <w:rPr>
          <w:b/>
          <w:sz w:val="28"/>
          <w:szCs w:val="36"/>
        </w:rPr>
      </w:pPr>
      <w:r w:rsidRPr="002945A5">
        <w:rPr>
          <w:b/>
          <w:sz w:val="28"/>
          <w:szCs w:val="36"/>
        </w:rPr>
        <w:t>Mangare Murau, Death in Custody</w:t>
      </w:r>
    </w:p>
    <w:p w:rsidR="008C4466" w:rsidRPr="00B669E5" w:rsidRDefault="008C4466" w:rsidP="008C4466">
      <w:pPr>
        <w:spacing w:before="100" w:beforeAutospacing="1" w:after="100" w:afterAutospacing="1"/>
        <w:rPr>
          <w:rFonts w:cs="Helvetica"/>
          <w:sz w:val="28"/>
        </w:rPr>
      </w:pPr>
      <w:r w:rsidRPr="00B669E5">
        <w:rPr>
          <w:rFonts w:cs="Helvetica"/>
          <w:sz w:val="28"/>
        </w:rPr>
        <w:t>Details of Victim: Mangare Murau, 25 years old, a resident of Shibanagar VDC-7, Chhitauni, Kapilvastu district</w:t>
      </w:r>
    </w:p>
    <w:p w:rsidR="008C4466" w:rsidRPr="00B669E5" w:rsidRDefault="008C4466" w:rsidP="008C4466">
      <w:pPr>
        <w:spacing w:before="100" w:beforeAutospacing="1" w:after="100" w:afterAutospacing="1"/>
        <w:rPr>
          <w:rFonts w:cs="Helvetica"/>
          <w:sz w:val="28"/>
        </w:rPr>
      </w:pPr>
      <w:r w:rsidRPr="00B669E5">
        <w:rPr>
          <w:rFonts w:cs="Helvetica"/>
          <w:sz w:val="28"/>
        </w:rPr>
        <w:t xml:space="preserve">Date of incident: April 6, 2012 – April 8, 2012 </w:t>
      </w:r>
    </w:p>
    <w:p w:rsidR="008C4466" w:rsidRPr="00B669E5" w:rsidRDefault="008C4466" w:rsidP="008C4466">
      <w:pPr>
        <w:spacing w:before="100" w:beforeAutospacing="1" w:after="100" w:afterAutospacing="1"/>
        <w:jc w:val="both"/>
        <w:rPr>
          <w:rFonts w:cs="Helvetica"/>
          <w:sz w:val="40"/>
          <w:szCs w:val="36"/>
        </w:rPr>
      </w:pPr>
      <w:r w:rsidRPr="00B669E5">
        <w:rPr>
          <w:rFonts w:cs="Helvetica"/>
          <w:sz w:val="28"/>
        </w:rPr>
        <w:t>Suspected perpetrators: Havildar Armed Police Force Raj Kumar Gupta and Constable Pradip Adhikari</w:t>
      </w:r>
    </w:p>
    <w:p w:rsidR="008C4466" w:rsidRPr="002945A5" w:rsidRDefault="008C4466" w:rsidP="008C4466">
      <w:pPr>
        <w:pStyle w:val="Heading1"/>
        <w:spacing w:before="100" w:beforeAutospacing="1" w:after="100" w:afterAutospacing="1"/>
        <w:rPr>
          <w:rFonts w:ascii="Times New Roman" w:eastAsia="Times New Roman" w:hAnsi="Times New Roman"/>
          <w:sz w:val="28"/>
        </w:rPr>
      </w:pPr>
      <w:bookmarkStart w:id="76" w:name="_Toc379980871"/>
      <w:bookmarkStart w:id="77" w:name="_Toc379983684"/>
      <w:r w:rsidRPr="002945A5">
        <w:rPr>
          <w:rFonts w:ascii="Times New Roman" w:eastAsia="Times New Roman" w:hAnsi="Times New Roman"/>
          <w:sz w:val="28"/>
        </w:rPr>
        <w:t>Case Details:</w:t>
      </w:r>
      <w:bookmarkEnd w:id="76"/>
      <w:bookmarkEnd w:id="77"/>
      <w:r w:rsidRPr="002945A5">
        <w:rPr>
          <w:rFonts w:ascii="Times New Roman" w:eastAsia="Times New Roman" w:hAnsi="Times New Roman"/>
          <w:sz w:val="28"/>
        </w:rPr>
        <w:t xml:space="preserve"> </w:t>
      </w:r>
    </w:p>
    <w:p w:rsidR="008C4466" w:rsidRPr="00B669E5" w:rsidRDefault="008C4466" w:rsidP="008C4466">
      <w:pPr>
        <w:spacing w:before="100" w:beforeAutospacing="1" w:after="100" w:afterAutospacing="1"/>
        <w:jc w:val="both"/>
        <w:rPr>
          <w:rFonts w:cs="Helvetica"/>
          <w:sz w:val="28"/>
        </w:rPr>
      </w:pPr>
      <w:r w:rsidRPr="00B669E5">
        <w:rPr>
          <w:rFonts w:cs="Helvetica"/>
          <w:sz w:val="28"/>
        </w:rPr>
        <w:t xml:space="preserve">Twenty five year old Mangare Murau was transporting some alcohol on his cycle rickshaw toward Krishna Nagar on April 6, 2012.  According to the victim’s family, Havildar Raj Kumar Gupta from the Armed Police Force (APF) and Constable Pradip Adhikari who were deployed at Krishna Nagar border area saw Murau. Both policemen demanded a bribe from Murau but he declined to give them the amount they had asked for. He was taken into police custody. </w:t>
      </w:r>
    </w:p>
    <w:p w:rsidR="008C4466" w:rsidRPr="00B669E5" w:rsidRDefault="008C4466" w:rsidP="008C4466">
      <w:pPr>
        <w:spacing w:before="100" w:beforeAutospacing="1" w:after="100" w:afterAutospacing="1"/>
        <w:jc w:val="both"/>
        <w:rPr>
          <w:rFonts w:cs="Helvetica"/>
          <w:sz w:val="28"/>
        </w:rPr>
      </w:pPr>
      <w:r w:rsidRPr="00B669E5">
        <w:rPr>
          <w:rFonts w:cs="Helvetica"/>
          <w:sz w:val="28"/>
        </w:rPr>
        <w:t>According to the victim’s family, while in custody, Murau was severely kicked with a boot on his chest and head leaving him unconscious. He lost consciousness again the next day after which Area Police Office Krishna Nagar took him first to a medical centre in the nearby area and later to Bahadurgunj Hospital. The hospital referred the victim to Butwal Hospital. The APF personnel took Murau to Butwal but he was again referred to Kathmandu as the victim’s CT scan report showed a blood clot in his brain. The APF personnel then took him to Teaching Hospital, Kathmandu for treatment. Murau died at around 12.30am on April 8 while undergoing treatment.</w:t>
      </w:r>
    </w:p>
    <w:p w:rsidR="008C4466" w:rsidRPr="00B669E5" w:rsidRDefault="008C4466" w:rsidP="008C4466">
      <w:pPr>
        <w:spacing w:before="100" w:beforeAutospacing="1" w:after="100" w:afterAutospacing="1"/>
        <w:jc w:val="both"/>
        <w:rPr>
          <w:rFonts w:cs="Helvetica"/>
          <w:sz w:val="28"/>
        </w:rPr>
      </w:pPr>
      <w:r w:rsidRPr="00B669E5">
        <w:rPr>
          <w:rFonts w:cs="Helvetica"/>
          <w:sz w:val="28"/>
        </w:rPr>
        <w:t xml:space="preserve">As the news of Murau’s death spread in the victim’s locality, the locals blocked the Krishna Nagar-Chandrauta road section demanding action against the guilty and a compensation of NRs 1 million for the victim’s family. </w:t>
      </w:r>
    </w:p>
    <w:p w:rsidR="008C4466" w:rsidRPr="002945A5" w:rsidRDefault="008C4466" w:rsidP="008C4466">
      <w:pPr>
        <w:pStyle w:val="Heading1"/>
        <w:spacing w:before="100" w:beforeAutospacing="1" w:after="100" w:afterAutospacing="1"/>
        <w:rPr>
          <w:rFonts w:ascii="Times New Roman" w:eastAsia="Times New Roman" w:hAnsi="Times New Roman"/>
          <w:sz w:val="28"/>
        </w:rPr>
      </w:pPr>
      <w:bookmarkStart w:id="78" w:name="_Toc379980872"/>
      <w:bookmarkStart w:id="79" w:name="_Toc379983685"/>
      <w:r w:rsidRPr="002945A5">
        <w:rPr>
          <w:rFonts w:ascii="Times New Roman" w:eastAsia="Times New Roman" w:hAnsi="Times New Roman"/>
          <w:sz w:val="28"/>
        </w:rPr>
        <w:t>State’s response:</w:t>
      </w:r>
      <w:bookmarkEnd w:id="78"/>
      <w:bookmarkEnd w:id="79"/>
      <w:r w:rsidRPr="002945A5">
        <w:rPr>
          <w:rFonts w:ascii="Times New Roman" w:eastAsia="Times New Roman" w:hAnsi="Times New Roman"/>
          <w:sz w:val="28"/>
        </w:rPr>
        <w:t xml:space="preserve"> </w:t>
      </w:r>
    </w:p>
    <w:p w:rsidR="008C4466" w:rsidRPr="00B669E5" w:rsidRDefault="008C4466" w:rsidP="008C4466">
      <w:pPr>
        <w:spacing w:before="100" w:beforeAutospacing="1" w:after="100" w:afterAutospacing="1"/>
        <w:jc w:val="both"/>
        <w:rPr>
          <w:rFonts w:cs="Helvetica"/>
          <w:sz w:val="28"/>
        </w:rPr>
      </w:pPr>
      <w:r w:rsidRPr="00B669E5">
        <w:rPr>
          <w:rFonts w:cs="Helvetica"/>
          <w:sz w:val="28"/>
        </w:rPr>
        <w:t xml:space="preserve">Government officials including Kapilvastu Chief District Officer, Abdul Kalam Khan; Deputy Superintendent (DSP) of the APF, Min Bahadur Shahi and the Superintendent of Police (SP) of the District Police Office, Kapilvastu Suresh </w:t>
      </w:r>
      <w:r w:rsidRPr="00B669E5">
        <w:rPr>
          <w:rFonts w:cs="Helvetica"/>
          <w:sz w:val="28"/>
        </w:rPr>
        <w:lastRenderedPageBreak/>
        <w:t>Basnet spoke with the victim’s family, civil society, human rights activists and media persons on the issue.</w:t>
      </w:r>
    </w:p>
    <w:p w:rsidR="008C4466" w:rsidRPr="00B669E5" w:rsidRDefault="008C4466" w:rsidP="008C4466">
      <w:pPr>
        <w:spacing w:before="100" w:beforeAutospacing="1" w:after="100" w:afterAutospacing="1"/>
        <w:jc w:val="both"/>
        <w:rPr>
          <w:rFonts w:cs="Helvetica"/>
          <w:sz w:val="28"/>
        </w:rPr>
      </w:pPr>
      <w:r w:rsidRPr="00B669E5">
        <w:rPr>
          <w:rFonts w:cs="Helvetica"/>
          <w:sz w:val="28"/>
        </w:rPr>
        <w:t xml:space="preserve">The victim’s family withdrew their protest programmes after the APF DSP Shahi admitted his personnel’s fault following which a four-point agreement was signed between the government side and the victim side. The government side agreed to recommend a compensation of NRs 1 million through the district security committee for the victim’s family.  The APF agreed to provide NRs 150,000 immediately to the victim’s family to help perform the funeral rites of the victim. The APF also agreed to prosecute those responsible. It was on these points of agreement that the victim’s family agreed to withdraw its protest programmes. </w:t>
      </w:r>
    </w:p>
    <w:p w:rsidR="008C4466" w:rsidRPr="00B669E5" w:rsidRDefault="008C4466" w:rsidP="008C4466">
      <w:pPr>
        <w:spacing w:before="100" w:beforeAutospacing="1" w:after="100" w:afterAutospacing="1"/>
        <w:jc w:val="both"/>
        <w:rPr>
          <w:rFonts w:cs="Helvetica"/>
          <w:sz w:val="28"/>
        </w:rPr>
      </w:pPr>
      <w:r w:rsidRPr="00B669E5">
        <w:rPr>
          <w:rFonts w:cs="Helvetica"/>
          <w:sz w:val="28"/>
        </w:rPr>
        <w:t>Coordinator of Jawafdehita Nigrani Samiti, Madhuri Shrestha, visited the victim’s mother Phula Murau on April 25, 2012. Phula said she received no compensation from the government and no action was taken against the two APF officers who she said were responsible for the death of his son. Phula said she was assured that she would get NRs 1 million within 13 days, but she got only NRs 450,000 from the government.</w:t>
      </w:r>
    </w:p>
    <w:p w:rsidR="008C4466" w:rsidRPr="002945A5" w:rsidRDefault="008C4466" w:rsidP="008C4466">
      <w:pPr>
        <w:pStyle w:val="Title"/>
        <w:numPr>
          <w:ilvl w:val="0"/>
          <w:numId w:val="6"/>
        </w:numPr>
        <w:pBdr>
          <w:top w:val="single" w:sz="8" w:space="1" w:color="F79646"/>
        </w:pBdr>
        <w:spacing w:before="100" w:beforeAutospacing="1" w:after="100" w:afterAutospacing="1"/>
        <w:contextualSpacing w:val="0"/>
        <w:jc w:val="right"/>
        <w:rPr>
          <w:sz w:val="28"/>
          <w:szCs w:val="36"/>
        </w:rPr>
      </w:pPr>
      <w:r w:rsidRPr="002945A5">
        <w:rPr>
          <w:sz w:val="28"/>
          <w:szCs w:val="36"/>
        </w:rPr>
        <w:t>Ramsewak Dhobi, Death in Custody and witness intimidation</w:t>
      </w:r>
    </w:p>
    <w:p w:rsidR="008C4466" w:rsidRPr="00B669E5" w:rsidRDefault="008C4466" w:rsidP="008C4466">
      <w:pPr>
        <w:spacing w:before="100" w:beforeAutospacing="1" w:after="100" w:afterAutospacing="1"/>
        <w:jc w:val="both"/>
        <w:rPr>
          <w:sz w:val="28"/>
        </w:rPr>
      </w:pPr>
      <w:r w:rsidRPr="00B669E5">
        <w:rPr>
          <w:sz w:val="28"/>
        </w:rPr>
        <w:t>Details of victim: Ramewwak Dhobi, 28 years old resident of Asuraina Ward No 6 Parsahawa, Rupandehi</w:t>
      </w:r>
    </w:p>
    <w:p w:rsidR="008C4466" w:rsidRPr="00B669E5" w:rsidRDefault="008C4466" w:rsidP="008C4466">
      <w:pPr>
        <w:spacing w:before="100" w:beforeAutospacing="1" w:after="100" w:afterAutospacing="1"/>
        <w:rPr>
          <w:sz w:val="28"/>
        </w:rPr>
      </w:pPr>
      <w:r w:rsidRPr="00B669E5">
        <w:rPr>
          <w:sz w:val="28"/>
        </w:rPr>
        <w:t xml:space="preserve">Date of incident and time: August 8-9, 2013 </w:t>
      </w:r>
    </w:p>
    <w:p w:rsidR="008C4466" w:rsidRPr="00B669E5" w:rsidRDefault="008C4466" w:rsidP="008C4466">
      <w:pPr>
        <w:spacing w:before="100" w:beforeAutospacing="1" w:after="100" w:afterAutospacing="1"/>
        <w:rPr>
          <w:sz w:val="28"/>
        </w:rPr>
      </w:pPr>
      <w:r w:rsidRPr="00B669E5">
        <w:rPr>
          <w:sz w:val="28"/>
        </w:rPr>
        <w:t>Place of incident: Area Police Office, Marchwar, Raypur VDC</w:t>
      </w:r>
    </w:p>
    <w:p w:rsidR="008C4466" w:rsidRPr="00B669E5" w:rsidRDefault="008C4466" w:rsidP="008C4466">
      <w:pPr>
        <w:spacing w:before="100" w:beforeAutospacing="1" w:after="100" w:afterAutospacing="1"/>
        <w:jc w:val="both"/>
        <w:rPr>
          <w:sz w:val="28"/>
        </w:rPr>
      </w:pPr>
      <w:r w:rsidRPr="00B669E5">
        <w:rPr>
          <w:sz w:val="28"/>
        </w:rPr>
        <w:t xml:space="preserve">Suspected perpetrator/s:  Nepal Police </w:t>
      </w:r>
      <w:r w:rsidRPr="00B669E5">
        <w:rPr>
          <w:i/>
          <w:iCs/>
          <w:sz w:val="28"/>
        </w:rPr>
        <w:t>ghumuwa</w:t>
      </w:r>
      <w:r w:rsidRPr="00B669E5">
        <w:rPr>
          <w:sz w:val="28"/>
        </w:rPr>
        <w:t xml:space="preserve"> police Rakesh Yadav of Area Police Office, Marchwar, Police Inspector Prem Bandhu Pokhrel of Area Police Office, Marchwar</w:t>
      </w:r>
    </w:p>
    <w:p w:rsidR="008C4466" w:rsidRPr="002945A5" w:rsidRDefault="008C4466" w:rsidP="008C4466">
      <w:pPr>
        <w:pStyle w:val="Heading1"/>
        <w:spacing w:before="100" w:beforeAutospacing="1" w:after="100" w:afterAutospacing="1"/>
        <w:rPr>
          <w:rFonts w:ascii="Times New Roman" w:hAnsi="Times New Roman"/>
          <w:sz w:val="28"/>
        </w:rPr>
      </w:pPr>
      <w:bookmarkStart w:id="80" w:name="_Toc379980873"/>
      <w:bookmarkStart w:id="81" w:name="_Toc379983686"/>
      <w:r w:rsidRPr="002945A5">
        <w:rPr>
          <w:rFonts w:ascii="Times New Roman" w:hAnsi="Times New Roman"/>
          <w:sz w:val="28"/>
        </w:rPr>
        <w:t>Case Details:</w:t>
      </w:r>
      <w:bookmarkEnd w:id="80"/>
      <w:bookmarkEnd w:id="81"/>
      <w:r w:rsidRPr="002945A5">
        <w:rPr>
          <w:rFonts w:ascii="Times New Roman" w:hAnsi="Times New Roman"/>
          <w:sz w:val="28"/>
        </w:rPr>
        <w:t xml:space="preserve"> </w:t>
      </w:r>
    </w:p>
    <w:p w:rsidR="008C4466" w:rsidRPr="00B669E5" w:rsidRDefault="008C4466" w:rsidP="008C4466">
      <w:pPr>
        <w:spacing w:before="100" w:beforeAutospacing="1" w:after="100" w:afterAutospacing="1"/>
        <w:jc w:val="both"/>
        <w:rPr>
          <w:sz w:val="28"/>
        </w:rPr>
      </w:pPr>
      <w:r w:rsidRPr="00B669E5">
        <w:rPr>
          <w:sz w:val="28"/>
        </w:rPr>
        <w:t xml:space="preserve">On August 8, 2013, Ramsewak’s father Chanarjit, 70, set out on a pilgrimage to Bolbam Dham (located in Bihar, India). Ramsewak, along with other members his family, had gone to the gate of Area Police Office Marchwar, to see his father off. The other members of the family then returned home, but Ramsewak stayed behind and started drinking alcohol. At around 4pm, he got into a quarrel with </w:t>
      </w:r>
      <w:r w:rsidRPr="00B669E5">
        <w:rPr>
          <w:sz w:val="28"/>
        </w:rPr>
        <w:lastRenderedPageBreak/>
        <w:t>businessman Shravan Koiri.</w:t>
      </w:r>
      <w:r w:rsidRPr="00B669E5">
        <w:rPr>
          <w:rStyle w:val="FootnoteReference"/>
          <w:sz w:val="28"/>
        </w:rPr>
        <w:footnoteReference w:id="90"/>
      </w:r>
      <w:r w:rsidRPr="00B669E5">
        <w:rPr>
          <w:sz w:val="28"/>
        </w:rPr>
        <w:t xml:space="preserve"> Around 5 pm, a police woman named Maya of Area Police Office, Marchwar and </w:t>
      </w:r>
      <w:r w:rsidRPr="00B669E5">
        <w:rPr>
          <w:i/>
          <w:sz w:val="28"/>
        </w:rPr>
        <w:t>ghumuwa</w:t>
      </w:r>
      <w:r w:rsidRPr="00B669E5">
        <w:rPr>
          <w:sz w:val="28"/>
        </w:rPr>
        <w:t xml:space="preserve"> Police Rakesh Yadav arrested Ramsewak for allegedly mistreating local women and took him to the police office.</w:t>
      </w:r>
    </w:p>
    <w:p w:rsidR="008C4466" w:rsidRPr="00B669E5" w:rsidRDefault="008C4466" w:rsidP="008C4466">
      <w:pPr>
        <w:spacing w:before="100" w:beforeAutospacing="1" w:after="100" w:afterAutospacing="1"/>
        <w:jc w:val="both"/>
        <w:rPr>
          <w:sz w:val="28"/>
        </w:rPr>
      </w:pPr>
      <w:r w:rsidRPr="00B669E5">
        <w:rPr>
          <w:sz w:val="28"/>
        </w:rPr>
        <w:t xml:space="preserve">Injury marks found on the body of the victim suggest that he was beaten in the police custody and that this may have caused his death. </w:t>
      </w:r>
      <w:r w:rsidRPr="00B669E5">
        <w:rPr>
          <w:bCs/>
          <w:sz w:val="28"/>
        </w:rPr>
        <w:t xml:space="preserve">Janardan Bhar who owns a tailoring shop in front of the Area Police Office and whose brother works as a cook at the Area Police Office, Marchwar told people at 6am on August 9 (the next morning) that Ramsewak was dead.  </w:t>
      </w:r>
    </w:p>
    <w:p w:rsidR="008C4466" w:rsidRPr="00B669E5" w:rsidRDefault="008C4466" w:rsidP="008C4466">
      <w:pPr>
        <w:spacing w:before="100" w:beforeAutospacing="1" w:after="100" w:afterAutospacing="1"/>
        <w:jc w:val="both"/>
        <w:rPr>
          <w:sz w:val="28"/>
        </w:rPr>
      </w:pPr>
      <w:r w:rsidRPr="00B669E5">
        <w:rPr>
          <w:sz w:val="28"/>
        </w:rPr>
        <w:t>Police are suspected of hiding his body and dumping it in a ditch sometime later at night. The next day, the police reported finding Ramsewak’s body floating in a ditch. The Police removed the body with the help of locals. Investigation of the deceased’s body revealed that the victim’s hands were tied and there were injury marks on his neck, temple, chest and head. His body had a cut mark on the right eyebrow and blood was coming out of it. Although the police said Ramsewak died by drowning, no water came out of his mouth when his stomach was pressed; however there was blood even during the cremation. Pieces of a plastic bag that were used to block the nostrils had dried bloodstains. He was found lying face down. Dried bloodstains were found on the white polythene bag used to cover the face of the victim. The police ordered the removal of the victim’s clothes at the place his body was found.</w:t>
      </w:r>
    </w:p>
    <w:p w:rsidR="008C4466" w:rsidRPr="00B669E5" w:rsidRDefault="008C4466" w:rsidP="008C4466">
      <w:pPr>
        <w:spacing w:before="100" w:beforeAutospacing="1" w:after="100" w:afterAutospacing="1"/>
        <w:jc w:val="both"/>
        <w:rPr>
          <w:sz w:val="28"/>
        </w:rPr>
      </w:pPr>
      <w:r w:rsidRPr="00B669E5">
        <w:rPr>
          <w:sz w:val="28"/>
        </w:rPr>
        <w:t xml:space="preserve">It is mandatory to conduct a post-mortem examination when somebody dies in an accident but in this case, the police </w:t>
      </w:r>
      <w:r w:rsidR="008B7134">
        <w:rPr>
          <w:sz w:val="28"/>
        </w:rPr>
        <w:t>pressurised</w:t>
      </w:r>
      <w:r w:rsidRPr="00B669E5">
        <w:rPr>
          <w:sz w:val="28"/>
        </w:rPr>
        <w:t xml:space="preserve"> the family to cremate the body without having a post-mortem. The cremation was carried out on August 9 without waiting for his father and relatives, thereby denying them the possibility of carrying out the funeral rites. Furthermore, following Hindu tradition, the body of unmarried men and women are buried, not cremated. However the family was pressurized into cremating Ramsewak despite him being celibate. The police guarded the cremation ground throughout the process. This comes into stark contrast with the case of two girls who died by drowning in the area the previous week. The police had then pressurized the reluctant family to have a post-mortem investigation.  </w:t>
      </w:r>
    </w:p>
    <w:p w:rsidR="008C4466" w:rsidRPr="002945A5" w:rsidRDefault="008C4466" w:rsidP="008C4466">
      <w:pPr>
        <w:pStyle w:val="Heading1"/>
        <w:spacing w:before="100" w:beforeAutospacing="1" w:after="100" w:afterAutospacing="1"/>
        <w:rPr>
          <w:rFonts w:ascii="Times New Roman" w:hAnsi="Times New Roman"/>
          <w:sz w:val="28"/>
          <w:szCs w:val="28"/>
        </w:rPr>
      </w:pPr>
      <w:bookmarkStart w:id="82" w:name="_Toc379980874"/>
      <w:bookmarkStart w:id="83" w:name="_Toc379983687"/>
      <w:r w:rsidRPr="002945A5">
        <w:rPr>
          <w:rFonts w:ascii="Times New Roman" w:hAnsi="Times New Roman"/>
          <w:sz w:val="28"/>
          <w:szCs w:val="28"/>
        </w:rPr>
        <w:t>Witness intimidation</w:t>
      </w:r>
      <w:bookmarkEnd w:id="82"/>
      <w:bookmarkEnd w:id="83"/>
    </w:p>
    <w:p w:rsidR="008C4466" w:rsidRPr="00B669E5" w:rsidRDefault="008C4466" w:rsidP="008C4466">
      <w:pPr>
        <w:spacing w:before="100" w:beforeAutospacing="1" w:after="100" w:afterAutospacing="1"/>
        <w:jc w:val="both"/>
        <w:rPr>
          <w:sz w:val="28"/>
        </w:rPr>
      </w:pPr>
      <w:r w:rsidRPr="00B669E5">
        <w:rPr>
          <w:sz w:val="28"/>
        </w:rPr>
        <w:t xml:space="preserve">On August 22, two plainclothes police went to the deceased’s family at around 7pm to get their signatures on a recognizance of death deed but the deceased’s </w:t>
      </w:r>
      <w:r w:rsidRPr="00B669E5">
        <w:rPr>
          <w:sz w:val="28"/>
        </w:rPr>
        <w:lastRenderedPageBreak/>
        <w:t xml:space="preserve">family refused to sign the paper. Eight policemen went to the deceased’s family again around 8pm the same day and urged them to sign a paper without even reading the paper to them. The family again refused to sign it. </w:t>
      </w:r>
    </w:p>
    <w:p w:rsidR="008C4466" w:rsidRPr="00B669E5" w:rsidRDefault="008C4466" w:rsidP="008C4466">
      <w:pPr>
        <w:spacing w:before="100" w:beforeAutospacing="1" w:after="100" w:afterAutospacing="1"/>
        <w:jc w:val="both"/>
        <w:rPr>
          <w:sz w:val="28"/>
        </w:rPr>
      </w:pPr>
      <w:r w:rsidRPr="00B669E5">
        <w:rPr>
          <w:sz w:val="28"/>
        </w:rPr>
        <w:t xml:space="preserve">At around 10pm, 10 policemen, two in police uniform, went to the deceased’s family again and pressurized them to sign the paper. Sympathetic villagers gathered at the victim’s home and told the police that the victim’s family should not sign the document because the police did not conduct a post-mortem on the body. The police backed down. </w:t>
      </w:r>
    </w:p>
    <w:p w:rsidR="008C4466" w:rsidRPr="00B669E5" w:rsidRDefault="008C4466" w:rsidP="008C4466">
      <w:pPr>
        <w:spacing w:before="100" w:beforeAutospacing="1" w:after="100" w:afterAutospacing="1"/>
        <w:jc w:val="both"/>
        <w:rPr>
          <w:sz w:val="28"/>
        </w:rPr>
      </w:pPr>
      <w:r w:rsidRPr="00B669E5">
        <w:rPr>
          <w:sz w:val="28"/>
        </w:rPr>
        <w:t xml:space="preserve">On August 22, 2013, the deceased’s father registered an application at the Regional Office of THRD Alliance, Bhairahwa seeking legal aid and an investigation into the alleged custodial death of his son. Madeshi Human Rights Home (MAHURI) also recommended that the family be provided with legal help.  </w:t>
      </w:r>
    </w:p>
    <w:p w:rsidR="008C4466" w:rsidRPr="002945A5" w:rsidRDefault="008C4466" w:rsidP="008C4466">
      <w:pPr>
        <w:pStyle w:val="Heading1"/>
        <w:spacing w:before="100" w:beforeAutospacing="1" w:after="100" w:afterAutospacing="1"/>
        <w:rPr>
          <w:rFonts w:ascii="Times New Roman" w:hAnsi="Times New Roman"/>
          <w:sz w:val="28"/>
          <w:szCs w:val="28"/>
        </w:rPr>
      </w:pPr>
      <w:bookmarkStart w:id="84" w:name="_Toc379980875"/>
      <w:bookmarkStart w:id="85" w:name="_Toc379983688"/>
      <w:r w:rsidRPr="002945A5">
        <w:rPr>
          <w:rFonts w:ascii="Times New Roman" w:hAnsi="Times New Roman"/>
          <w:sz w:val="28"/>
          <w:szCs w:val="28"/>
        </w:rPr>
        <w:t>Response of the State</w:t>
      </w:r>
      <w:bookmarkEnd w:id="84"/>
      <w:bookmarkEnd w:id="85"/>
      <w:r w:rsidRPr="002945A5">
        <w:rPr>
          <w:rFonts w:ascii="Times New Roman" w:hAnsi="Times New Roman"/>
          <w:sz w:val="28"/>
          <w:szCs w:val="28"/>
        </w:rPr>
        <w:t xml:space="preserve"> </w:t>
      </w:r>
    </w:p>
    <w:p w:rsidR="008C4466" w:rsidRPr="00B669E5" w:rsidRDefault="008C4466" w:rsidP="008C4466">
      <w:pPr>
        <w:spacing w:before="100" w:beforeAutospacing="1" w:after="100" w:afterAutospacing="1"/>
        <w:jc w:val="both"/>
        <w:rPr>
          <w:sz w:val="28"/>
        </w:rPr>
      </w:pPr>
      <w:r w:rsidRPr="00B669E5">
        <w:rPr>
          <w:sz w:val="28"/>
        </w:rPr>
        <w:t xml:space="preserve">Police Inspector of Area Police Office, Marchwar Prem Bandhu Pokhrel told THRD Alliance in a telephonic interview that Ramsewak Dhobi was suffering from a mental illness and was an alcoholic. He also reported that he had not been arrested by Area Police Office Marchwar, and that the police had not seen him at the gate of the police office that day. </w:t>
      </w:r>
    </w:p>
    <w:p w:rsidR="008C4466" w:rsidRPr="00B669E5" w:rsidRDefault="008C4466" w:rsidP="008C4466">
      <w:pPr>
        <w:spacing w:before="100" w:beforeAutospacing="1" w:after="100" w:afterAutospacing="1"/>
        <w:jc w:val="both"/>
        <w:rPr>
          <w:sz w:val="28"/>
        </w:rPr>
      </w:pPr>
      <w:r w:rsidRPr="00B669E5">
        <w:rPr>
          <w:sz w:val="28"/>
        </w:rPr>
        <w:t>They reported that at that time they had 10 people in custody, all charged under the Narcotics Drugs and Psychotropic Substances Act. Pokhrel invited THRD Alliance to interview them about the incident.</w:t>
      </w:r>
    </w:p>
    <w:p w:rsidR="008C4466" w:rsidRPr="00B669E5" w:rsidRDefault="008C4466" w:rsidP="008C4466">
      <w:pPr>
        <w:spacing w:before="100" w:beforeAutospacing="1" w:after="100" w:afterAutospacing="1"/>
        <w:jc w:val="both"/>
        <w:rPr>
          <w:sz w:val="28"/>
        </w:rPr>
      </w:pPr>
      <w:r w:rsidRPr="00B669E5">
        <w:rPr>
          <w:sz w:val="28"/>
        </w:rPr>
        <w:t xml:space="preserve">He claimed that the only mistake made by the police was to not conduct a post-mortem, and to allow the cremation of the body as requested by the deceased’s family. (This claim is in direct contradiction to what the family has reported.) He also claimed there were no marks on the body, except for some bleeding. </w:t>
      </w:r>
    </w:p>
    <w:p w:rsidR="008C4466" w:rsidRPr="00B669E5" w:rsidRDefault="008C4466" w:rsidP="008C4466">
      <w:pPr>
        <w:spacing w:before="100" w:beforeAutospacing="1" w:after="100" w:afterAutospacing="1"/>
        <w:jc w:val="both"/>
        <w:rPr>
          <w:sz w:val="28"/>
        </w:rPr>
      </w:pPr>
      <w:r w:rsidRPr="00B669E5">
        <w:rPr>
          <w:sz w:val="28"/>
        </w:rPr>
        <w:t xml:space="preserve">Finally, he stated that there was an election campaign on, and some people were blowing the issue out of proportion to gain electoral advantage. </w:t>
      </w:r>
    </w:p>
    <w:p w:rsidR="008C4466" w:rsidRPr="00B669E5" w:rsidRDefault="008C4466" w:rsidP="008C4466">
      <w:pPr>
        <w:spacing w:before="100" w:beforeAutospacing="1" w:after="100" w:afterAutospacing="1"/>
        <w:jc w:val="both"/>
        <w:rPr>
          <w:sz w:val="28"/>
        </w:rPr>
      </w:pPr>
    </w:p>
    <w:sectPr w:rsidR="008C4466" w:rsidRPr="00B669E5" w:rsidSect="00660B32">
      <w:footerReference w:type="even" r:id="rId13"/>
      <w:footerReference w:type="default" r:id="rId14"/>
      <w:pgSz w:w="12240" w:h="15840" w:code="1"/>
      <w:pgMar w:top="1440" w:right="1440" w:bottom="1440" w:left="1440" w:header="720"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3188" w:rsidRDefault="00AF3188" w:rsidP="008C4466">
      <w:r>
        <w:separator/>
      </w:r>
    </w:p>
  </w:endnote>
  <w:endnote w:type="continuationSeparator" w:id="1">
    <w:p w:rsidR="00AF3188" w:rsidRDefault="00AF3188" w:rsidP="008C446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eiryo">
    <w:panose1 w:val="020B0604030504040204"/>
    <w:charset w:val="80"/>
    <w:family w:val="swiss"/>
    <w:pitch w:val="variable"/>
    <w:sig w:usb0="E10102FF" w:usb1="EAC7FFFF" w:usb2="00010012" w:usb3="00000000" w:csb0="0002009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Condensed">
    <w:panose1 w:val="020B0606020104020203"/>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 w:name="Calibri Light">
    <w:altName w:val="Consolas"/>
    <w:charset w:val="00"/>
    <w:family w:val="auto"/>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Preeti">
    <w:panose1 w:val="00000000000000000000"/>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B23" w:rsidRDefault="002B0D6B" w:rsidP="00B617BA">
    <w:pPr>
      <w:pStyle w:val="Footer"/>
      <w:framePr w:wrap="around" w:vAnchor="text" w:hAnchor="margin" w:xAlign="right" w:y="1"/>
      <w:rPr>
        <w:rStyle w:val="PageNumber"/>
      </w:rPr>
    </w:pPr>
    <w:r>
      <w:rPr>
        <w:rStyle w:val="PageNumber"/>
      </w:rPr>
      <w:fldChar w:fldCharType="begin"/>
    </w:r>
    <w:r w:rsidR="00872B23">
      <w:rPr>
        <w:rStyle w:val="PageNumber"/>
      </w:rPr>
      <w:instrText xml:space="preserve">PAGE  </w:instrText>
    </w:r>
    <w:r>
      <w:rPr>
        <w:rStyle w:val="PageNumber"/>
      </w:rPr>
      <w:fldChar w:fldCharType="separate"/>
    </w:r>
    <w:r w:rsidR="00872B23">
      <w:rPr>
        <w:rStyle w:val="PageNumber"/>
        <w:noProof/>
      </w:rPr>
      <w:t>4</w:t>
    </w:r>
    <w:r>
      <w:rPr>
        <w:rStyle w:val="PageNumber"/>
      </w:rPr>
      <w:fldChar w:fldCharType="end"/>
    </w:r>
  </w:p>
  <w:p w:rsidR="00872B23" w:rsidRDefault="00872B23" w:rsidP="00B617B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24202"/>
      <w:docPartObj>
        <w:docPartGallery w:val="Page Numbers (Bottom of Page)"/>
        <w:docPartUnique/>
      </w:docPartObj>
    </w:sdtPr>
    <w:sdtContent>
      <w:p w:rsidR="00872B23" w:rsidRDefault="002B0D6B">
        <w:pPr>
          <w:pStyle w:val="Footer"/>
          <w:jc w:val="right"/>
        </w:pPr>
        <w:fldSimple w:instr=" PAGE   \* MERGEFORMAT ">
          <w:r w:rsidR="00872B23">
            <w:rPr>
              <w:noProof/>
            </w:rPr>
            <w:t>4</w:t>
          </w:r>
        </w:fldSimple>
      </w:p>
    </w:sdtContent>
  </w:sdt>
  <w:p w:rsidR="00872B23" w:rsidRDefault="00872B23" w:rsidP="00B617BA">
    <w:pPr>
      <w:pStyle w:val="Footer"/>
      <w:pageBreakBefore/>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B23" w:rsidRDefault="002B0D6B" w:rsidP="00B617BA">
    <w:pPr>
      <w:pStyle w:val="Footer"/>
      <w:framePr w:wrap="around" w:vAnchor="text" w:hAnchor="margin" w:xAlign="right" w:y="1"/>
      <w:rPr>
        <w:rStyle w:val="PageNumber"/>
      </w:rPr>
    </w:pPr>
    <w:r>
      <w:rPr>
        <w:rStyle w:val="PageNumber"/>
      </w:rPr>
      <w:fldChar w:fldCharType="begin"/>
    </w:r>
    <w:r w:rsidR="00872B23">
      <w:rPr>
        <w:rStyle w:val="PageNumber"/>
      </w:rPr>
      <w:instrText xml:space="preserve">PAGE  </w:instrText>
    </w:r>
    <w:r>
      <w:rPr>
        <w:rStyle w:val="PageNumber"/>
      </w:rPr>
      <w:fldChar w:fldCharType="separate"/>
    </w:r>
    <w:r w:rsidR="00872B23">
      <w:rPr>
        <w:rStyle w:val="PageNumber"/>
        <w:noProof/>
      </w:rPr>
      <w:t>4</w:t>
    </w:r>
    <w:r>
      <w:rPr>
        <w:rStyle w:val="PageNumber"/>
      </w:rPr>
      <w:fldChar w:fldCharType="end"/>
    </w:r>
  </w:p>
  <w:p w:rsidR="00872B23" w:rsidRDefault="00872B23" w:rsidP="00B617BA">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24208"/>
      <w:docPartObj>
        <w:docPartGallery w:val="Page Numbers (Bottom of Page)"/>
        <w:docPartUnique/>
      </w:docPartObj>
    </w:sdtPr>
    <w:sdtContent>
      <w:p w:rsidR="00872B23" w:rsidRDefault="002B0D6B">
        <w:pPr>
          <w:pStyle w:val="Footer"/>
          <w:jc w:val="right"/>
        </w:pPr>
      </w:p>
    </w:sdtContent>
  </w:sdt>
  <w:p w:rsidR="00872B23" w:rsidRDefault="00872B23" w:rsidP="00B617BA">
    <w:pPr>
      <w:pStyle w:val="Footer"/>
      <w:pageBreakBefore/>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B23" w:rsidRDefault="00872B23" w:rsidP="00B617BA">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B23" w:rsidRDefault="00872B23" w:rsidP="00660B32">
    <w:pPr>
      <w:jc w:val="right"/>
    </w:pPr>
    <w:r>
      <w:t xml:space="preserve">Continuing Extrajudicial Executions In The Terai| </w:t>
    </w:r>
    <w:fldSimple w:instr=" PAGE   \* MERGEFORMAT ">
      <w:r w:rsidR="008169A2">
        <w:rPr>
          <w:noProof/>
        </w:rPr>
        <w:t>1</w:t>
      </w:r>
    </w:fldSimple>
    <w:r>
      <w:t xml:space="preserve"> </w:t>
    </w:r>
  </w:p>
  <w:p w:rsidR="00872B23" w:rsidRDefault="00872B23" w:rsidP="00B617BA">
    <w:pPr>
      <w:pStyle w:val="Footer"/>
      <w:pageBreakBefor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3188" w:rsidRDefault="00AF3188" w:rsidP="008C4466">
      <w:r>
        <w:separator/>
      </w:r>
    </w:p>
  </w:footnote>
  <w:footnote w:type="continuationSeparator" w:id="1">
    <w:p w:rsidR="00AF3188" w:rsidRDefault="00AF3188" w:rsidP="008C4466">
      <w:r>
        <w:continuationSeparator/>
      </w:r>
    </w:p>
  </w:footnote>
  <w:footnote w:id="2">
    <w:p w:rsidR="00872B23" w:rsidRDefault="00872B23" w:rsidP="008C4466">
      <w:pPr>
        <w:pStyle w:val="FootnoteText"/>
      </w:pPr>
      <w:r>
        <w:rPr>
          <w:rStyle w:val="FootnoteReference"/>
        </w:rPr>
        <w:footnoteRef/>
      </w:r>
      <w:r>
        <w:t xml:space="preserve"> OHCHR, ‘Investigating allegations of extra-judicial killings in the Terai. OHCHR-Nepal summary of concerns’, July 2010, available at </w:t>
      </w:r>
      <w:hyperlink r:id="rId1" w:history="1">
        <w:r w:rsidRPr="0041247A">
          <w:rPr>
            <w:rStyle w:val="Hyperlink"/>
          </w:rPr>
          <w:t>http://nepal.ohchr.org/en/resources/Documents/English/reports/HCR/Investigating%20Allegations%20of%20Extra-Judicial%20Killings%20in%20the%20Terai.pdf</w:t>
        </w:r>
      </w:hyperlink>
      <w:r>
        <w:t>.</w:t>
      </w:r>
    </w:p>
  </w:footnote>
  <w:footnote w:id="3">
    <w:p w:rsidR="00872B23" w:rsidRPr="002068E3" w:rsidRDefault="00872B23" w:rsidP="008C4466">
      <w:pPr>
        <w:pStyle w:val="FootnoteText"/>
        <w:rPr>
          <w:rFonts w:ascii="Arial" w:hAnsi="Arial" w:cs="Arial"/>
          <w:i/>
          <w:color w:val="222222"/>
          <w:u w:val="single"/>
        </w:rPr>
      </w:pPr>
      <w:r>
        <w:rPr>
          <w:rStyle w:val="FootnoteReference"/>
        </w:rPr>
        <w:footnoteRef/>
      </w:r>
      <w:r>
        <w:t xml:space="preserve"> </w:t>
      </w:r>
      <w:r w:rsidRPr="00A76597">
        <w:t>For instance, “</w:t>
      </w:r>
      <w:r w:rsidRPr="005106B7">
        <w:t xml:space="preserve">these allegations are not per se instances of extra-judicial killings, and the presentation of which in the Report is far from the truth”. </w:t>
      </w:r>
      <w:r w:rsidRPr="00A76597">
        <w:t xml:space="preserve"> “Response and Comments of the Government of Nepal to and on the Draft OHCHR Report about investigating Allegations of Extra-judicial Killings in the</w:t>
      </w:r>
      <w:r w:rsidRPr="00FF5534">
        <w:t xml:space="preserve"> Terai-Nepal, Summery of Concerns July 2010, p. 1 para 3, available at: </w:t>
      </w:r>
      <w:hyperlink r:id="rId2" w:history="1">
        <w:r w:rsidRPr="005106B7">
          <w:rPr>
            <w:rStyle w:val="Hyperlink"/>
          </w:rPr>
          <w:t>http://www.ncf.org.np/?page=data&amp;cat_id=2</w:t>
        </w:r>
      </w:hyperlink>
    </w:p>
  </w:footnote>
  <w:footnote w:id="4">
    <w:p w:rsidR="00872B23" w:rsidRPr="005106B7" w:rsidRDefault="00872B23" w:rsidP="008C4466">
      <w:pPr>
        <w:pStyle w:val="FootnoteText"/>
      </w:pPr>
      <w:r>
        <w:rPr>
          <w:rStyle w:val="FootnoteReference"/>
        </w:rPr>
        <w:footnoteRef/>
      </w:r>
      <w:r>
        <w:t xml:space="preserve"> Advocacy Forum, ‘Torture and Extrajudicial Executions amid Widespread Violence in the Terai’, 2010, available at </w:t>
      </w:r>
      <w:hyperlink r:id="rId3" w:history="1">
        <w:r w:rsidRPr="00903EBB">
          <w:rPr>
            <w:rStyle w:val="Hyperlink"/>
          </w:rPr>
          <w:t>http://www.advocacyforum.org/downloads/pdf/publications/terai-report-english.pdf</w:t>
        </w:r>
      </w:hyperlink>
      <w:r>
        <w:t xml:space="preserve"> and </w:t>
      </w:r>
      <w:r w:rsidRPr="001C63CD">
        <w:t>DFHR, ‘Extra-judicial Killings in Terai’</w:t>
      </w:r>
      <w:r>
        <w:t>, Periodic Report, May 2011</w:t>
      </w:r>
    </w:p>
  </w:footnote>
  <w:footnote w:id="5">
    <w:p w:rsidR="00872B23" w:rsidRPr="00AC7FE7" w:rsidRDefault="00872B23" w:rsidP="008C4466">
      <w:pPr>
        <w:pStyle w:val="FootnoteText"/>
      </w:pPr>
      <w:r>
        <w:rPr>
          <w:rStyle w:val="FootnoteReference"/>
        </w:rPr>
        <w:footnoteRef/>
      </w:r>
      <w:r>
        <w:t xml:space="preserve"> </w:t>
      </w:r>
      <w:r w:rsidRPr="00AC7FE7">
        <w:t xml:space="preserve">Human Rights Council, Seventeenth session, Universal Periodic Review, </w:t>
      </w:r>
      <w:r w:rsidRPr="00AC7FE7">
        <w:rPr>
          <w:rFonts w:hint="cs"/>
        </w:rPr>
        <w:t>‘</w:t>
      </w:r>
      <w:r w:rsidRPr="00AC7FE7">
        <w:t>Report of the Working Group on the Universal Periodic Review: Nepal</w:t>
      </w:r>
      <w:r w:rsidRPr="00AC7FE7">
        <w:rPr>
          <w:rFonts w:hint="cs"/>
        </w:rPr>
        <w:t>’</w:t>
      </w:r>
      <w:r w:rsidRPr="00AC7FE7">
        <w:t>, A/HRC/17/5, 8 March 201</w:t>
      </w:r>
      <w:r>
        <w:t xml:space="preserve">0, </w:t>
      </w:r>
      <w:r w:rsidRPr="00AC7FE7">
        <w:t>paras. 106.38, 107.3</w:t>
      </w:r>
    </w:p>
  </w:footnote>
  <w:footnote w:id="6">
    <w:p w:rsidR="00872B23" w:rsidRPr="0074723B" w:rsidRDefault="00872B23" w:rsidP="008C4466">
      <w:pPr>
        <w:pStyle w:val="FootnoteText"/>
      </w:pPr>
      <w:r>
        <w:rPr>
          <w:rStyle w:val="FootnoteReference"/>
        </w:rPr>
        <w:footnoteRef/>
      </w:r>
      <w:r>
        <w:t xml:space="preserve"> </w:t>
      </w:r>
      <w:hyperlink r:id="rId4" w:history="1">
        <w:r w:rsidRPr="00DC1429">
          <w:rPr>
            <w:rStyle w:val="Hyperlink"/>
          </w:rPr>
          <w:t>http://taraihumanrights.org/inner.php?id=2</w:t>
        </w:r>
      </w:hyperlink>
    </w:p>
  </w:footnote>
  <w:footnote w:id="7">
    <w:p w:rsidR="00872B23" w:rsidRPr="002068E3" w:rsidRDefault="00872B23" w:rsidP="008C4466">
      <w:pPr>
        <w:pStyle w:val="FootnoteText"/>
      </w:pPr>
      <w:r>
        <w:rPr>
          <w:rStyle w:val="FootnoteReference"/>
        </w:rPr>
        <w:footnoteRef/>
      </w:r>
      <w:r>
        <w:t xml:space="preserve"> See below Sections 3.4.1 and 3.6 page-4,5,6 and page-16</w:t>
      </w:r>
    </w:p>
  </w:footnote>
  <w:footnote w:id="8">
    <w:p w:rsidR="00872B23" w:rsidRPr="00152FAE" w:rsidRDefault="00872B23" w:rsidP="008C4466">
      <w:pPr>
        <w:pStyle w:val="FootnoteText"/>
      </w:pPr>
      <w:r>
        <w:rPr>
          <w:rStyle w:val="FootnoteReference"/>
        </w:rPr>
        <w:footnoteRef/>
      </w:r>
      <w:r>
        <w:t xml:space="preserve"> A/HRC/11/2/Add.5 Para 3 </w:t>
      </w:r>
    </w:p>
  </w:footnote>
  <w:footnote w:id="9">
    <w:p w:rsidR="00872B23" w:rsidRPr="00BB6207" w:rsidRDefault="00872B23" w:rsidP="008C4466">
      <w:pPr>
        <w:pStyle w:val="FootnoteText"/>
      </w:pPr>
      <w:r>
        <w:rPr>
          <w:rStyle w:val="FootnoteReference"/>
        </w:rPr>
        <w:footnoteRef/>
      </w:r>
      <w:r w:rsidRPr="00866FE0">
        <w:t xml:space="preserve"> Police Act 2012 (1955), Section 15(d)</w:t>
      </w:r>
      <w:r>
        <w:t xml:space="preserve"> and S</w:t>
      </w:r>
      <w:r w:rsidRPr="00866FE0">
        <w:t>tate Cases Rules 2055 (1999), Rule 3</w:t>
      </w:r>
    </w:p>
  </w:footnote>
  <w:footnote w:id="10">
    <w:p w:rsidR="00872B23" w:rsidRPr="00866FE0" w:rsidRDefault="00872B23" w:rsidP="008C4466">
      <w:pPr>
        <w:pStyle w:val="FootnoteText"/>
      </w:pPr>
      <w:r>
        <w:rPr>
          <w:rStyle w:val="FootnoteReference"/>
        </w:rPr>
        <w:footnoteRef/>
      </w:r>
      <w:r>
        <w:t xml:space="preserve"> Police Act 2012 (1955)</w:t>
      </w:r>
      <w:r w:rsidRPr="00866FE0">
        <w:t>,</w:t>
      </w:r>
      <w:r>
        <w:t xml:space="preserve"> </w:t>
      </w:r>
      <w:r w:rsidRPr="00866FE0">
        <w:t>Sections 4 and 7. The State Cases Act 2049 (1992) applies to cases where the government is the plaintiff (including crimes such as rape and homicide) or the defendant.</w:t>
      </w:r>
    </w:p>
  </w:footnote>
  <w:footnote w:id="11">
    <w:p w:rsidR="00872B23" w:rsidRPr="00866FE0" w:rsidRDefault="00872B23" w:rsidP="008C4466">
      <w:pPr>
        <w:pStyle w:val="FootnoteText"/>
      </w:pPr>
      <w:r>
        <w:rPr>
          <w:rStyle w:val="FootnoteReference"/>
        </w:rPr>
        <w:footnoteRef/>
      </w:r>
      <w:r>
        <w:t xml:space="preserve"> S</w:t>
      </w:r>
      <w:r w:rsidRPr="00866FE0">
        <w:t>tate Cases Rules 2055 (1999), Rule 3.</w:t>
      </w:r>
    </w:p>
  </w:footnote>
  <w:footnote w:id="12">
    <w:p w:rsidR="00872B23" w:rsidRPr="002A7228" w:rsidRDefault="00872B23" w:rsidP="008C4466">
      <w:pPr>
        <w:pStyle w:val="FootnoteText"/>
      </w:pPr>
      <w:r>
        <w:rPr>
          <w:rStyle w:val="FootnoteReference"/>
        </w:rPr>
        <w:footnoteRef/>
      </w:r>
      <w:r>
        <w:rPr>
          <w:rFonts w:cs="Helvetica"/>
          <w:color w:val="333333"/>
        </w:rPr>
        <w:t xml:space="preserve"> UN human rights expert questions targeted killings and use of lethal force, UN News Centre, 20 October 2011. </w:t>
      </w:r>
      <w:hyperlink r:id="rId5" w:anchor=".UnZNbFZFDIU" w:history="1">
        <w:r w:rsidRPr="00DC1429">
          <w:rPr>
            <w:rStyle w:val="Hyperlink"/>
            <w:rFonts w:cs="Helvetica"/>
          </w:rPr>
          <w:t>http://www.un.org/apps/news/story.asp?NewsID=40136&amp;Cr=heyns&amp;Cr1#.UnZNbFZFDIU</w:t>
        </w:r>
      </w:hyperlink>
    </w:p>
  </w:footnote>
  <w:footnote w:id="13">
    <w:p w:rsidR="00872B23" w:rsidRPr="00AE2E88" w:rsidRDefault="00872B23" w:rsidP="008C4466">
      <w:pPr>
        <w:pStyle w:val="FootnoteText"/>
      </w:pPr>
      <w:r>
        <w:rPr>
          <w:rStyle w:val="FootnoteReference"/>
        </w:rPr>
        <w:footnoteRef/>
      </w:r>
      <w:r>
        <w:t xml:space="preserve"> Advocacy Forum and Redress, ‘H</w:t>
      </w:r>
      <w:r w:rsidRPr="00AE2E88">
        <w:t>eld to account</w:t>
      </w:r>
      <w:r>
        <w:t xml:space="preserve">, </w:t>
      </w:r>
      <w:r w:rsidRPr="00AE2E88">
        <w:t>Making the</w:t>
      </w:r>
      <w:r>
        <w:t xml:space="preserve"> law work to fight impunity in N</w:t>
      </w:r>
      <w:r w:rsidRPr="00AE2E88">
        <w:t>epal</w:t>
      </w:r>
      <w:r>
        <w:t xml:space="preserve">’, </w:t>
      </w:r>
      <w:r w:rsidRPr="00AE2E88">
        <w:t>December 2011</w:t>
      </w:r>
      <w:r>
        <w:t>. p. 7.</w:t>
      </w:r>
    </w:p>
  </w:footnote>
  <w:footnote w:id="14">
    <w:p w:rsidR="00872B23" w:rsidRPr="00AE2E88" w:rsidRDefault="00872B23" w:rsidP="008C4466">
      <w:pPr>
        <w:pStyle w:val="FootnoteText"/>
      </w:pPr>
      <w:r>
        <w:rPr>
          <w:rStyle w:val="FootnoteReference"/>
        </w:rPr>
        <w:footnoteRef/>
      </w:r>
      <w:r>
        <w:t xml:space="preserve"> Advocacy Forum and Redress, ‘H</w:t>
      </w:r>
      <w:r w:rsidRPr="00AE2E88">
        <w:t>eld to account</w:t>
      </w:r>
      <w:r>
        <w:t xml:space="preserve">, </w:t>
      </w:r>
      <w:r w:rsidRPr="00AE2E88">
        <w:t>Making the</w:t>
      </w:r>
      <w:r>
        <w:t xml:space="preserve"> law work to fight impunity in N</w:t>
      </w:r>
      <w:r w:rsidRPr="00AE2E88">
        <w:t>epal</w:t>
      </w:r>
      <w:r>
        <w:t xml:space="preserve">’, </w:t>
      </w:r>
      <w:r w:rsidRPr="00AE2E88">
        <w:t>December 2011</w:t>
      </w:r>
      <w:r>
        <w:t>, p. 7.</w:t>
      </w:r>
    </w:p>
  </w:footnote>
  <w:footnote w:id="15">
    <w:p w:rsidR="00872B23" w:rsidRPr="00BC19B5" w:rsidRDefault="00872B23" w:rsidP="008C4466">
      <w:pPr>
        <w:pStyle w:val="FootnoteText"/>
      </w:pPr>
      <w:r>
        <w:rPr>
          <w:rStyle w:val="FootnoteReference"/>
        </w:rPr>
        <w:footnoteRef/>
      </w:r>
      <w:r>
        <w:t xml:space="preserve"> State Cases Act (1992) also sometimes called Government Cases Act. </w:t>
      </w:r>
    </w:p>
  </w:footnote>
  <w:footnote w:id="16">
    <w:p w:rsidR="00872B23" w:rsidRPr="00BC19B5" w:rsidRDefault="00872B23" w:rsidP="008C4466">
      <w:pPr>
        <w:pStyle w:val="FootnoteText"/>
      </w:pPr>
      <w:r>
        <w:rPr>
          <w:rStyle w:val="FootnoteReference"/>
        </w:rPr>
        <w:footnoteRef/>
      </w:r>
      <w:r>
        <w:t xml:space="preserve"> Advocacy Forum and Redress. ‘H</w:t>
      </w:r>
      <w:r w:rsidRPr="00AE2E88">
        <w:t>eld to account</w:t>
      </w:r>
      <w:r>
        <w:t xml:space="preserve">, </w:t>
      </w:r>
      <w:r w:rsidRPr="00AE2E88">
        <w:t>Making the</w:t>
      </w:r>
      <w:r>
        <w:t xml:space="preserve"> law work to fight impunity in N</w:t>
      </w:r>
      <w:r w:rsidRPr="00AE2E88">
        <w:t>epal</w:t>
      </w:r>
      <w:r>
        <w:t xml:space="preserve">’, </w:t>
      </w:r>
      <w:r w:rsidRPr="00AE2E88">
        <w:t>December 2011</w:t>
      </w:r>
      <w:r>
        <w:t>, p. 7.</w:t>
      </w:r>
    </w:p>
  </w:footnote>
  <w:footnote w:id="17">
    <w:p w:rsidR="00872B23" w:rsidRPr="00172E82" w:rsidRDefault="00872B23" w:rsidP="008C4466">
      <w:pPr>
        <w:rPr>
          <w:rFonts w:ascii="Tw Cen MT" w:hAnsi="Tw Cen MT"/>
          <w:sz w:val="20"/>
          <w:szCs w:val="20"/>
        </w:rPr>
      </w:pPr>
      <w:r w:rsidRPr="00172E82">
        <w:rPr>
          <w:rStyle w:val="FootnoteReference"/>
          <w:rFonts w:ascii="Tw Cen MT" w:hAnsi="Tw Cen MT"/>
          <w:sz w:val="20"/>
          <w:szCs w:val="20"/>
        </w:rPr>
        <w:footnoteRef/>
      </w:r>
      <w:r>
        <w:rPr>
          <w:rStyle w:val="location"/>
          <w:rFonts w:ascii="Tw Cen MT" w:hAnsi="Tw Cen MT" w:cs="Arial"/>
          <w:sz w:val="20"/>
          <w:szCs w:val="20"/>
        </w:rPr>
        <w:t xml:space="preserve"> </w:t>
      </w:r>
      <w:r w:rsidRPr="00172E82">
        <w:rPr>
          <w:rStyle w:val="location"/>
          <w:rFonts w:ascii="Tw Cen MT" w:hAnsi="Tw Cen MT" w:cs="Arial"/>
          <w:sz w:val="20"/>
          <w:szCs w:val="20"/>
        </w:rPr>
        <w:t>The Economist</w:t>
      </w:r>
      <w:r>
        <w:rPr>
          <w:rFonts w:ascii="Tw Cen MT" w:hAnsi="Tw Cen MT"/>
          <w:bCs/>
          <w:sz w:val="20"/>
          <w:szCs w:val="20"/>
        </w:rPr>
        <w:t>, ‘</w:t>
      </w:r>
      <w:r w:rsidRPr="00172E82">
        <w:rPr>
          <w:rFonts w:ascii="Tw Cen MT" w:hAnsi="Tw Cen MT"/>
          <w:bCs/>
          <w:sz w:val="20"/>
          <w:szCs w:val="20"/>
        </w:rPr>
        <w:t xml:space="preserve">Ad hoc country, </w:t>
      </w:r>
      <w:r w:rsidRPr="00172E82">
        <w:rPr>
          <w:rFonts w:ascii="Tw Cen MT" w:hAnsi="Tw Cen MT"/>
          <w:sz w:val="20"/>
          <w:szCs w:val="20"/>
        </w:rPr>
        <w:t>An election is called, but political stability remains a distant dream</w:t>
      </w:r>
      <w:r>
        <w:rPr>
          <w:rFonts w:ascii="Tw Cen MT" w:hAnsi="Tw Cen MT"/>
          <w:sz w:val="20"/>
          <w:szCs w:val="20"/>
        </w:rPr>
        <w:t>’</w:t>
      </w:r>
    </w:p>
    <w:p w:rsidR="00872B23" w:rsidRPr="00172E82" w:rsidRDefault="00872B23" w:rsidP="008C4466">
      <w:pPr>
        <w:rPr>
          <w:rFonts w:ascii="Tw Cen MT" w:hAnsi="Tw Cen MT"/>
          <w:sz w:val="20"/>
          <w:szCs w:val="20"/>
        </w:rPr>
      </w:pPr>
      <w:r w:rsidRPr="00172E82">
        <w:rPr>
          <w:rFonts w:ascii="Tw Cen MT" w:hAnsi="Tw Cen MT"/>
          <w:sz w:val="20"/>
          <w:szCs w:val="20"/>
        </w:rPr>
        <w:t>Jun</w:t>
      </w:r>
      <w:r>
        <w:rPr>
          <w:rFonts w:ascii="Tw Cen MT" w:hAnsi="Tw Cen MT"/>
          <w:sz w:val="20"/>
          <w:szCs w:val="20"/>
        </w:rPr>
        <w:t>e</w:t>
      </w:r>
      <w:r w:rsidRPr="00172E82">
        <w:rPr>
          <w:rFonts w:ascii="Tw Cen MT" w:hAnsi="Tw Cen MT"/>
          <w:sz w:val="20"/>
          <w:szCs w:val="20"/>
        </w:rPr>
        <w:t xml:space="preserve"> 22</w:t>
      </w:r>
      <w:r>
        <w:rPr>
          <w:rFonts w:ascii="Tw Cen MT" w:hAnsi="Tw Cen MT"/>
          <w:sz w:val="20"/>
          <w:szCs w:val="20"/>
        </w:rPr>
        <w:t>,</w:t>
      </w:r>
      <w:r w:rsidRPr="00172E82">
        <w:rPr>
          <w:rFonts w:ascii="Tw Cen MT" w:hAnsi="Tw Cen MT"/>
          <w:sz w:val="20"/>
          <w:szCs w:val="20"/>
        </w:rPr>
        <w:t xml:space="preserve"> 2013,</w:t>
      </w:r>
      <w:r>
        <w:rPr>
          <w:rStyle w:val="location"/>
          <w:rFonts w:ascii="Tw Cen MT" w:hAnsi="Tw Cen MT" w:cs="Arial"/>
          <w:sz w:val="20"/>
          <w:szCs w:val="20"/>
        </w:rPr>
        <w:t>available at</w:t>
      </w:r>
      <w:hyperlink r:id="rId6" w:history="1">
        <w:r w:rsidRPr="00172E82">
          <w:rPr>
            <w:rStyle w:val="Hyperlink"/>
            <w:rFonts w:ascii="Tw Cen MT" w:hAnsi="Tw Cen MT" w:cs="Arial"/>
            <w:sz w:val="20"/>
            <w:szCs w:val="20"/>
          </w:rPr>
          <w:t>http://www.economist.com/news/asia/21579882-election-called-political-stability-remains-distant-dream-ad-hoc-country?zid=309&amp;ah=80dcf288b8561b012f603b9fd9577f0e</w:t>
        </w:r>
      </w:hyperlink>
      <w:r>
        <w:rPr>
          <w:rStyle w:val="Hyperlink"/>
          <w:rFonts w:ascii="Tw Cen MT" w:hAnsi="Tw Cen MT" w:cs="Arial"/>
          <w:sz w:val="20"/>
          <w:szCs w:val="20"/>
        </w:rPr>
        <w:t xml:space="preserve">. </w:t>
      </w:r>
    </w:p>
  </w:footnote>
  <w:footnote w:id="18">
    <w:p w:rsidR="00872B23" w:rsidRPr="00172E82" w:rsidRDefault="00872B23" w:rsidP="008C4466">
      <w:pPr>
        <w:rPr>
          <w:rFonts w:ascii="Tw Cen MT" w:hAnsi="Tw Cen MT"/>
          <w:sz w:val="20"/>
          <w:szCs w:val="20"/>
        </w:rPr>
      </w:pPr>
      <w:r w:rsidRPr="000E4403">
        <w:rPr>
          <w:rStyle w:val="FootnoteReference"/>
        </w:rPr>
        <w:footnoteRef/>
      </w:r>
      <w:r>
        <w:rPr>
          <w:rStyle w:val="location"/>
          <w:rFonts w:ascii="Tw Cen MT" w:hAnsi="Tw Cen MT" w:cs="Arial"/>
          <w:sz w:val="20"/>
          <w:szCs w:val="20"/>
        </w:rPr>
        <w:t xml:space="preserve"> </w:t>
      </w:r>
      <w:r w:rsidRPr="00172E82">
        <w:rPr>
          <w:rStyle w:val="location"/>
          <w:rFonts w:ascii="Tw Cen MT" w:hAnsi="Tw Cen MT" w:cs="Arial"/>
          <w:sz w:val="20"/>
          <w:szCs w:val="20"/>
        </w:rPr>
        <w:t>The Economist</w:t>
      </w:r>
      <w:r>
        <w:rPr>
          <w:rStyle w:val="location"/>
          <w:rFonts w:ascii="Tw Cen MT" w:hAnsi="Tw Cen MT" w:cs="Arial"/>
          <w:sz w:val="20"/>
          <w:szCs w:val="20"/>
        </w:rPr>
        <w:t xml:space="preserve">, </w:t>
      </w:r>
      <w:r>
        <w:rPr>
          <w:rFonts w:ascii="Tw Cen MT" w:hAnsi="Tw Cen MT"/>
          <w:sz w:val="20"/>
          <w:szCs w:val="20"/>
        </w:rPr>
        <w:t>‘</w:t>
      </w:r>
      <w:r w:rsidRPr="00172E82">
        <w:rPr>
          <w:rFonts w:ascii="Tw Cen MT" w:hAnsi="Tw Cen MT"/>
          <w:sz w:val="20"/>
          <w:szCs w:val="20"/>
        </w:rPr>
        <w:t>Ceremonial time, As the government fails to hold promised elections, speculation grows about how the president will act</w:t>
      </w:r>
      <w:r>
        <w:rPr>
          <w:rFonts w:ascii="Tw Cen MT" w:hAnsi="Tw Cen MT"/>
          <w:sz w:val="20"/>
          <w:szCs w:val="20"/>
        </w:rPr>
        <w:t>’</w:t>
      </w:r>
      <w:r w:rsidRPr="00172E82">
        <w:rPr>
          <w:rFonts w:ascii="Tw Cen MT" w:hAnsi="Tw Cen MT"/>
          <w:sz w:val="20"/>
          <w:szCs w:val="20"/>
        </w:rPr>
        <w:t>, Nov</w:t>
      </w:r>
      <w:r>
        <w:rPr>
          <w:rFonts w:ascii="Tw Cen MT" w:hAnsi="Tw Cen MT"/>
          <w:sz w:val="20"/>
          <w:szCs w:val="20"/>
        </w:rPr>
        <w:t>ember</w:t>
      </w:r>
      <w:r w:rsidRPr="00172E82">
        <w:rPr>
          <w:rFonts w:ascii="Tw Cen MT" w:hAnsi="Tw Cen MT"/>
          <w:sz w:val="20"/>
          <w:szCs w:val="20"/>
        </w:rPr>
        <w:t xml:space="preserve"> 17</w:t>
      </w:r>
      <w:r>
        <w:rPr>
          <w:rFonts w:ascii="Tw Cen MT" w:hAnsi="Tw Cen MT"/>
          <w:sz w:val="20"/>
          <w:szCs w:val="20"/>
        </w:rPr>
        <w:t>,</w:t>
      </w:r>
      <w:r w:rsidRPr="00172E82">
        <w:rPr>
          <w:rFonts w:ascii="Tw Cen MT" w:hAnsi="Tw Cen MT"/>
          <w:sz w:val="20"/>
          <w:szCs w:val="20"/>
        </w:rPr>
        <w:t xml:space="preserve"> 2012</w:t>
      </w:r>
      <w:r w:rsidRPr="00172E82">
        <w:rPr>
          <w:rStyle w:val="location"/>
          <w:rFonts w:ascii="Tw Cen MT" w:hAnsi="Tw Cen MT" w:cs="Arial"/>
          <w:sz w:val="20"/>
          <w:szCs w:val="20"/>
        </w:rPr>
        <w:t xml:space="preserve">, </w:t>
      </w:r>
      <w:r>
        <w:rPr>
          <w:rStyle w:val="location"/>
          <w:rFonts w:ascii="Tw Cen MT" w:hAnsi="Tw Cen MT" w:cs="Arial"/>
          <w:sz w:val="20"/>
          <w:szCs w:val="20"/>
        </w:rPr>
        <w:t>available at</w:t>
      </w:r>
      <w:hyperlink r:id="rId7" w:history="1">
        <w:r w:rsidRPr="00172E82">
          <w:rPr>
            <w:rStyle w:val="Hyperlink"/>
            <w:rFonts w:ascii="Tw Cen MT" w:hAnsi="Tw Cen MT" w:cs="Arial"/>
            <w:sz w:val="20"/>
            <w:szCs w:val="20"/>
          </w:rPr>
          <w:t>http://www.economist.com/news/asia/21566659-government-fails-hold-promised-elections-speculation-grows-about-how-president-will?zid=309&amp;ah=80dcf288b8561b012f603b9fd9577f0e</w:t>
        </w:r>
      </w:hyperlink>
      <w:r>
        <w:rPr>
          <w:rStyle w:val="Hyperlink"/>
          <w:rFonts w:ascii="Tw Cen MT" w:hAnsi="Tw Cen MT" w:cs="Arial"/>
          <w:sz w:val="20"/>
          <w:szCs w:val="20"/>
        </w:rPr>
        <w:t xml:space="preserve">. </w:t>
      </w:r>
    </w:p>
  </w:footnote>
  <w:footnote w:id="19">
    <w:p w:rsidR="00872B23" w:rsidRPr="00172E82" w:rsidRDefault="00872B23" w:rsidP="008C4466">
      <w:pPr>
        <w:rPr>
          <w:rFonts w:ascii="Tw Cen MT" w:hAnsi="Tw Cen MT"/>
          <w:sz w:val="20"/>
          <w:szCs w:val="20"/>
        </w:rPr>
      </w:pPr>
      <w:r w:rsidRPr="00172E82">
        <w:rPr>
          <w:rStyle w:val="FootnoteReference"/>
          <w:rFonts w:ascii="Tw Cen MT" w:hAnsi="Tw Cen MT"/>
          <w:sz w:val="20"/>
          <w:szCs w:val="20"/>
        </w:rPr>
        <w:footnoteRef/>
      </w:r>
      <w:hyperlink r:id="rId8" w:history="1">
        <w:r w:rsidRPr="00172E82">
          <w:rPr>
            <w:rStyle w:val="Hyperlink"/>
            <w:rFonts w:ascii="Tw Cen MT" w:hAnsi="Tw Cen MT"/>
            <w:sz w:val="20"/>
            <w:szCs w:val="20"/>
          </w:rPr>
          <w:t>http://www.ekantipur.com/2013/03/14/top-story/after-13-hr-marathon-parties-okay-cj-govt/368393.html</w:t>
        </w:r>
      </w:hyperlink>
      <w:r>
        <w:rPr>
          <w:rFonts w:ascii="Tw Cen MT" w:hAnsi="Tw Cen MT"/>
          <w:sz w:val="20"/>
          <w:szCs w:val="20"/>
        </w:rPr>
        <w:t xml:space="preserve">. </w:t>
      </w:r>
    </w:p>
  </w:footnote>
  <w:footnote w:id="20">
    <w:p w:rsidR="00872B23" w:rsidRPr="00172E82" w:rsidRDefault="00872B23" w:rsidP="008C4466">
      <w:pPr>
        <w:rPr>
          <w:rFonts w:ascii="Tw Cen MT" w:hAnsi="Tw Cen MT"/>
          <w:color w:val="6B9F25"/>
          <w:sz w:val="20"/>
          <w:szCs w:val="20"/>
          <w:u w:val="single"/>
        </w:rPr>
      </w:pPr>
      <w:r w:rsidRPr="00172E82">
        <w:rPr>
          <w:rStyle w:val="FootnoteReference"/>
          <w:rFonts w:ascii="Tw Cen MT" w:hAnsi="Tw Cen MT"/>
          <w:sz w:val="20"/>
          <w:szCs w:val="20"/>
        </w:rPr>
        <w:footnoteRef/>
      </w:r>
      <w:hyperlink r:id="rId9" w:history="1">
        <w:r w:rsidRPr="00172E82">
          <w:rPr>
            <w:rStyle w:val="Hyperlink"/>
            <w:rFonts w:ascii="Tw Cen MT" w:hAnsi="Tw Cen MT"/>
            <w:sz w:val="20"/>
            <w:szCs w:val="20"/>
          </w:rPr>
          <w:t>http://imagechannels.com/news/details/25458/Supreme-Court-slashes-cabinet-chairman-Khil-Raj-Regmis-status-of-chief-justice-Rules-against-holding-of-double-identi  last accessed 16/09/2013</w:t>
        </w:r>
      </w:hyperlink>
    </w:p>
  </w:footnote>
  <w:footnote w:id="21">
    <w:p w:rsidR="00872B23" w:rsidRPr="00521EBF" w:rsidRDefault="00872B23" w:rsidP="008C4466">
      <w:r w:rsidRPr="00172E82">
        <w:rPr>
          <w:rStyle w:val="FootnoteReference"/>
          <w:rFonts w:ascii="Tw Cen MT" w:hAnsi="Tw Cen MT"/>
          <w:sz w:val="20"/>
          <w:szCs w:val="20"/>
        </w:rPr>
        <w:footnoteRef/>
      </w:r>
      <w:hyperlink r:id="rId10" w:history="1">
        <w:r w:rsidRPr="00172E82">
          <w:rPr>
            <w:rStyle w:val="Hyperlink"/>
            <w:rFonts w:ascii="Tw Cen MT" w:hAnsi="Tw Cen MT"/>
            <w:sz w:val="20"/>
            <w:szCs w:val="20"/>
          </w:rPr>
          <w:t>http://www.myrepublica.com/portal/index.php?action=news_details&amp;news_id=62438</w:t>
        </w:r>
      </w:hyperlink>
      <w:r w:rsidRPr="00172E82">
        <w:rPr>
          <w:rFonts w:ascii="Tw Cen MT" w:hAnsi="Tw Cen MT"/>
          <w:sz w:val="20"/>
          <w:szCs w:val="20"/>
        </w:rPr>
        <w:t xml:space="preserve"> last accessed 01/10/2013 </w:t>
      </w:r>
    </w:p>
  </w:footnote>
  <w:footnote w:id="22">
    <w:p w:rsidR="00872B23" w:rsidRPr="00172E82" w:rsidRDefault="00872B23" w:rsidP="008C4466">
      <w:pPr>
        <w:rPr>
          <w:rFonts w:ascii="Tw Cen MT" w:hAnsi="Tw Cen MT"/>
          <w:sz w:val="20"/>
          <w:szCs w:val="20"/>
        </w:rPr>
      </w:pPr>
      <w:r w:rsidRPr="00172E82">
        <w:rPr>
          <w:rStyle w:val="FootnoteReference"/>
          <w:rFonts w:ascii="Tw Cen MT" w:hAnsi="Tw Cen MT"/>
          <w:sz w:val="20"/>
          <w:szCs w:val="20"/>
        </w:rPr>
        <w:footnoteRef/>
      </w:r>
      <w:r w:rsidRPr="00172E82">
        <w:rPr>
          <w:rFonts w:ascii="Tw Cen MT" w:hAnsi="Tw Cen MT"/>
          <w:bCs/>
          <w:sz w:val="20"/>
          <w:szCs w:val="20"/>
        </w:rPr>
        <w:t xml:space="preserve">Ad hoc country, </w:t>
      </w:r>
      <w:r w:rsidRPr="00172E82">
        <w:rPr>
          <w:rFonts w:ascii="Tw Cen MT" w:hAnsi="Tw Cen MT"/>
          <w:sz w:val="20"/>
          <w:szCs w:val="20"/>
        </w:rPr>
        <w:t>An election is called, but political stability remains a distant dream</w:t>
      </w:r>
    </w:p>
    <w:p w:rsidR="00872B23" w:rsidRPr="00172E82" w:rsidRDefault="00872B23" w:rsidP="008C4466">
      <w:pPr>
        <w:rPr>
          <w:rFonts w:ascii="Tw Cen MT" w:hAnsi="Tw Cen MT"/>
          <w:sz w:val="20"/>
          <w:szCs w:val="20"/>
        </w:rPr>
      </w:pPr>
      <w:r w:rsidRPr="00172E82">
        <w:rPr>
          <w:rFonts w:ascii="Tw Cen MT" w:hAnsi="Tw Cen MT"/>
          <w:sz w:val="20"/>
          <w:szCs w:val="20"/>
        </w:rPr>
        <w:t xml:space="preserve">Jun 22nd 2013, </w:t>
      </w:r>
      <w:r w:rsidRPr="00172E82">
        <w:rPr>
          <w:rStyle w:val="location"/>
          <w:rFonts w:ascii="Tw Cen MT" w:hAnsi="Tw Cen MT" w:cs="Arial"/>
          <w:sz w:val="20"/>
          <w:szCs w:val="20"/>
        </w:rPr>
        <w:t xml:space="preserve">Kathmandu, The Economist,  </w:t>
      </w:r>
      <w:hyperlink r:id="rId11" w:history="1">
        <w:r w:rsidRPr="00172E82">
          <w:rPr>
            <w:rStyle w:val="Hyperlink"/>
            <w:rFonts w:ascii="Tw Cen MT" w:hAnsi="Tw Cen MT" w:cs="Arial"/>
            <w:sz w:val="20"/>
            <w:szCs w:val="20"/>
          </w:rPr>
          <w:t>http://www.economist.com/news/asia/21579882-election-called-political-stability-remains-distant-dream-ad-hoc-country?zid=309&amp;ah=80dcf288b8561b012f603b9fd9577f0e</w:t>
        </w:r>
      </w:hyperlink>
    </w:p>
  </w:footnote>
  <w:footnote w:id="23">
    <w:p w:rsidR="00872B23" w:rsidRPr="00E649E2" w:rsidRDefault="00872B23" w:rsidP="008C4466">
      <w:pPr>
        <w:pStyle w:val="FootnoteText"/>
      </w:pPr>
      <w:r>
        <w:rPr>
          <w:rStyle w:val="FootnoteReference"/>
        </w:rPr>
        <w:footnoteRef/>
      </w:r>
      <w:r>
        <w:t xml:space="preserve"> Election results in Nepal Signal a Political Right Turn, New York Times, 25 November 2013,  </w:t>
      </w:r>
      <w:r w:rsidRPr="00C11F27">
        <w:t>http://www.nytimes.com/2013/11/26/world/asia/maoists-are-routed-in-nepalese-election.html?_r=0</w:t>
      </w:r>
    </w:p>
  </w:footnote>
  <w:footnote w:id="24">
    <w:p w:rsidR="00872B23" w:rsidRPr="00F23CFB" w:rsidRDefault="00872B23" w:rsidP="008C4466">
      <w:r w:rsidRPr="00172E82">
        <w:rPr>
          <w:rStyle w:val="FootnoteReference"/>
          <w:rFonts w:ascii="Tw Cen MT" w:hAnsi="Tw Cen MT"/>
          <w:sz w:val="20"/>
          <w:szCs w:val="20"/>
        </w:rPr>
        <w:footnoteRef/>
      </w:r>
      <w:r>
        <w:rPr>
          <w:rFonts w:ascii="Tw Cen MT" w:hAnsi="Tw Cen MT"/>
          <w:sz w:val="20"/>
          <w:szCs w:val="20"/>
        </w:rPr>
        <w:t xml:space="preserve"> The Economist, ‘</w:t>
      </w:r>
      <w:r w:rsidRPr="00172E82">
        <w:rPr>
          <w:rFonts w:ascii="Tw Cen MT" w:hAnsi="Tw Cen MT"/>
          <w:sz w:val="20"/>
          <w:szCs w:val="20"/>
        </w:rPr>
        <w:t xml:space="preserve">Nepal and its regions, </w:t>
      </w:r>
      <w:r w:rsidRPr="00172E82">
        <w:rPr>
          <w:rFonts w:ascii="Tw Cen MT" w:hAnsi="Tw Cen MT"/>
          <w:bCs/>
          <w:color w:val="4A4A4A"/>
          <w:sz w:val="20"/>
          <w:szCs w:val="20"/>
        </w:rPr>
        <w:t>Federalist</w:t>
      </w:r>
      <w:r>
        <w:rPr>
          <w:rFonts w:ascii="Tw Cen MT" w:hAnsi="Tw Cen MT"/>
          <w:bCs/>
          <w:color w:val="4A4A4A"/>
          <w:sz w:val="20"/>
          <w:szCs w:val="20"/>
        </w:rPr>
        <w:t>s</w:t>
      </w:r>
      <w:r w:rsidRPr="00172E82">
        <w:rPr>
          <w:rFonts w:ascii="Tw Cen MT" w:hAnsi="Tw Cen MT"/>
          <w:bCs/>
          <w:color w:val="4A4A4A"/>
          <w:sz w:val="20"/>
          <w:szCs w:val="20"/>
        </w:rPr>
        <w:t xml:space="preserve"> on paper</w:t>
      </w:r>
      <w:r>
        <w:rPr>
          <w:rFonts w:ascii="Tw Cen MT" w:hAnsi="Tw Cen MT"/>
          <w:bCs/>
          <w:color w:val="4A4A4A"/>
          <w:sz w:val="20"/>
          <w:szCs w:val="20"/>
        </w:rPr>
        <w:t>’</w:t>
      </w:r>
      <w:r w:rsidRPr="00172E82">
        <w:rPr>
          <w:rFonts w:ascii="Tw Cen MT" w:hAnsi="Tw Cen MT"/>
          <w:sz w:val="20"/>
          <w:szCs w:val="20"/>
        </w:rPr>
        <w:t xml:space="preserve">, </w:t>
      </w:r>
      <w:r>
        <w:rPr>
          <w:rFonts w:ascii="Arial" w:hAnsi="Arial" w:cs="Arial"/>
          <w:color w:val="4A4A4A"/>
          <w:sz w:val="15"/>
          <w:szCs w:val="15"/>
        </w:rPr>
        <w:t xml:space="preserve">March, 21, 2012, </w:t>
      </w:r>
      <w:hyperlink r:id="rId12" w:history="1">
        <w:r w:rsidRPr="00E74356">
          <w:rPr>
            <w:rStyle w:val="Hyperlink"/>
            <w:rFonts w:ascii="Arial" w:hAnsi="Arial" w:cs="Arial"/>
            <w:sz w:val="15"/>
            <w:szCs w:val="15"/>
          </w:rPr>
          <w:t>http://www.economist.com/blogs/banyan/2012/03/nepal-and-its-regions?zid=309&amp;ah=80dcf288b8561b012f603b9fd9577f0e</w:t>
        </w:r>
      </w:hyperlink>
    </w:p>
  </w:footnote>
  <w:footnote w:id="25">
    <w:p w:rsidR="00872B23" w:rsidRPr="001C57F2" w:rsidRDefault="00872B23" w:rsidP="008C4466">
      <w:pPr>
        <w:pStyle w:val="FootnoteText"/>
        <w:rPr>
          <w:lang w:val="en-US"/>
        </w:rPr>
      </w:pPr>
      <w:r>
        <w:rPr>
          <w:rStyle w:val="FootnoteReference"/>
        </w:rPr>
        <w:footnoteRef/>
      </w:r>
      <w:r>
        <w:t xml:space="preserve"> OHCHR, ‘Investigating allegations of extra-judicial killings in the Terai. OHCHR-Nepal summary of concerns’, July 2010, available at </w:t>
      </w:r>
      <w:hyperlink r:id="rId13" w:history="1">
        <w:r w:rsidRPr="0041247A">
          <w:rPr>
            <w:rStyle w:val="Hyperlink"/>
          </w:rPr>
          <w:t>http://nepal.ohchr.org/en/resources/Documents/English/reports/HCR/Investigating%20Allegations%20of%20Extra-Judicial%20Killings%20in%20the%20Terai.pdf</w:t>
        </w:r>
      </w:hyperlink>
    </w:p>
  </w:footnote>
  <w:footnote w:id="26">
    <w:p w:rsidR="00872B23" w:rsidRPr="00622CEE" w:rsidRDefault="00872B23" w:rsidP="008C4466">
      <w:pPr>
        <w:rPr>
          <w:sz w:val="20"/>
          <w:szCs w:val="20"/>
        </w:rPr>
      </w:pPr>
      <w:r>
        <w:rPr>
          <w:rStyle w:val="FootnoteReference"/>
        </w:rPr>
        <w:footnoteRef/>
      </w:r>
      <w:r>
        <w:t xml:space="preserve"> </w:t>
      </w:r>
      <w:r w:rsidRPr="00D2421F">
        <w:rPr>
          <w:sz w:val="20"/>
          <w:szCs w:val="20"/>
        </w:rPr>
        <w:t>Jha, Prashant, LEGITIMACY CRISIS, FEB 28th, 2012, “KATHMANDU POST”</w:t>
      </w:r>
      <w:r>
        <w:rPr>
          <w:sz w:val="20"/>
          <w:szCs w:val="20"/>
        </w:rPr>
        <w:t xml:space="preserve"> and </w:t>
      </w:r>
      <w:r w:rsidRPr="006E6544">
        <w:rPr>
          <w:sz w:val="20"/>
          <w:szCs w:val="20"/>
        </w:rPr>
        <w:t>Aditya</w:t>
      </w:r>
      <w:r>
        <w:rPr>
          <w:sz w:val="20"/>
          <w:szCs w:val="20"/>
        </w:rPr>
        <w:t xml:space="preserve"> Adhikari 'Limits of Legality' </w:t>
      </w:r>
      <w:r w:rsidRPr="006E6544">
        <w:rPr>
          <w:sz w:val="20"/>
          <w:szCs w:val="20"/>
        </w:rPr>
        <w:t>April 10</w:t>
      </w:r>
      <w:r>
        <w:rPr>
          <w:sz w:val="20"/>
          <w:szCs w:val="20"/>
        </w:rPr>
        <w:t xml:space="preserve">th, 2012, 'The Kathmandu Post' </w:t>
      </w:r>
    </w:p>
  </w:footnote>
  <w:footnote w:id="27">
    <w:p w:rsidR="00872B23" w:rsidRPr="001C57F2" w:rsidRDefault="00872B23" w:rsidP="008C4466">
      <w:pPr>
        <w:pStyle w:val="FootnoteText"/>
        <w:rPr>
          <w:lang w:val="en-US"/>
        </w:rPr>
      </w:pPr>
      <w:r>
        <w:rPr>
          <w:rStyle w:val="FootnoteReference"/>
        </w:rPr>
        <w:footnoteRef/>
      </w:r>
      <w:r>
        <w:t xml:space="preserve"> OHCHR, ‘Investigating allegations of extra-judicial killings in the Terai. OHCHR-Nepal summary of concerns’, July 2010, available at </w:t>
      </w:r>
      <w:hyperlink r:id="rId14" w:history="1">
        <w:r w:rsidRPr="0041247A">
          <w:rPr>
            <w:rStyle w:val="Hyperlink"/>
          </w:rPr>
          <w:t>http://nepal.ohchr.org/en/resources/Documents/English/reports/HCR/Investigating%20Allegations%20of%20Extra-Judicial%20Killings%20in%20the%20Terai.pdf</w:t>
        </w:r>
      </w:hyperlink>
    </w:p>
  </w:footnote>
  <w:footnote w:id="28">
    <w:p w:rsidR="00872B23" w:rsidRDefault="00872B23" w:rsidP="008C4466">
      <w:pPr>
        <w:pStyle w:val="FootnoteText"/>
      </w:pPr>
      <w:r>
        <w:rPr>
          <w:rStyle w:val="FootnoteReference"/>
        </w:rPr>
        <w:footnoteRef/>
      </w:r>
      <w:r>
        <w:t xml:space="preserve"> </w:t>
      </w:r>
      <w:r w:rsidRPr="00490CB8">
        <w:t>http://taraihumanrights.org/contentSingle-c20=</w:t>
      </w:r>
    </w:p>
  </w:footnote>
  <w:footnote w:id="29">
    <w:p w:rsidR="00872B23" w:rsidRPr="00096AB4" w:rsidRDefault="00872B23" w:rsidP="008C4466">
      <w:pPr>
        <w:pStyle w:val="FootnoteText"/>
      </w:pPr>
      <w:r>
        <w:rPr>
          <w:rStyle w:val="FootnoteReference"/>
        </w:rPr>
        <w:footnoteRef/>
      </w:r>
      <w:r w:rsidRPr="00E56841">
        <w:t>The Madhes and the Future of Nepal</w:t>
      </w:r>
      <w:r>
        <w:t xml:space="preserve">. </w:t>
      </w:r>
      <w:r w:rsidRPr="008E67FD">
        <w:t>Recent elections appear to have dashed the hopes of Madhesi activists for autonomy.By Manish Gyawali for The Diplomat</w:t>
      </w:r>
      <w:r>
        <w:t xml:space="preserve">, </w:t>
      </w:r>
      <w:r w:rsidRPr="008E67FD">
        <w:t>December 30, 201</w:t>
      </w:r>
      <w:r>
        <w:t>3</w:t>
      </w:r>
      <w:r w:rsidRPr="00E56841">
        <w:t xml:space="preserve">, available on: </w:t>
      </w:r>
      <w:hyperlink r:id="rId15" w:history="1">
        <w:r w:rsidRPr="00481881">
          <w:rPr>
            <w:rStyle w:val="Hyperlink"/>
          </w:rPr>
          <w:t>http://thediplomat.com/2013/12/the-madhes-and-the-future-of-nepal/</w:t>
        </w:r>
      </w:hyperlink>
    </w:p>
  </w:footnote>
  <w:footnote w:id="30">
    <w:p w:rsidR="00872B23" w:rsidRPr="0079495F" w:rsidRDefault="00872B23" w:rsidP="008C4466">
      <w:pPr>
        <w:pStyle w:val="FootnoteText"/>
      </w:pPr>
      <w:r>
        <w:rPr>
          <w:rStyle w:val="FootnoteReference"/>
        </w:rPr>
        <w:footnoteRef/>
      </w:r>
      <w:r w:rsidRPr="00E56841">
        <w:t>The Madhes and the Future of Nepal</w:t>
      </w:r>
      <w:r>
        <w:t xml:space="preserve">. </w:t>
      </w:r>
      <w:r w:rsidRPr="008E67FD">
        <w:t>Recent elections appear to have dashed the hopes of Madhesi activists for autonomy.By Manish Gyawali for The Diplomat</w:t>
      </w:r>
      <w:r>
        <w:t xml:space="preserve">, </w:t>
      </w:r>
      <w:r w:rsidRPr="008E67FD">
        <w:t>December 30, 201</w:t>
      </w:r>
      <w:r>
        <w:t>3</w:t>
      </w:r>
      <w:r w:rsidRPr="00E56841">
        <w:t xml:space="preserve">, available on: </w:t>
      </w:r>
      <w:hyperlink r:id="rId16" w:history="1">
        <w:r w:rsidRPr="00481881">
          <w:rPr>
            <w:rStyle w:val="Hyperlink"/>
          </w:rPr>
          <w:t>http://thediplomat.com/2013/12/the-madhes-and-the-future-of-nepal/</w:t>
        </w:r>
      </w:hyperlink>
    </w:p>
  </w:footnote>
  <w:footnote w:id="31">
    <w:p w:rsidR="00872B23" w:rsidRPr="00FA7B2A" w:rsidRDefault="00872B23" w:rsidP="008C4466">
      <w:r w:rsidRPr="00172E82">
        <w:rPr>
          <w:rStyle w:val="FootnoteReference"/>
          <w:rFonts w:ascii="Tw Cen MT" w:hAnsi="Tw Cen MT"/>
          <w:sz w:val="20"/>
          <w:szCs w:val="20"/>
        </w:rPr>
        <w:footnoteRef/>
      </w:r>
      <w:r>
        <w:rPr>
          <w:rFonts w:ascii="Tw Cen MT" w:hAnsi="Tw Cen MT"/>
          <w:bCs/>
          <w:sz w:val="20"/>
          <w:szCs w:val="20"/>
        </w:rPr>
        <w:t xml:space="preserve"> </w:t>
      </w:r>
      <w:r w:rsidRPr="00172E82">
        <w:rPr>
          <w:rFonts w:ascii="Tw Cen MT" w:hAnsi="Tw Cen MT"/>
          <w:bCs/>
          <w:sz w:val="20"/>
          <w:szCs w:val="20"/>
        </w:rPr>
        <w:t>The State of Nepal as a Protector and/or</w:t>
      </w:r>
      <w:r>
        <w:rPr>
          <w:rFonts w:ascii="Tw Cen MT" w:hAnsi="Tw Cen MT"/>
          <w:bCs/>
          <w:sz w:val="20"/>
          <w:szCs w:val="20"/>
        </w:rPr>
        <w:t xml:space="preserve"> </w:t>
      </w:r>
      <w:r w:rsidRPr="00172E82">
        <w:rPr>
          <w:rFonts w:ascii="Tw Cen MT" w:hAnsi="Tw Cen MT"/>
          <w:bCs/>
          <w:sz w:val="20"/>
          <w:szCs w:val="20"/>
        </w:rPr>
        <w:t>Violator of Madheshi's Human Rights?</w:t>
      </w:r>
      <w:r>
        <w:rPr>
          <w:rFonts w:ascii="Tw Cen MT" w:hAnsi="Tw Cen MT"/>
          <w:bCs/>
          <w:sz w:val="20"/>
          <w:szCs w:val="20"/>
        </w:rPr>
        <w:t xml:space="preserve"> </w:t>
      </w:r>
      <w:r w:rsidRPr="00172E82">
        <w:rPr>
          <w:rFonts w:ascii="Tw Cen MT" w:hAnsi="Tw Cen MT"/>
          <w:sz w:val="20"/>
          <w:szCs w:val="20"/>
        </w:rPr>
        <w:t xml:space="preserve">Dr.Beerendra Pandey, Terai Human Rights Journal 1, Terai Human Rights Defenders Alliance, </w:t>
      </w:r>
      <w:hyperlink r:id="rId17" w:history="1">
        <w:r w:rsidRPr="00172E82">
          <w:rPr>
            <w:rStyle w:val="Hyperlink"/>
            <w:rFonts w:ascii="Tw Cen MT" w:hAnsi="Tw Cen MT" w:cs="Arial"/>
            <w:sz w:val="20"/>
            <w:szCs w:val="20"/>
          </w:rPr>
          <w:t>http://taraihumanrights.org/contentSingle-bWlX</w:t>
        </w:r>
      </w:hyperlink>
    </w:p>
  </w:footnote>
  <w:footnote w:id="32">
    <w:p w:rsidR="00872B23" w:rsidRPr="009F0D6B" w:rsidRDefault="00872B23" w:rsidP="008C4466">
      <w:pPr>
        <w:pStyle w:val="FootnoteText"/>
      </w:pPr>
      <w:r w:rsidRPr="009F0D6B">
        <w:rPr>
          <w:rStyle w:val="FootnoteReference"/>
        </w:rPr>
        <w:footnoteRef/>
      </w:r>
      <w:r>
        <w:rPr>
          <w:rFonts w:cs="Arial"/>
        </w:rPr>
        <w:t xml:space="preserve"> </w:t>
      </w:r>
      <w:r w:rsidRPr="005106B7">
        <w:rPr>
          <w:rFonts w:cs="Arial"/>
        </w:rPr>
        <w:t>Madheshi job aspirants are least aware about the risk, they face ethnic biases at home and abroad</w:t>
      </w:r>
      <w:r w:rsidRPr="009F0D6B">
        <w:t xml:space="preserve">, </w:t>
      </w:r>
      <w:r w:rsidRPr="005106B7">
        <w:rPr>
          <w:rFonts w:cs="Arial"/>
          <w:bCs/>
          <w:sz w:val="21"/>
          <w:szCs w:val="21"/>
          <w:lang w:eastAsia="en-US" w:bidi="ne-NP"/>
        </w:rPr>
        <w:t>Ram Kumar Kamat</w:t>
      </w:r>
      <w:r w:rsidRPr="009F0D6B">
        <w:t xml:space="preserve"> , available at: </w:t>
      </w:r>
      <w:hyperlink r:id="rId18" w:history="1">
        <w:r w:rsidRPr="00903EBB">
          <w:rPr>
            <w:rStyle w:val="Hyperlink"/>
          </w:rPr>
          <w:t>http://taraihumanrights.org/contentSingle-dGs</w:t>
        </w:r>
      </w:hyperlink>
      <w:r w:rsidRPr="009F0D6B">
        <w:t>=</w:t>
      </w:r>
      <w:r>
        <w:t xml:space="preserve"> </w:t>
      </w:r>
    </w:p>
  </w:footnote>
  <w:footnote w:id="33">
    <w:p w:rsidR="00872B23" w:rsidRPr="009F0D6B" w:rsidRDefault="00872B23" w:rsidP="008C4466">
      <w:pPr>
        <w:pStyle w:val="FootnoteText"/>
      </w:pPr>
      <w:r w:rsidRPr="009F0D6B">
        <w:rPr>
          <w:rStyle w:val="FootnoteReference"/>
        </w:rPr>
        <w:footnoteRef/>
      </w:r>
      <w:r w:rsidRPr="005106B7">
        <w:rPr>
          <w:rFonts w:cs="Arial"/>
        </w:rPr>
        <w:t>Madheshi job aspirants are least aware about the risk, they face ethnic biases at home and abroad</w:t>
      </w:r>
      <w:r w:rsidRPr="009F0D6B">
        <w:t xml:space="preserve"> , </w:t>
      </w:r>
      <w:r w:rsidRPr="005106B7">
        <w:rPr>
          <w:rFonts w:cs="Arial"/>
          <w:bCs/>
          <w:lang w:eastAsia="en-US" w:bidi="ne-NP"/>
        </w:rPr>
        <w:t>Ram Kumar Kamat</w:t>
      </w:r>
      <w:r w:rsidRPr="009F0D6B">
        <w:t xml:space="preserve"> , available at: http://taraihumanrights.org/contentSingle-dGs=</w:t>
      </w:r>
    </w:p>
  </w:footnote>
  <w:footnote w:id="34">
    <w:p w:rsidR="00872B23" w:rsidRPr="005106B7" w:rsidRDefault="00872B23" w:rsidP="008C4466">
      <w:pPr>
        <w:rPr>
          <w:rFonts w:ascii="Tw Cen MT" w:hAnsi="Tw Cen MT"/>
          <w:sz w:val="20"/>
          <w:szCs w:val="20"/>
        </w:rPr>
      </w:pPr>
      <w:r w:rsidRPr="009F0D6B">
        <w:rPr>
          <w:rStyle w:val="FootnoteReference"/>
          <w:rFonts w:ascii="Tw Cen MT" w:eastAsia="Meiryo" w:hAnsi="Tw Cen MT" w:cs="Mangal"/>
          <w:sz w:val="20"/>
          <w:szCs w:val="20"/>
          <w:lang w:val="en-US" w:eastAsia="ja-JP"/>
        </w:rPr>
        <w:footnoteRef/>
      </w:r>
      <w:r w:rsidRPr="005106B7">
        <w:rPr>
          <w:rFonts w:ascii="Tw Cen MT" w:hAnsi="Tw Cen MT"/>
          <w:sz w:val="20"/>
          <w:szCs w:val="20"/>
        </w:rPr>
        <w:t>The Madhes and the Future of Nepal</w:t>
      </w:r>
      <w:r>
        <w:rPr>
          <w:rFonts w:ascii="Tw Cen MT" w:hAnsi="Tw Cen MT"/>
          <w:sz w:val="20"/>
          <w:szCs w:val="20"/>
        </w:rPr>
        <w:t xml:space="preserve">. </w:t>
      </w:r>
      <w:r w:rsidRPr="005106B7">
        <w:rPr>
          <w:rFonts w:ascii="Tw Cen MT" w:hAnsi="Tw Cen MT"/>
          <w:sz w:val="20"/>
          <w:szCs w:val="20"/>
        </w:rPr>
        <w:t>Recent elections appear to have dashed the hopes of Madhesi activists for autonomy.</w:t>
      </w:r>
      <w:r>
        <w:rPr>
          <w:rFonts w:ascii="Tw Cen MT" w:hAnsi="Tw Cen MT"/>
          <w:sz w:val="20"/>
          <w:szCs w:val="20"/>
        </w:rPr>
        <w:t xml:space="preserve"> </w:t>
      </w:r>
      <w:r w:rsidRPr="005106B7">
        <w:rPr>
          <w:rFonts w:ascii="Tw Cen MT" w:hAnsi="Tw Cen MT"/>
          <w:sz w:val="20"/>
          <w:szCs w:val="20"/>
        </w:rPr>
        <w:t xml:space="preserve">Manish Gyawali for The Diplomat, December 30, 201, available on: </w:t>
      </w:r>
      <w:hyperlink r:id="rId19" w:history="1">
        <w:r w:rsidRPr="005106B7">
          <w:rPr>
            <w:rStyle w:val="Hyperlink"/>
            <w:rFonts w:ascii="Tw Cen MT" w:hAnsi="Tw Cen MT"/>
            <w:sz w:val="20"/>
            <w:szCs w:val="20"/>
          </w:rPr>
          <w:t>http://thediplomat.com/2013/12/the-madhes-and-the-future-of-nepal/</w:t>
        </w:r>
      </w:hyperlink>
    </w:p>
  </w:footnote>
  <w:footnote w:id="35">
    <w:p w:rsidR="00872B23" w:rsidRPr="009A194A" w:rsidRDefault="00872B23" w:rsidP="008C4466">
      <w:pPr>
        <w:pStyle w:val="FootnoteText"/>
        <w:rPr>
          <w:lang w:val="en-US"/>
        </w:rPr>
      </w:pPr>
      <w:r>
        <w:rPr>
          <w:rStyle w:val="FootnoteReference"/>
        </w:rPr>
        <w:footnoteRef/>
      </w:r>
      <w:r>
        <w:t xml:space="preserve"> </w:t>
      </w:r>
      <w:r>
        <w:rPr>
          <w:lang w:val="en-US"/>
        </w:rPr>
        <w:t>Jha, Dipendra, “</w:t>
      </w:r>
      <w:r>
        <w:t>D</w:t>
      </w:r>
      <w:r w:rsidRPr="009A194A">
        <w:t>isenfranchised</w:t>
      </w:r>
      <w:r>
        <w:rPr>
          <w:lang w:val="en-US"/>
        </w:rPr>
        <w:t xml:space="preserve"> Voters” The Kathmandu Post, 2013-08-05, </w:t>
      </w:r>
      <w:r w:rsidRPr="009A194A">
        <w:rPr>
          <w:lang w:val="en-US"/>
        </w:rPr>
        <w:t>http://www.ekantipur.com/the-kathmandu-post/2013/08/04/related_articles/disenfranchised-voters/251980.html</w:t>
      </w:r>
    </w:p>
  </w:footnote>
  <w:footnote w:id="36">
    <w:p w:rsidR="00872B23" w:rsidRPr="005106B7" w:rsidRDefault="00872B23" w:rsidP="00DE2535">
      <w:pPr>
        <w:pStyle w:val="FootnoteText"/>
      </w:pPr>
      <w:r w:rsidRPr="009F0D6B">
        <w:rPr>
          <w:rStyle w:val="FootnoteReference"/>
        </w:rPr>
        <w:footnoteRef/>
      </w:r>
      <w:r w:rsidRPr="009F0D6B">
        <w:t xml:space="preserve"> OHCHR, ‘Nepal conflict report’, October 2012, p. 72-102, available at </w:t>
      </w:r>
      <w:hyperlink r:id="rId20" w:history="1">
        <w:r w:rsidRPr="005106B7">
          <w:rPr>
            <w:rStyle w:val="Hyperlink"/>
          </w:rPr>
          <w:t>http://www.ohchr.org/Documents/Countries/NP/OHCHR_Nepal_Conflict_Report2012.pdf</w:t>
        </w:r>
      </w:hyperlink>
      <w:r w:rsidRPr="005106B7">
        <w:t xml:space="preserve">. </w:t>
      </w:r>
    </w:p>
  </w:footnote>
  <w:footnote w:id="37">
    <w:p w:rsidR="00872B23" w:rsidRPr="009F0D6B" w:rsidRDefault="00872B23" w:rsidP="008C4466">
      <w:pPr>
        <w:pStyle w:val="FootnoteText"/>
      </w:pPr>
      <w:r w:rsidRPr="005106B7">
        <w:rPr>
          <w:rStyle w:val="FootnoteReference"/>
        </w:rPr>
        <w:footnoteRef/>
      </w:r>
      <w:r>
        <w:t xml:space="preserve"> </w:t>
      </w:r>
      <w:r w:rsidRPr="009F0D6B">
        <w:t>DFHR, ‘Extra-judicial Killings in Terai’, Periodic Report, May 2011, p. 5.</w:t>
      </w:r>
    </w:p>
  </w:footnote>
  <w:footnote w:id="38">
    <w:p w:rsidR="00872B23" w:rsidRPr="00FA0E2D" w:rsidRDefault="00872B23" w:rsidP="008C4466">
      <w:pPr>
        <w:pStyle w:val="FootnoteText"/>
      </w:pPr>
      <w:r>
        <w:rPr>
          <w:rStyle w:val="FootnoteReference"/>
        </w:rPr>
        <w:footnoteRef/>
      </w:r>
      <w:r>
        <w:t xml:space="preserve"> DFHR, ‘</w:t>
      </w:r>
      <w:r w:rsidRPr="00172E82">
        <w:t>Extra-judicial Killings in Terai</w:t>
      </w:r>
      <w:r>
        <w:t>’</w:t>
      </w:r>
      <w:r w:rsidRPr="00172E82">
        <w:t>, Periodic Report, May 2011, p. 4</w:t>
      </w:r>
      <w:r>
        <w:t>.</w:t>
      </w:r>
    </w:p>
  </w:footnote>
  <w:footnote w:id="39">
    <w:p w:rsidR="00872B23" w:rsidRPr="009F0D6B" w:rsidRDefault="00872B23" w:rsidP="008C4466">
      <w:pPr>
        <w:pStyle w:val="FootnoteText"/>
      </w:pPr>
      <w:r>
        <w:rPr>
          <w:rStyle w:val="FootnoteReference"/>
        </w:rPr>
        <w:footnoteRef/>
      </w:r>
      <w:r>
        <w:t xml:space="preserve"> Investigating Allegations of Extra-Judicial Killings in the Terai, OHCHR-Nepal Summary of Concerns (July 2010), </w:t>
      </w:r>
      <w:r w:rsidRPr="005106B7">
        <w:rPr>
          <w:sz w:val="18"/>
          <w:szCs w:val="18"/>
        </w:rPr>
        <w:t xml:space="preserve">p.6, available </w:t>
      </w:r>
      <w:r w:rsidRPr="009F0D6B">
        <w:t xml:space="preserve">at: </w:t>
      </w:r>
      <w:hyperlink r:id="rId21" w:history="1">
        <w:r w:rsidRPr="005106B7">
          <w:rPr>
            <w:rStyle w:val="Hyperlink"/>
            <w:rFonts w:cs="Arial"/>
            <w:color w:val="0000CC"/>
          </w:rPr>
          <w:t>http://nepal.ohchr.org/en/resources/publications/Investigating%20Allegations%20of%20Extra-Judicial%20Killings%20in%20the%20Terai.pdf</w:t>
        </w:r>
      </w:hyperlink>
      <w:r w:rsidRPr="005106B7">
        <w:rPr>
          <w:rFonts w:cs="Arial"/>
          <w:color w:val="000000"/>
        </w:rPr>
        <w:t>.</w:t>
      </w:r>
    </w:p>
  </w:footnote>
  <w:footnote w:id="40">
    <w:p w:rsidR="00872B23" w:rsidRPr="00C9091D" w:rsidRDefault="00872B23" w:rsidP="008C4466">
      <w:pPr>
        <w:pStyle w:val="FootnoteText"/>
      </w:pPr>
      <w:r>
        <w:rPr>
          <w:rStyle w:val="FootnoteReference"/>
        </w:rPr>
        <w:footnoteRef/>
      </w:r>
      <w:r>
        <w:t xml:space="preserve"> </w:t>
      </w:r>
      <w:r w:rsidRPr="00C9091D">
        <w:t>Section 20. In case a person committing any offence shall be punished with imprisonment from Three Years upto</w:t>
      </w:r>
      <w:r w:rsidRPr="00C9091D">
        <w:rPr>
          <w:rFonts w:ascii="Times New Roman" w:hAnsi="Times New Roman"/>
        </w:rPr>
        <w:t xml:space="preserve"> </w:t>
      </w:r>
      <w:r w:rsidRPr="00C9091D">
        <w:t>Seven Years or with fine from Sixty Thousand Rupees upto One Hundred Forty Thousand Rupees or with both</w:t>
      </w:r>
    </w:p>
  </w:footnote>
  <w:footnote w:id="41">
    <w:p w:rsidR="00872B23" w:rsidRPr="005106B7" w:rsidRDefault="00872B23" w:rsidP="008C4466">
      <w:pPr>
        <w:pStyle w:val="FootnoteText"/>
      </w:pPr>
      <w:r w:rsidRPr="009F0D6B">
        <w:rPr>
          <w:rStyle w:val="FootnoteReference"/>
        </w:rPr>
        <w:footnoteRef/>
      </w:r>
      <w:r>
        <w:rPr>
          <w:rFonts w:cs="Arial"/>
        </w:rPr>
        <w:t xml:space="preserve"> </w:t>
      </w:r>
      <w:r w:rsidRPr="009F0D6B">
        <w:rPr>
          <w:rFonts w:cs="Arial"/>
        </w:rPr>
        <w:t xml:space="preserve">Bulletin 1st issue March 2013, THRD Alliance, </w:t>
      </w:r>
      <w:hyperlink r:id="rId22" w:history="1">
        <w:r w:rsidRPr="005106B7">
          <w:rPr>
            <w:rStyle w:val="Hyperlink"/>
            <w:rFonts w:cs="Arial"/>
          </w:rPr>
          <w:t>http://taraihumanrights.org/contentSingle-bmZV</w:t>
        </w:r>
      </w:hyperlink>
    </w:p>
  </w:footnote>
  <w:footnote w:id="42">
    <w:p w:rsidR="00872B23" w:rsidRPr="007D7C9F" w:rsidRDefault="00872B23" w:rsidP="008C4466">
      <w:pPr>
        <w:rPr>
          <w:rFonts w:ascii="Times" w:hAnsi="Times"/>
          <w:sz w:val="20"/>
          <w:szCs w:val="20"/>
          <w:lang w:val="en-US" w:eastAsia="en-US"/>
        </w:rPr>
      </w:pPr>
      <w:r>
        <w:rPr>
          <w:rStyle w:val="FootnoteReference"/>
        </w:rPr>
        <w:footnoteRef/>
      </w:r>
      <w:r>
        <w:t xml:space="preserve"> </w:t>
      </w:r>
      <w:r w:rsidRPr="007D7C9F">
        <w:rPr>
          <w:rFonts w:ascii="Tw Cen MT" w:eastAsia="Meiryo" w:hAnsi="Tw Cen MT" w:cs="Arial"/>
          <w:sz w:val="20"/>
          <w:szCs w:val="20"/>
        </w:rPr>
        <w:t>The act has empowered the chief district officer to deal with the cases</w:t>
      </w:r>
    </w:p>
  </w:footnote>
  <w:footnote w:id="43">
    <w:p w:rsidR="00872B23" w:rsidRPr="006650DF" w:rsidRDefault="00872B23" w:rsidP="008C4466">
      <w:pPr>
        <w:pStyle w:val="FootnoteText"/>
      </w:pPr>
      <w:r>
        <w:rPr>
          <w:rStyle w:val="FootnoteReference"/>
        </w:rPr>
        <w:footnoteRef/>
      </w:r>
      <w:r>
        <w:t xml:space="preserve"> Human Rights in the Terai, A Monthly Bulletin, Issue 4, September 2013, THRD Alliance, </w:t>
      </w:r>
      <w:hyperlink r:id="rId23" w:history="1">
        <w:r w:rsidRPr="00E74356">
          <w:rPr>
            <w:rStyle w:val="Hyperlink"/>
          </w:rPr>
          <w:t>http://taraihumanrights.org/contentSingle-bWc</w:t>
        </w:r>
      </w:hyperlink>
      <w:r w:rsidRPr="00C35ADF">
        <w:t>=</w:t>
      </w:r>
    </w:p>
  </w:footnote>
  <w:footnote w:id="44">
    <w:p w:rsidR="00872B23" w:rsidRDefault="00872B23" w:rsidP="008C4466">
      <w:pPr>
        <w:pStyle w:val="FootnoteText"/>
      </w:pPr>
      <w:r>
        <w:rPr>
          <w:rStyle w:val="FootnoteReference"/>
        </w:rPr>
        <w:footnoteRef/>
      </w:r>
      <w:r>
        <w:t xml:space="preserve"> See the Article 20 and 21 of the Arms and Ammunitions Act, 1962 and conclusion of the report on 'Samll Arms terrors in Terai' attached herewith in Annex.</w:t>
      </w:r>
    </w:p>
  </w:footnote>
  <w:footnote w:id="45">
    <w:p w:rsidR="00872B23" w:rsidRDefault="00872B23" w:rsidP="008C4466">
      <w:pPr>
        <w:pStyle w:val="FootnoteText"/>
      </w:pPr>
      <w:r>
        <w:rPr>
          <w:rStyle w:val="FootnoteReference"/>
        </w:rPr>
        <w:footnoteRef/>
      </w:r>
      <w:r>
        <w:t xml:space="preserve"> Weekly Nepal Magzine, 27 March 2011.</w:t>
      </w:r>
    </w:p>
  </w:footnote>
  <w:footnote w:id="46">
    <w:p w:rsidR="00872B23" w:rsidRPr="00C35ADF" w:rsidRDefault="00872B23" w:rsidP="008C4466">
      <w:pPr>
        <w:pStyle w:val="FootnoteText"/>
      </w:pPr>
      <w:r>
        <w:rPr>
          <w:rStyle w:val="FootnoteReference"/>
        </w:rPr>
        <w:footnoteRef/>
      </w:r>
      <w:r>
        <w:t xml:space="preserve"> Human Rights in the Terai, A Monthly Bulletin, Issue 4, September 2013, THRD Alliance, </w:t>
      </w:r>
      <w:hyperlink r:id="rId24" w:history="1">
        <w:r w:rsidRPr="00E74356">
          <w:rPr>
            <w:rStyle w:val="Hyperlink"/>
          </w:rPr>
          <w:t>http://taraihumanrights.org/contentSingle-bWc</w:t>
        </w:r>
      </w:hyperlink>
      <w:r w:rsidRPr="00C35ADF">
        <w:t>=</w:t>
      </w:r>
    </w:p>
  </w:footnote>
  <w:footnote w:id="47">
    <w:p w:rsidR="00872B23" w:rsidRPr="008E01AF" w:rsidRDefault="00872B23" w:rsidP="008C4466">
      <w:pPr>
        <w:pStyle w:val="FootnoteText"/>
      </w:pPr>
      <w:r w:rsidRPr="008E01AF">
        <w:rPr>
          <w:rStyle w:val="FootnoteReference"/>
        </w:rPr>
        <w:footnoteRef/>
      </w:r>
      <w:r w:rsidRPr="008E01AF">
        <w:t xml:space="preserve"> The latest Judicial Council Bulletin-2068; See also “Arbitrary Arrest and Torture in the Terai, THRD Alliance May 2013, p 44</w:t>
      </w:r>
    </w:p>
  </w:footnote>
  <w:footnote w:id="48">
    <w:p w:rsidR="00872B23" w:rsidRPr="008E01AF" w:rsidRDefault="00872B23" w:rsidP="008C4466">
      <w:pPr>
        <w:pStyle w:val="FootnoteText"/>
      </w:pPr>
      <w:r w:rsidRPr="008E01AF">
        <w:rPr>
          <w:rStyle w:val="FootnoteReference"/>
        </w:rPr>
        <w:footnoteRef/>
      </w:r>
      <w:r w:rsidRPr="008E01AF">
        <w:t xml:space="preserve"> “Arbitrary Arrest and Torture in the Terai, THRD Alliance May 2013, p 9-10</w:t>
      </w:r>
    </w:p>
  </w:footnote>
  <w:footnote w:id="49">
    <w:p w:rsidR="00872B23" w:rsidRPr="008E01AF" w:rsidRDefault="00872B23" w:rsidP="008C4466">
      <w:pPr>
        <w:pStyle w:val="FootnoteText"/>
      </w:pPr>
      <w:r w:rsidRPr="008E01AF">
        <w:rPr>
          <w:rStyle w:val="FootnoteReference"/>
        </w:rPr>
        <w:footnoteRef/>
      </w:r>
      <w:r w:rsidRPr="008E01AF">
        <w:t xml:space="preserve"> Excessive use of force and extrajudicial killing of Ijhar Pamariya, THRD Alliance 10 September 2012, </w:t>
      </w:r>
      <w:hyperlink r:id="rId25" w:history="1">
        <w:r w:rsidRPr="008E01AF">
          <w:rPr>
            <w:rStyle w:val="Hyperlink"/>
          </w:rPr>
          <w:t>http://www.taraihumanrights.org/contentSingle-b2c</w:t>
        </w:r>
      </w:hyperlink>
      <w:r w:rsidRPr="008E01AF">
        <w:t>=</w:t>
      </w:r>
    </w:p>
  </w:footnote>
  <w:footnote w:id="50">
    <w:p w:rsidR="00872B23" w:rsidRPr="00E5397B" w:rsidRDefault="00872B23" w:rsidP="008C4466">
      <w:pPr>
        <w:pStyle w:val="FootnoteText"/>
      </w:pPr>
      <w:r>
        <w:rPr>
          <w:rStyle w:val="FootnoteReference"/>
        </w:rPr>
        <w:footnoteRef/>
      </w:r>
      <w:r>
        <w:t xml:space="preserve"> See Annex 1 and 2 </w:t>
      </w:r>
    </w:p>
  </w:footnote>
  <w:footnote w:id="51">
    <w:p w:rsidR="00872B23" w:rsidRPr="00513F0C" w:rsidRDefault="00872B23" w:rsidP="008C4466">
      <w:pPr>
        <w:pStyle w:val="FootnoteText"/>
      </w:pPr>
      <w:r>
        <w:rPr>
          <w:rStyle w:val="FootnoteReference"/>
        </w:rPr>
        <w:footnoteRef/>
      </w:r>
      <w:r>
        <w:t xml:space="preserve"> See Annex 1 Case 12, </w:t>
      </w:r>
      <w:r w:rsidRPr="00572EBC">
        <w:t>Ramsewak Dhobi, Death in Police Custody</w:t>
      </w:r>
      <w:r>
        <w:t xml:space="preserve">, pp 48-50 </w:t>
      </w:r>
    </w:p>
  </w:footnote>
  <w:footnote w:id="52">
    <w:p w:rsidR="00872B23" w:rsidRPr="00AB52FF" w:rsidRDefault="00872B23" w:rsidP="008C4466">
      <w:pPr>
        <w:pStyle w:val="FootnoteText"/>
      </w:pPr>
      <w:r>
        <w:rPr>
          <w:rStyle w:val="FootnoteReference"/>
        </w:rPr>
        <w:footnoteRef/>
      </w:r>
      <w:r>
        <w:t xml:space="preserve"> See Annex 1 Case 8, Jay Narayan Paswan, pp. 37-40 </w:t>
      </w:r>
    </w:p>
  </w:footnote>
  <w:footnote w:id="53">
    <w:p w:rsidR="00872B23" w:rsidRPr="002F1B72" w:rsidRDefault="00872B23" w:rsidP="008C4466">
      <w:pPr>
        <w:pStyle w:val="FootnoteText"/>
      </w:pPr>
      <w:r>
        <w:rPr>
          <w:rStyle w:val="FootnoteReference"/>
        </w:rPr>
        <w:footnoteRef/>
      </w:r>
      <w:r>
        <w:t xml:space="preserve"> See Annex 1 Case 9, Santosh Singh pp. 40-44</w:t>
      </w:r>
    </w:p>
  </w:footnote>
  <w:footnote w:id="54">
    <w:p w:rsidR="00872B23" w:rsidRPr="002F1B72" w:rsidRDefault="00872B23" w:rsidP="008C4466">
      <w:pPr>
        <w:pStyle w:val="FootnoteText"/>
      </w:pPr>
      <w:r>
        <w:rPr>
          <w:rStyle w:val="FootnoteReference"/>
        </w:rPr>
        <w:footnoteRef/>
      </w:r>
      <w:r>
        <w:t xml:space="preserve"> See Annex 1 Case 10, Harendra Shah Teli, pp 44-47 </w:t>
      </w:r>
    </w:p>
  </w:footnote>
  <w:footnote w:id="55">
    <w:p w:rsidR="00872B23" w:rsidRPr="002F1B72" w:rsidRDefault="00872B23" w:rsidP="008C4466">
      <w:pPr>
        <w:pStyle w:val="FootnoteText"/>
      </w:pPr>
      <w:r>
        <w:rPr>
          <w:rStyle w:val="FootnoteReference"/>
        </w:rPr>
        <w:footnoteRef/>
      </w:r>
      <w:r>
        <w:t xml:space="preserve"> See Annex 1 Case 8, Jay Narayan Paswan pp. 37-40 </w:t>
      </w:r>
    </w:p>
  </w:footnote>
  <w:footnote w:id="56">
    <w:p w:rsidR="00872B23" w:rsidRPr="00AB52FF" w:rsidRDefault="00872B23" w:rsidP="008C4466">
      <w:pPr>
        <w:pStyle w:val="FootnoteText"/>
      </w:pPr>
      <w:r>
        <w:rPr>
          <w:rStyle w:val="FootnoteReference"/>
        </w:rPr>
        <w:footnoteRef/>
      </w:r>
      <w:r>
        <w:t xml:space="preserve"> See Annex 1, Case 8, Jay Narayan Paswan and Case 9 Santosh Singh, pp 37-44 </w:t>
      </w:r>
    </w:p>
  </w:footnote>
  <w:footnote w:id="57">
    <w:p w:rsidR="00872B23" w:rsidRPr="00EA3A20" w:rsidRDefault="00872B23" w:rsidP="008C4466">
      <w:pPr>
        <w:pStyle w:val="FootnoteText"/>
      </w:pPr>
      <w:r>
        <w:rPr>
          <w:rStyle w:val="FootnoteReference"/>
        </w:rPr>
        <w:footnoteRef/>
      </w:r>
      <w:r>
        <w:t xml:space="preserve"> Also See Annex 1, Case 7, Hareshiv Yadav pp 35-37 and Case 10 Harendra Shah Teli, pp 44-47</w:t>
      </w:r>
    </w:p>
  </w:footnote>
  <w:footnote w:id="58">
    <w:p w:rsidR="00872B23" w:rsidRPr="00F62E65" w:rsidRDefault="00872B23" w:rsidP="008C4466">
      <w:pPr>
        <w:pStyle w:val="FootnoteText"/>
      </w:pPr>
      <w:r>
        <w:rPr>
          <w:rStyle w:val="FootnoteReference"/>
        </w:rPr>
        <w:footnoteRef/>
      </w:r>
      <w:r>
        <w:t xml:space="preserve"> See Annex 1, Case 3 Dipendra Jha, pp 24-28 </w:t>
      </w:r>
    </w:p>
  </w:footnote>
  <w:footnote w:id="59">
    <w:p w:rsidR="00872B23" w:rsidRPr="000B54D4" w:rsidRDefault="00872B23" w:rsidP="008C4466">
      <w:pPr>
        <w:pStyle w:val="FootnoteText"/>
      </w:pPr>
      <w:r>
        <w:rPr>
          <w:rStyle w:val="FootnoteReference"/>
        </w:rPr>
        <w:footnoteRef/>
      </w:r>
      <w:r>
        <w:t xml:space="preserve"> See Annex 1 Case 9, Santosh Singh pp. 40-44, Cases 5&amp;6 Sanjay Sah and Ramod Singh pp. 30-35</w:t>
      </w:r>
    </w:p>
  </w:footnote>
  <w:footnote w:id="60">
    <w:p w:rsidR="00872B23" w:rsidRPr="00945828" w:rsidRDefault="00872B23" w:rsidP="008C4466">
      <w:pPr>
        <w:pStyle w:val="FootnoteText"/>
      </w:pPr>
      <w:r>
        <w:rPr>
          <w:rStyle w:val="FootnoteReference"/>
        </w:rPr>
        <w:footnoteRef/>
      </w:r>
      <w:r>
        <w:t>See Annex 1, Case 10 Harendra Shah Teli, pp.44-47</w:t>
      </w:r>
    </w:p>
  </w:footnote>
  <w:footnote w:id="61">
    <w:p w:rsidR="00872B23" w:rsidRPr="00945828" w:rsidRDefault="00872B23" w:rsidP="008C4466">
      <w:pPr>
        <w:pStyle w:val="FootnoteText"/>
      </w:pPr>
      <w:r>
        <w:rPr>
          <w:rStyle w:val="FootnoteReference"/>
        </w:rPr>
        <w:footnoteRef/>
      </w:r>
      <w:r>
        <w:t>See Annex 1, Case 2, Phuldhari Mukhiya, pp-21-24</w:t>
      </w:r>
    </w:p>
  </w:footnote>
  <w:footnote w:id="62">
    <w:p w:rsidR="00872B23" w:rsidRPr="005544A7" w:rsidRDefault="00872B23" w:rsidP="008C4466">
      <w:pPr>
        <w:pStyle w:val="FootnoteText"/>
      </w:pPr>
      <w:r>
        <w:rPr>
          <w:rStyle w:val="FootnoteReference"/>
        </w:rPr>
        <w:footnoteRef/>
      </w:r>
      <w:r>
        <w:t xml:space="preserve">See Annex 1, Cases 1, 3, 5,6, and 9, </w:t>
      </w:r>
    </w:p>
  </w:footnote>
  <w:footnote w:id="63">
    <w:p w:rsidR="00872B23" w:rsidRPr="005544A7" w:rsidRDefault="00872B23" w:rsidP="008C4466">
      <w:pPr>
        <w:pStyle w:val="FootnoteText"/>
      </w:pPr>
      <w:r>
        <w:rPr>
          <w:rStyle w:val="FootnoteReference"/>
        </w:rPr>
        <w:footnoteRef/>
      </w:r>
      <w:r>
        <w:t xml:space="preserve">See Annex 1, Case 10 Harendra Shah Teli ppx-44-47 </w:t>
      </w:r>
    </w:p>
  </w:footnote>
  <w:footnote w:id="64">
    <w:p w:rsidR="00872B23" w:rsidRPr="00827790" w:rsidRDefault="00872B23" w:rsidP="008C4466">
      <w:pPr>
        <w:pStyle w:val="FootnoteText"/>
      </w:pPr>
      <w:r>
        <w:rPr>
          <w:rStyle w:val="FootnoteReference"/>
        </w:rPr>
        <w:footnoteRef/>
      </w:r>
      <w:r>
        <w:t xml:space="preserve">See Annex 1 Case 7, Hareshiv, pp. 35-37 </w:t>
      </w:r>
    </w:p>
  </w:footnote>
  <w:footnote w:id="65">
    <w:p w:rsidR="00872B23" w:rsidRPr="004C7225" w:rsidRDefault="00872B23" w:rsidP="008C4466">
      <w:pPr>
        <w:pStyle w:val="FootnoteText"/>
      </w:pPr>
      <w:r>
        <w:rPr>
          <w:rStyle w:val="FootnoteReference"/>
        </w:rPr>
        <w:footnoteRef/>
      </w:r>
      <w:r>
        <w:t xml:space="preserve">See Annex 1 Cases 2, Phuldhari Mukhiya pp 21-24, Case 7 Harishiv Yadav pp 35-37 and Case 10  Harendra Shah Teli  pp 44-47 </w:t>
      </w:r>
    </w:p>
  </w:footnote>
  <w:footnote w:id="66">
    <w:p w:rsidR="00872B23" w:rsidRPr="003862C7" w:rsidRDefault="00872B23" w:rsidP="008C4466">
      <w:pPr>
        <w:pStyle w:val="FootnoteText"/>
      </w:pPr>
      <w:r>
        <w:rPr>
          <w:rStyle w:val="FootnoteReference"/>
        </w:rPr>
        <w:footnoteRef/>
      </w:r>
      <w:r>
        <w:t xml:space="preserve"> Ibid, p. 13 </w:t>
      </w:r>
    </w:p>
  </w:footnote>
  <w:footnote w:id="67">
    <w:p w:rsidR="00872B23" w:rsidRPr="002A169A" w:rsidRDefault="00872B23" w:rsidP="008C4466">
      <w:pPr>
        <w:pStyle w:val="FootnoteText"/>
      </w:pPr>
      <w:r>
        <w:rPr>
          <w:rStyle w:val="FootnoteReference"/>
        </w:rPr>
        <w:footnoteRef/>
      </w:r>
      <w:r>
        <w:t xml:space="preserve"> See Annex 1, Case 4 Sukhkhi Loniya, pp. 28-30 </w:t>
      </w:r>
    </w:p>
  </w:footnote>
  <w:footnote w:id="68">
    <w:p w:rsidR="00872B23" w:rsidRPr="00376331" w:rsidRDefault="00872B23" w:rsidP="008C4466">
      <w:pPr>
        <w:pStyle w:val="FootnoteText"/>
      </w:pPr>
      <w:r>
        <w:rPr>
          <w:rStyle w:val="FootnoteReference"/>
        </w:rPr>
        <w:footnoteRef/>
      </w:r>
      <w:r>
        <w:t xml:space="preserve"> See Annex 1, Case 7, Hareshiv Yadav, pp. 35-37 </w:t>
      </w:r>
    </w:p>
  </w:footnote>
  <w:footnote w:id="69">
    <w:p w:rsidR="00872B23" w:rsidRPr="00827790" w:rsidRDefault="00872B23" w:rsidP="008C4466">
      <w:pPr>
        <w:pStyle w:val="FootnoteText"/>
      </w:pPr>
      <w:r>
        <w:rPr>
          <w:rStyle w:val="FootnoteReference"/>
        </w:rPr>
        <w:footnoteRef/>
      </w:r>
      <w:r>
        <w:t xml:space="preserve">See Annex 1 Cases 5, 6 and 9 Sonjay Sah, Ramod Singh and Santosh Singh, pp. 35-37 and pp 40-44 </w:t>
      </w:r>
    </w:p>
  </w:footnote>
  <w:footnote w:id="70">
    <w:p w:rsidR="00872B23" w:rsidRPr="00801AE4" w:rsidRDefault="00872B23" w:rsidP="008C4466">
      <w:pPr>
        <w:pStyle w:val="FootnoteText"/>
      </w:pPr>
      <w:r>
        <w:rPr>
          <w:rStyle w:val="FootnoteReference"/>
        </w:rPr>
        <w:footnoteRef/>
      </w:r>
      <w:r>
        <w:t xml:space="preserve">See Annex 1, Case 1 Mangare Murau, pp. 20-21 </w:t>
      </w:r>
    </w:p>
  </w:footnote>
  <w:footnote w:id="71">
    <w:p w:rsidR="00872B23" w:rsidRPr="00FC1D2C" w:rsidRDefault="00872B23" w:rsidP="008C4466">
      <w:pPr>
        <w:pStyle w:val="FootnoteText"/>
      </w:pPr>
      <w:r>
        <w:rPr>
          <w:rStyle w:val="FootnoteReference"/>
        </w:rPr>
        <w:footnoteRef/>
      </w:r>
      <w:r>
        <w:t xml:space="preserve">See Annex 1 Case 3 Dipendra Jah, pp. 24-28 </w:t>
      </w:r>
    </w:p>
  </w:footnote>
  <w:footnote w:id="72">
    <w:p w:rsidR="00872B23" w:rsidRPr="00AE576A" w:rsidRDefault="00872B23" w:rsidP="008C4466">
      <w:pPr>
        <w:pStyle w:val="FootnoteText"/>
      </w:pPr>
      <w:r>
        <w:rPr>
          <w:rStyle w:val="FootnoteReference"/>
        </w:rPr>
        <w:footnoteRef/>
      </w:r>
      <w:r>
        <w:t xml:space="preserve">See Annex 1 Case 2 Phuldhari Mukhiya pp. 21-24 </w:t>
      </w:r>
    </w:p>
  </w:footnote>
  <w:footnote w:id="73">
    <w:p w:rsidR="00872B23" w:rsidRPr="007A617E" w:rsidRDefault="00872B23" w:rsidP="008C4466">
      <w:pPr>
        <w:pStyle w:val="FootnoteText"/>
      </w:pPr>
      <w:r w:rsidRPr="007A617E">
        <w:rPr>
          <w:rStyle w:val="FootnoteReference"/>
        </w:rPr>
        <w:footnoteRef/>
      </w:r>
      <w:r>
        <w:rPr>
          <w:rFonts w:cs="Arial"/>
        </w:rPr>
        <w:t xml:space="preserve"> </w:t>
      </w:r>
      <w:r w:rsidRPr="007A617E">
        <w:rPr>
          <w:rFonts w:cs="Arial"/>
        </w:rPr>
        <w:t xml:space="preserve">Weekly Tarai Human Rights Situation Report, Terai Human Rights Defenders Alliance, </w:t>
      </w:r>
      <w:hyperlink r:id="rId26" w:history="1">
        <w:r w:rsidRPr="00E74356">
          <w:rPr>
            <w:rStyle w:val="Hyperlink"/>
          </w:rPr>
          <w:t>http://taraihumanrights.org/contentSingle-b20</w:t>
        </w:r>
      </w:hyperlink>
      <w:r w:rsidRPr="007A617E">
        <w:t>=</w:t>
      </w:r>
    </w:p>
  </w:footnote>
  <w:footnote w:id="74">
    <w:p w:rsidR="00872B23" w:rsidRPr="00792A01" w:rsidRDefault="00872B23" w:rsidP="008C4466">
      <w:pPr>
        <w:pStyle w:val="FootnoteText"/>
      </w:pPr>
      <w:r>
        <w:rPr>
          <w:rStyle w:val="FootnoteReference"/>
        </w:rPr>
        <w:footnoteRef/>
      </w:r>
      <w:r>
        <w:t xml:space="preserve"> See Annex 1, Case 4, </w:t>
      </w:r>
      <w:r>
        <w:rPr>
          <w:b/>
        </w:rPr>
        <w:t>S</w:t>
      </w:r>
      <w:r>
        <w:t xml:space="preserve">ukhkhi Loniya pp. 28-30 </w:t>
      </w:r>
    </w:p>
  </w:footnote>
  <w:footnote w:id="75">
    <w:p w:rsidR="00872B23" w:rsidRPr="0028568C" w:rsidRDefault="00872B23" w:rsidP="008C4466">
      <w:pPr>
        <w:pStyle w:val="FootnoteText"/>
      </w:pPr>
      <w:r>
        <w:rPr>
          <w:rStyle w:val="FootnoteReference"/>
        </w:rPr>
        <w:footnoteRef/>
      </w:r>
      <w:r w:rsidR="008169A2">
        <w:t xml:space="preserve"> See Annex 1</w:t>
      </w:r>
      <w:r>
        <w:t>, Case 12 Rameswak Dhobi pp. 48-50</w:t>
      </w:r>
    </w:p>
  </w:footnote>
  <w:footnote w:id="76">
    <w:p w:rsidR="00872B23" w:rsidRPr="00E649E2" w:rsidRDefault="00872B23" w:rsidP="008C4466">
      <w:pPr>
        <w:pStyle w:val="FootnoteText"/>
      </w:pPr>
      <w:r>
        <w:rPr>
          <w:rStyle w:val="FootnoteReference"/>
        </w:rPr>
        <w:footnoteRef/>
      </w:r>
      <w:r>
        <w:t xml:space="preserve"> See Annex 1, Cases 3 Dipendra Jha and Case 9 </w:t>
      </w:r>
      <w:r w:rsidRPr="00C757C4">
        <w:t xml:space="preserve">Santosh Singh, </w:t>
      </w:r>
      <w:r>
        <w:t xml:space="preserve"> pp.24-28 and pp.40-44</w:t>
      </w:r>
    </w:p>
  </w:footnote>
  <w:footnote w:id="77">
    <w:p w:rsidR="00872B23" w:rsidRPr="00E649E2" w:rsidRDefault="00872B23" w:rsidP="008C4466">
      <w:pPr>
        <w:pStyle w:val="FootnoteText"/>
      </w:pPr>
      <w:r>
        <w:rPr>
          <w:rStyle w:val="FootnoteReference"/>
        </w:rPr>
        <w:footnoteRef/>
      </w:r>
      <w:r>
        <w:t xml:space="preserve"> See Annex </w:t>
      </w:r>
      <w:r w:rsidR="008169A2">
        <w:t>1</w:t>
      </w:r>
      <w:r>
        <w:t>, Case 12 Ramesw</w:t>
      </w:r>
      <w:r w:rsidRPr="00E649E2">
        <w:t>ak Dhobi</w:t>
      </w:r>
      <w:r>
        <w:t>, pp. 48-50</w:t>
      </w:r>
    </w:p>
  </w:footnote>
  <w:footnote w:id="78">
    <w:p w:rsidR="00872B23" w:rsidRPr="00737BEE" w:rsidRDefault="00872B23" w:rsidP="008C4466">
      <w:pPr>
        <w:pStyle w:val="FootnoteText"/>
      </w:pPr>
      <w:r>
        <w:rPr>
          <w:rStyle w:val="FootnoteReference"/>
        </w:rPr>
        <w:footnoteRef/>
      </w:r>
      <w:r>
        <w:t xml:space="preserve"> Hindus prefer to worship in the morning as early as possible, so this is not an unusual hour to go to the river. </w:t>
      </w:r>
    </w:p>
  </w:footnote>
  <w:footnote w:id="79">
    <w:p w:rsidR="00872B23" w:rsidRPr="00737BEE" w:rsidRDefault="00872B23" w:rsidP="008C4466">
      <w:pPr>
        <w:pStyle w:val="FootnoteText"/>
      </w:pPr>
      <w:r>
        <w:rPr>
          <w:rStyle w:val="FootnoteReference"/>
        </w:rPr>
        <w:footnoteRef/>
      </w:r>
      <w:r>
        <w:t xml:space="preserve"> A splinter group of Jay Krishna Goit-led Janatantrik Mukti Morcha.</w:t>
      </w:r>
    </w:p>
  </w:footnote>
  <w:footnote w:id="80">
    <w:p w:rsidR="00872B23" w:rsidRDefault="00872B23" w:rsidP="008C4466">
      <w:pPr>
        <w:pStyle w:val="FootnoteText"/>
      </w:pPr>
      <w:r>
        <w:rPr>
          <w:rStyle w:val="FootnoteReference"/>
        </w:rPr>
        <w:footnoteRef/>
      </w:r>
      <w:r>
        <w:t xml:space="preserve"> Based on a claim made by Aslam’s father</w:t>
      </w:r>
    </w:p>
  </w:footnote>
  <w:footnote w:id="81">
    <w:p w:rsidR="00872B23" w:rsidRDefault="00872B23" w:rsidP="008C4466">
      <w:pPr>
        <w:pStyle w:val="FootnoteText"/>
      </w:pPr>
      <w:r>
        <w:rPr>
          <w:rStyle w:val="FootnoteReference"/>
        </w:rPr>
        <w:footnoteRef/>
      </w:r>
      <w:r>
        <w:t xml:space="preserve"> Terai Janatantrik Party, Madhesh is one of the armed group’s active in the Madhesh.</w:t>
      </w:r>
    </w:p>
  </w:footnote>
  <w:footnote w:id="82">
    <w:p w:rsidR="00872B23" w:rsidRPr="008D2E3E" w:rsidRDefault="00872B23" w:rsidP="008C4466">
      <w:pPr>
        <w:pStyle w:val="FootnoteText"/>
      </w:pPr>
      <w:r>
        <w:rPr>
          <w:rStyle w:val="FootnoteReference"/>
        </w:rPr>
        <w:footnoteRef/>
      </w:r>
      <w:r>
        <w:t xml:space="preserve"> </w:t>
      </w:r>
      <w:r w:rsidRPr="00421E19">
        <w:rPr>
          <w:bCs/>
        </w:rPr>
        <w:t>Dacoity</w:t>
      </w:r>
      <w:r w:rsidRPr="00421E19">
        <w:t xml:space="preserve"> is a term used for "</w:t>
      </w:r>
      <w:hyperlink r:id="rId27" w:tooltip="Banditry" w:history="1">
        <w:r w:rsidRPr="00421E19">
          <w:rPr>
            <w:rStyle w:val="Hyperlink"/>
          </w:rPr>
          <w:t>banditry</w:t>
        </w:r>
      </w:hyperlink>
      <w:r w:rsidRPr="00421E19">
        <w:t xml:space="preserve">" in </w:t>
      </w:r>
      <w:hyperlink r:id="rId28" w:tooltip="Hindi" w:history="1">
        <w:r w:rsidRPr="00421E19">
          <w:rPr>
            <w:rStyle w:val="Hyperlink"/>
          </w:rPr>
          <w:t>Hindi</w:t>
        </w:r>
      </w:hyperlink>
      <w:r w:rsidRPr="00421E19">
        <w:t xml:space="preserve"> and </w:t>
      </w:r>
      <w:hyperlink r:id="rId29" w:tooltip="Urdu" w:history="1">
        <w:r w:rsidRPr="00421E19">
          <w:rPr>
            <w:rStyle w:val="Hyperlink"/>
          </w:rPr>
          <w:t>Urdu</w:t>
        </w:r>
      </w:hyperlink>
      <w:r w:rsidRPr="00421E19">
        <w:t>.</w:t>
      </w:r>
    </w:p>
  </w:footnote>
  <w:footnote w:id="83">
    <w:p w:rsidR="00872B23" w:rsidRPr="00CD766A" w:rsidRDefault="00872B23" w:rsidP="008C4466">
      <w:pPr>
        <w:pStyle w:val="FootnoteText"/>
      </w:pPr>
      <w:r>
        <w:rPr>
          <w:rStyle w:val="FootnoteReference"/>
        </w:rPr>
        <w:footnoteRef/>
      </w:r>
      <w:r>
        <w:t xml:space="preserve"> “GM of Nepal Railway shot dead in Dhanusha”, The Himalayantimes, 2012-05-30</w:t>
      </w:r>
      <w:hyperlink r:id="rId30" w:history="1">
        <w:r w:rsidRPr="000010A1">
          <w:rPr>
            <w:rStyle w:val="Hyperlink"/>
          </w:rPr>
          <w:t>http://www.thehimalayantimes.com/fullNews.php?headline=GM+of+Nepal+Railway+shot+dead+in+Dhanusha&amp;NewsID=334095</w:t>
        </w:r>
      </w:hyperlink>
      <w:r>
        <w:t xml:space="preserve"> Accessed, 30/08/2013 </w:t>
      </w:r>
    </w:p>
  </w:footnote>
  <w:footnote w:id="84">
    <w:p w:rsidR="00872B23" w:rsidRPr="00737BEE" w:rsidRDefault="00872B23" w:rsidP="008C4466">
      <w:pPr>
        <w:pStyle w:val="FootnoteText"/>
      </w:pPr>
      <w:r>
        <w:rPr>
          <w:rStyle w:val="FootnoteReference"/>
        </w:rPr>
        <w:footnoteRef/>
      </w:r>
      <w:r>
        <w:t xml:space="preserve"> Naresh is the brother of Suresh Yadav</w:t>
      </w:r>
    </w:p>
  </w:footnote>
  <w:footnote w:id="85">
    <w:p w:rsidR="00872B23" w:rsidRPr="00737BEE" w:rsidRDefault="00872B23" w:rsidP="008C4466">
      <w:pPr>
        <w:pStyle w:val="FootnoteText"/>
      </w:pPr>
      <w:r>
        <w:rPr>
          <w:rStyle w:val="FootnoteReference"/>
        </w:rPr>
        <w:footnoteRef/>
      </w:r>
      <w:r>
        <w:t xml:space="preserve"> Names provided by local news agencies </w:t>
      </w:r>
    </w:p>
  </w:footnote>
  <w:footnote w:id="86">
    <w:p w:rsidR="00872B23" w:rsidRPr="00737BEE" w:rsidRDefault="00872B23" w:rsidP="008C4466">
      <w:pPr>
        <w:pStyle w:val="FootnoteText"/>
      </w:pPr>
      <w:r>
        <w:rPr>
          <w:rStyle w:val="FootnoteReference"/>
        </w:rPr>
        <w:footnoteRef/>
      </w:r>
      <w:r>
        <w:t xml:space="preserve"> She said these men had visited their house in the past as well and due to their typical hairstyle she thought they were police</w:t>
      </w:r>
    </w:p>
  </w:footnote>
  <w:footnote w:id="87">
    <w:p w:rsidR="00872B23" w:rsidRDefault="00872B23" w:rsidP="008C4466">
      <w:r w:rsidRPr="00883B8A">
        <w:rPr>
          <w:rFonts w:ascii="Tw Cen MT" w:eastAsia="Meiryo" w:hAnsi="Tw Cen MT"/>
          <w:sz w:val="20"/>
          <w:szCs w:val="20"/>
        </w:rPr>
        <w:footnoteRef/>
      </w:r>
      <w:r w:rsidRPr="00883B8A">
        <w:rPr>
          <w:rFonts w:ascii="Tw Cen MT" w:eastAsia="Meiryo" w:hAnsi="Tw Cen MT"/>
          <w:sz w:val="20"/>
          <w:szCs w:val="20"/>
        </w:rPr>
        <w:t xml:space="preserve"> The</w:t>
      </w:r>
      <w:r>
        <w:t xml:space="preserve"> </w:t>
      </w:r>
      <w:r w:rsidRPr="00883B8A">
        <w:rPr>
          <w:rFonts w:ascii="Tw Cen MT" w:eastAsia="Meiryo" w:hAnsi="Tw Cen MT"/>
          <w:sz w:val="20"/>
          <w:szCs w:val="20"/>
        </w:rPr>
        <w:t xml:space="preserve">Kathmandu Post, some local newspapers, online news and local FM stations on May 8, 2013 broadcasted and published this press conference. </w:t>
      </w:r>
      <w:hyperlink r:id="rId31" w:history="1">
        <w:r>
          <w:rPr>
            <w:rStyle w:val="Hyperlink"/>
          </w:rPr>
          <w:t>http://bharkhar.com/patrika/static/KTMPost/2013-05-08.pdf</w:t>
        </w:r>
      </w:hyperlink>
      <w:r>
        <w:t xml:space="preserve">] </w:t>
      </w:r>
    </w:p>
    <w:p w:rsidR="00872B23" w:rsidRDefault="00872B23" w:rsidP="008C4466">
      <w:pPr>
        <w:pStyle w:val="FootnoteText"/>
      </w:pPr>
    </w:p>
  </w:footnote>
  <w:footnote w:id="88">
    <w:p w:rsidR="00872B23" w:rsidRPr="00FB2878" w:rsidRDefault="00872B23" w:rsidP="008C4466">
      <w:pPr>
        <w:pStyle w:val="FootnoteText"/>
      </w:pPr>
      <w:r w:rsidRPr="00FB2878">
        <w:rPr>
          <w:rStyle w:val="FootnoteReference"/>
        </w:rPr>
        <w:footnoteRef/>
      </w:r>
      <w:r w:rsidRPr="00FB2878">
        <w:t xml:space="preserve"> Statement by Raj Kishor Prasad Shah, </w:t>
      </w:r>
      <w:r w:rsidRPr="00241FA0">
        <w:t xml:space="preserve">a member of Rautahat District Committee of CPN UML and brother-in-law of Harendra, is allegedly afraid of the police and will not give a statement himself. </w:t>
      </w:r>
    </w:p>
  </w:footnote>
  <w:footnote w:id="89">
    <w:p w:rsidR="00872B23" w:rsidRPr="00737BEE" w:rsidRDefault="00872B23" w:rsidP="008C4466">
      <w:pPr>
        <w:pStyle w:val="FootnoteText"/>
      </w:pPr>
      <w:r>
        <w:rPr>
          <w:rStyle w:val="FootnoteReference"/>
        </w:rPr>
        <w:footnoteRef/>
      </w:r>
      <w:r>
        <w:t xml:space="preserve"> The police beat where he was first taken is almost a kilometer away from the incident site</w:t>
      </w:r>
    </w:p>
  </w:footnote>
  <w:footnote w:id="90">
    <w:p w:rsidR="00872B23" w:rsidRPr="00AA7D32" w:rsidRDefault="00872B23" w:rsidP="008C4466">
      <w:pPr>
        <w:pStyle w:val="FootnoteText"/>
      </w:pPr>
      <w:r w:rsidRPr="0054098B">
        <w:rPr>
          <w:rStyle w:val="FootnoteReference"/>
        </w:rPr>
        <w:footnoteRef/>
      </w:r>
      <w:r w:rsidRPr="00AA7D32">
        <w:t>A resident of Asuraina-6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8243D"/>
    <w:multiLevelType w:val="hybridMultilevel"/>
    <w:tmpl w:val="E23CCACA"/>
    <w:lvl w:ilvl="0" w:tplc="38B4C5B2">
      <w:numFmt w:val="bullet"/>
      <w:lvlText w:val="-"/>
      <w:lvlJc w:val="left"/>
      <w:pPr>
        <w:ind w:left="720" w:hanging="360"/>
      </w:pPr>
      <w:rPr>
        <w:rFonts w:ascii="Calibri" w:eastAsia="Meiryo" w:hAnsi="Calibri" w:cs="Mang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82775B"/>
    <w:multiLevelType w:val="multilevel"/>
    <w:tmpl w:val="B352E00E"/>
    <w:lvl w:ilvl="0">
      <w:start w:val="1"/>
      <w:numFmt w:val="decimal"/>
      <w:pStyle w:val="Heading1"/>
      <w:lvlText w:val="%1"/>
      <w:lvlJc w:val="left"/>
      <w:pPr>
        <w:ind w:left="432" w:hanging="432"/>
      </w:pPr>
      <w:rPr>
        <w:rFonts w:ascii="Times New Roman" w:hAnsi="Times New Roman" w:cs="Times New Roman" w:hint="default"/>
        <w:sz w:val="28"/>
        <w:szCs w:val="28"/>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2989305F"/>
    <w:multiLevelType w:val="hybridMultilevel"/>
    <w:tmpl w:val="1CF09A30"/>
    <w:lvl w:ilvl="0" w:tplc="76589554">
      <w:start w:val="1"/>
      <w:numFmt w:val="decimal"/>
      <w:lvlText w:val="%1-"/>
      <w:lvlJc w:val="left"/>
      <w:pPr>
        <w:ind w:left="1997" w:hanging="72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3">
    <w:nsid w:val="4468025D"/>
    <w:multiLevelType w:val="hybridMultilevel"/>
    <w:tmpl w:val="C46A88AE"/>
    <w:lvl w:ilvl="0" w:tplc="0B7CD4B6">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45F1710C"/>
    <w:multiLevelType w:val="hybridMultilevel"/>
    <w:tmpl w:val="5CE2C216"/>
    <w:lvl w:ilvl="0" w:tplc="C96012AA">
      <w:start w:val="11"/>
      <w:numFmt w:val="decimal"/>
      <w:lvlText w:val="%1."/>
      <w:lvlJc w:val="left"/>
      <w:pPr>
        <w:ind w:left="1540" w:hanging="4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5B050CDF"/>
    <w:multiLevelType w:val="hybridMultilevel"/>
    <w:tmpl w:val="F30CB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8C4466"/>
    <w:rsid w:val="00080ED5"/>
    <w:rsid w:val="000D1B1C"/>
    <w:rsid w:val="000E594E"/>
    <w:rsid w:val="000F0F0C"/>
    <w:rsid w:val="00103552"/>
    <w:rsid w:val="00146DCB"/>
    <w:rsid w:val="0015400D"/>
    <w:rsid w:val="00175D22"/>
    <w:rsid w:val="001A4E87"/>
    <w:rsid w:val="001D7BAA"/>
    <w:rsid w:val="001F771A"/>
    <w:rsid w:val="002945A5"/>
    <w:rsid w:val="002B02C2"/>
    <w:rsid w:val="002B0D6B"/>
    <w:rsid w:val="002E140F"/>
    <w:rsid w:val="00303909"/>
    <w:rsid w:val="00386E1C"/>
    <w:rsid w:val="00415E35"/>
    <w:rsid w:val="00416CFA"/>
    <w:rsid w:val="00437BF0"/>
    <w:rsid w:val="00445F76"/>
    <w:rsid w:val="0048661E"/>
    <w:rsid w:val="004A6E3A"/>
    <w:rsid w:val="004C48F3"/>
    <w:rsid w:val="00533486"/>
    <w:rsid w:val="005B22BA"/>
    <w:rsid w:val="005F20D8"/>
    <w:rsid w:val="00601FF1"/>
    <w:rsid w:val="006266E9"/>
    <w:rsid w:val="0065540C"/>
    <w:rsid w:val="00660B32"/>
    <w:rsid w:val="00673C3B"/>
    <w:rsid w:val="006D7F5E"/>
    <w:rsid w:val="006E1D23"/>
    <w:rsid w:val="0071770B"/>
    <w:rsid w:val="007307D2"/>
    <w:rsid w:val="00762BEC"/>
    <w:rsid w:val="00763E16"/>
    <w:rsid w:val="0078365E"/>
    <w:rsid w:val="008169A2"/>
    <w:rsid w:val="00833503"/>
    <w:rsid w:val="0085224E"/>
    <w:rsid w:val="00872B23"/>
    <w:rsid w:val="008845E9"/>
    <w:rsid w:val="008B7134"/>
    <w:rsid w:val="008C4466"/>
    <w:rsid w:val="008C4772"/>
    <w:rsid w:val="008D4B43"/>
    <w:rsid w:val="008F420C"/>
    <w:rsid w:val="00914AC7"/>
    <w:rsid w:val="009223F5"/>
    <w:rsid w:val="0095011E"/>
    <w:rsid w:val="009863D4"/>
    <w:rsid w:val="009D1830"/>
    <w:rsid w:val="00A15FE5"/>
    <w:rsid w:val="00A25387"/>
    <w:rsid w:val="00A406CE"/>
    <w:rsid w:val="00A84CD3"/>
    <w:rsid w:val="00AA70B9"/>
    <w:rsid w:val="00AE7E6C"/>
    <w:rsid w:val="00AF3188"/>
    <w:rsid w:val="00B53B1A"/>
    <w:rsid w:val="00B617BA"/>
    <w:rsid w:val="00B73240"/>
    <w:rsid w:val="00B92E2B"/>
    <w:rsid w:val="00BB4204"/>
    <w:rsid w:val="00BC0C1D"/>
    <w:rsid w:val="00BC32F4"/>
    <w:rsid w:val="00BE402B"/>
    <w:rsid w:val="00C32EFD"/>
    <w:rsid w:val="00C50191"/>
    <w:rsid w:val="00C53069"/>
    <w:rsid w:val="00C65016"/>
    <w:rsid w:val="00C7535F"/>
    <w:rsid w:val="00C82C2A"/>
    <w:rsid w:val="00C94EEC"/>
    <w:rsid w:val="00CC34B1"/>
    <w:rsid w:val="00D026DB"/>
    <w:rsid w:val="00D31378"/>
    <w:rsid w:val="00D428F6"/>
    <w:rsid w:val="00D43136"/>
    <w:rsid w:val="00D60681"/>
    <w:rsid w:val="00D7429F"/>
    <w:rsid w:val="00D977CB"/>
    <w:rsid w:val="00DE2535"/>
    <w:rsid w:val="00DE79E1"/>
    <w:rsid w:val="00E322DC"/>
    <w:rsid w:val="00E56D65"/>
    <w:rsid w:val="00E97A17"/>
    <w:rsid w:val="00EC73C5"/>
    <w:rsid w:val="00ED6B6E"/>
    <w:rsid w:val="00EF1ADD"/>
    <w:rsid w:val="00F94768"/>
    <w:rsid w:val="00FB4719"/>
    <w:rsid w:val="00FD58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466"/>
    <w:pPr>
      <w:jc w:val="left"/>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8C4466"/>
    <w:pPr>
      <w:keepNext/>
      <w:keepLines/>
      <w:numPr>
        <w:numId w:val="1"/>
      </w:numPr>
      <w:pBdr>
        <w:bottom w:val="single" w:sz="4" w:space="1" w:color="595959"/>
      </w:pBdr>
      <w:spacing w:before="360" w:after="160" w:line="259" w:lineRule="auto"/>
      <w:outlineLvl w:val="0"/>
    </w:pPr>
    <w:rPr>
      <w:rFonts w:ascii="Tw Cen MT Condensed" w:eastAsia="Meiryo" w:hAnsi="Tw Cen MT Condensed"/>
      <w:b/>
      <w:bCs/>
      <w:smallCaps/>
      <w:color w:val="000000"/>
      <w:sz w:val="36"/>
      <w:szCs w:val="36"/>
    </w:rPr>
  </w:style>
  <w:style w:type="paragraph" w:styleId="Heading2">
    <w:name w:val="heading 2"/>
    <w:basedOn w:val="Normal"/>
    <w:next w:val="Normal"/>
    <w:link w:val="Heading2Char"/>
    <w:uiPriority w:val="9"/>
    <w:qFormat/>
    <w:rsid w:val="008C4466"/>
    <w:pPr>
      <w:keepNext/>
      <w:keepLines/>
      <w:numPr>
        <w:ilvl w:val="1"/>
        <w:numId w:val="1"/>
      </w:numPr>
      <w:spacing w:before="360" w:line="259" w:lineRule="auto"/>
      <w:outlineLvl w:val="1"/>
    </w:pPr>
    <w:rPr>
      <w:rFonts w:ascii="Tw Cen MT Condensed" w:eastAsia="Meiryo" w:hAnsi="Tw Cen MT Condensed"/>
      <w:b/>
      <w:bCs/>
      <w:smallCaps/>
      <w:color w:val="000000"/>
      <w:sz w:val="28"/>
      <w:szCs w:val="28"/>
    </w:rPr>
  </w:style>
  <w:style w:type="paragraph" w:styleId="Heading3">
    <w:name w:val="heading 3"/>
    <w:basedOn w:val="Normal"/>
    <w:next w:val="Normal"/>
    <w:link w:val="Heading3Char"/>
    <w:uiPriority w:val="9"/>
    <w:qFormat/>
    <w:rsid w:val="008C4466"/>
    <w:pPr>
      <w:keepNext/>
      <w:keepLines/>
      <w:numPr>
        <w:ilvl w:val="2"/>
        <w:numId w:val="1"/>
      </w:numPr>
      <w:spacing w:before="200" w:line="259" w:lineRule="auto"/>
      <w:outlineLvl w:val="2"/>
    </w:pPr>
    <w:rPr>
      <w:rFonts w:ascii="Tw Cen MT Condensed" w:eastAsia="Meiryo" w:hAnsi="Tw Cen MT Condensed"/>
      <w:b/>
      <w:bCs/>
      <w:color w:val="000000"/>
      <w:sz w:val="20"/>
      <w:szCs w:val="20"/>
    </w:rPr>
  </w:style>
  <w:style w:type="paragraph" w:styleId="Heading4">
    <w:name w:val="heading 4"/>
    <w:basedOn w:val="Normal"/>
    <w:next w:val="Normal"/>
    <w:link w:val="Heading4Char"/>
    <w:uiPriority w:val="9"/>
    <w:qFormat/>
    <w:rsid w:val="008C4466"/>
    <w:pPr>
      <w:keepNext/>
      <w:keepLines/>
      <w:numPr>
        <w:ilvl w:val="3"/>
        <w:numId w:val="1"/>
      </w:numPr>
      <w:spacing w:before="200" w:line="259" w:lineRule="auto"/>
      <w:outlineLvl w:val="3"/>
    </w:pPr>
    <w:rPr>
      <w:rFonts w:ascii="Tw Cen MT Condensed" w:eastAsia="Meiryo" w:hAnsi="Tw Cen MT Condensed"/>
      <w:b/>
      <w:bCs/>
      <w:i/>
      <w:iCs/>
      <w:color w:val="000000"/>
      <w:sz w:val="20"/>
      <w:szCs w:val="20"/>
    </w:rPr>
  </w:style>
  <w:style w:type="paragraph" w:styleId="Heading5">
    <w:name w:val="heading 5"/>
    <w:basedOn w:val="Normal"/>
    <w:next w:val="Normal"/>
    <w:link w:val="Heading5Char"/>
    <w:uiPriority w:val="9"/>
    <w:qFormat/>
    <w:rsid w:val="008C4466"/>
    <w:pPr>
      <w:keepNext/>
      <w:keepLines/>
      <w:numPr>
        <w:ilvl w:val="4"/>
        <w:numId w:val="1"/>
      </w:numPr>
      <w:spacing w:before="200" w:line="259" w:lineRule="auto"/>
      <w:outlineLvl w:val="4"/>
    </w:pPr>
    <w:rPr>
      <w:rFonts w:ascii="Tw Cen MT Condensed" w:eastAsia="Meiryo" w:hAnsi="Tw Cen MT Condensed"/>
      <w:color w:val="264356"/>
      <w:sz w:val="20"/>
      <w:szCs w:val="20"/>
    </w:rPr>
  </w:style>
  <w:style w:type="paragraph" w:styleId="Heading6">
    <w:name w:val="heading 6"/>
    <w:basedOn w:val="Normal"/>
    <w:next w:val="Normal"/>
    <w:link w:val="Heading6Char"/>
    <w:uiPriority w:val="9"/>
    <w:qFormat/>
    <w:rsid w:val="008C4466"/>
    <w:pPr>
      <w:keepNext/>
      <w:keepLines/>
      <w:numPr>
        <w:ilvl w:val="5"/>
        <w:numId w:val="1"/>
      </w:numPr>
      <w:spacing w:before="200" w:line="259" w:lineRule="auto"/>
      <w:outlineLvl w:val="5"/>
    </w:pPr>
    <w:rPr>
      <w:rFonts w:ascii="Tw Cen MT Condensed" w:eastAsia="Meiryo" w:hAnsi="Tw Cen MT Condensed"/>
      <w:i/>
      <w:iCs/>
      <w:color w:val="264356"/>
      <w:sz w:val="20"/>
      <w:szCs w:val="20"/>
    </w:rPr>
  </w:style>
  <w:style w:type="paragraph" w:styleId="Heading7">
    <w:name w:val="heading 7"/>
    <w:basedOn w:val="Normal"/>
    <w:next w:val="Normal"/>
    <w:link w:val="Heading7Char"/>
    <w:uiPriority w:val="9"/>
    <w:qFormat/>
    <w:rsid w:val="008C4466"/>
    <w:pPr>
      <w:keepNext/>
      <w:keepLines/>
      <w:numPr>
        <w:ilvl w:val="6"/>
        <w:numId w:val="1"/>
      </w:numPr>
      <w:spacing w:before="200" w:line="259" w:lineRule="auto"/>
      <w:outlineLvl w:val="6"/>
    </w:pPr>
    <w:rPr>
      <w:rFonts w:ascii="Tw Cen MT Condensed" w:eastAsia="Meiryo" w:hAnsi="Tw Cen MT Condensed"/>
      <w:i/>
      <w:iCs/>
      <w:color w:val="404040"/>
      <w:sz w:val="20"/>
      <w:szCs w:val="20"/>
    </w:rPr>
  </w:style>
  <w:style w:type="paragraph" w:styleId="Heading8">
    <w:name w:val="heading 8"/>
    <w:basedOn w:val="Normal"/>
    <w:next w:val="Normal"/>
    <w:link w:val="Heading8Char"/>
    <w:uiPriority w:val="9"/>
    <w:qFormat/>
    <w:rsid w:val="008C4466"/>
    <w:pPr>
      <w:keepNext/>
      <w:keepLines/>
      <w:numPr>
        <w:ilvl w:val="7"/>
        <w:numId w:val="1"/>
      </w:numPr>
      <w:spacing w:before="200" w:line="259" w:lineRule="auto"/>
      <w:outlineLvl w:val="7"/>
    </w:pPr>
    <w:rPr>
      <w:rFonts w:ascii="Tw Cen MT Condensed" w:eastAsia="Meiryo" w:hAnsi="Tw Cen MT Condensed"/>
      <w:color w:val="404040"/>
      <w:sz w:val="20"/>
      <w:szCs w:val="20"/>
    </w:rPr>
  </w:style>
  <w:style w:type="paragraph" w:styleId="Heading9">
    <w:name w:val="heading 9"/>
    <w:basedOn w:val="Normal"/>
    <w:next w:val="Normal"/>
    <w:link w:val="Heading9Char"/>
    <w:uiPriority w:val="9"/>
    <w:qFormat/>
    <w:rsid w:val="008C4466"/>
    <w:pPr>
      <w:keepNext/>
      <w:keepLines/>
      <w:numPr>
        <w:ilvl w:val="8"/>
        <w:numId w:val="1"/>
      </w:numPr>
      <w:spacing w:before="200" w:line="259" w:lineRule="auto"/>
      <w:outlineLvl w:val="8"/>
    </w:pPr>
    <w:rPr>
      <w:rFonts w:ascii="Tw Cen MT Condensed" w:eastAsia="Meiryo" w:hAnsi="Tw Cen MT Condensed"/>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466"/>
    <w:rPr>
      <w:rFonts w:ascii="Tw Cen MT Condensed" w:eastAsia="Meiryo" w:hAnsi="Tw Cen MT Condensed" w:cs="Times New Roman"/>
      <w:b/>
      <w:bCs/>
      <w:smallCaps/>
      <w:color w:val="000000"/>
      <w:sz w:val="36"/>
      <w:szCs w:val="36"/>
      <w:lang w:val="en-GB" w:eastAsia="en-GB"/>
    </w:rPr>
  </w:style>
  <w:style w:type="character" w:customStyle="1" w:styleId="Heading2Char">
    <w:name w:val="Heading 2 Char"/>
    <w:basedOn w:val="DefaultParagraphFont"/>
    <w:link w:val="Heading2"/>
    <w:uiPriority w:val="9"/>
    <w:rsid w:val="008C4466"/>
    <w:rPr>
      <w:rFonts w:ascii="Tw Cen MT Condensed" w:eastAsia="Meiryo" w:hAnsi="Tw Cen MT Condensed" w:cs="Times New Roman"/>
      <w:b/>
      <w:bCs/>
      <w:smallCaps/>
      <w:color w:val="000000"/>
      <w:sz w:val="28"/>
      <w:szCs w:val="28"/>
      <w:lang w:val="en-GB" w:eastAsia="en-GB"/>
    </w:rPr>
  </w:style>
  <w:style w:type="character" w:customStyle="1" w:styleId="Heading3Char">
    <w:name w:val="Heading 3 Char"/>
    <w:basedOn w:val="DefaultParagraphFont"/>
    <w:link w:val="Heading3"/>
    <w:uiPriority w:val="9"/>
    <w:rsid w:val="008C4466"/>
    <w:rPr>
      <w:rFonts w:ascii="Tw Cen MT Condensed" w:eastAsia="Meiryo" w:hAnsi="Tw Cen MT Condensed" w:cs="Times New Roman"/>
      <w:b/>
      <w:bCs/>
      <w:color w:val="000000"/>
      <w:sz w:val="20"/>
      <w:szCs w:val="20"/>
      <w:lang w:val="en-GB" w:eastAsia="en-GB"/>
    </w:rPr>
  </w:style>
  <w:style w:type="character" w:customStyle="1" w:styleId="Heading4Char">
    <w:name w:val="Heading 4 Char"/>
    <w:basedOn w:val="DefaultParagraphFont"/>
    <w:link w:val="Heading4"/>
    <w:uiPriority w:val="9"/>
    <w:rsid w:val="008C4466"/>
    <w:rPr>
      <w:rFonts w:ascii="Tw Cen MT Condensed" w:eastAsia="Meiryo" w:hAnsi="Tw Cen MT Condensed" w:cs="Times New Roman"/>
      <w:b/>
      <w:bCs/>
      <w:i/>
      <w:iCs/>
      <w:color w:val="000000"/>
      <w:sz w:val="20"/>
      <w:szCs w:val="20"/>
      <w:lang w:val="en-GB" w:eastAsia="en-GB"/>
    </w:rPr>
  </w:style>
  <w:style w:type="character" w:customStyle="1" w:styleId="Heading5Char">
    <w:name w:val="Heading 5 Char"/>
    <w:basedOn w:val="DefaultParagraphFont"/>
    <w:link w:val="Heading5"/>
    <w:uiPriority w:val="9"/>
    <w:rsid w:val="008C4466"/>
    <w:rPr>
      <w:rFonts w:ascii="Tw Cen MT Condensed" w:eastAsia="Meiryo" w:hAnsi="Tw Cen MT Condensed" w:cs="Times New Roman"/>
      <w:color w:val="264356"/>
      <w:sz w:val="20"/>
      <w:szCs w:val="20"/>
      <w:lang w:val="en-GB" w:eastAsia="en-GB"/>
    </w:rPr>
  </w:style>
  <w:style w:type="character" w:customStyle="1" w:styleId="Heading6Char">
    <w:name w:val="Heading 6 Char"/>
    <w:basedOn w:val="DefaultParagraphFont"/>
    <w:link w:val="Heading6"/>
    <w:uiPriority w:val="9"/>
    <w:rsid w:val="008C4466"/>
    <w:rPr>
      <w:rFonts w:ascii="Tw Cen MT Condensed" w:eastAsia="Meiryo" w:hAnsi="Tw Cen MT Condensed" w:cs="Times New Roman"/>
      <w:i/>
      <w:iCs/>
      <w:color w:val="264356"/>
      <w:sz w:val="20"/>
      <w:szCs w:val="20"/>
      <w:lang w:val="en-GB" w:eastAsia="en-GB"/>
    </w:rPr>
  </w:style>
  <w:style w:type="character" w:customStyle="1" w:styleId="Heading7Char">
    <w:name w:val="Heading 7 Char"/>
    <w:basedOn w:val="DefaultParagraphFont"/>
    <w:link w:val="Heading7"/>
    <w:uiPriority w:val="9"/>
    <w:rsid w:val="008C4466"/>
    <w:rPr>
      <w:rFonts w:ascii="Tw Cen MT Condensed" w:eastAsia="Meiryo" w:hAnsi="Tw Cen MT Condensed" w:cs="Times New Roman"/>
      <w:i/>
      <w:iCs/>
      <w:color w:val="404040"/>
      <w:sz w:val="20"/>
      <w:szCs w:val="20"/>
      <w:lang w:val="en-GB" w:eastAsia="en-GB"/>
    </w:rPr>
  </w:style>
  <w:style w:type="character" w:customStyle="1" w:styleId="Heading8Char">
    <w:name w:val="Heading 8 Char"/>
    <w:basedOn w:val="DefaultParagraphFont"/>
    <w:link w:val="Heading8"/>
    <w:uiPriority w:val="9"/>
    <w:rsid w:val="008C4466"/>
    <w:rPr>
      <w:rFonts w:ascii="Tw Cen MT Condensed" w:eastAsia="Meiryo" w:hAnsi="Tw Cen MT Condensed" w:cs="Times New Roman"/>
      <w:color w:val="404040"/>
      <w:sz w:val="20"/>
      <w:szCs w:val="20"/>
      <w:lang w:val="en-GB" w:eastAsia="en-GB"/>
    </w:rPr>
  </w:style>
  <w:style w:type="character" w:customStyle="1" w:styleId="Heading9Char">
    <w:name w:val="Heading 9 Char"/>
    <w:basedOn w:val="DefaultParagraphFont"/>
    <w:link w:val="Heading9"/>
    <w:uiPriority w:val="9"/>
    <w:rsid w:val="008C4466"/>
    <w:rPr>
      <w:rFonts w:ascii="Tw Cen MT Condensed" w:eastAsia="Meiryo" w:hAnsi="Tw Cen MT Condensed" w:cs="Times New Roman"/>
      <w:i/>
      <w:iCs/>
      <w:color w:val="404040"/>
      <w:sz w:val="20"/>
      <w:szCs w:val="20"/>
      <w:lang w:val="en-GB" w:eastAsia="en-GB"/>
    </w:rPr>
  </w:style>
  <w:style w:type="paragraph" w:styleId="Title">
    <w:name w:val="Title"/>
    <w:basedOn w:val="Normal"/>
    <w:next w:val="Normal"/>
    <w:link w:val="TitleChar"/>
    <w:uiPriority w:val="10"/>
    <w:qFormat/>
    <w:rsid w:val="008C4466"/>
    <w:pPr>
      <w:contextualSpacing/>
    </w:pPr>
    <w:rPr>
      <w:rFonts w:ascii="Tw Cen MT Condensed" w:eastAsia="Meiryo" w:hAnsi="Tw Cen MT Condensed"/>
      <w:color w:val="000000"/>
      <w:sz w:val="56"/>
      <w:szCs w:val="56"/>
    </w:rPr>
  </w:style>
  <w:style w:type="character" w:customStyle="1" w:styleId="TitleChar">
    <w:name w:val="Title Char"/>
    <w:basedOn w:val="DefaultParagraphFont"/>
    <w:link w:val="Title"/>
    <w:uiPriority w:val="10"/>
    <w:rsid w:val="008C4466"/>
    <w:rPr>
      <w:rFonts w:ascii="Tw Cen MT Condensed" w:eastAsia="Meiryo" w:hAnsi="Tw Cen MT Condensed" w:cs="Times New Roman"/>
      <w:color w:val="000000"/>
      <w:sz w:val="56"/>
      <w:szCs w:val="56"/>
      <w:lang w:val="en-GB" w:eastAsia="en-GB"/>
    </w:rPr>
  </w:style>
  <w:style w:type="paragraph" w:customStyle="1" w:styleId="ColorfulList-Accent11">
    <w:name w:val="Colorful List - Accent 11"/>
    <w:basedOn w:val="Normal"/>
    <w:uiPriority w:val="34"/>
    <w:qFormat/>
    <w:rsid w:val="008C4466"/>
    <w:pPr>
      <w:spacing w:after="160" w:line="259" w:lineRule="auto"/>
      <w:ind w:left="720"/>
      <w:contextualSpacing/>
    </w:pPr>
    <w:rPr>
      <w:rFonts w:ascii="Tw Cen MT" w:eastAsia="Meiryo" w:hAnsi="Tw Cen MT" w:cs="Mangal"/>
      <w:sz w:val="22"/>
      <w:szCs w:val="22"/>
      <w:lang w:val="en-US" w:eastAsia="ja-JP"/>
    </w:rPr>
  </w:style>
  <w:style w:type="paragraph" w:styleId="FootnoteText">
    <w:name w:val="footnote text"/>
    <w:basedOn w:val="Normal"/>
    <w:link w:val="FootnoteTextChar"/>
    <w:uiPriority w:val="99"/>
    <w:unhideWhenUsed/>
    <w:rsid w:val="008C4466"/>
    <w:rPr>
      <w:rFonts w:ascii="Tw Cen MT" w:eastAsia="Meiryo" w:hAnsi="Tw Cen MT"/>
      <w:sz w:val="20"/>
      <w:szCs w:val="20"/>
    </w:rPr>
  </w:style>
  <w:style w:type="character" w:customStyle="1" w:styleId="FootnoteTextChar">
    <w:name w:val="Footnote Text Char"/>
    <w:basedOn w:val="DefaultParagraphFont"/>
    <w:link w:val="FootnoteText"/>
    <w:uiPriority w:val="99"/>
    <w:rsid w:val="008C4466"/>
    <w:rPr>
      <w:rFonts w:ascii="Tw Cen MT" w:eastAsia="Meiryo" w:hAnsi="Tw Cen MT" w:cs="Times New Roman"/>
      <w:sz w:val="20"/>
      <w:szCs w:val="20"/>
      <w:lang w:val="en-GB" w:eastAsia="en-GB"/>
    </w:rPr>
  </w:style>
  <w:style w:type="character" w:styleId="FootnoteReference">
    <w:name w:val="footnote reference"/>
    <w:uiPriority w:val="99"/>
    <w:unhideWhenUsed/>
    <w:rsid w:val="008C4466"/>
    <w:rPr>
      <w:vertAlign w:val="superscript"/>
    </w:rPr>
  </w:style>
  <w:style w:type="character" w:styleId="Hyperlink">
    <w:name w:val="Hyperlink"/>
    <w:uiPriority w:val="99"/>
    <w:unhideWhenUsed/>
    <w:rsid w:val="008C4466"/>
    <w:rPr>
      <w:color w:val="6B9F25"/>
      <w:u w:val="single"/>
    </w:rPr>
  </w:style>
  <w:style w:type="paragraph" w:styleId="NormalWeb">
    <w:name w:val="Normal (Web)"/>
    <w:basedOn w:val="Normal"/>
    <w:uiPriority w:val="99"/>
    <w:unhideWhenUsed/>
    <w:rsid w:val="008C4466"/>
    <w:pPr>
      <w:spacing w:before="100" w:beforeAutospacing="1" w:after="100" w:afterAutospacing="1"/>
    </w:pPr>
  </w:style>
  <w:style w:type="character" w:customStyle="1" w:styleId="location">
    <w:name w:val="location"/>
    <w:basedOn w:val="DefaultParagraphFont"/>
    <w:rsid w:val="008C4466"/>
  </w:style>
  <w:style w:type="paragraph" w:styleId="Footer">
    <w:name w:val="footer"/>
    <w:basedOn w:val="Normal"/>
    <w:link w:val="FooterChar"/>
    <w:uiPriority w:val="99"/>
    <w:unhideWhenUsed/>
    <w:rsid w:val="008C4466"/>
    <w:pPr>
      <w:tabs>
        <w:tab w:val="center" w:pos="4320"/>
        <w:tab w:val="right" w:pos="8640"/>
      </w:tabs>
    </w:pPr>
  </w:style>
  <w:style w:type="character" w:customStyle="1" w:styleId="FooterChar">
    <w:name w:val="Footer Char"/>
    <w:basedOn w:val="DefaultParagraphFont"/>
    <w:link w:val="Footer"/>
    <w:uiPriority w:val="99"/>
    <w:rsid w:val="008C4466"/>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semiHidden/>
    <w:unhideWhenUsed/>
    <w:rsid w:val="00BB4204"/>
    <w:pPr>
      <w:tabs>
        <w:tab w:val="center" w:pos="4680"/>
        <w:tab w:val="right" w:pos="9360"/>
      </w:tabs>
    </w:pPr>
  </w:style>
  <w:style w:type="character" w:customStyle="1" w:styleId="HeaderChar">
    <w:name w:val="Header Char"/>
    <w:basedOn w:val="DefaultParagraphFont"/>
    <w:link w:val="Header"/>
    <w:uiPriority w:val="99"/>
    <w:semiHidden/>
    <w:rsid w:val="00BB4204"/>
    <w:rPr>
      <w:rFonts w:ascii="Times New Roman" w:eastAsia="Times New Roman" w:hAnsi="Times New Roman" w:cs="Times New Roman"/>
      <w:sz w:val="24"/>
      <w:szCs w:val="24"/>
      <w:lang w:val="en-GB" w:eastAsia="en-GB"/>
    </w:rPr>
  </w:style>
  <w:style w:type="paragraph" w:customStyle="1" w:styleId="TOCHeading1">
    <w:name w:val="TOC Heading1"/>
    <w:basedOn w:val="Heading1"/>
    <w:next w:val="Normal"/>
    <w:uiPriority w:val="39"/>
    <w:unhideWhenUsed/>
    <w:qFormat/>
    <w:rsid w:val="00533486"/>
    <w:pPr>
      <w:numPr>
        <w:numId w:val="0"/>
      </w:numPr>
      <w:pBdr>
        <w:bottom w:val="none" w:sz="0" w:space="0" w:color="auto"/>
      </w:pBdr>
      <w:spacing w:before="240" w:after="0"/>
      <w:outlineLvl w:val="9"/>
    </w:pPr>
    <w:rPr>
      <w:rFonts w:ascii="Calibri Light" w:eastAsia="Times New Roman" w:hAnsi="Calibri Light"/>
      <w:b w:val="0"/>
      <w:bCs w:val="0"/>
      <w:smallCaps w:val="0"/>
      <w:color w:val="2E74B5"/>
      <w:sz w:val="32"/>
      <w:szCs w:val="32"/>
      <w:lang w:eastAsia="en-US"/>
    </w:rPr>
  </w:style>
  <w:style w:type="paragraph" w:styleId="TOC2">
    <w:name w:val="toc 2"/>
    <w:basedOn w:val="Normal"/>
    <w:next w:val="Normal"/>
    <w:autoRedefine/>
    <w:uiPriority w:val="39"/>
    <w:unhideWhenUsed/>
    <w:rsid w:val="00533486"/>
    <w:pPr>
      <w:spacing w:after="100" w:line="259" w:lineRule="auto"/>
      <w:ind w:left="220"/>
    </w:pPr>
    <w:rPr>
      <w:rFonts w:ascii="Calibri" w:hAnsi="Calibri"/>
      <w:sz w:val="22"/>
      <w:szCs w:val="22"/>
      <w:lang w:val="en-US" w:eastAsia="en-US"/>
    </w:rPr>
  </w:style>
  <w:style w:type="paragraph" w:styleId="TOC1">
    <w:name w:val="toc 1"/>
    <w:basedOn w:val="Normal"/>
    <w:next w:val="Normal"/>
    <w:autoRedefine/>
    <w:uiPriority w:val="39"/>
    <w:unhideWhenUsed/>
    <w:rsid w:val="00533486"/>
    <w:pPr>
      <w:spacing w:after="100" w:line="259" w:lineRule="auto"/>
    </w:pPr>
    <w:rPr>
      <w:rFonts w:ascii="Calibri" w:hAnsi="Calibri"/>
      <w:sz w:val="22"/>
      <w:szCs w:val="22"/>
      <w:lang w:val="en-US" w:eastAsia="en-US"/>
    </w:rPr>
  </w:style>
  <w:style w:type="character" w:styleId="PageNumber">
    <w:name w:val="page number"/>
    <w:basedOn w:val="DefaultParagraphFont"/>
    <w:uiPriority w:val="99"/>
    <w:semiHidden/>
    <w:unhideWhenUsed/>
    <w:rsid w:val="00533486"/>
  </w:style>
  <w:style w:type="paragraph" w:styleId="EndnoteText">
    <w:name w:val="endnote text"/>
    <w:basedOn w:val="Normal"/>
    <w:link w:val="EndnoteTextChar"/>
    <w:uiPriority w:val="99"/>
    <w:semiHidden/>
    <w:unhideWhenUsed/>
    <w:rsid w:val="00B617BA"/>
    <w:rPr>
      <w:sz w:val="20"/>
      <w:szCs w:val="20"/>
    </w:rPr>
  </w:style>
  <w:style w:type="character" w:customStyle="1" w:styleId="EndnoteTextChar">
    <w:name w:val="Endnote Text Char"/>
    <w:basedOn w:val="DefaultParagraphFont"/>
    <w:link w:val="EndnoteText"/>
    <w:uiPriority w:val="99"/>
    <w:semiHidden/>
    <w:rsid w:val="00B617BA"/>
    <w:rPr>
      <w:rFonts w:ascii="Times New Roman" w:eastAsia="Times New Roman" w:hAnsi="Times New Roman" w:cs="Times New Roman"/>
      <w:sz w:val="20"/>
      <w:szCs w:val="20"/>
      <w:lang w:val="en-GB" w:eastAsia="en-GB"/>
    </w:rPr>
  </w:style>
  <w:style w:type="character" w:styleId="EndnoteReference">
    <w:name w:val="endnote reference"/>
    <w:basedOn w:val="DefaultParagraphFont"/>
    <w:uiPriority w:val="99"/>
    <w:semiHidden/>
    <w:unhideWhenUsed/>
    <w:rsid w:val="00B617BA"/>
    <w:rPr>
      <w:vertAlign w:val="superscript"/>
    </w:rPr>
  </w:style>
  <w:style w:type="character" w:styleId="LineNumber">
    <w:name w:val="line number"/>
    <w:basedOn w:val="DefaultParagraphFont"/>
    <w:uiPriority w:val="99"/>
    <w:semiHidden/>
    <w:unhideWhenUsed/>
    <w:rsid w:val="0083350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_rels/footnotes.xml.rels><?xml version="1.0" encoding="UTF-8" standalone="yes"?>
<Relationships xmlns="http://schemas.openxmlformats.org/package/2006/relationships"><Relationship Id="rId8" Type="http://schemas.openxmlformats.org/officeDocument/2006/relationships/hyperlink" Target="http://www.ekantipur.com/2013/03/14/top-story/after-13-hr-marathon-parties-okay-cj-govt/368393.html" TargetMode="External"/><Relationship Id="rId13" Type="http://schemas.openxmlformats.org/officeDocument/2006/relationships/hyperlink" Target="http://nepal.ohchr.org/en/resources/Documents/English/reports/HCR/Investigating%20Allegations%20of%20Extra-Judicial%20Killings%20in%20the%20Terai.pdf" TargetMode="External"/><Relationship Id="rId18" Type="http://schemas.openxmlformats.org/officeDocument/2006/relationships/hyperlink" Target="http://taraihumanrights.org/contentSingle-dGs" TargetMode="External"/><Relationship Id="rId26" Type="http://schemas.openxmlformats.org/officeDocument/2006/relationships/hyperlink" Target="http://taraihumanrights.org/contentSingle-b20" TargetMode="External"/><Relationship Id="rId3" Type="http://schemas.openxmlformats.org/officeDocument/2006/relationships/hyperlink" Target="http://www.advocacyforum.org/downloads/pdf/publications/terai-report-english.pdf" TargetMode="External"/><Relationship Id="rId21" Type="http://schemas.openxmlformats.org/officeDocument/2006/relationships/hyperlink" Target="http://nepal.ohchr.org/en/resources/publications/Investigating%20Allegations%20of%20Extra-Judicial%20Killings%20in%20the%20Terai.pdf" TargetMode="External"/><Relationship Id="rId7" Type="http://schemas.openxmlformats.org/officeDocument/2006/relationships/hyperlink" Target="http://www.economist.com/news/asia/21566659-government-fails-hold-promised-elections-speculation-grows-about-how-president-will?zid=309&amp;ah=80dcf288b8561b012f603b9fd9577f0e" TargetMode="External"/><Relationship Id="rId12" Type="http://schemas.openxmlformats.org/officeDocument/2006/relationships/hyperlink" Target="http://www.economist.com/blogs/banyan/2012/03/nepal-and-its-regions?zid=309&amp;ah=80dcf288b8561b012f603b9fd9577f0e" TargetMode="External"/><Relationship Id="rId17" Type="http://schemas.openxmlformats.org/officeDocument/2006/relationships/hyperlink" Target="http://taraihumanrights.org/contentSingle-bWlX" TargetMode="External"/><Relationship Id="rId25" Type="http://schemas.openxmlformats.org/officeDocument/2006/relationships/hyperlink" Target="http://www.taraihumanrights.org/contentSingle-b2c" TargetMode="External"/><Relationship Id="rId2" Type="http://schemas.openxmlformats.org/officeDocument/2006/relationships/hyperlink" Target="http://www.ncf.org.np/?page=data&amp;cat_id=2" TargetMode="External"/><Relationship Id="rId16" Type="http://schemas.openxmlformats.org/officeDocument/2006/relationships/hyperlink" Target="http://thediplomat.com/2013/12/the-madhes-and-the-future-of-nepal/" TargetMode="External"/><Relationship Id="rId20" Type="http://schemas.openxmlformats.org/officeDocument/2006/relationships/hyperlink" Target="http://www.ohchr.org/Documents/Countries/NP/OHCHR_Nepal_Conflict_Report2012.pdf" TargetMode="External"/><Relationship Id="rId29" Type="http://schemas.openxmlformats.org/officeDocument/2006/relationships/hyperlink" Target="http://en.wikipedia.org/wiki/Urdu" TargetMode="External"/><Relationship Id="rId1" Type="http://schemas.openxmlformats.org/officeDocument/2006/relationships/hyperlink" Target="http://nepal.ohchr.org/en/resources/Documents/English/reports/HCR/Investigating%20Allegations%20of%20Extra-Judicial%20Killings%20in%20the%20Terai.pdf" TargetMode="External"/><Relationship Id="rId6" Type="http://schemas.openxmlformats.org/officeDocument/2006/relationships/hyperlink" Target="http://www.economist.com/news/asia/21579882-election-called-political-stability-remains-distant-dream-ad-hoc-country?zid=309&amp;ah=80dcf288b8561b012f603b9fd9577f0e" TargetMode="External"/><Relationship Id="rId11" Type="http://schemas.openxmlformats.org/officeDocument/2006/relationships/hyperlink" Target="http://www.economist.com/news/asia/21579882-election-called-political-stability-remains-distant-dream-ad-hoc-country?zid=309&amp;ah=80dcf288b8561b012f603b9fd9577f0e" TargetMode="External"/><Relationship Id="rId24" Type="http://schemas.openxmlformats.org/officeDocument/2006/relationships/hyperlink" Target="http://taraihumanrights.org/contentSingle-bWc" TargetMode="External"/><Relationship Id="rId5" Type="http://schemas.openxmlformats.org/officeDocument/2006/relationships/hyperlink" Target="http://www.un.org/apps/news/story.asp?NewsID=40136&amp;Cr=heyns&amp;Cr1" TargetMode="External"/><Relationship Id="rId15" Type="http://schemas.openxmlformats.org/officeDocument/2006/relationships/hyperlink" Target="http://thediplomat.com/2013/12/the-madhes-and-the-future-of-nepal/" TargetMode="External"/><Relationship Id="rId23" Type="http://schemas.openxmlformats.org/officeDocument/2006/relationships/hyperlink" Target="http://taraihumanrights.org/contentSingle-bWc" TargetMode="External"/><Relationship Id="rId28" Type="http://schemas.openxmlformats.org/officeDocument/2006/relationships/hyperlink" Target="http://en.wikipedia.org/wiki/Hindi" TargetMode="External"/><Relationship Id="rId10" Type="http://schemas.openxmlformats.org/officeDocument/2006/relationships/hyperlink" Target="http://www.myrepublica.com/portal/index.php?action=news_details&amp;news_id=62438" TargetMode="External"/><Relationship Id="rId19" Type="http://schemas.openxmlformats.org/officeDocument/2006/relationships/hyperlink" Target="http://thediplomat.com/2013/12/the-madhes-and-the-future-of-nepal/" TargetMode="External"/><Relationship Id="rId31" Type="http://schemas.openxmlformats.org/officeDocument/2006/relationships/hyperlink" Target="http://bharkhar.com/patrika/static/KTMPost/2013-05-08.pdf" TargetMode="External"/><Relationship Id="rId4" Type="http://schemas.openxmlformats.org/officeDocument/2006/relationships/hyperlink" Target="http://taraihumanrights.org/inner.php?id=2" TargetMode="External"/><Relationship Id="rId9" Type="http://schemas.openxmlformats.org/officeDocument/2006/relationships/hyperlink" Target="http://imagechannels.com/news/details/25458/Supreme-Court-slashes-cabinet-chairman-Khil-Raj-Regmis-status-of-chief-justice-Rules-against-holding-of-double-identi%20%20last%20accessed%2016/09/2013" TargetMode="External"/><Relationship Id="rId14" Type="http://schemas.openxmlformats.org/officeDocument/2006/relationships/hyperlink" Target="http://nepal.ohchr.org/en/resources/Documents/English/reports/HCR/Investigating%20Allegations%20of%20Extra-Judicial%20Killings%20in%20the%20Terai.pdf" TargetMode="External"/><Relationship Id="rId22" Type="http://schemas.openxmlformats.org/officeDocument/2006/relationships/hyperlink" Target="http://taraihumanrights.org/contentSingle-bmZV" TargetMode="External"/><Relationship Id="rId27" Type="http://schemas.openxmlformats.org/officeDocument/2006/relationships/hyperlink" Target="http://en.wikipedia.org/wiki/Banditry" TargetMode="External"/><Relationship Id="rId30" Type="http://schemas.openxmlformats.org/officeDocument/2006/relationships/hyperlink" Target="http://www.thehimalayantimes.com/fullNews.php?headline=GM+of+Nepal+Railway+shot+dead+in+Dhanusha&amp;NewsID=3340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CHICAGO.XSL" StyleName="Chicago"/>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5D6E93-4F4B-4DE1-A3CF-9B1F46C65C7E}"/>
</file>

<file path=customXml/itemProps2.xml><?xml version="1.0" encoding="utf-8"?>
<ds:datastoreItem xmlns:ds="http://schemas.openxmlformats.org/officeDocument/2006/customXml" ds:itemID="{0656758E-5204-43F9-ADD1-91F093597769}"/>
</file>

<file path=customXml/itemProps3.xml><?xml version="1.0" encoding="utf-8"?>
<ds:datastoreItem xmlns:ds="http://schemas.openxmlformats.org/officeDocument/2006/customXml" ds:itemID="{A6B81BA0-71CF-4F95-81D5-D96FC3A73805}"/>
</file>

<file path=customXml/itemProps4.xml><?xml version="1.0" encoding="utf-8"?>
<ds:datastoreItem xmlns:ds="http://schemas.openxmlformats.org/officeDocument/2006/customXml" ds:itemID="{FDB14CD1-396E-4777-8E64-356A54C31A7C}"/>
</file>

<file path=docProps/app.xml><?xml version="1.0" encoding="utf-8"?>
<Properties xmlns="http://schemas.openxmlformats.org/officeDocument/2006/extended-properties" xmlns:vt="http://schemas.openxmlformats.org/officeDocument/2006/docPropsVTypes">
  <Template>Normal</Template>
  <TotalTime>225</TotalTime>
  <Pages>54</Pages>
  <Words>17158</Words>
  <Characters>97806</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150</cp:revision>
  <cp:lastPrinted>2014-02-12T10:52:00Z</cp:lastPrinted>
  <dcterms:created xsi:type="dcterms:W3CDTF">2014-02-12T06:33:00Z</dcterms:created>
  <dcterms:modified xsi:type="dcterms:W3CDTF">2014-02-12T10:52:00Z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