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43313C" w:rsidP="0043313C">
            <w:pPr>
              <w:suppressAutoHyphens w:val="0"/>
              <w:spacing w:after="20"/>
              <w:jc w:val="right"/>
            </w:pPr>
            <w:r w:rsidRPr="0043313C">
              <w:rPr>
                <w:sz w:val="40"/>
              </w:rPr>
              <w:t>CAT</w:t>
            </w:r>
            <w:r>
              <w:t>/C/SR.1559</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en-GB"/>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43313C" w:rsidP="0043313C">
            <w:pPr>
              <w:suppressAutoHyphens w:val="0"/>
              <w:spacing w:before="240" w:line="240" w:lineRule="exact"/>
            </w:pPr>
            <w:r>
              <w:t>Distr.: General</w:t>
            </w:r>
          </w:p>
          <w:p w:rsidR="0043313C" w:rsidRDefault="00B953ED" w:rsidP="0043313C">
            <w:pPr>
              <w:suppressAutoHyphens w:val="0"/>
            </w:pPr>
            <w:r>
              <w:t>11</w:t>
            </w:r>
            <w:r w:rsidR="0043313C">
              <w:t xml:space="preserve"> August 2017</w:t>
            </w:r>
          </w:p>
          <w:p w:rsidR="0043313C" w:rsidRDefault="0043313C" w:rsidP="0043313C">
            <w:pPr>
              <w:suppressAutoHyphens w:val="0"/>
            </w:pPr>
          </w:p>
          <w:p w:rsidR="0043313C" w:rsidRDefault="0043313C" w:rsidP="0043313C">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43313C" w:rsidP="006176DD">
      <w:pPr>
        <w:spacing w:after="120"/>
        <w:rPr>
          <w:b/>
        </w:rPr>
      </w:pPr>
      <w:r w:rsidRPr="0043313C">
        <w:rPr>
          <w:b/>
        </w:rPr>
        <w:t xml:space="preserve">Sixty-first </w:t>
      </w:r>
      <w:r w:rsidR="00432009">
        <w:rPr>
          <w:b/>
        </w:rPr>
        <w:t>session</w:t>
      </w:r>
    </w:p>
    <w:p w:rsidR="00432009" w:rsidRDefault="00432009" w:rsidP="00432009">
      <w:pPr>
        <w:rPr>
          <w:b/>
        </w:rPr>
      </w:pPr>
      <w:r>
        <w:rPr>
          <w:b/>
        </w:rPr>
        <w:t xml:space="preserve">Summary record of the </w:t>
      </w:r>
      <w:r w:rsidR="0043313C" w:rsidRPr="0043313C">
        <w:rPr>
          <w:b/>
        </w:rPr>
        <w:t xml:space="preserve">1559th </w:t>
      </w:r>
      <w:r>
        <w:rPr>
          <w:b/>
        </w:rPr>
        <w:t>meeting</w:t>
      </w:r>
    </w:p>
    <w:p w:rsidR="00432009" w:rsidRDefault="00432009" w:rsidP="00E7419F">
      <w:pPr>
        <w:spacing w:after="120"/>
      </w:pPr>
      <w:r>
        <w:t xml:space="preserve">Held at the Palais Wilson, Geneva, </w:t>
      </w:r>
      <w:r w:rsidR="0043313C" w:rsidRPr="0043313C">
        <w:t>on Friday, 4 August 2017, at 3 p.m.</w:t>
      </w:r>
    </w:p>
    <w:p w:rsidR="00A43F01" w:rsidRDefault="00432009" w:rsidP="00432009">
      <w:pPr>
        <w:tabs>
          <w:tab w:val="left" w:pos="1134"/>
          <w:tab w:val="right" w:leader="dot" w:pos="8504"/>
        </w:tabs>
        <w:spacing w:after="120"/>
      </w:pPr>
      <w:r>
        <w:rPr>
          <w:i/>
        </w:rPr>
        <w:t>Chair</w:t>
      </w:r>
      <w:r>
        <w:t>:</w:t>
      </w:r>
      <w:r>
        <w:tab/>
      </w:r>
      <w:r w:rsidR="0043313C" w:rsidRPr="0043313C">
        <w:t>Mr. Modvig</w:t>
      </w:r>
    </w:p>
    <w:p w:rsidR="00A43F01" w:rsidRDefault="00A43F01" w:rsidP="00A43F01">
      <w:pPr>
        <w:tabs>
          <w:tab w:val="right" w:pos="992"/>
          <w:tab w:val="left" w:pos="1276"/>
          <w:tab w:val="right" w:leader="dot" w:pos="8504"/>
        </w:tabs>
        <w:spacing w:before="360" w:after="240"/>
        <w:rPr>
          <w:sz w:val="28"/>
        </w:rPr>
      </w:pPr>
      <w:r>
        <w:rPr>
          <w:sz w:val="28"/>
        </w:rPr>
        <w:t>Contents</w:t>
      </w:r>
    </w:p>
    <w:p w:rsidR="0043313C" w:rsidRDefault="0043313C" w:rsidP="0043313C">
      <w:pPr>
        <w:pStyle w:val="SingleTxtG"/>
        <w:jc w:val="left"/>
      </w:pPr>
      <w:r>
        <w:t>Consideration of reports submitted by States parties under article 19 of the Convention (</w:t>
      </w:r>
      <w:r w:rsidRPr="0043313C">
        <w:rPr>
          <w:i/>
        </w:rPr>
        <w:t>continued</w:t>
      </w:r>
      <w:r>
        <w:t>)</w:t>
      </w:r>
    </w:p>
    <w:p w:rsidR="0043313C" w:rsidRDefault="0043313C" w:rsidP="0043313C">
      <w:pPr>
        <w:pStyle w:val="SingleTxtG"/>
      </w:pPr>
      <w:r>
        <w:tab/>
      </w:r>
      <w:r w:rsidRPr="0043313C">
        <w:rPr>
          <w:i/>
        </w:rPr>
        <w:t>Fourth periodic report of Panama</w:t>
      </w:r>
      <w:r>
        <w:t xml:space="preserve"> (</w:t>
      </w:r>
      <w:r w:rsidRPr="0043313C">
        <w:rPr>
          <w:i/>
        </w:rPr>
        <w:t>continued</w:t>
      </w:r>
      <w:r>
        <w:t>)</w:t>
      </w:r>
    </w:p>
    <w:p w:rsidR="0043313C" w:rsidRPr="006F4566" w:rsidRDefault="0043313C" w:rsidP="0043313C">
      <w:pPr>
        <w:pStyle w:val="SingleTxtG"/>
        <w:rPr>
          <w:i/>
        </w:rPr>
      </w:pPr>
      <w:r>
        <w:br w:type="page"/>
      </w:r>
      <w:r w:rsidRPr="006F4566">
        <w:rPr>
          <w:i/>
        </w:rPr>
        <w:lastRenderedPageBreak/>
        <w:t>The meeting was called to order at 3 p.m.</w:t>
      </w:r>
    </w:p>
    <w:p w:rsidR="0043313C" w:rsidRDefault="006F4566" w:rsidP="006F4566">
      <w:pPr>
        <w:pStyle w:val="H23G"/>
      </w:pPr>
      <w:r>
        <w:tab/>
      </w:r>
      <w:r>
        <w:tab/>
      </w:r>
      <w:r w:rsidR="0043313C">
        <w:t xml:space="preserve">Consideration of reports submitted by States parties under article 19 of the Convention </w:t>
      </w:r>
      <w:r w:rsidR="0043313C" w:rsidRPr="006F4566">
        <w:rPr>
          <w:b w:val="0"/>
        </w:rPr>
        <w:t>(</w:t>
      </w:r>
      <w:r w:rsidR="0043313C" w:rsidRPr="006F4566">
        <w:rPr>
          <w:b w:val="0"/>
          <w:i/>
        </w:rPr>
        <w:t>continued</w:t>
      </w:r>
      <w:r w:rsidR="0043313C" w:rsidRPr="006F4566">
        <w:rPr>
          <w:b w:val="0"/>
        </w:rPr>
        <w:t>)</w:t>
      </w:r>
    </w:p>
    <w:p w:rsidR="0043313C" w:rsidRDefault="006F4566" w:rsidP="0043313C">
      <w:pPr>
        <w:pStyle w:val="SingleTxtG"/>
      </w:pPr>
      <w:r>
        <w:tab/>
      </w:r>
      <w:r w:rsidR="0043313C" w:rsidRPr="006F4566">
        <w:rPr>
          <w:i/>
        </w:rPr>
        <w:t>Fourth periodic report of Panama</w:t>
      </w:r>
      <w:r w:rsidR="0043313C">
        <w:t xml:space="preserve"> (</w:t>
      </w:r>
      <w:r w:rsidR="0043313C" w:rsidRPr="006F4566">
        <w:rPr>
          <w:i/>
        </w:rPr>
        <w:t>continued</w:t>
      </w:r>
      <w:r w:rsidR="0043313C">
        <w:t>) (CAT/C/PAN/4; CAT/C/PAN/QPR/4)</w:t>
      </w:r>
    </w:p>
    <w:p w:rsidR="0043313C" w:rsidRPr="006F4566" w:rsidRDefault="0043313C" w:rsidP="006F4566">
      <w:pPr>
        <w:pStyle w:val="ParaNoG"/>
        <w:rPr>
          <w:i/>
        </w:rPr>
      </w:pPr>
      <w:r w:rsidRPr="006F4566">
        <w:rPr>
          <w:i/>
        </w:rPr>
        <w:t>At the invitation of the Chair, the delegation of Panama took places at the Committee table.</w:t>
      </w:r>
    </w:p>
    <w:p w:rsidR="0043313C" w:rsidRDefault="0043313C" w:rsidP="006F4566">
      <w:pPr>
        <w:pStyle w:val="ParaNoG"/>
      </w:pPr>
      <w:r w:rsidRPr="006F4566">
        <w:rPr>
          <w:b/>
        </w:rPr>
        <w:t>Mr. Medina Marín</w:t>
      </w:r>
      <w:r>
        <w:t xml:space="preserve"> (Panama), responding to</w:t>
      </w:r>
      <w:r w:rsidR="00E72387">
        <w:t xml:space="preserve"> </w:t>
      </w:r>
      <w:r>
        <w:t>questions asked during the 1556th meeting, said that more than 7,000 persons had remained in pretrial detention for more than 1 year, and almost 2,800 had been held for more than 3 years. Just over half of the State party</w:t>
      </w:r>
      <w:r w:rsidR="005B4274">
        <w:t>’</w:t>
      </w:r>
      <w:r>
        <w:t>s 16,000 adult prisoners were in pretrial detention, compared to 11 per cent of the country</w:t>
      </w:r>
      <w:r w:rsidR="005B4274">
        <w:t>’</w:t>
      </w:r>
      <w:r>
        <w:t xml:space="preserve">s 900 juvenile prisoners. All prisons had signs displaying the rights and obligations of persons deprived of their liberty in Spanish only. There were plans to print leaflets with that information and hand them to persons deprived of their liberty at the moment of their detention. </w:t>
      </w:r>
    </w:p>
    <w:p w:rsidR="0043313C" w:rsidRDefault="0043313C" w:rsidP="006F4566">
      <w:pPr>
        <w:pStyle w:val="ParaNoG"/>
      </w:pPr>
      <w:r>
        <w:t>Prison guards did not use lethal weapons. They received initial and ongoing training with a strong legal component, which included international as well as national legislation. Torture and cruel, inhuman and degrading treatment by prison staff towards persons deprived of their liberty or their families were expressly prohibited under domestic law by Act No. 55 of 2003, Executive Decree No. 393 of 2005 and Act No. 42 of 2016.</w:t>
      </w:r>
    </w:p>
    <w:p w:rsidR="0043313C" w:rsidRDefault="0043313C" w:rsidP="006F4566">
      <w:pPr>
        <w:pStyle w:val="ParaNoG"/>
      </w:pPr>
      <w:r>
        <w:t>Although prisons had few primary health-care staff, health fairs were</w:t>
      </w:r>
      <w:r w:rsidR="00E72387">
        <w:t xml:space="preserve"> </w:t>
      </w:r>
      <w:r>
        <w:t xml:space="preserve">organized with the cooperation of the Ministry of Health to provide health care to inmates, as were prison health surveys. Medical check-ups were required at the time of imprisonment. Health staff received training in torture prevention and were obliged to report to the authorities any signs of violence inflicted on persons deprived of their liberty. </w:t>
      </w:r>
    </w:p>
    <w:p w:rsidR="0043313C" w:rsidRDefault="0043313C" w:rsidP="006F4566">
      <w:pPr>
        <w:pStyle w:val="ParaNoG"/>
      </w:pPr>
      <w:r>
        <w:t>The Government had a zero-tolerance policy towards corruption. It was the offence most commonly investigated by the General Inspectorate of the Prison System, with 137 investigations having been conducted in 2016, which had resulted in 16 dismissals. As at July 2017, 45 investigations had been carried out, with 21 persons having been removed from office. Investigations were conducted on the basis of information received via the prison mailbox, the 311 telephone hotline, and the Department of Human Rights and the Dignity of Public Officials and Consumers. The principle of non-retaliation was respected. Between 2016 and July 2017 there had been 36 criminal complaints concerning deprivation of</w:t>
      </w:r>
      <w:r w:rsidR="00E72387">
        <w:t xml:space="preserve"> </w:t>
      </w:r>
      <w:r>
        <w:t>liberty, corruption, injuries and damage. Three complaints of torture had been received, two of which had resulted in an internal investigation pending submission to the Public Prosecution Service.</w:t>
      </w:r>
    </w:p>
    <w:p w:rsidR="0043313C" w:rsidRDefault="0043313C" w:rsidP="006F4566">
      <w:pPr>
        <w:pStyle w:val="ParaNoG"/>
      </w:pPr>
      <w:r>
        <w:t xml:space="preserve">The purpose of the prison census was to gather information at national level on the socioeconomic profile of both adult and juvenile offenders, the details and circumstances of the offences committed, and accounts of prison life, with a view to establishing prison policies aimed at rehabilitating offenders and ensuring the safety of persons deprived of their liberty, prison staff and society in general. The information would also be used to improve the effectiveness of non-custodial sentences imposed on adolescents in conflict with the law, and to help implement policies concerning lesbian, gay, bisexual, transgender and intersex (LGBTI) persons deprived of their liberty. </w:t>
      </w:r>
    </w:p>
    <w:p w:rsidR="0043313C" w:rsidRDefault="0043313C" w:rsidP="006F4566">
      <w:pPr>
        <w:pStyle w:val="ParaNoG"/>
      </w:pPr>
      <w:r>
        <w:t>There was a department in charge of gender issues. The Government worked closely with civil society organizations in order to improve the prison system and assessed the experiences of other countries in the region to implement good practices.</w:t>
      </w:r>
    </w:p>
    <w:p w:rsidR="0043313C" w:rsidRDefault="0043313C" w:rsidP="006F4566">
      <w:pPr>
        <w:pStyle w:val="ParaNoG"/>
      </w:pPr>
      <w:r>
        <w:t>A number of safeguards applied to adolescents in conflict with the law, including the right to be imprisoned only in exceptional cases and in special detention centres. To prevent a recurrence of the events of 2011, when five adolescents had died at the Tocumen youth detention centre, a comprehensive intervention model had been established. The model also sought to develop the values, social skills and cognitive abilities of adolescents through programmes, workshops and activities, to help reintegrate them into society.</w:t>
      </w:r>
    </w:p>
    <w:p w:rsidR="0043313C" w:rsidRDefault="0043313C" w:rsidP="006F4566">
      <w:pPr>
        <w:pStyle w:val="ParaNoG"/>
      </w:pPr>
      <w:r>
        <w:lastRenderedPageBreak/>
        <w:t>There were a total of 63 persons with disabilities in the country</w:t>
      </w:r>
      <w:r w:rsidR="005B4274">
        <w:t>’</w:t>
      </w:r>
      <w:r>
        <w:t xml:space="preserve">s prisons, 7 of whom used a wheelchair, 26 used crutches and 30 used walking sticks. </w:t>
      </w:r>
    </w:p>
    <w:p w:rsidR="0043313C" w:rsidRDefault="0043313C" w:rsidP="006F4566">
      <w:pPr>
        <w:pStyle w:val="ParaNoG"/>
      </w:pPr>
      <w:r>
        <w:t xml:space="preserve">One case regarding torture and ill-treatment at a home for persons with disabilities and the elderly, the </w:t>
      </w:r>
      <w:r w:rsidR="005B4274">
        <w:t>“</w:t>
      </w:r>
      <w:r>
        <w:t>Laura</w:t>
      </w:r>
      <w:r w:rsidR="005B4274">
        <w:t>”</w:t>
      </w:r>
      <w:r>
        <w:t xml:space="preserve"> case, had been heard by the National Institute for Women. The Institute had recommended that a complaint should be filed with the Public Prosecution Service, and the Office of the Ombudsman would follow up on the case. </w:t>
      </w:r>
    </w:p>
    <w:p w:rsidR="0043313C" w:rsidRDefault="0043313C" w:rsidP="006F4566">
      <w:pPr>
        <w:pStyle w:val="ParaNoG"/>
      </w:pPr>
      <w:r>
        <w:t>Prison guards were carefully selected; persons with impulsive tendencies and a short temper, or who were aggressive, violent or emotionally unstable, were not recruited. Their salary had been increased from US$400 to $800, and the Government was working to increase the pay of all prison staff. There were currently 1,100 prison guards, and a further 1,200 were required to ensure internal and external security, in accordance with article 100 of Act No. 55 of 2003, as amended. At the current hiring rate, the additional positions would be filled in approximately 4 years, and the National Police would provide external security until that time.</w:t>
      </w:r>
    </w:p>
    <w:p w:rsidR="0043313C" w:rsidRDefault="0043313C" w:rsidP="006F4566">
      <w:pPr>
        <w:pStyle w:val="ParaNoG"/>
      </w:pPr>
      <w:r w:rsidRPr="006F4566">
        <w:rPr>
          <w:b/>
        </w:rPr>
        <w:t>Ms. Quiel Canto</w:t>
      </w:r>
      <w:r>
        <w:t xml:space="preserve"> (Panama) said that the number of public defenders had been increased from 79 in 2010 to 247 in 2017, equivalent to one defender for every 15,000 people. The number of victims</w:t>
      </w:r>
      <w:r w:rsidR="005B4274">
        <w:t>’</w:t>
      </w:r>
      <w:r>
        <w:t xml:space="preserve"> lawyers providing free legal aid had risen from 9 to 71 over the same period, and there was now a sufficient number available to meet demand.</w:t>
      </w:r>
    </w:p>
    <w:p w:rsidR="0043313C" w:rsidRDefault="0043313C" w:rsidP="006F4566">
      <w:pPr>
        <w:pStyle w:val="ParaNoG"/>
      </w:pPr>
      <w:r>
        <w:t>A new hearing date, 13 November 2017, had been set in the Heliodoro Portugal case. The case against Manuel Antonio Noriega would be dismissed since he had died in May 2017. The criminal proceedings against the remaining six defendants would continue.</w:t>
      </w:r>
    </w:p>
    <w:p w:rsidR="0043313C" w:rsidRDefault="0043313C" w:rsidP="006F4566">
      <w:pPr>
        <w:pStyle w:val="ParaNoG"/>
      </w:pPr>
      <w:r>
        <w:t>The statute of limitations was equal to the maximum custodial sentence that the offence in question carried, namely 8 years for crimes under article 156 of the Criminal Code and 15 years for those provided for in article 156-A. However, procedural law stated that once charges had been filed, the limitation period would restart, thus extending the limit by 8 or 15 years, respectively. The</w:t>
      </w:r>
      <w:r w:rsidR="00E72387">
        <w:t xml:space="preserve"> </w:t>
      </w:r>
      <w:r>
        <w:t>limitation period was suspended in cases where proceedings against the defendant were to conducted in absentia or subject to extradition. No amendment to the statute of limitations for the crime of torture had yet been</w:t>
      </w:r>
      <w:r w:rsidR="00E72387">
        <w:t xml:space="preserve"> </w:t>
      </w:r>
      <w:r>
        <w:t>proposed,</w:t>
      </w:r>
      <w:r w:rsidR="00E72387">
        <w:t xml:space="preserve"> </w:t>
      </w:r>
      <w:r>
        <w:t>but a commission would be set up to review the law in accordance with the Committee</w:t>
      </w:r>
      <w:r w:rsidR="005B4274">
        <w:t>’</w:t>
      </w:r>
      <w:r>
        <w:t>s request.</w:t>
      </w:r>
    </w:p>
    <w:p w:rsidR="0043313C" w:rsidRDefault="0043313C" w:rsidP="006F4566">
      <w:pPr>
        <w:pStyle w:val="ParaNoG"/>
      </w:pPr>
      <w:r>
        <w:t>With the aim of reducing the number of unconvicted persons deprived of their liberty, efforts were under way to ensure that</w:t>
      </w:r>
      <w:r w:rsidR="00E72387">
        <w:t xml:space="preserve"> </w:t>
      </w:r>
      <w:r>
        <w:t>the police</w:t>
      </w:r>
      <w:r w:rsidR="00E72387">
        <w:t xml:space="preserve"> </w:t>
      </w:r>
      <w:r>
        <w:t xml:space="preserve">transported detainees to the courts for trial or, failing that, to provide for trials by video link. A total of 763 hearings had been held via video link between April and June 2017, compared to 465 in 2016. Further information on those efforts would be supplied to the Committee in writing. </w:t>
      </w:r>
    </w:p>
    <w:p w:rsidR="0043313C" w:rsidRDefault="0043313C" w:rsidP="006F4566">
      <w:pPr>
        <w:pStyle w:val="ParaNoG"/>
      </w:pPr>
      <w:r>
        <w:t xml:space="preserve">Given its importance in policymaking, statistical information on investigations, trials and enforcement of judgments would be gathered from the computer platform used by the justice system. Although there were currently no disaggregated data on investigations and prosecutions in torture cases, a manual examination of court registers and direct communication with the courts had revealed that there had been 1,388 convictions for offences against liberty and sexual integrity, which covered a range of other criminal offences, between September 2011 and June 2017. </w:t>
      </w:r>
    </w:p>
    <w:p w:rsidR="0043313C" w:rsidRDefault="0043313C" w:rsidP="006F4566">
      <w:pPr>
        <w:pStyle w:val="ParaNoG"/>
      </w:pPr>
      <w:r>
        <w:t>According to data from the Statistics Centre, in that same period, there had been 22 cases of femicide and attempted femicide, for which there had been five convictions. Attempted offences were punishable by a minimum penalty of between half the minimum penalty for the intended offence and two thirds of the maximum. There had also been over 15,300 domestic violence cases, with 579 convictions. A further 19 cases had been registered by the Public Prosecution Service, in addition to the number given in the State party report (CRC/C/PAN/4, para. 181).</w:t>
      </w:r>
    </w:p>
    <w:p w:rsidR="0043313C" w:rsidRDefault="0043313C" w:rsidP="006F4566">
      <w:pPr>
        <w:pStyle w:val="ParaNoG"/>
      </w:pPr>
      <w:r>
        <w:t>In the Ganadera Bocas case, the company would return almost 221 hectares of land to the Naso community as part of an agreement with the Government. The land would be used for social purposes. The company had requested that the State compensate it with a similar area of land, although that was not part of the agreement. The Government was reviewing the matter.</w:t>
      </w:r>
    </w:p>
    <w:p w:rsidR="0043313C" w:rsidRDefault="0043313C" w:rsidP="006F4566">
      <w:pPr>
        <w:pStyle w:val="ParaNoG"/>
      </w:pPr>
      <w:r>
        <w:lastRenderedPageBreak/>
        <w:t>The units for the protection of victims, witnesses, experts and other participants in criminal proceedings had given assistance to 55 victims of offences against liberty and 4,288 victims of offences against the family and marital status. The unit had registered a total of more than 22,000 cases between January 2015 and May 2017.</w:t>
      </w:r>
    </w:p>
    <w:p w:rsidR="0043313C" w:rsidRDefault="0043313C" w:rsidP="006F4566">
      <w:pPr>
        <w:pStyle w:val="ParaNoG"/>
      </w:pPr>
      <w:r>
        <w:t>The State party had not expressly prohibited all forms of corporal punishment of children and adolescents by law. A commission had been set up, presided over by the National Secretariat for Children, Adolescents and the Family, to develop a strategy to prevent violence against children and adolescents, including an assessment of the legislation that required amendment.</w:t>
      </w:r>
    </w:p>
    <w:p w:rsidR="0043313C" w:rsidRDefault="0043313C" w:rsidP="006F4566">
      <w:pPr>
        <w:pStyle w:val="ParaNoG"/>
      </w:pPr>
      <w:r w:rsidRPr="006F4566">
        <w:rPr>
          <w:b/>
        </w:rPr>
        <w:t>Mr. Facón Moreno</w:t>
      </w:r>
      <w:r>
        <w:t xml:space="preserve"> (Panama) said that, with regard to the cases brought by relatives of victims of the military dictatorship that had ended in 1989, Ricardo Baena had been awarded $11,451,000 for moral damage and $20,000,000 in compensation; Heliodoro Portugal had been awarded $20,000 for indirect damage and $206,000 for non-material damage; $2,000,000 had been awarded to the Kuna indigenous community of Madungandí and $500,000 to the Emberá indigenous community of Bayano; Vélez Loor had been granted $27,500 in compensation; and Rita Wald had been compensated to the amount of $681,000. The amounts had been established by agreements between the victims and</w:t>
      </w:r>
      <w:r w:rsidR="003F7584">
        <w:t xml:space="preserve"> the</w:t>
      </w:r>
      <w:r>
        <w:t xml:space="preserve"> Government, and approved by a decision of the Inter-American Court of Human Rights</w:t>
      </w:r>
      <w:r w:rsidR="00E72387">
        <w:t xml:space="preserve"> </w:t>
      </w:r>
      <w:r>
        <w:t>dated 30 October 2008.</w:t>
      </w:r>
    </w:p>
    <w:p w:rsidR="0043313C" w:rsidRDefault="0043313C" w:rsidP="006F4566">
      <w:pPr>
        <w:pStyle w:val="ParaNoG"/>
      </w:pPr>
      <w:r w:rsidRPr="006F4566">
        <w:rPr>
          <w:b/>
        </w:rPr>
        <w:t>Mr. Ruiz</w:t>
      </w:r>
      <w:r>
        <w:t xml:space="preserve"> (Panama) said that detainees had to undergo a medical check-up before being brought before the competent authority. In accordance with the 2007 procedural manual, police officers must take proportionate security measures; read and provide detainees with a written copy of their rights; transport the detainees to the nearest police station to take their personal details; transfer them to a State hospital for a medical check-up or care; and bring the detainees to the competent authority. Upon completing the final step, the police must present a record of proper treatment to detain</w:t>
      </w:r>
      <w:r w:rsidR="00472AB1">
        <w:t>ees in a language they understoo</w:t>
      </w:r>
      <w:r>
        <w:t>d, which the detainees should then sign.</w:t>
      </w:r>
    </w:p>
    <w:p w:rsidR="0043313C" w:rsidRDefault="0043313C" w:rsidP="006F4566">
      <w:pPr>
        <w:pStyle w:val="ParaNoG"/>
      </w:pPr>
      <w:r>
        <w:t>The Directorate of Professional Responsibility was charged with investigating the internal affairs of the National Police. The Directorate</w:t>
      </w:r>
      <w:r w:rsidR="005B4274">
        <w:t>’</w:t>
      </w:r>
      <w:r>
        <w:t>s disciplinary regulations classified the use of unnecessary violence as serious misconduct, punishable by no fewer than 20 and no more than 30 days</w:t>
      </w:r>
      <w:r w:rsidR="005B4274">
        <w:t>’</w:t>
      </w:r>
      <w:r>
        <w:t xml:space="preserve"> imprisonment. There had been 11 such cases brought before the Local Disciplinary Board, or </w:t>
      </w:r>
      <w:r w:rsidR="005B4274">
        <w:t>“</w:t>
      </w:r>
      <w:r>
        <w:t>JDL</w:t>
      </w:r>
      <w:r w:rsidR="005B4274">
        <w:t>”</w:t>
      </w:r>
      <w:r>
        <w:t>, between 2012 and 2017. Judgment was pending in eight cases dating from between 2012 and 2014,</w:t>
      </w:r>
      <w:r w:rsidR="00E72387">
        <w:t xml:space="preserve"> </w:t>
      </w:r>
      <w:r>
        <w:t>which were not subject to decision by either the Local or the Higher Disciplinary Board. To combat excessive use of force, police officers received training with reference to various international instruments, such as the Code of Conduct for Law Enforcement Officials,</w:t>
      </w:r>
      <w:r w:rsidR="00E72387">
        <w:t xml:space="preserve"> </w:t>
      </w:r>
      <w:r>
        <w:t>which included professional ethical training based on respect for human rights. Complaints could be lodged with the Directorate of Professional Responsibility of the National Police via a signed letter or by telephone with caller identification.</w:t>
      </w:r>
    </w:p>
    <w:p w:rsidR="0043313C" w:rsidRDefault="0043313C" w:rsidP="006F4566">
      <w:pPr>
        <w:pStyle w:val="ParaNoG"/>
      </w:pPr>
      <w:r>
        <w:t xml:space="preserve">In the first half of 2017, the Directorate of Professional Responsibility, had received a total of 478 complaints of torture or ill-treatment, 223 of which had been resolved, while the remainder were still under investigation. Over 85 per cent of those cases related to ill-treatment and around 14 per cent to torture. Training by the Institute of Advanced Police Studies covered interrogation skills, taking into account professional ethical conduct in line with human rights and the principles of the National Police. </w:t>
      </w:r>
    </w:p>
    <w:p w:rsidR="0043313C" w:rsidRDefault="0043313C" w:rsidP="006F4566">
      <w:pPr>
        <w:pStyle w:val="ParaNoG"/>
      </w:pPr>
      <w:r>
        <w:t xml:space="preserve">Under Act No. 62, the use of lead, plastic and rubber pellets by all State security forces was prohibited in the context of peaceful demonstrations. Such pellets were only used in extreme cases, such as a risk of death or serious injury, where softer measures had proved insufficient. Peaceful demonstrations were defined as assemblies where persons expressed their views on a particular issue affecting them. Under Article 38 of the Constitution, all persons had the right to peaceful assembly, without the use of arms and for lawful purposes. The authorities could intervene to prevent the abuse of that right in cases where the free movement of vehicles was hampered or the public peace was disturbed. The security forces were bound by the protocol on the use of necessary force and the 2007 procedure manual, which dealt with police presence, persuasion, dissuasion, neutralization and its effects. </w:t>
      </w:r>
    </w:p>
    <w:p w:rsidR="0043313C" w:rsidRDefault="0043313C" w:rsidP="006F4566">
      <w:pPr>
        <w:pStyle w:val="ParaNoG"/>
      </w:pPr>
      <w:r>
        <w:lastRenderedPageBreak/>
        <w:t>With regard to the events of 2 June 2017, a group of sex workers and their representatives had gathered outside a police station to protest ill-treatment by the police; they had prevented officials from entering or leaving the building and had obstructed traffic. With a view to upholding the right to free passage, 11 women and 4 men had been arrested. They had been taken, not handcuffed and accompanied by officials from the Ombudsman</w:t>
      </w:r>
      <w:r w:rsidR="005B4274">
        <w:t>’</w:t>
      </w:r>
      <w:r>
        <w:t xml:space="preserve">s Office, to San Miguel police station, where they had been met by their lawyers and later released without charge. The protesters had not filed any complaints of ill-treatment. </w:t>
      </w:r>
    </w:p>
    <w:p w:rsidR="0043313C" w:rsidRDefault="0043313C" w:rsidP="006F4566">
      <w:pPr>
        <w:pStyle w:val="ParaNoG"/>
      </w:pPr>
      <w:r w:rsidRPr="0014414D">
        <w:rPr>
          <w:b/>
        </w:rPr>
        <w:t>Ms. Arellano</w:t>
      </w:r>
      <w:r>
        <w:t xml:space="preserve"> (Panama) said that the functions of the national preventive mechanism would be assumed by a national directorate established under the Ombudsman</w:t>
      </w:r>
      <w:r w:rsidR="005B4274">
        <w:t>’</w:t>
      </w:r>
      <w:r>
        <w:t xml:space="preserve">s Office, which would have a ministerial portfolio for the exercise of administrative powers. Under the relevant legislation, the State was bound to ensure adequate resource allocation to the national preventive mechanism. </w:t>
      </w:r>
    </w:p>
    <w:p w:rsidR="0043313C" w:rsidRDefault="0043313C" w:rsidP="006F4566">
      <w:pPr>
        <w:pStyle w:val="ParaNoG"/>
      </w:pPr>
      <w:r>
        <w:t>The Ombudsman</w:t>
      </w:r>
      <w:r w:rsidR="005B4274">
        <w:t>’</w:t>
      </w:r>
      <w:r>
        <w:t>s Office had</w:t>
      </w:r>
      <w:r w:rsidR="00E72387">
        <w:t xml:space="preserve"> </w:t>
      </w:r>
      <w:r>
        <w:t>requested funding in the amount of US$ 800,000</w:t>
      </w:r>
      <w:r w:rsidR="00E72387">
        <w:t xml:space="preserve"> </w:t>
      </w:r>
      <w:r>
        <w:t>from various public bodies to enable the national preventive mechanism to begin its operations. The 2018 preliminary draft budget of the Ombudsman</w:t>
      </w:r>
      <w:r w:rsidR="005B4274">
        <w:t>’</w:t>
      </w:r>
      <w:r>
        <w:t>s Office also provided for resource allocation to the mechanism. An inter-institutional commission, composed, inter alia, of the Ombudsman</w:t>
      </w:r>
      <w:r w:rsidR="005B4274">
        <w:t>’</w:t>
      </w:r>
      <w:r>
        <w:t>s Office, the judiciary and the National Assembly, had been set up to devise the selection process for the director and deputy director of the mechanism.</w:t>
      </w:r>
      <w:r w:rsidR="00E72387">
        <w:t xml:space="preserve"> </w:t>
      </w:r>
      <w:r>
        <w:t>All State entities and civil society were required to appoint</w:t>
      </w:r>
      <w:r w:rsidR="00E72387">
        <w:t xml:space="preserve"> </w:t>
      </w:r>
      <w:r>
        <w:t>representatives to the selection committee. To date, representatives from the judiciary and civil society had been selected. The annual budget for the national preventive mechanism took into account the recruitment of professional, technical and administrative support staff. The mechanism would also be entitled to support from the administrative units of the Ombudsman</w:t>
      </w:r>
      <w:r w:rsidR="005B4274">
        <w:t>’</w:t>
      </w:r>
      <w:r>
        <w:t xml:space="preserve">s Office. </w:t>
      </w:r>
    </w:p>
    <w:p w:rsidR="0043313C" w:rsidRDefault="0043313C" w:rsidP="006F4566">
      <w:pPr>
        <w:pStyle w:val="ParaNoG"/>
      </w:pPr>
      <w:r>
        <w:t>Panama</w:t>
      </w:r>
      <w:r w:rsidR="005B4274">
        <w:t>’</w:t>
      </w:r>
      <w:r>
        <w:t>s fourth periodic report (CAT/C/PAN/4) had been produced through a participatory process organized by the National Standing Committee</w:t>
      </w:r>
      <w:r w:rsidR="00E72387">
        <w:t xml:space="preserve"> </w:t>
      </w:r>
      <w:r>
        <w:t>responsible for</w:t>
      </w:r>
      <w:r w:rsidR="00E72387">
        <w:t xml:space="preserve"> </w:t>
      </w:r>
      <w:r>
        <w:t>follow-up to the recommendations of international human rights bodies; 25 public entities representing the three branches of government had been involved in the process, as had</w:t>
      </w:r>
      <w:r w:rsidR="00E72387">
        <w:t xml:space="preserve"> </w:t>
      </w:r>
      <w:r>
        <w:t>48 non-governmental organizations (NGOs). The preliminary report had been prepared via consultations with civil society in four main subject areas, namely, criminal and judicial procedures; migrants and refugees; persons deprived of liberty; and women, children and adolescents. The Government</w:t>
      </w:r>
      <w:r w:rsidR="00E72387">
        <w:t xml:space="preserve"> </w:t>
      </w:r>
      <w:r>
        <w:t xml:space="preserve">was considering the possibility of withdrawing its reservation to article 33 of the Convention and in that connection had extended a standing invitation to the special procedures mandate holders. </w:t>
      </w:r>
    </w:p>
    <w:p w:rsidR="0043313C" w:rsidRDefault="0043313C" w:rsidP="006F4566">
      <w:pPr>
        <w:pStyle w:val="ParaNoG"/>
      </w:pPr>
      <w:r>
        <w:t xml:space="preserve">Once updated reports had been produced and provided to all the human rights treaty bodies, a consultation process would be initiated for the development of a national human rights plan. </w:t>
      </w:r>
    </w:p>
    <w:p w:rsidR="0043313C" w:rsidRDefault="0043313C" w:rsidP="006F4566">
      <w:pPr>
        <w:pStyle w:val="ParaNoG"/>
      </w:pPr>
      <w:r>
        <w:t>The Commission of 20 December 1989, to which reference had been made by Mr. Heller Rouassant at the 1556th meeting, had been established by Executive Decree No. 121 on 19 July 2016,</w:t>
      </w:r>
      <w:r w:rsidR="00E72387">
        <w:t xml:space="preserve"> </w:t>
      </w:r>
      <w:r>
        <w:t xml:space="preserve">in order to honour the memory of the victims of the United States invasion. The Commission would be in operation for two years. Its functions included ascertaining the number and identity of victims, and handling requests for reparation. It was composed of five professionals of high public standing and had the backing of various entities, such as the Institute of Legal Medicine and Forensic Sciences. </w:t>
      </w:r>
    </w:p>
    <w:p w:rsidR="0043313C" w:rsidRDefault="0043313C" w:rsidP="006F4566">
      <w:pPr>
        <w:pStyle w:val="ParaNoG"/>
      </w:pPr>
      <w:r w:rsidRPr="0014414D">
        <w:rPr>
          <w:b/>
        </w:rPr>
        <w:t>Mr. Medina Marín</w:t>
      </w:r>
      <w:r>
        <w:t xml:space="preserve"> (Panama) said that the traditional punishment known as</w:t>
      </w:r>
      <w:r w:rsidR="00E72387">
        <w:t xml:space="preserve"> </w:t>
      </w:r>
      <w:r w:rsidRPr="0009702E">
        <w:rPr>
          <w:i/>
        </w:rPr>
        <w:t>cepo</w:t>
      </w:r>
      <w:r>
        <w:t xml:space="preserve"> was considered an illegal and harmful practice. The</w:t>
      </w:r>
      <w:r w:rsidR="00E72387">
        <w:t xml:space="preserve"> </w:t>
      </w:r>
      <w:r>
        <w:t>Vice- Ministry of Indigenous Affairs had therefore organized discussions with indigenous groups in order to raise awareness of the importance of respect for a person</w:t>
      </w:r>
      <w:r w:rsidR="005B4274">
        <w:t>’</w:t>
      </w:r>
      <w:r>
        <w:t xml:space="preserve">s physical and moral integrity. Four criminal complaints concerning </w:t>
      </w:r>
      <w:r w:rsidRPr="0009702E">
        <w:rPr>
          <w:i/>
        </w:rPr>
        <w:t>cepo</w:t>
      </w:r>
      <w:r>
        <w:t xml:space="preserve"> were being processed by the Public Prosecution Service.</w:t>
      </w:r>
    </w:p>
    <w:p w:rsidR="0043313C" w:rsidRDefault="0043313C" w:rsidP="006F4566">
      <w:pPr>
        <w:pStyle w:val="ParaNoG"/>
      </w:pPr>
      <w:r>
        <w:t>The Punta Coco Island temporary detention facility had been established</w:t>
      </w:r>
      <w:r w:rsidR="00E72387">
        <w:t xml:space="preserve"> </w:t>
      </w:r>
      <w:r>
        <w:t>to meet public security concerns, because the maximum security conditions required for the detainees concerned, who had links to organized crime,</w:t>
      </w:r>
      <w:r w:rsidR="00E72387">
        <w:t xml:space="preserve"> </w:t>
      </w:r>
      <w:r>
        <w:t>had not been available in other prisons in the country.</w:t>
      </w:r>
      <w:r w:rsidR="00E72387">
        <w:t xml:space="preserve"> </w:t>
      </w:r>
      <w:r>
        <w:t>Special temporary measures had been implemented for the protection of the detainees, who were exposed to certain risks.</w:t>
      </w:r>
      <w:r w:rsidR="00E72387">
        <w:t xml:space="preserve"> </w:t>
      </w:r>
      <w:r>
        <w:t xml:space="preserve">On 3 August 2017, the 11 persons held in the Punta Coco Island facility had been moved to the Nueva Joya maximum security prison pursuant to a decision of the Supreme Court of Justice. </w:t>
      </w:r>
    </w:p>
    <w:p w:rsidR="0043313C" w:rsidRDefault="0043313C" w:rsidP="006F4566">
      <w:pPr>
        <w:pStyle w:val="ParaNoG"/>
      </w:pPr>
      <w:r>
        <w:lastRenderedPageBreak/>
        <w:t xml:space="preserve">In October 2015, a free service had been introduced to enable families and counsel of detainees to visit inmates in remote places of detention every 2 weeks. Preventive health checks were regularly carried out </w:t>
      </w:r>
      <w:r w:rsidR="001F3005">
        <w:t xml:space="preserve">on </w:t>
      </w:r>
      <w:r>
        <w:t xml:space="preserve">those detainees. </w:t>
      </w:r>
    </w:p>
    <w:p w:rsidR="0043313C" w:rsidRDefault="0043313C" w:rsidP="006F4566">
      <w:pPr>
        <w:pStyle w:val="ParaNoG"/>
      </w:pPr>
      <w:r>
        <w:t xml:space="preserve">The aim of the prison reform bill was to create a safer penitentiary system that fostered rehabilitation. Its objectives also included training detainees to facilitate their reintegration into society; upholding the rights of persons serving criminal sentences; ensuring the safety of persons subject to pretrial detention; providing vocational support for individuals during detention and upon release; and enforcing the sentences handed down by the courts. The five main areas covered institutional strengthening and inter-institutional coordination to improve governance in the prison system; specialized vocational training for prison staff; security measures to guarantee the human rights of all persons concerned; improvement of living conditions in the prisons; and strengthening of rehabilitation programmes. </w:t>
      </w:r>
    </w:p>
    <w:p w:rsidR="0043313C" w:rsidRDefault="0043313C" w:rsidP="006F4566">
      <w:pPr>
        <w:pStyle w:val="ParaNoG"/>
      </w:pPr>
      <w:r>
        <w:t>With regard to women detainees, an analysis of the situation of women deprived of their liberty had been undertaken, following which gradual improvements had been made regarding, inter alia, the conditions of detention, health, access to justice and treatment of vulnerable groups. Women</w:t>
      </w:r>
      <w:r w:rsidR="005B4274">
        <w:t>’</w:t>
      </w:r>
      <w:r>
        <w:t>s specific needs had been taken into account in actions carried out in all women</w:t>
      </w:r>
      <w:r w:rsidR="005B4274">
        <w:t>’</w:t>
      </w:r>
      <w:r>
        <w:t>s prisons. Progress of the support model for women detainees was monitored against the progress of other prison programmes related to education, vocational training, employment, health, fundamental rights, and social and labour market reintegration. Education modules designed by the University of Panama had been introduced into some prisons. A total of 728 women prisoners participated in education programmes. A clinic with four doctors had been set up in the Women</w:t>
      </w:r>
      <w:r w:rsidR="005B4274">
        <w:t>’</w:t>
      </w:r>
      <w:r>
        <w:t>s Rehabilitation Centre in Panama Province, providing assistance to an average of 40 women on a daily basis, and specialized gynaecological and dentistry units had also been established. Where specialist treatment could not be provided, the women were taken to the nearest hospital, San Miguel Arcángel. Detainees could opt for private treatment at their own cost. In addition, the Director</w:t>
      </w:r>
      <w:r w:rsidR="00861DE6">
        <w:t>ate-</w:t>
      </w:r>
      <w:r>
        <w:t>General of the Prison System had established a specialized unit to address the particular needs and interests of women detainees and to mainstream the gender perspective into prison management. In accordance with the analysis of the situation of women deprived of their liberty, and given that current protocols did not take into account women</w:t>
      </w:r>
      <w:r w:rsidR="005B4274">
        <w:t>’</w:t>
      </w:r>
      <w:r>
        <w:t>s specific needs, a protocol had been adopted to guarantee that women</w:t>
      </w:r>
      <w:r w:rsidR="005B4274">
        <w:t>’</w:t>
      </w:r>
      <w:r>
        <w:t xml:space="preserve">s sanitary products, and other articles for their sexual and reproductive health, could be brought into penitentiary establishments. </w:t>
      </w:r>
    </w:p>
    <w:p w:rsidR="0043313C" w:rsidRDefault="0043313C" w:rsidP="006F4566">
      <w:pPr>
        <w:pStyle w:val="ParaNoG"/>
      </w:pPr>
      <w:r>
        <w:t xml:space="preserve">With regard to deaths in prisons, there had been a total of 127 fatalities since 2013, all of which had been investigated by the Department of Prison Inspections and five of which had been the subject of complaints filed with the judicial authorities. </w:t>
      </w:r>
    </w:p>
    <w:p w:rsidR="0043313C" w:rsidRDefault="0043313C" w:rsidP="006F4566">
      <w:pPr>
        <w:pStyle w:val="ParaNoG"/>
      </w:pPr>
      <w:r w:rsidRPr="00C863F0">
        <w:rPr>
          <w:b/>
        </w:rPr>
        <w:t>The Chair</w:t>
      </w:r>
      <w:r>
        <w:t xml:space="preserve"> (Country Rapporteur) said that the Committee would appreciate receiving statistics on the number of complaints of torture and ill-treatment filed with disciplinary or judicial bodies, the number of investigations that ensued, the judicial proceedings launched, and the sentences imposed for both torture and ill-treatment, for the years 2011 – 2016. He asked for further details concerning the right to medical assistance for persons detained or arrested, particularly whether persons were entitled to request a medical examination by an independent doctor who could document the results and submit a complaint where necessary. Of the 478 cases of torture that had been investigated, how many had led to disciplinary sanctions and what did those entail? </w:t>
      </w:r>
    </w:p>
    <w:p w:rsidR="0043313C" w:rsidRDefault="0043313C" w:rsidP="006F4566">
      <w:pPr>
        <w:pStyle w:val="ParaNoG"/>
      </w:pPr>
      <w:r>
        <w:t xml:space="preserve">He asked whether the police report issued when handing over a detainee to the appropriate authorities could also be signed by the lawyer, to provide evidence that he or she had been present during interrogation. With respect to legal aid, he wished to know whether it was feasible to assign a legal aid defender in time for him or her to attend the entire interrogation. More information should be provided on compulsory reporting by doctors of signs or allegations of torture; which authorities received the report, and how doctors were involved in identifying cases of torture. Were there any data indicating the number of cases reported by doctors? Additional information should be provided on the outcomes of investigations into deaths in custody. </w:t>
      </w:r>
    </w:p>
    <w:p w:rsidR="0043313C" w:rsidRDefault="0043313C" w:rsidP="006F4566">
      <w:pPr>
        <w:pStyle w:val="ParaNoG"/>
      </w:pPr>
      <w:r>
        <w:lastRenderedPageBreak/>
        <w:t>A reply was needed to his question about the procedure to determine refugee status, which might entail violations of the Convention if asylum seekers were returned without identifying the risk of torture that th</w:t>
      </w:r>
      <w:r w:rsidR="00550EDD">
        <w:t>e</w:t>
      </w:r>
      <w:r>
        <w:t>y faced. He asked how the use of force by police was monitored, for example by submitting a report on incidents where force was used by police officers. The development of statistics should focus on greater transparency in data on the justice system and the use of force.</w:t>
      </w:r>
    </w:p>
    <w:p w:rsidR="0043313C" w:rsidRDefault="0043313C" w:rsidP="006F4566">
      <w:pPr>
        <w:pStyle w:val="ParaNoG"/>
      </w:pPr>
      <w:r w:rsidRPr="00C863F0">
        <w:rPr>
          <w:b/>
        </w:rPr>
        <w:t>Mr. Heller Rouassant</w:t>
      </w:r>
      <w:r>
        <w:t xml:space="preserve"> asked when prison officers would take over all responsibilities in prisons from the National Police. Information before the Committee indicated that the Office of the Ombudsman was unable to use its entire budget, while the figure allocated to setting up the national preventive mechanism seemed low. He requested information on the dates for the entry into operation of the national preventive mechanism and the appointment of its director and deputy director. Information should be provided on the protocols on women in prisons and</w:t>
      </w:r>
      <w:r w:rsidR="00E72387">
        <w:t xml:space="preserve"> </w:t>
      </w:r>
      <w:r>
        <w:t>on access to prisons for human rights organizations.</w:t>
      </w:r>
    </w:p>
    <w:p w:rsidR="0043313C" w:rsidRDefault="0043313C" w:rsidP="006F4566">
      <w:pPr>
        <w:pStyle w:val="ParaNoG"/>
      </w:pPr>
      <w:r>
        <w:t>He asked whether there had been any reported cases of violations of the Code of Criminal Procedure with respect to evidence obtained through torture, coercion and the violation of fundamental rights. Additional information was needed with regard to police brutality against indigenous populations – in particular with respect to land conflicts, the Barro Blanco dam and the Petaquilla mining operation. Information should be provided on the 11 inmates transferred to La Joya prison on Punta Coco Island, including the charges against them.</w:t>
      </w:r>
    </w:p>
    <w:p w:rsidR="0043313C" w:rsidRDefault="0043313C" w:rsidP="006F4566">
      <w:pPr>
        <w:pStyle w:val="ParaNoG"/>
      </w:pPr>
      <w:r w:rsidRPr="00C863F0">
        <w:rPr>
          <w:b/>
        </w:rPr>
        <w:t>Ms. Belmir</w:t>
      </w:r>
      <w:r>
        <w:t xml:space="preserve"> said that she would appreciate an answer to her question about enforced disappearance and the law. She asked for more information about the definition of torture. Noting the ill-treatment of minors of African descent in detention in the State party, she asked for a response to her previous question about the lowering of the age of majority.</w:t>
      </w:r>
    </w:p>
    <w:p w:rsidR="0043313C" w:rsidRDefault="0043313C" w:rsidP="006F4566">
      <w:pPr>
        <w:pStyle w:val="ParaNoG"/>
      </w:pPr>
      <w:r w:rsidRPr="00C863F0">
        <w:rPr>
          <w:b/>
        </w:rPr>
        <w:t>Mr. Hani</w:t>
      </w:r>
      <w:r>
        <w:t xml:space="preserve"> said that he would appreciate information about how many victims of torture benefited from legal aid and whether legal aid allowed victims of torture to bring civil proceedings for reparations. Experience indicated that placing the national preventive mechanism within the national human rights institution or the ombudsman</w:t>
      </w:r>
      <w:r w:rsidR="005B4274">
        <w:t>’</w:t>
      </w:r>
      <w:r>
        <w:t>s office led to problems, since the national preventive mechanism took a proactive approach, while human rights institutions and the ombudsmen were reactive. The delegation should explain how those two contradictory approaches would be balanced by a single body. The State party</w:t>
      </w:r>
      <w:r w:rsidR="005B4274">
        <w:t>’</w:t>
      </w:r>
      <w:r>
        <w:t xml:space="preserve">s activities on ethics and professionalism were important to preventing torture and should be strengthened. </w:t>
      </w:r>
    </w:p>
    <w:p w:rsidR="0043313C" w:rsidRDefault="0043313C" w:rsidP="006F4566">
      <w:pPr>
        <w:pStyle w:val="ParaNoG"/>
      </w:pPr>
      <w:r>
        <w:t xml:space="preserve">He wished to know whether interrogation techniques in the State party were continuously reviewed to ensure that they were free of coercion and torture. He asked what measures were being taken to end the use of </w:t>
      </w:r>
      <w:r w:rsidRPr="00550EDD">
        <w:rPr>
          <w:i/>
        </w:rPr>
        <w:t>cepo</w:t>
      </w:r>
      <w:r w:rsidR="00E72387">
        <w:t xml:space="preserve"> </w:t>
      </w:r>
      <w:r>
        <w:t>by indigenous communities, since it was a harmful traditional punishment that amounted to degradation and therefore violated the Convention.</w:t>
      </w:r>
    </w:p>
    <w:p w:rsidR="0043313C" w:rsidRDefault="0043313C" w:rsidP="006F4566">
      <w:pPr>
        <w:pStyle w:val="ParaNoG"/>
      </w:pPr>
      <w:r w:rsidRPr="00C863F0">
        <w:rPr>
          <w:b/>
        </w:rPr>
        <w:t>Ms. Gaer</w:t>
      </w:r>
      <w:r>
        <w:t xml:space="preserve"> said that further information should be provided on the punishments enforced following the five convictions for femicide referred to in the State party</w:t>
      </w:r>
      <w:r w:rsidR="005B4274">
        <w:t>’</w:t>
      </w:r>
      <w:r>
        <w:t>s report and whether the guilty parties came from the Afrodescendent or indigenous communities. The delegation should comment on information from the Working Group of Experts on People of African Descent that highlighted the striking violence of prison life in Panama, including prisoner access to firearms. In particular, the delegation should provide information on the action taken following the emergence on the Internet of a video showing prisoners in La Joyita prison in December 2016 handling high calibre weapons. She wished to know whether the prisoners involved continued to have access to firearms, whether they had been transferred to other prisons and whether any prison officers had been punished in connection with the incident.</w:t>
      </w:r>
    </w:p>
    <w:p w:rsidR="0043313C" w:rsidRDefault="0043313C" w:rsidP="006F4566">
      <w:pPr>
        <w:pStyle w:val="ParaNoG"/>
      </w:pPr>
      <w:r w:rsidRPr="00C863F0">
        <w:rPr>
          <w:b/>
        </w:rPr>
        <w:t>Ms. Racu</w:t>
      </w:r>
      <w:r>
        <w:t xml:space="preserve"> said that a response was needed to her question about the death of five minors at Tocumen youth detention centre in 2011. The delegation should describe any steps intended to prevent violent incidents in youth detention centres, in particular with regard to improved schooling and activities, and measures to improve material conditions.</w:t>
      </w:r>
    </w:p>
    <w:p w:rsidR="0043313C" w:rsidRDefault="0043313C" w:rsidP="006F4566">
      <w:pPr>
        <w:pStyle w:val="ParaNoG"/>
      </w:pPr>
      <w:r w:rsidRPr="00C863F0">
        <w:rPr>
          <w:b/>
        </w:rPr>
        <w:t>Mr. Touzé</w:t>
      </w:r>
      <w:r>
        <w:t xml:space="preserve"> asked why there was such a large gap between the number of complaints of femicide received and the number of convictions for that offence. The delegation should </w:t>
      </w:r>
      <w:r>
        <w:lastRenderedPageBreak/>
        <w:t>provide information on the sanctions imposed in those cases and specify whether each case involved one woman only or a group of women. It would be useful to know whether any distinction was made between acts that impacted one person and acts that impacted a group of persons.</w:t>
      </w:r>
    </w:p>
    <w:p w:rsidR="0043313C" w:rsidRPr="00C863F0" w:rsidRDefault="00C863F0" w:rsidP="00C863F0">
      <w:pPr>
        <w:pStyle w:val="H56G"/>
        <w:rPr>
          <w:i/>
        </w:rPr>
      </w:pPr>
      <w:r>
        <w:tab/>
      </w:r>
      <w:r>
        <w:tab/>
      </w:r>
      <w:r w:rsidR="0043313C" w:rsidRPr="00C863F0">
        <w:rPr>
          <w:i/>
        </w:rPr>
        <w:t xml:space="preserve">The meeting was suspended at 4.45 p.m. and resumed at 5.10 p.m. </w:t>
      </w:r>
    </w:p>
    <w:p w:rsidR="0043313C" w:rsidRDefault="0043313C" w:rsidP="006F4566">
      <w:pPr>
        <w:pStyle w:val="ParaNoG"/>
      </w:pPr>
      <w:r w:rsidRPr="007957EA">
        <w:rPr>
          <w:b/>
        </w:rPr>
        <w:t>Mr. Medina Marín</w:t>
      </w:r>
      <w:r>
        <w:t xml:space="preserve"> (Panama) said that, when a death occurred in prison, the subsequent investigation by the Ministry of the Interior considered the responsibility of all prison staff members and a criminal complaint was lodged for each death, in accordance with the protocol for deaths in custody. An administrative investigation - independent of the</w:t>
      </w:r>
      <w:r w:rsidR="00E72387">
        <w:t xml:space="preserve"> </w:t>
      </w:r>
      <w:r>
        <w:t xml:space="preserve">investigation by the Public Prosecution Service – also examined every death in custody. Since five cases of death in custody registered in 2016 were believed to be linked to </w:t>
      </w:r>
      <w:r w:rsidR="00793CD5">
        <w:t>negligence, the Directorate-</w:t>
      </w:r>
      <w:r>
        <w:t xml:space="preserve">General of the Prison System and the Public Prosecution Service had been looking into the incidents. </w:t>
      </w:r>
    </w:p>
    <w:p w:rsidR="0043313C" w:rsidRDefault="0043313C" w:rsidP="006F4566">
      <w:pPr>
        <w:pStyle w:val="ParaNoG"/>
      </w:pPr>
      <w:r>
        <w:t>With respect to asylum and refugee status, Executive Decree No. 23 of 10 February 1998 was currently being reviewed and the Committee</w:t>
      </w:r>
      <w:r w:rsidR="005B4274">
        <w:t>’</w:t>
      </w:r>
      <w:r>
        <w:t>s recommendations in that regard would be taken into account.</w:t>
      </w:r>
    </w:p>
    <w:p w:rsidR="0043313C" w:rsidRDefault="0043313C" w:rsidP="006F4566">
      <w:pPr>
        <w:pStyle w:val="ParaNoG"/>
      </w:pPr>
      <w:r>
        <w:t>Given that approximately 400 prison officers graduated from the Prison Training Academy each year, it was expected to take four years for all prisons to come under the control of the Ministry of the Interior. A protocol was in place to permit human rights organizations to gain access to the country</w:t>
      </w:r>
      <w:r w:rsidR="005B4274">
        <w:t>’</w:t>
      </w:r>
      <w:r>
        <w:t>s prisons. A number of organizations, such as the United Nations Office on Drugs and Crime and the International Committee of the Red Cross, had gained access to prisons and were working with the prison system to make improvements.</w:t>
      </w:r>
    </w:p>
    <w:p w:rsidR="0043313C" w:rsidRDefault="0043313C" w:rsidP="006F4566">
      <w:pPr>
        <w:pStyle w:val="ParaNoG"/>
      </w:pPr>
      <w:r>
        <w:t>The 11 inmates who had been transferred to La Joya prison on Punta Coco Island were believed to be gang leaders with national and international assets. They were believed to have links to trafficking in drugs and serious violent crimes against Panamanians and foreign citizens in Panama and elsewhere.</w:t>
      </w:r>
    </w:p>
    <w:p w:rsidR="0043313C" w:rsidRDefault="0043313C" w:rsidP="006F4566">
      <w:pPr>
        <w:pStyle w:val="ParaNoG"/>
      </w:pPr>
      <w:r>
        <w:t xml:space="preserve">Twelve guards had been caught smuggling banned items, including firearms, into prisons in 2017 alone. Protocols were in place to deal with such situations; for example, when a weapon was found on an inmate, appropriate enquiries were conducted to ascertain how the weapon had been obtained. Following the circulation of a video depicting inmates at La Joyita prison boasting about firearms, several weapons had been seized and the inmates, who had admitted to having shot the video under the influence of bootleg alcohol and other illicit substances, had been transferred to a maximum security facility. The leader of the group had been separated from the rest out of concern for his safety. </w:t>
      </w:r>
    </w:p>
    <w:p w:rsidR="0043313C" w:rsidRDefault="0043313C" w:rsidP="006F4566">
      <w:pPr>
        <w:pStyle w:val="ParaNoG"/>
      </w:pPr>
      <w:r>
        <w:t>Approximately 95 per cent of minors in custody were enrolled in education programmes run by the Institute for Interdisciplinary Studies, which was a model in the region. Significant changes had been made to the juvenile detention system following the incident in Tocumen in 2011. Specifically, large sums had been invested to improve facilities and build new centres. In addition, plans were being developed with the municipality of Pacora to build a transit centre that would house more than 100 young offenders, so as to ensure that they did not immediately enter an adult facility upon turning 18.</w:t>
      </w:r>
    </w:p>
    <w:p w:rsidR="0043313C" w:rsidRDefault="0043313C" w:rsidP="006F4566">
      <w:pPr>
        <w:pStyle w:val="ParaNoG"/>
      </w:pPr>
      <w:r w:rsidRPr="009E6BA1">
        <w:rPr>
          <w:b/>
        </w:rPr>
        <w:t>Ms. Quiel Canto</w:t>
      </w:r>
      <w:r>
        <w:t xml:space="preserve"> (Panama) said that victims could bring a civil suit for damages against a person found guilty of a criminal offence, but there was no record of victims of torture having availed themselves of that possibility. Victims could seek reparation through criminal proceedings without prejudice to a subsequent civil damages suit. The right to legal assistance was enshrined in the Code of Criminal Procedure, which provided that an individual should have prompt contact with the person or organization of their choice. Under the accusatory system, which was now in place throughout the country, legal assistance was guaranteed from the outset of proceedings, and public defenders worked on a rotational basis to ensure 24-hour coverage. There was no record of the Office of Legal Aid for Victims of Offences having provided services to torture victims. The Code also provided for early access to health care; services were free and were provided in State facilities. </w:t>
      </w:r>
    </w:p>
    <w:p w:rsidR="0043313C" w:rsidRDefault="0043313C" w:rsidP="006F4566">
      <w:pPr>
        <w:pStyle w:val="ParaNoG"/>
      </w:pPr>
      <w:r>
        <w:lastRenderedPageBreak/>
        <w:t>Data collection on crime was complicated by the fact that femicide was sometimes recorded as the violent death of a woman. Moreover, the accusatory system had only been fully in force since September 2016; therefore, earlier cases did not appear in the data. Nevertheless, it was possible to state that most perpetrators of femicide were sentenced to 20 years</w:t>
      </w:r>
      <w:r w:rsidR="005B4274">
        <w:t>’</w:t>
      </w:r>
      <w:r>
        <w:t xml:space="preserve"> imprisonment.</w:t>
      </w:r>
    </w:p>
    <w:p w:rsidR="0043313C" w:rsidRDefault="0043313C" w:rsidP="006F4566">
      <w:pPr>
        <w:pStyle w:val="ParaNoG"/>
      </w:pPr>
      <w:r w:rsidRPr="009E6BA1">
        <w:rPr>
          <w:b/>
        </w:rPr>
        <w:t>Mr. Ruíz</w:t>
      </w:r>
      <w:r>
        <w:t xml:space="preserve"> (Panama), providing a statistical overview of complaints received by the Directorate of Professional Responsibility, said that, between 1 January and 31 July 2017, the Directorate had received over 475 complaints of police misconduct, 255 of which were currently being processed. Complaints, which were lodged in person or over the telephone, were then referred to the competent authorities for investigation. Further information in that regard would be provided in writing. </w:t>
      </w:r>
    </w:p>
    <w:p w:rsidR="0043313C" w:rsidRDefault="0043313C" w:rsidP="006F4566">
      <w:pPr>
        <w:pStyle w:val="ParaNoG"/>
      </w:pPr>
      <w:r>
        <w:t xml:space="preserve">A protocol on medical care for persons in police custody had been adopted in 1997, and a handbook had been published in 2007 requiring all police officers to ensure that persons in their custody, whatever the reason, underwent a medical examination. Provision was made for persons who were found to have a health problem and wanted to be treated in the private health-care system. The Criminal Investigation Department was a specialized force and did not conduct interrogations; individuals wanted for questioning were taken to the Ministry of the Interior. Officers were instructed to treat people with dignity. An inventory of equipment and ammunition was kept to ensure that it was used responsibly. </w:t>
      </w:r>
    </w:p>
    <w:p w:rsidR="0043313C" w:rsidRDefault="0043313C" w:rsidP="006F4566">
      <w:pPr>
        <w:pStyle w:val="ParaNoG"/>
      </w:pPr>
      <w:r w:rsidRPr="009E6BA1">
        <w:rPr>
          <w:b/>
        </w:rPr>
        <w:t>Mr. Facón Moreno</w:t>
      </w:r>
      <w:r>
        <w:t xml:space="preserve"> (Panama), referring to the Barro Blanco hydroelectric dam project, said that the Government had undertaken 19 months of consultations with both the local indigenous population and the company concerned, and that an agreement had been reached between the two parties, with the State as guarantor, in August 2016. The case had been brought before the Inter-American Commission on Human Rights because of alleged police brutality, but the Government had been able to provide evidence that there had been no brutality. In order to protect freedom of movement, the National Police had been forced to intervene when indigenous groups had set up barriers on a main road, thereby preventing farmers from getting their goods to market. However, the personnel sent in to open up the road had been unarmed female officers. The agreement reached with the Ngobe-Bugle region and the company contained provisions on investment in health and education services, water supply, the electrical grid, access to education and transportation, basic sanitation and housing.</w:t>
      </w:r>
    </w:p>
    <w:p w:rsidR="0043313C" w:rsidRDefault="0043313C" w:rsidP="006F4566">
      <w:pPr>
        <w:pStyle w:val="ParaNoG"/>
      </w:pPr>
      <w:r w:rsidRPr="009E6BA1">
        <w:rPr>
          <w:b/>
        </w:rPr>
        <w:t>Ms. Arellano</w:t>
      </w:r>
      <w:r>
        <w:t xml:space="preserve"> (Panama) said that the national preventive mechanism and the Ombudsman</w:t>
      </w:r>
      <w:r w:rsidR="005B4274">
        <w:t>’</w:t>
      </w:r>
      <w:r>
        <w:t xml:space="preserve">s Office were covered by distinct laws and had separate mandates, namely prevention and the processing of complaints, respectively. The law clearly stated that funds allocated to the mechanism could not be used for any other purpose. The establishment of the mechanism was under way and involved persons who worked on follow-up to international human rights obligations; appointments to the mechanism were expected shortly. </w:t>
      </w:r>
    </w:p>
    <w:p w:rsidR="0043313C" w:rsidRDefault="0043313C" w:rsidP="006F4566">
      <w:pPr>
        <w:pStyle w:val="ParaNoG"/>
      </w:pPr>
      <w:r w:rsidRPr="009E6BA1">
        <w:rPr>
          <w:b/>
        </w:rPr>
        <w:t>Mr. Medina Marín</w:t>
      </w:r>
      <w:r>
        <w:t xml:space="preserve"> (Panama) said that Panama was aware of the need to step up its efforts to prevent and prosecute human rights violations and remained committed to working with the Committee and civil society to overcome the challenges in that regard. To that end, every effort would be made to bring the law into line with international standards and to mainstream gender in the implementation of the Convention. The Prison Training Academy had updated its curriculum to ensure that candidates were appropriately trained, and the Ministry of the Interior and Justice had identified health, alternatives to imprisonment and the establishment of a data management system as priority areas of action. Panama looked forward to continuing the constructive dialogue with the Committee and other human rights treaty bodies. </w:t>
      </w:r>
    </w:p>
    <w:p w:rsidR="0043313C" w:rsidRDefault="0043313C" w:rsidP="006F4566">
      <w:pPr>
        <w:pStyle w:val="ParaNoG"/>
      </w:pPr>
      <w:r w:rsidRPr="009E6BA1">
        <w:rPr>
          <w:b/>
        </w:rPr>
        <w:t>The Chair</w:t>
      </w:r>
      <w:r>
        <w:t xml:space="preserve"> said that the Committee welcomed the State party</w:t>
      </w:r>
      <w:r w:rsidR="005B4274">
        <w:t>’</w:t>
      </w:r>
      <w:r>
        <w:t>s determination to improve the human rights situation in the country and that, in the interests of ongoing dialogue, the State party was invited to submit, in addition to the follow-up report, an implementation plan for the recommendations contained in the concluding observations.</w:t>
      </w:r>
      <w:r w:rsidR="00E72387">
        <w:t xml:space="preserve"> </w:t>
      </w:r>
    </w:p>
    <w:p w:rsidR="0043313C" w:rsidRPr="009E6BA1" w:rsidRDefault="0043313C" w:rsidP="0043313C">
      <w:pPr>
        <w:pStyle w:val="SingleTxtG"/>
        <w:rPr>
          <w:i/>
        </w:rPr>
      </w:pPr>
      <w:r w:rsidRPr="009E6BA1">
        <w:rPr>
          <w:i/>
        </w:rPr>
        <w:t>The meeting rose at 5.50 p.m.</w:t>
      </w:r>
    </w:p>
    <w:sectPr w:rsidR="0043313C" w:rsidRPr="009E6BA1" w:rsidSect="0043313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D45" w:rsidRDefault="00443D45" w:rsidP="00247E2C">
      <w:pPr>
        <w:spacing w:line="240" w:lineRule="auto"/>
      </w:pPr>
      <w:r>
        <w:separator/>
      </w:r>
    </w:p>
  </w:endnote>
  <w:endnote w:type="continuationSeparator" w:id="0">
    <w:p w:rsidR="00443D45" w:rsidRDefault="00443D4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13C" w:rsidRPr="0043313C" w:rsidRDefault="0043313C" w:rsidP="0043313C">
    <w:pPr>
      <w:pStyle w:val="Footer"/>
      <w:tabs>
        <w:tab w:val="right" w:pos="9598"/>
      </w:tabs>
    </w:pPr>
    <w:r w:rsidRPr="0043313C">
      <w:rPr>
        <w:b/>
        <w:sz w:val="18"/>
      </w:rPr>
      <w:fldChar w:fldCharType="begin"/>
    </w:r>
    <w:r w:rsidRPr="0043313C">
      <w:rPr>
        <w:b/>
        <w:sz w:val="18"/>
      </w:rPr>
      <w:instrText xml:space="preserve"> PAGE  \* MERGEFORMAT </w:instrText>
    </w:r>
    <w:r w:rsidRPr="0043313C">
      <w:rPr>
        <w:b/>
        <w:sz w:val="18"/>
      </w:rPr>
      <w:fldChar w:fldCharType="separate"/>
    </w:r>
    <w:r w:rsidR="00754A2E">
      <w:rPr>
        <w:b/>
        <w:noProof/>
        <w:sz w:val="18"/>
      </w:rPr>
      <w:t>8</w:t>
    </w:r>
    <w:r w:rsidRPr="0043313C">
      <w:rPr>
        <w:b/>
        <w:sz w:val="18"/>
      </w:rPr>
      <w:fldChar w:fldCharType="end"/>
    </w:r>
    <w:r>
      <w:rPr>
        <w:sz w:val="18"/>
      </w:rPr>
      <w:tab/>
    </w:r>
    <w:r>
      <w:t>GE.17-13644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13C" w:rsidRPr="0043313C" w:rsidRDefault="0043313C" w:rsidP="0043313C">
    <w:pPr>
      <w:pStyle w:val="Footer"/>
      <w:tabs>
        <w:tab w:val="right" w:pos="9598"/>
      </w:tabs>
      <w:rPr>
        <w:b/>
        <w:sz w:val="18"/>
      </w:rPr>
    </w:pPr>
    <w:r>
      <w:t>GE.17-13644</w:t>
    </w:r>
    <w:r>
      <w:tab/>
    </w:r>
    <w:r w:rsidRPr="0043313C">
      <w:rPr>
        <w:b/>
        <w:sz w:val="18"/>
      </w:rPr>
      <w:fldChar w:fldCharType="begin"/>
    </w:r>
    <w:r w:rsidRPr="0043313C">
      <w:rPr>
        <w:b/>
        <w:sz w:val="18"/>
      </w:rPr>
      <w:instrText xml:space="preserve"> PAGE  \* MERGEFORMAT </w:instrText>
    </w:r>
    <w:r w:rsidRPr="0043313C">
      <w:rPr>
        <w:b/>
        <w:sz w:val="18"/>
      </w:rPr>
      <w:fldChar w:fldCharType="separate"/>
    </w:r>
    <w:r w:rsidR="00754A2E">
      <w:rPr>
        <w:b/>
        <w:noProof/>
        <w:sz w:val="18"/>
      </w:rPr>
      <w:t>9</w:t>
    </w:r>
    <w:r w:rsidRPr="004331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eastAsia="en-GB"/>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313C" w:rsidRDefault="0043313C" w:rsidP="0043313C">
    <w:pPr>
      <w:pStyle w:val="FootnoteText"/>
      <w:ind w:left="0" w:firstLine="0"/>
      <w:rPr>
        <w:sz w:val="20"/>
      </w:rPr>
    </w:pPr>
    <w:r>
      <w:rPr>
        <w:sz w:val="20"/>
      </w:rPr>
      <w:t>GE.17-13644</w:t>
    </w:r>
    <w:r w:rsidR="00E72387">
      <w:rPr>
        <w:sz w:val="20"/>
      </w:rPr>
      <w:t xml:space="preserve"> </w:t>
    </w:r>
    <w:r w:rsidR="00B953ED">
      <w:rPr>
        <w:sz w:val="20"/>
      </w:rPr>
      <w:t>(E)    100817    11</w:t>
    </w:r>
    <w:r>
      <w:rPr>
        <w:sz w:val="20"/>
      </w:rPr>
      <w:t>0817</w:t>
    </w:r>
  </w:p>
  <w:p w:rsidR="0043313C" w:rsidRPr="0043313C" w:rsidRDefault="0043313C" w:rsidP="0043313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746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5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5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D45" w:rsidRPr="009F5CDC" w:rsidRDefault="00443D45" w:rsidP="009F5CDC">
      <w:pPr>
        <w:tabs>
          <w:tab w:val="left" w:pos="2155"/>
        </w:tabs>
        <w:snapToGrid w:val="0"/>
        <w:spacing w:before="24" w:after="80" w:line="240" w:lineRule="exact"/>
        <w:rPr>
          <w:u w:val="single"/>
        </w:rPr>
      </w:pPr>
      <w:r w:rsidRPr="009F5CDC">
        <w:rPr>
          <w:u w:val="single"/>
        </w:rPr>
        <w:tab/>
      </w:r>
    </w:p>
  </w:footnote>
  <w:footnote w:type="continuationSeparator" w:id="0">
    <w:p w:rsidR="00443D45" w:rsidRDefault="00443D4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13C" w:rsidRPr="0043313C" w:rsidRDefault="0043313C" w:rsidP="0043313C">
    <w:pPr>
      <w:pStyle w:val="Header"/>
    </w:pPr>
    <w:r w:rsidRPr="0043313C">
      <w:t>CAT/C/SR.1559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13C" w:rsidRPr="0043313C" w:rsidRDefault="0043313C" w:rsidP="0043313C">
    <w:pPr>
      <w:pStyle w:val="Header"/>
      <w:jc w:val="right"/>
    </w:pPr>
    <w:r w:rsidRPr="0043313C">
      <w:t>CAT/C/SR.1559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3ED" w:rsidRDefault="00B953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43D45"/>
    <w:rsid w:val="00046E92"/>
    <w:rsid w:val="0009702E"/>
    <w:rsid w:val="00113E7B"/>
    <w:rsid w:val="0014414D"/>
    <w:rsid w:val="00184EE5"/>
    <w:rsid w:val="001D32E0"/>
    <w:rsid w:val="001F3005"/>
    <w:rsid w:val="002101D6"/>
    <w:rsid w:val="00247E2C"/>
    <w:rsid w:val="0025028F"/>
    <w:rsid w:val="002C49C2"/>
    <w:rsid w:val="002D6C53"/>
    <w:rsid w:val="002F5595"/>
    <w:rsid w:val="00334F6A"/>
    <w:rsid w:val="00342AC8"/>
    <w:rsid w:val="003B4550"/>
    <w:rsid w:val="003F7584"/>
    <w:rsid w:val="00432009"/>
    <w:rsid w:val="0043313C"/>
    <w:rsid w:val="00443D45"/>
    <w:rsid w:val="00461253"/>
    <w:rsid w:val="00472AB1"/>
    <w:rsid w:val="005042C2"/>
    <w:rsid w:val="00550EDD"/>
    <w:rsid w:val="005B4274"/>
    <w:rsid w:val="006176DD"/>
    <w:rsid w:val="00671529"/>
    <w:rsid w:val="006F4566"/>
    <w:rsid w:val="007120E7"/>
    <w:rsid w:val="007268F9"/>
    <w:rsid w:val="00754A2E"/>
    <w:rsid w:val="00793CD5"/>
    <w:rsid w:val="007957EA"/>
    <w:rsid w:val="007C52B0"/>
    <w:rsid w:val="00861DE6"/>
    <w:rsid w:val="00905074"/>
    <w:rsid w:val="009411B4"/>
    <w:rsid w:val="009D0139"/>
    <w:rsid w:val="009E6BA1"/>
    <w:rsid w:val="009F5CDC"/>
    <w:rsid w:val="00A43F01"/>
    <w:rsid w:val="00A775CF"/>
    <w:rsid w:val="00B06045"/>
    <w:rsid w:val="00B1519A"/>
    <w:rsid w:val="00B953ED"/>
    <w:rsid w:val="00C35A27"/>
    <w:rsid w:val="00C863F0"/>
    <w:rsid w:val="00DB71CC"/>
    <w:rsid w:val="00E02C2B"/>
    <w:rsid w:val="00E72387"/>
    <w:rsid w:val="00E7419F"/>
    <w:rsid w:val="00E952F4"/>
    <w:rsid w:val="00ED6C48"/>
    <w:rsid w:val="00F65F5D"/>
    <w:rsid w:val="00F86A3A"/>
    <w:rsid w:val="00FA6B47"/>
    <w:rsid w:val="00FB2C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18B430-70EB-4F75-BC33-77741B18BDDD}"/>
</file>

<file path=customXml/itemProps2.xml><?xml version="1.0" encoding="utf-8"?>
<ds:datastoreItem xmlns:ds="http://schemas.openxmlformats.org/officeDocument/2006/customXml" ds:itemID="{A5372897-5F6D-4E84-BF5B-1B156F32CC85}"/>
</file>

<file path=customXml/itemProps3.xml><?xml version="1.0" encoding="utf-8"?>
<ds:datastoreItem xmlns:ds="http://schemas.openxmlformats.org/officeDocument/2006/customXml" ds:itemID="{3A7A1D74-1FBF-4B43-8A86-30669A5303F2}"/>
</file>

<file path=customXml/itemProps4.xml><?xml version="1.0" encoding="utf-8"?>
<ds:datastoreItem xmlns:ds="http://schemas.openxmlformats.org/officeDocument/2006/customXml" ds:itemID="{81AF6ECA-65A1-4BF8-B1DD-C3C2655ECB9D}"/>
</file>

<file path=docProps/app.xml><?xml version="1.0" encoding="utf-8"?>
<Properties xmlns="http://schemas.openxmlformats.org/officeDocument/2006/extended-properties" xmlns:vt="http://schemas.openxmlformats.org/officeDocument/2006/docPropsVTypes">
  <Template>CAT1.dotm</Template>
  <TotalTime>1</TotalTime>
  <Pages>9</Pages>
  <Words>5349</Words>
  <Characters>30490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1713644</vt:lpstr>
    </vt:vector>
  </TitlesOfParts>
  <Company>DCM</Company>
  <LinksUpToDate>false</LinksUpToDate>
  <CharactersWithSpaces>35768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1713644</dc:title>
  <dc:subject>CAT/C/SR.1559</dc:subject>
  <dc:creator>ESCALANTE</dc:creator>
  <dc:description>final</dc:description>
  <cp:lastModifiedBy>Hélène Orrü</cp:lastModifiedBy>
  <cp:revision>2</cp:revision>
  <cp:lastPrinted>2017-08-10T14:56:00Z</cp:lastPrinted>
  <dcterms:created xsi:type="dcterms:W3CDTF">2017-09-26T14:04:00Z</dcterms:created>
  <dcterms:modified xsi:type="dcterms:W3CDTF">2017-09-26T14:04:00Z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