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58F68" w14:textId="78C27CA0" w:rsidR="00737641" w:rsidRPr="006658A7" w:rsidRDefault="004376B6" w:rsidP="004376B6">
      <w:pPr>
        <w:jc w:val="center"/>
        <w:rPr>
          <w:rFonts w:ascii="Garamond" w:hAnsi="Garamond" w:cs="Times New Roman"/>
          <w:sz w:val="24"/>
          <w:szCs w:val="24"/>
        </w:rPr>
      </w:pPr>
      <w:r>
        <w:rPr>
          <w:rFonts w:ascii="Times New Roman" w:hAnsi="Times New Roman" w:cs="Times New Roman"/>
          <w:noProof/>
          <w:sz w:val="24"/>
          <w:szCs w:val="24"/>
          <w:lang w:eastAsia="es-VE"/>
        </w:rPr>
        <w:drawing>
          <wp:inline distT="0" distB="0" distL="0" distR="0" wp14:anchorId="3AF55DC1" wp14:editId="721A90E6">
            <wp:extent cx="773731" cy="540000"/>
            <wp:effectExtent l="0" t="0" r="762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3731" cy="540000"/>
                    </a:xfrm>
                    <a:prstGeom prst="rect">
                      <a:avLst/>
                    </a:prstGeom>
                  </pic:spPr>
                </pic:pic>
              </a:graphicData>
            </a:graphic>
          </wp:inline>
        </w:drawing>
      </w:r>
      <w:r w:rsidR="00466DB2">
        <w:rPr>
          <w:rFonts w:ascii="Garamond" w:hAnsi="Garamond" w:cs="Times New Roman"/>
          <w:sz w:val="24"/>
          <w:szCs w:val="24"/>
        </w:rPr>
        <w:t xml:space="preserve"> </w:t>
      </w:r>
      <w:r>
        <w:rPr>
          <w:rFonts w:ascii="Arial" w:hAnsi="Arial" w:cs="Arial"/>
          <w:noProof/>
          <w:sz w:val="36"/>
          <w:szCs w:val="36"/>
          <w:lang w:eastAsia="es-VE"/>
        </w:rPr>
        <w:drawing>
          <wp:inline distT="0" distB="0" distL="0" distR="0" wp14:anchorId="0035B4F4" wp14:editId="276BAF9C">
            <wp:extent cx="831601" cy="5400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PEG-03 (1).png"/>
                    <pic:cNvPicPr/>
                  </pic:nvPicPr>
                  <pic:blipFill rotWithShape="1">
                    <a:blip r:embed="rId10" cstate="print">
                      <a:extLst>
                        <a:ext uri="{28A0092B-C50C-407E-A947-70E740481C1C}">
                          <a14:useLocalDpi xmlns:a14="http://schemas.microsoft.com/office/drawing/2010/main" val="0"/>
                        </a:ext>
                      </a:extLst>
                    </a:blip>
                    <a:srcRect l="9677" t="21506" r="7528" b="24731"/>
                    <a:stretch/>
                  </pic:blipFill>
                  <pic:spPr bwMode="auto">
                    <a:xfrm>
                      <a:off x="0" y="0"/>
                      <a:ext cx="831601" cy="540000"/>
                    </a:xfrm>
                    <a:prstGeom prst="rect">
                      <a:avLst/>
                    </a:prstGeom>
                    <a:ln>
                      <a:noFill/>
                    </a:ln>
                    <a:extLst>
                      <a:ext uri="{53640926-AAD7-44D8-BBD7-CCE9431645EC}">
                        <a14:shadowObscured xmlns:a14="http://schemas.microsoft.com/office/drawing/2010/main"/>
                      </a:ext>
                    </a:extLst>
                  </pic:spPr>
                </pic:pic>
              </a:graphicData>
            </a:graphic>
          </wp:inline>
        </w:drawing>
      </w:r>
      <w:r w:rsidR="00737641" w:rsidRPr="006658A7">
        <w:rPr>
          <w:rFonts w:ascii="Garamond" w:hAnsi="Garamond" w:cs="Arial"/>
          <w:noProof/>
          <w:sz w:val="24"/>
          <w:szCs w:val="24"/>
          <w:lang w:eastAsia="es-VE"/>
        </w:rPr>
        <w:drawing>
          <wp:inline distT="0" distB="0" distL="0" distR="0" wp14:anchorId="072EE3C1" wp14:editId="2CE42640">
            <wp:extent cx="1259074" cy="360000"/>
            <wp:effectExtent l="0" t="0" r="0" b="254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XODO-color (2) (1)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9074" cy="360000"/>
                    </a:xfrm>
                    <a:prstGeom prst="rect">
                      <a:avLst/>
                    </a:prstGeom>
                  </pic:spPr>
                </pic:pic>
              </a:graphicData>
            </a:graphic>
          </wp:inline>
        </w:drawing>
      </w:r>
      <w:r w:rsidR="00737641" w:rsidRPr="006658A7">
        <w:rPr>
          <w:rFonts w:ascii="Garamond" w:hAnsi="Garamond" w:cs="Arial"/>
          <w:noProof/>
          <w:sz w:val="24"/>
          <w:szCs w:val="24"/>
          <w:lang w:eastAsia="es-VE"/>
        </w:rPr>
        <w:drawing>
          <wp:inline distT="0" distB="0" distL="0" distR="0" wp14:anchorId="479C3580" wp14:editId="4EBD3795">
            <wp:extent cx="576000" cy="576000"/>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00" cy="576000"/>
                    </a:xfrm>
                    <a:prstGeom prst="rect">
                      <a:avLst/>
                    </a:prstGeom>
                  </pic:spPr>
                </pic:pic>
              </a:graphicData>
            </a:graphic>
          </wp:inline>
        </w:drawing>
      </w:r>
      <w:r w:rsidR="00466DB2">
        <w:rPr>
          <w:rFonts w:ascii="Garamond" w:hAnsi="Garamond" w:cs="Times New Roman"/>
          <w:sz w:val="24"/>
          <w:szCs w:val="24"/>
        </w:rPr>
        <w:t xml:space="preserve"> </w:t>
      </w:r>
      <w:r w:rsidR="00737641" w:rsidRPr="006658A7">
        <w:rPr>
          <w:rFonts w:ascii="Garamond" w:hAnsi="Garamond" w:cs="Times New Roman"/>
          <w:noProof/>
          <w:sz w:val="24"/>
          <w:szCs w:val="24"/>
          <w:lang w:eastAsia="es-VE"/>
        </w:rPr>
        <w:drawing>
          <wp:inline distT="0" distB="0" distL="0" distR="0" wp14:anchorId="4C0A1EED" wp14:editId="3B515519">
            <wp:extent cx="306000" cy="612000"/>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undamujer copi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000" cy="612000"/>
                    </a:xfrm>
                    <a:prstGeom prst="rect">
                      <a:avLst/>
                    </a:prstGeom>
                  </pic:spPr>
                </pic:pic>
              </a:graphicData>
            </a:graphic>
          </wp:inline>
        </w:drawing>
      </w:r>
      <w:r w:rsidR="00244F65">
        <w:rPr>
          <w:rFonts w:ascii="Garamond" w:hAnsi="Garamond" w:cs="Times New Roman"/>
          <w:sz w:val="24"/>
          <w:szCs w:val="24"/>
        </w:rPr>
        <w:t xml:space="preserve"> </w:t>
      </w:r>
      <w:r w:rsidR="00737641" w:rsidRPr="006658A7">
        <w:rPr>
          <w:rFonts w:ascii="Garamond" w:hAnsi="Garamond" w:cs="Arial"/>
          <w:noProof/>
          <w:sz w:val="24"/>
          <w:szCs w:val="24"/>
          <w:lang w:eastAsia="es-VE"/>
        </w:rPr>
        <w:drawing>
          <wp:inline distT="0" distB="0" distL="0" distR="0" wp14:anchorId="3A3A623F" wp14:editId="6CD7CD45">
            <wp:extent cx="972099" cy="360000"/>
            <wp:effectExtent l="0" t="0" r="0" b="254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ULI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2099" cy="360000"/>
                    </a:xfrm>
                    <a:prstGeom prst="rect">
                      <a:avLst/>
                    </a:prstGeom>
                  </pic:spPr>
                </pic:pic>
              </a:graphicData>
            </a:graphic>
          </wp:inline>
        </w:drawing>
      </w:r>
      <w:r w:rsidR="00737641" w:rsidRPr="006658A7">
        <w:rPr>
          <w:rFonts w:ascii="Garamond" w:hAnsi="Garamond" w:cs="Times New Roman"/>
          <w:noProof/>
          <w:sz w:val="24"/>
          <w:szCs w:val="24"/>
          <w:lang w:eastAsia="es-VE"/>
        </w:rPr>
        <w:drawing>
          <wp:inline distT="0" distB="0" distL="0" distR="0" wp14:anchorId="2DEACDB9" wp14:editId="23E2FD36">
            <wp:extent cx="636607" cy="729205"/>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NARANJA.png"/>
                    <pic:cNvPicPr/>
                  </pic:nvPicPr>
                  <pic:blipFill rotWithShape="1">
                    <a:blip r:embed="rId15" cstate="print">
                      <a:extLst>
                        <a:ext uri="{28A0092B-C50C-407E-A947-70E740481C1C}">
                          <a14:useLocalDpi xmlns:a14="http://schemas.microsoft.com/office/drawing/2010/main" val="0"/>
                        </a:ext>
                      </a:extLst>
                    </a:blip>
                    <a:srcRect l="12699"/>
                    <a:stretch/>
                  </pic:blipFill>
                  <pic:spPr bwMode="auto">
                    <a:xfrm>
                      <a:off x="0" y="0"/>
                      <a:ext cx="631976" cy="723900"/>
                    </a:xfrm>
                    <a:prstGeom prst="rect">
                      <a:avLst/>
                    </a:prstGeom>
                    <a:ln>
                      <a:noFill/>
                    </a:ln>
                    <a:extLst>
                      <a:ext uri="{53640926-AAD7-44D8-BBD7-CCE9431645EC}">
                        <a14:shadowObscured xmlns:a14="http://schemas.microsoft.com/office/drawing/2010/main"/>
                      </a:ext>
                    </a:extLst>
                  </pic:spPr>
                </pic:pic>
              </a:graphicData>
            </a:graphic>
          </wp:inline>
        </w:drawing>
      </w:r>
    </w:p>
    <w:p w14:paraId="100B62B3" w14:textId="77777777" w:rsidR="00737641" w:rsidRPr="006658A7" w:rsidRDefault="00737641" w:rsidP="00CC3795">
      <w:pPr>
        <w:ind w:left="360"/>
        <w:rPr>
          <w:rFonts w:ascii="Garamond" w:hAnsi="Garamond" w:cs="Arial"/>
          <w:sz w:val="24"/>
          <w:szCs w:val="24"/>
        </w:rPr>
      </w:pPr>
    </w:p>
    <w:p w14:paraId="1FD61F4E" w14:textId="61C93275" w:rsidR="00381846" w:rsidRPr="006658A7" w:rsidRDefault="00381846" w:rsidP="00381846">
      <w:pPr>
        <w:spacing w:line="240" w:lineRule="auto"/>
        <w:jc w:val="center"/>
        <w:rPr>
          <w:rFonts w:ascii="Garamond" w:hAnsi="Garamond" w:cs="Times New Roman"/>
          <w:b/>
          <w:sz w:val="24"/>
          <w:szCs w:val="24"/>
          <w:lang w:val="es-ES"/>
        </w:rPr>
      </w:pPr>
      <w:r w:rsidRPr="006658A7">
        <w:rPr>
          <w:rFonts w:ascii="Garamond" w:hAnsi="Garamond" w:cs="Times New Roman"/>
          <w:b/>
          <w:sz w:val="24"/>
          <w:szCs w:val="24"/>
          <w:lang w:val="es-ES"/>
        </w:rPr>
        <w:t xml:space="preserve">Informe para </w:t>
      </w:r>
      <w:r w:rsidR="000771CE" w:rsidRPr="006658A7">
        <w:rPr>
          <w:rFonts w:ascii="Garamond" w:hAnsi="Garamond" w:cs="Times New Roman"/>
          <w:b/>
          <w:sz w:val="24"/>
          <w:szCs w:val="24"/>
          <w:lang w:val="es-ES"/>
        </w:rPr>
        <w:t>la e</w:t>
      </w:r>
      <w:r w:rsidRPr="006658A7">
        <w:rPr>
          <w:rFonts w:ascii="Garamond" w:hAnsi="Garamond" w:cs="Times New Roman"/>
          <w:b/>
          <w:sz w:val="24"/>
          <w:szCs w:val="24"/>
          <w:lang w:val="es-ES"/>
        </w:rPr>
        <w:t xml:space="preserve">tapa de </w:t>
      </w:r>
      <w:r w:rsidR="00E94469">
        <w:rPr>
          <w:rFonts w:ascii="Garamond" w:hAnsi="Garamond" w:cs="Times New Roman"/>
          <w:b/>
          <w:sz w:val="24"/>
          <w:szCs w:val="24"/>
          <w:lang w:val="es-ES"/>
        </w:rPr>
        <w:t>l</w:t>
      </w:r>
      <w:r w:rsidRPr="006658A7">
        <w:rPr>
          <w:rFonts w:ascii="Garamond" w:hAnsi="Garamond" w:cs="Times New Roman"/>
          <w:b/>
          <w:sz w:val="24"/>
          <w:szCs w:val="24"/>
          <w:lang w:val="es-ES"/>
        </w:rPr>
        <w:t>ista de cuestiones y preguntas</w:t>
      </w:r>
      <w:r w:rsidR="000771CE" w:rsidRPr="006658A7">
        <w:rPr>
          <w:rFonts w:ascii="Garamond" w:hAnsi="Garamond" w:cs="Times New Roman"/>
          <w:b/>
          <w:sz w:val="24"/>
          <w:szCs w:val="24"/>
          <w:lang w:val="es-ES"/>
        </w:rPr>
        <w:t xml:space="preserve"> de Venezuela en el marco de la Sesión 136° del Comité de Derechos Humanos</w:t>
      </w:r>
    </w:p>
    <w:p w14:paraId="747BC89A" w14:textId="77777777" w:rsidR="00381846" w:rsidRPr="00395E47" w:rsidRDefault="00381846" w:rsidP="00381846">
      <w:pPr>
        <w:spacing w:line="240" w:lineRule="auto"/>
        <w:jc w:val="center"/>
        <w:rPr>
          <w:rFonts w:ascii="Garamond" w:hAnsi="Garamond" w:cs="Times New Roman"/>
          <w:sz w:val="24"/>
          <w:szCs w:val="24"/>
          <w:lang w:val="es-ES"/>
        </w:rPr>
      </w:pPr>
      <w:r w:rsidRPr="006658A7">
        <w:rPr>
          <w:rFonts w:ascii="Garamond" w:hAnsi="Garamond" w:cs="Times New Roman"/>
          <w:sz w:val="24"/>
          <w:szCs w:val="24"/>
          <w:lang w:val="es-ES"/>
        </w:rPr>
        <w:t>Agosto, 2022</w:t>
      </w:r>
    </w:p>
    <w:p w14:paraId="4BCBB0E8" w14:textId="77777777" w:rsidR="00381846" w:rsidRPr="00395E47" w:rsidRDefault="00381846" w:rsidP="00381846">
      <w:pPr>
        <w:jc w:val="both"/>
        <w:rPr>
          <w:rFonts w:ascii="Garamond" w:hAnsi="Garamond" w:cs="Times New Roman"/>
          <w:sz w:val="24"/>
          <w:szCs w:val="24"/>
          <w:lang w:val="es-ES"/>
        </w:rPr>
      </w:pPr>
    </w:p>
    <w:p w14:paraId="604EA2F3" w14:textId="21362CAB" w:rsidR="00381846" w:rsidRDefault="00381846" w:rsidP="00381846">
      <w:pPr>
        <w:jc w:val="both"/>
        <w:rPr>
          <w:rFonts w:ascii="Garamond" w:hAnsi="Garamond" w:cs="Times New Roman"/>
          <w:sz w:val="24"/>
          <w:szCs w:val="24"/>
          <w:lang w:val="es-ES"/>
        </w:rPr>
      </w:pPr>
      <w:r w:rsidRPr="006658A7">
        <w:rPr>
          <w:rFonts w:ascii="Garamond" w:hAnsi="Garamond" w:cs="Times New Roman"/>
          <w:sz w:val="24"/>
          <w:szCs w:val="24"/>
          <w:lang w:val="es-ES"/>
        </w:rPr>
        <w:t>El siguiente informe analiza la situación de discriminación y violencia contra las mujeres en Venezuela, especialmente en</w:t>
      </w:r>
      <w:r w:rsidR="00FE4791" w:rsidRPr="006658A7">
        <w:rPr>
          <w:rFonts w:ascii="Garamond" w:hAnsi="Garamond" w:cs="Times New Roman"/>
          <w:sz w:val="24"/>
          <w:szCs w:val="24"/>
          <w:lang w:val="es-ES"/>
        </w:rPr>
        <w:t>focado en</w:t>
      </w:r>
      <w:r w:rsidRPr="006658A7">
        <w:rPr>
          <w:rFonts w:ascii="Garamond" w:hAnsi="Garamond" w:cs="Times New Roman"/>
          <w:sz w:val="24"/>
          <w:szCs w:val="24"/>
          <w:lang w:val="es-ES"/>
        </w:rPr>
        <w:t xml:space="preserve"> las recomendaciones realizadas an</w:t>
      </w:r>
      <w:r w:rsidR="00987AF2">
        <w:rPr>
          <w:rFonts w:ascii="Garamond" w:hAnsi="Garamond" w:cs="Times New Roman"/>
          <w:sz w:val="24"/>
          <w:szCs w:val="24"/>
          <w:lang w:val="es-ES"/>
        </w:rPr>
        <w:t xml:space="preserve">teriormente por el Comité </w:t>
      </w:r>
      <w:r w:rsidR="008A1134" w:rsidRPr="006658A7">
        <w:rPr>
          <w:rFonts w:ascii="Garamond" w:hAnsi="Garamond" w:cs="Times New Roman"/>
          <w:sz w:val="24"/>
          <w:szCs w:val="24"/>
          <w:lang w:val="es-ES"/>
        </w:rPr>
        <w:t>de Derechos Humanos</w:t>
      </w:r>
      <w:r w:rsidR="00E94469">
        <w:rPr>
          <w:rFonts w:ascii="Garamond" w:hAnsi="Garamond" w:cs="Times New Roman"/>
          <w:sz w:val="24"/>
          <w:szCs w:val="24"/>
          <w:lang w:val="es-ES"/>
        </w:rPr>
        <w:t xml:space="preserve"> al Estado venezolano</w:t>
      </w:r>
      <w:r w:rsidR="008A1134" w:rsidRPr="006658A7">
        <w:rPr>
          <w:rFonts w:ascii="Garamond" w:hAnsi="Garamond" w:cs="Times New Roman"/>
          <w:sz w:val="24"/>
          <w:szCs w:val="24"/>
          <w:lang w:val="es-ES"/>
        </w:rPr>
        <w:t>, así como</w:t>
      </w:r>
      <w:r w:rsidR="00E94469">
        <w:rPr>
          <w:rFonts w:ascii="Garamond" w:hAnsi="Garamond" w:cs="Times New Roman"/>
          <w:sz w:val="24"/>
          <w:szCs w:val="24"/>
          <w:lang w:val="es-ES"/>
        </w:rPr>
        <w:t>,</w:t>
      </w:r>
      <w:r w:rsidRPr="006658A7">
        <w:rPr>
          <w:rFonts w:ascii="Garamond" w:hAnsi="Garamond" w:cs="Times New Roman"/>
          <w:sz w:val="24"/>
          <w:szCs w:val="24"/>
          <w:lang w:val="es-ES"/>
        </w:rPr>
        <w:t xml:space="preserve"> la información presentada por el Estado, en el</w:t>
      </w:r>
      <w:r w:rsidR="004277AE" w:rsidRPr="006658A7">
        <w:rPr>
          <w:rFonts w:ascii="Garamond" w:hAnsi="Garamond" w:cs="Times New Roman"/>
          <w:sz w:val="24"/>
          <w:szCs w:val="24"/>
          <w:lang w:val="es-ES"/>
        </w:rPr>
        <w:t xml:space="preserve"> Quinto Informe periódico en el</w:t>
      </w:r>
      <w:r w:rsidRPr="006658A7">
        <w:rPr>
          <w:rFonts w:ascii="Garamond" w:hAnsi="Garamond" w:cs="Times New Roman"/>
          <w:sz w:val="24"/>
          <w:szCs w:val="24"/>
          <w:lang w:val="es-ES"/>
        </w:rPr>
        <w:t xml:space="preserve"> </w:t>
      </w:r>
      <w:r w:rsidR="008A1134" w:rsidRPr="006658A7">
        <w:rPr>
          <w:rFonts w:ascii="Garamond" w:hAnsi="Garamond" w:cs="Times New Roman"/>
          <w:sz w:val="24"/>
          <w:szCs w:val="24"/>
          <w:lang w:val="es-ES"/>
        </w:rPr>
        <w:t>año 2021</w:t>
      </w:r>
      <w:r w:rsidRPr="006658A7">
        <w:rPr>
          <w:rFonts w:ascii="Garamond" w:hAnsi="Garamond" w:cs="Times New Roman"/>
          <w:sz w:val="24"/>
          <w:szCs w:val="24"/>
          <w:lang w:val="es-ES"/>
        </w:rPr>
        <w:t>. Además, se elaboraron una ser</w:t>
      </w:r>
      <w:r w:rsidR="00521DE7" w:rsidRPr="006658A7">
        <w:rPr>
          <w:rFonts w:ascii="Garamond" w:hAnsi="Garamond" w:cs="Times New Roman"/>
          <w:sz w:val="24"/>
          <w:szCs w:val="24"/>
          <w:lang w:val="es-ES"/>
        </w:rPr>
        <w:t>ie de preguntas que se sugieren al Comité de Derechos Humanos en el marco de la Sesión 136°,</w:t>
      </w:r>
      <w:r w:rsidRPr="006658A7">
        <w:rPr>
          <w:rFonts w:ascii="Garamond" w:hAnsi="Garamond" w:cs="Times New Roman"/>
          <w:sz w:val="24"/>
          <w:szCs w:val="24"/>
          <w:lang w:val="es-ES"/>
        </w:rPr>
        <w:t xml:space="preserve"> para que sean consideradas en la preparación de la Lista de cuestiones y preguntas.</w:t>
      </w:r>
    </w:p>
    <w:p w14:paraId="4A1C2154" w14:textId="77777777" w:rsidR="008400C6" w:rsidRPr="00395E47" w:rsidRDefault="008400C6" w:rsidP="00381846">
      <w:pPr>
        <w:jc w:val="both"/>
        <w:rPr>
          <w:rFonts w:ascii="Garamond" w:hAnsi="Garamond" w:cs="Times New Roman"/>
          <w:sz w:val="24"/>
          <w:szCs w:val="24"/>
          <w:lang w:val="es-ES"/>
        </w:rPr>
      </w:pPr>
    </w:p>
    <w:p w14:paraId="43CE28FB" w14:textId="77777777" w:rsidR="00381846" w:rsidRPr="00395E47" w:rsidRDefault="00381846" w:rsidP="00381846">
      <w:pPr>
        <w:jc w:val="both"/>
        <w:rPr>
          <w:rFonts w:ascii="Garamond" w:hAnsi="Garamond" w:cs="Times New Roman"/>
          <w:sz w:val="24"/>
          <w:szCs w:val="24"/>
        </w:rPr>
      </w:pPr>
      <w:r w:rsidRPr="00395E47">
        <w:rPr>
          <w:rFonts w:ascii="Garamond" w:hAnsi="Garamond" w:cs="Times New Roman"/>
          <w:sz w:val="24"/>
          <w:szCs w:val="24"/>
        </w:rPr>
        <w:t>El informe es presentado por la coalición de organizaciones que está conformado por:</w:t>
      </w:r>
    </w:p>
    <w:p w14:paraId="570703D1"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Centro de Justicia y Paz (Cepaz)</w:t>
      </w:r>
      <w:r w:rsidRPr="00395E47">
        <w:rPr>
          <w:rStyle w:val="Refdenotaalpie"/>
          <w:rFonts w:ascii="Garamond" w:hAnsi="Garamond" w:cs="Times New Roman"/>
          <w:sz w:val="24"/>
          <w:szCs w:val="24"/>
        </w:rPr>
        <w:footnoteReference w:id="1"/>
      </w:r>
    </w:p>
    <w:p w14:paraId="432A5293"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Comisión contra la violencia de género de Universidad de los Andes (ULA Mujer)</w:t>
      </w:r>
      <w:r w:rsidRPr="00395E47">
        <w:rPr>
          <w:rStyle w:val="Refdenotaalpie"/>
          <w:rFonts w:ascii="Garamond" w:hAnsi="Garamond" w:cs="Times New Roman"/>
          <w:sz w:val="24"/>
          <w:szCs w:val="24"/>
        </w:rPr>
        <w:footnoteReference w:id="2"/>
      </w:r>
    </w:p>
    <w:p w14:paraId="49AEAF96"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Éxodo</w:t>
      </w:r>
      <w:r w:rsidRPr="00395E47">
        <w:rPr>
          <w:rStyle w:val="Refdenotaalpie"/>
          <w:rFonts w:ascii="Garamond" w:hAnsi="Garamond" w:cs="Times New Roman"/>
          <w:sz w:val="24"/>
          <w:szCs w:val="24"/>
        </w:rPr>
        <w:footnoteReference w:id="3"/>
      </w:r>
    </w:p>
    <w:p w14:paraId="4D92F3B2"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Fundación Vida Jurídica</w:t>
      </w:r>
      <w:r w:rsidRPr="00395E47">
        <w:rPr>
          <w:rStyle w:val="Refdenotaalpie"/>
          <w:rFonts w:ascii="Garamond" w:hAnsi="Garamond" w:cs="Times New Roman"/>
          <w:sz w:val="24"/>
          <w:szCs w:val="24"/>
        </w:rPr>
        <w:footnoteReference w:id="4"/>
      </w:r>
    </w:p>
    <w:p w14:paraId="199BC437"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Fundación para la Prevención de la Violencia Contra las Mujeres (Fundamujer)</w:t>
      </w:r>
      <w:r w:rsidRPr="00395E47">
        <w:rPr>
          <w:rStyle w:val="Refdenotaalpie"/>
          <w:rFonts w:ascii="Garamond" w:hAnsi="Garamond" w:cs="Times New Roman"/>
          <w:sz w:val="24"/>
          <w:szCs w:val="24"/>
        </w:rPr>
        <w:footnoteReference w:id="5"/>
      </w:r>
    </w:p>
    <w:p w14:paraId="07C32F93"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Mulier</w:t>
      </w:r>
      <w:r w:rsidRPr="00395E47">
        <w:rPr>
          <w:rStyle w:val="Refdenotaalpie"/>
          <w:rFonts w:ascii="Garamond" w:hAnsi="Garamond" w:cs="Times New Roman"/>
          <w:sz w:val="24"/>
          <w:szCs w:val="24"/>
        </w:rPr>
        <w:footnoteReference w:id="6"/>
      </w:r>
    </w:p>
    <w:p w14:paraId="6604D9B7" w14:textId="77777777" w:rsidR="00381846" w:rsidRPr="00395E47" w:rsidRDefault="00381846" w:rsidP="00381846">
      <w:pPr>
        <w:pStyle w:val="Prrafodelista"/>
        <w:numPr>
          <w:ilvl w:val="0"/>
          <w:numId w:val="5"/>
        </w:numPr>
        <w:jc w:val="both"/>
        <w:rPr>
          <w:rFonts w:ascii="Garamond" w:hAnsi="Garamond" w:cs="Times New Roman"/>
          <w:sz w:val="24"/>
          <w:szCs w:val="24"/>
        </w:rPr>
      </w:pPr>
      <w:r w:rsidRPr="00395E47">
        <w:rPr>
          <w:rFonts w:ascii="Garamond" w:hAnsi="Garamond" w:cs="Times New Roman"/>
          <w:sz w:val="24"/>
          <w:szCs w:val="24"/>
        </w:rPr>
        <w:t>Red Naranja</w:t>
      </w:r>
      <w:r w:rsidRPr="00395E47">
        <w:rPr>
          <w:rStyle w:val="Refdenotaalpie"/>
          <w:rFonts w:ascii="Garamond" w:hAnsi="Garamond" w:cs="Times New Roman"/>
          <w:sz w:val="24"/>
          <w:szCs w:val="24"/>
        </w:rPr>
        <w:footnoteReference w:id="7"/>
      </w:r>
    </w:p>
    <w:p w14:paraId="63212DFA" w14:textId="77777777" w:rsidR="00730B2C" w:rsidRDefault="00730B2C" w:rsidP="00381846">
      <w:pPr>
        <w:ind w:left="360"/>
        <w:jc w:val="both"/>
        <w:rPr>
          <w:rFonts w:ascii="Garamond" w:hAnsi="Garamond" w:cs="Times New Roman"/>
          <w:sz w:val="24"/>
          <w:szCs w:val="24"/>
        </w:rPr>
      </w:pPr>
    </w:p>
    <w:p w14:paraId="0AEDAA43" w14:textId="77777777" w:rsidR="00381846" w:rsidRPr="00395E47" w:rsidRDefault="00381846" w:rsidP="00381846">
      <w:pPr>
        <w:ind w:left="360"/>
        <w:jc w:val="both"/>
        <w:rPr>
          <w:rFonts w:ascii="Garamond" w:hAnsi="Garamond" w:cs="Times New Roman"/>
          <w:sz w:val="24"/>
          <w:szCs w:val="24"/>
        </w:rPr>
      </w:pPr>
      <w:r w:rsidRPr="00395E47">
        <w:rPr>
          <w:rFonts w:ascii="Garamond" w:hAnsi="Garamond" w:cs="Times New Roman"/>
          <w:sz w:val="24"/>
          <w:szCs w:val="24"/>
        </w:rPr>
        <w:t xml:space="preserve">Correos electrónicos de contacto: </w:t>
      </w:r>
      <w:hyperlink r:id="rId16" w:history="1">
        <w:r w:rsidRPr="00395E47">
          <w:rPr>
            <w:rStyle w:val="Hipervnculo"/>
            <w:rFonts w:ascii="Garamond" w:hAnsi="Garamond" w:cs="Times New Roman"/>
            <w:sz w:val="24"/>
            <w:szCs w:val="24"/>
          </w:rPr>
          <w:t>rednaranjavenezuela@gmail.com</w:t>
        </w:r>
      </w:hyperlink>
      <w:r w:rsidRPr="00395E47">
        <w:rPr>
          <w:rFonts w:ascii="Garamond" w:hAnsi="Garamond" w:cs="Times New Roman"/>
          <w:sz w:val="24"/>
          <w:szCs w:val="24"/>
        </w:rPr>
        <w:t xml:space="preserve"> , </w:t>
      </w:r>
      <w:hyperlink r:id="rId17" w:history="1">
        <w:r w:rsidRPr="00395E47">
          <w:rPr>
            <w:rStyle w:val="Hipervnculo"/>
            <w:rFonts w:ascii="Garamond" w:hAnsi="Garamond" w:cs="Times New Roman"/>
            <w:sz w:val="24"/>
            <w:szCs w:val="24"/>
          </w:rPr>
          <w:t>rrss@cepaz.org</w:t>
        </w:r>
      </w:hyperlink>
      <w:r w:rsidRPr="00395E47">
        <w:rPr>
          <w:rFonts w:ascii="Garamond" w:hAnsi="Garamond" w:cs="Times New Roman"/>
          <w:sz w:val="24"/>
          <w:szCs w:val="24"/>
        </w:rPr>
        <w:t xml:space="preserve"> , </w:t>
      </w:r>
      <w:hyperlink r:id="rId18" w:history="1">
        <w:r w:rsidRPr="00395E47">
          <w:rPr>
            <w:rStyle w:val="Hipervnculo"/>
            <w:rFonts w:ascii="Garamond" w:hAnsi="Garamond" w:cs="Times New Roman"/>
            <w:sz w:val="24"/>
            <w:szCs w:val="24"/>
          </w:rPr>
          <w:t>comision.ula.mujer@gmail.com</w:t>
        </w:r>
      </w:hyperlink>
      <w:r w:rsidRPr="00395E47">
        <w:rPr>
          <w:rFonts w:ascii="Garamond" w:hAnsi="Garamond" w:cs="Times New Roman"/>
          <w:sz w:val="24"/>
          <w:szCs w:val="24"/>
        </w:rPr>
        <w:t xml:space="preserve">, </w:t>
      </w:r>
      <w:hyperlink r:id="rId19" w:history="1">
        <w:r w:rsidRPr="00395E47">
          <w:rPr>
            <w:rStyle w:val="Hipervnculo"/>
            <w:rFonts w:ascii="Garamond" w:hAnsi="Garamond" w:cs="Times New Roman"/>
            <w:sz w:val="24"/>
            <w:szCs w:val="24"/>
          </w:rPr>
          <w:t>exodo.ac.vzla@gmail.com</w:t>
        </w:r>
      </w:hyperlink>
      <w:r w:rsidRPr="00395E47">
        <w:rPr>
          <w:rFonts w:ascii="Garamond" w:hAnsi="Garamond" w:cs="Times New Roman"/>
          <w:sz w:val="24"/>
          <w:szCs w:val="24"/>
        </w:rPr>
        <w:t xml:space="preserve"> , </w:t>
      </w:r>
      <w:hyperlink r:id="rId20" w:history="1">
        <w:r w:rsidRPr="00395E47">
          <w:rPr>
            <w:rStyle w:val="Hipervnculo"/>
            <w:rFonts w:ascii="Garamond" w:hAnsi="Garamond" w:cs="Times New Roman"/>
            <w:sz w:val="24"/>
            <w:szCs w:val="24"/>
          </w:rPr>
          <w:t>fundacionvidajuridica@gmail.com</w:t>
        </w:r>
      </w:hyperlink>
      <w:r w:rsidRPr="00395E47">
        <w:rPr>
          <w:rFonts w:ascii="Garamond" w:hAnsi="Garamond" w:cs="Times New Roman"/>
          <w:sz w:val="24"/>
          <w:szCs w:val="24"/>
        </w:rPr>
        <w:t xml:space="preserve"> y </w:t>
      </w:r>
      <w:hyperlink r:id="rId21" w:history="1">
        <w:r w:rsidRPr="00395E47">
          <w:rPr>
            <w:rStyle w:val="Hipervnculo"/>
            <w:rFonts w:ascii="Garamond" w:hAnsi="Garamond" w:cs="Times New Roman"/>
            <w:sz w:val="24"/>
            <w:szCs w:val="24"/>
          </w:rPr>
          <w:t>fundamujervenezuela@gmail.com</w:t>
        </w:r>
      </w:hyperlink>
      <w:r w:rsidRPr="00395E47">
        <w:rPr>
          <w:rFonts w:ascii="Garamond" w:hAnsi="Garamond" w:cs="Times New Roman"/>
          <w:sz w:val="24"/>
          <w:szCs w:val="24"/>
        </w:rPr>
        <w:t xml:space="preserve"> </w:t>
      </w:r>
    </w:p>
    <w:p w14:paraId="5AA98908" w14:textId="77777777" w:rsidR="00F554BE" w:rsidRDefault="00F554BE" w:rsidP="00F554BE">
      <w:pPr>
        <w:pStyle w:val="Prrafodelista"/>
        <w:numPr>
          <w:ilvl w:val="0"/>
          <w:numId w:val="17"/>
        </w:numPr>
        <w:spacing w:after="160" w:line="259" w:lineRule="auto"/>
        <w:jc w:val="both"/>
        <w:rPr>
          <w:rFonts w:ascii="Garamond" w:eastAsia="Calibri" w:hAnsi="Garamond" w:cs="Times New Roman"/>
          <w:b/>
          <w:sz w:val="24"/>
          <w:szCs w:val="24"/>
        </w:rPr>
      </w:pPr>
      <w:r>
        <w:rPr>
          <w:rFonts w:ascii="Garamond" w:eastAsia="Calibri" w:hAnsi="Garamond" w:cs="Times New Roman"/>
          <w:b/>
          <w:sz w:val="24"/>
          <w:szCs w:val="24"/>
        </w:rPr>
        <w:lastRenderedPageBreak/>
        <w:t>Sobre los derechos reconocidos en el Pacto Internacional de Derechos Civiles y Políticos</w:t>
      </w:r>
    </w:p>
    <w:p w14:paraId="34FAD6B1" w14:textId="77777777" w:rsidR="00F554BE" w:rsidRDefault="00F554BE" w:rsidP="00F554BE">
      <w:pPr>
        <w:spacing w:after="160" w:line="259" w:lineRule="auto"/>
        <w:ind w:left="360"/>
        <w:jc w:val="both"/>
        <w:rPr>
          <w:rFonts w:ascii="Garamond" w:eastAsia="Calibri" w:hAnsi="Garamond" w:cs="Times New Roman"/>
          <w:b/>
          <w:sz w:val="24"/>
          <w:szCs w:val="24"/>
        </w:rPr>
      </w:pPr>
    </w:p>
    <w:p w14:paraId="160B1587" w14:textId="77777777" w:rsidR="00F554BE" w:rsidRPr="0084138E" w:rsidRDefault="00F554BE" w:rsidP="0084138E">
      <w:pPr>
        <w:pStyle w:val="Prrafodelista"/>
        <w:numPr>
          <w:ilvl w:val="0"/>
          <w:numId w:val="18"/>
        </w:numPr>
        <w:spacing w:after="160" w:line="259" w:lineRule="auto"/>
        <w:jc w:val="both"/>
        <w:rPr>
          <w:rFonts w:ascii="Garamond" w:eastAsia="Calibri" w:hAnsi="Garamond" w:cs="Times New Roman"/>
          <w:b/>
          <w:sz w:val="24"/>
          <w:szCs w:val="24"/>
        </w:rPr>
      </w:pPr>
      <w:r w:rsidRPr="0084138E">
        <w:rPr>
          <w:rFonts w:ascii="Garamond" w:eastAsia="Calibri" w:hAnsi="Garamond" w:cs="Times New Roman"/>
          <w:b/>
          <w:sz w:val="24"/>
          <w:szCs w:val="24"/>
        </w:rPr>
        <w:t>Artículo 2</w:t>
      </w:r>
    </w:p>
    <w:p w14:paraId="42458B9F" w14:textId="77777777" w:rsidR="00315B21" w:rsidRDefault="00D7148F" w:rsidP="00F84579">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 xml:space="preserve">En el quinto informe presentado por el </w:t>
      </w:r>
      <w:r w:rsidRPr="00D7148F">
        <w:rPr>
          <w:rFonts w:ascii="Garamond" w:eastAsia="Calibri" w:hAnsi="Garamond" w:cs="Times New Roman"/>
          <w:sz w:val="24"/>
          <w:szCs w:val="24"/>
        </w:rPr>
        <w:t>Estado</w:t>
      </w:r>
      <w:r>
        <w:rPr>
          <w:rFonts w:ascii="Garamond" w:eastAsia="Calibri" w:hAnsi="Garamond" w:cs="Times New Roman"/>
          <w:sz w:val="24"/>
          <w:szCs w:val="24"/>
        </w:rPr>
        <w:t xml:space="preserve"> venezolano</w:t>
      </w:r>
      <w:r w:rsidR="0043157C">
        <w:rPr>
          <w:rFonts w:ascii="Garamond" w:eastAsia="Calibri" w:hAnsi="Garamond" w:cs="Times New Roman"/>
          <w:sz w:val="24"/>
          <w:szCs w:val="24"/>
        </w:rPr>
        <w:t>, en los párrafos 20 y 21</w:t>
      </w:r>
      <w:r w:rsidR="0055068A">
        <w:rPr>
          <w:rFonts w:ascii="Garamond" w:eastAsia="Calibri" w:hAnsi="Garamond" w:cs="Times New Roman"/>
          <w:sz w:val="24"/>
          <w:szCs w:val="24"/>
        </w:rPr>
        <w:t>, se menciona la capacitación a Fiscales para incrementar la conciencia sobre el Pacto a través de la “Cátedra libre de Defensa de la Mujer” y programas de formación en materia de “Violencia de Género”</w:t>
      </w:r>
      <w:r w:rsidR="005F25ED">
        <w:rPr>
          <w:rFonts w:ascii="Garamond" w:eastAsia="Calibri" w:hAnsi="Garamond" w:cs="Times New Roman"/>
          <w:sz w:val="24"/>
          <w:szCs w:val="24"/>
        </w:rPr>
        <w:t>.</w:t>
      </w:r>
      <w:r w:rsidR="0043157C">
        <w:rPr>
          <w:rFonts w:ascii="Garamond" w:eastAsia="Calibri" w:hAnsi="Garamond" w:cs="Times New Roman"/>
          <w:sz w:val="24"/>
          <w:szCs w:val="24"/>
        </w:rPr>
        <w:t xml:space="preserve"> </w:t>
      </w:r>
      <w:r w:rsidR="00232C02">
        <w:rPr>
          <w:rFonts w:ascii="Garamond" w:eastAsia="Calibri" w:hAnsi="Garamond" w:cs="Times New Roman"/>
          <w:sz w:val="24"/>
          <w:szCs w:val="24"/>
        </w:rPr>
        <w:t>A pesar de ello, organizaciones de la sociedad civil como Comisión ULA-Mujer han documentado que e</w:t>
      </w:r>
      <w:r w:rsidR="00315B21" w:rsidRPr="00315B21">
        <w:rPr>
          <w:rFonts w:ascii="Garamond" w:eastAsia="Calibri" w:hAnsi="Garamond" w:cs="Times New Roman"/>
          <w:sz w:val="24"/>
          <w:szCs w:val="24"/>
        </w:rPr>
        <w:t>n el Municipio Libertador, estado Mérida, fiscales asignados a la Fiscalía 20 del Ministerio Público, desconocen cómo realizar una investigación penal en casos</w:t>
      </w:r>
      <w:r w:rsidR="00232C02">
        <w:rPr>
          <w:rFonts w:ascii="Garamond" w:eastAsia="Calibri" w:hAnsi="Garamond" w:cs="Times New Roman"/>
          <w:sz w:val="24"/>
          <w:szCs w:val="24"/>
        </w:rPr>
        <w:t xml:space="preserve"> de violencia contra las mujeres (</w:t>
      </w:r>
      <w:r w:rsidR="00F84579">
        <w:rPr>
          <w:rFonts w:ascii="Garamond" w:eastAsia="Calibri" w:hAnsi="Garamond" w:cs="Times New Roman"/>
          <w:sz w:val="24"/>
          <w:szCs w:val="24"/>
        </w:rPr>
        <w:t>VCM</w:t>
      </w:r>
      <w:r w:rsidR="00232C02">
        <w:rPr>
          <w:rFonts w:ascii="Garamond" w:eastAsia="Calibri" w:hAnsi="Garamond" w:cs="Times New Roman"/>
          <w:sz w:val="24"/>
          <w:szCs w:val="24"/>
        </w:rPr>
        <w:t>)</w:t>
      </w:r>
      <w:r w:rsidR="00315B21" w:rsidRPr="00315B21">
        <w:rPr>
          <w:rFonts w:ascii="Garamond" w:eastAsia="Calibri" w:hAnsi="Garamond" w:cs="Times New Roman"/>
          <w:sz w:val="24"/>
          <w:szCs w:val="24"/>
        </w:rPr>
        <w:t xml:space="preserve">, al punto de indicar que en estos no se realiza la «psiquiátrica post mortem», prueba contemplada en el Modelo de Protocolo latinoamericano de investigación de las muertes violentas de mujeres por razones de </w:t>
      </w:r>
      <w:r w:rsidR="00315B21">
        <w:rPr>
          <w:rFonts w:ascii="Garamond" w:eastAsia="Calibri" w:hAnsi="Garamond" w:cs="Times New Roman"/>
          <w:sz w:val="24"/>
          <w:szCs w:val="24"/>
        </w:rPr>
        <w:t>género (femicidio/feminicidio).</w:t>
      </w:r>
    </w:p>
    <w:p w14:paraId="010A39B8" w14:textId="4276D6F5" w:rsidR="00140426" w:rsidRPr="00140426" w:rsidRDefault="00140426" w:rsidP="00140426">
      <w:pPr>
        <w:spacing w:after="160" w:line="259" w:lineRule="auto"/>
        <w:ind w:left="360"/>
        <w:jc w:val="both"/>
        <w:rPr>
          <w:rFonts w:ascii="Garamond" w:eastAsia="Calibri" w:hAnsi="Garamond" w:cs="Times New Roman"/>
          <w:sz w:val="24"/>
          <w:szCs w:val="24"/>
        </w:rPr>
      </w:pPr>
      <w:r w:rsidRPr="00140426">
        <w:rPr>
          <w:rFonts w:ascii="Garamond" w:eastAsia="Calibri" w:hAnsi="Garamond" w:cs="Times New Roman"/>
          <w:sz w:val="24"/>
          <w:szCs w:val="24"/>
        </w:rPr>
        <w:t>Entre las causas de mala atenci</w:t>
      </w:r>
      <w:r w:rsidR="0070080B">
        <w:rPr>
          <w:rFonts w:ascii="Garamond" w:eastAsia="Calibri" w:hAnsi="Garamond" w:cs="Times New Roman"/>
          <w:sz w:val="24"/>
          <w:szCs w:val="24"/>
        </w:rPr>
        <w:t xml:space="preserve">ón, indicó </w:t>
      </w:r>
      <w:r w:rsidRPr="00140426">
        <w:rPr>
          <w:rFonts w:ascii="Garamond" w:eastAsia="Calibri" w:hAnsi="Garamond" w:cs="Times New Roman"/>
          <w:sz w:val="24"/>
          <w:szCs w:val="24"/>
        </w:rPr>
        <w:t>una funcionaria, pueden señalarse el desinterés o la actitud y lenguaje despectivo ante la denuncia de la víctima</w:t>
      </w:r>
      <w:r w:rsidRPr="00140426">
        <w:rPr>
          <w:rFonts w:ascii="Garamond" w:eastAsia="Calibri" w:hAnsi="Garamond" w:cs="Times New Roman"/>
          <w:sz w:val="24"/>
          <w:szCs w:val="24"/>
          <w:vertAlign w:val="superscript"/>
        </w:rPr>
        <w:footnoteReference w:id="8"/>
      </w:r>
      <w:r w:rsidR="005F25ED">
        <w:rPr>
          <w:rFonts w:ascii="Garamond" w:eastAsia="Calibri" w:hAnsi="Garamond" w:cs="Times New Roman"/>
          <w:sz w:val="24"/>
          <w:szCs w:val="24"/>
        </w:rPr>
        <w:t>, sumado al desconocimiento en la materia.</w:t>
      </w:r>
    </w:p>
    <w:p w14:paraId="0054EAFD" w14:textId="7018A7EA" w:rsidR="00140426" w:rsidRPr="00140426" w:rsidRDefault="00140426" w:rsidP="00140426">
      <w:pPr>
        <w:spacing w:after="160" w:line="259" w:lineRule="auto"/>
        <w:ind w:left="360"/>
        <w:jc w:val="both"/>
        <w:rPr>
          <w:rFonts w:ascii="Garamond" w:eastAsia="Calibri" w:hAnsi="Garamond" w:cs="Times New Roman"/>
          <w:sz w:val="24"/>
          <w:szCs w:val="24"/>
        </w:rPr>
      </w:pPr>
      <w:r w:rsidRPr="00140426">
        <w:rPr>
          <w:rFonts w:ascii="Garamond" w:eastAsia="Calibri" w:hAnsi="Garamond" w:cs="Times New Roman"/>
          <w:sz w:val="24"/>
          <w:szCs w:val="24"/>
        </w:rPr>
        <w:t xml:space="preserve">En este sentido, y en relación con la impunidad ocasionada por la propia Fiscalía competente en Violencia contra la Mujer en Mérida, la </w:t>
      </w:r>
      <w:r w:rsidRPr="00AA6165">
        <w:rPr>
          <w:rFonts w:ascii="Garamond" w:eastAsia="Calibri" w:hAnsi="Garamond" w:cs="Times New Roman"/>
          <w:sz w:val="24"/>
          <w:szCs w:val="24"/>
        </w:rPr>
        <w:t xml:space="preserve">profesora </w:t>
      </w:r>
      <w:r w:rsidR="00AA6165">
        <w:rPr>
          <w:rFonts w:ascii="Garamond" w:eastAsia="Calibri" w:hAnsi="Garamond" w:cs="Times New Roman"/>
          <w:sz w:val="24"/>
          <w:szCs w:val="24"/>
        </w:rPr>
        <w:t>María</w:t>
      </w:r>
      <w:r w:rsidRPr="00AA6165">
        <w:rPr>
          <w:rFonts w:ascii="Garamond" w:eastAsia="Calibri" w:hAnsi="Garamond" w:cs="Times New Roman"/>
          <w:sz w:val="24"/>
          <w:szCs w:val="24"/>
        </w:rPr>
        <w:t xml:space="preserve"> </w:t>
      </w:r>
      <w:r w:rsidR="00AA6165">
        <w:rPr>
          <w:rFonts w:ascii="Garamond" w:eastAsia="Calibri" w:hAnsi="Garamond" w:cs="Times New Roman"/>
          <w:sz w:val="24"/>
          <w:szCs w:val="24"/>
        </w:rPr>
        <w:t>Córdoba*</w:t>
      </w:r>
      <w:r w:rsidR="0002284D">
        <w:rPr>
          <w:rFonts w:ascii="Garamond" w:eastAsia="Calibri" w:hAnsi="Garamond" w:cs="Times New Roman"/>
          <w:sz w:val="24"/>
          <w:szCs w:val="24"/>
        </w:rPr>
        <w:t xml:space="preserve">, denunció ante </w:t>
      </w:r>
      <w:r w:rsidRPr="00140426">
        <w:rPr>
          <w:rFonts w:ascii="Garamond" w:eastAsia="Calibri" w:hAnsi="Garamond" w:cs="Times New Roman"/>
          <w:sz w:val="24"/>
          <w:szCs w:val="24"/>
        </w:rPr>
        <w:t xml:space="preserve">ULA-Mujer y aportó documentación sobre su caso de revictimización que textualmente se expone a continuación: </w:t>
      </w:r>
    </w:p>
    <w:p w14:paraId="54C7A6A7" w14:textId="77777777" w:rsidR="00140426" w:rsidRPr="00140426" w:rsidRDefault="00140426" w:rsidP="00140426">
      <w:pPr>
        <w:spacing w:after="160" w:line="259" w:lineRule="auto"/>
        <w:ind w:left="360"/>
        <w:jc w:val="both"/>
        <w:rPr>
          <w:rFonts w:ascii="Garamond" w:eastAsia="Calibri" w:hAnsi="Garamond" w:cs="Times New Roman"/>
          <w:sz w:val="24"/>
          <w:szCs w:val="24"/>
        </w:rPr>
      </w:pPr>
      <w:r w:rsidRPr="00140426">
        <w:rPr>
          <w:rFonts w:ascii="Garamond" w:eastAsia="Calibri" w:hAnsi="Garamond" w:cs="Times New Roman"/>
          <w:sz w:val="24"/>
          <w:szCs w:val="24"/>
        </w:rPr>
        <w:t>«Denuncio ante la Comisión ULA- Mujer, la agresión verbal y psicológica, persecución, acoso y hostigamiento que sufrí por parte del ciudadano Lino Meneses Pacheco, en enero de 2016, luego de yo negarme a firmar como coordinadora del Doctorado en Antropología una carta de su interés, cuyo contenido violaba los reglamentos internos. En el salón de reuniones fui abordada por este empleado Meneses, quien iracundo, comenzó a gritarme y a insultarme, llamándome “mentirosa”, “chismosa” y otros epítetos degradantes, delante de trabajadores y visitantes de esta dependencia. Desde ese día dejé de asistir a dicha dependencia por temor a volver a ser agredida, pero él continuó acosándome vía telefónica y procedió a difamarme dentro y fuera de la Universidad. Esta situación agresiva se prolongó durante seis meses, lo que me ocasionó graves problemas de salud, porque fueron vulnerados mis derechos como mujer y como persona de la tercera edad por este ciudadano antes mencionado.</w:t>
      </w:r>
    </w:p>
    <w:p w14:paraId="0A514998" w14:textId="14900A07" w:rsidR="0084138E" w:rsidRDefault="00140426" w:rsidP="00D10586">
      <w:pPr>
        <w:spacing w:after="160" w:line="259" w:lineRule="auto"/>
        <w:ind w:left="360"/>
        <w:jc w:val="both"/>
        <w:rPr>
          <w:rFonts w:ascii="Garamond" w:eastAsia="Calibri" w:hAnsi="Garamond" w:cs="Times New Roman"/>
          <w:sz w:val="24"/>
          <w:szCs w:val="24"/>
        </w:rPr>
      </w:pPr>
      <w:r w:rsidRPr="00140426">
        <w:rPr>
          <w:rFonts w:ascii="Garamond" w:eastAsia="Calibri" w:hAnsi="Garamond" w:cs="Times New Roman"/>
          <w:sz w:val="24"/>
          <w:szCs w:val="24"/>
        </w:rPr>
        <w:t xml:space="preserve">Debido a esa situación de salud, en compañía de la profesora </w:t>
      </w:r>
      <w:r w:rsidR="00AA6165">
        <w:rPr>
          <w:rFonts w:ascii="Garamond" w:eastAsia="Calibri" w:hAnsi="Garamond" w:cs="Times New Roman"/>
          <w:sz w:val="24"/>
          <w:szCs w:val="24"/>
        </w:rPr>
        <w:t>Ana Molina*</w:t>
      </w:r>
      <w:r w:rsidRPr="00140426">
        <w:rPr>
          <w:rFonts w:ascii="Garamond" w:eastAsia="Calibri" w:hAnsi="Garamond" w:cs="Times New Roman"/>
          <w:sz w:val="24"/>
          <w:szCs w:val="24"/>
        </w:rPr>
        <w:t xml:space="preserve"> acudí el día 14/03/2016 al Instituto de la Mujer de Mérida a denunciar el caso. Ese mismo día levantaron un acta en la Defensoría Nacional de los Derechos de la Mujer, según el artículo 15 de la Ley Orgánica sobre el Derecho de las Mujeres a una Vida Libre de Violencia y con el agravante del numeral 7 del artículo 68 de dicho texto legal al ser yo “una persona </w:t>
      </w:r>
      <w:r w:rsidRPr="00140426">
        <w:rPr>
          <w:rFonts w:ascii="Garamond" w:eastAsia="Calibri" w:hAnsi="Garamond" w:cs="Times New Roman"/>
          <w:sz w:val="24"/>
          <w:szCs w:val="24"/>
        </w:rPr>
        <w:lastRenderedPageBreak/>
        <w:t xml:space="preserve">especialmente vulnerable” por mi edad. El acta remitía mi caso a la Oficina de Atención a la Víctima de la Fiscalía Superior de Mérida con competencia en Violencia contra la Mujer. Sin embargo, en dicha Fiscalía, por previas manipulaciones de Meneses, no prestaron la debida atención a mi caso y se limitaron a recomendarme que si persistían las agresiones, lo denunciara ante la Prefectura o en la Universidad, lo que considero también una violencia institucional por parte de la Fiscalía al evadir su responsabilidad y dejar el caso impune, pues ninguna de las dos instituciones que me recomendaron son legalmente competentes para enjuiciar los delitos de violencia contra la mujer establecidos en la Ley». </w:t>
      </w:r>
    </w:p>
    <w:p w14:paraId="6B811007" w14:textId="77777777" w:rsidR="0084138E" w:rsidRPr="0084138E" w:rsidRDefault="00E95072" w:rsidP="0084138E">
      <w:pPr>
        <w:pStyle w:val="Prrafodelista"/>
        <w:numPr>
          <w:ilvl w:val="0"/>
          <w:numId w:val="18"/>
        </w:numPr>
        <w:spacing w:after="160" w:line="259" w:lineRule="auto"/>
        <w:jc w:val="both"/>
        <w:rPr>
          <w:rFonts w:ascii="Garamond" w:eastAsia="Calibri" w:hAnsi="Garamond" w:cs="Times New Roman"/>
          <w:b/>
          <w:sz w:val="24"/>
          <w:szCs w:val="24"/>
        </w:rPr>
      </w:pPr>
      <w:r w:rsidRPr="0084138E">
        <w:rPr>
          <w:rFonts w:ascii="Garamond" w:eastAsia="Calibri" w:hAnsi="Garamond" w:cs="Times New Roman"/>
          <w:b/>
          <w:sz w:val="24"/>
          <w:szCs w:val="24"/>
        </w:rPr>
        <w:t>Artículo 3</w:t>
      </w:r>
    </w:p>
    <w:p w14:paraId="22A7E5CC" w14:textId="5EDE6C46" w:rsidR="00171FBF" w:rsidRDefault="00A86D71" w:rsidP="00FC575C">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 xml:space="preserve">El Estado venezolano en su informe, específicamente los párrafos 44 y 45, señalan que cuenta con 120 </w:t>
      </w:r>
      <w:r w:rsidR="000063B5">
        <w:rPr>
          <w:rFonts w:ascii="Garamond" w:eastAsia="Calibri" w:hAnsi="Garamond" w:cs="Times New Roman"/>
          <w:sz w:val="24"/>
          <w:szCs w:val="24"/>
        </w:rPr>
        <w:t>F</w:t>
      </w:r>
      <w:r>
        <w:rPr>
          <w:rFonts w:ascii="Garamond" w:eastAsia="Calibri" w:hAnsi="Garamond" w:cs="Times New Roman"/>
          <w:sz w:val="24"/>
          <w:szCs w:val="24"/>
        </w:rPr>
        <w:t>iscalías especializadas en casos de violencia contra las mujeres, niñas, y adolescentes, a nivel nacional</w:t>
      </w:r>
      <w:r w:rsidR="0015030A">
        <w:rPr>
          <w:rFonts w:ascii="Garamond" w:eastAsia="Calibri" w:hAnsi="Garamond" w:cs="Times New Roman"/>
          <w:sz w:val="24"/>
          <w:szCs w:val="24"/>
        </w:rPr>
        <w:t>, 106 Tribunales y</w:t>
      </w:r>
      <w:r>
        <w:rPr>
          <w:rFonts w:ascii="Garamond" w:eastAsia="Calibri" w:hAnsi="Garamond" w:cs="Times New Roman"/>
          <w:sz w:val="24"/>
          <w:szCs w:val="24"/>
        </w:rPr>
        <w:t xml:space="preserve"> </w:t>
      </w:r>
      <w:r w:rsidR="0015030A">
        <w:rPr>
          <w:rFonts w:ascii="Garamond" w:eastAsia="Calibri" w:hAnsi="Garamond" w:cs="Times New Roman"/>
          <w:sz w:val="24"/>
          <w:szCs w:val="24"/>
        </w:rPr>
        <w:t>22 circuitos judiciales especializados en materia de delitos de VCM, en 19 estados.</w:t>
      </w:r>
      <w:r w:rsidR="00441651">
        <w:rPr>
          <w:rFonts w:ascii="Garamond" w:eastAsia="Calibri" w:hAnsi="Garamond" w:cs="Times New Roman"/>
          <w:sz w:val="24"/>
          <w:szCs w:val="24"/>
        </w:rPr>
        <w:t xml:space="preserve"> </w:t>
      </w:r>
      <w:r w:rsidR="00071B84">
        <w:rPr>
          <w:rFonts w:ascii="Garamond" w:eastAsia="Calibri" w:hAnsi="Garamond" w:cs="Times New Roman"/>
          <w:sz w:val="24"/>
          <w:szCs w:val="24"/>
        </w:rPr>
        <w:t>Sin embargo,</w:t>
      </w:r>
      <w:r w:rsidR="00FC575C">
        <w:rPr>
          <w:rFonts w:ascii="Garamond" w:eastAsia="Calibri" w:hAnsi="Garamond" w:cs="Times New Roman"/>
          <w:sz w:val="24"/>
          <w:szCs w:val="24"/>
        </w:rPr>
        <w:t xml:space="preserve"> </w:t>
      </w:r>
      <w:r w:rsidR="00171FBF" w:rsidRPr="00171FBF">
        <w:rPr>
          <w:rFonts w:ascii="Garamond" w:eastAsia="Calibri" w:hAnsi="Garamond" w:cs="Times New Roman"/>
          <w:sz w:val="24"/>
          <w:szCs w:val="24"/>
        </w:rPr>
        <w:t>Cepaz alertó que en el país no hay manera de obtener información exacta sobre la estructuración, organización, planif</w:t>
      </w:r>
      <w:r w:rsidR="00730D8E">
        <w:rPr>
          <w:rFonts w:ascii="Garamond" w:eastAsia="Calibri" w:hAnsi="Garamond" w:cs="Times New Roman"/>
          <w:sz w:val="24"/>
          <w:szCs w:val="24"/>
        </w:rPr>
        <w:t>icación, número y ubicación de Fiscalías y T</w:t>
      </w:r>
      <w:r w:rsidR="00171FBF" w:rsidRPr="00171FBF">
        <w:rPr>
          <w:rFonts w:ascii="Garamond" w:eastAsia="Calibri" w:hAnsi="Garamond" w:cs="Times New Roman"/>
          <w:sz w:val="24"/>
          <w:szCs w:val="24"/>
        </w:rPr>
        <w:t>ribunales</w:t>
      </w:r>
      <w:r w:rsidR="005B211D">
        <w:rPr>
          <w:rStyle w:val="Refdenotaalpie"/>
          <w:rFonts w:ascii="Garamond" w:eastAsia="Calibri" w:hAnsi="Garamond" w:cs="Times New Roman"/>
          <w:sz w:val="24"/>
          <w:szCs w:val="24"/>
        </w:rPr>
        <w:footnoteReference w:id="9"/>
      </w:r>
      <w:r w:rsidR="00171FBF" w:rsidRPr="00171FBF">
        <w:rPr>
          <w:rFonts w:ascii="Garamond" w:eastAsia="Calibri" w:hAnsi="Garamond" w:cs="Times New Roman"/>
          <w:sz w:val="24"/>
          <w:szCs w:val="24"/>
        </w:rPr>
        <w:t>.  Lo que más</w:t>
      </w:r>
      <w:r w:rsidR="00106D86">
        <w:rPr>
          <w:rFonts w:ascii="Garamond" w:eastAsia="Calibri" w:hAnsi="Garamond" w:cs="Times New Roman"/>
          <w:sz w:val="24"/>
          <w:szCs w:val="24"/>
        </w:rPr>
        <w:t xml:space="preserve"> se acerca son los listados de F</w:t>
      </w:r>
      <w:r w:rsidR="00171FBF" w:rsidRPr="00171FBF">
        <w:rPr>
          <w:rFonts w:ascii="Garamond" w:eastAsia="Calibri" w:hAnsi="Garamond" w:cs="Times New Roman"/>
          <w:sz w:val="24"/>
          <w:szCs w:val="24"/>
        </w:rPr>
        <w:t>iscalías que emite y publica en su portal web el Ministerio Público. A pesar de ello, muchas de estas oficinas son movilizadas y la actualización de la existencia de estos despachos no está al día. Lo mismo sucede con los listados oficiales para la ubicación de Tribunales de la jurisdicción especial de violencia.</w:t>
      </w:r>
    </w:p>
    <w:p w14:paraId="1E279648" w14:textId="77777777" w:rsidR="00BA43B4" w:rsidRDefault="00DA198F" w:rsidP="00DA198F">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El Estado en su parráfo 43 mencionó que en cuanto a la</w:t>
      </w:r>
      <w:r w:rsidR="00BA43B4" w:rsidRPr="00BA43B4">
        <w:rPr>
          <w:rFonts w:ascii="Garamond" w:eastAsia="Calibri" w:hAnsi="Garamond" w:cs="Times New Roman"/>
          <w:sz w:val="24"/>
          <w:szCs w:val="24"/>
        </w:rPr>
        <w:t xml:space="preserve"> prevención, investigación, procesamiento y sanción de los actos de </w:t>
      </w:r>
      <w:r w:rsidR="002A32A3">
        <w:rPr>
          <w:rFonts w:ascii="Garamond" w:eastAsia="Calibri" w:hAnsi="Garamond" w:cs="Times New Roman"/>
          <w:sz w:val="24"/>
          <w:szCs w:val="24"/>
        </w:rPr>
        <w:t>VCM</w:t>
      </w:r>
      <w:r w:rsidR="00BA43B4" w:rsidRPr="00BA43B4">
        <w:rPr>
          <w:rFonts w:ascii="Garamond" w:eastAsia="Calibri" w:hAnsi="Garamond" w:cs="Times New Roman"/>
          <w:sz w:val="24"/>
          <w:szCs w:val="24"/>
        </w:rPr>
        <w:t>, en el año 2014 la Asamblea Nacional (AN) sancionó la Reforma de la Ley Orgánica sobre el Derecho de las Mujere</w:t>
      </w:r>
      <w:r w:rsidR="00141B0C">
        <w:rPr>
          <w:rFonts w:ascii="Garamond" w:eastAsia="Calibri" w:hAnsi="Garamond" w:cs="Times New Roman"/>
          <w:sz w:val="24"/>
          <w:szCs w:val="24"/>
        </w:rPr>
        <w:t>s a una Vida Libre de Violencia</w:t>
      </w:r>
      <w:r w:rsidR="00BA43B4" w:rsidRPr="00BA43B4">
        <w:rPr>
          <w:rFonts w:ascii="Garamond" w:eastAsia="Calibri" w:hAnsi="Garamond" w:cs="Times New Roman"/>
          <w:sz w:val="24"/>
          <w:szCs w:val="24"/>
        </w:rPr>
        <w:t>, incorporando en su contenido el femicidio y la inducción al suicidio como nuevos tipos penales, con lo cual se establece un total de 21 formas de violencia contra las mujeres (artículos 14, 15, 57, 58 y 59).</w:t>
      </w:r>
      <w:r w:rsidR="000977C7">
        <w:rPr>
          <w:rFonts w:ascii="Garamond" w:eastAsia="Calibri" w:hAnsi="Garamond" w:cs="Times New Roman"/>
          <w:sz w:val="24"/>
          <w:szCs w:val="24"/>
        </w:rPr>
        <w:t xml:space="preserve"> </w:t>
      </w:r>
    </w:p>
    <w:p w14:paraId="6FBD1375" w14:textId="23B7C2AE" w:rsidR="00685C59" w:rsidRDefault="000977C7" w:rsidP="00685C59">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Sumado a ello, se realizó una nueva Reforma sobre la misma a inicios de 2022. Sin embargo, sigue siendo insuficiente, ya que el Estado no cumple con su responsabilidad a través de acciones y programas constantes para ello.</w:t>
      </w:r>
      <w:r w:rsidR="00E94469">
        <w:rPr>
          <w:rFonts w:ascii="Garamond" w:eastAsia="Calibri" w:hAnsi="Garamond" w:cs="Times New Roman"/>
          <w:sz w:val="24"/>
          <w:szCs w:val="24"/>
        </w:rPr>
        <w:t xml:space="preserve"> Las disposiciones siguen sin cumplir las recomendaciones sobre la responsabilidad de</w:t>
      </w:r>
      <w:r w:rsidR="00156796">
        <w:rPr>
          <w:rFonts w:ascii="Garamond" w:eastAsia="Calibri" w:hAnsi="Garamond" w:cs="Times New Roman"/>
          <w:sz w:val="24"/>
          <w:szCs w:val="24"/>
        </w:rPr>
        <w:t>l Estado ante la violencia de gé</w:t>
      </w:r>
      <w:r w:rsidR="00E94469">
        <w:rPr>
          <w:rFonts w:ascii="Garamond" w:eastAsia="Calibri" w:hAnsi="Garamond" w:cs="Times New Roman"/>
          <w:sz w:val="24"/>
          <w:szCs w:val="24"/>
        </w:rPr>
        <w:t>nero y hacer que se cumplan de forma efectiva.</w:t>
      </w:r>
    </w:p>
    <w:p w14:paraId="43A05E66" w14:textId="02A436CC" w:rsidR="003C4AB8" w:rsidRDefault="00685C59" w:rsidP="003C4AB8">
      <w:pPr>
        <w:spacing w:after="160" w:line="259" w:lineRule="auto"/>
        <w:ind w:left="360"/>
        <w:jc w:val="both"/>
        <w:rPr>
          <w:rFonts w:ascii="Garamond" w:eastAsia="Times New Roman" w:hAnsi="Garamond" w:cs="Times New Roman"/>
          <w:color w:val="000000"/>
          <w:sz w:val="24"/>
          <w:szCs w:val="24"/>
          <w:lang w:eastAsia="es-VE"/>
        </w:rPr>
      </w:pPr>
      <w:r>
        <w:rPr>
          <w:rFonts w:ascii="Garamond" w:eastAsia="Calibri" w:hAnsi="Garamond" w:cs="Times New Roman"/>
          <w:sz w:val="24"/>
          <w:szCs w:val="24"/>
        </w:rPr>
        <w:t xml:space="preserve">Incluso, </w:t>
      </w:r>
      <w:r w:rsidR="008D33E6" w:rsidRPr="00395E47">
        <w:rPr>
          <w:rFonts w:ascii="Garamond" w:eastAsia="Times New Roman" w:hAnsi="Garamond" w:cs="Times New Roman"/>
          <w:color w:val="000000"/>
          <w:sz w:val="24"/>
          <w:szCs w:val="24"/>
          <w:lang w:eastAsia="es-VE"/>
        </w:rPr>
        <w:t xml:space="preserve">Fundación Vida Jurídica indicó que la </w:t>
      </w:r>
      <w:r>
        <w:rPr>
          <w:rFonts w:ascii="Garamond" w:eastAsia="Times New Roman" w:hAnsi="Garamond" w:cs="Times New Roman"/>
          <w:color w:val="000000"/>
          <w:sz w:val="24"/>
          <w:szCs w:val="24"/>
          <w:lang w:eastAsia="es-VE"/>
        </w:rPr>
        <w:t xml:space="preserve">última </w:t>
      </w:r>
      <w:r w:rsidR="008D33E6" w:rsidRPr="00395E47">
        <w:rPr>
          <w:rFonts w:ascii="Garamond" w:eastAsia="Times New Roman" w:hAnsi="Garamond" w:cs="Times New Roman"/>
          <w:color w:val="000000"/>
          <w:sz w:val="24"/>
          <w:szCs w:val="24"/>
          <w:lang w:eastAsia="es-VE"/>
        </w:rPr>
        <w:t>Reforma eliminó la mención expresa a la Convención de Belém do Pará, siendo este tratado parte de la protección fundamental ante el desarrollo jurisprudencial y representando regresividad en los derechos de las mujeres.</w:t>
      </w:r>
      <w:r>
        <w:rPr>
          <w:rFonts w:ascii="Garamond" w:eastAsia="Times New Roman" w:hAnsi="Garamond" w:cs="Times New Roman"/>
          <w:color w:val="000000"/>
          <w:sz w:val="24"/>
          <w:szCs w:val="24"/>
          <w:lang w:eastAsia="es-VE"/>
        </w:rPr>
        <w:t xml:space="preserve"> Esto, se traduce al incumplimiento por parte del Estado en el respeto y acceso a los derechos humanos, </w:t>
      </w:r>
      <w:r w:rsidR="002B7057">
        <w:rPr>
          <w:rFonts w:ascii="Garamond" w:eastAsia="Times New Roman" w:hAnsi="Garamond" w:cs="Times New Roman"/>
          <w:color w:val="000000"/>
          <w:sz w:val="24"/>
          <w:szCs w:val="24"/>
          <w:lang w:eastAsia="es-VE"/>
        </w:rPr>
        <w:t>con la intención de continuar</w:t>
      </w:r>
      <w:r w:rsidR="00803A76">
        <w:rPr>
          <w:rFonts w:ascii="Garamond" w:eastAsia="Times New Roman" w:hAnsi="Garamond" w:cs="Times New Roman"/>
          <w:color w:val="000000"/>
          <w:sz w:val="24"/>
          <w:szCs w:val="24"/>
          <w:lang w:eastAsia="es-VE"/>
        </w:rPr>
        <w:t xml:space="preserve"> el desconocimiento </w:t>
      </w:r>
      <w:r w:rsidR="005B3033">
        <w:rPr>
          <w:rFonts w:ascii="Garamond" w:eastAsia="Times New Roman" w:hAnsi="Garamond" w:cs="Times New Roman"/>
          <w:color w:val="000000"/>
          <w:sz w:val="24"/>
          <w:szCs w:val="24"/>
          <w:lang w:eastAsia="es-VE"/>
        </w:rPr>
        <w:t>d</w:t>
      </w:r>
      <w:r>
        <w:rPr>
          <w:rFonts w:ascii="Garamond" w:eastAsia="Times New Roman" w:hAnsi="Garamond" w:cs="Times New Roman"/>
          <w:color w:val="000000"/>
          <w:sz w:val="24"/>
          <w:szCs w:val="24"/>
          <w:lang w:eastAsia="es-VE"/>
        </w:rPr>
        <w:t>el sistema interamericano.</w:t>
      </w:r>
    </w:p>
    <w:p w14:paraId="7A52424C" w14:textId="77777777" w:rsidR="003A35C7" w:rsidRPr="00333C53" w:rsidRDefault="003C4AB8" w:rsidP="003A35C7">
      <w:pPr>
        <w:spacing w:after="160" w:line="259" w:lineRule="auto"/>
        <w:ind w:left="360"/>
        <w:jc w:val="both"/>
        <w:rPr>
          <w:rFonts w:ascii="Garamond" w:eastAsia="Calibri" w:hAnsi="Garamond" w:cs="Times New Roman"/>
          <w:sz w:val="24"/>
          <w:szCs w:val="24"/>
        </w:rPr>
      </w:pPr>
      <w:r w:rsidRPr="00333C53">
        <w:rPr>
          <w:rFonts w:ascii="Garamond" w:eastAsia="Calibri" w:hAnsi="Garamond" w:cs="Times New Roman"/>
          <w:sz w:val="24"/>
          <w:szCs w:val="24"/>
        </w:rPr>
        <w:lastRenderedPageBreak/>
        <w:t>Comisión ULA Mujer señaló que el Estado continúa sin reconocer su responsabilidad en las muertes violentas de las mujeres, es decir, los femicidios, la violencia vicaria y la desaparición.</w:t>
      </w:r>
    </w:p>
    <w:p w14:paraId="3D1FC5C8" w14:textId="77777777" w:rsidR="00192C09" w:rsidRDefault="00192C09" w:rsidP="002319E4">
      <w:pPr>
        <w:spacing w:after="160" w:line="259" w:lineRule="auto"/>
        <w:ind w:left="360"/>
        <w:jc w:val="both"/>
        <w:rPr>
          <w:rFonts w:ascii="Garamond" w:eastAsia="Times New Roman" w:hAnsi="Garamond" w:cs="Times New Roman"/>
          <w:color w:val="000000"/>
          <w:sz w:val="24"/>
          <w:szCs w:val="24"/>
          <w:lang w:eastAsia="es-VE"/>
        </w:rPr>
      </w:pPr>
      <w:r w:rsidRPr="00192C09">
        <w:rPr>
          <w:rFonts w:ascii="Garamond" w:eastAsia="Times New Roman" w:hAnsi="Garamond" w:cs="Times New Roman"/>
          <w:color w:val="000000"/>
          <w:sz w:val="24"/>
          <w:szCs w:val="24"/>
          <w:lang w:eastAsia="es-VE"/>
        </w:rPr>
        <w:t xml:space="preserve">En cuanto a las desapariciones, a pesar de la Recomendación General N° 2 del MESECVI (2018), Éxodo señaló que no se encuentran tipificadas las desapariciones de niñas, adolescentes y mujeres, afectándose a las víctimas y familiares, al no existir  ni contar con protocolos institucionales especializados para la búsqueda y rescate, así como la investigación, judicialización, profundizando la </w:t>
      </w:r>
      <w:proofErr w:type="spellStart"/>
      <w:r w:rsidRPr="00192C09">
        <w:rPr>
          <w:rFonts w:ascii="Garamond" w:eastAsia="Times New Roman" w:hAnsi="Garamond" w:cs="Times New Roman"/>
          <w:color w:val="000000"/>
          <w:sz w:val="24"/>
          <w:szCs w:val="24"/>
          <w:lang w:eastAsia="es-VE"/>
        </w:rPr>
        <w:t>revictimización</w:t>
      </w:r>
      <w:proofErr w:type="spellEnd"/>
      <w:r w:rsidRPr="00192C09">
        <w:rPr>
          <w:rFonts w:ascii="Garamond" w:eastAsia="Times New Roman" w:hAnsi="Garamond" w:cs="Times New Roman"/>
          <w:color w:val="000000"/>
          <w:sz w:val="24"/>
          <w:szCs w:val="24"/>
          <w:lang w:eastAsia="es-VE"/>
        </w:rPr>
        <w:t xml:space="preserve"> y exponiéndolas a otras formas de violencia basadas en género, tan aberrantes como la trata, explotación sexual, esclavitud sexual, </w:t>
      </w:r>
      <w:proofErr w:type="spellStart"/>
      <w:r w:rsidRPr="00192C09">
        <w:rPr>
          <w:rFonts w:ascii="Garamond" w:eastAsia="Times New Roman" w:hAnsi="Garamond" w:cs="Times New Roman"/>
          <w:color w:val="000000"/>
          <w:sz w:val="24"/>
          <w:szCs w:val="24"/>
          <w:lang w:eastAsia="es-VE"/>
        </w:rPr>
        <w:t>femicidio</w:t>
      </w:r>
      <w:proofErr w:type="spellEnd"/>
      <w:r w:rsidRPr="00192C09">
        <w:rPr>
          <w:rFonts w:ascii="Garamond" w:eastAsia="Times New Roman" w:hAnsi="Garamond" w:cs="Times New Roman"/>
          <w:color w:val="000000"/>
          <w:sz w:val="24"/>
          <w:szCs w:val="24"/>
          <w:lang w:eastAsia="es-VE"/>
        </w:rPr>
        <w:t>, al exigir sin justificación legal el plazo de 72 horas para recibir la denuncia e iniciar la búsqueda.</w:t>
      </w:r>
    </w:p>
    <w:p w14:paraId="13E77373" w14:textId="06F366DF" w:rsidR="002319E4" w:rsidRDefault="008D33E6" w:rsidP="002319E4">
      <w:pPr>
        <w:spacing w:after="160" w:line="259" w:lineRule="auto"/>
        <w:ind w:left="360"/>
        <w:jc w:val="both"/>
        <w:rPr>
          <w:rFonts w:ascii="Garamond" w:eastAsia="Times New Roman" w:hAnsi="Garamond" w:cs="Times New Roman"/>
          <w:color w:val="000000"/>
          <w:sz w:val="24"/>
          <w:szCs w:val="24"/>
          <w:lang w:eastAsia="es-VE"/>
        </w:rPr>
      </w:pPr>
      <w:proofErr w:type="spellStart"/>
      <w:r w:rsidRPr="00395E47">
        <w:rPr>
          <w:rFonts w:ascii="Garamond" w:eastAsia="Times New Roman" w:hAnsi="Garamond" w:cs="Times New Roman"/>
          <w:color w:val="000000"/>
          <w:sz w:val="24"/>
          <w:szCs w:val="24"/>
          <w:lang w:eastAsia="es-VE"/>
        </w:rPr>
        <w:t>Fundamujer</w:t>
      </w:r>
      <w:proofErr w:type="spellEnd"/>
      <w:r w:rsidRPr="00395E47">
        <w:rPr>
          <w:rFonts w:ascii="Garamond" w:eastAsia="Times New Roman" w:hAnsi="Garamond" w:cs="Times New Roman"/>
          <w:color w:val="000000"/>
          <w:sz w:val="24"/>
          <w:szCs w:val="24"/>
          <w:lang w:eastAsia="es-VE"/>
        </w:rPr>
        <w:t xml:space="preserve"> denunció que a pesar de las Reformas de la nueva ley, las mujeres maltratadas han denunciado que continúan experimentando obstáculos y siguen aplicándose procesos de mediación y conciliación, los cuales no se ajustan a la realidad de los Ciclos de Violencia contra las Mujeres.</w:t>
      </w:r>
    </w:p>
    <w:p w14:paraId="3144BDF9" w14:textId="77777777" w:rsidR="002319E4" w:rsidRDefault="008D33E6" w:rsidP="002319E4">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Usuarias del servicio de atención psicolegal de la alianza Fundamujer, Cepaz y CEM-UCV</w:t>
      </w:r>
      <w:r w:rsidRPr="00395E47">
        <w:rPr>
          <w:rFonts w:ascii="Garamond" w:eastAsia="Times New Roman" w:hAnsi="Garamond" w:cs="Times New Roman"/>
          <w:color w:val="000000"/>
          <w:sz w:val="24"/>
          <w:szCs w:val="24"/>
          <w:vertAlign w:val="superscript"/>
          <w:lang w:eastAsia="es-VE"/>
        </w:rPr>
        <w:footnoteReference w:id="10"/>
      </w:r>
      <w:r w:rsidRPr="00395E47">
        <w:rPr>
          <w:rFonts w:ascii="Garamond" w:eastAsia="Times New Roman" w:hAnsi="Garamond" w:cs="Times New Roman"/>
          <w:color w:val="000000"/>
          <w:sz w:val="24"/>
          <w:szCs w:val="24"/>
          <w:lang w:eastAsia="es-VE"/>
        </w:rPr>
        <w:t xml:space="preserve"> han compartido sus experiencias en los procesos de mediación y conciliación, expresando que funcionarios les indicaron que realizaran acuerdos con el agresor para no ser violentadas e incluso, insistiendo en el convencimiento de la víctima en la necesidad de conciliar para que no la agredan más.</w:t>
      </w:r>
    </w:p>
    <w:p w14:paraId="3538BFF7" w14:textId="77777777" w:rsidR="002319E4" w:rsidRDefault="008D33E6" w:rsidP="002319E4">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 xml:space="preserve">Sin embargo, el Artículo 13 de la Reforma realizada prohíbe la mediación y conciliación, exclusivamente en casos de violación o amenaza al derecho a la vida e integridad física. A pesar de ello, los funcionarios siguen aplicando la mediación al margen de esta norma. Al final, resulta confuso el Artículo, pudiendo llegar a ser en la práctica un “muro” para la protección y acceso a atención </w:t>
      </w:r>
      <w:r w:rsidR="002319E4">
        <w:rPr>
          <w:rFonts w:ascii="Garamond" w:eastAsia="Times New Roman" w:hAnsi="Garamond" w:cs="Times New Roman"/>
          <w:color w:val="000000"/>
          <w:sz w:val="24"/>
          <w:szCs w:val="24"/>
          <w:lang w:eastAsia="es-VE"/>
        </w:rPr>
        <w:t>legal de la mujer y su familia.</w:t>
      </w:r>
    </w:p>
    <w:p w14:paraId="5D293DA5" w14:textId="77777777" w:rsidR="0057348E" w:rsidRDefault="008D33E6" w:rsidP="0057348E">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 xml:space="preserve">Lo que si se deja claro en la Reforma es que quien recibe la denuncia, debe imponer las medidas de protección y seguridad, de forma obligatoria. </w:t>
      </w:r>
    </w:p>
    <w:p w14:paraId="122ED7C2" w14:textId="77777777" w:rsidR="0057348E" w:rsidRDefault="008D33E6" w:rsidP="0057348E">
      <w:pPr>
        <w:spacing w:after="160" w:line="259" w:lineRule="auto"/>
        <w:ind w:left="360"/>
        <w:jc w:val="both"/>
        <w:rPr>
          <w:rFonts w:ascii="Garamond" w:eastAsia="Times New Roman" w:hAnsi="Garamond" w:cs="Times New Roman"/>
          <w:color w:val="000000"/>
          <w:sz w:val="24"/>
          <w:szCs w:val="24"/>
          <w:lang w:eastAsia="es-VE"/>
        </w:rPr>
      </w:pPr>
      <w:r w:rsidRPr="00A8636A">
        <w:rPr>
          <w:rFonts w:ascii="Garamond" w:eastAsia="Times New Roman" w:hAnsi="Garamond" w:cs="Times New Roman"/>
          <w:color w:val="000000"/>
          <w:sz w:val="24"/>
          <w:szCs w:val="24"/>
          <w:lang w:eastAsia="es-VE"/>
        </w:rPr>
        <w:t xml:space="preserve">El Art. 24 señala la clasificación de programas y menciona las Casas de Abrigo en caso de existencia de peligro inminente o amenaza a su integridad física o la vida. Sin embargo, se desconoce la existencia de diseños de tales centros y protocolos, que aclaren criterios para el peligro o amenaza, así como también la comprensión sobre la diferenciación </w:t>
      </w:r>
      <w:r w:rsidR="0057348E" w:rsidRPr="00A8636A">
        <w:rPr>
          <w:rFonts w:ascii="Garamond" w:eastAsia="Times New Roman" w:hAnsi="Garamond" w:cs="Times New Roman"/>
          <w:color w:val="000000"/>
          <w:sz w:val="24"/>
          <w:szCs w:val="24"/>
          <w:lang w:eastAsia="es-VE"/>
        </w:rPr>
        <w:t>entre integridad física y vida.</w:t>
      </w:r>
    </w:p>
    <w:p w14:paraId="2A17E7C6" w14:textId="4DD0A6FA" w:rsidR="0057348E" w:rsidRDefault="008D33E6" w:rsidP="0057348E">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 xml:space="preserve">Además, Cepaz </w:t>
      </w:r>
      <w:r w:rsidR="00E5346B">
        <w:rPr>
          <w:rFonts w:ascii="Garamond" w:eastAsia="Times New Roman" w:hAnsi="Garamond" w:cs="Times New Roman"/>
          <w:color w:val="000000"/>
          <w:sz w:val="24"/>
          <w:szCs w:val="24"/>
          <w:lang w:eastAsia="es-VE"/>
        </w:rPr>
        <w:t>denunció que en el caso de las Casas de A</w:t>
      </w:r>
      <w:r w:rsidRPr="00395E47">
        <w:rPr>
          <w:rFonts w:ascii="Garamond" w:eastAsia="Times New Roman" w:hAnsi="Garamond" w:cs="Times New Roman"/>
          <w:color w:val="000000"/>
          <w:sz w:val="24"/>
          <w:szCs w:val="24"/>
          <w:lang w:eastAsia="es-VE"/>
        </w:rPr>
        <w:t>brigo, se presenta una contradicción normativa. El artículo 106 (ordinal 2), que desarrolla las medidas de protección y seguridad, le oto</w:t>
      </w:r>
      <w:r w:rsidR="000F214C">
        <w:rPr>
          <w:rFonts w:ascii="Garamond" w:eastAsia="Times New Roman" w:hAnsi="Garamond" w:cs="Times New Roman"/>
          <w:color w:val="000000"/>
          <w:sz w:val="24"/>
          <w:szCs w:val="24"/>
          <w:lang w:eastAsia="es-VE"/>
        </w:rPr>
        <w:t>rga un carácter temporal a las Casas de A</w:t>
      </w:r>
      <w:r w:rsidRPr="00395E47">
        <w:rPr>
          <w:rFonts w:ascii="Garamond" w:eastAsia="Times New Roman" w:hAnsi="Garamond" w:cs="Times New Roman"/>
          <w:color w:val="000000"/>
          <w:sz w:val="24"/>
          <w:szCs w:val="24"/>
          <w:lang w:eastAsia="es-VE"/>
        </w:rPr>
        <w:t>brigo, mientras que el artículo 37, que desarrolla esta medida en particular, no hace referencia</w:t>
      </w:r>
      <w:r w:rsidR="0057348E">
        <w:rPr>
          <w:rFonts w:ascii="Garamond" w:eastAsia="Times New Roman" w:hAnsi="Garamond" w:cs="Times New Roman"/>
          <w:color w:val="000000"/>
          <w:sz w:val="24"/>
          <w:szCs w:val="24"/>
          <w:lang w:eastAsia="es-VE"/>
        </w:rPr>
        <w:t xml:space="preserve"> a la temporalidad de la misma.</w:t>
      </w:r>
    </w:p>
    <w:p w14:paraId="7223568B" w14:textId="5725A0F3"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lastRenderedPageBreak/>
        <w:t>En caso de que efectivamente se incorp</w:t>
      </w:r>
      <w:r w:rsidR="00DF1CB0">
        <w:rPr>
          <w:rFonts w:ascii="Garamond" w:eastAsia="Times New Roman" w:hAnsi="Garamond" w:cs="Times New Roman"/>
          <w:color w:val="000000"/>
          <w:sz w:val="24"/>
          <w:szCs w:val="24"/>
          <w:lang w:eastAsia="es-VE"/>
        </w:rPr>
        <w:t>ore el carácter temporal a las Casas de A</w:t>
      </w:r>
      <w:r w:rsidRPr="00395E47">
        <w:rPr>
          <w:rFonts w:ascii="Garamond" w:eastAsia="Times New Roman" w:hAnsi="Garamond" w:cs="Times New Roman"/>
          <w:color w:val="000000"/>
          <w:sz w:val="24"/>
          <w:szCs w:val="24"/>
          <w:lang w:eastAsia="es-VE"/>
        </w:rPr>
        <w:t>brigo, significaría un retroceso muy grave de la ley, ya que desvirtuaría el objeto principal de esta medida que es brindar protección y apoyo a las mujeres víctimas que no tienen una red familiar o de amistades que la acojan junto a sus hijas e hijos, o que por el peligro real para su vida deben ir a lugares donde se les brinde protección especializada. El carácter temporal de la medida dejaría en riesgo a las mujeres víctimas una vez vencido el plazo de estadía en el lugar de acogida</w:t>
      </w:r>
      <w:r w:rsidRPr="00395E47">
        <w:rPr>
          <w:rFonts w:ascii="Garamond" w:eastAsia="Times New Roman" w:hAnsi="Garamond" w:cs="Times New Roman"/>
          <w:color w:val="000000"/>
          <w:sz w:val="24"/>
          <w:szCs w:val="24"/>
          <w:vertAlign w:val="superscript"/>
          <w:lang w:eastAsia="es-VE"/>
        </w:rPr>
        <w:footnoteReference w:id="11"/>
      </w:r>
      <w:r w:rsidR="00BC18D8">
        <w:rPr>
          <w:rFonts w:ascii="Garamond" w:eastAsia="Times New Roman" w:hAnsi="Garamond" w:cs="Times New Roman"/>
          <w:color w:val="000000"/>
          <w:sz w:val="24"/>
          <w:szCs w:val="24"/>
          <w:lang w:eastAsia="es-VE"/>
        </w:rPr>
        <w:t xml:space="preserve">. </w:t>
      </w:r>
    </w:p>
    <w:p w14:paraId="50BBF480" w14:textId="77777777"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En cuanto a las defensoras comunales que señala el Art. 38, amerita un diseño muy riguroso, siendo además, un reflejo sobre el Estado Comunal instalado en el país. La corresponsabilidad del Poder Popular que indica el Art. 39, incluye necesidad de fondo, así como la participación de las ONG, a pesar que n</w:t>
      </w:r>
      <w:r w:rsidR="00BC18D8">
        <w:rPr>
          <w:rFonts w:ascii="Garamond" w:eastAsia="Times New Roman" w:hAnsi="Garamond" w:cs="Times New Roman"/>
          <w:color w:val="000000"/>
          <w:sz w:val="24"/>
          <w:szCs w:val="24"/>
          <w:lang w:eastAsia="es-VE"/>
        </w:rPr>
        <w:t>o señala el alcance ni el cómo.</w:t>
      </w:r>
    </w:p>
    <w:p w14:paraId="559FC2D1" w14:textId="77777777"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El Estado Comunal y el Poder Popular parecen sustituir las instancias actuales, demostrando su inoperanc</w:t>
      </w:r>
      <w:r w:rsidR="00BC18D8">
        <w:rPr>
          <w:rFonts w:ascii="Garamond" w:eastAsia="Times New Roman" w:hAnsi="Garamond" w:cs="Times New Roman"/>
          <w:color w:val="000000"/>
          <w:sz w:val="24"/>
          <w:szCs w:val="24"/>
          <w:lang w:eastAsia="es-VE"/>
        </w:rPr>
        <w:t xml:space="preserve">ia y creando mayor burocracia. </w:t>
      </w:r>
    </w:p>
    <w:p w14:paraId="6D01B07A" w14:textId="77777777"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El Artículo 42 del capítulo 5 menciona la integración de la Comisión Nacional para garantizar el derecho de las mujeres a una vida libre de violencia, incluyendo a las ONG. Sin embargo, hasta los momentos no se tiene información sobre su conformación y a su vez, la creación de las organizaciones gubernamentales por el gobierno actual es una realidad, para que de esta manera, sean in</w:t>
      </w:r>
      <w:r w:rsidR="00BC18D8">
        <w:rPr>
          <w:rFonts w:ascii="Garamond" w:eastAsia="Times New Roman" w:hAnsi="Garamond" w:cs="Times New Roman"/>
          <w:color w:val="000000"/>
          <w:sz w:val="24"/>
          <w:szCs w:val="24"/>
          <w:lang w:eastAsia="es-VE"/>
        </w:rPr>
        <w:t>cluidas en los informes de ONU.</w:t>
      </w:r>
    </w:p>
    <w:p w14:paraId="74DC2F61" w14:textId="77777777"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Además, el Art. 43 indica las atribuciones de dicha Comisión y surge la interrogante de si la creación de la figura sustituye el Instituto Nacional de la Mujer (Inamujer). De igual forma, la Reforma expresa la creación de un nuevo protocolo para garantizar el derecho de atención a víctimas de violencia que implementarán los ORD, quienes actualmente son los que las re</w:t>
      </w:r>
      <w:r w:rsidR="00BC18D8">
        <w:rPr>
          <w:rFonts w:ascii="Garamond" w:eastAsia="Times New Roman" w:hAnsi="Garamond" w:cs="Times New Roman"/>
          <w:color w:val="000000"/>
          <w:sz w:val="24"/>
          <w:szCs w:val="24"/>
          <w:lang w:eastAsia="es-VE"/>
        </w:rPr>
        <w:t xml:space="preserve">chazan y promueven obstáculos. </w:t>
      </w:r>
    </w:p>
    <w:p w14:paraId="3E128E34" w14:textId="76398105" w:rsidR="00BC18D8" w:rsidRDefault="008D33E6" w:rsidP="00BC18D8">
      <w:pPr>
        <w:spacing w:after="160" w:line="259" w:lineRule="auto"/>
        <w:ind w:left="360"/>
        <w:jc w:val="both"/>
        <w:rPr>
          <w:rFonts w:ascii="Garamond" w:eastAsia="Times New Roman" w:hAnsi="Garamond" w:cs="Times New Roman"/>
          <w:color w:val="000000"/>
          <w:sz w:val="24"/>
          <w:szCs w:val="24"/>
          <w:lang w:eastAsia="es-VE"/>
        </w:rPr>
      </w:pPr>
      <w:r w:rsidRPr="006507E6">
        <w:rPr>
          <w:rFonts w:ascii="Garamond" w:eastAsia="Times New Roman" w:hAnsi="Garamond" w:cs="Times New Roman"/>
          <w:color w:val="000000"/>
          <w:sz w:val="24"/>
          <w:szCs w:val="24"/>
          <w:lang w:eastAsia="es-VE"/>
        </w:rPr>
        <w:t xml:space="preserve">A pesar de ello, existen dos aspectos importantes: la insistencia en la formación de funcionarios y funcionarias en DDHH </w:t>
      </w:r>
      <w:r w:rsidR="00DA7CC3" w:rsidRPr="006507E6">
        <w:rPr>
          <w:rFonts w:ascii="Garamond" w:eastAsia="Times New Roman" w:hAnsi="Garamond" w:cs="Times New Roman"/>
          <w:color w:val="000000"/>
          <w:sz w:val="24"/>
          <w:szCs w:val="24"/>
          <w:lang w:eastAsia="es-VE"/>
        </w:rPr>
        <w:t xml:space="preserve"> y perspectiva de g</w:t>
      </w:r>
      <w:r w:rsidR="00172696" w:rsidRPr="006507E6">
        <w:rPr>
          <w:rFonts w:ascii="Garamond" w:eastAsia="Times New Roman" w:hAnsi="Garamond" w:cs="Times New Roman"/>
          <w:color w:val="000000"/>
          <w:sz w:val="24"/>
          <w:szCs w:val="24"/>
          <w:lang w:eastAsia="es-VE"/>
        </w:rPr>
        <w:t>é</w:t>
      </w:r>
      <w:r w:rsidR="00DA7CC3" w:rsidRPr="006507E6">
        <w:rPr>
          <w:rFonts w:ascii="Garamond" w:eastAsia="Times New Roman" w:hAnsi="Garamond" w:cs="Times New Roman"/>
          <w:color w:val="000000"/>
          <w:sz w:val="24"/>
          <w:szCs w:val="24"/>
          <w:lang w:eastAsia="es-VE"/>
        </w:rPr>
        <w:t xml:space="preserve">nero </w:t>
      </w:r>
      <w:r w:rsidRPr="006507E6">
        <w:rPr>
          <w:rFonts w:ascii="Garamond" w:eastAsia="Times New Roman" w:hAnsi="Garamond" w:cs="Times New Roman"/>
          <w:color w:val="000000"/>
          <w:sz w:val="24"/>
          <w:szCs w:val="24"/>
          <w:lang w:eastAsia="es-VE"/>
        </w:rPr>
        <w:t>y</w:t>
      </w:r>
      <w:r w:rsidR="00DA7CC3" w:rsidRPr="006507E6">
        <w:rPr>
          <w:rFonts w:ascii="Garamond" w:eastAsia="Times New Roman" w:hAnsi="Garamond" w:cs="Times New Roman"/>
          <w:color w:val="000000"/>
          <w:sz w:val="24"/>
          <w:szCs w:val="24"/>
          <w:lang w:eastAsia="es-VE"/>
        </w:rPr>
        <w:t xml:space="preserve"> </w:t>
      </w:r>
      <w:r w:rsidRPr="006507E6">
        <w:rPr>
          <w:rFonts w:ascii="Garamond" w:eastAsia="Times New Roman" w:hAnsi="Garamond" w:cs="Times New Roman"/>
          <w:color w:val="000000"/>
          <w:sz w:val="24"/>
          <w:szCs w:val="24"/>
          <w:lang w:eastAsia="es-VE"/>
        </w:rPr>
        <w:t xml:space="preserve"> la prohibición de una práctica común, la cual es la entrega de las notificacion</w:t>
      </w:r>
      <w:r w:rsidR="00BC18D8" w:rsidRPr="006507E6">
        <w:rPr>
          <w:rFonts w:ascii="Garamond" w:eastAsia="Times New Roman" w:hAnsi="Garamond" w:cs="Times New Roman"/>
          <w:color w:val="000000"/>
          <w:sz w:val="24"/>
          <w:szCs w:val="24"/>
          <w:lang w:eastAsia="es-VE"/>
        </w:rPr>
        <w:t>es y citaciones a las víctimas</w:t>
      </w:r>
      <w:r w:rsidR="006507E6">
        <w:rPr>
          <w:rFonts w:ascii="Garamond" w:eastAsia="Times New Roman" w:hAnsi="Garamond" w:cs="Times New Roman"/>
          <w:color w:val="000000"/>
          <w:sz w:val="24"/>
          <w:szCs w:val="24"/>
          <w:lang w:eastAsia="es-VE"/>
        </w:rPr>
        <w:t xml:space="preserve">, para que ellas sean quienes se las proporcionen a los agresores, siendo esta, una acción que </w:t>
      </w:r>
      <w:proofErr w:type="spellStart"/>
      <w:r w:rsidR="006507E6">
        <w:rPr>
          <w:rFonts w:ascii="Garamond" w:eastAsia="Times New Roman" w:hAnsi="Garamond" w:cs="Times New Roman"/>
          <w:color w:val="000000"/>
          <w:sz w:val="24"/>
          <w:szCs w:val="24"/>
          <w:lang w:eastAsia="es-VE"/>
        </w:rPr>
        <w:t>revictimiza</w:t>
      </w:r>
      <w:proofErr w:type="spellEnd"/>
      <w:r w:rsidR="006507E6">
        <w:rPr>
          <w:rFonts w:ascii="Garamond" w:eastAsia="Times New Roman" w:hAnsi="Garamond" w:cs="Times New Roman"/>
          <w:color w:val="000000"/>
          <w:sz w:val="24"/>
          <w:szCs w:val="24"/>
          <w:lang w:eastAsia="es-VE"/>
        </w:rPr>
        <w:t xml:space="preserve"> a las mujeres en el proceso</w:t>
      </w:r>
      <w:r w:rsidR="00BC18D8" w:rsidRPr="006507E6">
        <w:rPr>
          <w:rFonts w:ascii="Garamond" w:eastAsia="Times New Roman" w:hAnsi="Garamond" w:cs="Times New Roman"/>
          <w:color w:val="000000"/>
          <w:sz w:val="24"/>
          <w:szCs w:val="24"/>
          <w:lang w:eastAsia="es-VE"/>
        </w:rPr>
        <w:t>.</w:t>
      </w:r>
    </w:p>
    <w:p w14:paraId="68E6455E" w14:textId="000CBCB4" w:rsidR="00A81E4C" w:rsidRDefault="008D33E6" w:rsidP="00A81E4C">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En el Art. 48 menciona que luego de haber puesto la denuncia</w:t>
      </w:r>
      <w:r w:rsidR="00880A3D">
        <w:rPr>
          <w:rFonts w:ascii="Garamond" w:eastAsia="Times New Roman" w:hAnsi="Garamond" w:cs="Times New Roman"/>
          <w:color w:val="000000"/>
          <w:sz w:val="24"/>
          <w:szCs w:val="24"/>
          <w:lang w:eastAsia="es-VE"/>
        </w:rPr>
        <w:t>,</w:t>
      </w:r>
      <w:r w:rsidRPr="00395E47">
        <w:rPr>
          <w:rFonts w:ascii="Garamond" w:eastAsia="Times New Roman" w:hAnsi="Garamond" w:cs="Times New Roman"/>
          <w:color w:val="000000"/>
          <w:sz w:val="24"/>
          <w:szCs w:val="24"/>
          <w:lang w:eastAsia="es-VE"/>
        </w:rPr>
        <w:t xml:space="preserve"> la víctima podrá asistir a una institución pública o privada de salud para realizarse un diagnóstico que sirva como certificado de la salud física y mental, con el objetivo de dejar constancia sobre su condición actual. El articulado no cambió su esencia, aunque la especificidad se observa nece</w:t>
      </w:r>
      <w:r w:rsidR="002D3E13">
        <w:rPr>
          <w:rFonts w:ascii="Garamond" w:eastAsia="Times New Roman" w:hAnsi="Garamond" w:cs="Times New Roman"/>
          <w:color w:val="000000"/>
          <w:sz w:val="24"/>
          <w:szCs w:val="24"/>
          <w:lang w:eastAsia="es-VE"/>
        </w:rPr>
        <w:t>saria, ya que no se aceptaban</w:t>
      </w:r>
      <w:r w:rsidRPr="00395E47">
        <w:rPr>
          <w:rFonts w:ascii="Garamond" w:eastAsia="Times New Roman" w:hAnsi="Garamond" w:cs="Times New Roman"/>
          <w:color w:val="000000"/>
          <w:sz w:val="24"/>
          <w:szCs w:val="24"/>
          <w:lang w:eastAsia="es-VE"/>
        </w:rPr>
        <w:t xml:space="preserve"> los ce</w:t>
      </w:r>
      <w:r w:rsidR="00A81E4C">
        <w:rPr>
          <w:rFonts w:ascii="Garamond" w:eastAsia="Times New Roman" w:hAnsi="Garamond" w:cs="Times New Roman"/>
          <w:color w:val="000000"/>
          <w:sz w:val="24"/>
          <w:szCs w:val="24"/>
          <w:lang w:eastAsia="es-VE"/>
        </w:rPr>
        <w:t>rtificados de médicos privados.</w:t>
      </w:r>
    </w:p>
    <w:p w14:paraId="6500173D" w14:textId="77777777" w:rsidR="00833D66" w:rsidRDefault="008D33E6" w:rsidP="00A81E4C">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 xml:space="preserve">Esto sin dejar de lado que aún quedan otras formas de violencias que no están siendo tipificadas en la normativa, como lo es la violencia callejera (el acoso verbal y sexual en los espacios públicos), psicológica en los estrados, la desnudez forzada como una forma de violencia sexual. </w:t>
      </w:r>
    </w:p>
    <w:p w14:paraId="4F88752C" w14:textId="77777777" w:rsidR="00B530FF" w:rsidRDefault="008D33E6" w:rsidP="003E303A">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lastRenderedPageBreak/>
        <w:t>A pesar de los avances, la normativa no es suficiente si no viene acompañada de acciones. Al respecto, el Estado venezolano no ha cumplido con las obligaciones de protección y prevención en términos de garantizar el derecho a una vida libre de violencia de todas las mujeres, niñas y adolescentes en Venezuela</w:t>
      </w:r>
      <w:r w:rsidRPr="00395E47">
        <w:rPr>
          <w:rFonts w:ascii="Garamond" w:eastAsia="Times New Roman" w:hAnsi="Garamond" w:cs="Times New Roman"/>
          <w:color w:val="000000"/>
          <w:sz w:val="24"/>
          <w:szCs w:val="24"/>
          <w:vertAlign w:val="superscript"/>
          <w:lang w:eastAsia="es-VE"/>
        </w:rPr>
        <w:footnoteReference w:id="12"/>
      </w:r>
      <w:r w:rsidR="003E303A">
        <w:rPr>
          <w:rFonts w:ascii="Garamond" w:eastAsia="Times New Roman" w:hAnsi="Garamond" w:cs="Times New Roman"/>
          <w:color w:val="000000"/>
          <w:sz w:val="24"/>
          <w:szCs w:val="24"/>
          <w:lang w:eastAsia="es-VE"/>
        </w:rPr>
        <w:t xml:space="preserve">. </w:t>
      </w:r>
    </w:p>
    <w:p w14:paraId="4103F60C" w14:textId="77777777" w:rsidR="00E870E5" w:rsidRPr="00E870E5" w:rsidRDefault="00E870E5" w:rsidP="000977C7">
      <w:pPr>
        <w:spacing w:after="160" w:line="259" w:lineRule="auto"/>
        <w:ind w:left="360"/>
        <w:jc w:val="both"/>
        <w:rPr>
          <w:rFonts w:ascii="Garamond" w:eastAsia="Times New Roman" w:hAnsi="Garamond" w:cs="Times New Roman"/>
          <w:b/>
          <w:color w:val="000000"/>
          <w:sz w:val="24"/>
          <w:szCs w:val="24"/>
          <w:lang w:eastAsia="es-VE"/>
        </w:rPr>
      </w:pPr>
      <w:r w:rsidRPr="00E870E5">
        <w:rPr>
          <w:rFonts w:ascii="Garamond" w:eastAsia="Times New Roman" w:hAnsi="Garamond" w:cs="Times New Roman"/>
          <w:b/>
          <w:color w:val="000000"/>
          <w:sz w:val="24"/>
          <w:szCs w:val="24"/>
          <w:lang w:eastAsia="es-VE"/>
        </w:rPr>
        <w:t>Acceso a la justicia, párrafo 2, numeral a</w:t>
      </w:r>
    </w:p>
    <w:p w14:paraId="5002F4C3" w14:textId="77777777" w:rsidR="00D1543C" w:rsidRDefault="002D4838" w:rsidP="00D1543C">
      <w:pPr>
        <w:spacing w:after="160" w:line="259" w:lineRule="auto"/>
        <w:ind w:left="360"/>
        <w:jc w:val="both"/>
        <w:rPr>
          <w:rFonts w:ascii="Garamond" w:eastAsia="Calibri" w:hAnsi="Garamond" w:cs="Times New Roman"/>
          <w:sz w:val="24"/>
          <w:szCs w:val="24"/>
        </w:rPr>
      </w:pPr>
      <w:r>
        <w:rPr>
          <w:rFonts w:ascii="Garamond" w:eastAsia="Times New Roman" w:hAnsi="Garamond" w:cs="Times New Roman"/>
          <w:color w:val="000000"/>
          <w:sz w:val="24"/>
          <w:szCs w:val="24"/>
          <w:lang w:eastAsia="es-VE"/>
        </w:rPr>
        <w:t xml:space="preserve">El Estado señaló en el párrafo </w:t>
      </w:r>
      <w:r w:rsidR="00C863FA">
        <w:rPr>
          <w:rFonts w:ascii="Garamond" w:eastAsia="Times New Roman" w:hAnsi="Garamond" w:cs="Times New Roman"/>
          <w:color w:val="000000"/>
          <w:sz w:val="24"/>
          <w:szCs w:val="24"/>
          <w:lang w:eastAsia="es-VE"/>
        </w:rPr>
        <w:t xml:space="preserve">44 que </w:t>
      </w:r>
      <w:r w:rsidR="00C863FA" w:rsidRPr="00C863FA">
        <w:rPr>
          <w:rFonts w:ascii="Garamond" w:eastAsia="Times New Roman" w:hAnsi="Garamond" w:cs="Times New Roman"/>
          <w:color w:val="000000"/>
          <w:sz w:val="24"/>
          <w:szCs w:val="24"/>
          <w:lang w:eastAsia="es-VE"/>
        </w:rPr>
        <w:t xml:space="preserve">Venezuela imparte justicia especializada en género en el 100% de su territorio </w:t>
      </w:r>
      <w:r w:rsidR="00C863FA">
        <w:rPr>
          <w:rFonts w:ascii="Garamond" w:eastAsia="Times New Roman" w:hAnsi="Garamond" w:cs="Times New Roman"/>
          <w:color w:val="000000"/>
          <w:sz w:val="24"/>
          <w:szCs w:val="24"/>
          <w:lang w:eastAsia="es-VE"/>
        </w:rPr>
        <w:t xml:space="preserve">y en el </w:t>
      </w:r>
      <w:r>
        <w:rPr>
          <w:rFonts w:ascii="Garamond" w:eastAsia="Times New Roman" w:hAnsi="Garamond" w:cs="Times New Roman"/>
          <w:color w:val="000000"/>
          <w:sz w:val="24"/>
          <w:szCs w:val="24"/>
          <w:lang w:eastAsia="es-VE"/>
        </w:rPr>
        <w:t>47 de su informe, que l</w:t>
      </w:r>
      <w:r w:rsidR="00141B0C" w:rsidRPr="00141B0C">
        <w:rPr>
          <w:rFonts w:ascii="Garamond" w:eastAsia="Calibri" w:hAnsi="Garamond" w:cs="Times New Roman"/>
          <w:sz w:val="24"/>
          <w:szCs w:val="24"/>
        </w:rPr>
        <w:t>a Defensoría Nacional de los Derechos de la Mujer, adscrita al MPPMIG, garantiza la aplicación de justicia con enfoque de género mediante el acompañamiento a las mujeres víctimas de violencia</w:t>
      </w:r>
      <w:r>
        <w:rPr>
          <w:rFonts w:ascii="Garamond" w:eastAsia="Calibri" w:hAnsi="Garamond" w:cs="Times New Roman"/>
          <w:sz w:val="24"/>
          <w:szCs w:val="24"/>
        </w:rPr>
        <w:t xml:space="preserve">. </w:t>
      </w:r>
      <w:r w:rsidR="00743DFB">
        <w:rPr>
          <w:rFonts w:ascii="Garamond" w:eastAsia="Calibri" w:hAnsi="Garamond" w:cs="Times New Roman"/>
          <w:sz w:val="24"/>
          <w:szCs w:val="24"/>
        </w:rPr>
        <w:t>No obstante, ante la necesidad reflejada en las víctimas de violencia, las organizaciones de la sociedad civil se vieron empujadas a establecer servicios de atención jurídica y psicológica.</w:t>
      </w:r>
    </w:p>
    <w:p w14:paraId="1C74C4D8" w14:textId="77777777" w:rsidR="006F68A5" w:rsidRPr="00395E47" w:rsidRDefault="006F68A5" w:rsidP="00D1543C">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La impunidad sigue siendo la regla, la inexistencia de estadísticas actualizadas imposibilita el análisis necesario de las políticas públicas, instancias, organismos y programas destinados a propiciar la erradicación de la violencia contra la mujer</w:t>
      </w:r>
      <w:r w:rsidRPr="00395E47">
        <w:rPr>
          <w:rFonts w:ascii="Garamond" w:eastAsia="Calibri" w:hAnsi="Garamond" w:cs="Times New Roman"/>
          <w:sz w:val="24"/>
          <w:szCs w:val="24"/>
          <w:vertAlign w:val="superscript"/>
        </w:rPr>
        <w:footnoteReference w:id="13"/>
      </w:r>
      <w:r w:rsidRPr="00395E47">
        <w:rPr>
          <w:rFonts w:ascii="Garamond" w:eastAsia="Calibri" w:hAnsi="Garamond" w:cs="Times New Roman"/>
          <w:sz w:val="24"/>
          <w:szCs w:val="24"/>
        </w:rPr>
        <w:t>.</w:t>
      </w:r>
    </w:p>
    <w:p w14:paraId="46B04A71" w14:textId="2367A839"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A pesar de que el acceso a la justicia, el debido proceso y los derechos humanos estén garantizados constitucionalmente</w:t>
      </w:r>
      <w:r w:rsidRPr="00395E47">
        <w:rPr>
          <w:rFonts w:ascii="Garamond" w:eastAsia="Times New Roman" w:hAnsi="Garamond" w:cs="Times New Roman"/>
          <w:sz w:val="24"/>
          <w:szCs w:val="24"/>
          <w:vertAlign w:val="superscript"/>
          <w:lang w:eastAsia="es-VE"/>
        </w:rPr>
        <w:footnoteReference w:id="14"/>
      </w:r>
      <w:r w:rsidRPr="00395E47">
        <w:rPr>
          <w:rFonts w:ascii="Garamond" w:eastAsia="Times New Roman" w:hAnsi="Garamond" w:cs="Times New Roman"/>
          <w:sz w:val="24"/>
          <w:szCs w:val="24"/>
          <w:lang w:eastAsia="es-VE"/>
        </w:rPr>
        <w:t xml:space="preserve">, las mujeres continúan siendo desprotegidas por parte del Estado venezolano, en no darle la oportuna y debida atención al momento de solicitar sus derechos infringidos. De hecho, la Fundación Vida Jurídica documentó que solo </w:t>
      </w:r>
      <w:r w:rsidR="00DA7CC3">
        <w:rPr>
          <w:rFonts w:ascii="Garamond" w:eastAsia="Times New Roman" w:hAnsi="Garamond" w:cs="Times New Roman"/>
          <w:sz w:val="24"/>
          <w:szCs w:val="24"/>
          <w:lang w:eastAsia="es-VE"/>
        </w:rPr>
        <w:t xml:space="preserve">un promedio de </w:t>
      </w:r>
      <w:r w:rsidRPr="00395E47">
        <w:rPr>
          <w:rFonts w:ascii="Garamond" w:eastAsia="Times New Roman" w:hAnsi="Garamond" w:cs="Times New Roman"/>
          <w:sz w:val="24"/>
          <w:szCs w:val="24"/>
          <w:lang w:eastAsia="es-VE"/>
        </w:rPr>
        <w:t>2 de 10 mujeres se atreven a denunciar, el resto no se sienten seguras y amparadas</w:t>
      </w:r>
      <w:r w:rsidRPr="00395E47">
        <w:rPr>
          <w:rFonts w:ascii="Garamond" w:eastAsia="Times New Roman" w:hAnsi="Garamond" w:cs="Times New Roman"/>
          <w:sz w:val="24"/>
          <w:szCs w:val="24"/>
          <w:vertAlign w:val="superscript"/>
          <w:lang w:eastAsia="es-VE"/>
        </w:rPr>
        <w:footnoteReference w:id="15"/>
      </w:r>
      <w:r w:rsidRPr="00395E47">
        <w:rPr>
          <w:rFonts w:ascii="Garamond" w:eastAsia="Times New Roman" w:hAnsi="Garamond" w:cs="Times New Roman"/>
          <w:sz w:val="24"/>
          <w:szCs w:val="24"/>
          <w:lang w:eastAsia="es-VE"/>
        </w:rPr>
        <w:t xml:space="preserve">. </w:t>
      </w:r>
    </w:p>
    <w:p w14:paraId="74249ED3"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Urgen acciones que puedan mitigar los obstáculos a la hora de solicitar los derechos infringidos de las mujeres víctimas de violencia, a través de la tutela ante las instancias administrativas, y judiciales en materia de violencia contra las mujeres por razones de género (VCMRG).</w:t>
      </w:r>
    </w:p>
    <w:p w14:paraId="3BEDF352"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Fundamujer señaló que la ausencia de Políticas Públicas expresas o de un Plan Nacional para la Atención, Prevención y Monitoreo de VCMRG por parte del Instituto Nacional de la Mujer (Inamujer) terminan por presentar la imagen de indefensión que sufre Venezuela al respecto.</w:t>
      </w:r>
    </w:p>
    <w:p w14:paraId="329C7592"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Existen barreras institucionales, procesales y procedimentales notorias en la burocratización del sistema de justicia, la cantidad de procedimientos y requisitos requeridos a lo largo de un proceso judicial que dificultan y desmotivan a la víctima en el seguimiento del caso; falta de un sistema de información inmediata por parte de las instituciones públicas, en especial a nivel judicial.</w:t>
      </w:r>
    </w:p>
    <w:p w14:paraId="37572148"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lastRenderedPageBreak/>
        <w:t xml:space="preserve">Existen barreras administrativas, logísticas y de infraestructura, en especial para personas de escasos recursos como la mala organización y gestión del despacho judicial; la falta de coordinación entre defensores de oficio, policías, fiscales y jueces que contribuyen a la desorganización y consecuente retraso en el servicio de justicia. </w:t>
      </w:r>
    </w:p>
    <w:p w14:paraId="24A48653"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Además, la Coalición Mujeres, justicia y desapariciones denunció que es frecuente que en los órganos receptores no se tomen las denuncias con debida diligencia o se rechacen con expresiones, como la negativa a tomar la denuncia, exigiendo heridas físicas visibles para encargarse del caso. De forma tal, que las denuncias son cada vez más desestimadas y descalificadas, siendo una situación que desalienta a las víctimas, poniéndolas en una situación de mayor o extrema vulnerabilidad</w:t>
      </w:r>
      <w:r w:rsidRPr="00395E47">
        <w:rPr>
          <w:rFonts w:ascii="Garamond" w:eastAsia="Times New Roman" w:hAnsi="Garamond" w:cs="Times New Roman"/>
          <w:sz w:val="24"/>
          <w:szCs w:val="24"/>
          <w:vertAlign w:val="superscript"/>
          <w:lang w:eastAsia="es-VE"/>
        </w:rPr>
        <w:footnoteReference w:id="16"/>
      </w:r>
      <w:r w:rsidRPr="00395E47">
        <w:rPr>
          <w:rFonts w:ascii="Garamond" w:eastAsia="Times New Roman" w:hAnsi="Garamond" w:cs="Times New Roman"/>
          <w:sz w:val="24"/>
          <w:szCs w:val="24"/>
          <w:lang w:eastAsia="es-VE"/>
        </w:rPr>
        <w:t>.</w:t>
      </w:r>
    </w:p>
    <w:p w14:paraId="56C1D659"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Por otra parte, las instancias de recepción de denuncia, no cuentan con la debida dotación de equipos, insumos y materiales, ni espacios con privacidad para ofrecer un trato digno y darles atención a las víctimas.</w:t>
      </w:r>
    </w:p>
    <w:p w14:paraId="6548F703" w14:textId="77777777" w:rsidR="00616545" w:rsidRPr="00395E47"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Además, para el Observatorio de Femicidios de Cepaz llama poderosamente la atención, la situación que gira en torno a la ausencia de registros de denuncias previas de las víctimas sobre violencias. Al hablar de denuncia previa; hacemos referencia de si las víctimas habían accionado penalmente contra el agresor anteriormente.</w:t>
      </w:r>
    </w:p>
    <w:p w14:paraId="3B391065" w14:textId="79422E94" w:rsidR="00616545" w:rsidRDefault="00616545" w:rsidP="00616545">
      <w:pPr>
        <w:spacing w:after="160" w:line="240" w:lineRule="auto"/>
        <w:ind w:left="360"/>
        <w:jc w:val="both"/>
        <w:rPr>
          <w:rFonts w:ascii="Garamond" w:eastAsia="Times New Roman" w:hAnsi="Garamond" w:cs="Times New Roman"/>
          <w:sz w:val="24"/>
          <w:szCs w:val="24"/>
          <w:lang w:eastAsia="es-VE"/>
        </w:rPr>
      </w:pPr>
      <w:r w:rsidRPr="00395E47">
        <w:rPr>
          <w:rFonts w:ascii="Garamond" w:eastAsia="Times New Roman" w:hAnsi="Garamond" w:cs="Times New Roman"/>
          <w:sz w:val="24"/>
          <w:szCs w:val="24"/>
          <w:lang w:eastAsia="es-VE"/>
        </w:rPr>
        <w:t>En el monitoreo del mes de junio de 2021</w:t>
      </w:r>
      <w:r w:rsidRPr="00395E47">
        <w:rPr>
          <w:rFonts w:ascii="Garamond" w:eastAsia="Times New Roman" w:hAnsi="Garamond" w:cs="Times New Roman"/>
          <w:sz w:val="24"/>
          <w:szCs w:val="24"/>
          <w:vertAlign w:val="superscript"/>
          <w:lang w:eastAsia="es-VE"/>
        </w:rPr>
        <w:footnoteReference w:id="17"/>
      </w:r>
      <w:r w:rsidRPr="00395E47">
        <w:rPr>
          <w:rFonts w:ascii="Garamond" w:eastAsia="Times New Roman" w:hAnsi="Garamond" w:cs="Times New Roman"/>
          <w:sz w:val="24"/>
          <w:szCs w:val="24"/>
          <w:lang w:eastAsia="es-VE"/>
        </w:rPr>
        <w:t>, en un 100% de los casos analizados, se encontró que ninguno había interpuesto denuncia, a pesar de existir episodios violentos con antelación que motivaron en más de la mitad de los casos, la ruptura de la situación y la separación física.</w:t>
      </w:r>
    </w:p>
    <w:p w14:paraId="0A5FC3A8" w14:textId="77777777" w:rsidR="00FE2217" w:rsidRPr="00FE2217" w:rsidRDefault="008C20D6" w:rsidP="00FE2217">
      <w:pPr>
        <w:pStyle w:val="Prrafodelista"/>
        <w:numPr>
          <w:ilvl w:val="0"/>
          <w:numId w:val="18"/>
        </w:numPr>
        <w:spacing w:after="160" w:line="259" w:lineRule="auto"/>
        <w:jc w:val="both"/>
        <w:rPr>
          <w:rFonts w:ascii="Garamond" w:eastAsia="Calibri" w:hAnsi="Garamond" w:cs="Times New Roman"/>
          <w:sz w:val="24"/>
          <w:szCs w:val="24"/>
        </w:rPr>
      </w:pPr>
      <w:r w:rsidRPr="008C20D6">
        <w:rPr>
          <w:rFonts w:ascii="Garamond" w:eastAsia="Calibri" w:hAnsi="Garamond" w:cs="Times New Roman"/>
          <w:b/>
          <w:sz w:val="24"/>
          <w:szCs w:val="24"/>
        </w:rPr>
        <w:t>Artículo 6</w:t>
      </w:r>
    </w:p>
    <w:p w14:paraId="16E1C1ED" w14:textId="77777777" w:rsidR="00FE2217" w:rsidRDefault="00E67FFB" w:rsidP="00FE2217">
      <w:pPr>
        <w:spacing w:after="160" w:line="259" w:lineRule="auto"/>
        <w:ind w:left="360"/>
        <w:jc w:val="both"/>
        <w:rPr>
          <w:rFonts w:ascii="Garamond" w:eastAsia="Calibri" w:hAnsi="Garamond" w:cs="Times New Roman"/>
          <w:sz w:val="24"/>
          <w:szCs w:val="24"/>
        </w:rPr>
      </w:pPr>
      <w:r w:rsidRPr="00FE2217">
        <w:rPr>
          <w:rFonts w:ascii="Garamond" w:hAnsi="Garamond" w:cs="Times New Roman"/>
          <w:sz w:val="24"/>
          <w:szCs w:val="24"/>
        </w:rPr>
        <w:t>Existen profundas deficiencias en las herramientas de prevención y protección frente a la violencia basada en el género, las cuales se agudizaron durante la pandemia</w:t>
      </w:r>
      <w:r w:rsidRPr="00395E47">
        <w:rPr>
          <w:vertAlign w:val="superscript"/>
        </w:rPr>
        <w:footnoteReference w:id="18"/>
      </w:r>
      <w:r w:rsidR="00147388" w:rsidRPr="00FE2217">
        <w:rPr>
          <w:rFonts w:ascii="Garamond" w:hAnsi="Garamond" w:cs="Times New Roman"/>
          <w:sz w:val="24"/>
          <w:szCs w:val="24"/>
        </w:rPr>
        <w:t>, lo cual promueve que no se garantice el derecho a la vida</w:t>
      </w:r>
      <w:r w:rsidR="007030E4" w:rsidRPr="00FE2217">
        <w:rPr>
          <w:rFonts w:ascii="Garamond" w:hAnsi="Garamond" w:cs="Times New Roman"/>
          <w:sz w:val="24"/>
          <w:szCs w:val="24"/>
        </w:rPr>
        <w:t>, ni protección alguna para resguardar la integridad de las mujeres víctimas de violencia.</w:t>
      </w:r>
      <w:r w:rsidRPr="00FE2217">
        <w:rPr>
          <w:rFonts w:ascii="Garamond" w:hAnsi="Garamond" w:cs="Times New Roman"/>
          <w:sz w:val="24"/>
          <w:szCs w:val="24"/>
        </w:rPr>
        <w:t xml:space="preserve"> </w:t>
      </w:r>
    </w:p>
    <w:p w14:paraId="6DD955EB" w14:textId="512CE6DB" w:rsidR="00FE2217" w:rsidRDefault="00BB118C" w:rsidP="00FE2217">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 xml:space="preserve">En cuanto a las medidas de protección y seguridad, </w:t>
      </w:r>
      <w:r w:rsidR="00FD0007">
        <w:rPr>
          <w:rFonts w:ascii="Garamond" w:eastAsia="Calibri" w:hAnsi="Garamond" w:cs="Times New Roman"/>
          <w:sz w:val="24"/>
          <w:szCs w:val="24"/>
        </w:rPr>
        <w:t xml:space="preserve">Comisión ULA Mujer indicó que </w:t>
      </w:r>
      <w:r w:rsidRPr="00395E47">
        <w:rPr>
          <w:rFonts w:ascii="Garamond" w:eastAsia="Calibri" w:hAnsi="Garamond" w:cs="Times New Roman"/>
          <w:sz w:val="24"/>
          <w:szCs w:val="24"/>
        </w:rPr>
        <w:t>el Estado sigue sin promover y proveer los recursos y acciones neces</w:t>
      </w:r>
      <w:r w:rsidR="002701DC">
        <w:rPr>
          <w:rFonts w:ascii="Garamond" w:eastAsia="Calibri" w:hAnsi="Garamond" w:cs="Times New Roman"/>
          <w:sz w:val="24"/>
          <w:szCs w:val="24"/>
        </w:rPr>
        <w:t>arias para las C</w:t>
      </w:r>
      <w:r w:rsidR="00B34184">
        <w:rPr>
          <w:rFonts w:ascii="Garamond" w:eastAsia="Calibri" w:hAnsi="Garamond" w:cs="Times New Roman"/>
          <w:sz w:val="24"/>
          <w:szCs w:val="24"/>
        </w:rPr>
        <w:t xml:space="preserve">asas de </w:t>
      </w:r>
      <w:r w:rsidR="002701DC">
        <w:rPr>
          <w:rFonts w:ascii="Garamond" w:eastAsia="Calibri" w:hAnsi="Garamond" w:cs="Times New Roman"/>
          <w:sz w:val="24"/>
          <w:szCs w:val="24"/>
        </w:rPr>
        <w:t>A</w:t>
      </w:r>
      <w:r w:rsidR="00B34184">
        <w:rPr>
          <w:rFonts w:ascii="Garamond" w:eastAsia="Calibri" w:hAnsi="Garamond" w:cs="Times New Roman"/>
          <w:sz w:val="24"/>
          <w:szCs w:val="24"/>
        </w:rPr>
        <w:t xml:space="preserve">brigo. Solo se conoce </w:t>
      </w:r>
      <w:r w:rsidR="00FD0007">
        <w:rPr>
          <w:rFonts w:ascii="Garamond" w:eastAsia="Calibri" w:hAnsi="Garamond" w:cs="Times New Roman"/>
          <w:sz w:val="24"/>
          <w:szCs w:val="24"/>
        </w:rPr>
        <w:t xml:space="preserve">la existencia de </w:t>
      </w:r>
      <w:r w:rsidR="00B34184">
        <w:rPr>
          <w:rFonts w:ascii="Garamond" w:eastAsia="Calibri" w:hAnsi="Garamond" w:cs="Times New Roman"/>
          <w:sz w:val="24"/>
          <w:szCs w:val="24"/>
        </w:rPr>
        <w:t xml:space="preserve">una casa de abrigo para víctimas y sobrevivientes de violencia en el estado </w:t>
      </w:r>
      <w:r w:rsidRPr="00395E47">
        <w:rPr>
          <w:rFonts w:ascii="Garamond" w:eastAsia="Calibri" w:hAnsi="Garamond" w:cs="Times New Roman"/>
          <w:sz w:val="24"/>
          <w:szCs w:val="24"/>
        </w:rPr>
        <w:t>Táchira, municipio San Cristóbal</w:t>
      </w:r>
      <w:r w:rsidR="00B34184">
        <w:rPr>
          <w:rFonts w:ascii="Garamond" w:eastAsia="Calibri" w:hAnsi="Garamond" w:cs="Times New Roman"/>
          <w:sz w:val="24"/>
          <w:szCs w:val="24"/>
        </w:rPr>
        <w:t xml:space="preserve">, denominada Casa Violeta, </w:t>
      </w:r>
      <w:r w:rsidRPr="00395E47">
        <w:rPr>
          <w:rFonts w:ascii="Garamond" w:eastAsia="Calibri" w:hAnsi="Garamond" w:cs="Times New Roman"/>
          <w:sz w:val="24"/>
          <w:szCs w:val="24"/>
        </w:rPr>
        <w:t>gestionada por el Instituto Tachirense de la Mujer (INTAMUJER)</w:t>
      </w:r>
      <w:r w:rsidR="002745EB">
        <w:rPr>
          <w:rFonts w:ascii="Garamond" w:eastAsia="Calibri" w:hAnsi="Garamond" w:cs="Times New Roman"/>
          <w:sz w:val="24"/>
          <w:szCs w:val="24"/>
        </w:rPr>
        <w:t xml:space="preserve">. Dicha información no está disponible en alguna página web del Estado ni de </w:t>
      </w:r>
      <w:r w:rsidR="00C15356">
        <w:rPr>
          <w:rFonts w:ascii="Garamond" w:eastAsia="Calibri" w:hAnsi="Garamond" w:cs="Times New Roman"/>
          <w:sz w:val="24"/>
          <w:szCs w:val="24"/>
        </w:rPr>
        <w:t xml:space="preserve">los </w:t>
      </w:r>
      <w:r w:rsidR="002745EB">
        <w:rPr>
          <w:rFonts w:ascii="Garamond" w:eastAsia="Calibri" w:hAnsi="Garamond" w:cs="Times New Roman"/>
          <w:sz w:val="24"/>
          <w:szCs w:val="24"/>
        </w:rPr>
        <w:t xml:space="preserve">medios de comunicación. Sin embargo, se obtuvo el conocimiento a </w:t>
      </w:r>
      <w:r w:rsidRPr="00395E47">
        <w:rPr>
          <w:rFonts w:ascii="Garamond" w:eastAsia="Calibri" w:hAnsi="Garamond" w:cs="Times New Roman"/>
          <w:sz w:val="24"/>
          <w:szCs w:val="24"/>
        </w:rPr>
        <w:t>partir del enlace con el Foro de coordinación de socios humanitarios liderado por OCHA en el estado Mérida y a las articulaciones sostenidas con el AdR en VbG establecido en San Cristóbal</w:t>
      </w:r>
      <w:r w:rsidR="002745EB">
        <w:rPr>
          <w:rFonts w:ascii="Garamond" w:eastAsia="Calibri" w:hAnsi="Garamond" w:cs="Times New Roman"/>
          <w:sz w:val="24"/>
          <w:szCs w:val="24"/>
        </w:rPr>
        <w:t>,</w:t>
      </w:r>
      <w:r w:rsidRPr="00395E47">
        <w:rPr>
          <w:rFonts w:ascii="Garamond" w:eastAsia="Calibri" w:hAnsi="Garamond" w:cs="Times New Roman"/>
          <w:sz w:val="24"/>
          <w:szCs w:val="24"/>
        </w:rPr>
        <w:t xml:space="preserve"> estado Táchira</w:t>
      </w:r>
      <w:r w:rsidR="002745EB">
        <w:rPr>
          <w:rFonts w:ascii="Garamond" w:eastAsia="Calibri" w:hAnsi="Garamond" w:cs="Times New Roman"/>
          <w:sz w:val="24"/>
          <w:szCs w:val="24"/>
        </w:rPr>
        <w:t>,</w:t>
      </w:r>
      <w:r w:rsidRPr="00395E47">
        <w:rPr>
          <w:rFonts w:ascii="Garamond" w:eastAsia="Calibri" w:hAnsi="Garamond" w:cs="Times New Roman"/>
          <w:sz w:val="24"/>
          <w:szCs w:val="24"/>
        </w:rPr>
        <w:t xml:space="preserve"> quiénes han apoyado a INTAMUJER</w:t>
      </w:r>
      <w:r w:rsidR="002745EB">
        <w:rPr>
          <w:rFonts w:ascii="Garamond" w:eastAsia="Calibri" w:hAnsi="Garamond" w:cs="Times New Roman"/>
          <w:sz w:val="24"/>
          <w:szCs w:val="24"/>
        </w:rPr>
        <w:t>,</w:t>
      </w:r>
      <w:r w:rsidRPr="00395E47">
        <w:rPr>
          <w:rFonts w:ascii="Garamond" w:eastAsia="Calibri" w:hAnsi="Garamond" w:cs="Times New Roman"/>
          <w:sz w:val="24"/>
          <w:szCs w:val="24"/>
        </w:rPr>
        <w:t xml:space="preserve"> ente coordinador de la Casa Violeta. </w:t>
      </w:r>
    </w:p>
    <w:p w14:paraId="45C21ABF" w14:textId="63EE1E3C" w:rsidR="00FE2217" w:rsidRDefault="00E67FFB" w:rsidP="00FE2217">
      <w:pPr>
        <w:spacing w:after="160" w:line="259" w:lineRule="auto"/>
        <w:ind w:left="360"/>
        <w:jc w:val="both"/>
        <w:rPr>
          <w:rFonts w:ascii="Garamond" w:eastAsia="Calibri" w:hAnsi="Garamond" w:cs="Times New Roman"/>
          <w:sz w:val="24"/>
          <w:szCs w:val="24"/>
        </w:rPr>
      </w:pPr>
      <w:r w:rsidRPr="00395E47">
        <w:rPr>
          <w:rFonts w:ascii="Garamond" w:hAnsi="Garamond" w:cs="Times New Roman"/>
          <w:sz w:val="24"/>
          <w:szCs w:val="24"/>
        </w:rPr>
        <w:lastRenderedPageBreak/>
        <w:t xml:space="preserve">Por otra parte, </w:t>
      </w:r>
      <w:proofErr w:type="spellStart"/>
      <w:r w:rsidR="00022019">
        <w:rPr>
          <w:rFonts w:ascii="Garamond" w:hAnsi="Garamond" w:cs="Times New Roman"/>
          <w:sz w:val="24"/>
          <w:szCs w:val="24"/>
        </w:rPr>
        <w:t>Cepaz</w:t>
      </w:r>
      <w:proofErr w:type="spellEnd"/>
      <w:r w:rsidR="00022019">
        <w:rPr>
          <w:rFonts w:ascii="Garamond" w:hAnsi="Garamond" w:cs="Times New Roman"/>
          <w:sz w:val="24"/>
          <w:szCs w:val="24"/>
        </w:rPr>
        <w:t xml:space="preserve"> señaló que </w:t>
      </w:r>
      <w:r w:rsidRPr="00395E47">
        <w:rPr>
          <w:rFonts w:ascii="Garamond" w:hAnsi="Garamond" w:cs="Times New Roman"/>
          <w:sz w:val="24"/>
          <w:szCs w:val="24"/>
        </w:rPr>
        <w:t>no es posible tener acceso en Venezuela a una estadística oficial precisa en materia de violencia basada en razones de género; no hay evidencias de una reunión sistemática de datos desglosados por categorías soportadas en bases teóricas y científicas, ni publicación periódica con la debida explicación de la metodología aplicada</w:t>
      </w:r>
      <w:r w:rsidR="00F23E7D">
        <w:rPr>
          <w:rFonts w:ascii="Garamond" w:hAnsi="Garamond" w:cs="Times New Roman"/>
          <w:sz w:val="24"/>
          <w:szCs w:val="24"/>
        </w:rPr>
        <w:t>, ni información oficial sobre los planes y programas creados, así como resultados obtenidos.</w:t>
      </w:r>
    </w:p>
    <w:p w14:paraId="4288ED53" w14:textId="77777777" w:rsidR="00FE2217" w:rsidRDefault="00EF52FD" w:rsidP="00FE2217">
      <w:pPr>
        <w:spacing w:after="160" w:line="259" w:lineRule="auto"/>
        <w:ind w:left="360"/>
        <w:jc w:val="both"/>
        <w:rPr>
          <w:rFonts w:ascii="Garamond" w:eastAsia="Calibri" w:hAnsi="Garamond" w:cs="Times New Roman"/>
          <w:sz w:val="24"/>
          <w:szCs w:val="24"/>
        </w:rPr>
      </w:pPr>
      <w:r>
        <w:rPr>
          <w:rFonts w:ascii="Garamond" w:hAnsi="Garamond" w:cs="Times New Roman"/>
          <w:sz w:val="24"/>
          <w:szCs w:val="24"/>
        </w:rPr>
        <w:t>Según Comisión ULA Mujer, e</w:t>
      </w:r>
      <w:r w:rsidR="00947E9B" w:rsidRPr="00395E47">
        <w:rPr>
          <w:rFonts w:ascii="Garamond" w:eastAsia="Calibri" w:hAnsi="Garamond" w:cs="Times New Roman"/>
          <w:sz w:val="24"/>
          <w:szCs w:val="24"/>
        </w:rPr>
        <w:t>l Instituto Nacional de Estadística no contiene datos so</w:t>
      </w:r>
      <w:r>
        <w:rPr>
          <w:rFonts w:ascii="Garamond" w:eastAsia="Calibri" w:hAnsi="Garamond" w:cs="Times New Roman"/>
          <w:sz w:val="24"/>
          <w:szCs w:val="24"/>
        </w:rPr>
        <w:t>bre esta materia. Si en su página web</w:t>
      </w:r>
      <w:r>
        <w:rPr>
          <w:rStyle w:val="Refdenotaalpie"/>
          <w:rFonts w:ascii="Garamond" w:eastAsia="Calibri" w:hAnsi="Garamond" w:cs="Times New Roman"/>
          <w:sz w:val="24"/>
          <w:szCs w:val="24"/>
        </w:rPr>
        <w:footnoteReference w:id="19"/>
      </w:r>
      <w:r>
        <w:rPr>
          <w:rFonts w:ascii="Garamond" w:eastAsia="Calibri" w:hAnsi="Garamond" w:cs="Times New Roman"/>
          <w:sz w:val="24"/>
          <w:szCs w:val="24"/>
        </w:rPr>
        <w:t xml:space="preserve"> </w:t>
      </w:r>
      <w:r w:rsidR="00947E9B" w:rsidRPr="00395E47">
        <w:rPr>
          <w:rFonts w:ascii="Garamond" w:eastAsia="Calibri" w:hAnsi="Garamond" w:cs="Times New Roman"/>
          <w:sz w:val="24"/>
          <w:szCs w:val="24"/>
        </w:rPr>
        <w:t xml:space="preserve">se hace una búsqueda con las palabras respectivas, no arroja ningún resultado. </w:t>
      </w:r>
    </w:p>
    <w:p w14:paraId="1A055E20" w14:textId="77777777" w:rsidR="00FE2217" w:rsidRPr="00333C53" w:rsidRDefault="00947E9B" w:rsidP="00FE2217">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En el año 2016, el Ministerio Público presentó su último informe en el que reveló el número de asesinatos de mujeres por razones de género. La impunidad de los casos fue del 96%</w:t>
      </w:r>
      <w:r w:rsidRPr="00395E47">
        <w:rPr>
          <w:rFonts w:ascii="Garamond" w:eastAsia="Calibri" w:hAnsi="Garamond" w:cs="Times New Roman"/>
          <w:sz w:val="24"/>
          <w:szCs w:val="24"/>
          <w:vertAlign w:val="superscript"/>
        </w:rPr>
        <w:footnoteReference w:id="20"/>
      </w:r>
      <w:r w:rsidRPr="00395E47">
        <w:rPr>
          <w:rFonts w:ascii="Garamond" w:eastAsia="Calibri" w:hAnsi="Garamond" w:cs="Times New Roman"/>
          <w:sz w:val="24"/>
          <w:szCs w:val="24"/>
        </w:rPr>
        <w:t xml:space="preserve">. En noviembre de 2021, la Comisión ULA Mujer solicitó información al Instituto de Merideño de la Mujer (IMMFA) y al Instituto de la Mujer en el municipio Alberto Adriani </w:t>
      </w:r>
      <w:r w:rsidRPr="00333C53">
        <w:rPr>
          <w:rFonts w:ascii="Garamond" w:eastAsia="Calibri" w:hAnsi="Garamond" w:cs="Times New Roman"/>
          <w:sz w:val="24"/>
          <w:szCs w:val="24"/>
        </w:rPr>
        <w:t xml:space="preserve">sobre casos de violencia de género atendidos durante el año 2021; sin embargo, hasta la fecha de la culminación de este informe no han facilitado el acceso a los datos. </w:t>
      </w:r>
    </w:p>
    <w:p w14:paraId="5AF8A45A" w14:textId="77777777" w:rsidR="00FE2217" w:rsidRPr="00333C53" w:rsidRDefault="00947E9B" w:rsidP="00FE2217">
      <w:pPr>
        <w:spacing w:after="160" w:line="259" w:lineRule="auto"/>
        <w:ind w:left="360"/>
        <w:jc w:val="both"/>
        <w:rPr>
          <w:rFonts w:ascii="Garamond" w:eastAsia="Calibri" w:hAnsi="Garamond" w:cs="Times New Roman"/>
          <w:sz w:val="24"/>
          <w:szCs w:val="24"/>
        </w:rPr>
      </w:pPr>
      <w:r w:rsidRPr="00333C53">
        <w:rPr>
          <w:rFonts w:ascii="Garamond" w:eastAsia="Calibri" w:hAnsi="Garamond" w:cs="Times New Roman"/>
          <w:sz w:val="24"/>
          <w:szCs w:val="24"/>
        </w:rPr>
        <w:t>El Estado viola el artículo 58 de la Constitución Nacional y el 14 de la Ley de la Función Pública de Estadística, al no garantizar a toda persona, natural o jurídica, el acceso a la información</w:t>
      </w:r>
      <w:r w:rsidRPr="00333C53">
        <w:rPr>
          <w:rFonts w:ascii="Garamond" w:eastAsia="Calibri" w:hAnsi="Garamond" w:cs="Times New Roman"/>
          <w:sz w:val="24"/>
          <w:szCs w:val="24"/>
          <w:vertAlign w:val="superscript"/>
        </w:rPr>
        <w:footnoteReference w:id="21"/>
      </w:r>
      <w:r w:rsidRPr="00333C53">
        <w:rPr>
          <w:rFonts w:ascii="Garamond" w:eastAsia="Calibri" w:hAnsi="Garamond" w:cs="Times New Roman"/>
          <w:sz w:val="24"/>
          <w:szCs w:val="24"/>
        </w:rPr>
        <w:t>.</w:t>
      </w:r>
    </w:p>
    <w:p w14:paraId="0FC5E96A" w14:textId="77777777" w:rsidR="00FE2217" w:rsidRPr="00333C53" w:rsidRDefault="00BB118C" w:rsidP="00FE2217">
      <w:pPr>
        <w:spacing w:after="160" w:line="259" w:lineRule="auto"/>
        <w:ind w:left="360"/>
        <w:jc w:val="both"/>
        <w:rPr>
          <w:rFonts w:ascii="Garamond" w:eastAsia="Calibri" w:hAnsi="Garamond" w:cs="Times New Roman"/>
          <w:sz w:val="24"/>
          <w:szCs w:val="24"/>
        </w:rPr>
      </w:pPr>
      <w:r w:rsidRPr="00333C53">
        <w:rPr>
          <w:rFonts w:ascii="Garamond" w:hAnsi="Garamond" w:cs="Times New Roman"/>
          <w:b/>
          <w:sz w:val="24"/>
          <w:szCs w:val="24"/>
        </w:rPr>
        <w:t xml:space="preserve"> </w:t>
      </w:r>
      <w:r w:rsidR="00F3735C" w:rsidRPr="00333C53">
        <w:rPr>
          <w:rFonts w:ascii="Garamond" w:hAnsi="Garamond" w:cs="Times New Roman"/>
          <w:b/>
          <w:sz w:val="24"/>
          <w:szCs w:val="24"/>
        </w:rPr>
        <w:t>Violencia contra la Mujer en la Región Andina</w:t>
      </w:r>
    </w:p>
    <w:p w14:paraId="36983D62" w14:textId="03BD7220" w:rsidR="00FE2217" w:rsidRDefault="00F3735C" w:rsidP="00FE2217">
      <w:pPr>
        <w:spacing w:after="160" w:line="259" w:lineRule="auto"/>
        <w:ind w:left="360"/>
        <w:jc w:val="both"/>
        <w:rPr>
          <w:rFonts w:ascii="Garamond" w:eastAsia="Calibri" w:hAnsi="Garamond" w:cs="Times New Roman"/>
          <w:sz w:val="24"/>
          <w:szCs w:val="24"/>
        </w:rPr>
      </w:pPr>
      <w:r w:rsidRPr="00333C53">
        <w:rPr>
          <w:rFonts w:ascii="Garamond" w:eastAsia="Calibri" w:hAnsi="Garamond" w:cs="Times New Roman"/>
          <w:sz w:val="24"/>
          <w:szCs w:val="24"/>
          <w:lang w:val="es-ES"/>
        </w:rPr>
        <w:t>La Comisión ULA Mujer y el ODH-ULA registraron un total de 95 casos de violencia contra la mujer en la región andina desde el 1 de enero hasta el 31 de julio de 2022. De los casos registrados 24 ocurrieron en el mes de enero, 7 en febrero, 17 en marzo, 18 en abril, 15 en mayo, 7 en junio y 7 en julio</w:t>
      </w:r>
      <w:r w:rsidR="00B7764D" w:rsidRPr="00333C53">
        <w:rPr>
          <w:rStyle w:val="Refdenotaalpie"/>
          <w:rFonts w:ascii="Garamond" w:eastAsia="Calibri" w:hAnsi="Garamond" w:cs="Times New Roman"/>
          <w:sz w:val="24"/>
          <w:szCs w:val="24"/>
          <w:lang w:val="es-ES"/>
        </w:rPr>
        <w:footnoteReference w:id="22"/>
      </w:r>
      <w:r w:rsidRPr="00333C53">
        <w:rPr>
          <w:rFonts w:ascii="Garamond" w:eastAsia="Calibri" w:hAnsi="Garamond" w:cs="Times New Roman"/>
          <w:sz w:val="24"/>
          <w:szCs w:val="24"/>
          <w:lang w:val="es-ES"/>
        </w:rPr>
        <w:t>.</w:t>
      </w:r>
      <w:r w:rsidRPr="00395E47">
        <w:rPr>
          <w:rFonts w:ascii="Garamond" w:eastAsia="Calibri" w:hAnsi="Garamond" w:cs="Times New Roman"/>
          <w:sz w:val="24"/>
          <w:szCs w:val="24"/>
          <w:lang w:val="es-ES"/>
        </w:rPr>
        <w:t xml:space="preserve"> </w:t>
      </w:r>
    </w:p>
    <w:p w14:paraId="0977A315" w14:textId="77777777" w:rsidR="00FE2217" w:rsidRDefault="00F3735C" w:rsidP="00FE2217">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lang w:val="es-ES"/>
        </w:rPr>
        <w:t>54 casos ocurrieron en el estado Mérida, 23 en el estado Táchira y 18 en el estado Trujillo. De las 25 formas de violencia que establece la Ley Orgánica sobre el Derecho de las Mujeres a una Vida Libre de Violencia, en estos casos se identificaron 12: acoso u hostigamiento, acoso sexual, amenaza, violencia psicológica, física, sexual, laboral, familiar, patrimonial y económica, trata de mujeres, niñas y adolescentes, femicidio</w:t>
      </w:r>
      <w:r>
        <w:rPr>
          <w:rFonts w:ascii="Garamond" w:eastAsia="Calibri" w:hAnsi="Garamond" w:cs="Times New Roman"/>
          <w:sz w:val="24"/>
          <w:szCs w:val="24"/>
          <w:lang w:val="es-ES"/>
        </w:rPr>
        <w:t xml:space="preserve"> consumado</w:t>
      </w:r>
      <w:r w:rsidRPr="00395E47">
        <w:rPr>
          <w:rFonts w:ascii="Garamond" w:eastAsia="Calibri" w:hAnsi="Garamond" w:cs="Times New Roman"/>
          <w:sz w:val="24"/>
          <w:szCs w:val="24"/>
          <w:lang w:val="es-ES"/>
        </w:rPr>
        <w:t xml:space="preserve"> y en grado de frustración.</w:t>
      </w:r>
    </w:p>
    <w:p w14:paraId="4DB8253C" w14:textId="77777777" w:rsidR="00FE2217" w:rsidRDefault="00616545" w:rsidP="00FE2217">
      <w:pPr>
        <w:spacing w:after="160" w:line="259" w:lineRule="auto"/>
        <w:ind w:left="360"/>
        <w:jc w:val="both"/>
        <w:rPr>
          <w:rFonts w:ascii="Garamond" w:eastAsia="Calibri" w:hAnsi="Garamond" w:cs="Times New Roman"/>
          <w:sz w:val="24"/>
          <w:szCs w:val="24"/>
        </w:rPr>
      </w:pPr>
      <w:r w:rsidRPr="00395E47">
        <w:rPr>
          <w:rFonts w:ascii="Garamond" w:eastAsia="Times New Roman" w:hAnsi="Garamond" w:cs="Times New Roman"/>
          <w:b/>
          <w:color w:val="000000"/>
          <w:sz w:val="24"/>
          <w:szCs w:val="24"/>
          <w:lang w:eastAsia="es-VE"/>
        </w:rPr>
        <w:t>Desapariciones de niñas, adolescentes y mujeres: una forma de violencia de gén</w:t>
      </w:r>
      <w:r w:rsidR="00F3735C">
        <w:rPr>
          <w:rFonts w:ascii="Garamond" w:eastAsia="Times New Roman" w:hAnsi="Garamond" w:cs="Times New Roman"/>
          <w:b/>
          <w:color w:val="000000"/>
          <w:sz w:val="24"/>
          <w:szCs w:val="24"/>
          <w:lang w:eastAsia="es-VE"/>
        </w:rPr>
        <w:t>ero invisibilizada en Venezuela</w:t>
      </w:r>
    </w:p>
    <w:p w14:paraId="0B3B98F5" w14:textId="0DD377B3" w:rsidR="0089454A" w:rsidRDefault="00616545"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Ante la opacidad de datos oficiales, en el marco de la Campaña #</w:t>
      </w:r>
      <w:proofErr w:type="spellStart"/>
      <w:r w:rsidRPr="00395E47">
        <w:rPr>
          <w:rFonts w:ascii="Garamond" w:eastAsia="Times New Roman" w:hAnsi="Garamond" w:cs="Times New Roman"/>
          <w:color w:val="000000"/>
          <w:sz w:val="24"/>
          <w:szCs w:val="24"/>
          <w:lang w:eastAsia="es-VE"/>
        </w:rPr>
        <w:t>LaMejorRuta</w:t>
      </w:r>
      <w:proofErr w:type="spellEnd"/>
      <w:r w:rsidRPr="00395E47">
        <w:rPr>
          <w:rFonts w:ascii="Garamond" w:eastAsia="Times New Roman" w:hAnsi="Garamond" w:cs="Times New Roman"/>
          <w:color w:val="000000"/>
          <w:sz w:val="24"/>
          <w:szCs w:val="24"/>
          <w:lang w:eastAsia="es-VE"/>
        </w:rPr>
        <w:t xml:space="preserve"> se realizó un monitoreo y registro de personas desaparecidas </w:t>
      </w:r>
      <w:r w:rsidR="0089454A" w:rsidRPr="0089454A">
        <w:rPr>
          <w:rFonts w:ascii="Garamond" w:eastAsia="Times New Roman" w:hAnsi="Garamond" w:cs="Times New Roman"/>
          <w:color w:val="000000"/>
          <w:sz w:val="24"/>
          <w:szCs w:val="24"/>
          <w:lang w:eastAsia="es-VE"/>
        </w:rPr>
        <w:t xml:space="preserve">en los medios digitales y las redes sociales, desde el 01/01/2020 hasta el 31/08/2021, constatándose que dentro de las causas de las desapariciones de personas en Venezuela, se muestra alta incidencia en la violencia basada en género (VBG) con 77 desaparecidas en el 2020, 43 en el 2021, seguida de la trata </w:t>
      </w:r>
      <w:r w:rsidR="0089454A" w:rsidRPr="0089454A">
        <w:rPr>
          <w:rFonts w:ascii="Garamond" w:eastAsia="Times New Roman" w:hAnsi="Garamond" w:cs="Times New Roman"/>
          <w:color w:val="000000"/>
          <w:sz w:val="24"/>
          <w:szCs w:val="24"/>
          <w:lang w:eastAsia="es-VE"/>
        </w:rPr>
        <w:lastRenderedPageBreak/>
        <w:t xml:space="preserve">y tráfico de personas con 41 personas en el 2020, 37 en el 2021, erigiéndose como una forma extrema de violencia basada en género que se encuentra </w:t>
      </w:r>
      <w:proofErr w:type="spellStart"/>
      <w:r w:rsidR="0089454A" w:rsidRPr="0089454A">
        <w:rPr>
          <w:rFonts w:ascii="Garamond" w:eastAsia="Times New Roman" w:hAnsi="Garamond" w:cs="Times New Roman"/>
          <w:color w:val="000000"/>
          <w:sz w:val="24"/>
          <w:szCs w:val="24"/>
          <w:lang w:eastAsia="es-VE"/>
        </w:rPr>
        <w:t>invisibilizada</w:t>
      </w:r>
      <w:proofErr w:type="spellEnd"/>
      <w:r w:rsidR="0089454A" w:rsidRPr="0089454A">
        <w:rPr>
          <w:rFonts w:ascii="Garamond" w:eastAsia="Times New Roman" w:hAnsi="Garamond" w:cs="Times New Roman"/>
          <w:color w:val="000000"/>
          <w:sz w:val="24"/>
          <w:szCs w:val="24"/>
          <w:lang w:eastAsia="es-VE"/>
        </w:rPr>
        <w:t>, por la misma naturaleza del delito y por ello, la tipificación favorece la búsqueda, investigación y judicialización de las desapariciones de niñas, adolescentes y mujeres.</w:t>
      </w:r>
    </w:p>
    <w:p w14:paraId="04A3C926" w14:textId="46A57591" w:rsidR="0089454A" w:rsidRDefault="0089454A" w:rsidP="0089454A">
      <w:pPr>
        <w:spacing w:after="160" w:line="259" w:lineRule="auto"/>
        <w:ind w:left="360"/>
        <w:jc w:val="both"/>
        <w:rPr>
          <w:rFonts w:ascii="Garamond" w:eastAsia="Times New Roman" w:hAnsi="Garamond" w:cs="Times New Roman"/>
          <w:color w:val="000000"/>
          <w:sz w:val="24"/>
          <w:szCs w:val="24"/>
          <w:lang w:eastAsia="es-VE"/>
        </w:rPr>
      </w:pPr>
      <w:r w:rsidRPr="0089454A">
        <w:rPr>
          <w:rFonts w:ascii="Garamond" w:eastAsia="Times New Roman" w:hAnsi="Garamond" w:cs="Times New Roman"/>
          <w:b/>
          <w:color w:val="000000"/>
          <w:sz w:val="24"/>
          <w:szCs w:val="24"/>
          <w:lang w:eastAsia="es-VE"/>
        </w:rPr>
        <w:t>Trata de niñas, adolescentes y mujeres en Venezuela</w:t>
      </w:r>
    </w:p>
    <w:p w14:paraId="43F2C63D" w14:textId="0867B690" w:rsidR="001D2B62" w:rsidRDefault="00616545"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Times New Roman" w:hAnsi="Garamond" w:cs="Times New Roman"/>
          <w:color w:val="000000"/>
          <w:sz w:val="24"/>
          <w:szCs w:val="24"/>
          <w:lang w:eastAsia="es-VE"/>
        </w:rPr>
        <w:t>La documentación realizada por Mulier termina de confirmar la gravedad, ya que para el 2021 registraron 415 venezolanas rescatadas, de las cuales 138 son niñas y adolescentes. El número de venezolanas rescatadas es inferior al de años anteriores y aunque esto pudiera hacernos pensar que la práctica está disminuyendo, no necesariamente es así, puede significar una menor efectividad de la fuerza pública al momento de desmantelar redes de trata y rescatar víctimas, una migración a formas digitales de explotación o mayor complicidad por parte de autoridades del Estado.</w:t>
      </w:r>
    </w:p>
    <w:p w14:paraId="53ABFD4F" w14:textId="77777777" w:rsidR="001D2B62" w:rsidRDefault="00F3735C" w:rsidP="001D2B62">
      <w:pPr>
        <w:spacing w:after="160" w:line="259" w:lineRule="auto"/>
        <w:ind w:left="360"/>
        <w:jc w:val="both"/>
        <w:rPr>
          <w:rFonts w:ascii="Garamond" w:eastAsia="Times New Roman" w:hAnsi="Garamond" w:cs="Times New Roman"/>
          <w:color w:val="000000"/>
          <w:sz w:val="24"/>
          <w:szCs w:val="24"/>
          <w:lang w:eastAsia="es-VE"/>
        </w:rPr>
      </w:pPr>
      <w:r>
        <w:rPr>
          <w:rFonts w:ascii="Garamond" w:eastAsia="Times New Roman" w:hAnsi="Garamond" w:cs="Times New Roman"/>
          <w:color w:val="000000"/>
          <w:sz w:val="24"/>
          <w:szCs w:val="24"/>
          <w:lang w:eastAsia="es-VE"/>
        </w:rPr>
        <w:t>T</w:t>
      </w:r>
      <w:r w:rsidR="00616545" w:rsidRPr="00395E47">
        <w:rPr>
          <w:rFonts w:ascii="Garamond" w:eastAsia="Times New Roman" w:hAnsi="Garamond" w:cs="Times New Roman"/>
          <w:color w:val="000000"/>
          <w:sz w:val="24"/>
          <w:szCs w:val="24"/>
          <w:lang w:eastAsia="es-VE"/>
        </w:rPr>
        <w:t>ristemente, otra cifra que viene aumentando desde el 2019 es la de niñas y adolescentes venezolanas que son rescatadas de redes de trata. De 90 jóvenes en 2019 pasaron a ser 138 en 2021. Esta situación responde, además de a las lógicas pedofílicas que atraviesan la trata, pero también al aumento de la vulnerabilidad que significa una mayor cantidad de menores de edad venezolanas no acompañadas que se encuentran en condiciones de movilidad humana</w:t>
      </w:r>
      <w:r w:rsidR="00616545" w:rsidRPr="00395E47">
        <w:rPr>
          <w:rFonts w:ascii="Garamond" w:eastAsia="Times New Roman" w:hAnsi="Garamond" w:cs="Times New Roman"/>
          <w:color w:val="000000"/>
          <w:sz w:val="24"/>
          <w:szCs w:val="24"/>
          <w:vertAlign w:val="superscript"/>
          <w:lang w:eastAsia="es-VE"/>
        </w:rPr>
        <w:footnoteReference w:id="23"/>
      </w:r>
      <w:r w:rsidR="00AB50E8">
        <w:rPr>
          <w:rFonts w:ascii="Garamond" w:eastAsia="Times New Roman" w:hAnsi="Garamond" w:cs="Times New Roman"/>
          <w:color w:val="000000"/>
          <w:sz w:val="24"/>
          <w:szCs w:val="24"/>
          <w:lang w:eastAsia="es-VE"/>
        </w:rPr>
        <w:t>.</w:t>
      </w:r>
    </w:p>
    <w:p w14:paraId="08218FCD"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b/>
          <w:sz w:val="24"/>
          <w:szCs w:val="24"/>
        </w:rPr>
        <w:t>Femicidios</w:t>
      </w:r>
      <w:r w:rsidRPr="00395E47">
        <w:rPr>
          <w:rFonts w:ascii="Garamond" w:hAnsi="Garamond" w:cs="Times New Roman"/>
          <w:b/>
          <w:sz w:val="24"/>
          <w:szCs w:val="24"/>
        </w:rPr>
        <w:tab/>
      </w:r>
    </w:p>
    <w:p w14:paraId="0A96659F"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sz w:val="24"/>
          <w:szCs w:val="24"/>
        </w:rPr>
        <w:t>La falta de respuesta por parte del Estado venezolano se ve reflejada en los índices de violencia, y más alarmante, en la tasa de femicidios que ocurren mes a mes en nuestro país. El Observatorio Digital de Femicidios de Cepaz documentó en el 2021, 290 femicidios consumados en Venezuela</w:t>
      </w:r>
      <w:r w:rsidRPr="00395E47">
        <w:rPr>
          <w:rFonts w:ascii="Garamond" w:hAnsi="Garamond" w:cs="Times New Roman"/>
          <w:sz w:val="24"/>
          <w:szCs w:val="24"/>
          <w:vertAlign w:val="superscript"/>
        </w:rPr>
        <w:footnoteReference w:id="24"/>
      </w:r>
      <w:r w:rsidRPr="00395E47">
        <w:rPr>
          <w:rFonts w:ascii="Garamond" w:hAnsi="Garamond" w:cs="Times New Roman"/>
          <w:sz w:val="24"/>
          <w:szCs w:val="24"/>
        </w:rPr>
        <w:t>. Por otra parte, en el primer trimestre del año 2022, el Observatorio recolectó 62 femicidios en el país aproximadamente.</w:t>
      </w:r>
      <w:r w:rsidRPr="00395E47">
        <w:rPr>
          <w:rFonts w:ascii="Garamond" w:hAnsi="Garamond" w:cs="Times New Roman"/>
          <w:sz w:val="24"/>
          <w:szCs w:val="24"/>
          <w:vertAlign w:val="superscript"/>
        </w:rPr>
        <w:footnoteReference w:id="25"/>
      </w:r>
    </w:p>
    <w:p w14:paraId="46C53670"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sz w:val="24"/>
          <w:szCs w:val="24"/>
        </w:rPr>
        <w:t>Es necesario que el Estado aborde la violencia contra las mujeres desde una perspectiva comprensiva de los fenómenos sociales asociados al delito, ya que el análisis, las caracterizaciones y/o consecuencias nos permite conocer los factores de riesgo que lo estimulan, es decir, estas circunstancias que incrementan la probabilidad de la perpetración del delito contra una mujer, por el hecho de ser mujer, particularmente aquellos factores de riesgo severos que terminan en un femicidio</w:t>
      </w:r>
      <w:r w:rsidRPr="00395E47">
        <w:rPr>
          <w:rFonts w:ascii="Garamond" w:hAnsi="Garamond" w:cs="Times New Roman"/>
          <w:sz w:val="24"/>
          <w:szCs w:val="24"/>
          <w:vertAlign w:val="superscript"/>
        </w:rPr>
        <w:footnoteReference w:id="26"/>
      </w:r>
      <w:r w:rsidRPr="00395E47">
        <w:rPr>
          <w:rFonts w:ascii="Garamond" w:hAnsi="Garamond" w:cs="Times New Roman"/>
          <w:sz w:val="24"/>
          <w:szCs w:val="24"/>
        </w:rPr>
        <w:t>.</w:t>
      </w:r>
    </w:p>
    <w:p w14:paraId="16C650F0"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sz w:val="24"/>
          <w:szCs w:val="24"/>
        </w:rPr>
        <w:t>Uno de los fenómenos asociados es la situación de los huérfanos niños, niñas y adolescentes, hijos e hijas de las víctimas de femicidios. El problema se agrava en los casos en que el perpetrador siendo el padre, se suicida después de haber cometido el hecho. Mes a mes nos hacemo</w:t>
      </w:r>
      <w:r w:rsidR="00E33320">
        <w:rPr>
          <w:rFonts w:ascii="Garamond" w:hAnsi="Garamond" w:cs="Times New Roman"/>
          <w:sz w:val="24"/>
          <w:szCs w:val="24"/>
        </w:rPr>
        <w:t>s las mismas preguntas en torno</w:t>
      </w:r>
      <w:r w:rsidRPr="00395E47">
        <w:rPr>
          <w:rFonts w:ascii="Garamond" w:hAnsi="Garamond" w:cs="Times New Roman"/>
          <w:sz w:val="24"/>
          <w:szCs w:val="24"/>
        </w:rPr>
        <w:t xml:space="preserve"> a los huérfanos de víctimas de femicidio: ¿Dónde están? ¿Con quién? ¿En qué condiciones legales? ¿Reciben atención </w:t>
      </w:r>
      <w:r w:rsidRPr="00395E47">
        <w:rPr>
          <w:rFonts w:ascii="Garamond" w:hAnsi="Garamond" w:cs="Times New Roman"/>
          <w:sz w:val="24"/>
          <w:szCs w:val="24"/>
        </w:rPr>
        <w:lastRenderedPageBreak/>
        <w:t>psicosocial? El Estado tiene la obligación de darnos repuesta y determinar si también fueron víctimas directa de maltrato.</w:t>
      </w:r>
    </w:p>
    <w:p w14:paraId="511BD064"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sz w:val="24"/>
          <w:szCs w:val="24"/>
        </w:rPr>
        <w:t>En el caso del femicidio en el marco del crimen organizado, dejan expectativas que ameritan profundizar sobre el origen de ellos, ya que no significa que las mujeres pertenezcan a algún grupo delincuencial, sino que el femicidio pudiera estar relacionado con riñas entre delincuencia organizada, o mensajes  cifrados entre  grupos de diferentes células  y las autoridades locales, que utilizan al cuerpo de las mujeres como simbología.</w:t>
      </w:r>
    </w:p>
    <w:p w14:paraId="331677ED" w14:textId="77777777" w:rsidR="001D2B62" w:rsidRDefault="00E67FFB"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hAnsi="Garamond" w:cs="Times New Roman"/>
          <w:sz w:val="24"/>
          <w:szCs w:val="24"/>
        </w:rPr>
        <w:t>Para concluir, la exploración obligada de los fenómenos asociados a los femicidios, pondrá en evidencia en Venezuela, la urgente necesidad de mejorar la reunión de datos para fortalecer la base de conocimientos sobre los tipos de violencia contra la mujer, a fin de informar la elaborac</w:t>
      </w:r>
      <w:r w:rsidR="00172C99">
        <w:rPr>
          <w:rFonts w:ascii="Garamond" w:hAnsi="Garamond" w:cs="Times New Roman"/>
          <w:sz w:val="24"/>
          <w:szCs w:val="24"/>
        </w:rPr>
        <w:t>ión de políticas y estrategias.</w:t>
      </w:r>
    </w:p>
    <w:p w14:paraId="000392A6" w14:textId="77777777" w:rsidR="001D2B62" w:rsidRDefault="00426F52" w:rsidP="001D2B62">
      <w:pPr>
        <w:spacing w:after="160" w:line="259" w:lineRule="auto"/>
        <w:ind w:left="360"/>
        <w:jc w:val="both"/>
        <w:rPr>
          <w:rFonts w:ascii="Garamond" w:eastAsia="Times New Roman" w:hAnsi="Garamond" w:cs="Times New Roman"/>
          <w:color w:val="000000"/>
          <w:sz w:val="24"/>
          <w:szCs w:val="24"/>
          <w:lang w:eastAsia="es-VE"/>
        </w:rPr>
      </w:pPr>
      <w:r w:rsidRPr="00B7764D">
        <w:rPr>
          <w:rFonts w:ascii="Garamond" w:eastAsia="Calibri" w:hAnsi="Garamond" w:cs="Times New Roman"/>
          <w:b/>
          <w:sz w:val="24"/>
          <w:szCs w:val="24"/>
        </w:rPr>
        <w:t>Femicidios en Los Andes</w:t>
      </w:r>
    </w:p>
    <w:p w14:paraId="241D8BBA" w14:textId="77777777" w:rsidR="001D2B62" w:rsidRDefault="00527E26"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Calibri" w:hAnsi="Garamond" w:cs="Times New Roman"/>
          <w:sz w:val="24"/>
          <w:szCs w:val="24"/>
          <w:lang w:val="es-ES"/>
        </w:rPr>
        <w:t xml:space="preserve">Entre enero y julio de 2022, cinco mujeres fueron asesinadas en la región andina </w:t>
      </w:r>
      <w:r w:rsidR="00110152">
        <w:rPr>
          <w:rFonts w:ascii="Garamond" w:eastAsia="Calibri" w:hAnsi="Garamond" w:cs="Times New Roman"/>
          <w:sz w:val="24"/>
          <w:szCs w:val="24"/>
          <w:lang w:val="es-ES"/>
        </w:rPr>
        <w:t xml:space="preserve">por violencia basada en género. </w:t>
      </w:r>
      <w:r w:rsidRPr="00395E47">
        <w:rPr>
          <w:rFonts w:ascii="Garamond" w:eastAsia="Calibri" w:hAnsi="Garamond" w:cs="Times New Roman"/>
          <w:sz w:val="24"/>
          <w:szCs w:val="24"/>
          <w:lang w:val="es-ES"/>
        </w:rPr>
        <w:t>Además de l</w:t>
      </w:r>
      <w:r w:rsidR="00110152">
        <w:rPr>
          <w:rFonts w:ascii="Garamond" w:eastAsia="Calibri" w:hAnsi="Garamond" w:cs="Times New Roman"/>
          <w:sz w:val="24"/>
          <w:szCs w:val="24"/>
          <w:lang w:val="es-ES"/>
        </w:rPr>
        <w:t>os casos de femicidio consumado</w:t>
      </w:r>
      <w:r w:rsidRPr="00395E47">
        <w:rPr>
          <w:rFonts w:ascii="Garamond" w:eastAsia="Calibri" w:hAnsi="Garamond" w:cs="Times New Roman"/>
          <w:sz w:val="24"/>
          <w:szCs w:val="24"/>
          <w:lang w:val="es-ES"/>
        </w:rPr>
        <w:t xml:space="preserve">, 3 mujeres sobrevivieron al intento de asesinato por parte de su agresor, todos ocurridos en el estado Táchira. </w:t>
      </w:r>
    </w:p>
    <w:p w14:paraId="1C861280" w14:textId="435D18EA" w:rsidR="001D2B62" w:rsidRDefault="00527E26" w:rsidP="001D2B62">
      <w:pPr>
        <w:spacing w:after="160" w:line="259" w:lineRule="auto"/>
        <w:ind w:left="360"/>
        <w:jc w:val="both"/>
        <w:rPr>
          <w:rFonts w:ascii="Garamond" w:eastAsia="Times New Roman" w:hAnsi="Garamond" w:cs="Times New Roman"/>
          <w:color w:val="000000"/>
          <w:sz w:val="24"/>
          <w:szCs w:val="24"/>
          <w:lang w:eastAsia="es-VE"/>
        </w:rPr>
      </w:pPr>
      <w:r w:rsidRPr="00395E47">
        <w:rPr>
          <w:rFonts w:ascii="Garamond" w:eastAsia="Calibri" w:hAnsi="Garamond" w:cs="Times New Roman"/>
          <w:sz w:val="24"/>
          <w:szCs w:val="24"/>
        </w:rPr>
        <w:t>Durante el periodo en estudio, un total de ocho mujeres fueron reportadas como desaparecidas en los estados Mérida (4), Táchira (3) y Trujillo (1), de ellas se pudo conocer que solo 2 aparecieron, sin mayor información sobre que ocurrió durante el tiempo que estuvieron desaparecidas.</w:t>
      </w:r>
      <w:r w:rsidR="00B7764D">
        <w:rPr>
          <w:rStyle w:val="Refdenotaalpie"/>
          <w:rFonts w:ascii="Garamond" w:eastAsia="Calibri" w:hAnsi="Garamond" w:cs="Times New Roman"/>
          <w:sz w:val="24"/>
          <w:szCs w:val="24"/>
        </w:rPr>
        <w:footnoteReference w:id="27"/>
      </w:r>
      <w:r w:rsidRPr="00395E47">
        <w:rPr>
          <w:rFonts w:ascii="Garamond" w:eastAsia="Calibri" w:hAnsi="Garamond" w:cs="Times New Roman"/>
          <w:sz w:val="24"/>
          <w:szCs w:val="24"/>
        </w:rPr>
        <w:t xml:space="preserve"> </w:t>
      </w:r>
    </w:p>
    <w:p w14:paraId="011867C9" w14:textId="77777777" w:rsidR="00354FF6" w:rsidRPr="00354FF6" w:rsidRDefault="008949BC" w:rsidP="000610DC">
      <w:pPr>
        <w:pStyle w:val="Prrafodelista"/>
        <w:numPr>
          <w:ilvl w:val="0"/>
          <w:numId w:val="18"/>
        </w:numPr>
        <w:spacing w:after="160" w:line="259" w:lineRule="auto"/>
        <w:jc w:val="both"/>
        <w:rPr>
          <w:rFonts w:ascii="Garamond" w:eastAsia="Calibri" w:hAnsi="Garamond" w:cs="Times New Roman"/>
          <w:sz w:val="24"/>
          <w:szCs w:val="24"/>
        </w:rPr>
      </w:pPr>
      <w:r w:rsidRPr="0084261C">
        <w:rPr>
          <w:rFonts w:ascii="Garamond" w:eastAsia="Calibri" w:hAnsi="Garamond" w:cs="Times New Roman"/>
          <w:b/>
          <w:sz w:val="24"/>
          <w:szCs w:val="24"/>
        </w:rPr>
        <w:t>Artículo 2</w:t>
      </w:r>
      <w:r w:rsidR="000610DC" w:rsidRPr="0084261C">
        <w:rPr>
          <w:rFonts w:ascii="Garamond" w:eastAsia="Calibri" w:hAnsi="Garamond" w:cs="Times New Roman"/>
          <w:b/>
          <w:sz w:val="24"/>
          <w:szCs w:val="24"/>
        </w:rPr>
        <w:t>5</w:t>
      </w:r>
    </w:p>
    <w:p w14:paraId="205227D8" w14:textId="77777777" w:rsidR="00B13775" w:rsidRDefault="007E7A53" w:rsidP="00B13775">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El Estado venezolano en su quinto informe, específicamente el párrafo 41</w:t>
      </w:r>
      <w:r w:rsidR="000E39B5">
        <w:rPr>
          <w:rFonts w:ascii="Garamond" w:eastAsia="Calibri" w:hAnsi="Garamond" w:cs="Times New Roman"/>
          <w:sz w:val="24"/>
          <w:szCs w:val="24"/>
        </w:rPr>
        <w:t xml:space="preserve"> y 42</w:t>
      </w:r>
      <w:r>
        <w:rPr>
          <w:rFonts w:ascii="Garamond" w:eastAsia="Calibri" w:hAnsi="Garamond" w:cs="Times New Roman"/>
          <w:sz w:val="24"/>
          <w:szCs w:val="24"/>
        </w:rPr>
        <w:t>,</w:t>
      </w:r>
      <w:r w:rsidR="000E39B5">
        <w:rPr>
          <w:rFonts w:ascii="Garamond" w:eastAsia="Calibri" w:hAnsi="Garamond" w:cs="Times New Roman"/>
          <w:sz w:val="24"/>
          <w:szCs w:val="24"/>
        </w:rPr>
        <w:t xml:space="preserve"> señalan las medidas tomadas por el Consejo Nacional Electoral (CNE) para garantizar la paridad en los procesos electorales </w:t>
      </w:r>
      <w:r w:rsidR="007F6814">
        <w:rPr>
          <w:rFonts w:ascii="Garamond" w:eastAsia="Calibri" w:hAnsi="Garamond" w:cs="Times New Roman"/>
          <w:sz w:val="24"/>
          <w:szCs w:val="24"/>
        </w:rPr>
        <w:t xml:space="preserve">2015, 2018 y 2020, así como aseguró que el padrón electoral en el período 2014-2020 fue conformado en su mayoría por mujeres, con un 51,22%. </w:t>
      </w:r>
    </w:p>
    <w:p w14:paraId="0ACF4830" w14:textId="77777777" w:rsidR="00745A98" w:rsidRDefault="00CC2675" w:rsidP="00745A98">
      <w:pPr>
        <w:spacing w:after="160" w:line="259" w:lineRule="auto"/>
        <w:ind w:left="360"/>
        <w:jc w:val="both"/>
        <w:rPr>
          <w:rFonts w:ascii="Garamond" w:hAnsi="Garamond" w:cs="Times New Roman"/>
          <w:sz w:val="24"/>
          <w:szCs w:val="24"/>
        </w:rPr>
      </w:pPr>
      <w:r w:rsidRPr="00395E47">
        <w:rPr>
          <w:rFonts w:ascii="Garamond" w:hAnsi="Garamond" w:cs="Times New Roman"/>
          <w:sz w:val="24"/>
          <w:szCs w:val="24"/>
        </w:rPr>
        <w:t xml:space="preserve">En Venezuela, a pesar de existir </w:t>
      </w:r>
      <w:r w:rsidR="00DB3DAB">
        <w:rPr>
          <w:rFonts w:ascii="Garamond" w:hAnsi="Garamond" w:cs="Times New Roman"/>
          <w:sz w:val="24"/>
          <w:szCs w:val="24"/>
        </w:rPr>
        <w:t>el</w:t>
      </w:r>
      <w:r w:rsidRPr="00395E47">
        <w:rPr>
          <w:rFonts w:ascii="Garamond" w:hAnsi="Garamond" w:cs="Times New Roman"/>
          <w:sz w:val="24"/>
          <w:szCs w:val="24"/>
        </w:rPr>
        <w:t xml:space="preserve"> historial de resoluciones del Consejo Nacional Electoral (CNE)</w:t>
      </w:r>
      <w:r w:rsidR="00DB3DAB">
        <w:rPr>
          <w:rFonts w:ascii="Garamond" w:hAnsi="Garamond" w:cs="Times New Roman"/>
          <w:sz w:val="24"/>
          <w:szCs w:val="24"/>
        </w:rPr>
        <w:t>, el cual menciona el Estado</w:t>
      </w:r>
      <w:r w:rsidRPr="00395E47">
        <w:rPr>
          <w:rFonts w:ascii="Garamond" w:hAnsi="Garamond" w:cs="Times New Roman"/>
          <w:sz w:val="24"/>
          <w:szCs w:val="24"/>
        </w:rPr>
        <w:t>, que promulgan la paridad de género y de contar con una Constitución que establece el ejercicio en condiciones de igualdad de los derechos y libertades, todavía persisten brechas amplias que mantienen a las mujeres al margen de los asuntos políticos del país y de los espacios de toma de decisiones</w:t>
      </w:r>
      <w:r w:rsidR="00B13775">
        <w:rPr>
          <w:rStyle w:val="Refdenotaalpie"/>
          <w:rFonts w:ascii="Garamond" w:hAnsi="Garamond" w:cs="Times New Roman"/>
          <w:sz w:val="24"/>
          <w:szCs w:val="24"/>
        </w:rPr>
        <w:footnoteReference w:id="28"/>
      </w:r>
      <w:r w:rsidR="00745A98">
        <w:rPr>
          <w:rFonts w:ascii="Garamond" w:hAnsi="Garamond" w:cs="Times New Roman"/>
          <w:sz w:val="24"/>
          <w:szCs w:val="24"/>
        </w:rPr>
        <w:t>.</w:t>
      </w:r>
    </w:p>
    <w:p w14:paraId="4D1119B0" w14:textId="77777777" w:rsidR="002E62FE" w:rsidRDefault="00CC2675" w:rsidP="002E62FE">
      <w:pPr>
        <w:spacing w:after="160" w:line="259" w:lineRule="auto"/>
        <w:ind w:left="360"/>
        <w:jc w:val="both"/>
        <w:rPr>
          <w:rFonts w:ascii="Garamond" w:hAnsi="Garamond" w:cs="Times New Roman"/>
          <w:sz w:val="24"/>
          <w:szCs w:val="24"/>
        </w:rPr>
      </w:pPr>
      <w:r w:rsidRPr="00395E47">
        <w:rPr>
          <w:rFonts w:ascii="Garamond" w:hAnsi="Garamond" w:cs="Times New Roman"/>
          <w:sz w:val="24"/>
          <w:szCs w:val="24"/>
        </w:rPr>
        <w:t>Las mujeres siguen siendo discriminadas de los espacios políticos, incluyendo los partidos políticos y las mesas de diálogo. El Estado no ha mostrado una verdadera voluntad de promulgar y aplicar normativas y políticas públicas dirigidas a derrumbar las barreras</w:t>
      </w:r>
      <w:r w:rsidRPr="00395E47">
        <w:rPr>
          <w:rFonts w:ascii="Garamond" w:hAnsi="Garamond" w:cs="Times New Roman"/>
          <w:sz w:val="24"/>
          <w:szCs w:val="24"/>
          <w:vertAlign w:val="superscript"/>
        </w:rPr>
        <w:footnoteReference w:id="29"/>
      </w:r>
      <w:r w:rsidR="00745A98">
        <w:rPr>
          <w:rFonts w:ascii="Garamond" w:hAnsi="Garamond" w:cs="Times New Roman"/>
          <w:sz w:val="24"/>
          <w:szCs w:val="24"/>
        </w:rPr>
        <w:t>.</w:t>
      </w:r>
    </w:p>
    <w:p w14:paraId="241358A2" w14:textId="77777777" w:rsidR="002E62FE" w:rsidRPr="002E62FE" w:rsidRDefault="002E62FE" w:rsidP="002E62FE">
      <w:pPr>
        <w:spacing w:after="160" w:line="259" w:lineRule="auto"/>
        <w:ind w:left="360"/>
        <w:jc w:val="both"/>
        <w:rPr>
          <w:rFonts w:ascii="Garamond" w:hAnsi="Garamond" w:cs="Times New Roman"/>
          <w:sz w:val="24"/>
          <w:szCs w:val="24"/>
        </w:rPr>
      </w:pPr>
      <w:r>
        <w:rPr>
          <w:rFonts w:ascii="Garamond" w:hAnsi="Garamond" w:cs="Times New Roman"/>
          <w:sz w:val="24"/>
          <w:szCs w:val="24"/>
        </w:rPr>
        <w:t>E</w:t>
      </w:r>
      <w:r w:rsidRPr="00395E47">
        <w:rPr>
          <w:rFonts w:ascii="Garamond" w:eastAsia="Calibri" w:hAnsi="Garamond" w:cs="Times New Roman"/>
          <w:sz w:val="24"/>
          <w:szCs w:val="24"/>
        </w:rPr>
        <w:t xml:space="preserve">l Estado venezolano está en deuda con la igualdad de las mujeres en la participación política, tanto en los cargos de elección popular como en cargos políticos propiamente </w:t>
      </w:r>
      <w:r w:rsidRPr="00395E47">
        <w:rPr>
          <w:rFonts w:ascii="Garamond" w:eastAsia="Calibri" w:hAnsi="Garamond" w:cs="Times New Roman"/>
          <w:sz w:val="24"/>
          <w:szCs w:val="24"/>
        </w:rPr>
        <w:lastRenderedPageBreak/>
        <w:t xml:space="preserve">administrativos, pues no solo no ha legislado ni promulgado una ley específica en </w:t>
      </w:r>
      <w:r>
        <w:rPr>
          <w:rFonts w:ascii="Garamond" w:eastAsia="Calibri" w:hAnsi="Garamond" w:cs="Times New Roman"/>
          <w:sz w:val="24"/>
          <w:szCs w:val="24"/>
        </w:rPr>
        <w:t>la</w:t>
      </w:r>
      <w:r w:rsidRPr="00395E47">
        <w:rPr>
          <w:rFonts w:ascii="Garamond" w:eastAsia="Calibri" w:hAnsi="Garamond" w:cs="Times New Roman"/>
          <w:sz w:val="24"/>
          <w:szCs w:val="24"/>
        </w:rPr>
        <w:t xml:space="preserve"> materia</w:t>
      </w:r>
      <w:r>
        <w:rPr>
          <w:rFonts w:ascii="Garamond" w:eastAsia="Calibri" w:hAnsi="Garamond" w:cs="Times New Roman"/>
          <w:sz w:val="24"/>
          <w:szCs w:val="24"/>
        </w:rPr>
        <w:t xml:space="preserve"> de maridad</w:t>
      </w:r>
      <w:r w:rsidRPr="00395E47">
        <w:rPr>
          <w:rFonts w:ascii="Garamond" w:eastAsia="Calibri" w:hAnsi="Garamond" w:cs="Times New Roman"/>
          <w:sz w:val="24"/>
          <w:szCs w:val="24"/>
        </w:rPr>
        <w:t xml:space="preserve">, sino que retrocedió en relación con la cuota de participación política de las mujeres contemplada en la Ley Orgánica del Sufragio y la </w:t>
      </w:r>
      <w:r>
        <w:rPr>
          <w:rFonts w:ascii="Garamond" w:eastAsia="Calibri" w:hAnsi="Garamond" w:cs="Times New Roman"/>
          <w:sz w:val="24"/>
          <w:szCs w:val="24"/>
        </w:rPr>
        <w:t>Participación Política de 1998.</w:t>
      </w:r>
    </w:p>
    <w:p w14:paraId="153BF900" w14:textId="1A585736" w:rsidR="001D2B62" w:rsidRDefault="00A2777B" w:rsidP="001D2B62">
      <w:pPr>
        <w:spacing w:after="160" w:line="259" w:lineRule="auto"/>
        <w:ind w:left="360"/>
        <w:jc w:val="both"/>
        <w:rPr>
          <w:rFonts w:ascii="Garamond" w:eastAsia="Calibri" w:hAnsi="Garamond" w:cs="Times New Roman"/>
          <w:sz w:val="24"/>
          <w:szCs w:val="24"/>
        </w:rPr>
      </w:pPr>
      <w:r>
        <w:rPr>
          <w:rFonts w:ascii="Garamond" w:hAnsi="Garamond" w:cs="Times New Roman"/>
          <w:sz w:val="24"/>
          <w:szCs w:val="24"/>
        </w:rPr>
        <w:t>Según Comisión ULA MUJER, e</w:t>
      </w:r>
      <w:r w:rsidRPr="00395E47">
        <w:rPr>
          <w:rFonts w:ascii="Garamond" w:eastAsia="Calibri" w:hAnsi="Garamond" w:cs="Times New Roman"/>
          <w:sz w:val="24"/>
          <w:szCs w:val="24"/>
        </w:rPr>
        <w:t>n el año 2009 se promulgó la Ley Orgánica de Procesos Electorales (publicada en Gaceta Oficial Extraordinaria No. 5.928 del 12 de agosto de 2009), que derogó la Ley Orgánica del Sufragio y la Participación Política de 1998; pero, contrariamente a la anterior, esta nueva Ley del 2009 no contiene ningún artículo concerniente a la igualdad de condiciones de la muje</w:t>
      </w:r>
      <w:r>
        <w:rPr>
          <w:rFonts w:ascii="Garamond" w:eastAsia="Calibri" w:hAnsi="Garamond" w:cs="Times New Roman"/>
          <w:sz w:val="24"/>
          <w:szCs w:val="24"/>
        </w:rPr>
        <w:t>r en la participación política</w:t>
      </w:r>
      <w:r w:rsidR="00602130">
        <w:rPr>
          <w:rStyle w:val="Refdenotaalpie"/>
          <w:rFonts w:ascii="Garamond" w:eastAsia="Calibri" w:hAnsi="Garamond" w:cs="Times New Roman"/>
          <w:sz w:val="24"/>
          <w:szCs w:val="24"/>
        </w:rPr>
        <w:footnoteReference w:id="30"/>
      </w:r>
      <w:r>
        <w:rPr>
          <w:rFonts w:ascii="Garamond" w:eastAsia="Calibri" w:hAnsi="Garamond" w:cs="Times New Roman"/>
          <w:sz w:val="24"/>
          <w:szCs w:val="24"/>
        </w:rPr>
        <w:t>.</w:t>
      </w:r>
    </w:p>
    <w:p w14:paraId="38CC26AE" w14:textId="77777777" w:rsidR="001D2B62" w:rsidRDefault="0037213F" w:rsidP="001D2B62">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E</w:t>
      </w:r>
      <w:r w:rsidRPr="00395E47">
        <w:rPr>
          <w:rFonts w:ascii="Garamond" w:eastAsia="Calibri" w:hAnsi="Garamond" w:cs="Times New Roman"/>
          <w:sz w:val="24"/>
          <w:szCs w:val="24"/>
        </w:rPr>
        <w:t>n 2015, el CNE dictó unas ‘normas’ para garantizar los derechos de participación política de forma paritaria en las elecciones de diputados a la Asamblea Nacional de ese mismo año 2015</w:t>
      </w:r>
      <w:r w:rsidRPr="00395E47">
        <w:rPr>
          <w:rFonts w:ascii="Garamond" w:eastAsia="Calibri" w:hAnsi="Garamond" w:cs="Times New Roman"/>
          <w:sz w:val="24"/>
          <w:szCs w:val="24"/>
          <w:vertAlign w:val="superscript"/>
        </w:rPr>
        <w:footnoteReference w:id="31"/>
      </w:r>
      <w:r w:rsidRPr="00395E47">
        <w:rPr>
          <w:rFonts w:ascii="Garamond" w:eastAsia="Calibri" w:hAnsi="Garamond" w:cs="Times New Roman"/>
          <w:sz w:val="24"/>
          <w:szCs w:val="24"/>
        </w:rPr>
        <w:t>. Para las elecciones de la Asamblea Nacional del 2020 presentó un ‘Proyecto de Paridad de Género’</w:t>
      </w:r>
      <w:r w:rsidRPr="00395E47">
        <w:rPr>
          <w:rFonts w:ascii="Garamond" w:eastAsia="Calibri" w:hAnsi="Garamond" w:cs="Times New Roman"/>
          <w:sz w:val="24"/>
          <w:szCs w:val="24"/>
          <w:vertAlign w:val="superscript"/>
        </w:rPr>
        <w:footnoteReference w:id="32"/>
      </w:r>
      <w:r w:rsidRPr="00395E47">
        <w:rPr>
          <w:rFonts w:ascii="Garamond" w:eastAsia="Calibri" w:hAnsi="Garamond" w:cs="Times New Roman"/>
          <w:sz w:val="24"/>
          <w:szCs w:val="24"/>
        </w:rPr>
        <w:t>. Para las elecciones regionales y municipales del 21 de noviembre de 2021, produjo un ‘Instructivo’ sobre las postulaciones paritarias y alternas de ambos sexos para las Elecciones Regionales y Municipales 2021</w:t>
      </w:r>
      <w:r w:rsidRPr="00395E47">
        <w:rPr>
          <w:rFonts w:ascii="Garamond" w:eastAsia="Calibri" w:hAnsi="Garamond" w:cs="Times New Roman"/>
          <w:sz w:val="24"/>
          <w:szCs w:val="24"/>
          <w:vertAlign w:val="superscript"/>
        </w:rPr>
        <w:footnoteReference w:id="33"/>
      </w:r>
      <w:r w:rsidRPr="00395E47">
        <w:rPr>
          <w:rFonts w:ascii="Garamond" w:eastAsia="Calibri" w:hAnsi="Garamond" w:cs="Times New Roman"/>
          <w:sz w:val="24"/>
          <w:szCs w:val="24"/>
        </w:rPr>
        <w:t xml:space="preserve">, con fecha 29 de julio, a menos de 4 meses del proceso electoral, infringiendo así el artículo 298 de la Constitución Nacional que prohíbe la modificación de leyes electorales desde los seis (6) meses anteriores a la fecha de la elección. </w:t>
      </w:r>
    </w:p>
    <w:p w14:paraId="0AF4A519" w14:textId="77777777" w:rsidR="001D2B62" w:rsidRDefault="0037213F" w:rsidP="001D2B62">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A falta de una Ley que establezca taxativamente el mandato de la paridad de género en la participación política, la toma de decisiones en los partidos políticos continúa siendo manejada por hombres, y las mujeres se ven forzadas a continuar sus luchas permanentes para tener acceso a estos cargos en cada convocatoria electoral que se realice; por ejemplo, como lo reseña un diario nacional, en el proceso electoral legislativo del 2020 «el CNE llevó a cabo un encuentro con dirigentes femeninas de varios partidos políticos para presentar el reglamento de paridad de género»</w:t>
      </w:r>
      <w:r w:rsidRPr="00395E47">
        <w:rPr>
          <w:rFonts w:ascii="Garamond" w:eastAsia="Calibri" w:hAnsi="Garamond" w:cs="Times New Roman"/>
          <w:sz w:val="24"/>
          <w:szCs w:val="24"/>
          <w:vertAlign w:val="superscript"/>
        </w:rPr>
        <w:footnoteReference w:id="34"/>
      </w:r>
      <w:r w:rsidRPr="00395E47">
        <w:rPr>
          <w:rFonts w:ascii="Garamond" w:eastAsia="Calibri" w:hAnsi="Garamond" w:cs="Times New Roman"/>
          <w:sz w:val="24"/>
          <w:szCs w:val="24"/>
        </w:rPr>
        <w:t xml:space="preserve">, lo que significa que uno de los derechos humanos que debe operar expeditivamente, se convierte de hecho en una mera concesión de este organismo electoral fácticamente subordinado al Poder Ejecutivo. </w:t>
      </w:r>
    </w:p>
    <w:p w14:paraId="666E7949" w14:textId="77777777" w:rsidR="001D2B62" w:rsidRDefault="0037213F" w:rsidP="001D2B62">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 xml:space="preserve">De esta manera, la igualdad de las mujeres en la participación política queda subordinada —en cada proceso electoral— a la voluntad o arbitrio de los miembros del CNE, cuyas </w:t>
      </w:r>
      <w:r w:rsidRPr="00395E47">
        <w:rPr>
          <w:rFonts w:ascii="Garamond" w:eastAsia="Calibri" w:hAnsi="Garamond" w:cs="Times New Roman"/>
          <w:sz w:val="24"/>
          <w:szCs w:val="24"/>
        </w:rPr>
        <w:lastRenderedPageBreak/>
        <w:t>decisiones al respecto se han producido, además, de manera extemporánea — violando el art.</w:t>
      </w:r>
      <w:r>
        <w:rPr>
          <w:rFonts w:ascii="Garamond" w:eastAsia="Calibri" w:hAnsi="Garamond" w:cs="Times New Roman"/>
          <w:sz w:val="24"/>
          <w:szCs w:val="24"/>
        </w:rPr>
        <w:t xml:space="preserve"> 298 de la Constitución</w:t>
      </w:r>
      <w:r w:rsidRPr="00395E47">
        <w:rPr>
          <w:rFonts w:ascii="Garamond" w:eastAsia="Calibri" w:hAnsi="Garamond" w:cs="Times New Roman"/>
          <w:sz w:val="24"/>
          <w:szCs w:val="24"/>
        </w:rPr>
        <w:t>—, lo que entorpece un estricto acatamiento, y más aún en la situación de caos institucional que se vive en Venezuela. Así, por ejemplo, en las elecciones parlamentarias del 2020, de 26 partidos políticos, solamente 3 de ellos cumplieron con la paridad indicada por el CNE</w:t>
      </w:r>
      <w:r w:rsidRPr="00395E47">
        <w:rPr>
          <w:rFonts w:ascii="Garamond" w:eastAsia="Calibri" w:hAnsi="Garamond" w:cs="Times New Roman"/>
          <w:sz w:val="24"/>
          <w:szCs w:val="24"/>
          <w:vertAlign w:val="superscript"/>
        </w:rPr>
        <w:footnoteReference w:id="35"/>
      </w:r>
      <w:r>
        <w:rPr>
          <w:rFonts w:ascii="Garamond" w:eastAsia="Calibri" w:hAnsi="Garamond" w:cs="Times New Roman"/>
          <w:sz w:val="24"/>
          <w:szCs w:val="24"/>
        </w:rPr>
        <w:t xml:space="preserve">. </w:t>
      </w:r>
    </w:p>
    <w:p w14:paraId="372FD11E" w14:textId="77777777" w:rsidR="008418A7" w:rsidRDefault="008418A7" w:rsidP="001D2B62">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Para el período 2011-2016, la Asamblea Nacional, constituida por un total de 167 diputados, sólo había 31 miembros mujeres, lo cual representa el 18,6% de la participación femenina. Y en las elecciones para el período 2016-2021, de 167 diputados a la Asamblea Nacional solo hubo 27 diputadas (16,16%). En las cuestionadas elecciones de alcaldes del año 2017, (con un 56% de abstención), de 335 municipios, 69 son alcaldesas</w:t>
      </w:r>
      <w:r w:rsidRPr="00395E47">
        <w:rPr>
          <w:rFonts w:ascii="Garamond" w:eastAsia="Calibri" w:hAnsi="Garamond" w:cs="Times New Roman"/>
          <w:sz w:val="24"/>
          <w:szCs w:val="24"/>
          <w:vertAlign w:val="superscript"/>
        </w:rPr>
        <w:footnoteReference w:id="36"/>
      </w:r>
      <w:r w:rsidRPr="00395E47">
        <w:rPr>
          <w:rFonts w:ascii="Garamond" w:eastAsia="Calibri" w:hAnsi="Garamond" w:cs="Times New Roman"/>
          <w:sz w:val="24"/>
          <w:szCs w:val="24"/>
        </w:rPr>
        <w:t>. Asimismo, en las elecciones d</w:t>
      </w:r>
      <w:r>
        <w:rPr>
          <w:rFonts w:ascii="Garamond" w:eastAsia="Calibri" w:hAnsi="Garamond" w:cs="Times New Roman"/>
          <w:sz w:val="24"/>
          <w:szCs w:val="24"/>
        </w:rPr>
        <w:t>e gobernadores de ese mismo año,</w:t>
      </w:r>
      <w:r w:rsidRPr="00395E47">
        <w:rPr>
          <w:rFonts w:ascii="Garamond" w:eastAsia="Calibri" w:hAnsi="Garamond" w:cs="Times New Roman"/>
          <w:sz w:val="24"/>
          <w:szCs w:val="24"/>
        </w:rPr>
        <w:t xml:space="preserve"> solo 5 mujeres, de 22 gobernadores</w:t>
      </w:r>
      <w:r w:rsidRPr="00395E47">
        <w:rPr>
          <w:rFonts w:ascii="Garamond" w:eastAsia="Calibri" w:hAnsi="Garamond" w:cs="Times New Roman"/>
          <w:sz w:val="24"/>
          <w:szCs w:val="24"/>
          <w:vertAlign w:val="superscript"/>
        </w:rPr>
        <w:footnoteReference w:id="37"/>
      </w:r>
      <w:r>
        <w:rPr>
          <w:rFonts w:ascii="Garamond" w:eastAsia="Calibri" w:hAnsi="Garamond" w:cs="Times New Roman"/>
          <w:sz w:val="24"/>
          <w:szCs w:val="24"/>
        </w:rPr>
        <w:t>.</w:t>
      </w:r>
    </w:p>
    <w:p w14:paraId="40763F72" w14:textId="77777777" w:rsidR="008418A7" w:rsidRPr="008418A7" w:rsidRDefault="00CC2675" w:rsidP="008418A7">
      <w:pPr>
        <w:spacing w:after="160" w:line="259" w:lineRule="auto"/>
        <w:ind w:left="360"/>
        <w:jc w:val="both"/>
        <w:rPr>
          <w:rFonts w:ascii="Garamond" w:eastAsia="Calibri" w:hAnsi="Garamond" w:cs="Times New Roman"/>
          <w:sz w:val="24"/>
          <w:szCs w:val="24"/>
        </w:rPr>
      </w:pPr>
      <w:r w:rsidRPr="00395E47">
        <w:rPr>
          <w:rFonts w:ascii="Garamond" w:hAnsi="Garamond" w:cs="Times New Roman"/>
          <w:sz w:val="24"/>
          <w:szCs w:val="24"/>
        </w:rPr>
        <w:t>Como ejemplo, desde Cepaz señalaron las elecciones parlamentarias del 2020 y las elecciones regionales y municipales del año 2021. En la primera, se publicó una normativa, se estableció una fórmula de representación, y sin embargo, de 26 partidos políticos que se postularon, solo 3 cumplieron con el criterio de paridad de género, y ninguna organización presentó su postulación bajo el criterio de alternabilidad. Actualmente, el Parlamento cuenta con 277 diputados y diputadas, y solo 93 son mujeres, como consecuencia, las decisiones ca</w:t>
      </w:r>
      <w:r w:rsidR="00745A98">
        <w:rPr>
          <w:rFonts w:ascii="Garamond" w:hAnsi="Garamond" w:cs="Times New Roman"/>
          <w:sz w:val="24"/>
          <w:szCs w:val="24"/>
        </w:rPr>
        <w:t>recen de perspectiva de género.</w:t>
      </w:r>
    </w:p>
    <w:p w14:paraId="136CC033" w14:textId="77777777" w:rsidR="0054414C" w:rsidRDefault="00CC2675" w:rsidP="0054414C">
      <w:pPr>
        <w:spacing w:after="160" w:line="259" w:lineRule="auto"/>
        <w:ind w:left="360"/>
        <w:jc w:val="both"/>
        <w:rPr>
          <w:rFonts w:ascii="Garamond" w:hAnsi="Garamond" w:cs="Times New Roman"/>
          <w:sz w:val="24"/>
          <w:szCs w:val="24"/>
        </w:rPr>
      </w:pPr>
      <w:r w:rsidRPr="00395E47">
        <w:rPr>
          <w:rFonts w:ascii="Garamond" w:hAnsi="Garamond" w:cs="Times New Roman"/>
          <w:sz w:val="24"/>
          <w:szCs w:val="24"/>
        </w:rPr>
        <w:t>Por su parte, en las elecciones regionales y municipales del año 2021</w:t>
      </w:r>
      <w:r w:rsidRPr="00395E47">
        <w:rPr>
          <w:rFonts w:ascii="Garamond" w:hAnsi="Garamond" w:cs="Times New Roman"/>
          <w:sz w:val="24"/>
          <w:szCs w:val="24"/>
          <w:vertAlign w:val="superscript"/>
        </w:rPr>
        <w:footnoteReference w:id="38"/>
      </w:r>
      <w:r w:rsidRPr="00395E47">
        <w:rPr>
          <w:rFonts w:ascii="Garamond" w:hAnsi="Garamond" w:cs="Times New Roman"/>
          <w:sz w:val="24"/>
          <w:szCs w:val="24"/>
        </w:rPr>
        <w:t>, si bien encontramos una participación igualitaria en Concejos Municipales y Consejos Legislativos Estadales, en las gobernaciones de 23 cargos, solo dos mujeres fueron elec</w:t>
      </w:r>
      <w:r w:rsidR="0037213F">
        <w:rPr>
          <w:rFonts w:ascii="Garamond" w:hAnsi="Garamond" w:cs="Times New Roman"/>
          <w:sz w:val="24"/>
          <w:szCs w:val="24"/>
        </w:rPr>
        <w:t xml:space="preserve">tas, mientras que las alcaldías </w:t>
      </w:r>
      <w:r w:rsidRPr="00395E47">
        <w:rPr>
          <w:rFonts w:ascii="Garamond" w:hAnsi="Garamond" w:cs="Times New Roman"/>
          <w:sz w:val="24"/>
          <w:szCs w:val="24"/>
        </w:rPr>
        <w:t>de 334 cargos en disputa, en apenas 62 fueron electas mujeres</w:t>
      </w:r>
      <w:r w:rsidRPr="00395E47">
        <w:rPr>
          <w:rFonts w:ascii="Garamond" w:hAnsi="Garamond" w:cs="Times New Roman"/>
          <w:sz w:val="24"/>
          <w:szCs w:val="24"/>
          <w:vertAlign w:val="superscript"/>
        </w:rPr>
        <w:footnoteReference w:id="39"/>
      </w:r>
      <w:r w:rsidR="0054414C">
        <w:rPr>
          <w:rFonts w:ascii="Garamond" w:hAnsi="Garamond" w:cs="Times New Roman"/>
          <w:sz w:val="24"/>
          <w:szCs w:val="24"/>
        </w:rPr>
        <w:t xml:space="preserve">. </w:t>
      </w:r>
    </w:p>
    <w:p w14:paraId="784B9E00" w14:textId="4F701C66" w:rsidR="001D2B62" w:rsidRPr="0000724D" w:rsidRDefault="00CC2675" w:rsidP="0000724D">
      <w:pPr>
        <w:spacing w:after="160" w:line="259" w:lineRule="auto"/>
        <w:ind w:left="360"/>
        <w:jc w:val="both"/>
        <w:rPr>
          <w:rFonts w:ascii="Garamond" w:hAnsi="Garamond" w:cs="Times New Roman"/>
          <w:sz w:val="24"/>
          <w:szCs w:val="24"/>
        </w:rPr>
      </w:pPr>
      <w:r w:rsidRPr="00395E47">
        <w:rPr>
          <w:rFonts w:ascii="Garamond" w:hAnsi="Garamond" w:cs="Times New Roman"/>
          <w:sz w:val="24"/>
          <w:szCs w:val="24"/>
        </w:rPr>
        <w:t>Al respecto, la Misión de Observación Electoral de la Unión Europea (MOE UE) destacó las desigualdades que enfrentan las mujeres como las cargas superiores de trabajo de cuidado, perjuicios sociales, ataques a su reputación, a su integridad personal, y a sus familiares</w:t>
      </w:r>
      <w:r w:rsidRPr="00395E47">
        <w:rPr>
          <w:rFonts w:ascii="Garamond" w:hAnsi="Garamond" w:cs="Times New Roman"/>
          <w:sz w:val="24"/>
          <w:szCs w:val="24"/>
          <w:vertAlign w:val="superscript"/>
        </w:rPr>
        <w:footnoteReference w:id="40"/>
      </w:r>
      <w:r w:rsidR="00611578">
        <w:rPr>
          <w:rFonts w:ascii="Garamond" w:hAnsi="Garamond" w:cs="Times New Roman"/>
          <w:sz w:val="24"/>
          <w:szCs w:val="24"/>
        </w:rPr>
        <w:t xml:space="preserve">. </w:t>
      </w:r>
    </w:p>
    <w:p w14:paraId="07F95CD7" w14:textId="77777777" w:rsidR="00611578" w:rsidRDefault="00CC2675" w:rsidP="00611578">
      <w:pPr>
        <w:spacing w:after="160" w:line="259" w:lineRule="auto"/>
        <w:ind w:left="360"/>
        <w:jc w:val="both"/>
        <w:rPr>
          <w:rFonts w:ascii="Garamond" w:hAnsi="Garamond" w:cs="Times New Roman"/>
          <w:sz w:val="24"/>
          <w:szCs w:val="24"/>
        </w:rPr>
      </w:pPr>
      <w:r w:rsidRPr="00395E47">
        <w:rPr>
          <w:rFonts w:ascii="Garamond" w:hAnsi="Garamond" w:cs="Times New Roman"/>
          <w:b/>
          <w:bCs/>
          <w:sz w:val="24"/>
          <w:szCs w:val="24"/>
        </w:rPr>
        <w:t>Participación en la vida política y pública en Mérida</w:t>
      </w:r>
    </w:p>
    <w:p w14:paraId="046B5AE2" w14:textId="212B24C4" w:rsidR="005F4528" w:rsidRPr="005F4528" w:rsidRDefault="00A8573F" w:rsidP="005F4528">
      <w:pPr>
        <w:spacing w:after="160" w:line="259" w:lineRule="auto"/>
        <w:ind w:left="360"/>
        <w:jc w:val="both"/>
        <w:rPr>
          <w:rFonts w:ascii="Garamond" w:hAnsi="Garamond" w:cs="Times New Roman"/>
          <w:sz w:val="24"/>
          <w:szCs w:val="24"/>
        </w:rPr>
      </w:pPr>
      <w:r>
        <w:rPr>
          <w:rFonts w:ascii="Garamond" w:eastAsia="Calibri" w:hAnsi="Garamond" w:cs="Times New Roman"/>
          <w:sz w:val="24"/>
          <w:szCs w:val="24"/>
        </w:rPr>
        <w:t>Según Comisión ULA Mujer, e</w:t>
      </w:r>
      <w:r w:rsidR="005F4528" w:rsidRPr="00395E47">
        <w:rPr>
          <w:rFonts w:ascii="Garamond" w:eastAsia="Calibri" w:hAnsi="Garamond" w:cs="Times New Roman"/>
          <w:sz w:val="24"/>
          <w:szCs w:val="24"/>
        </w:rPr>
        <w:t>n el Consejo Legislativo Estadal de Mérida (CLEMB) se observa un progresivo aumento en la participación de las mujeres. En el período 2008-2012, del total de 9 legisladores, hubo 2 mujeres; en el período 2013-2017, 2 mujeres; 2018-</w:t>
      </w:r>
      <w:r w:rsidR="005F4528" w:rsidRPr="00395E47">
        <w:rPr>
          <w:rFonts w:ascii="Garamond" w:eastAsia="Calibri" w:hAnsi="Garamond" w:cs="Times New Roman"/>
          <w:sz w:val="24"/>
          <w:szCs w:val="24"/>
        </w:rPr>
        <w:lastRenderedPageBreak/>
        <w:t>2021, 4 mujeres. Para el 2021-2025, integrado por 11 legisladores, se aplicó el “Instructivo” del CNE</w:t>
      </w:r>
      <w:r w:rsidR="005F4528" w:rsidRPr="00395E47">
        <w:rPr>
          <w:rFonts w:ascii="Garamond" w:eastAsia="Calibri" w:hAnsi="Garamond" w:cs="Times New Roman"/>
          <w:sz w:val="24"/>
          <w:szCs w:val="24"/>
          <w:vertAlign w:val="superscript"/>
        </w:rPr>
        <w:footnoteReference w:id="41"/>
      </w:r>
      <w:r w:rsidR="005F4528" w:rsidRPr="00395E47">
        <w:rPr>
          <w:rFonts w:ascii="Garamond" w:eastAsia="Calibri" w:hAnsi="Garamond" w:cs="Times New Roman"/>
          <w:sz w:val="24"/>
          <w:szCs w:val="24"/>
        </w:rPr>
        <w:t xml:space="preserve"> y resultaron electas 5 mujeres</w:t>
      </w:r>
      <w:r w:rsidR="001D5DB5">
        <w:rPr>
          <w:rStyle w:val="Refdenotaalpie"/>
          <w:rFonts w:ascii="Garamond" w:eastAsia="Calibri" w:hAnsi="Garamond" w:cs="Times New Roman"/>
          <w:sz w:val="24"/>
          <w:szCs w:val="24"/>
        </w:rPr>
        <w:footnoteReference w:id="42"/>
      </w:r>
      <w:r w:rsidR="005F4528" w:rsidRPr="00395E47">
        <w:rPr>
          <w:rFonts w:ascii="Garamond" w:eastAsia="Calibri" w:hAnsi="Garamond" w:cs="Times New Roman"/>
          <w:sz w:val="24"/>
          <w:szCs w:val="24"/>
        </w:rPr>
        <w:t xml:space="preserve">. </w:t>
      </w:r>
    </w:p>
    <w:p w14:paraId="258A3B1D" w14:textId="77777777" w:rsidR="00A8573F" w:rsidRDefault="00CC2675" w:rsidP="00A8573F">
      <w:pPr>
        <w:spacing w:after="160" w:line="259" w:lineRule="auto"/>
        <w:ind w:left="360"/>
        <w:jc w:val="both"/>
        <w:rPr>
          <w:rFonts w:ascii="Garamond" w:hAnsi="Garamond" w:cs="Times New Roman"/>
          <w:bCs/>
          <w:sz w:val="24"/>
          <w:szCs w:val="24"/>
          <w:lang w:val="es-ES"/>
        </w:rPr>
      </w:pPr>
      <w:r w:rsidRPr="00395E47">
        <w:rPr>
          <w:rFonts w:ascii="Garamond" w:hAnsi="Garamond" w:cs="Times New Roman"/>
          <w:bCs/>
          <w:sz w:val="24"/>
          <w:szCs w:val="24"/>
          <w:lang w:val="es-ES"/>
        </w:rPr>
        <w:t>De los principales 15 partidos que existen el estado Mérida, sólo el 33% (5) son coordinados por mujeres. En las elecciones regionales y municipales del pasado 21 de noviembre de 2021 en Venezuela, resultó electo</w:t>
      </w:r>
      <w:r w:rsidRPr="00395E47">
        <w:rPr>
          <w:rFonts w:ascii="Garamond" w:hAnsi="Garamond" w:cs="Times New Roman"/>
          <w:sz w:val="24"/>
          <w:szCs w:val="24"/>
        </w:rPr>
        <w:t xml:space="preserve"> </w:t>
      </w:r>
      <w:proofErr w:type="spellStart"/>
      <w:r w:rsidRPr="00395E47">
        <w:rPr>
          <w:rFonts w:ascii="Garamond" w:hAnsi="Garamond" w:cs="Times New Roman"/>
          <w:bCs/>
          <w:sz w:val="24"/>
          <w:szCs w:val="24"/>
          <w:lang w:val="es-ES"/>
        </w:rPr>
        <w:t>Jehyson</w:t>
      </w:r>
      <w:proofErr w:type="spellEnd"/>
      <w:r w:rsidRPr="00395E47">
        <w:rPr>
          <w:rFonts w:ascii="Garamond" w:hAnsi="Garamond" w:cs="Times New Roman"/>
          <w:bCs/>
          <w:sz w:val="24"/>
          <w:szCs w:val="24"/>
          <w:lang w:val="es-ES"/>
        </w:rPr>
        <w:t xml:space="preserve"> Guzmán como gobernador del estado Mérida, quien en la designación de su gabinete de trabajo, de 44 cargos, sólo designó 14 mujeres (el 32%) en tales cargos. En cuanto a las alcaldías, de las 23 correspondientes al estado Mérida, se documentó que el 9% (2) son liderados por mujeres</w:t>
      </w:r>
      <w:r w:rsidRPr="00395E47">
        <w:rPr>
          <w:rFonts w:ascii="Garamond" w:hAnsi="Garamond" w:cs="Times New Roman"/>
          <w:bCs/>
          <w:sz w:val="24"/>
          <w:szCs w:val="24"/>
          <w:vertAlign w:val="superscript"/>
          <w:lang w:val="es-ES"/>
        </w:rPr>
        <w:footnoteReference w:id="43"/>
      </w:r>
      <w:r w:rsidRPr="00395E47">
        <w:rPr>
          <w:rFonts w:ascii="Garamond" w:hAnsi="Garamond" w:cs="Times New Roman"/>
          <w:bCs/>
          <w:sz w:val="24"/>
          <w:szCs w:val="24"/>
          <w:lang w:val="es-ES"/>
        </w:rPr>
        <w:t xml:space="preserve">.  </w:t>
      </w:r>
    </w:p>
    <w:p w14:paraId="430A850D" w14:textId="77777777" w:rsidR="00147EF8" w:rsidRDefault="00B658D5" w:rsidP="00147EF8">
      <w:pPr>
        <w:spacing w:after="160" w:line="259" w:lineRule="auto"/>
        <w:ind w:left="360"/>
        <w:jc w:val="both"/>
        <w:rPr>
          <w:rFonts w:ascii="Garamond" w:eastAsia="Calibri" w:hAnsi="Garamond" w:cs="Times New Roman"/>
          <w:sz w:val="24"/>
          <w:szCs w:val="24"/>
          <w:lang w:val="es-ES"/>
        </w:rPr>
      </w:pPr>
      <w:r w:rsidRPr="00395E47">
        <w:rPr>
          <w:rFonts w:ascii="Garamond" w:eastAsia="Calibri" w:hAnsi="Garamond" w:cs="Times New Roman"/>
          <w:sz w:val="24"/>
          <w:szCs w:val="24"/>
          <w:lang w:val="es-ES"/>
        </w:rPr>
        <w:t>En cuanto a los partidos políticos, la Comisión ULA Mujer solicitó la lista de cargos de las estructuras regionales para el análisis, sin embargo, sólo seis partidos dieron respuesta</w:t>
      </w:r>
      <w:r w:rsidR="00012B6C">
        <w:rPr>
          <w:rFonts w:ascii="Garamond" w:eastAsia="Calibri" w:hAnsi="Garamond" w:cs="Times New Roman"/>
          <w:sz w:val="24"/>
          <w:szCs w:val="24"/>
          <w:lang w:val="es-ES"/>
        </w:rPr>
        <w:t xml:space="preserve"> </w:t>
      </w:r>
      <w:r w:rsidRPr="00395E47">
        <w:rPr>
          <w:rFonts w:ascii="Garamond" w:eastAsia="Calibri" w:hAnsi="Garamond" w:cs="Times New Roman"/>
          <w:sz w:val="24"/>
          <w:szCs w:val="24"/>
          <w:lang w:val="es-ES"/>
        </w:rPr>
        <w:t>oportuna, dando como resultado la revisión de los datos obtenidos que en promedio las mu</w:t>
      </w:r>
      <w:r w:rsidR="00147EF8">
        <w:rPr>
          <w:rFonts w:ascii="Garamond" w:eastAsia="Calibri" w:hAnsi="Garamond" w:cs="Times New Roman"/>
          <w:sz w:val="24"/>
          <w:szCs w:val="24"/>
          <w:lang w:val="es-ES"/>
        </w:rPr>
        <w:t>jeres ocupan 26% de los cargos.</w:t>
      </w:r>
    </w:p>
    <w:p w14:paraId="059F2270" w14:textId="77777777" w:rsidR="003E574F" w:rsidRDefault="00B658D5" w:rsidP="003E574F">
      <w:pPr>
        <w:spacing w:after="160" w:line="259" w:lineRule="auto"/>
        <w:ind w:left="360"/>
        <w:jc w:val="both"/>
        <w:rPr>
          <w:rFonts w:ascii="Garamond" w:eastAsia="Calibri" w:hAnsi="Garamond" w:cs="Times New Roman"/>
          <w:sz w:val="24"/>
          <w:szCs w:val="24"/>
          <w:lang w:val="es-ES"/>
        </w:rPr>
      </w:pPr>
      <w:r w:rsidRPr="00395E47">
        <w:rPr>
          <w:rFonts w:ascii="Garamond" w:eastAsia="Calibri" w:hAnsi="Garamond" w:cs="Times New Roman"/>
          <w:sz w:val="24"/>
          <w:szCs w:val="24"/>
          <w:lang w:val="es-ES"/>
        </w:rPr>
        <w:t>En el estado Trujillo de 20 alcaldías, 5 mujeres ganaron</w:t>
      </w:r>
      <w:r w:rsidR="0017046F">
        <w:rPr>
          <w:rFonts w:ascii="Garamond" w:eastAsia="Calibri" w:hAnsi="Garamond" w:cs="Times New Roman"/>
          <w:sz w:val="24"/>
          <w:szCs w:val="24"/>
          <w:lang w:val="es-ES"/>
        </w:rPr>
        <w:t xml:space="preserve"> las alcaldías por voto popular </w:t>
      </w:r>
      <w:r w:rsidRPr="00395E47">
        <w:rPr>
          <w:rFonts w:ascii="Garamond" w:eastAsia="Calibri" w:hAnsi="Garamond" w:cs="Times New Roman"/>
          <w:sz w:val="24"/>
          <w:szCs w:val="24"/>
          <w:lang w:val="es-ES"/>
        </w:rPr>
        <w:t>en los municipios: Valera, Angie Quintero; Rafael Rangel, Sonia Silva; Juan Vicente Campo Elías, Dilcia Rojas; Bolívar, María Núñez y Candelaria, Carmen Benítez. 20% de las alcaldías son ocupadas por mujeres</w:t>
      </w:r>
      <w:r w:rsidRPr="00395E47">
        <w:rPr>
          <w:rFonts w:ascii="Garamond" w:eastAsia="Calibri" w:hAnsi="Garamond" w:cs="Times New Roman"/>
          <w:sz w:val="24"/>
          <w:szCs w:val="24"/>
          <w:vertAlign w:val="superscript"/>
          <w:lang w:val="es-ES"/>
        </w:rPr>
        <w:footnoteReference w:id="44"/>
      </w:r>
      <w:r w:rsidRPr="00395E47">
        <w:rPr>
          <w:rFonts w:ascii="Garamond" w:eastAsia="Calibri" w:hAnsi="Garamond" w:cs="Times New Roman"/>
          <w:sz w:val="24"/>
          <w:szCs w:val="24"/>
          <w:lang w:val="es-ES"/>
        </w:rPr>
        <w:t xml:space="preserve">. </w:t>
      </w:r>
    </w:p>
    <w:p w14:paraId="44F8C694" w14:textId="1AFE424F" w:rsidR="00B658D5" w:rsidRDefault="00B658D5" w:rsidP="003E574F">
      <w:pPr>
        <w:spacing w:after="160" w:line="259" w:lineRule="auto"/>
        <w:ind w:left="360"/>
        <w:jc w:val="both"/>
        <w:rPr>
          <w:rFonts w:ascii="Garamond" w:eastAsia="Calibri" w:hAnsi="Garamond" w:cs="Times New Roman"/>
          <w:sz w:val="24"/>
          <w:szCs w:val="24"/>
          <w:lang w:val="es-ES"/>
        </w:rPr>
      </w:pPr>
      <w:r w:rsidRPr="00395E47">
        <w:rPr>
          <w:rFonts w:ascii="Garamond" w:eastAsia="Calibri" w:hAnsi="Garamond" w:cs="Times New Roman"/>
          <w:sz w:val="24"/>
          <w:szCs w:val="24"/>
          <w:lang w:val="es-ES"/>
        </w:rPr>
        <w:t xml:space="preserve">En el estado Táchira de 29 alcaldías, 5 mujeres ocupan los cargos de alcaldesas: Andrés Bello, </w:t>
      </w:r>
      <w:proofErr w:type="spellStart"/>
      <w:r w:rsidRPr="00395E47">
        <w:rPr>
          <w:rFonts w:ascii="Garamond" w:eastAsia="Calibri" w:hAnsi="Garamond" w:cs="Times New Roman"/>
          <w:sz w:val="24"/>
          <w:szCs w:val="24"/>
          <w:lang w:val="es-ES"/>
        </w:rPr>
        <w:t>Nuvia</w:t>
      </w:r>
      <w:proofErr w:type="spellEnd"/>
      <w:r w:rsidRPr="00395E47">
        <w:rPr>
          <w:rFonts w:ascii="Garamond" w:eastAsia="Calibri" w:hAnsi="Garamond" w:cs="Times New Roman"/>
          <w:sz w:val="24"/>
          <w:szCs w:val="24"/>
          <w:lang w:val="es-ES"/>
        </w:rPr>
        <w:t xml:space="preserve"> Criollo; Córdoba, </w:t>
      </w:r>
      <w:proofErr w:type="spellStart"/>
      <w:r w:rsidRPr="00395E47">
        <w:rPr>
          <w:rFonts w:ascii="Garamond" w:eastAsia="Calibri" w:hAnsi="Garamond" w:cs="Times New Roman"/>
          <w:sz w:val="24"/>
          <w:szCs w:val="24"/>
          <w:lang w:val="es-ES"/>
        </w:rPr>
        <w:t>Yoira</w:t>
      </w:r>
      <w:proofErr w:type="spellEnd"/>
      <w:r w:rsidRPr="00395E47">
        <w:rPr>
          <w:rFonts w:ascii="Garamond" w:eastAsia="Calibri" w:hAnsi="Garamond" w:cs="Times New Roman"/>
          <w:sz w:val="24"/>
          <w:szCs w:val="24"/>
          <w:lang w:val="es-ES"/>
        </w:rPr>
        <w:t xml:space="preserve"> Vargas; José María Vargas, Teresa Contreras; </w:t>
      </w:r>
      <w:proofErr w:type="spellStart"/>
      <w:r w:rsidRPr="00395E47">
        <w:rPr>
          <w:rFonts w:ascii="Garamond" w:eastAsia="Calibri" w:hAnsi="Garamond" w:cs="Times New Roman"/>
          <w:sz w:val="24"/>
          <w:szCs w:val="24"/>
          <w:lang w:val="es-ES"/>
        </w:rPr>
        <w:t>Lobatera</w:t>
      </w:r>
      <w:proofErr w:type="spellEnd"/>
      <w:r w:rsidRPr="00395E47">
        <w:rPr>
          <w:rFonts w:ascii="Garamond" w:eastAsia="Calibri" w:hAnsi="Garamond" w:cs="Times New Roman"/>
          <w:sz w:val="24"/>
          <w:szCs w:val="24"/>
          <w:lang w:val="es-ES"/>
        </w:rPr>
        <w:t>, Natalia Chacón y Sucre, Lorena Araujo.</w:t>
      </w:r>
      <w:r w:rsidR="003E574F">
        <w:rPr>
          <w:rFonts w:ascii="Garamond" w:eastAsia="Calibri" w:hAnsi="Garamond" w:cs="Times New Roman"/>
          <w:sz w:val="24"/>
          <w:szCs w:val="24"/>
          <w:lang w:val="es-ES"/>
        </w:rPr>
        <w:t xml:space="preserve"> </w:t>
      </w:r>
      <w:r w:rsidRPr="00395E47">
        <w:rPr>
          <w:rFonts w:ascii="Garamond" w:eastAsia="Calibri" w:hAnsi="Garamond" w:cs="Times New Roman"/>
          <w:sz w:val="24"/>
          <w:szCs w:val="24"/>
          <w:lang w:val="es-ES"/>
        </w:rPr>
        <w:t xml:space="preserve">17% de las alcaldías son ocupadas por mujeres. </w:t>
      </w:r>
    </w:p>
    <w:p w14:paraId="16E6F5D5" w14:textId="77777777" w:rsidR="0098009D" w:rsidRPr="0098009D" w:rsidRDefault="00FC37C4" w:rsidP="0098009D">
      <w:pPr>
        <w:pStyle w:val="Prrafodelista"/>
        <w:numPr>
          <w:ilvl w:val="0"/>
          <w:numId w:val="18"/>
        </w:numPr>
        <w:spacing w:after="160" w:line="259" w:lineRule="auto"/>
        <w:jc w:val="both"/>
        <w:rPr>
          <w:rFonts w:ascii="Garamond" w:eastAsia="Calibri" w:hAnsi="Garamond" w:cs="Times New Roman"/>
          <w:sz w:val="24"/>
          <w:szCs w:val="24"/>
        </w:rPr>
      </w:pPr>
      <w:r w:rsidRPr="0098009D">
        <w:rPr>
          <w:rFonts w:ascii="Garamond" w:eastAsia="Calibri" w:hAnsi="Garamond" w:cs="Times New Roman"/>
          <w:b/>
          <w:sz w:val="24"/>
          <w:szCs w:val="24"/>
        </w:rPr>
        <w:t>Artículo 9</w:t>
      </w:r>
      <w:r w:rsidR="0098009D">
        <w:rPr>
          <w:rFonts w:ascii="Garamond" w:eastAsia="Calibri" w:hAnsi="Garamond" w:cs="Times New Roman"/>
          <w:b/>
          <w:sz w:val="24"/>
          <w:szCs w:val="24"/>
        </w:rPr>
        <w:t>, 19, 21 y 22</w:t>
      </w:r>
    </w:p>
    <w:p w14:paraId="3571AC98" w14:textId="77777777" w:rsidR="00FC3B55" w:rsidRDefault="00617C73" w:rsidP="00FC3B55">
      <w:pPr>
        <w:spacing w:after="160" w:line="259" w:lineRule="auto"/>
        <w:ind w:left="360"/>
        <w:jc w:val="both"/>
        <w:rPr>
          <w:rFonts w:ascii="Garamond" w:eastAsia="Calibri" w:hAnsi="Garamond" w:cs="Times New Roman"/>
          <w:sz w:val="24"/>
          <w:szCs w:val="24"/>
        </w:rPr>
      </w:pPr>
      <w:r w:rsidRPr="0098009D">
        <w:rPr>
          <w:rFonts w:ascii="Garamond" w:eastAsia="Calibri" w:hAnsi="Garamond" w:cs="Times New Roman"/>
          <w:sz w:val="24"/>
          <w:szCs w:val="24"/>
        </w:rPr>
        <w:t>Existe una política de Estado basada en la aplicación de patrones que persiguen y criminalizan a toda persona que sea considerada una enemiga al gobierno de Nicolás Maduro. Dicha política afecta de manera diferenciada a las mujeres víctimas, ya que las mujeres asumen mayores riesgos cuando ejercen algún tipo de activismo o labor legítima que incomode, o incluso sin ejercerlo, porque son utilizadas para atacar a su familiar.</w:t>
      </w:r>
    </w:p>
    <w:p w14:paraId="64F7103E" w14:textId="77777777" w:rsidR="00FC3B55" w:rsidRDefault="00617C73" w:rsidP="00FC3B55">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 xml:space="preserve">Durante 2021, Cepaz documentó 818 casos en su monitoreo de Persecución y Criminalización en Venezuela. Del total, 73 ocurrieron contra mujeres, donde si bien el ejercicio de los patrones de persecución y criminalización contra las mujeres no se ejercieron por motivos de género, cuando esto ocurre contra las mujeres sobresalen </w:t>
      </w:r>
      <w:r w:rsidRPr="00395E47">
        <w:rPr>
          <w:rFonts w:ascii="Garamond" w:eastAsia="Calibri" w:hAnsi="Garamond" w:cs="Times New Roman"/>
          <w:sz w:val="24"/>
          <w:szCs w:val="24"/>
        </w:rPr>
        <w:lastRenderedPageBreak/>
        <w:t>actitudes discriminatorias que incluso configuran acciones de violencias que</w:t>
      </w:r>
      <w:r w:rsidR="00FC3B55">
        <w:rPr>
          <w:rFonts w:ascii="Garamond" w:eastAsia="Calibri" w:hAnsi="Garamond" w:cs="Times New Roman"/>
          <w:sz w:val="24"/>
          <w:szCs w:val="24"/>
        </w:rPr>
        <w:t xml:space="preserve"> sí son basadas en el género.  </w:t>
      </w:r>
    </w:p>
    <w:p w14:paraId="7537103C" w14:textId="77777777" w:rsidR="00FC3B55" w:rsidRDefault="00690152" w:rsidP="00FC3B55">
      <w:pPr>
        <w:spacing w:after="160" w:line="259" w:lineRule="auto"/>
        <w:ind w:left="360"/>
        <w:jc w:val="both"/>
        <w:rPr>
          <w:rFonts w:ascii="Garamond" w:eastAsia="Calibri" w:hAnsi="Garamond" w:cs="Times New Roman"/>
          <w:sz w:val="24"/>
          <w:szCs w:val="24"/>
        </w:rPr>
      </w:pPr>
      <w:r>
        <w:rPr>
          <w:rFonts w:ascii="Garamond" w:eastAsia="Calibri" w:hAnsi="Garamond" w:cs="Times New Roman"/>
          <w:sz w:val="24"/>
          <w:szCs w:val="24"/>
        </w:rPr>
        <w:t xml:space="preserve">Comisión ULA Mujer </w:t>
      </w:r>
      <w:r w:rsidR="00494EF5">
        <w:rPr>
          <w:rFonts w:ascii="Garamond" w:eastAsia="Calibri" w:hAnsi="Garamond" w:cs="Times New Roman"/>
          <w:sz w:val="24"/>
          <w:szCs w:val="24"/>
        </w:rPr>
        <w:t>compartió</w:t>
      </w:r>
      <w:r>
        <w:rPr>
          <w:rFonts w:ascii="Garamond" w:eastAsia="Calibri" w:hAnsi="Garamond" w:cs="Times New Roman"/>
          <w:sz w:val="24"/>
          <w:szCs w:val="24"/>
        </w:rPr>
        <w:t xml:space="preserve"> un testimonio anónimo, </w:t>
      </w:r>
      <w:r w:rsidR="00233EA4" w:rsidRPr="00395E47">
        <w:rPr>
          <w:rFonts w:ascii="Garamond" w:eastAsia="Calibri" w:hAnsi="Garamond" w:cs="Times New Roman"/>
          <w:sz w:val="24"/>
          <w:szCs w:val="24"/>
          <w:lang w:val="es-ES"/>
        </w:rPr>
        <w:t>Paola Fernández*</w:t>
      </w:r>
      <w:r w:rsidR="00233EA4" w:rsidRPr="00395E47">
        <w:rPr>
          <w:rFonts w:ascii="Garamond" w:eastAsia="Calibri" w:hAnsi="Garamond" w:cs="Times New Roman"/>
          <w:sz w:val="24"/>
          <w:szCs w:val="24"/>
          <w:vertAlign w:val="superscript"/>
          <w:lang w:val="es-ES"/>
        </w:rPr>
        <w:footnoteReference w:id="45"/>
      </w:r>
      <w:r w:rsidR="00233EA4" w:rsidRPr="00395E47">
        <w:rPr>
          <w:rFonts w:ascii="Garamond" w:eastAsia="Calibri" w:hAnsi="Garamond" w:cs="Times New Roman"/>
          <w:sz w:val="24"/>
          <w:szCs w:val="24"/>
          <w:lang w:val="es-ES"/>
        </w:rPr>
        <w:t xml:space="preserve">, miembro de un partido de la oposición venezolana, en el periodo 2014 al 2017, fue expuesta a través de las redes sociales al ser utilizada su fotografía en distintas oportunidades haciendo alusión a su participación en protestas ciudadanas y adjudicándole actos violentos dentro de las mismas. Tal exposición derivó en persecución por parte de organismos de seguridad, inteligencia </w:t>
      </w:r>
      <w:r w:rsidR="00A546F2">
        <w:rPr>
          <w:rFonts w:ascii="Garamond" w:eastAsia="Calibri" w:hAnsi="Garamond" w:cs="Times New Roman"/>
          <w:sz w:val="24"/>
          <w:szCs w:val="24"/>
          <w:lang w:val="es-ES"/>
        </w:rPr>
        <w:t>y afectos al régimen de Maduro.</w:t>
      </w:r>
      <w:r w:rsidR="00233EA4" w:rsidRPr="00395E47">
        <w:rPr>
          <w:rFonts w:ascii="Garamond" w:eastAsia="Calibri" w:hAnsi="Garamond" w:cs="Times New Roman"/>
          <w:sz w:val="24"/>
          <w:szCs w:val="24"/>
          <w:lang w:val="es-ES"/>
        </w:rPr>
        <w:t xml:space="preserve"> Son distintas las situaciones a las que ha estado expuesta, pero la de mayor dimensión para s</w:t>
      </w:r>
      <w:r w:rsidR="00A546F2">
        <w:rPr>
          <w:rFonts w:ascii="Garamond" w:eastAsia="Calibri" w:hAnsi="Garamond" w:cs="Times New Roman"/>
          <w:sz w:val="24"/>
          <w:szCs w:val="24"/>
          <w:lang w:val="es-ES"/>
        </w:rPr>
        <w:t xml:space="preserve">u persona y familia ocurrió el </w:t>
      </w:r>
      <w:r w:rsidR="00233EA4" w:rsidRPr="00395E47">
        <w:rPr>
          <w:rFonts w:ascii="Garamond" w:eastAsia="Calibri" w:hAnsi="Garamond" w:cs="Times New Roman"/>
          <w:sz w:val="24"/>
          <w:szCs w:val="24"/>
          <w:lang w:val="es-ES"/>
        </w:rPr>
        <w:t>3 de junio de 2014, cuando tres hombres armados ingresaron de manera violenta a su residencia, fue sometida en una habitación donde se encontraba su sobrina menor de edad, fueron acostadas boca abajo en la cama y fue apuntada con un arma mientras le fueron robados equipos de computación y tecnología. Pese a que el hecho fue denunciado ante el</w:t>
      </w:r>
      <w:r w:rsidR="00233EA4" w:rsidRPr="00395E47">
        <w:rPr>
          <w:rFonts w:ascii="Garamond" w:eastAsia="Calibri" w:hAnsi="Garamond" w:cs="Times New Roman"/>
          <w:sz w:val="24"/>
          <w:szCs w:val="24"/>
        </w:rPr>
        <w:t> Cuerpo de Investigaciones Científicas, Penales y Criminalísticas</w:t>
      </w:r>
      <w:r w:rsidR="00D65065">
        <w:rPr>
          <w:rFonts w:ascii="Garamond" w:eastAsia="Calibri" w:hAnsi="Garamond" w:cs="Times New Roman"/>
          <w:sz w:val="24"/>
          <w:szCs w:val="24"/>
        </w:rPr>
        <w:t xml:space="preserve"> (CICPC)</w:t>
      </w:r>
      <w:r w:rsidR="00233EA4" w:rsidRPr="00395E47">
        <w:rPr>
          <w:rFonts w:ascii="Garamond" w:eastAsia="Calibri" w:hAnsi="Garamond" w:cs="Times New Roman"/>
          <w:sz w:val="24"/>
          <w:szCs w:val="24"/>
        </w:rPr>
        <w:t>,</w:t>
      </w:r>
      <w:r w:rsidR="00FC3B55">
        <w:rPr>
          <w:rFonts w:ascii="Garamond" w:eastAsia="Calibri" w:hAnsi="Garamond" w:cs="Times New Roman"/>
          <w:sz w:val="24"/>
          <w:szCs w:val="24"/>
        </w:rPr>
        <w:t xml:space="preserve"> no hubo investigación alguna. </w:t>
      </w:r>
    </w:p>
    <w:p w14:paraId="778857B2" w14:textId="77777777" w:rsidR="000F58CE" w:rsidRDefault="00233EA4" w:rsidP="000F58CE">
      <w:pPr>
        <w:spacing w:after="160" w:line="259" w:lineRule="auto"/>
        <w:ind w:left="360"/>
        <w:jc w:val="both"/>
        <w:rPr>
          <w:rFonts w:ascii="Garamond" w:eastAsia="Calibri" w:hAnsi="Garamond" w:cs="Times New Roman"/>
          <w:sz w:val="24"/>
          <w:szCs w:val="24"/>
        </w:rPr>
      </w:pPr>
      <w:r w:rsidRPr="00395E47">
        <w:rPr>
          <w:rFonts w:ascii="Garamond" w:eastAsia="Calibri" w:hAnsi="Garamond" w:cs="Times New Roman"/>
          <w:sz w:val="24"/>
          <w:szCs w:val="24"/>
        </w:rPr>
        <w:t xml:space="preserve">El abogado Iván Toro, coordinador del departamento legal del ODHULA, indicó que, en el caso de Fernández, es evidente una persecución por parte de los órganos represores del Estado por su pensamiento político, situación agravada por su condición de mujer al verla vulnerable y sola, situación que es aprovechada para hostigar, acosar y perseguir.  </w:t>
      </w:r>
    </w:p>
    <w:p w14:paraId="5BFADB69" w14:textId="77777777" w:rsidR="000F58CE" w:rsidRDefault="000F58CE" w:rsidP="000F58CE">
      <w:pPr>
        <w:spacing w:after="160" w:line="259" w:lineRule="auto"/>
        <w:ind w:left="360"/>
        <w:jc w:val="both"/>
        <w:rPr>
          <w:rFonts w:ascii="Garamond" w:hAnsi="Garamond" w:cs="Times New Roman"/>
          <w:b/>
          <w:sz w:val="24"/>
          <w:szCs w:val="24"/>
        </w:rPr>
      </w:pPr>
    </w:p>
    <w:p w14:paraId="28CDA20E" w14:textId="77777777" w:rsidR="000F58CE" w:rsidRDefault="00872B66" w:rsidP="000F58CE">
      <w:pPr>
        <w:spacing w:after="160" w:line="259" w:lineRule="auto"/>
        <w:ind w:left="360"/>
        <w:jc w:val="both"/>
        <w:rPr>
          <w:rFonts w:ascii="Garamond" w:hAnsi="Garamond" w:cs="Times New Roman"/>
          <w:b/>
          <w:sz w:val="24"/>
          <w:szCs w:val="24"/>
        </w:rPr>
      </w:pPr>
      <w:r w:rsidRPr="00AF3A13">
        <w:rPr>
          <w:rFonts w:ascii="Garamond" w:hAnsi="Garamond" w:cs="Times New Roman"/>
          <w:b/>
          <w:sz w:val="24"/>
          <w:szCs w:val="24"/>
        </w:rPr>
        <w:t>Propuesta de preguntas y petitorio:</w:t>
      </w:r>
    </w:p>
    <w:p w14:paraId="0C8D9294" w14:textId="77777777" w:rsidR="000F58CE" w:rsidRDefault="00872B66" w:rsidP="000F58CE">
      <w:pPr>
        <w:spacing w:after="160" w:line="259" w:lineRule="auto"/>
        <w:ind w:left="360"/>
        <w:jc w:val="both"/>
        <w:rPr>
          <w:rFonts w:ascii="Garamond" w:hAnsi="Garamond" w:cs="Times New Roman"/>
          <w:b/>
          <w:sz w:val="24"/>
          <w:szCs w:val="24"/>
        </w:rPr>
      </w:pPr>
      <w:r w:rsidRPr="000F58CE">
        <w:rPr>
          <w:rFonts w:ascii="Garamond" w:hAnsi="Garamond" w:cs="Times New Roman"/>
          <w:sz w:val="24"/>
          <w:szCs w:val="24"/>
        </w:rPr>
        <w:t>Las organizaciones enfatizamos que las temáticas presentadas forman parte de las reco</w:t>
      </w:r>
      <w:r w:rsidR="004902A8" w:rsidRPr="000F58CE">
        <w:rPr>
          <w:rFonts w:ascii="Garamond" w:hAnsi="Garamond" w:cs="Times New Roman"/>
          <w:sz w:val="24"/>
          <w:szCs w:val="24"/>
        </w:rPr>
        <w:t xml:space="preserve">mendaciones que el Comité de DDHH </w:t>
      </w:r>
      <w:r w:rsidRPr="000F58CE">
        <w:rPr>
          <w:rFonts w:ascii="Garamond" w:hAnsi="Garamond" w:cs="Times New Roman"/>
          <w:sz w:val="24"/>
          <w:szCs w:val="24"/>
        </w:rPr>
        <w:t>ha realizado al Estado venezolano, de acuerdo al monitoreo sobre la situación y revisión del país. De esta forma, las ONG consideramos preocupante la regresividad en los derechos de las mujeres víctimas de violencia y discriminación mediante la ausencia de acciones efectivas por parte del Estado venezolano, de acuerdo a las obligaciones internacionales. Por ello, solicitamos respetuosamente que desde esta etapa temprana del proceso de revisión, se continúe priorizando esta temática.</w:t>
      </w:r>
    </w:p>
    <w:p w14:paraId="374E58C9" w14:textId="2E3CEB51" w:rsidR="00872B66" w:rsidRPr="000F58CE" w:rsidRDefault="00872B66" w:rsidP="000F58CE">
      <w:pPr>
        <w:spacing w:after="160" w:line="259" w:lineRule="auto"/>
        <w:ind w:left="360"/>
        <w:jc w:val="both"/>
        <w:rPr>
          <w:rFonts w:ascii="Garamond" w:hAnsi="Garamond" w:cs="Times New Roman"/>
          <w:b/>
          <w:sz w:val="24"/>
          <w:szCs w:val="24"/>
        </w:rPr>
      </w:pPr>
      <w:r w:rsidRPr="000F58CE">
        <w:rPr>
          <w:rFonts w:ascii="Garamond" w:hAnsi="Garamond" w:cs="Times New Roman"/>
          <w:sz w:val="24"/>
          <w:szCs w:val="24"/>
        </w:rPr>
        <w:t>En ese sentido, a continuación proponemos respetuosamente las siguientes preguntas sobre los temas abordados, para la elaboración de la lista de cuestiones:</w:t>
      </w:r>
    </w:p>
    <w:p w14:paraId="53B0EDDC" w14:textId="77777777" w:rsidR="00872B66" w:rsidRPr="00395E47" w:rsidRDefault="00872B66" w:rsidP="00872B66">
      <w:pPr>
        <w:pStyle w:val="Prrafodelista"/>
        <w:jc w:val="both"/>
        <w:rPr>
          <w:rFonts w:ascii="Garamond" w:hAnsi="Garamond" w:cs="Times New Roman"/>
          <w:sz w:val="24"/>
          <w:szCs w:val="24"/>
        </w:rPr>
      </w:pPr>
    </w:p>
    <w:p w14:paraId="45A1FEC4" w14:textId="77777777" w:rsidR="00872B66" w:rsidRPr="00395E47" w:rsidRDefault="00FE2217" w:rsidP="00872B66">
      <w:pPr>
        <w:pStyle w:val="Prrafodelista"/>
        <w:jc w:val="both"/>
        <w:rPr>
          <w:rFonts w:ascii="Garamond" w:hAnsi="Garamond" w:cs="Times New Roman"/>
          <w:b/>
          <w:sz w:val="24"/>
          <w:szCs w:val="24"/>
        </w:rPr>
      </w:pPr>
      <w:r>
        <w:rPr>
          <w:rFonts w:ascii="Garamond" w:hAnsi="Garamond" w:cs="Times New Roman"/>
          <w:b/>
          <w:sz w:val="24"/>
          <w:szCs w:val="24"/>
        </w:rPr>
        <w:t>Artículo 3:</w:t>
      </w:r>
    </w:p>
    <w:p w14:paraId="72B789FB" w14:textId="77777777" w:rsidR="00872B66" w:rsidRPr="00395E47" w:rsidRDefault="00872B66" w:rsidP="00872B66">
      <w:pPr>
        <w:pStyle w:val="Prrafodelista"/>
        <w:jc w:val="both"/>
        <w:rPr>
          <w:rFonts w:ascii="Garamond" w:hAnsi="Garamond" w:cs="Times New Roman"/>
          <w:sz w:val="24"/>
          <w:szCs w:val="24"/>
        </w:rPr>
      </w:pPr>
    </w:p>
    <w:p w14:paraId="063547CA"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¿La Ley contiene una definición de la discriminación contra la mujer, acorde con el artículo 1 de la Cedaw y entiende la responsabilidad del Estado en materia de derechos humanos de las mujeres?</w:t>
      </w:r>
    </w:p>
    <w:p w14:paraId="450FCF8C"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¿Podría proporcionar información sobre la situación del Reglamento de la Ley Orgánica de los Derechos de las Mujeres?</w:t>
      </w:r>
    </w:p>
    <w:p w14:paraId="0A9A0C6C"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lastRenderedPageBreak/>
        <w:t>¿Podría proporcionar información actualizada y detallada, respecto del proyecto de reforma integral del Código Penal, en particular sobre las enmiendas a disposiciones que resulten pertinentes para garantizar la igualdad entre mujeres y hombres?</w:t>
      </w:r>
    </w:p>
    <w:p w14:paraId="52DB478D" w14:textId="77777777" w:rsidR="00872B66" w:rsidRPr="00FE2217" w:rsidRDefault="00872B66" w:rsidP="00FE2217">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¿Cuáles fueron las causas específicas de la eliminación de la Convención de Belém do Pará en la nueva Reforma?</w:t>
      </w:r>
    </w:p>
    <w:p w14:paraId="4154CE87"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¿Cuáles son los manuales específicos que posee el Estado venezolano en materia de atención a la denuncia de violencia contra las mujeres ante las instituciones?</w:t>
      </w:r>
    </w:p>
    <w:p w14:paraId="6D83F6DE" w14:textId="77777777" w:rsidR="00FE2217" w:rsidRDefault="00872B66" w:rsidP="00FE2217">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¿Podría proporcionar detalles completos sobre las denuncias de violaciones de los derechos de las mujeres recibidas por el Ministerio Público, tales como el número de denuncias recibidas, el tipo de derechos vulnerados, la relación entre la víctima y el agresor, la edad de las víctimas y el número de investigaciones, juicios y condenas actualizados al 2022 y desde la última evaluación?</w:t>
      </w:r>
    </w:p>
    <w:p w14:paraId="7AA29D14" w14:textId="77777777" w:rsidR="00FE2217" w:rsidRPr="00FE2217" w:rsidRDefault="00FE2217" w:rsidP="00FE2217">
      <w:pPr>
        <w:pStyle w:val="Prrafodelista"/>
        <w:ind w:left="1440"/>
        <w:jc w:val="both"/>
        <w:rPr>
          <w:rFonts w:ascii="Garamond" w:hAnsi="Garamond" w:cs="Times New Roman"/>
          <w:sz w:val="24"/>
          <w:szCs w:val="24"/>
        </w:rPr>
      </w:pPr>
    </w:p>
    <w:p w14:paraId="4B7100FA" w14:textId="77777777" w:rsidR="00872B66" w:rsidRPr="00395E47" w:rsidRDefault="00C31DD5" w:rsidP="00872B66">
      <w:pPr>
        <w:pStyle w:val="Prrafodelista"/>
        <w:jc w:val="both"/>
        <w:rPr>
          <w:rFonts w:ascii="Garamond" w:hAnsi="Garamond" w:cs="Times New Roman"/>
          <w:b/>
          <w:sz w:val="24"/>
          <w:szCs w:val="24"/>
        </w:rPr>
      </w:pPr>
      <w:r>
        <w:rPr>
          <w:rFonts w:ascii="Garamond" w:hAnsi="Garamond" w:cs="Times New Roman"/>
          <w:b/>
          <w:sz w:val="24"/>
          <w:szCs w:val="24"/>
        </w:rPr>
        <w:t>Artículo 6:</w:t>
      </w:r>
    </w:p>
    <w:p w14:paraId="493F4246" w14:textId="77777777" w:rsidR="00872B66" w:rsidRPr="00395E47" w:rsidRDefault="00872B66" w:rsidP="00872B66">
      <w:pPr>
        <w:pStyle w:val="Prrafodelista"/>
        <w:jc w:val="both"/>
        <w:rPr>
          <w:rFonts w:ascii="Garamond" w:hAnsi="Garamond" w:cs="Times New Roman"/>
          <w:sz w:val="24"/>
          <w:szCs w:val="24"/>
        </w:rPr>
      </w:pPr>
    </w:p>
    <w:p w14:paraId="1ADE4DE6" w14:textId="62E0C5B2" w:rsidR="00872B66" w:rsidRPr="00FB1399" w:rsidRDefault="00872B66" w:rsidP="00872B66">
      <w:pPr>
        <w:pStyle w:val="Prrafodelista"/>
        <w:numPr>
          <w:ilvl w:val="0"/>
          <w:numId w:val="15"/>
        </w:numPr>
        <w:jc w:val="both"/>
        <w:rPr>
          <w:rFonts w:ascii="Garamond" w:hAnsi="Garamond" w:cs="Times New Roman"/>
          <w:sz w:val="24"/>
          <w:szCs w:val="24"/>
        </w:rPr>
      </w:pPr>
      <w:r w:rsidRPr="00FB1399">
        <w:rPr>
          <w:rFonts w:ascii="Garamond" w:hAnsi="Garamond" w:cs="Times New Roman"/>
          <w:sz w:val="24"/>
          <w:szCs w:val="24"/>
        </w:rPr>
        <w:t>¿Consideran ustedes diseñar y aplicar un Plan de Atención (Presencial y Remoto), de Prevención (Información, Comunitario, en Educación Formal y No Formal), de Formación (Sensibilización y Capacitación Sistemática) y de Seguimiento (Relevación de Estadísticas y su publicación</w:t>
      </w:r>
      <w:r w:rsidR="00FB1399" w:rsidRPr="00FB1399">
        <w:rPr>
          <w:rFonts w:ascii="Garamond" w:hAnsi="Garamond" w:cs="Times New Roman"/>
          <w:sz w:val="24"/>
          <w:szCs w:val="24"/>
        </w:rPr>
        <w:t>)</w:t>
      </w:r>
      <w:r w:rsidRPr="00FB1399">
        <w:rPr>
          <w:rFonts w:ascii="Garamond" w:hAnsi="Garamond" w:cs="Times New Roman"/>
          <w:sz w:val="24"/>
          <w:szCs w:val="24"/>
        </w:rPr>
        <w:t>?</w:t>
      </w:r>
    </w:p>
    <w:p w14:paraId="5D5F3B8E"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¿Podría enviar información sobre las medidas adoptadas por el Estado para la igualdad de mujeres afrodescendientes e indígenas, adultas mayores, mujeres con algún tipo de discapacidad, mujeres lesbianas, bisexuales, transgénero e intersexuales y mujeres privadas de libertad?</w:t>
      </w:r>
    </w:p>
    <w:p w14:paraId="297CAFF9"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¿Podría brindar información sobre el número de coberturas provistas por las Casas de Abrigo, su existencia para trata, así como la aplicación de medidas de protección cautelar a mujeres víctimas de violencia?</w:t>
      </w:r>
    </w:p>
    <w:p w14:paraId="2F77A0D3" w14:textId="77777777" w:rsidR="00872B66"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¿Existe un Registro nacional de niñas, adolescentes y mujeres desaparecidas?</w:t>
      </w:r>
    </w:p>
    <w:p w14:paraId="3A9DBF06" w14:textId="77777777" w:rsidR="0089454A" w:rsidRPr="0089454A" w:rsidRDefault="0089454A" w:rsidP="0089454A">
      <w:pPr>
        <w:pStyle w:val="Prrafodelista"/>
        <w:numPr>
          <w:ilvl w:val="0"/>
          <w:numId w:val="15"/>
        </w:numPr>
        <w:rPr>
          <w:rFonts w:ascii="Garamond" w:hAnsi="Garamond" w:cs="Times New Roman"/>
          <w:sz w:val="24"/>
          <w:szCs w:val="24"/>
        </w:rPr>
      </w:pPr>
      <w:r w:rsidRPr="0089454A">
        <w:rPr>
          <w:rFonts w:ascii="Garamond" w:hAnsi="Garamond" w:cs="Times New Roman"/>
          <w:sz w:val="24"/>
          <w:szCs w:val="24"/>
        </w:rPr>
        <w:t>¿Existe un Protocolo para la búsqueda de niñas, adolescentes y mujeres desaparecidas?</w:t>
      </w:r>
    </w:p>
    <w:p w14:paraId="1B618F6D"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¿Existe un Sistema de Alarma en caso de desaparición de niñas, adolescentes y mujeres?</w:t>
      </w:r>
    </w:p>
    <w:p w14:paraId="08C81B19"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¿Podría proporcionar información sobre las medidas implementadas para contar con un sistema de reunión de datos estadísticos sobre la violencia contra la mujer, desglosados en función del tipo de violencia y la relación entre los autores y las víctimas, y sobre el número de denuncias, enjuiciamientos, condenas y penas impuestas a los autores, así como sobre las reparaciones concedidas a las víctimas?</w:t>
      </w:r>
    </w:p>
    <w:p w14:paraId="7FC44108"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lastRenderedPageBreak/>
        <w:t xml:space="preserve">¿Cuáles son las cifras oficiales en materia de Violencia de Género (femicidios, abuso sexual y trata de mujeres, niñas y adolescentes) que tiene el Estado actualmente? Y, ¿Bajo qué indicadores trabajan la data?  </w:t>
      </w:r>
    </w:p>
    <w:p w14:paraId="26FFBD87"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¿Qué esfuerzos está realizando para concientizar a la población, especialmente a los funcionarios públicos?</w:t>
      </w:r>
    </w:p>
    <w:p w14:paraId="3C16B3FE" w14:textId="77777777" w:rsidR="00872B66" w:rsidRPr="00395E47" w:rsidRDefault="00872B66" w:rsidP="00872B66">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¿Son asequibles los documentos de identificación, como la Cédula de Identidad y el Pasaporte, de las niñas, adolescentes y mujeres? ¿Cuál es el precio? ¿Para una mujer que gana salario mínimo es accesible?</w:t>
      </w:r>
    </w:p>
    <w:p w14:paraId="4E03E9D8" w14:textId="78CD4754" w:rsidR="00872B66" w:rsidRDefault="00872B66" w:rsidP="002307FD">
      <w:pPr>
        <w:pStyle w:val="Prrafodelista"/>
        <w:numPr>
          <w:ilvl w:val="0"/>
          <w:numId w:val="15"/>
        </w:numPr>
        <w:jc w:val="both"/>
        <w:rPr>
          <w:rFonts w:ascii="Garamond" w:hAnsi="Garamond" w:cs="Times New Roman"/>
          <w:sz w:val="24"/>
          <w:szCs w:val="24"/>
        </w:rPr>
      </w:pPr>
      <w:r w:rsidRPr="00395E47">
        <w:rPr>
          <w:rFonts w:ascii="Garamond" w:hAnsi="Garamond" w:cs="Times New Roman"/>
          <w:sz w:val="24"/>
          <w:szCs w:val="24"/>
        </w:rPr>
        <w:t xml:space="preserve"> ¿Cómo han considerado agregar a la Sociedad Civil y a las ONG especializadas en planes y programas al respecto?</w:t>
      </w:r>
    </w:p>
    <w:p w14:paraId="51ABEF1E" w14:textId="5EA2BA5F" w:rsidR="0000724D" w:rsidRPr="0089454A" w:rsidRDefault="0000724D" w:rsidP="0089454A">
      <w:pPr>
        <w:pStyle w:val="Prrafodelista"/>
        <w:numPr>
          <w:ilvl w:val="0"/>
          <w:numId w:val="15"/>
        </w:numPr>
        <w:jc w:val="both"/>
        <w:rPr>
          <w:rFonts w:ascii="Garamond" w:hAnsi="Garamond" w:cs="Times New Roman"/>
          <w:sz w:val="24"/>
          <w:szCs w:val="24"/>
        </w:rPr>
      </w:pPr>
      <w:r>
        <w:rPr>
          <w:rFonts w:ascii="Garamond" w:hAnsi="Garamond" w:cs="Times New Roman"/>
          <w:sz w:val="24"/>
          <w:szCs w:val="24"/>
        </w:rPr>
        <w:t xml:space="preserve"> Cuales son las medidas afirmativas exixtentes en la legislacion y en politicas publicas para garantizar el derecho de las mujeres a la participacion politica en condiciones de igualdad</w:t>
      </w:r>
      <w:proofErr w:type="gramStart"/>
      <w:r>
        <w:rPr>
          <w:rFonts w:ascii="Garamond" w:hAnsi="Garamond" w:cs="Times New Roman"/>
          <w:sz w:val="24"/>
          <w:szCs w:val="24"/>
        </w:rPr>
        <w:t>?</w:t>
      </w:r>
      <w:bookmarkStart w:id="0" w:name="_GoBack"/>
      <w:bookmarkEnd w:id="0"/>
      <w:proofErr w:type="gramEnd"/>
    </w:p>
    <w:sectPr w:rsidR="0000724D" w:rsidRPr="0089454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08602" w14:textId="77777777" w:rsidR="002633EA" w:rsidRDefault="002633EA" w:rsidP="00381846">
      <w:pPr>
        <w:spacing w:after="0" w:line="240" w:lineRule="auto"/>
      </w:pPr>
      <w:r>
        <w:separator/>
      </w:r>
    </w:p>
  </w:endnote>
  <w:endnote w:type="continuationSeparator" w:id="0">
    <w:p w14:paraId="7C1449E1" w14:textId="77777777" w:rsidR="002633EA" w:rsidRDefault="002633EA" w:rsidP="0038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A9AE2" w14:textId="77777777" w:rsidR="002633EA" w:rsidRDefault="002633EA" w:rsidP="00381846">
      <w:pPr>
        <w:spacing w:after="0" w:line="240" w:lineRule="auto"/>
      </w:pPr>
      <w:r>
        <w:separator/>
      </w:r>
    </w:p>
  </w:footnote>
  <w:footnote w:type="continuationSeparator" w:id="0">
    <w:p w14:paraId="454060C0" w14:textId="77777777" w:rsidR="002633EA" w:rsidRDefault="002633EA" w:rsidP="00381846">
      <w:pPr>
        <w:spacing w:after="0" w:line="240" w:lineRule="auto"/>
      </w:pPr>
      <w:r>
        <w:continuationSeparator/>
      </w:r>
    </w:p>
  </w:footnote>
  <w:footnote w:id="1">
    <w:p w14:paraId="029BC88C" w14:textId="77777777" w:rsidR="00141B0C" w:rsidRPr="00EC5E14" w:rsidRDefault="00141B0C" w:rsidP="00381846">
      <w:pPr>
        <w:pStyle w:val="Textonotapie"/>
      </w:pPr>
      <w:r>
        <w:rPr>
          <w:rStyle w:val="Refdenotaalpie"/>
        </w:rPr>
        <w:footnoteRef/>
      </w:r>
      <w:r>
        <w:t xml:space="preserve"> </w:t>
      </w:r>
      <w:hyperlink r:id="rId1" w:history="1">
        <w:r w:rsidRPr="005B0C45">
          <w:rPr>
            <w:rStyle w:val="Hipervnculo"/>
          </w:rPr>
          <w:t>https://cepaz.org/</w:t>
        </w:r>
      </w:hyperlink>
      <w:r>
        <w:t xml:space="preserve"> </w:t>
      </w:r>
    </w:p>
  </w:footnote>
  <w:footnote w:id="2">
    <w:p w14:paraId="2D695045" w14:textId="77777777" w:rsidR="00141B0C" w:rsidRPr="00EC5E14" w:rsidRDefault="00141B0C" w:rsidP="00381846">
      <w:pPr>
        <w:pStyle w:val="Textonotapie"/>
      </w:pPr>
      <w:r>
        <w:rPr>
          <w:rStyle w:val="Refdenotaalpie"/>
        </w:rPr>
        <w:footnoteRef/>
      </w:r>
      <w:r>
        <w:t xml:space="preserve"> </w:t>
      </w:r>
      <w:hyperlink r:id="rId2" w:history="1">
        <w:r w:rsidRPr="005B0C45">
          <w:rPr>
            <w:rStyle w:val="Hipervnculo"/>
          </w:rPr>
          <w:t>http://ulamujer.org/</w:t>
        </w:r>
      </w:hyperlink>
      <w:r>
        <w:t xml:space="preserve"> </w:t>
      </w:r>
    </w:p>
  </w:footnote>
  <w:footnote w:id="3">
    <w:p w14:paraId="3C3928E4" w14:textId="77777777" w:rsidR="00141B0C" w:rsidRPr="0086422D" w:rsidRDefault="00141B0C" w:rsidP="00381846">
      <w:pPr>
        <w:pStyle w:val="Textonotapie"/>
      </w:pPr>
      <w:r>
        <w:rPr>
          <w:rStyle w:val="Refdenotaalpie"/>
        </w:rPr>
        <w:footnoteRef/>
      </w:r>
      <w:r>
        <w:t xml:space="preserve"> </w:t>
      </w:r>
      <w:hyperlink r:id="rId3" w:history="1">
        <w:r w:rsidRPr="00E01010">
          <w:rPr>
            <w:rStyle w:val="Hipervnculo"/>
          </w:rPr>
          <w:t>https://exodo.org.ve/</w:t>
        </w:r>
      </w:hyperlink>
      <w:r>
        <w:t xml:space="preserve"> </w:t>
      </w:r>
    </w:p>
  </w:footnote>
  <w:footnote w:id="4">
    <w:p w14:paraId="77E27865" w14:textId="77777777" w:rsidR="00141B0C" w:rsidRPr="00EC5E14" w:rsidRDefault="00141B0C" w:rsidP="00381846">
      <w:pPr>
        <w:pStyle w:val="Textonotapie"/>
      </w:pPr>
      <w:r>
        <w:rPr>
          <w:rStyle w:val="Refdenotaalpie"/>
        </w:rPr>
        <w:footnoteRef/>
      </w:r>
      <w:r>
        <w:t xml:space="preserve"> </w:t>
      </w:r>
      <w:hyperlink r:id="rId4" w:history="1">
        <w:r w:rsidRPr="005B0C45">
          <w:rPr>
            <w:rStyle w:val="Hipervnculo"/>
          </w:rPr>
          <w:t>https://www.instagram.com/fundacionvidajuridica/</w:t>
        </w:r>
      </w:hyperlink>
      <w:r>
        <w:t xml:space="preserve"> </w:t>
      </w:r>
    </w:p>
  </w:footnote>
  <w:footnote w:id="5">
    <w:p w14:paraId="4631C0D0" w14:textId="77777777" w:rsidR="00141B0C" w:rsidRPr="00EC5E14" w:rsidRDefault="00141B0C" w:rsidP="00381846">
      <w:pPr>
        <w:pStyle w:val="Textonotapie"/>
      </w:pPr>
      <w:r>
        <w:rPr>
          <w:rStyle w:val="Refdenotaalpie"/>
        </w:rPr>
        <w:footnoteRef/>
      </w:r>
      <w:r>
        <w:t xml:space="preserve"> </w:t>
      </w:r>
      <w:hyperlink r:id="rId5" w:history="1">
        <w:r w:rsidRPr="005B0C45">
          <w:rPr>
            <w:rStyle w:val="Hipervnculo"/>
          </w:rPr>
          <w:t>http://fundamujervenezuela.blogspot.com/</w:t>
        </w:r>
      </w:hyperlink>
      <w:r>
        <w:t xml:space="preserve"> </w:t>
      </w:r>
    </w:p>
  </w:footnote>
  <w:footnote w:id="6">
    <w:p w14:paraId="7DBECACB" w14:textId="77777777" w:rsidR="00141B0C" w:rsidRPr="00437171" w:rsidRDefault="00141B0C" w:rsidP="00381846">
      <w:pPr>
        <w:pStyle w:val="Textonotapie"/>
        <w:rPr>
          <w:lang w:val="es-ES"/>
        </w:rPr>
      </w:pPr>
      <w:r>
        <w:rPr>
          <w:rStyle w:val="Refdenotaalpie"/>
        </w:rPr>
        <w:footnoteRef/>
      </w:r>
      <w:r>
        <w:t xml:space="preserve"> </w:t>
      </w:r>
      <w:hyperlink r:id="rId6" w:history="1">
        <w:r w:rsidRPr="005B0C45">
          <w:rPr>
            <w:rStyle w:val="Hipervnculo"/>
          </w:rPr>
          <w:t>https://muliervenezuela.medium.com/</w:t>
        </w:r>
      </w:hyperlink>
      <w:r>
        <w:t xml:space="preserve"> </w:t>
      </w:r>
    </w:p>
  </w:footnote>
  <w:footnote w:id="7">
    <w:p w14:paraId="1B76C8C8" w14:textId="77777777" w:rsidR="00141B0C" w:rsidRPr="00151849" w:rsidRDefault="00141B0C" w:rsidP="00381846">
      <w:pPr>
        <w:pStyle w:val="Textonotapie"/>
      </w:pPr>
      <w:r>
        <w:rPr>
          <w:rStyle w:val="Refdenotaalpie"/>
        </w:rPr>
        <w:footnoteRef/>
      </w:r>
      <w:r>
        <w:t xml:space="preserve"> </w:t>
      </w:r>
      <w:hyperlink r:id="rId7" w:history="1">
        <w:r w:rsidRPr="005B0C45">
          <w:rPr>
            <w:rStyle w:val="Hipervnculo"/>
          </w:rPr>
          <w:t>https://rednaranja.com.ve/</w:t>
        </w:r>
      </w:hyperlink>
      <w:r>
        <w:t xml:space="preserve"> </w:t>
      </w:r>
    </w:p>
  </w:footnote>
  <w:footnote w:id="8">
    <w:p w14:paraId="37015E06" w14:textId="77777777" w:rsidR="00140426" w:rsidRPr="0025334C" w:rsidRDefault="00140426" w:rsidP="00140426">
      <w:pPr>
        <w:pStyle w:val="Textonotapie"/>
        <w:rPr>
          <w:lang w:val="es-ES"/>
        </w:rPr>
      </w:pPr>
      <w:r>
        <w:rPr>
          <w:rStyle w:val="Refdenotaalpie"/>
        </w:rPr>
        <w:footnoteRef/>
      </w:r>
      <w:r>
        <w:t xml:space="preserve"> </w:t>
      </w:r>
      <w:r w:rsidRPr="0025334C">
        <w:t>Información suministrada vía telefónica a la Comisión ULA-Mujer por una funcionaria que solicita no ser identificada en este Informe para no sufrir despido, acoso o persecución por sus declaraciones</w:t>
      </w:r>
    </w:p>
  </w:footnote>
  <w:footnote w:id="9">
    <w:p w14:paraId="4A80DCF4" w14:textId="77777777" w:rsidR="005B211D" w:rsidRDefault="005B211D">
      <w:pPr>
        <w:pStyle w:val="Textonotapie"/>
      </w:pPr>
      <w:r>
        <w:rPr>
          <w:rStyle w:val="Refdenotaalpie"/>
        </w:rPr>
        <w:footnoteRef/>
      </w:r>
      <w:r>
        <w:t xml:space="preserve"> </w:t>
      </w:r>
      <w:r w:rsidRPr="005B211D">
        <w:t xml:space="preserve">  </w:t>
      </w:r>
      <w:hyperlink r:id="rId8" w:history="1">
        <w:r w:rsidRPr="0073611F">
          <w:rPr>
            <w:rStyle w:val="Hipervnculo"/>
          </w:rPr>
          <w:t>https://cepaz.org/articulos/en-venezuela-las-mujeres-victimas-de-violencia-basada-en-genero-enfrentan-profundas-brechas-para-el-acceso-a-la-justicia/</w:t>
        </w:r>
      </w:hyperlink>
      <w:r>
        <w:t xml:space="preserve"> </w:t>
      </w:r>
    </w:p>
  </w:footnote>
  <w:footnote w:id="10">
    <w:p w14:paraId="4CA94F23" w14:textId="77777777" w:rsidR="008D33E6" w:rsidRPr="00FC7839" w:rsidRDefault="008D33E6" w:rsidP="008D33E6">
      <w:pPr>
        <w:pStyle w:val="Textonotapie"/>
        <w:jc w:val="both"/>
      </w:pPr>
      <w:r>
        <w:rPr>
          <w:rStyle w:val="Refdenotaalpie"/>
        </w:rPr>
        <w:footnoteRef/>
      </w:r>
      <w:r>
        <w:t xml:space="preserve"> </w:t>
      </w:r>
      <w:hyperlink r:id="rId9" w:history="1">
        <w:r w:rsidRPr="00E01010">
          <w:rPr>
            <w:rStyle w:val="Hipervnculo"/>
          </w:rPr>
          <w:t>https://cepaz.org/noticias/alianza-cepaz-cem-ucv-y-fundamujer-suma-mas-numeros-para-ofrecer-atencion-psicolegal-a-mujeres-victimas-de-violencias/</w:t>
        </w:r>
      </w:hyperlink>
      <w:r>
        <w:t xml:space="preserve"> </w:t>
      </w:r>
    </w:p>
  </w:footnote>
  <w:footnote w:id="11">
    <w:p w14:paraId="164DCB08" w14:textId="77777777" w:rsidR="008D33E6" w:rsidRDefault="008D33E6" w:rsidP="008D33E6">
      <w:pPr>
        <w:pStyle w:val="Textonotapie"/>
      </w:pPr>
      <w:r>
        <w:rPr>
          <w:rStyle w:val="Refdenotaalpie"/>
        </w:rPr>
        <w:footnoteRef/>
      </w:r>
      <w:r>
        <w:t xml:space="preserve"> </w:t>
      </w:r>
      <w:hyperlink r:id="rId10" w:history="1">
        <w:r w:rsidRPr="003818E9">
          <w:rPr>
            <w:rStyle w:val="Hipervnculo"/>
          </w:rPr>
          <w:t>https://cepaz.org/articulos/reforma-a-la-ley-organica-sobre-el-derecho-de-las-mujeres-a-una-vida-libre-de-violencia-mas-retos-que-aciertos/</w:t>
        </w:r>
      </w:hyperlink>
      <w:r>
        <w:t xml:space="preserve"> </w:t>
      </w:r>
    </w:p>
  </w:footnote>
  <w:footnote w:id="12">
    <w:p w14:paraId="4172B92A" w14:textId="77777777" w:rsidR="008D33E6" w:rsidRPr="00A1764C" w:rsidRDefault="008D33E6" w:rsidP="008D33E6">
      <w:pPr>
        <w:pStyle w:val="Textonotapie"/>
        <w:jc w:val="both"/>
      </w:pPr>
      <w:r>
        <w:rPr>
          <w:rStyle w:val="Refdenotaalpie"/>
        </w:rPr>
        <w:footnoteRef/>
      </w:r>
      <w:r>
        <w:t xml:space="preserve"> </w:t>
      </w:r>
      <w:hyperlink r:id="rId11" w:history="1">
        <w:r w:rsidRPr="00760A11">
          <w:rPr>
            <w:rStyle w:val="Hipervnculo"/>
          </w:rPr>
          <w:t>https://cepaz.org/articulos/el-estado-venezolano-no-cumple-con-las-obligaciones-internacionales-en-materia-de-genero/</w:t>
        </w:r>
      </w:hyperlink>
      <w:r>
        <w:t xml:space="preserve"> </w:t>
      </w:r>
    </w:p>
  </w:footnote>
  <w:footnote w:id="13">
    <w:p w14:paraId="69365021" w14:textId="10ABF12C" w:rsidR="00141B0C" w:rsidRPr="00D6511E" w:rsidRDefault="00141B0C" w:rsidP="006F68A5">
      <w:pPr>
        <w:pStyle w:val="Textonotapie"/>
        <w:rPr>
          <w:lang w:val="es-ES"/>
        </w:rPr>
      </w:pPr>
      <w:r>
        <w:rPr>
          <w:rStyle w:val="Refdenotaalpie"/>
        </w:rPr>
        <w:footnoteRef/>
      </w:r>
      <w:r>
        <w:t xml:space="preserve"> </w:t>
      </w:r>
      <w:r w:rsidRPr="00D6511E">
        <w:t>Amnist</w:t>
      </w:r>
      <w:r w:rsidR="002D3E13">
        <w:t xml:space="preserve">ía Internacional. </w:t>
      </w:r>
      <w:r w:rsidRPr="00D6511E">
        <w:t>7 de diciembre de 2017. Entre las recomendaciones del Cedaw y la realidad: justicia, salud, y violencia contra la mujer.</w:t>
      </w:r>
      <w:r>
        <w:t xml:space="preserve"> </w:t>
      </w:r>
    </w:p>
  </w:footnote>
  <w:footnote w:id="14">
    <w:p w14:paraId="63ACF3F4" w14:textId="77777777" w:rsidR="00141B0C" w:rsidRPr="00A008D1" w:rsidRDefault="00141B0C" w:rsidP="00616545">
      <w:pPr>
        <w:pStyle w:val="Textonotapie"/>
        <w:jc w:val="both"/>
      </w:pPr>
      <w:r>
        <w:rPr>
          <w:rStyle w:val="Refdenotaalpie"/>
        </w:rPr>
        <w:footnoteRef/>
      </w:r>
      <w:r>
        <w:t xml:space="preserve"> </w:t>
      </w:r>
      <w:hyperlink r:id="rId12" w:history="1">
        <w:r w:rsidRPr="00760A11">
          <w:rPr>
            <w:rStyle w:val="Hipervnculo"/>
          </w:rPr>
          <w:t>https://www.oas.org/dil/esp/constitucion_venezuela.pdf</w:t>
        </w:r>
      </w:hyperlink>
      <w:r>
        <w:t xml:space="preserve"> </w:t>
      </w:r>
    </w:p>
  </w:footnote>
  <w:footnote w:id="15">
    <w:p w14:paraId="7D17BC0B" w14:textId="77777777" w:rsidR="00141B0C" w:rsidRPr="00027E1D" w:rsidRDefault="00141B0C" w:rsidP="00616545">
      <w:pPr>
        <w:pStyle w:val="Textonotapie"/>
        <w:jc w:val="both"/>
      </w:pPr>
      <w:r>
        <w:rPr>
          <w:rStyle w:val="Refdenotaalpie"/>
        </w:rPr>
        <w:footnoteRef/>
      </w:r>
      <w:hyperlink r:id="rId13" w:history="1">
        <w:r w:rsidRPr="00027E1D">
          <w:rPr>
            <w:rStyle w:val="Hipervnculo"/>
          </w:rPr>
          <w:t>https://rednaranja.com.ve/informe-educativo-de-prevencion-de-violencia-contra-las-mujeres-femicidio-estado-zulia-venezuela/</w:t>
        </w:r>
      </w:hyperlink>
      <w:r w:rsidRPr="00027E1D">
        <w:t xml:space="preserve"> </w:t>
      </w:r>
    </w:p>
  </w:footnote>
  <w:footnote w:id="16">
    <w:p w14:paraId="1295DB20" w14:textId="77777777" w:rsidR="00141B0C" w:rsidRPr="00782998" w:rsidRDefault="00141B0C" w:rsidP="00616545">
      <w:pPr>
        <w:pStyle w:val="Textonotapie"/>
        <w:jc w:val="both"/>
      </w:pPr>
      <w:r w:rsidRPr="00782998">
        <w:rPr>
          <w:rStyle w:val="Refdenotaalpie"/>
        </w:rPr>
        <w:footnoteRef/>
      </w:r>
      <w:r w:rsidRPr="00782998">
        <w:t xml:space="preserve"> </w:t>
      </w:r>
      <w:hyperlink r:id="rId14" w:history="1">
        <w:r w:rsidRPr="00782998">
          <w:rPr>
            <w:rStyle w:val="Hipervnculo"/>
          </w:rPr>
          <w:t>https://www.unimet.edu.ve/wp-content/uploads/2022/04/Diagn%C3%B3stico-inicial-sobre-el-funcionamiento-del-sistema-de-justicia-en-los-casos-de-violencia-de-g%C3%A9nero-en-Venezuela.pdf</w:t>
        </w:r>
      </w:hyperlink>
      <w:r w:rsidRPr="00782998">
        <w:t xml:space="preserve"> </w:t>
      </w:r>
    </w:p>
  </w:footnote>
  <w:footnote w:id="17">
    <w:p w14:paraId="1A04081C" w14:textId="77777777" w:rsidR="00141B0C" w:rsidRPr="007E2E69" w:rsidRDefault="00141B0C" w:rsidP="00616545">
      <w:pPr>
        <w:pStyle w:val="Textonotapie"/>
        <w:jc w:val="both"/>
      </w:pPr>
      <w:r>
        <w:rPr>
          <w:rStyle w:val="Refdenotaalpie"/>
        </w:rPr>
        <w:footnoteRef/>
      </w:r>
      <w:r>
        <w:t xml:space="preserve"> </w:t>
      </w:r>
      <w:hyperlink r:id="rId15" w:history="1">
        <w:r w:rsidRPr="00760A11">
          <w:rPr>
            <w:rStyle w:val="Hipervnculo"/>
          </w:rPr>
          <w:t>https://cepaz.org/documentos_informes/monitoreo-de-femicidios-junio-2021-resumen-de-enero-a-junio/</w:t>
        </w:r>
      </w:hyperlink>
      <w:r>
        <w:t xml:space="preserve"> </w:t>
      </w:r>
    </w:p>
  </w:footnote>
  <w:footnote w:id="18">
    <w:p w14:paraId="7CAD2B3A" w14:textId="77777777" w:rsidR="00141B0C" w:rsidRPr="00DF74D4" w:rsidRDefault="00141B0C" w:rsidP="00E67FFB">
      <w:pPr>
        <w:pStyle w:val="Textonotapie"/>
        <w:rPr>
          <w:lang w:val="es-ES"/>
        </w:rPr>
      </w:pPr>
      <w:r w:rsidRPr="00DF74D4">
        <w:rPr>
          <w:rStyle w:val="Refdenotaalpie"/>
        </w:rPr>
        <w:footnoteRef/>
      </w:r>
      <w:r w:rsidRPr="00DF74D4">
        <w:t xml:space="preserve"> </w:t>
      </w:r>
      <w:hyperlink r:id="rId16" w:history="1">
        <w:r w:rsidRPr="00DF74D4">
          <w:rPr>
            <w:rStyle w:val="Hipervnculo"/>
          </w:rPr>
          <w:t>https://cepaz.org/articulos/la-proteccion-de-las-mujeres-venezolanas-frente-a-las-violencias-de-genero/</w:t>
        </w:r>
      </w:hyperlink>
      <w:r w:rsidRPr="00DF74D4">
        <w:t xml:space="preserve"> </w:t>
      </w:r>
    </w:p>
  </w:footnote>
  <w:footnote w:id="19">
    <w:p w14:paraId="1A604137" w14:textId="77777777" w:rsidR="00EF52FD" w:rsidRDefault="00EF52FD">
      <w:pPr>
        <w:pStyle w:val="Textonotapie"/>
      </w:pPr>
      <w:r>
        <w:rPr>
          <w:rStyle w:val="Refdenotaalpie"/>
        </w:rPr>
        <w:footnoteRef/>
      </w:r>
      <w:r>
        <w:t xml:space="preserve"> </w:t>
      </w:r>
      <w:hyperlink r:id="rId17" w:history="1">
        <w:r w:rsidRPr="0073611F">
          <w:rPr>
            <w:rStyle w:val="Hipervnculo"/>
          </w:rPr>
          <w:t>http://www.ine.gov.ve/</w:t>
        </w:r>
      </w:hyperlink>
      <w:r>
        <w:t xml:space="preserve"> </w:t>
      </w:r>
    </w:p>
  </w:footnote>
  <w:footnote w:id="20">
    <w:p w14:paraId="79B2993E" w14:textId="77777777" w:rsidR="00947E9B" w:rsidRPr="0016542D" w:rsidRDefault="00947E9B" w:rsidP="00947E9B">
      <w:pPr>
        <w:pStyle w:val="Textonotapie"/>
        <w:rPr>
          <w:lang w:val="es-ES"/>
        </w:rPr>
      </w:pPr>
      <w:r>
        <w:rPr>
          <w:rStyle w:val="Refdenotaalpie"/>
        </w:rPr>
        <w:footnoteRef/>
      </w:r>
      <w:r>
        <w:t xml:space="preserve"> </w:t>
      </w:r>
      <w:hyperlink r:id="rId18" w:history="1">
        <w:r w:rsidRPr="000554FB">
          <w:rPr>
            <w:rStyle w:val="Hipervnculo"/>
          </w:rPr>
          <w:t>https://www.amnistia.org/ve/blog/2017/05/2420/impunidad-y-violenciade-genero</w:t>
        </w:r>
      </w:hyperlink>
      <w:r>
        <w:t xml:space="preserve"> </w:t>
      </w:r>
    </w:p>
  </w:footnote>
  <w:footnote w:id="21">
    <w:p w14:paraId="53ADDD8D" w14:textId="77777777" w:rsidR="00947E9B" w:rsidRPr="0016542D" w:rsidRDefault="00947E9B" w:rsidP="00947E9B">
      <w:pPr>
        <w:pStyle w:val="Textonotapie"/>
        <w:rPr>
          <w:lang w:val="es-ES"/>
        </w:rPr>
      </w:pPr>
      <w:r>
        <w:rPr>
          <w:rStyle w:val="Refdenotaalpie"/>
        </w:rPr>
        <w:footnoteRef/>
      </w:r>
      <w:r>
        <w:t xml:space="preserve"> </w:t>
      </w:r>
      <w:r w:rsidRPr="0016542D">
        <w:t>Ley de la Función Pública de Estadísticas. Artículo 14. Toda persona natural o jurídica, tiene derecho a ser usuario de la información estadística de interés público que levante, produzca y procese el Estado.</w:t>
      </w:r>
      <w:r>
        <w:t xml:space="preserve"> </w:t>
      </w:r>
    </w:p>
  </w:footnote>
  <w:footnote w:id="22">
    <w:p w14:paraId="15CFF937" w14:textId="2D4FB6EC" w:rsidR="00B7764D" w:rsidRPr="00B7764D" w:rsidRDefault="00B7764D">
      <w:pPr>
        <w:pStyle w:val="Textonotapie"/>
      </w:pPr>
      <w:r>
        <w:rPr>
          <w:rStyle w:val="Refdenotaalpie"/>
        </w:rPr>
        <w:footnoteRef/>
      </w:r>
      <w:r>
        <w:t xml:space="preserve"> </w:t>
      </w:r>
      <w:hyperlink r:id="rId19" w:history="1">
        <w:r w:rsidRPr="00940CD1">
          <w:rPr>
            <w:rStyle w:val="Hipervnculo"/>
          </w:rPr>
          <w:t>http://ulamujer.org/wp-content/uploads/2022/05/I.-Informe-sobre-VIOLENCIA-CONTRA-LA-MUJER.pdf</w:t>
        </w:r>
      </w:hyperlink>
      <w:r>
        <w:t xml:space="preserve"> </w:t>
      </w:r>
    </w:p>
  </w:footnote>
  <w:footnote w:id="23">
    <w:p w14:paraId="50195824" w14:textId="6DB6173B" w:rsidR="00141B0C" w:rsidRPr="00604D0A" w:rsidRDefault="00141B0C" w:rsidP="00616545">
      <w:pPr>
        <w:pStyle w:val="Textonotapie"/>
        <w:jc w:val="both"/>
      </w:pPr>
      <w:r>
        <w:rPr>
          <w:rStyle w:val="Refdenotaalpie"/>
        </w:rPr>
        <w:footnoteRef/>
      </w:r>
      <w:r w:rsidRPr="00604D0A">
        <w:t xml:space="preserve"> </w:t>
      </w:r>
      <w:hyperlink r:id="rId20" w:history="1">
        <w:r w:rsidR="00A57D52" w:rsidRPr="00940CD1">
          <w:rPr>
            <w:rStyle w:val="Hipervnculo"/>
          </w:rPr>
          <w:t>https://muliervenezuela.medium.com/libresyseguras-2021-eae37678c9c6</w:t>
        </w:r>
      </w:hyperlink>
      <w:r w:rsidR="00A57D52">
        <w:t xml:space="preserve"> </w:t>
      </w:r>
    </w:p>
  </w:footnote>
  <w:footnote w:id="24">
    <w:p w14:paraId="775748D2" w14:textId="77777777" w:rsidR="00141B0C" w:rsidRPr="001762DC" w:rsidRDefault="00141B0C" w:rsidP="00E67FFB">
      <w:pPr>
        <w:pStyle w:val="Textonotapie"/>
        <w:jc w:val="both"/>
      </w:pPr>
      <w:r>
        <w:rPr>
          <w:rStyle w:val="Refdenotaalpie"/>
        </w:rPr>
        <w:footnoteRef/>
      </w:r>
      <w:r w:rsidRPr="001762DC">
        <w:t xml:space="preserve"> </w:t>
      </w:r>
      <w:hyperlink r:id="rId21" w:history="1">
        <w:r w:rsidRPr="001762DC">
          <w:rPr>
            <w:rStyle w:val="Hipervnculo"/>
          </w:rPr>
          <w:t>https://cepaz.org/noticias/durante-el-mes-de-diciembre-hubo-34-femicidios-en-venezuela/</w:t>
        </w:r>
      </w:hyperlink>
      <w:r w:rsidRPr="001762DC">
        <w:t xml:space="preserve"> </w:t>
      </w:r>
    </w:p>
  </w:footnote>
  <w:footnote w:id="25">
    <w:p w14:paraId="6A91A822" w14:textId="77777777" w:rsidR="00141B0C" w:rsidRPr="0005747A" w:rsidRDefault="00141B0C" w:rsidP="00E67FFB">
      <w:pPr>
        <w:pStyle w:val="Textonotapie"/>
        <w:jc w:val="both"/>
        <w:rPr>
          <w:lang w:val="es-ES"/>
        </w:rPr>
      </w:pPr>
      <w:r>
        <w:rPr>
          <w:rStyle w:val="Refdenotaalpie"/>
        </w:rPr>
        <w:footnoteRef/>
      </w:r>
      <w:r>
        <w:t xml:space="preserve"> </w:t>
      </w:r>
      <w:hyperlink r:id="rId22" w:history="1">
        <w:r w:rsidRPr="007D3135">
          <w:rPr>
            <w:rStyle w:val="Hipervnculo"/>
            <w:lang w:val="es-ES"/>
          </w:rPr>
          <w:t>https://cepaz.org/noticias/ocho-femicidios-consumados-en-venezuela-en-la-primera-semana-de-mayo/</w:t>
        </w:r>
      </w:hyperlink>
      <w:r>
        <w:rPr>
          <w:lang w:val="es-ES"/>
        </w:rPr>
        <w:t xml:space="preserve"> </w:t>
      </w:r>
    </w:p>
  </w:footnote>
  <w:footnote w:id="26">
    <w:p w14:paraId="70EC0654" w14:textId="77777777" w:rsidR="00141B0C" w:rsidRPr="00D62FF8" w:rsidRDefault="00141B0C" w:rsidP="00E67FFB">
      <w:pPr>
        <w:pStyle w:val="Textonotapie"/>
        <w:jc w:val="both"/>
        <w:rPr>
          <w:lang w:val="es-ES"/>
        </w:rPr>
      </w:pPr>
      <w:r>
        <w:rPr>
          <w:rStyle w:val="Refdenotaalpie"/>
        </w:rPr>
        <w:footnoteRef/>
      </w:r>
      <w:r>
        <w:t xml:space="preserve"> </w:t>
      </w:r>
      <w:hyperlink r:id="rId23" w:history="1">
        <w:r w:rsidRPr="001A6AC4">
          <w:rPr>
            <w:rStyle w:val="Hipervnculo"/>
          </w:rPr>
          <w:t>https://cepaz.org/noticias/los-femicidios-arrastran-fenomenos-asociados-que-debe-sr-analizados/</w:t>
        </w:r>
      </w:hyperlink>
      <w:r>
        <w:t xml:space="preserve"> </w:t>
      </w:r>
    </w:p>
  </w:footnote>
  <w:footnote w:id="27">
    <w:p w14:paraId="6591A697" w14:textId="54D4D35D" w:rsidR="00B7764D" w:rsidRPr="00B7764D" w:rsidRDefault="00B7764D">
      <w:pPr>
        <w:pStyle w:val="Textonotapie"/>
      </w:pPr>
      <w:r>
        <w:rPr>
          <w:rStyle w:val="Refdenotaalpie"/>
        </w:rPr>
        <w:footnoteRef/>
      </w:r>
      <w:r>
        <w:t xml:space="preserve"> </w:t>
      </w:r>
      <w:hyperlink r:id="rId24" w:history="1">
        <w:r w:rsidRPr="00940CD1">
          <w:rPr>
            <w:rStyle w:val="Hipervnculo"/>
          </w:rPr>
          <w:t>http://ulamujer.org/wp-content/uploads/2022/05/I.-Informe-sobre-VIOLENCIA-CONTRA-LA-MUJER.pdf</w:t>
        </w:r>
      </w:hyperlink>
      <w:r>
        <w:t xml:space="preserve"> </w:t>
      </w:r>
    </w:p>
  </w:footnote>
  <w:footnote w:id="28">
    <w:p w14:paraId="1EF02CA3" w14:textId="77777777" w:rsidR="00B13775" w:rsidRDefault="00B13775">
      <w:pPr>
        <w:pStyle w:val="Textonotapie"/>
      </w:pPr>
      <w:r>
        <w:rPr>
          <w:rStyle w:val="Refdenotaalpie"/>
        </w:rPr>
        <w:footnoteRef/>
      </w:r>
      <w:r>
        <w:t xml:space="preserve"> </w:t>
      </w:r>
      <w:hyperlink r:id="rId25" w:history="1">
        <w:r w:rsidRPr="0073611F">
          <w:rPr>
            <w:rStyle w:val="Hipervnculo"/>
          </w:rPr>
          <w:t>http://ulamujer.org/wp-content/uploads/2021/09/1.Informe-DDHH-Mujeres-1-Rev-NR-21sept1.pdf</w:t>
        </w:r>
      </w:hyperlink>
      <w:r>
        <w:t xml:space="preserve"> </w:t>
      </w:r>
    </w:p>
  </w:footnote>
  <w:footnote w:id="29">
    <w:p w14:paraId="7EED2767" w14:textId="77777777" w:rsidR="00141B0C" w:rsidRPr="008C41C4" w:rsidRDefault="00141B0C" w:rsidP="00CC2675">
      <w:pPr>
        <w:pStyle w:val="Textonotapie"/>
        <w:jc w:val="both"/>
        <w:rPr>
          <w:lang w:val="es-ES"/>
        </w:rPr>
      </w:pPr>
      <w:r>
        <w:rPr>
          <w:rStyle w:val="Refdenotaalpie"/>
        </w:rPr>
        <w:footnoteRef/>
      </w:r>
      <w:r>
        <w:t xml:space="preserve"> </w:t>
      </w:r>
      <w:hyperlink r:id="rId26" w:history="1">
        <w:r w:rsidRPr="001A6AC4">
          <w:rPr>
            <w:rStyle w:val="Hipervnculo"/>
          </w:rPr>
          <w:t>https://cepaz.org/articulos/la-paridad-de-genero-en-venezuela-es-una-deuda-historica/</w:t>
        </w:r>
      </w:hyperlink>
      <w:r>
        <w:t xml:space="preserve"> </w:t>
      </w:r>
    </w:p>
  </w:footnote>
  <w:footnote w:id="30">
    <w:p w14:paraId="4A1670F5" w14:textId="0F3FB1DE" w:rsidR="00602130" w:rsidRPr="00602130" w:rsidRDefault="00602130">
      <w:pPr>
        <w:pStyle w:val="Textonotapie"/>
      </w:pPr>
      <w:r>
        <w:rPr>
          <w:rStyle w:val="Refdenotaalpie"/>
        </w:rPr>
        <w:footnoteRef/>
      </w:r>
      <w:r>
        <w:t xml:space="preserve">  </w:t>
      </w:r>
      <w:hyperlink r:id="rId27" w:history="1">
        <w:r w:rsidRPr="00940CD1">
          <w:rPr>
            <w:rStyle w:val="Hipervnculo"/>
          </w:rPr>
          <w:t>http://ulamujer.org/wp-content/uploads/2021/09/1.Informe-DDHH-Mujeres-1-Rev-NR-21sept1.pdf</w:t>
        </w:r>
      </w:hyperlink>
      <w:r>
        <w:t xml:space="preserve"> </w:t>
      </w:r>
    </w:p>
  </w:footnote>
  <w:footnote w:id="31">
    <w:p w14:paraId="6B0D917A" w14:textId="77777777" w:rsidR="0037213F" w:rsidRPr="00F71F75" w:rsidRDefault="0037213F" w:rsidP="0037213F">
      <w:pPr>
        <w:pStyle w:val="Textonotapie"/>
        <w:rPr>
          <w:lang w:val="es-ES"/>
        </w:rPr>
      </w:pPr>
      <w:r>
        <w:rPr>
          <w:rStyle w:val="Refdenotaalpie"/>
        </w:rPr>
        <w:footnoteRef/>
      </w:r>
      <w:r>
        <w:t xml:space="preserve"> </w:t>
      </w:r>
      <w:r w:rsidRPr="00F71F75">
        <w:t xml:space="preserve">CNE. Normas para regular la Verificación y Certificación de Manifestaciones de Voluntad en apoyo a las personas que aspiren postularse por Iniciativa Propia en las Elecciones para Diputadas y Diputados a la Asamblea Nacional 2015. </w:t>
      </w:r>
      <w:hyperlink r:id="rId28" w:history="1">
        <w:r w:rsidRPr="000554FB">
          <w:rPr>
            <w:rStyle w:val="Hipervnculo"/>
          </w:rPr>
          <w:t>http://www.cne.gob.ve/web/normativa_electoral/elecciones/2015/asamblea/documentos/RESOLUCI0N_150625-147.pdf</w:t>
        </w:r>
      </w:hyperlink>
      <w:r>
        <w:t xml:space="preserve"> </w:t>
      </w:r>
    </w:p>
  </w:footnote>
  <w:footnote w:id="32">
    <w:p w14:paraId="0292E74A" w14:textId="77777777" w:rsidR="0037213F" w:rsidRPr="00F71F75" w:rsidRDefault="0037213F" w:rsidP="0037213F">
      <w:pPr>
        <w:pStyle w:val="Textonotapie"/>
        <w:rPr>
          <w:lang w:val="es-ES"/>
        </w:rPr>
      </w:pPr>
      <w:r>
        <w:rPr>
          <w:rStyle w:val="Refdenotaalpie"/>
        </w:rPr>
        <w:footnoteRef/>
      </w:r>
      <w:r>
        <w:t xml:space="preserve"> </w:t>
      </w:r>
      <w:r w:rsidRPr="00F71F75">
        <w:t xml:space="preserve">CNE. Proyecto de paridad de género. </w:t>
      </w:r>
      <w:hyperlink r:id="rId29" w:history="1">
        <w:r w:rsidRPr="000554FB">
          <w:rPr>
            <w:rStyle w:val="Hipervnculo"/>
          </w:rPr>
          <w:t>http://www.cne.gob.ve/web/normativa_electoral/elecciones/2020/asamblea_nacional/documentos/paridad_de_genero/proyecto_de_paridad_de_genero.pdf</w:t>
        </w:r>
      </w:hyperlink>
      <w:r>
        <w:t xml:space="preserve"> </w:t>
      </w:r>
    </w:p>
  </w:footnote>
  <w:footnote w:id="33">
    <w:p w14:paraId="58BFBFFF" w14:textId="77777777" w:rsidR="0037213F" w:rsidRPr="00F71F75" w:rsidRDefault="0037213F" w:rsidP="0037213F">
      <w:pPr>
        <w:pStyle w:val="Textonotapie"/>
        <w:rPr>
          <w:lang w:val="es-ES"/>
        </w:rPr>
      </w:pPr>
      <w:r>
        <w:rPr>
          <w:rStyle w:val="Refdenotaalpie"/>
        </w:rPr>
        <w:footnoteRef/>
      </w:r>
      <w:r>
        <w:t xml:space="preserve"> </w:t>
      </w:r>
      <w:r w:rsidRPr="00F71F75">
        <w:t xml:space="preserve">CNE. Instructivo sobre las postulaciones paritarias y alternas de ambos sexos para las Elecciones Regionales y Municipales 2021. </w:t>
      </w:r>
      <w:hyperlink r:id="rId30" w:history="1">
        <w:r w:rsidRPr="000554FB">
          <w:rPr>
            <w:rStyle w:val="Hipervnculo"/>
          </w:rPr>
          <w:t>http://www.cne.gob.ve/web/normativa_electoral/elecciones/2021/elecciones_regionales_y_municipales_2021/documentos/manuales/proyecto_de_paridad_de_genero.pdf</w:t>
        </w:r>
      </w:hyperlink>
      <w:r>
        <w:t xml:space="preserve"> </w:t>
      </w:r>
    </w:p>
  </w:footnote>
  <w:footnote w:id="34">
    <w:p w14:paraId="4F3589BB" w14:textId="77777777" w:rsidR="0037213F" w:rsidRPr="00F71F75" w:rsidRDefault="0037213F" w:rsidP="0037213F">
      <w:pPr>
        <w:pStyle w:val="Textonotapie"/>
        <w:rPr>
          <w:lang w:val="es-ES"/>
        </w:rPr>
      </w:pPr>
      <w:r w:rsidRPr="00260500">
        <w:rPr>
          <w:rStyle w:val="Refdenotaalpie"/>
        </w:rPr>
        <w:footnoteRef/>
      </w:r>
      <w:r w:rsidRPr="00260500">
        <w:t xml:space="preserve"> Crónica Uno (30 de julio de 2020). Reglamento de paridad de género para el 21-N mejora algunos aspectos del de 2020 pero sigue teniendo imprecisiones</w:t>
      </w:r>
      <w:r>
        <w:t xml:space="preserve">  </w:t>
      </w:r>
    </w:p>
  </w:footnote>
  <w:footnote w:id="35">
    <w:p w14:paraId="53F1B196" w14:textId="77777777" w:rsidR="0037213F" w:rsidRPr="00D22CEA" w:rsidRDefault="0037213F" w:rsidP="0037213F">
      <w:pPr>
        <w:pStyle w:val="Textonotapie"/>
        <w:rPr>
          <w:lang w:val="es-ES"/>
        </w:rPr>
      </w:pPr>
      <w:r>
        <w:rPr>
          <w:rStyle w:val="Refdenotaalpie"/>
        </w:rPr>
        <w:footnoteRef/>
      </w:r>
      <w:r>
        <w:t xml:space="preserve"> </w:t>
      </w:r>
      <w:hyperlink r:id="rId31" w:history="1">
        <w:r w:rsidRPr="000554FB">
          <w:rPr>
            <w:rStyle w:val="Hipervnculo"/>
          </w:rPr>
          <w:t>https://cepaz.org/articulos/la-paridad-de-genero-en-venezuela-es-una-deuda-historica/</w:t>
        </w:r>
      </w:hyperlink>
      <w:r>
        <w:t xml:space="preserve"> </w:t>
      </w:r>
    </w:p>
  </w:footnote>
  <w:footnote w:id="36">
    <w:p w14:paraId="7A369B7C" w14:textId="77777777" w:rsidR="008418A7" w:rsidRPr="001469B4" w:rsidRDefault="008418A7" w:rsidP="008418A7">
      <w:pPr>
        <w:pStyle w:val="Textonotapie"/>
        <w:rPr>
          <w:lang w:val="es-ES"/>
        </w:rPr>
      </w:pPr>
      <w:r>
        <w:rPr>
          <w:rStyle w:val="Refdenotaalpie"/>
        </w:rPr>
        <w:footnoteRef/>
      </w:r>
      <w:r w:rsidRPr="001469B4">
        <w:t xml:space="preserve">A falta de datos del Consejo Nacional Electoral (CNE), estos datos fueron tomados de diversas fuentes, entre ellas, Wikipedia: Anexo: Resultados de las elecciones municipales de Venezuela de 2017 </w:t>
      </w:r>
      <w:hyperlink r:id="rId32" w:history="1">
        <w:r w:rsidRPr="000554FB">
          <w:rPr>
            <w:rStyle w:val="Hipervnculo"/>
          </w:rPr>
          <w:t>https://es.wikipedia.org/wiki/Anexo:Resultados_de_las_elecciones_municipales_de_Venezuela_de_2017</w:t>
        </w:r>
      </w:hyperlink>
      <w:r>
        <w:t xml:space="preserve"> </w:t>
      </w:r>
    </w:p>
  </w:footnote>
  <w:footnote w:id="37">
    <w:p w14:paraId="1BF7D5A4" w14:textId="77777777" w:rsidR="008418A7" w:rsidRPr="001469B4" w:rsidRDefault="008418A7" w:rsidP="008418A7">
      <w:pPr>
        <w:pStyle w:val="Textonotapie"/>
        <w:rPr>
          <w:lang w:val="es-ES"/>
        </w:rPr>
      </w:pPr>
      <w:r>
        <w:rPr>
          <w:rStyle w:val="Refdenotaalpie"/>
        </w:rPr>
        <w:footnoteRef/>
      </w:r>
      <w:r>
        <w:t xml:space="preserve"> </w:t>
      </w:r>
      <w:r w:rsidRPr="001469B4">
        <w:t xml:space="preserve">1Consejo Nacional Electoral (CNE) </w:t>
      </w:r>
      <w:hyperlink r:id="rId33" w:history="1">
        <w:r w:rsidRPr="000554FB">
          <w:rPr>
            <w:rStyle w:val="Hipervnculo"/>
          </w:rPr>
          <w:t>http://www.cne.gob.ve/resultados_regionales2017/</w:t>
        </w:r>
      </w:hyperlink>
      <w:r>
        <w:t xml:space="preserve"> </w:t>
      </w:r>
    </w:p>
  </w:footnote>
  <w:footnote w:id="38">
    <w:p w14:paraId="0DCBB625" w14:textId="77777777" w:rsidR="00141B0C" w:rsidRPr="00A711BE" w:rsidRDefault="00141B0C" w:rsidP="00CC2675">
      <w:pPr>
        <w:pStyle w:val="Textonotapie"/>
        <w:jc w:val="both"/>
        <w:rPr>
          <w:lang w:val="es-ES"/>
        </w:rPr>
      </w:pPr>
      <w:r>
        <w:rPr>
          <w:rStyle w:val="Refdenotaalpie"/>
        </w:rPr>
        <w:footnoteRef/>
      </w:r>
      <w:r>
        <w:t xml:space="preserve"> </w:t>
      </w:r>
      <w:hyperlink r:id="rId34" w:history="1">
        <w:r w:rsidRPr="001A6AC4">
          <w:rPr>
            <w:rStyle w:val="Hipervnculo"/>
          </w:rPr>
          <w:t>https://cepaz.org/articulos/cne-publica-un-nuevo-reglamento-garantizara-la-participacion-igualitaria-de-las-mujeres-en-los-proximos-comicios-regionales-y-municipales/</w:t>
        </w:r>
      </w:hyperlink>
      <w:r>
        <w:t xml:space="preserve"> </w:t>
      </w:r>
    </w:p>
  </w:footnote>
  <w:footnote w:id="39">
    <w:p w14:paraId="5B175A71" w14:textId="77777777" w:rsidR="00141B0C" w:rsidRPr="00D5485F" w:rsidRDefault="00141B0C" w:rsidP="00CC2675">
      <w:pPr>
        <w:pStyle w:val="Textonotapie"/>
        <w:jc w:val="both"/>
        <w:rPr>
          <w:lang w:val="es-ES"/>
        </w:rPr>
      </w:pPr>
      <w:r>
        <w:rPr>
          <w:rStyle w:val="Refdenotaalpie"/>
        </w:rPr>
        <w:footnoteRef/>
      </w:r>
      <w:r>
        <w:t xml:space="preserve"> </w:t>
      </w:r>
      <w:hyperlink r:id="rId35" w:history="1">
        <w:r w:rsidRPr="001A6AC4">
          <w:rPr>
            <w:rStyle w:val="Hipervnculo"/>
          </w:rPr>
          <w:t>https://cepaz.org/documentos_informes/participacion-del-liderazgo-femenino-en-las-elecciones-regionales-y-municipales-2021/</w:t>
        </w:r>
      </w:hyperlink>
      <w:r>
        <w:t xml:space="preserve"> </w:t>
      </w:r>
    </w:p>
  </w:footnote>
  <w:footnote w:id="40">
    <w:p w14:paraId="29F59950" w14:textId="77777777" w:rsidR="00141B0C" w:rsidRPr="00A711BE" w:rsidRDefault="00141B0C" w:rsidP="00CC2675">
      <w:pPr>
        <w:pStyle w:val="Textonotapie"/>
        <w:jc w:val="both"/>
        <w:rPr>
          <w:lang w:val="es-ES"/>
        </w:rPr>
      </w:pPr>
      <w:r>
        <w:rPr>
          <w:rStyle w:val="Refdenotaalpie"/>
        </w:rPr>
        <w:footnoteRef/>
      </w:r>
      <w:r>
        <w:t xml:space="preserve"> </w:t>
      </w:r>
      <w:hyperlink r:id="rId36" w:history="1">
        <w:r w:rsidRPr="001A6AC4">
          <w:rPr>
            <w:rStyle w:val="Hipervnculo"/>
            <w:lang w:val="es-ES"/>
          </w:rPr>
          <w:t>https://cepaz.org/articulos/la-moe-destaco-las-desigualdades-que-enfrentan-las-mujeres-en-la-participacion-politica-en-venezuela/</w:t>
        </w:r>
      </w:hyperlink>
      <w:r>
        <w:rPr>
          <w:lang w:val="es-ES"/>
        </w:rPr>
        <w:t xml:space="preserve"> </w:t>
      </w:r>
    </w:p>
  </w:footnote>
  <w:footnote w:id="41">
    <w:p w14:paraId="4E0759FE" w14:textId="77777777" w:rsidR="005F4528" w:rsidRPr="00D22CEA" w:rsidRDefault="005F4528" w:rsidP="005F4528">
      <w:pPr>
        <w:pStyle w:val="Textonotapie"/>
        <w:rPr>
          <w:lang w:val="es-ES"/>
        </w:rPr>
      </w:pPr>
      <w:r>
        <w:rPr>
          <w:rStyle w:val="Refdenotaalpie"/>
        </w:rPr>
        <w:footnoteRef/>
      </w:r>
      <w:r>
        <w:t xml:space="preserve"> </w:t>
      </w:r>
      <w:r w:rsidRPr="00D22CEA">
        <w:t xml:space="preserve">CNE. Instructivo sobre las postulaciones paritarias y alternas de ambos sexos para las Elecciones Regionales y Municipales 2021. </w:t>
      </w:r>
      <w:hyperlink r:id="rId37" w:history="1">
        <w:r w:rsidRPr="000554FB">
          <w:rPr>
            <w:rStyle w:val="Hipervnculo"/>
          </w:rPr>
          <w:t>http://www.cne.gob.ve/web/normativa_electoral/elecciones/2021/elecciones_regionales_y_municipales_2021/documentos/manuales/proyecto_de_paridad_de_genero.pdf</w:t>
        </w:r>
      </w:hyperlink>
      <w:r>
        <w:t xml:space="preserve"> </w:t>
      </w:r>
    </w:p>
  </w:footnote>
  <w:footnote w:id="42">
    <w:p w14:paraId="0F2E4421" w14:textId="39722136" w:rsidR="001D5DB5" w:rsidRPr="001D5DB5" w:rsidRDefault="001D5DB5">
      <w:pPr>
        <w:pStyle w:val="Textonotapie"/>
      </w:pPr>
      <w:r>
        <w:rPr>
          <w:rStyle w:val="Refdenotaalpie"/>
        </w:rPr>
        <w:footnoteRef/>
      </w:r>
      <w:r>
        <w:t xml:space="preserve"> </w:t>
      </w:r>
      <w:hyperlink r:id="rId38" w:history="1">
        <w:r w:rsidRPr="00940CD1">
          <w:rPr>
            <w:rStyle w:val="Hipervnculo"/>
          </w:rPr>
          <w:t>http://ulamujer.org/wp-content/uploads/2022/05/I.-Informe-sobre-VIOLENCIA-CONTRA-LA-MUJER.pdf</w:t>
        </w:r>
      </w:hyperlink>
      <w:r>
        <w:t xml:space="preserve"> </w:t>
      </w:r>
    </w:p>
  </w:footnote>
  <w:footnote w:id="43">
    <w:p w14:paraId="0B144D81" w14:textId="77777777" w:rsidR="00141B0C" w:rsidRPr="00F43AF6" w:rsidRDefault="00141B0C" w:rsidP="00CC2675">
      <w:pPr>
        <w:pStyle w:val="Textonotapie"/>
        <w:jc w:val="both"/>
      </w:pPr>
      <w:r>
        <w:rPr>
          <w:rStyle w:val="Refdenotaalpie"/>
        </w:rPr>
        <w:footnoteRef/>
      </w:r>
      <w:r>
        <w:t xml:space="preserve"> </w:t>
      </w:r>
      <w:hyperlink r:id="rId39" w:history="1">
        <w:r w:rsidRPr="00033704">
          <w:rPr>
            <w:rStyle w:val="Hipervnculo"/>
          </w:rPr>
          <w:t>http://ulamujer.org/wp-content/uploads/2022/05/I.-Informe-sobre-VIOLENCIA-CONTRA-LA-MUJER.pdf</w:t>
        </w:r>
      </w:hyperlink>
      <w:r>
        <w:t xml:space="preserve"> </w:t>
      </w:r>
    </w:p>
  </w:footnote>
  <w:footnote w:id="44">
    <w:p w14:paraId="24EDF461" w14:textId="77777777" w:rsidR="00141B0C" w:rsidRPr="00621985" w:rsidRDefault="00141B0C" w:rsidP="00B658D5">
      <w:pPr>
        <w:pStyle w:val="Textonotapie"/>
        <w:rPr>
          <w:rFonts w:ascii="Times New Roman" w:hAnsi="Times New Roman" w:cs="Times New Roman"/>
          <w:sz w:val="18"/>
          <w:szCs w:val="18"/>
          <w:lang w:val="es-ES"/>
        </w:rPr>
      </w:pPr>
      <w:r>
        <w:rPr>
          <w:rStyle w:val="Refdenotaalpie"/>
        </w:rPr>
        <w:footnoteRef/>
      </w:r>
      <w:r>
        <w:t xml:space="preserve"> </w:t>
      </w:r>
      <w:r w:rsidRPr="00621985">
        <w:rPr>
          <w:rFonts w:ascii="Times New Roman" w:hAnsi="Times New Roman" w:cs="Times New Roman"/>
          <w:sz w:val="18"/>
          <w:szCs w:val="18"/>
          <w:lang w:val="es-ES"/>
        </w:rPr>
        <w:t>Alcaldes en Venezuela.</w:t>
      </w:r>
      <w:r>
        <w:rPr>
          <w:rFonts w:ascii="Times New Roman" w:hAnsi="Times New Roman" w:cs="Times New Roman"/>
          <w:sz w:val="18"/>
          <w:szCs w:val="18"/>
          <w:lang w:val="es-ES"/>
        </w:rPr>
        <w:t xml:space="preserve"> 12 de julio de 2022. En Wikipedia.</w:t>
      </w:r>
      <w:r w:rsidRPr="004E50E6">
        <w:t xml:space="preserve"> </w:t>
      </w:r>
      <w:hyperlink r:id="rId40" w:history="1">
        <w:r w:rsidRPr="000554FB">
          <w:rPr>
            <w:rStyle w:val="Hipervnculo"/>
            <w:rFonts w:ascii="Times New Roman" w:hAnsi="Times New Roman" w:cs="Times New Roman"/>
            <w:sz w:val="18"/>
            <w:szCs w:val="18"/>
            <w:lang w:val="es-ES"/>
          </w:rPr>
          <w:t>https://es.wikipedia.org/w/index.php?title=Anexo:Alcaldes_de_Venezuela&amp;oldid=144722556</w:t>
        </w:r>
      </w:hyperlink>
      <w:r>
        <w:rPr>
          <w:rFonts w:ascii="Times New Roman" w:hAnsi="Times New Roman" w:cs="Times New Roman"/>
          <w:sz w:val="18"/>
          <w:szCs w:val="18"/>
          <w:lang w:val="es-ES"/>
        </w:rPr>
        <w:t xml:space="preserve">  C</w:t>
      </w:r>
      <w:r w:rsidRPr="00621985">
        <w:rPr>
          <w:rFonts w:ascii="Times New Roman" w:hAnsi="Times New Roman" w:cs="Times New Roman"/>
          <w:sz w:val="18"/>
          <w:szCs w:val="18"/>
          <w:lang w:val="es-ES"/>
        </w:rPr>
        <w:t>abe señalar que</w:t>
      </w:r>
      <w:r>
        <w:rPr>
          <w:rFonts w:ascii="Times New Roman" w:hAnsi="Times New Roman" w:cs="Times New Roman"/>
          <w:sz w:val="18"/>
          <w:szCs w:val="18"/>
          <w:lang w:val="es-ES"/>
        </w:rPr>
        <w:t xml:space="preserve"> en</w:t>
      </w:r>
      <w:r w:rsidRPr="00621985">
        <w:rPr>
          <w:rFonts w:ascii="Times New Roman" w:hAnsi="Times New Roman" w:cs="Times New Roman"/>
          <w:sz w:val="18"/>
          <w:szCs w:val="18"/>
          <w:lang w:val="es-ES"/>
        </w:rPr>
        <w:t xml:space="preserve"> la página </w:t>
      </w:r>
      <w:r>
        <w:rPr>
          <w:rFonts w:ascii="Times New Roman" w:hAnsi="Times New Roman" w:cs="Times New Roman"/>
          <w:sz w:val="18"/>
          <w:szCs w:val="18"/>
          <w:lang w:val="es-ES"/>
        </w:rPr>
        <w:t>oficial d</w:t>
      </w:r>
      <w:r w:rsidRPr="00621985">
        <w:rPr>
          <w:rFonts w:ascii="Times New Roman" w:hAnsi="Times New Roman" w:cs="Times New Roman"/>
          <w:sz w:val="18"/>
          <w:szCs w:val="18"/>
          <w:lang w:val="es-ES"/>
        </w:rPr>
        <w:t xml:space="preserve">el Consejo Nacional Electoral no </w:t>
      </w:r>
      <w:r>
        <w:rPr>
          <w:rFonts w:ascii="Times New Roman" w:hAnsi="Times New Roman" w:cs="Times New Roman"/>
          <w:sz w:val="18"/>
          <w:szCs w:val="18"/>
          <w:lang w:val="es-ES"/>
        </w:rPr>
        <w:t>se encuentra</w:t>
      </w:r>
      <w:r w:rsidRPr="00621985">
        <w:rPr>
          <w:rFonts w:ascii="Times New Roman" w:hAnsi="Times New Roman" w:cs="Times New Roman"/>
          <w:sz w:val="18"/>
          <w:szCs w:val="18"/>
          <w:lang w:val="es-ES"/>
        </w:rPr>
        <w:t xml:space="preserve"> disponible esta data. </w:t>
      </w:r>
      <w:hyperlink r:id="rId41" w:history="1">
        <w:r w:rsidRPr="00621985">
          <w:rPr>
            <w:rStyle w:val="Hipervnculo"/>
            <w:rFonts w:ascii="Times New Roman" w:hAnsi="Times New Roman" w:cs="Times New Roman"/>
            <w:sz w:val="18"/>
            <w:szCs w:val="18"/>
          </w:rPr>
          <w:t>https://www2.cne.gob.ve/rm2021</w:t>
        </w:r>
      </w:hyperlink>
      <w:r w:rsidRPr="00621985">
        <w:rPr>
          <w:rFonts w:ascii="Times New Roman" w:hAnsi="Times New Roman" w:cs="Times New Roman"/>
          <w:sz w:val="18"/>
          <w:szCs w:val="18"/>
          <w:lang w:val="es-ES"/>
        </w:rPr>
        <w:t xml:space="preserve"> </w:t>
      </w:r>
    </w:p>
  </w:footnote>
  <w:footnote w:id="45">
    <w:p w14:paraId="57C4EEA6" w14:textId="77777777" w:rsidR="00141B0C" w:rsidRPr="00FF3B24" w:rsidRDefault="00141B0C" w:rsidP="00233EA4">
      <w:pPr>
        <w:pStyle w:val="Textonotapie"/>
        <w:jc w:val="both"/>
        <w:rPr>
          <w:rFonts w:ascii="Times New Roman" w:hAnsi="Times New Roman" w:cs="Times New Roman"/>
          <w:sz w:val="18"/>
          <w:szCs w:val="18"/>
          <w:lang w:val="es-ES"/>
        </w:rPr>
      </w:pPr>
      <w:r w:rsidRPr="00FF3B24">
        <w:rPr>
          <w:rStyle w:val="Refdenotaalpie"/>
          <w:rFonts w:ascii="Times New Roman" w:hAnsi="Times New Roman" w:cs="Times New Roman"/>
          <w:sz w:val="18"/>
          <w:szCs w:val="18"/>
        </w:rPr>
        <w:footnoteRef/>
      </w:r>
      <w:r w:rsidRPr="00FF3B24">
        <w:rPr>
          <w:rFonts w:ascii="Times New Roman" w:hAnsi="Times New Roman" w:cs="Times New Roman"/>
          <w:sz w:val="18"/>
          <w:szCs w:val="18"/>
        </w:rPr>
        <w:t xml:space="preserve"> En este testimonio se utiliza nombre ficticio a petición de la entrevistada por miedo a represalias. Testimonio 20 de julio de 2022.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14C01"/>
    <w:multiLevelType w:val="hybridMultilevel"/>
    <w:tmpl w:val="0A70CF3E"/>
    <w:lvl w:ilvl="0" w:tplc="BAD05DD4">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nsid w:val="131C5D99"/>
    <w:multiLevelType w:val="hybridMultilevel"/>
    <w:tmpl w:val="0C6CF1A6"/>
    <w:lvl w:ilvl="0" w:tplc="200A0015">
      <w:start w:val="1"/>
      <w:numFmt w:val="upperLetter"/>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29AE3461"/>
    <w:multiLevelType w:val="hybridMultilevel"/>
    <w:tmpl w:val="CAB0448C"/>
    <w:lvl w:ilvl="0" w:tplc="200A0001">
      <w:start w:val="1"/>
      <w:numFmt w:val="bullet"/>
      <w:lvlText w:val=""/>
      <w:lvlJc w:val="left"/>
      <w:pPr>
        <w:ind w:left="720" w:hanging="360"/>
      </w:pPr>
      <w:rPr>
        <w:rFonts w:ascii="Symbol" w:hAnsi="Symbol" w:hint="default"/>
      </w:rPr>
    </w:lvl>
    <w:lvl w:ilvl="1" w:tplc="200A0003">
      <w:start w:val="1"/>
      <w:numFmt w:val="bullet"/>
      <w:lvlText w:val="o"/>
      <w:lvlJc w:val="left"/>
      <w:pPr>
        <w:ind w:left="1440" w:hanging="360"/>
      </w:pPr>
      <w:rPr>
        <w:rFonts w:ascii="Courier New" w:hAnsi="Courier New" w:cs="Courier New" w:hint="default"/>
      </w:rPr>
    </w:lvl>
    <w:lvl w:ilvl="2" w:tplc="200A0005">
      <w:start w:val="1"/>
      <w:numFmt w:val="bullet"/>
      <w:lvlText w:val=""/>
      <w:lvlJc w:val="left"/>
      <w:pPr>
        <w:ind w:left="2160" w:hanging="360"/>
      </w:pPr>
      <w:rPr>
        <w:rFonts w:ascii="Wingdings" w:hAnsi="Wingdings" w:hint="default"/>
      </w:rPr>
    </w:lvl>
    <w:lvl w:ilvl="3" w:tplc="200A0001">
      <w:start w:val="1"/>
      <w:numFmt w:val="bullet"/>
      <w:lvlText w:val=""/>
      <w:lvlJc w:val="left"/>
      <w:pPr>
        <w:ind w:left="2880" w:hanging="360"/>
      </w:pPr>
      <w:rPr>
        <w:rFonts w:ascii="Symbol" w:hAnsi="Symbol" w:hint="default"/>
      </w:rPr>
    </w:lvl>
    <w:lvl w:ilvl="4" w:tplc="200A0003">
      <w:start w:val="1"/>
      <w:numFmt w:val="bullet"/>
      <w:lvlText w:val="o"/>
      <w:lvlJc w:val="left"/>
      <w:pPr>
        <w:ind w:left="3600" w:hanging="360"/>
      </w:pPr>
      <w:rPr>
        <w:rFonts w:ascii="Courier New" w:hAnsi="Courier New" w:cs="Courier New" w:hint="default"/>
      </w:rPr>
    </w:lvl>
    <w:lvl w:ilvl="5" w:tplc="200A0005">
      <w:start w:val="1"/>
      <w:numFmt w:val="bullet"/>
      <w:lvlText w:val=""/>
      <w:lvlJc w:val="left"/>
      <w:pPr>
        <w:ind w:left="4320" w:hanging="360"/>
      </w:pPr>
      <w:rPr>
        <w:rFonts w:ascii="Wingdings" w:hAnsi="Wingdings" w:hint="default"/>
      </w:rPr>
    </w:lvl>
    <w:lvl w:ilvl="6" w:tplc="200A0001">
      <w:start w:val="1"/>
      <w:numFmt w:val="bullet"/>
      <w:lvlText w:val=""/>
      <w:lvlJc w:val="left"/>
      <w:pPr>
        <w:ind w:left="5040" w:hanging="360"/>
      </w:pPr>
      <w:rPr>
        <w:rFonts w:ascii="Symbol" w:hAnsi="Symbol" w:hint="default"/>
      </w:rPr>
    </w:lvl>
    <w:lvl w:ilvl="7" w:tplc="200A0003">
      <w:start w:val="1"/>
      <w:numFmt w:val="bullet"/>
      <w:lvlText w:val="o"/>
      <w:lvlJc w:val="left"/>
      <w:pPr>
        <w:ind w:left="5760" w:hanging="360"/>
      </w:pPr>
      <w:rPr>
        <w:rFonts w:ascii="Courier New" w:hAnsi="Courier New" w:cs="Courier New" w:hint="default"/>
      </w:rPr>
    </w:lvl>
    <w:lvl w:ilvl="8" w:tplc="200A0005">
      <w:start w:val="1"/>
      <w:numFmt w:val="bullet"/>
      <w:lvlText w:val=""/>
      <w:lvlJc w:val="left"/>
      <w:pPr>
        <w:ind w:left="6480" w:hanging="360"/>
      </w:pPr>
      <w:rPr>
        <w:rFonts w:ascii="Wingdings" w:hAnsi="Wingdings" w:hint="default"/>
      </w:rPr>
    </w:lvl>
  </w:abstractNum>
  <w:abstractNum w:abstractNumId="3">
    <w:nsid w:val="2EB3466E"/>
    <w:multiLevelType w:val="hybridMultilevel"/>
    <w:tmpl w:val="5F06FFB8"/>
    <w:lvl w:ilvl="0" w:tplc="79E8375E">
      <w:start w:val="1"/>
      <w:numFmt w:val="lowerLetter"/>
      <w:lvlText w:val="%1."/>
      <w:lvlJc w:val="left"/>
      <w:pPr>
        <w:ind w:left="1080" w:hanging="360"/>
      </w:pPr>
      <w:rPr>
        <w:rFonts w:hint="default"/>
      </w:r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abstractNum w:abstractNumId="4">
    <w:nsid w:val="3D150218"/>
    <w:multiLevelType w:val="multilevel"/>
    <w:tmpl w:val="E5E8B3F8"/>
    <w:lvl w:ilvl="0">
      <w:start w:val="5"/>
      <w:numFmt w:val="decimal"/>
      <w:lvlText w:val="%1."/>
      <w:lvlJc w:val="left"/>
      <w:pPr>
        <w:ind w:left="420" w:hanging="360"/>
      </w:pPr>
      <w:rPr>
        <w:rFonts w:hint="default"/>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5">
    <w:nsid w:val="3E063A8E"/>
    <w:multiLevelType w:val="hybridMultilevel"/>
    <w:tmpl w:val="4B603332"/>
    <w:lvl w:ilvl="0" w:tplc="200A0019">
      <w:start w:val="1"/>
      <w:numFmt w:val="lowerLetter"/>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6">
    <w:nsid w:val="3FF553E6"/>
    <w:multiLevelType w:val="hybridMultilevel"/>
    <w:tmpl w:val="B08ED4F0"/>
    <w:lvl w:ilvl="0" w:tplc="200A0011">
      <w:start w:val="1"/>
      <w:numFmt w:val="decimal"/>
      <w:lvlText w:val="%1)"/>
      <w:lvlJc w:val="left"/>
      <w:pPr>
        <w:ind w:left="1440" w:hanging="360"/>
      </w:p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7">
    <w:nsid w:val="44AC3FAB"/>
    <w:multiLevelType w:val="multilevel"/>
    <w:tmpl w:val="A8B2518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2B36A15"/>
    <w:multiLevelType w:val="multilevel"/>
    <w:tmpl w:val="09D8F98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64D02A0"/>
    <w:multiLevelType w:val="hybridMultilevel"/>
    <w:tmpl w:val="A216D072"/>
    <w:lvl w:ilvl="0" w:tplc="3834A7F8">
      <w:start w:val="1"/>
      <w:numFmt w:val="bullet"/>
      <w:lvlText w:val=""/>
      <w:lvlJc w:val="left"/>
      <w:pPr>
        <w:ind w:left="720" w:hanging="360"/>
      </w:pPr>
      <w:rPr>
        <w:rFonts w:ascii="Symbol" w:hAnsi="Symbol" w:hint="default"/>
        <w:color w:val="auto"/>
      </w:rPr>
    </w:lvl>
    <w:lvl w:ilvl="1" w:tplc="200A0003">
      <w:start w:val="1"/>
      <w:numFmt w:val="bullet"/>
      <w:lvlText w:val="o"/>
      <w:lvlJc w:val="left"/>
      <w:pPr>
        <w:ind w:left="1440" w:hanging="360"/>
      </w:pPr>
      <w:rPr>
        <w:rFonts w:ascii="Courier New" w:hAnsi="Courier New" w:cs="Courier New" w:hint="default"/>
      </w:rPr>
    </w:lvl>
    <w:lvl w:ilvl="2" w:tplc="200A0005">
      <w:start w:val="1"/>
      <w:numFmt w:val="bullet"/>
      <w:lvlText w:val=""/>
      <w:lvlJc w:val="left"/>
      <w:pPr>
        <w:ind w:left="2160" w:hanging="360"/>
      </w:pPr>
      <w:rPr>
        <w:rFonts w:ascii="Wingdings" w:hAnsi="Wingdings" w:hint="default"/>
      </w:rPr>
    </w:lvl>
    <w:lvl w:ilvl="3" w:tplc="200A0001">
      <w:start w:val="1"/>
      <w:numFmt w:val="bullet"/>
      <w:lvlText w:val=""/>
      <w:lvlJc w:val="left"/>
      <w:pPr>
        <w:ind w:left="2880" w:hanging="360"/>
      </w:pPr>
      <w:rPr>
        <w:rFonts w:ascii="Symbol" w:hAnsi="Symbol" w:hint="default"/>
      </w:rPr>
    </w:lvl>
    <w:lvl w:ilvl="4" w:tplc="200A0003">
      <w:start w:val="1"/>
      <w:numFmt w:val="bullet"/>
      <w:lvlText w:val="o"/>
      <w:lvlJc w:val="left"/>
      <w:pPr>
        <w:ind w:left="3600" w:hanging="360"/>
      </w:pPr>
      <w:rPr>
        <w:rFonts w:ascii="Courier New" w:hAnsi="Courier New" w:cs="Courier New" w:hint="default"/>
      </w:rPr>
    </w:lvl>
    <w:lvl w:ilvl="5" w:tplc="200A0005">
      <w:start w:val="1"/>
      <w:numFmt w:val="bullet"/>
      <w:lvlText w:val=""/>
      <w:lvlJc w:val="left"/>
      <w:pPr>
        <w:ind w:left="4320" w:hanging="360"/>
      </w:pPr>
      <w:rPr>
        <w:rFonts w:ascii="Wingdings" w:hAnsi="Wingdings" w:hint="default"/>
      </w:rPr>
    </w:lvl>
    <w:lvl w:ilvl="6" w:tplc="200A0001">
      <w:start w:val="1"/>
      <w:numFmt w:val="bullet"/>
      <w:lvlText w:val=""/>
      <w:lvlJc w:val="left"/>
      <w:pPr>
        <w:ind w:left="5040" w:hanging="360"/>
      </w:pPr>
      <w:rPr>
        <w:rFonts w:ascii="Symbol" w:hAnsi="Symbol" w:hint="default"/>
      </w:rPr>
    </w:lvl>
    <w:lvl w:ilvl="7" w:tplc="200A0003">
      <w:start w:val="1"/>
      <w:numFmt w:val="bullet"/>
      <w:lvlText w:val="o"/>
      <w:lvlJc w:val="left"/>
      <w:pPr>
        <w:ind w:left="5760" w:hanging="360"/>
      </w:pPr>
      <w:rPr>
        <w:rFonts w:ascii="Courier New" w:hAnsi="Courier New" w:cs="Courier New" w:hint="default"/>
      </w:rPr>
    </w:lvl>
    <w:lvl w:ilvl="8" w:tplc="200A0005">
      <w:start w:val="1"/>
      <w:numFmt w:val="bullet"/>
      <w:lvlText w:val=""/>
      <w:lvlJc w:val="left"/>
      <w:pPr>
        <w:ind w:left="6480" w:hanging="360"/>
      </w:pPr>
      <w:rPr>
        <w:rFonts w:ascii="Wingdings" w:hAnsi="Wingdings" w:hint="default"/>
      </w:rPr>
    </w:lvl>
  </w:abstractNum>
  <w:abstractNum w:abstractNumId="10">
    <w:nsid w:val="5A1D445D"/>
    <w:multiLevelType w:val="multilevel"/>
    <w:tmpl w:val="93FCB9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649B5093"/>
    <w:multiLevelType w:val="hybridMultilevel"/>
    <w:tmpl w:val="5F4A03D0"/>
    <w:lvl w:ilvl="0" w:tplc="C38C7598">
      <w:start w:val="1"/>
      <w:numFmt w:val="upp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2">
    <w:nsid w:val="64E03E4B"/>
    <w:multiLevelType w:val="hybridMultilevel"/>
    <w:tmpl w:val="A7C260C6"/>
    <w:lvl w:ilvl="0" w:tplc="200A0001">
      <w:start w:val="1"/>
      <w:numFmt w:val="bullet"/>
      <w:lvlText w:val=""/>
      <w:lvlJc w:val="left"/>
      <w:pPr>
        <w:ind w:left="720" w:hanging="360"/>
      </w:pPr>
      <w:rPr>
        <w:rFonts w:ascii="Symbol" w:hAnsi="Symbol" w:hint="default"/>
      </w:rPr>
    </w:lvl>
    <w:lvl w:ilvl="1" w:tplc="200A0003">
      <w:start w:val="1"/>
      <w:numFmt w:val="bullet"/>
      <w:lvlText w:val="o"/>
      <w:lvlJc w:val="left"/>
      <w:pPr>
        <w:ind w:left="1440" w:hanging="360"/>
      </w:pPr>
      <w:rPr>
        <w:rFonts w:ascii="Courier New" w:hAnsi="Courier New" w:cs="Courier New" w:hint="default"/>
      </w:rPr>
    </w:lvl>
    <w:lvl w:ilvl="2" w:tplc="200A0005">
      <w:start w:val="1"/>
      <w:numFmt w:val="bullet"/>
      <w:lvlText w:val=""/>
      <w:lvlJc w:val="left"/>
      <w:pPr>
        <w:ind w:left="2160" w:hanging="360"/>
      </w:pPr>
      <w:rPr>
        <w:rFonts w:ascii="Wingdings" w:hAnsi="Wingdings" w:hint="default"/>
      </w:rPr>
    </w:lvl>
    <w:lvl w:ilvl="3" w:tplc="200A0001">
      <w:start w:val="1"/>
      <w:numFmt w:val="bullet"/>
      <w:lvlText w:val=""/>
      <w:lvlJc w:val="left"/>
      <w:pPr>
        <w:ind w:left="2880" w:hanging="360"/>
      </w:pPr>
      <w:rPr>
        <w:rFonts w:ascii="Symbol" w:hAnsi="Symbol" w:hint="default"/>
      </w:rPr>
    </w:lvl>
    <w:lvl w:ilvl="4" w:tplc="200A0003">
      <w:start w:val="1"/>
      <w:numFmt w:val="bullet"/>
      <w:lvlText w:val="o"/>
      <w:lvlJc w:val="left"/>
      <w:pPr>
        <w:ind w:left="3600" w:hanging="360"/>
      </w:pPr>
      <w:rPr>
        <w:rFonts w:ascii="Courier New" w:hAnsi="Courier New" w:cs="Courier New" w:hint="default"/>
      </w:rPr>
    </w:lvl>
    <w:lvl w:ilvl="5" w:tplc="200A0005">
      <w:start w:val="1"/>
      <w:numFmt w:val="bullet"/>
      <w:lvlText w:val=""/>
      <w:lvlJc w:val="left"/>
      <w:pPr>
        <w:ind w:left="4320" w:hanging="360"/>
      </w:pPr>
      <w:rPr>
        <w:rFonts w:ascii="Wingdings" w:hAnsi="Wingdings" w:hint="default"/>
      </w:rPr>
    </w:lvl>
    <w:lvl w:ilvl="6" w:tplc="200A0001">
      <w:start w:val="1"/>
      <w:numFmt w:val="bullet"/>
      <w:lvlText w:val=""/>
      <w:lvlJc w:val="left"/>
      <w:pPr>
        <w:ind w:left="5040" w:hanging="360"/>
      </w:pPr>
      <w:rPr>
        <w:rFonts w:ascii="Symbol" w:hAnsi="Symbol" w:hint="default"/>
      </w:rPr>
    </w:lvl>
    <w:lvl w:ilvl="7" w:tplc="200A0003">
      <w:start w:val="1"/>
      <w:numFmt w:val="bullet"/>
      <w:lvlText w:val="o"/>
      <w:lvlJc w:val="left"/>
      <w:pPr>
        <w:ind w:left="5760" w:hanging="360"/>
      </w:pPr>
      <w:rPr>
        <w:rFonts w:ascii="Courier New" w:hAnsi="Courier New" w:cs="Courier New" w:hint="default"/>
      </w:rPr>
    </w:lvl>
    <w:lvl w:ilvl="8" w:tplc="200A0005">
      <w:start w:val="1"/>
      <w:numFmt w:val="bullet"/>
      <w:lvlText w:val=""/>
      <w:lvlJc w:val="left"/>
      <w:pPr>
        <w:ind w:left="6480" w:hanging="360"/>
      </w:pPr>
      <w:rPr>
        <w:rFonts w:ascii="Wingdings" w:hAnsi="Wingdings" w:hint="default"/>
      </w:rPr>
    </w:lvl>
  </w:abstractNum>
  <w:abstractNum w:abstractNumId="13">
    <w:nsid w:val="6B5A353A"/>
    <w:multiLevelType w:val="multilevel"/>
    <w:tmpl w:val="6876FB34"/>
    <w:lvl w:ilvl="0">
      <w:start w:val="1"/>
      <w:numFmt w:val="decimal"/>
      <w:lvlText w:val="%1."/>
      <w:lvlJc w:val="left"/>
      <w:pPr>
        <w:ind w:left="720" w:hanging="360"/>
      </w:pPr>
      <w:rPr>
        <w:rFonts w:hint="default"/>
      </w:rPr>
    </w:lvl>
    <w:lvl w:ilvl="1">
      <w:start w:val="1"/>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4">
    <w:nsid w:val="71341ADE"/>
    <w:multiLevelType w:val="hybridMultilevel"/>
    <w:tmpl w:val="E9BC82AC"/>
    <w:lvl w:ilvl="0" w:tplc="200A0019">
      <w:start w:val="1"/>
      <w:numFmt w:val="lowerLetter"/>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15">
    <w:nsid w:val="75910E35"/>
    <w:multiLevelType w:val="hybridMultilevel"/>
    <w:tmpl w:val="549E8A1E"/>
    <w:lvl w:ilvl="0" w:tplc="200A001B">
      <w:start w:val="1"/>
      <w:numFmt w:val="lowerRoman"/>
      <w:lvlText w:val="%1."/>
      <w:lvlJc w:val="righ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6">
    <w:nsid w:val="76781AE0"/>
    <w:multiLevelType w:val="hybridMultilevel"/>
    <w:tmpl w:val="751058B0"/>
    <w:lvl w:ilvl="0" w:tplc="76703C80">
      <w:numFmt w:val="bullet"/>
      <w:lvlText w:val="-"/>
      <w:lvlJc w:val="left"/>
      <w:pPr>
        <w:ind w:left="720" w:hanging="360"/>
      </w:pPr>
      <w:rPr>
        <w:rFonts w:ascii="Calibri" w:eastAsiaTheme="minorHAnsi" w:hAnsi="Calibri" w:cs="Calibri"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17">
    <w:nsid w:val="7BFD6BF9"/>
    <w:multiLevelType w:val="hybridMultilevel"/>
    <w:tmpl w:val="1980C62E"/>
    <w:lvl w:ilvl="0" w:tplc="71206006">
      <w:numFmt w:val="bullet"/>
      <w:lvlText w:val="-"/>
      <w:lvlJc w:val="left"/>
      <w:pPr>
        <w:ind w:left="720" w:hanging="360"/>
      </w:pPr>
      <w:rPr>
        <w:rFonts w:ascii="Arial" w:eastAsiaTheme="minorHAnsi" w:hAnsi="Arial" w:cs="Aria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2"/>
  </w:num>
  <w:num w:numId="4">
    <w:abstractNumId w:val="9"/>
  </w:num>
  <w:num w:numId="5">
    <w:abstractNumId w:val="17"/>
  </w:num>
  <w:num w:numId="6">
    <w:abstractNumId w:val="13"/>
  </w:num>
  <w:num w:numId="7">
    <w:abstractNumId w:val="14"/>
  </w:num>
  <w:num w:numId="8">
    <w:abstractNumId w:val="5"/>
  </w:num>
  <w:num w:numId="9">
    <w:abstractNumId w:val="15"/>
  </w:num>
  <w:num w:numId="10">
    <w:abstractNumId w:val="3"/>
  </w:num>
  <w:num w:numId="11">
    <w:abstractNumId w:val="10"/>
  </w:num>
  <w:num w:numId="12">
    <w:abstractNumId w:val="8"/>
  </w:num>
  <w:num w:numId="13">
    <w:abstractNumId w:val="7"/>
  </w:num>
  <w:num w:numId="14">
    <w:abstractNumId w:val="4"/>
  </w:num>
  <w:num w:numId="15">
    <w:abstractNumId w:val="6"/>
  </w:num>
  <w:num w:numId="16">
    <w:abstractNumId w:val="2"/>
  </w:num>
  <w:num w:numId="17">
    <w:abstractNumId w:val="0"/>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99C"/>
    <w:rsid w:val="000063B5"/>
    <w:rsid w:val="00007102"/>
    <w:rsid w:val="0000724D"/>
    <w:rsid w:val="000127BF"/>
    <w:rsid w:val="00012B6C"/>
    <w:rsid w:val="00022019"/>
    <w:rsid w:val="0002284D"/>
    <w:rsid w:val="00036227"/>
    <w:rsid w:val="000610DC"/>
    <w:rsid w:val="000671A4"/>
    <w:rsid w:val="00070D17"/>
    <w:rsid w:val="00071B84"/>
    <w:rsid w:val="000771CE"/>
    <w:rsid w:val="00084BEB"/>
    <w:rsid w:val="000977C7"/>
    <w:rsid w:val="000A06AB"/>
    <w:rsid w:val="000B545B"/>
    <w:rsid w:val="000B5C81"/>
    <w:rsid w:val="000B5FE0"/>
    <w:rsid w:val="000E099C"/>
    <w:rsid w:val="000E39B5"/>
    <w:rsid w:val="000F214C"/>
    <w:rsid w:val="000F58CE"/>
    <w:rsid w:val="00106D86"/>
    <w:rsid w:val="00110152"/>
    <w:rsid w:val="0011074F"/>
    <w:rsid w:val="00132F71"/>
    <w:rsid w:val="00137103"/>
    <w:rsid w:val="00140426"/>
    <w:rsid w:val="00141B0C"/>
    <w:rsid w:val="00143405"/>
    <w:rsid w:val="00147388"/>
    <w:rsid w:val="00147EF8"/>
    <w:rsid w:val="001501C6"/>
    <w:rsid w:val="0015030A"/>
    <w:rsid w:val="00156796"/>
    <w:rsid w:val="0017046F"/>
    <w:rsid w:val="001719E6"/>
    <w:rsid w:val="00171FBF"/>
    <w:rsid w:val="00172696"/>
    <w:rsid w:val="00172C99"/>
    <w:rsid w:val="00172EB6"/>
    <w:rsid w:val="001744D3"/>
    <w:rsid w:val="00190BE5"/>
    <w:rsid w:val="00192C09"/>
    <w:rsid w:val="0019504C"/>
    <w:rsid w:val="00196E33"/>
    <w:rsid w:val="001A6653"/>
    <w:rsid w:val="001A6E05"/>
    <w:rsid w:val="001B1CFD"/>
    <w:rsid w:val="001B3CEC"/>
    <w:rsid w:val="001C0240"/>
    <w:rsid w:val="001C0333"/>
    <w:rsid w:val="001C152A"/>
    <w:rsid w:val="001D2B62"/>
    <w:rsid w:val="001D5DB5"/>
    <w:rsid w:val="001E2802"/>
    <w:rsid w:val="0021110E"/>
    <w:rsid w:val="002307FD"/>
    <w:rsid w:val="002319E4"/>
    <w:rsid w:val="00232C02"/>
    <w:rsid w:val="00233EA4"/>
    <w:rsid w:val="002345FF"/>
    <w:rsid w:val="0024257C"/>
    <w:rsid w:val="00244F65"/>
    <w:rsid w:val="00260500"/>
    <w:rsid w:val="002633EA"/>
    <w:rsid w:val="002676C3"/>
    <w:rsid w:val="002701DC"/>
    <w:rsid w:val="002709C5"/>
    <w:rsid w:val="002729BC"/>
    <w:rsid w:val="002745EB"/>
    <w:rsid w:val="00274678"/>
    <w:rsid w:val="00281370"/>
    <w:rsid w:val="002979AA"/>
    <w:rsid w:val="002A2884"/>
    <w:rsid w:val="002A32A3"/>
    <w:rsid w:val="002B4F9C"/>
    <w:rsid w:val="002B7057"/>
    <w:rsid w:val="002D3E13"/>
    <w:rsid w:val="002D4838"/>
    <w:rsid w:val="002E259B"/>
    <w:rsid w:val="002E43E6"/>
    <w:rsid w:val="002E62FE"/>
    <w:rsid w:val="00307205"/>
    <w:rsid w:val="00312714"/>
    <w:rsid w:val="00315B21"/>
    <w:rsid w:val="00333C53"/>
    <w:rsid w:val="003518E7"/>
    <w:rsid w:val="00354FF6"/>
    <w:rsid w:val="00366CC4"/>
    <w:rsid w:val="0037213F"/>
    <w:rsid w:val="00381846"/>
    <w:rsid w:val="00395E47"/>
    <w:rsid w:val="003A35C7"/>
    <w:rsid w:val="003A6C4A"/>
    <w:rsid w:val="003C4AB8"/>
    <w:rsid w:val="003D74A9"/>
    <w:rsid w:val="003E251D"/>
    <w:rsid w:val="003E303A"/>
    <w:rsid w:val="003E574F"/>
    <w:rsid w:val="00402385"/>
    <w:rsid w:val="004053EB"/>
    <w:rsid w:val="0041215E"/>
    <w:rsid w:val="00413D9D"/>
    <w:rsid w:val="00426F52"/>
    <w:rsid w:val="004277AE"/>
    <w:rsid w:val="0043083E"/>
    <w:rsid w:val="004312BF"/>
    <w:rsid w:val="0043157C"/>
    <w:rsid w:val="004376B6"/>
    <w:rsid w:val="00440B71"/>
    <w:rsid w:val="00441651"/>
    <w:rsid w:val="004517B7"/>
    <w:rsid w:val="00466DB2"/>
    <w:rsid w:val="004747C8"/>
    <w:rsid w:val="00475629"/>
    <w:rsid w:val="004779F1"/>
    <w:rsid w:val="00477E0E"/>
    <w:rsid w:val="004853A5"/>
    <w:rsid w:val="004902A8"/>
    <w:rsid w:val="00494EF5"/>
    <w:rsid w:val="004A25E1"/>
    <w:rsid w:val="004C6A5D"/>
    <w:rsid w:val="004D142F"/>
    <w:rsid w:val="004D311D"/>
    <w:rsid w:val="004D4FDB"/>
    <w:rsid w:val="004E7760"/>
    <w:rsid w:val="00521DE7"/>
    <w:rsid w:val="00527E26"/>
    <w:rsid w:val="0054414C"/>
    <w:rsid w:val="0055068A"/>
    <w:rsid w:val="00556975"/>
    <w:rsid w:val="005708DB"/>
    <w:rsid w:val="0057348E"/>
    <w:rsid w:val="0058257C"/>
    <w:rsid w:val="005966F9"/>
    <w:rsid w:val="005A05C1"/>
    <w:rsid w:val="005A2201"/>
    <w:rsid w:val="005B211D"/>
    <w:rsid w:val="005B3033"/>
    <w:rsid w:val="005E26C9"/>
    <w:rsid w:val="005E292B"/>
    <w:rsid w:val="005E629F"/>
    <w:rsid w:val="005F25ED"/>
    <w:rsid w:val="005F4528"/>
    <w:rsid w:val="00602130"/>
    <w:rsid w:val="00611578"/>
    <w:rsid w:val="00614F35"/>
    <w:rsid w:val="00616545"/>
    <w:rsid w:val="00617C73"/>
    <w:rsid w:val="00622CDF"/>
    <w:rsid w:val="00625A23"/>
    <w:rsid w:val="006279BB"/>
    <w:rsid w:val="006305CF"/>
    <w:rsid w:val="006507E6"/>
    <w:rsid w:val="006634E8"/>
    <w:rsid w:val="006658A7"/>
    <w:rsid w:val="00675DB9"/>
    <w:rsid w:val="00680817"/>
    <w:rsid w:val="00685C59"/>
    <w:rsid w:val="00687729"/>
    <w:rsid w:val="00690152"/>
    <w:rsid w:val="00696F6A"/>
    <w:rsid w:val="006B3E98"/>
    <w:rsid w:val="006F21AD"/>
    <w:rsid w:val="006F68A5"/>
    <w:rsid w:val="0070080B"/>
    <w:rsid w:val="007030E4"/>
    <w:rsid w:val="00711D47"/>
    <w:rsid w:val="00730B2C"/>
    <w:rsid w:val="00730D8E"/>
    <w:rsid w:val="007360BC"/>
    <w:rsid w:val="00737641"/>
    <w:rsid w:val="00743DFB"/>
    <w:rsid w:val="00745A98"/>
    <w:rsid w:val="00750CCA"/>
    <w:rsid w:val="00757E53"/>
    <w:rsid w:val="00765855"/>
    <w:rsid w:val="007762DE"/>
    <w:rsid w:val="00782129"/>
    <w:rsid w:val="00787DB3"/>
    <w:rsid w:val="00796213"/>
    <w:rsid w:val="007B1299"/>
    <w:rsid w:val="007B41A8"/>
    <w:rsid w:val="007D08F0"/>
    <w:rsid w:val="007E6E26"/>
    <w:rsid w:val="007E7A53"/>
    <w:rsid w:val="007F59A8"/>
    <w:rsid w:val="007F6814"/>
    <w:rsid w:val="0080273A"/>
    <w:rsid w:val="00803A76"/>
    <w:rsid w:val="00807D8A"/>
    <w:rsid w:val="0082605B"/>
    <w:rsid w:val="00826312"/>
    <w:rsid w:val="00833D66"/>
    <w:rsid w:val="00837D9C"/>
    <w:rsid w:val="008400C6"/>
    <w:rsid w:val="0084138E"/>
    <w:rsid w:val="008418A7"/>
    <w:rsid w:val="0084261C"/>
    <w:rsid w:val="00843E02"/>
    <w:rsid w:val="00844257"/>
    <w:rsid w:val="00851CEB"/>
    <w:rsid w:val="00872B66"/>
    <w:rsid w:val="00880A3D"/>
    <w:rsid w:val="00892AB4"/>
    <w:rsid w:val="00893C51"/>
    <w:rsid w:val="00893D12"/>
    <w:rsid w:val="0089454A"/>
    <w:rsid w:val="008945B1"/>
    <w:rsid w:val="008949BC"/>
    <w:rsid w:val="008A1134"/>
    <w:rsid w:val="008B6654"/>
    <w:rsid w:val="008C20D6"/>
    <w:rsid w:val="008D1E6F"/>
    <w:rsid w:val="008D33E6"/>
    <w:rsid w:val="008E5B14"/>
    <w:rsid w:val="008F7ACC"/>
    <w:rsid w:val="00910009"/>
    <w:rsid w:val="00923A34"/>
    <w:rsid w:val="00924CD2"/>
    <w:rsid w:val="00931CC9"/>
    <w:rsid w:val="00932B3E"/>
    <w:rsid w:val="00947E9B"/>
    <w:rsid w:val="009526DF"/>
    <w:rsid w:val="00955922"/>
    <w:rsid w:val="0098009D"/>
    <w:rsid w:val="00987AF2"/>
    <w:rsid w:val="009958A0"/>
    <w:rsid w:val="009B01F3"/>
    <w:rsid w:val="009B60F0"/>
    <w:rsid w:val="009C00D5"/>
    <w:rsid w:val="009D732D"/>
    <w:rsid w:val="009F07DE"/>
    <w:rsid w:val="00A00959"/>
    <w:rsid w:val="00A02717"/>
    <w:rsid w:val="00A07C23"/>
    <w:rsid w:val="00A127A6"/>
    <w:rsid w:val="00A23A69"/>
    <w:rsid w:val="00A2777B"/>
    <w:rsid w:val="00A278BC"/>
    <w:rsid w:val="00A546F2"/>
    <w:rsid w:val="00A56150"/>
    <w:rsid w:val="00A57D52"/>
    <w:rsid w:val="00A81E4C"/>
    <w:rsid w:val="00A8573F"/>
    <w:rsid w:val="00A8636A"/>
    <w:rsid w:val="00A86D71"/>
    <w:rsid w:val="00A96188"/>
    <w:rsid w:val="00AA6165"/>
    <w:rsid w:val="00AB50E8"/>
    <w:rsid w:val="00AF3A13"/>
    <w:rsid w:val="00B05B7C"/>
    <w:rsid w:val="00B06900"/>
    <w:rsid w:val="00B10106"/>
    <w:rsid w:val="00B135D4"/>
    <w:rsid w:val="00B13775"/>
    <w:rsid w:val="00B25036"/>
    <w:rsid w:val="00B30120"/>
    <w:rsid w:val="00B34184"/>
    <w:rsid w:val="00B45175"/>
    <w:rsid w:val="00B47450"/>
    <w:rsid w:val="00B530FF"/>
    <w:rsid w:val="00B606A7"/>
    <w:rsid w:val="00B658D5"/>
    <w:rsid w:val="00B67090"/>
    <w:rsid w:val="00B70212"/>
    <w:rsid w:val="00B713A0"/>
    <w:rsid w:val="00B7764D"/>
    <w:rsid w:val="00B77B8D"/>
    <w:rsid w:val="00BA43B4"/>
    <w:rsid w:val="00BB118C"/>
    <w:rsid w:val="00BC18D8"/>
    <w:rsid w:val="00BD47DF"/>
    <w:rsid w:val="00BF0507"/>
    <w:rsid w:val="00BF06D6"/>
    <w:rsid w:val="00BF6B25"/>
    <w:rsid w:val="00C04353"/>
    <w:rsid w:val="00C11988"/>
    <w:rsid w:val="00C1297B"/>
    <w:rsid w:val="00C15356"/>
    <w:rsid w:val="00C30860"/>
    <w:rsid w:val="00C31DD5"/>
    <w:rsid w:val="00C435A4"/>
    <w:rsid w:val="00C4418D"/>
    <w:rsid w:val="00C45498"/>
    <w:rsid w:val="00C63EC9"/>
    <w:rsid w:val="00C64582"/>
    <w:rsid w:val="00C64605"/>
    <w:rsid w:val="00C71FBA"/>
    <w:rsid w:val="00C771CA"/>
    <w:rsid w:val="00C863FA"/>
    <w:rsid w:val="00CB1132"/>
    <w:rsid w:val="00CB2B41"/>
    <w:rsid w:val="00CC2675"/>
    <w:rsid w:val="00CC3795"/>
    <w:rsid w:val="00CD0CA0"/>
    <w:rsid w:val="00CD2D28"/>
    <w:rsid w:val="00CE2CA5"/>
    <w:rsid w:val="00CF2AF7"/>
    <w:rsid w:val="00CF4C7F"/>
    <w:rsid w:val="00CF53F3"/>
    <w:rsid w:val="00D10586"/>
    <w:rsid w:val="00D1543C"/>
    <w:rsid w:val="00D40F78"/>
    <w:rsid w:val="00D60D66"/>
    <w:rsid w:val="00D65065"/>
    <w:rsid w:val="00D65B8E"/>
    <w:rsid w:val="00D7148F"/>
    <w:rsid w:val="00D72DBA"/>
    <w:rsid w:val="00D73A44"/>
    <w:rsid w:val="00D812A7"/>
    <w:rsid w:val="00D821E2"/>
    <w:rsid w:val="00DA198F"/>
    <w:rsid w:val="00DA7CC3"/>
    <w:rsid w:val="00DB3DAB"/>
    <w:rsid w:val="00DF1CB0"/>
    <w:rsid w:val="00DF6121"/>
    <w:rsid w:val="00DF73E7"/>
    <w:rsid w:val="00DF74D4"/>
    <w:rsid w:val="00E000D9"/>
    <w:rsid w:val="00E0123F"/>
    <w:rsid w:val="00E12C8A"/>
    <w:rsid w:val="00E1385C"/>
    <w:rsid w:val="00E30680"/>
    <w:rsid w:val="00E30B55"/>
    <w:rsid w:val="00E33320"/>
    <w:rsid w:val="00E5346B"/>
    <w:rsid w:val="00E62856"/>
    <w:rsid w:val="00E67FFB"/>
    <w:rsid w:val="00E72DDC"/>
    <w:rsid w:val="00E73C69"/>
    <w:rsid w:val="00E841D0"/>
    <w:rsid w:val="00E870E5"/>
    <w:rsid w:val="00E94469"/>
    <w:rsid w:val="00E95072"/>
    <w:rsid w:val="00EB066E"/>
    <w:rsid w:val="00EB4AF9"/>
    <w:rsid w:val="00EB6A18"/>
    <w:rsid w:val="00ED08DE"/>
    <w:rsid w:val="00ED155E"/>
    <w:rsid w:val="00EF529B"/>
    <w:rsid w:val="00EF52FD"/>
    <w:rsid w:val="00F23E7D"/>
    <w:rsid w:val="00F3735C"/>
    <w:rsid w:val="00F47F09"/>
    <w:rsid w:val="00F50D39"/>
    <w:rsid w:val="00F554BE"/>
    <w:rsid w:val="00F66C78"/>
    <w:rsid w:val="00F71CFD"/>
    <w:rsid w:val="00F75433"/>
    <w:rsid w:val="00F75E7D"/>
    <w:rsid w:val="00F83753"/>
    <w:rsid w:val="00F84579"/>
    <w:rsid w:val="00F84D6D"/>
    <w:rsid w:val="00F97220"/>
    <w:rsid w:val="00FB1399"/>
    <w:rsid w:val="00FB466B"/>
    <w:rsid w:val="00FC37C4"/>
    <w:rsid w:val="00FC387B"/>
    <w:rsid w:val="00FC3B55"/>
    <w:rsid w:val="00FC575C"/>
    <w:rsid w:val="00FC5F5C"/>
    <w:rsid w:val="00FD0007"/>
    <w:rsid w:val="00FD17F7"/>
    <w:rsid w:val="00FD33B4"/>
    <w:rsid w:val="00FD37A9"/>
    <w:rsid w:val="00FE2217"/>
    <w:rsid w:val="00FE4791"/>
    <w:rsid w:val="00FE49FD"/>
    <w:rsid w:val="00FE7EA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099C"/>
    <w:pPr>
      <w:ind w:left="720"/>
      <w:contextualSpacing/>
    </w:pPr>
  </w:style>
  <w:style w:type="character" w:styleId="Hipervnculo">
    <w:name w:val="Hyperlink"/>
    <w:basedOn w:val="Fuentedeprrafopredeter"/>
    <w:uiPriority w:val="99"/>
    <w:unhideWhenUsed/>
    <w:rsid w:val="00CC3795"/>
    <w:rPr>
      <w:color w:val="0000FF" w:themeColor="hyperlink"/>
      <w:u w:val="single"/>
    </w:rPr>
  </w:style>
  <w:style w:type="paragraph" w:styleId="Textodeglobo">
    <w:name w:val="Balloon Text"/>
    <w:basedOn w:val="Normal"/>
    <w:link w:val="TextodegloboCar"/>
    <w:uiPriority w:val="99"/>
    <w:semiHidden/>
    <w:unhideWhenUsed/>
    <w:rsid w:val="007376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7641"/>
    <w:rPr>
      <w:rFonts w:ascii="Tahoma" w:hAnsi="Tahoma" w:cs="Tahoma"/>
      <w:sz w:val="16"/>
      <w:szCs w:val="16"/>
    </w:rPr>
  </w:style>
  <w:style w:type="paragraph" w:styleId="Textonotapie">
    <w:name w:val="footnote text"/>
    <w:basedOn w:val="Normal"/>
    <w:link w:val="TextonotapieCar"/>
    <w:uiPriority w:val="99"/>
    <w:semiHidden/>
    <w:unhideWhenUsed/>
    <w:rsid w:val="0038184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81846"/>
    <w:rPr>
      <w:sz w:val="20"/>
      <w:szCs w:val="20"/>
    </w:rPr>
  </w:style>
  <w:style w:type="character" w:styleId="Refdenotaalpie">
    <w:name w:val="footnote reference"/>
    <w:aliases w:val="4_G,Texto de nota al pie,Footnotes refss,Appel note de bas de page,Footnote number,referencia nota al pie,BVI fnr,f,Ref,de nota al pie,normal,16 Point,Superscript 6 Point,Texto nota al pie,Footnote Reference Char3,Ref. de nota al"/>
    <w:basedOn w:val="Fuentedeprrafopredeter"/>
    <w:link w:val="Refdenotaalpie0"/>
    <w:uiPriority w:val="99"/>
    <w:unhideWhenUsed/>
    <w:qFormat/>
    <w:rsid w:val="00381846"/>
    <w:rPr>
      <w:vertAlign w:val="superscript"/>
    </w:rPr>
  </w:style>
  <w:style w:type="character" w:styleId="Refdecomentario">
    <w:name w:val="annotation reference"/>
    <w:basedOn w:val="Fuentedeprrafopredeter"/>
    <w:uiPriority w:val="99"/>
    <w:semiHidden/>
    <w:unhideWhenUsed/>
    <w:rsid w:val="00413D9D"/>
    <w:rPr>
      <w:sz w:val="16"/>
      <w:szCs w:val="16"/>
    </w:rPr>
  </w:style>
  <w:style w:type="paragraph" w:styleId="Textocomentario">
    <w:name w:val="annotation text"/>
    <w:basedOn w:val="Normal"/>
    <w:link w:val="TextocomentarioCar"/>
    <w:uiPriority w:val="99"/>
    <w:unhideWhenUsed/>
    <w:rsid w:val="00413D9D"/>
    <w:pPr>
      <w:spacing w:after="160" w:line="240" w:lineRule="auto"/>
    </w:pPr>
    <w:rPr>
      <w:sz w:val="20"/>
      <w:szCs w:val="20"/>
    </w:rPr>
  </w:style>
  <w:style w:type="character" w:customStyle="1" w:styleId="TextocomentarioCar">
    <w:name w:val="Texto comentario Car"/>
    <w:basedOn w:val="Fuentedeprrafopredeter"/>
    <w:link w:val="Textocomentario"/>
    <w:uiPriority w:val="99"/>
    <w:rsid w:val="00413D9D"/>
    <w:rPr>
      <w:sz w:val="20"/>
      <w:szCs w:val="20"/>
    </w:rPr>
  </w:style>
  <w:style w:type="character" w:customStyle="1" w:styleId="EnlacedeInternet">
    <w:name w:val="Enlace de Internet"/>
    <w:basedOn w:val="Fuentedeprrafopredeter"/>
    <w:uiPriority w:val="99"/>
    <w:unhideWhenUsed/>
    <w:rsid w:val="00413D9D"/>
    <w:rPr>
      <w:color w:val="0563C1"/>
      <w:u w:val="single"/>
    </w:rPr>
  </w:style>
  <w:style w:type="character" w:customStyle="1" w:styleId="Caracteresdenotaalpie">
    <w:name w:val="Caracteres de nota al pie"/>
    <w:qFormat/>
    <w:rsid w:val="00413D9D"/>
  </w:style>
  <w:style w:type="paragraph" w:customStyle="1" w:styleId="Refdenotaalpie0">
    <w:name w:val="Ref. de nota al pie."/>
    <w:aliases w:val="Footnote symbol,Footnote,Ref. de nota al pi,f1"/>
    <w:basedOn w:val="Normal"/>
    <w:link w:val="Refdenotaalpie"/>
    <w:uiPriority w:val="99"/>
    <w:rsid w:val="00413D9D"/>
    <w:pPr>
      <w:spacing w:before="200" w:after="160" w:line="240" w:lineRule="exact"/>
    </w:pPr>
    <w:rPr>
      <w:vertAlign w:val="superscript"/>
    </w:rPr>
  </w:style>
  <w:style w:type="paragraph" w:styleId="Encabezado">
    <w:name w:val="header"/>
    <w:basedOn w:val="Normal"/>
    <w:link w:val="EncabezadoCar"/>
    <w:uiPriority w:val="99"/>
    <w:unhideWhenUsed/>
    <w:rsid w:val="008D33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33E6"/>
  </w:style>
  <w:style w:type="paragraph" w:styleId="Piedepgina">
    <w:name w:val="footer"/>
    <w:basedOn w:val="Normal"/>
    <w:link w:val="PiedepginaCar"/>
    <w:uiPriority w:val="99"/>
    <w:unhideWhenUsed/>
    <w:rsid w:val="008D33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33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099C"/>
    <w:pPr>
      <w:ind w:left="720"/>
      <w:contextualSpacing/>
    </w:pPr>
  </w:style>
  <w:style w:type="character" w:styleId="Hipervnculo">
    <w:name w:val="Hyperlink"/>
    <w:basedOn w:val="Fuentedeprrafopredeter"/>
    <w:uiPriority w:val="99"/>
    <w:unhideWhenUsed/>
    <w:rsid w:val="00CC3795"/>
    <w:rPr>
      <w:color w:val="0000FF" w:themeColor="hyperlink"/>
      <w:u w:val="single"/>
    </w:rPr>
  </w:style>
  <w:style w:type="paragraph" w:styleId="Textodeglobo">
    <w:name w:val="Balloon Text"/>
    <w:basedOn w:val="Normal"/>
    <w:link w:val="TextodegloboCar"/>
    <w:uiPriority w:val="99"/>
    <w:semiHidden/>
    <w:unhideWhenUsed/>
    <w:rsid w:val="007376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7641"/>
    <w:rPr>
      <w:rFonts w:ascii="Tahoma" w:hAnsi="Tahoma" w:cs="Tahoma"/>
      <w:sz w:val="16"/>
      <w:szCs w:val="16"/>
    </w:rPr>
  </w:style>
  <w:style w:type="paragraph" w:styleId="Textonotapie">
    <w:name w:val="footnote text"/>
    <w:basedOn w:val="Normal"/>
    <w:link w:val="TextonotapieCar"/>
    <w:uiPriority w:val="99"/>
    <w:semiHidden/>
    <w:unhideWhenUsed/>
    <w:rsid w:val="0038184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81846"/>
    <w:rPr>
      <w:sz w:val="20"/>
      <w:szCs w:val="20"/>
    </w:rPr>
  </w:style>
  <w:style w:type="character" w:styleId="Refdenotaalpie">
    <w:name w:val="footnote reference"/>
    <w:aliases w:val="4_G,Texto de nota al pie,Footnotes refss,Appel note de bas de page,Footnote number,referencia nota al pie,BVI fnr,f,Ref,de nota al pie,normal,16 Point,Superscript 6 Point,Texto nota al pie,Footnote Reference Char3,Ref. de nota al"/>
    <w:basedOn w:val="Fuentedeprrafopredeter"/>
    <w:link w:val="Refdenotaalpie0"/>
    <w:uiPriority w:val="99"/>
    <w:unhideWhenUsed/>
    <w:qFormat/>
    <w:rsid w:val="00381846"/>
    <w:rPr>
      <w:vertAlign w:val="superscript"/>
    </w:rPr>
  </w:style>
  <w:style w:type="character" w:styleId="Refdecomentario">
    <w:name w:val="annotation reference"/>
    <w:basedOn w:val="Fuentedeprrafopredeter"/>
    <w:uiPriority w:val="99"/>
    <w:semiHidden/>
    <w:unhideWhenUsed/>
    <w:rsid w:val="00413D9D"/>
    <w:rPr>
      <w:sz w:val="16"/>
      <w:szCs w:val="16"/>
    </w:rPr>
  </w:style>
  <w:style w:type="paragraph" w:styleId="Textocomentario">
    <w:name w:val="annotation text"/>
    <w:basedOn w:val="Normal"/>
    <w:link w:val="TextocomentarioCar"/>
    <w:uiPriority w:val="99"/>
    <w:unhideWhenUsed/>
    <w:rsid w:val="00413D9D"/>
    <w:pPr>
      <w:spacing w:after="160" w:line="240" w:lineRule="auto"/>
    </w:pPr>
    <w:rPr>
      <w:sz w:val="20"/>
      <w:szCs w:val="20"/>
    </w:rPr>
  </w:style>
  <w:style w:type="character" w:customStyle="1" w:styleId="TextocomentarioCar">
    <w:name w:val="Texto comentario Car"/>
    <w:basedOn w:val="Fuentedeprrafopredeter"/>
    <w:link w:val="Textocomentario"/>
    <w:uiPriority w:val="99"/>
    <w:rsid w:val="00413D9D"/>
    <w:rPr>
      <w:sz w:val="20"/>
      <w:szCs w:val="20"/>
    </w:rPr>
  </w:style>
  <w:style w:type="character" w:customStyle="1" w:styleId="EnlacedeInternet">
    <w:name w:val="Enlace de Internet"/>
    <w:basedOn w:val="Fuentedeprrafopredeter"/>
    <w:uiPriority w:val="99"/>
    <w:unhideWhenUsed/>
    <w:rsid w:val="00413D9D"/>
    <w:rPr>
      <w:color w:val="0563C1"/>
      <w:u w:val="single"/>
    </w:rPr>
  </w:style>
  <w:style w:type="character" w:customStyle="1" w:styleId="Caracteresdenotaalpie">
    <w:name w:val="Caracteres de nota al pie"/>
    <w:qFormat/>
    <w:rsid w:val="00413D9D"/>
  </w:style>
  <w:style w:type="paragraph" w:customStyle="1" w:styleId="Refdenotaalpie0">
    <w:name w:val="Ref. de nota al pie."/>
    <w:aliases w:val="Footnote symbol,Footnote,Ref. de nota al pi,f1"/>
    <w:basedOn w:val="Normal"/>
    <w:link w:val="Refdenotaalpie"/>
    <w:uiPriority w:val="99"/>
    <w:rsid w:val="00413D9D"/>
    <w:pPr>
      <w:spacing w:before="200" w:after="160" w:line="240" w:lineRule="exact"/>
    </w:pPr>
    <w:rPr>
      <w:vertAlign w:val="superscript"/>
    </w:rPr>
  </w:style>
  <w:style w:type="paragraph" w:styleId="Encabezado">
    <w:name w:val="header"/>
    <w:basedOn w:val="Normal"/>
    <w:link w:val="EncabezadoCar"/>
    <w:uiPriority w:val="99"/>
    <w:unhideWhenUsed/>
    <w:rsid w:val="008D33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33E6"/>
  </w:style>
  <w:style w:type="paragraph" w:styleId="Piedepgina">
    <w:name w:val="footer"/>
    <w:basedOn w:val="Normal"/>
    <w:link w:val="PiedepginaCar"/>
    <w:uiPriority w:val="99"/>
    <w:unhideWhenUsed/>
    <w:rsid w:val="008D33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3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04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mailto:comision.ula.mujer@gmail.com"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mailto:fundamujervenezuela@gmail.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rrss@cepaz.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rednaranjavenezuela@gmail.com" TargetMode="External"/><Relationship Id="rId20" Type="http://schemas.openxmlformats.org/officeDocument/2006/relationships/hyperlink" Target="mailto:fundacionvidajuridica@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mailto:exodo.ac.vzla@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epaz.org/articulos/en-venezuela-las-mujeres-victimas-de-violencia-basada-en-genero-enfrentan-profundas-brechas-para-el-acceso-a-la-justicia/" TargetMode="External"/><Relationship Id="rId13" Type="http://schemas.openxmlformats.org/officeDocument/2006/relationships/hyperlink" Target="https://rednaranja.com.ve/informe-educativo-de-prevencion-de-violencia-contra-las-mujeres-femicidio-estado-zulia-venezuela/" TargetMode="External"/><Relationship Id="rId18" Type="http://schemas.openxmlformats.org/officeDocument/2006/relationships/hyperlink" Target="https://www.amnistia.org/ve/blog/2017/05/2420/impunidad-y-violenciade-genero" TargetMode="External"/><Relationship Id="rId26" Type="http://schemas.openxmlformats.org/officeDocument/2006/relationships/hyperlink" Target="https://cepaz.org/articulos/la-paridad-de-genero-en-venezuela-es-una-deuda-historica/" TargetMode="External"/><Relationship Id="rId39" Type="http://schemas.openxmlformats.org/officeDocument/2006/relationships/hyperlink" Target="http://ulamujer.org/wp-content/uploads/2022/05/I.-Informe-sobre-VIOLENCIA-CONTRA-LA-MUJER.pdf" TargetMode="External"/><Relationship Id="rId3" Type="http://schemas.openxmlformats.org/officeDocument/2006/relationships/hyperlink" Target="https://exodo.org.ve/" TargetMode="External"/><Relationship Id="rId21" Type="http://schemas.openxmlformats.org/officeDocument/2006/relationships/hyperlink" Target="https://cepaz.org/noticias/durante-el-mes-de-diciembre-hubo-34-femicidios-en-venezuela/" TargetMode="External"/><Relationship Id="rId34" Type="http://schemas.openxmlformats.org/officeDocument/2006/relationships/hyperlink" Target="https://cepaz.org/articulos/cne-publica-un-nuevo-reglamento-garantizara-la-participacion-igualitaria-de-las-mujeres-en-los-proximos-comicios-regionales-y-municipales/" TargetMode="External"/><Relationship Id="rId7" Type="http://schemas.openxmlformats.org/officeDocument/2006/relationships/hyperlink" Target="https://rednaranja.com.ve/" TargetMode="External"/><Relationship Id="rId12" Type="http://schemas.openxmlformats.org/officeDocument/2006/relationships/hyperlink" Target="https://www.oas.org/dil/esp/constitucion_venezuela.pdf" TargetMode="External"/><Relationship Id="rId17" Type="http://schemas.openxmlformats.org/officeDocument/2006/relationships/hyperlink" Target="http://www.ine.gov.ve/" TargetMode="External"/><Relationship Id="rId25" Type="http://schemas.openxmlformats.org/officeDocument/2006/relationships/hyperlink" Target="http://ulamujer.org/wp-content/uploads/2021/09/1.Informe-DDHH-Mujeres-1-Rev-NR-21sept1.pdf" TargetMode="External"/><Relationship Id="rId33" Type="http://schemas.openxmlformats.org/officeDocument/2006/relationships/hyperlink" Target="http://www.cne.gob.ve/resultados_regionales2017/" TargetMode="External"/><Relationship Id="rId38" Type="http://schemas.openxmlformats.org/officeDocument/2006/relationships/hyperlink" Target="http://ulamujer.org/wp-content/uploads/2022/05/I.-Informe-sobre-VIOLENCIA-CONTRA-LA-MUJER.pdf" TargetMode="External"/><Relationship Id="rId2" Type="http://schemas.openxmlformats.org/officeDocument/2006/relationships/hyperlink" Target="http://ulamujer.org/" TargetMode="External"/><Relationship Id="rId16" Type="http://schemas.openxmlformats.org/officeDocument/2006/relationships/hyperlink" Target="https://cepaz.org/articulos/la-proteccion-de-las-mujeres-venezolanas-frente-a-las-violencias-de-genero/" TargetMode="External"/><Relationship Id="rId20" Type="http://schemas.openxmlformats.org/officeDocument/2006/relationships/hyperlink" Target="https://muliervenezuela.medium.com/libresyseguras-2021-eae37678c9c6" TargetMode="External"/><Relationship Id="rId29" Type="http://schemas.openxmlformats.org/officeDocument/2006/relationships/hyperlink" Target="http://www.cne.gob.ve/web/normativa_electoral/elecciones/2020/asamblea_nacional/documentos/paridad_de_genero/proyecto_de_paridad_de_genero.pdf" TargetMode="External"/><Relationship Id="rId41" Type="http://schemas.openxmlformats.org/officeDocument/2006/relationships/hyperlink" Target="https://www2.cne.gob.ve/rm2021" TargetMode="External"/><Relationship Id="rId1" Type="http://schemas.openxmlformats.org/officeDocument/2006/relationships/hyperlink" Target="https://cepaz.org/" TargetMode="External"/><Relationship Id="rId6" Type="http://schemas.openxmlformats.org/officeDocument/2006/relationships/hyperlink" Target="https://muliervenezuela.medium.com/" TargetMode="External"/><Relationship Id="rId11" Type="http://schemas.openxmlformats.org/officeDocument/2006/relationships/hyperlink" Target="https://cepaz.org/articulos/el-estado-venezolano-no-cumple-con-las-obligaciones-internacionales-en-materia-de-genero/" TargetMode="External"/><Relationship Id="rId24" Type="http://schemas.openxmlformats.org/officeDocument/2006/relationships/hyperlink" Target="http://ulamujer.org/wp-content/uploads/2022/05/I.-Informe-sobre-VIOLENCIA-CONTRA-LA-MUJER.pdf" TargetMode="External"/><Relationship Id="rId32" Type="http://schemas.openxmlformats.org/officeDocument/2006/relationships/hyperlink" Target="https://es.wikipedia.org/wiki/Anexo:Resultados_de_las_elecciones_municipales_de_Venezuela_de_2017" TargetMode="External"/><Relationship Id="rId37" Type="http://schemas.openxmlformats.org/officeDocument/2006/relationships/hyperlink" Target="http://www.cne.gob.ve/web/normativa_electoral/elecciones/2021/elecciones_regionales_y_municipales_2021/documentos/manuales/proyecto_de_paridad_de_genero.pdf" TargetMode="External"/><Relationship Id="rId40" Type="http://schemas.openxmlformats.org/officeDocument/2006/relationships/hyperlink" Target="https://es.wikipedia.org/w/index.php?title=Anexo:Alcaldes_de_Venezuela&amp;oldid=144722556" TargetMode="External"/><Relationship Id="rId5" Type="http://schemas.openxmlformats.org/officeDocument/2006/relationships/hyperlink" Target="http://fundamujervenezuela.blogspot.com/" TargetMode="External"/><Relationship Id="rId15" Type="http://schemas.openxmlformats.org/officeDocument/2006/relationships/hyperlink" Target="https://cepaz.org/documentos_informes/monitoreo-de-femicidios-junio-2021-resumen-de-enero-a-junio/" TargetMode="External"/><Relationship Id="rId23" Type="http://schemas.openxmlformats.org/officeDocument/2006/relationships/hyperlink" Target="https://cepaz.org/noticias/los-femicidios-arrastran-fenomenos-asociados-que-debe-sr-analizados/" TargetMode="External"/><Relationship Id="rId28" Type="http://schemas.openxmlformats.org/officeDocument/2006/relationships/hyperlink" Target="http://www.cne.gob.ve/web/normativa_electoral/elecciones/2015/asamblea/documentos/RESOLUCI0N_150625-147.pdf" TargetMode="External"/><Relationship Id="rId36" Type="http://schemas.openxmlformats.org/officeDocument/2006/relationships/hyperlink" Target="https://cepaz.org/articulos/la-moe-destaco-las-desigualdades-que-enfrentan-las-mujeres-en-la-participacion-politica-en-venezuela/" TargetMode="External"/><Relationship Id="rId10" Type="http://schemas.openxmlformats.org/officeDocument/2006/relationships/hyperlink" Target="https://cepaz.org/articulos/reforma-a-la-ley-organica-sobre-el-derecho-de-las-mujeres-a-una-vida-libre-de-violencia-mas-retos-que-aciertos/" TargetMode="External"/><Relationship Id="rId19" Type="http://schemas.openxmlformats.org/officeDocument/2006/relationships/hyperlink" Target="http://ulamujer.org/wp-content/uploads/2022/05/I.-Informe-sobre-VIOLENCIA-CONTRA-LA-MUJER.pdf" TargetMode="External"/><Relationship Id="rId31" Type="http://schemas.openxmlformats.org/officeDocument/2006/relationships/hyperlink" Target="https://cepaz.org/articulos/la-paridad-de-genero-en-venezuela-es-una-deuda-historica/" TargetMode="External"/><Relationship Id="rId4" Type="http://schemas.openxmlformats.org/officeDocument/2006/relationships/hyperlink" Target="https://www.instagram.com/fundacionvidajuridica/" TargetMode="External"/><Relationship Id="rId9" Type="http://schemas.openxmlformats.org/officeDocument/2006/relationships/hyperlink" Target="https://cepaz.org/noticias/alianza-cepaz-cem-ucv-y-fundamujer-suma-mas-numeros-para-ofrecer-atencion-psicolegal-a-mujeres-victimas-de-violencias/" TargetMode="External"/><Relationship Id="rId14" Type="http://schemas.openxmlformats.org/officeDocument/2006/relationships/hyperlink" Target="https://www.unimet.edu.ve/wp-content/uploads/2022/04/Diagn%C3%B3stico-inicial-sobre-el-funcionamiento-del-sistema-de-justicia-en-los-casos-de-violencia-de-g%C3%A9nero-en-Venezuela.pdf" TargetMode="External"/><Relationship Id="rId22" Type="http://schemas.openxmlformats.org/officeDocument/2006/relationships/hyperlink" Target="https://cepaz.org/noticias/ocho-femicidios-consumados-en-venezuela-en-la-primera-semana-de-mayo/" TargetMode="External"/><Relationship Id="rId27" Type="http://schemas.openxmlformats.org/officeDocument/2006/relationships/hyperlink" Target="http://ulamujer.org/wp-content/uploads/2021/09/1.Informe-DDHH-Mujeres-1-Rev-NR-21sept1.pdf" TargetMode="External"/><Relationship Id="rId30" Type="http://schemas.openxmlformats.org/officeDocument/2006/relationships/hyperlink" Target="http://www.cne.gob.ve/web/normativa_electoral/elecciones/2021/elecciones_regionales_y_municipales_2021/documentos/manuales/proyecto_de_paridad_de_genero.pdf" TargetMode="External"/><Relationship Id="rId35" Type="http://schemas.openxmlformats.org/officeDocument/2006/relationships/hyperlink" Target="https://cepaz.org/documentos_informes/participacion-del-liderazgo-femenino-en-las-elecciones-regionales-y-municipales-202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7CDC9-3A85-4B36-B7FA-6DD548939456}">
  <ds:schemaRefs>
    <ds:schemaRef ds:uri="http://schemas.openxmlformats.org/officeDocument/2006/bibliography"/>
  </ds:schemaRefs>
</ds:datastoreItem>
</file>

<file path=customXml/itemProps2.xml><?xml version="1.0" encoding="utf-8"?>
<ds:datastoreItem xmlns:ds="http://schemas.openxmlformats.org/officeDocument/2006/customXml" ds:itemID="{2398A90F-8179-4974-B42A-43C9B43AA4E1}"/>
</file>

<file path=customXml/itemProps3.xml><?xml version="1.0" encoding="utf-8"?>
<ds:datastoreItem xmlns:ds="http://schemas.openxmlformats.org/officeDocument/2006/customXml" ds:itemID="{70BC2CBF-35D1-4228-B1F9-527C85077CDE}"/>
</file>

<file path=customXml/itemProps4.xml><?xml version="1.0" encoding="utf-8"?>
<ds:datastoreItem xmlns:ds="http://schemas.openxmlformats.org/officeDocument/2006/customXml" ds:itemID="{1EC7099A-19A5-4261-829E-8CAB15D9E663}"/>
</file>

<file path=docProps/app.xml><?xml version="1.0" encoding="utf-8"?>
<Properties xmlns="http://schemas.openxmlformats.org/officeDocument/2006/extended-properties" xmlns:vt="http://schemas.openxmlformats.org/officeDocument/2006/docPropsVTypes">
  <Template>Normal</Template>
  <TotalTime>111</TotalTime>
  <Pages>16</Pages>
  <Words>6072</Words>
  <Characters>33398</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78</cp:revision>
  <dcterms:created xsi:type="dcterms:W3CDTF">2022-08-15T01:36:00Z</dcterms:created>
  <dcterms:modified xsi:type="dcterms:W3CDTF">2022-08-15T14:27:00Z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