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9475E" w14:textId="77777777" w:rsidR="00665491"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Comité para la Eliminación de la Discriminación contra la Mujer (CEDAW) </w:t>
      </w:r>
    </w:p>
    <w:p w14:paraId="0623D225" w14:textId="77777777" w:rsidR="00665491" w:rsidRDefault="00000000">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Sesión 85 - 10 de abril 2023</w:t>
      </w:r>
    </w:p>
    <w:p w14:paraId="2741859F" w14:textId="2F24C21A" w:rsidR="00665491" w:rsidRDefault="00685A54">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Paláis</w:t>
      </w:r>
      <w:r w:rsidR="00000000">
        <w:rPr>
          <w:rFonts w:ascii="Times New Roman" w:eastAsia="Times New Roman" w:hAnsi="Times New Roman" w:cs="Times New Roman"/>
          <w:sz w:val="24"/>
          <w:szCs w:val="24"/>
        </w:rPr>
        <w:t xml:space="preserve"> Wilson, Ginebra, Suiza</w:t>
      </w:r>
    </w:p>
    <w:p w14:paraId="17AFF6BC" w14:textId="77777777" w:rsidR="00665491" w:rsidRDefault="00665491">
      <w:pPr>
        <w:spacing w:before="240" w:after="240"/>
        <w:jc w:val="center"/>
        <w:rPr>
          <w:rFonts w:ascii="Times New Roman" w:eastAsia="Times New Roman" w:hAnsi="Times New Roman" w:cs="Times New Roman"/>
          <w:sz w:val="24"/>
          <w:szCs w:val="24"/>
        </w:rPr>
      </w:pPr>
    </w:p>
    <w:p w14:paraId="54995932" w14:textId="77777777" w:rsidR="00665491" w:rsidRDefault="00000000">
      <w:pPr>
        <w:jc w:val="center"/>
        <w:rPr>
          <w:rFonts w:ascii="Times New Roman" w:eastAsia="Times New Roman" w:hAnsi="Times New Roman" w:cs="Times New Roman"/>
          <w:b/>
          <w:sz w:val="30"/>
          <w:szCs w:val="30"/>
        </w:rPr>
      </w:pPr>
      <w:r>
        <w:rPr>
          <w:rFonts w:ascii="Times New Roman" w:eastAsia="Times New Roman" w:hAnsi="Times New Roman" w:cs="Times New Roman"/>
          <w:b/>
          <w:sz w:val="30"/>
          <w:szCs w:val="30"/>
        </w:rPr>
        <w:t>Reporte sobre la República Bolivariana de Venezuela enviado para consideración del Comité CEDAW en su 85 periodo de sesiones</w:t>
      </w:r>
      <w:r>
        <w:rPr>
          <w:rFonts w:ascii="Times New Roman" w:eastAsia="Times New Roman" w:hAnsi="Times New Roman" w:cs="Times New Roman"/>
          <w:b/>
          <w:sz w:val="30"/>
          <w:szCs w:val="30"/>
          <w:vertAlign w:val="superscript"/>
        </w:rPr>
        <w:footnoteReference w:id="1"/>
      </w:r>
      <w:r>
        <w:rPr>
          <w:rFonts w:ascii="Times New Roman" w:eastAsia="Times New Roman" w:hAnsi="Times New Roman" w:cs="Times New Roman"/>
          <w:b/>
          <w:sz w:val="30"/>
          <w:szCs w:val="30"/>
        </w:rPr>
        <w:t>.</w:t>
      </w:r>
    </w:p>
    <w:p w14:paraId="19FFB745" w14:textId="77777777" w:rsidR="00665491" w:rsidRDefault="00000000">
      <w:pPr>
        <w:jc w:val="center"/>
        <w:rPr>
          <w:rFonts w:ascii="Times New Roman" w:eastAsia="Times New Roman" w:hAnsi="Times New Roman" w:cs="Times New Roman"/>
          <w:b/>
          <w:sz w:val="30"/>
          <w:szCs w:val="30"/>
          <w:u w:val="single"/>
        </w:rPr>
      </w:pPr>
      <w:r>
        <w:rPr>
          <w:rFonts w:ascii="Times New Roman" w:eastAsia="Times New Roman" w:hAnsi="Times New Roman" w:cs="Times New Roman"/>
          <w:b/>
          <w:sz w:val="30"/>
          <w:szCs w:val="30"/>
          <w:u w:val="single"/>
        </w:rPr>
        <w:t>El documento puede ser publicado</w:t>
      </w:r>
    </w:p>
    <w:p w14:paraId="1EBACAAF" w14:textId="77777777" w:rsidR="00665491" w:rsidRDefault="00000000">
      <w:pPr>
        <w:spacing w:before="240" w:after="240"/>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Presentado por:</w:t>
      </w:r>
      <w:r>
        <w:rPr>
          <w:rFonts w:ascii="Times New Roman" w:eastAsia="Times New Roman" w:hAnsi="Times New Roman" w:cs="Times New Roman"/>
          <w:b/>
          <w:sz w:val="24"/>
          <w:szCs w:val="24"/>
        </w:rPr>
        <w:t xml:space="preserve"> </w:t>
      </w:r>
    </w:p>
    <w:p w14:paraId="7EFE5066" w14:textId="77777777" w:rsidR="00665491" w:rsidRDefault="00000000">
      <w:pPr>
        <w:shd w:val="clear" w:color="auto" w:fill="DBE5F1"/>
        <w:spacing w:before="240" w:after="240"/>
        <w:ind w:left="99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Defiende Venezuela</w:t>
      </w:r>
      <w:r>
        <w:rPr>
          <w:rFonts w:ascii="Times New Roman" w:eastAsia="Times New Roman" w:hAnsi="Times New Roman" w:cs="Times New Roman"/>
          <w:sz w:val="24"/>
          <w:szCs w:val="24"/>
        </w:rPr>
        <w:t xml:space="preserve">: es una organización no gubernamental que se encarga de la promoción y defensa de los derechos humanos, además, su labor </w:t>
      </w:r>
      <w:proofErr w:type="gramStart"/>
      <w:r>
        <w:rPr>
          <w:rFonts w:ascii="Times New Roman" w:eastAsia="Times New Roman" w:hAnsi="Times New Roman" w:cs="Times New Roman"/>
          <w:sz w:val="24"/>
          <w:szCs w:val="24"/>
        </w:rPr>
        <w:t>se centra principalmente en</w:t>
      </w:r>
      <w:proofErr w:type="gramEnd"/>
      <w:r>
        <w:rPr>
          <w:rFonts w:ascii="Times New Roman" w:eastAsia="Times New Roman" w:hAnsi="Times New Roman" w:cs="Times New Roman"/>
          <w:sz w:val="24"/>
          <w:szCs w:val="24"/>
        </w:rPr>
        <w:t xml:space="preserve"> preparar y elevar denuncias sobre violaciones de derechos humanos en el país con enfoque en el litigio estratégico internacional ante el Sistema Interamericano de Derechos Humanos (SIDH) y el Sistema Universal de Protección de Derechos Humanos (SUDH); y </w:t>
      </w:r>
    </w:p>
    <w:p w14:paraId="7D5F4C11" w14:textId="7A96E7C3" w:rsidR="00665491" w:rsidRDefault="00000000">
      <w:pPr>
        <w:shd w:val="clear" w:color="auto" w:fill="DBE5F1"/>
        <w:spacing w:before="240" w:after="240"/>
        <w:ind w:left="993"/>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Madres Poderosas: </w:t>
      </w:r>
      <w:r>
        <w:rPr>
          <w:rFonts w:ascii="Times New Roman" w:eastAsia="Times New Roman" w:hAnsi="Times New Roman" w:cs="Times New Roman"/>
          <w:sz w:val="24"/>
          <w:szCs w:val="24"/>
        </w:rPr>
        <w:t xml:space="preserve">Es una organización no gubernamental compuesta por mujeres madres víctimas indirectas de ejecuciones extrajudiciales, quien se han unido con el propósito de conseguir de </w:t>
      </w:r>
      <w:r w:rsidR="00685A54">
        <w:rPr>
          <w:rFonts w:ascii="Times New Roman" w:eastAsia="Times New Roman" w:hAnsi="Times New Roman" w:cs="Times New Roman"/>
          <w:sz w:val="24"/>
          <w:szCs w:val="24"/>
        </w:rPr>
        <w:t>conseguir justicia</w:t>
      </w:r>
      <w:r>
        <w:rPr>
          <w:rFonts w:ascii="Times New Roman" w:eastAsia="Times New Roman" w:hAnsi="Times New Roman" w:cs="Times New Roman"/>
          <w:sz w:val="24"/>
          <w:szCs w:val="24"/>
        </w:rPr>
        <w:t>, verdad y garantías de no repetición</w:t>
      </w:r>
      <w:r w:rsidR="00685A54">
        <w:rPr>
          <w:rFonts w:ascii="Times New Roman" w:eastAsia="Times New Roman" w:hAnsi="Times New Roman" w:cs="Times New Roman"/>
          <w:sz w:val="24"/>
          <w:szCs w:val="24"/>
        </w:rPr>
        <w:t xml:space="preserve"> en Venezuela</w:t>
      </w:r>
      <w:r>
        <w:rPr>
          <w:rFonts w:ascii="Times New Roman" w:eastAsia="Times New Roman" w:hAnsi="Times New Roman" w:cs="Times New Roman"/>
          <w:sz w:val="24"/>
          <w:szCs w:val="24"/>
        </w:rPr>
        <w:t>.</w:t>
      </w:r>
    </w:p>
    <w:p w14:paraId="4BF6217C" w14:textId="544E5340" w:rsidR="0066549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Con base en las recomendaciones anteriormente formuladas por el Comité y las respuestas dadas por el Estado venezolano a la Lista de Cuestiones Previas, en este documento podrán encontrar información relativa a los siguientes tópicos: </w:t>
      </w:r>
      <w:r>
        <w:rPr>
          <w:rFonts w:ascii="Times New Roman" w:eastAsia="Times New Roman" w:hAnsi="Times New Roman" w:cs="Times New Roman"/>
          <w:b/>
          <w:sz w:val="24"/>
          <w:szCs w:val="24"/>
        </w:rPr>
        <w:t>i) marco legislativo venezolano; ii) acceso a la justicia; iii) violencias de género contra las mujeres; iv) derechos de las mujeres privadas de libertad; y v)</w:t>
      </w:r>
      <w:r w:rsidR="00685A54">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defensoras de derechos humanos.</w:t>
      </w:r>
    </w:p>
    <w:p w14:paraId="3C6F6EE2"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Marco legislativo y definición de discriminación.</w:t>
      </w:r>
    </w:p>
    <w:p w14:paraId="19FDAFF7" w14:textId="77777777" w:rsidR="00665491" w:rsidRDefault="00665491">
      <w:pPr>
        <w:jc w:val="both"/>
        <w:rPr>
          <w:rFonts w:ascii="Times New Roman" w:eastAsia="Times New Roman" w:hAnsi="Times New Roman" w:cs="Times New Roman"/>
          <w:sz w:val="24"/>
          <w:szCs w:val="24"/>
        </w:rPr>
      </w:pPr>
    </w:p>
    <w:p w14:paraId="345464BB"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último informe sobre Venezuela emitido por la CEDAW en el año 2021, se reconoció que el Estado sancionó en 2014, la reforma de la Ley Orgánica sobre el Derecho de las Mujeres a una Vida Libre de Violencia, donde se tipifico nuevas conductas penales, entre ellas: el femicidio y la inducción al suicidio</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24A93725" w14:textId="77777777" w:rsidR="00665491" w:rsidRDefault="00665491">
      <w:pPr>
        <w:ind w:left="720"/>
        <w:jc w:val="both"/>
        <w:rPr>
          <w:rFonts w:ascii="Times New Roman" w:eastAsia="Times New Roman" w:hAnsi="Times New Roman" w:cs="Times New Roman"/>
          <w:sz w:val="24"/>
          <w:szCs w:val="24"/>
        </w:rPr>
      </w:pPr>
    </w:p>
    <w:p w14:paraId="0AB55EC9"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2021, el Estado realizó una nueva reforma; sin embargo, no incorporó otras formas de violencia, tales como: </w:t>
      </w:r>
      <w:r>
        <w:rPr>
          <w:rFonts w:ascii="Times New Roman" w:eastAsia="Times New Roman" w:hAnsi="Times New Roman" w:cs="Times New Roman"/>
          <w:i/>
          <w:sz w:val="24"/>
          <w:szCs w:val="24"/>
        </w:rPr>
        <w:t>la violencia callejera</w:t>
      </w:r>
      <w:r>
        <w:rPr>
          <w:rFonts w:ascii="Times New Roman" w:eastAsia="Times New Roman" w:hAnsi="Times New Roman" w:cs="Times New Roman"/>
          <w:sz w:val="24"/>
          <w:szCs w:val="24"/>
        </w:rPr>
        <w:t xml:space="preserve"> o la </w:t>
      </w:r>
      <w:r>
        <w:rPr>
          <w:rFonts w:ascii="Times New Roman" w:eastAsia="Times New Roman" w:hAnsi="Times New Roman" w:cs="Times New Roman"/>
          <w:i/>
          <w:sz w:val="24"/>
          <w:szCs w:val="24"/>
        </w:rPr>
        <w:t>violencia psicológica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en </w:t>
      </w:r>
      <w:r>
        <w:rPr>
          <w:rFonts w:ascii="Times New Roman" w:eastAsia="Times New Roman" w:hAnsi="Times New Roman" w:cs="Times New Roman"/>
          <w:i/>
          <w:sz w:val="24"/>
          <w:szCs w:val="24"/>
        </w:rPr>
        <w:lastRenderedPageBreak/>
        <w:t>audiencias públicas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Asimismo, no se categorizó como un tipo penal autónomo</w:t>
      </w:r>
      <w:r>
        <w:rPr>
          <w:rFonts w:ascii="Times New Roman" w:eastAsia="Times New Roman" w:hAnsi="Times New Roman" w:cs="Times New Roman"/>
          <w:i/>
          <w:sz w:val="24"/>
          <w:szCs w:val="24"/>
          <w:highlight w:val="white"/>
        </w:rPr>
        <w:t xml:space="preserve"> el desacato de las medidas de protección</w:t>
      </w:r>
      <w:r>
        <w:rPr>
          <w:rFonts w:ascii="Times New Roman" w:eastAsia="Times New Roman" w:hAnsi="Times New Roman" w:cs="Times New Roman"/>
          <w:sz w:val="24"/>
          <w:szCs w:val="24"/>
          <w:highlight w:val="white"/>
        </w:rPr>
        <w:t>, sobre todo cuando implica un aumento de los riesgos y amenazas a la vida e integridad personal a las víctimas de violencia machista. Así lo reportaron las organizaciones de derechos humanos Acceso a la Justicia y CEPAZ, en un informe conjunto</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xml:space="preserve"> </w:t>
      </w:r>
    </w:p>
    <w:p w14:paraId="6B01FE6A" w14:textId="77777777" w:rsidR="00665491" w:rsidRDefault="00665491">
      <w:pPr>
        <w:ind w:left="720"/>
        <w:jc w:val="both"/>
        <w:rPr>
          <w:rFonts w:ascii="Times New Roman" w:eastAsia="Times New Roman" w:hAnsi="Times New Roman" w:cs="Times New Roman"/>
          <w:sz w:val="24"/>
          <w:szCs w:val="24"/>
          <w:highlight w:val="white"/>
        </w:rPr>
      </w:pPr>
    </w:p>
    <w:p w14:paraId="468A0797" w14:textId="77777777" w:rsidR="00665491" w:rsidRDefault="00000000">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Por otro lado, se destaca que el marco jurídico y su efectividad, sigue siendo incongruente con la dignidad humana de las mujeres LGBTQIA+, ya </w:t>
      </w:r>
      <w:proofErr w:type="spellStart"/>
      <w:r>
        <w:rPr>
          <w:rFonts w:ascii="Times New Roman" w:eastAsia="Times New Roman" w:hAnsi="Times New Roman" w:cs="Times New Roman"/>
          <w:sz w:val="24"/>
          <w:szCs w:val="24"/>
          <w:highlight w:val="white"/>
        </w:rPr>
        <w:t>qué</w:t>
      </w:r>
      <w:proofErr w:type="spellEnd"/>
      <w:r>
        <w:rPr>
          <w:rFonts w:ascii="Times New Roman" w:eastAsia="Times New Roman" w:hAnsi="Times New Roman" w:cs="Times New Roman"/>
          <w:sz w:val="24"/>
          <w:szCs w:val="24"/>
          <w:highlight w:val="white"/>
        </w:rPr>
        <w:t xml:space="preserve"> persisten barreras en cuanto a la aplicación del artículo 146 de la Ley Orgánica de Registro Civil</w:t>
      </w:r>
      <w:r>
        <w:rPr>
          <w:rFonts w:ascii="Times New Roman" w:eastAsia="Times New Roman" w:hAnsi="Times New Roman" w:cs="Times New Roman"/>
          <w:sz w:val="24"/>
          <w:szCs w:val="24"/>
          <w:highlight w:val="white"/>
          <w:vertAlign w:val="superscript"/>
        </w:rPr>
        <w:footnoteReference w:id="5"/>
      </w:r>
      <w:r>
        <w:rPr>
          <w:rFonts w:ascii="Times New Roman" w:eastAsia="Times New Roman" w:hAnsi="Times New Roman" w:cs="Times New Roman"/>
          <w:sz w:val="24"/>
          <w:szCs w:val="24"/>
          <w:highlight w:val="white"/>
        </w:rPr>
        <w:t xml:space="preserve"> y la desaplicación del artículo 565 del Código Orgánico de Justicia Militar</w:t>
      </w:r>
      <w:r>
        <w:rPr>
          <w:rFonts w:ascii="Times New Roman" w:eastAsia="Times New Roman" w:hAnsi="Times New Roman" w:cs="Times New Roman"/>
          <w:sz w:val="24"/>
          <w:szCs w:val="24"/>
          <w:highlight w:val="white"/>
          <w:vertAlign w:val="superscript"/>
        </w:rPr>
        <w:footnoteReference w:id="6"/>
      </w:r>
      <w:r>
        <w:rPr>
          <w:rFonts w:ascii="Times New Roman" w:eastAsia="Times New Roman" w:hAnsi="Times New Roman" w:cs="Times New Roman"/>
          <w:sz w:val="24"/>
          <w:szCs w:val="24"/>
          <w:highlight w:val="white"/>
        </w:rPr>
        <w:t>.  Por ejemplo, se destaca que a raíz de la huelga de hambre que sostuvieron por nueve días varios activistas trans ante la Defensoría del Pueblo</w:t>
      </w:r>
      <w:r>
        <w:rPr>
          <w:rFonts w:ascii="Times New Roman" w:eastAsia="Times New Roman" w:hAnsi="Times New Roman" w:cs="Times New Roman"/>
          <w:sz w:val="24"/>
          <w:szCs w:val="24"/>
          <w:highlight w:val="white"/>
          <w:vertAlign w:val="superscript"/>
        </w:rPr>
        <w:footnoteReference w:id="7"/>
      </w:r>
      <w:r>
        <w:rPr>
          <w:rFonts w:ascii="Times New Roman" w:eastAsia="Times New Roman" w:hAnsi="Times New Roman" w:cs="Times New Roman"/>
          <w:sz w:val="24"/>
          <w:szCs w:val="24"/>
          <w:highlight w:val="white"/>
        </w:rPr>
        <w:t>, se realizaron compromisos por parte del Estado para realizar un protocolo y garantizar los primeros diez cambios de nombre a personas trans; el compromiso nunca se cumplió. Adicionalmente, se destaca que la regulación vigente ignora la necesidad de garantizar el cambio de marcador de género y la existencia de las personas no binarias.</w:t>
      </w:r>
    </w:p>
    <w:p w14:paraId="38521907" w14:textId="77777777" w:rsidR="00665491" w:rsidRDefault="00665491">
      <w:pPr>
        <w:ind w:left="720"/>
        <w:jc w:val="both"/>
        <w:rPr>
          <w:rFonts w:ascii="Times New Roman" w:eastAsia="Times New Roman" w:hAnsi="Times New Roman" w:cs="Times New Roman"/>
          <w:sz w:val="24"/>
          <w:szCs w:val="24"/>
          <w:highlight w:val="white"/>
        </w:rPr>
      </w:pPr>
    </w:p>
    <w:p w14:paraId="4096EDF8" w14:textId="387E7F22" w:rsidR="00665491" w:rsidRDefault="00000000">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Respecto al artículo 565 del Código Orgánico de Justicia Militar, aunque se produjo una sentencia vinculante de la Sala Constitucional del Tribunal Supremo de Justicia que despenaliza la homosexualidad en la jurisdicción castrense</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xml:space="preserve">, no entra a analizar los derechos sustantivos que protegen la despenalización de las relaciones sexuales entre personas del mismo género sino que se queda en argumentos procesales, </w:t>
      </w:r>
      <w:r w:rsidR="00685A54">
        <w:rPr>
          <w:rFonts w:ascii="Times New Roman" w:eastAsia="Times New Roman" w:hAnsi="Times New Roman" w:cs="Times New Roman"/>
          <w:sz w:val="24"/>
          <w:szCs w:val="24"/>
          <w:highlight w:val="white"/>
        </w:rPr>
        <w:t>ignorando</w:t>
      </w:r>
      <w:r>
        <w:rPr>
          <w:rFonts w:ascii="Times New Roman" w:eastAsia="Times New Roman" w:hAnsi="Times New Roman" w:cs="Times New Roman"/>
          <w:sz w:val="24"/>
          <w:szCs w:val="24"/>
          <w:highlight w:val="white"/>
        </w:rPr>
        <w:t xml:space="preserve"> la necesidad de sentar precedentes en la materia y resultando por tanto ajena al desarrollo internacional de los derechos humanos en el ámbito que se demuestra en instrumentos como los Principios Yogyakarta</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la Opinión Consultiva 24/17 de la Corte Interamericana de Derechos Humanos</w:t>
      </w:r>
      <w:r>
        <w:rPr>
          <w:rFonts w:ascii="Times New Roman" w:eastAsia="Times New Roman" w:hAnsi="Times New Roman" w:cs="Times New Roman"/>
          <w:sz w:val="24"/>
          <w:szCs w:val="24"/>
          <w:highlight w:val="white"/>
          <w:vertAlign w:val="superscript"/>
        </w:rPr>
        <w:footnoteReference w:id="10"/>
      </w:r>
      <w:r>
        <w:rPr>
          <w:rFonts w:ascii="Times New Roman" w:eastAsia="Times New Roman" w:hAnsi="Times New Roman" w:cs="Times New Roman"/>
          <w:sz w:val="24"/>
          <w:szCs w:val="24"/>
          <w:highlight w:val="white"/>
        </w:rPr>
        <w:t xml:space="preserve"> y la sentencia de fondo del caso Dudgeon v. Reino Unido del Tribunal Europeo de Derechos Humanos</w:t>
      </w:r>
      <w:r>
        <w:rPr>
          <w:rFonts w:ascii="Times New Roman" w:eastAsia="Times New Roman" w:hAnsi="Times New Roman" w:cs="Times New Roman"/>
          <w:sz w:val="24"/>
          <w:szCs w:val="24"/>
          <w:highlight w:val="white"/>
          <w:vertAlign w:val="superscript"/>
        </w:rPr>
        <w:footnoteReference w:id="11"/>
      </w:r>
      <w:r>
        <w:rPr>
          <w:rFonts w:ascii="Times New Roman" w:eastAsia="Times New Roman" w:hAnsi="Times New Roman" w:cs="Times New Roman"/>
          <w:sz w:val="24"/>
          <w:szCs w:val="24"/>
          <w:highlight w:val="white"/>
        </w:rPr>
        <w:t xml:space="preserve">, y no establece mecanismos idóneos y efectivos para asegurar la implementación del fallo en las distintas instituciones y niveles del fuero militar nacional. </w:t>
      </w:r>
    </w:p>
    <w:p w14:paraId="7934276B" w14:textId="77777777" w:rsidR="00665491" w:rsidRDefault="00665491">
      <w:pPr>
        <w:jc w:val="both"/>
        <w:rPr>
          <w:rFonts w:ascii="Times New Roman" w:eastAsia="Times New Roman" w:hAnsi="Times New Roman" w:cs="Times New Roman"/>
          <w:sz w:val="24"/>
          <w:szCs w:val="24"/>
          <w:highlight w:val="white"/>
        </w:rPr>
      </w:pPr>
    </w:p>
    <w:p w14:paraId="60D93C64"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Se sugiere al Comité que recomiende al Estado:</w:t>
      </w:r>
    </w:p>
    <w:p w14:paraId="08EEA05F" w14:textId="67E0048E" w:rsidR="00665491"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3"/>
          <w:szCs w:val="23"/>
          <w:highlight w:val="white"/>
        </w:rPr>
        <w:t>Que reconozca en la Ley Orgánica sobre el Derecho de las Mujeres a una Vida Libre de Violencia, los derechos protegidos en la Convención Interamericana para Prevenir, Sancionar y Erradicar la Violencia contra la Mujer (Convención de Belém do Pará);</w:t>
      </w:r>
    </w:p>
    <w:p w14:paraId="458B2066" w14:textId="2DF18EF0" w:rsidR="00665491"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 se constituya una Comisión Especial sobre los Derechos de la Mujer y que tenga como </w:t>
      </w:r>
      <w:r w:rsidR="00685A54">
        <w:rPr>
          <w:rFonts w:ascii="Times New Roman" w:eastAsia="Times New Roman" w:hAnsi="Times New Roman" w:cs="Times New Roman"/>
          <w:sz w:val="24"/>
          <w:szCs w:val="24"/>
        </w:rPr>
        <w:t>propósito</w:t>
      </w:r>
      <w:r>
        <w:rPr>
          <w:rFonts w:ascii="Times New Roman" w:eastAsia="Times New Roman" w:hAnsi="Times New Roman" w:cs="Times New Roman"/>
          <w:sz w:val="24"/>
          <w:szCs w:val="24"/>
        </w:rPr>
        <w:t xml:space="preserve"> el avance y mejoramiento de la legislación venezolana en cuanto al progresivo reconocimiento de </w:t>
      </w:r>
      <w:proofErr w:type="gramStart"/>
      <w:r>
        <w:rPr>
          <w:rFonts w:ascii="Times New Roman" w:eastAsia="Times New Roman" w:hAnsi="Times New Roman" w:cs="Times New Roman"/>
          <w:sz w:val="24"/>
          <w:szCs w:val="24"/>
        </w:rPr>
        <w:t>los mismos</w:t>
      </w:r>
      <w:proofErr w:type="gramEnd"/>
      <w:r>
        <w:rPr>
          <w:rFonts w:ascii="Times New Roman" w:eastAsia="Times New Roman" w:hAnsi="Times New Roman" w:cs="Times New Roman"/>
          <w:sz w:val="24"/>
          <w:szCs w:val="24"/>
        </w:rPr>
        <w:t xml:space="preserve"> y las </w:t>
      </w:r>
      <w:r w:rsidR="00685A54">
        <w:rPr>
          <w:rFonts w:ascii="Times New Roman" w:eastAsia="Times New Roman" w:hAnsi="Times New Roman" w:cs="Times New Roman"/>
          <w:sz w:val="24"/>
          <w:szCs w:val="24"/>
        </w:rPr>
        <w:t>múltiples</w:t>
      </w:r>
      <w:r>
        <w:rPr>
          <w:rFonts w:ascii="Times New Roman" w:eastAsia="Times New Roman" w:hAnsi="Times New Roman" w:cs="Times New Roman"/>
          <w:sz w:val="24"/>
          <w:szCs w:val="24"/>
        </w:rPr>
        <w:t xml:space="preserve"> formas de discriminación; y</w:t>
      </w:r>
    </w:p>
    <w:p w14:paraId="0566B243" w14:textId="77777777" w:rsidR="00665491" w:rsidRDefault="00000000">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 informen sobre el plan legislativo en materia de derechos de la mujer, levantando un índice de leyes que están acorde a la constitución y normas internacionales suscritas por el Estado venezolano en esta materia, así como aquellas que ameritan de una reforma u otro acto legislativo.</w:t>
      </w:r>
    </w:p>
    <w:p w14:paraId="4FD17993" w14:textId="77777777" w:rsidR="00665491" w:rsidRDefault="00665491">
      <w:pPr>
        <w:jc w:val="both"/>
        <w:rPr>
          <w:rFonts w:ascii="Times New Roman" w:eastAsia="Times New Roman" w:hAnsi="Times New Roman" w:cs="Times New Roman"/>
          <w:b/>
          <w:sz w:val="24"/>
          <w:szCs w:val="24"/>
        </w:rPr>
      </w:pPr>
    </w:p>
    <w:p w14:paraId="3231CFF3" w14:textId="77777777" w:rsidR="0066549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 Sobre el acceso a la justicia y los mecanismos de denuncia legal.</w:t>
      </w:r>
    </w:p>
    <w:p w14:paraId="3C03650F"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afirma que actualmente existe una cobertura del 75% de circuitos judiciales especializados en materia de violencia contra la mujer en todo el territorio venezolano. También señala que disponen de apenas 120 oficinas fiscales y fiscalías especializadas en casos de violencia de género contra mujeres, adolescentes y niñas a nivel nacional.</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Esta situación representa un impedimento para las mujeres víctimas para acceder a la justicia, en especial para aquellas que habitan en zonas rurales o fronterizas del país.</w:t>
      </w:r>
    </w:p>
    <w:p w14:paraId="6948CABC" w14:textId="77777777" w:rsidR="00665491" w:rsidRDefault="00665491">
      <w:pPr>
        <w:jc w:val="both"/>
        <w:rPr>
          <w:rFonts w:ascii="Times New Roman" w:eastAsia="Times New Roman" w:hAnsi="Times New Roman" w:cs="Times New Roman"/>
          <w:sz w:val="24"/>
          <w:szCs w:val="24"/>
        </w:rPr>
      </w:pPr>
    </w:p>
    <w:p w14:paraId="289689C8"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Respecto a esta situación, Defiende Venezuela ha documentado y denunciado los excesos policiales en operativos de seguridad en Altagracia de Orituco, estado Guárico, una zona rural del país. Algunos ataques se cometieron contras mujeres que viven en sectores desfavorecidos, siendo incriminadas </w:t>
      </w:r>
      <w:proofErr w:type="gramStart"/>
      <w:r>
        <w:rPr>
          <w:rFonts w:ascii="Times New Roman" w:eastAsia="Times New Roman" w:hAnsi="Times New Roman" w:cs="Times New Roman"/>
          <w:sz w:val="24"/>
          <w:szCs w:val="24"/>
        </w:rPr>
        <w:t>en razón de</w:t>
      </w:r>
      <w:proofErr w:type="gramEnd"/>
      <w:r>
        <w:rPr>
          <w:rFonts w:ascii="Times New Roman" w:eastAsia="Times New Roman" w:hAnsi="Times New Roman" w:cs="Times New Roman"/>
          <w:sz w:val="24"/>
          <w:szCs w:val="24"/>
        </w:rPr>
        <w:t xml:space="preserve"> su condición económica y social, llegando a ser agredidas sexualmente. Altagracia de Orituco, no cuenta con una fiscalía y/o tribunal especializado en género o derechos humanos. La víctima M.L.Z, logró erradicar una denuncia ante una autoridad local en mayo del 2022, sin </w:t>
      </w:r>
      <w:proofErr w:type="gramStart"/>
      <w:r>
        <w:rPr>
          <w:rFonts w:ascii="Times New Roman" w:eastAsia="Times New Roman" w:hAnsi="Times New Roman" w:cs="Times New Roman"/>
          <w:sz w:val="24"/>
          <w:szCs w:val="24"/>
        </w:rPr>
        <w:t>embargo</w:t>
      </w:r>
      <w:proofErr w:type="gramEnd"/>
      <w:r>
        <w:rPr>
          <w:rFonts w:ascii="Times New Roman" w:eastAsia="Times New Roman" w:hAnsi="Times New Roman" w:cs="Times New Roman"/>
          <w:sz w:val="24"/>
          <w:szCs w:val="24"/>
        </w:rPr>
        <w:t xml:space="preserve"> su expediente fue enviado a San Juan de los Morros, a unos 142,9 KM de su domicilio, la fiscalía le pide que se traslade hasta esa ciudad para dar inicio a la investigación. Hasta la fecha no hay avances de su caso.</w:t>
      </w:r>
      <w:r>
        <w:rPr>
          <w:rFonts w:ascii="Times New Roman" w:eastAsia="Times New Roman" w:hAnsi="Times New Roman" w:cs="Times New Roman"/>
          <w:sz w:val="24"/>
          <w:szCs w:val="24"/>
          <w:vertAlign w:val="superscript"/>
        </w:rPr>
        <w:footnoteReference w:id="13"/>
      </w:r>
    </w:p>
    <w:p w14:paraId="32307E52" w14:textId="77777777" w:rsidR="00665491" w:rsidRDefault="00665491">
      <w:pPr>
        <w:ind w:left="720"/>
        <w:jc w:val="both"/>
        <w:rPr>
          <w:rFonts w:ascii="Times New Roman" w:eastAsia="Times New Roman" w:hAnsi="Times New Roman" w:cs="Times New Roman"/>
          <w:sz w:val="24"/>
          <w:szCs w:val="24"/>
        </w:rPr>
      </w:pPr>
    </w:p>
    <w:p w14:paraId="096AE044"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el año 2019 el Estado venezolano señaló haber instalado en todos los estados del país el Órgano Superior Popular de Justicia de Género, el cual abarca distintas instituciones de protección de los derechos humanos de la mujer y organizaciones de la sociedad civil.</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Sin embargo, este organismo no mantiene contacto con organizaciones </w:t>
      </w:r>
      <w:r>
        <w:rPr>
          <w:rFonts w:ascii="Times New Roman" w:eastAsia="Times New Roman" w:hAnsi="Times New Roman" w:cs="Times New Roman"/>
          <w:sz w:val="24"/>
          <w:szCs w:val="24"/>
        </w:rPr>
        <w:lastRenderedPageBreak/>
        <w:t>de la sociedad civil y desde el 2019 no ha implementado planes que garanticen el acceso a la justicia ni la recepción de denuncias.</w:t>
      </w:r>
      <w:r>
        <w:rPr>
          <w:rFonts w:ascii="Times New Roman" w:eastAsia="Times New Roman" w:hAnsi="Times New Roman" w:cs="Times New Roman"/>
          <w:sz w:val="24"/>
          <w:szCs w:val="24"/>
          <w:vertAlign w:val="superscript"/>
        </w:rPr>
        <w:footnoteReference w:id="15"/>
      </w:r>
    </w:p>
    <w:p w14:paraId="642A4753" w14:textId="77777777" w:rsidR="00665491" w:rsidRDefault="00665491">
      <w:pPr>
        <w:ind w:left="720"/>
        <w:jc w:val="both"/>
        <w:rPr>
          <w:rFonts w:ascii="Times New Roman" w:eastAsia="Times New Roman" w:hAnsi="Times New Roman" w:cs="Times New Roman"/>
          <w:sz w:val="24"/>
          <w:szCs w:val="24"/>
        </w:rPr>
      </w:pPr>
    </w:p>
    <w:p w14:paraId="44FF24F3"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Según la información dada por el Estado en el Noveno informe periódico, desde el 2019, se han mantenido reuniones periódicas de coordinación y evaluación con los actores del Sistema Nacional de Protección de la Mujer, uno de los acuerdos que tuvieron fue el de la conformación del Sistema Único Estadístico en Materia de Delitos de Violencia contra la Mujer; sin embargo, este sistema no ha sido creado, por lo </w:t>
      </w:r>
      <w:proofErr w:type="spellStart"/>
      <w:r>
        <w:rPr>
          <w:rFonts w:ascii="Times New Roman" w:eastAsia="Times New Roman" w:hAnsi="Times New Roman" w:cs="Times New Roman"/>
          <w:sz w:val="24"/>
          <w:szCs w:val="24"/>
        </w:rPr>
        <w:t>qué</w:t>
      </w:r>
      <w:proofErr w:type="spellEnd"/>
      <w:r>
        <w:rPr>
          <w:rFonts w:ascii="Times New Roman" w:eastAsia="Times New Roman" w:hAnsi="Times New Roman" w:cs="Times New Roman"/>
          <w:sz w:val="24"/>
          <w:szCs w:val="24"/>
        </w:rPr>
        <w:t xml:space="preserve"> no existe información estadística oficial desagregada en el género.</w:t>
      </w:r>
      <w:r>
        <w:rPr>
          <w:rFonts w:ascii="Times New Roman" w:eastAsia="Times New Roman" w:hAnsi="Times New Roman" w:cs="Times New Roman"/>
          <w:sz w:val="24"/>
          <w:szCs w:val="24"/>
          <w:vertAlign w:val="superscript"/>
        </w:rPr>
        <w:footnoteReference w:id="16"/>
      </w:r>
    </w:p>
    <w:p w14:paraId="0B396A67" w14:textId="77777777" w:rsidR="00665491" w:rsidRDefault="00665491">
      <w:pPr>
        <w:jc w:val="both"/>
        <w:rPr>
          <w:rFonts w:ascii="Times New Roman" w:eastAsia="Times New Roman" w:hAnsi="Times New Roman" w:cs="Times New Roman"/>
          <w:sz w:val="24"/>
          <w:szCs w:val="24"/>
        </w:rPr>
      </w:pPr>
    </w:p>
    <w:p w14:paraId="34B3A904"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la lista de cuestiones publicadas por el Comité en julio de 2022, el Estado venezolano ha hecho esfuerzos en capacitar a funcionarios públicos del sistema de justicia para atender los casos de violencia contra la mujer y así evitar que las víctimas sean revictimizadas o discriminadas. A pesar de ello, sigue existiendo una brecha exponencialmente grande respecto al trato que reciben las víctimas cuando acuden a las instituciones del sistema de justicia venezolano, así lo ha corroborado el Centro de Derechos Humanos de la UNIMET.</w:t>
      </w:r>
      <w:r>
        <w:rPr>
          <w:rFonts w:ascii="Times New Roman" w:eastAsia="Times New Roman" w:hAnsi="Times New Roman" w:cs="Times New Roman"/>
          <w:sz w:val="24"/>
          <w:szCs w:val="24"/>
          <w:vertAlign w:val="superscript"/>
        </w:rPr>
        <w:footnoteReference w:id="17"/>
      </w:r>
    </w:p>
    <w:p w14:paraId="6B67CFBF" w14:textId="77777777" w:rsidR="00665491" w:rsidRDefault="00665491">
      <w:pPr>
        <w:ind w:left="720"/>
        <w:jc w:val="both"/>
        <w:rPr>
          <w:rFonts w:ascii="Times New Roman" w:eastAsia="Times New Roman" w:hAnsi="Times New Roman" w:cs="Times New Roman"/>
          <w:sz w:val="24"/>
          <w:szCs w:val="24"/>
        </w:rPr>
      </w:pPr>
    </w:p>
    <w:p w14:paraId="0899D5AA"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el Centro de Derechos Humanos de la UNIMET, los funcionarios públicos han efectuado prácticas que van en detrimento de la atención efectiva de las denuncias de víctimas de violencia. Por ejemplo, no reciben denuncias por falta de sistema o en algunos casos se niegan a recibir la denuncia y las remiten a otros organismos. También, se ha visto como en los órganos policiales, </w:t>
      </w:r>
      <w:proofErr w:type="gramStart"/>
      <w:r>
        <w:rPr>
          <w:rFonts w:ascii="Times New Roman" w:eastAsia="Times New Roman" w:hAnsi="Times New Roman" w:cs="Times New Roman"/>
          <w:sz w:val="24"/>
          <w:szCs w:val="24"/>
        </w:rPr>
        <w:t>le</w:t>
      </w:r>
      <w:proofErr w:type="gramEnd"/>
      <w:r>
        <w:rPr>
          <w:rFonts w:ascii="Times New Roman" w:eastAsia="Times New Roman" w:hAnsi="Times New Roman" w:cs="Times New Roman"/>
          <w:sz w:val="24"/>
          <w:szCs w:val="24"/>
        </w:rPr>
        <w:t xml:space="preserve"> exigen a las mujeres que las lesiones estén visibles, para poder recibir la denuncia.</w:t>
      </w:r>
      <w:r>
        <w:rPr>
          <w:rFonts w:ascii="Times New Roman" w:eastAsia="Times New Roman" w:hAnsi="Times New Roman" w:cs="Times New Roman"/>
          <w:sz w:val="24"/>
          <w:szCs w:val="24"/>
          <w:vertAlign w:val="superscript"/>
        </w:rPr>
        <w:footnoteReference w:id="18"/>
      </w:r>
    </w:p>
    <w:p w14:paraId="10A6973A" w14:textId="77777777" w:rsidR="00665491" w:rsidRDefault="00665491">
      <w:pPr>
        <w:ind w:left="720"/>
        <w:jc w:val="both"/>
        <w:rPr>
          <w:rFonts w:ascii="Times New Roman" w:eastAsia="Times New Roman" w:hAnsi="Times New Roman" w:cs="Times New Roman"/>
          <w:sz w:val="24"/>
          <w:szCs w:val="24"/>
        </w:rPr>
      </w:pPr>
    </w:p>
    <w:p w14:paraId="620455F3"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tipo de falencias se demuestran en varios casos documentados por Defiende Venezuela. Entre ellos, destacamos la situación de la Sra. A.S.B.K (víctima de maltrato físico y verbal intrafamiliar), quien acudió a distintos organismos, con el fin de interponer una denuncia y obtener protección y resguardo. Sin embargo, los agentes no querían recibir la denuncia y exigían que mostrará marcas de golpes, la remitían a otras instituciones y realizaban comentarios discriminatorios. Actualmente, sigue enfrentando obstáculos para acceder al sistema de justicia.</w:t>
      </w:r>
      <w:r>
        <w:rPr>
          <w:rFonts w:ascii="Times New Roman" w:eastAsia="Times New Roman" w:hAnsi="Times New Roman" w:cs="Times New Roman"/>
          <w:sz w:val="24"/>
          <w:szCs w:val="24"/>
          <w:vertAlign w:val="superscript"/>
        </w:rPr>
        <w:footnoteReference w:id="19"/>
      </w:r>
    </w:p>
    <w:p w14:paraId="5B6228DD" w14:textId="77777777" w:rsidR="00665491" w:rsidRDefault="00665491">
      <w:pPr>
        <w:ind w:left="720"/>
        <w:jc w:val="both"/>
        <w:rPr>
          <w:rFonts w:ascii="Times New Roman" w:eastAsia="Times New Roman" w:hAnsi="Times New Roman" w:cs="Times New Roman"/>
          <w:sz w:val="24"/>
          <w:szCs w:val="24"/>
        </w:rPr>
      </w:pPr>
    </w:p>
    <w:p w14:paraId="5FC67B1A" w14:textId="10F01B8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se reiteran estas circunstancias en el caso de la Sra. O.J.R.F, y su hija A.B.R, quienes luego de que esta última fuera sometida a una </w:t>
      </w:r>
      <w:r w:rsidR="00685A54">
        <w:rPr>
          <w:rFonts w:ascii="Times New Roman" w:eastAsia="Times New Roman" w:hAnsi="Times New Roman" w:cs="Times New Roman"/>
          <w:sz w:val="24"/>
          <w:szCs w:val="24"/>
        </w:rPr>
        <w:t>violación</w:t>
      </w:r>
      <w:r>
        <w:rPr>
          <w:rFonts w:ascii="Times New Roman" w:eastAsia="Times New Roman" w:hAnsi="Times New Roman" w:cs="Times New Roman"/>
          <w:sz w:val="24"/>
          <w:szCs w:val="24"/>
        </w:rPr>
        <w:t xml:space="preserve"> sexual y se dirigiera a </w:t>
      </w:r>
      <w:r>
        <w:rPr>
          <w:rFonts w:ascii="Times New Roman" w:eastAsia="Times New Roman" w:hAnsi="Times New Roman" w:cs="Times New Roman"/>
          <w:sz w:val="24"/>
          <w:szCs w:val="24"/>
        </w:rPr>
        <w:lastRenderedPageBreak/>
        <w:t>un órgano de denuncia, fueron ignoradas, revictimizadas, y discriminadas a raíz de su edad y género mediante estereotipos. Posteriormente fueron acosadas por los propios agentes, ya que el agresor era miembro de las fuerzas de seguridad del Estado.</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5C6D85F6" w14:textId="77777777" w:rsidR="00665491" w:rsidRDefault="00665491">
      <w:pPr>
        <w:ind w:left="720"/>
        <w:jc w:val="both"/>
        <w:rPr>
          <w:rFonts w:ascii="Times New Roman" w:eastAsia="Times New Roman" w:hAnsi="Times New Roman" w:cs="Times New Roman"/>
          <w:sz w:val="24"/>
          <w:szCs w:val="24"/>
        </w:rPr>
      </w:pPr>
    </w:p>
    <w:p w14:paraId="70B90F52"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CEDAW en la lista de cuestiones correspondiente al año 2022 solicitó información sobre las políticas que el Estado venezolano ha adoptado para garantizar el acceso de las mujeres a la justicia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Sin embargo, en las respuestas remitidas por el Estado venezolano a la CEDAW no se proporcionó información sobre </w:t>
      </w:r>
      <w:proofErr w:type="gramStart"/>
      <w:r>
        <w:rPr>
          <w:rFonts w:ascii="Times New Roman" w:eastAsia="Times New Roman" w:hAnsi="Times New Roman" w:cs="Times New Roman"/>
          <w:sz w:val="24"/>
          <w:szCs w:val="24"/>
        </w:rPr>
        <w:t>éstas</w:t>
      </w:r>
      <w:proofErr w:type="gramEnd"/>
      <w:r>
        <w:rPr>
          <w:rFonts w:ascii="Times New Roman" w:eastAsia="Times New Roman" w:hAnsi="Times New Roman" w:cs="Times New Roman"/>
          <w:sz w:val="24"/>
          <w:szCs w:val="24"/>
        </w:rPr>
        <w:t xml:space="preserve"> medidas. Ante esto, cabe destacar que en Venezuela existen limitaciones para que las mujeres accedan cabalmente al sistema de justicia, lo cual se ejemplifica en el caso de dirigente de oposición D.J.S.B y la líder sindical E.S.R.</w:t>
      </w:r>
    </w:p>
    <w:p w14:paraId="068DBEA5" w14:textId="77777777" w:rsidR="00665491" w:rsidRDefault="00665491">
      <w:pPr>
        <w:ind w:left="720"/>
        <w:jc w:val="both"/>
        <w:rPr>
          <w:rFonts w:ascii="Times New Roman" w:eastAsia="Times New Roman" w:hAnsi="Times New Roman" w:cs="Times New Roman"/>
          <w:sz w:val="24"/>
          <w:szCs w:val="24"/>
        </w:rPr>
      </w:pPr>
    </w:p>
    <w:p w14:paraId="06D76B2E" w14:textId="0D94D7DD"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el caso de D.J.S.B., es una política de oposición, quien desde el 2017 ha sido víctima de una constante situación de acoso y amenazas por parte de colectivos armados y funcionarios del Estado, quienes han realizado aseveraciones infundadas contra la Sra. D.J.S.B, como la vinculación con atentados de asesinato contra altas figuras del gobierno venezolano. Esta situación se ha mantenido hasta hoy en día. La Sra. D.J.S.B, no ha encontrado en las instituciones del Estado protección y resguardo ante el constante hostigamiento. Esta situación llevó a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en 2019, la CIDH le otorgara una medida cautelar, que hasta el día de hoy sigue vigente</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Actualmente esos actos de intimidación se han ampliado a varias miembros de su equipo </w:t>
      </w:r>
      <w:r w:rsidR="00685A54">
        <w:rPr>
          <w:rFonts w:ascii="Times New Roman" w:eastAsia="Times New Roman" w:hAnsi="Times New Roman" w:cs="Times New Roman"/>
          <w:sz w:val="24"/>
          <w:szCs w:val="24"/>
        </w:rPr>
        <w:t>político</w:t>
      </w:r>
      <w:r>
        <w:rPr>
          <w:rFonts w:ascii="Times New Roman" w:eastAsia="Times New Roman" w:hAnsi="Times New Roman" w:cs="Times New Roman"/>
          <w:sz w:val="24"/>
          <w:szCs w:val="24"/>
        </w:rPr>
        <w:t>, incluyendo 2 mujeres.</w:t>
      </w:r>
    </w:p>
    <w:p w14:paraId="11376FC6" w14:textId="77777777" w:rsidR="00665491" w:rsidRDefault="00665491">
      <w:pPr>
        <w:ind w:left="720"/>
        <w:jc w:val="both"/>
        <w:rPr>
          <w:rFonts w:ascii="Times New Roman" w:eastAsia="Times New Roman" w:hAnsi="Times New Roman" w:cs="Times New Roman"/>
          <w:sz w:val="24"/>
          <w:szCs w:val="24"/>
        </w:rPr>
      </w:pPr>
    </w:p>
    <w:p w14:paraId="16C7AAEA"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caso de la Sra. E.S.R, se desempeña como maestra y sindicalista. La Sra. E.S.R ha tenido un rol importante en las protestas realizadas en Venezuela por la reivindicación de los derechos laborales de los trabajadores y profesores. Al ser una líder referente en esta lucha sindical, la Sra. E.S.R ha estado sujeta a persecución y hostigamiento por organismos de seguridad del Estado venezolano, así como, ha recibido amenazas por grupos armados denominados colectivos. La Sra. E.S.R, ha acudido a los órganos de justicia del Estado </w:t>
      </w:r>
      <w:proofErr w:type="gramStart"/>
      <w:r>
        <w:rPr>
          <w:rFonts w:ascii="Times New Roman" w:eastAsia="Times New Roman" w:hAnsi="Times New Roman" w:cs="Times New Roman"/>
          <w:sz w:val="24"/>
          <w:szCs w:val="24"/>
        </w:rPr>
        <w:t>venezolano</w:t>
      </w:r>
      <w:proofErr w:type="gramEnd"/>
      <w:r>
        <w:rPr>
          <w:rFonts w:ascii="Times New Roman" w:eastAsia="Times New Roman" w:hAnsi="Times New Roman" w:cs="Times New Roman"/>
          <w:sz w:val="24"/>
          <w:szCs w:val="24"/>
        </w:rPr>
        <w:t xml:space="preserve"> pero se ha encontrado con una denegación al acceso a la justicia. Esto llevó a que en abril del 2023 fuera otorgada una medida cautelar por parte de la CIDH.</w:t>
      </w:r>
      <w:r>
        <w:rPr>
          <w:rFonts w:ascii="Times New Roman" w:eastAsia="Times New Roman" w:hAnsi="Times New Roman" w:cs="Times New Roman"/>
          <w:sz w:val="24"/>
          <w:szCs w:val="24"/>
          <w:vertAlign w:val="superscript"/>
        </w:rPr>
        <w:footnoteReference w:id="23"/>
      </w:r>
    </w:p>
    <w:p w14:paraId="04F49E64" w14:textId="77777777" w:rsidR="00665491" w:rsidRDefault="00665491">
      <w:pPr>
        <w:ind w:left="720"/>
        <w:jc w:val="both"/>
        <w:rPr>
          <w:rFonts w:ascii="Times New Roman" w:eastAsia="Times New Roman" w:hAnsi="Times New Roman" w:cs="Times New Roman"/>
          <w:sz w:val="24"/>
          <w:szCs w:val="24"/>
        </w:rPr>
      </w:pPr>
    </w:p>
    <w:p w14:paraId="376D0B77"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 sugiere al Comité que recomiende al Estado:</w:t>
      </w:r>
    </w:p>
    <w:p w14:paraId="6D5DA35A" w14:textId="77777777" w:rsidR="00665491"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amplíe la cobertura de los circuitos especializados en violencia contra la mujer, en especial en zonas rurales o fronterizas; </w:t>
      </w:r>
    </w:p>
    <w:p w14:paraId="3C50ACB4" w14:textId="77777777" w:rsidR="00665491"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Proporcione información sobre los avances de la conformación del Sistema Único Estadístico en Materia de Delitos de Violencia contra la Mujer;</w:t>
      </w:r>
    </w:p>
    <w:p w14:paraId="7DFE5CB7" w14:textId="77777777" w:rsidR="00665491"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Publique y difunda data actualizada y desagregada en razón al género y los tipos de violencia contra la mujer perpetrados en el país, incluyendo cifras periódicas </w:t>
      </w:r>
      <w:r>
        <w:rPr>
          <w:rFonts w:ascii="Times New Roman" w:eastAsia="Times New Roman" w:hAnsi="Times New Roman" w:cs="Times New Roman"/>
          <w:sz w:val="24"/>
          <w:szCs w:val="24"/>
        </w:rPr>
        <w:lastRenderedPageBreak/>
        <w:t>sobre las acciones que está llevando a cabo para atender la situación de la recepción de denuncias por violencia contra la mujer;</w:t>
      </w:r>
    </w:p>
    <w:p w14:paraId="2237C4D4" w14:textId="77777777" w:rsidR="00665491" w:rsidRDefault="00000000">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elabore un plan de seguimiento a los funcionarios públicos encargados de atender los casos de violencia contra la mujer. Asimismo, que el Estado aumente los esfuerzos de capacitación y concientización de la perspectiva de género e interseccionalidad dentro de los órganos del sistema de justicia; y</w:t>
      </w:r>
    </w:p>
    <w:p w14:paraId="5086C5AB" w14:textId="77777777" w:rsidR="00665491" w:rsidRDefault="00000000">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Realice una evaluación sobre los órganos receptores de denuncias por violencia contra la mujer y en conjunto con las instituciones del Sistema Nacional de Protección de los Derechos de la Mujer establezcan acciones concretas y reales para atender la situación.</w:t>
      </w:r>
    </w:p>
    <w:p w14:paraId="5D5A03FE" w14:textId="77777777" w:rsidR="00665491" w:rsidRDefault="00665491">
      <w:pPr>
        <w:ind w:left="1440"/>
        <w:jc w:val="both"/>
        <w:rPr>
          <w:rFonts w:ascii="Times New Roman" w:eastAsia="Times New Roman" w:hAnsi="Times New Roman" w:cs="Times New Roman"/>
          <w:sz w:val="24"/>
          <w:szCs w:val="24"/>
        </w:rPr>
      </w:pPr>
    </w:p>
    <w:p w14:paraId="6157FD11" w14:textId="77777777" w:rsidR="00665491" w:rsidRDefault="00000000">
      <w:pPr>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iii. Sobre la violencia de género y mujeres del medio rural:</w:t>
      </w:r>
    </w:p>
    <w:p w14:paraId="07944E32" w14:textId="732ACBD8"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Estado venezolano afirmó en el Noveno Informe periódico del 2021, que había adoptado medidas para ofrecer una respuesta adecuada en justicia a mujeres y las niñas de las zonas rurales.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En la respuesta a la lista de cuestiones del 2022, dijo que la justicia especializada en género está habilitada en todo el territorio nacional, incluyendo los Estados rurales y fronterizos.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El Estado no respondió sobre las inquietudes del Comité en relación a lo solicitado en el </w:t>
      </w:r>
      <w:r w:rsidR="00685A54">
        <w:rPr>
          <w:rFonts w:ascii="Times New Roman" w:eastAsia="Times New Roman" w:hAnsi="Times New Roman" w:cs="Times New Roman"/>
          <w:sz w:val="24"/>
          <w:szCs w:val="24"/>
        </w:rPr>
        <w:t>párr.</w:t>
      </w:r>
      <w:r>
        <w:rPr>
          <w:rFonts w:ascii="Times New Roman" w:eastAsia="Times New Roman" w:hAnsi="Times New Roman" w:cs="Times New Roman"/>
          <w:sz w:val="24"/>
          <w:szCs w:val="24"/>
        </w:rPr>
        <w:t xml:space="preserve"> 12.c),  12.ii) y 19.a), en particular sobre la necesidad de establecer tribunales especializados en violencia de género contra la mujer en todas las provincias, incluso las zonas rurales y qué estas obtengan acceso efectivo a órdenes de alejamiento.   </w:t>
      </w:r>
    </w:p>
    <w:p w14:paraId="5F887F8C" w14:textId="77777777" w:rsidR="00665491" w:rsidRDefault="00665491">
      <w:pPr>
        <w:ind w:left="720"/>
        <w:jc w:val="both"/>
        <w:rPr>
          <w:rFonts w:ascii="Times New Roman" w:eastAsia="Times New Roman" w:hAnsi="Times New Roman" w:cs="Times New Roman"/>
          <w:sz w:val="24"/>
          <w:szCs w:val="24"/>
        </w:rPr>
      </w:pPr>
    </w:p>
    <w:p w14:paraId="1291FE38"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justicia especializada en género no garantiza el acceso a la justicia en todo el territorio venezolano, las mujeres que viven principalmente en zonas rurales y fronterizas son las que se encuentran en mayor grado de vulnerabilidad y las víctimas de violencia contra la mujer no cuentan con una atención integral. Esto vulnera el derecho a la defensa, pues en lugar de brindarse acceso a la justicia, las mujeres son constantemente revictimizadas, pues, las víctimas se encuentran con dilaciones innecesarias en el proceso, políticas conciliatorias y ausencia de medidas de protección efectivas ante sus agresores.</w:t>
      </w:r>
      <w:r>
        <w:rPr>
          <w:rFonts w:ascii="Times New Roman" w:eastAsia="Times New Roman" w:hAnsi="Times New Roman" w:cs="Times New Roman"/>
          <w:sz w:val="24"/>
          <w:szCs w:val="24"/>
          <w:vertAlign w:val="superscript"/>
        </w:rPr>
        <w:footnoteReference w:id="26"/>
      </w:r>
    </w:p>
    <w:p w14:paraId="05D27474" w14:textId="77777777" w:rsidR="00665491" w:rsidRDefault="00665491">
      <w:pPr>
        <w:jc w:val="both"/>
        <w:rPr>
          <w:rFonts w:ascii="Times New Roman" w:eastAsia="Times New Roman" w:hAnsi="Times New Roman" w:cs="Times New Roman"/>
          <w:sz w:val="24"/>
          <w:szCs w:val="24"/>
        </w:rPr>
      </w:pPr>
    </w:p>
    <w:p w14:paraId="75CA2BE7"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organización Defiende Venezuela ha documentado decenas de casos en zonas rurales donde el estado directamente ha propiciado violencia contra la mujer por parte de organismos de seguridad. Haremos referencia a dos de ellos: </w:t>
      </w:r>
    </w:p>
    <w:p w14:paraId="68032BBC" w14:textId="77777777" w:rsidR="00665491" w:rsidRDefault="00665491">
      <w:pPr>
        <w:ind w:left="720"/>
        <w:jc w:val="both"/>
        <w:rPr>
          <w:rFonts w:ascii="Times New Roman" w:eastAsia="Times New Roman" w:hAnsi="Times New Roman" w:cs="Times New Roman"/>
          <w:sz w:val="24"/>
          <w:szCs w:val="24"/>
        </w:rPr>
      </w:pPr>
    </w:p>
    <w:p w14:paraId="5CB1BE03" w14:textId="77777777" w:rsidR="00665491" w:rsidRDefault="00000000">
      <w:pPr>
        <w:numPr>
          <w:ilvl w:val="0"/>
          <w:numId w:val="2"/>
        </w:numPr>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diciembre de 2022, la Sra. </w:t>
      </w:r>
      <w:proofErr w:type="gramStart"/>
      <w:r>
        <w:rPr>
          <w:rFonts w:ascii="Times New Roman" w:eastAsia="Times New Roman" w:hAnsi="Times New Roman" w:cs="Times New Roman"/>
          <w:sz w:val="24"/>
          <w:szCs w:val="24"/>
        </w:rPr>
        <w:t>Y.A.L.I  fue</w:t>
      </w:r>
      <w:proofErr w:type="gramEnd"/>
      <w:r>
        <w:rPr>
          <w:rFonts w:ascii="Times New Roman" w:eastAsia="Times New Roman" w:hAnsi="Times New Roman" w:cs="Times New Roman"/>
          <w:sz w:val="24"/>
          <w:szCs w:val="24"/>
        </w:rPr>
        <w:t xml:space="preserve"> detenida de forma arbitraria por funcionarios de las Fuerzas Armadas Especiales (FAES) y trasladada al Comando de éste organismo de seguridad. Los funcionarios alegaban que la víctima tenía un supuesto vínculo con los delincuentes de la zona. Posteriormente, fue trasladada al </w:t>
      </w:r>
      <w:r>
        <w:rPr>
          <w:rFonts w:ascii="Times New Roman" w:eastAsia="Times New Roman" w:hAnsi="Times New Roman" w:cs="Times New Roman"/>
          <w:sz w:val="24"/>
          <w:szCs w:val="24"/>
        </w:rPr>
        <w:lastRenderedPageBreak/>
        <w:t>Comando de la Guardia Nacional Bolivariana, en ese lugar un funcionario valiéndose de su rol de poder violó sexualmente a la Sra. Y.A.L.I.</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La víctima afirma que su perpetrador se valió de su rol como miembro de las Guardia Nacional Bolivariana (GNB), para su acción quedará impune, a la fecha su caso continúa impune. A raíz de recientes ataques por el operativo de seguridad denominado “Operación Trueno”, la Sra. Y.A.L.I ha </w:t>
      </w:r>
      <w:proofErr w:type="gramStart"/>
      <w:r>
        <w:rPr>
          <w:rFonts w:ascii="Times New Roman" w:eastAsia="Times New Roman" w:hAnsi="Times New Roman" w:cs="Times New Roman"/>
          <w:sz w:val="24"/>
          <w:szCs w:val="24"/>
        </w:rPr>
        <w:t>sufriendo</w:t>
      </w:r>
      <w:proofErr w:type="gramEnd"/>
      <w:r>
        <w:rPr>
          <w:rFonts w:ascii="Times New Roman" w:eastAsia="Times New Roman" w:hAnsi="Times New Roman" w:cs="Times New Roman"/>
          <w:sz w:val="24"/>
          <w:szCs w:val="24"/>
        </w:rPr>
        <w:t xml:space="preserve"> un nuevo ataque, su madre y hermano fueron arrestados y presentados en tribunales de terrorismo, ella fue secuestrada por funcionarios policiales y llevada al helicoide, fue liberada posterior a un proceso de extorsión. </w:t>
      </w:r>
      <w:proofErr w:type="gramStart"/>
      <w:r>
        <w:rPr>
          <w:rFonts w:ascii="Times New Roman" w:eastAsia="Times New Roman" w:hAnsi="Times New Roman" w:cs="Times New Roman"/>
          <w:sz w:val="24"/>
          <w:szCs w:val="24"/>
        </w:rPr>
        <w:t>En razón de</w:t>
      </w:r>
      <w:proofErr w:type="gramEnd"/>
      <w:r>
        <w:rPr>
          <w:rFonts w:ascii="Times New Roman" w:eastAsia="Times New Roman" w:hAnsi="Times New Roman" w:cs="Times New Roman"/>
          <w:sz w:val="24"/>
          <w:szCs w:val="24"/>
        </w:rPr>
        <w:t xml:space="preserve"> eso, se solicitó medida cautelar ante la CIDH.   </w:t>
      </w:r>
    </w:p>
    <w:p w14:paraId="29D35674" w14:textId="77777777" w:rsidR="00665491" w:rsidRDefault="00665491">
      <w:pPr>
        <w:ind w:left="992" w:hanging="360"/>
        <w:jc w:val="both"/>
        <w:rPr>
          <w:rFonts w:ascii="Times New Roman" w:eastAsia="Times New Roman" w:hAnsi="Times New Roman" w:cs="Times New Roman"/>
          <w:sz w:val="24"/>
          <w:szCs w:val="24"/>
        </w:rPr>
      </w:pPr>
    </w:p>
    <w:p w14:paraId="2BA8600E" w14:textId="06F44C27" w:rsidR="00665491" w:rsidRDefault="00000000">
      <w:pPr>
        <w:numPr>
          <w:ilvl w:val="0"/>
          <w:numId w:val="2"/>
        </w:numPr>
        <w:ind w:left="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el 24 abril de 2022, en el contexto de la Operación Trueno, en Altagracia de Orituco, estado Guárico, fuerzas de seguridad del Estado venezolano, allanaron ilegalmente la vivienda de la Familia P.L</w:t>
      </w:r>
      <w:proofErr w:type="gramStart"/>
      <w:r>
        <w:rPr>
          <w:rFonts w:ascii="Times New Roman" w:eastAsia="Times New Roman" w:hAnsi="Times New Roman" w:cs="Times New Roman"/>
          <w:sz w:val="24"/>
          <w:szCs w:val="24"/>
        </w:rPr>
        <w:t>,  sometiendo</w:t>
      </w:r>
      <w:proofErr w:type="gramEnd"/>
      <w:r>
        <w:rPr>
          <w:rFonts w:ascii="Times New Roman" w:eastAsia="Times New Roman" w:hAnsi="Times New Roman" w:cs="Times New Roman"/>
          <w:sz w:val="24"/>
          <w:szCs w:val="24"/>
        </w:rPr>
        <w:t xml:space="preserve"> a tres mujeres Y.P.L, Y.D.P.L y Y.L de su núcleo familiar a abusos sexuales, tratos crueles inhumanos y degradantes,  y actos de tortura. </w:t>
      </w:r>
      <w:proofErr w:type="gramStart"/>
      <w:r>
        <w:rPr>
          <w:rFonts w:ascii="Times New Roman" w:eastAsia="Times New Roman" w:hAnsi="Times New Roman" w:cs="Times New Roman"/>
          <w:sz w:val="24"/>
          <w:szCs w:val="24"/>
        </w:rPr>
        <w:t>En razón de</w:t>
      </w:r>
      <w:proofErr w:type="gramEnd"/>
      <w:r>
        <w:rPr>
          <w:rFonts w:ascii="Times New Roman" w:eastAsia="Times New Roman" w:hAnsi="Times New Roman" w:cs="Times New Roman"/>
          <w:sz w:val="24"/>
          <w:szCs w:val="24"/>
        </w:rPr>
        <w:t xml:space="preserve"> su situación de pobreza, los funcionarios las visitaron en 4 oportunidades, alegando que en ese sector viven delincuentes y ellas debían conocerlos.</w:t>
      </w:r>
      <w:r>
        <w:rPr>
          <w:rFonts w:ascii="Times New Roman" w:eastAsia="Times New Roman" w:hAnsi="Times New Roman" w:cs="Times New Roman"/>
          <w:sz w:val="24"/>
          <w:szCs w:val="24"/>
          <w:vertAlign w:val="superscript"/>
        </w:rPr>
        <w:footnoteReference w:id="28"/>
      </w:r>
    </w:p>
    <w:p w14:paraId="7579D099" w14:textId="77777777" w:rsidR="00665491" w:rsidRDefault="00665491">
      <w:pPr>
        <w:jc w:val="both"/>
        <w:rPr>
          <w:rFonts w:ascii="Times New Roman" w:eastAsia="Times New Roman" w:hAnsi="Times New Roman" w:cs="Times New Roman"/>
          <w:sz w:val="24"/>
          <w:szCs w:val="24"/>
        </w:rPr>
      </w:pPr>
    </w:p>
    <w:p w14:paraId="5D4483C7" w14:textId="51417B54"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otro lado, respecto a la violencia sexual contra mujeres, niñas y adolescentes, el Estado en el </w:t>
      </w:r>
      <w:r w:rsidR="00685A54">
        <w:rPr>
          <w:rFonts w:ascii="Times New Roman" w:eastAsia="Times New Roman" w:hAnsi="Times New Roman" w:cs="Times New Roman"/>
          <w:sz w:val="24"/>
          <w:szCs w:val="24"/>
        </w:rPr>
        <w:t>párr.</w:t>
      </w:r>
      <w:r>
        <w:rPr>
          <w:rFonts w:ascii="Times New Roman" w:eastAsia="Times New Roman" w:hAnsi="Times New Roman" w:cs="Times New Roman"/>
          <w:sz w:val="24"/>
          <w:szCs w:val="24"/>
        </w:rPr>
        <w:t xml:space="preserve"> 53 del informe de respuesta a la lista de cuestiones del </w:t>
      </w:r>
      <w:r w:rsidR="00685A54">
        <w:rPr>
          <w:rFonts w:ascii="Times New Roman" w:eastAsia="Times New Roman" w:hAnsi="Times New Roman" w:cs="Times New Roman"/>
          <w:sz w:val="24"/>
          <w:szCs w:val="24"/>
        </w:rPr>
        <w:t>Comité</w:t>
      </w:r>
      <w:r>
        <w:rPr>
          <w:rFonts w:ascii="Times New Roman" w:eastAsia="Times New Roman" w:hAnsi="Times New Roman" w:cs="Times New Roman"/>
          <w:sz w:val="24"/>
          <w:szCs w:val="24"/>
        </w:rPr>
        <w:t xml:space="preserve">, </w:t>
      </w:r>
      <w:r w:rsidR="00685A54">
        <w:rPr>
          <w:rFonts w:ascii="Times New Roman" w:eastAsia="Times New Roman" w:hAnsi="Times New Roman" w:cs="Times New Roman"/>
          <w:sz w:val="24"/>
          <w:szCs w:val="24"/>
        </w:rPr>
        <w:t>dio</w:t>
      </w:r>
      <w:r>
        <w:rPr>
          <w:rFonts w:ascii="Times New Roman" w:eastAsia="Times New Roman" w:hAnsi="Times New Roman" w:cs="Times New Roman"/>
          <w:sz w:val="24"/>
          <w:szCs w:val="24"/>
        </w:rPr>
        <w:t xml:space="preserve"> información sobre las cifras de aquellas personas condenadas por violencia sexual, entre el año 2017 y 2022. Sin embargo, no proporcionó datos sobre los demás tipos de violencia. En ese sentido, no se ha conformado un sistema integrado de recolección de datos estadísticos sobre la violencia contra las mujeres por razones de género, desglosados en función del tipo de violencia y la relación entre los autores y las víctimas, y sobre el número de denuncias, enjuiciamientos, condenas y penas impuestas a los autores, así como sobre las medidas de protección y reparación a las víctimas.</w:t>
      </w:r>
    </w:p>
    <w:p w14:paraId="28804F6C" w14:textId="77777777" w:rsidR="00665491" w:rsidRDefault="00665491">
      <w:pPr>
        <w:jc w:val="both"/>
        <w:rPr>
          <w:rFonts w:ascii="Times New Roman" w:eastAsia="Times New Roman" w:hAnsi="Times New Roman" w:cs="Times New Roman"/>
          <w:sz w:val="24"/>
          <w:szCs w:val="24"/>
        </w:rPr>
      </w:pPr>
    </w:p>
    <w:p w14:paraId="5D73ABD0" w14:textId="0703755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lo que se refiere a las casas de abrigo, el Estado reporta la existencia de 5 de ellas, sin </w:t>
      </w:r>
      <w:r w:rsidR="00685A54">
        <w:rPr>
          <w:rFonts w:ascii="Times New Roman" w:eastAsia="Times New Roman" w:hAnsi="Times New Roman" w:cs="Times New Roman"/>
          <w:sz w:val="24"/>
          <w:szCs w:val="24"/>
        </w:rPr>
        <w:t>embargo,</w:t>
      </w:r>
      <w:r>
        <w:rPr>
          <w:rFonts w:ascii="Times New Roman" w:eastAsia="Times New Roman" w:hAnsi="Times New Roman" w:cs="Times New Roman"/>
          <w:sz w:val="24"/>
          <w:szCs w:val="24"/>
        </w:rPr>
        <w:t xml:space="preserve"> a la fecha funciona 1</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Esto no cubre la demanda excesiva de un país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según el propio Estado, asciende a un total de 399.742 casos de violencia basada en género entre enero de 2014 y septiembre de 2020</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Esta situación, coloca en un gran riesgo a las víctimas de violencia contra la mujer, al no contar con un lugar seguro que el Estado pueda proporcionar ante una situación de emergencia, dada la cantidad de casos </w:t>
      </w:r>
      <w:proofErr w:type="gramStart"/>
      <w:r>
        <w:rPr>
          <w:rFonts w:ascii="Times New Roman" w:eastAsia="Times New Roman" w:hAnsi="Times New Roman" w:cs="Times New Roman"/>
          <w:sz w:val="24"/>
          <w:szCs w:val="24"/>
        </w:rPr>
        <w:t>en relación a</w:t>
      </w:r>
      <w:proofErr w:type="gramEnd"/>
      <w:r>
        <w:rPr>
          <w:rFonts w:ascii="Times New Roman" w:eastAsia="Times New Roman" w:hAnsi="Times New Roman" w:cs="Times New Roman"/>
          <w:sz w:val="24"/>
          <w:szCs w:val="24"/>
        </w:rPr>
        <w:t xml:space="preserve"> las víctimas reportadas por el propio Estado.</w:t>
      </w:r>
    </w:p>
    <w:p w14:paraId="399332A3" w14:textId="77777777" w:rsidR="00665491" w:rsidRDefault="00665491">
      <w:pPr>
        <w:ind w:left="720"/>
        <w:jc w:val="both"/>
        <w:rPr>
          <w:rFonts w:ascii="Times New Roman" w:eastAsia="Times New Roman" w:hAnsi="Times New Roman" w:cs="Times New Roman"/>
          <w:sz w:val="24"/>
          <w:szCs w:val="24"/>
        </w:rPr>
      </w:pPr>
    </w:p>
    <w:p w14:paraId="5F0A7C84"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otro lado, El Estado en su informe de respuesta a la lista de cuestiones no proporcionó información sobre las acciones o esfuerzos para documentar e investigar </w:t>
      </w:r>
      <w:r>
        <w:rPr>
          <w:rFonts w:ascii="Times New Roman" w:eastAsia="Times New Roman" w:hAnsi="Times New Roman" w:cs="Times New Roman"/>
          <w:sz w:val="24"/>
          <w:szCs w:val="24"/>
        </w:rPr>
        <w:lastRenderedPageBreak/>
        <w:t>todos los casos de desapariciones forzadas de mujeres en el país, ni del enjuiciamiento de los autores. Las cifras aportadas con anterioridad por el Ministerio Público sólo reflejan el número de casos atendidos y casos resueltos sobre violencia contra la mujer de forma genérica, no de forma diseminada. Tampoco publica el número de medidas de reparación o de protección dictadas a favor de las víctimas, la naturaleza de la violencia, la penalización de los agresores, o la reparación otorgada a las víctimas. Esto evidencia una clara falta a la obligación que tiene el Estado venezolano de investigar con debida diligencia los casos de desaparición forzada.</w:t>
      </w:r>
      <w:r>
        <w:rPr>
          <w:rFonts w:ascii="Times New Roman" w:eastAsia="Times New Roman" w:hAnsi="Times New Roman" w:cs="Times New Roman"/>
          <w:sz w:val="24"/>
          <w:szCs w:val="24"/>
          <w:vertAlign w:val="superscript"/>
        </w:rPr>
        <w:footnoteReference w:id="31"/>
      </w:r>
    </w:p>
    <w:p w14:paraId="3057C3F9" w14:textId="77777777" w:rsidR="00665491" w:rsidRDefault="00665491">
      <w:pPr>
        <w:ind w:left="720"/>
        <w:jc w:val="both"/>
        <w:rPr>
          <w:rFonts w:ascii="Times New Roman" w:eastAsia="Times New Roman" w:hAnsi="Times New Roman" w:cs="Times New Roman"/>
          <w:sz w:val="24"/>
          <w:szCs w:val="24"/>
        </w:rPr>
      </w:pPr>
    </w:p>
    <w:p w14:paraId="3205F023"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Finalmente, la situación de impunidad y desatención se agrava cuando es el propio Estado quien a través de sus autoridades ejecuta acciones de violencia contra la mujer. Un ejemplo de </w:t>
      </w:r>
      <w:proofErr w:type="gramStart"/>
      <w:r>
        <w:rPr>
          <w:rFonts w:ascii="Times New Roman" w:eastAsia="Times New Roman" w:hAnsi="Times New Roman" w:cs="Times New Roman"/>
          <w:sz w:val="24"/>
          <w:szCs w:val="24"/>
        </w:rPr>
        <w:t>esto,</w:t>
      </w:r>
      <w:proofErr w:type="gramEnd"/>
      <w:r>
        <w:rPr>
          <w:rFonts w:ascii="Times New Roman" w:eastAsia="Times New Roman" w:hAnsi="Times New Roman" w:cs="Times New Roman"/>
          <w:sz w:val="24"/>
          <w:szCs w:val="24"/>
        </w:rPr>
        <w:t xml:space="preserve"> es el caso de A.C.B.C quien fue verbalmente agredida con un discurso discriminatorio con base en su género por el Alcalde del municipio Simón Rodríguez, estado Anzoátegui, Venezuela, producto de una queja que hacía la ciudadanía sobre los servicios básicos de la ciudad. La Sra. A.C.B.C ha emprendido acciones legales para tratar de obtener justicia, sin </w:t>
      </w:r>
      <w:proofErr w:type="gramStart"/>
      <w:r>
        <w:rPr>
          <w:rFonts w:ascii="Times New Roman" w:eastAsia="Times New Roman" w:hAnsi="Times New Roman" w:cs="Times New Roman"/>
          <w:sz w:val="24"/>
          <w:szCs w:val="24"/>
        </w:rPr>
        <w:t>embargo</w:t>
      </w:r>
      <w:proofErr w:type="gramEnd"/>
      <w:r>
        <w:rPr>
          <w:rFonts w:ascii="Times New Roman" w:eastAsia="Times New Roman" w:hAnsi="Times New Roman" w:cs="Times New Roman"/>
          <w:sz w:val="24"/>
          <w:szCs w:val="24"/>
        </w:rPr>
        <w:t xml:space="preserve"> su caso fue enviado a la ciudad de Caracas a 341, 41 KM de su domicilio. No hay avances en la investigación o imputación sobre el Alcalde. se tiene información de una imputación sobre el Alcalde. </w:t>
      </w:r>
    </w:p>
    <w:p w14:paraId="28DA4FE6" w14:textId="77777777" w:rsidR="00665491" w:rsidRDefault="00665491">
      <w:pPr>
        <w:ind w:left="720"/>
        <w:jc w:val="both"/>
        <w:rPr>
          <w:rFonts w:ascii="Times New Roman" w:eastAsia="Times New Roman" w:hAnsi="Times New Roman" w:cs="Times New Roman"/>
          <w:sz w:val="24"/>
          <w:szCs w:val="24"/>
        </w:rPr>
      </w:pPr>
    </w:p>
    <w:p w14:paraId="5A37F495"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sugiere al Comité que recomiende al Estado:</w:t>
      </w:r>
    </w:p>
    <w:p w14:paraId="2FAEE3A7" w14:textId="77777777" w:rsidR="00665491"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Que el Estado de información concreta sobre las medidas qué está implementado para frenar la violencia de género zonas rurales; </w:t>
      </w:r>
    </w:p>
    <w:p w14:paraId="63604A3E" w14:textId="77777777" w:rsidR="00665491"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Que el Instituto Nacional de Estadísticas (INE) publique estadísticas de violencia contra la mujer, diseminada en los diversos tipos de violencia reconocidos en la legislación venezolana;</w:t>
      </w:r>
    </w:p>
    <w:p w14:paraId="000D1ECB" w14:textId="77777777" w:rsidR="00665491"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 las instituciones del Estado especializadas en derechos de la mujer y de niñas y adolescentes conformen mesas de trabajo técnicas que permitan evaluar y elaborar estrategias para tratar el tema del incremento de la violencia contra las niñas; </w:t>
      </w:r>
    </w:p>
    <w:p w14:paraId="1263054D" w14:textId="77777777" w:rsidR="00665491"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 el Estado venezolano reactive las casas de abrigo para mujeres víctimas de violencia; y remita información sobre la condición en la que se encuentran las casas de abrigo que hasta la fecha se han creado en el territorio </w:t>
      </w:r>
      <w:proofErr w:type="gramStart"/>
      <w:r>
        <w:rPr>
          <w:rFonts w:ascii="Times New Roman" w:eastAsia="Times New Roman" w:hAnsi="Times New Roman" w:cs="Times New Roman"/>
          <w:sz w:val="24"/>
          <w:szCs w:val="24"/>
        </w:rPr>
        <w:t>venezolano;  y</w:t>
      </w:r>
      <w:proofErr w:type="gramEnd"/>
    </w:p>
    <w:p w14:paraId="7BCF0D3F" w14:textId="77777777" w:rsidR="00665491" w:rsidRDefault="00000000">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Se adopten medidas para atender y proteger de forma inmediata a la mujer víctima de funcionarios públicos, en especial los de elección popular </w:t>
      </w:r>
      <w:proofErr w:type="gramStart"/>
      <w:r>
        <w:rPr>
          <w:rFonts w:ascii="Times New Roman" w:eastAsia="Times New Roman" w:hAnsi="Times New Roman" w:cs="Times New Roman"/>
          <w:sz w:val="24"/>
          <w:szCs w:val="24"/>
          <w:highlight w:val="white"/>
        </w:rPr>
        <w:t>que</w:t>
      </w:r>
      <w:proofErr w:type="gramEnd"/>
      <w:r>
        <w:rPr>
          <w:rFonts w:ascii="Times New Roman" w:eastAsia="Times New Roman" w:hAnsi="Times New Roman" w:cs="Times New Roman"/>
          <w:sz w:val="24"/>
          <w:szCs w:val="24"/>
          <w:highlight w:val="white"/>
        </w:rPr>
        <w:t xml:space="preserve"> dada su influencia, pueden ejercer mayor control sobre la víctima. </w:t>
      </w:r>
    </w:p>
    <w:p w14:paraId="513C332C" w14:textId="77777777" w:rsidR="00665491" w:rsidRDefault="00665491">
      <w:pPr>
        <w:ind w:left="1440"/>
        <w:jc w:val="both"/>
        <w:rPr>
          <w:rFonts w:ascii="Times New Roman" w:eastAsia="Times New Roman" w:hAnsi="Times New Roman" w:cs="Times New Roman"/>
          <w:sz w:val="24"/>
          <w:szCs w:val="24"/>
          <w:highlight w:val="white"/>
        </w:rPr>
      </w:pPr>
    </w:p>
    <w:p w14:paraId="0D840E68"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iv. Grupos vulnerables - Mujeres Privadas de libertad:</w:t>
      </w:r>
    </w:p>
    <w:p w14:paraId="1E296315" w14:textId="77777777" w:rsidR="00665491" w:rsidRDefault="00665491">
      <w:pPr>
        <w:jc w:val="both"/>
        <w:rPr>
          <w:rFonts w:ascii="Times New Roman" w:eastAsia="Times New Roman" w:hAnsi="Times New Roman" w:cs="Times New Roman"/>
          <w:b/>
          <w:sz w:val="24"/>
          <w:szCs w:val="24"/>
        </w:rPr>
      </w:pPr>
    </w:p>
    <w:p w14:paraId="34CAD20E"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Noveno Informe periódico del 2021, el Estado venezolano arguyó que contaba con jornadas de salud especializadas para atender a privadas de libertad femeninas, así como con el Instituto Nacional de Orientación Femenina, como único centro de </w:t>
      </w:r>
      <w:r>
        <w:rPr>
          <w:rFonts w:ascii="Times New Roman" w:eastAsia="Times New Roman" w:hAnsi="Times New Roman" w:cs="Times New Roman"/>
          <w:sz w:val="24"/>
          <w:szCs w:val="24"/>
        </w:rPr>
        <w:lastRenderedPageBreak/>
        <w:t>detención para atender a madres embarazadas, y, mujeres lactantes y a sus hijos.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En la respuesta a la lista de cuestiones del 2022, establece que igualmente se contaban con las condiciones de alojamiento acorde a las Reglas Mandela y las Reglas Bangkok, incluyendo la alimentación, la salud y los regímenes de visitas.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w:t>
      </w:r>
    </w:p>
    <w:p w14:paraId="63E92A1E" w14:textId="77777777" w:rsidR="00665491" w:rsidRDefault="00665491">
      <w:pPr>
        <w:jc w:val="both"/>
        <w:rPr>
          <w:rFonts w:ascii="Times New Roman" w:eastAsia="Times New Roman" w:hAnsi="Times New Roman" w:cs="Times New Roman"/>
          <w:sz w:val="24"/>
          <w:szCs w:val="24"/>
        </w:rPr>
      </w:pPr>
    </w:p>
    <w:p w14:paraId="0301A23C"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conformidad con el párrafo 20.d de la lista de cuestiones planteada por este Comité, nos servimos de informar que el Estado no tiene enfoques diferenciados en cuanto a la garantía de los derechos humanos de las mujeres privadas de libertad. Esto se puede reflejar en dos casos documentados por la organización Defiende Venezuela, ambas privadas de libertad por motivos políticos en El Helicoide. En ese lugar, se encierra a todas las mujeres en una sola celda con dos secciones que adicionalmente suelen utilizar como cocina. El hacinamiento es alto, las mujeres deben dormir en grupos y no siempre puede ser sobre una colchoneta.</w:t>
      </w:r>
    </w:p>
    <w:p w14:paraId="70B98966" w14:textId="77777777" w:rsidR="00665491" w:rsidRDefault="00665491">
      <w:pPr>
        <w:ind w:left="720"/>
        <w:jc w:val="both"/>
        <w:rPr>
          <w:rFonts w:ascii="Times New Roman" w:eastAsia="Times New Roman" w:hAnsi="Times New Roman" w:cs="Times New Roman"/>
          <w:sz w:val="24"/>
          <w:szCs w:val="24"/>
        </w:rPr>
      </w:pPr>
    </w:p>
    <w:p w14:paraId="18D8F157"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Sras. V.M y D.B informaron durante su reclusión que </w:t>
      </w:r>
      <w:proofErr w:type="gramStart"/>
      <w:r>
        <w:rPr>
          <w:rFonts w:ascii="Times New Roman" w:eastAsia="Times New Roman" w:hAnsi="Times New Roman" w:cs="Times New Roman"/>
          <w:sz w:val="24"/>
          <w:szCs w:val="24"/>
        </w:rPr>
        <w:t>la  habitación</w:t>
      </w:r>
      <w:proofErr w:type="gramEnd"/>
      <w:r>
        <w:rPr>
          <w:rFonts w:ascii="Times New Roman" w:eastAsia="Times New Roman" w:hAnsi="Times New Roman" w:cs="Times New Roman"/>
          <w:sz w:val="24"/>
          <w:szCs w:val="24"/>
        </w:rPr>
        <w:t xml:space="preserve"> carece de luz solar y ventilación apropiada. Adicionalmente las privadas de libertad deben recoger agua durante las horas de la madrugada y utilizarla partiendo de diversos recipientes de gaseosa de un litro. No disponen de productos de gestión menstrual y condiciones de higiene necesarias.</w:t>
      </w:r>
      <w:r>
        <w:rPr>
          <w:rFonts w:ascii="Times New Roman" w:eastAsia="Times New Roman" w:hAnsi="Times New Roman" w:cs="Times New Roman"/>
          <w:sz w:val="24"/>
          <w:szCs w:val="24"/>
          <w:vertAlign w:val="superscript"/>
        </w:rPr>
        <w:footnoteReference w:id="34"/>
      </w:r>
    </w:p>
    <w:p w14:paraId="55AF5492" w14:textId="77777777" w:rsidR="00665491" w:rsidRDefault="00665491">
      <w:pPr>
        <w:ind w:left="720"/>
        <w:jc w:val="both"/>
        <w:rPr>
          <w:rFonts w:ascii="Times New Roman" w:eastAsia="Times New Roman" w:hAnsi="Times New Roman" w:cs="Times New Roman"/>
          <w:sz w:val="24"/>
          <w:szCs w:val="24"/>
        </w:rPr>
      </w:pPr>
    </w:p>
    <w:p w14:paraId="424C4732" w14:textId="77777777" w:rsidR="00665491" w:rsidRDefault="00000000">
      <w:pPr>
        <w:numPr>
          <w:ilvl w:val="0"/>
          <w:numId w:val="5"/>
        </w:numPr>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Igualmente</w:t>
      </w:r>
      <w:proofErr w:type="gramEnd"/>
      <w:r>
        <w:rPr>
          <w:rFonts w:ascii="Times New Roman" w:eastAsia="Times New Roman" w:hAnsi="Times New Roman" w:cs="Times New Roman"/>
          <w:sz w:val="24"/>
          <w:szCs w:val="24"/>
        </w:rPr>
        <w:t xml:space="preserve"> las Sras. N.M y B.M.C.I, privadas de libertad en la sede de la Policía Nacional Bolivariana ubicada en el sector de Coche, en Caracas, Venezuela, informaron que el centro de reclusión exclusivo para mujeres cobra altas tarifas en dólares para permitir las visitas, obliga a las reclusas a utilizar agua estancada que les genera erupciones cutáneas y hongos en la piel. Así mismo, carece de un servicio de alimentación, gestión menstrual y de medicamentos básicos.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w:t>
      </w:r>
    </w:p>
    <w:p w14:paraId="0354210F" w14:textId="77777777" w:rsidR="00665491" w:rsidRDefault="00665491">
      <w:pPr>
        <w:ind w:left="720"/>
        <w:jc w:val="both"/>
        <w:rPr>
          <w:rFonts w:ascii="Times New Roman" w:eastAsia="Times New Roman" w:hAnsi="Times New Roman" w:cs="Times New Roman"/>
          <w:sz w:val="24"/>
          <w:szCs w:val="24"/>
        </w:rPr>
      </w:pPr>
    </w:p>
    <w:p w14:paraId="4D84F266" w14:textId="112DE9C5"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Estas circunstancias han sido apreciadas en 2017 y en 2021 por organizaciones de la sociedad civil, quienes reseñaron además la indisponibilidad de espacios óptimos para visitas, falta de capacidades para tratar con las mujeres en situación de gravidez, imposibilidad de las madres de permanecer con sus hijos menores de 3 años e inclusive circunstancias en las que privadas de libertad han tenido que parir en el centro de detención, </w:t>
      </w:r>
      <w:r w:rsidR="00685A54">
        <w:rPr>
          <w:rFonts w:ascii="Times New Roman" w:eastAsia="Times New Roman" w:hAnsi="Times New Roman" w:cs="Times New Roman"/>
          <w:sz w:val="24"/>
          <w:szCs w:val="24"/>
        </w:rPr>
        <w:t>siéndoles</w:t>
      </w:r>
      <w:r>
        <w:rPr>
          <w:rFonts w:ascii="Times New Roman" w:eastAsia="Times New Roman" w:hAnsi="Times New Roman" w:cs="Times New Roman"/>
          <w:sz w:val="24"/>
          <w:szCs w:val="24"/>
        </w:rPr>
        <w:t xml:space="preserve"> retirado a su hijo y entregado a entidades de atención durante las primeras horas de vida</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w:t>
      </w:r>
    </w:p>
    <w:p w14:paraId="00540482" w14:textId="77777777" w:rsidR="00665491" w:rsidRDefault="00665491">
      <w:pPr>
        <w:ind w:left="720"/>
        <w:jc w:val="both"/>
        <w:rPr>
          <w:rFonts w:ascii="Times New Roman" w:eastAsia="Times New Roman" w:hAnsi="Times New Roman" w:cs="Times New Roman"/>
          <w:sz w:val="24"/>
          <w:szCs w:val="24"/>
        </w:rPr>
      </w:pPr>
    </w:p>
    <w:p w14:paraId="323DA45A" w14:textId="77777777" w:rsidR="00665491" w:rsidRDefault="00000000">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este mismo orden de ideas, las organizaciones </w:t>
      </w:r>
      <w:proofErr w:type="gramStart"/>
      <w:r>
        <w:rPr>
          <w:rFonts w:ascii="Times New Roman" w:eastAsia="Times New Roman" w:hAnsi="Times New Roman" w:cs="Times New Roman"/>
          <w:sz w:val="24"/>
          <w:szCs w:val="24"/>
        </w:rPr>
        <w:t>han  reseñado</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irregularidades en el suministro de agua potable, escasez de alimentos, inaccesibilidad a productos básicos </w:t>
      </w:r>
      <w:r>
        <w:rPr>
          <w:rFonts w:ascii="Times New Roman" w:eastAsia="Times New Roman" w:hAnsi="Times New Roman" w:cs="Times New Roman"/>
          <w:sz w:val="24"/>
          <w:szCs w:val="24"/>
          <w:highlight w:val="white"/>
        </w:rPr>
        <w:lastRenderedPageBreak/>
        <w:t>de higiene personal como toallas sanitarias, insalubridad, maltratos, vejaciones y hasta abuso sexual son parte del fatídico día a día de las privadas de libertad en Venezuela</w:t>
      </w:r>
      <w:r>
        <w:rPr>
          <w:rFonts w:ascii="Times New Roman" w:eastAsia="Times New Roman" w:hAnsi="Times New Roman" w:cs="Times New Roman"/>
          <w:sz w:val="24"/>
          <w:szCs w:val="24"/>
          <w:highlight w:val="white"/>
          <w:vertAlign w:val="superscript"/>
        </w:rPr>
        <w:footnoteReference w:id="37"/>
      </w:r>
      <w:r>
        <w:rPr>
          <w:rFonts w:ascii="Times New Roman" w:eastAsia="Times New Roman" w:hAnsi="Times New Roman" w:cs="Times New Roman"/>
          <w:sz w:val="24"/>
          <w:szCs w:val="24"/>
          <w:highlight w:val="white"/>
        </w:rPr>
        <w:t>.</w:t>
      </w:r>
    </w:p>
    <w:p w14:paraId="01D6E239" w14:textId="77777777" w:rsidR="00665491" w:rsidRDefault="00665491">
      <w:pPr>
        <w:ind w:left="720"/>
        <w:jc w:val="both"/>
        <w:rPr>
          <w:rFonts w:ascii="Times New Roman" w:eastAsia="Times New Roman" w:hAnsi="Times New Roman" w:cs="Times New Roman"/>
          <w:sz w:val="24"/>
          <w:szCs w:val="24"/>
          <w:highlight w:val="white"/>
        </w:rPr>
      </w:pPr>
    </w:p>
    <w:p w14:paraId="2BB1582F"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sugiere al Comité que recomiende al Estado:</w:t>
      </w:r>
    </w:p>
    <w:p w14:paraId="4D90D4BF" w14:textId="77777777" w:rsidR="00665491"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Aplicar programas de capacitación con enfoque de género a agentes carcelarios que garanticen un trato digno a las mujeres en diferentes roles y etapas de su vida;</w:t>
      </w:r>
    </w:p>
    <w:p w14:paraId="483E93C7" w14:textId="77777777" w:rsidR="00665491"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Garantizar el acceso a productos básicos de gestión menstrual, así como de elementos de higiene en general que permitan garantizar una vida digna; y</w:t>
      </w:r>
    </w:p>
    <w:p w14:paraId="23B824D1" w14:textId="77777777" w:rsidR="00665491"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Realizar adaptaciones a los centros de detención </w:t>
      </w:r>
      <w:proofErr w:type="gramStart"/>
      <w:r>
        <w:rPr>
          <w:rFonts w:ascii="Times New Roman" w:eastAsia="Times New Roman" w:hAnsi="Times New Roman" w:cs="Times New Roman"/>
          <w:sz w:val="24"/>
          <w:szCs w:val="24"/>
        </w:rPr>
        <w:t>de acuerdo a</w:t>
      </w:r>
      <w:proofErr w:type="gramEnd"/>
      <w:r>
        <w:rPr>
          <w:rFonts w:ascii="Times New Roman" w:eastAsia="Times New Roman" w:hAnsi="Times New Roman" w:cs="Times New Roman"/>
          <w:sz w:val="24"/>
          <w:szCs w:val="24"/>
        </w:rPr>
        <w:t xml:space="preserve"> las necesidades diferenciadas de las mujeres.</w:t>
      </w:r>
    </w:p>
    <w:p w14:paraId="6A693280" w14:textId="77777777" w:rsidR="00665491" w:rsidRDefault="00665491">
      <w:pPr>
        <w:jc w:val="both"/>
        <w:rPr>
          <w:rFonts w:ascii="Times New Roman" w:eastAsia="Times New Roman" w:hAnsi="Times New Roman" w:cs="Times New Roman"/>
          <w:sz w:val="24"/>
          <w:szCs w:val="24"/>
        </w:rPr>
      </w:pPr>
    </w:p>
    <w:p w14:paraId="60C34AC4" w14:textId="125AAA74"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 Grupos vulnerables - Defensoras de derechos humanos</w:t>
      </w:r>
    </w:p>
    <w:p w14:paraId="29D603C0" w14:textId="77777777" w:rsidR="00685A54" w:rsidRDefault="00685A54">
      <w:pPr>
        <w:jc w:val="both"/>
        <w:rPr>
          <w:rFonts w:ascii="Times New Roman" w:eastAsia="Times New Roman" w:hAnsi="Times New Roman" w:cs="Times New Roman"/>
          <w:b/>
          <w:sz w:val="24"/>
          <w:szCs w:val="24"/>
        </w:rPr>
      </w:pPr>
    </w:p>
    <w:p w14:paraId="3F181B1E" w14:textId="6CB65E67" w:rsidR="00665491" w:rsidRDefault="00000000">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Con el Noveno Informe periódico del 2021, el Estado venezolano demostró que no considera a las defensoras de derechos humanos como un grupo en situación de vulnerabilidad, ya que omite toda referencia a estas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Asimismo, con su respuesta a la lista de cuestiones del 2022, confirmó que califica a estas como políticas, ignorando la realidad diferenciada de las defensoras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Siendo así, la información aportada por la delegación venezolana resulta insuficiente para satisfacer los requerimientos realizados por el Comité en el </w:t>
      </w:r>
      <w:r w:rsidR="00685A54">
        <w:rPr>
          <w:rFonts w:ascii="Times New Roman" w:eastAsia="Times New Roman" w:hAnsi="Times New Roman" w:cs="Times New Roman"/>
          <w:sz w:val="24"/>
          <w:szCs w:val="24"/>
        </w:rPr>
        <w:t>párr.</w:t>
      </w:r>
      <w:r>
        <w:rPr>
          <w:rFonts w:ascii="Times New Roman" w:eastAsia="Times New Roman" w:hAnsi="Times New Roman" w:cs="Times New Roman"/>
          <w:sz w:val="24"/>
          <w:szCs w:val="24"/>
        </w:rPr>
        <w:t xml:space="preserve"> 20.c), específicamente en cuanto a medidas efectivas de prevención e investigación de ataques y amenazas contra defensoras de derechos humanos.</w:t>
      </w:r>
    </w:p>
    <w:p w14:paraId="1AD5268B" w14:textId="77777777" w:rsidR="00665491" w:rsidRDefault="00665491">
      <w:pPr>
        <w:jc w:val="both"/>
        <w:rPr>
          <w:rFonts w:ascii="Times New Roman" w:eastAsia="Times New Roman" w:hAnsi="Times New Roman" w:cs="Times New Roman"/>
          <w:sz w:val="24"/>
          <w:szCs w:val="24"/>
        </w:rPr>
      </w:pPr>
    </w:p>
    <w:p w14:paraId="7E345166" w14:textId="77777777" w:rsidR="00665491" w:rsidRDefault="00000000">
      <w:pPr>
        <w:numPr>
          <w:ilvl w:val="0"/>
          <w:numId w:val="5"/>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El 24 de enero de 2023, se promovió un proyecto legislativo que demuestra el retroceso que plantea el Estado en el área al colocar barreras infranqueables y criminalizar la defensa de los derechos humanos. El proyecto de Ley </w:t>
      </w:r>
      <w:proofErr w:type="gramStart"/>
      <w:r>
        <w:rPr>
          <w:rFonts w:ascii="Times New Roman" w:eastAsia="Times New Roman" w:hAnsi="Times New Roman" w:cs="Times New Roman"/>
          <w:sz w:val="24"/>
          <w:szCs w:val="24"/>
        </w:rPr>
        <w:t>de  Fiscalización</w:t>
      </w:r>
      <w:proofErr w:type="gramEnd"/>
      <w:r>
        <w:rPr>
          <w:rFonts w:ascii="Times New Roman" w:eastAsia="Times New Roman" w:hAnsi="Times New Roman" w:cs="Times New Roman"/>
          <w:sz w:val="24"/>
          <w:szCs w:val="24"/>
        </w:rPr>
        <w:t>, Regulación y Actuación de las ONG, impulsado por el Partido Socialista  Unido de Venezuela (PSUV), y aprobado en primera discusión</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a pesar de no haberse  cumplido el procedimiento constitucional establecido para tales fines</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w:t>
      </w:r>
    </w:p>
    <w:p w14:paraId="3823AB05" w14:textId="77777777" w:rsidR="00665491" w:rsidRDefault="00665491">
      <w:pPr>
        <w:ind w:left="720"/>
        <w:jc w:val="both"/>
        <w:rPr>
          <w:rFonts w:ascii="Times New Roman" w:eastAsia="Times New Roman" w:hAnsi="Times New Roman" w:cs="Times New Roman"/>
          <w:sz w:val="24"/>
          <w:szCs w:val="24"/>
        </w:rPr>
      </w:pPr>
    </w:p>
    <w:p w14:paraId="4B64A71F" w14:textId="77777777" w:rsidR="00665491" w:rsidRDefault="00000000">
      <w:pPr>
        <w:widowControl w:val="0"/>
        <w:numPr>
          <w:ilvl w:val="0"/>
          <w:numId w:val="5"/>
        </w:numPr>
        <w:spacing w:before="12" w:line="264" w:lineRule="auto"/>
        <w:ind w:right="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Adicionalmente, se ha observado que el proyecto de ley </w:t>
      </w:r>
      <w:r>
        <w:rPr>
          <w:rFonts w:ascii="Times New Roman" w:eastAsia="Times New Roman" w:hAnsi="Times New Roman" w:cs="Times New Roman"/>
          <w:i/>
          <w:sz w:val="24"/>
          <w:szCs w:val="24"/>
        </w:rPr>
        <w:t xml:space="preserve">in comento </w:t>
      </w:r>
      <w:r>
        <w:rPr>
          <w:rFonts w:ascii="Times New Roman" w:eastAsia="Times New Roman" w:hAnsi="Times New Roman" w:cs="Times New Roman"/>
          <w:sz w:val="24"/>
          <w:szCs w:val="24"/>
        </w:rPr>
        <w:t xml:space="preserve">que su </w:t>
      </w:r>
      <w:proofErr w:type="gramStart"/>
      <w:r>
        <w:rPr>
          <w:rFonts w:ascii="Times New Roman" w:eastAsia="Times New Roman" w:hAnsi="Times New Roman" w:cs="Times New Roman"/>
          <w:sz w:val="24"/>
          <w:szCs w:val="24"/>
        </w:rPr>
        <w:t>ámbito  de</w:t>
      </w:r>
      <w:proofErr w:type="gramEnd"/>
      <w:r>
        <w:rPr>
          <w:rFonts w:ascii="Times New Roman" w:eastAsia="Times New Roman" w:hAnsi="Times New Roman" w:cs="Times New Roman"/>
          <w:sz w:val="24"/>
          <w:szCs w:val="24"/>
        </w:rPr>
        <w:t xml:space="preserve"> aplicación no abarcaría solo a ONGs, sino también a fundaciones y entidades civiles  sin fines de lucro que desarrollen actividades no financieras. Estableciendo un </w:t>
      </w:r>
      <w:proofErr w:type="gramStart"/>
      <w:r>
        <w:rPr>
          <w:rFonts w:ascii="Times New Roman" w:eastAsia="Times New Roman" w:hAnsi="Times New Roman" w:cs="Times New Roman"/>
          <w:sz w:val="24"/>
          <w:szCs w:val="24"/>
        </w:rPr>
        <w:t>registro  obligatorio</w:t>
      </w:r>
      <w:proofErr w:type="gramEnd"/>
      <w:r>
        <w:rPr>
          <w:rFonts w:ascii="Times New Roman" w:eastAsia="Times New Roman" w:hAnsi="Times New Roman" w:cs="Times New Roman"/>
          <w:sz w:val="24"/>
          <w:szCs w:val="24"/>
        </w:rPr>
        <w:t xml:space="preserve"> para cualquier forma asociativa, registro periódico de benefactores ante  autoridades y la capacidad de suspender actividades de las ONG o su disolución de </w:t>
      </w:r>
      <w:r>
        <w:rPr>
          <w:rFonts w:ascii="Times New Roman" w:eastAsia="Times New Roman" w:hAnsi="Times New Roman" w:cs="Times New Roman"/>
          <w:sz w:val="24"/>
          <w:szCs w:val="24"/>
        </w:rPr>
        <w:lastRenderedPageBreak/>
        <w:t>oficio</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w:t>
      </w:r>
    </w:p>
    <w:p w14:paraId="6F6C34F6" w14:textId="77777777" w:rsidR="00665491" w:rsidRDefault="00665491">
      <w:pPr>
        <w:widowControl w:val="0"/>
        <w:spacing w:before="12" w:line="264" w:lineRule="auto"/>
        <w:ind w:right="22"/>
        <w:jc w:val="both"/>
        <w:rPr>
          <w:rFonts w:ascii="Times New Roman" w:eastAsia="Times New Roman" w:hAnsi="Times New Roman" w:cs="Times New Roman"/>
          <w:sz w:val="24"/>
          <w:szCs w:val="24"/>
        </w:rPr>
      </w:pPr>
    </w:p>
    <w:p w14:paraId="2538C65E" w14:textId="77777777" w:rsidR="00665491" w:rsidRDefault="00000000">
      <w:pPr>
        <w:widowControl w:val="0"/>
        <w:numPr>
          <w:ilvl w:val="0"/>
          <w:numId w:val="5"/>
        </w:numPr>
        <w:spacing w:before="12" w:line="264" w:lineRule="auto"/>
        <w:ind w:right="2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Tres días después de la aprobación en primera discusión de la ley y en el marco de la visita del Alto Comisionado de las Naciones Unidas para los Derechos Humanos, Volker Türk, fue detenida la Sra. M.F.R, quien es miembro de una ONG en Venezuela. Fue arrestada en una Universidad, por efectivos del Cuerpo de Investigaciones Científicas, Penales y Criminalísticas (CICPC). La activista permaneció detenida unas horas antes de ser liberada.</w:t>
      </w:r>
      <w:r>
        <w:rPr>
          <w:rFonts w:ascii="Times New Roman" w:eastAsia="Times New Roman" w:hAnsi="Times New Roman" w:cs="Times New Roman"/>
          <w:sz w:val="24"/>
          <w:szCs w:val="24"/>
          <w:vertAlign w:val="superscript"/>
        </w:rPr>
        <w:footnoteReference w:id="43"/>
      </w:r>
    </w:p>
    <w:p w14:paraId="0E1EC783" w14:textId="77777777" w:rsidR="00665491" w:rsidRDefault="00665491">
      <w:pPr>
        <w:widowControl w:val="0"/>
        <w:spacing w:before="12" w:line="264" w:lineRule="auto"/>
        <w:ind w:left="720" w:right="22"/>
        <w:jc w:val="both"/>
        <w:rPr>
          <w:rFonts w:ascii="Times New Roman" w:eastAsia="Times New Roman" w:hAnsi="Times New Roman" w:cs="Times New Roman"/>
          <w:sz w:val="24"/>
          <w:szCs w:val="24"/>
        </w:rPr>
      </w:pPr>
    </w:p>
    <w:p w14:paraId="4DD8AB61" w14:textId="77777777" w:rsidR="00665491" w:rsidRDefault="00000000">
      <w:pPr>
        <w:widowControl w:val="0"/>
        <w:numPr>
          <w:ilvl w:val="0"/>
          <w:numId w:val="5"/>
        </w:numPr>
        <w:spacing w:before="12" w:line="264" w:lineRule="auto"/>
        <w:ind w:right="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Defiende Venezuela, considera que, en el marco las estadísticas y datos disponibles en este informe se puede observar una situación generalizada de violencia y discriminación contra la mujer rampante en el territorio venezolano. Siendo así, el riesgo interseccional que produce la ley comentada sobre las mujeres y sus derechos resulta muy peligrosa, no solo desde lo individual a su vida e integridad personal, sino también al efecto disuasorio sobre otras mujeres que exigen sus derechos. </w:t>
      </w:r>
    </w:p>
    <w:p w14:paraId="0C338A53" w14:textId="77777777" w:rsidR="00665491" w:rsidRDefault="00665491">
      <w:pPr>
        <w:widowControl w:val="0"/>
        <w:spacing w:before="12" w:line="264" w:lineRule="auto"/>
        <w:ind w:left="720" w:right="21"/>
        <w:jc w:val="both"/>
        <w:rPr>
          <w:rFonts w:ascii="Times New Roman" w:eastAsia="Times New Roman" w:hAnsi="Times New Roman" w:cs="Times New Roman"/>
          <w:sz w:val="24"/>
          <w:szCs w:val="24"/>
        </w:rPr>
      </w:pPr>
    </w:p>
    <w:p w14:paraId="304E3CB7" w14:textId="0DB5DFED" w:rsidR="00665491" w:rsidRDefault="00000000">
      <w:pPr>
        <w:widowControl w:val="0"/>
        <w:numPr>
          <w:ilvl w:val="0"/>
          <w:numId w:val="5"/>
        </w:numPr>
        <w:spacing w:before="12" w:line="264" w:lineRule="auto"/>
        <w:ind w:right="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Desde la documentación de casos de violaciones a los derechos humanos, en Defiende Venezuela hemos podido observar </w:t>
      </w:r>
      <w:r w:rsidR="00B24D8C">
        <w:rPr>
          <w:rFonts w:ascii="Times New Roman" w:eastAsia="Times New Roman" w:hAnsi="Times New Roman" w:cs="Times New Roman"/>
          <w:sz w:val="24"/>
          <w:szCs w:val="24"/>
        </w:rPr>
        <w:t>cómo</w:t>
      </w:r>
      <w:r>
        <w:rPr>
          <w:rFonts w:ascii="Times New Roman" w:eastAsia="Times New Roman" w:hAnsi="Times New Roman" w:cs="Times New Roman"/>
          <w:sz w:val="24"/>
          <w:szCs w:val="24"/>
        </w:rPr>
        <w:t xml:space="preserve"> víctimas que han asumido el rol de defensoras de derechos humanos de sus familiares fallecidos a causa de ejecuciones extrajudiciales, como las integrantes de la organización Madres Poderosas, han sufrido de obstáculos especiales en la búsqueda de justicia debido a estereotipos de género, criminalización de su labor y hasta persecución. Como ha ocurrido en los casos de las señoras M.M.B y </w:t>
      </w:r>
      <w:proofErr w:type="gramStart"/>
      <w:r>
        <w:rPr>
          <w:rFonts w:ascii="Times New Roman" w:eastAsia="Times New Roman" w:hAnsi="Times New Roman" w:cs="Times New Roman"/>
          <w:sz w:val="24"/>
          <w:szCs w:val="24"/>
        </w:rPr>
        <w:t>R.L,P.</w:t>
      </w:r>
      <w:proofErr w:type="gramEnd"/>
      <w:r>
        <w:rPr>
          <w:rFonts w:ascii="Times New Roman" w:eastAsia="Times New Roman" w:hAnsi="Times New Roman" w:cs="Times New Roman"/>
          <w:sz w:val="24"/>
          <w:szCs w:val="24"/>
        </w:rPr>
        <w:t xml:space="preserve"> M., teniendo la primera que sacar a su hijo del país por su labor y la segunda que huir ella misma por temor a retaliaciones.</w:t>
      </w:r>
    </w:p>
    <w:p w14:paraId="447BF28D" w14:textId="77777777" w:rsidR="00665491" w:rsidRDefault="00665491">
      <w:pPr>
        <w:widowControl w:val="0"/>
        <w:spacing w:before="12" w:line="264" w:lineRule="auto"/>
        <w:ind w:left="720" w:right="21"/>
        <w:jc w:val="both"/>
        <w:rPr>
          <w:rFonts w:ascii="Times New Roman" w:eastAsia="Times New Roman" w:hAnsi="Times New Roman" w:cs="Times New Roman"/>
          <w:sz w:val="24"/>
          <w:szCs w:val="24"/>
        </w:rPr>
      </w:pPr>
    </w:p>
    <w:p w14:paraId="6214DC4B" w14:textId="77777777" w:rsidR="00665491" w:rsidRDefault="00000000">
      <w:pPr>
        <w:widowControl w:val="0"/>
        <w:numPr>
          <w:ilvl w:val="0"/>
          <w:numId w:val="5"/>
        </w:numPr>
        <w:spacing w:before="12" w:line="264" w:lineRule="auto"/>
        <w:ind w:right="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pesar de las denuncias realizadas por la Sra. M.M.B ante varios organismos del Estado dedicados no solo a la atención a la víctima, sino también a la investigación de agentes con procedimientos disciplinarios y la defensa de los derechos humanos, no ha recibido medidas de protección que le permitan proseguir con su labor de defensora de derechos humanos sin temor por su vida e integridad personal. </w:t>
      </w:r>
    </w:p>
    <w:p w14:paraId="5554179D" w14:textId="77777777" w:rsidR="00665491" w:rsidRDefault="00665491">
      <w:pPr>
        <w:jc w:val="both"/>
        <w:rPr>
          <w:rFonts w:ascii="Times New Roman" w:eastAsia="Times New Roman" w:hAnsi="Times New Roman" w:cs="Times New Roman"/>
          <w:sz w:val="24"/>
          <w:szCs w:val="24"/>
        </w:rPr>
      </w:pPr>
    </w:p>
    <w:p w14:paraId="161AD13B" w14:textId="77777777" w:rsidR="00665491"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sugiere al Comité que recomiende al Estado:</w:t>
      </w:r>
    </w:p>
    <w:p w14:paraId="1DD98D31" w14:textId="77777777" w:rsidR="00665491"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Informe y adopte medidas pertinentes para garantizar el cabal desenvolvimiento de la labor de las defensoras de derechos humanos en todo el territorio venezolano;</w:t>
      </w:r>
    </w:p>
    <w:p w14:paraId="3E0A5297" w14:textId="77777777" w:rsidR="00665491"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Proporcione información sobre las medidas adoptadas por el Estado para agilizar la investigación y el enjuiciamiento de todos los actos de acoso, intimidación y represalias perpetrados contra las defensoras de los derechos humanos; y </w:t>
      </w:r>
    </w:p>
    <w:p w14:paraId="2D0F30C4" w14:textId="559BAB16" w:rsidR="00665491" w:rsidRDefault="00000000">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Evalúe y revise el proyecto de Ley </w:t>
      </w:r>
      <w:r w:rsidR="00B24D8C">
        <w:rPr>
          <w:rFonts w:ascii="Times New Roman" w:eastAsia="Times New Roman" w:hAnsi="Times New Roman" w:cs="Times New Roman"/>
          <w:sz w:val="24"/>
          <w:szCs w:val="24"/>
        </w:rPr>
        <w:t>de Fiscalización</w:t>
      </w:r>
      <w:r>
        <w:rPr>
          <w:rFonts w:ascii="Times New Roman" w:eastAsia="Times New Roman" w:hAnsi="Times New Roman" w:cs="Times New Roman"/>
          <w:sz w:val="24"/>
          <w:szCs w:val="24"/>
        </w:rPr>
        <w:t xml:space="preserve">, Regulación y Actuación de las ONG, para que se adapte a los tratados suscritos por el Estado venezolano en materia de protección de derechos humanos y garantice la seguridad de las defensoras de derechos humanos.  </w:t>
      </w:r>
    </w:p>
    <w:sectPr w:rsidR="00665491">
      <w:headerReference w:type="default" r:id="rId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EFD42" w14:textId="77777777" w:rsidR="004E10CA" w:rsidRDefault="004E10CA">
      <w:pPr>
        <w:spacing w:line="240" w:lineRule="auto"/>
      </w:pPr>
      <w:r>
        <w:separator/>
      </w:r>
    </w:p>
  </w:endnote>
  <w:endnote w:type="continuationSeparator" w:id="0">
    <w:p w14:paraId="2D398F8C" w14:textId="77777777" w:rsidR="004E10CA" w:rsidRDefault="004E10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D0DE" w14:textId="77777777" w:rsidR="00665491" w:rsidRDefault="00000000">
    <w:pPr>
      <w:jc w:val="right"/>
      <w:rPr>
        <w:rFonts w:ascii="Times New Roman" w:eastAsia="Times New Roman" w:hAnsi="Times New Roman" w:cs="Times New Roman"/>
      </w:rPr>
    </w:pPr>
    <w:r>
      <w:fldChar w:fldCharType="begin"/>
    </w:r>
    <w:r>
      <w:instrText>PAGE</w:instrText>
    </w:r>
    <w:r>
      <w:fldChar w:fldCharType="separate"/>
    </w:r>
    <w:r w:rsidR="00685A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EC0C0" w14:textId="77777777" w:rsidR="004E10CA" w:rsidRDefault="004E10CA">
      <w:pPr>
        <w:spacing w:line="240" w:lineRule="auto"/>
      </w:pPr>
      <w:r>
        <w:separator/>
      </w:r>
    </w:p>
  </w:footnote>
  <w:footnote w:type="continuationSeparator" w:id="0">
    <w:p w14:paraId="3ABE6CAD" w14:textId="77777777" w:rsidR="004E10CA" w:rsidRDefault="004E10CA">
      <w:pPr>
        <w:spacing w:line="240" w:lineRule="auto"/>
      </w:pPr>
      <w:r>
        <w:continuationSeparator/>
      </w:r>
    </w:p>
  </w:footnote>
  <w:footnote w:id="1">
    <w:p w14:paraId="7CA3F728"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Este documento puede ser publicado en la página web de la OACNUDH relativa a la CEDAW a los fines de su divulgación pública.</w:t>
      </w:r>
    </w:p>
  </w:footnote>
  <w:footnote w:id="2">
    <w:p w14:paraId="394DBE9B"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CEDAW. Noveno informe periódico que la República Bolivariana de Venezuela debía presentar en 2018 en virtud del artículo 18 de la Convención. Párrafo 15.  4 de octubre de 2021.</w:t>
      </w:r>
    </w:p>
  </w:footnote>
  <w:footnote w:id="3">
    <w:p w14:paraId="76960A8F" w14:textId="77777777" w:rsidR="00665491" w:rsidRPr="00685A54" w:rsidRDefault="00000000">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Respuestas de la República Bolivariana de Venezuela a la lista de cuestiones y preguntas relativas a su noveno informe periódico ante la CEDAW. 19 de octubre de 2022. Párrafo 13.</w:t>
      </w:r>
    </w:p>
  </w:footnote>
  <w:footnote w:id="4">
    <w:p w14:paraId="75201060" w14:textId="77777777" w:rsidR="00665491" w:rsidRPr="00685A54" w:rsidRDefault="00000000">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Acceso a la Justicia. “Situación y Análisis de las Reformas Legislativas Realizadas por el Gobierno de Venezuela Vinculadas con el Sistema de Justicia”. Disponible en: </w:t>
      </w:r>
      <w:r w:rsidRPr="00685A54">
        <w:rPr>
          <w:rFonts w:ascii="Times New Roman" w:eastAsia="Times New Roman" w:hAnsi="Times New Roman" w:cs="Times New Roman"/>
          <w:color w:val="444746"/>
          <w:sz w:val="16"/>
          <w:szCs w:val="16"/>
          <w:highlight w:val="white"/>
        </w:rPr>
        <w:t>file:///C:/Users/dvusu/Downloads/Situacion-y-analisis-de-las-reformas-legislativas-realizadas-por-el-Gobierno-de-Venezuela-vinculadas-con-e.pdf</w:t>
      </w:r>
    </w:p>
  </w:footnote>
  <w:footnote w:id="5">
    <w:p w14:paraId="6A211999"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Artículo 146. Toda persona podrá cambiar su nombre propio, por una sola vez, ante el registrador o registradora civil cuando este sea infamante, la someta al escarnio público, atente contra su integridad moral, honor y reputación, o no se corresponda con su género, afectando así el libre desenvolvimiento de su personalidad.”</w:t>
      </w:r>
    </w:p>
  </w:footnote>
  <w:footnote w:id="6">
    <w:p w14:paraId="12E003FC"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Artículo 565º El oficial que cometa actos que lo afrenten o rebajen su dignidad o que permita tales actos, sin tratar de impedirlo por los medios autorizados por la Ley, será penado con prisión de uno a tres años y separación de las Fuerzas Armadas. La misma pena se aplicará a todo militar que cometa actos sexuales contra natura.”</w:t>
      </w:r>
    </w:p>
  </w:footnote>
  <w:footnote w:id="7">
    <w:p w14:paraId="3705A89F"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El Diario. “Activistas levantan huelga en Caracas tras acuerdo con el régimen que permite el cambio de nombre de varias personas trans” de fecha 29 de noviembre de 2022, recuperado en: </w:t>
      </w:r>
      <w:hyperlink r:id="rId1">
        <w:r w:rsidRPr="00685A54">
          <w:rPr>
            <w:rFonts w:ascii="Times New Roman" w:eastAsia="Times New Roman" w:hAnsi="Times New Roman" w:cs="Times New Roman"/>
            <w:color w:val="1155CC"/>
            <w:sz w:val="16"/>
            <w:szCs w:val="16"/>
            <w:u w:val="single"/>
          </w:rPr>
          <w:t>https://eldiario.com/2022/11/29/activistas-levantan-huelga-caracas-por-acuerdo-con-regimen/</w:t>
        </w:r>
      </w:hyperlink>
      <w:r w:rsidRPr="00685A54">
        <w:rPr>
          <w:rFonts w:ascii="Times New Roman" w:eastAsia="Times New Roman" w:hAnsi="Times New Roman" w:cs="Times New Roman"/>
          <w:sz w:val="16"/>
          <w:szCs w:val="16"/>
        </w:rPr>
        <w:t xml:space="preserve"> </w:t>
      </w:r>
    </w:p>
  </w:footnote>
  <w:footnote w:id="8">
    <w:p w14:paraId="6F22BFF0" w14:textId="77777777"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Tribunal Supremo de Justicia. Sala Constitucional. Sentencia n.º 128 del 16 de marzo de 2023. </w:t>
      </w:r>
    </w:p>
  </w:footnote>
  <w:footnote w:id="9">
    <w:p w14:paraId="232A54C6"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Comisión Internacional de Juristas (ICJ), Principios de </w:t>
      </w:r>
      <w:proofErr w:type="gramStart"/>
      <w:r w:rsidRPr="00685A54">
        <w:rPr>
          <w:rFonts w:ascii="Times New Roman" w:eastAsia="Times New Roman" w:hAnsi="Times New Roman" w:cs="Times New Roman"/>
          <w:sz w:val="16"/>
          <w:szCs w:val="16"/>
        </w:rPr>
        <w:t>Yogyakarta :</w:t>
      </w:r>
      <w:proofErr w:type="gramEnd"/>
      <w:r w:rsidRPr="00685A54">
        <w:rPr>
          <w:rFonts w:ascii="Times New Roman" w:eastAsia="Times New Roman" w:hAnsi="Times New Roman" w:cs="Times New Roman"/>
          <w:sz w:val="16"/>
          <w:szCs w:val="16"/>
        </w:rPr>
        <w:t xml:space="preserve"> Principios sobre la aplicación de la legislación internacional de derechos humanos en relación con la orientación sexual y la identidad de género, Marzo 2007, disponible en esta dirección: https://www.refworld.org.es/docid/48244e9f2.html</w:t>
      </w:r>
    </w:p>
  </w:footnote>
  <w:footnote w:id="10">
    <w:p w14:paraId="2A02E9B3"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Corte IDH. Identidad de género, e igualdad y no discriminación a parejas del mismo sexo. Obligaciones estatales en relación con el cambio de nombre, la identidad de género, y los derechos derivados de un vínculo entre parejas del mismo sexo (interpretación y alcance de los artículos 1.1, 3, 7, 11.2, 13, 17, 18 y 24, en relación con el artículo 1 de la Convención Americana sobre Derechos Humanos). Opinión Consultiva OC-24/17 de 24 de noviembre de 2017. Serie A No. 24.</w:t>
      </w:r>
    </w:p>
  </w:footnote>
  <w:footnote w:id="11">
    <w:p w14:paraId="4CCC5397"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Tribunal Europeo de Derechos Humanos, Caso Dudgeon v. Reino Unido, sentencia de fondo, 22 de octubre de 1981. </w:t>
      </w:r>
    </w:p>
  </w:footnote>
  <w:footnote w:id="12">
    <w:p w14:paraId="55AFA058" w14:textId="77777777"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Respuestas de la República Bolivariana de Venezuela a la lista de cuestiones y preguntas relativas a su noveno informe periódico ante la CEDAW. 19 de octubre de 2022. Párrafo 17.</w:t>
      </w:r>
    </w:p>
  </w:footnote>
  <w:footnote w:id="13">
    <w:p w14:paraId="4DA73DAA" w14:textId="75B403C5"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Defiende Venezuela remitió el 09 de agosto de 2022, una carta de alegación a la Relatoría Especial sobre Violencia contra la Mujer, sus Causas y Consecuencias, al Relator Especial sobre la tortura y otros tratos o penas crueles, inhumanos o degradantes y al Grupo de Trabajo sobre la </w:t>
      </w:r>
      <w:r w:rsidR="00685A54" w:rsidRPr="00685A54">
        <w:rPr>
          <w:rFonts w:ascii="Times New Roman" w:eastAsia="Times New Roman" w:hAnsi="Times New Roman" w:cs="Times New Roman"/>
          <w:sz w:val="16"/>
          <w:szCs w:val="16"/>
        </w:rPr>
        <w:t>Discriminación</w:t>
      </w:r>
      <w:r w:rsidRPr="00685A54">
        <w:rPr>
          <w:rFonts w:ascii="Times New Roman" w:eastAsia="Times New Roman" w:hAnsi="Times New Roman" w:cs="Times New Roman"/>
          <w:sz w:val="16"/>
          <w:szCs w:val="16"/>
        </w:rPr>
        <w:t xml:space="preserve"> contra las Mujeres y las Niñas</w:t>
      </w:r>
    </w:p>
  </w:footnote>
  <w:footnote w:id="14">
    <w:p w14:paraId="23F5799A"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Noveno informe periódico que la República Bolivariana de Venezuela debía presentar en 2018 en virtud del artículo 18 de la Convención. 4 de octubre de 2021. Párrafo 23, y; Respuestas de la República Bolivariana de Venezuela a la lista de cuestiones y preguntas relativas a su noveno informe periódico ante la CEDAW. 19 de octubre de 2022. Párrafo 18.</w:t>
      </w:r>
    </w:p>
  </w:footnote>
  <w:footnote w:id="15">
    <w:p w14:paraId="1B46D06E" w14:textId="76F192D6" w:rsidR="00665491" w:rsidRPr="00685A54" w:rsidRDefault="00000000" w:rsidP="00685A54">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Gob. Miranda. </w:t>
      </w:r>
      <w:r w:rsidRPr="00685A54">
        <w:rPr>
          <w:rFonts w:ascii="Times New Roman" w:eastAsia="Times New Roman" w:hAnsi="Times New Roman" w:cs="Times New Roman"/>
          <w:color w:val="0A0A0A"/>
          <w:sz w:val="16"/>
          <w:szCs w:val="16"/>
        </w:rPr>
        <w:t xml:space="preserve">Afinan estrategias para fortalecer Órgano Superior de Justicia de Género en Miranda. 7 de septiembre de 2022. Disponible en: </w:t>
      </w:r>
      <w:hyperlink r:id="rId2" w:anchor=":~:text=%E2%80%9CEs%20de%20recordar%20que%20el,%E2%80%9D%2C%20detall%C3%B3%20sobre%20la%20estructura">
        <w:r w:rsidRPr="00685A54">
          <w:rPr>
            <w:rFonts w:ascii="Times New Roman" w:eastAsia="Times New Roman" w:hAnsi="Times New Roman" w:cs="Times New Roman"/>
            <w:color w:val="1155CC"/>
            <w:sz w:val="16"/>
            <w:szCs w:val="16"/>
            <w:u w:val="single"/>
          </w:rPr>
          <w:t>http://www.miranda.gob.ve/index.php/afinan-estrategias-para-fortalecer-organo-superior-de-justicia-de-genero-en-miranda/#:~:text=%E2%80%9CEs%20de%20recordar%20que%20el,%E2%80%9D%2C%20detall%C3%B3%20sobre%20la%20estructura</w:t>
        </w:r>
      </w:hyperlink>
      <w:r w:rsidRPr="00685A54">
        <w:rPr>
          <w:rFonts w:ascii="Times New Roman" w:eastAsia="Times New Roman" w:hAnsi="Times New Roman" w:cs="Times New Roman"/>
          <w:color w:val="0A0A0A"/>
          <w:sz w:val="16"/>
          <w:szCs w:val="16"/>
        </w:rPr>
        <w:t xml:space="preserve">, </w:t>
      </w:r>
      <w:r w:rsidRPr="00685A54">
        <w:rPr>
          <w:rFonts w:ascii="Times New Roman" w:eastAsia="Times New Roman" w:hAnsi="Times New Roman" w:cs="Times New Roman"/>
          <w:sz w:val="16"/>
          <w:szCs w:val="16"/>
        </w:rPr>
        <w:t xml:space="preserve">Ministerio del Poder Popular para la Mujer e Igualdad de Género. Ministra Carolys Pérez expone en la Cepal avances del Gobierno venezolano para reivindicar derechos de la mujer. 23 de febrero de 2021. Disponible en: </w:t>
      </w:r>
      <w:hyperlink r:id="rId3">
        <w:r w:rsidRPr="00685A54">
          <w:rPr>
            <w:rFonts w:ascii="Times New Roman" w:eastAsia="Times New Roman" w:hAnsi="Times New Roman" w:cs="Times New Roman"/>
            <w:sz w:val="16"/>
            <w:szCs w:val="16"/>
            <w:u w:val="single"/>
          </w:rPr>
          <w:t>https://mppre.gob.ve/2021/02/23/ministra-carolys-perez-expone-cepal-avances-gobierno-venezolano-reivindicar-derechos-mujer/</w:t>
        </w:r>
      </w:hyperlink>
      <w:r w:rsidR="00685A54">
        <w:rPr>
          <w:rFonts w:ascii="Times New Roman" w:eastAsia="Times New Roman" w:hAnsi="Times New Roman" w:cs="Times New Roman"/>
          <w:sz w:val="16"/>
          <w:szCs w:val="16"/>
          <w:u w:val="single"/>
        </w:rPr>
        <w:t xml:space="preserve"> </w:t>
      </w:r>
      <w:r w:rsidRPr="00685A54">
        <w:rPr>
          <w:rFonts w:ascii="Times New Roman" w:eastAsia="Times New Roman" w:hAnsi="Times New Roman" w:cs="Times New Roman"/>
          <w:sz w:val="16"/>
          <w:szCs w:val="16"/>
        </w:rPr>
        <w:t xml:space="preserve">  </w:t>
      </w:r>
    </w:p>
  </w:footnote>
  <w:footnote w:id="16">
    <w:p w14:paraId="2D7EAA7B" w14:textId="6DB29456" w:rsidR="00665491" w:rsidRPr="00685A54" w:rsidRDefault="00000000" w:rsidP="00685A54">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Noveno informe periódico que la República Bolivariana de Venezuela </w:t>
      </w:r>
      <w:r w:rsidR="00685A54">
        <w:rPr>
          <w:rFonts w:ascii="Times New Roman" w:eastAsia="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Párrafo 23. </w:t>
      </w:r>
    </w:p>
  </w:footnote>
  <w:footnote w:id="17">
    <w:p w14:paraId="6F5EEFD8" w14:textId="77777777" w:rsidR="00665491" w:rsidRPr="00685A54" w:rsidRDefault="00000000" w:rsidP="00685A54">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Centro de Derechos Humanos de la UNIMET. “Diagnóstico inicial sobre el funcionamiento del sistema de justicia en los casos de violencia de género en Venezuela”. abril 2022. Disponible en: </w:t>
      </w:r>
      <w:hyperlink r:id="rId4">
        <w:r w:rsidRPr="00685A54">
          <w:rPr>
            <w:rFonts w:ascii="Times New Roman" w:eastAsia="Times New Roman" w:hAnsi="Times New Roman" w:cs="Times New Roman"/>
            <w:color w:val="1155CC"/>
            <w:sz w:val="16"/>
            <w:szCs w:val="16"/>
            <w:u w:val="single"/>
          </w:rPr>
          <w:t>https://www.unimet.edu.ve/wp-content/uploads/2022/04/Diagn%C3%B3stico-inicial-sobre-el-funcionamiento-del-sistema-de-justicia-en-los-casos-de-violencia-de-g%C3%A9nero-en-Venezuela.pdf</w:t>
        </w:r>
      </w:hyperlink>
      <w:r w:rsidRPr="00685A54">
        <w:rPr>
          <w:rFonts w:ascii="Times New Roman" w:eastAsia="Times New Roman" w:hAnsi="Times New Roman" w:cs="Times New Roman"/>
          <w:sz w:val="16"/>
          <w:szCs w:val="16"/>
        </w:rPr>
        <w:t xml:space="preserve"> </w:t>
      </w:r>
    </w:p>
  </w:footnote>
  <w:footnote w:id="18">
    <w:p w14:paraId="28243665" w14:textId="77777777" w:rsidR="00665491" w:rsidRPr="00685A54" w:rsidRDefault="00000000" w:rsidP="00685A54">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Idem.</w:t>
      </w:r>
    </w:p>
  </w:footnote>
  <w:footnote w:id="19">
    <w:p w14:paraId="10477D29" w14:textId="77777777" w:rsidR="00665491" w:rsidRPr="00685A54" w:rsidRDefault="00000000" w:rsidP="00685A54">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Defiende Venezuela remitió en noviembre de 2022, una carta de alegación a la Relatoría Especial sobre Violencia contra la Mujer, sus Causas y Consecuencias y al Grupo de Trabajo sobre la Discrimación contra las Mujeres y las Niñas.</w:t>
      </w:r>
      <w:r w:rsidRPr="00685A54">
        <w:rPr>
          <w:rFonts w:ascii="Times New Roman" w:hAnsi="Times New Roman" w:cs="Times New Roman"/>
          <w:sz w:val="16"/>
          <w:szCs w:val="16"/>
        </w:rPr>
        <w:t xml:space="preserve"> </w:t>
      </w:r>
    </w:p>
  </w:footnote>
  <w:footnote w:id="20">
    <w:p w14:paraId="219957C7" w14:textId="77777777" w:rsidR="00665491" w:rsidRPr="00685A54" w:rsidRDefault="00000000">
      <w:pPr>
        <w:spacing w:line="240" w:lineRule="auto"/>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Defiende Venezuela remitió el 02 de diciembre de 2022, una carta de alegación a la Relatoría Especial sobre Violencia contra la Mujer, sus Causas y Consecuencias y al Grupo de Trabajo sobre la Discrimación contra las Mujeres y las Niñas.</w:t>
      </w:r>
      <w:r w:rsidRPr="00685A54">
        <w:rPr>
          <w:rFonts w:ascii="Times New Roman" w:hAnsi="Times New Roman" w:cs="Times New Roman"/>
          <w:sz w:val="16"/>
          <w:szCs w:val="16"/>
        </w:rPr>
        <w:t xml:space="preserve"> </w:t>
      </w:r>
    </w:p>
  </w:footnote>
  <w:footnote w:id="21">
    <w:p w14:paraId="12C92485" w14:textId="77777777"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CEDAW. Lista de Cuestiones Previas, párrafo 6, literal b. 11 de julio de 2022.</w:t>
      </w:r>
    </w:p>
  </w:footnote>
  <w:footnote w:id="22">
    <w:p w14:paraId="498AB0C6" w14:textId="77777777" w:rsidR="00665491" w:rsidRPr="00685A54" w:rsidRDefault="00000000">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CIDH. Resolución 66/2019. Medida cautelar No. 967-19. 24 de diciembre de 2019. </w:t>
      </w:r>
    </w:p>
  </w:footnote>
  <w:footnote w:id="23">
    <w:p w14:paraId="68AC6715"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CIDH. Resolución 15/2023. Medidas Cautelares No. 66-23. 01 de abril de 2023.</w:t>
      </w:r>
    </w:p>
  </w:footnote>
  <w:footnote w:id="24">
    <w:p w14:paraId="38FB7196" w14:textId="304B9147"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Noveno informe periódico que la República Bolivariana de Venezuela </w:t>
      </w:r>
      <w:r w:rsidR="00685A54">
        <w:rPr>
          <w:rFonts w:ascii="Times New Roman" w:eastAsia="Times New Roman" w:hAnsi="Times New Roman" w:cs="Times New Roman"/>
          <w:sz w:val="16"/>
          <w:szCs w:val="16"/>
        </w:rPr>
        <w:t xml:space="preserve">(…) </w:t>
      </w:r>
      <w:r w:rsidR="00685A54" w:rsidRPr="00685A54">
        <w:rPr>
          <w:rFonts w:ascii="Times New Roman" w:eastAsia="Times New Roman" w:hAnsi="Times New Roman" w:cs="Times New Roman"/>
          <w:sz w:val="16"/>
          <w:szCs w:val="16"/>
        </w:rPr>
        <w:t>Párr.</w:t>
      </w:r>
      <w:r w:rsidRPr="00685A54">
        <w:rPr>
          <w:rFonts w:ascii="Times New Roman" w:eastAsia="Times New Roman" w:hAnsi="Times New Roman" w:cs="Times New Roman"/>
          <w:sz w:val="16"/>
          <w:szCs w:val="16"/>
        </w:rPr>
        <w:t xml:space="preserve"> 178.</w:t>
      </w:r>
    </w:p>
  </w:footnote>
  <w:footnote w:id="25">
    <w:p w14:paraId="214162FB" w14:textId="7EC5B732"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Respuestas de la República Bolivariana de Venezuela a la lista de cuestiones y</w:t>
      </w:r>
      <w:r w:rsidR="00685A54">
        <w:rPr>
          <w:rFonts w:ascii="Times New Roman" w:eastAsia="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 </w:t>
      </w:r>
      <w:r w:rsidRPr="00685A54">
        <w:rPr>
          <w:rFonts w:ascii="Times New Roman" w:hAnsi="Times New Roman" w:cs="Times New Roman"/>
          <w:sz w:val="16"/>
          <w:szCs w:val="16"/>
        </w:rPr>
        <w:t xml:space="preserve"> </w:t>
      </w:r>
      <w:r w:rsidR="00685A54" w:rsidRPr="00685A54">
        <w:rPr>
          <w:rFonts w:ascii="Times New Roman" w:eastAsia="Times New Roman" w:hAnsi="Times New Roman" w:cs="Times New Roman"/>
          <w:sz w:val="16"/>
          <w:szCs w:val="16"/>
        </w:rPr>
        <w:t>párr.</w:t>
      </w:r>
      <w:r w:rsidRPr="00685A54">
        <w:rPr>
          <w:rFonts w:ascii="Times New Roman" w:eastAsia="Times New Roman" w:hAnsi="Times New Roman" w:cs="Times New Roman"/>
          <w:sz w:val="16"/>
          <w:szCs w:val="16"/>
        </w:rPr>
        <w:t xml:space="preserve"> 52.</w:t>
      </w:r>
    </w:p>
  </w:footnote>
  <w:footnote w:id="26">
    <w:p w14:paraId="647F08B4" w14:textId="77777777" w:rsidR="00665491" w:rsidRPr="00685A54" w:rsidRDefault="00000000">
      <w:pPr>
        <w:spacing w:line="240" w:lineRule="auto"/>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Centro de Derechos Humanos de la UNIMET. “Diagnóstico inicial sobre el funcionamiento del sistema de justicia en los casos de violencia de género en Venezuela”. abril 2022. Disponible en: </w:t>
      </w:r>
      <w:hyperlink r:id="rId5">
        <w:r w:rsidRPr="00685A54">
          <w:rPr>
            <w:rFonts w:ascii="Times New Roman" w:eastAsia="Times New Roman" w:hAnsi="Times New Roman" w:cs="Times New Roman"/>
            <w:color w:val="1155CC"/>
            <w:sz w:val="16"/>
            <w:szCs w:val="16"/>
            <w:u w:val="single"/>
          </w:rPr>
          <w:t>https://www.unimet.edu.ve/wp-content/uploads/2022/04/Diagn%C3%B3stico-inicial-sobre-el-funcionamiento-del-sistema-de-justicia-en-los-casos-de-violencia-de-g%C3%A9nero-en-Venezuela.pdf</w:t>
        </w:r>
      </w:hyperlink>
      <w:r w:rsidRPr="00685A54">
        <w:rPr>
          <w:rFonts w:ascii="Times New Roman" w:eastAsia="Times New Roman" w:hAnsi="Times New Roman" w:cs="Times New Roman"/>
          <w:sz w:val="16"/>
          <w:szCs w:val="16"/>
        </w:rPr>
        <w:t xml:space="preserve"> </w:t>
      </w:r>
    </w:p>
  </w:footnote>
  <w:footnote w:id="27">
    <w:p w14:paraId="787DD334" w14:textId="7DABC184" w:rsidR="00665491" w:rsidRPr="00685A54" w:rsidRDefault="00000000">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Defiende Venezuela remitió en diciembre de 2022, una solicitud de Medida Cautelar a la Comisión Interamericana de Derechos Humanos</w:t>
      </w:r>
      <w:r w:rsidR="00685A54">
        <w:rPr>
          <w:rFonts w:ascii="Times New Roman" w:eastAsia="Times New Roman" w:hAnsi="Times New Roman" w:cs="Times New Roman"/>
          <w:sz w:val="16"/>
          <w:szCs w:val="16"/>
        </w:rPr>
        <w:t>.</w:t>
      </w:r>
      <w:r w:rsidRPr="00685A54">
        <w:rPr>
          <w:rFonts w:ascii="Times New Roman" w:hAnsi="Times New Roman" w:cs="Times New Roman"/>
          <w:sz w:val="16"/>
          <w:szCs w:val="16"/>
        </w:rPr>
        <w:t xml:space="preserve"> </w:t>
      </w:r>
    </w:p>
  </w:footnote>
  <w:footnote w:id="28">
    <w:p w14:paraId="0E1C6EB9" w14:textId="4762FBEA" w:rsidR="00665491" w:rsidRPr="00685A54" w:rsidRDefault="00000000">
      <w:pPr>
        <w:spacing w:line="240" w:lineRule="auto"/>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 Defiende Venezuela remitió el 08 de noviembre de 2022, una carta de alegación a la Relatoría Especial sobre Violencia contra la Mujer, sus Causas y Consecuencias, y al Grupo de Trabajo sobre la </w:t>
      </w:r>
      <w:r w:rsidR="00685A54" w:rsidRPr="00685A54">
        <w:rPr>
          <w:rFonts w:ascii="Times New Roman" w:eastAsia="Times New Roman" w:hAnsi="Times New Roman" w:cs="Times New Roman"/>
          <w:sz w:val="16"/>
          <w:szCs w:val="16"/>
        </w:rPr>
        <w:t>Discriminación</w:t>
      </w:r>
      <w:r w:rsidRPr="00685A54">
        <w:rPr>
          <w:rFonts w:ascii="Times New Roman" w:eastAsia="Times New Roman" w:hAnsi="Times New Roman" w:cs="Times New Roman"/>
          <w:sz w:val="16"/>
          <w:szCs w:val="16"/>
        </w:rPr>
        <w:t xml:space="preserve"> contra las Mujeres y las Niñas.</w:t>
      </w:r>
      <w:r w:rsidRPr="00685A54">
        <w:rPr>
          <w:rFonts w:ascii="Times New Roman" w:hAnsi="Times New Roman" w:cs="Times New Roman"/>
          <w:sz w:val="16"/>
          <w:szCs w:val="16"/>
        </w:rPr>
        <w:t xml:space="preserve"> </w:t>
      </w:r>
    </w:p>
  </w:footnote>
  <w:footnote w:id="29">
    <w:p w14:paraId="73D07A5B" w14:textId="7EC19B35"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El diario. En Venezuela solo hay una casa de abrigo para las mujeres que han sufrido violencia de género. 29 de agosto de 2022. Disponible en: </w:t>
      </w:r>
      <w:hyperlink r:id="rId6">
        <w:r w:rsidRPr="00685A54">
          <w:rPr>
            <w:rFonts w:ascii="Times New Roman" w:eastAsia="Times New Roman" w:hAnsi="Times New Roman" w:cs="Times New Roman"/>
            <w:color w:val="1155CC"/>
            <w:sz w:val="16"/>
            <w:szCs w:val="16"/>
            <w:u w:val="single"/>
          </w:rPr>
          <w:t>https://eldiario.com/2022/08/29/en-venezuela-solo-hay-una-casa-de-abrigo-para-las-mujeres-que-han-sufrido-violencia-de-genero/</w:t>
        </w:r>
      </w:hyperlink>
      <w:r w:rsidRPr="00685A54">
        <w:rPr>
          <w:rFonts w:ascii="Times New Roman" w:eastAsia="Times New Roman" w:hAnsi="Times New Roman" w:cs="Times New Roman"/>
          <w:sz w:val="16"/>
          <w:szCs w:val="16"/>
        </w:rPr>
        <w:t xml:space="preserve">, </w:t>
      </w:r>
      <w:r w:rsidR="00685A54" w:rsidRPr="00685A54">
        <w:rPr>
          <w:rFonts w:ascii="Times New Roman" w:eastAsia="Times New Roman" w:hAnsi="Times New Roman" w:cs="Times New Roman"/>
          <w:sz w:val="16"/>
          <w:szCs w:val="16"/>
        </w:rPr>
        <w:t>Crónica</w:t>
      </w:r>
      <w:r w:rsidRPr="00685A54">
        <w:rPr>
          <w:rFonts w:ascii="Times New Roman" w:eastAsia="Times New Roman" w:hAnsi="Times New Roman" w:cs="Times New Roman"/>
          <w:sz w:val="16"/>
          <w:szCs w:val="16"/>
        </w:rPr>
        <w:t xml:space="preserve"> Uno. Casas de Abrigo en Venezuela: Una deuda para las sobrevivientes de violencia de género. 8 de septiembre de 2022. Disponible en: </w:t>
      </w:r>
      <w:hyperlink r:id="rId7">
        <w:r w:rsidRPr="00685A54">
          <w:rPr>
            <w:rFonts w:ascii="Times New Roman" w:eastAsia="Times New Roman" w:hAnsi="Times New Roman" w:cs="Times New Roman"/>
            <w:color w:val="1155CC"/>
            <w:sz w:val="16"/>
            <w:szCs w:val="16"/>
            <w:u w:val="single"/>
          </w:rPr>
          <w:t>https://cronica.uno/sobrevivientes-de-violencia-de-genero-permanecen-sin-casas-de-abrigo/</w:t>
        </w:r>
      </w:hyperlink>
      <w:r w:rsidRPr="00685A54">
        <w:rPr>
          <w:rFonts w:ascii="Times New Roman" w:eastAsia="Times New Roman" w:hAnsi="Times New Roman" w:cs="Times New Roman"/>
          <w:sz w:val="16"/>
          <w:szCs w:val="16"/>
        </w:rPr>
        <w:t xml:space="preserve">  </w:t>
      </w:r>
    </w:p>
  </w:footnote>
  <w:footnote w:id="30">
    <w:p w14:paraId="1FF2FC62" w14:textId="6096D285"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Noveno informe periódico que la República Bolivariana de Venezuela </w:t>
      </w:r>
      <w:r w:rsidR="00685A54">
        <w:rPr>
          <w:rFonts w:ascii="Times New Roman" w:eastAsia="Times New Roman" w:hAnsi="Times New Roman" w:cs="Times New Roman"/>
          <w:sz w:val="16"/>
          <w:szCs w:val="16"/>
        </w:rPr>
        <w:t>(…)</w:t>
      </w:r>
      <w:r w:rsidRPr="00685A54">
        <w:rPr>
          <w:rFonts w:ascii="Times New Roman" w:eastAsia="Times New Roman" w:hAnsi="Times New Roman" w:cs="Times New Roman"/>
          <w:sz w:val="16"/>
          <w:szCs w:val="16"/>
        </w:rPr>
        <w:t xml:space="preserve"> </w:t>
      </w:r>
      <w:r w:rsidR="00685A54" w:rsidRPr="00685A54">
        <w:rPr>
          <w:rFonts w:ascii="Times New Roman" w:eastAsia="Times New Roman" w:hAnsi="Times New Roman" w:cs="Times New Roman"/>
          <w:sz w:val="16"/>
          <w:szCs w:val="16"/>
        </w:rPr>
        <w:t>párr.</w:t>
      </w:r>
      <w:r w:rsidRPr="00685A54">
        <w:rPr>
          <w:rFonts w:ascii="Times New Roman" w:eastAsia="Times New Roman" w:hAnsi="Times New Roman" w:cs="Times New Roman"/>
          <w:sz w:val="16"/>
          <w:szCs w:val="16"/>
        </w:rPr>
        <w:t xml:space="preserve"> 56. </w:t>
      </w:r>
    </w:p>
  </w:footnote>
  <w:footnote w:id="31">
    <w:p w14:paraId="47C8F0E0"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COFAVIC. Violencia contra las mujeres venezolanas. 2022. Disponible en: </w:t>
      </w:r>
      <w:hyperlink r:id="rId8">
        <w:r w:rsidRPr="00685A54">
          <w:rPr>
            <w:rFonts w:ascii="Times New Roman" w:eastAsia="Times New Roman" w:hAnsi="Times New Roman" w:cs="Times New Roman"/>
            <w:color w:val="1155CC"/>
            <w:sz w:val="16"/>
            <w:szCs w:val="16"/>
            <w:u w:val="single"/>
          </w:rPr>
          <w:t>https://cofavic.org/wp-content/uploads/2022/04/Informe_FEM21-Vs8-ABRIL2022.pdf</w:t>
        </w:r>
      </w:hyperlink>
      <w:r w:rsidRPr="00685A54">
        <w:rPr>
          <w:rFonts w:ascii="Times New Roman" w:eastAsia="Times New Roman" w:hAnsi="Times New Roman" w:cs="Times New Roman"/>
          <w:sz w:val="16"/>
          <w:szCs w:val="16"/>
        </w:rPr>
        <w:t xml:space="preserve"> </w:t>
      </w:r>
    </w:p>
  </w:footnote>
  <w:footnote w:id="32">
    <w:p w14:paraId="02CDA0D6" w14:textId="60F17BEF"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Noveno informe periódico que la República Bolivariana de Venezuela </w:t>
      </w:r>
      <w:r w:rsidR="00685A54">
        <w:rPr>
          <w:rFonts w:ascii="Times New Roman" w:eastAsia="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párr. 217. </w:t>
      </w:r>
    </w:p>
  </w:footnote>
  <w:footnote w:id="33">
    <w:p w14:paraId="259FF4F4" w14:textId="51745820"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Respuestas de la República Bolivariana de Venezuela a la lista de cuestiones y </w:t>
      </w:r>
      <w:r w:rsidR="00685A54">
        <w:rPr>
          <w:rFonts w:ascii="Times New Roman" w:eastAsia="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parrs. 103 ss. </w:t>
      </w:r>
    </w:p>
  </w:footnote>
  <w:footnote w:id="34">
    <w:p w14:paraId="04850BDD"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Casos documentados por Defiende Venezuela y remitidos a la CIDH bajo las siguientes características: Escrito de observaciones al fondo. Petición Nro. 14.143. 2022, y; Petición signada con el Nro.-987-19. 15 de abril de 2019, respectivamente.</w:t>
      </w:r>
    </w:p>
  </w:footnote>
  <w:footnote w:id="35">
    <w:p w14:paraId="7F24D1E2"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Casos documentados por Defiende Venezuela y remitidos al Grupo de Trabajo sobre Detenciones Arbitrarias el 09 de agosto de 2022, sobre violaciones a los derechos humanos producidas a raíz de la “Operación Trueno” en Altagracia de Orituco, estado Guárico. </w:t>
      </w:r>
    </w:p>
  </w:footnote>
  <w:footnote w:id="36">
    <w:p w14:paraId="4294B892"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PROVEA. Mujeres en la cárcel. 12 de marzo de 2017. Disponible en: </w:t>
      </w:r>
      <w:hyperlink r:id="rId9">
        <w:r w:rsidRPr="00685A54">
          <w:rPr>
            <w:rFonts w:ascii="Times New Roman" w:eastAsia="Times New Roman" w:hAnsi="Times New Roman" w:cs="Times New Roman"/>
            <w:color w:val="1155CC"/>
            <w:sz w:val="16"/>
            <w:szCs w:val="16"/>
            <w:u w:val="single"/>
          </w:rPr>
          <w:t>https://provea.org/opinion/mujeres-en-la-carcel/</w:t>
        </w:r>
      </w:hyperlink>
      <w:r w:rsidRPr="00685A54">
        <w:rPr>
          <w:rFonts w:ascii="Times New Roman" w:eastAsia="Times New Roman" w:hAnsi="Times New Roman" w:cs="Times New Roman"/>
          <w:sz w:val="16"/>
          <w:szCs w:val="16"/>
        </w:rPr>
        <w:t xml:space="preserve"> </w:t>
      </w:r>
    </w:p>
  </w:footnote>
  <w:footnote w:id="37">
    <w:p w14:paraId="5E79A16A" w14:textId="77777777" w:rsidR="00665491" w:rsidRPr="00685A54" w:rsidRDefault="00000000">
      <w:pPr>
        <w:spacing w:line="240" w:lineRule="auto"/>
        <w:jc w:val="both"/>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w:t>
      </w:r>
      <w:proofErr w:type="gramStart"/>
      <w:r w:rsidRPr="00685A54">
        <w:rPr>
          <w:rFonts w:ascii="Times New Roman" w:eastAsia="Times New Roman" w:hAnsi="Times New Roman" w:cs="Times New Roman"/>
          <w:sz w:val="16"/>
          <w:szCs w:val="16"/>
        </w:rPr>
        <w:t>Hum</w:t>
      </w:r>
      <w:proofErr w:type="gramEnd"/>
      <w:r w:rsidRPr="00685A54">
        <w:rPr>
          <w:rFonts w:ascii="Times New Roman" w:eastAsia="Times New Roman" w:hAnsi="Times New Roman" w:cs="Times New Roman"/>
          <w:sz w:val="16"/>
          <w:szCs w:val="16"/>
        </w:rPr>
        <w:t xml:space="preserve"> Venezuela.  OVP: Mujeres privadas de la libertad sufren la desidia del Estado venezolano. 18 de junio de 2021. Disponible en: </w:t>
      </w:r>
      <w:hyperlink r:id="rId10">
        <w:r w:rsidRPr="00685A54">
          <w:rPr>
            <w:rFonts w:ascii="Times New Roman" w:eastAsia="Times New Roman" w:hAnsi="Times New Roman" w:cs="Times New Roman"/>
            <w:color w:val="1155CC"/>
            <w:sz w:val="16"/>
            <w:szCs w:val="16"/>
            <w:u w:val="single"/>
          </w:rPr>
          <w:t>https://humvenezuela.com/informe-ovp-mujeres-privadas-de-la-libertad-sufren-la-desidia-del-estado-venezolano/</w:t>
        </w:r>
      </w:hyperlink>
      <w:r w:rsidRPr="00685A54">
        <w:rPr>
          <w:rFonts w:ascii="Times New Roman" w:eastAsia="Times New Roman" w:hAnsi="Times New Roman" w:cs="Times New Roman"/>
          <w:sz w:val="16"/>
          <w:szCs w:val="16"/>
        </w:rPr>
        <w:t xml:space="preserve"> </w:t>
      </w:r>
    </w:p>
  </w:footnote>
  <w:footnote w:id="38">
    <w:p w14:paraId="7B323A51" w14:textId="77777777"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Noveno informe periódico que la República Bolivariana de Venezuela debía presentar en 2018 en virtud del artículo 18 de la Convención. 4 de octubre de 2021.</w:t>
      </w:r>
    </w:p>
  </w:footnote>
  <w:footnote w:id="39">
    <w:p w14:paraId="50F43B52" w14:textId="5275ED5B" w:rsidR="00665491" w:rsidRPr="00685A54" w:rsidRDefault="00000000">
      <w:pPr>
        <w:spacing w:line="240" w:lineRule="auto"/>
        <w:rPr>
          <w:rFonts w:ascii="Times New Roman" w:eastAsia="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eastAsia="Times New Roman" w:hAnsi="Times New Roman" w:cs="Times New Roman"/>
          <w:sz w:val="16"/>
          <w:szCs w:val="16"/>
        </w:rPr>
        <w:t xml:space="preserve"> Respuestas de la República Bolivariana de Venezuela a la lista de cuestiones y </w:t>
      </w:r>
      <w:r w:rsidR="00685A54">
        <w:rPr>
          <w:rFonts w:ascii="Times New Roman" w:eastAsia="Times New Roman" w:hAnsi="Times New Roman" w:cs="Times New Roman"/>
          <w:sz w:val="16"/>
          <w:szCs w:val="16"/>
        </w:rPr>
        <w:t xml:space="preserve">(…) </w:t>
      </w:r>
      <w:r w:rsidRPr="00685A54">
        <w:rPr>
          <w:rFonts w:ascii="Times New Roman" w:eastAsia="Times New Roman" w:hAnsi="Times New Roman" w:cs="Times New Roman"/>
          <w:sz w:val="16"/>
          <w:szCs w:val="16"/>
        </w:rPr>
        <w:t>párr. 102.</w:t>
      </w:r>
    </w:p>
  </w:footnote>
  <w:footnote w:id="40">
    <w:p w14:paraId="4494A968" w14:textId="77777777" w:rsidR="00665491" w:rsidRPr="00685A54" w:rsidRDefault="00000000">
      <w:pPr>
        <w:spacing w:line="240" w:lineRule="auto"/>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El Diario. “Presentaron ante la AN oficialista una ley para ilegalizar a varias ONG en Venezuela” de fecha 24 de enero de 2023, recuperado en:  </w:t>
      </w:r>
      <w:r w:rsidRPr="00685A54">
        <w:rPr>
          <w:rFonts w:ascii="Times New Roman" w:eastAsia="Times New Roman" w:hAnsi="Times New Roman" w:cs="Times New Roman"/>
          <w:color w:val="0563C1"/>
          <w:sz w:val="16"/>
          <w:szCs w:val="16"/>
          <w:u w:val="single"/>
        </w:rPr>
        <w:t>https://eldiario.com/2023/01/24/an-oficialista-ley-para-ilegalizar-a-varias-ong-en-venezuela/</w:t>
      </w:r>
      <w:r w:rsidRPr="00685A54">
        <w:rPr>
          <w:rFonts w:ascii="Times New Roman" w:eastAsia="Times New Roman" w:hAnsi="Times New Roman" w:cs="Times New Roman"/>
          <w:color w:val="0563C1"/>
          <w:sz w:val="16"/>
          <w:szCs w:val="16"/>
        </w:rPr>
        <w:t xml:space="preserve"> </w:t>
      </w:r>
    </w:p>
  </w:footnote>
  <w:footnote w:id="41">
    <w:p w14:paraId="1633D4D9" w14:textId="77777777" w:rsidR="00665491" w:rsidRPr="00685A54" w:rsidRDefault="00000000">
      <w:pPr>
        <w:spacing w:line="240" w:lineRule="auto"/>
        <w:jc w:val="both"/>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Twitter. Mario D´Andrea (@Mario91Dandrea): “#DENUNCIA Aprobada por la AN en 1ra discusión, el Proyecto de Ley del uso </w:t>
      </w:r>
      <w:proofErr w:type="gramStart"/>
      <w:r w:rsidRPr="00685A54">
        <w:rPr>
          <w:rFonts w:ascii="Times New Roman" w:eastAsia="Times New Roman" w:hAnsi="Times New Roman" w:cs="Times New Roman"/>
          <w:sz w:val="16"/>
          <w:szCs w:val="16"/>
        </w:rPr>
        <w:t>del  financiamiento</w:t>
      </w:r>
      <w:proofErr w:type="gramEnd"/>
      <w:r w:rsidRPr="00685A54">
        <w:rPr>
          <w:rFonts w:ascii="Times New Roman" w:eastAsia="Times New Roman" w:hAnsi="Times New Roman" w:cs="Times New Roman"/>
          <w:sz w:val="16"/>
          <w:szCs w:val="16"/>
        </w:rPr>
        <w:t xml:space="preserve"> y funcionamiento de organizaciones no gubernamentales (y afines). De acuerdo con el art. 208 de la CN debían evaluarse </w:t>
      </w:r>
      <w:proofErr w:type="gramStart"/>
      <w:r w:rsidRPr="00685A54">
        <w:rPr>
          <w:rFonts w:ascii="Times New Roman" w:eastAsia="Times New Roman" w:hAnsi="Times New Roman" w:cs="Times New Roman"/>
          <w:sz w:val="16"/>
          <w:szCs w:val="16"/>
        </w:rPr>
        <w:t>sus  objetivos</w:t>
      </w:r>
      <w:proofErr w:type="gramEnd"/>
      <w:r w:rsidRPr="00685A54">
        <w:rPr>
          <w:rFonts w:ascii="Times New Roman" w:eastAsia="Times New Roman" w:hAnsi="Times New Roman" w:cs="Times New Roman"/>
          <w:sz w:val="16"/>
          <w:szCs w:val="16"/>
        </w:rPr>
        <w:t xml:space="preserve">, alcance y articulado. Esto no se hizo.” De fecha 24 de enero de 2023, recuperado en:  </w:t>
      </w:r>
      <w:r w:rsidRPr="00685A54">
        <w:rPr>
          <w:rFonts w:ascii="Times New Roman" w:eastAsia="Times New Roman" w:hAnsi="Times New Roman" w:cs="Times New Roman"/>
          <w:color w:val="954F72"/>
          <w:sz w:val="16"/>
          <w:szCs w:val="16"/>
          <w:u w:val="single"/>
        </w:rPr>
        <w:t>https://twitter.com/Mario91Dandrea/status/1617993633797668866?s=20</w:t>
      </w:r>
    </w:p>
  </w:footnote>
  <w:footnote w:id="42">
    <w:p w14:paraId="5D79490B" w14:textId="77777777" w:rsidR="00665491" w:rsidRPr="00685A54" w:rsidRDefault="00000000">
      <w:pPr>
        <w:spacing w:line="240" w:lineRule="auto"/>
        <w:rPr>
          <w:rFonts w:ascii="Times New Roman" w:hAnsi="Times New Roman" w:cs="Times New Roman"/>
          <w:sz w:val="16"/>
          <w:szCs w:val="16"/>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Tal Cual. “En Claves | ¿Qué establece el Proyecto de Ley para Fiscalizar a las ONG y Afines?” de fecha 24 de enero de 2023, recuperado en:  </w:t>
      </w:r>
      <w:r w:rsidRPr="00685A54">
        <w:rPr>
          <w:rFonts w:ascii="Times New Roman" w:eastAsia="Times New Roman" w:hAnsi="Times New Roman" w:cs="Times New Roman"/>
          <w:color w:val="0563C1"/>
          <w:sz w:val="16"/>
          <w:szCs w:val="16"/>
          <w:u w:val="single"/>
        </w:rPr>
        <w:t>https://talcualdigital.com/en-claves-que-establece-el-proyecto-de-ley-para-fiscalizar-a-las-ong-y-afines/</w:t>
      </w:r>
      <w:r w:rsidRPr="00685A54">
        <w:rPr>
          <w:rFonts w:ascii="Times New Roman" w:eastAsia="Times New Roman" w:hAnsi="Times New Roman" w:cs="Times New Roman"/>
          <w:color w:val="0563C1"/>
          <w:sz w:val="16"/>
          <w:szCs w:val="16"/>
        </w:rPr>
        <w:t xml:space="preserve"> </w:t>
      </w:r>
    </w:p>
  </w:footnote>
  <w:footnote w:id="43">
    <w:p w14:paraId="10F41E64" w14:textId="111F8C4F" w:rsidR="00665491" w:rsidRDefault="00000000">
      <w:pPr>
        <w:spacing w:line="240" w:lineRule="auto"/>
        <w:jc w:val="both"/>
        <w:rPr>
          <w:rFonts w:ascii="Times New Roman" w:eastAsia="Times New Roman" w:hAnsi="Times New Roman" w:cs="Times New Roman"/>
          <w:sz w:val="18"/>
          <w:szCs w:val="18"/>
        </w:rPr>
      </w:pPr>
      <w:r w:rsidRPr="00685A54">
        <w:rPr>
          <w:rFonts w:ascii="Times New Roman" w:hAnsi="Times New Roman" w:cs="Times New Roman"/>
          <w:sz w:val="16"/>
          <w:szCs w:val="16"/>
          <w:vertAlign w:val="superscript"/>
        </w:rPr>
        <w:footnoteRef/>
      </w:r>
      <w:r w:rsidRPr="00685A54">
        <w:rPr>
          <w:rFonts w:ascii="Times New Roman" w:hAnsi="Times New Roman" w:cs="Times New Roman"/>
          <w:sz w:val="16"/>
          <w:szCs w:val="16"/>
        </w:rPr>
        <w:t xml:space="preserve"> </w:t>
      </w:r>
      <w:r w:rsidRPr="00685A54">
        <w:rPr>
          <w:rFonts w:ascii="Times New Roman" w:eastAsia="Times New Roman" w:hAnsi="Times New Roman" w:cs="Times New Roman"/>
          <w:sz w:val="16"/>
          <w:szCs w:val="16"/>
        </w:rPr>
        <w:t xml:space="preserve">Espacio Público. “Liberan a la defensora de Derechos Humanos María Fernanda Rodríguez” de fecha 28 de enero de 2023, recuperado en: </w:t>
      </w:r>
      <w:hyperlink r:id="rId11">
        <w:r w:rsidRPr="00685A54">
          <w:rPr>
            <w:rFonts w:ascii="Times New Roman" w:eastAsia="Times New Roman" w:hAnsi="Times New Roman" w:cs="Times New Roman"/>
            <w:color w:val="1155CC"/>
            <w:sz w:val="16"/>
            <w:szCs w:val="16"/>
            <w:u w:val="single"/>
          </w:rPr>
          <w:t>https://espaciopublico.ong/liberan-a-la-defensora-de-derechos-humanos-maria-fernanda-rodriguez/</w:t>
        </w:r>
      </w:hyperlink>
      <w:r w:rsidRPr="00685A54">
        <w:rPr>
          <w:rFonts w:ascii="Times New Roman" w:eastAsia="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68306" w14:textId="77777777" w:rsidR="00665491" w:rsidRDefault="00000000">
    <w:pPr>
      <w:rPr>
        <w:rFonts w:ascii="Times New Roman" w:eastAsia="Times New Roman" w:hAnsi="Times New Roman" w:cs="Times New Roman"/>
        <w:i/>
        <w:sz w:val="20"/>
        <w:szCs w:val="20"/>
      </w:rPr>
    </w:pPr>
    <w:r>
      <w:rPr>
        <w:rFonts w:ascii="Times New Roman" w:eastAsia="Times New Roman" w:hAnsi="Times New Roman" w:cs="Times New Roman"/>
        <w:i/>
        <w:sz w:val="20"/>
        <w:szCs w:val="20"/>
      </w:rPr>
      <w:t>Informe Alternativo a la CEDAW sobre la situación de Venezuela</w:t>
    </w:r>
    <w:r>
      <w:rPr>
        <w:noProof/>
      </w:rPr>
      <w:drawing>
        <wp:anchor distT="0" distB="0" distL="114300" distR="114300" simplePos="0" relativeHeight="251658240" behindDoc="0" locked="0" layoutInCell="1" hidden="0" allowOverlap="1" wp14:anchorId="7E19515C" wp14:editId="2C532D42">
          <wp:simplePos x="0" y="0"/>
          <wp:positionH relativeFrom="column">
            <wp:posOffset>5457825</wp:posOffset>
          </wp:positionH>
          <wp:positionV relativeFrom="paragraph">
            <wp:posOffset>-17793</wp:posOffset>
          </wp:positionV>
          <wp:extent cx="666750" cy="407035"/>
          <wp:effectExtent l="0" t="0" r="0" b="0"/>
          <wp:wrapSquare wrapText="bothSides" distT="0" distB="0" distL="114300" distR="114300"/>
          <wp:docPr id="2" name="image1.jpg" descr="C:\Users\dvafe\Downloads\defiendevenezuela_logotipo-01.jpg"/>
          <wp:cNvGraphicFramePr/>
          <a:graphic xmlns:a="http://schemas.openxmlformats.org/drawingml/2006/main">
            <a:graphicData uri="http://schemas.openxmlformats.org/drawingml/2006/picture">
              <pic:pic xmlns:pic="http://schemas.openxmlformats.org/drawingml/2006/picture">
                <pic:nvPicPr>
                  <pic:cNvPr id="0" name="image1.jpg" descr="C:\Users\dvafe\Downloads\defiendevenezuela_logotipo-01.jpg"/>
                  <pic:cNvPicPr preferRelativeResize="0"/>
                </pic:nvPicPr>
                <pic:blipFill>
                  <a:blip r:embed="rId1"/>
                  <a:srcRect/>
                  <a:stretch>
                    <a:fillRect/>
                  </a:stretch>
                </pic:blipFill>
                <pic:spPr>
                  <a:xfrm>
                    <a:off x="0" y="0"/>
                    <a:ext cx="666750" cy="407035"/>
                  </a:xfrm>
                  <a:prstGeom prst="rect">
                    <a:avLst/>
                  </a:prstGeom>
                  <a:ln/>
                </pic:spPr>
              </pic:pic>
            </a:graphicData>
          </a:graphic>
        </wp:anchor>
      </w:drawing>
    </w:r>
  </w:p>
  <w:p w14:paraId="25BD426A" w14:textId="77777777" w:rsidR="00665491" w:rsidRDefault="00000000">
    <w:pPr>
      <w:rPr>
        <w:rFonts w:ascii="Times New Roman" w:eastAsia="Times New Roman" w:hAnsi="Times New Roman" w:cs="Times New Roman"/>
        <w:i/>
        <w:sz w:val="20"/>
        <w:szCs w:val="20"/>
      </w:rPr>
    </w:pPr>
    <w:r>
      <w:rPr>
        <w:noProof/>
      </w:rPr>
      <mc:AlternateContent>
        <mc:Choice Requires="wpg">
          <w:drawing>
            <wp:anchor distT="0" distB="0" distL="114300" distR="114300" simplePos="0" relativeHeight="251659264" behindDoc="0" locked="0" layoutInCell="1" hidden="0" allowOverlap="1" wp14:anchorId="0DFC1A1E" wp14:editId="1B829BE9">
              <wp:simplePos x="0" y="0"/>
              <wp:positionH relativeFrom="column">
                <wp:posOffset>-66674</wp:posOffset>
              </wp:positionH>
              <wp:positionV relativeFrom="paragraph">
                <wp:posOffset>0</wp:posOffset>
              </wp:positionV>
              <wp:extent cx="5730875" cy="41275"/>
              <wp:effectExtent l="0" t="0" r="0" b="0"/>
              <wp:wrapSquare wrapText="bothSides" distT="0" distB="0" distL="114300" distR="114300"/>
              <wp:docPr id="1" name="Conector recto de flecha 1"/>
              <wp:cNvGraphicFramePr/>
              <a:graphic xmlns:a="http://schemas.openxmlformats.org/drawingml/2006/main">
                <a:graphicData uri="http://schemas.microsoft.com/office/word/2010/wordprocessingShape">
                  <wps:wsp>
                    <wps:cNvCnPr/>
                    <wps:spPr>
                      <a:xfrm>
                        <a:off x="2485325" y="3764125"/>
                        <a:ext cx="5721350" cy="31750"/>
                      </a:xfrm>
                      <a:prstGeom prst="straightConnector1">
                        <a:avLst/>
                      </a:prstGeom>
                      <a:noFill/>
                      <a:ln w="9525" cap="flat" cmpd="sng">
                        <a:solidFill>
                          <a:srgbClr val="366092"/>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-66674</wp:posOffset>
              </wp:positionH>
              <wp:positionV relativeFrom="paragraph">
                <wp:posOffset>0</wp:posOffset>
              </wp:positionV>
              <wp:extent cx="5730875" cy="41275"/>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730875" cy="4127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76510"/>
    <w:multiLevelType w:val="multilevel"/>
    <w:tmpl w:val="A82C2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BD05DB"/>
    <w:multiLevelType w:val="multilevel"/>
    <w:tmpl w:val="C3923F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40037F84"/>
    <w:multiLevelType w:val="multilevel"/>
    <w:tmpl w:val="6A9EB4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4B3E47EA"/>
    <w:multiLevelType w:val="multilevel"/>
    <w:tmpl w:val="52D08358"/>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B75DF5"/>
    <w:multiLevelType w:val="multilevel"/>
    <w:tmpl w:val="A670AFE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66005510"/>
    <w:multiLevelType w:val="multilevel"/>
    <w:tmpl w:val="329AB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66854F05"/>
    <w:multiLevelType w:val="multilevel"/>
    <w:tmpl w:val="85325A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720B65E1"/>
    <w:multiLevelType w:val="multilevel"/>
    <w:tmpl w:val="7CE84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AF66E4"/>
    <w:multiLevelType w:val="multilevel"/>
    <w:tmpl w:val="21EE26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768189459">
    <w:abstractNumId w:val="8"/>
  </w:num>
  <w:num w:numId="2" w16cid:durableId="1561012629">
    <w:abstractNumId w:val="4"/>
  </w:num>
  <w:num w:numId="3" w16cid:durableId="767116143">
    <w:abstractNumId w:val="7"/>
  </w:num>
  <w:num w:numId="4" w16cid:durableId="632642073">
    <w:abstractNumId w:val="5"/>
  </w:num>
  <w:num w:numId="5" w16cid:durableId="510678074">
    <w:abstractNumId w:val="3"/>
  </w:num>
  <w:num w:numId="6" w16cid:durableId="1359157774">
    <w:abstractNumId w:val="2"/>
  </w:num>
  <w:num w:numId="7" w16cid:durableId="2107729999">
    <w:abstractNumId w:val="0"/>
  </w:num>
  <w:num w:numId="8" w16cid:durableId="1295717395">
    <w:abstractNumId w:val="1"/>
  </w:num>
  <w:num w:numId="9" w16cid:durableId="47872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491"/>
    <w:rsid w:val="004E10CA"/>
    <w:rsid w:val="00665491"/>
    <w:rsid w:val="00685A54"/>
    <w:rsid w:val="00B24D8C"/>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158ED"/>
  <w15:docId w15:val="{06DFB2D1-BC10-41F5-A29C-F9EC9D39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V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B24D8C"/>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B24D8C"/>
  </w:style>
  <w:style w:type="paragraph" w:styleId="Piedepgina">
    <w:name w:val="footer"/>
    <w:basedOn w:val="Normal"/>
    <w:link w:val="PiedepginaCar"/>
    <w:uiPriority w:val="99"/>
    <w:unhideWhenUsed/>
    <w:rsid w:val="00B24D8C"/>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B24D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ofavic.org/wp-content/uploads/2022/04/Informe_FEM21-Vs8-ABRIL2022.pdf" TargetMode="External"/><Relationship Id="rId3" Type="http://schemas.openxmlformats.org/officeDocument/2006/relationships/hyperlink" Target="https://mppre.gob.ve/2021/02/23/ministra-carolys-perez-expone-cepal-avances-gobierno-venezolano-reivindicar-derechos-mujer/" TargetMode="External"/><Relationship Id="rId7" Type="http://schemas.openxmlformats.org/officeDocument/2006/relationships/hyperlink" Target="https://cronica.uno/sobrevivientes-de-violencia-de-genero-permanecen-sin-casas-de-abrigo/" TargetMode="External"/><Relationship Id="rId2" Type="http://schemas.openxmlformats.org/officeDocument/2006/relationships/hyperlink" Target="http://www.miranda.gob.ve/index.php/afinan-estrategias-para-fortalecer-organo-superior-de-justicia-de-genero-en-miranda/" TargetMode="External"/><Relationship Id="rId1" Type="http://schemas.openxmlformats.org/officeDocument/2006/relationships/hyperlink" Target="https://eldiario.com/2022/11/29/activistas-levantan-huelga-caracas-por-acuerdo-con-regimen/" TargetMode="External"/><Relationship Id="rId6" Type="http://schemas.openxmlformats.org/officeDocument/2006/relationships/hyperlink" Target="https://eldiario.com/2022/08/29/en-venezuela-solo-hay-una-casa-de-abrigo-para-las-mujeres-que-han-sufrido-violencia-de-genero/" TargetMode="External"/><Relationship Id="rId11" Type="http://schemas.openxmlformats.org/officeDocument/2006/relationships/hyperlink" Target="https://espaciopublico.ong/liberan-a-la-defensora-de-derechos-humanos-maria-fernanda-rodriguez/" TargetMode="External"/><Relationship Id="rId5" Type="http://schemas.openxmlformats.org/officeDocument/2006/relationships/hyperlink" Target="https://www.unimet.edu.ve/wp-content/uploads/2022/04/Diagn%C3%B3stico-inicial-sobre-el-funcionamiento-del-sistema-de-justicia-en-los-casos-de-violencia-de-g%C3%A9nero-en-Venezuela.pdf" TargetMode="External"/><Relationship Id="rId10" Type="http://schemas.openxmlformats.org/officeDocument/2006/relationships/hyperlink" Target="https://humvenezuela.com/informe-ovp-mujeres-privadas-de-la-libertad-sufren-la-desidia-del-estado-venezolano/" TargetMode="External"/><Relationship Id="rId4" Type="http://schemas.openxmlformats.org/officeDocument/2006/relationships/hyperlink" Target="https://www.unimet.edu.ve/wp-content/uploads/2022/04/Diagn%C3%B3stico-inicial-sobre-el-funcionamiento-del-sistema-de-justicia-en-los-casos-de-violencia-de-g%C3%A9nero-en-Venezuela.pdf" TargetMode="External"/><Relationship Id="rId9" Type="http://schemas.openxmlformats.org/officeDocument/2006/relationships/hyperlink" Target="https://provea.org/opinion/mujeres-en-la-carce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4229</Words>
  <Characters>23262</Characters>
  <Application>Microsoft Office Word</Application>
  <DocSecurity>0</DocSecurity>
  <Lines>193</Lines>
  <Paragraphs>54</Paragraphs>
  <ScaleCrop>false</ScaleCrop>
  <Company/>
  <LinksUpToDate>false</LinksUpToDate>
  <CharactersWithSpaces>27437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Defiende</cp:lastModifiedBy>
  <cp:revision>3</cp:revision>
  <dcterms:created xsi:type="dcterms:W3CDTF">2023-04-11T21:23:00Z</dcterms:created>
  <dcterms:modified xsi:type="dcterms:W3CDTF">2023-04-11T21:33:00Z</dcterms:modified>
</cp:coreProperties>
</file>