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4FC5" w:rsidRDefault="00A62550" w:rsidP="006F593F">
      <w:pPr>
        <w:spacing w:before="240" w:after="240" w:line="276" w:lineRule="auto"/>
        <w:ind w:right="672"/>
        <w:jc w:val="center"/>
        <w:rPr>
          <w:rFonts w:ascii="Arial" w:eastAsia="Arial" w:hAnsi="Arial" w:cs="Arial"/>
          <w:b/>
          <w:color w:val="000000"/>
        </w:rPr>
      </w:pPr>
      <w:r>
        <w:rPr>
          <w:rFonts w:ascii="Arial" w:eastAsia="Arial" w:hAnsi="Arial" w:cs="Arial"/>
          <w:b/>
          <w:color w:val="000000"/>
        </w:rPr>
        <w:t xml:space="preserve">ANEXO </w:t>
      </w:r>
      <w:r>
        <w:rPr>
          <w:rFonts w:ascii="Arial" w:eastAsia="Arial" w:hAnsi="Arial" w:cs="Arial"/>
          <w:b/>
        </w:rPr>
        <w:t>6</w:t>
      </w:r>
    </w:p>
    <w:p w:rsidR="00ED4FC5" w:rsidRDefault="00A62550" w:rsidP="006F593F">
      <w:pPr>
        <w:spacing w:before="240" w:after="240" w:line="276" w:lineRule="auto"/>
        <w:ind w:left="-142" w:hanging="566"/>
        <w:jc w:val="center"/>
        <w:rPr>
          <w:rFonts w:ascii="Arial" w:eastAsia="Arial" w:hAnsi="Arial" w:cs="Arial"/>
          <w:b/>
        </w:rPr>
      </w:pPr>
      <w:r>
        <w:rPr>
          <w:rFonts w:ascii="Arial" w:eastAsia="Arial" w:hAnsi="Arial" w:cs="Arial"/>
          <w:b/>
        </w:rPr>
        <w:t>CAPACITACIONES Y CAMPAÑAS DE DIFUSIÓN EN MATERIA DE DERECHOS DE NIÑAS NIÑOS Y ADOLESCENTES</w:t>
      </w:r>
    </w:p>
    <w:p w:rsidR="00ED4FC5" w:rsidRDefault="00A62550" w:rsidP="006F593F">
      <w:pPr>
        <w:spacing w:before="240" w:after="0" w:line="276" w:lineRule="auto"/>
        <w:ind w:left="566" w:hanging="708"/>
        <w:jc w:val="both"/>
        <w:rPr>
          <w:rFonts w:ascii="Arial" w:eastAsia="Arial" w:hAnsi="Arial" w:cs="Arial"/>
          <w:sz w:val="20"/>
          <w:szCs w:val="20"/>
        </w:rPr>
      </w:pPr>
      <w:r>
        <w:rPr>
          <w:rFonts w:ascii="Arial" w:eastAsia="Arial" w:hAnsi="Arial" w:cs="Arial"/>
          <w:sz w:val="20"/>
          <w:szCs w:val="20"/>
        </w:rPr>
        <w:t>Tabla 1.</w:t>
      </w:r>
    </w:p>
    <w:tbl>
      <w:tblPr>
        <w:tblStyle w:val="afffa"/>
        <w:tblW w:w="133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15"/>
        <w:gridCol w:w="10306"/>
      </w:tblGrid>
      <w:tr w:rsidR="00ED4FC5">
        <w:tc>
          <w:tcPr>
            <w:tcW w:w="3015" w:type="dxa"/>
            <w:shd w:val="clear" w:color="auto" w:fill="000000"/>
          </w:tcPr>
          <w:p w:rsidR="00ED4FC5" w:rsidRDefault="00A62550" w:rsidP="006F593F">
            <w:pPr>
              <w:spacing w:line="276" w:lineRule="auto"/>
              <w:jc w:val="center"/>
              <w:rPr>
                <w:rFonts w:ascii="Arial" w:eastAsia="Arial" w:hAnsi="Arial" w:cs="Arial"/>
                <w:b/>
                <w:color w:val="FFFFFF"/>
              </w:rPr>
            </w:pPr>
            <w:r>
              <w:rPr>
                <w:rFonts w:ascii="Arial" w:eastAsia="Arial" w:hAnsi="Arial" w:cs="Arial"/>
                <w:b/>
                <w:color w:val="FFFFFF"/>
              </w:rPr>
              <w:t>INSTANCIA</w:t>
            </w:r>
          </w:p>
        </w:tc>
        <w:tc>
          <w:tcPr>
            <w:tcW w:w="10306" w:type="dxa"/>
            <w:shd w:val="clear" w:color="auto" w:fill="000000"/>
          </w:tcPr>
          <w:p w:rsidR="00ED4FC5" w:rsidRDefault="00A62550" w:rsidP="006F593F">
            <w:pPr>
              <w:spacing w:line="276" w:lineRule="auto"/>
              <w:jc w:val="center"/>
              <w:rPr>
                <w:rFonts w:ascii="Arial" w:eastAsia="Arial" w:hAnsi="Arial" w:cs="Arial"/>
                <w:b/>
                <w:color w:val="FFFFFF"/>
              </w:rPr>
            </w:pPr>
            <w:r>
              <w:rPr>
                <w:rFonts w:ascii="Arial" w:eastAsia="Arial" w:hAnsi="Arial" w:cs="Arial"/>
                <w:b/>
                <w:color w:val="FFFFFF"/>
              </w:rPr>
              <w:t>CAPACITACIÓN Y DIFUSIÓN</w:t>
            </w:r>
          </w:p>
        </w:tc>
      </w:tr>
      <w:tr w:rsidR="00ED4FC5">
        <w:tc>
          <w:tcPr>
            <w:tcW w:w="3015" w:type="dxa"/>
            <w:vAlign w:val="center"/>
          </w:tcPr>
          <w:p w:rsidR="00ED4FC5" w:rsidRDefault="00A62550" w:rsidP="006F593F">
            <w:pPr>
              <w:spacing w:line="276" w:lineRule="auto"/>
              <w:jc w:val="both"/>
              <w:rPr>
                <w:rFonts w:ascii="Arial" w:eastAsia="Arial" w:hAnsi="Arial" w:cs="Arial"/>
              </w:rPr>
            </w:pPr>
            <w:r>
              <w:rPr>
                <w:rFonts w:ascii="Arial" w:eastAsia="Arial" w:hAnsi="Arial" w:cs="Arial"/>
              </w:rPr>
              <w:t>Comisión Nacional para Prevenir y Erradicar la Violencia contra las Mujeres (CONAVIM)</w:t>
            </w:r>
          </w:p>
        </w:tc>
        <w:tc>
          <w:tcPr>
            <w:tcW w:w="10306" w:type="dxa"/>
          </w:tcPr>
          <w:p w:rsidR="00ED4FC5" w:rsidRDefault="00A62550" w:rsidP="006F593F">
            <w:pPr>
              <w:spacing w:line="276" w:lineRule="auto"/>
              <w:jc w:val="both"/>
              <w:rPr>
                <w:rFonts w:ascii="Arial" w:eastAsia="Arial" w:hAnsi="Arial" w:cs="Arial"/>
              </w:rPr>
            </w:pPr>
            <w:r>
              <w:rPr>
                <w:rFonts w:ascii="Arial" w:eastAsia="Arial" w:hAnsi="Arial" w:cs="Arial"/>
              </w:rPr>
              <w:t>Campaña “Eliminando los estereotipos y roles de género”. Se transmitieron 129 spots del 23 al 31 de diciembre de 2019, en tiempos oficiales en la estación 105.3 FM. Durante 2019, se realizaron 27 publicaciones orgánicas de promoción en Facebook con diversas temáticas relacionadas con niñas y adolescentes: roles y estereotipos de género, juguetes y juegos no sexistas, ni bélicos, ciencia, etc.</w:t>
            </w:r>
          </w:p>
        </w:tc>
      </w:tr>
      <w:tr w:rsidR="00ED4FC5">
        <w:tc>
          <w:tcPr>
            <w:tcW w:w="3015" w:type="dxa"/>
            <w:vAlign w:val="center"/>
          </w:tcPr>
          <w:p w:rsidR="00ED4FC5" w:rsidRDefault="00A62550" w:rsidP="006F593F">
            <w:pPr>
              <w:spacing w:line="276" w:lineRule="auto"/>
              <w:jc w:val="both"/>
              <w:rPr>
                <w:rFonts w:ascii="Arial" w:eastAsia="Arial" w:hAnsi="Arial" w:cs="Arial"/>
              </w:rPr>
            </w:pPr>
            <w:r>
              <w:rPr>
                <w:rFonts w:ascii="Arial" w:eastAsia="Arial" w:hAnsi="Arial" w:cs="Arial"/>
              </w:rPr>
              <w:t>Comisión Ejecutiva de Atención a Víctimas (CEAV)</w:t>
            </w:r>
          </w:p>
        </w:tc>
        <w:tc>
          <w:tcPr>
            <w:tcW w:w="10306" w:type="dxa"/>
          </w:tcPr>
          <w:p w:rsidR="00ED4FC5" w:rsidRDefault="00A62550" w:rsidP="006F593F">
            <w:pPr>
              <w:spacing w:line="276" w:lineRule="auto"/>
              <w:jc w:val="both"/>
              <w:rPr>
                <w:rFonts w:ascii="Arial" w:eastAsia="Arial" w:hAnsi="Arial" w:cs="Arial"/>
              </w:rPr>
            </w:pPr>
            <w:r>
              <w:rPr>
                <w:rFonts w:ascii="Arial" w:eastAsia="Arial" w:hAnsi="Arial" w:cs="Arial"/>
              </w:rPr>
              <w:t>De 2015 a la fecha, la CEAV ha capacitado a personas servidoras públicas en los siguientes temas:</w:t>
            </w:r>
          </w:p>
          <w:p w:rsidR="00ED4FC5" w:rsidRDefault="00A62550" w:rsidP="006F593F">
            <w:pPr>
              <w:numPr>
                <w:ilvl w:val="0"/>
                <w:numId w:val="9"/>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Medidas de atención inmediata en la atención a víctimas</w:t>
            </w:r>
          </w:p>
          <w:p w:rsidR="00ED4FC5" w:rsidRDefault="00A62550" w:rsidP="006F593F">
            <w:pPr>
              <w:numPr>
                <w:ilvl w:val="0"/>
                <w:numId w:val="9"/>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ABC del género: conociendo los principios básicos</w:t>
            </w:r>
          </w:p>
          <w:p w:rsidR="00ED4FC5" w:rsidRDefault="00A62550" w:rsidP="006F593F">
            <w:pPr>
              <w:numPr>
                <w:ilvl w:val="0"/>
                <w:numId w:val="9"/>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Atención a grupos vulnerables</w:t>
            </w:r>
          </w:p>
          <w:p w:rsidR="00ED4FC5" w:rsidRDefault="00A62550" w:rsidP="006F593F">
            <w:pPr>
              <w:numPr>
                <w:ilvl w:val="0"/>
                <w:numId w:val="9"/>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Fortalecimiento de la cultura institucional Incluyente, con igualdad, libre de discriminación y violencia</w:t>
            </w:r>
          </w:p>
          <w:p w:rsidR="00ED4FC5" w:rsidRDefault="00A62550" w:rsidP="006F593F">
            <w:pPr>
              <w:numPr>
                <w:ilvl w:val="0"/>
                <w:numId w:val="9"/>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Taller para el fortalecimiento de aptitudes Habilidades y capacidades de respuesta ante las necesidades de acompañamiento jurídico y psicosocial a niñas, niños y adolescentes</w:t>
            </w:r>
          </w:p>
          <w:p w:rsidR="00ED4FC5" w:rsidRDefault="00A62550" w:rsidP="006F593F">
            <w:pPr>
              <w:numPr>
                <w:ilvl w:val="0"/>
                <w:numId w:val="9"/>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1,2,3 por todos los derechos para las niñas, niños y adolescentes sin discriminación</w:t>
            </w:r>
          </w:p>
          <w:p w:rsidR="00ED4FC5" w:rsidRDefault="00A62550" w:rsidP="006F593F">
            <w:pPr>
              <w:numPr>
                <w:ilvl w:val="0"/>
                <w:numId w:val="9"/>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Atención diferenciada en temas de niñas, niños y adolescentes</w:t>
            </w:r>
          </w:p>
          <w:p w:rsidR="00ED4FC5" w:rsidRDefault="00A62550" w:rsidP="006F593F">
            <w:pPr>
              <w:numPr>
                <w:ilvl w:val="0"/>
                <w:numId w:val="9"/>
              </w:numPr>
              <w:pBdr>
                <w:top w:val="nil"/>
                <w:left w:val="nil"/>
                <w:bottom w:val="nil"/>
                <w:right w:val="nil"/>
                <w:between w:val="nil"/>
              </w:pBdr>
              <w:spacing w:after="160" w:line="276" w:lineRule="auto"/>
              <w:jc w:val="both"/>
              <w:rPr>
                <w:rFonts w:ascii="Arial" w:eastAsia="Arial" w:hAnsi="Arial" w:cs="Arial"/>
                <w:color w:val="000000"/>
              </w:rPr>
            </w:pPr>
            <w:r>
              <w:rPr>
                <w:rFonts w:ascii="Arial" w:eastAsia="Arial" w:hAnsi="Arial" w:cs="Arial"/>
                <w:color w:val="000000"/>
              </w:rPr>
              <w:t>Jóvenes, tolerancia y no discriminación</w:t>
            </w:r>
          </w:p>
        </w:tc>
      </w:tr>
      <w:tr w:rsidR="00ED4FC5">
        <w:tc>
          <w:tcPr>
            <w:tcW w:w="3015" w:type="dxa"/>
            <w:vAlign w:val="center"/>
          </w:tcPr>
          <w:p w:rsidR="00ED4FC5" w:rsidRDefault="00A62550" w:rsidP="006F593F">
            <w:pPr>
              <w:spacing w:line="276" w:lineRule="auto"/>
              <w:jc w:val="both"/>
              <w:rPr>
                <w:rFonts w:ascii="Arial" w:eastAsia="Arial" w:hAnsi="Arial" w:cs="Arial"/>
              </w:rPr>
            </w:pPr>
            <w:r>
              <w:rPr>
                <w:rFonts w:ascii="Arial" w:eastAsia="Arial" w:hAnsi="Arial" w:cs="Arial"/>
              </w:rPr>
              <w:t>Comisión Nacional de los Derechos Humanos (CNDH)</w:t>
            </w:r>
          </w:p>
        </w:tc>
        <w:tc>
          <w:tcPr>
            <w:tcW w:w="10306" w:type="dxa"/>
          </w:tcPr>
          <w:p w:rsidR="00ED4FC5" w:rsidRDefault="00A62550" w:rsidP="006F593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A través del Programa sobre Asuntos de la Niñez y la Familia se realizan actividades de promoción y difusión de los derechos de niñas, niños y adolescentes. Respecto a la prevención y atención de la violencia sexual, de enero de 2015 a agosto de 2020, se realizaron 164 actividades de promoción y divulgación (conferencias, pláticas, talleres) con personas servidoras públicas, sobre el derecho de niñas, niños y adolescentes a una vida libre de violencia, incluida la violencia sexual, beneficiando un total de 12,426 personas. </w:t>
            </w:r>
          </w:p>
          <w:p w:rsidR="00ED4FC5" w:rsidRDefault="00A62550" w:rsidP="006F593F">
            <w:pPr>
              <w:spacing w:after="160" w:line="276" w:lineRule="auto"/>
              <w:jc w:val="both"/>
              <w:rPr>
                <w:rFonts w:ascii="Arial" w:eastAsia="Arial" w:hAnsi="Arial" w:cs="Arial"/>
              </w:rPr>
            </w:pPr>
            <w:r>
              <w:rPr>
                <w:rFonts w:ascii="Arial" w:eastAsia="Arial" w:hAnsi="Arial" w:cs="Arial"/>
              </w:rPr>
              <w:lastRenderedPageBreak/>
              <w:t>A través de su plataforma de cursos virtuales se realizan procesos formativos en diversos temas de derechos de niñez y adolescencia:</w:t>
            </w:r>
          </w:p>
          <w:p w:rsidR="00ED4FC5" w:rsidRDefault="00A62550" w:rsidP="006F593F">
            <w:pPr>
              <w:numPr>
                <w:ilvl w:val="0"/>
                <w:numId w:val="10"/>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Prevención de las violencias contra las adolescencias y su participación para la Reconstrucción del Tejido Social</w:t>
            </w:r>
          </w:p>
          <w:p w:rsidR="00ED4FC5" w:rsidRDefault="00A62550" w:rsidP="006F593F">
            <w:pPr>
              <w:numPr>
                <w:ilvl w:val="0"/>
                <w:numId w:val="10"/>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Convivencia Escolar desde la Perspectiva de los Derechos Humanos</w:t>
            </w:r>
          </w:p>
          <w:p w:rsidR="00ED4FC5" w:rsidRDefault="00A62550" w:rsidP="006F593F">
            <w:pPr>
              <w:numPr>
                <w:ilvl w:val="0"/>
                <w:numId w:val="10"/>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Acoso y Violencia Escolar</w:t>
            </w:r>
          </w:p>
          <w:p w:rsidR="00ED4FC5" w:rsidRDefault="00A62550" w:rsidP="006F593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Solo durante 2020, estos cursos se impartieron en 7 ocasiones.</w:t>
            </w:r>
          </w:p>
          <w:p w:rsidR="00ED4FC5" w:rsidRDefault="00ED4FC5" w:rsidP="006F593F">
            <w:pPr>
              <w:pBdr>
                <w:top w:val="nil"/>
                <w:left w:val="nil"/>
                <w:bottom w:val="nil"/>
                <w:right w:val="nil"/>
                <w:between w:val="nil"/>
              </w:pBdr>
              <w:spacing w:line="276" w:lineRule="auto"/>
              <w:jc w:val="both"/>
              <w:rPr>
                <w:rFonts w:ascii="Arial" w:eastAsia="Arial" w:hAnsi="Arial" w:cs="Arial"/>
              </w:rPr>
            </w:pPr>
          </w:p>
          <w:p w:rsidR="00ED4FC5" w:rsidRDefault="00A62550" w:rsidP="006F593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En colaboración con: Universidad Autónoma de Baja California Sur, Universidad Autónoma de Campeche Universidad de Guanajuato y la Universidad Autónoma de Tlaxcala:</w:t>
            </w:r>
          </w:p>
          <w:p w:rsidR="00ED4FC5" w:rsidRDefault="00A62550" w:rsidP="006F593F">
            <w:pPr>
              <w:numPr>
                <w:ilvl w:val="0"/>
                <w:numId w:val="10"/>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Maestría Interinstitucional en Derechos Humanos</w:t>
            </w:r>
          </w:p>
          <w:p w:rsidR="00ED4FC5" w:rsidRDefault="00A62550" w:rsidP="006F593F">
            <w:pPr>
              <w:numPr>
                <w:ilvl w:val="0"/>
                <w:numId w:val="10"/>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Público en general, organizaciones de sociedad civil, servidores públicos con licenciatura</w:t>
            </w:r>
          </w:p>
        </w:tc>
      </w:tr>
      <w:tr w:rsidR="00ED4FC5">
        <w:tc>
          <w:tcPr>
            <w:tcW w:w="3015" w:type="dxa"/>
            <w:vAlign w:val="center"/>
          </w:tcPr>
          <w:p w:rsidR="00ED4FC5" w:rsidRDefault="00A62550" w:rsidP="006F593F">
            <w:pPr>
              <w:spacing w:line="276" w:lineRule="auto"/>
              <w:jc w:val="both"/>
              <w:rPr>
                <w:rFonts w:ascii="Arial" w:eastAsia="Arial" w:hAnsi="Arial" w:cs="Arial"/>
              </w:rPr>
            </w:pPr>
            <w:r>
              <w:rPr>
                <w:rFonts w:ascii="Arial" w:eastAsia="Arial" w:hAnsi="Arial" w:cs="Arial"/>
              </w:rPr>
              <w:lastRenderedPageBreak/>
              <w:t>Consejo Nacional para Prevenir la Discriminación (CONAPRED)</w:t>
            </w:r>
          </w:p>
        </w:tc>
        <w:tc>
          <w:tcPr>
            <w:tcW w:w="10306" w:type="dxa"/>
          </w:tcPr>
          <w:p w:rsidR="00ED4FC5" w:rsidRDefault="00A62550" w:rsidP="006F593F">
            <w:pPr>
              <w:spacing w:line="276" w:lineRule="auto"/>
              <w:jc w:val="both"/>
              <w:rPr>
                <w:rFonts w:ascii="Arial" w:eastAsia="Arial" w:hAnsi="Arial" w:cs="Arial"/>
              </w:rPr>
            </w:pPr>
            <w:r>
              <w:rPr>
                <w:rFonts w:ascii="Arial" w:eastAsia="Arial" w:hAnsi="Arial" w:cs="Arial"/>
              </w:rPr>
              <w:t>Cursos ofrecidos en el marco de la agenda antidiscriminatoria y de educación en derechos humanos:</w:t>
            </w:r>
          </w:p>
          <w:p w:rsidR="00ED4FC5" w:rsidRDefault="00A62550" w:rsidP="006F593F">
            <w:pPr>
              <w:numPr>
                <w:ilvl w:val="0"/>
                <w:numId w:val="10"/>
              </w:numPr>
              <w:spacing w:line="276" w:lineRule="auto"/>
              <w:jc w:val="both"/>
              <w:rPr>
                <w:rFonts w:ascii="Arial" w:eastAsia="Arial" w:hAnsi="Arial" w:cs="Arial"/>
              </w:rPr>
            </w:pPr>
            <w:r>
              <w:rPr>
                <w:rFonts w:ascii="Arial" w:eastAsia="Arial" w:hAnsi="Arial" w:cs="Arial"/>
              </w:rPr>
              <w:t>El curso 1, 2, 3, por todos los derechos de Niñas, Niños, Adolescentes sin discriminación, durante el periodo del año 2017 al mes de septiembre de 2020 se han tenido 30 periodos de inscripción, en los cuales se inscribieron 15,004 personas, de las cuales egresaron 8,268 personas, de ellas 5,525 fueron mujeres y 2,743 hombres. Las personas que tomaron el curso provenían de 88 instituciones.</w:t>
            </w:r>
          </w:p>
          <w:p w:rsidR="00ED4FC5" w:rsidRDefault="00A62550" w:rsidP="006F593F">
            <w:pPr>
              <w:numPr>
                <w:ilvl w:val="0"/>
                <w:numId w:val="10"/>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rPr>
              <w:t>El curso Jóvenes, tolerancia y no discriminación, durante el periodo del año 2010 al mes de septiembre de 2020, se han tenido 87 periodos de inscripción, en los que se inscribieron 22,401 personas, de las cuales egresaron 12,596 personas, de ellas 7,938 fueron mujeres y 4,658 hombres. Las personas que tomaron el curso provenían de 124 instituciones.</w:t>
            </w:r>
          </w:p>
          <w:p w:rsidR="00ED4FC5" w:rsidRDefault="00A62550" w:rsidP="006F593F">
            <w:pPr>
              <w:numPr>
                <w:ilvl w:val="0"/>
                <w:numId w:val="10"/>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Taller. Diversidad y no discriminación en niñas y niños.</w:t>
            </w:r>
          </w:p>
          <w:p w:rsidR="00ED4FC5" w:rsidRDefault="00A62550" w:rsidP="006F593F">
            <w:pPr>
              <w:pBdr>
                <w:top w:val="nil"/>
                <w:left w:val="nil"/>
                <w:bottom w:val="nil"/>
                <w:right w:val="nil"/>
                <w:between w:val="nil"/>
              </w:pBdr>
              <w:spacing w:line="276" w:lineRule="auto"/>
              <w:ind w:left="720"/>
              <w:jc w:val="both"/>
              <w:rPr>
                <w:rFonts w:ascii="Arial" w:eastAsia="Arial" w:hAnsi="Arial" w:cs="Arial"/>
                <w:color w:val="000000"/>
              </w:rPr>
            </w:pPr>
            <w:r>
              <w:rPr>
                <w:rFonts w:ascii="Arial" w:eastAsia="Arial" w:hAnsi="Arial" w:cs="Arial"/>
                <w:color w:val="000000"/>
              </w:rPr>
              <w:t>Dirigido a: niñez indígena (5 réplicas).</w:t>
            </w:r>
          </w:p>
          <w:p w:rsidR="00ED4FC5" w:rsidRDefault="00A62550" w:rsidP="006F593F">
            <w:pPr>
              <w:pBdr>
                <w:top w:val="nil"/>
                <w:left w:val="nil"/>
                <w:bottom w:val="nil"/>
                <w:right w:val="nil"/>
                <w:between w:val="nil"/>
              </w:pBdr>
              <w:spacing w:line="276" w:lineRule="auto"/>
              <w:ind w:left="720"/>
              <w:jc w:val="both"/>
              <w:rPr>
                <w:rFonts w:ascii="Arial" w:eastAsia="Arial" w:hAnsi="Arial" w:cs="Arial"/>
                <w:color w:val="000000"/>
              </w:rPr>
            </w:pPr>
            <w:r>
              <w:rPr>
                <w:rFonts w:ascii="Arial" w:eastAsia="Arial" w:hAnsi="Arial" w:cs="Arial"/>
                <w:color w:val="000000"/>
              </w:rPr>
              <w:t>Personas impactadas: 104 personas.</w:t>
            </w:r>
          </w:p>
          <w:p w:rsidR="00ED4FC5" w:rsidRDefault="00A62550" w:rsidP="006F593F">
            <w:pPr>
              <w:numPr>
                <w:ilvl w:val="0"/>
                <w:numId w:val="10"/>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Taller. Narrativas de odio; refugio y discriminación.</w:t>
            </w:r>
          </w:p>
          <w:p w:rsidR="00ED4FC5" w:rsidRDefault="00A62550" w:rsidP="006F593F">
            <w:pPr>
              <w:pBdr>
                <w:top w:val="nil"/>
                <w:left w:val="nil"/>
                <w:bottom w:val="nil"/>
                <w:right w:val="nil"/>
                <w:between w:val="nil"/>
              </w:pBdr>
              <w:spacing w:line="276" w:lineRule="auto"/>
              <w:ind w:left="720"/>
              <w:jc w:val="both"/>
              <w:rPr>
                <w:rFonts w:ascii="Arial" w:eastAsia="Arial" w:hAnsi="Arial" w:cs="Arial"/>
                <w:color w:val="000000"/>
              </w:rPr>
            </w:pPr>
            <w:r>
              <w:rPr>
                <w:rFonts w:ascii="Arial" w:eastAsia="Arial" w:hAnsi="Arial" w:cs="Arial"/>
                <w:color w:val="000000"/>
              </w:rPr>
              <w:t>Dirigido a: público en general, en especial, personas jóvenes.</w:t>
            </w:r>
          </w:p>
          <w:p w:rsidR="00ED4FC5" w:rsidRDefault="00A62550" w:rsidP="006F593F">
            <w:pPr>
              <w:pBdr>
                <w:top w:val="nil"/>
                <w:left w:val="nil"/>
                <w:bottom w:val="nil"/>
                <w:right w:val="nil"/>
                <w:between w:val="nil"/>
              </w:pBdr>
              <w:spacing w:line="276" w:lineRule="auto"/>
              <w:ind w:left="720"/>
              <w:jc w:val="both"/>
              <w:rPr>
                <w:rFonts w:ascii="Arial" w:eastAsia="Arial" w:hAnsi="Arial" w:cs="Arial"/>
                <w:color w:val="000000"/>
              </w:rPr>
            </w:pPr>
            <w:r>
              <w:rPr>
                <w:rFonts w:ascii="Arial" w:eastAsia="Arial" w:hAnsi="Arial" w:cs="Arial"/>
                <w:color w:val="000000"/>
              </w:rPr>
              <w:t>Personas impactadas: 30 personas.</w:t>
            </w:r>
          </w:p>
          <w:p w:rsidR="00ED4FC5" w:rsidRDefault="00A62550" w:rsidP="006F593F">
            <w:pPr>
              <w:numPr>
                <w:ilvl w:val="0"/>
                <w:numId w:val="10"/>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lastRenderedPageBreak/>
              <w:t>Curso: Segundo Campamento Nacional de Jóvenes del Movimiento Sin Odio.</w:t>
            </w:r>
          </w:p>
          <w:p w:rsidR="00ED4FC5" w:rsidRDefault="00A62550" w:rsidP="006F593F">
            <w:pPr>
              <w:pBdr>
                <w:top w:val="nil"/>
                <w:left w:val="nil"/>
                <w:bottom w:val="nil"/>
                <w:right w:val="nil"/>
                <w:between w:val="nil"/>
              </w:pBdr>
              <w:spacing w:line="276" w:lineRule="auto"/>
              <w:ind w:left="720"/>
              <w:jc w:val="both"/>
              <w:rPr>
                <w:rFonts w:ascii="Arial" w:eastAsia="Arial" w:hAnsi="Arial" w:cs="Arial"/>
                <w:color w:val="000000"/>
              </w:rPr>
            </w:pPr>
            <w:r>
              <w:rPr>
                <w:rFonts w:ascii="Arial" w:eastAsia="Arial" w:hAnsi="Arial" w:cs="Arial"/>
                <w:color w:val="000000"/>
              </w:rPr>
              <w:t>Dirigido a: personas jóvenes (una de las líneas de trabajo del movimiento es transformación de prácticas racistas y xenófobas).</w:t>
            </w:r>
          </w:p>
          <w:p w:rsidR="00ED4FC5" w:rsidRDefault="00A62550" w:rsidP="006F593F">
            <w:pPr>
              <w:pBdr>
                <w:top w:val="nil"/>
                <w:left w:val="nil"/>
                <w:bottom w:val="nil"/>
                <w:right w:val="nil"/>
                <w:between w:val="nil"/>
              </w:pBdr>
              <w:spacing w:line="276" w:lineRule="auto"/>
              <w:ind w:left="720"/>
              <w:jc w:val="both"/>
              <w:rPr>
                <w:rFonts w:ascii="Arial" w:eastAsia="Arial" w:hAnsi="Arial" w:cs="Arial"/>
                <w:color w:val="000000"/>
              </w:rPr>
            </w:pPr>
            <w:r>
              <w:rPr>
                <w:rFonts w:ascii="Arial" w:eastAsia="Arial" w:hAnsi="Arial" w:cs="Arial"/>
                <w:color w:val="000000"/>
              </w:rPr>
              <w:t>Personas impactadas: 31 mujeres, 13 hombres, 1 persona no binaria (45 personas).</w:t>
            </w:r>
          </w:p>
        </w:tc>
      </w:tr>
      <w:tr w:rsidR="00ED4FC5">
        <w:tc>
          <w:tcPr>
            <w:tcW w:w="3015" w:type="dxa"/>
            <w:vAlign w:val="center"/>
          </w:tcPr>
          <w:p w:rsidR="00ED4FC5" w:rsidRDefault="00A62550" w:rsidP="006F593F">
            <w:pPr>
              <w:spacing w:line="276" w:lineRule="auto"/>
              <w:jc w:val="both"/>
              <w:rPr>
                <w:rFonts w:ascii="Arial" w:eastAsia="Arial" w:hAnsi="Arial" w:cs="Arial"/>
              </w:rPr>
            </w:pPr>
            <w:r>
              <w:rPr>
                <w:rFonts w:ascii="Arial" w:eastAsia="Arial" w:hAnsi="Arial" w:cs="Arial"/>
              </w:rPr>
              <w:lastRenderedPageBreak/>
              <w:t>Consejo de la Judicatura Federal (CJF)</w:t>
            </w:r>
          </w:p>
        </w:tc>
        <w:tc>
          <w:tcPr>
            <w:tcW w:w="10306" w:type="dxa"/>
          </w:tcPr>
          <w:p w:rsidR="00ED4FC5" w:rsidRDefault="00A62550" w:rsidP="006F593F">
            <w:pPr>
              <w:spacing w:line="276" w:lineRule="auto"/>
              <w:jc w:val="both"/>
              <w:rPr>
                <w:rFonts w:ascii="Arial" w:eastAsia="Arial" w:hAnsi="Arial" w:cs="Arial"/>
              </w:rPr>
            </w:pPr>
            <w:r>
              <w:rPr>
                <w:rFonts w:ascii="Arial" w:eastAsia="Arial" w:hAnsi="Arial" w:cs="Arial"/>
              </w:rPr>
              <w:t>Se implementaron 24 acciones de capacitación en temas específicos de niñas, niños y adolescentes, tales como: cursos presenciales y virtuales, diplomados, talleres, conversatorios, jornadas de análisis, paneles de discusión, programas de preparación, maestrías y ciclos de conferencias. Las cuales tuvieron verificativo desde 2016 a 2020, de manera presencial y virtual, en diferentes estados de la república, en casas de la cultura jurídica, aulas físicas y virtuales, así como extensiones del IJF. En las que participaron un total de 9,262 personas.</w:t>
            </w:r>
          </w:p>
          <w:p w:rsidR="00ED4FC5" w:rsidRDefault="00ED4FC5" w:rsidP="006F593F">
            <w:pPr>
              <w:spacing w:line="276" w:lineRule="auto"/>
              <w:jc w:val="both"/>
              <w:rPr>
                <w:rFonts w:ascii="Arial" w:eastAsia="Arial" w:hAnsi="Arial" w:cs="Arial"/>
              </w:rPr>
            </w:pPr>
          </w:p>
          <w:p w:rsidR="00ED4FC5" w:rsidRDefault="00A62550" w:rsidP="006F593F">
            <w:pPr>
              <w:spacing w:line="276" w:lineRule="auto"/>
              <w:jc w:val="both"/>
              <w:rPr>
                <w:rFonts w:ascii="Arial" w:eastAsia="Arial" w:hAnsi="Arial" w:cs="Arial"/>
              </w:rPr>
            </w:pPr>
            <w:r>
              <w:rPr>
                <w:rFonts w:ascii="Arial" w:eastAsia="Arial" w:hAnsi="Arial" w:cs="Arial"/>
              </w:rPr>
              <w:t>En abril de 2017, se implementaron 44 jornadas de reflexión acerca de “El interés superior del menor en el sistema de justicia penal”; el 23 y 26 de noviembre de 2018 se llevaron a cabo los “Diálogos Jurídicos sobre derechos de Niñas, Niños y Adolescentes”; y, el 29 de noviembre de 2019, se realizó el conversatorio intitulado “Interés superior del menor”, en los que se generaron diálogos constructivos y buenas prácticas en la materia. Contaron con una audiencia total de 2,614 asistentes.</w:t>
            </w:r>
          </w:p>
        </w:tc>
      </w:tr>
      <w:tr w:rsidR="00ED4FC5">
        <w:tc>
          <w:tcPr>
            <w:tcW w:w="3015" w:type="dxa"/>
            <w:vAlign w:val="center"/>
          </w:tcPr>
          <w:p w:rsidR="00ED4FC5" w:rsidRDefault="00A62550" w:rsidP="006F593F">
            <w:pPr>
              <w:spacing w:line="276" w:lineRule="auto"/>
              <w:jc w:val="both"/>
              <w:rPr>
                <w:rFonts w:ascii="Arial" w:eastAsia="Arial" w:hAnsi="Arial" w:cs="Arial"/>
              </w:rPr>
            </w:pPr>
            <w:r>
              <w:rPr>
                <w:rFonts w:ascii="Arial" w:eastAsia="Arial" w:hAnsi="Arial" w:cs="Arial"/>
              </w:rPr>
              <w:t>Instituto Mexicano de la Juventud (IMJUVE)</w:t>
            </w:r>
          </w:p>
        </w:tc>
        <w:tc>
          <w:tcPr>
            <w:tcW w:w="10306" w:type="dxa"/>
          </w:tcPr>
          <w:p w:rsidR="00ED4FC5" w:rsidRDefault="00A62550" w:rsidP="006F593F">
            <w:pPr>
              <w:spacing w:line="276" w:lineRule="auto"/>
              <w:jc w:val="both"/>
              <w:rPr>
                <w:rFonts w:ascii="Arial" w:eastAsia="Arial" w:hAnsi="Arial" w:cs="Arial"/>
              </w:rPr>
            </w:pPr>
            <w:r>
              <w:rPr>
                <w:rFonts w:ascii="Arial" w:eastAsia="Arial" w:hAnsi="Arial" w:cs="Arial"/>
              </w:rPr>
              <w:t>Desde el IMJUVE se han realizado conferencias, dinámicas y stands en temas de educación sexual, en los cuales se da la información adecuada de los derechos sexuales, entregando principalmente la Cartilla de Derechos Sexuales de Adolescentes y Jóvenes. Así como su integración en actividades en las cuales aprenden y generan interacción con la información proporcionada. Ejemplo de ello es la feria de información sobre los derechos sexuales, realizada el 29 de agosto de 2019 en Ciudad Universitaria, en la CDMX, se dio de manera directa a 161 personas jóvenes de entre los 16 y 29 años, (69 hombres y 92 mujeres), a las cuales se les proporcionó el material e información pertinente. Generando conciencia e informando a la población joven.</w:t>
            </w:r>
          </w:p>
        </w:tc>
      </w:tr>
      <w:tr w:rsidR="00ED4FC5">
        <w:tc>
          <w:tcPr>
            <w:tcW w:w="3015" w:type="dxa"/>
            <w:vAlign w:val="center"/>
          </w:tcPr>
          <w:p w:rsidR="00ED4FC5" w:rsidRDefault="00A62550" w:rsidP="006F593F">
            <w:pPr>
              <w:spacing w:line="276" w:lineRule="auto"/>
              <w:jc w:val="both"/>
              <w:rPr>
                <w:rFonts w:ascii="Arial" w:eastAsia="Arial" w:hAnsi="Arial" w:cs="Arial"/>
              </w:rPr>
            </w:pPr>
            <w:r>
              <w:rPr>
                <w:rFonts w:ascii="Arial" w:eastAsia="Arial" w:hAnsi="Arial" w:cs="Arial"/>
              </w:rPr>
              <w:t>Instituto Mora</w:t>
            </w:r>
          </w:p>
        </w:tc>
        <w:tc>
          <w:tcPr>
            <w:tcW w:w="10306" w:type="dxa"/>
          </w:tcPr>
          <w:p w:rsidR="00ED4FC5" w:rsidRDefault="00A62550" w:rsidP="006F593F">
            <w:pPr>
              <w:spacing w:after="160" w:line="276" w:lineRule="auto"/>
              <w:jc w:val="both"/>
              <w:rPr>
                <w:rFonts w:ascii="Arial" w:eastAsia="Arial" w:hAnsi="Arial" w:cs="Arial"/>
              </w:rPr>
            </w:pPr>
            <w:r>
              <w:rPr>
                <w:rFonts w:ascii="Arial" w:eastAsia="Arial" w:hAnsi="Arial" w:cs="Arial"/>
              </w:rPr>
              <w:t>Diplomado Internacional Género y Derechos Humanos:</w:t>
            </w:r>
          </w:p>
          <w:p w:rsidR="00ED4FC5" w:rsidRDefault="00A62550" w:rsidP="006F593F">
            <w:pPr>
              <w:spacing w:line="276" w:lineRule="auto"/>
              <w:jc w:val="both"/>
              <w:rPr>
                <w:rFonts w:ascii="Arial" w:eastAsia="Arial" w:hAnsi="Arial" w:cs="Arial"/>
              </w:rPr>
            </w:pPr>
            <w:r>
              <w:rPr>
                <w:rFonts w:ascii="Arial" w:eastAsia="Arial" w:hAnsi="Arial" w:cs="Arial"/>
              </w:rPr>
              <w:t xml:space="preserve">Dirigido a personas que se dedican a la difusión y enseñanza de los derechos humanos; servidores públicos que lleven a cabo tareas de planeación, presupuestos, seguridad pública, impartición de justicia, o que por la naturaleza de sus funciones den atención y participen en la promoción de los derechos de </w:t>
            </w:r>
            <w:r>
              <w:rPr>
                <w:rFonts w:ascii="Arial" w:eastAsia="Arial" w:hAnsi="Arial" w:cs="Arial"/>
              </w:rPr>
              <w:lastRenderedPageBreak/>
              <w:t>las mujeres. Las y los legisladores y personas que laboran en el Poder Legislativo y congresos locales; personas del sector privado en las áreas de recursos humanos, laboral y diseño de programas especiales.</w:t>
            </w:r>
          </w:p>
        </w:tc>
      </w:tr>
      <w:tr w:rsidR="00ED4FC5">
        <w:tc>
          <w:tcPr>
            <w:tcW w:w="3015" w:type="dxa"/>
            <w:vAlign w:val="center"/>
          </w:tcPr>
          <w:p w:rsidR="00ED4FC5" w:rsidRDefault="00A62550" w:rsidP="006F593F">
            <w:pPr>
              <w:spacing w:line="276" w:lineRule="auto"/>
              <w:jc w:val="both"/>
              <w:rPr>
                <w:rFonts w:ascii="Arial" w:eastAsia="Arial" w:hAnsi="Arial" w:cs="Arial"/>
              </w:rPr>
            </w:pPr>
            <w:r>
              <w:rPr>
                <w:rFonts w:ascii="Arial" w:eastAsia="Arial" w:hAnsi="Arial" w:cs="Arial"/>
              </w:rPr>
              <w:lastRenderedPageBreak/>
              <w:t>Instituto Nacional de Desarrollo Social (INDESOL)</w:t>
            </w:r>
          </w:p>
        </w:tc>
        <w:tc>
          <w:tcPr>
            <w:tcW w:w="10306" w:type="dxa"/>
          </w:tcPr>
          <w:p w:rsidR="00ED4FC5" w:rsidRDefault="00A62550" w:rsidP="006F593F">
            <w:pPr>
              <w:spacing w:line="276" w:lineRule="auto"/>
              <w:jc w:val="both"/>
              <w:rPr>
                <w:rFonts w:ascii="Arial" w:eastAsia="Arial" w:hAnsi="Arial" w:cs="Arial"/>
              </w:rPr>
            </w:pPr>
            <w:r>
              <w:rPr>
                <w:rFonts w:ascii="Arial" w:eastAsia="Arial" w:hAnsi="Arial" w:cs="Arial"/>
              </w:rPr>
              <w:t>Curso en línea: “Derechos de niñas/os y adolescentes, prevención y atención de riesgos”.</w:t>
            </w:r>
          </w:p>
        </w:tc>
      </w:tr>
      <w:tr w:rsidR="00ED4FC5">
        <w:tc>
          <w:tcPr>
            <w:tcW w:w="3015" w:type="dxa"/>
            <w:vAlign w:val="center"/>
          </w:tcPr>
          <w:p w:rsidR="00ED4FC5" w:rsidRDefault="00A62550" w:rsidP="006F593F">
            <w:pPr>
              <w:spacing w:line="276" w:lineRule="auto"/>
              <w:jc w:val="both"/>
              <w:rPr>
                <w:rFonts w:ascii="Arial" w:eastAsia="Arial" w:hAnsi="Arial" w:cs="Arial"/>
              </w:rPr>
            </w:pPr>
            <w:r>
              <w:rPr>
                <w:rFonts w:ascii="Arial" w:eastAsia="Arial" w:hAnsi="Arial" w:cs="Arial"/>
              </w:rPr>
              <w:t>Instituto Nacional de las Mujeres (INMUJERES)</w:t>
            </w:r>
          </w:p>
        </w:tc>
        <w:tc>
          <w:tcPr>
            <w:tcW w:w="10306" w:type="dxa"/>
          </w:tcPr>
          <w:p w:rsidR="00ED4FC5" w:rsidRDefault="00A62550" w:rsidP="006F593F">
            <w:pPr>
              <w:spacing w:line="276" w:lineRule="auto"/>
              <w:jc w:val="both"/>
              <w:rPr>
                <w:rFonts w:ascii="Arial" w:eastAsia="Arial" w:hAnsi="Arial" w:cs="Arial"/>
              </w:rPr>
            </w:pPr>
            <w:r>
              <w:rPr>
                <w:rFonts w:ascii="Arial" w:eastAsia="Arial" w:hAnsi="Arial" w:cs="Arial"/>
              </w:rPr>
              <w:t>El INMUJERES desarrolló la Plataforma digital denominada “Familias y Sexualidades. Prevención del Embarazo en Adolescentes”, la cual contiene ocho cápsulas informativas con diversos contenidos: igualdad y violencia de género, métodos anticonceptivos, sexualidades, embarazo, afectos y proyecto de vida, entre otras; la información ahí contenida emplea un lenguaje no sexista y comprensible para fortalecer la comunicación asertiva entre adolescentes y madres y padres respecto al tema de sexualidad.</w:t>
            </w:r>
          </w:p>
          <w:p w:rsidR="00ED4FC5" w:rsidRDefault="00ED4FC5" w:rsidP="006F593F">
            <w:pPr>
              <w:spacing w:line="276" w:lineRule="auto"/>
              <w:jc w:val="both"/>
              <w:rPr>
                <w:rFonts w:ascii="Arial" w:eastAsia="Arial" w:hAnsi="Arial" w:cs="Arial"/>
              </w:rPr>
            </w:pPr>
          </w:p>
          <w:p w:rsidR="00ED4FC5" w:rsidRDefault="00A62550" w:rsidP="006F593F">
            <w:pPr>
              <w:spacing w:line="276" w:lineRule="auto"/>
              <w:jc w:val="both"/>
              <w:rPr>
                <w:rFonts w:ascii="Arial" w:eastAsia="Arial" w:hAnsi="Arial" w:cs="Arial"/>
              </w:rPr>
            </w:pPr>
            <w:r>
              <w:rPr>
                <w:rFonts w:ascii="Arial" w:eastAsia="Arial" w:hAnsi="Arial" w:cs="Arial"/>
              </w:rPr>
              <w:t xml:space="preserve">La plataforma digital ha tenido, desde su lanzamiento en octubre de 2017 hasta el 31 de diciembre de 2019, un total de 446,886 de </w:t>
            </w:r>
            <w:proofErr w:type="gramStart"/>
            <w:r>
              <w:rPr>
                <w:rFonts w:ascii="Arial" w:eastAsia="Arial" w:hAnsi="Arial" w:cs="Arial"/>
              </w:rPr>
              <w:t>entradas,</w:t>
            </w:r>
            <w:proofErr w:type="gramEnd"/>
            <w:r>
              <w:rPr>
                <w:rFonts w:ascii="Arial" w:eastAsia="Arial" w:hAnsi="Arial" w:cs="Arial"/>
              </w:rPr>
              <w:t xml:space="preserve"> puede consultarse en el siguiente link: http://familiasysexualidades.inmujeres.gob.mx/</w:t>
            </w:r>
          </w:p>
        </w:tc>
      </w:tr>
      <w:tr w:rsidR="00ED4FC5">
        <w:tc>
          <w:tcPr>
            <w:tcW w:w="3015" w:type="dxa"/>
            <w:vAlign w:val="center"/>
          </w:tcPr>
          <w:p w:rsidR="00ED4FC5" w:rsidRDefault="00A62550" w:rsidP="006F593F">
            <w:pPr>
              <w:spacing w:line="276" w:lineRule="auto"/>
              <w:jc w:val="both"/>
              <w:rPr>
                <w:rFonts w:ascii="Arial" w:eastAsia="Arial" w:hAnsi="Arial" w:cs="Arial"/>
              </w:rPr>
            </w:pPr>
            <w:r>
              <w:rPr>
                <w:rFonts w:ascii="Arial" w:eastAsia="Arial" w:hAnsi="Arial" w:cs="Arial"/>
              </w:rPr>
              <w:t>Instituto Nacional de Migración (INM)</w:t>
            </w:r>
          </w:p>
        </w:tc>
        <w:tc>
          <w:tcPr>
            <w:tcW w:w="10306" w:type="dxa"/>
          </w:tcPr>
          <w:p w:rsidR="00ED4FC5" w:rsidRDefault="00A62550" w:rsidP="006F593F">
            <w:pPr>
              <w:spacing w:line="276" w:lineRule="auto"/>
              <w:jc w:val="both"/>
              <w:rPr>
                <w:rFonts w:ascii="Arial" w:eastAsia="Arial" w:hAnsi="Arial" w:cs="Arial"/>
              </w:rPr>
            </w:pPr>
            <w:r>
              <w:rPr>
                <w:rFonts w:ascii="Arial" w:eastAsia="Arial" w:hAnsi="Arial" w:cs="Arial"/>
              </w:rPr>
              <w:t>Entre 2016 y 2017, a través de la Dirección de Capacitación Migratoria se han llevado a cabo 1,347 eventos de capacitación dirigidos a servidores públicos adscritos al INM, en diferentes temas para prevenir y eliminar la discriminación, de los cuales se destacan los siguientes: Curso básico de atención a niñas, niños y adolescentes migrantes; Derechos Humanos y Multiculturalismo; Diversidad sexual, inclusión y no discriminación; El ABC de la igualdad y no discriminación; y, Protocolo sobre perfilamiento racial.</w:t>
            </w:r>
          </w:p>
          <w:p w:rsidR="00ED4FC5" w:rsidRDefault="00ED4FC5" w:rsidP="006F593F">
            <w:pPr>
              <w:spacing w:line="276" w:lineRule="auto"/>
              <w:jc w:val="both"/>
              <w:rPr>
                <w:rFonts w:ascii="Arial" w:eastAsia="Arial" w:hAnsi="Arial" w:cs="Arial"/>
              </w:rPr>
            </w:pPr>
          </w:p>
          <w:p w:rsidR="00ED4FC5" w:rsidRDefault="00A62550" w:rsidP="006F593F">
            <w:pPr>
              <w:spacing w:line="276" w:lineRule="auto"/>
              <w:jc w:val="both"/>
              <w:rPr>
                <w:rFonts w:ascii="Arial" w:eastAsia="Arial" w:hAnsi="Arial" w:cs="Arial"/>
              </w:rPr>
            </w:pPr>
            <w:r>
              <w:rPr>
                <w:rFonts w:ascii="Arial" w:eastAsia="Arial" w:hAnsi="Arial" w:cs="Arial"/>
              </w:rPr>
              <w:t>En 2019 y 2020, a través de la Dirección de Capacitación Migratoria se capacitaron 872 servidores públicos adscritos al INM, en diferentes temas para prevenir y eliminar la discriminación, de los cuales se destacan los siguientes: El derecho a la igualdad y la no discriminación de la población afroamericana; Inclusión y discapacidad; La perspectiva antidiscriminatoria en la migración; Protección de los derechos humanos de las personas migrantes LGBTTTI.</w:t>
            </w:r>
          </w:p>
        </w:tc>
      </w:tr>
      <w:tr w:rsidR="006F593F">
        <w:tc>
          <w:tcPr>
            <w:tcW w:w="3015" w:type="dxa"/>
            <w:vAlign w:val="center"/>
          </w:tcPr>
          <w:p w:rsidR="006F593F" w:rsidRDefault="006F593F" w:rsidP="006F593F">
            <w:pPr>
              <w:spacing w:line="276" w:lineRule="auto"/>
              <w:jc w:val="both"/>
              <w:rPr>
                <w:rFonts w:ascii="Arial" w:eastAsia="Arial" w:hAnsi="Arial" w:cs="Arial"/>
              </w:rPr>
            </w:pPr>
            <w:r>
              <w:rPr>
                <w:rFonts w:ascii="Arial" w:eastAsia="Arial" w:hAnsi="Arial" w:cs="Arial"/>
              </w:rPr>
              <w:lastRenderedPageBreak/>
              <w:t>Instituto Nacional de los Pueblos Indígenas (INPI)</w:t>
            </w:r>
          </w:p>
        </w:tc>
        <w:tc>
          <w:tcPr>
            <w:tcW w:w="10306" w:type="dxa"/>
          </w:tcPr>
          <w:p w:rsidR="006F593F" w:rsidRPr="006F593F" w:rsidRDefault="006F593F" w:rsidP="006F593F">
            <w:pPr>
              <w:spacing w:line="276" w:lineRule="auto"/>
              <w:jc w:val="both"/>
              <w:rPr>
                <w:rFonts w:ascii="Arial" w:eastAsia="Arial" w:hAnsi="Arial" w:cs="Arial"/>
              </w:rPr>
            </w:pPr>
            <w:r w:rsidRPr="006F593F">
              <w:rPr>
                <w:rFonts w:ascii="Arial" w:eastAsia="Arial" w:hAnsi="Arial" w:cs="Arial"/>
              </w:rPr>
              <w:t>Se realizaron talleres dirigidos a Promotores Supervisores, Promotores Culturales, Coordinadores y Ecónomas de Casas de la Niñez Indígena, personas que son las responsables del cuidado de las niñas, niños y adolescentes que son atendidas a través de la Modalidad de Casas y Comedores de la Niñez Indígena, del Programa de Apoyo a la Educación Indígena, de 2015 a 2018, en los que se abordaron los siguientes temas:</w:t>
            </w:r>
          </w:p>
          <w:p w:rsidR="006F593F" w:rsidRPr="006F593F" w:rsidRDefault="006F593F" w:rsidP="006F593F">
            <w:pPr>
              <w:spacing w:line="276" w:lineRule="auto"/>
              <w:jc w:val="both"/>
              <w:rPr>
                <w:rFonts w:ascii="Arial" w:eastAsia="Arial" w:hAnsi="Arial" w:cs="Arial"/>
                <w:b/>
                <w:bCs/>
              </w:rPr>
            </w:pPr>
            <w:r w:rsidRPr="006F593F">
              <w:rPr>
                <w:rFonts w:ascii="Arial" w:eastAsia="Arial" w:hAnsi="Arial" w:cs="Arial"/>
                <w:b/>
                <w:bCs/>
              </w:rPr>
              <w:t>Derechos Humanos (Ley General de Derechos de Niñas, Niños y Adolescentes)</w:t>
            </w:r>
          </w:p>
          <w:p w:rsidR="006F593F" w:rsidRPr="006F593F" w:rsidRDefault="006F593F" w:rsidP="006F593F">
            <w:pPr>
              <w:pStyle w:val="Prrafodelista"/>
              <w:numPr>
                <w:ilvl w:val="0"/>
                <w:numId w:val="13"/>
              </w:numPr>
              <w:spacing w:line="276" w:lineRule="auto"/>
              <w:jc w:val="both"/>
              <w:rPr>
                <w:rFonts w:ascii="Arial" w:eastAsia="Arial" w:hAnsi="Arial" w:cs="Arial"/>
              </w:rPr>
            </w:pPr>
            <w:r w:rsidRPr="006F593F">
              <w:rPr>
                <w:rFonts w:ascii="Arial" w:eastAsia="Arial" w:hAnsi="Arial" w:cs="Arial"/>
              </w:rPr>
              <w:t>Legislación Infantil Nacional.</w:t>
            </w:r>
          </w:p>
          <w:p w:rsidR="006F593F" w:rsidRPr="006F593F" w:rsidRDefault="006F593F" w:rsidP="006F593F">
            <w:pPr>
              <w:pStyle w:val="Prrafodelista"/>
              <w:numPr>
                <w:ilvl w:val="0"/>
                <w:numId w:val="13"/>
              </w:numPr>
              <w:spacing w:line="276" w:lineRule="auto"/>
              <w:jc w:val="both"/>
              <w:rPr>
                <w:rFonts w:ascii="Arial" w:eastAsia="Arial" w:hAnsi="Arial" w:cs="Arial"/>
              </w:rPr>
            </w:pPr>
            <w:r w:rsidRPr="006F593F">
              <w:rPr>
                <w:rFonts w:ascii="Arial" w:eastAsia="Arial" w:hAnsi="Arial" w:cs="Arial"/>
              </w:rPr>
              <w:t>Derechos de los niños.</w:t>
            </w:r>
          </w:p>
          <w:p w:rsidR="006F593F" w:rsidRPr="006F593F" w:rsidRDefault="006F593F" w:rsidP="006F593F">
            <w:pPr>
              <w:pStyle w:val="Prrafodelista"/>
              <w:numPr>
                <w:ilvl w:val="0"/>
                <w:numId w:val="13"/>
              </w:numPr>
              <w:spacing w:line="276" w:lineRule="auto"/>
              <w:jc w:val="both"/>
              <w:rPr>
                <w:rFonts w:ascii="Arial" w:eastAsia="Arial" w:hAnsi="Arial" w:cs="Arial"/>
              </w:rPr>
            </w:pPr>
            <w:r w:rsidRPr="006F593F">
              <w:rPr>
                <w:rFonts w:ascii="Arial" w:eastAsia="Arial" w:hAnsi="Arial" w:cs="Arial"/>
              </w:rPr>
              <w:t>Equidad e igualdad de género.</w:t>
            </w:r>
          </w:p>
          <w:p w:rsidR="006F593F" w:rsidRPr="006F593F" w:rsidRDefault="006F593F" w:rsidP="006F593F">
            <w:pPr>
              <w:pStyle w:val="Prrafodelista"/>
              <w:numPr>
                <w:ilvl w:val="0"/>
                <w:numId w:val="13"/>
              </w:numPr>
              <w:spacing w:line="276" w:lineRule="auto"/>
              <w:jc w:val="both"/>
              <w:rPr>
                <w:rFonts w:ascii="Arial" w:eastAsia="Arial" w:hAnsi="Arial" w:cs="Arial"/>
              </w:rPr>
            </w:pPr>
            <w:r w:rsidRPr="006F593F">
              <w:rPr>
                <w:rFonts w:ascii="Arial" w:eastAsia="Arial" w:hAnsi="Arial" w:cs="Arial"/>
              </w:rPr>
              <w:t>La participación para ejercer los derechos de la niñez.</w:t>
            </w:r>
          </w:p>
          <w:p w:rsidR="006F593F" w:rsidRPr="006F593F" w:rsidRDefault="006F593F" w:rsidP="006F593F">
            <w:pPr>
              <w:pStyle w:val="Prrafodelista"/>
              <w:numPr>
                <w:ilvl w:val="0"/>
                <w:numId w:val="13"/>
              </w:numPr>
              <w:spacing w:line="276" w:lineRule="auto"/>
              <w:jc w:val="both"/>
              <w:rPr>
                <w:rFonts w:ascii="Arial" w:eastAsia="Arial" w:hAnsi="Arial" w:cs="Arial"/>
              </w:rPr>
            </w:pPr>
            <w:r w:rsidRPr="006F593F">
              <w:rPr>
                <w:rFonts w:ascii="Arial" w:eastAsia="Arial" w:hAnsi="Arial" w:cs="Arial"/>
              </w:rPr>
              <w:t>Concepción de la niñez como sujeto de derechos.</w:t>
            </w:r>
          </w:p>
          <w:p w:rsidR="006F593F" w:rsidRPr="006F593F" w:rsidRDefault="006F593F" w:rsidP="006F593F">
            <w:pPr>
              <w:pStyle w:val="Prrafodelista"/>
              <w:numPr>
                <w:ilvl w:val="0"/>
                <w:numId w:val="13"/>
              </w:numPr>
              <w:spacing w:line="276" w:lineRule="auto"/>
              <w:jc w:val="both"/>
              <w:rPr>
                <w:rFonts w:ascii="Arial" w:eastAsia="Arial" w:hAnsi="Arial" w:cs="Arial"/>
              </w:rPr>
            </w:pPr>
            <w:r w:rsidRPr="006F593F">
              <w:rPr>
                <w:rFonts w:ascii="Arial" w:eastAsia="Arial" w:hAnsi="Arial" w:cs="Arial"/>
              </w:rPr>
              <w:t>Diálogo intercultural, actividades no escolarizadas y aprendizaje para la vida y el trabajo</w:t>
            </w:r>
          </w:p>
          <w:p w:rsidR="006F593F" w:rsidRDefault="006F593F" w:rsidP="006F593F">
            <w:pPr>
              <w:pStyle w:val="Prrafodelista"/>
              <w:numPr>
                <w:ilvl w:val="0"/>
                <w:numId w:val="13"/>
              </w:numPr>
              <w:spacing w:line="276" w:lineRule="auto"/>
              <w:jc w:val="both"/>
              <w:rPr>
                <w:rFonts w:ascii="Arial" w:eastAsia="Arial" w:hAnsi="Arial" w:cs="Arial"/>
              </w:rPr>
            </w:pPr>
            <w:r w:rsidRPr="006F593F">
              <w:rPr>
                <w:rFonts w:ascii="Arial" w:eastAsia="Arial" w:hAnsi="Arial" w:cs="Arial"/>
              </w:rPr>
              <w:t>Protección contra la violencia y el maltrato</w:t>
            </w:r>
          </w:p>
          <w:p w:rsidR="006F593F" w:rsidRPr="006F593F" w:rsidRDefault="006F593F" w:rsidP="006F593F">
            <w:pPr>
              <w:pStyle w:val="Prrafodelista"/>
              <w:spacing w:line="276" w:lineRule="auto"/>
              <w:jc w:val="both"/>
              <w:rPr>
                <w:rFonts w:ascii="Arial" w:eastAsia="Arial" w:hAnsi="Arial" w:cs="Arial"/>
              </w:rPr>
            </w:pPr>
          </w:p>
          <w:p w:rsidR="006F593F" w:rsidRDefault="006F593F" w:rsidP="006F593F">
            <w:pPr>
              <w:spacing w:line="276" w:lineRule="auto"/>
              <w:jc w:val="both"/>
              <w:rPr>
                <w:rFonts w:ascii="Times New Roman" w:eastAsia="Times New Roman" w:hAnsi="Times New Roman" w:cs="Times New Roman"/>
                <w:b/>
                <w:sz w:val="20"/>
                <w:szCs w:val="20"/>
              </w:rPr>
            </w:pPr>
            <w:r>
              <w:rPr>
                <w:rFonts w:ascii="Arial" w:eastAsia="Arial" w:hAnsi="Arial" w:cs="Arial"/>
                <w:b/>
              </w:rPr>
              <w:t>Alimentación / Vida Saludable / Higiene y Limpieza</w:t>
            </w:r>
          </w:p>
          <w:p w:rsidR="006F593F" w:rsidRDefault="006F593F" w:rsidP="006F593F">
            <w:pPr>
              <w:numPr>
                <w:ilvl w:val="0"/>
                <w:numId w:val="10"/>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Nutrición (Grupos de alimentos y plato del Bien Comer).</w:t>
            </w:r>
          </w:p>
          <w:p w:rsidR="006F593F" w:rsidRDefault="006F593F" w:rsidP="006F593F">
            <w:pPr>
              <w:numPr>
                <w:ilvl w:val="0"/>
                <w:numId w:val="10"/>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Higiene en la preparación y manipulación de alimentos</w:t>
            </w:r>
          </w:p>
          <w:p w:rsidR="006F593F" w:rsidRDefault="006F593F" w:rsidP="006F593F">
            <w:pPr>
              <w:numPr>
                <w:ilvl w:val="0"/>
                <w:numId w:val="10"/>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Preparación de alimentos.</w:t>
            </w:r>
          </w:p>
          <w:p w:rsidR="006F593F" w:rsidRDefault="006F593F" w:rsidP="006F593F">
            <w:pPr>
              <w:numPr>
                <w:ilvl w:val="0"/>
                <w:numId w:val="10"/>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Control de almacén y alimentos.</w:t>
            </w:r>
          </w:p>
          <w:p w:rsidR="006F593F" w:rsidRDefault="006F593F" w:rsidP="006F593F">
            <w:pPr>
              <w:numPr>
                <w:ilvl w:val="0"/>
                <w:numId w:val="10"/>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Prevención y atención de enfermedades (accidentes, gastrointestinales, crónico-degenerativas, etc.).</w:t>
            </w:r>
          </w:p>
          <w:p w:rsidR="006F593F" w:rsidRDefault="006F593F" w:rsidP="006F593F">
            <w:pPr>
              <w:numPr>
                <w:ilvl w:val="0"/>
                <w:numId w:val="10"/>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Higiene personal.</w:t>
            </w:r>
          </w:p>
          <w:p w:rsidR="006F593F" w:rsidRDefault="006F593F" w:rsidP="006F593F">
            <w:pPr>
              <w:numPr>
                <w:ilvl w:val="0"/>
                <w:numId w:val="10"/>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Activación física.</w:t>
            </w:r>
          </w:p>
          <w:p w:rsidR="006F593F" w:rsidRDefault="006F593F" w:rsidP="006F593F">
            <w:pPr>
              <w:numPr>
                <w:ilvl w:val="0"/>
                <w:numId w:val="10"/>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Desarrollo de la inteligencia emocional.</w:t>
            </w:r>
          </w:p>
          <w:p w:rsidR="006F593F" w:rsidRDefault="006F593F" w:rsidP="006F593F">
            <w:pPr>
              <w:numPr>
                <w:ilvl w:val="0"/>
                <w:numId w:val="10"/>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 xml:space="preserve">Prevención y atención de </w:t>
            </w:r>
            <w:proofErr w:type="gramStart"/>
            <w:r>
              <w:rPr>
                <w:rFonts w:ascii="Arial" w:eastAsia="Arial" w:hAnsi="Arial" w:cs="Arial"/>
              </w:rPr>
              <w:t>bullying</w:t>
            </w:r>
            <w:proofErr w:type="gramEnd"/>
            <w:r>
              <w:rPr>
                <w:rFonts w:ascii="Arial" w:eastAsia="Arial" w:hAnsi="Arial" w:cs="Arial"/>
              </w:rPr>
              <w:t>.</w:t>
            </w:r>
          </w:p>
          <w:p w:rsidR="006F593F" w:rsidRDefault="006F593F" w:rsidP="006F593F">
            <w:pPr>
              <w:numPr>
                <w:ilvl w:val="0"/>
                <w:numId w:val="10"/>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Prevención y atención de adicciones.</w:t>
            </w:r>
          </w:p>
          <w:p w:rsidR="006F593F" w:rsidRDefault="006F593F" w:rsidP="006F593F">
            <w:pPr>
              <w:numPr>
                <w:ilvl w:val="0"/>
                <w:numId w:val="10"/>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 xml:space="preserve">Herramienta Metodológica </w:t>
            </w:r>
            <w:proofErr w:type="spellStart"/>
            <w:r>
              <w:rPr>
                <w:rFonts w:ascii="Arial" w:eastAsia="Arial" w:hAnsi="Arial" w:cs="Arial"/>
              </w:rPr>
              <w:t>Nutrikit</w:t>
            </w:r>
            <w:proofErr w:type="spellEnd"/>
            <w:r>
              <w:rPr>
                <w:rFonts w:ascii="Arial" w:eastAsia="Arial" w:hAnsi="Arial" w:cs="Arial"/>
              </w:rPr>
              <w:t>.</w:t>
            </w:r>
          </w:p>
          <w:p w:rsidR="006F593F" w:rsidRPr="006F593F" w:rsidRDefault="006F593F" w:rsidP="006F593F">
            <w:pPr>
              <w:pBdr>
                <w:top w:val="nil"/>
                <w:left w:val="nil"/>
                <w:bottom w:val="nil"/>
                <w:right w:val="nil"/>
                <w:between w:val="nil"/>
              </w:pBdr>
              <w:spacing w:line="276" w:lineRule="auto"/>
              <w:ind w:left="720"/>
              <w:jc w:val="both"/>
              <w:rPr>
                <w:rFonts w:ascii="Arial" w:eastAsia="Arial" w:hAnsi="Arial" w:cs="Arial"/>
              </w:rPr>
            </w:pPr>
          </w:p>
          <w:p w:rsidR="006F593F" w:rsidRDefault="006F593F" w:rsidP="006F593F">
            <w:pPr>
              <w:spacing w:line="276" w:lineRule="auto"/>
              <w:jc w:val="both"/>
              <w:rPr>
                <w:rFonts w:ascii="Times New Roman" w:eastAsia="Times New Roman" w:hAnsi="Times New Roman" w:cs="Times New Roman"/>
                <w:b/>
                <w:sz w:val="20"/>
                <w:szCs w:val="20"/>
              </w:rPr>
            </w:pPr>
            <w:r>
              <w:rPr>
                <w:rFonts w:ascii="Arial" w:eastAsia="Arial" w:hAnsi="Arial" w:cs="Arial"/>
                <w:b/>
              </w:rPr>
              <w:lastRenderedPageBreak/>
              <w:t xml:space="preserve">Guía Operativa / Manejo Adecuado </w:t>
            </w:r>
            <w:proofErr w:type="gramStart"/>
            <w:r>
              <w:rPr>
                <w:rFonts w:ascii="Arial" w:eastAsia="Arial" w:hAnsi="Arial" w:cs="Arial"/>
                <w:b/>
              </w:rPr>
              <w:t>D  Casa</w:t>
            </w:r>
            <w:proofErr w:type="gramEnd"/>
          </w:p>
          <w:p w:rsidR="006F593F" w:rsidRDefault="006F593F" w:rsidP="006F593F">
            <w:pPr>
              <w:numPr>
                <w:ilvl w:val="0"/>
                <w:numId w:val="10"/>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Estructura operativa.</w:t>
            </w:r>
          </w:p>
          <w:p w:rsidR="006F593F" w:rsidRDefault="006F593F" w:rsidP="006F593F">
            <w:pPr>
              <w:numPr>
                <w:ilvl w:val="0"/>
                <w:numId w:val="10"/>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Ejes rectores del Programa (organización, educación, administración y operatividad).</w:t>
            </w:r>
          </w:p>
          <w:p w:rsidR="006F593F" w:rsidRDefault="006F593F" w:rsidP="006F593F">
            <w:pPr>
              <w:numPr>
                <w:ilvl w:val="0"/>
                <w:numId w:val="10"/>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Funciones del personal.</w:t>
            </w:r>
          </w:p>
          <w:p w:rsidR="006F593F" w:rsidRDefault="006F593F" w:rsidP="006F593F">
            <w:pPr>
              <w:numPr>
                <w:ilvl w:val="0"/>
                <w:numId w:val="10"/>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Compartir experiencias por jefes y/o jefas de la Casa</w:t>
            </w:r>
          </w:p>
          <w:p w:rsidR="006F593F" w:rsidRPr="006F593F" w:rsidRDefault="006F593F" w:rsidP="006F593F">
            <w:pPr>
              <w:pBdr>
                <w:top w:val="nil"/>
                <w:left w:val="nil"/>
                <w:bottom w:val="nil"/>
                <w:right w:val="nil"/>
                <w:between w:val="nil"/>
              </w:pBdr>
              <w:spacing w:line="276" w:lineRule="auto"/>
              <w:ind w:left="720"/>
              <w:jc w:val="both"/>
              <w:rPr>
                <w:rFonts w:ascii="Arial" w:eastAsia="Arial" w:hAnsi="Arial" w:cs="Arial"/>
              </w:rPr>
            </w:pPr>
          </w:p>
          <w:p w:rsidR="006F593F" w:rsidRDefault="006F593F" w:rsidP="006F593F">
            <w:pPr>
              <w:spacing w:line="276" w:lineRule="auto"/>
              <w:jc w:val="both"/>
              <w:rPr>
                <w:rFonts w:ascii="Times New Roman" w:eastAsia="Times New Roman" w:hAnsi="Times New Roman" w:cs="Times New Roman"/>
                <w:b/>
                <w:sz w:val="20"/>
                <w:szCs w:val="20"/>
              </w:rPr>
            </w:pPr>
            <w:r>
              <w:rPr>
                <w:rFonts w:ascii="Arial" w:eastAsia="Arial" w:hAnsi="Arial" w:cs="Arial"/>
                <w:b/>
              </w:rPr>
              <w:t>Protección Civil</w:t>
            </w:r>
          </w:p>
          <w:p w:rsidR="006F593F" w:rsidRDefault="006F593F" w:rsidP="006F593F">
            <w:pPr>
              <w:numPr>
                <w:ilvl w:val="0"/>
                <w:numId w:val="10"/>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Cultura de Protección Civil en las Casas y Comedores del Niño Indígena.</w:t>
            </w:r>
          </w:p>
          <w:p w:rsidR="006F593F" w:rsidRDefault="006F593F" w:rsidP="006F593F">
            <w:pPr>
              <w:numPr>
                <w:ilvl w:val="0"/>
                <w:numId w:val="10"/>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Identificación de zonas de riesgo.</w:t>
            </w:r>
          </w:p>
          <w:p w:rsidR="006F593F" w:rsidRDefault="006F593F" w:rsidP="006F593F">
            <w:pPr>
              <w:numPr>
                <w:ilvl w:val="0"/>
                <w:numId w:val="10"/>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Mapa de riesgos comunitarios.</w:t>
            </w:r>
          </w:p>
          <w:p w:rsidR="006F593F" w:rsidRDefault="006F593F" w:rsidP="006F593F">
            <w:pPr>
              <w:numPr>
                <w:ilvl w:val="0"/>
                <w:numId w:val="10"/>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Que hacer en caso de algún desastre o accidente.</w:t>
            </w:r>
          </w:p>
          <w:p w:rsidR="006F593F" w:rsidRPr="006F593F" w:rsidRDefault="006F593F" w:rsidP="006F593F">
            <w:pPr>
              <w:pBdr>
                <w:top w:val="nil"/>
                <w:left w:val="nil"/>
                <w:bottom w:val="nil"/>
                <w:right w:val="nil"/>
                <w:between w:val="nil"/>
              </w:pBdr>
              <w:spacing w:line="276" w:lineRule="auto"/>
              <w:ind w:left="720"/>
              <w:jc w:val="both"/>
              <w:rPr>
                <w:rFonts w:ascii="Arial" w:eastAsia="Arial" w:hAnsi="Arial" w:cs="Arial"/>
              </w:rPr>
            </w:pPr>
          </w:p>
          <w:p w:rsidR="006F593F" w:rsidRDefault="006F593F" w:rsidP="006F593F">
            <w:pPr>
              <w:spacing w:line="276" w:lineRule="auto"/>
              <w:jc w:val="both"/>
              <w:rPr>
                <w:rFonts w:ascii="Times New Roman" w:eastAsia="Times New Roman" w:hAnsi="Times New Roman" w:cs="Times New Roman"/>
                <w:b/>
                <w:sz w:val="20"/>
                <w:szCs w:val="20"/>
              </w:rPr>
            </w:pPr>
            <w:r>
              <w:rPr>
                <w:rFonts w:ascii="Arial" w:eastAsia="Arial" w:hAnsi="Arial" w:cs="Arial"/>
                <w:b/>
              </w:rPr>
              <w:t>Ambientes de Aprendizaje</w:t>
            </w:r>
          </w:p>
          <w:p w:rsidR="006F593F" w:rsidRDefault="006F593F" w:rsidP="006F593F">
            <w:pPr>
              <w:numPr>
                <w:ilvl w:val="0"/>
                <w:numId w:val="10"/>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 xml:space="preserve">¿Cómo organiza las actividades el </w:t>
            </w:r>
            <w:proofErr w:type="gramStart"/>
            <w:r>
              <w:rPr>
                <w:rFonts w:ascii="Arial" w:eastAsia="Arial" w:hAnsi="Arial" w:cs="Arial"/>
              </w:rPr>
              <w:t>Director</w:t>
            </w:r>
            <w:proofErr w:type="gramEnd"/>
            <w:r>
              <w:rPr>
                <w:rFonts w:ascii="Arial" w:eastAsia="Arial" w:hAnsi="Arial" w:cs="Arial"/>
              </w:rPr>
              <w:t>/Jefe de Albergue (de la Casa)?</w:t>
            </w:r>
          </w:p>
          <w:p w:rsidR="006F593F" w:rsidRDefault="006F593F" w:rsidP="006F593F">
            <w:pPr>
              <w:numPr>
                <w:ilvl w:val="0"/>
                <w:numId w:val="10"/>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¿Qué aprendizajes, capacidades, competencias logran los estudiantes?</w:t>
            </w:r>
          </w:p>
          <w:p w:rsidR="006F593F" w:rsidRDefault="006F593F" w:rsidP="006F593F">
            <w:pPr>
              <w:numPr>
                <w:ilvl w:val="0"/>
                <w:numId w:val="10"/>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¿Cómo se establecen vínculos con las escuelas-albergue-comunidad?</w:t>
            </w:r>
          </w:p>
          <w:p w:rsidR="006F593F" w:rsidRDefault="006F593F" w:rsidP="006F593F">
            <w:pPr>
              <w:numPr>
                <w:ilvl w:val="0"/>
                <w:numId w:val="10"/>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¿Qué podemos aprender de esta experiencia?</w:t>
            </w:r>
          </w:p>
          <w:p w:rsidR="006F593F" w:rsidRDefault="006F593F" w:rsidP="006F593F">
            <w:pPr>
              <w:numPr>
                <w:ilvl w:val="0"/>
                <w:numId w:val="10"/>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¿Qué podemos empezar a hacer o fortalecer en nuestro Albergue?</w:t>
            </w:r>
          </w:p>
          <w:p w:rsidR="006F593F" w:rsidRDefault="006F593F" w:rsidP="006F593F">
            <w:pPr>
              <w:numPr>
                <w:ilvl w:val="0"/>
                <w:numId w:val="10"/>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¿Qué actividades se deben empezar a realizar o fortalecer en el Albergue</w:t>
            </w:r>
          </w:p>
          <w:p w:rsidR="006F593F" w:rsidRPr="006F593F" w:rsidRDefault="006F593F" w:rsidP="006F593F">
            <w:pPr>
              <w:pBdr>
                <w:top w:val="nil"/>
                <w:left w:val="nil"/>
                <w:bottom w:val="nil"/>
                <w:right w:val="nil"/>
                <w:between w:val="nil"/>
              </w:pBdr>
              <w:spacing w:line="276" w:lineRule="auto"/>
              <w:ind w:left="720"/>
              <w:jc w:val="both"/>
              <w:rPr>
                <w:rFonts w:ascii="Arial" w:eastAsia="Arial" w:hAnsi="Arial" w:cs="Arial"/>
              </w:rPr>
            </w:pPr>
          </w:p>
          <w:p w:rsidR="006F593F" w:rsidRDefault="006F593F" w:rsidP="006F593F">
            <w:pPr>
              <w:spacing w:line="276" w:lineRule="auto"/>
              <w:jc w:val="both"/>
              <w:rPr>
                <w:rFonts w:ascii="Times New Roman" w:eastAsia="Times New Roman" w:hAnsi="Times New Roman" w:cs="Times New Roman"/>
                <w:b/>
                <w:sz w:val="20"/>
                <w:szCs w:val="20"/>
              </w:rPr>
            </w:pPr>
            <w:r>
              <w:rPr>
                <w:rFonts w:ascii="Arial" w:eastAsia="Arial" w:hAnsi="Arial" w:cs="Arial"/>
                <w:b/>
              </w:rPr>
              <w:t>Prevención del Embarazo en Adolescentes</w:t>
            </w:r>
          </w:p>
          <w:p w:rsidR="006F593F" w:rsidRDefault="006F593F" w:rsidP="006F593F">
            <w:pPr>
              <w:numPr>
                <w:ilvl w:val="0"/>
                <w:numId w:val="10"/>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Estrategia Nacional para la Prevención del Embarazo en Adolescentes (ENAPEA)</w:t>
            </w:r>
          </w:p>
          <w:p w:rsidR="006F593F" w:rsidRDefault="006F593F" w:rsidP="006F593F">
            <w:pPr>
              <w:numPr>
                <w:ilvl w:val="0"/>
                <w:numId w:val="10"/>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Prevención y atención de enfermedades.</w:t>
            </w:r>
          </w:p>
          <w:p w:rsidR="006F593F" w:rsidRDefault="006F593F" w:rsidP="006F593F">
            <w:pPr>
              <w:numPr>
                <w:ilvl w:val="0"/>
                <w:numId w:val="10"/>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Conocimiento y uso de anticonceptivos.</w:t>
            </w:r>
          </w:p>
          <w:p w:rsidR="006F593F" w:rsidRDefault="006F593F" w:rsidP="006F593F">
            <w:pPr>
              <w:numPr>
                <w:ilvl w:val="0"/>
                <w:numId w:val="10"/>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Servicios de Salud Estatal</w:t>
            </w:r>
          </w:p>
          <w:p w:rsidR="006F593F" w:rsidRDefault="006F593F" w:rsidP="006F593F">
            <w:pPr>
              <w:numPr>
                <w:ilvl w:val="0"/>
                <w:numId w:val="10"/>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Factores coadyuvantes (baja autoestima, violencia, falta de conocimiento, etc.)</w:t>
            </w:r>
          </w:p>
          <w:p w:rsidR="006F593F" w:rsidRDefault="006F593F" w:rsidP="006F593F">
            <w:pPr>
              <w:numPr>
                <w:ilvl w:val="0"/>
                <w:numId w:val="10"/>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Implicaciones del embarazo en los adolescentes</w:t>
            </w:r>
          </w:p>
          <w:p w:rsidR="006F593F" w:rsidRDefault="006F593F" w:rsidP="006F593F">
            <w:pPr>
              <w:numPr>
                <w:ilvl w:val="0"/>
                <w:numId w:val="10"/>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Decisiones libres, informadas y responsables para el ejercicio de su sexualidad y prevención del embarazo.</w:t>
            </w:r>
          </w:p>
          <w:p w:rsidR="006F593F" w:rsidRPr="006F593F" w:rsidRDefault="006F593F" w:rsidP="006F593F">
            <w:pPr>
              <w:pBdr>
                <w:top w:val="nil"/>
                <w:left w:val="nil"/>
                <w:bottom w:val="nil"/>
                <w:right w:val="nil"/>
                <w:between w:val="nil"/>
              </w:pBdr>
              <w:spacing w:line="276" w:lineRule="auto"/>
              <w:ind w:left="720"/>
              <w:jc w:val="both"/>
              <w:rPr>
                <w:rFonts w:ascii="Arial" w:eastAsia="Arial" w:hAnsi="Arial" w:cs="Arial"/>
              </w:rPr>
            </w:pPr>
          </w:p>
          <w:p w:rsidR="006F593F" w:rsidRDefault="006F593F" w:rsidP="006F593F">
            <w:pPr>
              <w:spacing w:line="276" w:lineRule="auto"/>
              <w:jc w:val="both"/>
              <w:rPr>
                <w:rFonts w:ascii="Times New Roman" w:eastAsia="Times New Roman" w:hAnsi="Times New Roman" w:cs="Times New Roman"/>
                <w:b/>
                <w:sz w:val="20"/>
                <w:szCs w:val="20"/>
              </w:rPr>
            </w:pPr>
            <w:r>
              <w:rPr>
                <w:rFonts w:ascii="Arial" w:eastAsia="Arial" w:hAnsi="Arial" w:cs="Arial"/>
                <w:b/>
              </w:rPr>
              <w:t>Prevención de adicciones</w:t>
            </w:r>
          </w:p>
          <w:p w:rsidR="006F593F" w:rsidRDefault="006F593F" w:rsidP="006F593F">
            <w:pPr>
              <w:numPr>
                <w:ilvl w:val="0"/>
                <w:numId w:val="10"/>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Prevención de adicciones.</w:t>
            </w:r>
          </w:p>
          <w:p w:rsidR="006F593F" w:rsidRDefault="006F593F" w:rsidP="006F593F">
            <w:pPr>
              <w:numPr>
                <w:ilvl w:val="0"/>
                <w:numId w:val="10"/>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Identificación de factores de riesgo</w:t>
            </w:r>
          </w:p>
          <w:p w:rsidR="006F593F" w:rsidRDefault="006F593F" w:rsidP="006F593F">
            <w:pPr>
              <w:numPr>
                <w:ilvl w:val="0"/>
                <w:numId w:val="10"/>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Identificación de adicciones en los beneficiarios.</w:t>
            </w:r>
          </w:p>
          <w:p w:rsidR="006F593F" w:rsidRDefault="006F593F" w:rsidP="006F593F">
            <w:pPr>
              <w:spacing w:line="276" w:lineRule="auto"/>
              <w:ind w:left="1080"/>
              <w:rPr>
                <w:rFonts w:ascii="Times New Roman" w:eastAsia="Times New Roman" w:hAnsi="Times New Roman" w:cs="Times New Roman"/>
                <w:sz w:val="20"/>
                <w:szCs w:val="20"/>
              </w:rPr>
            </w:pPr>
          </w:p>
          <w:tbl>
            <w:tblPr>
              <w:tblStyle w:val="afffb"/>
              <w:tblW w:w="7455" w:type="dxa"/>
              <w:tblBorders>
                <w:top w:val="nil"/>
                <w:left w:val="nil"/>
                <w:bottom w:val="nil"/>
                <w:right w:val="nil"/>
                <w:insideH w:val="nil"/>
                <w:insideV w:val="nil"/>
              </w:tblBorders>
              <w:tblLayout w:type="fixed"/>
              <w:tblLook w:val="0600" w:firstRow="0" w:lastRow="0" w:firstColumn="0" w:lastColumn="0" w:noHBand="1" w:noVBand="1"/>
            </w:tblPr>
            <w:tblGrid>
              <w:gridCol w:w="960"/>
              <w:gridCol w:w="1305"/>
              <w:gridCol w:w="1815"/>
              <w:gridCol w:w="1770"/>
              <w:gridCol w:w="1605"/>
            </w:tblGrid>
            <w:tr w:rsidR="006F593F" w:rsidTr="00F91AB5">
              <w:trPr>
                <w:trHeight w:val="635"/>
              </w:trPr>
              <w:tc>
                <w:tcPr>
                  <w:tcW w:w="960"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6F593F" w:rsidRDefault="006F593F" w:rsidP="006F593F">
                  <w:pPr>
                    <w:spacing w:after="0" w:line="276" w:lineRule="auto"/>
                    <w:jc w:val="center"/>
                    <w:rPr>
                      <w:rFonts w:ascii="Montserrat" w:eastAsia="Montserrat" w:hAnsi="Montserrat" w:cs="Montserrat"/>
                      <w:b/>
                      <w:sz w:val="18"/>
                      <w:szCs w:val="18"/>
                    </w:rPr>
                  </w:pPr>
                  <w:r>
                    <w:rPr>
                      <w:rFonts w:ascii="Montserrat" w:eastAsia="Montserrat" w:hAnsi="Montserrat" w:cs="Montserrat"/>
                      <w:b/>
                      <w:sz w:val="18"/>
                      <w:szCs w:val="18"/>
                    </w:rPr>
                    <w:t>Año</w:t>
                  </w:r>
                </w:p>
              </w:tc>
              <w:tc>
                <w:tcPr>
                  <w:tcW w:w="1305" w:type="dxa"/>
                  <w:tcBorders>
                    <w:top w:val="single" w:sz="8" w:space="0" w:color="000000"/>
                    <w:left w:val="nil"/>
                    <w:bottom w:val="single" w:sz="8" w:space="0" w:color="000000"/>
                    <w:right w:val="single" w:sz="8" w:space="0" w:color="000000"/>
                  </w:tcBorders>
                  <w:shd w:val="clear" w:color="auto" w:fill="D9D9D9"/>
                  <w:tcMar>
                    <w:top w:w="100" w:type="dxa"/>
                    <w:left w:w="100" w:type="dxa"/>
                    <w:bottom w:w="100" w:type="dxa"/>
                    <w:right w:w="100" w:type="dxa"/>
                  </w:tcMar>
                </w:tcPr>
                <w:p w:rsidR="006F593F" w:rsidRDefault="006F593F" w:rsidP="006F593F">
                  <w:pPr>
                    <w:spacing w:after="0" w:line="276" w:lineRule="auto"/>
                    <w:jc w:val="center"/>
                    <w:rPr>
                      <w:rFonts w:ascii="Montserrat" w:eastAsia="Montserrat" w:hAnsi="Montserrat" w:cs="Montserrat"/>
                      <w:b/>
                      <w:sz w:val="18"/>
                      <w:szCs w:val="18"/>
                    </w:rPr>
                  </w:pPr>
                  <w:r>
                    <w:rPr>
                      <w:rFonts w:ascii="Montserrat" w:eastAsia="Montserrat" w:hAnsi="Montserrat" w:cs="Montserrat"/>
                      <w:b/>
                      <w:sz w:val="18"/>
                      <w:szCs w:val="18"/>
                    </w:rPr>
                    <w:t>Talleres</w:t>
                  </w:r>
                </w:p>
              </w:tc>
              <w:tc>
                <w:tcPr>
                  <w:tcW w:w="1815" w:type="dxa"/>
                  <w:tcBorders>
                    <w:top w:val="single" w:sz="8" w:space="0" w:color="000000"/>
                    <w:left w:val="nil"/>
                    <w:bottom w:val="single" w:sz="8" w:space="0" w:color="000000"/>
                    <w:right w:val="single" w:sz="8" w:space="0" w:color="000000"/>
                  </w:tcBorders>
                  <w:shd w:val="clear" w:color="auto" w:fill="D9D9D9"/>
                  <w:tcMar>
                    <w:top w:w="100" w:type="dxa"/>
                    <w:left w:w="100" w:type="dxa"/>
                    <w:bottom w:w="100" w:type="dxa"/>
                    <w:right w:w="100" w:type="dxa"/>
                  </w:tcMar>
                </w:tcPr>
                <w:p w:rsidR="006F593F" w:rsidRDefault="006F593F" w:rsidP="006F593F">
                  <w:pPr>
                    <w:spacing w:after="0" w:line="276" w:lineRule="auto"/>
                    <w:jc w:val="center"/>
                    <w:rPr>
                      <w:rFonts w:ascii="Montserrat" w:eastAsia="Montserrat" w:hAnsi="Montserrat" w:cs="Montserrat"/>
                      <w:b/>
                      <w:sz w:val="18"/>
                      <w:szCs w:val="18"/>
                    </w:rPr>
                  </w:pPr>
                  <w:r>
                    <w:rPr>
                      <w:rFonts w:ascii="Montserrat" w:eastAsia="Montserrat" w:hAnsi="Montserrat" w:cs="Montserrat"/>
                      <w:b/>
                      <w:sz w:val="18"/>
                      <w:szCs w:val="18"/>
                    </w:rPr>
                    <w:t>Participantes</w:t>
                  </w:r>
                </w:p>
              </w:tc>
              <w:tc>
                <w:tcPr>
                  <w:tcW w:w="1770" w:type="dxa"/>
                  <w:tcBorders>
                    <w:top w:val="single" w:sz="8" w:space="0" w:color="000000"/>
                    <w:left w:val="nil"/>
                    <w:bottom w:val="single" w:sz="8" w:space="0" w:color="000000"/>
                    <w:right w:val="single" w:sz="8" w:space="0" w:color="000000"/>
                  </w:tcBorders>
                  <w:shd w:val="clear" w:color="auto" w:fill="D9D9D9"/>
                  <w:tcMar>
                    <w:top w:w="100" w:type="dxa"/>
                    <w:left w:w="100" w:type="dxa"/>
                    <w:bottom w:w="100" w:type="dxa"/>
                    <w:right w:w="100" w:type="dxa"/>
                  </w:tcMar>
                </w:tcPr>
                <w:p w:rsidR="006F593F" w:rsidRDefault="006F593F" w:rsidP="006F593F">
                  <w:pPr>
                    <w:spacing w:after="0" w:line="276" w:lineRule="auto"/>
                    <w:jc w:val="center"/>
                    <w:rPr>
                      <w:rFonts w:ascii="Montserrat" w:eastAsia="Montserrat" w:hAnsi="Montserrat" w:cs="Montserrat"/>
                      <w:b/>
                      <w:sz w:val="18"/>
                      <w:szCs w:val="18"/>
                    </w:rPr>
                  </w:pPr>
                  <w:r>
                    <w:rPr>
                      <w:rFonts w:ascii="Montserrat" w:eastAsia="Montserrat" w:hAnsi="Montserrat" w:cs="Montserrat"/>
                      <w:b/>
                      <w:sz w:val="18"/>
                      <w:szCs w:val="18"/>
                    </w:rPr>
                    <w:t>Beneficiarios</w:t>
                  </w:r>
                </w:p>
              </w:tc>
              <w:tc>
                <w:tcPr>
                  <w:tcW w:w="1605" w:type="dxa"/>
                  <w:tcBorders>
                    <w:top w:val="single" w:sz="8" w:space="0" w:color="000000"/>
                    <w:left w:val="nil"/>
                    <w:bottom w:val="single" w:sz="8" w:space="0" w:color="000000"/>
                    <w:right w:val="single" w:sz="8" w:space="0" w:color="000000"/>
                  </w:tcBorders>
                  <w:shd w:val="clear" w:color="auto" w:fill="D9D9D9"/>
                  <w:tcMar>
                    <w:top w:w="100" w:type="dxa"/>
                    <w:left w:w="100" w:type="dxa"/>
                    <w:bottom w:w="100" w:type="dxa"/>
                    <w:right w:w="100" w:type="dxa"/>
                  </w:tcMar>
                </w:tcPr>
                <w:p w:rsidR="006F593F" w:rsidRDefault="006F593F" w:rsidP="006F593F">
                  <w:pPr>
                    <w:spacing w:after="0" w:line="276" w:lineRule="auto"/>
                    <w:jc w:val="center"/>
                    <w:rPr>
                      <w:rFonts w:ascii="Montserrat" w:eastAsia="Montserrat" w:hAnsi="Montserrat" w:cs="Montserrat"/>
                      <w:b/>
                      <w:sz w:val="18"/>
                      <w:szCs w:val="18"/>
                    </w:rPr>
                  </w:pPr>
                  <w:r>
                    <w:rPr>
                      <w:rFonts w:ascii="Montserrat" w:eastAsia="Montserrat" w:hAnsi="Montserrat" w:cs="Montserrat"/>
                      <w:b/>
                      <w:sz w:val="18"/>
                      <w:szCs w:val="18"/>
                    </w:rPr>
                    <w:t>Casas o</w:t>
                  </w:r>
                </w:p>
                <w:p w:rsidR="006F593F" w:rsidRDefault="006F593F" w:rsidP="006F593F">
                  <w:pPr>
                    <w:spacing w:after="0" w:line="276" w:lineRule="auto"/>
                    <w:jc w:val="center"/>
                    <w:rPr>
                      <w:rFonts w:ascii="Montserrat" w:eastAsia="Montserrat" w:hAnsi="Montserrat" w:cs="Montserrat"/>
                      <w:b/>
                      <w:sz w:val="18"/>
                      <w:szCs w:val="18"/>
                    </w:rPr>
                  </w:pPr>
                  <w:r>
                    <w:rPr>
                      <w:rFonts w:ascii="Montserrat" w:eastAsia="Montserrat" w:hAnsi="Montserrat" w:cs="Montserrat"/>
                      <w:b/>
                      <w:sz w:val="18"/>
                      <w:szCs w:val="18"/>
                    </w:rPr>
                    <w:t>Comedores</w:t>
                  </w:r>
                </w:p>
              </w:tc>
            </w:tr>
            <w:tr w:rsidR="006F593F" w:rsidTr="00F91AB5">
              <w:trPr>
                <w:trHeight w:val="425"/>
              </w:trPr>
              <w:tc>
                <w:tcPr>
                  <w:tcW w:w="9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6F593F" w:rsidRDefault="006F593F" w:rsidP="006F593F">
                  <w:pPr>
                    <w:spacing w:after="0" w:line="276" w:lineRule="auto"/>
                    <w:jc w:val="center"/>
                    <w:rPr>
                      <w:rFonts w:ascii="Montserrat" w:eastAsia="Montserrat" w:hAnsi="Montserrat" w:cs="Montserrat"/>
                      <w:sz w:val="18"/>
                      <w:szCs w:val="18"/>
                    </w:rPr>
                  </w:pPr>
                  <w:r>
                    <w:rPr>
                      <w:rFonts w:ascii="Montserrat" w:eastAsia="Montserrat" w:hAnsi="Montserrat" w:cs="Montserrat"/>
                      <w:sz w:val="18"/>
                      <w:szCs w:val="18"/>
                    </w:rPr>
                    <w:t>2015</w:t>
                  </w:r>
                </w:p>
              </w:tc>
              <w:tc>
                <w:tcPr>
                  <w:tcW w:w="1305" w:type="dxa"/>
                  <w:tcBorders>
                    <w:top w:val="nil"/>
                    <w:left w:val="nil"/>
                    <w:bottom w:val="single" w:sz="8" w:space="0" w:color="000000"/>
                    <w:right w:val="single" w:sz="8" w:space="0" w:color="000000"/>
                  </w:tcBorders>
                  <w:tcMar>
                    <w:top w:w="100" w:type="dxa"/>
                    <w:left w:w="100" w:type="dxa"/>
                    <w:bottom w:w="100" w:type="dxa"/>
                    <w:right w:w="100" w:type="dxa"/>
                  </w:tcMar>
                </w:tcPr>
                <w:p w:rsidR="006F593F" w:rsidRDefault="006F593F" w:rsidP="006F593F">
                  <w:pPr>
                    <w:spacing w:after="0" w:line="276" w:lineRule="auto"/>
                    <w:jc w:val="center"/>
                    <w:rPr>
                      <w:rFonts w:ascii="Montserrat" w:eastAsia="Montserrat" w:hAnsi="Montserrat" w:cs="Montserrat"/>
                      <w:sz w:val="18"/>
                      <w:szCs w:val="18"/>
                    </w:rPr>
                  </w:pPr>
                  <w:r>
                    <w:rPr>
                      <w:rFonts w:ascii="Montserrat" w:eastAsia="Montserrat" w:hAnsi="Montserrat" w:cs="Montserrat"/>
                      <w:sz w:val="18"/>
                      <w:szCs w:val="18"/>
                    </w:rPr>
                    <w:t>40</w:t>
                  </w:r>
                </w:p>
              </w:tc>
              <w:tc>
                <w:tcPr>
                  <w:tcW w:w="1815" w:type="dxa"/>
                  <w:tcBorders>
                    <w:top w:val="nil"/>
                    <w:left w:val="nil"/>
                    <w:bottom w:val="single" w:sz="8" w:space="0" w:color="000000"/>
                    <w:right w:val="single" w:sz="8" w:space="0" w:color="000000"/>
                  </w:tcBorders>
                  <w:tcMar>
                    <w:top w:w="100" w:type="dxa"/>
                    <w:left w:w="100" w:type="dxa"/>
                    <w:bottom w:w="100" w:type="dxa"/>
                    <w:right w:w="100" w:type="dxa"/>
                  </w:tcMar>
                </w:tcPr>
                <w:p w:rsidR="006F593F" w:rsidRDefault="006F593F" w:rsidP="006F593F">
                  <w:pPr>
                    <w:spacing w:after="0" w:line="276" w:lineRule="auto"/>
                    <w:jc w:val="center"/>
                    <w:rPr>
                      <w:rFonts w:ascii="Montserrat" w:eastAsia="Montserrat" w:hAnsi="Montserrat" w:cs="Montserrat"/>
                      <w:sz w:val="18"/>
                      <w:szCs w:val="18"/>
                    </w:rPr>
                  </w:pPr>
                  <w:r>
                    <w:rPr>
                      <w:rFonts w:ascii="Montserrat" w:eastAsia="Montserrat" w:hAnsi="Montserrat" w:cs="Montserrat"/>
                      <w:sz w:val="18"/>
                      <w:szCs w:val="18"/>
                    </w:rPr>
                    <w:t>2592</w:t>
                  </w:r>
                </w:p>
              </w:tc>
              <w:tc>
                <w:tcPr>
                  <w:tcW w:w="1770" w:type="dxa"/>
                  <w:tcBorders>
                    <w:top w:val="nil"/>
                    <w:left w:val="nil"/>
                    <w:bottom w:val="single" w:sz="8" w:space="0" w:color="000000"/>
                    <w:right w:val="single" w:sz="8" w:space="0" w:color="000000"/>
                  </w:tcBorders>
                  <w:tcMar>
                    <w:top w:w="100" w:type="dxa"/>
                    <w:left w:w="100" w:type="dxa"/>
                    <w:bottom w:w="100" w:type="dxa"/>
                    <w:right w:w="100" w:type="dxa"/>
                  </w:tcMar>
                </w:tcPr>
                <w:p w:rsidR="006F593F" w:rsidRDefault="006F593F" w:rsidP="006F593F">
                  <w:pPr>
                    <w:spacing w:after="0" w:line="276" w:lineRule="auto"/>
                    <w:jc w:val="center"/>
                    <w:rPr>
                      <w:rFonts w:ascii="Montserrat" w:eastAsia="Montserrat" w:hAnsi="Montserrat" w:cs="Montserrat"/>
                      <w:sz w:val="18"/>
                      <w:szCs w:val="18"/>
                    </w:rPr>
                  </w:pPr>
                  <w:r>
                    <w:rPr>
                      <w:rFonts w:ascii="Montserrat" w:eastAsia="Montserrat" w:hAnsi="Montserrat" w:cs="Montserrat"/>
                      <w:sz w:val="18"/>
                      <w:szCs w:val="18"/>
                    </w:rPr>
                    <w:t>46541</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tcPr>
                <w:p w:rsidR="006F593F" w:rsidRDefault="006F593F" w:rsidP="006F593F">
                  <w:pPr>
                    <w:spacing w:after="0" w:line="276" w:lineRule="auto"/>
                    <w:jc w:val="center"/>
                    <w:rPr>
                      <w:rFonts w:ascii="Montserrat" w:eastAsia="Montserrat" w:hAnsi="Montserrat" w:cs="Montserrat"/>
                      <w:sz w:val="18"/>
                      <w:szCs w:val="18"/>
                    </w:rPr>
                  </w:pPr>
                  <w:r>
                    <w:rPr>
                      <w:rFonts w:ascii="Montserrat" w:eastAsia="Montserrat" w:hAnsi="Montserrat" w:cs="Montserrat"/>
                      <w:sz w:val="18"/>
                      <w:szCs w:val="18"/>
                    </w:rPr>
                    <w:t>1056</w:t>
                  </w:r>
                </w:p>
              </w:tc>
            </w:tr>
            <w:tr w:rsidR="006F593F" w:rsidTr="00F91AB5">
              <w:trPr>
                <w:trHeight w:val="425"/>
              </w:trPr>
              <w:tc>
                <w:tcPr>
                  <w:tcW w:w="9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6F593F" w:rsidRDefault="006F593F" w:rsidP="006F593F">
                  <w:pPr>
                    <w:spacing w:after="0" w:line="276" w:lineRule="auto"/>
                    <w:jc w:val="center"/>
                    <w:rPr>
                      <w:rFonts w:ascii="Montserrat" w:eastAsia="Montserrat" w:hAnsi="Montserrat" w:cs="Montserrat"/>
                      <w:sz w:val="18"/>
                      <w:szCs w:val="18"/>
                    </w:rPr>
                  </w:pPr>
                  <w:r>
                    <w:rPr>
                      <w:rFonts w:ascii="Montserrat" w:eastAsia="Montserrat" w:hAnsi="Montserrat" w:cs="Montserrat"/>
                      <w:sz w:val="18"/>
                      <w:szCs w:val="18"/>
                    </w:rPr>
                    <w:t>2016</w:t>
                  </w:r>
                </w:p>
              </w:tc>
              <w:tc>
                <w:tcPr>
                  <w:tcW w:w="1305" w:type="dxa"/>
                  <w:tcBorders>
                    <w:top w:val="nil"/>
                    <w:left w:val="nil"/>
                    <w:bottom w:val="single" w:sz="8" w:space="0" w:color="000000"/>
                    <w:right w:val="single" w:sz="8" w:space="0" w:color="000000"/>
                  </w:tcBorders>
                  <w:tcMar>
                    <w:top w:w="100" w:type="dxa"/>
                    <w:left w:w="100" w:type="dxa"/>
                    <w:bottom w:w="100" w:type="dxa"/>
                    <w:right w:w="100" w:type="dxa"/>
                  </w:tcMar>
                </w:tcPr>
                <w:p w:rsidR="006F593F" w:rsidRDefault="006F593F" w:rsidP="006F593F">
                  <w:pPr>
                    <w:spacing w:after="0" w:line="276" w:lineRule="auto"/>
                    <w:jc w:val="center"/>
                    <w:rPr>
                      <w:rFonts w:ascii="Montserrat" w:eastAsia="Montserrat" w:hAnsi="Montserrat" w:cs="Montserrat"/>
                      <w:sz w:val="18"/>
                      <w:szCs w:val="18"/>
                    </w:rPr>
                  </w:pPr>
                  <w:r>
                    <w:rPr>
                      <w:rFonts w:ascii="Montserrat" w:eastAsia="Montserrat" w:hAnsi="Montserrat" w:cs="Montserrat"/>
                      <w:sz w:val="18"/>
                      <w:szCs w:val="18"/>
                    </w:rPr>
                    <w:t>50</w:t>
                  </w:r>
                </w:p>
              </w:tc>
              <w:tc>
                <w:tcPr>
                  <w:tcW w:w="1815" w:type="dxa"/>
                  <w:tcBorders>
                    <w:top w:val="nil"/>
                    <w:left w:val="nil"/>
                    <w:bottom w:val="single" w:sz="8" w:space="0" w:color="000000"/>
                    <w:right w:val="single" w:sz="8" w:space="0" w:color="000000"/>
                  </w:tcBorders>
                  <w:tcMar>
                    <w:top w:w="100" w:type="dxa"/>
                    <w:left w:w="100" w:type="dxa"/>
                    <w:bottom w:w="100" w:type="dxa"/>
                    <w:right w:w="100" w:type="dxa"/>
                  </w:tcMar>
                </w:tcPr>
                <w:p w:rsidR="006F593F" w:rsidRDefault="006F593F" w:rsidP="006F593F">
                  <w:pPr>
                    <w:spacing w:after="0" w:line="276" w:lineRule="auto"/>
                    <w:jc w:val="center"/>
                    <w:rPr>
                      <w:rFonts w:ascii="Montserrat" w:eastAsia="Montserrat" w:hAnsi="Montserrat" w:cs="Montserrat"/>
                      <w:sz w:val="18"/>
                      <w:szCs w:val="18"/>
                    </w:rPr>
                  </w:pPr>
                  <w:r>
                    <w:rPr>
                      <w:rFonts w:ascii="Montserrat" w:eastAsia="Montserrat" w:hAnsi="Montserrat" w:cs="Montserrat"/>
                      <w:sz w:val="18"/>
                      <w:szCs w:val="18"/>
                    </w:rPr>
                    <w:t>3035</w:t>
                  </w:r>
                </w:p>
              </w:tc>
              <w:tc>
                <w:tcPr>
                  <w:tcW w:w="1770" w:type="dxa"/>
                  <w:tcBorders>
                    <w:top w:val="nil"/>
                    <w:left w:val="nil"/>
                    <w:bottom w:val="single" w:sz="8" w:space="0" w:color="000000"/>
                    <w:right w:val="single" w:sz="8" w:space="0" w:color="000000"/>
                  </w:tcBorders>
                  <w:tcMar>
                    <w:top w:w="100" w:type="dxa"/>
                    <w:left w:w="100" w:type="dxa"/>
                    <w:bottom w:w="100" w:type="dxa"/>
                    <w:right w:w="100" w:type="dxa"/>
                  </w:tcMar>
                </w:tcPr>
                <w:p w:rsidR="006F593F" w:rsidRDefault="006F593F" w:rsidP="006F593F">
                  <w:pPr>
                    <w:spacing w:after="0" w:line="276" w:lineRule="auto"/>
                    <w:jc w:val="center"/>
                    <w:rPr>
                      <w:rFonts w:ascii="Montserrat" w:eastAsia="Montserrat" w:hAnsi="Montserrat" w:cs="Montserrat"/>
                      <w:sz w:val="18"/>
                      <w:szCs w:val="18"/>
                    </w:rPr>
                  </w:pPr>
                  <w:r>
                    <w:rPr>
                      <w:rFonts w:ascii="Montserrat" w:eastAsia="Montserrat" w:hAnsi="Montserrat" w:cs="Montserrat"/>
                      <w:sz w:val="18"/>
                      <w:szCs w:val="18"/>
                    </w:rPr>
                    <w:t>55510</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tcPr>
                <w:p w:rsidR="006F593F" w:rsidRDefault="006F593F" w:rsidP="006F593F">
                  <w:pPr>
                    <w:spacing w:after="0" w:line="276" w:lineRule="auto"/>
                    <w:jc w:val="center"/>
                    <w:rPr>
                      <w:rFonts w:ascii="Montserrat" w:eastAsia="Montserrat" w:hAnsi="Montserrat" w:cs="Montserrat"/>
                      <w:sz w:val="18"/>
                      <w:szCs w:val="18"/>
                    </w:rPr>
                  </w:pPr>
                  <w:r>
                    <w:rPr>
                      <w:rFonts w:ascii="Montserrat" w:eastAsia="Montserrat" w:hAnsi="Montserrat" w:cs="Montserrat"/>
                      <w:sz w:val="18"/>
                      <w:szCs w:val="18"/>
                    </w:rPr>
                    <w:t>1064</w:t>
                  </w:r>
                </w:p>
              </w:tc>
            </w:tr>
            <w:tr w:rsidR="006F593F" w:rsidTr="00F91AB5">
              <w:trPr>
                <w:trHeight w:val="425"/>
              </w:trPr>
              <w:tc>
                <w:tcPr>
                  <w:tcW w:w="9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6F593F" w:rsidRDefault="006F593F" w:rsidP="006F593F">
                  <w:pPr>
                    <w:spacing w:after="0" w:line="276" w:lineRule="auto"/>
                    <w:jc w:val="center"/>
                    <w:rPr>
                      <w:rFonts w:ascii="Montserrat" w:eastAsia="Montserrat" w:hAnsi="Montserrat" w:cs="Montserrat"/>
                      <w:sz w:val="18"/>
                      <w:szCs w:val="18"/>
                    </w:rPr>
                  </w:pPr>
                  <w:r>
                    <w:rPr>
                      <w:rFonts w:ascii="Montserrat" w:eastAsia="Montserrat" w:hAnsi="Montserrat" w:cs="Montserrat"/>
                      <w:sz w:val="18"/>
                      <w:szCs w:val="18"/>
                    </w:rPr>
                    <w:t>2017</w:t>
                  </w:r>
                </w:p>
              </w:tc>
              <w:tc>
                <w:tcPr>
                  <w:tcW w:w="1305" w:type="dxa"/>
                  <w:tcBorders>
                    <w:top w:val="nil"/>
                    <w:left w:val="nil"/>
                    <w:bottom w:val="single" w:sz="8" w:space="0" w:color="000000"/>
                    <w:right w:val="single" w:sz="8" w:space="0" w:color="000000"/>
                  </w:tcBorders>
                  <w:tcMar>
                    <w:top w:w="100" w:type="dxa"/>
                    <w:left w:w="100" w:type="dxa"/>
                    <w:bottom w:w="100" w:type="dxa"/>
                    <w:right w:w="100" w:type="dxa"/>
                  </w:tcMar>
                </w:tcPr>
                <w:p w:rsidR="006F593F" w:rsidRDefault="006F593F" w:rsidP="006F593F">
                  <w:pPr>
                    <w:spacing w:after="0" w:line="276" w:lineRule="auto"/>
                    <w:jc w:val="center"/>
                    <w:rPr>
                      <w:rFonts w:ascii="Montserrat" w:eastAsia="Montserrat" w:hAnsi="Montserrat" w:cs="Montserrat"/>
                      <w:sz w:val="18"/>
                      <w:szCs w:val="18"/>
                    </w:rPr>
                  </w:pPr>
                  <w:r>
                    <w:rPr>
                      <w:rFonts w:ascii="Montserrat" w:eastAsia="Montserrat" w:hAnsi="Montserrat" w:cs="Montserrat"/>
                      <w:sz w:val="18"/>
                      <w:szCs w:val="18"/>
                    </w:rPr>
                    <w:t>55</w:t>
                  </w:r>
                </w:p>
              </w:tc>
              <w:tc>
                <w:tcPr>
                  <w:tcW w:w="1815" w:type="dxa"/>
                  <w:tcBorders>
                    <w:top w:val="nil"/>
                    <w:left w:val="nil"/>
                    <w:bottom w:val="single" w:sz="8" w:space="0" w:color="000000"/>
                    <w:right w:val="single" w:sz="8" w:space="0" w:color="000000"/>
                  </w:tcBorders>
                  <w:tcMar>
                    <w:top w:w="100" w:type="dxa"/>
                    <w:left w:w="100" w:type="dxa"/>
                    <w:bottom w:w="100" w:type="dxa"/>
                    <w:right w:w="100" w:type="dxa"/>
                  </w:tcMar>
                </w:tcPr>
                <w:p w:rsidR="006F593F" w:rsidRDefault="006F593F" w:rsidP="006F593F">
                  <w:pPr>
                    <w:spacing w:after="0" w:line="276" w:lineRule="auto"/>
                    <w:jc w:val="center"/>
                    <w:rPr>
                      <w:rFonts w:ascii="Montserrat" w:eastAsia="Montserrat" w:hAnsi="Montserrat" w:cs="Montserrat"/>
                      <w:sz w:val="18"/>
                      <w:szCs w:val="18"/>
                    </w:rPr>
                  </w:pPr>
                  <w:r>
                    <w:rPr>
                      <w:rFonts w:ascii="Montserrat" w:eastAsia="Montserrat" w:hAnsi="Montserrat" w:cs="Montserrat"/>
                      <w:sz w:val="18"/>
                      <w:szCs w:val="18"/>
                    </w:rPr>
                    <w:t>3725</w:t>
                  </w:r>
                </w:p>
              </w:tc>
              <w:tc>
                <w:tcPr>
                  <w:tcW w:w="1770" w:type="dxa"/>
                  <w:tcBorders>
                    <w:top w:val="nil"/>
                    <w:left w:val="nil"/>
                    <w:bottom w:val="single" w:sz="8" w:space="0" w:color="000000"/>
                    <w:right w:val="single" w:sz="8" w:space="0" w:color="000000"/>
                  </w:tcBorders>
                  <w:tcMar>
                    <w:top w:w="100" w:type="dxa"/>
                    <w:left w:w="100" w:type="dxa"/>
                    <w:bottom w:w="100" w:type="dxa"/>
                    <w:right w:w="100" w:type="dxa"/>
                  </w:tcMar>
                </w:tcPr>
                <w:p w:rsidR="006F593F" w:rsidRDefault="006F593F" w:rsidP="006F593F">
                  <w:pPr>
                    <w:spacing w:after="0" w:line="276" w:lineRule="auto"/>
                    <w:jc w:val="center"/>
                    <w:rPr>
                      <w:rFonts w:ascii="Montserrat" w:eastAsia="Montserrat" w:hAnsi="Montserrat" w:cs="Montserrat"/>
                      <w:sz w:val="18"/>
                      <w:szCs w:val="18"/>
                    </w:rPr>
                  </w:pPr>
                  <w:r>
                    <w:rPr>
                      <w:rFonts w:ascii="Montserrat" w:eastAsia="Montserrat" w:hAnsi="Montserrat" w:cs="Montserrat"/>
                      <w:sz w:val="18"/>
                      <w:szCs w:val="18"/>
                    </w:rPr>
                    <w:t>56275</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tcPr>
                <w:p w:rsidR="006F593F" w:rsidRDefault="006F593F" w:rsidP="006F593F">
                  <w:pPr>
                    <w:spacing w:after="0" w:line="276" w:lineRule="auto"/>
                    <w:jc w:val="center"/>
                    <w:rPr>
                      <w:rFonts w:ascii="Montserrat" w:eastAsia="Montserrat" w:hAnsi="Montserrat" w:cs="Montserrat"/>
                      <w:sz w:val="18"/>
                      <w:szCs w:val="18"/>
                    </w:rPr>
                  </w:pPr>
                  <w:r>
                    <w:rPr>
                      <w:rFonts w:ascii="Montserrat" w:eastAsia="Montserrat" w:hAnsi="Montserrat" w:cs="Montserrat"/>
                      <w:sz w:val="18"/>
                      <w:szCs w:val="18"/>
                    </w:rPr>
                    <w:t>1061</w:t>
                  </w:r>
                </w:p>
              </w:tc>
            </w:tr>
            <w:tr w:rsidR="006F593F" w:rsidTr="00F91AB5">
              <w:trPr>
                <w:trHeight w:val="425"/>
              </w:trPr>
              <w:tc>
                <w:tcPr>
                  <w:tcW w:w="9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6F593F" w:rsidRDefault="006F593F" w:rsidP="006F593F">
                  <w:pPr>
                    <w:spacing w:after="0" w:line="276" w:lineRule="auto"/>
                    <w:jc w:val="center"/>
                    <w:rPr>
                      <w:rFonts w:ascii="Montserrat" w:eastAsia="Montserrat" w:hAnsi="Montserrat" w:cs="Montserrat"/>
                      <w:sz w:val="18"/>
                      <w:szCs w:val="18"/>
                    </w:rPr>
                  </w:pPr>
                  <w:r>
                    <w:rPr>
                      <w:rFonts w:ascii="Montserrat" w:eastAsia="Montserrat" w:hAnsi="Montserrat" w:cs="Montserrat"/>
                      <w:sz w:val="18"/>
                      <w:szCs w:val="18"/>
                    </w:rPr>
                    <w:t>2018</w:t>
                  </w:r>
                </w:p>
              </w:tc>
              <w:tc>
                <w:tcPr>
                  <w:tcW w:w="1305" w:type="dxa"/>
                  <w:tcBorders>
                    <w:top w:val="nil"/>
                    <w:left w:val="nil"/>
                    <w:bottom w:val="single" w:sz="8" w:space="0" w:color="000000"/>
                    <w:right w:val="single" w:sz="8" w:space="0" w:color="000000"/>
                  </w:tcBorders>
                  <w:tcMar>
                    <w:top w:w="100" w:type="dxa"/>
                    <w:left w:w="100" w:type="dxa"/>
                    <w:bottom w:w="100" w:type="dxa"/>
                    <w:right w:w="100" w:type="dxa"/>
                  </w:tcMar>
                </w:tcPr>
                <w:p w:rsidR="006F593F" w:rsidRDefault="006F593F" w:rsidP="006F593F">
                  <w:pPr>
                    <w:spacing w:after="0" w:line="276" w:lineRule="auto"/>
                    <w:jc w:val="center"/>
                    <w:rPr>
                      <w:rFonts w:ascii="Montserrat" w:eastAsia="Montserrat" w:hAnsi="Montserrat" w:cs="Montserrat"/>
                      <w:sz w:val="18"/>
                      <w:szCs w:val="18"/>
                    </w:rPr>
                  </w:pPr>
                  <w:r>
                    <w:rPr>
                      <w:rFonts w:ascii="Montserrat" w:eastAsia="Montserrat" w:hAnsi="Montserrat" w:cs="Montserrat"/>
                      <w:sz w:val="18"/>
                      <w:szCs w:val="18"/>
                    </w:rPr>
                    <w:t>58</w:t>
                  </w:r>
                </w:p>
              </w:tc>
              <w:tc>
                <w:tcPr>
                  <w:tcW w:w="1815" w:type="dxa"/>
                  <w:tcBorders>
                    <w:top w:val="nil"/>
                    <w:left w:val="nil"/>
                    <w:bottom w:val="single" w:sz="8" w:space="0" w:color="000000"/>
                    <w:right w:val="single" w:sz="8" w:space="0" w:color="000000"/>
                  </w:tcBorders>
                  <w:tcMar>
                    <w:top w:w="100" w:type="dxa"/>
                    <w:left w:w="100" w:type="dxa"/>
                    <w:bottom w:w="100" w:type="dxa"/>
                    <w:right w:w="100" w:type="dxa"/>
                  </w:tcMar>
                </w:tcPr>
                <w:p w:rsidR="006F593F" w:rsidRDefault="006F593F" w:rsidP="006F593F">
                  <w:pPr>
                    <w:spacing w:after="0" w:line="276" w:lineRule="auto"/>
                    <w:jc w:val="center"/>
                    <w:rPr>
                      <w:rFonts w:ascii="Montserrat" w:eastAsia="Montserrat" w:hAnsi="Montserrat" w:cs="Montserrat"/>
                      <w:sz w:val="18"/>
                      <w:szCs w:val="18"/>
                    </w:rPr>
                  </w:pPr>
                  <w:r>
                    <w:rPr>
                      <w:rFonts w:ascii="Montserrat" w:eastAsia="Montserrat" w:hAnsi="Montserrat" w:cs="Montserrat"/>
                      <w:sz w:val="18"/>
                      <w:szCs w:val="18"/>
                    </w:rPr>
                    <w:t>3457</w:t>
                  </w:r>
                </w:p>
              </w:tc>
              <w:tc>
                <w:tcPr>
                  <w:tcW w:w="1770" w:type="dxa"/>
                  <w:tcBorders>
                    <w:top w:val="nil"/>
                    <w:left w:val="nil"/>
                    <w:bottom w:val="single" w:sz="8" w:space="0" w:color="000000"/>
                    <w:right w:val="single" w:sz="8" w:space="0" w:color="000000"/>
                  </w:tcBorders>
                  <w:tcMar>
                    <w:top w:w="100" w:type="dxa"/>
                    <w:left w:w="100" w:type="dxa"/>
                    <w:bottom w:w="100" w:type="dxa"/>
                    <w:right w:w="100" w:type="dxa"/>
                  </w:tcMar>
                </w:tcPr>
                <w:p w:rsidR="006F593F" w:rsidRDefault="006F593F" w:rsidP="006F593F">
                  <w:pPr>
                    <w:spacing w:after="0" w:line="276" w:lineRule="auto"/>
                    <w:jc w:val="center"/>
                    <w:rPr>
                      <w:rFonts w:ascii="Montserrat" w:eastAsia="Montserrat" w:hAnsi="Montserrat" w:cs="Montserrat"/>
                      <w:sz w:val="18"/>
                      <w:szCs w:val="18"/>
                    </w:rPr>
                  </w:pPr>
                  <w:r>
                    <w:rPr>
                      <w:rFonts w:ascii="Montserrat" w:eastAsia="Montserrat" w:hAnsi="Montserrat" w:cs="Montserrat"/>
                      <w:sz w:val="18"/>
                      <w:szCs w:val="18"/>
                    </w:rPr>
                    <w:t>59676</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tcPr>
                <w:p w:rsidR="006F593F" w:rsidRDefault="006F593F" w:rsidP="006F593F">
                  <w:pPr>
                    <w:spacing w:after="0" w:line="276" w:lineRule="auto"/>
                    <w:jc w:val="center"/>
                    <w:rPr>
                      <w:rFonts w:ascii="Montserrat" w:eastAsia="Montserrat" w:hAnsi="Montserrat" w:cs="Montserrat"/>
                      <w:sz w:val="18"/>
                      <w:szCs w:val="18"/>
                    </w:rPr>
                  </w:pPr>
                  <w:r>
                    <w:rPr>
                      <w:rFonts w:ascii="Montserrat" w:eastAsia="Montserrat" w:hAnsi="Montserrat" w:cs="Montserrat"/>
                      <w:sz w:val="18"/>
                      <w:szCs w:val="18"/>
                    </w:rPr>
                    <w:t>1063</w:t>
                  </w:r>
                </w:p>
              </w:tc>
            </w:tr>
            <w:tr w:rsidR="006F593F" w:rsidTr="00F91AB5">
              <w:trPr>
                <w:trHeight w:val="425"/>
              </w:trPr>
              <w:tc>
                <w:tcPr>
                  <w:tcW w:w="9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6F593F" w:rsidRDefault="006F593F" w:rsidP="006F593F">
                  <w:pPr>
                    <w:spacing w:after="0" w:line="276" w:lineRule="auto"/>
                    <w:jc w:val="center"/>
                    <w:rPr>
                      <w:rFonts w:ascii="Montserrat" w:eastAsia="Montserrat" w:hAnsi="Montserrat" w:cs="Montserrat"/>
                      <w:sz w:val="18"/>
                      <w:szCs w:val="18"/>
                    </w:rPr>
                  </w:pPr>
                  <w:r>
                    <w:rPr>
                      <w:rFonts w:ascii="Montserrat" w:eastAsia="Montserrat" w:hAnsi="Montserrat" w:cs="Montserrat"/>
                      <w:sz w:val="18"/>
                      <w:szCs w:val="18"/>
                    </w:rPr>
                    <w:t>2019</w:t>
                  </w:r>
                </w:p>
              </w:tc>
              <w:tc>
                <w:tcPr>
                  <w:tcW w:w="1305" w:type="dxa"/>
                  <w:tcBorders>
                    <w:top w:val="nil"/>
                    <w:left w:val="nil"/>
                    <w:bottom w:val="single" w:sz="8" w:space="0" w:color="000000"/>
                    <w:right w:val="single" w:sz="8" w:space="0" w:color="000000"/>
                  </w:tcBorders>
                  <w:tcMar>
                    <w:top w:w="100" w:type="dxa"/>
                    <w:left w:w="100" w:type="dxa"/>
                    <w:bottom w:w="100" w:type="dxa"/>
                    <w:right w:w="100" w:type="dxa"/>
                  </w:tcMar>
                </w:tcPr>
                <w:p w:rsidR="006F593F" w:rsidRDefault="006F593F" w:rsidP="006F593F">
                  <w:pPr>
                    <w:spacing w:after="0" w:line="276" w:lineRule="auto"/>
                    <w:jc w:val="center"/>
                    <w:rPr>
                      <w:rFonts w:ascii="Montserrat" w:eastAsia="Montserrat" w:hAnsi="Montserrat" w:cs="Montserrat"/>
                      <w:sz w:val="18"/>
                      <w:szCs w:val="18"/>
                    </w:rPr>
                  </w:pPr>
                  <w:r>
                    <w:rPr>
                      <w:rFonts w:ascii="Montserrat" w:eastAsia="Montserrat" w:hAnsi="Montserrat" w:cs="Montserrat"/>
                      <w:sz w:val="18"/>
                      <w:szCs w:val="18"/>
                    </w:rPr>
                    <w:t>55</w:t>
                  </w:r>
                </w:p>
              </w:tc>
              <w:tc>
                <w:tcPr>
                  <w:tcW w:w="1815" w:type="dxa"/>
                  <w:tcBorders>
                    <w:top w:val="nil"/>
                    <w:left w:val="nil"/>
                    <w:bottom w:val="single" w:sz="8" w:space="0" w:color="000000"/>
                    <w:right w:val="single" w:sz="8" w:space="0" w:color="000000"/>
                  </w:tcBorders>
                  <w:tcMar>
                    <w:top w:w="100" w:type="dxa"/>
                    <w:left w:w="100" w:type="dxa"/>
                    <w:bottom w:w="100" w:type="dxa"/>
                    <w:right w:w="100" w:type="dxa"/>
                  </w:tcMar>
                </w:tcPr>
                <w:p w:rsidR="006F593F" w:rsidRDefault="006F593F" w:rsidP="006F593F">
                  <w:pPr>
                    <w:spacing w:after="0" w:line="276" w:lineRule="auto"/>
                    <w:jc w:val="center"/>
                    <w:rPr>
                      <w:rFonts w:ascii="Montserrat" w:eastAsia="Montserrat" w:hAnsi="Montserrat" w:cs="Montserrat"/>
                      <w:sz w:val="18"/>
                      <w:szCs w:val="18"/>
                    </w:rPr>
                  </w:pPr>
                  <w:r>
                    <w:rPr>
                      <w:rFonts w:ascii="Montserrat" w:eastAsia="Montserrat" w:hAnsi="Montserrat" w:cs="Montserrat"/>
                      <w:sz w:val="18"/>
                      <w:szCs w:val="18"/>
                    </w:rPr>
                    <w:t>3420</w:t>
                  </w:r>
                </w:p>
              </w:tc>
              <w:tc>
                <w:tcPr>
                  <w:tcW w:w="1770" w:type="dxa"/>
                  <w:tcBorders>
                    <w:top w:val="nil"/>
                    <w:left w:val="nil"/>
                    <w:bottom w:val="single" w:sz="8" w:space="0" w:color="000000"/>
                    <w:right w:val="single" w:sz="8" w:space="0" w:color="000000"/>
                  </w:tcBorders>
                  <w:tcMar>
                    <w:top w:w="100" w:type="dxa"/>
                    <w:left w:w="100" w:type="dxa"/>
                    <w:bottom w:w="100" w:type="dxa"/>
                    <w:right w:w="100" w:type="dxa"/>
                  </w:tcMar>
                </w:tcPr>
                <w:p w:rsidR="006F593F" w:rsidRDefault="006F593F" w:rsidP="006F593F">
                  <w:pPr>
                    <w:spacing w:after="0" w:line="276" w:lineRule="auto"/>
                    <w:jc w:val="center"/>
                    <w:rPr>
                      <w:rFonts w:ascii="Montserrat" w:eastAsia="Montserrat" w:hAnsi="Montserrat" w:cs="Montserrat"/>
                      <w:sz w:val="18"/>
                      <w:szCs w:val="18"/>
                    </w:rPr>
                  </w:pPr>
                  <w:r>
                    <w:rPr>
                      <w:rFonts w:ascii="Montserrat" w:eastAsia="Montserrat" w:hAnsi="Montserrat" w:cs="Montserrat"/>
                      <w:sz w:val="18"/>
                      <w:szCs w:val="18"/>
                    </w:rPr>
                    <w:t>73254</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tcPr>
                <w:p w:rsidR="006F593F" w:rsidRDefault="006F593F" w:rsidP="006F593F">
                  <w:pPr>
                    <w:spacing w:after="0" w:line="276" w:lineRule="auto"/>
                    <w:jc w:val="center"/>
                    <w:rPr>
                      <w:rFonts w:ascii="Montserrat" w:eastAsia="Montserrat" w:hAnsi="Montserrat" w:cs="Montserrat"/>
                      <w:sz w:val="18"/>
                      <w:szCs w:val="18"/>
                    </w:rPr>
                  </w:pPr>
                  <w:r>
                    <w:rPr>
                      <w:rFonts w:ascii="Montserrat" w:eastAsia="Montserrat" w:hAnsi="Montserrat" w:cs="Montserrat"/>
                      <w:sz w:val="18"/>
                      <w:szCs w:val="18"/>
                    </w:rPr>
                    <w:t>1052</w:t>
                  </w:r>
                </w:p>
              </w:tc>
            </w:tr>
          </w:tbl>
          <w:p w:rsidR="006F593F" w:rsidRPr="006F593F" w:rsidRDefault="006F593F" w:rsidP="006F593F">
            <w:pPr>
              <w:spacing w:line="276" w:lineRule="auto"/>
              <w:jc w:val="both"/>
              <w:rPr>
                <w:rFonts w:ascii="Arial" w:eastAsia="Arial" w:hAnsi="Arial" w:cs="Arial"/>
              </w:rPr>
            </w:pPr>
          </w:p>
        </w:tc>
      </w:tr>
      <w:tr w:rsidR="00ED4FC5">
        <w:tc>
          <w:tcPr>
            <w:tcW w:w="3015" w:type="dxa"/>
            <w:vAlign w:val="center"/>
          </w:tcPr>
          <w:p w:rsidR="00ED4FC5" w:rsidRDefault="00A62550" w:rsidP="006F593F">
            <w:pPr>
              <w:spacing w:line="276" w:lineRule="auto"/>
              <w:jc w:val="both"/>
              <w:rPr>
                <w:rFonts w:ascii="Arial" w:eastAsia="Arial" w:hAnsi="Arial" w:cs="Arial"/>
              </w:rPr>
            </w:pPr>
            <w:r>
              <w:rPr>
                <w:rFonts w:ascii="Arial" w:eastAsia="Arial" w:hAnsi="Arial" w:cs="Arial"/>
              </w:rPr>
              <w:lastRenderedPageBreak/>
              <w:t>Secretaría de Cultura</w:t>
            </w:r>
          </w:p>
        </w:tc>
        <w:tc>
          <w:tcPr>
            <w:tcW w:w="10306" w:type="dxa"/>
          </w:tcPr>
          <w:p w:rsidR="00ED4FC5" w:rsidRDefault="00A62550" w:rsidP="006F593F">
            <w:pPr>
              <w:spacing w:line="276" w:lineRule="auto"/>
              <w:jc w:val="both"/>
              <w:rPr>
                <w:rFonts w:ascii="Arial" w:eastAsia="Arial" w:hAnsi="Arial" w:cs="Arial"/>
              </w:rPr>
            </w:pPr>
            <w:r>
              <w:rPr>
                <w:rFonts w:ascii="Arial" w:eastAsia="Arial" w:hAnsi="Arial" w:cs="Arial"/>
              </w:rPr>
              <w:t>Se han realizado talleres creativos para el fortalecimiento de las identidades locales. Se trabaja con poblaciones en contextos de movilidad humana y violencia, dando prioridad a la atención de infancias y adolescencias para la reconstrucción de las memorias y de los tejidos sociales, buscando generar procesos comunitarios de mediano plazo para el diálogo y la escucha. De mayo a diciembre de 2019 se realizaron 1,515 acciones culturales logrando atender a 34,623 niñas, niños y adolescentes de Baja California, Baja California Sur, Estado de México, Campeche, Colima, Coahuila, Oaxaca, Chiapas y Tlaxcala.</w:t>
            </w:r>
          </w:p>
        </w:tc>
      </w:tr>
      <w:tr w:rsidR="00ED4FC5">
        <w:tc>
          <w:tcPr>
            <w:tcW w:w="3015" w:type="dxa"/>
            <w:vAlign w:val="center"/>
          </w:tcPr>
          <w:p w:rsidR="00ED4FC5" w:rsidRDefault="00A62550" w:rsidP="006F593F">
            <w:pPr>
              <w:spacing w:line="276" w:lineRule="auto"/>
              <w:jc w:val="both"/>
              <w:rPr>
                <w:rFonts w:ascii="Arial" w:eastAsia="Arial" w:hAnsi="Arial" w:cs="Arial"/>
              </w:rPr>
            </w:pPr>
            <w:r>
              <w:rPr>
                <w:rFonts w:ascii="Arial" w:eastAsia="Arial" w:hAnsi="Arial" w:cs="Arial"/>
              </w:rPr>
              <w:t>Secretaría de Educación Pública (SEP)</w:t>
            </w:r>
          </w:p>
        </w:tc>
        <w:tc>
          <w:tcPr>
            <w:tcW w:w="10306" w:type="dxa"/>
          </w:tcPr>
          <w:p w:rsidR="00ED4FC5" w:rsidRDefault="00A62550" w:rsidP="006F593F">
            <w:pPr>
              <w:spacing w:line="276" w:lineRule="auto"/>
              <w:jc w:val="both"/>
              <w:rPr>
                <w:rFonts w:ascii="Arial" w:eastAsia="Arial" w:hAnsi="Arial" w:cs="Arial"/>
              </w:rPr>
            </w:pPr>
            <w:r>
              <w:rPr>
                <w:rFonts w:ascii="Arial" w:eastAsia="Arial" w:hAnsi="Arial" w:cs="Arial"/>
              </w:rPr>
              <w:t>Dentro del Programa para el Desarrollo Profesional Docente, se destaca la siguiente oferta educativa que se imparte de manera presencial o en línea mediante cursos de 40 horas:</w:t>
            </w:r>
          </w:p>
          <w:p w:rsidR="00ED4FC5" w:rsidRDefault="00A62550" w:rsidP="006F593F">
            <w:pPr>
              <w:numPr>
                <w:ilvl w:val="0"/>
                <w:numId w:val="7"/>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lastRenderedPageBreak/>
              <w:t>Derechos humanos en niñas, niños y adolescentes</w:t>
            </w:r>
          </w:p>
          <w:p w:rsidR="00ED4FC5" w:rsidRDefault="00A62550" w:rsidP="006F593F">
            <w:pPr>
              <w:numPr>
                <w:ilvl w:val="0"/>
                <w:numId w:val="7"/>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Derechos Humanos y su aplicación práctica en la escuela</w:t>
            </w:r>
          </w:p>
          <w:p w:rsidR="00ED4FC5" w:rsidRDefault="00A62550" w:rsidP="006F593F">
            <w:pPr>
              <w:numPr>
                <w:ilvl w:val="0"/>
                <w:numId w:val="7"/>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Derechos humanos y su aplicación práctica en la escuela</w:t>
            </w:r>
          </w:p>
          <w:p w:rsidR="00ED4FC5" w:rsidRDefault="00A62550" w:rsidP="006F593F">
            <w:pPr>
              <w:numPr>
                <w:ilvl w:val="0"/>
                <w:numId w:val="7"/>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Cultura de paz en el aula</w:t>
            </w:r>
          </w:p>
          <w:p w:rsidR="00ED4FC5" w:rsidRDefault="00A62550" w:rsidP="006F593F">
            <w:pPr>
              <w:numPr>
                <w:ilvl w:val="0"/>
                <w:numId w:val="7"/>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Introducción a la educación inclusiva</w:t>
            </w:r>
          </w:p>
          <w:p w:rsidR="00ED4FC5" w:rsidRDefault="00A62550" w:rsidP="006F593F">
            <w:pPr>
              <w:numPr>
                <w:ilvl w:val="0"/>
                <w:numId w:val="7"/>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Enseñanza de los derechos humanos</w:t>
            </w:r>
          </w:p>
          <w:p w:rsidR="00ED4FC5" w:rsidRDefault="00A62550" w:rsidP="006F593F">
            <w:pPr>
              <w:numPr>
                <w:ilvl w:val="0"/>
                <w:numId w:val="7"/>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Diversidad en el aula: inclusión de alumnas y alumnos con discapacidad</w:t>
            </w:r>
          </w:p>
          <w:p w:rsidR="00ED4FC5" w:rsidRDefault="00A62550" w:rsidP="006F593F">
            <w:pPr>
              <w:numPr>
                <w:ilvl w:val="0"/>
                <w:numId w:val="7"/>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La perspectiva de género en la Educación Básica. Prácticas para educar en igualdad</w:t>
            </w:r>
          </w:p>
          <w:p w:rsidR="00ED4FC5" w:rsidRDefault="00A62550" w:rsidP="006F593F">
            <w:pPr>
              <w:numPr>
                <w:ilvl w:val="0"/>
                <w:numId w:val="7"/>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La perspectiva de género, eje transversal para lograr la inclusión entre mujeres y hombres</w:t>
            </w:r>
          </w:p>
          <w:p w:rsidR="00ED4FC5" w:rsidRDefault="00A62550" w:rsidP="006F593F">
            <w:pPr>
              <w:numPr>
                <w:ilvl w:val="0"/>
                <w:numId w:val="7"/>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La inclusión: atención a las diferencias en el aula </w:t>
            </w:r>
          </w:p>
          <w:p w:rsidR="00ED4FC5" w:rsidRDefault="00A62550" w:rsidP="006F593F">
            <w:pPr>
              <w:numPr>
                <w:ilvl w:val="0"/>
                <w:numId w:val="7"/>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La escuela inclusiva</w:t>
            </w:r>
          </w:p>
          <w:p w:rsidR="00ED4FC5" w:rsidRDefault="00A62550" w:rsidP="006F593F">
            <w:pPr>
              <w:numPr>
                <w:ilvl w:val="0"/>
                <w:numId w:val="7"/>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Práctica Educativa para la Igualdad y Equidad de Género Igualdad de Género / Igualdad entre Mujeres y Hombres</w:t>
            </w:r>
          </w:p>
          <w:p w:rsidR="00ED4FC5" w:rsidRDefault="00A62550" w:rsidP="006F593F">
            <w:pPr>
              <w:numPr>
                <w:ilvl w:val="0"/>
                <w:numId w:val="7"/>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Estrategias para promover la perspectiva de género en Telesecundaria</w:t>
            </w:r>
          </w:p>
          <w:p w:rsidR="00ED4FC5" w:rsidRDefault="00A62550" w:rsidP="006F593F">
            <w:pPr>
              <w:numPr>
                <w:ilvl w:val="0"/>
                <w:numId w:val="7"/>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Perspectiva de Género y Construcción de Paz en la Escuela: Proyectos Integradores</w:t>
            </w:r>
          </w:p>
          <w:p w:rsidR="00ED4FC5" w:rsidRDefault="00A62550" w:rsidP="006F593F">
            <w:pPr>
              <w:numPr>
                <w:ilvl w:val="0"/>
                <w:numId w:val="7"/>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Inclusión y Equidad en la Escuela desde la Perspectiva de Género</w:t>
            </w:r>
          </w:p>
          <w:p w:rsidR="00ED4FC5" w:rsidRDefault="00A62550" w:rsidP="006F593F">
            <w:pPr>
              <w:numPr>
                <w:ilvl w:val="0"/>
                <w:numId w:val="7"/>
              </w:numPr>
              <w:pBdr>
                <w:top w:val="nil"/>
                <w:left w:val="nil"/>
                <w:bottom w:val="nil"/>
                <w:right w:val="nil"/>
                <w:between w:val="nil"/>
              </w:pBdr>
              <w:spacing w:after="160" w:line="276" w:lineRule="auto"/>
              <w:jc w:val="both"/>
              <w:rPr>
                <w:rFonts w:ascii="Arial" w:eastAsia="Arial" w:hAnsi="Arial" w:cs="Arial"/>
                <w:color w:val="000000"/>
              </w:rPr>
            </w:pPr>
            <w:r>
              <w:rPr>
                <w:rFonts w:ascii="Arial" w:eastAsia="Arial" w:hAnsi="Arial" w:cs="Arial"/>
                <w:color w:val="000000"/>
              </w:rPr>
              <w:t>Fortalecimiento de Habilidades Socioemocionales para una Mejor Convivencia</w:t>
            </w:r>
          </w:p>
          <w:p w:rsidR="00ED4FC5" w:rsidRDefault="00A62550" w:rsidP="006F593F">
            <w:pPr>
              <w:spacing w:line="276" w:lineRule="auto"/>
              <w:jc w:val="both"/>
              <w:rPr>
                <w:rFonts w:ascii="Arial" w:eastAsia="Arial" w:hAnsi="Arial" w:cs="Arial"/>
              </w:rPr>
            </w:pPr>
            <w:r>
              <w:rPr>
                <w:rFonts w:ascii="Arial" w:eastAsia="Arial" w:hAnsi="Arial" w:cs="Arial"/>
              </w:rPr>
              <w:t>En el caso del Tipo medio superior se incluyen los siguientes temas:</w:t>
            </w:r>
          </w:p>
          <w:p w:rsidR="00ED4FC5" w:rsidRDefault="00A62550" w:rsidP="006F593F">
            <w:pPr>
              <w:numPr>
                <w:ilvl w:val="0"/>
                <w:numId w:val="6"/>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Promoción de ambientes escolares sanos en la Nueva Escuela Mexicana</w:t>
            </w:r>
          </w:p>
          <w:p w:rsidR="00ED4FC5" w:rsidRDefault="00A62550" w:rsidP="006F593F">
            <w:pPr>
              <w:numPr>
                <w:ilvl w:val="0"/>
                <w:numId w:val="6"/>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Inclusión y convivencia en la Educación Media Superior</w:t>
            </w:r>
          </w:p>
          <w:p w:rsidR="00ED4FC5" w:rsidRDefault="00A62550" w:rsidP="006F593F">
            <w:pPr>
              <w:numPr>
                <w:ilvl w:val="0"/>
                <w:numId w:val="6"/>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Derechos humanos y perspectiva de género.</w:t>
            </w:r>
          </w:p>
          <w:p w:rsidR="00ED4FC5" w:rsidRDefault="00A62550" w:rsidP="006F593F">
            <w:pPr>
              <w:numPr>
                <w:ilvl w:val="0"/>
                <w:numId w:val="6"/>
              </w:numPr>
              <w:pBdr>
                <w:top w:val="nil"/>
                <w:left w:val="nil"/>
                <w:bottom w:val="nil"/>
                <w:right w:val="nil"/>
                <w:between w:val="nil"/>
              </w:pBdr>
              <w:spacing w:after="160" w:line="276" w:lineRule="auto"/>
              <w:jc w:val="both"/>
              <w:rPr>
                <w:rFonts w:ascii="Arial" w:eastAsia="Arial" w:hAnsi="Arial" w:cs="Arial"/>
                <w:color w:val="000000"/>
              </w:rPr>
            </w:pPr>
            <w:r>
              <w:rPr>
                <w:rFonts w:ascii="Arial" w:eastAsia="Arial" w:hAnsi="Arial" w:cs="Arial"/>
                <w:color w:val="000000"/>
              </w:rPr>
              <w:t>El arte de convivir: las emociones en la educación de los adolescentes.</w:t>
            </w:r>
          </w:p>
          <w:p w:rsidR="00ED4FC5" w:rsidRDefault="00A62550" w:rsidP="006F593F">
            <w:pPr>
              <w:spacing w:line="276" w:lineRule="auto"/>
              <w:jc w:val="both"/>
              <w:rPr>
                <w:rFonts w:ascii="Arial" w:eastAsia="Arial" w:hAnsi="Arial" w:cs="Arial"/>
              </w:rPr>
            </w:pPr>
            <w:r>
              <w:rPr>
                <w:rFonts w:ascii="Arial" w:eastAsia="Arial" w:hAnsi="Arial" w:cs="Arial"/>
              </w:rPr>
              <w:t xml:space="preserve">El Programa Construye T: Programa para el Desarrollo de Habilidades Socioemocionales promueve la formación de habilidades socioemocionales en los estudiantes, con el fin de que puedan elevar su bienestar personal y enfrentar retos académicos y personales; además de mejorar los climas escolares mediante el desarrollo de </w:t>
            </w:r>
            <w:proofErr w:type="gramStart"/>
            <w:r>
              <w:rPr>
                <w:rFonts w:ascii="Arial" w:eastAsia="Arial" w:hAnsi="Arial" w:cs="Arial"/>
              </w:rPr>
              <w:t>las mismas</w:t>
            </w:r>
            <w:proofErr w:type="gramEnd"/>
            <w:r>
              <w:rPr>
                <w:rFonts w:ascii="Arial" w:eastAsia="Arial" w:hAnsi="Arial" w:cs="Arial"/>
              </w:rPr>
              <w:t xml:space="preserve"> en toda la comunidad educativa. Construye T cuenta con un sitio web habilitado y disponible de forma permanente con acceso a todo el público. De septiembre de 2019 a junio de 2020 se registraron 2.7 millones de visitas.</w:t>
            </w:r>
          </w:p>
        </w:tc>
      </w:tr>
      <w:tr w:rsidR="00ED4FC5">
        <w:tc>
          <w:tcPr>
            <w:tcW w:w="3015" w:type="dxa"/>
            <w:vAlign w:val="center"/>
          </w:tcPr>
          <w:p w:rsidR="00ED4FC5" w:rsidRDefault="00A62550" w:rsidP="006F593F">
            <w:pPr>
              <w:spacing w:line="276" w:lineRule="auto"/>
              <w:jc w:val="both"/>
              <w:rPr>
                <w:rFonts w:ascii="Arial" w:eastAsia="Arial" w:hAnsi="Arial" w:cs="Arial"/>
              </w:rPr>
            </w:pPr>
            <w:r>
              <w:rPr>
                <w:rFonts w:ascii="Arial" w:eastAsia="Arial" w:hAnsi="Arial" w:cs="Arial"/>
              </w:rPr>
              <w:lastRenderedPageBreak/>
              <w:t>Secretaría de Gobernación (SEGOB)</w:t>
            </w:r>
          </w:p>
        </w:tc>
        <w:tc>
          <w:tcPr>
            <w:tcW w:w="10306" w:type="dxa"/>
          </w:tcPr>
          <w:p w:rsidR="00ED4FC5" w:rsidRDefault="00A62550" w:rsidP="006F593F">
            <w:pPr>
              <w:spacing w:line="276" w:lineRule="auto"/>
              <w:jc w:val="both"/>
              <w:rPr>
                <w:rFonts w:ascii="Arial" w:eastAsia="Arial" w:hAnsi="Arial" w:cs="Arial"/>
              </w:rPr>
            </w:pPr>
            <w:r>
              <w:rPr>
                <w:rFonts w:ascii="Arial" w:eastAsia="Arial" w:hAnsi="Arial" w:cs="Arial"/>
              </w:rPr>
              <w:t xml:space="preserve">La Dirección General de Estrategias para la Atención de Derechos Humanos de la SEGOB, en conjunto con el Instituto de Desarrollo Social (INDESOL) y la Alcaldía </w:t>
            </w:r>
            <w:proofErr w:type="spellStart"/>
            <w:r>
              <w:rPr>
                <w:rFonts w:ascii="Arial" w:eastAsia="Arial" w:hAnsi="Arial" w:cs="Arial"/>
              </w:rPr>
              <w:t>Gutavo</w:t>
            </w:r>
            <w:proofErr w:type="spellEnd"/>
            <w:r>
              <w:rPr>
                <w:rFonts w:ascii="Arial" w:eastAsia="Arial" w:hAnsi="Arial" w:cs="Arial"/>
              </w:rPr>
              <w:t xml:space="preserve"> A. Madero, coordinaron la primera Feria de Prevención de la Violencia Social y Fortalecimiento de la Seguridad Ciudadana". Se contó con un aforo aproximado de 750 jóvenes, siendo las temáticas de las pláticas, conferencias y talleres: masculinidades, prevención de abuso infantil, salud sexual y reproductiva, derechos humanos de niñas, niños y adolescentes, suicidio, erradicación de la violencia, autismo, manejo de anticonceptivos, trata de personas, relaciones personales y redes sociales, así como acciones de rescate en caso de emergencias y programas federales para las y los jóvenes.</w:t>
            </w:r>
          </w:p>
          <w:p w:rsidR="00ED4FC5" w:rsidRDefault="00ED4FC5" w:rsidP="006F593F">
            <w:pPr>
              <w:spacing w:line="276" w:lineRule="auto"/>
              <w:jc w:val="both"/>
              <w:rPr>
                <w:rFonts w:ascii="Arial" w:eastAsia="Arial" w:hAnsi="Arial" w:cs="Arial"/>
              </w:rPr>
            </w:pPr>
          </w:p>
          <w:p w:rsidR="00ED4FC5" w:rsidRDefault="00A62550" w:rsidP="006F593F">
            <w:pPr>
              <w:spacing w:line="276" w:lineRule="auto"/>
              <w:jc w:val="both"/>
              <w:rPr>
                <w:rFonts w:ascii="Arial" w:eastAsia="Arial" w:hAnsi="Arial" w:cs="Arial"/>
              </w:rPr>
            </w:pPr>
            <w:r>
              <w:rPr>
                <w:rFonts w:ascii="Arial" w:eastAsia="Arial" w:hAnsi="Arial" w:cs="Arial"/>
              </w:rPr>
              <w:t>La Dirección General de Estrategias para la Atención de Derechos Humanos de la SEGOB, en coordinación con la Secretaría de Turismo del Gobierno Federal, llevó a cabo el “Taller especializado para el abordaje de la explotación sexual de niñas, niños y adolescentes, trata de personas y trabajo infantil en el sector de los viajes y el turismo: hacia la Agenda 2030". Los temas que se abordaron en este encuentro fueron: explotación sexual de niñas, niños y adolescentes, trata de personas, trabajo infantil, la Unidad de inteligencia financiera de la SHCP en el combate a la trata de personas, Código de Conducta Nacional para la Protección de las Niñas, Niños y Adolescentes en el Sector de Viajes y Turismo. La temática de las 4 mesas de trabajo se abocó a los compromisos que asumen las ramas prioritarias, hoteleras, medios de transporte y alimentos y bebidas como aliados en el combate a estos delitos.</w:t>
            </w:r>
          </w:p>
        </w:tc>
      </w:tr>
      <w:tr w:rsidR="00ED4FC5">
        <w:tc>
          <w:tcPr>
            <w:tcW w:w="3015" w:type="dxa"/>
            <w:vAlign w:val="center"/>
          </w:tcPr>
          <w:p w:rsidR="00ED4FC5" w:rsidRDefault="00A62550" w:rsidP="006F593F">
            <w:pPr>
              <w:spacing w:line="276" w:lineRule="auto"/>
              <w:jc w:val="both"/>
              <w:rPr>
                <w:rFonts w:ascii="Arial" w:eastAsia="Arial" w:hAnsi="Arial" w:cs="Arial"/>
              </w:rPr>
            </w:pPr>
            <w:r>
              <w:rPr>
                <w:rFonts w:ascii="Arial" w:eastAsia="Arial" w:hAnsi="Arial" w:cs="Arial"/>
              </w:rPr>
              <w:t>Secretaría de Marina (SEMAR)</w:t>
            </w:r>
          </w:p>
        </w:tc>
        <w:tc>
          <w:tcPr>
            <w:tcW w:w="10306" w:type="dxa"/>
          </w:tcPr>
          <w:p w:rsidR="00ED4FC5" w:rsidRDefault="00A62550" w:rsidP="006F593F">
            <w:pPr>
              <w:spacing w:line="276" w:lineRule="auto"/>
              <w:jc w:val="both"/>
              <w:rPr>
                <w:rFonts w:ascii="Arial" w:eastAsia="Arial" w:hAnsi="Arial" w:cs="Arial"/>
              </w:rPr>
            </w:pPr>
            <w:r>
              <w:rPr>
                <w:rFonts w:ascii="Arial" w:eastAsia="Arial" w:hAnsi="Arial" w:cs="Arial"/>
              </w:rPr>
              <w:t>La Secretaría de Marina, a través de la Unidad de Promoción y Protección de los Derechos Humanos (UPRODEHU), ha impartido al personal naval adscrito a diversos Mandos, Unidades y Establecimientos Navales, en colaboración con la Comisión Nacional de los Derechos Humanos y con el Comité Internacional de la Cruz Roja, el “Curso para Prevenir Violaciones Graves de Derechos Humanos y Temas Complementarios”, actividad en la que se hace énfasis en la importancia sobre el respeto al principio de interés de la niñez, como un grupo en situación de vulnerabilidad. Del 1° de diciembre de 2019 al mes de agosto de 2020, se ha capacitado con dicho curso a 1,627 elementos, haciendo un total de 5,423 personas capacitadas.</w:t>
            </w:r>
          </w:p>
          <w:p w:rsidR="00ED4FC5" w:rsidRDefault="00ED4FC5" w:rsidP="006F593F">
            <w:pPr>
              <w:spacing w:line="276" w:lineRule="auto"/>
              <w:jc w:val="both"/>
              <w:rPr>
                <w:rFonts w:ascii="Arial" w:eastAsia="Arial" w:hAnsi="Arial" w:cs="Arial"/>
              </w:rPr>
            </w:pPr>
          </w:p>
          <w:p w:rsidR="00ED4FC5" w:rsidRDefault="00A62550" w:rsidP="006F593F">
            <w:pPr>
              <w:spacing w:line="276" w:lineRule="auto"/>
              <w:jc w:val="both"/>
              <w:rPr>
                <w:rFonts w:ascii="Arial" w:eastAsia="Arial" w:hAnsi="Arial" w:cs="Arial"/>
              </w:rPr>
            </w:pPr>
            <w:r>
              <w:rPr>
                <w:rFonts w:ascii="Arial" w:eastAsia="Arial" w:hAnsi="Arial" w:cs="Arial"/>
              </w:rPr>
              <w:lastRenderedPageBreak/>
              <w:t xml:space="preserve">Cabe señalar que, en el periodo comprendido del 1 de diciembre de 2018 al 31 de agosto de 2019, se capacitó a 3,796 elementos de esta institución, para que en el desarrollo de las operaciones en apoyo a las tareas de seguridad pública y en coadyuvancia al mantenimiento del Estado de Derecho, se abstengan de vulnerar los derechos de las personas, en específico de niñas, niños y adolescentes. </w:t>
            </w:r>
          </w:p>
        </w:tc>
      </w:tr>
      <w:tr w:rsidR="00ED4FC5">
        <w:tc>
          <w:tcPr>
            <w:tcW w:w="3015" w:type="dxa"/>
            <w:vAlign w:val="center"/>
          </w:tcPr>
          <w:p w:rsidR="00ED4FC5" w:rsidRDefault="00A62550" w:rsidP="006F593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lastRenderedPageBreak/>
              <w:t>Secretaría de Relaciones Exteriores (SRE)</w:t>
            </w:r>
          </w:p>
        </w:tc>
        <w:tc>
          <w:tcPr>
            <w:tcW w:w="10306" w:type="dxa"/>
          </w:tcPr>
          <w:p w:rsidR="00ED4FC5" w:rsidRDefault="00A62550" w:rsidP="006F593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A través de la Dirección General de Protección de Mexicanos en el Exterior, se han realizado distintas acciones de capacitación, de las cuales se destacan las siguientes:</w:t>
            </w:r>
          </w:p>
          <w:p w:rsidR="00ED4FC5" w:rsidRDefault="00A62550" w:rsidP="006F593F">
            <w:pPr>
              <w:numPr>
                <w:ilvl w:val="0"/>
                <w:numId w:val="8"/>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Capacitación a personas funcionarias encargadas de la protección, adscritos a las Delegaciones Foráneas de la SRE en México: Se han realizado cinco reuniones anuales de capacitación a personal de delegaciones foráneas, quienes brindan atención a la ciudadanía en materia de retención y sustracción de niñas, niños y adolescentes.</w:t>
            </w:r>
          </w:p>
          <w:p w:rsidR="00ED4FC5" w:rsidRDefault="00A62550" w:rsidP="006F593F">
            <w:pPr>
              <w:numPr>
                <w:ilvl w:val="0"/>
                <w:numId w:val="1"/>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 xml:space="preserve">Capacitación a personal de la Secretaría: en coordinación con el Instituto Matías Romero, se brinda capacitación </w:t>
            </w:r>
            <w:proofErr w:type="gramStart"/>
            <w:r>
              <w:rPr>
                <w:rFonts w:ascii="Arial" w:eastAsia="Arial" w:hAnsi="Arial" w:cs="Arial"/>
              </w:rPr>
              <w:t>a  personal</w:t>
            </w:r>
            <w:proofErr w:type="gramEnd"/>
            <w:r>
              <w:rPr>
                <w:rFonts w:ascii="Arial" w:eastAsia="Arial" w:hAnsi="Arial" w:cs="Arial"/>
              </w:rPr>
              <w:t xml:space="preserve"> de la SRE, así como a personas candidatas a integrantes del Servicio Exterior Mexicano en el marco de los concursos públicos generales de ingreso a las dos ramas del Servicio Exterior Mexicano.</w:t>
            </w:r>
          </w:p>
          <w:p w:rsidR="00ED4FC5" w:rsidRDefault="00A62550" w:rsidP="006F593F">
            <w:pPr>
              <w:numPr>
                <w:ilvl w:val="0"/>
                <w:numId w:val="1"/>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 xml:space="preserve">Capacitación a jueces y magistrados de tribunales superiores de justicia estatales: se ha brindado capacitación a personal de los poderes judiciales de Guanajuato, Chihuahua, Michoacán, Sonora y Querétaro. Además, se ha participado en cada una de las once ediciones anuales de la Red Mexicana de Cooperación Judicial para la Protección de la Niñez, creada especialmente para la discusión </w:t>
            </w:r>
            <w:proofErr w:type="gramStart"/>
            <w:r>
              <w:rPr>
                <w:rFonts w:ascii="Arial" w:eastAsia="Arial" w:hAnsi="Arial" w:cs="Arial"/>
              </w:rPr>
              <w:t>y  seguimiento</w:t>
            </w:r>
            <w:proofErr w:type="gramEnd"/>
            <w:r>
              <w:rPr>
                <w:rFonts w:ascii="Arial" w:eastAsia="Arial" w:hAnsi="Arial" w:cs="Arial"/>
              </w:rPr>
              <w:t xml:space="preserve"> de casos familiares internacionales.</w:t>
            </w:r>
          </w:p>
          <w:p w:rsidR="00ED4FC5" w:rsidRDefault="00A62550" w:rsidP="006F593F">
            <w:pPr>
              <w:numPr>
                <w:ilvl w:val="0"/>
                <w:numId w:val="1"/>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 xml:space="preserve">Capacitación a jueces y magistrados de la judicatura federal: En 2018 y 2019, se ha participado en programas de actualización en materias mercantil, civil y familiar organizadas por el Instituto de la Judicatura Federal. </w:t>
            </w:r>
            <w:proofErr w:type="gramStart"/>
            <w:r>
              <w:rPr>
                <w:rFonts w:ascii="Arial" w:eastAsia="Arial" w:hAnsi="Arial" w:cs="Arial"/>
              </w:rPr>
              <w:t>Además</w:t>
            </w:r>
            <w:proofErr w:type="gramEnd"/>
            <w:r>
              <w:rPr>
                <w:rFonts w:ascii="Arial" w:eastAsia="Arial" w:hAnsi="Arial" w:cs="Arial"/>
              </w:rPr>
              <w:t xml:space="preserve"> ha participado en capacitaciones a operadores jurídicos en las Casas de la Cultura Jurídica de la Suprema Corte de Justicia de la Nación en Aguascalientes, Colima y Tamaulipas.</w:t>
            </w:r>
          </w:p>
          <w:p w:rsidR="00ED4FC5" w:rsidRDefault="00A62550" w:rsidP="006F593F">
            <w:pPr>
              <w:numPr>
                <w:ilvl w:val="0"/>
                <w:numId w:val="1"/>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Capacitación a mediadores familiares internacionales: se ha brindado capacitación en Programas de Certificación de Mediadores Familiares Internacionales, impartido por los poderes judiciales del Estado de México e Hidalgo.</w:t>
            </w:r>
          </w:p>
          <w:p w:rsidR="00ED4FC5" w:rsidRDefault="00A62550" w:rsidP="006F593F">
            <w:pPr>
              <w:numPr>
                <w:ilvl w:val="0"/>
                <w:numId w:val="1"/>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lastRenderedPageBreak/>
              <w:t>Capacitación a funcionarios de los Sistemas para el Desarrollo Integral de la Familia Estatales: entre los sistemas estatales capacitados se encuentran los correspondientes a Guanajuato, Hidalgo, Michoacán, Veracruz, Morelos, Estado de México y Querétaro.</w:t>
            </w:r>
          </w:p>
          <w:p w:rsidR="00ED4FC5" w:rsidRDefault="00A62550" w:rsidP="006F593F">
            <w:pPr>
              <w:numPr>
                <w:ilvl w:val="0"/>
                <w:numId w:val="1"/>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Capacitación a oficinas estatales de atención a migrantes: entre las oficinas capacitadas se encuentran las correspondientes a Michoacán, Veracruz y Guanajuato</w:t>
            </w:r>
          </w:p>
        </w:tc>
      </w:tr>
      <w:tr w:rsidR="00ED4FC5">
        <w:tc>
          <w:tcPr>
            <w:tcW w:w="3015" w:type="dxa"/>
            <w:vAlign w:val="center"/>
          </w:tcPr>
          <w:p w:rsidR="00ED4FC5" w:rsidRDefault="00A62550" w:rsidP="006F593F">
            <w:pPr>
              <w:spacing w:line="276" w:lineRule="auto"/>
              <w:jc w:val="both"/>
              <w:rPr>
                <w:rFonts w:ascii="Arial" w:eastAsia="Arial" w:hAnsi="Arial" w:cs="Arial"/>
              </w:rPr>
            </w:pPr>
            <w:r>
              <w:rPr>
                <w:rFonts w:ascii="Arial" w:eastAsia="Arial" w:hAnsi="Arial" w:cs="Arial"/>
              </w:rPr>
              <w:lastRenderedPageBreak/>
              <w:t>Secretaría de Salud (SS)</w:t>
            </w:r>
          </w:p>
        </w:tc>
        <w:tc>
          <w:tcPr>
            <w:tcW w:w="10306" w:type="dxa"/>
          </w:tcPr>
          <w:p w:rsidR="00ED4FC5" w:rsidRDefault="00A62550" w:rsidP="006F593F">
            <w:pPr>
              <w:spacing w:line="276" w:lineRule="auto"/>
              <w:jc w:val="both"/>
              <w:rPr>
                <w:rFonts w:ascii="Arial" w:eastAsia="Arial" w:hAnsi="Arial" w:cs="Arial"/>
              </w:rPr>
            </w:pPr>
            <w:r>
              <w:rPr>
                <w:rFonts w:ascii="Arial" w:eastAsia="Arial" w:hAnsi="Arial" w:cs="Arial"/>
              </w:rPr>
              <w:t>En su plataforma electrónica Educación, Capacitación y Actualización a Distancia en Salud (EDUCADS), ofrece en 2020 el curso “Salud mental durante la pandemia COVID10”, entre las temáticas que aborda está el de apoyo psicológico y salud mental, en especial para las adolescencias.</w:t>
            </w:r>
          </w:p>
        </w:tc>
      </w:tr>
      <w:tr w:rsidR="00ED4FC5">
        <w:tc>
          <w:tcPr>
            <w:tcW w:w="3015" w:type="dxa"/>
            <w:vAlign w:val="center"/>
          </w:tcPr>
          <w:p w:rsidR="00ED4FC5" w:rsidRDefault="00A62550" w:rsidP="006F593F">
            <w:pPr>
              <w:spacing w:line="276" w:lineRule="auto"/>
              <w:jc w:val="both"/>
              <w:rPr>
                <w:rFonts w:ascii="Arial" w:eastAsia="Arial" w:hAnsi="Arial" w:cs="Arial"/>
              </w:rPr>
            </w:pPr>
            <w:r>
              <w:rPr>
                <w:rFonts w:ascii="Arial" w:eastAsia="Arial" w:hAnsi="Arial" w:cs="Arial"/>
              </w:rPr>
              <w:t>Secretaría de Seguridad y Protección Ciudadana (SSPC)</w:t>
            </w:r>
          </w:p>
        </w:tc>
        <w:tc>
          <w:tcPr>
            <w:tcW w:w="10306" w:type="dxa"/>
          </w:tcPr>
          <w:p w:rsidR="00ED4FC5" w:rsidRDefault="00A62550" w:rsidP="006F593F">
            <w:pPr>
              <w:spacing w:line="276" w:lineRule="auto"/>
              <w:jc w:val="both"/>
              <w:rPr>
                <w:rFonts w:ascii="Arial" w:eastAsia="Arial" w:hAnsi="Arial" w:cs="Arial"/>
              </w:rPr>
            </w:pPr>
            <w:r>
              <w:rPr>
                <w:rFonts w:ascii="Arial" w:eastAsia="Arial" w:hAnsi="Arial" w:cs="Arial"/>
              </w:rPr>
              <w:t>Capacitación a la Guardia Nacional:</w:t>
            </w:r>
          </w:p>
          <w:p w:rsidR="00ED4FC5" w:rsidRDefault="00A62550" w:rsidP="006F593F">
            <w:pPr>
              <w:numPr>
                <w:ilvl w:val="0"/>
                <w:numId w:val="11"/>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Se ha implementado una capacitación permanente para sus integrantes de nuevo ingreso el “Curso de Formación Policial de Guardia Nacional”, el cual cuenta con la Unidad de aprendizaje “Los derechos humanos”.</w:t>
            </w:r>
          </w:p>
          <w:p w:rsidR="00ED4FC5" w:rsidRDefault="00A62550" w:rsidP="006F593F">
            <w:pPr>
              <w:numPr>
                <w:ilvl w:val="0"/>
                <w:numId w:val="11"/>
              </w:numPr>
              <w:pBdr>
                <w:top w:val="nil"/>
                <w:left w:val="nil"/>
                <w:bottom w:val="nil"/>
                <w:right w:val="nil"/>
                <w:between w:val="nil"/>
              </w:pBdr>
              <w:spacing w:after="160" w:line="276" w:lineRule="auto"/>
              <w:jc w:val="both"/>
              <w:rPr>
                <w:rFonts w:ascii="Arial" w:eastAsia="Arial" w:hAnsi="Arial" w:cs="Arial"/>
                <w:color w:val="000000"/>
              </w:rPr>
            </w:pPr>
            <w:r>
              <w:rPr>
                <w:rFonts w:ascii="Arial" w:eastAsia="Arial" w:hAnsi="Arial" w:cs="Arial"/>
                <w:color w:val="000000"/>
              </w:rPr>
              <w:t>Dicha capacitación se complementa con diferentes talleres, cursos, diplomados, talleres y conferencias en materia de derechos humanos y uso de la fuerza, dirigido a los mandos medios y superiores, impartido por diversas Instituciones Educativas.</w:t>
            </w:r>
          </w:p>
          <w:p w:rsidR="00ED4FC5" w:rsidRDefault="00A62550" w:rsidP="006F593F">
            <w:pPr>
              <w:spacing w:line="276" w:lineRule="auto"/>
              <w:jc w:val="both"/>
              <w:rPr>
                <w:rFonts w:ascii="Arial" w:eastAsia="Arial" w:hAnsi="Arial" w:cs="Arial"/>
              </w:rPr>
            </w:pPr>
            <w:r>
              <w:rPr>
                <w:rFonts w:ascii="Arial" w:eastAsia="Arial" w:hAnsi="Arial" w:cs="Arial"/>
              </w:rPr>
              <w:t>Prevención de la violencia contra niñas y niños a través del internet:</w:t>
            </w:r>
          </w:p>
          <w:p w:rsidR="00ED4FC5" w:rsidRDefault="00A62550" w:rsidP="006F593F">
            <w:pPr>
              <w:numPr>
                <w:ilvl w:val="0"/>
                <w:numId w:val="2"/>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Durante el 2019, se llevó a cabo la “Campaña de Concientización Ciberseguridad México”, comprendido por los siguientes puntos:</w:t>
            </w:r>
          </w:p>
          <w:p w:rsidR="00ED4FC5" w:rsidRDefault="00A62550" w:rsidP="006F593F">
            <w:pPr>
              <w:numPr>
                <w:ilvl w:val="0"/>
                <w:numId w:val="3"/>
              </w:numPr>
              <w:pBdr>
                <w:top w:val="nil"/>
                <w:left w:val="nil"/>
                <w:bottom w:val="nil"/>
                <w:right w:val="nil"/>
                <w:between w:val="nil"/>
              </w:pBdr>
              <w:spacing w:line="276" w:lineRule="auto"/>
              <w:jc w:val="both"/>
              <w:rPr>
                <w:color w:val="000000"/>
              </w:rPr>
            </w:pPr>
            <w:r>
              <w:rPr>
                <w:rFonts w:ascii="Arial" w:eastAsia="Arial" w:hAnsi="Arial" w:cs="Arial"/>
                <w:color w:val="000000"/>
              </w:rPr>
              <w:t>Ciberseguridad de niñas, niños y adolescentes</w:t>
            </w:r>
          </w:p>
          <w:p w:rsidR="00ED4FC5" w:rsidRDefault="00A62550" w:rsidP="006F593F">
            <w:pPr>
              <w:numPr>
                <w:ilvl w:val="0"/>
                <w:numId w:val="3"/>
              </w:numPr>
              <w:pBdr>
                <w:top w:val="nil"/>
                <w:left w:val="nil"/>
                <w:bottom w:val="nil"/>
                <w:right w:val="nil"/>
                <w:between w:val="nil"/>
              </w:pBdr>
              <w:spacing w:line="276" w:lineRule="auto"/>
              <w:jc w:val="both"/>
              <w:rPr>
                <w:color w:val="000000"/>
              </w:rPr>
            </w:pPr>
            <w:r>
              <w:rPr>
                <w:rFonts w:ascii="Arial" w:eastAsia="Arial" w:hAnsi="Arial" w:cs="Arial"/>
                <w:color w:val="000000"/>
              </w:rPr>
              <w:t>Ciberseguridad financiera</w:t>
            </w:r>
          </w:p>
          <w:p w:rsidR="00ED4FC5" w:rsidRDefault="00A62550" w:rsidP="006F593F">
            <w:pPr>
              <w:numPr>
                <w:ilvl w:val="0"/>
                <w:numId w:val="3"/>
              </w:numPr>
              <w:pBdr>
                <w:top w:val="nil"/>
                <w:left w:val="nil"/>
                <w:bottom w:val="nil"/>
                <w:right w:val="nil"/>
                <w:between w:val="nil"/>
              </w:pBdr>
              <w:spacing w:after="160" w:line="276" w:lineRule="auto"/>
              <w:jc w:val="both"/>
              <w:rPr>
                <w:color w:val="000000"/>
              </w:rPr>
            </w:pPr>
            <w:r>
              <w:rPr>
                <w:rFonts w:ascii="Arial" w:eastAsia="Arial" w:hAnsi="Arial" w:cs="Arial"/>
                <w:color w:val="000000"/>
              </w:rPr>
              <w:t>Ciberseguridad ciudadana y Civismo digital</w:t>
            </w:r>
          </w:p>
        </w:tc>
      </w:tr>
      <w:tr w:rsidR="00ED4FC5">
        <w:tc>
          <w:tcPr>
            <w:tcW w:w="3015" w:type="dxa"/>
            <w:vAlign w:val="center"/>
          </w:tcPr>
          <w:p w:rsidR="00ED4FC5" w:rsidRDefault="00A62550" w:rsidP="006F593F">
            <w:pPr>
              <w:spacing w:line="276" w:lineRule="auto"/>
              <w:jc w:val="both"/>
              <w:rPr>
                <w:rFonts w:ascii="Arial" w:eastAsia="Arial" w:hAnsi="Arial" w:cs="Arial"/>
              </w:rPr>
            </w:pPr>
            <w:r>
              <w:rPr>
                <w:rFonts w:ascii="Arial" w:eastAsia="Arial" w:hAnsi="Arial" w:cs="Arial"/>
              </w:rPr>
              <w:t>Secretaría de Turismo (SECTUR)</w:t>
            </w:r>
          </w:p>
        </w:tc>
        <w:tc>
          <w:tcPr>
            <w:tcW w:w="10306" w:type="dxa"/>
          </w:tcPr>
          <w:p w:rsidR="00ED4FC5" w:rsidRDefault="00A62550" w:rsidP="006F593F">
            <w:pPr>
              <w:spacing w:line="276" w:lineRule="auto"/>
              <w:jc w:val="both"/>
              <w:rPr>
                <w:rFonts w:ascii="Arial" w:eastAsia="Arial" w:hAnsi="Arial" w:cs="Arial"/>
              </w:rPr>
            </w:pPr>
            <w:r>
              <w:rPr>
                <w:rFonts w:ascii="Arial" w:eastAsia="Arial" w:hAnsi="Arial" w:cs="Arial"/>
              </w:rPr>
              <w:t>Durante 2019 se han llevado a cabo acciones de sensibilización en línea sobre la prevención a la trata de personas con fines de explotación sexual y laboral de niñas, niños y adolescentes y trabajo infantil en el sector de los viajes y el turismo, en específico sobre a implementación del Código de Conducta Nacional (CCN), los prestadores de servicios de los establecimientos comprometidos pueden recibir. En este sentido, 1,809 prestadores de servicios turísticos recibieron sensibilización en línea sobre trata de personas, explotación sexual y laboral de niñas, niños y adolescentes y trabajo infantil.</w:t>
            </w:r>
          </w:p>
        </w:tc>
      </w:tr>
      <w:tr w:rsidR="00ED4FC5">
        <w:tc>
          <w:tcPr>
            <w:tcW w:w="3015" w:type="dxa"/>
            <w:vAlign w:val="center"/>
          </w:tcPr>
          <w:p w:rsidR="00ED4FC5" w:rsidRDefault="00A62550" w:rsidP="006F593F">
            <w:pPr>
              <w:spacing w:line="276" w:lineRule="auto"/>
              <w:jc w:val="both"/>
              <w:rPr>
                <w:rFonts w:ascii="Arial" w:eastAsia="Arial" w:hAnsi="Arial" w:cs="Arial"/>
              </w:rPr>
            </w:pPr>
            <w:r>
              <w:rPr>
                <w:rFonts w:ascii="Arial" w:eastAsia="Arial" w:hAnsi="Arial" w:cs="Arial"/>
              </w:rPr>
              <w:lastRenderedPageBreak/>
              <w:t>Sistema Nacional de Protección Integral de Niñas, Niños y Adolescentes (SIPINNA)</w:t>
            </w:r>
          </w:p>
        </w:tc>
        <w:tc>
          <w:tcPr>
            <w:tcW w:w="10306" w:type="dxa"/>
          </w:tcPr>
          <w:p w:rsidR="00ED4FC5" w:rsidRDefault="00A62550" w:rsidP="006F593F">
            <w:pPr>
              <w:spacing w:line="276" w:lineRule="auto"/>
              <w:ind w:right="340"/>
              <w:jc w:val="both"/>
              <w:rPr>
                <w:rFonts w:ascii="Arial" w:eastAsia="Arial" w:hAnsi="Arial" w:cs="Arial"/>
              </w:rPr>
            </w:pPr>
            <w:r>
              <w:rPr>
                <w:rFonts w:ascii="Arial" w:eastAsia="Arial" w:hAnsi="Arial" w:cs="Arial"/>
              </w:rPr>
              <w:t>La Secretaría Ejecutiva del SIPINNA ha articulado acciones con diversas instancias para impulsar el fortalecimiento de capacidades mediante acciones educativas para el impulso y la formación permanente de cuadros especializados para la protección de derechos de niñas, niños y adolescentes, mediante los siguientes procesos:</w:t>
            </w:r>
          </w:p>
          <w:p w:rsidR="00ED4FC5" w:rsidRDefault="00A62550" w:rsidP="006F593F">
            <w:pPr>
              <w:numPr>
                <w:ilvl w:val="0"/>
                <w:numId w:val="12"/>
              </w:numPr>
              <w:spacing w:line="276" w:lineRule="auto"/>
              <w:ind w:right="340"/>
              <w:jc w:val="both"/>
              <w:rPr>
                <w:rFonts w:ascii="Arial" w:eastAsia="Arial" w:hAnsi="Arial" w:cs="Arial"/>
              </w:rPr>
            </w:pPr>
            <w:r>
              <w:rPr>
                <w:rFonts w:ascii="Arial" w:eastAsia="Arial" w:hAnsi="Arial" w:cs="Arial"/>
              </w:rPr>
              <w:t>Elaboración del curso en línea permanente “1, 2, 3, por mí y todos los derechos de niñas, niños y adolescentes” elaborado con el Consejo Nacional para Prevenir la Discriminación.</w:t>
            </w:r>
          </w:p>
          <w:p w:rsidR="00ED4FC5" w:rsidRDefault="00A62550" w:rsidP="006F593F">
            <w:pPr>
              <w:numPr>
                <w:ilvl w:val="0"/>
                <w:numId w:val="12"/>
              </w:numPr>
              <w:spacing w:line="276" w:lineRule="auto"/>
              <w:ind w:right="340"/>
              <w:jc w:val="both"/>
              <w:rPr>
                <w:rFonts w:ascii="Arial" w:eastAsia="Arial" w:hAnsi="Arial" w:cs="Arial"/>
              </w:rPr>
            </w:pPr>
            <w:r>
              <w:rPr>
                <w:rFonts w:ascii="Arial" w:eastAsia="Arial" w:hAnsi="Arial" w:cs="Arial"/>
              </w:rPr>
              <w:t>Diplomado “Derechos de niñas, niños y adolescentes con perspectiva de género”, tuvo el objetivo de fortalecer las capacidades de personas servidoras públicas, interesadas en llevar a cabo acciones para la garantía y promoción de los derechos de la niñez y la adolescencia desde sus particulares espacios de trabajo e incidencia social. El cual se realizó de noviembre de 2019 a mayo de 2020, y egresó a 208 personas servidoras públicas, de diversas instancias pertenecientes a los Sistemas de protección Integral de los tres órdenes de gobierno.</w:t>
            </w:r>
          </w:p>
          <w:p w:rsidR="00ED4FC5" w:rsidRDefault="00A62550" w:rsidP="006F593F">
            <w:pPr>
              <w:numPr>
                <w:ilvl w:val="0"/>
                <w:numId w:val="12"/>
              </w:numPr>
              <w:spacing w:line="276" w:lineRule="auto"/>
              <w:ind w:right="340"/>
              <w:jc w:val="both"/>
              <w:rPr>
                <w:rFonts w:ascii="Arial" w:eastAsia="Arial" w:hAnsi="Arial" w:cs="Arial"/>
              </w:rPr>
            </w:pPr>
            <w:r>
              <w:rPr>
                <w:rFonts w:ascii="Arial" w:eastAsia="Arial" w:hAnsi="Arial" w:cs="Arial"/>
              </w:rPr>
              <w:t>Diplomado “Derechos y políticas públicas de Niñas, Niños y Adolescentes por Ciclo de Vida”, tiene el objetivo de incorporar la consideración de las particularidades de niñas, niños y adolescentes como sujetos de derechos para garantizar su protección integral a través del análisis de sus trayectorias de vida, contextos y políticas públicas. Se está realizando a partir de enero de 2020 y concluye en junio de 2020, actualmente se encuentran participando 130 personas servidoras públicas, de diversas instancias pertenecientes a los Sistemas de protección Integral de los tres órdenes de gobierno.</w:t>
            </w:r>
          </w:p>
          <w:p w:rsidR="00ED4FC5" w:rsidRDefault="00A62550" w:rsidP="006F593F">
            <w:pPr>
              <w:numPr>
                <w:ilvl w:val="0"/>
                <w:numId w:val="12"/>
              </w:numPr>
              <w:spacing w:line="276" w:lineRule="auto"/>
              <w:ind w:right="340"/>
              <w:jc w:val="both"/>
              <w:rPr>
                <w:rFonts w:ascii="Arial" w:eastAsia="Arial" w:hAnsi="Arial" w:cs="Arial"/>
              </w:rPr>
            </w:pPr>
            <w:r>
              <w:rPr>
                <w:rFonts w:ascii="Arial" w:eastAsia="Arial" w:hAnsi="Arial" w:cs="Arial"/>
              </w:rPr>
              <w:t>Curso virtual “Prevención de las violencias contra las adolescencias y su participación para la Reconstrucción del Tejido Social”. Realizado en colaboración con la Comisión Nacional de los Derechos Humanos.</w:t>
            </w:r>
          </w:p>
          <w:p w:rsidR="00ED4FC5" w:rsidRDefault="00A62550" w:rsidP="006F593F">
            <w:pPr>
              <w:numPr>
                <w:ilvl w:val="0"/>
                <w:numId w:val="12"/>
              </w:numPr>
              <w:spacing w:line="276" w:lineRule="auto"/>
              <w:ind w:right="340"/>
              <w:jc w:val="both"/>
              <w:rPr>
                <w:rFonts w:ascii="Arial" w:eastAsia="Arial" w:hAnsi="Arial" w:cs="Arial"/>
              </w:rPr>
            </w:pPr>
            <w:r>
              <w:rPr>
                <w:rFonts w:ascii="Arial" w:eastAsia="Arial" w:hAnsi="Arial" w:cs="Arial"/>
              </w:rPr>
              <w:t xml:space="preserve">Finalmente, ante la necesidad de impulsar el cambio cultural a favor de los derechos de la niñez y adolescencia, se han diseñado acciones de divulgación cultural. Para ello y particularmente en el contexto de la emergencia sanitaria por el COVID-19 se organizaron dos ciclos de Conversatorios en línea a través de las plataformas </w:t>
            </w:r>
            <w:proofErr w:type="gramStart"/>
            <w:r>
              <w:rPr>
                <w:rFonts w:ascii="Arial" w:eastAsia="Arial" w:hAnsi="Arial" w:cs="Arial"/>
              </w:rPr>
              <w:t>Zoom</w:t>
            </w:r>
            <w:proofErr w:type="gramEnd"/>
            <w:r>
              <w:rPr>
                <w:rFonts w:ascii="Arial" w:eastAsia="Arial" w:hAnsi="Arial" w:cs="Arial"/>
              </w:rPr>
              <w:t xml:space="preserve"> y Facebook, y con la posibilidad de su retransmisión vía Facebook y </w:t>
            </w:r>
            <w:proofErr w:type="spellStart"/>
            <w:r>
              <w:rPr>
                <w:rFonts w:ascii="Arial" w:eastAsia="Arial" w:hAnsi="Arial" w:cs="Arial"/>
              </w:rPr>
              <w:t>Youtube</w:t>
            </w:r>
            <w:proofErr w:type="spellEnd"/>
            <w:r>
              <w:rPr>
                <w:rFonts w:ascii="Arial" w:eastAsia="Arial" w:hAnsi="Arial" w:cs="Arial"/>
              </w:rPr>
              <w:t xml:space="preserve">, a través de la cuenta @SIPINNA MX. Los temas abordados fueron desde la prevención de violencia, pasando por acciones de cuidado y salud mental para los propios sujetos de derecho, como de madres, padres y </w:t>
            </w:r>
            <w:r>
              <w:rPr>
                <w:rFonts w:ascii="Arial" w:eastAsia="Arial" w:hAnsi="Arial" w:cs="Arial"/>
              </w:rPr>
              <w:lastRenderedPageBreak/>
              <w:t xml:space="preserve">cuidadores; de igual manera temas de interés sobre la educación a distancia y sus necesidades de inclusión. Asimismo, hubo oportunidad de tocar temas sobre adolescencias, prevención de abuso sexual y Ciberseguridad. En total se logró convocar a 96 mil 669 personas para ver los conversatorios en tiempo real (Vía </w:t>
            </w:r>
            <w:proofErr w:type="gramStart"/>
            <w:r>
              <w:rPr>
                <w:rFonts w:ascii="Arial" w:eastAsia="Arial" w:hAnsi="Arial" w:cs="Arial"/>
              </w:rPr>
              <w:t>Zoom</w:t>
            </w:r>
            <w:proofErr w:type="gramEnd"/>
            <w:r>
              <w:rPr>
                <w:rFonts w:ascii="Arial" w:eastAsia="Arial" w:hAnsi="Arial" w:cs="Arial"/>
              </w:rPr>
              <w:t xml:space="preserve"> y Facebook en vivo) y con más de 15 mil visualizaciones en YouTube a la fecha; además, se ha obtenido un resultado en redes de 3 millones 500 mil personas es el impacto de las publicaciones de los conversatorios.</w:t>
            </w:r>
          </w:p>
          <w:p w:rsidR="00ED4FC5" w:rsidRDefault="00ED4FC5" w:rsidP="006F593F">
            <w:pPr>
              <w:spacing w:line="276" w:lineRule="auto"/>
              <w:ind w:left="720" w:right="340"/>
              <w:jc w:val="both"/>
              <w:rPr>
                <w:rFonts w:ascii="Arial" w:eastAsia="Arial" w:hAnsi="Arial" w:cs="Arial"/>
              </w:rPr>
            </w:pPr>
          </w:p>
          <w:p w:rsidR="00ED4FC5" w:rsidRDefault="00A62550" w:rsidP="006F593F">
            <w:pPr>
              <w:spacing w:line="276" w:lineRule="auto"/>
              <w:ind w:right="340"/>
              <w:jc w:val="both"/>
              <w:rPr>
                <w:rFonts w:ascii="Arial" w:eastAsia="Arial" w:hAnsi="Arial" w:cs="Arial"/>
              </w:rPr>
            </w:pPr>
            <w:r>
              <w:rPr>
                <w:rFonts w:ascii="Arial" w:eastAsia="Arial" w:hAnsi="Arial" w:cs="Arial"/>
              </w:rPr>
              <w:t>Además de ello, con la finalidad de realizar acciones de difusión de los derechos de niñas, niños y adolescentes, la Secretaría Ejecutiva obtuvo en 2017 autorización para contar con un sitio en internet y redes sociales propias. Con estas herramientas, se impulsa la difusión de derechos de niñas, niños y adolescentes, acciones conforme al art. 130, párrafo X, de la Ley General de Derechos de Niñas, Niños y Adolescentes. En Twitter se cuenta con 19,600 seguidores y en Facebook con 113,125 al 5 de octubre de 2020.</w:t>
            </w:r>
          </w:p>
          <w:p w:rsidR="00ED4FC5" w:rsidRDefault="00A62550" w:rsidP="006F593F">
            <w:pPr>
              <w:spacing w:line="276" w:lineRule="auto"/>
              <w:jc w:val="both"/>
              <w:rPr>
                <w:rFonts w:ascii="Arial" w:eastAsia="Arial" w:hAnsi="Arial" w:cs="Arial"/>
              </w:rPr>
            </w:pPr>
            <w:r>
              <w:rPr>
                <w:rFonts w:ascii="Arial" w:eastAsia="Arial" w:hAnsi="Arial" w:cs="Arial"/>
              </w:rPr>
              <w:t xml:space="preserve"> </w:t>
            </w:r>
          </w:p>
          <w:p w:rsidR="00ED4FC5" w:rsidRDefault="00A62550" w:rsidP="006F593F">
            <w:pPr>
              <w:spacing w:line="276" w:lineRule="auto"/>
              <w:jc w:val="both"/>
              <w:rPr>
                <w:rFonts w:ascii="Arial" w:eastAsia="Arial" w:hAnsi="Arial" w:cs="Arial"/>
              </w:rPr>
            </w:pPr>
            <w:r>
              <w:rPr>
                <w:rFonts w:ascii="Arial" w:eastAsia="Arial" w:hAnsi="Arial" w:cs="Arial"/>
              </w:rPr>
              <w:t>Para apoyar la difusión y garantía de derechos de niñez y adolescencia en temas como crianza positiva, castigo corporal, prohibición del matrimonio antes de los 18 años, ciberseguridad para infancia, prevención de abuso sexual, adopción y familias de acogida, lactancia materna, niñez migrante, trabajo infantil, días internacionales de Naciones Unidas, etc. De 2016 a la fecha, se han elaborado y publicado 103 comunicados de prensa para informar respecto de las acciones que realiza dicha Secretaría. De 2017 al 5 de octubre de 2020, se han creado 638 compartibles para redes sociales, mismos que se entregaron también a los 32 Sistemas Estatales para su adaptación y difusión local.</w:t>
            </w:r>
          </w:p>
        </w:tc>
      </w:tr>
      <w:tr w:rsidR="00ED4FC5">
        <w:tc>
          <w:tcPr>
            <w:tcW w:w="3015" w:type="dxa"/>
            <w:vAlign w:val="center"/>
          </w:tcPr>
          <w:p w:rsidR="00ED4FC5" w:rsidRDefault="00A62550" w:rsidP="006F593F">
            <w:pPr>
              <w:spacing w:line="276" w:lineRule="auto"/>
              <w:jc w:val="both"/>
              <w:rPr>
                <w:rFonts w:ascii="Arial" w:eastAsia="Arial" w:hAnsi="Arial" w:cs="Arial"/>
              </w:rPr>
            </w:pPr>
            <w:r>
              <w:rPr>
                <w:rFonts w:ascii="Arial" w:eastAsia="Arial" w:hAnsi="Arial" w:cs="Arial"/>
              </w:rPr>
              <w:lastRenderedPageBreak/>
              <w:t>Sistema Nacional para el Desarrollo Integral de la Familia (SNDIF)</w:t>
            </w:r>
          </w:p>
        </w:tc>
        <w:tc>
          <w:tcPr>
            <w:tcW w:w="10306" w:type="dxa"/>
          </w:tcPr>
          <w:p w:rsidR="00ED4FC5" w:rsidRDefault="00A62550" w:rsidP="006F593F">
            <w:pPr>
              <w:spacing w:line="276" w:lineRule="auto"/>
              <w:jc w:val="both"/>
              <w:rPr>
                <w:rFonts w:ascii="Arial" w:eastAsia="Arial" w:hAnsi="Arial" w:cs="Arial"/>
              </w:rPr>
            </w:pPr>
            <w:r>
              <w:rPr>
                <w:rFonts w:ascii="Arial" w:eastAsia="Arial" w:hAnsi="Arial" w:cs="Arial"/>
              </w:rPr>
              <w:t>Al menos desde 2018, su plataforma Campus Virtual DIF, impartió en diversas emisiones los cursos:</w:t>
            </w:r>
          </w:p>
          <w:p w:rsidR="00ED4FC5" w:rsidRDefault="00A62550" w:rsidP="006F593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 NNA- Protección y atención a niñas, niños y adolescentes</w:t>
            </w:r>
          </w:p>
          <w:p w:rsidR="00ED4FC5" w:rsidRDefault="00A62550" w:rsidP="006F593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 xml:space="preserve">• Los cuatro principios rectores de la </w:t>
            </w:r>
            <w:r w:rsidR="009306E9">
              <w:rPr>
                <w:rFonts w:ascii="Arial" w:eastAsia="Arial" w:hAnsi="Arial" w:cs="Arial"/>
              </w:rPr>
              <w:t>C</w:t>
            </w:r>
            <w:r>
              <w:rPr>
                <w:rFonts w:ascii="Arial" w:eastAsia="Arial" w:hAnsi="Arial" w:cs="Arial"/>
              </w:rPr>
              <w:t xml:space="preserve">onvención sobre los </w:t>
            </w:r>
            <w:r w:rsidR="009306E9">
              <w:rPr>
                <w:rFonts w:ascii="Arial" w:eastAsia="Arial" w:hAnsi="Arial" w:cs="Arial"/>
              </w:rPr>
              <w:t>D</w:t>
            </w:r>
            <w:r>
              <w:rPr>
                <w:rFonts w:ascii="Arial" w:eastAsia="Arial" w:hAnsi="Arial" w:cs="Arial"/>
              </w:rPr>
              <w:t xml:space="preserve">erechos del </w:t>
            </w:r>
            <w:r w:rsidR="009306E9">
              <w:rPr>
                <w:rFonts w:ascii="Arial" w:eastAsia="Arial" w:hAnsi="Arial" w:cs="Arial"/>
              </w:rPr>
              <w:t>N</w:t>
            </w:r>
            <w:r>
              <w:rPr>
                <w:rFonts w:ascii="Arial" w:eastAsia="Arial" w:hAnsi="Arial" w:cs="Arial"/>
              </w:rPr>
              <w:t>iño</w:t>
            </w:r>
          </w:p>
          <w:p w:rsidR="00ED4FC5" w:rsidRDefault="00A62550" w:rsidP="006F593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 Ley general de los derechos de las niñas, niños y adolescentes</w:t>
            </w:r>
          </w:p>
          <w:p w:rsidR="00ED4FC5" w:rsidRDefault="00A62550" w:rsidP="006F593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 Modelo de prevención de la migración de niñas, niños y adolescentes no acompañados: promoción de la permanencia en las comunidades de origen</w:t>
            </w:r>
          </w:p>
          <w:p w:rsidR="00ED4FC5" w:rsidRDefault="00A62550" w:rsidP="006F593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 Implementación de la estrategia global para la prevención del acoso escolar y otros tipos de</w:t>
            </w:r>
          </w:p>
          <w:p w:rsidR="00ED4FC5" w:rsidRDefault="00A62550" w:rsidP="006F593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lastRenderedPageBreak/>
              <w:t>violencia, para responsables estatales</w:t>
            </w:r>
          </w:p>
          <w:p w:rsidR="00ED4FC5" w:rsidRDefault="00A62550" w:rsidP="006F593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 Trata de personas focalizada en niñas, niños y adolescentes</w:t>
            </w:r>
          </w:p>
          <w:p w:rsidR="00ED4FC5" w:rsidRDefault="00A62550" w:rsidP="006F593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 Protocolo de prevención del abuso sexual a niñas, niños y adolescentes.</w:t>
            </w:r>
          </w:p>
          <w:p w:rsidR="00ED4FC5" w:rsidRDefault="00ED4FC5" w:rsidP="006F593F">
            <w:pPr>
              <w:spacing w:line="276" w:lineRule="auto"/>
              <w:jc w:val="both"/>
              <w:rPr>
                <w:rFonts w:ascii="Arial" w:eastAsia="Arial" w:hAnsi="Arial" w:cs="Arial"/>
              </w:rPr>
            </w:pPr>
          </w:p>
          <w:p w:rsidR="00ED4FC5" w:rsidRDefault="00A62550" w:rsidP="006F593F">
            <w:pPr>
              <w:spacing w:line="276" w:lineRule="auto"/>
              <w:jc w:val="both"/>
              <w:rPr>
                <w:rFonts w:ascii="Arial" w:eastAsia="Arial" w:hAnsi="Arial" w:cs="Arial"/>
              </w:rPr>
            </w:pPr>
            <w:r>
              <w:rPr>
                <w:rFonts w:ascii="Arial" w:eastAsia="Arial" w:hAnsi="Arial" w:cs="Arial"/>
              </w:rPr>
              <w:t>Durante el año 2019, se impartió el curso en línea “Sensibilización en Materia de Trata de Personas y sus Derechos Humanos”, dirigido a todo el personal del SNDIF, cuyo propósito es proporcionar herramientas a todos aquellos que se ocupan de la atención de niñas, niños y adolescentes víctimas de este delito. El curso fue elaborado en coordinación con la PFNNA. Esto se lleva a cabo a través del Campus Virtual del SNDIF que administra y desarrolla la DGPAS. El curso tuvo en el año 1245 participantes.</w:t>
            </w:r>
          </w:p>
          <w:p w:rsidR="00ED4FC5" w:rsidRDefault="00ED4FC5" w:rsidP="006F593F">
            <w:pPr>
              <w:spacing w:line="276" w:lineRule="auto"/>
              <w:jc w:val="both"/>
              <w:rPr>
                <w:rFonts w:ascii="Arial" w:eastAsia="Arial" w:hAnsi="Arial" w:cs="Arial"/>
              </w:rPr>
            </w:pPr>
          </w:p>
          <w:p w:rsidR="00ED4FC5" w:rsidRDefault="00A62550" w:rsidP="006F593F">
            <w:pPr>
              <w:spacing w:line="276" w:lineRule="auto"/>
              <w:jc w:val="both"/>
              <w:rPr>
                <w:rFonts w:ascii="Arial" w:eastAsia="Arial" w:hAnsi="Arial" w:cs="Arial"/>
              </w:rPr>
            </w:pPr>
            <w:r>
              <w:rPr>
                <w:rFonts w:ascii="Arial" w:eastAsia="Arial" w:hAnsi="Arial" w:cs="Arial"/>
              </w:rPr>
              <w:t>Durante 2020, a través de la plataforma https://formación.virtual.dif.gob.mx, también se promovió e impartió el curso “Protección y atención a niñas, niños y adolescentes”.</w:t>
            </w:r>
          </w:p>
        </w:tc>
      </w:tr>
      <w:tr w:rsidR="00ED4FC5">
        <w:tc>
          <w:tcPr>
            <w:tcW w:w="3015" w:type="dxa"/>
            <w:vAlign w:val="center"/>
          </w:tcPr>
          <w:p w:rsidR="00ED4FC5" w:rsidRDefault="00A62550" w:rsidP="006F593F">
            <w:pPr>
              <w:spacing w:line="276" w:lineRule="auto"/>
              <w:jc w:val="both"/>
              <w:rPr>
                <w:rFonts w:ascii="Arial" w:eastAsia="Arial" w:hAnsi="Arial" w:cs="Arial"/>
              </w:rPr>
            </w:pPr>
            <w:r>
              <w:rPr>
                <w:rFonts w:ascii="Arial" w:eastAsia="Arial" w:hAnsi="Arial" w:cs="Arial"/>
              </w:rPr>
              <w:lastRenderedPageBreak/>
              <w:t>Suprema Corte de Justicia de la Nación (SCJN)</w:t>
            </w:r>
          </w:p>
        </w:tc>
        <w:tc>
          <w:tcPr>
            <w:tcW w:w="10306" w:type="dxa"/>
          </w:tcPr>
          <w:p w:rsidR="00ED4FC5" w:rsidRDefault="00A62550" w:rsidP="006F593F">
            <w:pPr>
              <w:spacing w:line="276" w:lineRule="auto"/>
              <w:jc w:val="both"/>
              <w:rPr>
                <w:rFonts w:ascii="Arial" w:eastAsia="Arial" w:hAnsi="Arial" w:cs="Arial"/>
              </w:rPr>
            </w:pPr>
            <w:r>
              <w:rPr>
                <w:rFonts w:ascii="Arial" w:eastAsia="Arial" w:hAnsi="Arial" w:cs="Arial"/>
              </w:rPr>
              <w:t>Lleva a cabo diversas tareas de difusión, divulgación y capacitación de una manera consistente y sistemática. Ejemplo de ellos son: el lanzamiento anual del concurso “Género y Justicia”, encaminado a reflexionar sobre problemáticas de igualdad de género y acceso a la justicia de las mujeres, niñas y adolescentes. Se impartió el Curso “Actuación judicial en casos de utilización de hijas e hijos en el conflicto parental” (2015) y se celebró el Foro Nacional “La perspectiva de género a la luz de la Ley General de los Derechos de Niñas, Niños y Adolescentes” (2015).</w:t>
            </w:r>
          </w:p>
          <w:p w:rsidR="00ED4FC5" w:rsidRDefault="00A62550" w:rsidP="006F593F">
            <w:pPr>
              <w:numPr>
                <w:ilvl w:val="0"/>
                <w:numId w:val="4"/>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Taller y exposición de pintura infantil “Una mirada a la igualdad desde la infancia” (con una exposición anual de pinturas desde 2017). </w:t>
            </w:r>
          </w:p>
          <w:p w:rsidR="00ED4FC5" w:rsidRDefault="00A62550" w:rsidP="006F593F">
            <w:pPr>
              <w:numPr>
                <w:ilvl w:val="0"/>
                <w:numId w:val="4"/>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Taller “Derechos de niñas, niños y adolescentes” (2017), </w:t>
            </w:r>
          </w:p>
          <w:p w:rsidR="00ED4FC5" w:rsidRDefault="00A62550" w:rsidP="006F593F">
            <w:pPr>
              <w:numPr>
                <w:ilvl w:val="0"/>
                <w:numId w:val="4"/>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Taller de capacitación sobre "Prácticas Relevantes de Promoción y Defensa de los Derechos Humanos de Niñas, Niños y Adolescentes Migrantes no acompañados en el Triángulo Norte y México” (2017).</w:t>
            </w:r>
          </w:p>
          <w:p w:rsidR="00ED4FC5" w:rsidRDefault="00A62550" w:rsidP="006F593F">
            <w:pPr>
              <w:numPr>
                <w:ilvl w:val="0"/>
                <w:numId w:val="4"/>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Charlas de sensibilización sobre la prevención de violencia en el noviazgo (2019) y se celebró el Foro “Retos de los derechos de la infancia” (2019). </w:t>
            </w:r>
          </w:p>
          <w:p w:rsidR="00ED4FC5" w:rsidRDefault="00A62550" w:rsidP="006F593F">
            <w:pPr>
              <w:numPr>
                <w:ilvl w:val="0"/>
                <w:numId w:val="4"/>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Seminario Permanente Derecho y Familia (agosto de 2019) en donde se abordó el tema de responsabilidad parental. Su segunda edición, se llevará a cabo en 2020.</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lastRenderedPageBreak/>
              <w:t xml:space="preserve">Capacitación sobre el Protocolo de actuación para quienes imparten justicia en casos que involucren niñas, niños y adolescentes (2019). </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Curso de Protección Jurisdiccional de los Derechos de la Niña, Niño y Adolescente, con dos fases una virtual y otra presencial (2019), y, finalmente en el presente año se llevarán a cabo 2 ediciones</w:t>
            </w:r>
            <w:r>
              <w:rPr>
                <w:rFonts w:ascii="Arial" w:eastAsia="Arial" w:hAnsi="Arial" w:cs="Arial"/>
                <w:vertAlign w:val="superscript"/>
              </w:rPr>
              <w:footnoteReference w:id="1"/>
            </w:r>
            <w:r>
              <w:rPr>
                <w:rFonts w:ascii="Arial" w:eastAsia="Arial" w:hAnsi="Arial" w:cs="Arial"/>
              </w:rPr>
              <w:t xml:space="preserve"> de los “Derechos de la infancia y el acceso a la justicia” y “Psicología forense especializada en niñas, niños y adolescentes”.</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Curso virtual “Los derechos de la infancia y el acceso a la justicia”</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Diplomado virtual sobre Derechos de la Infancia</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Diplomado Acceso a la Justicia en Materia de Derechos Humanos</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Diplomado Juicio de Amparo 2018</w:t>
            </w:r>
          </w:p>
          <w:p w:rsidR="00ED4FC5" w:rsidRDefault="00ED4FC5" w:rsidP="006F593F">
            <w:pPr>
              <w:pBdr>
                <w:top w:val="nil"/>
                <w:left w:val="nil"/>
                <w:bottom w:val="nil"/>
                <w:right w:val="nil"/>
                <w:between w:val="nil"/>
              </w:pBdr>
              <w:spacing w:line="276" w:lineRule="auto"/>
              <w:ind w:left="720"/>
              <w:jc w:val="both"/>
              <w:rPr>
                <w:rFonts w:ascii="Arial" w:eastAsia="Arial" w:hAnsi="Arial" w:cs="Arial"/>
              </w:rPr>
            </w:pPr>
          </w:p>
          <w:p w:rsidR="00ED4FC5" w:rsidRDefault="00A62550" w:rsidP="006F593F">
            <w:pPr>
              <w:spacing w:line="276" w:lineRule="auto"/>
              <w:jc w:val="both"/>
              <w:rPr>
                <w:rFonts w:ascii="Arial" w:eastAsia="Arial" w:hAnsi="Arial" w:cs="Arial"/>
              </w:rPr>
            </w:pPr>
            <w:r>
              <w:rPr>
                <w:rFonts w:ascii="Arial" w:eastAsia="Arial" w:hAnsi="Arial" w:cs="Arial"/>
              </w:rPr>
              <w:t>Cabe destacar que en la primera edición del curso sobre derechos de la infancia y acceso a la justicia se capacitó a 7,179 personas, en la segunda edición a 19,099 personas, con un total de 26,278 personas. En la primera edición del curso sobre psicología forense especializada en niñas, niños y adolescentes se capacitó a 8,032, mientras que en la segunda se capacitó a 18,455 personas, con un total de 26,487 personas. Finalmente, entre las dos ediciones de ambos cursos se capacitó a 52,765 personas. De este gran total, 18,219 personas formaban parte de instituciones públicas, mientras que 34,546 fueron público en general.</w:t>
            </w:r>
          </w:p>
        </w:tc>
      </w:tr>
    </w:tbl>
    <w:p w:rsidR="00ED4FC5" w:rsidRDefault="00ED4FC5" w:rsidP="006F593F">
      <w:pPr>
        <w:spacing w:after="0" w:line="276" w:lineRule="auto"/>
        <w:jc w:val="both"/>
        <w:rPr>
          <w:rFonts w:ascii="Arial" w:eastAsia="Arial" w:hAnsi="Arial" w:cs="Arial"/>
        </w:rPr>
      </w:pPr>
    </w:p>
    <w:p w:rsidR="00ED4FC5" w:rsidRDefault="00A62550" w:rsidP="006F593F">
      <w:pPr>
        <w:spacing w:before="240" w:after="0" w:line="276" w:lineRule="auto"/>
        <w:ind w:left="566" w:hanging="708"/>
        <w:jc w:val="both"/>
        <w:rPr>
          <w:rFonts w:ascii="Arial" w:eastAsia="Arial" w:hAnsi="Arial" w:cs="Arial"/>
          <w:b/>
        </w:rPr>
      </w:pPr>
      <w:r>
        <w:rPr>
          <w:rFonts w:ascii="Arial" w:eastAsia="Arial" w:hAnsi="Arial" w:cs="Arial"/>
          <w:sz w:val="20"/>
          <w:szCs w:val="20"/>
        </w:rPr>
        <w:t>Tabla 2.</w:t>
      </w:r>
    </w:p>
    <w:tbl>
      <w:tblPr>
        <w:tblStyle w:val="afffc"/>
        <w:tblW w:w="133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15"/>
        <w:gridCol w:w="10306"/>
      </w:tblGrid>
      <w:tr w:rsidR="00ED4FC5" w:rsidTr="006F593F">
        <w:tc>
          <w:tcPr>
            <w:tcW w:w="3015" w:type="dxa"/>
            <w:shd w:val="clear" w:color="auto" w:fill="000000" w:themeFill="text1"/>
          </w:tcPr>
          <w:p w:rsidR="00ED4FC5" w:rsidRDefault="00A62550" w:rsidP="006F593F">
            <w:pPr>
              <w:spacing w:line="276" w:lineRule="auto"/>
              <w:jc w:val="center"/>
              <w:rPr>
                <w:rFonts w:ascii="Arial" w:eastAsia="Arial" w:hAnsi="Arial" w:cs="Arial"/>
                <w:b/>
                <w:color w:val="FFFFFF"/>
              </w:rPr>
            </w:pPr>
            <w:r>
              <w:rPr>
                <w:rFonts w:ascii="Arial" w:eastAsia="Arial" w:hAnsi="Arial" w:cs="Arial"/>
                <w:b/>
                <w:color w:val="FFFFFF"/>
              </w:rPr>
              <w:t>Organización de la Sociedad Civil</w:t>
            </w:r>
          </w:p>
        </w:tc>
        <w:tc>
          <w:tcPr>
            <w:tcW w:w="10306" w:type="dxa"/>
            <w:shd w:val="clear" w:color="auto" w:fill="000000" w:themeFill="text1"/>
          </w:tcPr>
          <w:p w:rsidR="00ED4FC5" w:rsidRDefault="00A62550" w:rsidP="006F593F">
            <w:pPr>
              <w:spacing w:line="276" w:lineRule="auto"/>
              <w:jc w:val="center"/>
              <w:rPr>
                <w:rFonts w:ascii="Arial" w:eastAsia="Arial" w:hAnsi="Arial" w:cs="Arial"/>
                <w:b/>
                <w:color w:val="FFFFFF"/>
              </w:rPr>
            </w:pPr>
            <w:r>
              <w:rPr>
                <w:rFonts w:ascii="Arial" w:eastAsia="Arial" w:hAnsi="Arial" w:cs="Arial"/>
                <w:b/>
                <w:color w:val="FFFFFF"/>
              </w:rPr>
              <w:t>CAPACITACIÓN Y DIFUSIÓN</w:t>
            </w:r>
          </w:p>
        </w:tc>
      </w:tr>
      <w:tr w:rsidR="00ED4FC5">
        <w:tc>
          <w:tcPr>
            <w:tcW w:w="3015" w:type="dxa"/>
            <w:vAlign w:val="center"/>
          </w:tcPr>
          <w:p w:rsidR="00ED4FC5" w:rsidRDefault="00A62550" w:rsidP="006F593F">
            <w:pPr>
              <w:spacing w:line="276" w:lineRule="auto"/>
              <w:jc w:val="both"/>
              <w:rPr>
                <w:rFonts w:ascii="Arial" w:eastAsia="Arial" w:hAnsi="Arial" w:cs="Arial"/>
              </w:rPr>
            </w:pPr>
            <w:r>
              <w:rPr>
                <w:rFonts w:ascii="Arial" w:eastAsia="Arial" w:hAnsi="Arial" w:cs="Arial"/>
              </w:rPr>
              <w:t>Afectividad y Sexualidad, A.C. (Guardianes)</w:t>
            </w:r>
          </w:p>
        </w:tc>
        <w:tc>
          <w:tcPr>
            <w:tcW w:w="10306" w:type="dxa"/>
          </w:tcPr>
          <w:p w:rsidR="00ED4FC5" w:rsidRDefault="00A62550" w:rsidP="006F593F">
            <w:pPr>
              <w:spacing w:line="276" w:lineRule="auto"/>
              <w:jc w:val="both"/>
              <w:rPr>
                <w:rFonts w:ascii="Arial" w:eastAsia="Arial" w:hAnsi="Arial" w:cs="Arial"/>
              </w:rPr>
            </w:pPr>
            <w:r>
              <w:rPr>
                <w:rFonts w:ascii="Arial" w:eastAsia="Arial" w:hAnsi="Arial" w:cs="Arial"/>
              </w:rPr>
              <w:t>Esta institución, desde 2017 se dedica a buscar el interés superior de niñas, niños y adolescentes, alineada a los Objetivos de Desarrollo Sostenible de la Agenda 2030. Ofrece cursos en línea que promueven una cultura del buen trato, entre otros:</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lastRenderedPageBreak/>
              <w:t>Crianza positiva</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Una nueva paternidad</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Violencia sexual en México</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Buenos padres, buenos tratos en la contingencia</w:t>
            </w:r>
          </w:p>
          <w:p w:rsidR="00ED4FC5" w:rsidRDefault="00A62550" w:rsidP="006F593F">
            <w:pPr>
              <w:spacing w:line="276" w:lineRule="auto"/>
              <w:jc w:val="both"/>
              <w:rPr>
                <w:rFonts w:ascii="Arial" w:eastAsia="Arial" w:hAnsi="Arial" w:cs="Arial"/>
              </w:rPr>
            </w:pPr>
            <w:r>
              <w:rPr>
                <w:rFonts w:ascii="Arial" w:eastAsia="Arial" w:hAnsi="Arial" w:cs="Arial"/>
              </w:rPr>
              <w:t>De la dependencia tóxica al equilibrio del amor</w:t>
            </w:r>
          </w:p>
        </w:tc>
      </w:tr>
      <w:tr w:rsidR="00ED4FC5">
        <w:trPr>
          <w:trHeight w:val="3255"/>
        </w:trPr>
        <w:tc>
          <w:tcPr>
            <w:tcW w:w="3015" w:type="dxa"/>
            <w:vAlign w:val="center"/>
          </w:tcPr>
          <w:p w:rsidR="00ED4FC5" w:rsidRDefault="00A62550" w:rsidP="006F593F">
            <w:pPr>
              <w:spacing w:line="276" w:lineRule="auto"/>
              <w:jc w:val="both"/>
              <w:rPr>
                <w:rFonts w:ascii="Arial" w:eastAsia="Arial" w:hAnsi="Arial" w:cs="Arial"/>
              </w:rPr>
            </w:pPr>
            <w:r>
              <w:rPr>
                <w:rFonts w:ascii="Arial" w:eastAsia="Arial" w:hAnsi="Arial" w:cs="Arial"/>
              </w:rPr>
              <w:lastRenderedPageBreak/>
              <w:t>Centros de Integración Juvenil, A.C. (CIJ)</w:t>
            </w:r>
          </w:p>
        </w:tc>
        <w:tc>
          <w:tcPr>
            <w:tcW w:w="10306" w:type="dxa"/>
          </w:tcPr>
          <w:p w:rsidR="00ED4FC5" w:rsidRDefault="00A62550" w:rsidP="006F593F">
            <w:pPr>
              <w:spacing w:line="276" w:lineRule="auto"/>
              <w:jc w:val="both"/>
              <w:rPr>
                <w:rFonts w:ascii="Arial" w:eastAsia="Arial" w:hAnsi="Arial" w:cs="Arial"/>
              </w:rPr>
            </w:pPr>
            <w:r>
              <w:rPr>
                <w:rFonts w:ascii="Arial" w:eastAsia="Arial" w:hAnsi="Arial" w:cs="Arial"/>
              </w:rPr>
              <w:t>Cuenta con un aula virtual, y durante 2020 derivado de la situación de emergencia se ofertan cursos y diplomados como:</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Atención de la violencia familiar en el contexto del COVID-19</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Duelo en familia por COVID-19</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Maltrato a niños, niñas y adolescentes en casa en tiempos de COVID-19</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Prevención de adicciones y violencia en educación media superior y superior</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Estrategias para la prevención del consumo de drogas en adolescentes</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Diplomado Acoso escolar y consumo de drogas</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Diplomado Género Violencia Familiar y Adicciones</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Diplomado Terapia familiar Multidimensional para la Atención de las Adicciones y la Violencia Familiar</w:t>
            </w:r>
          </w:p>
        </w:tc>
      </w:tr>
      <w:tr w:rsidR="00ED4FC5">
        <w:tc>
          <w:tcPr>
            <w:tcW w:w="3015" w:type="dxa"/>
            <w:vAlign w:val="center"/>
          </w:tcPr>
          <w:p w:rsidR="00ED4FC5" w:rsidRDefault="00A62550" w:rsidP="006F593F">
            <w:pPr>
              <w:spacing w:line="276" w:lineRule="auto"/>
              <w:jc w:val="both"/>
              <w:rPr>
                <w:rFonts w:ascii="Arial" w:eastAsia="Arial" w:hAnsi="Arial" w:cs="Arial"/>
              </w:rPr>
            </w:pPr>
            <w:r>
              <w:rPr>
                <w:rFonts w:ascii="Arial" w:eastAsia="Arial" w:hAnsi="Arial" w:cs="Arial"/>
              </w:rPr>
              <w:t>Fundación América por la Infancia, A.C.</w:t>
            </w:r>
          </w:p>
        </w:tc>
        <w:tc>
          <w:tcPr>
            <w:tcW w:w="10306" w:type="dxa"/>
          </w:tcPr>
          <w:p w:rsidR="00ED4FC5" w:rsidRDefault="00A62550" w:rsidP="006F593F">
            <w:pPr>
              <w:spacing w:line="276" w:lineRule="auto"/>
              <w:jc w:val="both"/>
              <w:rPr>
                <w:rFonts w:ascii="Arial" w:eastAsia="Arial" w:hAnsi="Arial" w:cs="Arial"/>
              </w:rPr>
            </w:pPr>
            <w:r>
              <w:rPr>
                <w:rFonts w:ascii="Arial" w:eastAsia="Arial" w:hAnsi="Arial" w:cs="Arial"/>
              </w:rPr>
              <w:t>Uno de sus ejes fundamentales es la formación de profesionales que trabajen en el área de la infancia, padres, madres y cuidadores y busca educar a toda una comunidad en prácticas profesionales y de crianza que promuevan los buenos tratos a la infancia. Tiene 4 áreas de formación: Psicología, Educación, Protección y Crianza; y bajo éstas imparte cursos, entre otros están:</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Crianza respetuosa: mitos y realidades</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Buenos tratos y derechos de la niñez, fundamentos para un cambio de paradigma</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Parentalidad Consciente: criando con mindfulness</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Interés Superior del Niño: herramientas prácticas del enfoque de derechos</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Crianza y discapacidad: buscando un equilibrio familiar</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Berrinches y pataletas: ¡una oportunidad para ser mejores padres!</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Breve biografía del trauma infantil</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 xml:space="preserve">Adolescencia: Una oportunidad para evolucionar junto a tu </w:t>
            </w:r>
            <w:proofErr w:type="spellStart"/>
            <w:r>
              <w:rPr>
                <w:rFonts w:ascii="Arial" w:eastAsia="Arial" w:hAnsi="Arial" w:cs="Arial"/>
              </w:rPr>
              <w:t>hij</w:t>
            </w:r>
            <w:proofErr w:type="spellEnd"/>
            <w:r>
              <w:rPr>
                <w:rFonts w:ascii="Arial" w:eastAsia="Arial" w:hAnsi="Arial" w:cs="Arial"/>
              </w:rPr>
              <w:t>@</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lastRenderedPageBreak/>
              <w:t>Diplomado ONLINE: Parentalidad, Apego y Desarrollo de la Infancia 2021</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Diplomado en evaluación de competencias parentales: Un enfoque ecológico-relacional</w:t>
            </w:r>
          </w:p>
        </w:tc>
      </w:tr>
    </w:tbl>
    <w:p w:rsidR="00ED4FC5" w:rsidRDefault="00ED4FC5" w:rsidP="006F593F">
      <w:pPr>
        <w:spacing w:after="0" w:line="276" w:lineRule="auto"/>
        <w:jc w:val="both"/>
        <w:rPr>
          <w:rFonts w:ascii="Arial" w:eastAsia="Arial" w:hAnsi="Arial" w:cs="Arial"/>
        </w:rPr>
      </w:pPr>
    </w:p>
    <w:p w:rsidR="00ED4FC5" w:rsidRDefault="00A62550" w:rsidP="006F593F">
      <w:pPr>
        <w:spacing w:before="240" w:after="0" w:line="276" w:lineRule="auto"/>
        <w:ind w:left="566" w:hanging="708"/>
        <w:jc w:val="both"/>
        <w:rPr>
          <w:rFonts w:ascii="Arial" w:eastAsia="Arial" w:hAnsi="Arial" w:cs="Arial"/>
          <w:b/>
        </w:rPr>
      </w:pPr>
      <w:r>
        <w:rPr>
          <w:rFonts w:ascii="Arial" w:eastAsia="Arial" w:hAnsi="Arial" w:cs="Arial"/>
          <w:sz w:val="20"/>
          <w:szCs w:val="20"/>
        </w:rPr>
        <w:t>Tabla 3.</w:t>
      </w:r>
    </w:p>
    <w:tbl>
      <w:tblPr>
        <w:tblStyle w:val="afffd"/>
        <w:tblW w:w="133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15"/>
        <w:gridCol w:w="10306"/>
      </w:tblGrid>
      <w:tr w:rsidR="00ED4FC5" w:rsidTr="006F593F">
        <w:tc>
          <w:tcPr>
            <w:tcW w:w="3015" w:type="dxa"/>
            <w:shd w:val="clear" w:color="auto" w:fill="000000" w:themeFill="text1"/>
          </w:tcPr>
          <w:p w:rsidR="00ED4FC5" w:rsidRDefault="00A62550" w:rsidP="006F593F">
            <w:pPr>
              <w:spacing w:line="276" w:lineRule="auto"/>
              <w:jc w:val="center"/>
              <w:rPr>
                <w:rFonts w:ascii="Arial" w:eastAsia="Arial" w:hAnsi="Arial" w:cs="Arial"/>
                <w:b/>
                <w:color w:val="FFFFFF"/>
              </w:rPr>
            </w:pPr>
            <w:r>
              <w:rPr>
                <w:rFonts w:ascii="Arial" w:eastAsia="Arial" w:hAnsi="Arial" w:cs="Arial"/>
                <w:b/>
                <w:color w:val="FFFFFF"/>
              </w:rPr>
              <w:t>Organismos Internacionales</w:t>
            </w:r>
          </w:p>
        </w:tc>
        <w:tc>
          <w:tcPr>
            <w:tcW w:w="10306" w:type="dxa"/>
            <w:shd w:val="clear" w:color="auto" w:fill="000000" w:themeFill="text1"/>
          </w:tcPr>
          <w:p w:rsidR="00ED4FC5" w:rsidRDefault="00A62550" w:rsidP="006F593F">
            <w:pPr>
              <w:spacing w:line="276" w:lineRule="auto"/>
              <w:jc w:val="center"/>
              <w:rPr>
                <w:rFonts w:ascii="Arial" w:eastAsia="Arial" w:hAnsi="Arial" w:cs="Arial"/>
                <w:b/>
                <w:color w:val="FFFFFF"/>
              </w:rPr>
            </w:pPr>
            <w:r>
              <w:rPr>
                <w:rFonts w:ascii="Arial" w:eastAsia="Arial" w:hAnsi="Arial" w:cs="Arial"/>
                <w:b/>
                <w:color w:val="FFFFFF"/>
              </w:rPr>
              <w:t>CAPACITACIÓN Y DIFUSIÓN</w:t>
            </w:r>
          </w:p>
        </w:tc>
      </w:tr>
      <w:tr w:rsidR="00ED4FC5">
        <w:tc>
          <w:tcPr>
            <w:tcW w:w="3015" w:type="dxa"/>
            <w:vAlign w:val="center"/>
          </w:tcPr>
          <w:p w:rsidR="00ED4FC5" w:rsidRDefault="00A62550" w:rsidP="006F593F">
            <w:pPr>
              <w:spacing w:line="276" w:lineRule="auto"/>
              <w:jc w:val="both"/>
              <w:rPr>
                <w:rFonts w:ascii="Arial" w:eastAsia="Arial" w:hAnsi="Arial" w:cs="Arial"/>
              </w:rPr>
            </w:pPr>
            <w:r>
              <w:rPr>
                <w:rFonts w:ascii="Arial" w:eastAsia="Arial" w:hAnsi="Arial" w:cs="Arial"/>
              </w:rPr>
              <w:t>Amnistía Internacional</w:t>
            </w:r>
          </w:p>
        </w:tc>
        <w:tc>
          <w:tcPr>
            <w:tcW w:w="10306" w:type="dxa"/>
          </w:tcPr>
          <w:p w:rsidR="00ED4FC5" w:rsidRDefault="00A62550" w:rsidP="006F593F">
            <w:pPr>
              <w:spacing w:line="276" w:lineRule="auto"/>
              <w:jc w:val="both"/>
              <w:rPr>
                <w:rFonts w:ascii="Arial" w:eastAsia="Arial" w:hAnsi="Arial" w:cs="Arial"/>
              </w:rPr>
            </w:pPr>
            <w:r>
              <w:rPr>
                <w:rFonts w:ascii="Arial" w:eastAsia="Arial" w:hAnsi="Arial" w:cs="Arial"/>
              </w:rPr>
              <w:t>Ha impartido el curso en línea “Defensores y defensoras de los derechos humanos”</w:t>
            </w:r>
          </w:p>
        </w:tc>
      </w:tr>
      <w:tr w:rsidR="00ED4FC5">
        <w:trPr>
          <w:trHeight w:val="3255"/>
        </w:trPr>
        <w:tc>
          <w:tcPr>
            <w:tcW w:w="3015" w:type="dxa"/>
            <w:vAlign w:val="center"/>
          </w:tcPr>
          <w:p w:rsidR="00ED4FC5" w:rsidRDefault="00A62550" w:rsidP="006F593F">
            <w:pPr>
              <w:spacing w:line="276" w:lineRule="auto"/>
              <w:jc w:val="both"/>
              <w:rPr>
                <w:rFonts w:ascii="Arial" w:eastAsia="Arial" w:hAnsi="Arial" w:cs="Arial"/>
              </w:rPr>
            </w:pPr>
            <w:r>
              <w:rPr>
                <w:rFonts w:ascii="Arial" w:eastAsia="Arial" w:hAnsi="Arial" w:cs="Arial"/>
              </w:rPr>
              <w:t xml:space="preserve">Agencias de Naciones Unidas (16), organizaciones de la sociedad civil y organizaciones humanitarias, como la Alianza Global para Poner Fin a toda Forma de Violencia contra la Niñez, UNICEF, OIM, ACNUR, </w:t>
            </w:r>
            <w:proofErr w:type="spellStart"/>
            <w:r>
              <w:rPr>
                <w:rFonts w:ascii="Arial" w:eastAsia="Arial" w:hAnsi="Arial" w:cs="Arial"/>
              </w:rPr>
              <w:t>Save</w:t>
            </w:r>
            <w:proofErr w:type="spellEnd"/>
            <w:r>
              <w:rPr>
                <w:rFonts w:ascii="Arial" w:eastAsia="Arial" w:hAnsi="Arial" w:cs="Arial"/>
              </w:rPr>
              <w:t xml:space="preserve"> </w:t>
            </w:r>
            <w:proofErr w:type="spellStart"/>
            <w:r>
              <w:rPr>
                <w:rFonts w:ascii="Arial" w:eastAsia="Arial" w:hAnsi="Arial" w:cs="Arial"/>
              </w:rPr>
              <w:t>the</w:t>
            </w:r>
            <w:proofErr w:type="spellEnd"/>
            <w:r>
              <w:rPr>
                <w:rFonts w:ascii="Arial" w:eastAsia="Arial" w:hAnsi="Arial" w:cs="Arial"/>
              </w:rPr>
              <w:t xml:space="preserve"> </w:t>
            </w:r>
            <w:proofErr w:type="spellStart"/>
            <w:r>
              <w:rPr>
                <w:rFonts w:ascii="Arial" w:eastAsia="Arial" w:hAnsi="Arial" w:cs="Arial"/>
              </w:rPr>
              <w:t>Children</w:t>
            </w:r>
            <w:proofErr w:type="spellEnd"/>
            <w:r>
              <w:rPr>
                <w:rFonts w:ascii="Arial" w:eastAsia="Arial" w:hAnsi="Arial" w:cs="Arial"/>
              </w:rPr>
              <w:t>, RELAF, Aldeas Infantiles, entre otras</w:t>
            </w:r>
          </w:p>
        </w:tc>
        <w:tc>
          <w:tcPr>
            <w:tcW w:w="10306" w:type="dxa"/>
          </w:tcPr>
          <w:p w:rsidR="00ED4FC5" w:rsidRDefault="00A62550" w:rsidP="006F593F">
            <w:pPr>
              <w:spacing w:line="276" w:lineRule="auto"/>
              <w:jc w:val="both"/>
              <w:rPr>
                <w:rFonts w:ascii="Arial" w:eastAsia="Arial" w:hAnsi="Arial" w:cs="Arial"/>
              </w:rPr>
            </w:pPr>
            <w:r>
              <w:rPr>
                <w:rFonts w:ascii="Arial" w:eastAsia="Arial" w:hAnsi="Arial" w:cs="Arial"/>
              </w:rPr>
              <w:t>Realizaron e impartieron el curso en línea “Niñez migrante no acompañada”, que busca proporcionar orientación acerca de una toma de decisiones apropiada y la prestación de acogimiento idóneo para los niños y niñas migrantes no acompañados y separados, y para aquellos en riesgo de estarlo. Construir puentes entre el sector humanitario, los trabajadores del acogimiento alternativo y otros en contacto con niños y niñas no acompañados y separados en situación de migración.</w:t>
            </w:r>
          </w:p>
        </w:tc>
      </w:tr>
      <w:tr w:rsidR="00ED4FC5">
        <w:trPr>
          <w:trHeight w:val="915"/>
        </w:trPr>
        <w:tc>
          <w:tcPr>
            <w:tcW w:w="3015" w:type="dxa"/>
            <w:vAlign w:val="center"/>
          </w:tcPr>
          <w:p w:rsidR="00ED4FC5" w:rsidRDefault="00A62550" w:rsidP="006F593F">
            <w:pPr>
              <w:spacing w:line="276" w:lineRule="auto"/>
              <w:jc w:val="both"/>
              <w:rPr>
                <w:rFonts w:ascii="Arial" w:eastAsia="Arial" w:hAnsi="Arial" w:cs="Arial"/>
              </w:rPr>
            </w:pPr>
            <w:r>
              <w:rPr>
                <w:rFonts w:ascii="Arial" w:eastAsia="Arial" w:hAnsi="Arial" w:cs="Arial"/>
              </w:rPr>
              <w:t>Banco Interamericano de Desarrollo (BID)</w:t>
            </w:r>
          </w:p>
        </w:tc>
        <w:tc>
          <w:tcPr>
            <w:tcW w:w="10306" w:type="dxa"/>
          </w:tcPr>
          <w:p w:rsidR="00ED4FC5" w:rsidRDefault="00A62550" w:rsidP="006F593F">
            <w:pPr>
              <w:spacing w:line="276" w:lineRule="auto"/>
              <w:jc w:val="both"/>
              <w:rPr>
                <w:rFonts w:ascii="Arial" w:eastAsia="Arial" w:hAnsi="Arial" w:cs="Arial"/>
              </w:rPr>
            </w:pPr>
            <w:r>
              <w:rPr>
                <w:rFonts w:ascii="Arial" w:eastAsia="Arial" w:hAnsi="Arial" w:cs="Arial"/>
              </w:rPr>
              <w:t xml:space="preserve">Durante 2020, a través de la plataforma </w:t>
            </w:r>
            <w:proofErr w:type="spellStart"/>
            <w:r>
              <w:rPr>
                <w:rFonts w:ascii="Arial" w:eastAsia="Arial" w:hAnsi="Arial" w:cs="Arial"/>
              </w:rPr>
              <w:t>edX</w:t>
            </w:r>
            <w:proofErr w:type="spellEnd"/>
            <w:r>
              <w:rPr>
                <w:rFonts w:ascii="Arial" w:eastAsia="Arial" w:hAnsi="Arial" w:cs="Arial"/>
              </w:rPr>
              <w:t>, lleva a cabo el curso “Políticas efectivas de desarrollo infantil”, el cual busca brindar herramientas para diseñar, implementar y evaluar políticas y programas de desarrollo infantil de calidad.</w:t>
            </w:r>
          </w:p>
        </w:tc>
      </w:tr>
      <w:tr w:rsidR="00ED4FC5">
        <w:trPr>
          <w:trHeight w:val="1080"/>
        </w:trPr>
        <w:tc>
          <w:tcPr>
            <w:tcW w:w="3015" w:type="dxa"/>
            <w:vAlign w:val="center"/>
          </w:tcPr>
          <w:p w:rsidR="00ED4FC5" w:rsidRDefault="00A62550" w:rsidP="006F593F">
            <w:pPr>
              <w:spacing w:line="276" w:lineRule="auto"/>
              <w:jc w:val="both"/>
              <w:rPr>
                <w:rFonts w:ascii="Arial" w:eastAsia="Arial" w:hAnsi="Arial" w:cs="Arial"/>
              </w:rPr>
            </w:pPr>
            <w:proofErr w:type="spellStart"/>
            <w:r>
              <w:rPr>
                <w:rFonts w:ascii="Arial" w:eastAsia="Arial" w:hAnsi="Arial" w:cs="Arial"/>
              </w:rPr>
              <w:t>Children</w:t>
            </w:r>
            <w:proofErr w:type="spellEnd"/>
            <w:r>
              <w:rPr>
                <w:rFonts w:ascii="Arial" w:eastAsia="Arial" w:hAnsi="Arial" w:cs="Arial"/>
              </w:rPr>
              <w:t xml:space="preserve"> </w:t>
            </w:r>
            <w:proofErr w:type="spellStart"/>
            <w:r>
              <w:rPr>
                <w:rFonts w:ascii="Arial" w:eastAsia="Arial" w:hAnsi="Arial" w:cs="Arial"/>
              </w:rPr>
              <w:t>on</w:t>
            </w:r>
            <w:proofErr w:type="spellEnd"/>
            <w:r>
              <w:rPr>
                <w:rFonts w:ascii="Arial" w:eastAsia="Arial" w:hAnsi="Arial" w:cs="Arial"/>
              </w:rPr>
              <w:t xml:space="preserve"> </w:t>
            </w:r>
            <w:proofErr w:type="spellStart"/>
            <w:r>
              <w:rPr>
                <w:rFonts w:ascii="Arial" w:eastAsia="Arial" w:hAnsi="Arial" w:cs="Arial"/>
              </w:rPr>
              <w:t>the</w:t>
            </w:r>
            <w:proofErr w:type="spellEnd"/>
            <w:r>
              <w:rPr>
                <w:rFonts w:ascii="Arial" w:eastAsia="Arial" w:hAnsi="Arial" w:cs="Arial"/>
              </w:rPr>
              <w:t xml:space="preserve"> </w:t>
            </w:r>
            <w:proofErr w:type="spellStart"/>
            <w:r>
              <w:rPr>
                <w:rFonts w:ascii="Arial" w:eastAsia="Arial" w:hAnsi="Arial" w:cs="Arial"/>
              </w:rPr>
              <w:t>Move</w:t>
            </w:r>
            <w:proofErr w:type="spellEnd"/>
          </w:p>
        </w:tc>
        <w:tc>
          <w:tcPr>
            <w:tcW w:w="10306" w:type="dxa"/>
          </w:tcPr>
          <w:p w:rsidR="00ED4FC5" w:rsidRDefault="00A62550" w:rsidP="006F593F">
            <w:pPr>
              <w:spacing w:line="276" w:lineRule="auto"/>
              <w:jc w:val="both"/>
              <w:rPr>
                <w:rFonts w:ascii="Arial" w:eastAsia="Arial" w:hAnsi="Arial" w:cs="Arial"/>
              </w:rPr>
            </w:pPr>
            <w:r>
              <w:rPr>
                <w:rFonts w:ascii="Arial" w:eastAsia="Arial" w:hAnsi="Arial" w:cs="Arial"/>
              </w:rPr>
              <w:t>Diseñó un curso en línea (MOOC) para que participen todos aquellos que trabajan en acogimiento alternativo y en la respuesta humanitaria, con el fin de abordar los vacíos en los conocimientos, habilidades y capacidades de trabajadores de primera línea, de voluntarios, de desarrolladores de políticas públicas y de otros que tengan una responsabilidad y el interés de proteger y promover un acogimiento apropiado para los niños y niñas no acompañados y separados en situación de migración. Este curso se llama “Cuidando de los niños y niñas que migran solos”</w:t>
            </w:r>
          </w:p>
        </w:tc>
      </w:tr>
      <w:tr w:rsidR="00ED4FC5">
        <w:trPr>
          <w:trHeight w:val="1080"/>
        </w:trPr>
        <w:tc>
          <w:tcPr>
            <w:tcW w:w="3015" w:type="dxa"/>
            <w:vAlign w:val="center"/>
          </w:tcPr>
          <w:p w:rsidR="00ED4FC5" w:rsidRDefault="00A62550" w:rsidP="006F593F">
            <w:pPr>
              <w:spacing w:line="276" w:lineRule="auto"/>
              <w:jc w:val="both"/>
              <w:rPr>
                <w:rFonts w:ascii="Arial" w:eastAsia="Arial" w:hAnsi="Arial" w:cs="Arial"/>
              </w:rPr>
            </w:pPr>
            <w:r>
              <w:rPr>
                <w:rFonts w:ascii="Arial" w:eastAsia="Arial" w:hAnsi="Arial" w:cs="Arial"/>
              </w:rPr>
              <w:lastRenderedPageBreak/>
              <w:t>Instituto Interamericano del Niño, la Niña y Adolescentes (IIN)</w:t>
            </w:r>
          </w:p>
        </w:tc>
        <w:tc>
          <w:tcPr>
            <w:tcW w:w="10306" w:type="dxa"/>
          </w:tcPr>
          <w:p w:rsidR="00ED4FC5" w:rsidRDefault="00A62550" w:rsidP="006F593F">
            <w:pPr>
              <w:spacing w:after="160" w:line="276" w:lineRule="auto"/>
              <w:jc w:val="both"/>
              <w:rPr>
                <w:rFonts w:ascii="Arial" w:eastAsia="Arial" w:hAnsi="Arial" w:cs="Arial"/>
              </w:rPr>
            </w:pPr>
            <w:r>
              <w:rPr>
                <w:rFonts w:ascii="Arial" w:eastAsia="Arial" w:hAnsi="Arial" w:cs="Arial"/>
              </w:rPr>
              <w:t>Con la finalidad de contribuir al fortalecimiento de capacidades técnicas y prácticas en torno al accionar protector del ejercicio de los derechos de niñas, niños y adolescentes, ha impartido los cursos en línea, en los que se han contemplado a personas servidoras públicas del país:</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“Explotación Sexual de niñas, niños y adolescentes”</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“Violencia y Derechos de niñas, niños y adolescentes… construyendo entornos de paz”</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“Derechos de la Niñez y Medios de Comunicación”</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“Introducción a los Derechos del Niño, la Niña y Adolescentes”</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“Promoción de la Participación de Niñas, Niños y Adolescentes en las Américas”</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“Planificación y Gestión de Políticas Públicas Integrales para</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la Primera Infancia con Perspectiva de Derechos”</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“Aspectos Civiles de la Sustracción Internacional de Niños,</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Niñas y Adolescentes (SINNA)”</w:t>
            </w:r>
            <w:r>
              <w:rPr>
                <w:rFonts w:ascii="Arial" w:eastAsia="Arial" w:hAnsi="Arial" w:cs="Arial"/>
              </w:rPr>
              <w:tab/>
            </w:r>
            <w:r>
              <w:rPr>
                <w:rFonts w:ascii="Arial" w:eastAsia="Arial" w:hAnsi="Arial" w:cs="Arial"/>
              </w:rPr>
              <w:tab/>
            </w:r>
          </w:p>
        </w:tc>
      </w:tr>
      <w:tr w:rsidR="00ED4FC5">
        <w:trPr>
          <w:trHeight w:val="1080"/>
        </w:trPr>
        <w:tc>
          <w:tcPr>
            <w:tcW w:w="3015" w:type="dxa"/>
            <w:vAlign w:val="center"/>
          </w:tcPr>
          <w:p w:rsidR="00ED4FC5" w:rsidRDefault="00A62550" w:rsidP="006F593F">
            <w:pPr>
              <w:spacing w:line="276" w:lineRule="auto"/>
              <w:jc w:val="both"/>
              <w:rPr>
                <w:rFonts w:ascii="Arial" w:eastAsia="Arial" w:hAnsi="Arial" w:cs="Arial"/>
              </w:rPr>
            </w:pPr>
            <w:proofErr w:type="spellStart"/>
            <w:r>
              <w:rPr>
                <w:rFonts w:ascii="Arial" w:eastAsia="Arial" w:hAnsi="Arial" w:cs="Arial"/>
              </w:rPr>
              <w:t>UnaDM</w:t>
            </w:r>
            <w:proofErr w:type="spellEnd"/>
            <w:r>
              <w:rPr>
                <w:rFonts w:ascii="Arial" w:eastAsia="Arial" w:hAnsi="Arial" w:cs="Arial"/>
              </w:rPr>
              <w:t>/</w:t>
            </w:r>
            <w:proofErr w:type="spellStart"/>
            <w:r>
              <w:rPr>
                <w:rFonts w:ascii="Arial" w:eastAsia="Arial" w:hAnsi="Arial" w:cs="Arial"/>
              </w:rPr>
              <w:t>Save</w:t>
            </w:r>
            <w:proofErr w:type="spellEnd"/>
            <w:r>
              <w:rPr>
                <w:rFonts w:ascii="Arial" w:eastAsia="Arial" w:hAnsi="Arial" w:cs="Arial"/>
              </w:rPr>
              <w:t xml:space="preserve"> </w:t>
            </w:r>
            <w:proofErr w:type="spellStart"/>
            <w:r>
              <w:rPr>
                <w:rFonts w:ascii="Arial" w:eastAsia="Arial" w:hAnsi="Arial" w:cs="Arial"/>
              </w:rPr>
              <w:t>the</w:t>
            </w:r>
            <w:proofErr w:type="spellEnd"/>
            <w:r>
              <w:rPr>
                <w:rFonts w:ascii="Arial" w:eastAsia="Arial" w:hAnsi="Arial" w:cs="Arial"/>
              </w:rPr>
              <w:t xml:space="preserve"> </w:t>
            </w:r>
            <w:proofErr w:type="spellStart"/>
            <w:r>
              <w:rPr>
                <w:rFonts w:ascii="Arial" w:eastAsia="Arial" w:hAnsi="Arial" w:cs="Arial"/>
              </w:rPr>
              <w:t>Children</w:t>
            </w:r>
            <w:proofErr w:type="spellEnd"/>
            <w:r>
              <w:rPr>
                <w:rFonts w:ascii="Arial" w:eastAsia="Arial" w:hAnsi="Arial" w:cs="Arial"/>
              </w:rPr>
              <w:t>/DIA/UNICEF/SIPINNA/CNDH/</w:t>
            </w:r>
            <w:proofErr w:type="spellStart"/>
            <w:r>
              <w:rPr>
                <w:rFonts w:ascii="Arial" w:eastAsia="Arial" w:hAnsi="Arial" w:cs="Arial"/>
              </w:rPr>
              <w:t>lnclusión</w:t>
            </w:r>
            <w:proofErr w:type="spellEnd"/>
            <w:r>
              <w:rPr>
                <w:rFonts w:ascii="Arial" w:eastAsia="Arial" w:hAnsi="Arial" w:cs="Arial"/>
              </w:rPr>
              <w:t xml:space="preserve"> Ciudadana</w:t>
            </w:r>
          </w:p>
        </w:tc>
        <w:tc>
          <w:tcPr>
            <w:tcW w:w="10306" w:type="dxa"/>
          </w:tcPr>
          <w:p w:rsidR="00ED4FC5" w:rsidRDefault="00A62550" w:rsidP="006F593F">
            <w:pPr>
              <w:spacing w:after="160" w:line="276" w:lineRule="auto"/>
              <w:jc w:val="both"/>
              <w:rPr>
                <w:rFonts w:ascii="Arial" w:eastAsia="Arial" w:hAnsi="Arial" w:cs="Arial"/>
              </w:rPr>
            </w:pPr>
            <w:r>
              <w:rPr>
                <w:rFonts w:ascii="Arial" w:eastAsia="Arial" w:hAnsi="Arial" w:cs="Arial"/>
              </w:rPr>
              <w:t>Derechos de la niñez y adolescencia con perspectiva de género.</w:t>
            </w:r>
          </w:p>
        </w:tc>
      </w:tr>
    </w:tbl>
    <w:p w:rsidR="006F593F" w:rsidRDefault="006F593F" w:rsidP="006F593F">
      <w:pPr>
        <w:spacing w:after="0" w:line="276" w:lineRule="auto"/>
        <w:jc w:val="both"/>
        <w:rPr>
          <w:rFonts w:ascii="Arial" w:eastAsia="Arial" w:hAnsi="Arial" w:cs="Arial"/>
        </w:rPr>
      </w:pPr>
    </w:p>
    <w:p w:rsidR="00ED4FC5" w:rsidRDefault="00A62550" w:rsidP="006F593F">
      <w:pPr>
        <w:spacing w:before="240" w:after="0" w:line="276" w:lineRule="auto"/>
        <w:ind w:left="566" w:hanging="708"/>
        <w:jc w:val="both"/>
        <w:rPr>
          <w:rFonts w:ascii="Arial" w:eastAsia="Arial" w:hAnsi="Arial" w:cs="Arial"/>
          <w:b/>
        </w:rPr>
      </w:pPr>
      <w:r>
        <w:rPr>
          <w:rFonts w:ascii="Arial" w:eastAsia="Arial" w:hAnsi="Arial" w:cs="Arial"/>
          <w:sz w:val="20"/>
          <w:szCs w:val="20"/>
        </w:rPr>
        <w:t>Tabla 4.</w:t>
      </w:r>
    </w:p>
    <w:tbl>
      <w:tblPr>
        <w:tblStyle w:val="afffe"/>
        <w:tblW w:w="133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15"/>
        <w:gridCol w:w="10306"/>
      </w:tblGrid>
      <w:tr w:rsidR="00ED4FC5" w:rsidTr="006F593F">
        <w:tc>
          <w:tcPr>
            <w:tcW w:w="3015" w:type="dxa"/>
            <w:shd w:val="clear" w:color="auto" w:fill="000000" w:themeFill="text1"/>
          </w:tcPr>
          <w:p w:rsidR="00ED4FC5" w:rsidRDefault="006F593F" w:rsidP="006F593F">
            <w:pPr>
              <w:spacing w:line="276" w:lineRule="auto"/>
              <w:jc w:val="center"/>
              <w:rPr>
                <w:rFonts w:ascii="Arial" w:eastAsia="Arial" w:hAnsi="Arial" w:cs="Arial"/>
                <w:b/>
                <w:color w:val="FFFFFF"/>
              </w:rPr>
            </w:pPr>
            <w:r>
              <w:rPr>
                <w:rFonts w:ascii="Arial" w:eastAsia="Arial" w:hAnsi="Arial" w:cs="Arial"/>
                <w:b/>
                <w:color w:val="FFFFFF"/>
              </w:rPr>
              <w:t>Academia</w:t>
            </w:r>
          </w:p>
        </w:tc>
        <w:tc>
          <w:tcPr>
            <w:tcW w:w="10306" w:type="dxa"/>
            <w:shd w:val="clear" w:color="auto" w:fill="000000" w:themeFill="text1"/>
          </w:tcPr>
          <w:p w:rsidR="00ED4FC5" w:rsidRDefault="00A62550" w:rsidP="006F593F">
            <w:pPr>
              <w:spacing w:line="276" w:lineRule="auto"/>
              <w:jc w:val="center"/>
              <w:rPr>
                <w:rFonts w:ascii="Arial" w:eastAsia="Arial" w:hAnsi="Arial" w:cs="Arial"/>
                <w:b/>
                <w:color w:val="FFFFFF"/>
              </w:rPr>
            </w:pPr>
            <w:r>
              <w:rPr>
                <w:rFonts w:ascii="Arial" w:eastAsia="Arial" w:hAnsi="Arial" w:cs="Arial"/>
                <w:b/>
                <w:color w:val="FFFFFF"/>
              </w:rPr>
              <w:t>CAPACITACIÓN Y DIFUSIÓN</w:t>
            </w:r>
          </w:p>
        </w:tc>
      </w:tr>
      <w:tr w:rsidR="006F593F">
        <w:tc>
          <w:tcPr>
            <w:tcW w:w="3015" w:type="dxa"/>
            <w:vAlign w:val="center"/>
          </w:tcPr>
          <w:p w:rsidR="006F593F" w:rsidRDefault="006F593F" w:rsidP="006F593F">
            <w:pPr>
              <w:spacing w:line="276" w:lineRule="auto"/>
              <w:jc w:val="both"/>
              <w:rPr>
                <w:rFonts w:ascii="Arial" w:eastAsia="Arial" w:hAnsi="Arial" w:cs="Arial"/>
              </w:rPr>
            </w:pPr>
            <w:r>
              <w:rPr>
                <w:rFonts w:ascii="Arial" w:eastAsia="Arial" w:hAnsi="Arial" w:cs="Arial"/>
              </w:rPr>
              <w:t>Universidad Nacional Autónoma de México (UNAM)</w:t>
            </w:r>
          </w:p>
        </w:tc>
        <w:tc>
          <w:tcPr>
            <w:tcW w:w="10306" w:type="dxa"/>
          </w:tcPr>
          <w:p w:rsidR="006F593F" w:rsidRDefault="006F593F" w:rsidP="00A309E2">
            <w:pPr>
              <w:spacing w:line="276" w:lineRule="auto"/>
              <w:jc w:val="both"/>
              <w:rPr>
                <w:rFonts w:ascii="Arial" w:eastAsia="Arial" w:hAnsi="Arial" w:cs="Arial"/>
              </w:rPr>
            </w:pPr>
            <w:r>
              <w:rPr>
                <w:rFonts w:ascii="Arial" w:eastAsia="Arial" w:hAnsi="Arial" w:cs="Arial"/>
              </w:rPr>
              <w:t>A través de la Coordinación de Universidad Abierta, Innovación Educativa y Educación a Distancia (CUAIEED), desarrolló la plataforma Aprendo+ que ofrece diversidad de cursos para todo público. Algunos de ellos se enfocan en temas de niñez y adolescencia, como:</w:t>
            </w:r>
          </w:p>
          <w:p w:rsidR="006F593F" w:rsidRDefault="006F593F" w:rsidP="00A309E2">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Crianza positiva en el hogar</w:t>
            </w:r>
          </w:p>
          <w:p w:rsidR="006F593F" w:rsidRDefault="006F593F"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La transformación es tarea de todas y todos, ¿quién dijo yo? Niñas, niños y adolescentes a participar</w:t>
            </w:r>
          </w:p>
          <w:p w:rsidR="006F593F" w:rsidRDefault="006F593F"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 xml:space="preserve">La letra con </w:t>
            </w:r>
            <w:proofErr w:type="spellStart"/>
            <w:r>
              <w:rPr>
                <w:rFonts w:ascii="Arial" w:eastAsia="Arial" w:hAnsi="Arial" w:cs="Arial"/>
              </w:rPr>
              <w:t>noviolencia</w:t>
            </w:r>
            <w:proofErr w:type="spellEnd"/>
            <w:r>
              <w:rPr>
                <w:rFonts w:ascii="Arial" w:eastAsia="Arial" w:hAnsi="Arial" w:cs="Arial"/>
              </w:rPr>
              <w:t xml:space="preserve"> juega</w:t>
            </w:r>
            <w:r>
              <w:rPr>
                <w:rFonts w:ascii="Arial" w:eastAsia="Arial" w:hAnsi="Arial" w:cs="Arial"/>
              </w:rPr>
              <w:tab/>
            </w:r>
          </w:p>
          <w:p w:rsidR="006F593F" w:rsidRDefault="006F593F" w:rsidP="006F593F">
            <w:pPr>
              <w:pBdr>
                <w:top w:val="nil"/>
                <w:left w:val="nil"/>
                <w:bottom w:val="nil"/>
                <w:right w:val="nil"/>
                <w:between w:val="nil"/>
              </w:pBdr>
              <w:spacing w:line="276" w:lineRule="auto"/>
              <w:jc w:val="both"/>
              <w:rPr>
                <w:rFonts w:ascii="Arial" w:eastAsia="Arial" w:hAnsi="Arial" w:cs="Arial"/>
              </w:rPr>
            </w:pPr>
          </w:p>
          <w:p w:rsidR="006F593F" w:rsidRDefault="006F593F" w:rsidP="006F593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lastRenderedPageBreak/>
              <w:t>Facultad de Derecho:</w:t>
            </w:r>
          </w:p>
          <w:p w:rsidR="006F593F" w:rsidRDefault="006F593F"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Maestría y Doctorado en Derecho</w:t>
            </w:r>
          </w:p>
          <w:p w:rsidR="006F593F" w:rsidRDefault="006F593F" w:rsidP="006F593F">
            <w:pPr>
              <w:pBdr>
                <w:top w:val="nil"/>
                <w:left w:val="nil"/>
                <w:bottom w:val="nil"/>
                <w:right w:val="nil"/>
                <w:between w:val="nil"/>
              </w:pBdr>
              <w:spacing w:line="276" w:lineRule="auto"/>
              <w:ind w:left="720"/>
              <w:jc w:val="both"/>
              <w:rPr>
                <w:rFonts w:ascii="Arial" w:eastAsia="Arial" w:hAnsi="Arial" w:cs="Arial"/>
              </w:rPr>
            </w:pPr>
            <w:r>
              <w:rPr>
                <w:rFonts w:ascii="Arial" w:eastAsia="Arial" w:hAnsi="Arial" w:cs="Arial"/>
              </w:rPr>
              <w:t>Público en general, organizaciones de sociedad civil, servidores públicos con licenciatura</w:t>
            </w:r>
          </w:p>
          <w:p w:rsidR="006F593F" w:rsidRDefault="006F593F" w:rsidP="006F593F">
            <w:pPr>
              <w:pBdr>
                <w:top w:val="nil"/>
                <w:left w:val="nil"/>
                <w:bottom w:val="nil"/>
                <w:right w:val="nil"/>
                <w:between w:val="nil"/>
              </w:pBdr>
              <w:spacing w:line="276" w:lineRule="auto"/>
              <w:jc w:val="both"/>
              <w:rPr>
                <w:rFonts w:ascii="Arial" w:eastAsia="Arial" w:hAnsi="Arial" w:cs="Arial"/>
              </w:rPr>
            </w:pPr>
          </w:p>
          <w:p w:rsidR="006F593F" w:rsidRDefault="006F593F" w:rsidP="006F593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Facultad de Estudios Superiores, Aragón:</w:t>
            </w:r>
          </w:p>
          <w:p w:rsidR="006F593F" w:rsidRDefault="006F593F"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Derechos Humanos: su portabilidad en diversas instituciones familiares</w:t>
            </w:r>
          </w:p>
          <w:p w:rsidR="006F593F" w:rsidRDefault="006F593F" w:rsidP="006F593F">
            <w:pPr>
              <w:pBdr>
                <w:top w:val="nil"/>
                <w:left w:val="nil"/>
                <w:bottom w:val="nil"/>
                <w:right w:val="nil"/>
                <w:between w:val="nil"/>
              </w:pBdr>
              <w:spacing w:line="276" w:lineRule="auto"/>
              <w:ind w:left="720"/>
              <w:jc w:val="both"/>
              <w:rPr>
                <w:rFonts w:ascii="Arial" w:eastAsia="Arial" w:hAnsi="Arial" w:cs="Arial"/>
              </w:rPr>
            </w:pPr>
            <w:r>
              <w:rPr>
                <w:rFonts w:ascii="Arial" w:eastAsia="Arial" w:hAnsi="Arial" w:cs="Arial"/>
              </w:rPr>
              <w:t xml:space="preserve">Comunidad universitaria y público en general </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p>
          <w:p w:rsidR="006F593F" w:rsidRDefault="006F593F" w:rsidP="006F593F">
            <w:pPr>
              <w:pBdr>
                <w:top w:val="nil"/>
                <w:left w:val="nil"/>
                <w:bottom w:val="nil"/>
                <w:right w:val="nil"/>
                <w:between w:val="nil"/>
              </w:pBdr>
              <w:spacing w:line="276" w:lineRule="auto"/>
              <w:jc w:val="both"/>
              <w:rPr>
                <w:rFonts w:ascii="Arial" w:eastAsia="Arial" w:hAnsi="Arial" w:cs="Arial"/>
              </w:rPr>
            </w:pPr>
          </w:p>
          <w:p w:rsidR="006F593F" w:rsidRDefault="006F593F" w:rsidP="006F593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Instituto de Investigaciones Jurídicas de la UNAM:</w:t>
            </w:r>
          </w:p>
          <w:p w:rsidR="006F593F" w:rsidRDefault="006F593F"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Diplomado sobre el Derecho a la No Discriminación</w:t>
            </w:r>
          </w:p>
          <w:p w:rsidR="006F593F" w:rsidRDefault="006F593F"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Diplomado en Migración y Derechos Humanos</w:t>
            </w:r>
          </w:p>
          <w:p w:rsidR="006F593F" w:rsidRDefault="006F593F"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Diplomado sobre Violencia Familiar y Derechos Humanos</w:t>
            </w:r>
          </w:p>
          <w:p w:rsidR="006F593F" w:rsidRDefault="006F593F"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Línea de investigación Promoción y Protección de los Derechos de la Infancia</w:t>
            </w:r>
          </w:p>
        </w:tc>
      </w:tr>
      <w:tr w:rsidR="006F593F">
        <w:tc>
          <w:tcPr>
            <w:tcW w:w="3015" w:type="dxa"/>
            <w:vAlign w:val="center"/>
          </w:tcPr>
          <w:p w:rsidR="006F593F" w:rsidRDefault="006F593F" w:rsidP="006F593F">
            <w:pPr>
              <w:spacing w:line="276" w:lineRule="auto"/>
              <w:jc w:val="both"/>
              <w:rPr>
                <w:rFonts w:ascii="Arial" w:eastAsia="Arial" w:hAnsi="Arial" w:cs="Arial"/>
              </w:rPr>
            </w:pPr>
            <w:r>
              <w:rPr>
                <w:rFonts w:ascii="Arial" w:eastAsia="Arial" w:hAnsi="Arial" w:cs="Arial"/>
              </w:rPr>
              <w:lastRenderedPageBreak/>
              <w:t>Universidad Autónoma del Estado de México</w:t>
            </w:r>
          </w:p>
        </w:tc>
        <w:tc>
          <w:tcPr>
            <w:tcW w:w="10306" w:type="dxa"/>
          </w:tcPr>
          <w:p w:rsidR="006F593F" w:rsidRDefault="006F593F" w:rsidP="00A309E2">
            <w:pPr>
              <w:spacing w:line="276" w:lineRule="auto"/>
              <w:jc w:val="both"/>
              <w:rPr>
                <w:rFonts w:ascii="Arial" w:eastAsia="Arial" w:hAnsi="Arial" w:cs="Arial"/>
              </w:rPr>
            </w:pPr>
            <w:r>
              <w:rPr>
                <w:rFonts w:ascii="Arial" w:eastAsia="Arial" w:hAnsi="Arial" w:cs="Arial"/>
              </w:rPr>
              <w:t>Maestría en Derecho:</w:t>
            </w:r>
          </w:p>
          <w:p w:rsidR="006F593F" w:rsidRDefault="006F593F" w:rsidP="00A309E2">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Eje transversal sobre derechos humanos en cada semestre, cuenta específicamente con una materia nombrada “El sistema interamericano y los derechos de los niños y adolescentes”.</w:t>
            </w:r>
          </w:p>
          <w:p w:rsidR="006F593F" w:rsidRDefault="006F593F"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Dirigido a público en general, organizaciones de sociedad civil, personas servidoras públicas con licenciatura</w:t>
            </w:r>
          </w:p>
        </w:tc>
      </w:tr>
      <w:tr w:rsidR="006F593F">
        <w:tc>
          <w:tcPr>
            <w:tcW w:w="3015" w:type="dxa"/>
            <w:vAlign w:val="center"/>
          </w:tcPr>
          <w:p w:rsidR="006F593F" w:rsidRDefault="006F593F" w:rsidP="006F593F">
            <w:pPr>
              <w:spacing w:line="276" w:lineRule="auto"/>
              <w:jc w:val="both"/>
              <w:rPr>
                <w:rFonts w:ascii="Arial" w:eastAsia="Arial" w:hAnsi="Arial" w:cs="Arial"/>
              </w:rPr>
            </w:pPr>
            <w:r>
              <w:rPr>
                <w:rFonts w:ascii="Arial" w:eastAsia="Arial" w:hAnsi="Arial" w:cs="Arial"/>
              </w:rPr>
              <w:t>Universidad Autónoma de la Ciudad de México (UACM)</w:t>
            </w:r>
          </w:p>
        </w:tc>
        <w:tc>
          <w:tcPr>
            <w:tcW w:w="10306" w:type="dxa"/>
          </w:tcPr>
          <w:p w:rsidR="006F593F" w:rsidRDefault="006F593F" w:rsidP="006F593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Maestría en Promoción y Defensa de los Derechos Humanos:</w:t>
            </w:r>
          </w:p>
          <w:p w:rsidR="006F593F" w:rsidRPr="00A309E2" w:rsidRDefault="006F593F"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Público en general, organizaciones de sociedad civil, servidores públicos con licenciatura</w:t>
            </w:r>
          </w:p>
          <w:p w:rsidR="006F593F" w:rsidRDefault="006F593F" w:rsidP="006F593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Posgrado en Derechos Humanos.</w:t>
            </w:r>
          </w:p>
        </w:tc>
      </w:tr>
      <w:tr w:rsidR="006F593F">
        <w:tc>
          <w:tcPr>
            <w:tcW w:w="3015" w:type="dxa"/>
            <w:vAlign w:val="center"/>
          </w:tcPr>
          <w:p w:rsidR="006F593F" w:rsidRDefault="006F593F" w:rsidP="006F593F">
            <w:pPr>
              <w:spacing w:line="276" w:lineRule="auto"/>
              <w:jc w:val="both"/>
              <w:rPr>
                <w:rFonts w:ascii="Arial" w:eastAsia="Arial" w:hAnsi="Arial" w:cs="Arial"/>
              </w:rPr>
            </w:pPr>
            <w:r>
              <w:rPr>
                <w:rFonts w:ascii="Arial" w:eastAsia="Arial" w:hAnsi="Arial" w:cs="Arial"/>
              </w:rPr>
              <w:t>Universidad Autónoma de Ciudad Juárez</w:t>
            </w:r>
          </w:p>
        </w:tc>
        <w:tc>
          <w:tcPr>
            <w:tcW w:w="10306" w:type="dxa"/>
          </w:tcPr>
          <w:p w:rsidR="006F593F" w:rsidRDefault="006F593F" w:rsidP="006F593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Maestría en Derechos Humanos (Juárez, Chihuahua)</w:t>
            </w:r>
          </w:p>
          <w:p w:rsidR="006F593F" w:rsidRDefault="006F593F"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Público en general, organizaciones de sociedad civil, servidores públicos con licenciatura</w:t>
            </w:r>
          </w:p>
        </w:tc>
      </w:tr>
      <w:tr w:rsidR="006F593F">
        <w:tc>
          <w:tcPr>
            <w:tcW w:w="3015" w:type="dxa"/>
            <w:vAlign w:val="center"/>
          </w:tcPr>
          <w:p w:rsidR="006F593F" w:rsidRDefault="006F593F" w:rsidP="006F593F">
            <w:pPr>
              <w:spacing w:line="276" w:lineRule="auto"/>
              <w:jc w:val="both"/>
              <w:rPr>
                <w:rFonts w:ascii="Arial" w:eastAsia="Arial" w:hAnsi="Arial" w:cs="Arial"/>
              </w:rPr>
            </w:pPr>
            <w:r>
              <w:rPr>
                <w:rFonts w:ascii="Arial" w:eastAsia="Arial" w:hAnsi="Arial" w:cs="Arial"/>
              </w:rPr>
              <w:t>Universidad Autónoma de Yucatán</w:t>
            </w:r>
          </w:p>
        </w:tc>
        <w:tc>
          <w:tcPr>
            <w:tcW w:w="10306" w:type="dxa"/>
          </w:tcPr>
          <w:p w:rsidR="006F593F" w:rsidRDefault="006F593F" w:rsidP="006F593F">
            <w:pPr>
              <w:spacing w:after="160" w:line="276" w:lineRule="auto"/>
              <w:jc w:val="both"/>
              <w:rPr>
                <w:rFonts w:ascii="Arial" w:eastAsia="Arial" w:hAnsi="Arial" w:cs="Arial"/>
              </w:rPr>
            </w:pPr>
            <w:r>
              <w:rPr>
                <w:rFonts w:ascii="Arial" w:eastAsia="Arial" w:hAnsi="Arial" w:cs="Arial"/>
              </w:rPr>
              <w:t>Diplomado en Derechos Humanos y Políticas Públicas</w:t>
            </w:r>
          </w:p>
        </w:tc>
      </w:tr>
      <w:tr w:rsidR="006F593F">
        <w:tc>
          <w:tcPr>
            <w:tcW w:w="3015" w:type="dxa"/>
            <w:vAlign w:val="center"/>
          </w:tcPr>
          <w:p w:rsidR="006F593F" w:rsidRDefault="006F593F" w:rsidP="006F593F">
            <w:pPr>
              <w:spacing w:line="276" w:lineRule="auto"/>
              <w:jc w:val="both"/>
              <w:rPr>
                <w:rFonts w:ascii="Arial" w:eastAsia="Arial" w:hAnsi="Arial" w:cs="Arial"/>
              </w:rPr>
            </w:pPr>
            <w:r>
              <w:rPr>
                <w:rFonts w:ascii="Arial" w:eastAsia="Arial" w:hAnsi="Arial" w:cs="Arial"/>
              </w:rPr>
              <w:t>UAM Azcapotzalco</w:t>
            </w:r>
          </w:p>
        </w:tc>
        <w:tc>
          <w:tcPr>
            <w:tcW w:w="10306" w:type="dxa"/>
          </w:tcPr>
          <w:p w:rsidR="006F593F" w:rsidRDefault="006F593F" w:rsidP="006F593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Maestría en Derechos Humanos. En la malla curricular se identifica la materia: Jóvenes en conflicto con la Ley Penal como la única referencia al tema de derechos de la infancia.</w:t>
            </w:r>
          </w:p>
          <w:p w:rsidR="006F593F" w:rsidRDefault="006F593F"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Público en general, organizaciones de sociedad civil, personas servidoras públicas</w:t>
            </w:r>
          </w:p>
        </w:tc>
      </w:tr>
      <w:tr w:rsidR="00ED4FC5">
        <w:tc>
          <w:tcPr>
            <w:tcW w:w="3015" w:type="dxa"/>
            <w:vAlign w:val="center"/>
          </w:tcPr>
          <w:p w:rsidR="00ED4FC5" w:rsidRDefault="00A62550" w:rsidP="006F593F">
            <w:pPr>
              <w:spacing w:line="276" w:lineRule="auto"/>
              <w:jc w:val="both"/>
              <w:rPr>
                <w:rFonts w:ascii="Arial" w:eastAsia="Arial" w:hAnsi="Arial" w:cs="Arial"/>
              </w:rPr>
            </w:pPr>
            <w:r>
              <w:rPr>
                <w:rFonts w:ascii="Arial" w:eastAsia="Arial" w:hAnsi="Arial" w:cs="Arial"/>
              </w:rPr>
              <w:lastRenderedPageBreak/>
              <w:t>Instituto Tecnológico Autónomo de México (ITAM)</w:t>
            </w:r>
          </w:p>
        </w:tc>
        <w:tc>
          <w:tcPr>
            <w:tcW w:w="10306" w:type="dxa"/>
          </w:tcPr>
          <w:p w:rsidR="00ED4FC5" w:rsidRDefault="00A62550" w:rsidP="006F593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Maestría en Derechos Humanos y Garantías:</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Público en general, organizaciones de sociedad civil, personas servidoras públicas</w:t>
            </w:r>
          </w:p>
        </w:tc>
      </w:tr>
      <w:tr w:rsidR="00ED4FC5">
        <w:trPr>
          <w:trHeight w:val="690"/>
        </w:trPr>
        <w:tc>
          <w:tcPr>
            <w:tcW w:w="3015" w:type="dxa"/>
            <w:vAlign w:val="center"/>
          </w:tcPr>
          <w:p w:rsidR="00ED4FC5" w:rsidRDefault="00A62550" w:rsidP="006F593F">
            <w:pPr>
              <w:spacing w:line="276" w:lineRule="auto"/>
              <w:jc w:val="both"/>
              <w:rPr>
                <w:rFonts w:ascii="Arial" w:eastAsia="Arial" w:hAnsi="Arial" w:cs="Arial"/>
              </w:rPr>
            </w:pPr>
            <w:r>
              <w:rPr>
                <w:rFonts w:ascii="Arial" w:eastAsia="Arial" w:hAnsi="Arial" w:cs="Arial"/>
              </w:rPr>
              <w:t xml:space="preserve">Universidad del Claustro de Sor Juana </w:t>
            </w:r>
          </w:p>
        </w:tc>
        <w:tc>
          <w:tcPr>
            <w:tcW w:w="10306" w:type="dxa"/>
          </w:tcPr>
          <w:p w:rsidR="00ED4FC5" w:rsidRDefault="00A62550" w:rsidP="006F593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Licenciatura en Derechos Humanos y Gestión de Paz (Cuauhtémoc, Ciudad de México - DF)</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Postulantes para cursar licenciatura</w:t>
            </w:r>
          </w:p>
        </w:tc>
      </w:tr>
      <w:tr w:rsidR="00ED4FC5">
        <w:trPr>
          <w:trHeight w:val="690"/>
        </w:trPr>
        <w:tc>
          <w:tcPr>
            <w:tcW w:w="3015" w:type="dxa"/>
            <w:vAlign w:val="center"/>
          </w:tcPr>
          <w:p w:rsidR="00ED4FC5" w:rsidRDefault="00A62550" w:rsidP="006F593F">
            <w:pPr>
              <w:spacing w:line="276" w:lineRule="auto"/>
              <w:jc w:val="both"/>
              <w:rPr>
                <w:rFonts w:ascii="Arial" w:eastAsia="Arial" w:hAnsi="Arial" w:cs="Arial"/>
              </w:rPr>
            </w:pPr>
            <w:r>
              <w:rPr>
                <w:rFonts w:ascii="Arial" w:eastAsia="Arial" w:hAnsi="Arial" w:cs="Arial"/>
              </w:rPr>
              <w:t>Universidad del Valle de México</w:t>
            </w:r>
          </w:p>
        </w:tc>
        <w:tc>
          <w:tcPr>
            <w:tcW w:w="10306" w:type="dxa"/>
          </w:tcPr>
          <w:p w:rsidR="00ED4FC5" w:rsidRDefault="00A62550" w:rsidP="006F593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Maestría en Derecho Constitucional, Derechos Humanos y Amparo</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Público en general, organizaciones de sociedad civil, personas servidoras públicas</w:t>
            </w:r>
          </w:p>
        </w:tc>
      </w:tr>
      <w:tr w:rsidR="00ED4FC5">
        <w:trPr>
          <w:trHeight w:val="690"/>
        </w:trPr>
        <w:tc>
          <w:tcPr>
            <w:tcW w:w="3015" w:type="dxa"/>
            <w:vAlign w:val="center"/>
          </w:tcPr>
          <w:p w:rsidR="00ED4FC5" w:rsidRDefault="00A62550" w:rsidP="006F593F">
            <w:pPr>
              <w:spacing w:line="276" w:lineRule="auto"/>
              <w:jc w:val="both"/>
              <w:rPr>
                <w:rFonts w:ascii="Arial" w:eastAsia="Arial" w:hAnsi="Arial" w:cs="Arial"/>
              </w:rPr>
            </w:pPr>
            <w:r>
              <w:rPr>
                <w:rFonts w:ascii="Arial" w:eastAsia="Arial" w:hAnsi="Arial" w:cs="Arial"/>
              </w:rPr>
              <w:t>Universidad Iberoamericana (UIA).</w:t>
            </w:r>
          </w:p>
        </w:tc>
        <w:tc>
          <w:tcPr>
            <w:tcW w:w="10306" w:type="dxa"/>
          </w:tcPr>
          <w:p w:rsidR="00ED4FC5" w:rsidRDefault="00A62550" w:rsidP="006F593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Maestría en Derechos Humanos. Recientemente firmó un convenio con la Fiscalía General de la República (FGR)</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Público en general, organizaciones de sociedad civil, personas servidoras públicas</w:t>
            </w:r>
          </w:p>
          <w:p w:rsidR="00ED4FC5" w:rsidRDefault="00ED4FC5" w:rsidP="006F593F">
            <w:pPr>
              <w:pBdr>
                <w:top w:val="nil"/>
                <w:left w:val="nil"/>
                <w:bottom w:val="nil"/>
                <w:right w:val="nil"/>
                <w:between w:val="nil"/>
              </w:pBdr>
              <w:spacing w:line="276" w:lineRule="auto"/>
              <w:jc w:val="both"/>
              <w:rPr>
                <w:rFonts w:ascii="Arial" w:eastAsia="Arial" w:hAnsi="Arial" w:cs="Arial"/>
              </w:rPr>
            </w:pPr>
            <w:bookmarkStart w:id="0" w:name="_GoBack"/>
            <w:bookmarkEnd w:id="0"/>
          </w:p>
          <w:p w:rsidR="00ED4FC5" w:rsidRDefault="00A62550" w:rsidP="006F593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 xml:space="preserve">Diplomado en Derechos de los Niños, Niñas y Adolescentes y Políticas Públicas </w:t>
            </w:r>
            <w:proofErr w:type="gramStart"/>
            <w:r>
              <w:rPr>
                <w:rFonts w:ascii="Arial" w:eastAsia="Arial" w:hAnsi="Arial" w:cs="Arial"/>
              </w:rPr>
              <w:t>conjuntamente con</w:t>
            </w:r>
            <w:proofErr w:type="gramEnd"/>
            <w:r>
              <w:rPr>
                <w:rFonts w:ascii="Arial" w:eastAsia="Arial" w:hAnsi="Arial" w:cs="Arial"/>
              </w:rPr>
              <w:t xml:space="preserve"> el Museo de Memoria y Tolerancia.</w:t>
            </w:r>
          </w:p>
        </w:tc>
      </w:tr>
      <w:tr w:rsidR="00ED4FC5">
        <w:trPr>
          <w:trHeight w:val="630"/>
        </w:trPr>
        <w:tc>
          <w:tcPr>
            <w:tcW w:w="3015" w:type="dxa"/>
            <w:vAlign w:val="center"/>
          </w:tcPr>
          <w:p w:rsidR="00ED4FC5" w:rsidRDefault="00A62550" w:rsidP="006F593F">
            <w:pPr>
              <w:spacing w:line="276" w:lineRule="auto"/>
              <w:jc w:val="both"/>
              <w:rPr>
                <w:rFonts w:ascii="Arial" w:eastAsia="Arial" w:hAnsi="Arial" w:cs="Arial"/>
              </w:rPr>
            </w:pPr>
            <w:r>
              <w:rPr>
                <w:rFonts w:ascii="Arial" w:eastAsia="Arial" w:hAnsi="Arial" w:cs="Arial"/>
              </w:rPr>
              <w:t>Universidad Iberoamericana Puebla</w:t>
            </w:r>
          </w:p>
        </w:tc>
        <w:tc>
          <w:tcPr>
            <w:tcW w:w="10306" w:type="dxa"/>
          </w:tcPr>
          <w:p w:rsidR="00ED4FC5" w:rsidRDefault="00A62550" w:rsidP="006F593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Maestría en Derechos Humanos (Puebla de Zaragoza, Puebla)</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Público en general, organizaciones de sociedad civil, personas servidoras públicas</w:t>
            </w:r>
          </w:p>
        </w:tc>
      </w:tr>
      <w:tr w:rsidR="00ED4FC5">
        <w:trPr>
          <w:trHeight w:val="690"/>
        </w:trPr>
        <w:tc>
          <w:tcPr>
            <w:tcW w:w="3015" w:type="dxa"/>
            <w:vAlign w:val="center"/>
          </w:tcPr>
          <w:p w:rsidR="00ED4FC5" w:rsidRDefault="00A62550" w:rsidP="006F593F">
            <w:pPr>
              <w:spacing w:line="276" w:lineRule="auto"/>
              <w:jc w:val="both"/>
              <w:rPr>
                <w:rFonts w:ascii="Arial" w:eastAsia="Arial" w:hAnsi="Arial" w:cs="Arial"/>
              </w:rPr>
            </w:pPr>
            <w:r>
              <w:rPr>
                <w:rFonts w:ascii="Arial" w:eastAsia="Arial" w:hAnsi="Arial" w:cs="Arial"/>
              </w:rPr>
              <w:t>Universidad Panamericana (</w:t>
            </w:r>
            <w:proofErr w:type="gramStart"/>
            <w:r>
              <w:rPr>
                <w:rFonts w:ascii="Arial" w:eastAsia="Arial" w:hAnsi="Arial" w:cs="Arial"/>
              </w:rPr>
              <w:t>UP)  (</w:t>
            </w:r>
            <w:proofErr w:type="gramEnd"/>
            <w:r>
              <w:rPr>
                <w:rFonts w:ascii="Arial" w:eastAsia="Arial" w:hAnsi="Arial" w:cs="Arial"/>
              </w:rPr>
              <w:t>Aguascalientes, Guadalajara y Ciudad de México).</w:t>
            </w:r>
          </w:p>
        </w:tc>
        <w:tc>
          <w:tcPr>
            <w:tcW w:w="10306" w:type="dxa"/>
          </w:tcPr>
          <w:p w:rsidR="00ED4FC5" w:rsidRDefault="00A62550" w:rsidP="006F593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Licenciatura y posgrados de la Facultad de Derecho</w:t>
            </w:r>
          </w:p>
          <w:p w:rsidR="00ED4FC5" w:rsidRDefault="00A62550" w:rsidP="006F593F">
            <w:pPr>
              <w:numPr>
                <w:ilvl w:val="0"/>
                <w:numId w:val="5"/>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Postulantes jóvenes para cursar licenciatura</w:t>
            </w:r>
          </w:p>
        </w:tc>
      </w:tr>
    </w:tbl>
    <w:p w:rsidR="00ED4FC5" w:rsidRDefault="00ED4FC5" w:rsidP="006F593F">
      <w:pPr>
        <w:spacing w:after="0" w:line="276" w:lineRule="auto"/>
        <w:jc w:val="both"/>
        <w:rPr>
          <w:rFonts w:ascii="Arial" w:eastAsia="Arial" w:hAnsi="Arial" w:cs="Arial"/>
        </w:rPr>
      </w:pPr>
      <w:bookmarkStart w:id="1" w:name="_heading=h.3znysh7" w:colFirst="0" w:colLast="0"/>
      <w:bookmarkEnd w:id="1"/>
    </w:p>
    <w:sectPr w:rsidR="00ED4FC5" w:rsidSect="009306E9">
      <w:headerReference w:type="default" r:id="rId8"/>
      <w:footerReference w:type="even" r:id="rId9"/>
      <w:footerReference w:type="default" r:id="rId10"/>
      <w:pgSz w:w="15840" w:h="12240" w:orient="landscape"/>
      <w:pgMar w:top="1984" w:right="247" w:bottom="1701"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08EB" w:rsidRDefault="008208EB">
      <w:pPr>
        <w:spacing w:after="0" w:line="240" w:lineRule="auto"/>
      </w:pPr>
      <w:r>
        <w:separator/>
      </w:r>
    </w:p>
  </w:endnote>
  <w:endnote w:type="continuationSeparator" w:id="0">
    <w:p w:rsidR="008208EB" w:rsidRDefault="008208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20002A87" w:usb1="00000000" w:usb2="00000000"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ontserrat">
    <w:panose1 w:val="00000500000000000000"/>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4FC5" w:rsidRDefault="00A62550">
    <w:pPr>
      <w:pBdr>
        <w:top w:val="nil"/>
        <w:left w:val="nil"/>
        <w:bottom w:val="nil"/>
        <w:right w:val="nil"/>
        <w:between w:val="nil"/>
      </w:pBdr>
      <w:tabs>
        <w:tab w:val="center" w:pos="4419"/>
        <w:tab w:val="right" w:pos="8838"/>
      </w:tabs>
      <w:spacing w:after="0" w:line="240" w:lineRule="auto"/>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end"/>
    </w:r>
  </w:p>
  <w:p w:rsidR="00ED4FC5" w:rsidRDefault="00ED4FC5">
    <w:pPr>
      <w:pBdr>
        <w:top w:val="nil"/>
        <w:left w:val="nil"/>
        <w:bottom w:val="nil"/>
        <w:right w:val="nil"/>
        <w:between w:val="nil"/>
      </w:pBdr>
      <w:tabs>
        <w:tab w:val="center" w:pos="4419"/>
        <w:tab w:val="right" w:pos="8838"/>
      </w:tabs>
      <w:spacing w:after="0" w:line="240" w:lineRule="auto"/>
      <w:jc w:val="center"/>
      <w:rPr>
        <w:color w:val="000000"/>
        <w:sz w:val="24"/>
        <w:szCs w:val="24"/>
      </w:rPr>
    </w:pPr>
  </w:p>
  <w:p w:rsidR="00ED4FC5" w:rsidRDefault="00ED4FC5">
    <w:pPr>
      <w:pBdr>
        <w:top w:val="nil"/>
        <w:left w:val="nil"/>
        <w:bottom w:val="nil"/>
        <w:right w:val="nil"/>
        <w:between w:val="nil"/>
      </w:pBdr>
      <w:tabs>
        <w:tab w:val="center" w:pos="4419"/>
        <w:tab w:val="right" w:pos="8838"/>
      </w:tabs>
      <w:spacing w:after="0" w:line="240" w:lineRule="auto"/>
      <w:rPr>
        <w:color w:val="000000"/>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4FC5" w:rsidRDefault="00A62550">
    <w:pPr>
      <w:pBdr>
        <w:top w:val="nil"/>
        <w:left w:val="nil"/>
        <w:bottom w:val="nil"/>
        <w:right w:val="nil"/>
        <w:between w:val="nil"/>
      </w:pBdr>
      <w:tabs>
        <w:tab w:val="center" w:pos="4419"/>
        <w:tab w:val="right" w:pos="8838"/>
      </w:tabs>
      <w:spacing w:after="0" w:line="240" w:lineRule="auto"/>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sidR="009306E9">
      <w:rPr>
        <w:noProof/>
        <w:color w:val="000000"/>
        <w:sz w:val="24"/>
        <w:szCs w:val="24"/>
      </w:rPr>
      <w:t>1</w:t>
    </w:r>
    <w:r>
      <w:rPr>
        <w:color w:val="000000"/>
        <w:sz w:val="24"/>
        <w:szCs w:val="24"/>
      </w:rPr>
      <w:fldChar w:fldCharType="end"/>
    </w:r>
  </w:p>
  <w:p w:rsidR="00ED4FC5" w:rsidRDefault="00ED4FC5">
    <w:pPr>
      <w:pBdr>
        <w:top w:val="nil"/>
        <w:left w:val="nil"/>
        <w:bottom w:val="nil"/>
        <w:right w:val="nil"/>
        <w:between w:val="nil"/>
      </w:pBdr>
      <w:tabs>
        <w:tab w:val="center" w:pos="4419"/>
        <w:tab w:val="right" w:pos="8838"/>
      </w:tabs>
      <w:spacing w:after="0" w:line="240" w:lineRule="auto"/>
      <w:jc w:val="right"/>
      <w:rPr>
        <w:color w:val="000000"/>
        <w:sz w:val="24"/>
        <w:szCs w:val="24"/>
      </w:rPr>
    </w:pPr>
  </w:p>
  <w:p w:rsidR="00ED4FC5" w:rsidRDefault="00ED4FC5">
    <w:pPr>
      <w:pBdr>
        <w:top w:val="nil"/>
        <w:left w:val="nil"/>
        <w:bottom w:val="nil"/>
        <w:right w:val="nil"/>
        <w:between w:val="nil"/>
      </w:pBdr>
      <w:tabs>
        <w:tab w:val="center" w:pos="4419"/>
        <w:tab w:val="right" w:pos="8838"/>
      </w:tabs>
      <w:spacing w:after="0" w:line="240" w:lineRule="auto"/>
      <w:rPr>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08EB" w:rsidRDefault="008208EB">
      <w:pPr>
        <w:spacing w:after="0" w:line="240" w:lineRule="auto"/>
      </w:pPr>
      <w:r>
        <w:separator/>
      </w:r>
    </w:p>
  </w:footnote>
  <w:footnote w:type="continuationSeparator" w:id="0">
    <w:p w:rsidR="008208EB" w:rsidRDefault="008208EB">
      <w:pPr>
        <w:spacing w:after="0" w:line="240" w:lineRule="auto"/>
      </w:pPr>
      <w:r>
        <w:continuationSeparator/>
      </w:r>
    </w:p>
  </w:footnote>
  <w:footnote w:id="1">
    <w:p w:rsidR="00ED4FC5" w:rsidRDefault="00A62550">
      <w:pPr>
        <w:pBdr>
          <w:top w:val="nil"/>
          <w:left w:val="nil"/>
          <w:bottom w:val="nil"/>
          <w:right w:val="nil"/>
          <w:between w:val="nil"/>
        </w:pBdr>
        <w:spacing w:after="0" w:line="240" w:lineRule="auto"/>
        <w:rPr>
          <w:rFonts w:ascii="Arial" w:eastAsia="Arial" w:hAnsi="Arial" w:cs="Arial"/>
          <w:color w:val="000000"/>
          <w:sz w:val="20"/>
          <w:szCs w:val="20"/>
        </w:rPr>
      </w:pPr>
      <w:r>
        <w:rPr>
          <w:rStyle w:val="Refdenotaalpie"/>
        </w:rPr>
        <w:footnoteRef/>
      </w:r>
      <w:r>
        <w:rPr>
          <w:color w:val="000000"/>
          <w:sz w:val="20"/>
          <w:szCs w:val="20"/>
        </w:rPr>
        <w:t xml:space="preserve"> </w:t>
      </w:r>
      <w:r>
        <w:rPr>
          <w:rFonts w:ascii="Arial" w:eastAsia="Arial" w:hAnsi="Arial" w:cs="Arial"/>
          <w:color w:val="000000"/>
          <w:sz w:val="20"/>
          <w:szCs w:val="20"/>
        </w:rPr>
        <w:t xml:space="preserve">La primera edición de los cursos se llevó a cabo del 20 de enero al 3 de julio, </w:t>
      </w:r>
      <w:r>
        <w:rPr>
          <w:rFonts w:ascii="Arial" w:eastAsia="Arial" w:hAnsi="Arial" w:cs="Arial"/>
          <w:sz w:val="20"/>
          <w:szCs w:val="20"/>
        </w:rPr>
        <w:t>mientras que la</w:t>
      </w:r>
      <w:r>
        <w:rPr>
          <w:rFonts w:ascii="Arial" w:eastAsia="Arial" w:hAnsi="Arial" w:cs="Arial"/>
          <w:color w:val="000000"/>
          <w:sz w:val="20"/>
          <w:szCs w:val="20"/>
        </w:rPr>
        <w:t xml:space="preserve"> segunda se lleva a cabo desde el 17 de abril y concluye el 23 de octubre de este año.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4FC5" w:rsidRDefault="00A62550" w:rsidP="009306E9">
    <w:pPr>
      <w:spacing w:after="0" w:line="276" w:lineRule="auto"/>
      <w:ind w:right="955"/>
      <w:jc w:val="right"/>
      <w:rPr>
        <w:rFonts w:ascii="Arial" w:eastAsia="Arial" w:hAnsi="Arial" w:cs="Arial"/>
        <w:i/>
      </w:rPr>
    </w:pPr>
    <w:r>
      <w:rPr>
        <w:rFonts w:ascii="Arial" w:eastAsia="Arial" w:hAnsi="Arial" w:cs="Arial"/>
        <w:i/>
      </w:rPr>
      <w:t xml:space="preserve">Sexto y Séptimo Informe Combinado de México respecto del Cumplimiento de la Convención </w:t>
    </w:r>
  </w:p>
  <w:p w:rsidR="00ED4FC5" w:rsidRDefault="00A62550" w:rsidP="009306E9">
    <w:pPr>
      <w:spacing w:after="0" w:line="276" w:lineRule="auto"/>
      <w:ind w:right="993"/>
      <w:jc w:val="right"/>
    </w:pPr>
    <w:r>
      <w:rPr>
        <w:rFonts w:ascii="Arial" w:eastAsia="Arial" w:hAnsi="Arial" w:cs="Arial"/>
        <w:i/>
      </w:rPr>
      <w:t>sobre los Derechos del Niño de Naciones Unidas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D2DAB"/>
    <w:multiLevelType w:val="multilevel"/>
    <w:tmpl w:val="559CDD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7106334"/>
    <w:multiLevelType w:val="multilevel"/>
    <w:tmpl w:val="39109C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9A9680F"/>
    <w:multiLevelType w:val="multilevel"/>
    <w:tmpl w:val="89F88D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1B1045C"/>
    <w:multiLevelType w:val="multilevel"/>
    <w:tmpl w:val="B73609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4B34912"/>
    <w:multiLevelType w:val="multilevel"/>
    <w:tmpl w:val="DAD814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751393C"/>
    <w:multiLevelType w:val="multilevel"/>
    <w:tmpl w:val="C36235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9D40800"/>
    <w:multiLevelType w:val="multilevel"/>
    <w:tmpl w:val="0C3845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8B25FE4"/>
    <w:multiLevelType w:val="multilevel"/>
    <w:tmpl w:val="F6AE29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BA80F7F"/>
    <w:multiLevelType w:val="hybridMultilevel"/>
    <w:tmpl w:val="405200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62824DE7"/>
    <w:multiLevelType w:val="multilevel"/>
    <w:tmpl w:val="D05E1D78"/>
    <w:lvl w:ilvl="0">
      <w:start w:val="1"/>
      <w:numFmt w:val="bullet"/>
      <w:lvlText w:val="-"/>
      <w:lvlJc w:val="left"/>
      <w:pPr>
        <w:ind w:left="1080" w:hanging="360"/>
      </w:pPr>
      <w:rPr>
        <w:rFonts w:ascii="Arial" w:eastAsia="Arial" w:hAnsi="Arial" w:cs="Aria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0" w15:restartNumberingAfterBreak="0">
    <w:nsid w:val="63324DAE"/>
    <w:multiLevelType w:val="multilevel"/>
    <w:tmpl w:val="B30AFB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6A406C32"/>
    <w:multiLevelType w:val="multilevel"/>
    <w:tmpl w:val="129C50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C4A63C9"/>
    <w:multiLevelType w:val="multilevel"/>
    <w:tmpl w:val="9F9497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6"/>
  </w:num>
  <w:num w:numId="3">
    <w:abstractNumId w:val="9"/>
  </w:num>
  <w:num w:numId="4">
    <w:abstractNumId w:val="12"/>
  </w:num>
  <w:num w:numId="5">
    <w:abstractNumId w:val="2"/>
  </w:num>
  <w:num w:numId="6">
    <w:abstractNumId w:val="0"/>
  </w:num>
  <w:num w:numId="7">
    <w:abstractNumId w:val="10"/>
  </w:num>
  <w:num w:numId="8">
    <w:abstractNumId w:val="4"/>
  </w:num>
  <w:num w:numId="9">
    <w:abstractNumId w:val="1"/>
  </w:num>
  <w:num w:numId="10">
    <w:abstractNumId w:val="5"/>
  </w:num>
  <w:num w:numId="11">
    <w:abstractNumId w:val="7"/>
  </w:num>
  <w:num w:numId="12">
    <w:abstractNumId w:val="1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FC5"/>
    <w:rsid w:val="006F593F"/>
    <w:rsid w:val="008208EB"/>
    <w:rsid w:val="009306E9"/>
    <w:rsid w:val="00A309E2"/>
    <w:rsid w:val="00A62550"/>
    <w:rsid w:val="00ED4FC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857029"/>
  <w15:docId w15:val="{797C2604-78B5-4834-A65E-057CEBA02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MX"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paragraph" w:styleId="NormalWeb">
    <w:name w:val="Normal (Web)"/>
    <w:basedOn w:val="Normal"/>
    <w:uiPriority w:val="99"/>
    <w:unhideWhenUsed/>
    <w:rsid w:val="00E337FB"/>
    <w:pPr>
      <w:spacing w:before="100" w:beforeAutospacing="1" w:after="100" w:afterAutospacing="1" w:line="240" w:lineRule="auto"/>
    </w:pPr>
    <w:rPr>
      <w:rFonts w:ascii="Times New Roman" w:eastAsia="Times New Roman" w:hAnsi="Times New Roman" w:cs="Times New Roman"/>
      <w:sz w:val="24"/>
      <w:szCs w:val="24"/>
    </w:rPr>
  </w:style>
  <w:style w:type="paragraph" w:styleId="Prrafodelista">
    <w:name w:val="List Paragraph"/>
    <w:aliases w:val="Dot pt,No Spacing1,List Paragraph Char Char Char,Indicator Text,List Paragraph1,Numbered Para 1,Colorful List - Accent 11,Bullet 1,F5 List Paragraph,Bullet Points,viñetas,lp1,List Paragraph2,MAIN CONTENT,Normal numbered,3,Footnote,DH1"/>
    <w:basedOn w:val="Normal"/>
    <w:link w:val="PrrafodelistaCar"/>
    <w:uiPriority w:val="34"/>
    <w:qFormat/>
    <w:rsid w:val="00E337FB"/>
    <w:pPr>
      <w:ind w:left="720"/>
      <w:contextualSpacing/>
    </w:pPr>
  </w:style>
  <w:style w:type="paragraph" w:customStyle="1" w:styleId="Default">
    <w:name w:val="Default"/>
    <w:rsid w:val="00036203"/>
    <w:pPr>
      <w:autoSpaceDE w:val="0"/>
      <w:autoSpaceDN w:val="0"/>
      <w:adjustRightInd w:val="0"/>
      <w:spacing w:after="0" w:line="240" w:lineRule="auto"/>
    </w:pPr>
    <w:rPr>
      <w:color w:val="000000"/>
      <w:sz w:val="24"/>
      <w:szCs w:val="24"/>
    </w:rPr>
  </w:style>
  <w:style w:type="paragraph" w:styleId="Textodeglobo">
    <w:name w:val="Balloon Text"/>
    <w:basedOn w:val="Normal"/>
    <w:link w:val="TextodegloboCar"/>
    <w:uiPriority w:val="99"/>
    <w:semiHidden/>
    <w:unhideWhenUsed/>
    <w:rsid w:val="0075741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57417"/>
    <w:rPr>
      <w:rFonts w:ascii="Segoe UI" w:hAnsi="Segoe UI" w:cs="Segoe UI"/>
      <w:sz w:val="18"/>
      <w:szCs w:val="18"/>
    </w:rPr>
  </w:style>
  <w:style w:type="character" w:customStyle="1" w:styleId="PrrafodelistaCar">
    <w:name w:val="Párrafo de lista Car"/>
    <w:aliases w:val="Dot pt Car,No Spacing1 Car,List Paragraph Char Char Char Car,Indicator Text Car,List Paragraph1 Car,Numbered Para 1 Car,Colorful List - Accent 11 Car,Bullet 1 Car,F5 List Paragraph Car,Bullet Points Car,viñetas Car,lp1 Car,3 Car"/>
    <w:link w:val="Prrafodelista"/>
    <w:uiPriority w:val="34"/>
    <w:qFormat/>
    <w:locked/>
    <w:rsid w:val="006077F9"/>
  </w:style>
  <w:style w:type="paragraph" w:styleId="Piedepgina">
    <w:name w:val="footer"/>
    <w:basedOn w:val="Normal"/>
    <w:link w:val="PiedepginaCar"/>
    <w:uiPriority w:val="99"/>
    <w:unhideWhenUsed/>
    <w:rsid w:val="006077F9"/>
    <w:pPr>
      <w:tabs>
        <w:tab w:val="center" w:pos="4419"/>
        <w:tab w:val="right" w:pos="8838"/>
      </w:tabs>
      <w:spacing w:after="0" w:line="240" w:lineRule="auto"/>
    </w:pPr>
    <w:rPr>
      <w:sz w:val="24"/>
      <w:szCs w:val="24"/>
      <w:lang w:val="es-ES"/>
    </w:rPr>
  </w:style>
  <w:style w:type="character" w:customStyle="1" w:styleId="PiedepginaCar">
    <w:name w:val="Pie de página Car"/>
    <w:basedOn w:val="Fuentedeprrafopredeter"/>
    <w:link w:val="Piedepgina"/>
    <w:uiPriority w:val="99"/>
    <w:rsid w:val="006077F9"/>
    <w:rPr>
      <w:sz w:val="24"/>
      <w:szCs w:val="24"/>
      <w:lang w:val="es-ES"/>
    </w:rPr>
  </w:style>
  <w:style w:type="character" w:styleId="Nmerodepgina">
    <w:name w:val="page number"/>
    <w:basedOn w:val="Fuentedeprrafopredeter"/>
    <w:uiPriority w:val="99"/>
    <w:semiHidden/>
    <w:unhideWhenUsed/>
    <w:rsid w:val="006077F9"/>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anormal"/>
    <w:tblPr>
      <w:tblStyleRowBandSize w:val="1"/>
      <w:tblStyleColBandSize w:val="1"/>
      <w:tblCellMar>
        <w:top w:w="100" w:type="dxa"/>
        <w:left w:w="100" w:type="dxa"/>
        <w:bottom w:w="100" w:type="dxa"/>
        <w:right w:w="100" w:type="dxa"/>
      </w:tblCellMar>
    </w:tblPr>
  </w:style>
  <w:style w:type="table" w:customStyle="1" w:styleId="a0">
    <w:basedOn w:val="Tablanormal"/>
    <w:tblPr>
      <w:tblStyleRowBandSize w:val="1"/>
      <w:tblStyleColBandSize w:val="1"/>
      <w:tblCellMar>
        <w:top w:w="100" w:type="dxa"/>
        <w:left w:w="100" w:type="dxa"/>
        <w:bottom w:w="100" w:type="dxa"/>
        <w:right w:w="100" w:type="dxa"/>
      </w:tblCellMar>
    </w:tblPr>
  </w:style>
  <w:style w:type="table" w:customStyle="1" w:styleId="a1">
    <w:basedOn w:val="Tablanormal"/>
    <w:tblPr>
      <w:tblStyleRowBandSize w:val="1"/>
      <w:tblStyleColBandSize w:val="1"/>
      <w:tblCellMar>
        <w:top w:w="100" w:type="dxa"/>
        <w:left w:w="100" w:type="dxa"/>
        <w:bottom w:w="100" w:type="dxa"/>
        <w:right w:w="100" w:type="dxa"/>
      </w:tblCellMar>
    </w:tblPr>
  </w:style>
  <w:style w:type="table" w:customStyle="1" w:styleId="a2">
    <w:basedOn w:val="Tablanormal"/>
    <w:tblPr>
      <w:tblStyleRowBandSize w:val="1"/>
      <w:tblStyleColBandSize w:val="1"/>
      <w:tblCellMar>
        <w:left w:w="0" w:type="dxa"/>
        <w:right w:w="0" w:type="dxa"/>
      </w:tblCellMar>
    </w:tblPr>
  </w:style>
  <w:style w:type="table" w:customStyle="1" w:styleId="a3">
    <w:basedOn w:val="Tablanormal"/>
    <w:tblPr>
      <w:tblStyleRowBandSize w:val="1"/>
      <w:tblStyleColBandSize w:val="1"/>
      <w:tblCellMar>
        <w:top w:w="100" w:type="dxa"/>
        <w:left w:w="100" w:type="dxa"/>
        <w:bottom w:w="100" w:type="dxa"/>
        <w:right w:w="100" w:type="dxa"/>
      </w:tblCellMar>
    </w:tblPr>
  </w:style>
  <w:style w:type="table" w:customStyle="1" w:styleId="a4">
    <w:basedOn w:val="Tablanormal"/>
    <w:tblPr>
      <w:tblStyleRowBandSize w:val="1"/>
      <w:tblStyleColBandSize w:val="1"/>
      <w:tblCellMar>
        <w:top w:w="100" w:type="dxa"/>
        <w:left w:w="100" w:type="dxa"/>
        <w:bottom w:w="100" w:type="dxa"/>
        <w:right w:w="100" w:type="dxa"/>
      </w:tblCellMar>
    </w:tblPr>
  </w:style>
  <w:style w:type="table" w:customStyle="1" w:styleId="a5">
    <w:basedOn w:val="Tablanormal"/>
    <w:tblPr>
      <w:tblStyleRowBandSize w:val="1"/>
      <w:tblStyleColBandSize w:val="1"/>
      <w:tblCellMar>
        <w:top w:w="100" w:type="dxa"/>
        <w:left w:w="100" w:type="dxa"/>
        <w:bottom w:w="100" w:type="dxa"/>
        <w:right w:w="100" w:type="dxa"/>
      </w:tblCellMar>
    </w:tblPr>
  </w:style>
  <w:style w:type="table" w:customStyle="1" w:styleId="a6">
    <w:basedOn w:val="Tablanormal"/>
    <w:tblPr>
      <w:tblStyleRowBandSize w:val="1"/>
      <w:tblStyleColBandSize w:val="1"/>
      <w:tblCellMar>
        <w:top w:w="100" w:type="dxa"/>
        <w:left w:w="100" w:type="dxa"/>
        <w:bottom w:w="100" w:type="dxa"/>
        <w:right w:w="100" w:type="dxa"/>
      </w:tblCellMar>
    </w:tblPr>
  </w:style>
  <w:style w:type="table" w:customStyle="1" w:styleId="a7">
    <w:basedOn w:val="Tablanormal"/>
    <w:tblPr>
      <w:tblStyleRowBandSize w:val="1"/>
      <w:tblStyleColBandSize w:val="1"/>
      <w:tblCellMar>
        <w:top w:w="100" w:type="dxa"/>
        <w:left w:w="100" w:type="dxa"/>
        <w:bottom w:w="100" w:type="dxa"/>
        <w:right w:w="100" w:type="dxa"/>
      </w:tblCellMar>
    </w:tblPr>
  </w:style>
  <w:style w:type="table" w:customStyle="1" w:styleId="a8">
    <w:basedOn w:val="Tablanormal"/>
    <w:tblPr>
      <w:tblStyleRowBandSize w:val="1"/>
      <w:tblStyleColBandSize w:val="1"/>
      <w:tblCellMar>
        <w:top w:w="100" w:type="dxa"/>
        <w:left w:w="100" w:type="dxa"/>
        <w:bottom w:w="100" w:type="dxa"/>
        <w:right w:w="100" w:type="dxa"/>
      </w:tblCellMar>
    </w:tblPr>
  </w:style>
  <w:style w:type="table" w:customStyle="1" w:styleId="a9">
    <w:basedOn w:val="Tablanormal"/>
    <w:tblPr>
      <w:tblStyleRowBandSize w:val="1"/>
      <w:tblStyleColBandSize w:val="1"/>
      <w:tblCellMar>
        <w:top w:w="100" w:type="dxa"/>
        <w:left w:w="100" w:type="dxa"/>
        <w:bottom w:w="100" w:type="dxa"/>
        <w:right w:w="100" w:type="dxa"/>
      </w:tblCellMar>
    </w:tblPr>
  </w:style>
  <w:style w:type="table" w:customStyle="1" w:styleId="aa">
    <w:basedOn w:val="Tablanormal"/>
    <w:tblPr>
      <w:tblStyleRowBandSize w:val="1"/>
      <w:tblStyleColBandSize w:val="1"/>
      <w:tblCellMar>
        <w:top w:w="100" w:type="dxa"/>
        <w:left w:w="100" w:type="dxa"/>
        <w:bottom w:w="100" w:type="dxa"/>
        <w:right w:w="100" w:type="dxa"/>
      </w:tblCellMar>
    </w:tblPr>
  </w:style>
  <w:style w:type="table" w:customStyle="1" w:styleId="ab">
    <w:basedOn w:val="Tablanormal"/>
    <w:tblPr>
      <w:tblStyleRowBandSize w:val="1"/>
      <w:tblStyleColBandSize w:val="1"/>
      <w:tblCellMar>
        <w:top w:w="100" w:type="dxa"/>
        <w:left w:w="100" w:type="dxa"/>
        <w:bottom w:w="100" w:type="dxa"/>
        <w:right w:w="100" w:type="dxa"/>
      </w:tblCellMar>
    </w:tblPr>
  </w:style>
  <w:style w:type="table" w:customStyle="1" w:styleId="ac">
    <w:basedOn w:val="Tablanormal"/>
    <w:tblPr>
      <w:tblStyleRowBandSize w:val="1"/>
      <w:tblStyleColBandSize w:val="1"/>
      <w:tblCellMar>
        <w:top w:w="100" w:type="dxa"/>
        <w:left w:w="100" w:type="dxa"/>
        <w:bottom w:w="100" w:type="dxa"/>
        <w:right w:w="100" w:type="dxa"/>
      </w:tblCellMar>
    </w:tblPr>
  </w:style>
  <w:style w:type="table" w:customStyle="1" w:styleId="ad">
    <w:basedOn w:val="Tablanormal"/>
    <w:tblPr>
      <w:tblStyleRowBandSize w:val="1"/>
      <w:tblStyleColBandSize w:val="1"/>
      <w:tblCellMar>
        <w:top w:w="100" w:type="dxa"/>
        <w:left w:w="100" w:type="dxa"/>
        <w:bottom w:w="100" w:type="dxa"/>
        <w:right w:w="100" w:type="dxa"/>
      </w:tblCellMar>
    </w:tblPr>
  </w:style>
  <w:style w:type="table" w:customStyle="1" w:styleId="ae">
    <w:basedOn w:val="Tablanormal"/>
    <w:tblPr>
      <w:tblStyleRowBandSize w:val="1"/>
      <w:tblStyleColBandSize w:val="1"/>
      <w:tblCellMar>
        <w:top w:w="100" w:type="dxa"/>
        <w:left w:w="100" w:type="dxa"/>
        <w:bottom w:w="100" w:type="dxa"/>
        <w:right w:w="100" w:type="dxa"/>
      </w:tblCellMar>
    </w:tblPr>
  </w:style>
  <w:style w:type="table" w:customStyle="1" w:styleId="af">
    <w:basedOn w:val="Tablanormal"/>
    <w:tblPr>
      <w:tblStyleRowBandSize w:val="1"/>
      <w:tblStyleColBandSize w:val="1"/>
      <w:tblCellMar>
        <w:top w:w="100" w:type="dxa"/>
        <w:left w:w="100" w:type="dxa"/>
        <w:bottom w:w="100" w:type="dxa"/>
        <w:right w:w="100" w:type="dxa"/>
      </w:tblCellMar>
    </w:tblPr>
  </w:style>
  <w:style w:type="table" w:customStyle="1" w:styleId="af0">
    <w:basedOn w:val="Tablanormal"/>
    <w:tblPr>
      <w:tblStyleRowBandSize w:val="1"/>
      <w:tblStyleColBandSize w:val="1"/>
      <w:tblCellMar>
        <w:top w:w="100" w:type="dxa"/>
        <w:left w:w="100" w:type="dxa"/>
        <w:bottom w:w="100" w:type="dxa"/>
        <w:right w:w="100" w:type="dxa"/>
      </w:tblCellMar>
    </w:tblPr>
  </w:style>
  <w:style w:type="table" w:customStyle="1" w:styleId="af1">
    <w:basedOn w:val="Tablanormal"/>
    <w:tblPr>
      <w:tblStyleRowBandSize w:val="1"/>
      <w:tblStyleColBandSize w:val="1"/>
      <w:tblCellMar>
        <w:top w:w="100" w:type="dxa"/>
        <w:left w:w="100" w:type="dxa"/>
        <w:bottom w:w="100" w:type="dxa"/>
        <w:right w:w="100" w:type="dxa"/>
      </w:tblCellMar>
    </w:tblPr>
  </w:style>
  <w:style w:type="table" w:customStyle="1" w:styleId="af2">
    <w:basedOn w:val="Tablanormal"/>
    <w:tblPr>
      <w:tblStyleRowBandSize w:val="1"/>
      <w:tblStyleColBandSize w:val="1"/>
      <w:tblCellMar>
        <w:left w:w="70" w:type="dxa"/>
        <w:right w:w="70" w:type="dxa"/>
      </w:tblCellMar>
    </w:tblPr>
  </w:style>
  <w:style w:type="table" w:customStyle="1" w:styleId="af3">
    <w:basedOn w:val="Tablanormal"/>
    <w:tblPr>
      <w:tblStyleRowBandSize w:val="1"/>
      <w:tblStyleColBandSize w:val="1"/>
      <w:tblCellMar>
        <w:left w:w="70" w:type="dxa"/>
        <w:right w:w="70" w:type="dxa"/>
      </w:tblCellMar>
    </w:tblPr>
  </w:style>
  <w:style w:type="table" w:customStyle="1" w:styleId="af4">
    <w:basedOn w:val="Tablanormal"/>
    <w:tblPr>
      <w:tblStyleRowBandSize w:val="1"/>
      <w:tblStyleColBandSize w:val="1"/>
      <w:tblCellMar>
        <w:left w:w="70" w:type="dxa"/>
        <w:right w:w="70" w:type="dxa"/>
      </w:tblCellMar>
    </w:tblPr>
  </w:style>
  <w:style w:type="table" w:customStyle="1" w:styleId="af5">
    <w:basedOn w:val="Tablanormal"/>
    <w:tblPr>
      <w:tblStyleRowBandSize w:val="1"/>
      <w:tblStyleColBandSize w:val="1"/>
      <w:tblCellMar>
        <w:left w:w="70" w:type="dxa"/>
        <w:right w:w="70" w:type="dxa"/>
      </w:tblCellMar>
    </w:tblPr>
  </w:style>
  <w:style w:type="table" w:customStyle="1" w:styleId="af6">
    <w:basedOn w:val="Tablanormal"/>
    <w:tblPr>
      <w:tblStyleRowBandSize w:val="1"/>
      <w:tblStyleColBandSize w:val="1"/>
      <w:tblCellMar>
        <w:left w:w="70" w:type="dxa"/>
        <w:right w:w="70" w:type="dxa"/>
      </w:tblCellMar>
    </w:tblPr>
  </w:style>
  <w:style w:type="table" w:customStyle="1" w:styleId="af7">
    <w:basedOn w:val="Tablanormal"/>
    <w:tblPr>
      <w:tblStyleRowBandSize w:val="1"/>
      <w:tblStyleColBandSize w:val="1"/>
      <w:tblCellMar>
        <w:left w:w="70" w:type="dxa"/>
        <w:right w:w="70" w:type="dxa"/>
      </w:tblCellMar>
    </w:tblPr>
  </w:style>
  <w:style w:type="table" w:customStyle="1" w:styleId="af8">
    <w:basedOn w:val="Tablanormal"/>
    <w:tblPr>
      <w:tblStyleRowBandSize w:val="1"/>
      <w:tblStyleColBandSize w:val="1"/>
      <w:tblCellMar>
        <w:top w:w="100" w:type="dxa"/>
        <w:left w:w="100" w:type="dxa"/>
        <w:bottom w:w="100" w:type="dxa"/>
        <w:right w:w="100" w:type="dxa"/>
      </w:tblCellMar>
    </w:tblPr>
  </w:style>
  <w:style w:type="table" w:customStyle="1" w:styleId="af9">
    <w:basedOn w:val="Tablanormal"/>
    <w:tblPr>
      <w:tblStyleRowBandSize w:val="1"/>
      <w:tblStyleColBandSize w:val="1"/>
      <w:tblCellMar>
        <w:left w:w="70" w:type="dxa"/>
        <w:right w:w="70" w:type="dxa"/>
      </w:tblCellMar>
    </w:tblPr>
  </w:style>
  <w:style w:type="paragraph" w:styleId="Textocomentario">
    <w:name w:val="annotation text"/>
    <w:basedOn w:val="Normal"/>
    <w:link w:val="TextocomentarioCar"/>
    <w:uiPriority w:val="99"/>
    <w:semiHidden/>
    <w:unhideWhenUsed/>
    <w:pPr>
      <w:spacing w:line="240" w:lineRule="auto"/>
    </w:pPr>
    <w:rPr>
      <w:sz w:val="24"/>
      <w:szCs w:val="24"/>
    </w:rPr>
  </w:style>
  <w:style w:type="character" w:customStyle="1" w:styleId="TextocomentarioCar">
    <w:name w:val="Texto comentario Car"/>
    <w:basedOn w:val="Fuentedeprrafopredeter"/>
    <w:link w:val="Textocomentario"/>
    <w:uiPriority w:val="99"/>
    <w:semiHidden/>
    <w:rPr>
      <w:sz w:val="24"/>
      <w:szCs w:val="24"/>
    </w:rPr>
  </w:style>
  <w:style w:type="character" w:styleId="Refdecomentario">
    <w:name w:val="annotation reference"/>
    <w:basedOn w:val="Fuentedeprrafopredeter"/>
    <w:uiPriority w:val="99"/>
    <w:semiHidden/>
    <w:unhideWhenUsed/>
    <w:rPr>
      <w:sz w:val="18"/>
      <w:szCs w:val="18"/>
    </w:rPr>
  </w:style>
  <w:style w:type="table" w:styleId="Tablaconcuadrcula4-nfasis1">
    <w:name w:val="Grid Table 4 Accent 1"/>
    <w:basedOn w:val="Tablanormal"/>
    <w:uiPriority w:val="49"/>
    <w:rsid w:val="00286AE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Encabezado">
    <w:name w:val="header"/>
    <w:basedOn w:val="Normal"/>
    <w:link w:val="EncabezadoCar"/>
    <w:uiPriority w:val="99"/>
    <w:unhideWhenUsed/>
    <w:rsid w:val="00286AEE"/>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286AEE"/>
  </w:style>
  <w:style w:type="table" w:styleId="Tablaconcuadrcula">
    <w:name w:val="Table Grid"/>
    <w:basedOn w:val="Tablanormal"/>
    <w:uiPriority w:val="39"/>
    <w:rsid w:val="009C54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fa">
    <w:basedOn w:val="Tablanormal"/>
    <w:pPr>
      <w:spacing w:after="0" w:line="240" w:lineRule="auto"/>
    </w:pPr>
    <w:tblPr>
      <w:tblStyleRowBandSize w:val="1"/>
      <w:tblStyleColBandSize w:val="1"/>
    </w:tblPr>
  </w:style>
  <w:style w:type="table" w:customStyle="1" w:styleId="afb">
    <w:basedOn w:val="Tablanormal"/>
    <w:pPr>
      <w:spacing w:after="0" w:line="240" w:lineRule="auto"/>
    </w:pPr>
    <w:tblPr>
      <w:tblStyleRowBandSize w:val="1"/>
      <w:tblStyleColBandSize w:val="1"/>
    </w:tblPr>
  </w:style>
  <w:style w:type="table" w:customStyle="1" w:styleId="afc">
    <w:basedOn w:val="Tablanormal"/>
    <w:pPr>
      <w:spacing w:after="0" w:line="240" w:lineRule="auto"/>
    </w:pPr>
    <w:tblPr>
      <w:tblStyleRowBandSize w:val="1"/>
      <w:tblStyleColBandSize w:val="1"/>
    </w:tblPr>
  </w:style>
  <w:style w:type="table" w:customStyle="1" w:styleId="afd">
    <w:basedOn w:val="Tablanormal"/>
    <w:pPr>
      <w:spacing w:after="0" w:line="240" w:lineRule="auto"/>
    </w:pPr>
    <w:tblPr>
      <w:tblStyleRowBandSize w:val="1"/>
      <w:tblStyleColBandSize w:val="1"/>
    </w:tblPr>
  </w:style>
  <w:style w:type="table" w:customStyle="1" w:styleId="afe">
    <w:basedOn w:val="Tablanormal"/>
    <w:pPr>
      <w:spacing w:after="0" w:line="240" w:lineRule="auto"/>
    </w:pPr>
    <w:tblPr>
      <w:tblStyleRowBandSize w:val="1"/>
      <w:tblStyleColBandSize w:val="1"/>
    </w:tblPr>
  </w:style>
  <w:style w:type="table" w:customStyle="1" w:styleId="aff">
    <w:basedOn w:val="Tablanormal"/>
    <w:pPr>
      <w:spacing w:after="0" w:line="240" w:lineRule="auto"/>
    </w:pPr>
    <w:tblPr>
      <w:tblStyleRowBandSize w:val="1"/>
      <w:tblStyleColBandSize w:val="1"/>
    </w:tblPr>
  </w:style>
  <w:style w:type="table" w:customStyle="1" w:styleId="aff0">
    <w:basedOn w:val="Tablanormal"/>
    <w:pPr>
      <w:spacing w:after="0" w:line="240" w:lineRule="auto"/>
    </w:pPr>
    <w:tblPr>
      <w:tblStyleRowBandSize w:val="1"/>
      <w:tblStyleColBandSize w:val="1"/>
    </w:tblPr>
  </w:style>
  <w:style w:type="table" w:customStyle="1" w:styleId="aff1">
    <w:basedOn w:val="Tablanormal"/>
    <w:pPr>
      <w:spacing w:after="0" w:line="240" w:lineRule="auto"/>
    </w:pPr>
    <w:tblPr>
      <w:tblStyleRowBandSize w:val="1"/>
      <w:tblStyleColBandSize w:val="1"/>
    </w:tblPr>
  </w:style>
  <w:style w:type="table" w:customStyle="1" w:styleId="aff2">
    <w:basedOn w:val="Tablanormal"/>
    <w:pPr>
      <w:spacing w:after="0" w:line="240" w:lineRule="auto"/>
    </w:pPr>
    <w:tblPr>
      <w:tblStyleRowBandSize w:val="1"/>
      <w:tblStyleColBandSize w:val="1"/>
    </w:tblPr>
  </w:style>
  <w:style w:type="table" w:customStyle="1" w:styleId="aff3">
    <w:basedOn w:val="Tablanormal"/>
    <w:pPr>
      <w:spacing w:after="0" w:line="240" w:lineRule="auto"/>
    </w:pPr>
    <w:tblPr>
      <w:tblStyleRowBandSize w:val="1"/>
      <w:tblStyleColBandSize w:val="1"/>
    </w:tblPr>
  </w:style>
  <w:style w:type="table" w:customStyle="1" w:styleId="aff4">
    <w:basedOn w:val="Tablanormal"/>
    <w:pPr>
      <w:spacing w:after="0" w:line="240" w:lineRule="auto"/>
    </w:pPr>
    <w:tblPr>
      <w:tblStyleRowBandSize w:val="1"/>
      <w:tblStyleColBandSize w:val="1"/>
    </w:tblPr>
  </w:style>
  <w:style w:type="table" w:customStyle="1" w:styleId="aff5">
    <w:basedOn w:val="Tablanormal"/>
    <w:pPr>
      <w:spacing w:after="0" w:line="240" w:lineRule="auto"/>
    </w:pPr>
    <w:tblPr>
      <w:tblStyleRowBandSize w:val="1"/>
      <w:tblStyleColBandSize w:val="1"/>
    </w:tblPr>
  </w:style>
  <w:style w:type="table" w:customStyle="1" w:styleId="aff6">
    <w:basedOn w:val="Tablanormal"/>
    <w:pPr>
      <w:spacing w:after="0" w:line="240" w:lineRule="auto"/>
    </w:pPr>
    <w:tblPr>
      <w:tblStyleRowBandSize w:val="1"/>
      <w:tblStyleColBandSize w:val="1"/>
    </w:tblPr>
  </w:style>
  <w:style w:type="table" w:customStyle="1" w:styleId="aff7">
    <w:basedOn w:val="Tablanormal"/>
    <w:pPr>
      <w:spacing w:after="0" w:line="240" w:lineRule="auto"/>
    </w:pPr>
    <w:tblPr>
      <w:tblStyleRowBandSize w:val="1"/>
      <w:tblStyleColBandSize w:val="1"/>
    </w:tblPr>
  </w:style>
  <w:style w:type="table" w:customStyle="1" w:styleId="aff8">
    <w:basedOn w:val="Tablanormal"/>
    <w:pPr>
      <w:spacing w:after="0" w:line="240" w:lineRule="auto"/>
    </w:pPr>
    <w:tblPr>
      <w:tblStyleRowBandSize w:val="1"/>
      <w:tblStyleColBandSize w:val="1"/>
    </w:tblPr>
  </w:style>
  <w:style w:type="table" w:customStyle="1" w:styleId="aff9">
    <w:basedOn w:val="Tablanormal"/>
    <w:pPr>
      <w:spacing w:after="0" w:line="240" w:lineRule="auto"/>
    </w:pPr>
    <w:tblPr>
      <w:tblStyleRowBandSize w:val="1"/>
      <w:tblStyleColBandSize w:val="1"/>
    </w:tblPr>
  </w:style>
  <w:style w:type="table" w:customStyle="1" w:styleId="affa">
    <w:basedOn w:val="Tablanormal"/>
    <w:pPr>
      <w:spacing w:after="0" w:line="240" w:lineRule="auto"/>
    </w:pPr>
    <w:tblPr>
      <w:tblStyleRowBandSize w:val="1"/>
      <w:tblStyleColBandSize w:val="1"/>
    </w:tblPr>
  </w:style>
  <w:style w:type="table" w:customStyle="1" w:styleId="affb">
    <w:basedOn w:val="Tablanormal"/>
    <w:pPr>
      <w:spacing w:after="0" w:line="240" w:lineRule="auto"/>
    </w:pPr>
    <w:tblPr>
      <w:tblStyleRowBandSize w:val="1"/>
      <w:tblStyleColBandSize w:val="1"/>
    </w:tblPr>
  </w:style>
  <w:style w:type="table" w:customStyle="1" w:styleId="affc">
    <w:basedOn w:val="Tablanormal"/>
    <w:pPr>
      <w:spacing w:after="0" w:line="240" w:lineRule="auto"/>
    </w:pPr>
    <w:tblPr>
      <w:tblStyleRowBandSize w:val="1"/>
      <w:tblStyleColBandSize w:val="1"/>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rPr>
      <w:tblPr/>
      <w:tcPr>
        <w:tcBorders>
          <w:top w:val="single" w:sz="4" w:space="0" w:color="4472C4"/>
        </w:tcBorders>
      </w:tcPr>
    </w:tblStylePr>
    <w:tblStylePr w:type="firstCol">
      <w:rPr>
        <w:b/>
      </w:rPr>
    </w:tblStylePr>
    <w:tblStylePr w:type="lastCol">
      <w:rPr>
        <w:b/>
      </w:rPr>
    </w:tblStylePr>
    <w:tblStylePr w:type="band1Vert">
      <w:tblPr/>
      <w:tcPr>
        <w:shd w:val="clear" w:color="auto" w:fill="D9E2F3"/>
      </w:tcPr>
    </w:tblStylePr>
    <w:tblStylePr w:type="band1Horz">
      <w:tblPr/>
      <w:tcPr>
        <w:shd w:val="clear" w:color="auto" w:fill="D9E2F3"/>
      </w:tcPr>
    </w:tblStylePr>
  </w:style>
  <w:style w:type="table" w:customStyle="1" w:styleId="affd">
    <w:basedOn w:val="Tablanormal"/>
    <w:tblPr>
      <w:tblStyleRowBandSize w:val="1"/>
      <w:tblStyleColBandSize w:val="1"/>
      <w:tblCellMar>
        <w:top w:w="100" w:type="dxa"/>
        <w:left w:w="100" w:type="dxa"/>
        <w:bottom w:w="100" w:type="dxa"/>
        <w:right w:w="100" w:type="dxa"/>
      </w:tblCellMar>
    </w:tblPr>
  </w:style>
  <w:style w:type="table" w:customStyle="1" w:styleId="affe">
    <w:basedOn w:val="Tablanormal"/>
    <w:tblPr>
      <w:tblStyleRowBandSize w:val="1"/>
      <w:tblStyleColBandSize w:val="1"/>
      <w:tblCellMar>
        <w:top w:w="100" w:type="dxa"/>
        <w:left w:w="100" w:type="dxa"/>
        <w:bottom w:w="100" w:type="dxa"/>
        <w:right w:w="100" w:type="dxa"/>
      </w:tblCellMar>
    </w:tblPr>
  </w:style>
  <w:style w:type="table" w:customStyle="1" w:styleId="afff">
    <w:basedOn w:val="Tablanormal"/>
    <w:tblPr>
      <w:tblStyleRowBandSize w:val="1"/>
      <w:tblStyleColBandSize w:val="1"/>
      <w:tblCellMar>
        <w:top w:w="100" w:type="dxa"/>
        <w:left w:w="100" w:type="dxa"/>
        <w:bottom w:w="100" w:type="dxa"/>
        <w:right w:w="100" w:type="dxa"/>
      </w:tblCellMar>
    </w:tblPr>
  </w:style>
  <w:style w:type="table" w:customStyle="1" w:styleId="afff0">
    <w:basedOn w:val="Tablanormal"/>
    <w:tblPr>
      <w:tblStyleRowBandSize w:val="1"/>
      <w:tblStyleColBandSize w:val="1"/>
      <w:tblCellMar>
        <w:top w:w="100" w:type="dxa"/>
        <w:left w:w="100" w:type="dxa"/>
        <w:bottom w:w="100" w:type="dxa"/>
        <w:right w:w="100" w:type="dxa"/>
      </w:tblCellMar>
    </w:tblPr>
  </w:style>
  <w:style w:type="table" w:customStyle="1" w:styleId="afff1">
    <w:basedOn w:val="Tablanormal"/>
    <w:tblPr>
      <w:tblStyleRowBandSize w:val="1"/>
      <w:tblStyleColBandSize w:val="1"/>
      <w:tblCellMar>
        <w:top w:w="100" w:type="dxa"/>
        <w:left w:w="100" w:type="dxa"/>
        <w:bottom w:w="100" w:type="dxa"/>
        <w:right w:w="100" w:type="dxa"/>
      </w:tblCellMar>
    </w:tblPr>
  </w:style>
  <w:style w:type="table" w:customStyle="1" w:styleId="afff2">
    <w:basedOn w:val="Tablanormal"/>
    <w:pPr>
      <w:spacing w:after="0" w:line="240" w:lineRule="auto"/>
    </w:pPr>
    <w:tblPr>
      <w:tblStyleRowBandSize w:val="1"/>
      <w:tblStyleColBandSize w:val="1"/>
    </w:tblPr>
  </w:style>
  <w:style w:type="table" w:customStyle="1" w:styleId="afff3">
    <w:basedOn w:val="Tablanormal"/>
    <w:pPr>
      <w:spacing w:after="0" w:line="240" w:lineRule="auto"/>
    </w:pPr>
    <w:tblPr>
      <w:tblStyleRowBandSize w:val="1"/>
      <w:tblStyleColBandSize w:val="1"/>
    </w:tblPr>
  </w:style>
  <w:style w:type="table" w:customStyle="1" w:styleId="afff4">
    <w:basedOn w:val="Tablanormal"/>
    <w:pPr>
      <w:spacing w:after="0" w:line="240" w:lineRule="auto"/>
    </w:pPr>
    <w:tblPr>
      <w:tblStyleRowBandSize w:val="1"/>
      <w:tblStyleColBandSize w:val="1"/>
    </w:tblPr>
  </w:style>
  <w:style w:type="table" w:customStyle="1" w:styleId="afff5">
    <w:basedOn w:val="Tablanormal"/>
    <w:pPr>
      <w:spacing w:after="0" w:line="240" w:lineRule="auto"/>
    </w:pPr>
    <w:tblPr>
      <w:tblStyleRowBandSize w:val="1"/>
      <w:tblStyleColBandSize w:val="1"/>
    </w:tblPr>
  </w:style>
  <w:style w:type="table" w:customStyle="1" w:styleId="afff6">
    <w:basedOn w:val="Tablanormal"/>
    <w:pPr>
      <w:spacing w:after="0" w:line="240" w:lineRule="auto"/>
    </w:pPr>
    <w:tblPr>
      <w:tblStyleRowBandSize w:val="1"/>
      <w:tblStyleColBandSize w:val="1"/>
    </w:tblPr>
  </w:style>
  <w:style w:type="table" w:customStyle="1" w:styleId="afff7">
    <w:basedOn w:val="Tablanormal"/>
    <w:pPr>
      <w:spacing w:after="0" w:line="240" w:lineRule="auto"/>
    </w:pPr>
    <w:tblPr>
      <w:tblStyleRowBandSize w:val="1"/>
      <w:tblStyleColBandSize w:val="1"/>
    </w:tblPr>
  </w:style>
  <w:style w:type="table" w:customStyle="1" w:styleId="afff8">
    <w:basedOn w:val="Tablanormal"/>
    <w:pPr>
      <w:spacing w:after="0" w:line="240" w:lineRule="auto"/>
    </w:pPr>
    <w:tblPr>
      <w:tblStyleRowBandSize w:val="1"/>
      <w:tblStyleColBandSize w:val="1"/>
    </w:tblPr>
  </w:style>
  <w:style w:type="table" w:customStyle="1" w:styleId="afff9">
    <w:basedOn w:val="Tablanormal"/>
    <w:pPr>
      <w:spacing w:after="0" w:line="240" w:lineRule="auto"/>
    </w:pPr>
    <w:tblPr>
      <w:tblStyleRowBandSize w:val="1"/>
      <w:tblStyleColBandSize w:val="1"/>
    </w:tblPr>
  </w:style>
  <w:style w:type="character" w:styleId="Hipervnculo">
    <w:name w:val="Hyperlink"/>
    <w:uiPriority w:val="99"/>
    <w:unhideWhenUsed/>
    <w:rsid w:val="00B57DE0"/>
    <w:rPr>
      <w:color w:val="0000FF"/>
      <w:u w:val="single"/>
    </w:rPr>
  </w:style>
  <w:style w:type="paragraph" w:styleId="Asuntodelcomentario">
    <w:name w:val="annotation subject"/>
    <w:basedOn w:val="Textocomentario"/>
    <w:next w:val="Textocomentario"/>
    <w:link w:val="AsuntodelcomentarioCar"/>
    <w:uiPriority w:val="99"/>
    <w:semiHidden/>
    <w:unhideWhenUsed/>
    <w:rsid w:val="006F2A22"/>
    <w:rPr>
      <w:b/>
      <w:bCs/>
      <w:sz w:val="20"/>
      <w:szCs w:val="20"/>
    </w:rPr>
  </w:style>
  <w:style w:type="character" w:customStyle="1" w:styleId="AsuntodelcomentarioCar">
    <w:name w:val="Asunto del comentario Car"/>
    <w:basedOn w:val="TextocomentarioCar"/>
    <w:link w:val="Asuntodelcomentario"/>
    <w:uiPriority w:val="99"/>
    <w:semiHidden/>
    <w:rsid w:val="006F2A22"/>
    <w:rPr>
      <w:b/>
      <w:bCs/>
      <w:sz w:val="20"/>
      <w:szCs w:val="20"/>
    </w:rPr>
  </w:style>
  <w:style w:type="paragraph" w:customStyle="1" w:styleId="p1">
    <w:name w:val="p1"/>
    <w:basedOn w:val="Normal"/>
    <w:rsid w:val="00977EE6"/>
    <w:pPr>
      <w:spacing w:after="0" w:line="240" w:lineRule="auto"/>
    </w:pPr>
    <w:rPr>
      <w:rFonts w:ascii="Arial" w:hAnsi="Arial" w:cs="Arial"/>
      <w:sz w:val="17"/>
      <w:szCs w:val="17"/>
      <w:lang w:val="en-US" w:eastAsia="en-US"/>
    </w:rPr>
  </w:style>
  <w:style w:type="character" w:customStyle="1" w:styleId="apple-converted-space">
    <w:name w:val="apple-converted-space"/>
    <w:basedOn w:val="Fuentedeprrafopredeter"/>
    <w:rsid w:val="00977EE6"/>
  </w:style>
  <w:style w:type="paragraph" w:styleId="Textonotapie">
    <w:name w:val="footnote text"/>
    <w:aliases w:val="Footnote Text Char Char Char Char Char,Footnote Text Char Char Char Char,Footnote reference,FA Fu,Car,Footnote Text Char Char Char,Footnote Text Cha,FA Fußnotentext,FA Fuﬂnotentext,Footnote Text Char Char,Car Car Car,FA Fu?notentext,Ca,C"/>
    <w:basedOn w:val="Normal"/>
    <w:link w:val="TextonotapieCar"/>
    <w:unhideWhenUsed/>
    <w:qFormat/>
    <w:rsid w:val="0018559F"/>
    <w:pPr>
      <w:spacing w:after="0" w:line="240" w:lineRule="auto"/>
    </w:pPr>
    <w:rPr>
      <w:rFonts w:asciiTheme="minorHAnsi" w:eastAsiaTheme="minorHAnsi" w:hAnsiTheme="minorHAnsi" w:cstheme="minorBidi"/>
      <w:sz w:val="20"/>
      <w:szCs w:val="20"/>
      <w:lang w:eastAsia="en-US"/>
    </w:rPr>
  </w:style>
  <w:style w:type="character" w:customStyle="1" w:styleId="TextonotapieCar">
    <w:name w:val="Texto nota pie Car"/>
    <w:aliases w:val="Footnote Text Char Char Char Char Char Car,Footnote Text Char Char Char Char Car,Footnote reference Car,FA Fu Car,Car Car,Footnote Text Char Char Char Car,Footnote Text Cha Car,FA Fußnotentext Car,FA Fuﬂnotentext Car,Car Car Car Car"/>
    <w:basedOn w:val="Fuentedeprrafopredeter"/>
    <w:link w:val="Textonotapie"/>
    <w:rsid w:val="0018559F"/>
    <w:rPr>
      <w:rFonts w:asciiTheme="minorHAnsi" w:eastAsiaTheme="minorHAnsi" w:hAnsiTheme="minorHAnsi" w:cstheme="minorBidi"/>
      <w:sz w:val="20"/>
      <w:szCs w:val="20"/>
      <w:lang w:eastAsia="en-US"/>
    </w:rPr>
  </w:style>
  <w:style w:type="character" w:styleId="Refdenotaalpie">
    <w:name w:val="footnote reference"/>
    <w:aliases w:val="Ref. de nota al pie 2,Footnotes refss,Texto de nota al pie,Appel note de bas de page,Footnote number,referencia nota al pie,BVI fnr,f,4_G,16 Point,Superscript 6 Point,Texto nota al pie,julio,Footnote Reference Char3,ftref,Ref,R,ftre"/>
    <w:basedOn w:val="Fuentedeprrafopredeter"/>
    <w:uiPriority w:val="99"/>
    <w:unhideWhenUsed/>
    <w:qFormat/>
    <w:rsid w:val="0018559F"/>
    <w:rPr>
      <w:vertAlign w:val="superscript"/>
    </w:rPr>
  </w:style>
  <w:style w:type="table" w:customStyle="1" w:styleId="afffa">
    <w:basedOn w:val="Tablanormal"/>
    <w:pPr>
      <w:spacing w:after="0" w:line="240" w:lineRule="auto"/>
    </w:pPr>
    <w:tblPr>
      <w:tblStyleRowBandSize w:val="1"/>
      <w:tblStyleColBandSize w:val="1"/>
    </w:tblPr>
  </w:style>
  <w:style w:type="table" w:customStyle="1" w:styleId="afffb">
    <w:basedOn w:val="Tablanormal"/>
    <w:tblPr>
      <w:tblStyleRowBandSize w:val="1"/>
      <w:tblStyleColBandSize w:val="1"/>
      <w:tblCellMar>
        <w:top w:w="100" w:type="dxa"/>
        <w:left w:w="100" w:type="dxa"/>
        <w:bottom w:w="100" w:type="dxa"/>
        <w:right w:w="100" w:type="dxa"/>
      </w:tblCellMar>
    </w:tblPr>
  </w:style>
  <w:style w:type="table" w:customStyle="1" w:styleId="afffc">
    <w:basedOn w:val="Tablanormal"/>
    <w:pPr>
      <w:spacing w:after="0" w:line="240" w:lineRule="auto"/>
    </w:pPr>
    <w:tblPr>
      <w:tblStyleRowBandSize w:val="1"/>
      <w:tblStyleColBandSize w:val="1"/>
    </w:tblPr>
  </w:style>
  <w:style w:type="table" w:customStyle="1" w:styleId="afffd">
    <w:basedOn w:val="Tablanormal"/>
    <w:pPr>
      <w:spacing w:after="0" w:line="240" w:lineRule="auto"/>
    </w:pPr>
    <w:tblPr>
      <w:tblStyleRowBandSize w:val="1"/>
      <w:tblStyleColBandSize w:val="1"/>
    </w:tblPr>
  </w:style>
  <w:style w:type="table" w:customStyle="1" w:styleId="afffe">
    <w:basedOn w:val="Tabla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ivEPjvNuBu7P8b18RT15wM+itxg==">AMUW2mU08zNqdCoGoIBrNZ8HYUtOvFr8ECs/lHKBNFATcjxCc6xeUXwLo/34OkG8fovUou6s0A4MuNuEWhfCkRv/PgKG1+ICBmgr4Nv14nsMpclaVipss0Lg3mbMIVnAbi5Y90ZJVf3fZxo7ctYT0hXd1T0xYp9oImXENz/LT+O/vcAf3fAmhhw=</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13EA76D-E36B-474E-818A-D4717BCF8DDD}"/>
</file>

<file path=customXml/itemProps3.xml><?xml version="1.0" encoding="utf-8"?>
<ds:datastoreItem xmlns:ds="http://schemas.openxmlformats.org/officeDocument/2006/customXml" ds:itemID="{60879D62-E298-43B4-AED0-FD3E31D155FC}"/>
</file>

<file path=customXml/itemProps4.xml><?xml version="1.0" encoding="utf-8"?>
<ds:datastoreItem xmlns:ds="http://schemas.openxmlformats.org/officeDocument/2006/customXml" ds:itemID="{20CC4409-E8CD-403B-BD71-4699345B4AD3}"/>
</file>

<file path=docProps/app.xml><?xml version="1.0" encoding="utf-8"?>
<Properties xmlns="http://schemas.openxmlformats.org/officeDocument/2006/extended-properties" xmlns:vt="http://schemas.openxmlformats.org/officeDocument/2006/docPropsVTypes">
  <Template>Normal</Template>
  <TotalTime>26</TotalTime>
  <Pages>20</Pages>
  <Words>5848</Words>
  <Characters>32167</Characters>
  <Application>Microsoft Office Word</Application>
  <DocSecurity>0</DocSecurity>
  <Lines>268</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FATIMA MENDOZA ARROYO</dc:creator>
  <cp:lastModifiedBy>FATIMA MENDOZA ARROYO</cp:lastModifiedBy>
  <cp:revision>3</cp:revision>
  <dcterms:created xsi:type="dcterms:W3CDTF">2020-11-25T18:15:00Z</dcterms:created>
  <dcterms:modified xsi:type="dcterms:W3CDTF">2020-12-17T20:54:00Z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