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AC9" w:rsidRPr="0059116B" w:rsidRDefault="00ED1C73" w:rsidP="0059116B">
      <w:pPr>
        <w:ind w:right="-46"/>
        <w:jc w:val="center"/>
        <w:rPr>
          <w:rFonts w:asciiTheme="majorBidi" w:hAnsiTheme="majorBidi" w:cstheme="majorBidi"/>
          <w:b/>
          <w:bCs/>
          <w:color w:val="C45911" w:themeColor="accent2" w:themeShade="BF"/>
          <w:sz w:val="28"/>
          <w:szCs w:val="28"/>
          <w:rtl/>
        </w:rPr>
      </w:pPr>
      <w:r w:rsidRPr="0059116B">
        <w:rPr>
          <w:rFonts w:asciiTheme="majorBidi" w:hAnsiTheme="majorBidi" w:cstheme="majorBidi"/>
          <w:b/>
          <w:bCs/>
          <w:color w:val="C45911" w:themeColor="accent2" w:themeShade="BF"/>
          <w:sz w:val="28"/>
          <w:szCs w:val="28"/>
        </w:rPr>
        <w:t>Committee on the Rights of Persons with Disabilities – 35th Session</w:t>
      </w:r>
    </w:p>
    <w:p w:rsidR="008541F3" w:rsidRPr="00084AC9" w:rsidRDefault="00ED1C73" w:rsidP="008541F3">
      <w:pPr>
        <w:ind w:right="-46"/>
        <w:jc w:val="center"/>
        <w:rPr>
          <w:rFonts w:asciiTheme="majorBidi" w:hAnsiTheme="majorBidi" w:cstheme="majorBidi"/>
          <w:b/>
          <w:bCs/>
          <w:i/>
          <w:iCs/>
          <w:sz w:val="28"/>
          <w:szCs w:val="28"/>
        </w:rPr>
      </w:pPr>
      <w:r w:rsidRPr="00084AC9">
        <w:rPr>
          <w:rFonts w:asciiTheme="majorBidi" w:hAnsiTheme="majorBidi" w:cstheme="majorBidi"/>
          <w:b/>
          <w:bCs/>
          <w:i/>
          <w:iCs/>
          <w:sz w:val="28"/>
          <w:szCs w:val="28"/>
        </w:rPr>
        <w:t>Violations of the Rights of Migrant Workers</w:t>
      </w:r>
      <w:r w:rsidR="008541F3" w:rsidRPr="00084AC9">
        <w:rPr>
          <w:rFonts w:asciiTheme="majorBidi" w:hAnsiTheme="majorBidi" w:cstheme="majorBidi"/>
          <w:b/>
          <w:bCs/>
          <w:i/>
          <w:iCs/>
          <w:sz w:val="28"/>
          <w:szCs w:val="28"/>
        </w:rPr>
        <w:t xml:space="preserve"> with Disabilities </w:t>
      </w:r>
    </w:p>
    <w:p w:rsidR="00ED1C73" w:rsidRPr="00084AC9" w:rsidRDefault="008541F3" w:rsidP="008541F3">
      <w:pPr>
        <w:ind w:right="-46"/>
        <w:jc w:val="center"/>
        <w:rPr>
          <w:rFonts w:asciiTheme="majorBidi" w:hAnsiTheme="majorBidi" w:cstheme="majorBidi"/>
          <w:b/>
          <w:bCs/>
          <w:i/>
          <w:iCs/>
          <w:sz w:val="28"/>
          <w:szCs w:val="28"/>
        </w:rPr>
      </w:pPr>
      <w:r w:rsidRPr="00084AC9">
        <w:rPr>
          <w:rFonts w:asciiTheme="majorBidi" w:hAnsiTheme="majorBidi" w:cstheme="majorBidi"/>
          <w:b/>
          <w:bCs/>
          <w:i/>
          <w:iCs/>
          <w:sz w:val="28"/>
          <w:szCs w:val="28"/>
        </w:rPr>
        <w:t xml:space="preserve">Arising from Occupational </w:t>
      </w:r>
      <w:r w:rsidR="00ED1C73" w:rsidRPr="00084AC9">
        <w:rPr>
          <w:rFonts w:asciiTheme="majorBidi" w:hAnsiTheme="majorBidi" w:cstheme="majorBidi"/>
          <w:b/>
          <w:bCs/>
          <w:i/>
          <w:iCs/>
          <w:sz w:val="28"/>
          <w:szCs w:val="28"/>
        </w:rPr>
        <w:t>Injuries in Qatar</w:t>
      </w:r>
      <w:r w:rsidR="00ED1C73" w:rsidRPr="00084AC9">
        <w:rPr>
          <w:rFonts w:asciiTheme="majorBidi" w:hAnsiTheme="majorBidi" w:cstheme="majorBidi"/>
          <w:b/>
          <w:bCs/>
          <w:i/>
          <w:iCs/>
          <w:sz w:val="28"/>
          <w:szCs w:val="28"/>
        </w:rPr>
        <w:br/>
      </w:r>
      <w:bookmarkStart w:id="0" w:name="_GoBack"/>
      <w:bookmarkEnd w:id="0"/>
    </w:p>
    <w:p w:rsidR="00ED1C73" w:rsidRPr="008541F3" w:rsidRDefault="00ED1C73" w:rsidP="008541F3">
      <w:pPr>
        <w:ind w:right="-46"/>
        <w:jc w:val="both"/>
        <w:rPr>
          <w:rFonts w:asciiTheme="majorBidi" w:hAnsiTheme="majorBidi" w:cstheme="majorBidi"/>
          <w:b/>
          <w:bCs/>
          <w:sz w:val="24"/>
          <w:szCs w:val="24"/>
        </w:rPr>
      </w:pPr>
      <w:r w:rsidRPr="008541F3">
        <w:rPr>
          <w:rFonts w:asciiTheme="majorBidi" w:hAnsiTheme="majorBidi" w:cstheme="majorBidi"/>
          <w:b/>
          <w:bCs/>
          <w:sz w:val="24"/>
          <w:szCs w:val="24"/>
        </w:rPr>
        <w:t>1. Introduction</w:t>
      </w:r>
    </w:p>
    <w:p w:rsidR="00E57E36" w:rsidRPr="008541F3" w:rsidRDefault="00E57E36" w:rsidP="008541F3">
      <w:pPr>
        <w:ind w:right="-46"/>
        <w:jc w:val="both"/>
        <w:rPr>
          <w:rFonts w:asciiTheme="majorBidi" w:hAnsiTheme="majorBidi" w:cstheme="majorBidi"/>
          <w:sz w:val="24"/>
          <w:szCs w:val="24"/>
        </w:rPr>
      </w:pPr>
      <w:r w:rsidRPr="008541F3">
        <w:rPr>
          <w:rFonts w:asciiTheme="majorBidi" w:hAnsiTheme="majorBidi" w:cstheme="majorBidi"/>
          <w:sz w:val="24"/>
          <w:szCs w:val="24"/>
        </w:rPr>
        <w:t>This report analyses the conditions of migrant workers in Qatar who have sustained disabilities due to occupational accidents. Despite Qatar's ratification of the Convention on the Rights of Persons with Disabilities (CRPD) in 2008 and the establishment of a new Disability Rights Law in 2025, there remain problems in implementing these legal frameworks, particularly regarding the protection of migrant workers who become disabled as a result of their job-related injuries.</w:t>
      </w:r>
    </w:p>
    <w:p w:rsidR="00E57E36" w:rsidRPr="008541F3" w:rsidRDefault="00E57E36" w:rsidP="008541F3">
      <w:pPr>
        <w:ind w:right="-46"/>
        <w:jc w:val="both"/>
        <w:rPr>
          <w:rFonts w:asciiTheme="majorBidi" w:hAnsiTheme="majorBidi" w:cstheme="majorBidi"/>
          <w:sz w:val="24"/>
          <w:szCs w:val="24"/>
        </w:rPr>
      </w:pPr>
      <w:r w:rsidRPr="008541F3">
        <w:rPr>
          <w:rFonts w:asciiTheme="majorBidi" w:hAnsiTheme="majorBidi" w:cstheme="majorBidi"/>
          <w:sz w:val="24"/>
          <w:szCs w:val="24"/>
        </w:rPr>
        <w:t>Migrant workers make up an estimated 95% of Qatar's labor force and are engaged in low-wage, high-risk occupations such as construction, cleaning, and hospitality. These workers are often exposed to dangerous working conditions that lead to accidents and, ultimately, disability. Once injured, these workers face further discrimination. They are not only banished because of their injuries but also face additional biases due to their identity as foreign nationals, often without the full protection or support systems provided to local workers.</w:t>
      </w:r>
    </w:p>
    <w:p w:rsidR="00ED1C73" w:rsidRPr="008541F3" w:rsidRDefault="00ED1C73" w:rsidP="008541F3">
      <w:pPr>
        <w:ind w:right="-46"/>
        <w:jc w:val="both"/>
        <w:rPr>
          <w:rFonts w:asciiTheme="majorBidi" w:hAnsiTheme="majorBidi" w:cstheme="majorBidi"/>
          <w:b/>
          <w:bCs/>
          <w:sz w:val="24"/>
          <w:szCs w:val="24"/>
        </w:rPr>
      </w:pPr>
      <w:r w:rsidRPr="008541F3">
        <w:rPr>
          <w:rFonts w:asciiTheme="majorBidi" w:hAnsiTheme="majorBidi" w:cstheme="majorBidi"/>
          <w:b/>
          <w:bCs/>
          <w:sz w:val="24"/>
          <w:szCs w:val="24"/>
        </w:rPr>
        <w:t>2. Discrimination in Social Protection and Welfare Systems</w:t>
      </w:r>
    </w:p>
    <w:p w:rsidR="008541F3" w:rsidRPr="008541F3" w:rsidRDefault="008541F3" w:rsidP="008541F3">
      <w:pPr>
        <w:ind w:right="-46"/>
        <w:jc w:val="both"/>
        <w:rPr>
          <w:rFonts w:asciiTheme="majorBidi" w:hAnsiTheme="majorBidi" w:cstheme="majorBidi"/>
          <w:sz w:val="24"/>
          <w:szCs w:val="24"/>
        </w:rPr>
      </w:pPr>
      <w:r w:rsidRPr="008541F3">
        <w:rPr>
          <w:rFonts w:asciiTheme="majorBidi" w:hAnsiTheme="majorBidi" w:cstheme="majorBidi"/>
          <w:sz w:val="24"/>
          <w:szCs w:val="24"/>
        </w:rPr>
        <w:t xml:space="preserve">One of the most important barriers facing migrant workers with disabilities is the primacy of nationality in access to social support. Qatar’s social security system discriminates between citizens and non-citizens. Migrant workers are not entitled to </w:t>
      </w:r>
      <w:r>
        <w:rPr>
          <w:rFonts w:asciiTheme="majorBidi" w:hAnsiTheme="majorBidi" w:cstheme="majorBidi"/>
          <w:sz w:val="24"/>
          <w:szCs w:val="24"/>
        </w:rPr>
        <w:t>long-term</w:t>
      </w:r>
      <w:r w:rsidRPr="008541F3">
        <w:rPr>
          <w:rFonts w:asciiTheme="majorBidi" w:hAnsiTheme="majorBidi" w:cstheme="majorBidi"/>
          <w:sz w:val="24"/>
          <w:szCs w:val="24"/>
        </w:rPr>
        <w:t xml:space="preserve"> benefits such as disability pensions, rehabilitation services or other supports required under the CRPD.</w:t>
      </w:r>
    </w:p>
    <w:p w:rsidR="008541F3" w:rsidRPr="008541F3" w:rsidRDefault="008541F3" w:rsidP="00084AC9">
      <w:pPr>
        <w:ind w:right="-46"/>
        <w:jc w:val="both"/>
        <w:rPr>
          <w:rFonts w:asciiTheme="majorBidi" w:hAnsiTheme="majorBidi" w:cstheme="majorBidi"/>
          <w:sz w:val="24"/>
          <w:szCs w:val="24"/>
          <w:rtl/>
        </w:rPr>
      </w:pPr>
      <w:r w:rsidRPr="008541F3">
        <w:rPr>
          <w:rFonts w:asciiTheme="majorBidi" w:hAnsiTheme="majorBidi" w:cstheme="majorBidi"/>
          <w:sz w:val="24"/>
          <w:szCs w:val="24"/>
        </w:rPr>
        <w:t xml:space="preserve">Even the new Disability Law (2025), despite its emphasis on non-discrimination and reasonable accommodation, </w:t>
      </w:r>
      <w:r w:rsidR="00084AC9">
        <w:rPr>
          <w:rFonts w:asciiTheme="majorBidi" w:hAnsiTheme="majorBidi" w:cstheme="majorBidi"/>
          <w:sz w:val="24"/>
          <w:szCs w:val="24"/>
        </w:rPr>
        <w:t xml:space="preserve">does not </w:t>
      </w:r>
      <w:r w:rsidRPr="008541F3">
        <w:rPr>
          <w:rFonts w:asciiTheme="majorBidi" w:hAnsiTheme="majorBidi" w:cstheme="majorBidi"/>
          <w:sz w:val="24"/>
          <w:szCs w:val="24"/>
        </w:rPr>
        <w:t xml:space="preserve">effectively </w:t>
      </w:r>
      <w:r w:rsidR="00084AC9">
        <w:rPr>
          <w:rFonts w:asciiTheme="majorBidi" w:hAnsiTheme="majorBidi" w:cstheme="majorBidi"/>
          <w:sz w:val="24"/>
          <w:szCs w:val="24"/>
        </w:rPr>
        <w:t>cover</w:t>
      </w:r>
      <w:r w:rsidRPr="008541F3">
        <w:rPr>
          <w:rFonts w:asciiTheme="majorBidi" w:hAnsiTheme="majorBidi" w:cstheme="majorBidi"/>
          <w:sz w:val="24"/>
          <w:szCs w:val="24"/>
        </w:rPr>
        <w:t xml:space="preserve"> Qatari nationals, leaving migrant workers in a legal vacuum. Workers who become permanently disabled due to occupational accidents receive only limited, often inadequate, cash compensation – at best equivalent to 36 months of basic wages – and no </w:t>
      </w:r>
      <w:r>
        <w:rPr>
          <w:rFonts w:asciiTheme="majorBidi" w:hAnsiTheme="majorBidi" w:cstheme="majorBidi"/>
          <w:sz w:val="24"/>
          <w:szCs w:val="24"/>
        </w:rPr>
        <w:t>long-term</w:t>
      </w:r>
      <w:r w:rsidRPr="008541F3">
        <w:rPr>
          <w:rFonts w:asciiTheme="majorBidi" w:hAnsiTheme="majorBidi" w:cstheme="majorBidi"/>
          <w:sz w:val="24"/>
          <w:szCs w:val="24"/>
        </w:rPr>
        <w:t xml:space="preserve"> support for rehabilitation, assistive devices or dignified living.</w:t>
      </w:r>
    </w:p>
    <w:p w:rsidR="00581DA1" w:rsidRPr="00581DA1" w:rsidRDefault="00581DA1" w:rsidP="00581DA1">
      <w:pPr>
        <w:ind w:right="-46"/>
        <w:jc w:val="both"/>
        <w:rPr>
          <w:rFonts w:asciiTheme="majorBidi" w:hAnsiTheme="majorBidi" w:cstheme="majorBidi"/>
          <w:b/>
          <w:bCs/>
          <w:sz w:val="24"/>
          <w:szCs w:val="24"/>
        </w:rPr>
      </w:pPr>
      <w:r w:rsidRPr="00581DA1">
        <w:rPr>
          <w:rFonts w:asciiTheme="majorBidi" w:hAnsiTheme="majorBidi" w:cstheme="majorBidi"/>
          <w:b/>
          <w:bCs/>
          <w:sz w:val="24"/>
          <w:szCs w:val="24"/>
        </w:rPr>
        <w:t>3. Structural Barriers and Discrimination in Practice</w:t>
      </w:r>
    </w:p>
    <w:p w:rsidR="00581DA1" w:rsidRPr="00581DA1" w:rsidRDefault="00581DA1" w:rsidP="00581DA1">
      <w:pPr>
        <w:ind w:right="-46"/>
        <w:jc w:val="both"/>
        <w:rPr>
          <w:rFonts w:asciiTheme="majorBidi" w:hAnsiTheme="majorBidi" w:cstheme="majorBidi"/>
          <w:b/>
          <w:bCs/>
          <w:sz w:val="24"/>
          <w:szCs w:val="24"/>
        </w:rPr>
      </w:pPr>
      <w:r w:rsidRPr="00581DA1">
        <w:rPr>
          <w:rFonts w:asciiTheme="majorBidi" w:hAnsiTheme="majorBidi" w:cstheme="majorBidi"/>
          <w:b/>
          <w:bCs/>
          <w:sz w:val="24"/>
          <w:szCs w:val="24"/>
        </w:rPr>
        <w:t>3.1. Obstacles to Accessing Justice and Fair Compensation</w:t>
      </w:r>
    </w:p>
    <w:p w:rsidR="00581DA1" w:rsidRPr="00581DA1" w:rsidRDefault="00581DA1" w:rsidP="00581DA1">
      <w:pPr>
        <w:ind w:right="-46"/>
        <w:jc w:val="both"/>
        <w:rPr>
          <w:rFonts w:asciiTheme="majorBidi" w:hAnsiTheme="majorBidi" w:cstheme="majorBidi"/>
          <w:sz w:val="24"/>
          <w:szCs w:val="24"/>
        </w:rPr>
      </w:pPr>
      <w:r w:rsidRPr="00581DA1">
        <w:rPr>
          <w:rFonts w:asciiTheme="majorBidi" w:hAnsiTheme="majorBidi" w:cstheme="majorBidi"/>
          <w:sz w:val="24"/>
          <w:szCs w:val="24"/>
        </w:rPr>
        <w:t xml:space="preserve">Although Qatar’s Labor Law provides for compensation for </w:t>
      </w:r>
      <w:r>
        <w:rPr>
          <w:rFonts w:asciiTheme="majorBidi" w:hAnsiTheme="majorBidi" w:cstheme="majorBidi"/>
          <w:sz w:val="24"/>
          <w:szCs w:val="24"/>
        </w:rPr>
        <w:t>work-related</w:t>
      </w:r>
      <w:r w:rsidRPr="00581DA1">
        <w:rPr>
          <w:rFonts w:asciiTheme="majorBidi" w:hAnsiTheme="majorBidi" w:cstheme="majorBidi"/>
          <w:sz w:val="24"/>
          <w:szCs w:val="24"/>
        </w:rPr>
        <w:t xml:space="preserve"> injuries, migrant workers face serious obstacles in claiming their rights:</w:t>
      </w:r>
    </w:p>
    <w:p w:rsidR="00581DA1" w:rsidRPr="00581DA1" w:rsidRDefault="00581DA1" w:rsidP="00581DA1">
      <w:pPr>
        <w:ind w:right="-46"/>
        <w:jc w:val="both"/>
        <w:rPr>
          <w:rFonts w:asciiTheme="majorBidi" w:hAnsiTheme="majorBidi" w:cstheme="majorBidi"/>
          <w:sz w:val="24"/>
          <w:szCs w:val="24"/>
        </w:rPr>
      </w:pPr>
      <w:r w:rsidRPr="00581DA1">
        <w:rPr>
          <w:rFonts w:asciiTheme="majorBidi" w:hAnsiTheme="majorBidi" w:cstheme="majorBidi"/>
          <w:sz w:val="24"/>
          <w:szCs w:val="24"/>
        </w:rPr>
        <w:lastRenderedPageBreak/>
        <w:t>Heavy burden of proof: Employers often deny liability by alleging “violation of safety rules”. Injured workers, fearing dismissal or retaliation, are rarely able to prove employer fault.</w:t>
      </w:r>
    </w:p>
    <w:p w:rsidR="00581DA1" w:rsidRPr="00581DA1" w:rsidRDefault="00581DA1" w:rsidP="00581DA1">
      <w:pPr>
        <w:ind w:right="-46"/>
        <w:jc w:val="both"/>
        <w:rPr>
          <w:rFonts w:asciiTheme="majorBidi" w:hAnsiTheme="majorBidi" w:cstheme="majorBidi"/>
          <w:sz w:val="24"/>
          <w:szCs w:val="24"/>
        </w:rPr>
      </w:pPr>
      <w:r w:rsidRPr="00581DA1">
        <w:rPr>
          <w:rFonts w:asciiTheme="majorBidi" w:hAnsiTheme="majorBidi" w:cstheme="majorBidi"/>
          <w:sz w:val="24"/>
          <w:szCs w:val="24"/>
        </w:rPr>
        <w:t>Lengthy and costly proceedings: Litigation requires time and financial resources that a hospitalized or disabled worker typically lacks.</w:t>
      </w:r>
    </w:p>
    <w:p w:rsidR="00581DA1" w:rsidRDefault="00581DA1" w:rsidP="00581DA1">
      <w:pPr>
        <w:ind w:right="-46"/>
        <w:jc w:val="both"/>
        <w:rPr>
          <w:rFonts w:asciiTheme="majorBidi" w:hAnsiTheme="majorBidi" w:cstheme="majorBidi"/>
          <w:sz w:val="24"/>
          <w:szCs w:val="24"/>
          <w:rtl/>
          <w:lang w:bidi="fa-IR"/>
        </w:rPr>
      </w:pPr>
      <w:r w:rsidRPr="00581DA1">
        <w:rPr>
          <w:rFonts w:asciiTheme="majorBidi" w:hAnsiTheme="majorBidi" w:cstheme="majorBidi"/>
          <w:sz w:val="24"/>
          <w:szCs w:val="24"/>
        </w:rPr>
        <w:t>Fear of dismissal and residency cancellation: Many workers avoid filing complaints because they know the employer can effectively expel them without support by cancelling their residence permit.</w:t>
      </w:r>
    </w:p>
    <w:p w:rsidR="00581DA1" w:rsidRPr="00581DA1" w:rsidRDefault="00581DA1" w:rsidP="00581DA1">
      <w:pPr>
        <w:ind w:right="-46"/>
        <w:jc w:val="both"/>
        <w:rPr>
          <w:rFonts w:asciiTheme="majorBidi" w:hAnsiTheme="majorBidi" w:cstheme="majorBidi"/>
          <w:b/>
          <w:bCs/>
          <w:sz w:val="24"/>
          <w:szCs w:val="24"/>
        </w:rPr>
      </w:pPr>
      <w:r w:rsidRPr="00581DA1">
        <w:rPr>
          <w:rFonts w:asciiTheme="majorBidi" w:hAnsiTheme="majorBidi" w:cstheme="majorBidi"/>
          <w:b/>
          <w:bCs/>
          <w:sz w:val="24"/>
          <w:szCs w:val="24"/>
        </w:rPr>
        <w:t xml:space="preserve">3.2. Double Vulnerability of </w:t>
      </w:r>
      <w:r w:rsidR="004C2A8C">
        <w:rPr>
          <w:rFonts w:asciiTheme="majorBidi" w:hAnsiTheme="majorBidi" w:cstheme="majorBidi"/>
          <w:b/>
          <w:bCs/>
          <w:sz w:val="24"/>
          <w:szCs w:val="24"/>
        </w:rPr>
        <w:t xml:space="preserve">Informal and </w:t>
      </w:r>
      <w:r w:rsidRPr="00581DA1">
        <w:rPr>
          <w:rFonts w:asciiTheme="majorBidi" w:hAnsiTheme="majorBidi" w:cstheme="majorBidi"/>
          <w:b/>
          <w:bCs/>
          <w:sz w:val="24"/>
          <w:szCs w:val="24"/>
        </w:rPr>
        <w:t>Domestic Workers</w:t>
      </w:r>
    </w:p>
    <w:p w:rsidR="00581DA1" w:rsidRPr="00581DA1" w:rsidRDefault="004C2A8C" w:rsidP="00581DA1">
      <w:pPr>
        <w:ind w:right="-46"/>
        <w:jc w:val="both"/>
        <w:rPr>
          <w:rFonts w:asciiTheme="majorBidi" w:hAnsiTheme="majorBidi" w:cstheme="majorBidi"/>
          <w:sz w:val="24"/>
          <w:szCs w:val="24"/>
        </w:rPr>
      </w:pPr>
      <w:r>
        <w:rPr>
          <w:rFonts w:asciiTheme="majorBidi" w:hAnsiTheme="majorBidi" w:cstheme="majorBidi"/>
          <w:sz w:val="24"/>
          <w:szCs w:val="24"/>
        </w:rPr>
        <w:t xml:space="preserve">Informal and </w:t>
      </w:r>
      <w:r w:rsidR="00581DA1" w:rsidRPr="00581DA1">
        <w:rPr>
          <w:rFonts w:asciiTheme="majorBidi" w:hAnsiTheme="majorBidi" w:cstheme="majorBidi"/>
          <w:sz w:val="24"/>
          <w:szCs w:val="24"/>
        </w:rPr>
        <w:t>Domestic workers, mostly women, are in the most precarious legal situation. They have traditionally been excluded from labor law coverage. Even after recent reforms, access to compensation for occupational injuries remains extremely difficult. Women who become disabled while working are often left without any compensation and face expulsion to their country of origin without rehabilitation support.</w:t>
      </w:r>
    </w:p>
    <w:p w:rsidR="00581DA1" w:rsidRPr="00581DA1" w:rsidRDefault="00581DA1" w:rsidP="00581DA1">
      <w:pPr>
        <w:ind w:right="-46"/>
        <w:jc w:val="both"/>
        <w:rPr>
          <w:rFonts w:asciiTheme="majorBidi" w:hAnsiTheme="majorBidi" w:cstheme="majorBidi"/>
          <w:b/>
          <w:bCs/>
          <w:sz w:val="24"/>
          <w:szCs w:val="24"/>
        </w:rPr>
      </w:pPr>
      <w:r w:rsidRPr="00581DA1">
        <w:rPr>
          <w:rFonts w:asciiTheme="majorBidi" w:hAnsiTheme="majorBidi" w:cstheme="majorBidi"/>
          <w:b/>
          <w:bCs/>
          <w:sz w:val="24"/>
          <w:szCs w:val="24"/>
        </w:rPr>
        <w:t>3.3. Lack of transparency regarding migrant workers with disabilities</w:t>
      </w:r>
    </w:p>
    <w:p w:rsidR="00581DA1" w:rsidRDefault="00581DA1" w:rsidP="00581DA1">
      <w:pPr>
        <w:ind w:right="-46"/>
        <w:jc w:val="both"/>
        <w:rPr>
          <w:rFonts w:asciiTheme="majorBidi" w:hAnsiTheme="majorBidi" w:cstheme="majorBidi"/>
          <w:sz w:val="24"/>
          <w:szCs w:val="24"/>
          <w:rtl/>
        </w:rPr>
      </w:pPr>
      <w:r w:rsidRPr="00581DA1">
        <w:rPr>
          <w:rFonts w:asciiTheme="majorBidi" w:hAnsiTheme="majorBidi" w:cstheme="majorBidi"/>
          <w:sz w:val="24"/>
          <w:szCs w:val="24"/>
        </w:rPr>
        <w:t>Qatar has consistently refused to provide disaggregated statistics on the number of migrant workers who have become disabled due to occupational accidents. In its previous concluding observations, the Committee on the Rights of Persons with Disabilities explicitly requested Qatar to clarify its processes for identifying persons with disabilities among the migrant population and recognizing their rights. Qatar’s responses have remained vague and non-transparent. For example, mortality statistics for major projects (such as the World Cup) are reported in a way that makes it impossible to distinguish work-related deaths and disabilities from other causes.</w:t>
      </w:r>
    </w:p>
    <w:p w:rsidR="00ED1C73" w:rsidRPr="00581DA1" w:rsidRDefault="00ED1C73" w:rsidP="00581DA1">
      <w:pPr>
        <w:ind w:right="-46"/>
        <w:jc w:val="both"/>
        <w:rPr>
          <w:rFonts w:asciiTheme="majorBidi" w:hAnsiTheme="majorBidi" w:cstheme="majorBidi"/>
          <w:b/>
          <w:bCs/>
          <w:sz w:val="24"/>
          <w:szCs w:val="24"/>
        </w:rPr>
      </w:pPr>
      <w:r w:rsidRPr="00581DA1">
        <w:rPr>
          <w:rFonts w:asciiTheme="majorBidi" w:hAnsiTheme="majorBidi" w:cstheme="majorBidi"/>
          <w:b/>
          <w:bCs/>
          <w:sz w:val="24"/>
          <w:szCs w:val="24"/>
        </w:rPr>
        <w:t>4. Conclusion</w:t>
      </w:r>
    </w:p>
    <w:p w:rsidR="00ED1C73" w:rsidRDefault="00ED1C73" w:rsidP="00084AC9">
      <w:pPr>
        <w:ind w:right="-46"/>
        <w:jc w:val="both"/>
        <w:rPr>
          <w:rFonts w:asciiTheme="majorBidi" w:hAnsiTheme="majorBidi" w:cstheme="majorBidi"/>
          <w:sz w:val="24"/>
          <w:szCs w:val="24"/>
          <w:rtl/>
        </w:rPr>
      </w:pPr>
      <w:r w:rsidRPr="008541F3">
        <w:rPr>
          <w:rFonts w:asciiTheme="majorBidi" w:hAnsiTheme="majorBidi" w:cstheme="majorBidi"/>
          <w:sz w:val="24"/>
          <w:szCs w:val="24"/>
        </w:rPr>
        <w:t xml:space="preserve">Migrant workers who become disabled as a result of occupational accidents in Qatar are victims of a dual system of discrimination. While Qatar presents itself internationally as a defender of </w:t>
      </w:r>
      <w:r w:rsidR="004C2A8C" w:rsidRPr="008541F3">
        <w:rPr>
          <w:rFonts w:asciiTheme="majorBidi" w:hAnsiTheme="majorBidi" w:cstheme="majorBidi"/>
          <w:sz w:val="24"/>
          <w:szCs w:val="24"/>
        </w:rPr>
        <w:t>workers and</w:t>
      </w:r>
      <w:r w:rsidRPr="008541F3">
        <w:rPr>
          <w:rFonts w:asciiTheme="majorBidi" w:hAnsiTheme="majorBidi" w:cstheme="majorBidi"/>
          <w:sz w:val="24"/>
          <w:szCs w:val="24"/>
        </w:rPr>
        <w:t xml:space="preserve"> disability rights, its domestic laws and policies – particularly in the fields of social security and compensation – create deep inequalities between citizens and non</w:t>
      </w:r>
      <w:r w:rsidRPr="008541F3">
        <w:rPr>
          <w:rFonts w:asciiTheme="majorBidi" w:hAnsiTheme="majorBidi" w:cstheme="majorBidi"/>
          <w:sz w:val="24"/>
          <w:szCs w:val="24"/>
        </w:rPr>
        <w:noBreakHyphen/>
        <w:t>citizens. This situation clearly violates Articles 5 (equality and non</w:t>
      </w:r>
      <w:r w:rsidRPr="008541F3">
        <w:rPr>
          <w:rFonts w:asciiTheme="majorBidi" w:hAnsiTheme="majorBidi" w:cstheme="majorBidi"/>
          <w:sz w:val="24"/>
          <w:szCs w:val="24"/>
        </w:rPr>
        <w:noBreakHyphen/>
        <w:t>discrimination), 26 (habilitation and rehabilitation)</w:t>
      </w:r>
      <w:r w:rsidR="00084AC9">
        <w:rPr>
          <w:rFonts w:asciiTheme="majorBidi" w:hAnsiTheme="majorBidi" w:cstheme="majorBidi"/>
          <w:sz w:val="24"/>
          <w:szCs w:val="24"/>
        </w:rPr>
        <w:t>,</w:t>
      </w:r>
      <w:r w:rsidRPr="008541F3">
        <w:rPr>
          <w:rFonts w:asciiTheme="majorBidi" w:hAnsiTheme="majorBidi" w:cstheme="majorBidi"/>
          <w:sz w:val="24"/>
          <w:szCs w:val="24"/>
        </w:rPr>
        <w:t xml:space="preserve"> and 27 (work and employment) of the Convention on the Rights of Persons with Disabilities.</w:t>
      </w:r>
    </w:p>
    <w:p w:rsidR="0059116B" w:rsidRPr="008541F3" w:rsidRDefault="0059116B" w:rsidP="00084AC9">
      <w:pPr>
        <w:ind w:right="-46"/>
        <w:jc w:val="both"/>
        <w:rPr>
          <w:rFonts w:asciiTheme="majorBidi" w:hAnsiTheme="majorBidi" w:cstheme="majorBidi"/>
          <w:sz w:val="24"/>
          <w:szCs w:val="24"/>
        </w:rPr>
      </w:pPr>
    </w:p>
    <w:p w:rsidR="004C2A8C" w:rsidRPr="004C2A8C" w:rsidRDefault="004C2A8C" w:rsidP="004C2A8C">
      <w:pPr>
        <w:ind w:right="-46"/>
        <w:jc w:val="both"/>
        <w:rPr>
          <w:rFonts w:asciiTheme="majorBidi" w:hAnsiTheme="majorBidi" w:cstheme="majorBidi"/>
          <w:b/>
          <w:bCs/>
          <w:sz w:val="24"/>
          <w:szCs w:val="24"/>
        </w:rPr>
      </w:pPr>
      <w:r w:rsidRPr="004C2A8C">
        <w:rPr>
          <w:rFonts w:asciiTheme="majorBidi" w:hAnsiTheme="majorBidi" w:cstheme="majorBidi"/>
          <w:b/>
          <w:bCs/>
          <w:sz w:val="24"/>
          <w:szCs w:val="24"/>
        </w:rPr>
        <w:lastRenderedPageBreak/>
        <w:t>5. Recommendations</w:t>
      </w:r>
    </w:p>
    <w:p w:rsidR="004C2A8C" w:rsidRPr="004C2A8C" w:rsidRDefault="004C2A8C" w:rsidP="004C2A8C">
      <w:pPr>
        <w:ind w:right="-46"/>
        <w:jc w:val="both"/>
        <w:rPr>
          <w:rFonts w:asciiTheme="majorBidi" w:hAnsiTheme="majorBidi" w:cstheme="majorBidi"/>
          <w:sz w:val="24"/>
          <w:szCs w:val="24"/>
        </w:rPr>
      </w:pPr>
      <w:r w:rsidRPr="004C2A8C">
        <w:rPr>
          <w:rFonts w:asciiTheme="majorBidi" w:hAnsiTheme="majorBidi" w:cstheme="majorBidi"/>
          <w:sz w:val="24"/>
          <w:szCs w:val="24"/>
        </w:rPr>
        <w:t>Based on the above findings, we urge the Committee on the Rights of Persons with Disabilities to issue the following recommendations to the State of Qatar:</w:t>
      </w:r>
    </w:p>
    <w:p w:rsidR="004C2A8C" w:rsidRPr="004C2A8C" w:rsidRDefault="004C2A8C" w:rsidP="00A144D6">
      <w:pPr>
        <w:pStyle w:val="ListParagraph"/>
        <w:numPr>
          <w:ilvl w:val="0"/>
          <w:numId w:val="4"/>
        </w:numPr>
        <w:ind w:left="426" w:right="-46"/>
        <w:jc w:val="both"/>
        <w:rPr>
          <w:rFonts w:asciiTheme="majorBidi" w:hAnsiTheme="majorBidi" w:cstheme="majorBidi"/>
          <w:sz w:val="24"/>
          <w:szCs w:val="24"/>
        </w:rPr>
      </w:pPr>
      <w:r>
        <w:rPr>
          <w:rFonts w:asciiTheme="majorBidi" w:hAnsiTheme="majorBidi" w:cstheme="majorBidi"/>
          <w:sz w:val="24"/>
          <w:szCs w:val="24"/>
        </w:rPr>
        <w:t xml:space="preserve">We urge you to </w:t>
      </w:r>
      <w:r w:rsidRPr="004C2A8C">
        <w:rPr>
          <w:rFonts w:asciiTheme="majorBidi" w:hAnsiTheme="majorBidi" w:cstheme="majorBidi"/>
          <w:sz w:val="24"/>
          <w:szCs w:val="24"/>
        </w:rPr>
        <w:t xml:space="preserve">amend social security and disability laws so that migrant workers with </w:t>
      </w:r>
      <w:r w:rsidR="00A144D6">
        <w:rPr>
          <w:rFonts w:asciiTheme="majorBidi" w:hAnsiTheme="majorBidi" w:cstheme="majorBidi"/>
          <w:sz w:val="24"/>
          <w:szCs w:val="24"/>
        </w:rPr>
        <w:t>work-related disabilities enjoy the same long-term</w:t>
      </w:r>
      <w:r w:rsidRPr="004C2A8C">
        <w:rPr>
          <w:rFonts w:asciiTheme="majorBidi" w:hAnsiTheme="majorBidi" w:cstheme="majorBidi"/>
          <w:sz w:val="24"/>
          <w:szCs w:val="24"/>
        </w:rPr>
        <w:t xml:space="preserve"> benefits (including pensions, rehabilitation and assistive devices) as Qatari nationals.</w:t>
      </w:r>
    </w:p>
    <w:p w:rsidR="004C2A8C" w:rsidRPr="004C2A8C" w:rsidRDefault="004C2A8C" w:rsidP="00A144D6">
      <w:pPr>
        <w:pStyle w:val="ListParagraph"/>
        <w:numPr>
          <w:ilvl w:val="0"/>
          <w:numId w:val="4"/>
        </w:numPr>
        <w:ind w:left="426" w:right="-46"/>
        <w:jc w:val="both"/>
        <w:rPr>
          <w:rFonts w:asciiTheme="majorBidi" w:hAnsiTheme="majorBidi" w:cstheme="majorBidi"/>
          <w:sz w:val="24"/>
          <w:szCs w:val="24"/>
        </w:rPr>
      </w:pPr>
      <w:r w:rsidRPr="004C2A8C">
        <w:rPr>
          <w:rFonts w:asciiTheme="majorBidi" w:hAnsiTheme="majorBidi" w:cstheme="majorBidi"/>
          <w:sz w:val="24"/>
          <w:szCs w:val="24"/>
        </w:rPr>
        <w:t xml:space="preserve">Create an independent, </w:t>
      </w:r>
      <w:r w:rsidR="00A144D6">
        <w:rPr>
          <w:rFonts w:asciiTheme="majorBidi" w:hAnsiTheme="majorBidi" w:cstheme="majorBidi"/>
          <w:sz w:val="24"/>
          <w:szCs w:val="24"/>
        </w:rPr>
        <w:t>state-administered</w:t>
      </w:r>
      <w:r w:rsidRPr="004C2A8C">
        <w:rPr>
          <w:rFonts w:asciiTheme="majorBidi" w:hAnsiTheme="majorBidi" w:cstheme="majorBidi"/>
          <w:sz w:val="24"/>
          <w:szCs w:val="24"/>
        </w:rPr>
        <w:t xml:space="preserve"> fund to compensate workers whose employer is unable or unwilling to pay compensation, together with simplified legal procedures for workers with disabilities.</w:t>
      </w:r>
    </w:p>
    <w:p w:rsidR="004C2A8C" w:rsidRPr="004C2A8C" w:rsidRDefault="004C2A8C" w:rsidP="004C2A8C">
      <w:pPr>
        <w:pStyle w:val="ListParagraph"/>
        <w:numPr>
          <w:ilvl w:val="0"/>
          <w:numId w:val="4"/>
        </w:numPr>
        <w:ind w:left="426" w:right="-46"/>
        <w:jc w:val="both"/>
        <w:rPr>
          <w:rFonts w:asciiTheme="majorBidi" w:hAnsiTheme="majorBidi" w:cstheme="majorBidi"/>
          <w:sz w:val="24"/>
          <w:szCs w:val="24"/>
        </w:rPr>
      </w:pPr>
      <w:r w:rsidRPr="004C2A8C">
        <w:rPr>
          <w:rFonts w:asciiTheme="majorBidi" w:hAnsiTheme="majorBidi" w:cstheme="majorBidi"/>
          <w:sz w:val="24"/>
          <w:szCs w:val="24"/>
        </w:rPr>
        <w:t>Compel Qatar to collect and publish annual disaggregated data (by nationality, gender, type of disability, cause of injury) on all persons with disabilities residing in Qatar, in response to the Committee’s previous requests.</w:t>
      </w:r>
    </w:p>
    <w:p w:rsidR="004C2A8C" w:rsidRPr="004C2A8C" w:rsidRDefault="004C2A8C" w:rsidP="004C2A8C">
      <w:pPr>
        <w:pStyle w:val="ListParagraph"/>
        <w:numPr>
          <w:ilvl w:val="0"/>
          <w:numId w:val="4"/>
        </w:numPr>
        <w:ind w:left="426" w:right="-46"/>
        <w:jc w:val="both"/>
        <w:rPr>
          <w:rFonts w:asciiTheme="majorBidi" w:hAnsiTheme="majorBidi" w:cstheme="majorBidi"/>
          <w:sz w:val="24"/>
          <w:szCs w:val="24"/>
        </w:rPr>
      </w:pPr>
      <w:r w:rsidRPr="004C2A8C">
        <w:rPr>
          <w:rFonts w:asciiTheme="majorBidi" w:hAnsiTheme="majorBidi" w:cstheme="majorBidi"/>
          <w:sz w:val="24"/>
          <w:szCs w:val="24"/>
        </w:rPr>
        <w:t xml:space="preserve">Amend </w:t>
      </w:r>
      <w:r w:rsidR="00A144D6" w:rsidRPr="004C2A8C">
        <w:rPr>
          <w:rFonts w:asciiTheme="majorBidi" w:hAnsiTheme="majorBidi" w:cstheme="majorBidi"/>
          <w:sz w:val="24"/>
          <w:szCs w:val="24"/>
        </w:rPr>
        <w:t>labor</w:t>
      </w:r>
      <w:r w:rsidRPr="004C2A8C">
        <w:rPr>
          <w:rFonts w:asciiTheme="majorBidi" w:hAnsiTheme="majorBidi" w:cstheme="majorBidi"/>
          <w:sz w:val="24"/>
          <w:szCs w:val="24"/>
        </w:rPr>
        <w:t xml:space="preserve"> laws to fully include domestic workers in the occupational injury compensation system and guarantee their access to rehabilitation services and legal support if they become disabled.</w:t>
      </w:r>
    </w:p>
    <w:p w:rsidR="004C2A8C" w:rsidRPr="004C2A8C" w:rsidRDefault="004C2A8C" w:rsidP="00A144D6">
      <w:pPr>
        <w:pStyle w:val="ListParagraph"/>
        <w:numPr>
          <w:ilvl w:val="0"/>
          <w:numId w:val="4"/>
        </w:numPr>
        <w:ind w:left="426" w:right="-46"/>
        <w:jc w:val="both"/>
        <w:rPr>
          <w:rFonts w:asciiTheme="majorBidi" w:hAnsiTheme="majorBidi" w:cstheme="majorBidi"/>
          <w:b/>
          <w:bCs/>
          <w:sz w:val="24"/>
          <w:szCs w:val="24"/>
        </w:rPr>
      </w:pPr>
      <w:r w:rsidRPr="004C2A8C">
        <w:rPr>
          <w:rFonts w:asciiTheme="majorBidi" w:hAnsiTheme="majorBidi" w:cstheme="majorBidi"/>
          <w:sz w:val="24"/>
          <w:szCs w:val="24"/>
        </w:rPr>
        <w:t xml:space="preserve">Adopt laws prohibiting employers from dismissing or cancelling the residence permits of workers who become disabled on the job during the period of treatment and rehabilitation, and, where possible, grant them </w:t>
      </w:r>
      <w:r w:rsidR="00A144D6">
        <w:rPr>
          <w:rFonts w:asciiTheme="majorBidi" w:hAnsiTheme="majorBidi" w:cstheme="majorBidi"/>
          <w:sz w:val="24"/>
          <w:szCs w:val="24"/>
        </w:rPr>
        <w:t>long-term</w:t>
      </w:r>
      <w:r w:rsidRPr="004C2A8C">
        <w:rPr>
          <w:rFonts w:asciiTheme="majorBidi" w:hAnsiTheme="majorBidi" w:cstheme="majorBidi"/>
          <w:sz w:val="24"/>
          <w:szCs w:val="24"/>
        </w:rPr>
        <w:t xml:space="preserve"> humanitarian residence permits</w:t>
      </w:r>
      <w:r w:rsidRPr="004C2A8C">
        <w:rPr>
          <w:rFonts w:asciiTheme="majorBidi" w:hAnsiTheme="majorBidi" w:cstheme="majorBidi"/>
          <w:b/>
          <w:bCs/>
          <w:sz w:val="24"/>
          <w:szCs w:val="24"/>
        </w:rPr>
        <w:t>.</w:t>
      </w:r>
    </w:p>
    <w:p w:rsidR="00ED1C73" w:rsidRPr="004C2A8C" w:rsidRDefault="00ED1C73" w:rsidP="004C2A8C">
      <w:pPr>
        <w:ind w:right="-46"/>
        <w:jc w:val="both"/>
        <w:rPr>
          <w:rFonts w:asciiTheme="majorBidi" w:hAnsiTheme="majorBidi" w:cstheme="majorBidi"/>
          <w:b/>
          <w:bCs/>
          <w:sz w:val="24"/>
          <w:szCs w:val="24"/>
        </w:rPr>
      </w:pPr>
      <w:r w:rsidRPr="004C2A8C">
        <w:rPr>
          <w:rFonts w:asciiTheme="majorBidi" w:hAnsiTheme="majorBidi" w:cstheme="majorBidi"/>
          <w:b/>
          <w:bCs/>
          <w:sz w:val="24"/>
          <w:szCs w:val="24"/>
        </w:rPr>
        <w:t>Sources</w:t>
      </w:r>
    </w:p>
    <w:p w:rsidR="00ED1C73" w:rsidRPr="00A144D6" w:rsidRDefault="00A144D6" w:rsidP="00A144D6">
      <w:pPr>
        <w:pStyle w:val="ListParagraph"/>
        <w:numPr>
          <w:ilvl w:val="0"/>
          <w:numId w:val="5"/>
        </w:numPr>
        <w:ind w:right="-46"/>
        <w:jc w:val="both"/>
        <w:rPr>
          <w:rFonts w:asciiTheme="majorBidi" w:hAnsiTheme="majorBidi" w:cstheme="majorBidi"/>
          <w:sz w:val="24"/>
          <w:szCs w:val="24"/>
        </w:rPr>
      </w:pPr>
      <w:r w:rsidRPr="00A144D6">
        <w:rPr>
          <w:rFonts w:asciiTheme="majorBidi" w:hAnsiTheme="majorBidi" w:cstheme="majorBidi"/>
          <w:sz w:val="24"/>
          <w:szCs w:val="24"/>
        </w:rPr>
        <w:t>https://www.ilo.org/publications/review-national-social-protection-legislation-and-legal-frameworks-migrant</w:t>
      </w:r>
      <w:r w:rsidR="00ED1C73" w:rsidRPr="00A144D6">
        <w:rPr>
          <w:rFonts w:asciiTheme="majorBidi" w:hAnsiTheme="majorBidi" w:cstheme="majorBidi"/>
          <w:sz w:val="24"/>
          <w:szCs w:val="24"/>
        </w:rPr>
        <w:t>Amnesty International. (2025). </w:t>
      </w:r>
      <w:r w:rsidR="00ED1C73" w:rsidRPr="00A144D6">
        <w:rPr>
          <w:rFonts w:asciiTheme="majorBidi" w:hAnsiTheme="majorBidi" w:cstheme="majorBidi"/>
          <w:i/>
          <w:iCs/>
          <w:sz w:val="24"/>
          <w:szCs w:val="24"/>
        </w:rPr>
        <w:t>The Invisible Workers: Exploitation and Abuse of Migrant Domestic Workers in Qatar</w:t>
      </w:r>
      <w:r w:rsidR="00ED1C73" w:rsidRPr="00A144D6">
        <w:rPr>
          <w:rFonts w:asciiTheme="majorBidi" w:hAnsiTheme="majorBidi" w:cstheme="majorBidi"/>
          <w:sz w:val="24"/>
          <w:szCs w:val="24"/>
        </w:rPr>
        <w:t>.</w:t>
      </w:r>
    </w:p>
    <w:p w:rsidR="00ED1C73" w:rsidRDefault="00A144D6" w:rsidP="00A144D6">
      <w:pPr>
        <w:pStyle w:val="ListParagraph"/>
        <w:numPr>
          <w:ilvl w:val="0"/>
          <w:numId w:val="5"/>
        </w:numPr>
        <w:ind w:right="-46"/>
        <w:jc w:val="both"/>
        <w:rPr>
          <w:rFonts w:asciiTheme="majorBidi" w:hAnsiTheme="majorBidi" w:cstheme="majorBidi"/>
          <w:sz w:val="24"/>
          <w:szCs w:val="24"/>
        </w:rPr>
      </w:pPr>
      <w:r w:rsidRPr="00A144D6">
        <w:rPr>
          <w:rFonts w:asciiTheme="majorBidi" w:hAnsiTheme="majorBidi" w:cstheme="majorBidi"/>
          <w:sz w:val="24"/>
          <w:szCs w:val="24"/>
        </w:rPr>
        <w:t>https://www.hrw.org/world-report/2024/country-chapters/qatar</w:t>
      </w:r>
      <w:r w:rsidR="00ED1C73" w:rsidRPr="00A144D6">
        <w:rPr>
          <w:rFonts w:asciiTheme="majorBidi" w:hAnsiTheme="majorBidi" w:cstheme="majorBidi"/>
          <w:sz w:val="24"/>
          <w:szCs w:val="24"/>
        </w:rPr>
        <w:t>Committee on the Rights of Persons with Disabilities. (2023). </w:t>
      </w:r>
      <w:r w:rsidR="00ED1C73" w:rsidRPr="00A144D6">
        <w:rPr>
          <w:rFonts w:asciiTheme="majorBidi" w:hAnsiTheme="majorBidi" w:cstheme="majorBidi"/>
          <w:i/>
          <w:iCs/>
          <w:sz w:val="24"/>
          <w:szCs w:val="24"/>
        </w:rPr>
        <w:t>Concluding observations on the initial report of Qatar</w:t>
      </w:r>
      <w:r w:rsidR="00ED1C73" w:rsidRPr="00A144D6">
        <w:rPr>
          <w:rFonts w:asciiTheme="majorBidi" w:hAnsiTheme="majorBidi" w:cstheme="majorBidi"/>
          <w:sz w:val="24"/>
          <w:szCs w:val="24"/>
        </w:rPr>
        <w:t> (CRPD/C/QAT/CO/1).</w:t>
      </w:r>
    </w:p>
    <w:p w:rsidR="00A144D6" w:rsidRPr="00A144D6" w:rsidRDefault="00A144D6" w:rsidP="00A144D6">
      <w:pPr>
        <w:pStyle w:val="ListParagraph"/>
        <w:numPr>
          <w:ilvl w:val="0"/>
          <w:numId w:val="5"/>
        </w:numPr>
        <w:ind w:right="-46"/>
        <w:jc w:val="both"/>
        <w:rPr>
          <w:rFonts w:asciiTheme="majorBidi" w:hAnsiTheme="majorBidi" w:cstheme="majorBidi"/>
          <w:sz w:val="24"/>
          <w:szCs w:val="24"/>
        </w:rPr>
      </w:pPr>
      <w:r w:rsidRPr="00A144D6">
        <w:rPr>
          <w:rFonts w:asciiTheme="majorBidi" w:hAnsiTheme="majorBidi" w:cstheme="majorBidi"/>
          <w:sz w:val="24"/>
          <w:szCs w:val="24"/>
        </w:rPr>
        <w:t>https://www.amnesty.org/en/location/middle-east-and-north-africa/middle-east/qatar/report-qatar/</w:t>
      </w:r>
    </w:p>
    <w:p w:rsidR="00D549AA" w:rsidRPr="00A144D6" w:rsidRDefault="00344FD7" w:rsidP="00A144D6">
      <w:pPr>
        <w:pStyle w:val="ListParagraph"/>
        <w:numPr>
          <w:ilvl w:val="0"/>
          <w:numId w:val="5"/>
        </w:numPr>
        <w:ind w:right="-46"/>
        <w:jc w:val="both"/>
        <w:rPr>
          <w:rFonts w:asciiTheme="majorBidi" w:hAnsiTheme="majorBidi" w:cstheme="majorBidi"/>
          <w:color w:val="000000" w:themeColor="text1"/>
          <w:sz w:val="24"/>
          <w:szCs w:val="24"/>
        </w:rPr>
      </w:pPr>
      <w:hyperlink r:id="rId8" w:history="1">
        <w:r w:rsidR="00A144D6" w:rsidRPr="00A144D6">
          <w:rPr>
            <w:rStyle w:val="Hyperlink"/>
            <w:rFonts w:asciiTheme="majorBidi" w:hAnsiTheme="majorBidi" w:cstheme="majorBidi"/>
            <w:color w:val="000000" w:themeColor="text1"/>
            <w:sz w:val="24"/>
            <w:szCs w:val="24"/>
            <w:u w:val="none"/>
          </w:rPr>
          <w:t>https://www.theguardian.com/global-development/2020/jul/15/migrant-workers-in-qatar-face-structural-racism-says-un-report</w:t>
        </w:r>
      </w:hyperlink>
    </w:p>
    <w:p w:rsidR="00A144D6" w:rsidRPr="00A144D6" w:rsidRDefault="00344FD7" w:rsidP="00A144D6">
      <w:pPr>
        <w:pStyle w:val="ListParagraph"/>
        <w:numPr>
          <w:ilvl w:val="0"/>
          <w:numId w:val="5"/>
        </w:numPr>
        <w:ind w:right="-46"/>
        <w:jc w:val="both"/>
        <w:rPr>
          <w:rFonts w:asciiTheme="majorBidi" w:hAnsiTheme="majorBidi" w:cstheme="majorBidi"/>
          <w:color w:val="000000" w:themeColor="text1"/>
          <w:sz w:val="24"/>
          <w:szCs w:val="24"/>
        </w:rPr>
      </w:pPr>
      <w:hyperlink r:id="rId9" w:history="1">
        <w:r w:rsidR="00A144D6" w:rsidRPr="00A144D6">
          <w:rPr>
            <w:rStyle w:val="Hyperlink"/>
            <w:rFonts w:asciiTheme="majorBidi" w:hAnsiTheme="majorBidi" w:cstheme="majorBidi"/>
            <w:color w:val="000000" w:themeColor="text1"/>
            <w:sz w:val="24"/>
            <w:szCs w:val="24"/>
            <w:u w:val="none"/>
          </w:rPr>
          <w:t>https://equidem.org/migrant-worker-rights-violations-in-qatar/</w:t>
        </w:r>
      </w:hyperlink>
    </w:p>
    <w:p w:rsidR="00A144D6" w:rsidRPr="00A144D6" w:rsidRDefault="00A144D6" w:rsidP="00A144D6">
      <w:pPr>
        <w:pStyle w:val="ListParagraph"/>
        <w:numPr>
          <w:ilvl w:val="0"/>
          <w:numId w:val="5"/>
        </w:numPr>
        <w:ind w:right="-46"/>
        <w:jc w:val="both"/>
        <w:rPr>
          <w:rFonts w:asciiTheme="majorBidi" w:hAnsiTheme="majorBidi" w:cstheme="majorBidi"/>
          <w:sz w:val="24"/>
          <w:szCs w:val="24"/>
        </w:rPr>
      </w:pPr>
      <w:r w:rsidRPr="00A144D6">
        <w:rPr>
          <w:rFonts w:asciiTheme="majorBidi" w:hAnsiTheme="majorBidi" w:cstheme="majorBidi"/>
          <w:sz w:val="24"/>
          <w:szCs w:val="24"/>
        </w:rPr>
        <w:t>https://www.state.gov/wp-content/uploads/2023/03/415610_QATAR-2022-HUMAN-RIGHTS-REPORT.pdf</w:t>
      </w:r>
    </w:p>
    <w:sectPr w:rsidR="00A144D6" w:rsidRPr="00A144D6" w:rsidSect="0059116B">
      <w:headerReference w:type="default" r:id="rId10"/>
      <w:pgSz w:w="11906" w:h="16838" w:code="9"/>
      <w:pgMar w:top="3686" w:right="1440" w:bottom="212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FD7" w:rsidRDefault="00344FD7" w:rsidP="0059116B">
      <w:pPr>
        <w:spacing w:after="0" w:line="240" w:lineRule="auto"/>
      </w:pPr>
      <w:r>
        <w:separator/>
      </w:r>
    </w:p>
  </w:endnote>
  <w:endnote w:type="continuationSeparator" w:id="0">
    <w:p w:rsidR="00344FD7" w:rsidRDefault="00344FD7" w:rsidP="00591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FD7" w:rsidRDefault="00344FD7" w:rsidP="0059116B">
      <w:pPr>
        <w:spacing w:after="0" w:line="240" w:lineRule="auto"/>
      </w:pPr>
      <w:r>
        <w:separator/>
      </w:r>
    </w:p>
  </w:footnote>
  <w:footnote w:type="continuationSeparator" w:id="0">
    <w:p w:rsidR="00344FD7" w:rsidRDefault="00344FD7" w:rsidP="005911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16B" w:rsidRDefault="0059116B">
    <w:pPr>
      <w:pStyle w:val="Header"/>
    </w:pPr>
    <w:r>
      <w:rPr>
        <w:rFonts w:hint="cs"/>
        <w:noProof/>
      </w:rPr>
      <w:drawing>
        <wp:anchor distT="0" distB="0" distL="114300" distR="114300" simplePos="0" relativeHeight="251659264" behindDoc="1" locked="0" layoutInCell="1" allowOverlap="1" wp14:anchorId="584B9461" wp14:editId="66882893">
          <wp:simplePos x="0" y="0"/>
          <wp:positionH relativeFrom="page">
            <wp:posOffset>7620</wp:posOffset>
          </wp:positionH>
          <wp:positionV relativeFrom="paragraph">
            <wp:posOffset>-449580</wp:posOffset>
          </wp:positionV>
          <wp:extent cx="7559005" cy="10684933"/>
          <wp:effectExtent l="0" t="0" r="4445"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005" cy="1068493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D2452"/>
    <w:multiLevelType w:val="multilevel"/>
    <w:tmpl w:val="2A36C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F51C87"/>
    <w:multiLevelType w:val="hybridMultilevel"/>
    <w:tmpl w:val="41D63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F67F65"/>
    <w:multiLevelType w:val="hybridMultilevel"/>
    <w:tmpl w:val="308E3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2503C4"/>
    <w:multiLevelType w:val="multilevel"/>
    <w:tmpl w:val="65247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8665EB"/>
    <w:multiLevelType w:val="multilevel"/>
    <w:tmpl w:val="7DB65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C73"/>
    <w:rsid w:val="00084AC9"/>
    <w:rsid w:val="000F360B"/>
    <w:rsid w:val="00344FD7"/>
    <w:rsid w:val="004C2A8C"/>
    <w:rsid w:val="00581DA1"/>
    <w:rsid w:val="0059116B"/>
    <w:rsid w:val="00634BCD"/>
    <w:rsid w:val="008541F3"/>
    <w:rsid w:val="00A144D6"/>
    <w:rsid w:val="00D549AA"/>
    <w:rsid w:val="00D96661"/>
    <w:rsid w:val="00E57E36"/>
    <w:rsid w:val="00ED1C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DE35B"/>
  <w15:chartTrackingRefBased/>
  <w15:docId w15:val="{981656C7-D0E0-435D-BDA0-0432A1B83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D1C7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D1C7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D1C7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D1C7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D1C7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D1C73"/>
    <w:rPr>
      <w:rFonts w:ascii="Times New Roman" w:eastAsia="Times New Roman" w:hAnsi="Times New Roman" w:cs="Times New Roman"/>
      <w:b/>
      <w:bCs/>
      <w:sz w:val="24"/>
      <w:szCs w:val="24"/>
    </w:rPr>
  </w:style>
  <w:style w:type="paragraph" w:customStyle="1" w:styleId="ds-markdown-paragraph">
    <w:name w:val="ds-markdown-paragraph"/>
    <w:basedOn w:val="Normal"/>
    <w:rsid w:val="00ED1C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D1C73"/>
    <w:rPr>
      <w:b/>
      <w:bCs/>
    </w:rPr>
  </w:style>
  <w:style w:type="character" w:styleId="Emphasis">
    <w:name w:val="Emphasis"/>
    <w:basedOn w:val="DefaultParagraphFont"/>
    <w:uiPriority w:val="20"/>
    <w:qFormat/>
    <w:rsid w:val="00ED1C73"/>
    <w:rPr>
      <w:i/>
      <w:iCs/>
    </w:rPr>
  </w:style>
  <w:style w:type="paragraph" w:styleId="ListParagraph">
    <w:name w:val="List Paragraph"/>
    <w:basedOn w:val="Normal"/>
    <w:uiPriority w:val="34"/>
    <w:qFormat/>
    <w:rsid w:val="004C2A8C"/>
    <w:pPr>
      <w:ind w:left="720"/>
      <w:contextualSpacing/>
    </w:pPr>
  </w:style>
  <w:style w:type="character" w:styleId="Hyperlink">
    <w:name w:val="Hyperlink"/>
    <w:basedOn w:val="DefaultParagraphFont"/>
    <w:uiPriority w:val="99"/>
    <w:unhideWhenUsed/>
    <w:rsid w:val="00A144D6"/>
    <w:rPr>
      <w:color w:val="0563C1" w:themeColor="hyperlink"/>
      <w:u w:val="single"/>
    </w:rPr>
  </w:style>
  <w:style w:type="paragraph" w:styleId="Header">
    <w:name w:val="header"/>
    <w:basedOn w:val="Normal"/>
    <w:link w:val="HeaderChar"/>
    <w:uiPriority w:val="99"/>
    <w:unhideWhenUsed/>
    <w:rsid w:val="005911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16B"/>
  </w:style>
  <w:style w:type="paragraph" w:styleId="Footer">
    <w:name w:val="footer"/>
    <w:basedOn w:val="Normal"/>
    <w:link w:val="FooterChar"/>
    <w:uiPriority w:val="99"/>
    <w:unhideWhenUsed/>
    <w:rsid w:val="005911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3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global-development/2020/jul/15/migrant-workers-in-qatar-face-structural-racism-says-un-repor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quidem.org/migrant-worker-rights-violations-in-qat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EAF95-C99A-4935-83EA-3AC3BFE38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3</Pages>
  <Words>1040</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2026-06-23T09:09:00Z</dcterms:created>
  <dcterms:modified xsi:type="dcterms:W3CDTF">2026-07-12T20:52:00Z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58c63652-49cf-4b4c-9741-2ec75194aa68</vt:lpwstr>
  </property>
</Properties>
</file>