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59FDC" w14:textId="77777777" w:rsidR="00ED5AFD" w:rsidRPr="00926C6D" w:rsidRDefault="00000000">
      <w:pPr>
        <w:spacing w:line="360" w:lineRule="auto"/>
        <w:jc w:val="center"/>
        <w:rPr>
          <w:rFonts w:eastAsia="EB Garamond" w:cs="EB Garamond"/>
          <w:b/>
          <w:bCs/>
          <w:sz w:val="24"/>
          <w:szCs w:val="24"/>
        </w:rPr>
      </w:pPr>
      <w:r w:rsidRPr="00926C6D">
        <w:rPr>
          <w:rFonts w:eastAsia="EB Garamond" w:cs="EB Garamond"/>
          <w:b/>
          <w:bCs/>
          <w:sz w:val="24"/>
          <w:szCs w:val="24"/>
        </w:rPr>
        <w:t xml:space="preserve">NGO Joint Parallel Report for the Government of Jordan’s </w:t>
      </w:r>
    </w:p>
    <w:p w14:paraId="6A027091" w14:textId="77777777" w:rsidR="00ED5AFD" w:rsidRPr="00926C6D" w:rsidRDefault="00000000">
      <w:pPr>
        <w:spacing w:line="360" w:lineRule="auto"/>
        <w:jc w:val="center"/>
        <w:rPr>
          <w:rFonts w:eastAsia="EB Garamond" w:cs="EB Garamond"/>
          <w:b/>
          <w:bCs/>
          <w:sz w:val="24"/>
          <w:szCs w:val="24"/>
        </w:rPr>
      </w:pPr>
      <w:r w:rsidRPr="00926C6D">
        <w:rPr>
          <w:rFonts w:eastAsia="EB Garamond" w:cs="EB Garamond"/>
          <w:b/>
          <w:bCs/>
          <w:sz w:val="24"/>
          <w:szCs w:val="24"/>
        </w:rPr>
        <w:t xml:space="preserve">Seventh to Eighth Reporting Cycle on the Implementation of the </w:t>
      </w:r>
    </w:p>
    <w:p w14:paraId="7AA56CF9" w14:textId="77777777" w:rsidR="00ED5AFD" w:rsidRPr="00926C6D" w:rsidRDefault="00000000">
      <w:pPr>
        <w:spacing w:line="360" w:lineRule="auto"/>
        <w:jc w:val="center"/>
        <w:rPr>
          <w:rFonts w:eastAsia="EB Garamond" w:cs="EB Garamond"/>
          <w:b/>
          <w:bCs/>
          <w:sz w:val="24"/>
          <w:szCs w:val="24"/>
        </w:rPr>
      </w:pPr>
      <w:r w:rsidRPr="00926C6D">
        <w:rPr>
          <w:rFonts w:eastAsia="EB Garamond" w:cs="EB Garamond"/>
          <w:b/>
          <w:bCs/>
          <w:sz w:val="24"/>
          <w:szCs w:val="24"/>
        </w:rPr>
        <w:t>Convention on the Elimination of All Forms of Discrimination against Women</w:t>
      </w:r>
    </w:p>
    <w:p w14:paraId="37529341" w14:textId="77777777" w:rsidR="00ED5AFD" w:rsidRPr="00926C6D" w:rsidRDefault="00000000">
      <w:pPr>
        <w:spacing w:line="360" w:lineRule="auto"/>
        <w:ind w:left="-360" w:right="-360"/>
        <w:jc w:val="center"/>
        <w:rPr>
          <w:rFonts w:eastAsia="EB Garamond" w:cs="EB Garamond"/>
          <w:b/>
          <w:bCs/>
          <w:sz w:val="24"/>
          <w:szCs w:val="24"/>
        </w:rPr>
      </w:pPr>
      <w:r w:rsidRPr="00926C6D">
        <w:rPr>
          <w:rFonts w:eastAsia="EB Garamond" w:cs="EB Garamond"/>
          <w:sz w:val="24"/>
          <w:szCs w:val="24"/>
        </w:rPr>
        <w:t>-----------------------</w:t>
      </w:r>
    </w:p>
    <w:p w14:paraId="75E7F5C2" w14:textId="77777777" w:rsidR="00ED5AFD" w:rsidRPr="00926C6D" w:rsidRDefault="00000000">
      <w:pPr>
        <w:spacing w:line="360" w:lineRule="auto"/>
        <w:jc w:val="center"/>
        <w:rPr>
          <w:rFonts w:eastAsia="EB Garamond" w:cs="EB Garamond"/>
          <w:i/>
          <w:iCs/>
          <w:sz w:val="24"/>
          <w:szCs w:val="24"/>
        </w:rPr>
      </w:pPr>
      <w:r w:rsidRPr="00926C6D">
        <w:rPr>
          <w:rFonts w:eastAsia="EB Garamond" w:cs="EB Garamond"/>
          <w:i/>
          <w:iCs/>
          <w:sz w:val="24"/>
          <w:szCs w:val="24"/>
        </w:rPr>
        <w:t xml:space="preserve">Submitted to the </w:t>
      </w:r>
    </w:p>
    <w:p w14:paraId="5ECC08D0" w14:textId="77777777" w:rsidR="00ED5AFD" w:rsidRPr="00926C6D" w:rsidRDefault="00000000">
      <w:pPr>
        <w:spacing w:line="360" w:lineRule="auto"/>
        <w:jc w:val="center"/>
        <w:rPr>
          <w:rFonts w:eastAsia="EB Garamond" w:cs="EB Garamond"/>
          <w:i/>
          <w:iCs/>
          <w:sz w:val="24"/>
          <w:szCs w:val="24"/>
        </w:rPr>
      </w:pPr>
      <w:r w:rsidRPr="00926C6D">
        <w:rPr>
          <w:rFonts w:eastAsia="EB Garamond" w:cs="EB Garamond"/>
          <w:i/>
          <w:iCs/>
          <w:sz w:val="24"/>
          <w:szCs w:val="24"/>
        </w:rPr>
        <w:t xml:space="preserve">UN Committee on the Elimination of All Forms of Discrimination against Women </w:t>
      </w:r>
    </w:p>
    <w:p w14:paraId="547AFEA2" w14:textId="77777777" w:rsidR="00ED5AFD" w:rsidRPr="00926C6D" w:rsidRDefault="00000000">
      <w:pPr>
        <w:spacing w:line="360" w:lineRule="auto"/>
        <w:jc w:val="center"/>
        <w:rPr>
          <w:rFonts w:eastAsia="EB Garamond" w:cs="EB Garamond"/>
          <w:i/>
          <w:iCs/>
          <w:sz w:val="24"/>
          <w:szCs w:val="24"/>
        </w:rPr>
      </w:pPr>
      <w:r w:rsidRPr="00926C6D">
        <w:rPr>
          <w:rFonts w:eastAsia="EB Garamond" w:cs="EB Garamond"/>
          <w:i/>
          <w:iCs/>
          <w:sz w:val="24"/>
          <w:szCs w:val="24"/>
        </w:rPr>
        <w:t xml:space="preserve">for consideration in the formulation of the </w:t>
      </w:r>
    </w:p>
    <w:p w14:paraId="4A8F7885" w14:textId="5F08A153" w:rsidR="00C87FB7" w:rsidRPr="00926C6D" w:rsidRDefault="00000000">
      <w:pPr>
        <w:spacing w:line="360" w:lineRule="auto"/>
        <w:jc w:val="center"/>
        <w:rPr>
          <w:rFonts w:eastAsia="EB Garamond" w:cs="EB Garamond"/>
          <w:i/>
          <w:iCs/>
          <w:sz w:val="24"/>
          <w:szCs w:val="24"/>
          <w:highlight w:val="yellow"/>
        </w:rPr>
      </w:pPr>
      <w:r w:rsidRPr="00926C6D">
        <w:rPr>
          <w:rFonts w:eastAsia="EB Garamond" w:cs="EB Garamond"/>
          <w:i/>
          <w:iCs/>
          <w:sz w:val="24"/>
          <w:szCs w:val="24"/>
        </w:rPr>
        <w:t xml:space="preserve">List of Issues Prior to Reporting for the 93rd Session of the Committee (October 5–30, 2026) </w:t>
      </w:r>
    </w:p>
    <w:p w14:paraId="56F76492" w14:textId="77777777" w:rsidR="007158BA" w:rsidRDefault="007158BA">
      <w:pPr>
        <w:spacing w:line="360" w:lineRule="auto"/>
        <w:jc w:val="center"/>
        <w:rPr>
          <w:rFonts w:eastAsia="EB Garamond" w:cs="EB Garamond"/>
          <w:sz w:val="20"/>
          <w:szCs w:val="20"/>
        </w:rPr>
      </w:pPr>
    </w:p>
    <w:p w14:paraId="7C81653F" w14:textId="38C3E9A8" w:rsidR="00ED5AFD" w:rsidRPr="00926C6D" w:rsidRDefault="007158BA">
      <w:pPr>
        <w:spacing w:line="360" w:lineRule="auto"/>
        <w:jc w:val="center"/>
        <w:rPr>
          <w:rFonts w:eastAsia="EB Garamond" w:cs="EB Garamond"/>
          <w:sz w:val="20"/>
          <w:szCs w:val="20"/>
        </w:rPr>
      </w:pPr>
      <w:r>
        <w:rPr>
          <w:rFonts w:eastAsia="EB Garamond" w:cs="EB Garamond"/>
          <w:sz w:val="20"/>
          <w:szCs w:val="20"/>
        </w:rPr>
        <w:t>b</w:t>
      </w:r>
      <w:r w:rsidRPr="00926C6D">
        <w:rPr>
          <w:rFonts w:eastAsia="EB Garamond" w:cs="EB Garamond"/>
          <w:sz w:val="20"/>
          <w:szCs w:val="20"/>
        </w:rPr>
        <w:t>y</w:t>
      </w:r>
    </w:p>
    <w:p w14:paraId="0B160FA9" w14:textId="77777777" w:rsidR="00ED5AFD" w:rsidRPr="00926C6D" w:rsidRDefault="00ED5AFD">
      <w:pPr>
        <w:spacing w:line="360" w:lineRule="auto"/>
        <w:jc w:val="center"/>
        <w:rPr>
          <w:rFonts w:eastAsia="EB Garamond" w:cs="EB Garamond"/>
          <w:sz w:val="20"/>
          <w:szCs w:val="20"/>
        </w:rPr>
      </w:pPr>
    </w:p>
    <w:tbl>
      <w:tblPr>
        <w:tblStyle w:val="a"/>
        <w:tblW w:w="1054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55"/>
        <w:gridCol w:w="1110"/>
        <w:gridCol w:w="4680"/>
      </w:tblGrid>
      <w:tr w:rsidR="00ED5AFD" w:rsidRPr="007158BA" w14:paraId="50B56712" w14:textId="77777777">
        <w:trPr>
          <w:trHeight w:val="2402"/>
          <w:jc w:val="center"/>
        </w:trPr>
        <w:tc>
          <w:tcPr>
            <w:tcW w:w="475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68637DEA" w14:textId="77777777" w:rsidR="00ED5AFD" w:rsidRPr="00926C6D" w:rsidRDefault="00000000">
            <w:pPr>
              <w:widowControl w:val="0"/>
              <w:spacing w:line="240" w:lineRule="auto"/>
              <w:jc w:val="center"/>
              <w:rPr>
                <w:rFonts w:eastAsia="EB Garamond" w:cs="EB Garamond"/>
                <w:i/>
                <w:iCs/>
                <w:sz w:val="20"/>
                <w:szCs w:val="20"/>
              </w:rPr>
            </w:pPr>
            <w:r w:rsidRPr="00926C6D">
              <w:rPr>
                <w:rFonts w:eastAsia="EB Garamond" w:cs="EB Garamond"/>
                <w:i/>
                <w:iCs/>
                <w:sz w:val="20"/>
                <w:szCs w:val="20"/>
              </w:rPr>
              <w:t>Right to Bloom</w:t>
            </w:r>
          </w:p>
          <w:p w14:paraId="7D0F5D28" w14:textId="7A4F2EFE" w:rsidR="00C87FB7" w:rsidRPr="00926C6D" w:rsidRDefault="00000000">
            <w:pPr>
              <w:widowControl w:val="0"/>
              <w:spacing w:line="240" w:lineRule="auto"/>
              <w:jc w:val="center"/>
              <w:rPr>
                <w:rFonts w:eastAsia="EB Garamond" w:cs="EB Garamond"/>
                <w:sz w:val="20"/>
                <w:szCs w:val="20"/>
              </w:rPr>
            </w:pPr>
            <w:r w:rsidRPr="00926C6D">
              <w:rPr>
                <w:rFonts w:eastAsia="EB Garamond" w:cs="EB Garamond"/>
                <w:sz w:val="20"/>
                <w:szCs w:val="20"/>
              </w:rPr>
              <w:t xml:space="preserve">Boulder, CO </w:t>
            </w:r>
          </w:p>
          <w:p w14:paraId="303ABFE8" w14:textId="77777777" w:rsidR="00ED5AFD" w:rsidRPr="00926C6D" w:rsidRDefault="00000000">
            <w:pPr>
              <w:widowControl w:val="0"/>
              <w:spacing w:line="240" w:lineRule="auto"/>
              <w:jc w:val="center"/>
              <w:rPr>
                <w:rFonts w:eastAsia="EB Garamond" w:cs="EB Garamond"/>
                <w:sz w:val="20"/>
                <w:szCs w:val="20"/>
              </w:rPr>
            </w:pPr>
            <w:r w:rsidRPr="00926C6D">
              <w:rPr>
                <w:rFonts w:eastAsia="EB Garamond" w:cs="EB Garamond"/>
                <w:sz w:val="20"/>
                <w:szCs w:val="20"/>
              </w:rPr>
              <w:t xml:space="preserve">Contact: Megan Mars </w:t>
            </w:r>
          </w:p>
          <w:p w14:paraId="58E0F4AE" w14:textId="52AF8DE3" w:rsidR="00ED5AFD" w:rsidRPr="00926C6D" w:rsidRDefault="00445666">
            <w:pPr>
              <w:widowControl w:val="0"/>
              <w:spacing w:line="240" w:lineRule="auto"/>
              <w:jc w:val="center"/>
              <w:rPr>
                <w:rFonts w:eastAsia="EB Garamond" w:cs="EB Garamond"/>
                <w:sz w:val="20"/>
                <w:szCs w:val="20"/>
              </w:rPr>
            </w:pPr>
            <w:hyperlink r:id="rId8" w:history="1">
              <w:r w:rsidRPr="002474AA">
                <w:rPr>
                  <w:rStyle w:val="Hyperlink"/>
                  <w:rFonts w:eastAsia="EB Garamond" w:cs="EB Garamond"/>
                  <w:sz w:val="20"/>
                  <w:szCs w:val="20"/>
                </w:rPr>
                <w:t>megan@bymegmars.com</w:t>
              </w:r>
            </w:hyperlink>
            <w:r>
              <w:rPr>
                <w:rFonts w:eastAsia="EB Garamond" w:cs="EB Garamond"/>
                <w:sz w:val="20"/>
                <w:szCs w:val="20"/>
              </w:rPr>
              <w:t xml:space="preserve"> </w:t>
            </w:r>
            <w:r w:rsidR="00713C43">
              <w:rPr>
                <w:rFonts w:eastAsia="EB Garamond" w:cs="EB Garamond"/>
                <w:sz w:val="20"/>
                <w:szCs w:val="20"/>
              </w:rPr>
              <w:t xml:space="preserve"> </w:t>
            </w:r>
          </w:p>
        </w:tc>
        <w:tc>
          <w:tcPr>
            <w:tcW w:w="111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5175B560" w14:textId="77777777" w:rsidR="00C87FB7" w:rsidRPr="00926C6D" w:rsidRDefault="00C87FB7">
            <w:pPr>
              <w:widowControl w:val="0"/>
              <w:spacing w:line="240" w:lineRule="auto"/>
              <w:jc w:val="center"/>
              <w:rPr>
                <w:rFonts w:eastAsia="EB Garamond" w:cs="EB Garamond"/>
                <w:i/>
                <w:iCs/>
                <w:sz w:val="20"/>
                <w:szCs w:val="20"/>
              </w:rPr>
            </w:pPr>
          </w:p>
          <w:p w14:paraId="1883778D" w14:textId="77777777" w:rsidR="00ED5AFD" w:rsidRPr="00926C6D" w:rsidRDefault="00ED5AFD">
            <w:pPr>
              <w:widowControl w:val="0"/>
              <w:spacing w:line="240" w:lineRule="auto"/>
              <w:jc w:val="center"/>
              <w:rPr>
                <w:rFonts w:eastAsia="EB Garamond" w:cs="EB Garamond"/>
                <w:i/>
                <w:iCs/>
                <w:sz w:val="20"/>
                <w:szCs w:val="20"/>
              </w:rPr>
            </w:pPr>
          </w:p>
          <w:p w14:paraId="068E0AC2" w14:textId="27659A50" w:rsidR="00ED5AFD" w:rsidRPr="00926C6D" w:rsidRDefault="00ED5AFD">
            <w:pPr>
              <w:widowControl w:val="0"/>
              <w:spacing w:line="240" w:lineRule="auto"/>
              <w:jc w:val="center"/>
              <w:rPr>
                <w:rFonts w:eastAsia="EB Garamond" w:cs="EB Garamond"/>
                <w:sz w:val="20"/>
                <w:szCs w:val="20"/>
              </w:rPr>
            </w:pPr>
          </w:p>
        </w:tc>
        <w:tc>
          <w:tcPr>
            <w:tcW w:w="46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23F603D" w14:textId="77777777" w:rsidR="00ED5AFD" w:rsidRPr="00926C6D" w:rsidRDefault="00000000">
            <w:pPr>
              <w:widowControl w:val="0"/>
              <w:spacing w:line="240" w:lineRule="auto"/>
              <w:jc w:val="center"/>
              <w:rPr>
                <w:rFonts w:eastAsia="EB Garamond" w:cs="EB Garamond"/>
                <w:i/>
                <w:iCs/>
                <w:sz w:val="20"/>
                <w:szCs w:val="20"/>
              </w:rPr>
            </w:pPr>
            <w:r w:rsidRPr="00926C6D">
              <w:rPr>
                <w:rFonts w:eastAsia="EB Garamond" w:cs="EB Garamond"/>
                <w:i/>
                <w:iCs/>
                <w:sz w:val="20"/>
                <w:szCs w:val="20"/>
              </w:rPr>
              <w:t xml:space="preserve">International Human Rights Center </w:t>
            </w:r>
          </w:p>
          <w:p w14:paraId="2BBC08CE" w14:textId="6A652AA1" w:rsidR="00C87FB7" w:rsidRPr="00926C6D" w:rsidRDefault="00000000">
            <w:pPr>
              <w:widowControl w:val="0"/>
              <w:spacing w:line="240" w:lineRule="auto"/>
              <w:jc w:val="center"/>
              <w:rPr>
                <w:rFonts w:eastAsia="EB Garamond" w:cs="EB Garamond"/>
                <w:sz w:val="20"/>
                <w:szCs w:val="20"/>
              </w:rPr>
            </w:pPr>
            <w:r w:rsidRPr="00926C6D">
              <w:rPr>
                <w:rFonts w:eastAsia="EB Garamond" w:cs="EB Garamond"/>
                <w:sz w:val="20"/>
                <w:szCs w:val="20"/>
              </w:rPr>
              <w:t xml:space="preserve">Loyola Law School, Los Angeles </w:t>
            </w:r>
          </w:p>
          <w:p w14:paraId="05089E7C" w14:textId="77777777" w:rsidR="00ED5AFD" w:rsidRPr="00926C6D" w:rsidRDefault="00000000">
            <w:pPr>
              <w:widowControl w:val="0"/>
              <w:spacing w:line="240" w:lineRule="auto"/>
              <w:jc w:val="center"/>
              <w:rPr>
                <w:rFonts w:eastAsia="EB Garamond" w:cs="EB Garamond"/>
                <w:sz w:val="20"/>
                <w:szCs w:val="20"/>
              </w:rPr>
            </w:pPr>
            <w:r w:rsidRPr="00926C6D">
              <w:rPr>
                <w:rFonts w:eastAsia="EB Garamond" w:cs="EB Garamond"/>
                <w:sz w:val="20"/>
                <w:szCs w:val="20"/>
              </w:rPr>
              <w:t xml:space="preserve">919 Albany Street </w:t>
            </w:r>
          </w:p>
          <w:p w14:paraId="67AA9403" w14:textId="69F8F096" w:rsidR="00C87FB7" w:rsidRPr="00926C6D" w:rsidRDefault="00000000">
            <w:pPr>
              <w:widowControl w:val="0"/>
              <w:spacing w:line="240" w:lineRule="auto"/>
              <w:jc w:val="center"/>
              <w:rPr>
                <w:rFonts w:eastAsia="EB Garamond" w:cs="EB Garamond"/>
                <w:sz w:val="20"/>
                <w:szCs w:val="20"/>
              </w:rPr>
            </w:pPr>
            <w:r w:rsidRPr="00926C6D">
              <w:rPr>
                <w:rFonts w:eastAsia="EB Garamond" w:cs="EB Garamond"/>
                <w:sz w:val="20"/>
                <w:szCs w:val="20"/>
              </w:rPr>
              <w:t xml:space="preserve">90015, Los Angeles, CA, USA </w:t>
            </w:r>
          </w:p>
          <w:p w14:paraId="532B890E" w14:textId="77777777" w:rsidR="00ED5AFD" w:rsidRPr="00926C6D" w:rsidRDefault="00000000">
            <w:pPr>
              <w:widowControl w:val="0"/>
              <w:spacing w:line="240" w:lineRule="auto"/>
              <w:jc w:val="center"/>
              <w:rPr>
                <w:rFonts w:eastAsia="EB Garamond" w:cs="EB Garamond"/>
                <w:sz w:val="20"/>
                <w:szCs w:val="20"/>
              </w:rPr>
            </w:pPr>
            <w:r w:rsidRPr="00926C6D">
              <w:rPr>
                <w:rFonts w:eastAsia="EB Garamond" w:cs="EB Garamond"/>
                <w:sz w:val="20"/>
                <w:szCs w:val="20"/>
              </w:rPr>
              <w:t xml:space="preserve">Contact: Prof. Cesare Romano </w:t>
            </w:r>
          </w:p>
          <w:p w14:paraId="4835BD8B" w14:textId="77777777" w:rsidR="00ED5AFD" w:rsidRPr="00926C6D" w:rsidRDefault="00ED5AFD">
            <w:pPr>
              <w:widowControl w:val="0"/>
              <w:spacing w:line="240" w:lineRule="auto"/>
              <w:jc w:val="center"/>
              <w:rPr>
                <w:rFonts w:eastAsia="EB Garamond" w:cs="EB Garamond"/>
                <w:sz w:val="20"/>
                <w:szCs w:val="20"/>
              </w:rPr>
            </w:pPr>
            <w:hyperlink r:id="rId9">
              <w:r w:rsidRPr="00926C6D">
                <w:rPr>
                  <w:rFonts w:eastAsia="EB Garamond" w:cs="EB Garamond"/>
                  <w:color w:val="1155CC"/>
                  <w:sz w:val="20"/>
                  <w:szCs w:val="20"/>
                  <w:u w:val="single"/>
                </w:rPr>
                <w:t>cesare.romano@lls.edu</w:t>
              </w:r>
            </w:hyperlink>
            <w:r w:rsidRPr="00926C6D">
              <w:rPr>
                <w:rFonts w:eastAsia="EB Garamond" w:cs="EB Garamond"/>
                <w:sz w:val="20"/>
                <w:szCs w:val="20"/>
              </w:rPr>
              <w:t xml:space="preserve"> </w:t>
            </w:r>
          </w:p>
        </w:tc>
      </w:tr>
    </w:tbl>
    <w:p w14:paraId="15FD1461" w14:textId="77777777" w:rsidR="00C87FB7" w:rsidRPr="00926C6D" w:rsidRDefault="00C87FB7">
      <w:pPr>
        <w:spacing w:line="480" w:lineRule="auto"/>
        <w:jc w:val="center"/>
        <w:rPr>
          <w:rFonts w:eastAsia="EB Garamond" w:cs="EB Garamond"/>
          <w:sz w:val="20"/>
          <w:szCs w:val="20"/>
        </w:rPr>
      </w:pPr>
    </w:p>
    <w:p w14:paraId="2903862F" w14:textId="77777777" w:rsidR="00C87FB7" w:rsidRPr="00926C6D" w:rsidRDefault="00C87FB7">
      <w:pPr>
        <w:spacing w:line="480" w:lineRule="auto"/>
        <w:jc w:val="center"/>
        <w:rPr>
          <w:rFonts w:eastAsia="EB Garamond" w:cs="EB Garamond"/>
          <w:sz w:val="20"/>
          <w:szCs w:val="20"/>
        </w:rPr>
      </w:pPr>
    </w:p>
    <w:p w14:paraId="073F94B7" w14:textId="77777777" w:rsidR="00C87FB7" w:rsidRPr="00926C6D" w:rsidRDefault="00C87FB7">
      <w:pPr>
        <w:spacing w:line="480" w:lineRule="auto"/>
        <w:jc w:val="center"/>
        <w:rPr>
          <w:rFonts w:eastAsia="EB Garamond" w:cs="EB Garamond"/>
          <w:sz w:val="20"/>
          <w:szCs w:val="20"/>
        </w:rPr>
      </w:pPr>
    </w:p>
    <w:p w14:paraId="2D38E994" w14:textId="77777777" w:rsidR="00C87FB7" w:rsidRPr="00926C6D" w:rsidRDefault="00C87FB7">
      <w:pPr>
        <w:spacing w:line="480" w:lineRule="auto"/>
        <w:jc w:val="center"/>
        <w:rPr>
          <w:rFonts w:eastAsia="EB Garamond" w:cs="EB Garamond"/>
          <w:sz w:val="20"/>
          <w:szCs w:val="20"/>
        </w:rPr>
      </w:pPr>
    </w:p>
    <w:p w14:paraId="7B6595F9" w14:textId="77777777" w:rsidR="00C87FB7" w:rsidRPr="00926C6D" w:rsidRDefault="00C87FB7">
      <w:pPr>
        <w:spacing w:line="480" w:lineRule="auto"/>
        <w:rPr>
          <w:rFonts w:eastAsia="EB Garamond" w:cs="EB Garamond"/>
          <w:sz w:val="20"/>
          <w:szCs w:val="20"/>
        </w:rPr>
      </w:pPr>
    </w:p>
    <w:p w14:paraId="3F9B8015" w14:textId="70268210" w:rsidR="007158BA" w:rsidRPr="00926C6D" w:rsidRDefault="007158BA">
      <w:pPr>
        <w:ind w:firstLine="0"/>
        <w:rPr>
          <w:rFonts w:eastAsia="EB Garamond" w:cs="EB Garamond"/>
          <w:sz w:val="20"/>
          <w:szCs w:val="20"/>
        </w:rPr>
      </w:pPr>
      <w:r w:rsidRPr="00926C6D">
        <w:rPr>
          <w:rFonts w:eastAsia="EB Garamond" w:cs="EB Garamond"/>
          <w:sz w:val="20"/>
          <w:szCs w:val="20"/>
        </w:rPr>
        <w:br w:type="page"/>
      </w:r>
    </w:p>
    <w:p w14:paraId="600D18EC" w14:textId="031F61A9" w:rsidR="007158BA" w:rsidRPr="00926C6D" w:rsidRDefault="002D70B5" w:rsidP="00926C6D">
      <w:pPr>
        <w:pStyle w:val="TOC1"/>
        <w:tabs>
          <w:tab w:val="right" w:leader="dot" w:pos="9350"/>
        </w:tabs>
        <w:ind w:firstLine="0"/>
        <w:jc w:val="left"/>
        <w:rPr>
          <w:rFonts w:ascii="Garamond" w:eastAsiaTheme="minorEastAsia" w:hAnsi="Garamond" w:cstheme="minorBidi"/>
          <w:b w:val="0"/>
          <w:bCs w:val="0"/>
          <w:caps w:val="0"/>
          <w:noProof/>
          <w:kern w:val="2"/>
          <w:lang w:val="en-US"/>
          <w14:ligatures w14:val="standardContextual"/>
        </w:rPr>
      </w:pPr>
      <w:r w:rsidRPr="00926C6D">
        <w:rPr>
          <w:rFonts w:ascii="Garamond" w:eastAsia="EB Garamond" w:hAnsi="Garamond" w:cs="EB Garamond"/>
          <w:b w:val="0"/>
          <w:bCs w:val="0"/>
        </w:rPr>
        <w:lastRenderedPageBreak/>
        <w:fldChar w:fldCharType="begin"/>
      </w:r>
      <w:r w:rsidRPr="007158BA">
        <w:rPr>
          <w:rFonts w:ascii="Garamond" w:eastAsia="EB Garamond" w:hAnsi="Garamond" w:cs="EB Garamond"/>
          <w:b w:val="0"/>
          <w:bCs w:val="0"/>
        </w:rPr>
        <w:instrText xml:space="preserve"> TOC \o "1-3" \h \z \u </w:instrText>
      </w:r>
      <w:r w:rsidRPr="00926C6D">
        <w:rPr>
          <w:rFonts w:ascii="Garamond" w:eastAsia="EB Garamond" w:hAnsi="Garamond" w:cs="EB Garamond"/>
          <w:b w:val="0"/>
          <w:bCs w:val="0"/>
        </w:rPr>
        <w:fldChar w:fldCharType="separate"/>
      </w:r>
      <w:hyperlink w:anchor="_Toc230015621" w:history="1">
        <w:r w:rsidR="007158BA" w:rsidRPr="00926C6D">
          <w:rPr>
            <w:rStyle w:val="Hyperlink"/>
            <w:rFonts w:ascii="Garamond" w:hAnsi="Garamond"/>
            <w:b w:val="0"/>
            <w:bCs w:val="0"/>
            <w:noProof/>
          </w:rPr>
          <w:t>PURPOSE OF THIS PARALLEL REPORT</w:t>
        </w:r>
        <w:r w:rsidR="007158BA" w:rsidRPr="00926C6D">
          <w:rPr>
            <w:rFonts w:ascii="Garamond" w:hAnsi="Garamond"/>
            <w:b w:val="0"/>
            <w:bCs w:val="0"/>
            <w:noProof/>
            <w:webHidden/>
          </w:rPr>
          <w:tab/>
        </w:r>
        <w:r w:rsidR="007158BA" w:rsidRPr="00926C6D">
          <w:rPr>
            <w:rFonts w:ascii="Garamond" w:hAnsi="Garamond"/>
            <w:b w:val="0"/>
            <w:bCs w:val="0"/>
            <w:noProof/>
            <w:webHidden/>
          </w:rPr>
          <w:fldChar w:fldCharType="begin"/>
        </w:r>
        <w:r w:rsidR="007158BA" w:rsidRPr="00926C6D">
          <w:rPr>
            <w:rFonts w:ascii="Garamond" w:hAnsi="Garamond"/>
            <w:b w:val="0"/>
            <w:bCs w:val="0"/>
            <w:noProof/>
            <w:webHidden/>
          </w:rPr>
          <w:instrText xml:space="preserve"> PAGEREF _Toc230015621 \h </w:instrText>
        </w:r>
        <w:r w:rsidR="007158BA" w:rsidRPr="00926C6D">
          <w:rPr>
            <w:rFonts w:ascii="Garamond" w:hAnsi="Garamond"/>
            <w:b w:val="0"/>
            <w:bCs w:val="0"/>
            <w:noProof/>
            <w:webHidden/>
          </w:rPr>
        </w:r>
        <w:r w:rsidR="007158BA" w:rsidRPr="00926C6D">
          <w:rPr>
            <w:rFonts w:ascii="Garamond" w:hAnsi="Garamond"/>
            <w:b w:val="0"/>
            <w:bCs w:val="0"/>
            <w:noProof/>
            <w:webHidden/>
          </w:rPr>
          <w:fldChar w:fldCharType="separate"/>
        </w:r>
        <w:r w:rsidR="00445666">
          <w:rPr>
            <w:rFonts w:ascii="Garamond" w:hAnsi="Garamond"/>
            <w:b w:val="0"/>
            <w:bCs w:val="0"/>
            <w:noProof/>
            <w:webHidden/>
          </w:rPr>
          <w:t>2</w:t>
        </w:r>
        <w:r w:rsidR="007158BA" w:rsidRPr="00926C6D">
          <w:rPr>
            <w:rFonts w:ascii="Garamond" w:hAnsi="Garamond"/>
            <w:b w:val="0"/>
            <w:bCs w:val="0"/>
            <w:noProof/>
            <w:webHidden/>
          </w:rPr>
          <w:fldChar w:fldCharType="end"/>
        </w:r>
      </w:hyperlink>
    </w:p>
    <w:p w14:paraId="71820E11" w14:textId="0D4A48EA" w:rsidR="007158BA" w:rsidRPr="00926C6D" w:rsidRDefault="007158BA" w:rsidP="00926C6D">
      <w:pPr>
        <w:pStyle w:val="TOC1"/>
        <w:tabs>
          <w:tab w:val="right" w:leader="dot" w:pos="9350"/>
        </w:tabs>
        <w:ind w:firstLine="0"/>
        <w:jc w:val="left"/>
        <w:rPr>
          <w:rFonts w:ascii="Garamond" w:eastAsiaTheme="minorEastAsia" w:hAnsi="Garamond" w:cstheme="minorBidi"/>
          <w:b w:val="0"/>
          <w:bCs w:val="0"/>
          <w:caps w:val="0"/>
          <w:noProof/>
          <w:kern w:val="2"/>
          <w:lang w:val="en-US"/>
          <w14:ligatures w14:val="standardContextual"/>
        </w:rPr>
      </w:pPr>
      <w:hyperlink w:anchor="_Toc230015622" w:history="1">
        <w:r w:rsidRPr="00926C6D">
          <w:rPr>
            <w:rStyle w:val="Hyperlink"/>
            <w:rFonts w:ascii="Garamond" w:hAnsi="Garamond"/>
            <w:b w:val="0"/>
            <w:bCs w:val="0"/>
            <w:noProof/>
          </w:rPr>
          <w:t>ABOUT THE AUTHORS OF THIS REPORT AND SOURCES</w:t>
        </w:r>
        <w:r w:rsidRPr="00926C6D">
          <w:rPr>
            <w:rFonts w:ascii="Garamond" w:hAnsi="Garamond"/>
            <w:b w:val="0"/>
            <w:bCs w:val="0"/>
            <w:noProof/>
            <w:webHidden/>
          </w:rPr>
          <w:tab/>
        </w:r>
        <w:r w:rsidRPr="00926C6D">
          <w:rPr>
            <w:rFonts w:ascii="Garamond" w:hAnsi="Garamond"/>
            <w:b w:val="0"/>
            <w:bCs w:val="0"/>
            <w:noProof/>
            <w:webHidden/>
          </w:rPr>
          <w:fldChar w:fldCharType="begin"/>
        </w:r>
        <w:r w:rsidRPr="00926C6D">
          <w:rPr>
            <w:rFonts w:ascii="Garamond" w:hAnsi="Garamond"/>
            <w:b w:val="0"/>
            <w:bCs w:val="0"/>
            <w:noProof/>
            <w:webHidden/>
          </w:rPr>
          <w:instrText xml:space="preserve"> PAGEREF _Toc230015622 \h </w:instrText>
        </w:r>
        <w:r w:rsidRPr="00926C6D">
          <w:rPr>
            <w:rFonts w:ascii="Garamond" w:hAnsi="Garamond"/>
            <w:b w:val="0"/>
            <w:bCs w:val="0"/>
            <w:noProof/>
            <w:webHidden/>
          </w:rPr>
        </w:r>
        <w:r w:rsidRPr="00926C6D">
          <w:rPr>
            <w:rFonts w:ascii="Garamond" w:hAnsi="Garamond"/>
            <w:b w:val="0"/>
            <w:bCs w:val="0"/>
            <w:noProof/>
            <w:webHidden/>
          </w:rPr>
          <w:fldChar w:fldCharType="separate"/>
        </w:r>
        <w:r w:rsidR="00445666">
          <w:rPr>
            <w:rFonts w:ascii="Garamond" w:hAnsi="Garamond"/>
            <w:b w:val="0"/>
            <w:bCs w:val="0"/>
            <w:noProof/>
            <w:webHidden/>
          </w:rPr>
          <w:t>2</w:t>
        </w:r>
        <w:r w:rsidRPr="00926C6D">
          <w:rPr>
            <w:rFonts w:ascii="Garamond" w:hAnsi="Garamond"/>
            <w:b w:val="0"/>
            <w:bCs w:val="0"/>
            <w:noProof/>
            <w:webHidden/>
          </w:rPr>
          <w:fldChar w:fldCharType="end"/>
        </w:r>
      </w:hyperlink>
    </w:p>
    <w:p w14:paraId="25629771" w14:textId="5E7DA474" w:rsidR="007158BA" w:rsidRPr="00926C6D" w:rsidRDefault="007158BA" w:rsidP="00926C6D">
      <w:pPr>
        <w:pStyle w:val="TOC1"/>
        <w:tabs>
          <w:tab w:val="right" w:leader="dot" w:pos="9350"/>
        </w:tabs>
        <w:ind w:firstLine="0"/>
        <w:jc w:val="left"/>
        <w:rPr>
          <w:rFonts w:ascii="Garamond" w:eastAsiaTheme="minorEastAsia" w:hAnsi="Garamond" w:cstheme="minorBidi"/>
          <w:b w:val="0"/>
          <w:bCs w:val="0"/>
          <w:caps w:val="0"/>
          <w:noProof/>
          <w:kern w:val="2"/>
          <w:lang w:val="en-US"/>
          <w14:ligatures w14:val="standardContextual"/>
        </w:rPr>
      </w:pPr>
      <w:hyperlink w:anchor="_Toc230015623" w:history="1">
        <w:r w:rsidRPr="00926C6D">
          <w:rPr>
            <w:rStyle w:val="Hyperlink"/>
            <w:rFonts w:ascii="Garamond" w:hAnsi="Garamond"/>
            <w:b w:val="0"/>
            <w:bCs w:val="0"/>
            <w:noProof/>
          </w:rPr>
          <w:t>BACKGROUND</w:t>
        </w:r>
        <w:r w:rsidRPr="00926C6D">
          <w:rPr>
            <w:rFonts w:ascii="Garamond" w:hAnsi="Garamond"/>
            <w:b w:val="0"/>
            <w:bCs w:val="0"/>
            <w:noProof/>
            <w:webHidden/>
          </w:rPr>
          <w:tab/>
        </w:r>
        <w:r w:rsidRPr="00926C6D">
          <w:rPr>
            <w:rFonts w:ascii="Garamond" w:hAnsi="Garamond"/>
            <w:b w:val="0"/>
            <w:bCs w:val="0"/>
            <w:noProof/>
            <w:webHidden/>
          </w:rPr>
          <w:fldChar w:fldCharType="begin"/>
        </w:r>
        <w:r w:rsidRPr="00926C6D">
          <w:rPr>
            <w:rFonts w:ascii="Garamond" w:hAnsi="Garamond"/>
            <w:b w:val="0"/>
            <w:bCs w:val="0"/>
            <w:noProof/>
            <w:webHidden/>
          </w:rPr>
          <w:instrText xml:space="preserve"> PAGEREF _Toc230015623 \h </w:instrText>
        </w:r>
        <w:r w:rsidRPr="00926C6D">
          <w:rPr>
            <w:rFonts w:ascii="Garamond" w:hAnsi="Garamond"/>
            <w:b w:val="0"/>
            <w:bCs w:val="0"/>
            <w:noProof/>
            <w:webHidden/>
          </w:rPr>
        </w:r>
        <w:r w:rsidRPr="00926C6D">
          <w:rPr>
            <w:rFonts w:ascii="Garamond" w:hAnsi="Garamond"/>
            <w:b w:val="0"/>
            <w:bCs w:val="0"/>
            <w:noProof/>
            <w:webHidden/>
          </w:rPr>
          <w:fldChar w:fldCharType="separate"/>
        </w:r>
        <w:r w:rsidR="00445666">
          <w:rPr>
            <w:rFonts w:ascii="Garamond" w:hAnsi="Garamond"/>
            <w:b w:val="0"/>
            <w:bCs w:val="0"/>
            <w:noProof/>
            <w:webHidden/>
          </w:rPr>
          <w:t>3</w:t>
        </w:r>
        <w:r w:rsidRPr="00926C6D">
          <w:rPr>
            <w:rFonts w:ascii="Garamond" w:hAnsi="Garamond"/>
            <w:b w:val="0"/>
            <w:bCs w:val="0"/>
            <w:noProof/>
            <w:webHidden/>
          </w:rPr>
          <w:fldChar w:fldCharType="end"/>
        </w:r>
      </w:hyperlink>
    </w:p>
    <w:p w14:paraId="525887DE" w14:textId="2E609769" w:rsidR="007158BA" w:rsidRPr="00926C6D" w:rsidRDefault="007158BA" w:rsidP="00926C6D">
      <w:pPr>
        <w:pStyle w:val="TOC1"/>
        <w:tabs>
          <w:tab w:val="right" w:leader="dot" w:pos="9350"/>
        </w:tabs>
        <w:ind w:firstLine="0"/>
        <w:jc w:val="left"/>
        <w:rPr>
          <w:rFonts w:ascii="Garamond" w:eastAsiaTheme="minorEastAsia" w:hAnsi="Garamond" w:cstheme="minorBidi"/>
          <w:b w:val="0"/>
          <w:bCs w:val="0"/>
          <w:caps w:val="0"/>
          <w:noProof/>
          <w:kern w:val="2"/>
          <w:lang w:val="en-US"/>
          <w14:ligatures w14:val="standardContextual"/>
        </w:rPr>
      </w:pPr>
      <w:hyperlink w:anchor="_Toc230015624" w:history="1">
        <w:r w:rsidRPr="00926C6D">
          <w:rPr>
            <w:rStyle w:val="Hyperlink"/>
            <w:rFonts w:ascii="Garamond" w:eastAsia="EB Garamond" w:hAnsi="Garamond" w:cs="EB Garamond"/>
            <w:b w:val="0"/>
            <w:bCs w:val="0"/>
            <w:noProof/>
          </w:rPr>
          <w:t>JORDAN FAILS TO FULFILL ITS INTERNATIONAL OBLIGATIONS UNDER THE CONVENTION CONCERNING THE ELIMINATION OF ALL FORMS OF DISCRIMINATION AGAINST WOMEN.</w:t>
        </w:r>
        <w:r w:rsidRPr="00926C6D">
          <w:rPr>
            <w:rFonts w:ascii="Garamond" w:hAnsi="Garamond"/>
            <w:b w:val="0"/>
            <w:bCs w:val="0"/>
            <w:noProof/>
            <w:webHidden/>
          </w:rPr>
          <w:tab/>
        </w:r>
        <w:r w:rsidRPr="00926C6D">
          <w:rPr>
            <w:rFonts w:ascii="Garamond" w:hAnsi="Garamond"/>
            <w:b w:val="0"/>
            <w:bCs w:val="0"/>
            <w:noProof/>
            <w:webHidden/>
          </w:rPr>
          <w:fldChar w:fldCharType="begin"/>
        </w:r>
        <w:r w:rsidRPr="00926C6D">
          <w:rPr>
            <w:rFonts w:ascii="Garamond" w:hAnsi="Garamond"/>
            <w:b w:val="0"/>
            <w:bCs w:val="0"/>
            <w:noProof/>
            <w:webHidden/>
          </w:rPr>
          <w:instrText xml:space="preserve"> PAGEREF _Toc230015624 \h </w:instrText>
        </w:r>
        <w:r w:rsidRPr="00926C6D">
          <w:rPr>
            <w:rFonts w:ascii="Garamond" w:hAnsi="Garamond"/>
            <w:b w:val="0"/>
            <w:bCs w:val="0"/>
            <w:noProof/>
            <w:webHidden/>
          </w:rPr>
        </w:r>
        <w:r w:rsidRPr="00926C6D">
          <w:rPr>
            <w:rFonts w:ascii="Garamond" w:hAnsi="Garamond"/>
            <w:b w:val="0"/>
            <w:bCs w:val="0"/>
            <w:noProof/>
            <w:webHidden/>
          </w:rPr>
          <w:fldChar w:fldCharType="separate"/>
        </w:r>
        <w:r w:rsidR="00445666">
          <w:rPr>
            <w:rFonts w:ascii="Garamond" w:hAnsi="Garamond"/>
            <w:b w:val="0"/>
            <w:bCs w:val="0"/>
            <w:noProof/>
            <w:webHidden/>
          </w:rPr>
          <w:t>4</w:t>
        </w:r>
        <w:r w:rsidRPr="00926C6D">
          <w:rPr>
            <w:rFonts w:ascii="Garamond" w:hAnsi="Garamond"/>
            <w:b w:val="0"/>
            <w:bCs w:val="0"/>
            <w:noProof/>
            <w:webHidden/>
          </w:rPr>
          <w:fldChar w:fldCharType="end"/>
        </w:r>
      </w:hyperlink>
    </w:p>
    <w:p w14:paraId="296123DF" w14:textId="1B7E9E50" w:rsidR="007158BA" w:rsidRPr="00926C6D" w:rsidRDefault="007158BA">
      <w:pPr>
        <w:pStyle w:val="TOC2"/>
        <w:rPr>
          <w:rFonts w:ascii="Garamond" w:eastAsiaTheme="minorEastAsia" w:hAnsi="Garamond" w:cstheme="minorBidi"/>
          <w:kern w:val="2"/>
          <w:lang w:val="en-US"/>
          <w14:ligatures w14:val="standardContextual"/>
        </w:rPr>
      </w:pPr>
      <w:hyperlink w:anchor="_Toc230015625" w:history="1">
        <w:r w:rsidRPr="00926C6D">
          <w:rPr>
            <w:rStyle w:val="Hyperlink"/>
            <w:rFonts w:ascii="Garamond" w:hAnsi="Garamond"/>
          </w:rPr>
          <w:t>I) Honor killings and judicial mitigation of violence against women violate Jordan’s duty to respect, protect, and fulfill non-discrimination under Article 2 of the Convention.</w:t>
        </w:r>
        <w:r w:rsidRPr="00926C6D">
          <w:rPr>
            <w:rFonts w:ascii="Garamond" w:hAnsi="Garamond"/>
            <w:webHidden/>
          </w:rPr>
          <w:tab/>
        </w:r>
        <w:r w:rsidRPr="00926C6D">
          <w:rPr>
            <w:rFonts w:ascii="Garamond" w:hAnsi="Garamond"/>
            <w:webHidden/>
          </w:rPr>
          <w:fldChar w:fldCharType="begin"/>
        </w:r>
        <w:r w:rsidRPr="00926C6D">
          <w:rPr>
            <w:rFonts w:ascii="Garamond" w:hAnsi="Garamond"/>
            <w:webHidden/>
          </w:rPr>
          <w:instrText xml:space="preserve"> PAGEREF _Toc230015625 \h </w:instrText>
        </w:r>
        <w:r w:rsidRPr="00926C6D">
          <w:rPr>
            <w:rFonts w:ascii="Garamond" w:hAnsi="Garamond"/>
            <w:webHidden/>
          </w:rPr>
        </w:r>
        <w:r w:rsidRPr="00926C6D">
          <w:rPr>
            <w:rFonts w:ascii="Garamond" w:hAnsi="Garamond"/>
            <w:webHidden/>
          </w:rPr>
          <w:fldChar w:fldCharType="separate"/>
        </w:r>
        <w:r w:rsidR="00445666">
          <w:rPr>
            <w:rFonts w:ascii="Garamond" w:hAnsi="Garamond"/>
            <w:webHidden/>
          </w:rPr>
          <w:t>4</w:t>
        </w:r>
        <w:r w:rsidRPr="00926C6D">
          <w:rPr>
            <w:rFonts w:ascii="Garamond" w:hAnsi="Garamond"/>
            <w:webHidden/>
          </w:rPr>
          <w:fldChar w:fldCharType="end"/>
        </w:r>
      </w:hyperlink>
    </w:p>
    <w:p w14:paraId="0EA9DBC9" w14:textId="3495C417" w:rsidR="007158BA" w:rsidRPr="00926C6D" w:rsidRDefault="007158BA">
      <w:pPr>
        <w:pStyle w:val="TOC2"/>
        <w:rPr>
          <w:rFonts w:ascii="Garamond" w:eastAsiaTheme="minorEastAsia" w:hAnsi="Garamond" w:cstheme="minorBidi"/>
          <w:kern w:val="2"/>
          <w:lang w:val="en-US"/>
          <w14:ligatures w14:val="standardContextual"/>
        </w:rPr>
      </w:pPr>
      <w:hyperlink w:anchor="_Toc230015626" w:history="1">
        <w:r w:rsidRPr="00926C6D">
          <w:rPr>
            <w:rStyle w:val="Hyperlink"/>
            <w:rFonts w:ascii="Garamond" w:hAnsi="Garamond"/>
          </w:rPr>
          <w:t xml:space="preserve">II) Honor </w:t>
        </w:r>
        <w:r w:rsidR="00445666">
          <w:rPr>
            <w:rStyle w:val="Hyperlink"/>
            <w:rFonts w:ascii="Garamond" w:hAnsi="Garamond"/>
          </w:rPr>
          <w:t>k</w:t>
        </w:r>
        <w:r w:rsidRPr="00926C6D">
          <w:rPr>
            <w:rStyle w:val="Hyperlink"/>
            <w:rFonts w:ascii="Garamond" w:hAnsi="Garamond"/>
          </w:rPr>
          <w:t>illings reflect deeply entrenched discriminatory social and cultural norms that</w:t>
        </w:r>
        <w:r w:rsidR="00445666">
          <w:rPr>
            <w:rStyle w:val="Hyperlink"/>
            <w:rFonts w:ascii="Garamond" w:hAnsi="Garamond"/>
          </w:rPr>
          <w:t xml:space="preserve"> regulate women’s behaivor, reinforce harmful gender stereotypes, and perpetuate violence against women </w:t>
        </w:r>
        <w:r w:rsidRPr="00926C6D">
          <w:rPr>
            <w:rStyle w:val="Hyperlink"/>
            <w:rFonts w:ascii="Garamond" w:hAnsi="Garamond"/>
          </w:rPr>
          <w:t>in violation of Article 5 of the Convention.</w:t>
        </w:r>
        <w:r w:rsidRPr="00926C6D">
          <w:rPr>
            <w:rFonts w:ascii="Garamond" w:hAnsi="Garamond"/>
            <w:webHidden/>
          </w:rPr>
          <w:tab/>
        </w:r>
        <w:r w:rsidRPr="00926C6D">
          <w:rPr>
            <w:rFonts w:ascii="Garamond" w:hAnsi="Garamond"/>
            <w:webHidden/>
          </w:rPr>
          <w:fldChar w:fldCharType="begin"/>
        </w:r>
        <w:r w:rsidRPr="00926C6D">
          <w:rPr>
            <w:rFonts w:ascii="Garamond" w:hAnsi="Garamond"/>
            <w:webHidden/>
          </w:rPr>
          <w:instrText xml:space="preserve"> PAGEREF _Toc230015626 \h </w:instrText>
        </w:r>
        <w:r w:rsidRPr="00926C6D">
          <w:rPr>
            <w:rFonts w:ascii="Garamond" w:hAnsi="Garamond"/>
            <w:webHidden/>
          </w:rPr>
        </w:r>
        <w:r w:rsidRPr="00926C6D">
          <w:rPr>
            <w:rFonts w:ascii="Garamond" w:hAnsi="Garamond"/>
            <w:webHidden/>
          </w:rPr>
          <w:fldChar w:fldCharType="separate"/>
        </w:r>
        <w:r w:rsidR="00445666">
          <w:rPr>
            <w:rFonts w:ascii="Garamond" w:hAnsi="Garamond"/>
            <w:webHidden/>
          </w:rPr>
          <w:t>7</w:t>
        </w:r>
        <w:r w:rsidRPr="00926C6D">
          <w:rPr>
            <w:rFonts w:ascii="Garamond" w:hAnsi="Garamond"/>
            <w:webHidden/>
          </w:rPr>
          <w:fldChar w:fldCharType="end"/>
        </w:r>
      </w:hyperlink>
    </w:p>
    <w:p w14:paraId="25616338" w14:textId="42A1B559" w:rsidR="007158BA" w:rsidRPr="00926C6D" w:rsidRDefault="007158BA">
      <w:pPr>
        <w:pStyle w:val="TOC2"/>
        <w:rPr>
          <w:rFonts w:ascii="Garamond" w:eastAsiaTheme="minorEastAsia" w:hAnsi="Garamond" w:cstheme="minorBidi"/>
          <w:kern w:val="2"/>
          <w:lang w:val="en-US"/>
          <w14:ligatures w14:val="standardContextual"/>
        </w:rPr>
      </w:pPr>
      <w:hyperlink w:anchor="_Toc230015627" w:history="1">
        <w:r w:rsidRPr="00926C6D">
          <w:rPr>
            <w:rStyle w:val="Hyperlink"/>
            <w:rFonts w:ascii="Garamond" w:hAnsi="Garamond"/>
          </w:rPr>
          <w:t>III) Honor killings discriminate against women in matters relating to equality of entering marriage and family relations in violation of Article 16.</w:t>
        </w:r>
        <w:r w:rsidRPr="00926C6D">
          <w:rPr>
            <w:rFonts w:ascii="Garamond" w:hAnsi="Garamond"/>
            <w:webHidden/>
          </w:rPr>
          <w:tab/>
        </w:r>
        <w:r w:rsidRPr="00926C6D">
          <w:rPr>
            <w:rFonts w:ascii="Garamond" w:hAnsi="Garamond"/>
            <w:webHidden/>
          </w:rPr>
          <w:fldChar w:fldCharType="begin"/>
        </w:r>
        <w:r w:rsidRPr="00926C6D">
          <w:rPr>
            <w:rFonts w:ascii="Garamond" w:hAnsi="Garamond"/>
            <w:webHidden/>
          </w:rPr>
          <w:instrText xml:space="preserve"> PAGEREF _Toc230015627 \h </w:instrText>
        </w:r>
        <w:r w:rsidRPr="00926C6D">
          <w:rPr>
            <w:rFonts w:ascii="Garamond" w:hAnsi="Garamond"/>
            <w:webHidden/>
          </w:rPr>
        </w:r>
        <w:r w:rsidRPr="00926C6D">
          <w:rPr>
            <w:rFonts w:ascii="Garamond" w:hAnsi="Garamond"/>
            <w:webHidden/>
          </w:rPr>
          <w:fldChar w:fldCharType="separate"/>
        </w:r>
        <w:r w:rsidR="00445666">
          <w:rPr>
            <w:rFonts w:ascii="Garamond" w:hAnsi="Garamond"/>
            <w:webHidden/>
          </w:rPr>
          <w:t>9</w:t>
        </w:r>
        <w:r w:rsidRPr="00926C6D">
          <w:rPr>
            <w:rFonts w:ascii="Garamond" w:hAnsi="Garamond"/>
            <w:webHidden/>
          </w:rPr>
          <w:fldChar w:fldCharType="end"/>
        </w:r>
      </w:hyperlink>
    </w:p>
    <w:p w14:paraId="242833D6" w14:textId="3C0B3AC0" w:rsidR="007158BA" w:rsidRPr="00926C6D" w:rsidRDefault="007158BA" w:rsidP="00926C6D">
      <w:pPr>
        <w:pStyle w:val="TOC1"/>
        <w:tabs>
          <w:tab w:val="right" w:leader="dot" w:pos="9350"/>
        </w:tabs>
        <w:ind w:firstLine="0"/>
        <w:jc w:val="left"/>
        <w:rPr>
          <w:rFonts w:ascii="Garamond" w:eastAsiaTheme="minorEastAsia" w:hAnsi="Garamond" w:cstheme="minorBidi"/>
          <w:b w:val="0"/>
          <w:bCs w:val="0"/>
          <w:caps w:val="0"/>
          <w:noProof/>
          <w:kern w:val="2"/>
          <w:lang w:val="en-US"/>
          <w14:ligatures w14:val="standardContextual"/>
        </w:rPr>
      </w:pPr>
      <w:hyperlink w:anchor="_Toc230015628" w:history="1">
        <w:r w:rsidRPr="00926C6D">
          <w:rPr>
            <w:rStyle w:val="Hyperlink"/>
            <w:rFonts w:ascii="Garamond" w:hAnsi="Garamond"/>
            <w:b w:val="0"/>
            <w:bCs w:val="0"/>
            <w:noProof/>
          </w:rPr>
          <w:t>RECOMMENDATIONS</w:t>
        </w:r>
        <w:r w:rsidRPr="00926C6D">
          <w:rPr>
            <w:rFonts w:ascii="Garamond" w:hAnsi="Garamond"/>
            <w:b w:val="0"/>
            <w:bCs w:val="0"/>
            <w:noProof/>
            <w:webHidden/>
          </w:rPr>
          <w:tab/>
        </w:r>
        <w:r w:rsidRPr="00926C6D">
          <w:rPr>
            <w:rFonts w:ascii="Garamond" w:hAnsi="Garamond"/>
            <w:b w:val="0"/>
            <w:bCs w:val="0"/>
            <w:noProof/>
            <w:webHidden/>
          </w:rPr>
          <w:fldChar w:fldCharType="begin"/>
        </w:r>
        <w:r w:rsidRPr="00926C6D">
          <w:rPr>
            <w:rFonts w:ascii="Garamond" w:hAnsi="Garamond"/>
            <w:b w:val="0"/>
            <w:bCs w:val="0"/>
            <w:noProof/>
            <w:webHidden/>
          </w:rPr>
          <w:instrText xml:space="preserve"> PAGEREF _Toc230015628 \h </w:instrText>
        </w:r>
        <w:r w:rsidRPr="00926C6D">
          <w:rPr>
            <w:rFonts w:ascii="Garamond" w:hAnsi="Garamond"/>
            <w:b w:val="0"/>
            <w:bCs w:val="0"/>
            <w:noProof/>
            <w:webHidden/>
          </w:rPr>
        </w:r>
        <w:r w:rsidRPr="00926C6D">
          <w:rPr>
            <w:rFonts w:ascii="Garamond" w:hAnsi="Garamond"/>
            <w:b w:val="0"/>
            <w:bCs w:val="0"/>
            <w:noProof/>
            <w:webHidden/>
          </w:rPr>
          <w:fldChar w:fldCharType="separate"/>
        </w:r>
        <w:r w:rsidR="00445666">
          <w:rPr>
            <w:rFonts w:ascii="Garamond" w:hAnsi="Garamond"/>
            <w:b w:val="0"/>
            <w:bCs w:val="0"/>
            <w:noProof/>
            <w:webHidden/>
          </w:rPr>
          <w:t>11</w:t>
        </w:r>
        <w:r w:rsidRPr="00926C6D">
          <w:rPr>
            <w:rFonts w:ascii="Garamond" w:hAnsi="Garamond"/>
            <w:b w:val="0"/>
            <w:bCs w:val="0"/>
            <w:noProof/>
            <w:webHidden/>
          </w:rPr>
          <w:fldChar w:fldCharType="end"/>
        </w:r>
      </w:hyperlink>
    </w:p>
    <w:p w14:paraId="547708FC" w14:textId="1D93EAEF" w:rsidR="00ED5AFD" w:rsidRPr="007158BA" w:rsidRDefault="002D70B5" w:rsidP="007158BA">
      <w:pPr>
        <w:pStyle w:val="Heading1"/>
        <w:jc w:val="left"/>
      </w:pPr>
      <w:r w:rsidRPr="00926C6D">
        <w:rPr>
          <w:b w:val="0"/>
          <w:sz w:val="20"/>
          <w:szCs w:val="20"/>
        </w:rPr>
        <w:fldChar w:fldCharType="end"/>
      </w:r>
      <w:bookmarkStart w:id="0" w:name="_Toc230015621"/>
      <w:r w:rsidRPr="007158BA">
        <w:t>PURPOSE OF THIS PARALLEL REPORT</w:t>
      </w:r>
      <w:bookmarkEnd w:id="0"/>
      <w:r w:rsidRPr="007158BA">
        <w:t xml:space="preserve"> </w:t>
      </w:r>
    </w:p>
    <w:p w14:paraId="75A0A035" w14:textId="77777777" w:rsidR="00ED5AFD" w:rsidRPr="00926C6D" w:rsidRDefault="00000000" w:rsidP="00926C6D">
      <w:r w:rsidRPr="00926C6D">
        <w:t>(1) The purpose of this parallel report is to assist the Committee on the Elimination of All Forms of Discrimination Against Women (the Committee) in their consideration regarding the List of Issues Prior to Reporting for the Government of Jordan’s seventh to eighth reporting cycle on the implementation of the Convention on the Elimination of All Forms of Discrimination Against Women (“CEDAW” or “Convention”) during the 93rd</w:t>
      </w:r>
      <w:r w:rsidRPr="00926C6D">
        <w:rPr>
          <w:vertAlign w:val="superscript"/>
        </w:rPr>
        <w:t xml:space="preserve"> </w:t>
      </w:r>
      <w:r w:rsidRPr="00926C6D">
        <w:t>CEDAW Committee Session (5-30 October 2026). Jordan ratified the Convention on 1 July 1992.</w:t>
      </w:r>
    </w:p>
    <w:p w14:paraId="5DAC7376" w14:textId="48BBDA69" w:rsidR="00ED5AFD" w:rsidRPr="00926C6D" w:rsidRDefault="00000000" w:rsidP="00926C6D">
      <w:r w:rsidRPr="081385CF">
        <w:rPr>
          <w:lang w:val="en-US"/>
        </w:rPr>
        <w:t>(2) This report focuses on honor killings in Jordan, a type of femicide defined as the murder of a woman or girl by a male family member, committed in the name of preserving or restoring perceived family “honor” and recognized as a form of gender-based violence.</w:t>
      </w:r>
      <w:r w:rsidRPr="081385CF">
        <w:rPr>
          <w:vertAlign w:val="superscript"/>
          <w:lang w:val="en-US"/>
        </w:rPr>
        <w:footnoteReference w:id="1"/>
      </w:r>
      <w:r w:rsidRPr="081385CF">
        <w:rPr>
          <w:lang w:val="en-US"/>
        </w:rPr>
        <w:t xml:space="preserve"> Gender-based violence against women constitutes discrimination against women under Article 1 of the Convention and therefore engages all obligations under the Convention.</w:t>
      </w:r>
      <w:r w:rsidRPr="081385CF">
        <w:rPr>
          <w:vertAlign w:val="superscript"/>
          <w:lang w:val="en-US"/>
        </w:rPr>
        <w:footnoteReference w:id="2"/>
      </w:r>
      <w:r w:rsidRPr="081385CF">
        <w:rPr>
          <w:lang w:val="en-US"/>
        </w:rPr>
        <w:t xml:space="preserve"> </w:t>
      </w:r>
      <w:r w:rsidR="00F45D92" w:rsidRPr="081385CF">
        <w:rPr>
          <w:lang w:val="en-US"/>
        </w:rPr>
        <w:t>More specifically</w:t>
      </w:r>
      <w:r w:rsidRPr="081385CF">
        <w:rPr>
          <w:lang w:val="en-US"/>
        </w:rPr>
        <w:t>, this issue comes under the purview of Articles 2, 5, and 16</w:t>
      </w:r>
      <w:r w:rsidR="00F45D92" w:rsidRPr="081385CF">
        <w:rPr>
          <w:lang w:val="en-US"/>
        </w:rPr>
        <w:t xml:space="preserve"> of the Convention</w:t>
      </w:r>
      <w:r w:rsidRPr="081385CF">
        <w:rPr>
          <w:lang w:val="en-US"/>
        </w:rPr>
        <w:t xml:space="preserve">. While Jordan has undertaken important legal and institutional reforms to address honor killings and gender-based violence, significant concerns remain regarding enforcement, social attitudes, judicial discretion, underreporting, and the continued vulnerability of women and girls to gender-based violence in the name of family honor. </w:t>
      </w:r>
    </w:p>
    <w:p w14:paraId="3BD65720" w14:textId="77777777" w:rsidR="00ED5AFD" w:rsidRPr="007158BA" w:rsidRDefault="00000000" w:rsidP="007158BA">
      <w:pPr>
        <w:pStyle w:val="Heading1"/>
        <w:spacing w:line="240" w:lineRule="auto"/>
      </w:pPr>
      <w:bookmarkStart w:id="1" w:name="_Toc230015622"/>
      <w:r w:rsidRPr="007158BA">
        <w:t>ABOUT THE AUTHORS OF THIS REPORT AND SOURCES</w:t>
      </w:r>
      <w:bookmarkEnd w:id="1"/>
    </w:p>
    <w:p w14:paraId="28D937A0" w14:textId="55CC7749" w:rsidR="00ED5AFD" w:rsidRPr="00926C6D" w:rsidRDefault="081385CF" w:rsidP="00926C6D">
      <w:r w:rsidRPr="081385CF">
        <w:rPr>
          <w:lang w:val="en-US"/>
        </w:rPr>
        <w:t xml:space="preserve">(3) This report has been prepared by Catherine Machado (JD Candidate 2027), Anna Richardson (JD Candidate 2027), and Fransheska Companioni-Daroch (JD Candidate 2026) working under the supervision of Professor Cesare Romano, Director of the International Human Rights Center of Loyola Law School, Los Angeles, and in collaboration with Megan Mars, Director and Founder of Right to Bloom. </w:t>
      </w:r>
    </w:p>
    <w:p w14:paraId="3037B62A" w14:textId="77777777" w:rsidR="00ED5AFD" w:rsidRPr="00926C6D" w:rsidRDefault="00000000" w:rsidP="00926C6D">
      <w:pPr>
        <w:rPr>
          <w:b/>
          <w:bCs/>
        </w:rPr>
      </w:pPr>
      <w:r w:rsidRPr="00926C6D">
        <w:t xml:space="preserve">(4) The International Human Rights Center of Loyola Law School, Los Angeles, is committed to achieving the full exercise of human rights by all persons and seeks to maximize the use of international and </w:t>
      </w:r>
      <w:r w:rsidRPr="00926C6D">
        <w:lastRenderedPageBreak/>
        <w:t>regional political, judicial, and quasi-judicial bodies through litigation, advocacy, and capacity-building.</w:t>
      </w:r>
      <w:r w:rsidRPr="00926C6D">
        <w:rPr>
          <w:vertAlign w:val="superscript"/>
        </w:rPr>
        <w:footnoteReference w:id="3"/>
      </w:r>
      <w:r w:rsidRPr="00926C6D">
        <w:t xml:space="preserve"> Loyola Law School, Los Angeles, is the school of law of Loyola Marymount University, a Catholic university in the tradition of the Jesuits, the Religious of the Sacred Heart of Mary, and the Sisters of St. Joseph of Orange.</w:t>
      </w:r>
    </w:p>
    <w:p w14:paraId="0DB07E00" w14:textId="50B5F768" w:rsidR="00ED5AFD" w:rsidRPr="00926C6D" w:rsidRDefault="00000000" w:rsidP="00926C6D">
      <w:pPr>
        <w:rPr>
          <w:b/>
          <w:bCs/>
        </w:rPr>
      </w:pPr>
      <w:r w:rsidRPr="00926C6D">
        <w:t>(5) Right to Bloom is a 501(c)(3) nonprofit dedicated to eliminating sexual shame as a pathway to advancing human rights globally.</w:t>
      </w:r>
      <w:r w:rsidRPr="00926C6D">
        <w:rPr>
          <w:vertAlign w:val="superscript"/>
        </w:rPr>
        <w:footnoteReference w:id="4"/>
      </w:r>
      <w:r w:rsidRPr="00926C6D">
        <w:t xml:space="preserve"> Through education, advocacy, community building, and storytelling, we work to create a world where individuals can explore and express their authentic selves without fear of judgment or persecution. </w:t>
      </w:r>
    </w:p>
    <w:p w14:paraId="46DE8B4F" w14:textId="77777777" w:rsidR="00ED5AFD" w:rsidRPr="007158BA" w:rsidRDefault="00000000" w:rsidP="007158BA">
      <w:pPr>
        <w:pStyle w:val="Heading1"/>
        <w:spacing w:line="240" w:lineRule="auto"/>
      </w:pPr>
      <w:bookmarkStart w:id="2" w:name="_Toc230015623"/>
      <w:r w:rsidRPr="007158BA">
        <w:t>BACKGROUND</w:t>
      </w:r>
      <w:bookmarkEnd w:id="2"/>
      <w:r w:rsidRPr="007158BA">
        <w:t xml:space="preserve"> </w:t>
      </w:r>
    </w:p>
    <w:p w14:paraId="03376F0A" w14:textId="79FF038E" w:rsidR="00C87FB7" w:rsidRPr="00926C6D" w:rsidRDefault="00000000" w:rsidP="00926C6D">
      <w:r w:rsidRPr="00926C6D">
        <w:t>(6) The United Nations Population Fund (UNFPA) estimates that there are 5,000 cases of honor killings annually worldwide, though some NGOs estimate it to be as high as 20,000 cases.</w:t>
      </w:r>
      <w:r w:rsidRPr="00926C6D">
        <w:rPr>
          <w:vertAlign w:val="superscript"/>
        </w:rPr>
        <w:footnoteReference w:id="5"/>
      </w:r>
      <w:r w:rsidRPr="00926C6D">
        <w:t xml:space="preserve"> Of these cases, reports indicate that between 15 and 20 women are victims of honor killings in Jordan each year.</w:t>
      </w:r>
      <w:r w:rsidRPr="00926C6D">
        <w:rPr>
          <w:vertAlign w:val="superscript"/>
        </w:rPr>
        <w:footnoteReference w:id="6"/>
      </w:r>
      <w:r w:rsidRPr="00926C6D">
        <w:t xml:space="preserve"> However, there remain challenges in obtaining comprehensive and unrestricted data on honor crimes in Jordan, namely due to cultural sensitivity, a lack of transparency, and possible underreporting linked to societal reluctance to address this issue.</w:t>
      </w:r>
      <w:r w:rsidRPr="00926C6D">
        <w:rPr>
          <w:vertAlign w:val="superscript"/>
        </w:rPr>
        <w:footnoteReference w:id="7"/>
      </w:r>
      <w:r w:rsidRPr="00926C6D">
        <w:t xml:space="preserve"> Therefore, the true prevalence of honor killings in Jordan remains uncertain, even considering the strides they have made in strengthening their legal framework. </w:t>
      </w:r>
    </w:p>
    <w:p w14:paraId="5DEA9BCD" w14:textId="190668B2" w:rsidR="00C87FB7" w:rsidRPr="00926C6D" w:rsidRDefault="00000000" w:rsidP="00926C6D">
      <w:r w:rsidRPr="00926C6D">
        <w:t>(7) After gaining independence in 1946, Jordan was presented with the challenge of merging Ottoman, British, tribal, and Islamic laws within its legal system.</w:t>
      </w:r>
      <w:r w:rsidRPr="00926C6D">
        <w:rPr>
          <w:vertAlign w:val="superscript"/>
        </w:rPr>
        <w:footnoteReference w:id="8"/>
      </w:r>
      <w:r w:rsidRPr="00926C6D">
        <w:t xml:space="preserve"> This transformation of their legal structure resulted in a complex, conflicting framework within which traditional norms, especially those governing women, persisted.</w:t>
      </w:r>
      <w:r w:rsidRPr="00926C6D">
        <w:rPr>
          <w:vertAlign w:val="superscript"/>
        </w:rPr>
        <w:footnoteReference w:id="9"/>
      </w:r>
      <w:r w:rsidRPr="00926C6D">
        <w:t xml:space="preserve"> These norms are reflected in Jordan’s Penal Code, where the legal framework addressing honor crimes in Jordan is primarily </w:t>
      </w:r>
      <w:r w:rsidR="00F45D92" w:rsidRPr="00926C6D">
        <w:t>codified</w:t>
      </w:r>
      <w:r w:rsidRPr="00926C6D">
        <w:t xml:space="preserve">. Articles 98, 99, and 340 of the Jordanian Penal Code are the most relevant to the prosecution of honor crimes in Jordan. </w:t>
      </w:r>
      <w:r w:rsidR="00C87FB7" w:rsidRPr="00926C6D">
        <w:t>The Penal Code was amended in November 2017.</w:t>
      </w:r>
    </w:p>
    <w:p w14:paraId="0C67E596" w14:textId="10E696CC" w:rsidR="00C87FB7" w:rsidRPr="00926C6D" w:rsidRDefault="00C87FB7" w:rsidP="00926C6D">
      <w:r w:rsidRPr="081385CF">
        <w:rPr>
          <w:lang w:val="en-US"/>
        </w:rPr>
        <w:t>(8) Article 99 of the Jordanian Penal Code, prior to the November 2017 amendment, permitted broad sentence reductions based on unspecified “extenuating reasons” left largely to the discretion of the judiciary.</w:t>
      </w:r>
      <w:r w:rsidRPr="081385CF">
        <w:rPr>
          <w:vertAlign w:val="superscript"/>
          <w:lang w:val="en-US"/>
        </w:rPr>
        <w:footnoteReference w:id="10"/>
      </w:r>
      <w:r w:rsidRPr="081385CF">
        <w:rPr>
          <w:lang w:val="en-US"/>
        </w:rPr>
        <w:t xml:space="preserve"> In practice, courts frequently applied these reductions in cases where the victim’s family agreed to drop personal charges against the defendant, a common occurrence in honor killing cases due to familial or societal pressure. Following the November 2017 amendments, Article 99 increased certain sentencing thresholds for serious crimes, but continued to permit substantial reduced prosecutorial accountability in the presence of extenuating circumstances that aren’t clearly defined.</w:t>
      </w:r>
      <w:r w:rsidRPr="081385CF">
        <w:rPr>
          <w:vertAlign w:val="superscript"/>
          <w:lang w:val="en-US"/>
        </w:rPr>
        <w:footnoteReference w:id="11"/>
      </w:r>
      <w:r w:rsidRPr="081385CF">
        <w:rPr>
          <w:lang w:val="en-US"/>
        </w:rPr>
        <w:t xml:space="preserve"> </w:t>
      </w:r>
    </w:p>
    <w:p w14:paraId="08DF645E" w14:textId="4D6332A2" w:rsidR="00C87FB7" w:rsidRPr="00926C6D" w:rsidRDefault="00C87FB7" w:rsidP="00926C6D">
      <w:r w:rsidRPr="081385CF">
        <w:rPr>
          <w:lang w:val="en-US"/>
        </w:rPr>
        <w:t xml:space="preserve">(9) Article 340 of the Jordanian Penal Code has historically provided an extenuating excuse for individuals who killed or assaulted a spouse or female relative upon discovering them in the act of adultery. </w:t>
      </w:r>
      <w:r w:rsidRPr="081385CF">
        <w:rPr>
          <w:lang w:val="en-US"/>
        </w:rPr>
        <w:lastRenderedPageBreak/>
        <w:t>Although amended over time to be gender-neutral, the provision has contributed to the normalization and mitigation of sentences for honor crimes, especially as a loophole after the amendment to article 98.</w:t>
      </w:r>
      <w:r w:rsidRPr="081385CF">
        <w:rPr>
          <w:vertAlign w:val="superscript"/>
          <w:lang w:val="en-US"/>
        </w:rPr>
        <w:footnoteReference w:id="12"/>
      </w:r>
      <w:r w:rsidRPr="081385CF">
        <w:rPr>
          <w:lang w:val="en-US"/>
        </w:rPr>
        <w:t xml:space="preserve"> </w:t>
      </w:r>
    </w:p>
    <w:p w14:paraId="7D1A1873" w14:textId="124110F1" w:rsidR="00C87FB7" w:rsidRPr="00926C6D" w:rsidRDefault="00000000" w:rsidP="00926C6D">
      <w:r w:rsidRPr="00926C6D">
        <w:t>(</w:t>
      </w:r>
      <w:r w:rsidR="00C87FB7" w:rsidRPr="00926C6D">
        <w:t>10</w:t>
      </w:r>
      <w:r w:rsidRPr="00926C6D">
        <w:t>) Prior to November 2017, Article 98 provided a “sudden provocation” defense that permitted reduced sentences for individuals who committed homicide in a “fit of fury” resulting from the victim’s allegedly dishonorable or provocative behavior.</w:t>
      </w:r>
      <w:r w:rsidRPr="00926C6D">
        <w:rPr>
          <w:vertAlign w:val="superscript"/>
        </w:rPr>
        <w:footnoteReference w:id="13"/>
      </w:r>
      <w:r w:rsidRPr="00926C6D">
        <w:t xml:space="preserve"> In practice, this provision functioned as an extenuating excuse that frequently enabled perpetrators of honor killings to receive substantially reduced sentences, sometimes as low as six months to one year imprisonment. Following the November 2017 amendments, Article 98 limited the availability of the extenuating excuse in certain cases involving the murder of “a female in a situation that is outside the scope of 340.”</w:t>
      </w:r>
      <w:r w:rsidRPr="00926C6D">
        <w:rPr>
          <w:vertAlign w:val="superscript"/>
        </w:rPr>
        <w:footnoteReference w:id="14"/>
      </w:r>
      <w:r w:rsidRPr="00926C6D">
        <w:t xml:space="preserve"> However, this provision is still not consistently applied, particularly in honor crimes cases, often being left to discretionary sentencing reduction when taken in tandem with other provisions.</w:t>
      </w:r>
      <w:r w:rsidRPr="00926C6D">
        <w:rPr>
          <w:vertAlign w:val="superscript"/>
        </w:rPr>
        <w:footnoteReference w:id="15"/>
      </w:r>
      <w:r w:rsidRPr="00926C6D">
        <w:t xml:space="preserve"> </w:t>
      </w:r>
    </w:p>
    <w:p w14:paraId="6861EAFC" w14:textId="765FB52A" w:rsidR="00E50B71" w:rsidRPr="00926C6D" w:rsidRDefault="081385CF" w:rsidP="00926C6D">
      <w:r w:rsidRPr="081385CF">
        <w:rPr>
          <w:lang w:val="en-US"/>
        </w:rPr>
        <w:t xml:space="preserve">(11) Although Jordan has undertaken legislative reforms aimed at limiting leniency for perpetrators of honor killings, concerns remain regarding the continued availability of sentence mitigation, broad judicial discretion, inconsistent enforcement, and persistent societal attitudes surrounding women’s sexuality and family honor. Together, these factors contribute to an environment in which gender-based violence against women may be insufficiently deterred or punished. Accordingly, Jordan’s legal framework and its implementation raise significant concerns under CEDAW, particularly with respect to the State’s obligations to eliminate discrimination, protect women from gender-based violence, and ensure equality within family and social relations. </w:t>
      </w:r>
      <w:bookmarkStart w:id="3" w:name="_a73yyhnhjcb"/>
      <w:bookmarkStart w:id="4" w:name="_zdhy49weledq"/>
      <w:bookmarkStart w:id="5" w:name="_92qrv894ofej"/>
      <w:bookmarkEnd w:id="3"/>
      <w:bookmarkEnd w:id="4"/>
      <w:bookmarkEnd w:id="5"/>
    </w:p>
    <w:p w14:paraId="26DE7A05" w14:textId="18A724BD" w:rsidR="00ED5AFD" w:rsidRPr="007158BA" w:rsidRDefault="00000000" w:rsidP="00926C6D">
      <w:pPr>
        <w:pStyle w:val="Heading1"/>
        <w:keepNext w:val="0"/>
        <w:keepLines w:val="0"/>
        <w:widowControl w:val="0"/>
        <w:tabs>
          <w:tab w:val="right" w:pos="9270"/>
          <w:tab w:val="right" w:pos="9360"/>
        </w:tabs>
        <w:spacing w:line="240" w:lineRule="auto"/>
        <w:rPr>
          <w:rFonts w:eastAsia="EB Garamond" w:cs="EB Garamond"/>
          <w:szCs w:val="20"/>
        </w:rPr>
      </w:pPr>
      <w:bookmarkStart w:id="6" w:name="_rx6u5vj2obz7" w:colFirst="0" w:colLast="0"/>
      <w:bookmarkStart w:id="7" w:name="_Toc230015624"/>
      <w:bookmarkEnd w:id="6"/>
      <w:r w:rsidRPr="007158BA">
        <w:rPr>
          <w:rFonts w:eastAsia="EB Garamond" w:cs="EB Garamond"/>
          <w:bCs/>
          <w:szCs w:val="20"/>
        </w:rPr>
        <w:t>JORDAN FAILS TO FULFILL ITS INTERNATIONAL OBLIGATIONS UNDER THE CONVENTION CONCERNING THE ELIMINATION OF ALL FORMS OF DISCRIMINATION AGAINST WOMEN.</w:t>
      </w:r>
      <w:bookmarkEnd w:id="7"/>
      <w:r w:rsidRPr="007158BA">
        <w:rPr>
          <w:rFonts w:eastAsia="EB Garamond" w:cs="EB Garamond"/>
          <w:bCs/>
          <w:szCs w:val="20"/>
        </w:rPr>
        <w:t xml:space="preserve"> </w:t>
      </w:r>
    </w:p>
    <w:p w14:paraId="362611AE" w14:textId="7DA6D2F9" w:rsidR="00C87FB7" w:rsidRPr="007158BA" w:rsidRDefault="00000000" w:rsidP="007158BA">
      <w:pPr>
        <w:pStyle w:val="Heading2"/>
        <w:spacing w:line="240" w:lineRule="auto"/>
        <w:rPr>
          <w:b/>
          <w:bCs/>
        </w:rPr>
      </w:pPr>
      <w:bookmarkStart w:id="8" w:name="_Toc230015625"/>
      <w:r w:rsidRPr="007158BA">
        <w:rPr>
          <w:b/>
          <w:bCs/>
        </w:rPr>
        <w:t>I) Honor killings and judicial mitigation of violence against women violate Jordan’s duty to respect, protect, and fulfill non-discrimination under Article 2 of the Convention.</w:t>
      </w:r>
      <w:bookmarkEnd w:id="8"/>
    </w:p>
    <w:p w14:paraId="7D7A6FAB" w14:textId="72FEC539" w:rsidR="00ED5AFD" w:rsidRPr="00926C6D" w:rsidRDefault="00000000" w:rsidP="00926C6D">
      <w:r w:rsidRPr="081385CF">
        <w:rPr>
          <w:lang w:val="en-US"/>
        </w:rPr>
        <w:t xml:space="preserve">(12) Legal leniency </w:t>
      </w:r>
      <w:r w:rsidR="00A5266A" w:rsidRPr="081385CF">
        <w:rPr>
          <w:lang w:val="en-US"/>
        </w:rPr>
        <w:t>for</w:t>
      </w:r>
      <w:r w:rsidRPr="081385CF">
        <w:rPr>
          <w:lang w:val="en-US"/>
        </w:rPr>
        <w:t xml:space="preserve"> honor killings violates international obligation to eliminate discrimination against women. “Honor killings” are a form of gender-based violence in which male family members murder women who are perceived to have brought shame or dishonor upon the family. These killings are often linked to accusations of sexual impropriety, such as alleged adultery, premarital relationships, speaking with unrelated men, seeking divorce, or even rumors regarding a woman’s behavior. Human Rights Watch explains that the concept of family honor in Jordan is closely tied to controlling women’s sexuality and conduct.</w:t>
      </w:r>
      <w:r w:rsidRPr="081385CF">
        <w:rPr>
          <w:vertAlign w:val="superscript"/>
          <w:lang w:val="en-US"/>
        </w:rPr>
        <w:footnoteReference w:id="16"/>
      </w:r>
      <w:r w:rsidRPr="081385CF">
        <w:rPr>
          <w:lang w:val="en-US"/>
        </w:rPr>
        <w:t xml:space="preserve"> Honor killings are fundamentally incompatible with legal frameworks and social institutions that promote equality and prohibit discrimination. Although Jordan is generally regarded as a safe country, honor killings have persisted and remain deeply woven in aspects of domestic and social life.</w:t>
      </w:r>
    </w:p>
    <w:p w14:paraId="7ABC23DE" w14:textId="651E544A" w:rsidR="00C87FB7" w:rsidRPr="00926C6D" w:rsidRDefault="00000000" w:rsidP="00926C6D">
      <w:r w:rsidRPr="00926C6D">
        <w:t>(13) Jordan historically reduced punishment for honor killings under Article 98 of the Penal Code, which allowed mitigation for crimes committed in a “fit of fury.”</w:t>
      </w:r>
      <w:r w:rsidRPr="00926C6D">
        <w:rPr>
          <w:vertAlign w:val="superscript"/>
        </w:rPr>
        <w:footnoteReference w:id="17"/>
      </w:r>
      <w:r w:rsidRPr="00926C6D">
        <w:t xml:space="preserve"> Although Jordan amended Article 98 in </w:t>
      </w:r>
      <w:r w:rsidRPr="00926C6D">
        <w:lastRenderedPageBreak/>
        <w:t>2017 in an effort to restrict the use of this mitigation in honor killing cases, the reform did not fully eliminate judicial discretion or broader legal loopholes that continue to result in reduced punishment for perpetrators of gender-based violence.</w:t>
      </w:r>
      <w:r w:rsidRPr="00926C6D">
        <w:rPr>
          <w:vertAlign w:val="superscript"/>
        </w:rPr>
        <w:footnoteReference w:id="18"/>
      </w:r>
      <w:r w:rsidRPr="00926C6D">
        <w:t xml:space="preserve"> Courts have continued to frame honor killings as “crimes of passion” or acts committed under provocation,</w:t>
      </w:r>
      <w:r w:rsidRPr="00926C6D">
        <w:rPr>
          <w:vertAlign w:val="superscript"/>
        </w:rPr>
        <w:footnoteReference w:id="19"/>
      </w:r>
      <w:r w:rsidRPr="00926C6D">
        <w:t xml:space="preserve"> reinforcing patriarchal assumptions that violence against women may be understandable or excusable when tied to perceived violations of family honor or traditional gender expectations. Article 2 requires States Parties to refrain from engaging in discriminatory laws, policies, and practices against women.</w:t>
      </w:r>
    </w:p>
    <w:p w14:paraId="1EB8EEE4" w14:textId="489C1F6F" w:rsidR="00C87FB7" w:rsidRPr="00926C6D" w:rsidRDefault="00000000" w:rsidP="00926C6D">
      <w:r w:rsidRPr="081385CF">
        <w:rPr>
          <w:lang w:val="en-US"/>
        </w:rPr>
        <w:t>(14) The persistence of honor killings in Jordan is significant when compared to countries with similar economic development and institutional capacity. Although Jordan is generally classified as an upper-middle-income country with relatively low overall homicide rates,</w:t>
      </w:r>
      <w:r w:rsidRPr="081385CF">
        <w:rPr>
          <w:vertAlign w:val="superscript"/>
          <w:lang w:val="en-US"/>
        </w:rPr>
        <w:footnoteReference w:id="20"/>
      </w:r>
      <w:r w:rsidRPr="081385CF">
        <w:rPr>
          <w:lang w:val="en-US"/>
        </w:rPr>
        <w:t xml:space="preserve"> honor killings continue to occur with alarming frequency and remain embedded within judicial and social frameworks. Countries with similar status tend to experience gender killings more commonly through generalized femicide or domestic violence rather than explicitly honor-based killings tied to family reputation and female sexuality.</w:t>
      </w:r>
      <w:r w:rsidRPr="081385CF">
        <w:rPr>
          <w:vertAlign w:val="superscript"/>
          <w:lang w:val="en-US"/>
        </w:rPr>
        <w:footnoteReference w:id="21"/>
      </w:r>
      <w:r w:rsidRPr="081385CF">
        <w:rPr>
          <w:lang w:val="en-US"/>
        </w:rPr>
        <w:t xml:space="preserve"> Additionally, Jordan has historically maintained legal provisions and judicial practices that mitigate punishment for gender-based killings committed in the name of “family honor.”</w:t>
      </w:r>
      <w:r w:rsidRPr="081385CF">
        <w:rPr>
          <w:vertAlign w:val="superscript"/>
          <w:lang w:val="en-US"/>
        </w:rPr>
        <w:footnoteReference w:id="22"/>
      </w:r>
      <w:r w:rsidRPr="081385CF">
        <w:rPr>
          <w:lang w:val="en-US"/>
        </w:rPr>
        <w:t xml:space="preserve"> This persistence demonstrates that the killings are not isolated incidents of violence, but rather a steady system of discriminatory and patriarchal customs that the state has failed to eliminate. </w:t>
      </w:r>
    </w:p>
    <w:p w14:paraId="37B16264" w14:textId="0D154041" w:rsidR="00C87FB7" w:rsidRPr="00926C6D" w:rsidRDefault="00000000" w:rsidP="081385CF">
      <w:pPr>
        <w:rPr>
          <w:lang w:val="en-US"/>
        </w:rPr>
      </w:pPr>
      <w:r w:rsidRPr="081385CF">
        <w:rPr>
          <w:lang w:val="en-US"/>
        </w:rPr>
        <w:t xml:space="preserve">(15) Under </w:t>
      </w:r>
      <w:r w:rsidR="00C87FB7" w:rsidRPr="081385CF">
        <w:rPr>
          <w:lang w:val="en-US"/>
        </w:rPr>
        <w:t>A</w:t>
      </w:r>
      <w:r w:rsidRPr="081385CF">
        <w:rPr>
          <w:lang w:val="en-US"/>
        </w:rPr>
        <w:t xml:space="preserve">rticle 2, States </w:t>
      </w:r>
      <w:r w:rsidR="00926C6D" w:rsidRPr="081385CF">
        <w:rPr>
          <w:lang w:val="en-US"/>
        </w:rPr>
        <w:t>P</w:t>
      </w:r>
      <w:r w:rsidRPr="081385CF">
        <w:rPr>
          <w:lang w:val="en-US"/>
        </w:rPr>
        <w:t>arties must address all aspects of their legal obligations under the Convention to respect, protect and fulfil women’s right</w:t>
      </w:r>
      <w:r w:rsidR="009E5621" w:rsidRPr="081385CF">
        <w:rPr>
          <w:lang w:val="en-US"/>
        </w:rPr>
        <w:t>s</w:t>
      </w:r>
      <w:r w:rsidRPr="081385CF">
        <w:rPr>
          <w:lang w:val="en-US"/>
        </w:rPr>
        <w:t xml:space="preserve"> to non-discrimination and to the enjoyment of equality. The obligation to respect requires that States </w:t>
      </w:r>
      <w:r w:rsidR="00926C6D" w:rsidRPr="081385CF">
        <w:rPr>
          <w:lang w:val="en-US"/>
        </w:rPr>
        <w:t>P</w:t>
      </w:r>
      <w:r w:rsidRPr="081385CF">
        <w:rPr>
          <w:lang w:val="en-US"/>
        </w:rPr>
        <w:t>arties refrain from making laws, policies, regulations, programmes, administrative procedures and institutional structures that directly or indirectly result in the denial of the equal enjoyment by women of their civil, political, economic, social and cultural rights.</w:t>
      </w:r>
      <w:r w:rsidRPr="081385CF">
        <w:rPr>
          <w:vertAlign w:val="superscript"/>
          <w:lang w:val="en-US"/>
        </w:rPr>
        <w:footnoteReference w:id="23"/>
      </w:r>
      <w:r w:rsidRPr="081385CF">
        <w:rPr>
          <w:lang w:val="en-US"/>
        </w:rPr>
        <w:t xml:space="preserve"> The obligation to protect requires that States </w:t>
      </w:r>
      <w:r w:rsidR="00926C6D" w:rsidRPr="081385CF">
        <w:rPr>
          <w:lang w:val="en-US"/>
        </w:rPr>
        <w:t>P</w:t>
      </w:r>
      <w:r w:rsidRPr="081385CF">
        <w:rPr>
          <w:lang w:val="en-US"/>
        </w:rPr>
        <w:t>arties protect women from discrimination by private actors and take steps directly aimed at eliminating customary and all other practices that prejudice women.</w:t>
      </w:r>
      <w:r w:rsidRPr="081385CF">
        <w:rPr>
          <w:vertAlign w:val="superscript"/>
          <w:lang w:val="en-US"/>
        </w:rPr>
        <w:footnoteReference w:id="24"/>
      </w:r>
      <w:r w:rsidRPr="081385CF">
        <w:rPr>
          <w:lang w:val="en-US"/>
        </w:rPr>
        <w:t xml:space="preserve"> States </w:t>
      </w:r>
      <w:r w:rsidR="00926C6D" w:rsidRPr="081385CF">
        <w:rPr>
          <w:lang w:val="en-US"/>
        </w:rPr>
        <w:t>P</w:t>
      </w:r>
      <w:r w:rsidRPr="081385CF">
        <w:rPr>
          <w:lang w:val="en-US"/>
        </w:rPr>
        <w:t>arties have an obligation not to cause discrimination against women through acts or omissions; they are further obliged to react actively against discrimination against women, regardless of whether such acts or omissions are perpetrated by the State or by private actors.</w:t>
      </w:r>
      <w:r w:rsidRPr="081385CF">
        <w:rPr>
          <w:vertAlign w:val="superscript"/>
          <w:lang w:val="en-US"/>
        </w:rPr>
        <w:footnoteReference w:id="25"/>
      </w:r>
      <w:r w:rsidRPr="081385CF">
        <w:rPr>
          <w:lang w:val="en-US"/>
        </w:rPr>
        <w:t xml:space="preserve"> Discrimination can occur through the failure of States to take necessary legislative measures to ensure the full realization of women’s rights, the failure to adopt national policies aimed at achieving equality between women and men and the failure to enforce relevant laws.</w:t>
      </w:r>
      <w:r w:rsidRPr="081385CF">
        <w:rPr>
          <w:vertAlign w:val="superscript"/>
          <w:lang w:val="en-US"/>
        </w:rPr>
        <w:footnoteReference w:id="26"/>
      </w:r>
    </w:p>
    <w:p w14:paraId="2B186DB2" w14:textId="5B9AB33E" w:rsidR="00C87FB7" w:rsidRPr="00926C6D" w:rsidRDefault="00000000" w:rsidP="081385CF">
      <w:pPr>
        <w:rPr>
          <w:lang w:val="en-US"/>
        </w:rPr>
      </w:pPr>
      <w:r w:rsidRPr="081385CF">
        <w:rPr>
          <w:lang w:val="en-US"/>
        </w:rPr>
        <w:t xml:space="preserve">(16) Recent honor killing cases reported in local Jordanian media demonstrate that violence against women committed in the name of “family honor” remains a persistent and live problem despite the introduction of some legislative reform. In 2023, local authorities charged a 22-year-old man with murdering </w:t>
      </w:r>
      <w:r w:rsidRPr="081385CF">
        <w:rPr>
          <w:lang w:val="en-US"/>
        </w:rPr>
        <w:lastRenderedPageBreak/>
        <w:t>his sister in the Jordan Valley.</w:t>
      </w:r>
      <w:r w:rsidRPr="081385CF">
        <w:rPr>
          <w:vertAlign w:val="superscript"/>
          <w:lang w:val="en-US"/>
        </w:rPr>
        <w:footnoteReference w:id="27"/>
      </w:r>
      <w:r w:rsidRPr="081385CF">
        <w:rPr>
          <w:lang w:val="en-US"/>
        </w:rPr>
        <w:t xml:space="preserve"> She had 13 gunshot wounds on her body. </w:t>
      </w:r>
      <w:r w:rsidRPr="081385CF">
        <w:rPr>
          <w:vertAlign w:val="superscript"/>
          <w:lang w:val="en-US"/>
        </w:rPr>
        <w:footnoteReference w:id="28"/>
      </w:r>
      <w:r w:rsidRPr="081385CF">
        <w:rPr>
          <w:lang w:val="en-US"/>
        </w:rPr>
        <w:t xml:space="preserve"> In another case that same year, a father was charged with murdering his teenage daughter.</w:t>
      </w:r>
      <w:r w:rsidR="00713C43">
        <w:rPr>
          <w:lang w:val="en-US"/>
        </w:rPr>
        <w:t xml:space="preserve"> </w:t>
      </w:r>
      <w:r w:rsidRPr="081385CF">
        <w:rPr>
          <w:lang w:val="en-US"/>
        </w:rPr>
        <w:t>He poured gasoline over his daughter while she was in bed and burnt her to death.</w:t>
      </w:r>
      <w:r w:rsidRPr="081385CF">
        <w:rPr>
          <w:vertAlign w:val="superscript"/>
          <w:lang w:val="en-US"/>
        </w:rPr>
        <w:footnoteReference w:id="29"/>
      </w:r>
      <w:r w:rsidRPr="081385CF">
        <w:rPr>
          <w:lang w:val="en-US"/>
        </w:rPr>
        <w:t xml:space="preserve"> This act of murder was to restore “family honor.”</w:t>
      </w:r>
      <w:r w:rsidRPr="081385CF">
        <w:rPr>
          <w:vertAlign w:val="superscript"/>
          <w:lang w:val="en-US"/>
        </w:rPr>
        <w:footnoteReference w:id="30"/>
      </w:r>
      <w:r w:rsidRPr="081385CF">
        <w:rPr>
          <w:lang w:val="en-US"/>
        </w:rPr>
        <w:t xml:space="preserve"> In 2020, a man had stabbed his sister five times because he disapproved of where she spent her time.</w:t>
      </w:r>
      <w:r w:rsidRPr="081385CF">
        <w:rPr>
          <w:vertAlign w:val="superscript"/>
          <w:lang w:val="en-US"/>
        </w:rPr>
        <w:footnoteReference w:id="31"/>
      </w:r>
      <w:r w:rsidRPr="081385CF">
        <w:rPr>
          <w:lang w:val="en-US"/>
        </w:rPr>
        <w:t xml:space="preserve"> Each of these cases reveal men killing sisters or daughters to “cleanse” or “restore” family reputation after allegations relating to women’s behavior, sexuality, or movement outside the home. Though the exact details for the violence against these girls are unclear, the perpetrators thought the girls were acting outside of </w:t>
      </w:r>
      <w:r w:rsidR="00713C43">
        <w:rPr>
          <w:lang w:val="en-US"/>
        </w:rPr>
        <w:t>“</w:t>
      </w:r>
      <w:r w:rsidRPr="081385CF">
        <w:rPr>
          <w:lang w:val="en-US"/>
        </w:rPr>
        <w:t xml:space="preserve">honorable” manners in their private and intimate lives. these violent acts. These incidents illustrate that women in Jordan continue to face life-threatening violence rooted in patriarchal notions of honor, chastity, and bodily control. </w:t>
      </w:r>
    </w:p>
    <w:p w14:paraId="6335178F" w14:textId="4FFC51F6" w:rsidR="00C87FB7" w:rsidRPr="00926C6D" w:rsidRDefault="00000000" w:rsidP="00926C6D">
      <w:r w:rsidRPr="081385CF">
        <w:rPr>
          <w:lang w:val="en-US"/>
        </w:rPr>
        <w:t>(17) The persistence of these crimes reflects broader structural discrimination against women and demonstrates Jordan’s failure to comply with Article 2 of CEDAW. Article 2 requires States Parties to pursue, “without delay,” a policy of eliminating discrimination against women through legal reform, equal protection under the law, and the abolition of discriminatory customs and practices.</w:t>
      </w:r>
      <w:r w:rsidRPr="081385CF">
        <w:rPr>
          <w:vertAlign w:val="superscript"/>
          <w:lang w:val="en-US"/>
        </w:rPr>
        <w:footnoteReference w:id="32"/>
      </w:r>
      <w:r w:rsidRPr="081385CF">
        <w:rPr>
          <w:lang w:val="en-US"/>
        </w:rPr>
        <w:t xml:space="preserve"> CEDAW General Recommendation No. 28 emphasizes that Article 2 is central to the objects and purpose of the Convention and imposes immediate obligations on States to address both direct and structural discrimination.</w:t>
      </w:r>
      <w:r w:rsidRPr="081385CF">
        <w:rPr>
          <w:vertAlign w:val="superscript"/>
          <w:lang w:val="en-US"/>
        </w:rPr>
        <w:footnoteReference w:id="33"/>
      </w:r>
      <w:r w:rsidRPr="081385CF">
        <w:rPr>
          <w:lang w:val="en-US"/>
        </w:rPr>
        <w:t xml:space="preserve"> General Recommendation No. 28 further explains that States may be held responsible not only for discriminatory acts committed by public officials, but also for private acts where the state fails to exercise due diligence to prevent, investigate, punish, and remedy gender-based violence.</w:t>
      </w:r>
      <w:r w:rsidRPr="081385CF">
        <w:rPr>
          <w:vertAlign w:val="superscript"/>
          <w:lang w:val="en-US"/>
        </w:rPr>
        <w:footnoteReference w:id="34"/>
      </w:r>
      <w:r w:rsidRPr="081385CF">
        <w:rPr>
          <w:lang w:val="en-US"/>
        </w:rPr>
        <w:t xml:space="preserve"> Though the killings are a product of the relationship between male and female family members, Jordan’s inability to prevent these kinds of killings is inconsistent with the object and purpose of CEDAW Article 2. </w:t>
      </w:r>
    </w:p>
    <w:p w14:paraId="06D5B73F" w14:textId="1D714BC8" w:rsidR="00C87FB7" w:rsidRPr="00926C6D" w:rsidRDefault="00000000" w:rsidP="00926C6D">
      <w:pPr>
        <w:rPr>
          <w:color w:val="222222"/>
          <w:highlight w:val="white"/>
        </w:rPr>
      </w:pPr>
      <w:r w:rsidRPr="00926C6D">
        <w:t>(18) Additionally, the same culture that fosters the brutal killing of women and girls does not exist in a vacuum. A cultural framework that conditions women’s worth on sexual purity and family honor manifests into legal restrictions on bodily autonomy and reproductive health. Indeed, Jordan has an outright ban on abortion. A</w:t>
      </w:r>
      <w:r w:rsidRPr="00926C6D">
        <w:rPr>
          <w:color w:val="222222"/>
          <w:highlight w:val="white"/>
        </w:rPr>
        <w:t>ny woman who undergoes an abortion, as well as the person or doctor who performs the abortion, can face a prison sentence of up to three years, and there is no exception for rape according to articles 321-325 of their Penal Code.</w:t>
      </w:r>
      <w:r w:rsidRPr="00926C6D">
        <w:rPr>
          <w:color w:val="222222"/>
          <w:highlight w:val="white"/>
          <w:vertAlign w:val="superscript"/>
        </w:rPr>
        <w:footnoteReference w:id="35"/>
      </w:r>
      <w:r w:rsidRPr="00926C6D">
        <w:rPr>
          <w:color w:val="222222"/>
          <w:highlight w:val="white"/>
        </w:rPr>
        <w:t xml:space="preserve"> Additionally, though article 6 of the Constitution provides that Jordanians shall be equal before the law, there is no explicit prohibition on discrimination on the basis of sex or gender.</w:t>
      </w:r>
      <w:r w:rsidRPr="00926C6D">
        <w:rPr>
          <w:color w:val="222222"/>
          <w:highlight w:val="white"/>
          <w:vertAlign w:val="superscript"/>
        </w:rPr>
        <w:footnoteReference w:id="36"/>
      </w:r>
      <w:r w:rsidRPr="00926C6D">
        <w:rPr>
          <w:color w:val="222222"/>
          <w:highlight w:val="white"/>
        </w:rPr>
        <w:t xml:space="preserve"> Despite the conclusion by the CEDAW Committee in 2017 expressing concerns over Jordan’s abortion bans, not a single punishment has been lifted nor a single restriction eased.</w:t>
      </w:r>
      <w:r w:rsidRPr="00926C6D">
        <w:rPr>
          <w:color w:val="222222"/>
          <w:highlight w:val="white"/>
          <w:vertAlign w:val="superscript"/>
        </w:rPr>
        <w:footnoteReference w:id="37"/>
      </w:r>
      <w:r w:rsidRPr="00926C6D">
        <w:rPr>
          <w:color w:val="222222"/>
          <w:highlight w:val="white"/>
        </w:rPr>
        <w:t xml:space="preserve"> Indeed, the Committee had suggested updated legislation that reflected</w:t>
      </w:r>
      <w:r w:rsidRPr="00926C6D">
        <w:rPr>
          <w:i/>
          <w:iCs/>
          <w:color w:val="222222"/>
          <w:highlight w:val="white"/>
        </w:rPr>
        <w:t xml:space="preserve"> at the very least</w:t>
      </w:r>
      <w:r w:rsidRPr="00926C6D">
        <w:rPr>
          <w:color w:val="222222"/>
          <w:highlight w:val="white"/>
        </w:rPr>
        <w:t xml:space="preserve"> exceptions for health and safety of the mother and child, and exceptions </w:t>
      </w:r>
      <w:r w:rsidRPr="00926C6D">
        <w:rPr>
          <w:color w:val="222222"/>
          <w:highlight w:val="white"/>
        </w:rPr>
        <w:lastRenderedPageBreak/>
        <w:t>for rape and incest.</w:t>
      </w:r>
      <w:r w:rsidRPr="00926C6D">
        <w:rPr>
          <w:color w:val="222222"/>
          <w:highlight w:val="white"/>
          <w:vertAlign w:val="superscript"/>
        </w:rPr>
        <w:footnoteReference w:id="38"/>
      </w:r>
      <w:r w:rsidRPr="00926C6D">
        <w:rPr>
          <w:color w:val="222222"/>
          <w:highlight w:val="white"/>
        </w:rPr>
        <w:t xml:space="preserve"> Jordan has failed to implement these recommendations. Both active restrictions and inactive omissions erode bodily autonomy and ordinary concepts of equality under international standards. </w:t>
      </w:r>
    </w:p>
    <w:p w14:paraId="3F68440D" w14:textId="58DB4177" w:rsidR="00ED5AFD" w:rsidRPr="00926C6D" w:rsidRDefault="081385CF" w:rsidP="081385CF">
      <w:pPr>
        <w:rPr>
          <w:color w:val="222222"/>
          <w:highlight w:val="white"/>
          <w:lang w:val="en-US"/>
        </w:rPr>
      </w:pPr>
      <w:r w:rsidRPr="081385CF">
        <w:rPr>
          <w:color w:val="222222"/>
          <w:highlight w:val="white"/>
          <w:lang w:val="en-US"/>
        </w:rPr>
        <w:t>(19) These legal and social circumstances when examined together provide a comprehensive understanding that regardless of the broad equality mentioned in the Jordanian Constitution, there remains concerning and deadly practices that prevent the full realization of equality and non-discrimination for women in Jordan. Honor Killings remain particularly prevalent in societies where patriarchal notions of family honor and female chastity continue to shape social and legal norms. However, Jordan's inability to prevent honor killings and gender-based violence</w:t>
      </w:r>
      <w:r w:rsidR="00713C43">
        <w:rPr>
          <w:color w:val="222222"/>
          <w:highlight w:val="white"/>
          <w:lang w:val="en-US"/>
        </w:rPr>
        <w:t xml:space="preserve"> </w:t>
      </w:r>
      <w:r w:rsidRPr="081385CF">
        <w:rPr>
          <w:color w:val="222222"/>
          <w:highlight w:val="white"/>
          <w:lang w:val="en-US"/>
        </w:rPr>
        <w:t xml:space="preserve">is not unique and is in violation of CEDAW. </w:t>
      </w:r>
    </w:p>
    <w:p w14:paraId="4FE3ADBF" w14:textId="77C20352" w:rsidR="00C87FB7" w:rsidRPr="00A5266A" w:rsidRDefault="00000000" w:rsidP="007158BA">
      <w:pPr>
        <w:pStyle w:val="Heading2"/>
        <w:rPr>
          <w:b/>
          <w:bCs/>
          <w:iCs/>
        </w:rPr>
      </w:pPr>
      <w:bookmarkStart w:id="9" w:name="_Toc230015626"/>
      <w:r w:rsidRPr="00A5266A">
        <w:rPr>
          <w:b/>
          <w:bCs/>
          <w:iCs/>
        </w:rPr>
        <w:t xml:space="preserve">II) Honor </w:t>
      </w:r>
      <w:r w:rsidR="00445666">
        <w:rPr>
          <w:b/>
          <w:bCs/>
          <w:iCs/>
        </w:rPr>
        <w:t>k</w:t>
      </w:r>
      <w:r w:rsidRPr="00A5266A">
        <w:rPr>
          <w:b/>
          <w:bCs/>
          <w:iCs/>
        </w:rPr>
        <w:t xml:space="preserve">illings reflect deeply entrenched discriminatory social and cultural norms that </w:t>
      </w:r>
      <w:r w:rsidR="000710D2">
        <w:rPr>
          <w:b/>
          <w:bCs/>
          <w:iCs/>
        </w:rPr>
        <w:t>regulate women’s behavior, reinforce</w:t>
      </w:r>
      <w:r w:rsidRPr="00A5266A">
        <w:rPr>
          <w:b/>
          <w:bCs/>
          <w:iCs/>
        </w:rPr>
        <w:t xml:space="preserve"> harmful gender stereotypes</w:t>
      </w:r>
      <w:r w:rsidR="000710D2">
        <w:rPr>
          <w:b/>
          <w:bCs/>
          <w:iCs/>
        </w:rPr>
        <w:t>, and perpetuate</w:t>
      </w:r>
      <w:r w:rsidRPr="00A5266A">
        <w:rPr>
          <w:b/>
          <w:bCs/>
          <w:iCs/>
        </w:rPr>
        <w:t xml:space="preserve"> violence against women in violation of Article 5 of the Convention.</w:t>
      </w:r>
      <w:bookmarkEnd w:id="9"/>
      <w:r w:rsidRPr="00A5266A">
        <w:rPr>
          <w:b/>
          <w:bCs/>
          <w:iCs/>
        </w:rPr>
        <w:t xml:space="preserve"> </w:t>
      </w:r>
    </w:p>
    <w:p w14:paraId="6C8D6BA0" w14:textId="2B6598D6" w:rsidR="00C87FB7" w:rsidRPr="00926C6D" w:rsidRDefault="00000000" w:rsidP="00926C6D">
      <w:r w:rsidRPr="00926C6D">
        <w:t>(20) Jordan has an obligation not merely to criminalize honor killings, but to transform discriminatory social norms and combat stereotypes through education and the dismantling of practices rooted in female subordination. Article 5(a) requires States Parties to take all appropriate measures to modify social and cultural patterns of conduct that are based on stereotyped roles for men and women or on the perceived superiority or inferiority of either sex.</w:t>
      </w:r>
      <w:r w:rsidRPr="00926C6D">
        <w:rPr>
          <w:vertAlign w:val="superscript"/>
        </w:rPr>
        <w:footnoteReference w:id="39"/>
      </w:r>
      <w:r w:rsidRPr="00926C6D">
        <w:t xml:space="preserve"> Through General Recommendations No. 19 and No. 35, the Committee has further recognized that gender-based violence, including honor killings, is rooted in patriarchal attitudes and discriminatory cultural practices that States have an affirmative obligation to eliminate.</w:t>
      </w:r>
      <w:r w:rsidRPr="00926C6D">
        <w:rPr>
          <w:vertAlign w:val="superscript"/>
        </w:rPr>
        <w:footnoteReference w:id="40"/>
      </w:r>
      <w:r w:rsidRPr="00926C6D">
        <w:t xml:space="preserve"> </w:t>
      </w:r>
    </w:p>
    <w:p w14:paraId="0866C0E8" w14:textId="6E6B5A4E" w:rsidR="00C87FB7" w:rsidRDefault="00000000" w:rsidP="00926C6D">
      <w:r w:rsidRPr="081385CF">
        <w:rPr>
          <w:lang w:val="en-US"/>
        </w:rPr>
        <w:t xml:space="preserve">(21) While Jordan has made commendable progress in its 2017 </w:t>
      </w:r>
      <w:r w:rsidR="00C87FB7" w:rsidRPr="081385CF">
        <w:rPr>
          <w:lang w:val="en-US"/>
        </w:rPr>
        <w:t>amendments in</w:t>
      </w:r>
      <w:r w:rsidRPr="081385CF">
        <w:rPr>
          <w:lang w:val="en-US"/>
        </w:rPr>
        <w:t xml:space="preserve"> minimizing the sentence mitigation for those who have committed honor killings, the fact that these murders persist is a reflection of how such gender-based violence is embedded into the custom and tradition of Jordanian society in violation of Article 5(a). For one, the term “honor killing” is not explicitly recognized in Jordanian </w:t>
      </w:r>
      <w:r w:rsidR="00C87FB7" w:rsidRPr="081385CF">
        <w:rPr>
          <w:lang w:val="en-US"/>
        </w:rPr>
        <w:t>law but</w:t>
      </w:r>
      <w:r w:rsidRPr="081385CF">
        <w:rPr>
          <w:lang w:val="en-US"/>
        </w:rPr>
        <w:t xml:space="preserve"> is rather an imposition of customs considered to naturally fall under the category of murder.</w:t>
      </w:r>
      <w:r w:rsidRPr="081385CF">
        <w:rPr>
          <w:vertAlign w:val="superscript"/>
          <w:lang w:val="en-US"/>
        </w:rPr>
        <w:footnoteReference w:id="41"/>
      </w:r>
      <w:r w:rsidRPr="081385CF">
        <w:rPr>
          <w:lang w:val="en-US"/>
        </w:rPr>
        <w:t xml:space="preserve"> Additionally, traditional Arab societies recognize two types of honor, the ‘</w:t>
      </w:r>
      <w:proofErr w:type="spellStart"/>
      <w:r w:rsidRPr="081385CF">
        <w:rPr>
          <w:i/>
          <w:iCs/>
          <w:lang w:val="en-US"/>
        </w:rPr>
        <w:t>sharaf</w:t>
      </w:r>
      <w:proofErr w:type="spellEnd"/>
      <w:r w:rsidRPr="081385CF">
        <w:rPr>
          <w:i/>
          <w:iCs/>
          <w:lang w:val="en-US"/>
        </w:rPr>
        <w:t xml:space="preserve">’ </w:t>
      </w:r>
      <w:r w:rsidRPr="081385CF">
        <w:rPr>
          <w:lang w:val="en-US"/>
        </w:rPr>
        <w:t xml:space="preserve">and the </w:t>
      </w:r>
      <w:r w:rsidRPr="081385CF">
        <w:rPr>
          <w:i/>
          <w:iCs/>
          <w:lang w:val="en-US"/>
        </w:rPr>
        <w:t>‘</w:t>
      </w:r>
      <w:proofErr w:type="spellStart"/>
      <w:r w:rsidRPr="081385CF">
        <w:rPr>
          <w:i/>
          <w:iCs/>
          <w:lang w:val="en-US"/>
        </w:rPr>
        <w:t>ird</w:t>
      </w:r>
      <w:proofErr w:type="spellEnd"/>
      <w:r w:rsidRPr="081385CF">
        <w:rPr>
          <w:lang w:val="en-US"/>
        </w:rPr>
        <w:t>’ which are both missing from Jordanian laws. The ‘</w:t>
      </w:r>
      <w:proofErr w:type="spellStart"/>
      <w:r w:rsidRPr="081385CF">
        <w:rPr>
          <w:i/>
          <w:iCs/>
          <w:lang w:val="en-US"/>
        </w:rPr>
        <w:t>sharaf</w:t>
      </w:r>
      <w:proofErr w:type="spellEnd"/>
      <w:r w:rsidRPr="081385CF">
        <w:rPr>
          <w:i/>
          <w:iCs/>
          <w:lang w:val="en-US"/>
        </w:rPr>
        <w:t xml:space="preserve">’ </w:t>
      </w:r>
      <w:r w:rsidRPr="081385CF">
        <w:rPr>
          <w:lang w:val="en-US"/>
        </w:rPr>
        <w:t xml:space="preserve">is the honor of the family unit or tribe with regard to moral conduct, which a family may lose and regain depending on their behavior. The </w:t>
      </w:r>
      <w:r w:rsidRPr="081385CF">
        <w:rPr>
          <w:i/>
          <w:iCs/>
          <w:lang w:val="en-US"/>
        </w:rPr>
        <w:t>‘</w:t>
      </w:r>
      <w:proofErr w:type="spellStart"/>
      <w:r w:rsidRPr="081385CF">
        <w:rPr>
          <w:i/>
          <w:iCs/>
          <w:lang w:val="en-US"/>
        </w:rPr>
        <w:t>ird</w:t>
      </w:r>
      <w:proofErr w:type="spellEnd"/>
      <w:r w:rsidRPr="081385CF">
        <w:rPr>
          <w:lang w:val="en-US"/>
        </w:rPr>
        <w:t>,’ referring to the purity or chastity of the woman, can only decrease and prevails over the ‘</w:t>
      </w:r>
      <w:proofErr w:type="spellStart"/>
      <w:r w:rsidRPr="081385CF">
        <w:rPr>
          <w:i/>
          <w:iCs/>
          <w:lang w:val="en-US"/>
        </w:rPr>
        <w:t>sharaf</w:t>
      </w:r>
      <w:proofErr w:type="spellEnd"/>
      <w:r w:rsidRPr="081385CF">
        <w:rPr>
          <w:lang w:val="en-US"/>
        </w:rPr>
        <w:t>’, reflecting a great gender imbalance in the responsibility for maintaining family honor.</w:t>
      </w:r>
      <w:r w:rsidRPr="081385CF">
        <w:rPr>
          <w:vertAlign w:val="superscript"/>
          <w:lang w:val="en-US"/>
        </w:rPr>
        <w:footnoteReference w:id="42"/>
      </w:r>
      <w:r w:rsidRPr="081385CF">
        <w:rPr>
          <w:lang w:val="en-US"/>
        </w:rPr>
        <w:t xml:space="preserve"> Such cultural norms and expectations for women reinforce traditional gender roles, designating them as the “custodians of family honor” through their adherence to certain standards that base the social value of women and girls on their sexual purity.</w:t>
      </w:r>
      <w:r w:rsidRPr="081385CF">
        <w:rPr>
          <w:vertAlign w:val="superscript"/>
          <w:lang w:val="en-US"/>
        </w:rPr>
        <w:footnoteReference w:id="43"/>
      </w:r>
      <w:r w:rsidRPr="081385CF">
        <w:rPr>
          <w:lang w:val="en-US"/>
        </w:rPr>
        <w:t xml:space="preserve"> However, the absence of these terms from Jordanian laws, despite their extreme relevance to understanding honor killings, obscures the distinct nature of these crimes and fails to recognize how they are motivated by</w:t>
      </w:r>
      <w:r w:rsidR="00713C43">
        <w:rPr>
          <w:lang w:val="en-US"/>
        </w:rPr>
        <w:t xml:space="preserve"> </w:t>
      </w:r>
      <w:r w:rsidRPr="081385CF">
        <w:rPr>
          <w:lang w:val="en-US"/>
        </w:rPr>
        <w:t>patriarchal ideas of family honor.</w:t>
      </w:r>
      <w:r w:rsidRPr="081385CF">
        <w:rPr>
          <w:vertAlign w:val="superscript"/>
          <w:lang w:val="en-US"/>
        </w:rPr>
        <w:footnoteReference w:id="44"/>
      </w:r>
      <w:r w:rsidRPr="081385CF">
        <w:rPr>
          <w:lang w:val="en-US"/>
        </w:rPr>
        <w:t xml:space="preserve"> These cultural norms persist in </w:t>
      </w:r>
      <w:r w:rsidRPr="081385CF">
        <w:rPr>
          <w:lang w:val="en-US"/>
        </w:rPr>
        <w:lastRenderedPageBreak/>
        <w:t>violation of the Convention because women’s unequal rights in the family domain make them more vulnerable to violence even when Jordanian law makes strides in condemning gender-based violence.</w:t>
      </w:r>
    </w:p>
    <w:p w14:paraId="365E9376" w14:textId="4C395880" w:rsidR="009E4BB7" w:rsidRPr="00926C6D" w:rsidRDefault="00850697" w:rsidP="00926C6D">
      <w:r>
        <w:t xml:space="preserve">(22) </w:t>
      </w:r>
      <w:r w:rsidR="009E4BB7">
        <w:t>More fundamentally, honor killings do not occur as isolated acts of violence but rather as the most extreme manifestation of a broader system of control over women.</w:t>
      </w:r>
      <w:r>
        <w:rPr>
          <w:rStyle w:val="FootnoteReference"/>
        </w:rPr>
        <w:footnoteReference w:id="45"/>
      </w:r>
      <w:r w:rsidR="009E4BB7">
        <w:t xml:space="preserve"> By tying family honor to a woman’s perceived sexual purity</w:t>
      </w:r>
      <w:r w:rsidR="000710D2">
        <w:t xml:space="preserve"> and obedience </w:t>
      </w:r>
      <w:r w:rsidR="009E4BB7">
        <w:t xml:space="preserve">to prescribed gender roles, these social norms regulate women’s behavior long before any act of violence occurs. Women are subjected to familial and community scrutiny regarding their relationships and personal choices, and the threat of </w:t>
      </w:r>
      <w:r>
        <w:t>abuse or violence serves to enforce compliance.</w:t>
      </w:r>
      <w:r>
        <w:rPr>
          <w:rStyle w:val="FootnoteReference"/>
        </w:rPr>
        <w:footnoteReference w:id="46"/>
      </w:r>
      <w:r>
        <w:t xml:space="preserve"> Honor killings therefore represent the ultimate enforcement mechanism of a patriarchal system that seeks to preserve male authority and female subordination, precisely the type of discriminatory social and cultural pattern that Article 5 requires States Parties to modify and eliminate. </w:t>
      </w:r>
    </w:p>
    <w:p w14:paraId="6903276C" w14:textId="74B2BC9E" w:rsidR="00C87FB7" w:rsidRPr="00926C6D" w:rsidRDefault="00000000" w:rsidP="00926C6D">
      <w:r w:rsidRPr="081385CF">
        <w:rPr>
          <w:lang w:val="en-US"/>
        </w:rPr>
        <w:t>(2</w:t>
      </w:r>
      <w:r w:rsidR="00850697" w:rsidRPr="081385CF">
        <w:rPr>
          <w:lang w:val="en-US"/>
        </w:rPr>
        <w:t>3</w:t>
      </w:r>
      <w:r w:rsidRPr="081385CF">
        <w:rPr>
          <w:lang w:val="en-US"/>
        </w:rPr>
        <w:t xml:space="preserve">) </w:t>
      </w:r>
      <w:r w:rsidR="000710D2" w:rsidRPr="081385CF">
        <w:rPr>
          <w:lang w:val="en-US"/>
        </w:rPr>
        <w:t xml:space="preserve">The persistence of honor killings in Jordan demonstrates how deeply rooted cultural norms operate to both regulate women’s behavior and normalize and conceal violence committed against them. </w:t>
      </w:r>
      <w:r w:rsidRPr="081385CF">
        <w:rPr>
          <w:lang w:val="en-US"/>
        </w:rPr>
        <w:t>General Recommendation No. 19</w:t>
      </w:r>
      <w:r w:rsidR="000710D2" w:rsidRPr="081385CF">
        <w:rPr>
          <w:lang w:val="en-US"/>
        </w:rPr>
        <w:t xml:space="preserve"> recognizes</w:t>
      </w:r>
      <w:r w:rsidRPr="081385CF">
        <w:rPr>
          <w:lang w:val="en-US"/>
        </w:rPr>
        <w:t xml:space="preserve"> that prejudices and</w:t>
      </w:r>
      <w:r w:rsidR="000710D2" w:rsidRPr="081385CF">
        <w:rPr>
          <w:lang w:val="en-US"/>
        </w:rPr>
        <w:t xml:space="preserve"> customary</w:t>
      </w:r>
      <w:r w:rsidRPr="081385CF">
        <w:rPr>
          <w:lang w:val="en-US"/>
        </w:rPr>
        <w:t xml:space="preserve"> practices may justify gender-based violence as a form of control over women and effectively deprive them of fundamental rights and freedoms.</w:t>
      </w:r>
      <w:r w:rsidRPr="081385CF">
        <w:rPr>
          <w:vertAlign w:val="superscript"/>
          <w:lang w:val="en-US"/>
        </w:rPr>
        <w:footnoteReference w:id="47"/>
      </w:r>
      <w:r w:rsidRPr="081385CF">
        <w:rPr>
          <w:lang w:val="en-US"/>
        </w:rPr>
        <w:t xml:space="preserve"> The Committee </w:t>
      </w:r>
      <w:r w:rsidR="00234AF5" w:rsidRPr="081385CF">
        <w:rPr>
          <w:lang w:val="en-US"/>
        </w:rPr>
        <w:t>further recognized</w:t>
      </w:r>
      <w:r w:rsidRPr="081385CF">
        <w:rPr>
          <w:lang w:val="en-US"/>
        </w:rPr>
        <w:t xml:space="preserve"> gender-related factors that serve as a basis for</w:t>
      </w:r>
      <w:r w:rsidR="00234AF5" w:rsidRPr="081385CF">
        <w:rPr>
          <w:lang w:val="en-US"/>
        </w:rPr>
        <w:t xml:space="preserve"> the perpetuation and social acceptance, explicit or implicit, of</w:t>
      </w:r>
      <w:r w:rsidRPr="081385CF">
        <w:rPr>
          <w:lang w:val="en-US"/>
        </w:rPr>
        <w:t xml:space="preserve"> gender-based violence, such as enforcing gender roles or preventing, discouraging or punishing what is considered to be unacceptable behavior.</w:t>
      </w:r>
      <w:r w:rsidRPr="081385CF">
        <w:rPr>
          <w:vertAlign w:val="superscript"/>
          <w:lang w:val="en-US"/>
        </w:rPr>
        <w:footnoteReference w:id="48"/>
      </w:r>
      <w:r w:rsidRPr="081385CF">
        <w:rPr>
          <w:lang w:val="en-US"/>
        </w:rPr>
        <w:t xml:space="preserve"> After all, the inconsistency and </w:t>
      </w:r>
      <w:r w:rsidR="00E13E6E" w:rsidRPr="081385CF">
        <w:rPr>
          <w:lang w:val="en-US"/>
        </w:rPr>
        <w:t>low rate of reporting</w:t>
      </w:r>
      <w:r w:rsidRPr="081385CF">
        <w:rPr>
          <w:lang w:val="en-US"/>
        </w:rPr>
        <w:t xml:space="preserve"> </w:t>
      </w:r>
      <w:r w:rsidR="00E13E6E" w:rsidRPr="081385CF">
        <w:rPr>
          <w:lang w:val="en-US"/>
        </w:rPr>
        <w:t>of</w:t>
      </w:r>
      <w:r w:rsidRPr="081385CF">
        <w:rPr>
          <w:lang w:val="en-US"/>
        </w:rPr>
        <w:t xml:space="preserve"> honor killings have largely been attributed to societal norms and stigma that </w:t>
      </w:r>
      <w:r w:rsidR="00B40426" w:rsidRPr="081385CF">
        <w:rPr>
          <w:lang w:val="en-US"/>
        </w:rPr>
        <w:t>tend to silence</w:t>
      </w:r>
      <w:r w:rsidRPr="081385CF">
        <w:rPr>
          <w:lang w:val="en-US"/>
        </w:rPr>
        <w:t xml:space="preserve"> victims and creat</w:t>
      </w:r>
      <w:r w:rsidR="00B40426" w:rsidRPr="081385CF">
        <w:rPr>
          <w:lang w:val="en-US"/>
        </w:rPr>
        <w:t xml:space="preserve">e </w:t>
      </w:r>
      <w:r w:rsidRPr="081385CF">
        <w:rPr>
          <w:lang w:val="en-US"/>
        </w:rPr>
        <w:t xml:space="preserve">cultural and familial pressures </w:t>
      </w:r>
      <w:r w:rsidR="00B40426" w:rsidRPr="081385CF">
        <w:rPr>
          <w:lang w:val="en-US"/>
        </w:rPr>
        <w:t>not to report</w:t>
      </w:r>
      <w:r w:rsidRPr="081385CF">
        <w:rPr>
          <w:lang w:val="en-US"/>
        </w:rPr>
        <w:t>.</w:t>
      </w:r>
      <w:r w:rsidRPr="081385CF">
        <w:rPr>
          <w:vertAlign w:val="superscript"/>
          <w:lang w:val="en-US"/>
        </w:rPr>
        <w:footnoteReference w:id="49"/>
      </w:r>
      <w:r w:rsidRPr="081385CF">
        <w:rPr>
          <w:lang w:val="en-US"/>
        </w:rPr>
        <w:t xml:space="preserve"> </w:t>
      </w:r>
      <w:r w:rsidR="00234AF5" w:rsidRPr="081385CF">
        <w:rPr>
          <w:lang w:val="en-US"/>
        </w:rPr>
        <w:t>Honor killings are frequently concealed as accidents</w:t>
      </w:r>
      <w:r w:rsidR="009E4BB7" w:rsidRPr="081385CF">
        <w:rPr>
          <w:lang w:val="en-US"/>
        </w:rPr>
        <w:t xml:space="preserve"> or suicides</w:t>
      </w:r>
      <w:r w:rsidR="00234AF5" w:rsidRPr="081385CF">
        <w:rPr>
          <w:lang w:val="en-US"/>
        </w:rPr>
        <w:t>, while victims and their families often refrain from reporting abuse out of fear of retaliation</w:t>
      </w:r>
      <w:r w:rsidR="009E4BB7" w:rsidRPr="081385CF">
        <w:rPr>
          <w:lang w:val="en-US"/>
        </w:rPr>
        <w:t xml:space="preserve"> or </w:t>
      </w:r>
      <w:r w:rsidR="00234AF5" w:rsidRPr="081385CF">
        <w:rPr>
          <w:lang w:val="en-US"/>
        </w:rPr>
        <w:t>social ostracization and the perception that violence against women is a private family matter.</w:t>
      </w:r>
      <w:r w:rsidR="00234AF5" w:rsidRPr="081385CF">
        <w:rPr>
          <w:rStyle w:val="FootnoteReference"/>
          <w:lang w:val="en-US"/>
        </w:rPr>
        <w:footnoteReference w:id="50"/>
      </w:r>
      <w:r w:rsidR="00234AF5" w:rsidRPr="081385CF">
        <w:rPr>
          <w:lang w:val="en-US"/>
        </w:rPr>
        <w:t xml:space="preserve"> </w:t>
      </w:r>
      <w:r w:rsidRPr="081385CF">
        <w:rPr>
          <w:lang w:val="en-US"/>
        </w:rPr>
        <w:t xml:space="preserve">This suggests a reason why honor killings continue in Jordan despite legislative advancements, given that social acceptance of </w:t>
      </w:r>
      <w:r w:rsidR="00E13E6E" w:rsidRPr="081385CF">
        <w:rPr>
          <w:lang w:val="en-US"/>
        </w:rPr>
        <w:t>traditional notions that women are responsible for</w:t>
      </w:r>
      <w:r w:rsidRPr="081385CF">
        <w:rPr>
          <w:lang w:val="en-US"/>
        </w:rPr>
        <w:t xml:space="preserve"> family honor </w:t>
      </w:r>
      <w:r w:rsidR="00E13E6E" w:rsidRPr="081385CF">
        <w:rPr>
          <w:lang w:val="en-US"/>
        </w:rPr>
        <w:t>contributes to continued</w:t>
      </w:r>
      <w:r w:rsidRPr="081385CF">
        <w:rPr>
          <w:lang w:val="en-US"/>
        </w:rPr>
        <w:t xml:space="preserve"> underreporting, sentencing leniency, and </w:t>
      </w:r>
      <w:r w:rsidR="00E13E6E" w:rsidRPr="081385CF">
        <w:rPr>
          <w:lang w:val="en-US"/>
        </w:rPr>
        <w:t>impunity for perpetrators</w:t>
      </w:r>
      <w:r w:rsidRPr="081385CF">
        <w:rPr>
          <w:lang w:val="en-US"/>
        </w:rPr>
        <w:t xml:space="preserve">. </w:t>
      </w:r>
    </w:p>
    <w:p w14:paraId="22C9D4AC" w14:textId="277447A4" w:rsidR="00ED5AFD" w:rsidRPr="00926C6D" w:rsidRDefault="00000000" w:rsidP="00926C6D">
      <w:r w:rsidRPr="00926C6D">
        <w:t>(2</w:t>
      </w:r>
      <w:r w:rsidR="00850697">
        <w:t>4</w:t>
      </w:r>
      <w:r w:rsidRPr="00926C6D">
        <w:t xml:space="preserve">) The Committee also recognized in General Recommendation No. 19 that </w:t>
      </w:r>
      <w:r w:rsidR="00547BA6">
        <w:t>S</w:t>
      </w:r>
      <w:r w:rsidRPr="00926C6D">
        <w:t xml:space="preserve">tates </w:t>
      </w:r>
      <w:r w:rsidR="00547BA6">
        <w:t>P</w:t>
      </w:r>
      <w:r w:rsidRPr="00926C6D">
        <w:t>arties should take all legal and other measures that are necessary to provide effective protection against gender-based violence, including preventive measures like public information and education programs to change attitudes concerning the roles and status of men and women.</w:t>
      </w:r>
      <w:r w:rsidRPr="00926C6D">
        <w:rPr>
          <w:vertAlign w:val="superscript"/>
        </w:rPr>
        <w:footnoteReference w:id="51"/>
      </w:r>
      <w:r w:rsidRPr="00926C6D">
        <w:t xml:space="preserve"> </w:t>
      </w:r>
      <w:r w:rsidR="00E13E6E">
        <w:t xml:space="preserve">Such measures should include educational initiatives promoting gender equality, training for judges, prosecutors, and law enforcement to combat reliance on gender stereotypes, and community-based outreach efforts designed to challenge the perception that family honor can justify violence against women. </w:t>
      </w:r>
      <w:r w:rsidRPr="00926C6D">
        <w:t>Additionall</w:t>
      </w:r>
      <w:r w:rsidR="00E13E6E">
        <w:t>y,</w:t>
      </w:r>
      <w:r w:rsidRPr="00926C6D">
        <w:t xml:space="preserve"> all judicial bodies are required to refrain from engaging in any act or practice of discrimination or gender-based violence against women and to strictly apply all criminal law provisions punishing such violence in a manner that is unaffected by gender stereotypes.</w:t>
      </w:r>
      <w:r w:rsidRPr="00926C6D">
        <w:rPr>
          <w:vertAlign w:val="superscript"/>
        </w:rPr>
        <w:footnoteReference w:id="52"/>
      </w:r>
      <w:r w:rsidR="00713C43">
        <w:t xml:space="preserve"> </w:t>
      </w:r>
      <w:r w:rsidRPr="00926C6D">
        <w:t xml:space="preserve">This is especially necessary given that male judges predominate within the Jordanian judiciary and tend to endorse reduced </w:t>
      </w:r>
      <w:r w:rsidRPr="00926C6D">
        <w:lastRenderedPageBreak/>
        <w:t>sentences where they can, contributing to the problem.</w:t>
      </w:r>
      <w:r w:rsidRPr="00926C6D">
        <w:rPr>
          <w:vertAlign w:val="superscript"/>
        </w:rPr>
        <w:footnoteReference w:id="53"/>
      </w:r>
      <w:r w:rsidRPr="00926C6D">
        <w:t xml:space="preserve"> Past reports have recognized that legislative changes “must be accompanied by a national debate on the place accorded to women and, above all, must consider their demands in the plurality of their situations.”</w:t>
      </w:r>
      <w:r w:rsidRPr="00926C6D">
        <w:rPr>
          <w:vertAlign w:val="superscript"/>
        </w:rPr>
        <w:footnoteReference w:id="54"/>
      </w:r>
      <w:r w:rsidRPr="00926C6D">
        <w:t xml:space="preserve"> This must include dismantling barriers, strengthening legal frameworks, and encouraging an open dialogue to foster awareness.</w:t>
      </w:r>
      <w:r w:rsidRPr="00926C6D">
        <w:rPr>
          <w:vertAlign w:val="superscript"/>
        </w:rPr>
        <w:footnoteReference w:id="55"/>
      </w:r>
      <w:r w:rsidRPr="00926C6D">
        <w:t xml:space="preserve"> Unless Jordan takes the steps necessary to overcome patriarchal customs and practices that allow for justifications of honor killings, </w:t>
      </w:r>
      <w:r w:rsidR="00850697">
        <w:t>honor killings and gender-based violence will continue to manifest as the ultimate enforcement mechanism of a system that treats women’s lives and autonomy as subordinate to male authority</w:t>
      </w:r>
      <w:r w:rsidR="000710D2">
        <w:t xml:space="preserve">. </w:t>
      </w:r>
    </w:p>
    <w:p w14:paraId="390C3B58" w14:textId="7F7B93B3" w:rsidR="00C87FB7" w:rsidRPr="00A5266A" w:rsidRDefault="00000000" w:rsidP="007158BA">
      <w:pPr>
        <w:pStyle w:val="Heading2"/>
        <w:rPr>
          <w:b/>
          <w:bCs/>
          <w:iCs/>
        </w:rPr>
      </w:pPr>
      <w:bookmarkStart w:id="10" w:name="_rths7zyhy1rr" w:colFirst="0" w:colLast="0"/>
      <w:bookmarkStart w:id="11" w:name="_Toc230015627"/>
      <w:bookmarkEnd w:id="10"/>
      <w:r w:rsidRPr="00A5266A">
        <w:rPr>
          <w:b/>
          <w:bCs/>
          <w:iCs/>
        </w:rPr>
        <w:t>III) Honor killings discriminate against women in matters relating to equality of entering marriage and family relations in violation of Article 16.</w:t>
      </w:r>
      <w:bookmarkEnd w:id="11"/>
    </w:p>
    <w:p w14:paraId="254D6208" w14:textId="7BDAF798" w:rsidR="00C87FB7" w:rsidRPr="00926C6D" w:rsidRDefault="00000000" w:rsidP="00926C6D">
      <w:r w:rsidRPr="00926C6D">
        <w:t>(2</w:t>
      </w:r>
      <w:r w:rsidR="00850697">
        <w:t>5</w:t>
      </w:r>
      <w:r w:rsidRPr="00926C6D">
        <w:t>) The very nature of honor killings goes against Article 16 of the Convention, as the definition by U</w:t>
      </w:r>
      <w:r w:rsidR="00A5266A">
        <w:t>nited Nations Economic and Social Commission for Western Asia</w:t>
      </w:r>
      <w:r w:rsidRPr="00926C6D">
        <w:t>, “the killing, especially a girl or woman, who is perceived to have brought dishonor on the family.”</w:t>
      </w:r>
      <w:r w:rsidRPr="00926C6D">
        <w:rPr>
          <w:vertAlign w:val="superscript"/>
        </w:rPr>
        <w:footnoteReference w:id="56"/>
      </w:r>
      <w:r w:rsidRPr="00926C6D">
        <w:t xml:space="preserve"> With the specific carve out for women, there is a disproportionate rate of women affected by honor killings compared to men. One of the difficulties of determining whether an honor crime has occurred is due to the various ways that this crime may appear, as it can be done via murder, disappearance, and even made to look like a suicide or an accident.</w:t>
      </w:r>
      <w:r w:rsidRPr="00926C6D">
        <w:rPr>
          <w:vertAlign w:val="superscript"/>
        </w:rPr>
        <w:footnoteReference w:id="57"/>
      </w:r>
      <w:r w:rsidRPr="00926C6D">
        <w:t xml:space="preserve"> Article 16 of the Convention ensures that the State takes appropriate measures to eliminate discrimination against women relating to marriage and family relations, particularly the same rights among men and women to (a) enter marriage and (b) to freely choose a spouse and to enter marriage only with their free and full consent.</w:t>
      </w:r>
      <w:r w:rsidRPr="00926C6D">
        <w:rPr>
          <w:vertAlign w:val="superscript"/>
        </w:rPr>
        <w:footnoteReference w:id="58"/>
      </w:r>
      <w:r w:rsidRPr="00926C6D">
        <w:t xml:space="preserve"> However, the cultural reason</w:t>
      </w:r>
      <w:r w:rsidR="00A846B7">
        <w:t>s</w:t>
      </w:r>
      <w:r w:rsidRPr="00926C6D">
        <w:t xml:space="preserve"> behind honor killings stem from the expectations imposed on women and girls to uphold family honor through</w:t>
      </w:r>
      <w:r w:rsidR="00A846B7">
        <w:t xml:space="preserve"> </w:t>
      </w:r>
      <w:r w:rsidRPr="00926C6D">
        <w:t>female purity and chastity, especially in the strong emphasis of women and girls to remain sexually pure before marriage.</w:t>
      </w:r>
      <w:r w:rsidRPr="00926C6D">
        <w:rPr>
          <w:vertAlign w:val="superscript"/>
        </w:rPr>
        <w:footnoteReference w:id="59"/>
      </w:r>
      <w:r w:rsidRPr="00926C6D">
        <w:t xml:space="preserve"> </w:t>
      </w:r>
      <w:r w:rsidR="006B2C46">
        <w:t>When</w:t>
      </w:r>
      <w:r w:rsidRPr="00926C6D">
        <w:t xml:space="preserve"> </w:t>
      </w:r>
      <w:r w:rsidR="006B2C46">
        <w:t xml:space="preserve">communities or </w:t>
      </w:r>
      <w:r w:rsidR="00C67D08">
        <w:t>members of society</w:t>
      </w:r>
      <w:r w:rsidR="006B2C46">
        <w:t xml:space="preserve"> perceive behavior such as premarital relationships, </w:t>
      </w:r>
      <w:r w:rsidR="00AD2FB8">
        <w:t xml:space="preserve">refusal of marriage, </w:t>
      </w:r>
      <w:r w:rsidR="006B2C46">
        <w:t xml:space="preserve">divorce, </w:t>
      </w:r>
      <w:r w:rsidR="00AD7FA4">
        <w:t>or adultery</w:t>
      </w:r>
      <w:r w:rsidR="006B2C46">
        <w:t xml:space="preserve"> as bringing shame upon the family,</w:t>
      </w:r>
      <w:r w:rsidR="00713C43">
        <w:t xml:space="preserve"> </w:t>
      </w:r>
      <w:r w:rsidRPr="00926C6D">
        <w:t xml:space="preserve">violence by </w:t>
      </w:r>
      <w:r w:rsidR="00CB748E">
        <w:t>men</w:t>
      </w:r>
      <w:r w:rsidR="006B2C46">
        <w:t xml:space="preserve"> </w:t>
      </w:r>
      <w:r w:rsidR="00C67D08">
        <w:t>often ensues</w:t>
      </w:r>
      <w:r w:rsidR="00AD7FA4">
        <w:t xml:space="preserve"> to prevent </w:t>
      </w:r>
      <w:r w:rsidR="00C67D08">
        <w:t>social ostracization and negative impact on the family’s status in society</w:t>
      </w:r>
      <w:r w:rsidRPr="00926C6D">
        <w:t>.</w:t>
      </w:r>
      <w:r w:rsidRPr="00926C6D">
        <w:rPr>
          <w:vertAlign w:val="superscript"/>
        </w:rPr>
        <w:footnoteReference w:id="60"/>
      </w:r>
      <w:r w:rsidRPr="00926C6D">
        <w:t xml:space="preserve"> Jordanian nursing student</w:t>
      </w:r>
      <w:r w:rsidR="00CB748E">
        <w:t xml:space="preserve"> </w:t>
      </w:r>
      <w:r w:rsidR="00CE66FB">
        <w:t>IR</w:t>
      </w:r>
      <w:r w:rsidR="00CB748E">
        <w:t xml:space="preserve"> </w:t>
      </w:r>
      <w:r w:rsidRPr="00926C6D">
        <w:t>was shot</w:t>
      </w:r>
      <w:r w:rsidR="00CB748E">
        <w:t xml:space="preserve"> and killed </w:t>
      </w:r>
      <w:r w:rsidRPr="00926C6D">
        <w:t>in 2022 by a man who</w:t>
      </w:r>
      <w:r w:rsidR="00CB748E">
        <w:t>se marriage proposal was rejected.</w:t>
      </w:r>
      <w:r w:rsidR="00CB748E">
        <w:rPr>
          <w:rStyle w:val="FootnoteReference"/>
        </w:rPr>
        <w:footnoteReference w:id="61"/>
      </w:r>
      <w:r w:rsidR="00CB748E">
        <w:t xml:space="preserve"> After fleeing the scene, the perpetrator evaded authorities before eventually taking his own life.</w:t>
      </w:r>
      <w:r w:rsidR="00CB748E">
        <w:rPr>
          <w:rStyle w:val="FootnoteReference"/>
        </w:rPr>
        <w:footnoteReference w:id="62"/>
      </w:r>
      <w:r w:rsidR="00CB748E">
        <w:t xml:space="preserve"> Her death demonstrates t</w:t>
      </w:r>
      <w:r w:rsidRPr="00926C6D">
        <w:t xml:space="preserve">he lack of </w:t>
      </w:r>
      <w:r w:rsidR="00CB748E">
        <w:t xml:space="preserve">respect for women’s </w:t>
      </w:r>
      <w:r w:rsidRPr="00926C6D">
        <w:t xml:space="preserve">equal rights </w:t>
      </w:r>
      <w:r w:rsidR="00CB748E">
        <w:t>to</w:t>
      </w:r>
      <w:r w:rsidRPr="00926C6D">
        <w:t xml:space="preserve"> freely choose a spouse and enter marriage, </w:t>
      </w:r>
      <w:r w:rsidR="00CB748E">
        <w:t>and how refusal to conform to gendered expectations can result in lethal violence against women</w:t>
      </w:r>
      <w:r w:rsidRPr="00926C6D">
        <w:t>.</w:t>
      </w:r>
      <w:r w:rsidRPr="00926C6D">
        <w:rPr>
          <w:vertAlign w:val="superscript"/>
        </w:rPr>
        <w:footnoteReference w:id="63"/>
      </w:r>
    </w:p>
    <w:p w14:paraId="24B69630" w14:textId="15ACDD5B" w:rsidR="00C87FB7" w:rsidRPr="00926C6D" w:rsidRDefault="00000000" w:rsidP="081385CF">
      <w:pPr>
        <w:rPr>
          <w:lang w:val="en-US"/>
        </w:rPr>
      </w:pPr>
      <w:r w:rsidRPr="081385CF">
        <w:rPr>
          <w:lang w:val="en-US"/>
        </w:rPr>
        <w:lastRenderedPageBreak/>
        <w:t>(2</w:t>
      </w:r>
      <w:r w:rsidR="00850697" w:rsidRPr="081385CF">
        <w:rPr>
          <w:lang w:val="en-US"/>
        </w:rPr>
        <w:t>6</w:t>
      </w:r>
      <w:r w:rsidRPr="081385CF">
        <w:rPr>
          <w:lang w:val="en-US"/>
        </w:rPr>
        <w:t xml:space="preserve">) General </w:t>
      </w:r>
      <w:r w:rsidR="00E50B71" w:rsidRPr="081385CF">
        <w:rPr>
          <w:lang w:val="en-US"/>
        </w:rPr>
        <w:t>R</w:t>
      </w:r>
      <w:r w:rsidRPr="081385CF">
        <w:rPr>
          <w:lang w:val="en-US"/>
        </w:rPr>
        <w:t>ecommendation</w:t>
      </w:r>
      <w:r w:rsidR="00E50B71" w:rsidRPr="081385CF">
        <w:rPr>
          <w:lang w:val="en-US"/>
        </w:rPr>
        <w:t xml:space="preserve"> No.</w:t>
      </w:r>
      <w:r w:rsidRPr="081385CF">
        <w:rPr>
          <w:lang w:val="en-US"/>
        </w:rPr>
        <w:t xml:space="preserve"> 19, in connection with Article 16, finds family violence to be “one of the most insidious forms of violence against women… [violence] perpetuated by traditional attitudes."</w:t>
      </w:r>
      <w:r w:rsidRPr="081385CF">
        <w:rPr>
          <w:vertAlign w:val="superscript"/>
          <w:lang w:val="en-US"/>
        </w:rPr>
        <w:footnoteReference w:id="64"/>
      </w:r>
      <w:r w:rsidRPr="081385CF">
        <w:rPr>
          <w:lang w:val="en-US"/>
        </w:rPr>
        <w:t xml:space="preserve"> A 20% rise of family violence in 2025 has been a cause for concern in Jordan, finding 12 family murder cases with 15 deaths from January to June compared to 2024’s 10 cases and 12 victims during the same time period.</w:t>
      </w:r>
      <w:r w:rsidRPr="081385CF">
        <w:rPr>
          <w:vertAlign w:val="superscript"/>
          <w:lang w:val="en-US"/>
        </w:rPr>
        <w:footnoteReference w:id="65"/>
      </w:r>
      <w:r w:rsidRPr="081385CF">
        <w:rPr>
          <w:lang w:val="en-US"/>
        </w:rPr>
        <w:t xml:space="preserve"> As of January 2026, there were 17 incidents of murder and death found within families in 2025, affecting 13 females and 7 males.</w:t>
      </w:r>
      <w:r w:rsidRPr="081385CF">
        <w:rPr>
          <w:vertAlign w:val="superscript"/>
          <w:lang w:val="en-US"/>
        </w:rPr>
        <w:footnoteReference w:id="66"/>
      </w:r>
      <w:r w:rsidRPr="081385CF">
        <w:rPr>
          <w:lang w:val="en-US"/>
        </w:rPr>
        <w:t xml:space="preserve"> The disparity of women to men in these family deaths have been prevalent, with 2023 witnessing 16 females compared to 9 males and 2024 witnessing 32 victims, 25 deaths and 7 severe injuries disproportionally affecting women and girls.</w:t>
      </w:r>
      <w:r w:rsidRPr="081385CF">
        <w:rPr>
          <w:vertAlign w:val="superscript"/>
          <w:lang w:val="en-US"/>
        </w:rPr>
        <w:footnoteReference w:id="67"/>
      </w:r>
      <w:r w:rsidRPr="081385CF">
        <w:rPr>
          <w:lang w:val="en-US"/>
        </w:rPr>
        <w:t xml:space="preserve"> While these deaths are not specifically linked to honor killings, as honor killings may be difficult to pinpoint, the rising number of family violence is of concern, especially when it comes to the discriminatory nature of family crimes against women specifically. Thus, </w:t>
      </w:r>
      <w:r w:rsidR="00D90C16" w:rsidRPr="081385CF">
        <w:rPr>
          <w:lang w:val="en-US"/>
        </w:rPr>
        <w:t xml:space="preserve">the persistence of </w:t>
      </w:r>
      <w:r w:rsidRPr="081385CF">
        <w:rPr>
          <w:lang w:val="en-US"/>
        </w:rPr>
        <w:t>family violence</w:t>
      </w:r>
      <w:r w:rsidR="00A846B7" w:rsidRPr="081385CF">
        <w:rPr>
          <w:lang w:val="en-US"/>
        </w:rPr>
        <w:t xml:space="preserve"> </w:t>
      </w:r>
      <w:r w:rsidRPr="081385CF">
        <w:rPr>
          <w:lang w:val="en-US"/>
        </w:rPr>
        <w:t xml:space="preserve">is a </w:t>
      </w:r>
      <w:r w:rsidR="00D90C16" w:rsidRPr="081385CF">
        <w:rPr>
          <w:lang w:val="en-US"/>
        </w:rPr>
        <w:t>consequence of Jordan’s current legal protections, which</w:t>
      </w:r>
      <w:r w:rsidRPr="081385CF">
        <w:rPr>
          <w:lang w:val="en-US"/>
        </w:rPr>
        <w:t xml:space="preserve"> allow this “culture of silence and tolerance for violence under social and family pretexts” to continue to thrive</w:t>
      </w:r>
      <w:r w:rsidR="00A846B7" w:rsidRPr="081385CF">
        <w:rPr>
          <w:lang w:val="en-US"/>
        </w:rPr>
        <w:t xml:space="preserve"> </w:t>
      </w:r>
      <w:r w:rsidRPr="081385CF">
        <w:rPr>
          <w:lang w:val="en-US"/>
        </w:rPr>
        <w:t>while also allowing personal charges to be dropped.</w:t>
      </w:r>
      <w:r w:rsidRPr="081385CF">
        <w:rPr>
          <w:vertAlign w:val="superscript"/>
          <w:lang w:val="en-US"/>
        </w:rPr>
        <w:footnoteReference w:id="68"/>
      </w:r>
    </w:p>
    <w:p w14:paraId="0BAC7BA5" w14:textId="678F0BF1" w:rsidR="00C87FB7" w:rsidRPr="00926C6D" w:rsidRDefault="00000000" w:rsidP="00926C6D">
      <w:r w:rsidRPr="081385CF">
        <w:rPr>
          <w:lang w:val="en-US"/>
        </w:rPr>
        <w:t>(2</w:t>
      </w:r>
      <w:r w:rsidR="00850697" w:rsidRPr="081385CF">
        <w:rPr>
          <w:lang w:val="en-US"/>
        </w:rPr>
        <w:t>7</w:t>
      </w:r>
      <w:r w:rsidRPr="081385CF">
        <w:rPr>
          <w:lang w:val="en-US"/>
        </w:rPr>
        <w:t>) The argument for protecting honor killings with lesser sentences has been rooted in traditional attitudes and practice, with extreme measures in place in order to protect rigid social roles and expectations.</w:t>
      </w:r>
      <w:r w:rsidRPr="081385CF">
        <w:rPr>
          <w:vertAlign w:val="superscript"/>
          <w:lang w:val="en-US"/>
        </w:rPr>
        <w:footnoteReference w:id="69"/>
      </w:r>
      <w:r w:rsidRPr="081385CF">
        <w:rPr>
          <w:lang w:val="en-US"/>
        </w:rPr>
        <w:t xml:space="preserve"> According to a 2026 </w:t>
      </w:r>
      <w:r w:rsidRPr="081385CF">
        <w:rPr>
          <w:i/>
          <w:iCs/>
          <w:lang w:val="en-US"/>
        </w:rPr>
        <w:t xml:space="preserve">Frontiers in Psychology </w:t>
      </w:r>
      <w:r w:rsidRPr="081385CF">
        <w:rPr>
          <w:lang w:val="en-US"/>
        </w:rPr>
        <w:t>study, the cultural and psychological conclusion of Jordanian women still reflect “a moral expectation rather than a personal choice,” of carrying, “silent endurance, self-sacrifice, and unconditional caregiving,” with several participants feeling, “frustration, exhaustion, or a desire to resist,” while notably expressing hopes for their daughters to pursue lives with more “self-care and agency,” which highlights the tension between traditional expectations and the growing amount of women who seek more autonomy.</w:t>
      </w:r>
      <w:r w:rsidRPr="081385CF">
        <w:rPr>
          <w:vertAlign w:val="superscript"/>
          <w:lang w:val="en-US"/>
        </w:rPr>
        <w:footnoteReference w:id="70"/>
      </w:r>
      <w:r w:rsidRPr="081385CF">
        <w:rPr>
          <w:lang w:val="en-US"/>
        </w:rPr>
        <w:t xml:space="preserve"> An expectation of men to carry the financial burden and women to carry emotional and domestic labors is still very prevalent in Jordanian culture, with “obedience, in particular, emerg[ing] as a salient market of moral worth, binding women’s sense of strength to compliance with religious and cultural prescriptions.” These findings are directly related to protections found under Article 16 in ensuring men and women have the same rights and responsibilities (c) during marriage and during its dissolution; (d) as parents, irrespective of their marital status, in matters relating to their children; in all cases, the interests of the children shall be paramount; and (g) personal rights as husband and wife, including the right to choose a family name, a profession, and an occupation. In this study, women and men in Jordan lack these same rights, considering the feelings of frustration found in Jordanian women. In terms of honor killings, the failure to bear children, especially male heirs, may impact the family’s honor which may result in their death or severe harm, which directly affects matters relating to children.</w:t>
      </w:r>
      <w:r w:rsidRPr="081385CF">
        <w:rPr>
          <w:vertAlign w:val="superscript"/>
          <w:lang w:val="en-US"/>
        </w:rPr>
        <w:footnoteReference w:id="71"/>
      </w:r>
      <w:r w:rsidRPr="081385CF">
        <w:rPr>
          <w:lang w:val="en-US"/>
        </w:rPr>
        <w:t xml:space="preserve"> </w:t>
      </w:r>
    </w:p>
    <w:p w14:paraId="3F117EE4" w14:textId="640BDD50" w:rsidR="00E50B71" w:rsidRPr="00926C6D" w:rsidRDefault="00000000" w:rsidP="00926C6D">
      <w:r w:rsidRPr="00926C6D">
        <w:t>(2</w:t>
      </w:r>
      <w:r w:rsidR="00850697">
        <w:t>8</w:t>
      </w:r>
      <w:r w:rsidRPr="00926C6D">
        <w:t>) As the conclusion of a research paper for the Amman Center for Human Rights Studies regarding honor crimes stated, “</w:t>
      </w:r>
      <w:r w:rsidR="007158BA" w:rsidRPr="00926C6D">
        <w:t>[a]</w:t>
      </w:r>
      <w:r w:rsidRPr="00926C6D">
        <w:t xml:space="preserve"> change in laws in favor of gender equality cannot be satisfactory if it is not followed </w:t>
      </w:r>
      <w:r w:rsidRPr="00926C6D">
        <w:lastRenderedPageBreak/>
        <w:t>by an evolution in socio-cultural practices.”</w:t>
      </w:r>
      <w:r w:rsidRPr="00926C6D">
        <w:rPr>
          <w:vertAlign w:val="superscript"/>
        </w:rPr>
        <w:footnoteReference w:id="72"/>
      </w:r>
      <w:r w:rsidRPr="00926C6D">
        <w:t xml:space="preserve"> Although at the time of this paper, which was uploaded in December 2020, the author found international feminism would “cause more harm to the cause of women than it would help,” there have been substantial changes in socio-cultural beliefs of Jordanian women, as found in the 2026 </w:t>
      </w:r>
      <w:r w:rsidRPr="00926C6D">
        <w:rPr>
          <w:i/>
          <w:iCs/>
        </w:rPr>
        <w:t>Frontiers in Psychology s</w:t>
      </w:r>
      <w:r w:rsidRPr="00926C6D">
        <w:t xml:space="preserve">tudy, making now the perfect time to place international pressure in favor of women’s rights more than ever before in Jordan. </w:t>
      </w:r>
    </w:p>
    <w:p w14:paraId="248CCD3E" w14:textId="77777777" w:rsidR="00ED5AFD" w:rsidRPr="007158BA" w:rsidRDefault="00000000" w:rsidP="007158BA">
      <w:pPr>
        <w:pStyle w:val="Heading1"/>
        <w:spacing w:line="240" w:lineRule="auto"/>
      </w:pPr>
      <w:bookmarkStart w:id="12" w:name="_Toc230015628"/>
      <w:r w:rsidRPr="007158BA">
        <w:t>RECOMMENDATIONS</w:t>
      </w:r>
      <w:bookmarkEnd w:id="12"/>
      <w:r w:rsidRPr="007158BA">
        <w:t xml:space="preserve"> </w:t>
      </w:r>
    </w:p>
    <w:p w14:paraId="73101200" w14:textId="18A5C56C" w:rsidR="00C87FB7" w:rsidRDefault="00000000" w:rsidP="00926C6D">
      <w:r w:rsidRPr="00926C6D">
        <w:t xml:space="preserve">We respectfully recommend this Honorable Committee include at least one of the following questions in the List of Issues Prior to Reporting it will prepare for Jordan: </w:t>
      </w:r>
    </w:p>
    <w:p w14:paraId="2A131C3C" w14:textId="77777777" w:rsidR="00445666" w:rsidRPr="00926C6D" w:rsidRDefault="00445666" w:rsidP="00926C6D"/>
    <w:p w14:paraId="7FBA49B7" w14:textId="28B7E911" w:rsidR="00ED5AFD" w:rsidRPr="00926C6D" w:rsidRDefault="081385CF" w:rsidP="081385CF">
      <w:pPr>
        <w:pStyle w:val="ListParagraph"/>
        <w:numPr>
          <w:ilvl w:val="0"/>
          <w:numId w:val="2"/>
        </w:numPr>
        <w:rPr>
          <w:b/>
          <w:bCs/>
          <w:lang w:val="en-US"/>
        </w:rPr>
      </w:pPr>
      <w:r w:rsidRPr="081385CF">
        <w:rPr>
          <w:b/>
          <w:bCs/>
          <w:lang w:val="en-US"/>
        </w:rPr>
        <w:t xml:space="preserve">Beyond the 2017 amendments, what measures has Jordan taken to ensure perpetrators of honor killings cannot benefit from sentence mitigation, judicial discretion, or “provocation” defenses under the Penal Code? </w:t>
      </w:r>
    </w:p>
    <w:p w14:paraId="28AAFF52" w14:textId="0390391E" w:rsidR="00ED5AFD" w:rsidRPr="00926C6D" w:rsidRDefault="081385CF" w:rsidP="081385CF">
      <w:pPr>
        <w:pStyle w:val="ListParagraph"/>
        <w:numPr>
          <w:ilvl w:val="0"/>
          <w:numId w:val="2"/>
        </w:numPr>
        <w:rPr>
          <w:b/>
          <w:bCs/>
          <w:lang w:val="en-US"/>
        </w:rPr>
      </w:pPr>
      <w:r w:rsidRPr="081385CF">
        <w:rPr>
          <w:b/>
          <w:bCs/>
          <w:lang w:val="en-US"/>
        </w:rPr>
        <w:t xml:space="preserve">What steps has Jordan taken to improve reporting mechanisms and collection of reliable data on honor killings, violence against women, and abortions? Please provide the statistical data currently available, and if none is available, what steps has Jordan taken to ensure reliable, comprehensive data is collected, including with regard to reporting mechanisms for victims? </w:t>
      </w:r>
    </w:p>
    <w:p w14:paraId="4311C0C9" w14:textId="77777777" w:rsidR="00ED5AFD" w:rsidRPr="00926C6D" w:rsidRDefault="081385CF" w:rsidP="081385CF">
      <w:pPr>
        <w:pStyle w:val="ListParagraph"/>
        <w:numPr>
          <w:ilvl w:val="0"/>
          <w:numId w:val="2"/>
        </w:numPr>
        <w:rPr>
          <w:b/>
          <w:bCs/>
          <w:lang w:val="en-US"/>
        </w:rPr>
      </w:pPr>
      <w:r w:rsidRPr="081385CF">
        <w:rPr>
          <w:b/>
          <w:bCs/>
          <w:lang w:val="en-US"/>
        </w:rPr>
        <w:t>Please describe the steps Jordan has taken to modify and eradicate discriminatory social and cultural attitudes, customs, and gender stereotypes that perpetuate violence against women and girls in the name of “family honor,” in accordance with Article 5 of the Convention.</w:t>
      </w:r>
    </w:p>
    <w:p w14:paraId="1B1DAA40" w14:textId="77777777" w:rsidR="00ED5AFD" w:rsidRPr="00926C6D" w:rsidRDefault="00000000" w:rsidP="00926C6D">
      <w:pPr>
        <w:pStyle w:val="ListParagraph"/>
        <w:numPr>
          <w:ilvl w:val="0"/>
          <w:numId w:val="2"/>
        </w:numPr>
        <w:rPr>
          <w:b/>
          <w:bCs/>
        </w:rPr>
      </w:pPr>
      <w:r w:rsidRPr="00926C6D">
        <w:rPr>
          <w:b/>
          <w:bCs/>
        </w:rPr>
        <w:t>What education and training programs are in place for judiciary members, lawyers, and law enforcement concerning gender-based violence and stereotypes, honor killings, and Jordan’s obligations under CEDAW?</w:t>
      </w:r>
    </w:p>
    <w:p w14:paraId="5C191AD0" w14:textId="77777777" w:rsidR="00ED5AFD" w:rsidRPr="00926C6D" w:rsidRDefault="081385CF" w:rsidP="081385CF">
      <w:pPr>
        <w:pStyle w:val="ListParagraph"/>
        <w:numPr>
          <w:ilvl w:val="0"/>
          <w:numId w:val="2"/>
        </w:numPr>
        <w:rPr>
          <w:b/>
          <w:bCs/>
          <w:lang w:val="en-US"/>
        </w:rPr>
      </w:pPr>
      <w:r w:rsidRPr="081385CF">
        <w:rPr>
          <w:b/>
          <w:bCs/>
          <w:lang w:val="en-US"/>
        </w:rPr>
        <w:t>Please indicate what protection mechanisms, shelters, support services, and emergency interventions are available to women and girls at risk of honor-based violence, and whether such services are accessible without family consent.</w:t>
      </w:r>
    </w:p>
    <w:p w14:paraId="4A2674EE" w14:textId="77777777" w:rsidR="00ED5AFD" w:rsidRPr="00926C6D" w:rsidRDefault="081385CF" w:rsidP="081385CF">
      <w:pPr>
        <w:pStyle w:val="ListParagraph"/>
        <w:numPr>
          <w:ilvl w:val="0"/>
          <w:numId w:val="2"/>
        </w:numPr>
        <w:rPr>
          <w:b/>
          <w:bCs/>
          <w:lang w:val="en-US"/>
        </w:rPr>
      </w:pPr>
      <w:r w:rsidRPr="081385CF">
        <w:rPr>
          <w:b/>
          <w:bCs/>
          <w:lang w:val="en-US"/>
        </w:rPr>
        <w:t xml:space="preserve">Please indicate whether Jordan intends to repeal criminal penalties imposed on women who 1) may need abortions to preserve their own life, or 2) have been raped or became pregnant under other deplorable circumstances? </w:t>
      </w:r>
    </w:p>
    <w:p w14:paraId="4060A05C" w14:textId="77777777" w:rsidR="00ED5AFD" w:rsidRPr="00926C6D" w:rsidRDefault="00000000" w:rsidP="00926C6D">
      <w:pPr>
        <w:pStyle w:val="ListParagraph"/>
        <w:numPr>
          <w:ilvl w:val="0"/>
          <w:numId w:val="2"/>
        </w:numPr>
        <w:rPr>
          <w:b/>
          <w:bCs/>
        </w:rPr>
      </w:pPr>
      <w:r w:rsidRPr="00926C6D">
        <w:rPr>
          <w:b/>
          <w:bCs/>
        </w:rPr>
        <w:t>Please explain what measures Jordan has adopted to ensure that women are able to exercise autonomy in matters relating to marriage and family relations, including the right to freely choose a spouse and to live free from coercion or violence connected to perceived family honor.</w:t>
      </w:r>
    </w:p>
    <w:sectPr w:rsidR="00ED5AFD" w:rsidRPr="00926C6D">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58182" w14:textId="77777777" w:rsidR="00B85514" w:rsidRDefault="00B85514">
      <w:pPr>
        <w:spacing w:line="240" w:lineRule="auto"/>
      </w:pPr>
      <w:r>
        <w:separator/>
      </w:r>
    </w:p>
  </w:endnote>
  <w:endnote w:type="continuationSeparator" w:id="0">
    <w:p w14:paraId="751A31EA" w14:textId="77777777" w:rsidR="00B85514" w:rsidRDefault="00B855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embedRegular r:id="rId1" w:fontKey="{A6FE4046-9456-498D-A5E6-E10B96D4AB68}"/>
    <w:embedBold r:id="rId2" w:fontKey="{CB09FB96-31CC-4769-A544-E32319000C51}"/>
    <w:embedItalic r:id="rId3" w:fontKey="{B7711A0F-4EBE-4552-98CC-BE47C5176A22}"/>
    <w:embedBoldItalic r:id="rId4" w:fontKey="{C2727032-0544-4560-91D1-777C25A9692B}"/>
  </w:font>
  <w:font w:name="Cambria">
    <w:panose1 w:val="02040503050406030204"/>
    <w:charset w:val="00"/>
    <w:family w:val="roman"/>
    <w:pitch w:val="variable"/>
    <w:sig w:usb0="E00006FF" w:usb1="420024FF" w:usb2="02000000" w:usb3="00000000" w:csb0="0000019F" w:csb1="00000000"/>
    <w:embedRegular r:id="rId5" w:fontKey="{0E4A42CA-5885-4824-A218-24A7D0C7CA3F}"/>
    <w:embedBold r:id="rId6" w:fontKey="{CECBB113-0B4F-48D7-B8DF-82FB4C68B97D}"/>
    <w:embedItalic r:id="rId7" w:fontKey="{63E49F96-02A9-4AA9-9F22-22DFEBAB3BE0}"/>
  </w:font>
  <w:font w:name="EB Garamond">
    <w:charset w:val="00"/>
    <w:family w:val="auto"/>
    <w:pitch w:val="variable"/>
    <w:sig w:usb0="E00002FF" w:usb1="02000413" w:usb2="00000000" w:usb3="00000000" w:csb0="0000019F" w:csb1="00000000"/>
  </w:font>
  <w:font w:name="Century Schoolbook">
    <w:panose1 w:val="02040604050505020304"/>
    <w:charset w:val="00"/>
    <w:family w:val="roman"/>
    <w:pitch w:val="variable"/>
    <w:sig w:usb0="00000287" w:usb1="00000000" w:usb2="00000000" w:usb3="00000000" w:csb0="0000009F" w:csb1="00000000"/>
    <w:embedRegular r:id="rId8" w:fontKey="{9E76D21D-EC33-40B7-99A9-FE7C575821DC}"/>
    <w:embedItalic r:id="rId9" w:fontKey="{2A2971EC-7422-4E7E-8924-BBA1B3C04688}"/>
  </w:font>
  <w:font w:name="Calibri">
    <w:panose1 w:val="020F0502020204030204"/>
    <w:charset w:val="00"/>
    <w:family w:val="swiss"/>
    <w:pitch w:val="variable"/>
    <w:sig w:usb0="E4002EFF" w:usb1="C200247B" w:usb2="00000009" w:usb3="00000000" w:csb0="000001FF" w:csb1="00000000"/>
    <w:embedRegular r:id="rId10" w:fontKey="{637F6612-A941-49D3-AA69-E78F16ACA72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E8EC5" w14:textId="77777777" w:rsidR="00ED5AF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E50B71">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A70BE" w14:textId="77777777" w:rsidR="00B85514" w:rsidRDefault="00B85514">
      <w:pPr>
        <w:spacing w:line="240" w:lineRule="auto"/>
      </w:pPr>
      <w:r>
        <w:separator/>
      </w:r>
    </w:p>
  </w:footnote>
  <w:footnote w:type="continuationSeparator" w:id="0">
    <w:p w14:paraId="73D31BD1" w14:textId="77777777" w:rsidR="00B85514" w:rsidRDefault="00B85514">
      <w:pPr>
        <w:spacing w:line="240" w:lineRule="auto"/>
      </w:pPr>
      <w:r>
        <w:continuationSeparator/>
      </w:r>
    </w:p>
  </w:footnote>
  <w:footnote w:id="1">
    <w:p w14:paraId="6BC00E11" w14:textId="40FAACD5"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Times New Roman" w:cs="Times New Roman"/>
          <w:sz w:val="20"/>
          <w:szCs w:val="20"/>
        </w:rPr>
        <w:t xml:space="preserve"> </w:t>
      </w:r>
      <w:hyperlink r:id="rId1" w:history="1">
        <w:r w:rsidR="00F45D92" w:rsidRPr="00926C6D">
          <w:rPr>
            <w:rStyle w:val="Hyperlink"/>
            <w:rFonts w:eastAsia="Times New Roman" w:cs="Times New Roman"/>
            <w:sz w:val="20"/>
            <w:szCs w:val="20"/>
          </w:rPr>
          <w:t>https://www.britannica.com/topic/honor-killing</w:t>
        </w:r>
      </w:hyperlink>
      <w:r w:rsidR="00F45D92" w:rsidRPr="00926C6D">
        <w:rPr>
          <w:rFonts w:eastAsia="Times New Roman" w:cs="Times New Roman"/>
          <w:sz w:val="20"/>
          <w:szCs w:val="20"/>
        </w:rPr>
        <w:t>;</w:t>
      </w:r>
      <w:r w:rsidRPr="00926C6D">
        <w:rPr>
          <w:rFonts w:eastAsia="Times New Roman" w:cs="Times New Roman"/>
          <w:sz w:val="20"/>
          <w:szCs w:val="20"/>
        </w:rPr>
        <w:t xml:space="preserve"> Lynn Welchman and Sara Hossain, ‘Honour’: Crimes, Paradigms and Violence Against Women, London: Zed Books, 2005. </w:t>
      </w:r>
    </w:p>
  </w:footnote>
  <w:footnote w:id="2">
    <w:p w14:paraId="41E881B6" w14:textId="77777777" w:rsidR="00ED5AFD" w:rsidRPr="007158BA" w:rsidRDefault="00000000" w:rsidP="007158BA">
      <w:pPr>
        <w:spacing w:line="240" w:lineRule="auto"/>
        <w:ind w:firstLine="0"/>
        <w:rPr>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sz w:val="20"/>
          <w:szCs w:val="20"/>
        </w:rPr>
        <w:t xml:space="preserve">CEDAW General Recommendation 35, </w:t>
      </w:r>
      <w:hyperlink r:id="rId2">
        <w:r w:rsidR="00ED5AFD" w:rsidRPr="00926C6D">
          <w:rPr>
            <w:rFonts w:eastAsia="Times New Roman" w:cs="Times New Roman"/>
            <w:color w:val="1155CC"/>
            <w:sz w:val="20"/>
            <w:szCs w:val="20"/>
            <w:u w:val="single"/>
          </w:rPr>
          <w:t>https://docs.un.org/en/CEDAW/C/GC/35</w:t>
        </w:r>
      </w:hyperlink>
      <w:r w:rsidRPr="00926C6D">
        <w:rPr>
          <w:rFonts w:eastAsia="Times New Roman" w:cs="Times New Roman"/>
          <w:sz w:val="20"/>
          <w:szCs w:val="20"/>
        </w:rPr>
        <w:t xml:space="preserve">, [last accessed 13 May 2026]. </w:t>
      </w:r>
    </w:p>
  </w:footnote>
  <w:footnote w:id="3">
    <w:p w14:paraId="0FC4ED60" w14:textId="77777777" w:rsidR="00ED5AFD" w:rsidRPr="007158BA" w:rsidRDefault="00000000" w:rsidP="007158BA">
      <w:pPr>
        <w:spacing w:line="240" w:lineRule="auto"/>
        <w:ind w:firstLine="0"/>
        <w:rPr>
          <w:sz w:val="20"/>
          <w:szCs w:val="20"/>
        </w:rPr>
      </w:pPr>
      <w:r w:rsidRPr="00926C6D">
        <w:rPr>
          <w:sz w:val="20"/>
          <w:szCs w:val="20"/>
          <w:vertAlign w:val="superscript"/>
        </w:rPr>
        <w:footnoteRef/>
      </w:r>
      <w:r w:rsidRPr="00926C6D">
        <w:rPr>
          <w:rFonts w:eastAsia="Times New Roman" w:cs="Times New Roman"/>
          <w:sz w:val="20"/>
          <w:szCs w:val="20"/>
        </w:rPr>
        <w:t xml:space="preserve"> International Humans Rights Center, Loyola Law School, </w:t>
      </w:r>
      <w:hyperlink r:id="rId3">
        <w:r w:rsidR="00ED5AFD" w:rsidRPr="00926C6D">
          <w:rPr>
            <w:rFonts w:eastAsia="Times New Roman" w:cs="Times New Roman"/>
            <w:sz w:val="20"/>
            <w:szCs w:val="20"/>
          </w:rPr>
          <w:t>https://www.lls.edu/academics/centers/internationalhumanrightscenter/</w:t>
        </w:r>
      </w:hyperlink>
      <w:r w:rsidRPr="00926C6D">
        <w:rPr>
          <w:rFonts w:eastAsia="Times New Roman" w:cs="Times New Roman"/>
          <w:sz w:val="20"/>
          <w:szCs w:val="20"/>
        </w:rPr>
        <w:t xml:space="preserve"> [last accessed 10 May 2026]. </w:t>
      </w:r>
    </w:p>
  </w:footnote>
  <w:footnote w:id="4">
    <w:p w14:paraId="10D32F94"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Times New Roman" w:cs="Times New Roman"/>
          <w:sz w:val="20"/>
          <w:szCs w:val="20"/>
        </w:rPr>
        <w:t xml:space="preserve"> Right to Bloom, https://www.righttobloom.com/about [last accessed 10 May 2026]. </w:t>
      </w:r>
    </w:p>
  </w:footnote>
  <w:footnote w:id="5">
    <w:p w14:paraId="10D500FB"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7158BA">
        <w:rPr>
          <w:sz w:val="20"/>
          <w:szCs w:val="20"/>
        </w:rPr>
        <w:t xml:space="preserve"> </w:t>
      </w:r>
      <w:proofErr w:type="spellStart"/>
      <w:r w:rsidRPr="00926C6D">
        <w:rPr>
          <w:rFonts w:eastAsia="Times New Roman" w:cs="Times New Roman"/>
          <w:color w:val="1C1D1E"/>
          <w:sz w:val="20"/>
          <w:szCs w:val="20"/>
        </w:rPr>
        <w:t>D’Lima</w:t>
      </w:r>
      <w:proofErr w:type="spellEnd"/>
      <w:r w:rsidRPr="00926C6D">
        <w:rPr>
          <w:rFonts w:eastAsia="Times New Roman" w:cs="Times New Roman"/>
          <w:color w:val="1C1D1E"/>
          <w:sz w:val="20"/>
          <w:szCs w:val="20"/>
        </w:rPr>
        <w:t xml:space="preserve">, T., J. L. Solotaroff, and R. P. Pande. 2020. “For the Sake of Family and Tradition: Honour Killings in India and Pakistan.” </w:t>
      </w:r>
      <w:r w:rsidRPr="00926C6D">
        <w:rPr>
          <w:rFonts w:eastAsia="Times New Roman" w:cs="Times New Roman"/>
          <w:i/>
          <w:iCs/>
          <w:color w:val="1C1D1E"/>
          <w:sz w:val="20"/>
          <w:szCs w:val="20"/>
        </w:rPr>
        <w:t>ANTYAJAA: Indian Journal of Women and Social Change</w:t>
      </w:r>
      <w:r w:rsidRPr="00926C6D">
        <w:rPr>
          <w:rFonts w:eastAsia="Times New Roman" w:cs="Times New Roman"/>
          <w:color w:val="1C1D1E"/>
          <w:sz w:val="20"/>
          <w:szCs w:val="20"/>
        </w:rPr>
        <w:t xml:space="preserve"> 5, no. 1: 22–39.</w:t>
      </w:r>
    </w:p>
  </w:footnote>
  <w:footnote w:id="6">
    <w:p w14:paraId="56936A35"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Times New Roman" w:cs="Times New Roman"/>
          <w:sz w:val="20"/>
          <w:szCs w:val="20"/>
        </w:rPr>
        <w:t xml:space="preserve"> Human Rights Watch, "How to End 'Honor' Killings in Jordan" </w:t>
      </w:r>
      <w:proofErr w:type="spellStart"/>
      <w:r w:rsidRPr="00926C6D">
        <w:rPr>
          <w:rFonts w:eastAsia="Times New Roman" w:cs="Times New Roman"/>
          <w:sz w:val="20"/>
          <w:szCs w:val="20"/>
        </w:rPr>
        <w:t>Rothna</w:t>
      </w:r>
      <w:proofErr w:type="spellEnd"/>
      <w:r w:rsidRPr="00926C6D">
        <w:rPr>
          <w:rFonts w:eastAsia="Times New Roman" w:cs="Times New Roman"/>
          <w:sz w:val="20"/>
          <w:szCs w:val="20"/>
        </w:rPr>
        <w:t xml:space="preserve"> Begum. 2017.</w:t>
      </w:r>
    </w:p>
  </w:footnote>
  <w:footnote w:id="7">
    <w:p w14:paraId="705E68F7" w14:textId="77777777" w:rsidR="00ED5AFD" w:rsidRPr="007158BA" w:rsidRDefault="00000000" w:rsidP="007158BA">
      <w:pPr>
        <w:spacing w:line="240" w:lineRule="auto"/>
        <w:ind w:firstLine="0"/>
        <w:rPr>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sz w:val="20"/>
          <w:szCs w:val="20"/>
        </w:rPr>
        <w:t xml:space="preserve">Alqahtani, A., </w:t>
      </w:r>
      <w:r w:rsidRPr="00926C6D">
        <w:rPr>
          <w:rFonts w:eastAsia="Times New Roman" w:cs="Times New Roman"/>
          <w:i/>
          <w:iCs/>
          <w:sz w:val="20"/>
          <w:szCs w:val="20"/>
        </w:rPr>
        <w:t xml:space="preserve">There’s no honor in taking a life: violence against women in the name of honor, </w:t>
      </w:r>
      <w:r w:rsidRPr="00926C6D">
        <w:rPr>
          <w:rFonts w:eastAsia="Times New Roman" w:cs="Times New Roman"/>
          <w:sz w:val="20"/>
          <w:szCs w:val="20"/>
        </w:rPr>
        <w:t xml:space="preserve">Columbia Academic Commons, page 17-18, </w:t>
      </w:r>
      <w:hyperlink r:id="rId4">
        <w:r w:rsidR="00ED5AFD" w:rsidRPr="00926C6D">
          <w:rPr>
            <w:rFonts w:eastAsia="Times New Roman" w:cs="Times New Roman"/>
            <w:color w:val="1155CC"/>
            <w:sz w:val="20"/>
            <w:szCs w:val="20"/>
            <w:u w:val="single"/>
          </w:rPr>
          <w:t>https://academiccommons.columbia.edu/doi/10.7916/36mg-nc33</w:t>
        </w:r>
      </w:hyperlink>
      <w:r w:rsidRPr="00926C6D">
        <w:rPr>
          <w:rFonts w:eastAsia="Times New Roman" w:cs="Times New Roman"/>
          <w:sz w:val="20"/>
          <w:szCs w:val="20"/>
        </w:rPr>
        <w:t xml:space="preserve">, 2024. </w:t>
      </w:r>
    </w:p>
  </w:footnote>
  <w:footnote w:id="8">
    <w:p w14:paraId="70EDB347" w14:textId="77777777" w:rsidR="00ED5AFD" w:rsidRPr="007158BA" w:rsidRDefault="00000000" w:rsidP="007158BA">
      <w:pPr>
        <w:spacing w:line="240" w:lineRule="auto"/>
        <w:ind w:firstLine="0"/>
        <w:rPr>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sz w:val="20"/>
          <w:szCs w:val="20"/>
        </w:rPr>
        <w:t>Brian Z. Tamanaha, Understating Legal Pluralism: Past to Present, Local to Global, 30 SYDNEY L. REV. 375, 383 (2008).</w:t>
      </w:r>
    </w:p>
  </w:footnote>
  <w:footnote w:id="9">
    <w:p w14:paraId="6A03AC0B"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Times New Roman" w:cs="Times New Roman"/>
          <w:sz w:val="20"/>
          <w:szCs w:val="20"/>
        </w:rPr>
        <w:t xml:space="preserve"> </w:t>
      </w:r>
      <w:r w:rsidRPr="00926C6D">
        <w:rPr>
          <w:rFonts w:eastAsia="Times New Roman" w:cs="Times New Roman"/>
          <w:i/>
          <w:iCs/>
          <w:sz w:val="20"/>
          <w:szCs w:val="20"/>
        </w:rPr>
        <w:t>Id.</w:t>
      </w:r>
      <w:r w:rsidRPr="00926C6D">
        <w:rPr>
          <w:rFonts w:eastAsia="Times New Roman" w:cs="Times New Roman"/>
          <w:sz w:val="20"/>
          <w:szCs w:val="20"/>
        </w:rPr>
        <w:t xml:space="preserve"> </w:t>
      </w:r>
    </w:p>
  </w:footnote>
  <w:footnote w:id="10">
    <w:p w14:paraId="36369F03" w14:textId="77777777" w:rsidR="00C87FB7" w:rsidRPr="007158BA" w:rsidRDefault="00C87FB7" w:rsidP="007158BA">
      <w:pPr>
        <w:spacing w:line="240" w:lineRule="auto"/>
        <w:ind w:firstLine="0"/>
        <w:rPr>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i/>
          <w:iCs/>
          <w:sz w:val="20"/>
          <w:szCs w:val="20"/>
        </w:rPr>
        <w:t xml:space="preserve">Id. </w:t>
      </w:r>
      <w:r w:rsidRPr="00926C6D">
        <w:rPr>
          <w:rFonts w:eastAsia="Times New Roman" w:cs="Times New Roman"/>
          <w:sz w:val="20"/>
          <w:szCs w:val="20"/>
        </w:rPr>
        <w:t>at 37.</w:t>
      </w:r>
    </w:p>
  </w:footnote>
  <w:footnote w:id="11">
    <w:p w14:paraId="687EF733" w14:textId="35A4DC00" w:rsidR="00C87FB7" w:rsidRPr="00926C6D" w:rsidRDefault="00C87FB7"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Times New Roman" w:cs="Times New Roman"/>
          <w:i/>
          <w:iCs/>
          <w:sz w:val="20"/>
          <w:szCs w:val="20"/>
        </w:rPr>
        <w:t xml:space="preserve"> Id.</w:t>
      </w:r>
      <w:r w:rsidR="007158BA">
        <w:rPr>
          <w:rFonts w:eastAsia="Times New Roman" w:cs="Times New Roman"/>
          <w:i/>
          <w:iCs/>
          <w:sz w:val="20"/>
          <w:szCs w:val="20"/>
        </w:rPr>
        <w:t xml:space="preserve"> </w:t>
      </w:r>
    </w:p>
  </w:footnote>
  <w:footnote w:id="12">
    <w:p w14:paraId="69DE59CF" w14:textId="77777777" w:rsidR="00C87FB7" w:rsidRPr="00926C6D" w:rsidRDefault="00C87FB7" w:rsidP="007158BA">
      <w:pPr>
        <w:spacing w:line="240" w:lineRule="auto"/>
        <w:ind w:firstLine="0"/>
        <w:rPr>
          <w:rFonts w:eastAsia="Times New Roman" w:cs="Times New Roman"/>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i/>
          <w:iCs/>
          <w:sz w:val="20"/>
          <w:szCs w:val="20"/>
        </w:rPr>
        <w:t xml:space="preserve">Id. </w:t>
      </w:r>
      <w:r w:rsidRPr="00926C6D">
        <w:rPr>
          <w:rFonts w:eastAsia="Times New Roman" w:cs="Times New Roman"/>
          <w:sz w:val="20"/>
          <w:szCs w:val="20"/>
        </w:rPr>
        <w:t>at 38.</w:t>
      </w:r>
    </w:p>
  </w:footnote>
  <w:footnote w:id="13">
    <w:p w14:paraId="29EC0893" w14:textId="77777777" w:rsidR="00ED5AFD" w:rsidRPr="007158BA" w:rsidRDefault="00000000" w:rsidP="007158BA">
      <w:pPr>
        <w:spacing w:line="240" w:lineRule="auto"/>
        <w:ind w:firstLine="0"/>
        <w:rPr>
          <w:sz w:val="20"/>
          <w:szCs w:val="20"/>
        </w:rPr>
      </w:pPr>
      <w:r w:rsidRPr="00926C6D">
        <w:rPr>
          <w:sz w:val="20"/>
          <w:szCs w:val="20"/>
          <w:vertAlign w:val="superscript"/>
        </w:rPr>
        <w:footnoteRef/>
      </w:r>
      <w:r w:rsidRPr="00926C6D">
        <w:rPr>
          <w:rFonts w:eastAsia="Times New Roman" w:cs="Times New Roman"/>
          <w:sz w:val="20"/>
          <w:szCs w:val="20"/>
        </w:rPr>
        <w:t xml:space="preserve">Alqahtani, A., </w:t>
      </w:r>
      <w:r w:rsidRPr="00926C6D">
        <w:rPr>
          <w:rFonts w:eastAsia="Times New Roman" w:cs="Times New Roman"/>
          <w:i/>
          <w:iCs/>
          <w:sz w:val="20"/>
          <w:szCs w:val="20"/>
        </w:rPr>
        <w:t xml:space="preserve">There’s no honor in taking a life: violence against women in the name of honor, </w:t>
      </w:r>
      <w:r w:rsidRPr="00926C6D">
        <w:rPr>
          <w:rFonts w:eastAsia="Times New Roman" w:cs="Times New Roman"/>
          <w:sz w:val="20"/>
          <w:szCs w:val="20"/>
        </w:rPr>
        <w:t xml:space="preserve">Columbia Academic Commons, page 36, </w:t>
      </w:r>
      <w:hyperlink r:id="rId5">
        <w:r w:rsidR="00ED5AFD" w:rsidRPr="00926C6D">
          <w:rPr>
            <w:rFonts w:eastAsia="Times New Roman" w:cs="Times New Roman"/>
            <w:color w:val="1155CC"/>
            <w:sz w:val="20"/>
            <w:szCs w:val="20"/>
            <w:u w:val="single"/>
          </w:rPr>
          <w:t>https://academiccommons.columbia.edu/doi/10.7916/36mg-nc33</w:t>
        </w:r>
      </w:hyperlink>
      <w:r w:rsidRPr="00926C6D">
        <w:rPr>
          <w:rFonts w:eastAsia="Times New Roman" w:cs="Times New Roman"/>
          <w:sz w:val="20"/>
          <w:szCs w:val="20"/>
        </w:rPr>
        <w:t xml:space="preserve">, 2024. </w:t>
      </w:r>
    </w:p>
  </w:footnote>
  <w:footnote w:id="14">
    <w:p w14:paraId="5F11BC6D" w14:textId="77777777" w:rsidR="00ED5AFD" w:rsidRPr="007158BA" w:rsidRDefault="00000000" w:rsidP="007158BA">
      <w:pPr>
        <w:spacing w:line="240" w:lineRule="auto"/>
        <w:ind w:firstLine="0"/>
        <w:rPr>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i/>
          <w:iCs/>
          <w:sz w:val="20"/>
          <w:szCs w:val="20"/>
        </w:rPr>
        <w:t>Id.</w:t>
      </w:r>
    </w:p>
  </w:footnote>
  <w:footnote w:id="15">
    <w:p w14:paraId="4676974F"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Times New Roman" w:cs="Times New Roman"/>
          <w:i/>
          <w:iCs/>
          <w:sz w:val="20"/>
          <w:szCs w:val="20"/>
        </w:rPr>
        <w:t xml:space="preserve">Id. </w:t>
      </w:r>
      <w:r w:rsidRPr="00926C6D">
        <w:rPr>
          <w:rFonts w:eastAsia="Times New Roman" w:cs="Times New Roman"/>
          <w:sz w:val="20"/>
          <w:szCs w:val="20"/>
        </w:rPr>
        <w:t xml:space="preserve">at 44-45. </w:t>
      </w:r>
    </w:p>
  </w:footnote>
  <w:footnote w:id="16">
    <w:p w14:paraId="1A721A68"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Times New Roman" w:cs="Times New Roman"/>
          <w:sz w:val="20"/>
          <w:szCs w:val="20"/>
        </w:rPr>
        <w:t xml:space="preserve"> Human Rights Watch, </w:t>
      </w:r>
      <w:r w:rsidRPr="00926C6D">
        <w:rPr>
          <w:rFonts w:eastAsia="Times New Roman" w:cs="Times New Roman"/>
          <w:i/>
          <w:iCs/>
          <w:sz w:val="20"/>
          <w:szCs w:val="20"/>
        </w:rPr>
        <w:t>Honoring the Killers: Justice Denied for “Honor” Crimes in Jordan</w:t>
      </w:r>
      <w:r w:rsidRPr="00926C6D">
        <w:rPr>
          <w:rFonts w:eastAsia="Times New Roman" w:cs="Times New Roman"/>
          <w:sz w:val="20"/>
          <w:szCs w:val="20"/>
        </w:rPr>
        <w:t xml:space="preserve"> 15–18 (2004),</w:t>
      </w:r>
      <w:hyperlink r:id="rId6">
        <w:r w:rsidR="00ED5AFD" w:rsidRPr="00926C6D">
          <w:rPr>
            <w:rFonts w:eastAsia="Times New Roman" w:cs="Times New Roman"/>
            <w:sz w:val="20"/>
            <w:szCs w:val="20"/>
          </w:rPr>
          <w:t xml:space="preserve"> </w:t>
        </w:r>
      </w:hyperlink>
      <w:hyperlink r:id="rId7">
        <w:r w:rsidR="00ED5AFD" w:rsidRPr="00926C6D">
          <w:rPr>
            <w:rFonts w:eastAsia="Times New Roman" w:cs="Times New Roman"/>
            <w:color w:val="1155CC"/>
            <w:sz w:val="20"/>
            <w:szCs w:val="20"/>
            <w:u w:val="single"/>
          </w:rPr>
          <w:t>https://www.hrw.org/report/2004/04/19/honoring-killers/justice-denied-honor-crimes-jordan</w:t>
        </w:r>
      </w:hyperlink>
      <w:r w:rsidRPr="00926C6D">
        <w:rPr>
          <w:rFonts w:eastAsia="Times New Roman" w:cs="Times New Roman"/>
          <w:sz w:val="20"/>
          <w:szCs w:val="20"/>
        </w:rPr>
        <w:t xml:space="preserve"> </w:t>
      </w:r>
    </w:p>
  </w:footnote>
  <w:footnote w:id="17">
    <w:p w14:paraId="266BB4E4" w14:textId="77777777" w:rsidR="00ED5AFD" w:rsidRPr="00926C6D" w:rsidRDefault="00000000" w:rsidP="007158BA">
      <w:pPr>
        <w:spacing w:line="240" w:lineRule="auto"/>
        <w:ind w:firstLine="0"/>
        <w:rPr>
          <w:rFonts w:eastAsia="Times New Roman" w:cs="Times New Roman"/>
          <w:i/>
          <w:iCs/>
          <w:sz w:val="20"/>
          <w:szCs w:val="20"/>
        </w:rPr>
      </w:pPr>
      <w:r w:rsidRPr="00926C6D">
        <w:rPr>
          <w:sz w:val="20"/>
          <w:szCs w:val="20"/>
          <w:vertAlign w:val="superscript"/>
        </w:rPr>
        <w:footnoteRef/>
      </w:r>
      <w:r w:rsidRPr="00926C6D">
        <w:rPr>
          <w:rFonts w:eastAsia="Century Schoolbook" w:cs="Century Schoolbook"/>
          <w:sz w:val="20"/>
          <w:szCs w:val="20"/>
        </w:rPr>
        <w:t xml:space="preserve"> </w:t>
      </w:r>
      <w:r w:rsidRPr="00926C6D">
        <w:rPr>
          <w:rFonts w:eastAsia="Times New Roman" w:cs="Times New Roman"/>
          <w:i/>
          <w:iCs/>
          <w:sz w:val="20"/>
          <w:szCs w:val="20"/>
        </w:rPr>
        <w:t xml:space="preserve">Id. </w:t>
      </w:r>
    </w:p>
  </w:footnote>
  <w:footnote w:id="18">
    <w:p w14:paraId="0D074FA5" w14:textId="77777777" w:rsidR="00ED5AFD" w:rsidRPr="00926C6D" w:rsidRDefault="00000000" w:rsidP="007158BA">
      <w:pPr>
        <w:spacing w:line="240" w:lineRule="auto"/>
        <w:ind w:firstLine="0"/>
        <w:rPr>
          <w:rFonts w:eastAsia="Century Schoolbook" w:cs="Century Schoolbook"/>
          <w:i/>
          <w:iCs/>
          <w:sz w:val="20"/>
          <w:szCs w:val="20"/>
        </w:rPr>
      </w:pPr>
      <w:r w:rsidRPr="00926C6D">
        <w:rPr>
          <w:sz w:val="20"/>
          <w:szCs w:val="20"/>
          <w:vertAlign w:val="superscript"/>
        </w:rPr>
        <w:footnoteRef/>
      </w:r>
      <w:r w:rsidRPr="00926C6D">
        <w:rPr>
          <w:rFonts w:eastAsia="Times New Roman" w:cs="Times New Roman"/>
          <w:sz w:val="20"/>
          <w:szCs w:val="20"/>
        </w:rPr>
        <w:t xml:space="preserve"> </w:t>
      </w:r>
      <w:r w:rsidRPr="00926C6D">
        <w:rPr>
          <w:rFonts w:eastAsia="Times New Roman" w:cs="Times New Roman"/>
          <w:i/>
          <w:iCs/>
          <w:sz w:val="20"/>
          <w:szCs w:val="20"/>
        </w:rPr>
        <w:t>Id.</w:t>
      </w:r>
      <w:r w:rsidRPr="00926C6D">
        <w:rPr>
          <w:rFonts w:eastAsia="Century Schoolbook" w:cs="Century Schoolbook"/>
          <w:i/>
          <w:iCs/>
          <w:sz w:val="20"/>
          <w:szCs w:val="20"/>
        </w:rPr>
        <w:t xml:space="preserve"> </w:t>
      </w:r>
    </w:p>
  </w:footnote>
  <w:footnote w:id="19">
    <w:p w14:paraId="6C8724FC" w14:textId="77777777" w:rsidR="00ED5AFD" w:rsidRPr="00926C6D" w:rsidRDefault="00000000" w:rsidP="007158BA">
      <w:pPr>
        <w:spacing w:line="240" w:lineRule="auto"/>
        <w:ind w:firstLine="0"/>
        <w:rPr>
          <w:rFonts w:eastAsia="Times New Roman" w:cs="Times New Roman"/>
          <w:i/>
          <w:iCs/>
          <w:sz w:val="20"/>
          <w:szCs w:val="20"/>
        </w:rPr>
      </w:pPr>
      <w:r w:rsidRPr="00926C6D">
        <w:rPr>
          <w:sz w:val="20"/>
          <w:szCs w:val="20"/>
          <w:vertAlign w:val="superscript"/>
        </w:rPr>
        <w:footnoteRef/>
      </w:r>
      <w:r w:rsidRPr="00926C6D">
        <w:rPr>
          <w:rFonts w:eastAsia="Times New Roman" w:cs="Times New Roman"/>
          <w:sz w:val="20"/>
          <w:szCs w:val="20"/>
        </w:rPr>
        <w:t xml:space="preserve"> </w:t>
      </w:r>
      <w:r w:rsidRPr="00926C6D">
        <w:rPr>
          <w:rFonts w:eastAsia="Times New Roman" w:cs="Times New Roman"/>
          <w:i/>
          <w:iCs/>
          <w:sz w:val="20"/>
          <w:szCs w:val="20"/>
        </w:rPr>
        <w:t xml:space="preserve">Id. </w:t>
      </w:r>
    </w:p>
  </w:footnote>
  <w:footnote w:id="20">
    <w:p w14:paraId="17A2D2A8"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Century Schoolbook" w:cs="Century Schoolbook"/>
          <w:sz w:val="20"/>
          <w:szCs w:val="20"/>
        </w:rPr>
        <w:t xml:space="preserve"> </w:t>
      </w:r>
      <w:r w:rsidRPr="00926C6D">
        <w:rPr>
          <w:rFonts w:eastAsia="Times New Roman" w:cs="Times New Roman"/>
          <w:i/>
          <w:iCs/>
          <w:sz w:val="20"/>
          <w:szCs w:val="20"/>
        </w:rPr>
        <w:t>World Bank Income Groups</w:t>
      </w:r>
      <w:r w:rsidRPr="00926C6D">
        <w:rPr>
          <w:rFonts w:eastAsia="Times New Roman" w:cs="Times New Roman"/>
          <w:sz w:val="20"/>
          <w:szCs w:val="20"/>
        </w:rPr>
        <w:t>, Our World in Data,</w:t>
      </w:r>
      <w:hyperlink r:id="rId8">
        <w:r w:rsidR="00ED5AFD" w:rsidRPr="00926C6D">
          <w:rPr>
            <w:rFonts w:eastAsia="Times New Roman" w:cs="Times New Roman"/>
            <w:sz w:val="20"/>
            <w:szCs w:val="20"/>
          </w:rPr>
          <w:t xml:space="preserve"> </w:t>
        </w:r>
      </w:hyperlink>
      <w:hyperlink r:id="rId9">
        <w:r w:rsidR="00ED5AFD" w:rsidRPr="00926C6D">
          <w:rPr>
            <w:rFonts w:eastAsia="Times New Roman" w:cs="Times New Roman"/>
            <w:color w:val="1155CC"/>
            <w:sz w:val="20"/>
            <w:szCs w:val="20"/>
            <w:u w:val="single"/>
          </w:rPr>
          <w:t>https://ourworldindata.org/grapher/world-bank-income-groups</w:t>
        </w:r>
      </w:hyperlink>
      <w:r w:rsidRPr="00926C6D">
        <w:rPr>
          <w:rFonts w:eastAsia="Times New Roman" w:cs="Times New Roman"/>
          <w:sz w:val="20"/>
          <w:szCs w:val="20"/>
        </w:rPr>
        <w:t xml:space="preserve"> </w:t>
      </w:r>
    </w:p>
  </w:footnote>
  <w:footnote w:id="21">
    <w:p w14:paraId="5C783B4A"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Century Schoolbook" w:cs="Century Schoolbook"/>
          <w:sz w:val="20"/>
          <w:szCs w:val="20"/>
        </w:rPr>
        <w:t xml:space="preserve"> </w:t>
      </w:r>
      <w:r w:rsidRPr="00926C6D">
        <w:rPr>
          <w:rFonts w:eastAsia="Times New Roman" w:cs="Times New Roman"/>
          <w:sz w:val="20"/>
          <w:szCs w:val="20"/>
        </w:rPr>
        <w:t xml:space="preserve">Fadia Faqir, Intrafamily Femicide in </w:t>
      </w:r>
      <w:proofErr w:type="spellStart"/>
      <w:r w:rsidRPr="00926C6D">
        <w:rPr>
          <w:rFonts w:eastAsia="Times New Roman" w:cs="Times New Roman"/>
          <w:sz w:val="20"/>
          <w:szCs w:val="20"/>
        </w:rPr>
        <w:t>Defence</w:t>
      </w:r>
      <w:proofErr w:type="spellEnd"/>
      <w:r w:rsidRPr="00926C6D">
        <w:rPr>
          <w:rFonts w:eastAsia="Times New Roman" w:cs="Times New Roman"/>
          <w:sz w:val="20"/>
          <w:szCs w:val="20"/>
        </w:rPr>
        <w:t xml:space="preserve"> of Honour: The Case of Jordan, 22 Third World Q. 65 (2001),</w:t>
      </w:r>
      <w:hyperlink r:id="rId10">
        <w:r w:rsidR="00ED5AFD" w:rsidRPr="00926C6D">
          <w:rPr>
            <w:rFonts w:eastAsia="Times New Roman" w:cs="Times New Roman"/>
            <w:sz w:val="20"/>
            <w:szCs w:val="20"/>
          </w:rPr>
          <w:t xml:space="preserve"> </w:t>
        </w:r>
      </w:hyperlink>
      <w:hyperlink r:id="rId11">
        <w:r w:rsidR="00ED5AFD" w:rsidRPr="00926C6D">
          <w:rPr>
            <w:rFonts w:eastAsia="Times New Roman" w:cs="Times New Roman"/>
            <w:color w:val="1155CC"/>
            <w:sz w:val="20"/>
            <w:szCs w:val="20"/>
            <w:u w:val="single"/>
          </w:rPr>
          <w:t>https://www.jstor.org/stable/3993346</w:t>
        </w:r>
      </w:hyperlink>
      <w:r w:rsidRPr="00926C6D">
        <w:rPr>
          <w:rFonts w:eastAsia="Times New Roman" w:cs="Times New Roman"/>
          <w:sz w:val="20"/>
          <w:szCs w:val="20"/>
        </w:rPr>
        <w:t>.</w:t>
      </w:r>
    </w:p>
  </w:footnote>
  <w:footnote w:id="22">
    <w:p w14:paraId="0B8771EF" w14:textId="77777777" w:rsidR="00ED5AFD" w:rsidRPr="00926C6D" w:rsidRDefault="00000000" w:rsidP="007158BA">
      <w:pPr>
        <w:spacing w:line="240" w:lineRule="auto"/>
        <w:ind w:firstLine="0"/>
        <w:rPr>
          <w:rFonts w:eastAsia="Times New Roman" w:cs="Times New Roman"/>
          <w:i/>
          <w:iCs/>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i/>
          <w:iCs/>
          <w:sz w:val="20"/>
          <w:szCs w:val="20"/>
        </w:rPr>
        <w:t xml:space="preserve">Id. </w:t>
      </w:r>
    </w:p>
  </w:footnote>
  <w:footnote w:id="23">
    <w:p w14:paraId="662A8E73"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sz w:val="20"/>
          <w:szCs w:val="20"/>
        </w:rPr>
        <w:t xml:space="preserve">Comm. on the Elimination of Discrimination Against Women, General Recommendation No. 28 on the Core Obligations of States Parties Under Article 2 of the Convention on the Elimination of All Forms of Discrimination Against Women, ¶¶ 9–10, U.N. Doc. CEDAW/C/GC/28 (2010). </w:t>
      </w:r>
    </w:p>
  </w:footnote>
  <w:footnote w:id="24">
    <w:p w14:paraId="09A7CD90" w14:textId="77777777" w:rsidR="00ED5AFD" w:rsidRPr="00926C6D" w:rsidRDefault="00000000" w:rsidP="007158BA">
      <w:pPr>
        <w:spacing w:line="240" w:lineRule="auto"/>
        <w:ind w:firstLine="0"/>
        <w:rPr>
          <w:rFonts w:eastAsia="Times New Roman" w:cs="Times New Roman"/>
          <w:i/>
          <w:iCs/>
          <w:sz w:val="20"/>
          <w:szCs w:val="20"/>
        </w:rPr>
      </w:pPr>
      <w:r w:rsidRPr="00926C6D">
        <w:rPr>
          <w:sz w:val="20"/>
          <w:szCs w:val="20"/>
          <w:vertAlign w:val="superscript"/>
        </w:rPr>
        <w:footnoteRef/>
      </w:r>
      <w:r w:rsidRPr="00926C6D">
        <w:rPr>
          <w:rFonts w:eastAsia="Times New Roman" w:cs="Times New Roman"/>
          <w:sz w:val="20"/>
          <w:szCs w:val="20"/>
        </w:rPr>
        <w:t xml:space="preserve"> </w:t>
      </w:r>
      <w:r w:rsidRPr="00926C6D">
        <w:rPr>
          <w:rFonts w:eastAsia="Times New Roman" w:cs="Times New Roman"/>
          <w:i/>
          <w:iCs/>
          <w:sz w:val="20"/>
          <w:szCs w:val="20"/>
        </w:rPr>
        <w:t xml:space="preserve">Id. </w:t>
      </w:r>
    </w:p>
  </w:footnote>
  <w:footnote w:id="25">
    <w:p w14:paraId="0585C37D" w14:textId="77777777" w:rsidR="00ED5AFD" w:rsidRPr="00926C6D" w:rsidRDefault="00000000" w:rsidP="007158BA">
      <w:pPr>
        <w:spacing w:line="240" w:lineRule="auto"/>
        <w:ind w:firstLine="0"/>
        <w:rPr>
          <w:rFonts w:eastAsia="Times New Roman" w:cs="Times New Roman"/>
          <w:i/>
          <w:iCs/>
          <w:sz w:val="20"/>
          <w:szCs w:val="20"/>
        </w:rPr>
      </w:pPr>
      <w:r w:rsidRPr="00926C6D">
        <w:rPr>
          <w:sz w:val="20"/>
          <w:szCs w:val="20"/>
          <w:vertAlign w:val="superscript"/>
        </w:rPr>
        <w:footnoteRef/>
      </w:r>
      <w:r w:rsidRPr="00926C6D">
        <w:rPr>
          <w:rFonts w:eastAsia="Times New Roman" w:cs="Times New Roman"/>
          <w:sz w:val="20"/>
          <w:szCs w:val="20"/>
        </w:rPr>
        <w:t xml:space="preserve"> </w:t>
      </w:r>
      <w:r w:rsidRPr="00926C6D">
        <w:rPr>
          <w:rFonts w:eastAsia="Times New Roman" w:cs="Times New Roman"/>
          <w:i/>
          <w:iCs/>
          <w:sz w:val="20"/>
          <w:szCs w:val="20"/>
        </w:rPr>
        <w:t xml:space="preserve">Id. </w:t>
      </w:r>
    </w:p>
  </w:footnote>
  <w:footnote w:id="26">
    <w:p w14:paraId="77A95265" w14:textId="77777777" w:rsidR="00ED5AFD" w:rsidRPr="00926C6D" w:rsidRDefault="00000000" w:rsidP="007158BA">
      <w:pPr>
        <w:spacing w:line="240" w:lineRule="auto"/>
        <w:ind w:firstLine="0"/>
        <w:rPr>
          <w:rFonts w:eastAsia="Times New Roman" w:cs="Times New Roman"/>
          <w:i/>
          <w:iCs/>
          <w:sz w:val="20"/>
          <w:szCs w:val="20"/>
        </w:rPr>
      </w:pPr>
      <w:r w:rsidRPr="00926C6D">
        <w:rPr>
          <w:sz w:val="20"/>
          <w:szCs w:val="20"/>
          <w:vertAlign w:val="superscript"/>
        </w:rPr>
        <w:footnoteRef/>
      </w:r>
      <w:r w:rsidRPr="00926C6D">
        <w:rPr>
          <w:rFonts w:eastAsia="Times New Roman" w:cs="Times New Roman"/>
          <w:sz w:val="20"/>
          <w:szCs w:val="20"/>
        </w:rPr>
        <w:t xml:space="preserve"> </w:t>
      </w:r>
      <w:r w:rsidRPr="00926C6D">
        <w:rPr>
          <w:rFonts w:eastAsia="Times New Roman" w:cs="Times New Roman"/>
          <w:i/>
          <w:iCs/>
          <w:sz w:val="20"/>
          <w:szCs w:val="20"/>
        </w:rPr>
        <w:t xml:space="preserve">Id. </w:t>
      </w:r>
    </w:p>
  </w:footnote>
  <w:footnote w:id="27">
    <w:p w14:paraId="35CAF18A" w14:textId="5A45D769"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Times New Roman" w:cs="Times New Roman"/>
          <w:sz w:val="20"/>
          <w:szCs w:val="20"/>
        </w:rPr>
        <w:t xml:space="preserve"> </w:t>
      </w:r>
      <w:r w:rsidR="00CE66FB">
        <w:rPr>
          <w:rFonts w:eastAsia="Times New Roman" w:cs="Times New Roman"/>
          <w:sz w:val="20"/>
          <w:szCs w:val="20"/>
          <w:highlight w:val="white"/>
        </w:rPr>
        <w:t>RH</w:t>
      </w:r>
      <w:r w:rsidRPr="00926C6D">
        <w:rPr>
          <w:rFonts w:eastAsia="Times New Roman" w:cs="Times New Roman"/>
          <w:sz w:val="20"/>
          <w:szCs w:val="20"/>
          <w:highlight w:val="white"/>
        </w:rPr>
        <w:t xml:space="preserve">, Man Charged with Murder of Sister in Name of ‘Family Honour’, Jordan Times (Aug. 13, 2023), </w:t>
      </w:r>
      <w:hyperlink r:id="rId12">
        <w:r w:rsidR="00ED5AFD" w:rsidRPr="00926C6D">
          <w:rPr>
            <w:rFonts w:eastAsia="Times New Roman" w:cs="Times New Roman"/>
            <w:color w:val="0000EE"/>
            <w:sz w:val="20"/>
            <w:szCs w:val="20"/>
            <w:highlight w:val="white"/>
            <w:u w:val="single"/>
          </w:rPr>
          <w:t>https://jordantimes.com/news/local/man-charged-murder-sister-name-%E2%80%98family-honour%E2%80%99</w:t>
        </w:r>
      </w:hyperlink>
      <w:r w:rsidRPr="00926C6D">
        <w:rPr>
          <w:rFonts w:eastAsia="Times New Roman" w:cs="Times New Roman"/>
          <w:sz w:val="20"/>
          <w:szCs w:val="20"/>
          <w:highlight w:val="white"/>
        </w:rPr>
        <w:t>.</w:t>
      </w:r>
      <w:r w:rsidRPr="00926C6D">
        <w:rPr>
          <w:rFonts w:eastAsia="Times New Roman" w:cs="Times New Roman"/>
          <w:sz w:val="20"/>
          <w:szCs w:val="20"/>
        </w:rPr>
        <w:t xml:space="preserve"> </w:t>
      </w:r>
    </w:p>
  </w:footnote>
  <w:footnote w:id="28">
    <w:p w14:paraId="45A116EC" w14:textId="1DD65820" w:rsidR="00ED5AFD" w:rsidRPr="00926C6D" w:rsidRDefault="00000000" w:rsidP="007158BA">
      <w:pPr>
        <w:spacing w:line="240" w:lineRule="auto"/>
        <w:ind w:firstLine="0"/>
        <w:rPr>
          <w:rFonts w:eastAsia="Century Schoolbook" w:cs="Century Schoolbook"/>
          <w:i/>
          <w:iCs/>
          <w:sz w:val="20"/>
          <w:szCs w:val="20"/>
        </w:rPr>
      </w:pPr>
      <w:r w:rsidRPr="00926C6D">
        <w:rPr>
          <w:sz w:val="20"/>
          <w:szCs w:val="20"/>
          <w:vertAlign w:val="superscript"/>
        </w:rPr>
        <w:footnoteRef/>
      </w:r>
      <w:r w:rsidRPr="00926C6D">
        <w:rPr>
          <w:rFonts w:eastAsia="Times New Roman" w:cs="Times New Roman"/>
          <w:sz w:val="20"/>
          <w:szCs w:val="20"/>
        </w:rPr>
        <w:t xml:space="preserve"> </w:t>
      </w:r>
      <w:r w:rsidRPr="00926C6D">
        <w:rPr>
          <w:rFonts w:eastAsia="Times New Roman" w:cs="Times New Roman"/>
          <w:i/>
          <w:iCs/>
          <w:sz w:val="20"/>
          <w:szCs w:val="20"/>
        </w:rPr>
        <w:t>Id.</w:t>
      </w:r>
      <w:r w:rsidR="007158BA">
        <w:rPr>
          <w:rFonts w:eastAsia="Times New Roman" w:cs="Times New Roman"/>
          <w:i/>
          <w:iCs/>
          <w:sz w:val="20"/>
          <w:szCs w:val="20"/>
        </w:rPr>
        <w:t xml:space="preserve"> </w:t>
      </w:r>
    </w:p>
  </w:footnote>
  <w:footnote w:id="29">
    <w:p w14:paraId="4FF922C4" w14:textId="77777777" w:rsidR="00ED5AFD" w:rsidRPr="00926C6D" w:rsidRDefault="00000000" w:rsidP="007158BA">
      <w:pPr>
        <w:spacing w:line="240" w:lineRule="auto"/>
        <w:ind w:firstLine="0"/>
        <w:rPr>
          <w:rFonts w:eastAsia="Times New Roman" w:cs="Times New Roman"/>
          <w:i/>
          <w:iCs/>
          <w:sz w:val="20"/>
          <w:szCs w:val="20"/>
        </w:rPr>
      </w:pPr>
      <w:r w:rsidRPr="00926C6D">
        <w:rPr>
          <w:sz w:val="20"/>
          <w:szCs w:val="20"/>
          <w:vertAlign w:val="superscript"/>
        </w:rPr>
        <w:footnoteRef/>
      </w:r>
      <w:r w:rsidRPr="00926C6D">
        <w:rPr>
          <w:rFonts w:eastAsia="Times New Roman" w:cs="Times New Roman"/>
          <w:sz w:val="20"/>
          <w:szCs w:val="20"/>
        </w:rPr>
        <w:t xml:space="preserve"> </w:t>
      </w:r>
      <w:r w:rsidRPr="00926C6D">
        <w:rPr>
          <w:rFonts w:eastAsia="Times New Roman" w:cs="Times New Roman"/>
          <w:i/>
          <w:iCs/>
          <w:sz w:val="20"/>
          <w:szCs w:val="20"/>
        </w:rPr>
        <w:t xml:space="preserve">Id. </w:t>
      </w:r>
    </w:p>
  </w:footnote>
  <w:footnote w:id="30">
    <w:p w14:paraId="23B79A89" w14:textId="1D345934"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7158BA">
        <w:rPr>
          <w:sz w:val="20"/>
          <w:szCs w:val="20"/>
        </w:rPr>
        <w:t xml:space="preserve"> </w:t>
      </w:r>
      <w:r w:rsidR="00CE66FB">
        <w:rPr>
          <w:rFonts w:eastAsia="Times New Roman" w:cs="Times New Roman"/>
          <w:sz w:val="20"/>
          <w:szCs w:val="20"/>
        </w:rPr>
        <w:t>RH</w:t>
      </w:r>
      <w:r w:rsidRPr="00926C6D">
        <w:rPr>
          <w:rFonts w:eastAsia="Times New Roman" w:cs="Times New Roman"/>
          <w:sz w:val="20"/>
          <w:szCs w:val="20"/>
        </w:rPr>
        <w:t xml:space="preserve">, Father Charged with Premeditated Murder in Connection with Burning Death of Daughter, Jordan Times (July 2023), </w:t>
      </w:r>
      <w:hyperlink r:id="rId13">
        <w:r w:rsidR="00ED5AFD" w:rsidRPr="00926C6D">
          <w:rPr>
            <w:rFonts w:eastAsia="Times New Roman" w:cs="Times New Roman"/>
            <w:color w:val="1155CC"/>
            <w:sz w:val="20"/>
            <w:szCs w:val="20"/>
            <w:u w:val="single"/>
          </w:rPr>
          <w:t>https://jordantimes.com/news/local/father-charged-premeditated-murder-connection-burning-death-daughter</w:t>
        </w:r>
      </w:hyperlink>
      <w:r w:rsidRPr="00926C6D">
        <w:rPr>
          <w:rFonts w:eastAsia="Times New Roman" w:cs="Times New Roman"/>
          <w:sz w:val="20"/>
          <w:szCs w:val="20"/>
        </w:rPr>
        <w:t xml:space="preserve">. </w:t>
      </w:r>
    </w:p>
  </w:footnote>
  <w:footnote w:id="31">
    <w:p w14:paraId="55B051BC" w14:textId="779F72F6"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7158BA">
        <w:rPr>
          <w:sz w:val="20"/>
          <w:szCs w:val="20"/>
        </w:rPr>
        <w:t xml:space="preserve"> </w:t>
      </w:r>
      <w:r w:rsidR="00CE66FB">
        <w:rPr>
          <w:rFonts w:eastAsia="Times New Roman" w:cs="Times New Roman"/>
          <w:sz w:val="20"/>
          <w:szCs w:val="20"/>
          <w:highlight w:val="white"/>
        </w:rPr>
        <w:t>RH</w:t>
      </w:r>
      <w:r w:rsidRPr="00926C6D">
        <w:rPr>
          <w:rFonts w:eastAsia="Times New Roman" w:cs="Times New Roman"/>
          <w:sz w:val="20"/>
          <w:szCs w:val="20"/>
          <w:highlight w:val="white"/>
        </w:rPr>
        <w:t xml:space="preserve">, 25-Year-Old Man Charged with Premeditated Murder of Sister in ‘Honour Crime’, Jordan Times (July 19, 2020), </w:t>
      </w:r>
      <w:hyperlink r:id="rId14">
        <w:r w:rsidR="00ED5AFD" w:rsidRPr="00926C6D">
          <w:rPr>
            <w:rFonts w:eastAsia="Times New Roman" w:cs="Times New Roman"/>
            <w:color w:val="0000EE"/>
            <w:sz w:val="20"/>
            <w:szCs w:val="20"/>
            <w:highlight w:val="white"/>
            <w:u w:val="single"/>
          </w:rPr>
          <w:t>https://jordantimes.com/news/local/25-year-old-man-charged-premeditated-murder-sister-%E2%80%98honour-crime%E2%80%99</w:t>
        </w:r>
      </w:hyperlink>
      <w:r w:rsidRPr="00926C6D">
        <w:rPr>
          <w:rFonts w:eastAsia="Times New Roman" w:cs="Times New Roman"/>
          <w:sz w:val="20"/>
          <w:szCs w:val="20"/>
          <w:highlight w:val="white"/>
        </w:rPr>
        <w:t>.</w:t>
      </w:r>
      <w:r w:rsidRPr="00926C6D">
        <w:rPr>
          <w:rFonts w:eastAsia="Times New Roman" w:cs="Times New Roman"/>
          <w:sz w:val="20"/>
          <w:szCs w:val="20"/>
        </w:rPr>
        <w:t xml:space="preserve"> </w:t>
      </w:r>
    </w:p>
  </w:footnote>
  <w:footnote w:id="32">
    <w:p w14:paraId="683C7C93"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Century Schoolbook" w:cs="Century Schoolbook"/>
          <w:sz w:val="20"/>
          <w:szCs w:val="20"/>
        </w:rPr>
        <w:t xml:space="preserve"> </w:t>
      </w:r>
      <w:r w:rsidRPr="00926C6D">
        <w:rPr>
          <w:rFonts w:eastAsia="Times New Roman" w:cs="Times New Roman"/>
          <w:sz w:val="20"/>
          <w:szCs w:val="20"/>
        </w:rPr>
        <w:t xml:space="preserve">CEDAW, article 2. </w:t>
      </w:r>
    </w:p>
  </w:footnote>
  <w:footnote w:id="33">
    <w:p w14:paraId="73840717" w14:textId="77777777" w:rsidR="00ED5AFD" w:rsidRPr="00926C6D" w:rsidRDefault="00000000" w:rsidP="007158BA">
      <w:pPr>
        <w:spacing w:line="240" w:lineRule="auto"/>
        <w:ind w:firstLine="0"/>
        <w:rPr>
          <w:rFonts w:eastAsia="Times New Roman" w:cs="Times New Roman"/>
          <w:i/>
          <w:iCs/>
          <w:sz w:val="20"/>
          <w:szCs w:val="20"/>
        </w:rPr>
      </w:pPr>
      <w:r w:rsidRPr="00926C6D">
        <w:rPr>
          <w:sz w:val="20"/>
          <w:szCs w:val="20"/>
          <w:vertAlign w:val="superscript"/>
        </w:rPr>
        <w:footnoteRef/>
      </w:r>
      <w:r w:rsidRPr="00926C6D">
        <w:rPr>
          <w:rFonts w:eastAsia="Times New Roman" w:cs="Times New Roman"/>
          <w:sz w:val="20"/>
          <w:szCs w:val="20"/>
        </w:rPr>
        <w:t xml:space="preserve"> </w:t>
      </w:r>
      <w:r w:rsidRPr="00926C6D">
        <w:rPr>
          <w:rFonts w:eastAsia="Times New Roman" w:cs="Times New Roman"/>
          <w:i/>
          <w:iCs/>
          <w:sz w:val="20"/>
          <w:szCs w:val="20"/>
        </w:rPr>
        <w:t xml:space="preserve">Id. </w:t>
      </w:r>
    </w:p>
  </w:footnote>
  <w:footnote w:id="34">
    <w:p w14:paraId="2B10E894"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Times New Roman" w:cs="Times New Roman"/>
          <w:sz w:val="20"/>
          <w:szCs w:val="20"/>
        </w:rPr>
        <w:t xml:space="preserve"> CEDAW, General Recommendation No. 28. </w:t>
      </w:r>
    </w:p>
  </w:footnote>
  <w:footnote w:id="35">
    <w:p w14:paraId="42B74CE8"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Times New Roman" w:cs="Times New Roman"/>
          <w:sz w:val="20"/>
          <w:szCs w:val="20"/>
        </w:rPr>
        <w:t xml:space="preserve"> Jordanian Penal Code No. 16 of 1960 arts. 321-325. </w:t>
      </w:r>
    </w:p>
  </w:footnote>
  <w:footnote w:id="36">
    <w:p w14:paraId="0D0E43A4"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Times New Roman" w:cs="Times New Roman"/>
          <w:sz w:val="20"/>
          <w:szCs w:val="20"/>
        </w:rPr>
        <w:t xml:space="preserve"> Jordanian Constitution of 1952 art. 6</w:t>
      </w:r>
    </w:p>
  </w:footnote>
  <w:footnote w:id="37">
    <w:p w14:paraId="77459882"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Times New Roman" w:cs="Times New Roman"/>
          <w:sz w:val="20"/>
          <w:szCs w:val="20"/>
        </w:rPr>
        <w:t xml:space="preserve"> Comm. on the Elimination of Discrimination Against Women, Concluding Observations on the Sixth Periodic Report of Jordan, ¶ 48, U.N. Doc. CEDAW/C/JOR/CO/6 (Mar. 9, 2017). </w:t>
      </w:r>
    </w:p>
  </w:footnote>
  <w:footnote w:id="38">
    <w:p w14:paraId="43F89A54" w14:textId="77777777" w:rsidR="00ED5AFD" w:rsidRPr="00926C6D" w:rsidRDefault="00000000" w:rsidP="007158BA">
      <w:pPr>
        <w:spacing w:line="240" w:lineRule="auto"/>
        <w:ind w:firstLine="0"/>
        <w:rPr>
          <w:rFonts w:eastAsia="Times New Roman" w:cs="Times New Roman"/>
          <w:i/>
          <w:iCs/>
          <w:sz w:val="20"/>
          <w:szCs w:val="20"/>
        </w:rPr>
      </w:pPr>
      <w:r w:rsidRPr="00926C6D">
        <w:rPr>
          <w:sz w:val="20"/>
          <w:szCs w:val="20"/>
          <w:vertAlign w:val="superscript"/>
        </w:rPr>
        <w:footnoteRef/>
      </w:r>
      <w:r w:rsidRPr="00926C6D">
        <w:rPr>
          <w:rFonts w:eastAsia="Times New Roman" w:cs="Times New Roman"/>
          <w:sz w:val="20"/>
          <w:szCs w:val="20"/>
        </w:rPr>
        <w:t xml:space="preserve"> </w:t>
      </w:r>
      <w:r w:rsidRPr="00926C6D">
        <w:rPr>
          <w:rFonts w:eastAsia="Times New Roman" w:cs="Times New Roman"/>
          <w:i/>
          <w:iCs/>
          <w:sz w:val="20"/>
          <w:szCs w:val="20"/>
        </w:rPr>
        <w:t xml:space="preserve">Id. </w:t>
      </w:r>
    </w:p>
  </w:footnote>
  <w:footnote w:id="39">
    <w:p w14:paraId="33455FF5" w14:textId="0E7BD218" w:rsidR="00ED5AFD" w:rsidRPr="007158BA" w:rsidRDefault="00000000" w:rsidP="007158BA">
      <w:pPr>
        <w:spacing w:line="240" w:lineRule="auto"/>
        <w:ind w:firstLine="0"/>
        <w:rPr>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sz w:val="20"/>
          <w:szCs w:val="20"/>
        </w:rPr>
        <w:t>CEDAW, Article 5(a).</w:t>
      </w:r>
    </w:p>
  </w:footnote>
  <w:footnote w:id="40">
    <w:p w14:paraId="077F12DF" w14:textId="77777777" w:rsidR="00ED5AFD" w:rsidRPr="007158BA" w:rsidRDefault="00000000" w:rsidP="007158BA">
      <w:pPr>
        <w:spacing w:line="240" w:lineRule="auto"/>
        <w:ind w:firstLine="0"/>
        <w:rPr>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sz w:val="20"/>
          <w:szCs w:val="20"/>
        </w:rPr>
        <w:t xml:space="preserve">CEDAW General Recommendation No. 19, </w:t>
      </w:r>
      <w:hyperlink r:id="rId15">
        <w:r w:rsidR="00ED5AFD" w:rsidRPr="00926C6D">
          <w:rPr>
            <w:rFonts w:eastAsia="Times New Roman" w:cs="Times New Roman"/>
            <w:color w:val="1155CC"/>
            <w:sz w:val="20"/>
            <w:szCs w:val="20"/>
            <w:u w:val="single"/>
          </w:rPr>
          <w:t>https://www.refworld.org/legal/resolution/cedaw/1992/96542</w:t>
        </w:r>
      </w:hyperlink>
      <w:r w:rsidRPr="00926C6D">
        <w:rPr>
          <w:rFonts w:eastAsia="Times New Roman" w:cs="Times New Roman"/>
          <w:sz w:val="20"/>
          <w:szCs w:val="20"/>
        </w:rPr>
        <w:t xml:space="preserve">, [last accessed 12 May 2026]; CEDAW General Recommendation 35, </w:t>
      </w:r>
      <w:hyperlink r:id="rId16">
        <w:r w:rsidR="00ED5AFD" w:rsidRPr="00926C6D">
          <w:rPr>
            <w:rFonts w:eastAsia="Times New Roman" w:cs="Times New Roman"/>
            <w:color w:val="1155CC"/>
            <w:sz w:val="20"/>
            <w:szCs w:val="20"/>
            <w:u w:val="single"/>
          </w:rPr>
          <w:t>https://docs.un.org/en/CEDAW/C/GC/35</w:t>
        </w:r>
      </w:hyperlink>
      <w:r w:rsidRPr="00926C6D">
        <w:rPr>
          <w:rFonts w:eastAsia="Times New Roman" w:cs="Times New Roman"/>
          <w:sz w:val="20"/>
          <w:szCs w:val="20"/>
        </w:rPr>
        <w:t>, [last accessed 13 May 2026].</w:t>
      </w:r>
    </w:p>
  </w:footnote>
  <w:footnote w:id="41">
    <w:p w14:paraId="3103B8D3" w14:textId="375BF25B" w:rsidR="00ED5AFD" w:rsidRPr="007158BA" w:rsidRDefault="00000000" w:rsidP="007158BA">
      <w:pPr>
        <w:spacing w:line="240" w:lineRule="auto"/>
        <w:ind w:firstLine="0"/>
        <w:rPr>
          <w:sz w:val="20"/>
          <w:szCs w:val="20"/>
        </w:rPr>
      </w:pPr>
      <w:r w:rsidRPr="00926C6D">
        <w:rPr>
          <w:sz w:val="20"/>
          <w:szCs w:val="20"/>
          <w:vertAlign w:val="superscript"/>
        </w:rPr>
        <w:footnoteRef/>
      </w:r>
      <w:r w:rsidR="007158BA">
        <w:rPr>
          <w:sz w:val="20"/>
          <w:szCs w:val="20"/>
        </w:rPr>
        <w:t xml:space="preserve"> </w:t>
      </w:r>
      <w:r w:rsidRPr="00926C6D">
        <w:rPr>
          <w:rFonts w:eastAsia="Times New Roman" w:cs="Times New Roman"/>
          <w:sz w:val="20"/>
          <w:szCs w:val="20"/>
        </w:rPr>
        <w:t xml:space="preserve">Rautreau, L., </w:t>
      </w:r>
      <w:r w:rsidRPr="00926C6D">
        <w:rPr>
          <w:rFonts w:eastAsia="Times New Roman" w:cs="Times New Roman"/>
          <w:i/>
          <w:iCs/>
          <w:sz w:val="20"/>
          <w:szCs w:val="20"/>
        </w:rPr>
        <w:t>Honor crimes in Jordan: between legislation and women’s experience</w:t>
      </w:r>
      <w:r w:rsidRPr="00926C6D">
        <w:rPr>
          <w:rFonts w:eastAsia="Times New Roman" w:cs="Times New Roman"/>
          <w:sz w:val="20"/>
          <w:szCs w:val="20"/>
        </w:rPr>
        <w:t xml:space="preserve">, ACHRS, </w:t>
      </w:r>
      <w:hyperlink r:id="rId17">
        <w:r w:rsidR="00ED5AFD" w:rsidRPr="00926C6D">
          <w:rPr>
            <w:rFonts w:eastAsia="Times New Roman" w:cs="Times New Roman"/>
            <w:color w:val="1155CC"/>
            <w:sz w:val="20"/>
            <w:szCs w:val="20"/>
            <w:u w:val="single"/>
          </w:rPr>
          <w:t>https://achrs.org/english/wp-content/uploads/2020/12/Honor-crimes-in-Jordan-between-legislation-and-womens-experience_final.pdf</w:t>
        </w:r>
      </w:hyperlink>
      <w:r w:rsidRPr="00926C6D">
        <w:rPr>
          <w:rFonts w:eastAsia="Times New Roman" w:cs="Times New Roman"/>
          <w:sz w:val="20"/>
          <w:szCs w:val="20"/>
        </w:rPr>
        <w:t xml:space="preserve">, December 2020. </w:t>
      </w:r>
    </w:p>
  </w:footnote>
  <w:footnote w:id="42">
    <w:p w14:paraId="76D638E3" w14:textId="77777777" w:rsidR="00ED5AFD" w:rsidRPr="007158BA" w:rsidRDefault="00000000" w:rsidP="007158BA">
      <w:pPr>
        <w:spacing w:line="240" w:lineRule="auto"/>
        <w:ind w:firstLine="0"/>
        <w:rPr>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i/>
          <w:iCs/>
          <w:sz w:val="20"/>
          <w:szCs w:val="20"/>
        </w:rPr>
        <w:t>Id.</w:t>
      </w:r>
    </w:p>
  </w:footnote>
  <w:footnote w:id="43">
    <w:p w14:paraId="13514C30" w14:textId="5D6D622D" w:rsidR="00ED5AFD" w:rsidRPr="007158BA" w:rsidRDefault="00000000" w:rsidP="007158BA">
      <w:pPr>
        <w:spacing w:line="240" w:lineRule="auto"/>
        <w:ind w:firstLine="0"/>
        <w:rPr>
          <w:sz w:val="20"/>
          <w:szCs w:val="20"/>
        </w:rPr>
      </w:pPr>
      <w:r w:rsidRPr="00926C6D">
        <w:rPr>
          <w:sz w:val="20"/>
          <w:szCs w:val="20"/>
          <w:vertAlign w:val="superscript"/>
        </w:rPr>
        <w:footnoteRef/>
      </w:r>
      <w:r w:rsidR="007158BA">
        <w:rPr>
          <w:sz w:val="20"/>
          <w:szCs w:val="20"/>
        </w:rPr>
        <w:t xml:space="preserve"> </w:t>
      </w:r>
      <w:r w:rsidRPr="00926C6D">
        <w:rPr>
          <w:rFonts w:eastAsia="Times New Roman" w:cs="Times New Roman"/>
          <w:sz w:val="20"/>
          <w:szCs w:val="20"/>
        </w:rPr>
        <w:t xml:space="preserve">Alqahtani, A., </w:t>
      </w:r>
      <w:r w:rsidRPr="00926C6D">
        <w:rPr>
          <w:rFonts w:eastAsia="Times New Roman" w:cs="Times New Roman"/>
          <w:i/>
          <w:iCs/>
          <w:sz w:val="20"/>
          <w:szCs w:val="20"/>
        </w:rPr>
        <w:t xml:space="preserve">There’s no honor in taking a life: violence against women in the name of honor, </w:t>
      </w:r>
      <w:r w:rsidRPr="00926C6D">
        <w:rPr>
          <w:rFonts w:eastAsia="Times New Roman" w:cs="Times New Roman"/>
          <w:sz w:val="20"/>
          <w:szCs w:val="20"/>
        </w:rPr>
        <w:t xml:space="preserve">Columbia Academic Commons, page 18, </w:t>
      </w:r>
      <w:hyperlink r:id="rId18">
        <w:r w:rsidR="00ED5AFD" w:rsidRPr="00926C6D">
          <w:rPr>
            <w:rFonts w:eastAsia="Times New Roman" w:cs="Times New Roman"/>
            <w:color w:val="1155CC"/>
            <w:sz w:val="20"/>
            <w:szCs w:val="20"/>
            <w:u w:val="single"/>
          </w:rPr>
          <w:t>https://academiccommons.columbia.edu/doi/10.7916/36mg-nc33</w:t>
        </w:r>
      </w:hyperlink>
      <w:r w:rsidRPr="00926C6D">
        <w:rPr>
          <w:rFonts w:eastAsia="Times New Roman" w:cs="Times New Roman"/>
          <w:sz w:val="20"/>
          <w:szCs w:val="20"/>
        </w:rPr>
        <w:t xml:space="preserve">, 2024. </w:t>
      </w:r>
    </w:p>
  </w:footnote>
  <w:footnote w:id="44">
    <w:p w14:paraId="30E47A52"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Times New Roman" w:cs="Times New Roman"/>
          <w:i/>
          <w:iCs/>
          <w:sz w:val="20"/>
          <w:szCs w:val="20"/>
        </w:rPr>
        <w:t xml:space="preserve"> Id. </w:t>
      </w:r>
      <w:r w:rsidRPr="00926C6D">
        <w:rPr>
          <w:rFonts w:eastAsia="Times New Roman" w:cs="Times New Roman"/>
          <w:sz w:val="20"/>
          <w:szCs w:val="20"/>
        </w:rPr>
        <w:t>at 35.</w:t>
      </w:r>
    </w:p>
  </w:footnote>
  <w:footnote w:id="45">
    <w:p w14:paraId="218ED0B2" w14:textId="732A2F89" w:rsidR="00850697" w:rsidRPr="00850697" w:rsidRDefault="00850697" w:rsidP="00850697">
      <w:pPr>
        <w:pStyle w:val="FootnoteText"/>
        <w:ind w:firstLine="0"/>
        <w:rPr>
          <w:lang w:val="en-US"/>
        </w:rPr>
      </w:pPr>
      <w:r>
        <w:rPr>
          <w:rStyle w:val="FootnoteReference"/>
        </w:rPr>
        <w:footnoteRef/>
      </w:r>
      <w:r>
        <w:t xml:space="preserve"> </w:t>
      </w:r>
      <w:r w:rsidRPr="00850697">
        <w:rPr>
          <w:i/>
          <w:iCs/>
          <w:lang w:val="en-US"/>
        </w:rPr>
        <w:t>Id.</w:t>
      </w:r>
      <w:r>
        <w:rPr>
          <w:lang w:val="en-US"/>
        </w:rPr>
        <w:t xml:space="preserve"> at 15. </w:t>
      </w:r>
    </w:p>
  </w:footnote>
  <w:footnote w:id="46">
    <w:p w14:paraId="56F133AA" w14:textId="6CE35423" w:rsidR="00850697" w:rsidRPr="00850697" w:rsidRDefault="00850697" w:rsidP="00850697">
      <w:pPr>
        <w:pStyle w:val="FootnoteText"/>
        <w:ind w:firstLine="0"/>
        <w:rPr>
          <w:lang w:val="en-US"/>
        </w:rPr>
      </w:pPr>
      <w:r>
        <w:rPr>
          <w:rStyle w:val="FootnoteReference"/>
        </w:rPr>
        <w:footnoteRef/>
      </w:r>
      <w:r>
        <w:t xml:space="preserve"> </w:t>
      </w:r>
      <w:r w:rsidRPr="00850697">
        <w:rPr>
          <w:i/>
          <w:iCs/>
          <w:lang w:val="en-US"/>
        </w:rPr>
        <w:t>Id.</w:t>
      </w:r>
      <w:r>
        <w:rPr>
          <w:lang w:val="en-US"/>
        </w:rPr>
        <w:t xml:space="preserve"> at 27. </w:t>
      </w:r>
    </w:p>
  </w:footnote>
  <w:footnote w:id="47">
    <w:p w14:paraId="48356E0F" w14:textId="77777777" w:rsidR="00ED5AFD" w:rsidRPr="007158BA" w:rsidRDefault="00000000" w:rsidP="007158BA">
      <w:pPr>
        <w:spacing w:line="240" w:lineRule="auto"/>
        <w:ind w:firstLine="0"/>
        <w:rPr>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sz w:val="20"/>
          <w:szCs w:val="20"/>
        </w:rPr>
        <w:t xml:space="preserve">CEDAW General Recommendation No. 19, </w:t>
      </w:r>
      <w:hyperlink r:id="rId19">
        <w:r w:rsidR="00ED5AFD" w:rsidRPr="00926C6D">
          <w:rPr>
            <w:rFonts w:eastAsia="Times New Roman" w:cs="Times New Roman"/>
            <w:color w:val="1155CC"/>
            <w:sz w:val="20"/>
            <w:szCs w:val="20"/>
            <w:u w:val="single"/>
          </w:rPr>
          <w:t>https://www.refworld.org/legal/resolution/cedaw/1992/96542</w:t>
        </w:r>
      </w:hyperlink>
      <w:r w:rsidRPr="00926C6D">
        <w:rPr>
          <w:rFonts w:eastAsia="Times New Roman" w:cs="Times New Roman"/>
          <w:sz w:val="20"/>
          <w:szCs w:val="20"/>
        </w:rPr>
        <w:t>, [last accessed 12 May 2026].</w:t>
      </w:r>
    </w:p>
  </w:footnote>
  <w:footnote w:id="48">
    <w:p w14:paraId="44CC2039" w14:textId="77777777" w:rsidR="00ED5AFD" w:rsidRPr="007158BA" w:rsidRDefault="00000000" w:rsidP="007158BA">
      <w:pPr>
        <w:spacing w:line="240" w:lineRule="auto"/>
        <w:ind w:firstLine="0"/>
        <w:rPr>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sz w:val="20"/>
          <w:szCs w:val="20"/>
        </w:rPr>
        <w:t xml:space="preserve">CEDAW General Recommendation No. 35, </w:t>
      </w:r>
      <w:hyperlink r:id="rId20">
        <w:r w:rsidR="00ED5AFD" w:rsidRPr="00926C6D">
          <w:rPr>
            <w:rFonts w:eastAsia="Times New Roman" w:cs="Times New Roman"/>
            <w:color w:val="1155CC"/>
            <w:sz w:val="20"/>
            <w:szCs w:val="20"/>
            <w:u w:val="single"/>
          </w:rPr>
          <w:t>https://docs.un.org/en/CEDAW/C/GC/35</w:t>
        </w:r>
      </w:hyperlink>
      <w:r w:rsidRPr="00926C6D">
        <w:rPr>
          <w:rFonts w:eastAsia="Times New Roman" w:cs="Times New Roman"/>
          <w:sz w:val="20"/>
          <w:szCs w:val="20"/>
        </w:rPr>
        <w:t>, [last accessed 13 May 2026].</w:t>
      </w:r>
    </w:p>
  </w:footnote>
  <w:footnote w:id="49">
    <w:p w14:paraId="65FCFE53" w14:textId="6AC8C16A" w:rsidR="00ED5AFD" w:rsidRPr="007158BA" w:rsidRDefault="00000000" w:rsidP="007158BA">
      <w:pPr>
        <w:spacing w:line="240" w:lineRule="auto"/>
        <w:ind w:firstLine="0"/>
        <w:rPr>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sz w:val="20"/>
          <w:szCs w:val="20"/>
        </w:rPr>
        <w:t xml:space="preserve">Alqahtani, A., </w:t>
      </w:r>
      <w:r w:rsidRPr="00926C6D">
        <w:rPr>
          <w:rFonts w:eastAsia="Times New Roman" w:cs="Times New Roman"/>
          <w:i/>
          <w:iCs/>
          <w:sz w:val="20"/>
          <w:szCs w:val="20"/>
        </w:rPr>
        <w:t xml:space="preserve">There’s no honor in taking a life: violence against women in the name of honor, </w:t>
      </w:r>
      <w:r w:rsidRPr="00926C6D">
        <w:rPr>
          <w:rFonts w:eastAsia="Times New Roman" w:cs="Times New Roman"/>
          <w:sz w:val="20"/>
          <w:szCs w:val="20"/>
        </w:rPr>
        <w:t xml:space="preserve">Columbia Academic Commons, page </w:t>
      </w:r>
      <w:r w:rsidR="00E13E6E">
        <w:rPr>
          <w:rFonts w:eastAsia="Times New Roman" w:cs="Times New Roman"/>
          <w:sz w:val="20"/>
          <w:szCs w:val="20"/>
        </w:rPr>
        <w:t>2</w:t>
      </w:r>
      <w:r w:rsidRPr="00926C6D">
        <w:rPr>
          <w:rFonts w:eastAsia="Times New Roman" w:cs="Times New Roman"/>
          <w:sz w:val="20"/>
          <w:szCs w:val="20"/>
        </w:rPr>
        <w:t xml:space="preserve">7, </w:t>
      </w:r>
      <w:hyperlink r:id="rId21">
        <w:r w:rsidR="00ED5AFD" w:rsidRPr="00926C6D">
          <w:rPr>
            <w:rFonts w:eastAsia="Times New Roman" w:cs="Times New Roman"/>
            <w:color w:val="1155CC"/>
            <w:sz w:val="20"/>
            <w:szCs w:val="20"/>
            <w:u w:val="single"/>
          </w:rPr>
          <w:t>https://academiccommons.columbia.edu/doi/10.7916/36mg-nc33</w:t>
        </w:r>
      </w:hyperlink>
      <w:r w:rsidRPr="00926C6D">
        <w:rPr>
          <w:rFonts w:eastAsia="Times New Roman" w:cs="Times New Roman"/>
          <w:sz w:val="20"/>
          <w:szCs w:val="20"/>
        </w:rPr>
        <w:t xml:space="preserve">, 2024. </w:t>
      </w:r>
    </w:p>
  </w:footnote>
  <w:footnote w:id="50">
    <w:p w14:paraId="6A3C80B1" w14:textId="71B9ABB6" w:rsidR="00234AF5" w:rsidRPr="00234AF5" w:rsidRDefault="00234AF5" w:rsidP="00234AF5">
      <w:pPr>
        <w:pStyle w:val="FootnoteText"/>
        <w:ind w:firstLine="0"/>
        <w:rPr>
          <w:lang w:val="en-US"/>
        </w:rPr>
      </w:pPr>
      <w:r>
        <w:rPr>
          <w:rStyle w:val="FootnoteReference"/>
        </w:rPr>
        <w:footnoteRef/>
      </w:r>
      <w:r>
        <w:t xml:space="preserve"> </w:t>
      </w:r>
      <w:r w:rsidRPr="00234AF5">
        <w:rPr>
          <w:i/>
          <w:iCs/>
          <w:lang w:val="en-US"/>
        </w:rPr>
        <w:t>Id.</w:t>
      </w:r>
      <w:r>
        <w:rPr>
          <w:lang w:val="en-US"/>
        </w:rPr>
        <w:t xml:space="preserve"> </w:t>
      </w:r>
    </w:p>
  </w:footnote>
  <w:footnote w:id="51">
    <w:p w14:paraId="35B5AB44" w14:textId="77777777" w:rsidR="00ED5AFD" w:rsidRPr="007158BA" w:rsidRDefault="00000000" w:rsidP="007158BA">
      <w:pPr>
        <w:spacing w:line="240" w:lineRule="auto"/>
        <w:ind w:firstLine="0"/>
        <w:rPr>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sz w:val="20"/>
          <w:szCs w:val="20"/>
        </w:rPr>
        <w:t xml:space="preserve">CEDAW General Recommendation No. 19, </w:t>
      </w:r>
      <w:hyperlink r:id="rId22">
        <w:r w:rsidR="00ED5AFD" w:rsidRPr="00926C6D">
          <w:rPr>
            <w:rFonts w:eastAsia="Times New Roman" w:cs="Times New Roman"/>
            <w:color w:val="1155CC"/>
            <w:sz w:val="20"/>
            <w:szCs w:val="20"/>
            <w:u w:val="single"/>
          </w:rPr>
          <w:t>https://www.refworld.org/legal/resolution/cedaw/1992/96542</w:t>
        </w:r>
      </w:hyperlink>
      <w:r w:rsidRPr="00926C6D">
        <w:rPr>
          <w:rFonts w:eastAsia="Times New Roman" w:cs="Times New Roman"/>
          <w:sz w:val="20"/>
          <w:szCs w:val="20"/>
        </w:rPr>
        <w:t>, [last accessed 12 May 2026].</w:t>
      </w:r>
    </w:p>
  </w:footnote>
  <w:footnote w:id="52">
    <w:p w14:paraId="157825E0" w14:textId="77777777" w:rsidR="00ED5AFD" w:rsidRPr="007158BA" w:rsidRDefault="00000000" w:rsidP="007158BA">
      <w:pPr>
        <w:spacing w:line="240" w:lineRule="auto"/>
        <w:ind w:firstLine="0"/>
        <w:rPr>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sz w:val="20"/>
          <w:szCs w:val="20"/>
        </w:rPr>
        <w:t xml:space="preserve">CEDAW General Recommendation No. 35, </w:t>
      </w:r>
      <w:hyperlink r:id="rId23">
        <w:r w:rsidR="00ED5AFD" w:rsidRPr="00926C6D">
          <w:rPr>
            <w:rFonts w:eastAsia="Times New Roman" w:cs="Times New Roman"/>
            <w:color w:val="1155CC"/>
            <w:sz w:val="20"/>
            <w:szCs w:val="20"/>
            <w:u w:val="single"/>
          </w:rPr>
          <w:t>https://docs.un.org/en/CEDAW/C/GC/35</w:t>
        </w:r>
      </w:hyperlink>
      <w:r w:rsidRPr="00926C6D">
        <w:rPr>
          <w:rFonts w:eastAsia="Times New Roman" w:cs="Times New Roman"/>
          <w:sz w:val="20"/>
          <w:szCs w:val="20"/>
        </w:rPr>
        <w:t>, [last accessed 13 May 2026].</w:t>
      </w:r>
    </w:p>
  </w:footnote>
  <w:footnote w:id="53">
    <w:p w14:paraId="3D51B181" w14:textId="77777777" w:rsidR="00ED5AFD" w:rsidRPr="007158BA" w:rsidRDefault="00000000" w:rsidP="007158BA">
      <w:pPr>
        <w:spacing w:line="240" w:lineRule="auto"/>
        <w:ind w:firstLine="0"/>
        <w:rPr>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sz w:val="20"/>
          <w:szCs w:val="20"/>
        </w:rPr>
        <w:t xml:space="preserve">Alqahtani, A., </w:t>
      </w:r>
      <w:r w:rsidRPr="00926C6D">
        <w:rPr>
          <w:rFonts w:eastAsia="Times New Roman" w:cs="Times New Roman"/>
          <w:i/>
          <w:iCs/>
          <w:sz w:val="20"/>
          <w:szCs w:val="20"/>
        </w:rPr>
        <w:t xml:space="preserve">There’s no honor in taking a life: violence against women in the name of honor, </w:t>
      </w:r>
      <w:r w:rsidRPr="00926C6D">
        <w:rPr>
          <w:rFonts w:eastAsia="Times New Roman" w:cs="Times New Roman"/>
          <w:sz w:val="20"/>
          <w:szCs w:val="20"/>
        </w:rPr>
        <w:t xml:space="preserve">Columbia Academic Commons, page 35, </w:t>
      </w:r>
      <w:hyperlink r:id="rId24">
        <w:r w:rsidR="00ED5AFD" w:rsidRPr="00926C6D">
          <w:rPr>
            <w:rFonts w:eastAsia="Times New Roman" w:cs="Times New Roman"/>
            <w:color w:val="1155CC"/>
            <w:sz w:val="20"/>
            <w:szCs w:val="20"/>
            <w:u w:val="single"/>
          </w:rPr>
          <w:t>https://academiccommons.columbia.edu/doi/10.7916/36mg-nc33</w:t>
        </w:r>
      </w:hyperlink>
      <w:r w:rsidRPr="00926C6D">
        <w:rPr>
          <w:rFonts w:eastAsia="Times New Roman" w:cs="Times New Roman"/>
          <w:sz w:val="20"/>
          <w:szCs w:val="20"/>
        </w:rPr>
        <w:t xml:space="preserve">, 2024. </w:t>
      </w:r>
    </w:p>
  </w:footnote>
  <w:footnote w:id="54">
    <w:p w14:paraId="0213855F" w14:textId="77777777" w:rsidR="00ED5AFD" w:rsidRPr="007158BA" w:rsidRDefault="00000000" w:rsidP="007158BA">
      <w:pPr>
        <w:spacing w:line="240" w:lineRule="auto"/>
        <w:ind w:firstLine="0"/>
        <w:rPr>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sz w:val="20"/>
          <w:szCs w:val="20"/>
        </w:rPr>
        <w:t xml:space="preserve">Rautreau, L., </w:t>
      </w:r>
      <w:r w:rsidRPr="00926C6D">
        <w:rPr>
          <w:rFonts w:eastAsia="Times New Roman" w:cs="Times New Roman"/>
          <w:i/>
          <w:iCs/>
          <w:sz w:val="20"/>
          <w:szCs w:val="20"/>
        </w:rPr>
        <w:t>Honor crimes in Jordan: between legislation and women’s experience</w:t>
      </w:r>
      <w:r w:rsidRPr="00926C6D">
        <w:rPr>
          <w:rFonts w:eastAsia="Times New Roman" w:cs="Times New Roman"/>
          <w:sz w:val="20"/>
          <w:szCs w:val="20"/>
        </w:rPr>
        <w:t xml:space="preserve">, ACHRS, </w:t>
      </w:r>
      <w:hyperlink r:id="rId25">
        <w:r w:rsidR="00ED5AFD" w:rsidRPr="00926C6D">
          <w:rPr>
            <w:rFonts w:eastAsia="Times New Roman" w:cs="Times New Roman"/>
            <w:color w:val="1155CC"/>
            <w:sz w:val="20"/>
            <w:szCs w:val="20"/>
            <w:u w:val="single"/>
          </w:rPr>
          <w:t>https://achrs.org/english/wp-content/uploads/2020/12/Honor-crimes-in-Jordan-between-legislation-and-womens-experience_final.pdf</w:t>
        </w:r>
      </w:hyperlink>
      <w:r w:rsidRPr="00926C6D">
        <w:rPr>
          <w:rFonts w:eastAsia="Times New Roman" w:cs="Times New Roman"/>
          <w:sz w:val="20"/>
          <w:szCs w:val="20"/>
        </w:rPr>
        <w:t>, December 2020.</w:t>
      </w:r>
    </w:p>
  </w:footnote>
  <w:footnote w:id="55">
    <w:p w14:paraId="41F04961" w14:textId="77777777" w:rsidR="00ED5AFD" w:rsidRPr="007158BA" w:rsidRDefault="00000000" w:rsidP="007158BA">
      <w:pPr>
        <w:spacing w:line="240" w:lineRule="auto"/>
        <w:ind w:firstLine="0"/>
        <w:rPr>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sz w:val="20"/>
          <w:szCs w:val="20"/>
        </w:rPr>
        <w:t xml:space="preserve">Alqahtani, A., </w:t>
      </w:r>
      <w:r w:rsidRPr="00926C6D">
        <w:rPr>
          <w:rFonts w:eastAsia="Times New Roman" w:cs="Times New Roman"/>
          <w:i/>
          <w:iCs/>
          <w:sz w:val="20"/>
          <w:szCs w:val="20"/>
        </w:rPr>
        <w:t xml:space="preserve">There’s no honor in taking a life: violence against women in the name of honor, </w:t>
      </w:r>
      <w:r w:rsidRPr="00926C6D">
        <w:rPr>
          <w:rFonts w:eastAsia="Times New Roman" w:cs="Times New Roman"/>
          <w:sz w:val="20"/>
          <w:szCs w:val="20"/>
        </w:rPr>
        <w:t xml:space="preserve">Columbia Academic Commons, page 27, </w:t>
      </w:r>
      <w:hyperlink r:id="rId26">
        <w:r w:rsidR="00ED5AFD" w:rsidRPr="00926C6D">
          <w:rPr>
            <w:rFonts w:eastAsia="Times New Roman" w:cs="Times New Roman"/>
            <w:color w:val="1155CC"/>
            <w:sz w:val="20"/>
            <w:szCs w:val="20"/>
            <w:u w:val="single"/>
          </w:rPr>
          <w:t>https://academiccommons.columbia.edu/doi/10.7916/36mg-nc33</w:t>
        </w:r>
      </w:hyperlink>
      <w:r w:rsidRPr="00926C6D">
        <w:rPr>
          <w:rFonts w:eastAsia="Times New Roman" w:cs="Times New Roman"/>
          <w:sz w:val="20"/>
          <w:szCs w:val="20"/>
        </w:rPr>
        <w:t xml:space="preserve">, 2024. </w:t>
      </w:r>
    </w:p>
  </w:footnote>
  <w:footnote w:id="56">
    <w:p w14:paraId="3A3BED1A"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sz w:val="20"/>
          <w:szCs w:val="20"/>
        </w:rPr>
        <w:t xml:space="preserve">Honour Killings Definition, UNESCWA, </w:t>
      </w:r>
      <w:hyperlink r:id="rId27">
        <w:r w:rsidR="00ED5AFD" w:rsidRPr="00926C6D">
          <w:rPr>
            <w:rFonts w:eastAsia="Times New Roman" w:cs="Times New Roman"/>
            <w:color w:val="1155CC"/>
            <w:sz w:val="20"/>
            <w:szCs w:val="20"/>
            <w:u w:val="single"/>
          </w:rPr>
          <w:t>https://archive.unescwa.org/honour-killings</w:t>
        </w:r>
      </w:hyperlink>
      <w:r w:rsidRPr="00926C6D">
        <w:rPr>
          <w:rFonts w:eastAsia="Times New Roman" w:cs="Times New Roman"/>
          <w:sz w:val="20"/>
          <w:szCs w:val="20"/>
        </w:rPr>
        <w:t xml:space="preserve"> [last accessed 12 May 2026]. </w:t>
      </w:r>
    </w:p>
  </w:footnote>
  <w:footnote w:id="57">
    <w:p w14:paraId="2803C747" w14:textId="77777777" w:rsidR="00ED5AFD" w:rsidRPr="007158BA" w:rsidRDefault="00000000" w:rsidP="007158BA">
      <w:pPr>
        <w:spacing w:line="240" w:lineRule="auto"/>
        <w:ind w:firstLine="0"/>
        <w:rPr>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sz w:val="20"/>
          <w:szCs w:val="20"/>
        </w:rPr>
        <w:t xml:space="preserve">Rautreau, L., </w:t>
      </w:r>
      <w:r w:rsidRPr="00926C6D">
        <w:rPr>
          <w:rFonts w:eastAsia="Times New Roman" w:cs="Times New Roman"/>
          <w:i/>
          <w:iCs/>
          <w:sz w:val="20"/>
          <w:szCs w:val="20"/>
        </w:rPr>
        <w:t>Honor crimes in Jordan: between legislation and women’s experience</w:t>
      </w:r>
      <w:r w:rsidRPr="00926C6D">
        <w:rPr>
          <w:rFonts w:eastAsia="Times New Roman" w:cs="Times New Roman"/>
          <w:sz w:val="20"/>
          <w:szCs w:val="20"/>
        </w:rPr>
        <w:t xml:space="preserve">, ACHRS, </w:t>
      </w:r>
      <w:hyperlink r:id="rId28">
        <w:r w:rsidR="00ED5AFD" w:rsidRPr="00926C6D">
          <w:rPr>
            <w:rFonts w:eastAsia="Times New Roman" w:cs="Times New Roman"/>
            <w:color w:val="1155CC"/>
            <w:sz w:val="20"/>
            <w:szCs w:val="20"/>
            <w:u w:val="single"/>
          </w:rPr>
          <w:t>https://achrs.org/english/wp-content/uploads/2020/12/Honor-crimes-in-Jordan-between-legislation-and-womens-experience_final.pdf</w:t>
        </w:r>
      </w:hyperlink>
      <w:r w:rsidRPr="00926C6D">
        <w:rPr>
          <w:rFonts w:eastAsia="Times New Roman" w:cs="Times New Roman"/>
          <w:sz w:val="20"/>
          <w:szCs w:val="20"/>
        </w:rPr>
        <w:t xml:space="preserve">, December 2020. </w:t>
      </w:r>
    </w:p>
  </w:footnote>
  <w:footnote w:id="58">
    <w:p w14:paraId="3400B78D" w14:textId="77777777" w:rsidR="00ED5AFD" w:rsidRPr="007158BA" w:rsidRDefault="00000000" w:rsidP="007158BA">
      <w:pPr>
        <w:spacing w:line="240" w:lineRule="auto"/>
        <w:ind w:firstLine="0"/>
        <w:rPr>
          <w:sz w:val="20"/>
          <w:szCs w:val="20"/>
        </w:rPr>
      </w:pPr>
      <w:r w:rsidRPr="00926C6D">
        <w:rPr>
          <w:sz w:val="20"/>
          <w:szCs w:val="20"/>
          <w:vertAlign w:val="superscript"/>
        </w:rPr>
        <w:footnoteRef/>
      </w:r>
      <w:r w:rsidRPr="00926C6D">
        <w:rPr>
          <w:rFonts w:eastAsia="Times New Roman" w:cs="Times New Roman"/>
          <w:sz w:val="20"/>
          <w:szCs w:val="20"/>
        </w:rPr>
        <w:t xml:space="preserve"> CEDAW, Article 16</w:t>
      </w:r>
    </w:p>
  </w:footnote>
  <w:footnote w:id="59">
    <w:p w14:paraId="1A8E5E03" w14:textId="57BCBF70"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sz w:val="20"/>
          <w:szCs w:val="20"/>
        </w:rPr>
        <w:t xml:space="preserve">Alqahtani, A., </w:t>
      </w:r>
      <w:r w:rsidRPr="00926C6D">
        <w:rPr>
          <w:rFonts w:eastAsia="Times New Roman" w:cs="Times New Roman"/>
          <w:i/>
          <w:iCs/>
          <w:sz w:val="20"/>
          <w:szCs w:val="20"/>
        </w:rPr>
        <w:t xml:space="preserve">There’s no honor in taking a life: violence against women in the name of honor, </w:t>
      </w:r>
      <w:r w:rsidRPr="00926C6D">
        <w:rPr>
          <w:rFonts w:eastAsia="Times New Roman" w:cs="Times New Roman"/>
          <w:sz w:val="20"/>
          <w:szCs w:val="20"/>
        </w:rPr>
        <w:t>Columbia Academic Commons, page 17-1</w:t>
      </w:r>
      <w:r w:rsidR="00C67D08">
        <w:rPr>
          <w:rFonts w:eastAsia="Times New Roman" w:cs="Times New Roman"/>
          <w:sz w:val="20"/>
          <w:szCs w:val="20"/>
        </w:rPr>
        <w:t>9</w:t>
      </w:r>
      <w:r w:rsidRPr="00926C6D">
        <w:rPr>
          <w:rFonts w:eastAsia="Times New Roman" w:cs="Times New Roman"/>
          <w:sz w:val="20"/>
          <w:szCs w:val="20"/>
        </w:rPr>
        <w:t xml:space="preserve">, </w:t>
      </w:r>
      <w:hyperlink r:id="rId29">
        <w:r w:rsidR="00ED5AFD" w:rsidRPr="00926C6D">
          <w:rPr>
            <w:rFonts w:eastAsia="Times New Roman" w:cs="Times New Roman"/>
            <w:color w:val="1155CC"/>
            <w:sz w:val="20"/>
            <w:szCs w:val="20"/>
            <w:u w:val="single"/>
          </w:rPr>
          <w:t>https://academiccommons.columbia.edu/doi/10.7916/36mg-nc33</w:t>
        </w:r>
      </w:hyperlink>
      <w:r w:rsidRPr="00926C6D">
        <w:rPr>
          <w:rFonts w:eastAsia="Times New Roman" w:cs="Times New Roman"/>
          <w:sz w:val="20"/>
          <w:szCs w:val="20"/>
        </w:rPr>
        <w:t xml:space="preserve">, 2024. </w:t>
      </w:r>
    </w:p>
  </w:footnote>
  <w:footnote w:id="60">
    <w:p w14:paraId="62B95EFF" w14:textId="77777777" w:rsidR="00ED5AFD" w:rsidRPr="00926C6D" w:rsidRDefault="00000000" w:rsidP="007158BA">
      <w:pPr>
        <w:spacing w:line="240" w:lineRule="auto"/>
        <w:ind w:firstLine="0"/>
        <w:rPr>
          <w:rFonts w:eastAsia="Times New Roman" w:cs="Times New Roman"/>
          <w:i/>
          <w:iCs/>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i/>
          <w:iCs/>
          <w:sz w:val="20"/>
          <w:szCs w:val="20"/>
        </w:rPr>
        <w:t xml:space="preserve">Id. </w:t>
      </w:r>
    </w:p>
  </w:footnote>
  <w:footnote w:id="61">
    <w:p w14:paraId="3B0D11D4" w14:textId="46B9104C" w:rsidR="00CB748E" w:rsidRPr="00CB748E" w:rsidRDefault="00CB748E" w:rsidP="00CB748E">
      <w:pPr>
        <w:pStyle w:val="FootnoteText"/>
        <w:ind w:firstLine="0"/>
        <w:rPr>
          <w:lang w:val="en-US"/>
        </w:rPr>
      </w:pPr>
      <w:r>
        <w:rPr>
          <w:rStyle w:val="FootnoteReference"/>
        </w:rPr>
        <w:footnoteRef/>
      </w:r>
      <w:r>
        <w:t xml:space="preserve"> </w:t>
      </w:r>
      <w:proofErr w:type="spellStart"/>
      <w:r w:rsidRPr="00926C6D">
        <w:rPr>
          <w:rFonts w:eastAsia="Times New Roman" w:cs="Times New Roman"/>
        </w:rPr>
        <w:t>Holleis</w:t>
      </w:r>
      <w:proofErr w:type="spellEnd"/>
      <w:r w:rsidRPr="00926C6D">
        <w:rPr>
          <w:rFonts w:eastAsia="Times New Roman" w:cs="Times New Roman"/>
        </w:rPr>
        <w:t xml:space="preserve">, J. and Farhan, M., Rising gender violence in Middle East, DW, </w:t>
      </w:r>
      <w:hyperlink r:id="rId30">
        <w:r w:rsidRPr="00926C6D">
          <w:rPr>
            <w:rFonts w:eastAsia="Times New Roman" w:cs="Times New Roman"/>
            <w:color w:val="1155CC"/>
            <w:u w:val="single"/>
          </w:rPr>
          <w:t>https://www.dw.com/en/femicides-in-egypt-jordan-spark-anger-calls-for-change/a-62331757</w:t>
        </w:r>
      </w:hyperlink>
      <w:r w:rsidRPr="00926C6D">
        <w:rPr>
          <w:rFonts w:eastAsia="Times New Roman" w:cs="Times New Roman"/>
        </w:rPr>
        <w:t>, 01 July 2022.</w:t>
      </w:r>
    </w:p>
  </w:footnote>
  <w:footnote w:id="62">
    <w:p w14:paraId="66E7B3F0" w14:textId="486013B8" w:rsidR="00CB748E" w:rsidRPr="00CB748E" w:rsidRDefault="00CB748E" w:rsidP="00CB748E">
      <w:pPr>
        <w:pStyle w:val="FootnoteText"/>
        <w:ind w:firstLine="0"/>
        <w:rPr>
          <w:lang w:val="en-US"/>
        </w:rPr>
      </w:pPr>
      <w:r>
        <w:rPr>
          <w:rStyle w:val="FootnoteReference"/>
        </w:rPr>
        <w:footnoteRef/>
      </w:r>
      <w:r>
        <w:t xml:space="preserve"> </w:t>
      </w:r>
      <w:r w:rsidRPr="00926C6D">
        <w:rPr>
          <w:rFonts w:eastAsia="Times New Roman" w:cs="Times New Roman"/>
          <w:i/>
          <w:iCs/>
        </w:rPr>
        <w:t>Id.</w:t>
      </w:r>
    </w:p>
  </w:footnote>
  <w:footnote w:id="63">
    <w:p w14:paraId="7C7E4888" w14:textId="31B651F2"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7158BA">
        <w:rPr>
          <w:sz w:val="20"/>
          <w:szCs w:val="20"/>
        </w:rPr>
        <w:t xml:space="preserve"> </w:t>
      </w:r>
      <w:r w:rsidR="00CB748E" w:rsidRPr="00CB748E">
        <w:rPr>
          <w:i/>
          <w:iCs/>
          <w:sz w:val="20"/>
          <w:szCs w:val="20"/>
        </w:rPr>
        <w:t>Id.</w:t>
      </w:r>
      <w:r w:rsidR="00CB748E">
        <w:rPr>
          <w:sz w:val="20"/>
          <w:szCs w:val="20"/>
        </w:rPr>
        <w:t xml:space="preserve"> </w:t>
      </w:r>
    </w:p>
  </w:footnote>
  <w:footnote w:id="64">
    <w:p w14:paraId="13B178D4"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Times New Roman" w:cs="Times New Roman"/>
          <w:sz w:val="20"/>
          <w:szCs w:val="20"/>
        </w:rPr>
        <w:t xml:space="preserve"> CEDAW General Recommendation 19, </w:t>
      </w:r>
      <w:hyperlink r:id="rId31">
        <w:r w:rsidR="00ED5AFD" w:rsidRPr="00926C6D">
          <w:rPr>
            <w:rFonts w:eastAsia="Times New Roman" w:cs="Times New Roman"/>
            <w:color w:val="1155CC"/>
            <w:sz w:val="20"/>
            <w:szCs w:val="20"/>
            <w:u w:val="single"/>
          </w:rPr>
          <w:t>https://www.refworld.org/legal/resolution/cedaw/1992/96542</w:t>
        </w:r>
      </w:hyperlink>
      <w:r w:rsidRPr="00926C6D">
        <w:rPr>
          <w:rFonts w:eastAsia="Times New Roman" w:cs="Times New Roman"/>
          <w:sz w:val="20"/>
          <w:szCs w:val="20"/>
        </w:rPr>
        <w:t xml:space="preserve">, [last accessed 12 May 2026]. </w:t>
      </w:r>
    </w:p>
  </w:footnote>
  <w:footnote w:id="65">
    <w:p w14:paraId="1A751464" w14:textId="77777777" w:rsidR="00ED5AFD" w:rsidRPr="007158BA" w:rsidRDefault="00000000" w:rsidP="007158BA">
      <w:pPr>
        <w:spacing w:line="240" w:lineRule="auto"/>
        <w:ind w:firstLine="0"/>
        <w:rPr>
          <w:sz w:val="20"/>
          <w:szCs w:val="20"/>
        </w:rPr>
      </w:pPr>
      <w:r w:rsidRPr="00926C6D">
        <w:rPr>
          <w:sz w:val="20"/>
          <w:szCs w:val="20"/>
          <w:vertAlign w:val="superscript"/>
        </w:rPr>
        <w:footnoteRef/>
      </w:r>
      <w:r w:rsidRPr="00926C6D">
        <w:rPr>
          <w:sz w:val="20"/>
          <w:szCs w:val="20"/>
        </w:rPr>
        <w:t xml:space="preserve"> </w:t>
      </w:r>
      <w:r w:rsidRPr="00926C6D">
        <w:rPr>
          <w:rFonts w:eastAsia="Times New Roman" w:cs="Times New Roman"/>
          <w:i/>
          <w:iCs/>
          <w:sz w:val="20"/>
          <w:szCs w:val="20"/>
        </w:rPr>
        <w:t>Family murder crimes rise 20% in Jordan during first half of 2025</w:t>
      </w:r>
      <w:r w:rsidRPr="00926C6D">
        <w:rPr>
          <w:rFonts w:eastAsia="Times New Roman" w:cs="Times New Roman"/>
          <w:sz w:val="20"/>
          <w:szCs w:val="20"/>
        </w:rPr>
        <w:t xml:space="preserve">, </w:t>
      </w:r>
      <w:proofErr w:type="spellStart"/>
      <w:r w:rsidRPr="00926C6D">
        <w:rPr>
          <w:rFonts w:eastAsia="Times New Roman" w:cs="Times New Roman"/>
          <w:sz w:val="20"/>
          <w:szCs w:val="20"/>
        </w:rPr>
        <w:t>Royanews</w:t>
      </w:r>
      <w:proofErr w:type="spellEnd"/>
      <w:r w:rsidRPr="00926C6D">
        <w:rPr>
          <w:rFonts w:eastAsia="Times New Roman" w:cs="Times New Roman"/>
          <w:sz w:val="20"/>
          <w:szCs w:val="20"/>
        </w:rPr>
        <w:t xml:space="preserve">, </w:t>
      </w:r>
      <w:hyperlink r:id="rId32">
        <w:r w:rsidR="00ED5AFD" w:rsidRPr="00926C6D">
          <w:rPr>
            <w:rFonts w:eastAsia="Times New Roman" w:cs="Times New Roman"/>
            <w:color w:val="0064D1"/>
            <w:sz w:val="20"/>
            <w:szCs w:val="20"/>
            <w:highlight w:val="white"/>
            <w:u w:val="single"/>
          </w:rPr>
          <w:t>http://en.royanews.tv/news/62100</w:t>
        </w:r>
      </w:hyperlink>
      <w:r w:rsidRPr="00926C6D">
        <w:rPr>
          <w:rFonts w:eastAsia="Times New Roman" w:cs="Times New Roman"/>
          <w:sz w:val="20"/>
          <w:szCs w:val="20"/>
        </w:rPr>
        <w:t xml:space="preserve">, 08 December 2025. </w:t>
      </w:r>
    </w:p>
  </w:footnote>
  <w:footnote w:id="66">
    <w:p w14:paraId="189BFCB9"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7158BA">
        <w:rPr>
          <w:sz w:val="20"/>
          <w:szCs w:val="20"/>
        </w:rPr>
        <w:t xml:space="preserve"> </w:t>
      </w:r>
      <w:r w:rsidRPr="00926C6D">
        <w:rPr>
          <w:rFonts w:eastAsia="Times New Roman" w:cs="Times New Roman"/>
          <w:i/>
          <w:iCs/>
          <w:sz w:val="20"/>
          <w:szCs w:val="20"/>
        </w:rPr>
        <w:t>Jordan: 17 family violence-related homicides in 2025</w:t>
      </w:r>
      <w:r w:rsidRPr="00926C6D">
        <w:rPr>
          <w:rFonts w:eastAsia="Times New Roman" w:cs="Times New Roman"/>
          <w:sz w:val="20"/>
          <w:szCs w:val="20"/>
        </w:rPr>
        <w:t xml:space="preserve">, </w:t>
      </w:r>
      <w:proofErr w:type="spellStart"/>
      <w:r w:rsidRPr="00926C6D">
        <w:rPr>
          <w:rFonts w:eastAsia="Times New Roman" w:cs="Times New Roman"/>
          <w:sz w:val="20"/>
          <w:szCs w:val="20"/>
        </w:rPr>
        <w:t>Khaberni</w:t>
      </w:r>
      <w:proofErr w:type="spellEnd"/>
      <w:r w:rsidRPr="00926C6D">
        <w:rPr>
          <w:rFonts w:eastAsia="Times New Roman" w:cs="Times New Roman"/>
          <w:sz w:val="20"/>
          <w:szCs w:val="20"/>
        </w:rPr>
        <w:t xml:space="preserve">, </w:t>
      </w:r>
      <w:hyperlink r:id="rId33">
        <w:r w:rsidR="00ED5AFD" w:rsidRPr="00926C6D">
          <w:rPr>
            <w:rFonts w:eastAsia="Times New Roman" w:cs="Times New Roman"/>
            <w:color w:val="1155CC"/>
            <w:sz w:val="20"/>
            <w:szCs w:val="20"/>
            <w:u w:val="single"/>
          </w:rPr>
          <w:t>https://www.khaberni.com/news/770255-jordan-17-family-violence-related-homicides-in-2025</w:t>
        </w:r>
      </w:hyperlink>
      <w:r w:rsidRPr="00926C6D">
        <w:rPr>
          <w:rFonts w:eastAsia="Times New Roman" w:cs="Times New Roman"/>
          <w:sz w:val="20"/>
          <w:szCs w:val="20"/>
        </w:rPr>
        <w:t xml:space="preserve">, 11 Jan. 2026. </w:t>
      </w:r>
    </w:p>
  </w:footnote>
  <w:footnote w:id="67">
    <w:p w14:paraId="333B081E" w14:textId="77777777" w:rsidR="00ED5AFD" w:rsidRPr="00926C6D" w:rsidRDefault="00000000" w:rsidP="007158BA">
      <w:pPr>
        <w:spacing w:line="240" w:lineRule="auto"/>
        <w:ind w:firstLine="0"/>
        <w:rPr>
          <w:rFonts w:eastAsia="Times New Roman" w:cs="Times New Roman"/>
          <w:i/>
          <w:iCs/>
          <w:sz w:val="20"/>
          <w:szCs w:val="20"/>
        </w:rPr>
      </w:pPr>
      <w:r w:rsidRPr="00926C6D">
        <w:rPr>
          <w:sz w:val="20"/>
          <w:szCs w:val="20"/>
          <w:vertAlign w:val="superscript"/>
        </w:rPr>
        <w:footnoteRef/>
      </w:r>
      <w:r w:rsidRPr="00926C6D">
        <w:rPr>
          <w:rFonts w:eastAsia="Times New Roman" w:cs="Times New Roman"/>
          <w:i/>
          <w:iCs/>
          <w:sz w:val="20"/>
          <w:szCs w:val="20"/>
        </w:rPr>
        <w:t xml:space="preserve"> Id. </w:t>
      </w:r>
    </w:p>
  </w:footnote>
  <w:footnote w:id="68">
    <w:p w14:paraId="7AB3489A" w14:textId="77777777" w:rsidR="00ED5AFD" w:rsidRPr="00926C6D" w:rsidRDefault="00000000" w:rsidP="007158BA">
      <w:pPr>
        <w:spacing w:line="240" w:lineRule="auto"/>
        <w:ind w:firstLine="0"/>
        <w:rPr>
          <w:rFonts w:eastAsia="Times New Roman" w:cs="Times New Roman"/>
          <w:i/>
          <w:iCs/>
          <w:sz w:val="20"/>
          <w:szCs w:val="20"/>
        </w:rPr>
      </w:pPr>
      <w:r w:rsidRPr="00926C6D">
        <w:rPr>
          <w:sz w:val="20"/>
          <w:szCs w:val="20"/>
          <w:vertAlign w:val="superscript"/>
        </w:rPr>
        <w:footnoteRef/>
      </w:r>
      <w:r w:rsidRPr="00926C6D">
        <w:rPr>
          <w:rFonts w:eastAsia="Times New Roman" w:cs="Times New Roman"/>
          <w:i/>
          <w:iCs/>
          <w:sz w:val="20"/>
          <w:szCs w:val="20"/>
        </w:rPr>
        <w:t xml:space="preserve"> Id. </w:t>
      </w:r>
    </w:p>
  </w:footnote>
  <w:footnote w:id="69">
    <w:p w14:paraId="4AF536C1" w14:textId="6195A831"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007158BA">
        <w:rPr>
          <w:sz w:val="20"/>
          <w:szCs w:val="20"/>
        </w:rPr>
        <w:t xml:space="preserve"> </w:t>
      </w:r>
      <w:r w:rsidRPr="00926C6D">
        <w:rPr>
          <w:rFonts w:eastAsia="Times New Roman" w:cs="Times New Roman"/>
          <w:sz w:val="20"/>
          <w:szCs w:val="20"/>
        </w:rPr>
        <w:t xml:space="preserve">Alqahtani, </w:t>
      </w:r>
      <w:r w:rsidRPr="00926C6D">
        <w:rPr>
          <w:rFonts w:eastAsia="Times New Roman" w:cs="Times New Roman"/>
          <w:i/>
          <w:iCs/>
          <w:sz w:val="20"/>
          <w:szCs w:val="20"/>
        </w:rPr>
        <w:t>No honor in taking a life</w:t>
      </w:r>
      <w:r w:rsidRPr="00926C6D">
        <w:rPr>
          <w:rFonts w:eastAsia="Times New Roman" w:cs="Times New Roman"/>
          <w:sz w:val="20"/>
          <w:szCs w:val="20"/>
        </w:rPr>
        <w:t>, page 22.</w:t>
      </w:r>
    </w:p>
  </w:footnote>
  <w:footnote w:id="70">
    <w:p w14:paraId="3C4258DD"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Times New Roman" w:cs="Times New Roman"/>
          <w:sz w:val="20"/>
          <w:szCs w:val="20"/>
        </w:rPr>
        <w:t xml:space="preserve"> Al Issa, Y., and Chen, S., </w:t>
      </w:r>
      <w:r w:rsidRPr="00926C6D">
        <w:rPr>
          <w:rFonts w:eastAsia="Times New Roman" w:cs="Times New Roman"/>
          <w:i/>
          <w:iCs/>
          <w:sz w:val="20"/>
          <w:szCs w:val="20"/>
        </w:rPr>
        <w:t>Cultural and psychological dimensions of the superwoman identity among Jordanian women</w:t>
      </w:r>
      <w:r w:rsidRPr="00926C6D">
        <w:rPr>
          <w:rFonts w:eastAsia="Times New Roman" w:cs="Times New Roman"/>
          <w:sz w:val="20"/>
          <w:szCs w:val="20"/>
        </w:rPr>
        <w:t xml:space="preserve">, Frontiers in Psychology, page 13, </w:t>
      </w:r>
      <w:proofErr w:type="spellStart"/>
      <w:r w:rsidRPr="00926C6D">
        <w:rPr>
          <w:rFonts w:eastAsia="Times New Roman" w:cs="Times New Roman"/>
          <w:sz w:val="20"/>
          <w:szCs w:val="20"/>
        </w:rPr>
        <w:t>doi</w:t>
      </w:r>
      <w:proofErr w:type="spellEnd"/>
      <w:r w:rsidRPr="00926C6D">
        <w:rPr>
          <w:rFonts w:eastAsia="Times New Roman" w:cs="Times New Roman"/>
          <w:sz w:val="20"/>
          <w:szCs w:val="20"/>
        </w:rPr>
        <w:t xml:space="preserve">: 10.3389/fpsyg.2026.1676125, Feb. 18, 2026. </w:t>
      </w:r>
    </w:p>
  </w:footnote>
  <w:footnote w:id="71">
    <w:p w14:paraId="4016F3A2" w14:textId="2942E892"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Times New Roman" w:cs="Times New Roman"/>
          <w:sz w:val="20"/>
          <w:szCs w:val="20"/>
        </w:rPr>
        <w:t xml:space="preserve">Alqahtani, </w:t>
      </w:r>
      <w:r w:rsidRPr="00926C6D">
        <w:rPr>
          <w:rFonts w:eastAsia="Times New Roman" w:cs="Times New Roman"/>
          <w:i/>
          <w:iCs/>
          <w:sz w:val="20"/>
          <w:szCs w:val="20"/>
        </w:rPr>
        <w:t>No honor in taking a life</w:t>
      </w:r>
      <w:r w:rsidRPr="00926C6D">
        <w:rPr>
          <w:rFonts w:eastAsia="Times New Roman" w:cs="Times New Roman"/>
          <w:sz w:val="20"/>
          <w:szCs w:val="20"/>
        </w:rPr>
        <w:t xml:space="preserve">, page 18. </w:t>
      </w:r>
    </w:p>
  </w:footnote>
  <w:footnote w:id="72">
    <w:p w14:paraId="4B8D715B" w14:textId="77777777" w:rsidR="00ED5AFD" w:rsidRPr="00926C6D" w:rsidRDefault="00000000" w:rsidP="007158BA">
      <w:pPr>
        <w:spacing w:line="240" w:lineRule="auto"/>
        <w:ind w:firstLine="0"/>
        <w:rPr>
          <w:rFonts w:eastAsia="Times New Roman" w:cs="Times New Roman"/>
          <w:sz w:val="20"/>
          <w:szCs w:val="20"/>
        </w:rPr>
      </w:pPr>
      <w:r w:rsidRPr="00926C6D">
        <w:rPr>
          <w:sz w:val="20"/>
          <w:szCs w:val="20"/>
          <w:vertAlign w:val="superscript"/>
        </w:rPr>
        <w:footnoteRef/>
      </w:r>
      <w:r w:rsidRPr="00926C6D">
        <w:rPr>
          <w:rFonts w:eastAsia="Times New Roman" w:cs="Times New Roman"/>
          <w:sz w:val="20"/>
          <w:szCs w:val="20"/>
        </w:rPr>
        <w:t xml:space="preserve"> Rautureau, L., Honor crimes in Jordan: between legislation and women’s experience, ACHRS, </w:t>
      </w:r>
      <w:hyperlink r:id="rId34">
        <w:r w:rsidR="00ED5AFD" w:rsidRPr="00926C6D">
          <w:rPr>
            <w:rFonts w:eastAsia="Times New Roman" w:cs="Times New Roman"/>
            <w:color w:val="1155CC"/>
            <w:sz w:val="20"/>
            <w:szCs w:val="20"/>
            <w:u w:val="single"/>
          </w:rPr>
          <w:t>https://achrs.org/english/wp-content/uploads/2020/12/Honor-crimes-in-Jordan-between-legislation-and-womens-experience_final.pdf</w:t>
        </w:r>
      </w:hyperlink>
      <w:r w:rsidRPr="00926C6D">
        <w:rPr>
          <w:rFonts w:eastAsia="Times New Roman" w:cs="Times New Roman"/>
          <w:sz w:val="20"/>
          <w:szCs w:val="20"/>
        </w:rPr>
        <w:t xml:space="preserve">, December 2020.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DC4FE1"/>
    <w:multiLevelType w:val="multilevel"/>
    <w:tmpl w:val="82349B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ADE1CF9"/>
    <w:multiLevelType w:val="hybridMultilevel"/>
    <w:tmpl w:val="8CB805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213033107">
    <w:abstractNumId w:val="0"/>
  </w:num>
  <w:num w:numId="2" w16cid:durableId="2537811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AFD"/>
    <w:rsid w:val="00004BBF"/>
    <w:rsid w:val="0003280E"/>
    <w:rsid w:val="000710D2"/>
    <w:rsid w:val="0009760A"/>
    <w:rsid w:val="0014116A"/>
    <w:rsid w:val="00195576"/>
    <w:rsid w:val="001D3645"/>
    <w:rsid w:val="001F5355"/>
    <w:rsid w:val="00234AF5"/>
    <w:rsid w:val="00245899"/>
    <w:rsid w:val="002C3368"/>
    <w:rsid w:val="002D70B5"/>
    <w:rsid w:val="003545AB"/>
    <w:rsid w:val="003B3FFE"/>
    <w:rsid w:val="0041069C"/>
    <w:rsid w:val="00445666"/>
    <w:rsid w:val="00475348"/>
    <w:rsid w:val="00531B7C"/>
    <w:rsid w:val="00547BA6"/>
    <w:rsid w:val="005723A7"/>
    <w:rsid w:val="00581818"/>
    <w:rsid w:val="005A0A6B"/>
    <w:rsid w:val="00603285"/>
    <w:rsid w:val="006B2C46"/>
    <w:rsid w:val="006C6B66"/>
    <w:rsid w:val="00713C43"/>
    <w:rsid w:val="007158BA"/>
    <w:rsid w:val="0074146B"/>
    <w:rsid w:val="007D2BB8"/>
    <w:rsid w:val="00850697"/>
    <w:rsid w:val="00901044"/>
    <w:rsid w:val="00926C6D"/>
    <w:rsid w:val="0097294B"/>
    <w:rsid w:val="00975FA5"/>
    <w:rsid w:val="009E4BB7"/>
    <w:rsid w:val="009E5621"/>
    <w:rsid w:val="00A347BB"/>
    <w:rsid w:val="00A5266A"/>
    <w:rsid w:val="00A846B7"/>
    <w:rsid w:val="00A870EF"/>
    <w:rsid w:val="00AC0301"/>
    <w:rsid w:val="00AD2FB8"/>
    <w:rsid w:val="00AD7FA4"/>
    <w:rsid w:val="00AF78D0"/>
    <w:rsid w:val="00B40426"/>
    <w:rsid w:val="00B85514"/>
    <w:rsid w:val="00C12BA2"/>
    <w:rsid w:val="00C67D08"/>
    <w:rsid w:val="00C87FB7"/>
    <w:rsid w:val="00CB748E"/>
    <w:rsid w:val="00CE66FB"/>
    <w:rsid w:val="00D90C16"/>
    <w:rsid w:val="00E13E6E"/>
    <w:rsid w:val="00E4470D"/>
    <w:rsid w:val="00E50B71"/>
    <w:rsid w:val="00EA628D"/>
    <w:rsid w:val="00EB667C"/>
    <w:rsid w:val="00ED5AFD"/>
    <w:rsid w:val="00F275C5"/>
    <w:rsid w:val="00F45D92"/>
    <w:rsid w:val="00F93027"/>
    <w:rsid w:val="00FC74E0"/>
    <w:rsid w:val="081385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9F437"/>
  <w15:docId w15:val="{FBC64508-9129-6746-A78C-1F0C0E45C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8BA"/>
    <w:pPr>
      <w:ind w:firstLine="720"/>
      <w:jc w:val="both"/>
    </w:pPr>
    <w:rPr>
      <w:rFonts w:ascii="Garamond" w:hAnsi="Garamond"/>
    </w:rPr>
  </w:style>
  <w:style w:type="paragraph" w:styleId="Heading1">
    <w:name w:val="heading 1"/>
    <w:basedOn w:val="Normal"/>
    <w:next w:val="Normal"/>
    <w:uiPriority w:val="9"/>
    <w:qFormat/>
    <w:rsid w:val="007158BA"/>
    <w:pPr>
      <w:keepNext/>
      <w:keepLines/>
      <w:spacing w:before="100" w:beforeAutospacing="1" w:after="100" w:afterAutospacing="1"/>
      <w:outlineLvl w:val="0"/>
    </w:pPr>
    <w:rPr>
      <w:b/>
      <w:sz w:val="24"/>
      <w:szCs w:val="40"/>
    </w:rPr>
  </w:style>
  <w:style w:type="paragraph" w:styleId="Heading2">
    <w:name w:val="heading 2"/>
    <w:basedOn w:val="Normal"/>
    <w:next w:val="Normal"/>
    <w:uiPriority w:val="9"/>
    <w:unhideWhenUsed/>
    <w:qFormat/>
    <w:rsid w:val="007158BA"/>
    <w:pPr>
      <w:keepNext/>
      <w:keepLines/>
      <w:spacing w:before="100" w:beforeAutospacing="1" w:after="100" w:afterAutospacing="1"/>
      <w:outlineLvl w:val="1"/>
    </w:pPr>
    <w:rPr>
      <w:i/>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TOC1">
    <w:name w:val="toc 1"/>
    <w:basedOn w:val="Normal"/>
    <w:next w:val="Normal"/>
    <w:autoRedefine/>
    <w:uiPriority w:val="39"/>
    <w:unhideWhenUsed/>
    <w:rsid w:val="002D70B5"/>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7158BA"/>
    <w:pPr>
      <w:tabs>
        <w:tab w:val="right" w:leader="dot" w:pos="9350"/>
      </w:tabs>
      <w:ind w:left="220" w:firstLine="0"/>
      <w:jc w:val="left"/>
    </w:pPr>
    <w:rPr>
      <w:rFonts w:asciiTheme="minorHAnsi" w:hAnsiTheme="minorHAnsi"/>
      <w:smallCaps/>
      <w:noProof/>
      <w:sz w:val="20"/>
      <w:szCs w:val="20"/>
    </w:rPr>
  </w:style>
  <w:style w:type="paragraph" w:styleId="TOC3">
    <w:name w:val="toc 3"/>
    <w:basedOn w:val="Normal"/>
    <w:next w:val="Normal"/>
    <w:autoRedefine/>
    <w:uiPriority w:val="39"/>
    <w:unhideWhenUsed/>
    <w:rsid w:val="002D70B5"/>
    <w:pPr>
      <w:ind w:left="440"/>
    </w:pPr>
    <w:rPr>
      <w:rFonts w:asciiTheme="minorHAnsi" w:hAnsiTheme="minorHAnsi"/>
      <w:i/>
      <w:iCs/>
      <w:sz w:val="20"/>
      <w:szCs w:val="20"/>
    </w:rPr>
  </w:style>
  <w:style w:type="paragraph" w:styleId="TOC4">
    <w:name w:val="toc 4"/>
    <w:basedOn w:val="Normal"/>
    <w:next w:val="Normal"/>
    <w:autoRedefine/>
    <w:uiPriority w:val="39"/>
    <w:unhideWhenUsed/>
    <w:rsid w:val="002D70B5"/>
    <w:pPr>
      <w:ind w:left="660"/>
    </w:pPr>
    <w:rPr>
      <w:rFonts w:asciiTheme="minorHAnsi" w:hAnsiTheme="minorHAnsi"/>
      <w:sz w:val="18"/>
      <w:szCs w:val="18"/>
    </w:rPr>
  </w:style>
  <w:style w:type="paragraph" w:styleId="TOC5">
    <w:name w:val="toc 5"/>
    <w:basedOn w:val="Normal"/>
    <w:next w:val="Normal"/>
    <w:autoRedefine/>
    <w:uiPriority w:val="39"/>
    <w:unhideWhenUsed/>
    <w:rsid w:val="002D70B5"/>
    <w:pPr>
      <w:ind w:left="880"/>
    </w:pPr>
    <w:rPr>
      <w:rFonts w:asciiTheme="minorHAnsi" w:hAnsiTheme="minorHAnsi"/>
      <w:sz w:val="18"/>
      <w:szCs w:val="18"/>
    </w:rPr>
  </w:style>
  <w:style w:type="paragraph" w:styleId="TOC6">
    <w:name w:val="toc 6"/>
    <w:basedOn w:val="Normal"/>
    <w:next w:val="Normal"/>
    <w:autoRedefine/>
    <w:uiPriority w:val="39"/>
    <w:unhideWhenUsed/>
    <w:rsid w:val="002D70B5"/>
    <w:pPr>
      <w:ind w:left="1100"/>
    </w:pPr>
    <w:rPr>
      <w:rFonts w:asciiTheme="minorHAnsi" w:hAnsiTheme="minorHAnsi"/>
      <w:sz w:val="18"/>
      <w:szCs w:val="18"/>
    </w:rPr>
  </w:style>
  <w:style w:type="paragraph" w:styleId="TOC7">
    <w:name w:val="toc 7"/>
    <w:basedOn w:val="Normal"/>
    <w:next w:val="Normal"/>
    <w:autoRedefine/>
    <w:uiPriority w:val="39"/>
    <w:unhideWhenUsed/>
    <w:rsid w:val="002D70B5"/>
    <w:pPr>
      <w:ind w:left="1320"/>
    </w:pPr>
    <w:rPr>
      <w:rFonts w:asciiTheme="minorHAnsi" w:hAnsiTheme="minorHAnsi"/>
      <w:sz w:val="18"/>
      <w:szCs w:val="18"/>
    </w:rPr>
  </w:style>
  <w:style w:type="paragraph" w:styleId="TOC8">
    <w:name w:val="toc 8"/>
    <w:basedOn w:val="Normal"/>
    <w:next w:val="Normal"/>
    <w:autoRedefine/>
    <w:uiPriority w:val="39"/>
    <w:unhideWhenUsed/>
    <w:rsid w:val="002D70B5"/>
    <w:pPr>
      <w:ind w:left="1540"/>
    </w:pPr>
    <w:rPr>
      <w:rFonts w:asciiTheme="minorHAnsi" w:hAnsiTheme="minorHAnsi"/>
      <w:sz w:val="18"/>
      <w:szCs w:val="18"/>
    </w:rPr>
  </w:style>
  <w:style w:type="paragraph" w:styleId="TOC9">
    <w:name w:val="toc 9"/>
    <w:basedOn w:val="Normal"/>
    <w:next w:val="Normal"/>
    <w:autoRedefine/>
    <w:uiPriority w:val="39"/>
    <w:unhideWhenUsed/>
    <w:rsid w:val="002D70B5"/>
    <w:pPr>
      <w:ind w:left="1760"/>
    </w:pPr>
    <w:rPr>
      <w:rFonts w:asciiTheme="minorHAnsi" w:hAnsiTheme="minorHAnsi"/>
      <w:sz w:val="18"/>
      <w:szCs w:val="18"/>
    </w:rPr>
  </w:style>
  <w:style w:type="character" w:styleId="Hyperlink">
    <w:name w:val="Hyperlink"/>
    <w:basedOn w:val="DefaultParagraphFont"/>
    <w:uiPriority w:val="99"/>
    <w:unhideWhenUsed/>
    <w:rsid w:val="002D70B5"/>
    <w:rPr>
      <w:color w:val="0000FF" w:themeColor="hyperlink"/>
      <w:u w:val="single"/>
    </w:rPr>
  </w:style>
  <w:style w:type="paragraph" w:styleId="Revision">
    <w:name w:val="Revision"/>
    <w:hidden/>
    <w:uiPriority w:val="99"/>
    <w:semiHidden/>
    <w:rsid w:val="00F45D92"/>
    <w:pPr>
      <w:spacing w:line="240" w:lineRule="auto"/>
    </w:pPr>
  </w:style>
  <w:style w:type="character" w:styleId="UnresolvedMention">
    <w:name w:val="Unresolved Mention"/>
    <w:basedOn w:val="DefaultParagraphFont"/>
    <w:uiPriority w:val="99"/>
    <w:semiHidden/>
    <w:unhideWhenUsed/>
    <w:rsid w:val="00F45D92"/>
    <w:rPr>
      <w:color w:val="605E5C"/>
      <w:shd w:val="clear" w:color="auto" w:fill="E1DFDD"/>
    </w:rPr>
  </w:style>
  <w:style w:type="character" w:styleId="CommentReference">
    <w:name w:val="annotation reference"/>
    <w:basedOn w:val="DefaultParagraphFont"/>
    <w:uiPriority w:val="99"/>
    <w:semiHidden/>
    <w:unhideWhenUsed/>
    <w:rsid w:val="00C87FB7"/>
    <w:rPr>
      <w:sz w:val="16"/>
      <w:szCs w:val="16"/>
    </w:rPr>
  </w:style>
  <w:style w:type="paragraph" w:styleId="CommentText">
    <w:name w:val="annotation text"/>
    <w:basedOn w:val="Normal"/>
    <w:link w:val="CommentTextChar"/>
    <w:uiPriority w:val="99"/>
    <w:unhideWhenUsed/>
    <w:rsid w:val="00C87FB7"/>
    <w:pPr>
      <w:spacing w:line="240" w:lineRule="auto"/>
    </w:pPr>
    <w:rPr>
      <w:sz w:val="20"/>
      <w:szCs w:val="20"/>
    </w:rPr>
  </w:style>
  <w:style w:type="character" w:customStyle="1" w:styleId="CommentTextChar">
    <w:name w:val="Comment Text Char"/>
    <w:basedOn w:val="DefaultParagraphFont"/>
    <w:link w:val="CommentText"/>
    <w:uiPriority w:val="99"/>
    <w:rsid w:val="00C87FB7"/>
    <w:rPr>
      <w:sz w:val="20"/>
      <w:szCs w:val="20"/>
    </w:rPr>
  </w:style>
  <w:style w:type="paragraph" w:styleId="CommentSubject">
    <w:name w:val="annotation subject"/>
    <w:basedOn w:val="CommentText"/>
    <w:next w:val="CommentText"/>
    <w:link w:val="CommentSubjectChar"/>
    <w:uiPriority w:val="99"/>
    <w:semiHidden/>
    <w:unhideWhenUsed/>
    <w:rsid w:val="00C87FB7"/>
    <w:rPr>
      <w:b/>
      <w:bCs/>
    </w:rPr>
  </w:style>
  <w:style w:type="character" w:customStyle="1" w:styleId="CommentSubjectChar">
    <w:name w:val="Comment Subject Char"/>
    <w:basedOn w:val="CommentTextChar"/>
    <w:link w:val="CommentSubject"/>
    <w:uiPriority w:val="99"/>
    <w:semiHidden/>
    <w:rsid w:val="00C87FB7"/>
    <w:rPr>
      <w:b/>
      <w:bCs/>
      <w:sz w:val="20"/>
      <w:szCs w:val="20"/>
    </w:rPr>
  </w:style>
  <w:style w:type="paragraph" w:styleId="ListParagraph">
    <w:name w:val="List Paragraph"/>
    <w:basedOn w:val="Normal"/>
    <w:uiPriority w:val="34"/>
    <w:qFormat/>
    <w:rsid w:val="007158BA"/>
    <w:pPr>
      <w:ind w:left="720"/>
      <w:contextualSpacing/>
    </w:pPr>
  </w:style>
  <w:style w:type="paragraph" w:styleId="FootnoteText">
    <w:name w:val="footnote text"/>
    <w:basedOn w:val="Normal"/>
    <w:link w:val="FootnoteTextChar"/>
    <w:uiPriority w:val="99"/>
    <w:semiHidden/>
    <w:unhideWhenUsed/>
    <w:rsid w:val="00234AF5"/>
    <w:pPr>
      <w:spacing w:line="240" w:lineRule="auto"/>
    </w:pPr>
    <w:rPr>
      <w:sz w:val="20"/>
      <w:szCs w:val="20"/>
    </w:rPr>
  </w:style>
  <w:style w:type="character" w:customStyle="1" w:styleId="FootnoteTextChar">
    <w:name w:val="Footnote Text Char"/>
    <w:basedOn w:val="DefaultParagraphFont"/>
    <w:link w:val="FootnoteText"/>
    <w:uiPriority w:val="99"/>
    <w:semiHidden/>
    <w:rsid w:val="00234AF5"/>
    <w:rPr>
      <w:rFonts w:ascii="Garamond" w:hAnsi="Garamond"/>
      <w:sz w:val="20"/>
      <w:szCs w:val="20"/>
    </w:rPr>
  </w:style>
  <w:style w:type="character" w:styleId="FootnoteReference">
    <w:name w:val="footnote reference"/>
    <w:basedOn w:val="DefaultParagraphFont"/>
    <w:uiPriority w:val="99"/>
    <w:semiHidden/>
    <w:unhideWhenUsed/>
    <w:rsid w:val="00234AF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megan@bymegmar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esare.romano@lls.edu"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3" Type="http://schemas.openxmlformats.org/officeDocument/2006/relationships/hyperlink" Target="https://jordantimes.com/news/local/father-charged-premeditated-murder-connection-burning-death-daughter" TargetMode="External"/><Relationship Id="rId18" Type="http://schemas.openxmlformats.org/officeDocument/2006/relationships/hyperlink" Target="https://academiccommons.columbia.edu/doi/10.7916/36mg-nc33" TargetMode="External"/><Relationship Id="rId26" Type="http://schemas.openxmlformats.org/officeDocument/2006/relationships/hyperlink" Target="https://academiccommons.columbia.edu/doi/10.7916/36mg-nc33" TargetMode="External"/><Relationship Id="rId3" Type="http://schemas.openxmlformats.org/officeDocument/2006/relationships/hyperlink" Target="https://www.lls.edu/academics/centers/internationalhumanrightscenter/" TargetMode="External"/><Relationship Id="rId21" Type="http://schemas.openxmlformats.org/officeDocument/2006/relationships/hyperlink" Target="https://academiccommons.columbia.edu/doi/10.7916/36mg-nc33" TargetMode="External"/><Relationship Id="rId34" Type="http://schemas.openxmlformats.org/officeDocument/2006/relationships/hyperlink" Target="https://achrs.org/english/wp-content/uploads/2020/12/Honor-crimes-in-Jordan-between-legislation-and-womens-experience_final.pdf" TargetMode="External"/><Relationship Id="rId7" Type="http://schemas.openxmlformats.org/officeDocument/2006/relationships/hyperlink" Target="https://www.hrw.org/report/2004/04/19/honoring-killers/justice-denied-honor-crimes-jordan" TargetMode="External"/><Relationship Id="rId12" Type="http://schemas.openxmlformats.org/officeDocument/2006/relationships/hyperlink" Target="https://jordantimes.com/news/local/man-charged-murder-sister-name-%E2%80%98family-honour%E2%80%99" TargetMode="External"/><Relationship Id="rId17" Type="http://schemas.openxmlformats.org/officeDocument/2006/relationships/hyperlink" Target="https://achrs.org/english/wp-content/uploads/2020/12/Honor-crimes-in-Jordan-between-legislation-and-womens-experience_final.pdf" TargetMode="External"/><Relationship Id="rId25" Type="http://schemas.openxmlformats.org/officeDocument/2006/relationships/hyperlink" Target="https://achrs.org/english/wp-content/uploads/2020/12/Honor-crimes-in-Jordan-between-legislation-and-womens-experience_final.pdf" TargetMode="External"/><Relationship Id="rId33" Type="http://schemas.openxmlformats.org/officeDocument/2006/relationships/hyperlink" Target="https://www.khaberni.com/news/770255-jordan-17-family-violence-related-homicides-in-2025" TargetMode="External"/><Relationship Id="rId2" Type="http://schemas.openxmlformats.org/officeDocument/2006/relationships/hyperlink" Target="https://docs.un.org/en/CEDAW/C/GC/35" TargetMode="External"/><Relationship Id="rId16" Type="http://schemas.openxmlformats.org/officeDocument/2006/relationships/hyperlink" Target="https://docs.un.org/en/CEDAW/C/GC/35" TargetMode="External"/><Relationship Id="rId20" Type="http://schemas.openxmlformats.org/officeDocument/2006/relationships/hyperlink" Target="https://docs.un.org/en/CEDAW/C/GC/35" TargetMode="External"/><Relationship Id="rId29" Type="http://schemas.openxmlformats.org/officeDocument/2006/relationships/hyperlink" Target="https://academiccommons.columbia.edu/doi/10.7916/36mg-nc33" TargetMode="External"/><Relationship Id="rId1" Type="http://schemas.openxmlformats.org/officeDocument/2006/relationships/hyperlink" Target="https://www.britannica.com/topic/honor-killing" TargetMode="External"/><Relationship Id="rId6" Type="http://schemas.openxmlformats.org/officeDocument/2006/relationships/hyperlink" Target="https://www.hrw.org/report/2004/04/19/honoring-killers/justice-denied-honor-crimes-jordan" TargetMode="External"/><Relationship Id="rId11" Type="http://schemas.openxmlformats.org/officeDocument/2006/relationships/hyperlink" Target="https://www.jstor.org/stable/3993346" TargetMode="External"/><Relationship Id="rId24" Type="http://schemas.openxmlformats.org/officeDocument/2006/relationships/hyperlink" Target="https://academiccommons.columbia.edu/doi/10.7916/36mg-nc33" TargetMode="External"/><Relationship Id="rId32" Type="http://schemas.openxmlformats.org/officeDocument/2006/relationships/hyperlink" Target="http://en.royanews.tv/news/62100" TargetMode="External"/><Relationship Id="rId5" Type="http://schemas.openxmlformats.org/officeDocument/2006/relationships/hyperlink" Target="https://academiccommons.columbia.edu/doi/10.7916/36mg-nc33" TargetMode="External"/><Relationship Id="rId15" Type="http://schemas.openxmlformats.org/officeDocument/2006/relationships/hyperlink" Target="https://www.refworld.org/legal/resolution/cedaw/1992/96542" TargetMode="External"/><Relationship Id="rId23" Type="http://schemas.openxmlformats.org/officeDocument/2006/relationships/hyperlink" Target="https://docs.un.org/en/CEDAW/C/GC/35" TargetMode="External"/><Relationship Id="rId28" Type="http://schemas.openxmlformats.org/officeDocument/2006/relationships/hyperlink" Target="https://achrs.org/english/wp-content/uploads/2020/12/Honor-crimes-in-Jordan-between-legislation-and-womens-experience_final.pdf" TargetMode="External"/><Relationship Id="rId10" Type="http://schemas.openxmlformats.org/officeDocument/2006/relationships/hyperlink" Target="https://www.jstor.org/stable/3993346" TargetMode="External"/><Relationship Id="rId19" Type="http://schemas.openxmlformats.org/officeDocument/2006/relationships/hyperlink" Target="https://www.refworld.org/legal/resolution/cedaw/1992/96542" TargetMode="External"/><Relationship Id="rId31" Type="http://schemas.openxmlformats.org/officeDocument/2006/relationships/hyperlink" Target="https://www.refworld.org/legal/resolution/cedaw/1992/96542" TargetMode="External"/><Relationship Id="rId4" Type="http://schemas.openxmlformats.org/officeDocument/2006/relationships/hyperlink" Target="https://academiccommons.columbia.edu/doi/10.7916/36mg-nc33" TargetMode="External"/><Relationship Id="rId9" Type="http://schemas.openxmlformats.org/officeDocument/2006/relationships/hyperlink" Target="https://ourworldindata.org/grapher/world-bank-income-groups" TargetMode="External"/><Relationship Id="rId14" Type="http://schemas.openxmlformats.org/officeDocument/2006/relationships/hyperlink" Target="https://jordantimes.com/news/local/25-year-old-man-charged-premeditated-murder-sister-%E2%80%98honour-crime%E2%80%99" TargetMode="External"/><Relationship Id="rId22" Type="http://schemas.openxmlformats.org/officeDocument/2006/relationships/hyperlink" Target="https://www.refworld.org/legal/resolution/cedaw/1992/96542" TargetMode="External"/><Relationship Id="rId27" Type="http://schemas.openxmlformats.org/officeDocument/2006/relationships/hyperlink" Target="https://archive.unescwa.org/honour-killings" TargetMode="External"/><Relationship Id="rId30" Type="http://schemas.openxmlformats.org/officeDocument/2006/relationships/hyperlink" Target="https://www.dw.com/en/femicides-in-egypt-jordan-spark-anger-calls-for-change/a-62331757" TargetMode="External"/><Relationship Id="rId8" Type="http://schemas.openxmlformats.org/officeDocument/2006/relationships/hyperlink" Target="https://ourworldindata.org/grapher/world-bank-income-grou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848BE-A644-9B4D-847A-F4BC12063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4836</Words>
  <Characters>27566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Romano, Cesare</dc:creator>
  <cp:lastModifiedBy>Anna Richardson</cp:lastModifiedBy>
  <cp:revision>3</cp:revision>
  <dcterms:created xsi:type="dcterms:W3CDTF">2026-06-19T03:07:00Z</dcterms:created>
  <dcterms:modified xsi:type="dcterms:W3CDTF">2026-07-28T19:32:00Z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2eff060d-57b1-4d5f-baf6-582c3cd7fab1</vt:lpwstr>
  </property>
</Properties>
</file>