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AA9CC" w14:textId="77777777" w:rsidR="00A5240D" w:rsidRPr="00A5240D" w:rsidRDefault="00A5240D" w:rsidP="00E123BC">
      <w:pPr>
        <w:pStyle w:val="NormalWeb"/>
        <w:spacing w:after="0" w:afterAutospacing="0" w:line="276" w:lineRule="auto"/>
        <w:jc w:val="center"/>
      </w:pPr>
      <w:r w:rsidRPr="00A5240D">
        <w:rPr>
          <w:b/>
          <w:bCs/>
        </w:rPr>
        <w:t>Committee on Economic, Social and Cultural Rights</w:t>
      </w:r>
    </w:p>
    <w:p w14:paraId="67D0D345" w14:textId="77777777" w:rsidR="00A5240D" w:rsidRPr="00A5240D" w:rsidRDefault="00A5240D" w:rsidP="00E123BC">
      <w:pPr>
        <w:pStyle w:val="Body"/>
        <w:spacing w:line="276" w:lineRule="auto"/>
        <w:jc w:val="center"/>
        <w:rPr>
          <w:rFonts w:cs="Times New Roman"/>
          <w:b/>
          <w:bCs/>
          <w:color w:val="auto"/>
        </w:rPr>
      </w:pPr>
      <w:r w:rsidRPr="00A5240D">
        <w:rPr>
          <w:rFonts w:cs="Times New Roman"/>
          <w:b/>
          <w:bCs/>
          <w:color w:val="auto"/>
        </w:rPr>
        <w:t xml:space="preserve">Parallel Submission for 79 Session, with respect to Georgia State Party Review </w:t>
      </w:r>
      <w:r w:rsidRPr="00A5240D">
        <w:rPr>
          <w:rStyle w:val="FootnoteReference"/>
          <w:rFonts w:cs="Times New Roman"/>
          <w:b/>
          <w:bCs/>
          <w:color w:val="auto"/>
        </w:rPr>
        <w:footnoteReference w:id="1"/>
      </w:r>
    </w:p>
    <w:p w14:paraId="731C49E4" w14:textId="77777777" w:rsidR="00A5240D" w:rsidRPr="00A5240D" w:rsidRDefault="00A5240D" w:rsidP="00A5240D">
      <w:pPr>
        <w:pStyle w:val="Body"/>
        <w:spacing w:line="276" w:lineRule="auto"/>
        <w:jc w:val="center"/>
        <w:rPr>
          <w:rFonts w:cs="Times New Roman"/>
          <w:b/>
          <w:bCs/>
          <w:color w:val="auto"/>
        </w:rPr>
      </w:pPr>
    </w:p>
    <w:p w14:paraId="6732CFB4" w14:textId="6D650966" w:rsidR="00627561" w:rsidRPr="00A5240D" w:rsidRDefault="00A5240D" w:rsidP="00A5240D">
      <w:pPr>
        <w:spacing w:line="276" w:lineRule="auto"/>
        <w:rPr>
          <w:rFonts w:ascii="Times New Roman" w:hAnsi="Times New Roman" w:cs="Times New Roman"/>
        </w:rPr>
      </w:pPr>
      <w:r w:rsidRPr="00A5240D">
        <w:rPr>
          <w:rFonts w:ascii="Times New Roman" w:hAnsi="Times New Roman" w:cs="Times New Roman"/>
        </w:rPr>
        <w:t>This submission is presented on behalf of Eurasian Harm Reduction Association in relation to Georgia’s third periodic report. The document is structured in two substantive parts. Part I provides updated information and recommendations on drug policy developments and access of people who use drugs to health care and harm reduction services, building on the Committee’s previous List of Issues. Part II analyses recent restrictions on civic space and legislation governing foreign funding, registration and participation of civil society organizations, with a particular focus on their impact on community‑based organizations providing HIV prevention, viral hepatitis and harm reduction services. Each part contains its own summary of key concerns, analysis and recommendations, with cross‑references where the issues overlap.</w:t>
      </w:r>
    </w:p>
    <w:p w14:paraId="5591C0BF" w14:textId="058F9D6D" w:rsidR="00A5240D" w:rsidRPr="00A5240D" w:rsidRDefault="00A5240D" w:rsidP="00A5240D">
      <w:pPr>
        <w:spacing w:line="276" w:lineRule="auto"/>
        <w:rPr>
          <w:rFonts w:ascii="Times New Roman" w:hAnsi="Times New Roman" w:cs="Times New Roman"/>
          <w:b/>
          <w:bCs/>
        </w:rPr>
      </w:pPr>
      <w:r w:rsidRPr="00A5240D">
        <w:rPr>
          <w:rFonts w:ascii="Times New Roman" w:hAnsi="Times New Roman" w:cs="Times New Roman"/>
          <w:b/>
          <w:bCs/>
        </w:rPr>
        <w:t>P</w:t>
      </w:r>
      <w:r>
        <w:rPr>
          <w:rFonts w:ascii="Times New Roman" w:hAnsi="Times New Roman" w:cs="Times New Roman"/>
          <w:b/>
          <w:bCs/>
        </w:rPr>
        <w:t>ART</w:t>
      </w:r>
      <w:r w:rsidRPr="00A5240D">
        <w:rPr>
          <w:rFonts w:ascii="Times New Roman" w:hAnsi="Times New Roman" w:cs="Times New Roman"/>
          <w:b/>
          <w:bCs/>
        </w:rPr>
        <w:t xml:space="preserve"> I</w:t>
      </w:r>
    </w:p>
    <w:p w14:paraId="5822B66B" w14:textId="77777777" w:rsidR="00A5240D" w:rsidRPr="00A5240D" w:rsidRDefault="00A5240D" w:rsidP="00A5240D">
      <w:pPr>
        <w:pStyle w:val="Heading1"/>
        <w:spacing w:line="276" w:lineRule="auto"/>
        <w:rPr>
          <w:rFonts w:ascii="Times New Roman" w:eastAsia="Sylfaen" w:hAnsi="Times New Roman" w:cs="Times New Roman"/>
          <w:b/>
          <w:color w:val="auto"/>
          <w:sz w:val="24"/>
          <w:szCs w:val="24"/>
          <w:lang w:val="en-GB"/>
        </w:rPr>
      </w:pPr>
      <w:r w:rsidRPr="00A5240D">
        <w:rPr>
          <w:rFonts w:ascii="Times New Roman" w:eastAsia="Sylfaen" w:hAnsi="Times New Roman" w:cs="Times New Roman"/>
          <w:b/>
          <w:color w:val="auto"/>
          <w:sz w:val="24"/>
          <w:szCs w:val="24"/>
          <w:lang w:val="en-GB"/>
        </w:rPr>
        <w:t>Introduction</w:t>
      </w:r>
    </w:p>
    <w:p w14:paraId="46BD1E02" w14:textId="719716A4" w:rsidR="00A5240D" w:rsidRPr="00A5240D" w:rsidRDefault="00A5240D" w:rsidP="00A5240D">
      <w:pPr>
        <w:spacing w:line="276" w:lineRule="auto"/>
        <w:ind w:left="297" w:right="426"/>
        <w:rPr>
          <w:rFonts w:ascii="Times New Roman" w:eastAsia="Sylfaen" w:hAnsi="Times New Roman" w:cs="Times New Roman"/>
          <w:lang w:val="en-GB"/>
        </w:rPr>
      </w:pPr>
      <w:r w:rsidRPr="00A5240D">
        <w:rPr>
          <w:rFonts w:ascii="Times New Roman" w:eastAsia="Sylfaen" w:hAnsi="Times New Roman" w:cs="Times New Roman"/>
          <w:lang w:val="en-GB"/>
        </w:rPr>
        <w:t>Eurasian Harm Reduction Association and the HIV Legal Network submitted a report for the List of Issues (</w:t>
      </w:r>
      <w:proofErr w:type="spellStart"/>
      <w:r w:rsidRPr="00A5240D">
        <w:rPr>
          <w:rFonts w:ascii="Times New Roman" w:eastAsia="Sylfaen" w:hAnsi="Times New Roman" w:cs="Times New Roman"/>
          <w:lang w:val="en-GB"/>
        </w:rPr>
        <w:t>LoI</w:t>
      </w:r>
      <w:proofErr w:type="spellEnd"/>
      <w:r w:rsidRPr="00A5240D">
        <w:rPr>
          <w:rFonts w:ascii="Times New Roman" w:eastAsia="Sylfaen" w:hAnsi="Times New Roman" w:cs="Times New Roman"/>
          <w:lang w:val="en-GB"/>
        </w:rPr>
        <w:t>) to the Committee on Economic, Social and Cultural Rights (the Committee) in connection with the review of Georgia’s third periodic report (E/C.12/GEO/3, 2021). The submission highlighted pervasive stigma and systemic barriers to health and social services for people who use drugs, exacerbated by punitive laws and policies. Reflecting these concerns, the Committee requested information on measures taken to ensure access to essential health services for people who use drugs, as well as any plans to reform drug-related legislation and policies to shift enforcement priorities from individual users to distribution and sales networks (</w:t>
      </w:r>
      <w:proofErr w:type="spellStart"/>
      <w:r w:rsidRPr="00A5240D">
        <w:rPr>
          <w:rFonts w:ascii="Times New Roman" w:eastAsia="Sylfaen" w:hAnsi="Times New Roman" w:cs="Times New Roman"/>
          <w:lang w:val="en-GB"/>
        </w:rPr>
        <w:t>LoI</w:t>
      </w:r>
      <w:proofErr w:type="spellEnd"/>
      <w:r w:rsidRPr="00A5240D">
        <w:rPr>
          <w:rFonts w:ascii="Times New Roman" w:eastAsia="Sylfaen" w:hAnsi="Times New Roman" w:cs="Times New Roman"/>
          <w:lang w:val="en-GB"/>
        </w:rPr>
        <w:t>, para. 22).</w:t>
      </w:r>
    </w:p>
    <w:p w14:paraId="60350539" w14:textId="77777777" w:rsidR="00A5240D" w:rsidRPr="00A5240D" w:rsidRDefault="00A5240D" w:rsidP="00A5240D">
      <w:pPr>
        <w:spacing w:line="276" w:lineRule="auto"/>
        <w:ind w:left="297" w:right="426"/>
        <w:rPr>
          <w:rFonts w:ascii="Times New Roman" w:eastAsia="Sylfaen" w:hAnsi="Times New Roman" w:cs="Times New Roman"/>
          <w:lang w:val="en-GB"/>
        </w:rPr>
      </w:pPr>
      <w:r w:rsidRPr="00A5240D">
        <w:rPr>
          <w:rFonts w:ascii="Times New Roman" w:eastAsia="Sylfaen" w:hAnsi="Times New Roman" w:cs="Times New Roman"/>
          <w:lang w:val="en-GB"/>
        </w:rPr>
        <w:t xml:space="preserve">In its report submitted to the Committee on 16 December 2022, the State did not respond comprehensively to the questions raised in the </w:t>
      </w:r>
      <w:proofErr w:type="spellStart"/>
      <w:r w:rsidRPr="00A5240D">
        <w:rPr>
          <w:rFonts w:ascii="Times New Roman" w:eastAsia="Sylfaen" w:hAnsi="Times New Roman" w:cs="Times New Roman"/>
          <w:lang w:val="en-GB"/>
        </w:rPr>
        <w:t>LoI</w:t>
      </w:r>
      <w:proofErr w:type="spellEnd"/>
      <w:r w:rsidRPr="00A5240D">
        <w:rPr>
          <w:rFonts w:ascii="Times New Roman" w:eastAsia="Sylfaen" w:hAnsi="Times New Roman" w:cs="Times New Roman"/>
          <w:lang w:val="en-GB"/>
        </w:rPr>
        <w:t xml:space="preserve"> and largely omitted issues related to punitive legislation and practices targeting people who use drugs. The State’s response relied primarily on references to existing policy documents and legislation, without providing information on implementation, effectiveness, or data on access to essential health services.</w:t>
      </w:r>
    </w:p>
    <w:p w14:paraId="6D163505" w14:textId="34A7DE93" w:rsidR="00A5240D" w:rsidRPr="00A5240D" w:rsidRDefault="00A5240D" w:rsidP="00A5240D">
      <w:pPr>
        <w:spacing w:line="276" w:lineRule="auto"/>
        <w:ind w:left="297" w:right="426"/>
        <w:rPr>
          <w:rFonts w:ascii="Times New Roman" w:eastAsia="Sylfaen" w:hAnsi="Times New Roman" w:cs="Times New Roman"/>
          <w:lang w:val="en-GB"/>
        </w:rPr>
      </w:pPr>
      <w:r w:rsidRPr="00A5240D">
        <w:rPr>
          <w:rFonts w:ascii="Times New Roman" w:eastAsia="Sylfaen" w:hAnsi="Times New Roman" w:cs="Times New Roman"/>
          <w:lang w:val="en-GB"/>
        </w:rPr>
        <w:t>Since the submission of the State report, the situation has deteriorated significantly. Punitive legislation has been further tightened, while access to essential health services for people who use drugs has become even more constrained.</w:t>
      </w:r>
      <w:r>
        <w:rPr>
          <w:rFonts w:ascii="Times New Roman" w:eastAsia="Sylfaen" w:hAnsi="Times New Roman" w:cs="Times New Roman"/>
          <w:lang w:val="en-GB"/>
        </w:rPr>
        <w:t xml:space="preserve"> </w:t>
      </w:r>
      <w:r w:rsidRPr="00A5240D">
        <w:rPr>
          <w:rFonts w:ascii="Times New Roman" w:eastAsia="Sylfaen" w:hAnsi="Times New Roman" w:cs="Times New Roman"/>
        </w:rPr>
        <w:t>These developments take place in a broader context of shrinking civic space that directly affects organizations providing health and harm reduction services.</w:t>
      </w:r>
    </w:p>
    <w:p w14:paraId="07FCEE71" w14:textId="4BDD266D" w:rsidR="00A5240D" w:rsidRPr="00A5240D" w:rsidRDefault="00A5240D" w:rsidP="00A5240D">
      <w:pPr>
        <w:pStyle w:val="Heading1"/>
        <w:spacing w:line="276" w:lineRule="auto"/>
        <w:rPr>
          <w:rFonts w:ascii="Times New Roman" w:eastAsia="Sylfaen" w:hAnsi="Times New Roman" w:cs="Times New Roman"/>
          <w:b/>
          <w:color w:val="auto"/>
          <w:sz w:val="24"/>
          <w:szCs w:val="24"/>
          <w:lang w:val="en-GB"/>
        </w:rPr>
      </w:pPr>
      <w:bookmarkStart w:id="0" w:name="_Toc123799382"/>
      <w:r w:rsidRPr="00A5240D">
        <w:rPr>
          <w:rFonts w:ascii="Times New Roman" w:eastAsia="Sylfaen" w:hAnsi="Times New Roman" w:cs="Times New Roman"/>
          <w:b/>
          <w:color w:val="auto"/>
          <w:sz w:val="24"/>
          <w:szCs w:val="24"/>
          <w:lang w:val="en-GB"/>
        </w:rPr>
        <w:lastRenderedPageBreak/>
        <w:t xml:space="preserve">Sources of information </w:t>
      </w:r>
      <w:bookmarkEnd w:id="0"/>
      <w:r>
        <w:rPr>
          <w:rFonts w:ascii="Times New Roman" w:eastAsia="Sylfaen" w:hAnsi="Times New Roman" w:cs="Times New Roman"/>
          <w:b/>
          <w:color w:val="auto"/>
          <w:sz w:val="24"/>
          <w:szCs w:val="24"/>
          <w:lang w:val="en-GB"/>
        </w:rPr>
        <w:t>and methodology</w:t>
      </w:r>
    </w:p>
    <w:p w14:paraId="0D540EA4" w14:textId="77777777" w:rsidR="00A5240D" w:rsidRPr="00A5240D" w:rsidRDefault="00A5240D" w:rsidP="00A5240D">
      <w:pPr>
        <w:spacing w:line="276" w:lineRule="auto"/>
        <w:ind w:left="297" w:right="426"/>
        <w:rPr>
          <w:rFonts w:ascii="Times New Roman" w:eastAsia="Sylfaen" w:hAnsi="Times New Roman" w:cs="Times New Roman"/>
          <w:lang w:val="en-GB"/>
        </w:rPr>
      </w:pPr>
      <w:r w:rsidRPr="00A5240D">
        <w:rPr>
          <w:rFonts w:ascii="Times New Roman" w:eastAsia="Sylfaen" w:hAnsi="Times New Roman" w:cs="Times New Roman"/>
          <w:lang w:val="en-GB"/>
        </w:rPr>
        <w:t>The present report is based on an analysis of relevant legislation and policy documents, including a comprehensive review of the legislative amendments introduced in 2024 - 2025 in the field of drug policy, as reflected in the Criminal Code and the Code of Administrative Offences, as well as in other normative acts. For the purposes of preparing the document, thematic reports and studies on Georgia were also analysed. In addition, the report presents statistical data processed by civil society organisations, as well as statistical data from state agencies, including the Ministry of Internal Affairs, the National Monitoring Centre on Drug Situation, the Penitentiary Service, and the Scientific-Research Centre of Infectious Pathology, AIDS and Clinical Immunology.</w:t>
      </w:r>
    </w:p>
    <w:p w14:paraId="6CC255C9" w14:textId="77777777" w:rsidR="00A5240D" w:rsidRPr="00A5240D" w:rsidRDefault="00A5240D" w:rsidP="00A5240D">
      <w:pPr>
        <w:pStyle w:val="Heading1"/>
        <w:spacing w:line="276" w:lineRule="auto"/>
        <w:rPr>
          <w:rFonts w:ascii="Times New Roman" w:eastAsia="Sylfaen" w:hAnsi="Times New Roman" w:cs="Times New Roman"/>
          <w:b/>
          <w:color w:val="auto"/>
          <w:sz w:val="24"/>
          <w:szCs w:val="24"/>
          <w:lang w:val="en-GB"/>
        </w:rPr>
      </w:pPr>
      <w:bookmarkStart w:id="1" w:name="_Toc123799383"/>
      <w:r w:rsidRPr="00A5240D">
        <w:rPr>
          <w:rFonts w:ascii="Times New Roman" w:eastAsia="Sylfaen" w:hAnsi="Times New Roman" w:cs="Times New Roman"/>
          <w:b/>
          <w:color w:val="auto"/>
          <w:sz w:val="24"/>
          <w:szCs w:val="24"/>
          <w:lang w:val="en-GB"/>
        </w:rPr>
        <w:t>Summary</w:t>
      </w:r>
      <w:bookmarkEnd w:id="1"/>
    </w:p>
    <w:p w14:paraId="7661E04D" w14:textId="6ACB2FF2" w:rsidR="00A5240D" w:rsidRPr="00A5240D" w:rsidRDefault="00A5240D" w:rsidP="00A5240D">
      <w:pPr>
        <w:spacing w:line="276" w:lineRule="auto"/>
        <w:ind w:left="297" w:right="426"/>
        <w:rPr>
          <w:rFonts w:ascii="Times New Roman" w:eastAsia="Sylfaen" w:hAnsi="Times New Roman" w:cs="Times New Roman"/>
          <w:lang w:val="en-GB"/>
        </w:rPr>
      </w:pPr>
      <w:r w:rsidRPr="00A5240D">
        <w:rPr>
          <w:rFonts w:ascii="Times New Roman" w:eastAsia="Sylfaen" w:hAnsi="Times New Roman" w:cs="Times New Roman"/>
          <w:lang w:val="en-GB"/>
        </w:rPr>
        <w:t>Georgia’s drug policy is exceptionally punitive and is largely premised on the criminalisation of people who use drugs and the pursuit of a harsh punitive approach towards this group.</w:t>
      </w:r>
      <w:r w:rsidRPr="00A5240D">
        <w:rPr>
          <w:rStyle w:val="FootnoteReference"/>
          <w:rFonts w:ascii="Times New Roman" w:eastAsia="Sylfaen" w:hAnsi="Times New Roman" w:cs="Times New Roman"/>
          <w:lang w:val="en-GB"/>
        </w:rPr>
        <w:footnoteReference w:id="2"/>
      </w:r>
      <w:r w:rsidRPr="00A5240D">
        <w:rPr>
          <w:rFonts w:ascii="Times New Roman" w:eastAsia="Sylfaen" w:hAnsi="Times New Roman" w:cs="Times New Roman"/>
          <w:lang w:val="en-GB"/>
        </w:rPr>
        <w:t xml:space="preserve"> </w:t>
      </w:r>
      <w:r w:rsidR="00C67220" w:rsidRPr="00C67220">
        <w:rPr>
          <w:rFonts w:ascii="Times New Roman" w:eastAsia="Sylfaen" w:hAnsi="Times New Roman" w:cs="Times New Roman"/>
        </w:rPr>
        <w:t>This approach results in discriminatory treatment of people who use drugs and undermines their enjoyment of the right to the highest attainable standard of physical and mental health, in breach of Articles 2(2) and 12 of the Covenant. </w:t>
      </w:r>
      <w:r w:rsidRPr="00A5240D">
        <w:rPr>
          <w:rFonts w:ascii="Times New Roman" w:eastAsia="Sylfaen" w:hAnsi="Times New Roman" w:cs="Times New Roman"/>
          <w:lang w:val="en-GB"/>
        </w:rPr>
        <w:t>Over the past year, Georgia’s drug policy has been further tightened in several directions, including through increased penalties for certain controlled substances. Police control over people who use drugs has also intensified, including through stricter legislation regulating forced drug testing</w:t>
      </w:r>
      <w:r w:rsidR="00C67220">
        <w:rPr>
          <w:rFonts w:ascii="Times New Roman" w:eastAsia="Sylfaen" w:hAnsi="Times New Roman" w:cs="Times New Roman"/>
          <w:lang w:val="en-GB"/>
        </w:rPr>
        <w:t xml:space="preserve">, </w:t>
      </w:r>
      <w:r w:rsidR="00C67220" w:rsidRPr="00C67220">
        <w:rPr>
          <w:rFonts w:ascii="Times New Roman" w:eastAsia="Sylfaen" w:hAnsi="Times New Roman" w:cs="Times New Roman"/>
        </w:rPr>
        <w:t>which raises serious concerns regarding bodily integrity and the prohibition of coercive medical interventions under Article 12</w:t>
      </w:r>
      <w:r w:rsidRPr="00A5240D">
        <w:rPr>
          <w:rFonts w:ascii="Times New Roman" w:eastAsia="Sylfaen" w:hAnsi="Times New Roman" w:cs="Times New Roman"/>
          <w:lang w:val="en-GB"/>
        </w:rPr>
        <w:t>. In everyday practice, police oversight has likewise increased with respect to beneficiaries of the harm-reduction services and opioid substitution therapy</w:t>
      </w:r>
      <w:r w:rsidR="00C67220">
        <w:rPr>
          <w:rFonts w:ascii="Times New Roman" w:eastAsia="Sylfaen" w:hAnsi="Times New Roman" w:cs="Times New Roman"/>
          <w:lang w:val="en-GB"/>
        </w:rPr>
        <w:t xml:space="preserve">, </w:t>
      </w:r>
      <w:r w:rsidR="00C67220" w:rsidRPr="00C67220">
        <w:rPr>
          <w:rFonts w:ascii="Times New Roman" w:eastAsia="Sylfaen" w:hAnsi="Times New Roman" w:cs="Times New Roman"/>
        </w:rPr>
        <w:t>creating a chilling effect on access to essential health services and exacerbating stigma and discrimination against this group</w:t>
      </w:r>
      <w:r w:rsidRPr="00A5240D">
        <w:rPr>
          <w:rFonts w:ascii="Times New Roman" w:eastAsia="Sylfaen" w:hAnsi="Times New Roman" w:cs="Times New Roman"/>
          <w:lang w:val="en-GB"/>
        </w:rPr>
        <w:t>.</w:t>
      </w:r>
    </w:p>
    <w:p w14:paraId="23E6D38C" w14:textId="49F13C7E" w:rsidR="00A5240D" w:rsidRPr="00A5240D" w:rsidRDefault="00A5240D" w:rsidP="00A5240D">
      <w:pPr>
        <w:spacing w:line="276" w:lineRule="auto"/>
        <w:ind w:left="297" w:right="426"/>
        <w:rPr>
          <w:rFonts w:ascii="Times New Roman" w:eastAsia="Sylfaen" w:hAnsi="Times New Roman" w:cs="Times New Roman"/>
          <w:lang w:val="en-GB"/>
        </w:rPr>
      </w:pPr>
      <w:r w:rsidRPr="00A5240D">
        <w:rPr>
          <w:rFonts w:ascii="Times New Roman" w:eastAsia="Sylfaen" w:hAnsi="Times New Roman" w:cs="Times New Roman"/>
          <w:lang w:val="en-GB"/>
        </w:rPr>
        <w:t>Among the repressive legislative amendments introduced last year was the inclusion in the Criminal Code of a new type of sentence for persons convicted of drug-related offences - compulsory treatment. This measure may be imposed for up to two years irrespective of the convicted persons desire, and one of its stated aims is the “recovery”.</w:t>
      </w:r>
      <w:r w:rsidRPr="00A5240D">
        <w:rPr>
          <w:rStyle w:val="FootnoteReference"/>
          <w:rFonts w:ascii="Times New Roman" w:eastAsia="Sylfaen" w:hAnsi="Times New Roman" w:cs="Times New Roman"/>
          <w:lang w:val="en-GB"/>
        </w:rPr>
        <w:footnoteReference w:id="3"/>
      </w:r>
      <w:r w:rsidRPr="00A5240D">
        <w:rPr>
          <w:rFonts w:ascii="Times New Roman" w:eastAsia="Sylfaen" w:hAnsi="Times New Roman" w:cs="Times New Roman"/>
          <w:lang w:val="en-GB"/>
        </w:rPr>
        <w:t xml:space="preserve"> </w:t>
      </w:r>
      <w:r w:rsidR="00C67220" w:rsidRPr="00C67220">
        <w:rPr>
          <w:rFonts w:ascii="Times New Roman" w:eastAsia="Sylfaen" w:hAnsi="Times New Roman" w:cs="Times New Roman"/>
        </w:rPr>
        <w:t>Such compulsory “treatment”, imposed in a criminal</w:t>
      </w:r>
      <w:r w:rsidR="00C67220" w:rsidRPr="00C67220">
        <w:rPr>
          <w:rFonts w:ascii="Times New Roman" w:eastAsia="Sylfaen" w:hAnsi="Times New Roman" w:cs="Times New Roman"/>
        </w:rPr>
        <w:noBreakHyphen/>
        <w:t>law context and without genuine consent, risks amounting to a form of coercive medical intervention incompatible with the right to health, including the requirement of informed consent, and may also engage the prohibition of inhuman or degrading treatment. It further undermines respect for the autonomy and dignity of people who use drugs</w:t>
      </w:r>
      <w:r w:rsidR="00C67220">
        <w:rPr>
          <w:rFonts w:ascii="Times New Roman" w:eastAsia="Sylfaen" w:hAnsi="Times New Roman" w:cs="Times New Roman"/>
        </w:rPr>
        <w:t>.</w:t>
      </w:r>
    </w:p>
    <w:p w14:paraId="694E7926" w14:textId="764B121C" w:rsidR="00A5240D" w:rsidRPr="00C67220" w:rsidRDefault="00A5240D" w:rsidP="00A5240D">
      <w:pPr>
        <w:spacing w:line="276" w:lineRule="auto"/>
        <w:ind w:left="297" w:right="426"/>
        <w:rPr>
          <w:rFonts w:ascii="Times New Roman" w:eastAsia="Sylfaen" w:hAnsi="Times New Roman" w:cs="Times New Roman"/>
        </w:rPr>
      </w:pPr>
      <w:r w:rsidRPr="00A5240D">
        <w:rPr>
          <w:rFonts w:ascii="Times New Roman" w:eastAsia="Sylfaen" w:hAnsi="Times New Roman" w:cs="Times New Roman"/>
          <w:lang w:val="en-GB"/>
        </w:rPr>
        <w:t xml:space="preserve">Last year also saw a trend toward creating artificial barriers to access opioid substitution therapy services. In addition to private medical clinics being stripped of the right to provide this service, in a few cities substitution therapy facilities were relocated from city centres to peripheral areas. Moreover, the possibility for patients - due to employment or health-related reasons - to take </w:t>
      </w:r>
      <w:r w:rsidRPr="00A5240D">
        <w:rPr>
          <w:rFonts w:ascii="Times New Roman" w:eastAsia="Sylfaen" w:hAnsi="Times New Roman" w:cs="Times New Roman"/>
          <w:lang w:val="en-GB"/>
        </w:rPr>
        <w:lastRenderedPageBreak/>
        <w:t>away several days’ worth of medication in advance was extremely restricted (and, in some cases, abolished altogether).</w:t>
      </w:r>
      <w:r w:rsidR="00C67220">
        <w:rPr>
          <w:rFonts w:ascii="Times New Roman" w:eastAsia="Sylfaen" w:hAnsi="Times New Roman" w:cs="Times New Roman"/>
          <w:lang w:val="en-GB"/>
        </w:rPr>
        <w:t xml:space="preserve"> </w:t>
      </w:r>
      <w:r w:rsidR="00C67220" w:rsidRPr="00C67220">
        <w:rPr>
          <w:rFonts w:ascii="Times New Roman" w:eastAsia="Sylfaen" w:hAnsi="Times New Roman" w:cs="Times New Roman"/>
        </w:rPr>
        <w:t>These measures disproportionately affect people who use drugs, including those in employment and those with caregiving responsibilities, and directly compromise the availability, accessibility and acceptability of evidence</w:t>
      </w:r>
      <w:r w:rsidR="00C67220" w:rsidRPr="00C67220">
        <w:rPr>
          <w:rFonts w:ascii="Times New Roman" w:eastAsia="Sylfaen" w:hAnsi="Times New Roman" w:cs="Times New Roman"/>
        </w:rPr>
        <w:noBreakHyphen/>
        <w:t>based treatment, in breach of the State party’s obligations under Article 12 to ensure access to essential health services without discrimination.</w:t>
      </w:r>
    </w:p>
    <w:p w14:paraId="028A981A" w14:textId="503D45B6" w:rsidR="00A5240D" w:rsidRPr="00A5240D" w:rsidRDefault="00A5240D" w:rsidP="00A5240D">
      <w:pPr>
        <w:spacing w:line="276" w:lineRule="auto"/>
        <w:ind w:left="297" w:right="426"/>
        <w:rPr>
          <w:rFonts w:ascii="Times New Roman" w:eastAsia="Sylfaen" w:hAnsi="Times New Roman" w:cs="Times New Roman"/>
          <w:lang w:val="en-GB"/>
        </w:rPr>
      </w:pPr>
      <w:r w:rsidRPr="00A5240D">
        <w:rPr>
          <w:rFonts w:ascii="Times New Roman" w:eastAsia="Sylfaen" w:hAnsi="Times New Roman" w:cs="Times New Roman"/>
          <w:lang w:val="en-GB"/>
        </w:rPr>
        <w:t>From the perspective of access to harm-reduction services, another legislative amendment constitutes a serious barrier: Within the Ministry of Health, a unified information database for persons with psychiatric conditions, alcoholism, and drug dependence should be established by 1 March of 2026. In relation to individuals included in this database, the competent authorities will be entitled to impose certain restrictive measures, and the Ministry of Internal Affairs will also have direct access to the information contained in the database.</w:t>
      </w:r>
      <w:r w:rsidR="00C67220">
        <w:rPr>
          <w:rFonts w:ascii="Times New Roman" w:eastAsia="Sylfaen" w:hAnsi="Times New Roman" w:cs="Times New Roman"/>
          <w:lang w:val="en-GB"/>
        </w:rPr>
        <w:t xml:space="preserve"> </w:t>
      </w:r>
      <w:r w:rsidR="00C67220" w:rsidRPr="00C67220">
        <w:rPr>
          <w:rFonts w:ascii="Times New Roman" w:eastAsia="Sylfaen" w:hAnsi="Times New Roman" w:cs="Times New Roman"/>
        </w:rPr>
        <w:t>The creation of such a database, coupled with law</w:t>
      </w:r>
      <w:r w:rsidR="00C67220" w:rsidRPr="00C67220">
        <w:rPr>
          <w:rFonts w:ascii="Times New Roman" w:eastAsia="Sylfaen" w:hAnsi="Times New Roman" w:cs="Times New Roman"/>
        </w:rPr>
        <w:noBreakHyphen/>
        <w:t>enforcement access, raises grave concerns regarding medical confidentiality, privacy and data protection, and is likely to deter people who use drugs from seeking needed health services</w:t>
      </w:r>
      <w:r w:rsidR="00C67220">
        <w:rPr>
          <w:rFonts w:ascii="Times New Roman" w:eastAsia="Sylfaen" w:hAnsi="Times New Roman" w:cs="Times New Roman"/>
        </w:rPr>
        <w:t>.</w:t>
      </w:r>
    </w:p>
    <w:p w14:paraId="28C20DE8" w14:textId="707EDCD7" w:rsidR="00A5240D" w:rsidRPr="00A5240D" w:rsidRDefault="00A5240D" w:rsidP="00A5240D">
      <w:pPr>
        <w:spacing w:line="276" w:lineRule="auto"/>
        <w:ind w:left="297" w:right="426"/>
        <w:rPr>
          <w:rFonts w:ascii="Times New Roman" w:eastAsia="Sylfaen" w:hAnsi="Times New Roman" w:cs="Times New Roman"/>
          <w:lang w:val="en-GB"/>
        </w:rPr>
      </w:pPr>
      <w:r w:rsidRPr="00A5240D">
        <w:rPr>
          <w:rFonts w:ascii="Times New Roman" w:eastAsia="Sylfaen" w:hAnsi="Times New Roman" w:cs="Times New Roman"/>
        </w:rPr>
        <w:t>The punitive drug policy described in this Part cannot be separated from the restrictions on civic space examined in Part II, which further weaken community</w:t>
      </w:r>
      <w:r w:rsidRPr="00A5240D">
        <w:rPr>
          <w:rFonts w:ascii="Times New Roman" w:eastAsia="Sylfaen" w:hAnsi="Times New Roman" w:cs="Times New Roman"/>
        </w:rPr>
        <w:noBreakHyphen/>
        <w:t>based responses and undermine enjoyment of Covenant rights by people who use drugs and other key populations.</w:t>
      </w:r>
      <w:r w:rsidR="00C67220">
        <w:rPr>
          <w:rFonts w:ascii="Times New Roman" w:eastAsia="Sylfaen" w:hAnsi="Times New Roman" w:cs="Times New Roman"/>
        </w:rPr>
        <w:t xml:space="preserve"> </w:t>
      </w:r>
      <w:r w:rsidR="00C67220" w:rsidRPr="00C67220">
        <w:rPr>
          <w:rFonts w:ascii="Times New Roman" w:eastAsia="Sylfaen" w:hAnsi="Times New Roman" w:cs="Times New Roman"/>
        </w:rPr>
        <w:t>Taken together, the criminalization of people who use drugs, barriers to evidence</w:t>
      </w:r>
      <w:r w:rsidR="00C67220" w:rsidRPr="00C67220">
        <w:rPr>
          <w:rFonts w:ascii="Times New Roman" w:eastAsia="Sylfaen" w:hAnsi="Times New Roman" w:cs="Times New Roman"/>
        </w:rPr>
        <w:noBreakHyphen/>
        <w:t>based harm</w:t>
      </w:r>
      <w:r w:rsidR="00C67220" w:rsidRPr="00C67220">
        <w:rPr>
          <w:rFonts w:ascii="Times New Roman" w:eastAsia="Sylfaen" w:hAnsi="Times New Roman" w:cs="Times New Roman"/>
        </w:rPr>
        <w:noBreakHyphen/>
        <w:t>reduction and treatment services, and the shrinking space for organizations working with key populations form a pattern of systemic discrimination and denial of the right to health and related rights</w:t>
      </w:r>
      <w:r w:rsidR="00C67220">
        <w:rPr>
          <w:rFonts w:ascii="Times New Roman" w:eastAsia="Sylfaen" w:hAnsi="Times New Roman" w:cs="Times New Roman"/>
        </w:rPr>
        <w:t>.</w:t>
      </w:r>
    </w:p>
    <w:p w14:paraId="19F9C323" w14:textId="77777777" w:rsidR="00A5240D" w:rsidRPr="00A5240D" w:rsidRDefault="00A5240D" w:rsidP="00A5240D">
      <w:pPr>
        <w:pStyle w:val="Heading1"/>
        <w:spacing w:line="276" w:lineRule="auto"/>
        <w:rPr>
          <w:rFonts w:ascii="Times New Roman" w:eastAsia="Sylfaen" w:hAnsi="Times New Roman" w:cs="Times New Roman"/>
          <w:b/>
          <w:color w:val="auto"/>
          <w:sz w:val="24"/>
          <w:szCs w:val="24"/>
          <w:lang w:val="en-GB"/>
        </w:rPr>
      </w:pPr>
      <w:r w:rsidRPr="00A5240D">
        <w:rPr>
          <w:rFonts w:ascii="Times New Roman" w:eastAsia="Sylfaen" w:hAnsi="Times New Roman" w:cs="Times New Roman"/>
          <w:b/>
          <w:color w:val="auto"/>
          <w:sz w:val="24"/>
          <w:szCs w:val="24"/>
          <w:lang w:val="en-GB"/>
        </w:rPr>
        <w:t xml:space="preserve">Recommendations: </w:t>
      </w:r>
    </w:p>
    <w:p w14:paraId="441F49BB" w14:textId="0F385383" w:rsidR="00EB349F" w:rsidRPr="00EB349F" w:rsidRDefault="00EB349F" w:rsidP="00EB349F">
      <w:pPr>
        <w:numPr>
          <w:ilvl w:val="0"/>
          <w:numId w:val="9"/>
        </w:numPr>
        <w:rPr>
          <w:rFonts w:ascii="Times New Roman" w:eastAsia="Sylfaen" w:hAnsi="Times New Roman" w:cs="Times New Roman"/>
        </w:rPr>
      </w:pPr>
      <w:r w:rsidRPr="00EB349F">
        <w:rPr>
          <w:rFonts w:ascii="Times New Roman" w:eastAsia="Sylfaen" w:hAnsi="Times New Roman" w:cs="Times New Roman"/>
        </w:rPr>
        <w:t>Georgia should review and repeal harsh criminal penalties for drug use and adopt alternatives to punishment, including the decriminalization of drug use and possession for personal use.​</w:t>
      </w:r>
    </w:p>
    <w:p w14:paraId="7F5C6EE3" w14:textId="36207E8A" w:rsidR="00EB349F" w:rsidRPr="00EB349F" w:rsidRDefault="00EB349F" w:rsidP="00EB349F">
      <w:pPr>
        <w:numPr>
          <w:ilvl w:val="0"/>
          <w:numId w:val="9"/>
        </w:numPr>
        <w:rPr>
          <w:rFonts w:ascii="Times New Roman" w:eastAsia="Sylfaen" w:hAnsi="Times New Roman" w:cs="Times New Roman"/>
        </w:rPr>
      </w:pPr>
      <w:r w:rsidRPr="00EB349F">
        <w:rPr>
          <w:rFonts w:ascii="Times New Roman" w:eastAsia="Sylfaen" w:hAnsi="Times New Roman" w:cs="Times New Roman"/>
        </w:rPr>
        <w:t>The State should take effective measures to reduce and eliminate stigma against people who use drugs, and avoid – in legislation, policy and public messaging – any framing that contributes to their marginalization or discrimination.​</w:t>
      </w:r>
    </w:p>
    <w:p w14:paraId="1816EB9C" w14:textId="6FFB8F3A" w:rsidR="00EB349F" w:rsidRPr="00EB349F" w:rsidRDefault="00EB349F" w:rsidP="00EB349F">
      <w:pPr>
        <w:numPr>
          <w:ilvl w:val="0"/>
          <w:numId w:val="9"/>
        </w:numPr>
        <w:rPr>
          <w:rFonts w:ascii="Times New Roman" w:eastAsia="Sylfaen" w:hAnsi="Times New Roman" w:cs="Times New Roman"/>
        </w:rPr>
      </w:pPr>
      <w:r w:rsidRPr="00EB349F">
        <w:rPr>
          <w:rFonts w:ascii="Times New Roman" w:eastAsia="Sylfaen" w:hAnsi="Times New Roman" w:cs="Times New Roman"/>
        </w:rPr>
        <w:t>The State should ensure adequate, continuous access for people who use drugs to essential, life</w:t>
      </w:r>
      <w:r w:rsidRPr="00EB349F">
        <w:rPr>
          <w:rFonts w:ascii="Times New Roman" w:eastAsia="Sylfaen" w:hAnsi="Times New Roman" w:cs="Times New Roman"/>
        </w:rPr>
        <w:noBreakHyphen/>
        <w:t>saving health services, including by removing the artificial barriers introduced in recent years to opioid substitution therapy programs.​</w:t>
      </w:r>
    </w:p>
    <w:p w14:paraId="42597DF0" w14:textId="00F01C32" w:rsidR="00EB349F" w:rsidRPr="00EB349F" w:rsidRDefault="00EB349F" w:rsidP="00EB349F">
      <w:pPr>
        <w:numPr>
          <w:ilvl w:val="0"/>
          <w:numId w:val="9"/>
        </w:numPr>
        <w:rPr>
          <w:rFonts w:ascii="Times New Roman" w:eastAsia="Sylfaen" w:hAnsi="Times New Roman" w:cs="Times New Roman"/>
        </w:rPr>
      </w:pPr>
      <w:r w:rsidRPr="00EB349F">
        <w:rPr>
          <w:rFonts w:ascii="Times New Roman" w:eastAsia="Sylfaen" w:hAnsi="Times New Roman" w:cs="Times New Roman"/>
        </w:rPr>
        <w:t>Opioid substitution therapy and other essential health services should be designed and delivered in a way that responds to the specific needs of particular groups, including women, in order to strengthen trust in these programs and improve uptake and accessibility.​</w:t>
      </w:r>
    </w:p>
    <w:p w14:paraId="7E4137DA" w14:textId="581275CF" w:rsidR="00EB349F" w:rsidRPr="00EB349F" w:rsidRDefault="00EB349F" w:rsidP="00EB349F">
      <w:pPr>
        <w:numPr>
          <w:ilvl w:val="0"/>
          <w:numId w:val="9"/>
        </w:numPr>
        <w:rPr>
          <w:rFonts w:ascii="Times New Roman" w:eastAsia="Sylfaen" w:hAnsi="Times New Roman" w:cs="Times New Roman"/>
        </w:rPr>
      </w:pPr>
      <w:r w:rsidRPr="00EB349F">
        <w:rPr>
          <w:rFonts w:ascii="Times New Roman" w:eastAsia="Sylfaen" w:hAnsi="Times New Roman" w:cs="Times New Roman"/>
        </w:rPr>
        <w:t>The State should ensure access to long</w:t>
      </w:r>
      <w:r w:rsidRPr="00EB349F">
        <w:rPr>
          <w:rFonts w:ascii="Times New Roman" w:eastAsia="Sylfaen" w:hAnsi="Times New Roman" w:cs="Times New Roman"/>
        </w:rPr>
        <w:noBreakHyphen/>
        <w:t>term opioid substitution therapy in all penitentiary institutions for all people who require such treatment, on a basis equivalent to services available in the community.​</w:t>
      </w:r>
    </w:p>
    <w:p w14:paraId="270893F8" w14:textId="77777777" w:rsidR="00EB349F" w:rsidRPr="00EB349F" w:rsidRDefault="00EB349F" w:rsidP="00EB349F">
      <w:pPr>
        <w:numPr>
          <w:ilvl w:val="0"/>
          <w:numId w:val="9"/>
        </w:numPr>
        <w:rPr>
          <w:rFonts w:ascii="Times New Roman" w:eastAsia="Sylfaen" w:hAnsi="Times New Roman" w:cs="Times New Roman"/>
        </w:rPr>
      </w:pPr>
      <w:r w:rsidRPr="00EB349F">
        <w:rPr>
          <w:rFonts w:ascii="Times New Roman" w:eastAsia="Sylfaen" w:hAnsi="Times New Roman" w:cs="Times New Roman"/>
        </w:rPr>
        <w:lastRenderedPageBreak/>
        <w:t>The State should review the legal framework governing unified information databases and ensure that their establishment and operation do not result in violations of the rights to privacy, confidentiality and non</w:t>
      </w:r>
      <w:r w:rsidRPr="00EB349F">
        <w:rPr>
          <w:rFonts w:ascii="Times New Roman" w:eastAsia="Sylfaen" w:hAnsi="Times New Roman" w:cs="Times New Roman"/>
        </w:rPr>
        <w:noBreakHyphen/>
        <w:t>discrimination of people who use drugs and persons with alcoholism and/or mental health conditions.</w:t>
      </w:r>
    </w:p>
    <w:p w14:paraId="36D5CDEE" w14:textId="2574E0CD" w:rsidR="00CF1060" w:rsidRPr="00CF1060" w:rsidRDefault="00CF1060" w:rsidP="00CF1060">
      <w:pPr>
        <w:rPr>
          <w:rFonts w:ascii="Times New Roman" w:eastAsia="Sylfaen" w:hAnsi="Times New Roman" w:cs="Times New Roman"/>
          <w:b/>
        </w:rPr>
      </w:pPr>
      <w:r w:rsidRPr="00CF1060">
        <w:rPr>
          <w:rFonts w:ascii="Times New Roman" w:eastAsia="Sylfaen" w:hAnsi="Times New Roman" w:cs="Times New Roman"/>
          <w:b/>
        </w:rPr>
        <w:t>Punitive drug policy and criminalization of people who use drugs</w:t>
      </w:r>
    </w:p>
    <w:p w14:paraId="6141899A" w14:textId="77777777" w:rsidR="00A5240D" w:rsidRPr="00A5240D" w:rsidRDefault="00A5240D" w:rsidP="00A5240D">
      <w:pPr>
        <w:spacing w:line="276" w:lineRule="auto"/>
        <w:ind w:left="360"/>
        <w:rPr>
          <w:rFonts w:ascii="Times New Roman" w:hAnsi="Times New Roman" w:cs="Times New Roman"/>
          <w:b/>
          <w:bCs/>
          <w:i/>
          <w:iCs/>
          <w:lang w:val="ka-GE"/>
        </w:rPr>
      </w:pPr>
      <w:r w:rsidRPr="00A5240D">
        <w:rPr>
          <w:rFonts w:ascii="Times New Roman" w:hAnsi="Times New Roman" w:cs="Times New Roman"/>
          <w:b/>
          <w:bCs/>
          <w:i/>
          <w:iCs/>
          <w:lang w:val="ka-GE"/>
        </w:rPr>
        <w:t xml:space="preserve">Legislative amendments </w:t>
      </w:r>
    </w:p>
    <w:p w14:paraId="2A48B5B5" w14:textId="77777777" w:rsidR="00A5240D" w:rsidRPr="00A5240D" w:rsidRDefault="00A5240D" w:rsidP="00A5240D">
      <w:pPr>
        <w:spacing w:line="276" w:lineRule="auto"/>
        <w:ind w:left="360"/>
        <w:rPr>
          <w:rFonts w:ascii="Times New Roman" w:hAnsi="Times New Roman" w:cs="Times New Roman"/>
          <w:lang w:val="ka-GE"/>
        </w:rPr>
      </w:pPr>
      <w:r w:rsidRPr="00A5240D">
        <w:rPr>
          <w:rFonts w:ascii="Times New Roman" w:hAnsi="Times New Roman" w:cs="Times New Roman"/>
          <w:lang w:val="ka-GE"/>
        </w:rPr>
        <w:t>In 2025, two legislative packages on drug policy were adopted, tightening approaches in several directions. Under the 16 April amendments</w:t>
      </w:r>
      <w:r w:rsidRPr="00A5240D">
        <w:rPr>
          <w:rStyle w:val="FootnoteReference"/>
          <w:rFonts w:ascii="Times New Roman" w:hAnsi="Times New Roman" w:cs="Times New Roman"/>
          <w:lang w:val="ka-GE"/>
        </w:rPr>
        <w:footnoteReference w:id="4"/>
      </w:r>
      <w:r w:rsidRPr="00A5240D">
        <w:rPr>
          <w:rFonts w:ascii="Times New Roman" w:hAnsi="Times New Roman" w:cs="Times New Roman"/>
          <w:lang w:val="ka-GE"/>
        </w:rPr>
        <w:t xml:space="preserve">: </w:t>
      </w:r>
    </w:p>
    <w:p w14:paraId="426FB5A6" w14:textId="77777777" w:rsidR="00A5240D" w:rsidRPr="00A5240D" w:rsidRDefault="00A5240D" w:rsidP="00A5240D">
      <w:pPr>
        <w:pStyle w:val="ListParagraph"/>
        <w:numPr>
          <w:ilvl w:val="0"/>
          <w:numId w:val="3"/>
        </w:numPr>
        <w:spacing w:before="120" w:after="120" w:line="276" w:lineRule="auto"/>
        <w:jc w:val="both"/>
        <w:rPr>
          <w:rFonts w:ascii="Times New Roman" w:hAnsi="Times New Roman" w:cs="Times New Roman"/>
          <w:lang w:val="ka-GE"/>
        </w:rPr>
      </w:pPr>
      <w:r w:rsidRPr="00A5240D">
        <w:rPr>
          <w:rFonts w:ascii="Times New Roman" w:hAnsi="Times New Roman" w:cs="Times New Roman"/>
          <w:lang w:val="ka-GE"/>
        </w:rPr>
        <w:t xml:space="preserve">The administrative fine for the use of a narcotic substance / possession of a small quantity was increased fourfold (from GEL 500 to GEL 2,000 (approx. EUR 630), and the maximum term of administrative detention for this act was increased from 15 to 60 days. </w:t>
      </w:r>
    </w:p>
    <w:p w14:paraId="5298736D" w14:textId="77777777" w:rsidR="00A5240D" w:rsidRPr="00A5240D" w:rsidRDefault="00A5240D" w:rsidP="00A5240D">
      <w:pPr>
        <w:pStyle w:val="ListParagraph"/>
        <w:numPr>
          <w:ilvl w:val="0"/>
          <w:numId w:val="3"/>
        </w:numPr>
        <w:spacing w:before="120" w:after="120" w:line="276" w:lineRule="auto"/>
        <w:jc w:val="both"/>
        <w:rPr>
          <w:rFonts w:ascii="Times New Roman" w:hAnsi="Times New Roman" w:cs="Times New Roman"/>
          <w:lang w:val="ka-GE"/>
        </w:rPr>
      </w:pPr>
      <w:r w:rsidRPr="00A5240D">
        <w:rPr>
          <w:rFonts w:ascii="Times New Roman" w:hAnsi="Times New Roman" w:cs="Times New Roman"/>
          <w:lang w:val="ka-GE"/>
        </w:rPr>
        <w:t xml:space="preserve">Legal framework on forced narcological testing was tightened, granting law-enforcement authorities broad discretion to compel individuals to undergo testing. At the same time, refusal to undergo testing was defined as a separate offence, subject to the same sanction as drug use (a fine up to GEL 2,000 (approx. EUR 630) or administrative detention up to 60 days). </w:t>
      </w:r>
    </w:p>
    <w:p w14:paraId="3D90F96F" w14:textId="77777777" w:rsidR="00A5240D" w:rsidRPr="00A5240D" w:rsidRDefault="00A5240D" w:rsidP="00A5240D">
      <w:pPr>
        <w:pStyle w:val="ListParagraph"/>
        <w:numPr>
          <w:ilvl w:val="0"/>
          <w:numId w:val="3"/>
        </w:numPr>
        <w:spacing w:before="120" w:after="120" w:line="276" w:lineRule="auto"/>
        <w:jc w:val="both"/>
        <w:rPr>
          <w:rFonts w:ascii="Times New Roman" w:hAnsi="Times New Roman" w:cs="Times New Roman"/>
          <w:lang w:val="ka-GE"/>
        </w:rPr>
      </w:pPr>
      <w:r w:rsidRPr="00A5240D">
        <w:rPr>
          <w:rFonts w:ascii="Times New Roman" w:hAnsi="Times New Roman" w:cs="Times New Roman"/>
          <w:lang w:val="ka-GE"/>
        </w:rPr>
        <w:t xml:space="preserve">The duration for additional civil-rights restrictions (including the right to drive a vehicle and to engage in certain professional activities) imposed on persons sanctioned for drug use were increased from 3 to 5 years. </w:t>
      </w:r>
    </w:p>
    <w:p w14:paraId="7DBDF32F" w14:textId="77777777" w:rsidR="00A5240D" w:rsidRPr="00A5240D" w:rsidRDefault="00A5240D" w:rsidP="00A5240D">
      <w:pPr>
        <w:pStyle w:val="ListParagraph"/>
        <w:numPr>
          <w:ilvl w:val="0"/>
          <w:numId w:val="3"/>
        </w:numPr>
        <w:spacing w:before="120" w:after="120" w:line="276" w:lineRule="auto"/>
        <w:jc w:val="both"/>
        <w:rPr>
          <w:rFonts w:ascii="Times New Roman" w:hAnsi="Times New Roman" w:cs="Times New Roman"/>
          <w:lang w:val="ka-GE"/>
        </w:rPr>
      </w:pPr>
      <w:r w:rsidRPr="00A5240D">
        <w:rPr>
          <w:rFonts w:ascii="Times New Roman" w:hAnsi="Times New Roman" w:cs="Times New Roman"/>
          <w:lang w:val="ka-GE"/>
        </w:rPr>
        <w:t xml:space="preserve">Criminal penalties were increased for offences relating to the production, transportation, or dispatch of narcotic substances: instead of imprisonment of up to 6 years, a custodial sentence of 3 to 7 years was established for these acts. </w:t>
      </w:r>
    </w:p>
    <w:p w14:paraId="7B27466F" w14:textId="77777777" w:rsidR="00A5240D" w:rsidRPr="00A5240D" w:rsidRDefault="00A5240D" w:rsidP="00A5240D">
      <w:pPr>
        <w:pStyle w:val="ListParagraph"/>
        <w:numPr>
          <w:ilvl w:val="0"/>
          <w:numId w:val="3"/>
        </w:numPr>
        <w:spacing w:before="120" w:after="120" w:line="276" w:lineRule="auto"/>
        <w:jc w:val="both"/>
        <w:rPr>
          <w:rFonts w:ascii="Times New Roman" w:hAnsi="Times New Roman" w:cs="Times New Roman"/>
          <w:lang w:val="ka-GE"/>
        </w:rPr>
      </w:pPr>
      <w:r w:rsidRPr="00A5240D">
        <w:rPr>
          <w:rFonts w:ascii="Times New Roman" w:hAnsi="Times New Roman" w:cs="Times New Roman"/>
          <w:lang w:val="ka-GE"/>
        </w:rPr>
        <w:t xml:space="preserve">The Criminal Code further distinguished between distribution of narcotic substances for commercial purposes and without such purpose. However, severe sanctions were retained for both. </w:t>
      </w:r>
    </w:p>
    <w:p w14:paraId="2CC613FA" w14:textId="77777777" w:rsidR="00A5240D" w:rsidRPr="00A5240D" w:rsidRDefault="00A5240D" w:rsidP="00A5240D">
      <w:pPr>
        <w:pStyle w:val="ListParagraph"/>
        <w:numPr>
          <w:ilvl w:val="0"/>
          <w:numId w:val="3"/>
        </w:numPr>
        <w:spacing w:before="120" w:after="120" w:line="276" w:lineRule="auto"/>
        <w:jc w:val="both"/>
        <w:rPr>
          <w:rFonts w:ascii="Times New Roman" w:hAnsi="Times New Roman" w:cs="Times New Roman"/>
          <w:lang w:val="ka-GE"/>
        </w:rPr>
      </w:pPr>
      <w:r w:rsidRPr="00A5240D">
        <w:rPr>
          <w:rFonts w:ascii="Times New Roman" w:hAnsi="Times New Roman" w:cs="Times New Roman"/>
          <w:lang w:val="ka-GE"/>
        </w:rPr>
        <w:t>The Criminal Code was also supplemented with compulsory treatment as a separate form of punishment. This sanction may be imposed by a court, for up to two years, on a person convicted of a drug offence.</w:t>
      </w:r>
      <w:r w:rsidRPr="00A5240D">
        <w:rPr>
          <w:rStyle w:val="FootnoteReference"/>
          <w:rFonts w:ascii="Times New Roman" w:hAnsi="Times New Roman" w:cs="Times New Roman"/>
          <w:lang w:val="ka-GE"/>
        </w:rPr>
        <w:footnoteReference w:id="5"/>
      </w:r>
      <w:r w:rsidRPr="00A5240D">
        <w:rPr>
          <w:rFonts w:ascii="Times New Roman" w:hAnsi="Times New Roman" w:cs="Times New Roman"/>
          <w:lang w:val="ka-GE"/>
        </w:rPr>
        <w:t xml:space="preserve"> </w:t>
      </w:r>
    </w:p>
    <w:p w14:paraId="45F916D7" w14:textId="77777777" w:rsidR="00A5240D" w:rsidRDefault="00A5240D" w:rsidP="00A5240D">
      <w:pPr>
        <w:spacing w:line="276" w:lineRule="auto"/>
        <w:ind w:left="360"/>
        <w:rPr>
          <w:rFonts w:ascii="Times New Roman" w:hAnsi="Times New Roman" w:cs="Times New Roman"/>
          <w:lang w:val="ka-GE"/>
        </w:rPr>
      </w:pPr>
      <w:r w:rsidRPr="00A5240D">
        <w:rPr>
          <w:rFonts w:ascii="Times New Roman" w:hAnsi="Times New Roman" w:cs="Times New Roman"/>
          <w:lang w:val="ka-GE"/>
        </w:rPr>
        <w:t>Under the 2 July legislative amendments, criminal penalties were tightened for the purchase and possession of marijuana for personal use. Whereas previously this act (purchase/possession for personal use of up to 70 grams of Marijuana) was subject only to non-custodial sanctions, the summer amendments reinstated custodial penalties for Marijuana possession.</w:t>
      </w:r>
      <w:r w:rsidRPr="00A5240D">
        <w:rPr>
          <w:rStyle w:val="FootnoteReference"/>
          <w:rFonts w:ascii="Times New Roman" w:hAnsi="Times New Roman" w:cs="Times New Roman"/>
          <w:lang w:val="ka-GE"/>
        </w:rPr>
        <w:footnoteReference w:id="6"/>
      </w:r>
      <w:r w:rsidRPr="00A5240D">
        <w:rPr>
          <w:rFonts w:ascii="Times New Roman" w:hAnsi="Times New Roman" w:cs="Times New Roman"/>
          <w:lang w:val="ka-GE"/>
        </w:rPr>
        <w:t xml:space="preserve"> </w:t>
      </w:r>
    </w:p>
    <w:p w14:paraId="3B8F66F0" w14:textId="77777777" w:rsidR="00CF1060" w:rsidRPr="00A5240D" w:rsidRDefault="00CF1060" w:rsidP="00CF1060">
      <w:pPr>
        <w:spacing w:line="276" w:lineRule="auto"/>
        <w:ind w:left="360"/>
        <w:rPr>
          <w:rFonts w:ascii="Times New Roman" w:hAnsi="Times New Roman" w:cs="Times New Roman"/>
          <w:b/>
          <w:bCs/>
          <w:i/>
          <w:iCs/>
          <w:lang w:val="ka-GE"/>
        </w:rPr>
      </w:pPr>
      <w:r w:rsidRPr="00A5240D">
        <w:rPr>
          <w:rFonts w:ascii="Times New Roman" w:hAnsi="Times New Roman" w:cs="Times New Roman"/>
          <w:b/>
          <w:bCs/>
          <w:i/>
          <w:iCs/>
          <w:lang w:val="en-GB"/>
        </w:rPr>
        <w:t>Law enforcement</w:t>
      </w:r>
      <w:r w:rsidRPr="00A5240D">
        <w:rPr>
          <w:rFonts w:ascii="Times New Roman" w:hAnsi="Times New Roman" w:cs="Times New Roman"/>
          <w:b/>
          <w:bCs/>
          <w:i/>
          <w:iCs/>
          <w:lang w:val="ka-GE"/>
        </w:rPr>
        <w:t xml:space="preserve"> practice </w:t>
      </w:r>
    </w:p>
    <w:p w14:paraId="076CCD6C" w14:textId="77777777" w:rsidR="00CF1060" w:rsidRPr="00A5240D" w:rsidRDefault="00CF1060" w:rsidP="00CF1060">
      <w:pPr>
        <w:spacing w:line="276" w:lineRule="auto"/>
        <w:ind w:left="360"/>
        <w:rPr>
          <w:rFonts w:ascii="Times New Roman" w:hAnsi="Times New Roman" w:cs="Times New Roman"/>
          <w:lang w:val="ka-GE"/>
        </w:rPr>
      </w:pPr>
      <w:r w:rsidRPr="00A5240D">
        <w:rPr>
          <w:rFonts w:ascii="Times New Roman" w:hAnsi="Times New Roman" w:cs="Times New Roman"/>
          <w:lang w:val="ka-GE"/>
        </w:rPr>
        <w:lastRenderedPageBreak/>
        <w:t>Drug-related offences are among the most common crimes in Georgia. According to the Ministry of Internal Affairs, of 49,976 crimes registered in 2024 totally, 5,598 were related to narcotic/psychoactive substances. Accordingly, drug-related offences accounted for more than 11% of all registered crime in 2024.</w:t>
      </w:r>
      <w:r w:rsidRPr="00A5240D">
        <w:rPr>
          <w:rStyle w:val="FootnoteReference"/>
          <w:rFonts w:ascii="Times New Roman" w:hAnsi="Times New Roman" w:cs="Times New Roman"/>
          <w:lang w:val="ka-GE"/>
        </w:rPr>
        <w:footnoteReference w:id="7"/>
      </w:r>
    </w:p>
    <w:p w14:paraId="74115F9B" w14:textId="77777777" w:rsidR="00CF1060" w:rsidRPr="00A5240D" w:rsidRDefault="00CF1060" w:rsidP="00CF1060">
      <w:pPr>
        <w:spacing w:line="276" w:lineRule="auto"/>
        <w:ind w:left="360"/>
        <w:rPr>
          <w:rFonts w:ascii="Times New Roman" w:hAnsi="Times New Roman" w:cs="Times New Roman"/>
          <w:lang w:val="ka-GE"/>
        </w:rPr>
      </w:pPr>
      <w:r w:rsidRPr="00A5240D">
        <w:rPr>
          <w:rFonts w:ascii="Times New Roman" w:hAnsi="Times New Roman" w:cs="Times New Roman"/>
          <w:lang w:val="ka-GE"/>
        </w:rPr>
        <w:t>The share of convicted persons in the penitentiary system who are serving sentences for drug offences is even more striking. According to the Council of Europe’s annual prison statistics, in 2024, of 8,133 prisoners held in Georgian prisons, 1,776 were serving sentences for drug offences, representing almost 22% of the total prison population.</w:t>
      </w:r>
      <w:r w:rsidRPr="00A5240D">
        <w:rPr>
          <w:rStyle w:val="FootnoteReference"/>
          <w:rFonts w:ascii="Times New Roman" w:hAnsi="Times New Roman" w:cs="Times New Roman"/>
          <w:lang w:val="ka-GE"/>
        </w:rPr>
        <w:footnoteReference w:id="8"/>
      </w:r>
      <w:r w:rsidRPr="00A5240D">
        <w:rPr>
          <w:rFonts w:ascii="Times New Roman" w:hAnsi="Times New Roman" w:cs="Times New Roman"/>
          <w:lang w:val="ka-GE"/>
        </w:rPr>
        <w:t xml:space="preserve"> </w:t>
      </w:r>
    </w:p>
    <w:p w14:paraId="598DA010" w14:textId="77777777" w:rsidR="00CF1060" w:rsidRPr="00A5240D" w:rsidRDefault="00CF1060" w:rsidP="00CF1060">
      <w:pPr>
        <w:spacing w:line="276" w:lineRule="auto"/>
        <w:ind w:left="360"/>
        <w:rPr>
          <w:rFonts w:ascii="Times New Roman" w:hAnsi="Times New Roman" w:cs="Times New Roman"/>
          <w:lang w:val="ka-GE"/>
        </w:rPr>
      </w:pPr>
      <w:r w:rsidRPr="00A5240D">
        <w:rPr>
          <w:rFonts w:ascii="Times New Roman" w:hAnsi="Times New Roman" w:cs="Times New Roman"/>
          <w:lang w:val="ka-GE"/>
        </w:rPr>
        <w:t>In 2025 the number of investigations initiated for drug offences further increased. Specifically, in the first three quarters of 2025, compared to the same period of the previous year, the number of registered drug offences increased from 2,866 to 4,555. In the same period, the number of investigations opened for the use of narcotic drugs, or possession of a small quantity (article 273 of the Criminal Code)  increased almost sixfold: in the first three quarters of 2024, investigations under this article were initiated 80 times, while in 2025 they were initiated 456 times.</w:t>
      </w:r>
      <w:r w:rsidRPr="00A5240D">
        <w:rPr>
          <w:rStyle w:val="FootnoteReference"/>
          <w:rFonts w:ascii="Times New Roman" w:hAnsi="Times New Roman" w:cs="Times New Roman"/>
          <w:lang w:val="ka-GE"/>
        </w:rPr>
        <w:footnoteReference w:id="9"/>
      </w:r>
      <w:r w:rsidRPr="00A5240D">
        <w:rPr>
          <w:rFonts w:ascii="Times New Roman" w:hAnsi="Times New Roman" w:cs="Times New Roman"/>
          <w:lang w:val="ka-GE"/>
        </w:rPr>
        <w:t xml:space="preserve"> </w:t>
      </w:r>
    </w:p>
    <w:p w14:paraId="2014084E" w14:textId="79EECCE8" w:rsidR="00CF1060" w:rsidRDefault="00CF1060" w:rsidP="00CF1060">
      <w:pPr>
        <w:spacing w:line="276" w:lineRule="auto"/>
        <w:ind w:left="360"/>
        <w:rPr>
          <w:rFonts w:ascii="Times New Roman" w:hAnsi="Times New Roman" w:cs="Times New Roman"/>
          <w:lang w:val="ka-GE"/>
        </w:rPr>
      </w:pPr>
      <w:r w:rsidRPr="00A5240D">
        <w:rPr>
          <w:rFonts w:ascii="Times New Roman" w:hAnsi="Times New Roman" w:cs="Times New Roman"/>
          <w:lang w:val="ka-GE"/>
        </w:rPr>
        <w:t>Another indicator illustrating increased police control over people who use drugs is forced drug testing. As noted, legislative amendments adopted in 2025, granted law-enforcement authorities broader discretion to compel individuals to undergo testing. Additionally, refusal to undergo a drug test was defined as a separate administrative offence punishable by an administrative fine of up to GEL 2,000 (approximately EUR 630) or administrative detention of up to 60 days. One effect of these amendments was that, for example, in the third quarter of 2025 alone, 4,972 persons were brought for forced narcological testing - exceeding the total number brought in all of 2024 (4,709).</w:t>
      </w:r>
      <w:r w:rsidRPr="00A5240D">
        <w:rPr>
          <w:rStyle w:val="FootnoteReference"/>
          <w:rFonts w:ascii="Times New Roman" w:hAnsi="Times New Roman" w:cs="Times New Roman"/>
          <w:lang w:val="ka-GE"/>
        </w:rPr>
        <w:footnoteReference w:id="10"/>
      </w:r>
      <w:r w:rsidRPr="00A5240D">
        <w:rPr>
          <w:rFonts w:ascii="Times New Roman" w:hAnsi="Times New Roman" w:cs="Times New Roman"/>
          <w:lang w:val="ka-GE"/>
        </w:rPr>
        <w:t xml:space="preserve"> </w:t>
      </w:r>
    </w:p>
    <w:p w14:paraId="1E024472" w14:textId="77777777" w:rsidR="00CF1060" w:rsidRPr="00A5240D" w:rsidRDefault="00CF1060" w:rsidP="00CF1060">
      <w:pPr>
        <w:pStyle w:val="Heading1"/>
        <w:spacing w:line="276" w:lineRule="auto"/>
        <w:rPr>
          <w:rFonts w:ascii="Times New Roman" w:eastAsia="Sylfaen" w:hAnsi="Times New Roman" w:cs="Times New Roman"/>
          <w:b/>
          <w:color w:val="auto"/>
          <w:sz w:val="24"/>
          <w:szCs w:val="24"/>
          <w:lang w:val="en-GB"/>
        </w:rPr>
      </w:pPr>
      <w:r w:rsidRPr="00A5240D">
        <w:rPr>
          <w:rFonts w:ascii="Times New Roman" w:eastAsia="Sylfaen" w:hAnsi="Times New Roman" w:cs="Times New Roman"/>
          <w:b/>
          <w:color w:val="auto"/>
          <w:sz w:val="24"/>
          <w:szCs w:val="24"/>
          <w:lang w:val="en-GB"/>
        </w:rPr>
        <w:t xml:space="preserve">Recommendations: </w:t>
      </w:r>
    </w:p>
    <w:p w14:paraId="3B5CBD02" w14:textId="77777777" w:rsidR="00ED1A77" w:rsidRPr="00EB349F" w:rsidRDefault="00ED1A77" w:rsidP="00ED1A77">
      <w:pPr>
        <w:numPr>
          <w:ilvl w:val="0"/>
          <w:numId w:val="10"/>
        </w:numPr>
        <w:rPr>
          <w:rFonts w:ascii="Times New Roman" w:eastAsia="Sylfaen" w:hAnsi="Times New Roman" w:cs="Times New Roman"/>
        </w:rPr>
      </w:pPr>
      <w:r w:rsidRPr="00EB349F">
        <w:rPr>
          <w:rFonts w:ascii="Times New Roman" w:eastAsia="Sylfaen" w:hAnsi="Times New Roman" w:cs="Times New Roman"/>
        </w:rPr>
        <w:t>Georgia should review and repeal harsh criminal penalties for drug use and adopt alternatives to punishment, including the decriminalization of drug use and possession for personal use.​</w:t>
      </w:r>
    </w:p>
    <w:p w14:paraId="4191F1B2" w14:textId="69759AD2" w:rsidR="00CF1060" w:rsidRPr="00CF1060" w:rsidRDefault="00CF1060" w:rsidP="00CF1060">
      <w:pPr>
        <w:spacing w:line="276" w:lineRule="auto"/>
        <w:rPr>
          <w:rFonts w:ascii="Times New Roman" w:hAnsi="Times New Roman" w:cs="Times New Roman"/>
          <w:b/>
          <w:bCs/>
          <w:lang w:val="ka-GE"/>
        </w:rPr>
      </w:pPr>
      <w:r w:rsidRPr="00CF1060">
        <w:rPr>
          <w:rFonts w:ascii="Times New Roman" w:hAnsi="Times New Roman" w:cs="Times New Roman"/>
          <w:b/>
          <w:bCs/>
        </w:rPr>
        <w:t>Barriers to evidence</w:t>
      </w:r>
      <w:r w:rsidRPr="00CF1060">
        <w:rPr>
          <w:rFonts w:ascii="Times New Roman" w:hAnsi="Times New Roman" w:cs="Times New Roman"/>
          <w:b/>
          <w:bCs/>
        </w:rPr>
        <w:noBreakHyphen/>
        <w:t>based treatment and harm reduction services</w:t>
      </w:r>
    </w:p>
    <w:p w14:paraId="0A5539C8" w14:textId="42CF80CA" w:rsidR="00D21E46" w:rsidRDefault="00D21E46" w:rsidP="00D21E46">
      <w:pPr>
        <w:spacing w:line="276" w:lineRule="auto"/>
        <w:ind w:left="284"/>
        <w:rPr>
          <w:rFonts w:ascii="Times New Roman" w:hAnsi="Times New Roman" w:cs="Times New Roman"/>
        </w:rPr>
      </w:pPr>
      <w:r w:rsidRPr="00A5240D">
        <w:rPr>
          <w:rFonts w:ascii="Times New Roman" w:hAnsi="Times New Roman" w:cs="Times New Roman"/>
        </w:rPr>
        <w:t>Opioid substitution therapy is one of the critical elements of HIV prevention among people who inject drugs.</w:t>
      </w:r>
      <w:r w:rsidRPr="00A5240D">
        <w:rPr>
          <w:rStyle w:val="FootnoteReference"/>
          <w:rFonts w:ascii="Times New Roman" w:eastAsiaTheme="majorEastAsia" w:hAnsi="Times New Roman" w:cs="Times New Roman"/>
        </w:rPr>
        <w:footnoteReference w:id="11"/>
      </w:r>
      <w:r w:rsidRPr="00A5240D">
        <w:rPr>
          <w:rFonts w:ascii="Times New Roman" w:hAnsi="Times New Roman" w:cs="Times New Roman"/>
        </w:rPr>
        <w:t xml:space="preserve"> A survey of Client Satisfaction with the Opioid Substitution Program in Western Georgia show</w:t>
      </w:r>
      <w:r w:rsidRPr="00A5240D">
        <w:rPr>
          <w:rFonts w:ascii="Times New Roman" w:hAnsi="Times New Roman" w:cs="Times New Roman"/>
          <w:lang w:val="en-GB"/>
        </w:rPr>
        <w:t>ed</w:t>
      </w:r>
      <w:r w:rsidRPr="00A5240D">
        <w:rPr>
          <w:rFonts w:ascii="Times New Roman" w:hAnsi="Times New Roman" w:cs="Times New Roman"/>
        </w:rPr>
        <w:t xml:space="preserve"> that one-third of the respondents (no 685) stated that they had been in a detention </w:t>
      </w:r>
      <w:r w:rsidRPr="00A5240D">
        <w:rPr>
          <w:rFonts w:ascii="Times New Roman" w:hAnsi="Times New Roman" w:cs="Times New Roman"/>
        </w:rPr>
        <w:lastRenderedPageBreak/>
        <w:t>facility, including temporary detention, for which the median number of months spent in the detention facility was 36 months. This situation is an indicator of a punishment-oriented drug policy.</w:t>
      </w:r>
      <w:r w:rsidRPr="00A5240D">
        <w:rPr>
          <w:rStyle w:val="FootnoteReference"/>
          <w:rFonts w:ascii="Times New Roman" w:eastAsiaTheme="majorEastAsia" w:hAnsi="Times New Roman" w:cs="Times New Roman"/>
        </w:rPr>
        <w:footnoteReference w:id="12"/>
      </w:r>
      <w:r w:rsidRPr="00A5240D">
        <w:rPr>
          <w:rFonts w:ascii="Times New Roman" w:hAnsi="Times New Roman" w:cs="Times New Roman"/>
        </w:rPr>
        <w:t xml:space="preserve"> It is of particular concern that long-term OST is not available in prisons and that the penitentiary system offers inmates only detoxification </w:t>
      </w:r>
      <w:r w:rsidR="00392F52" w:rsidRPr="00A5240D">
        <w:rPr>
          <w:rFonts w:ascii="Times New Roman" w:hAnsi="Times New Roman" w:cs="Times New Roman"/>
        </w:rPr>
        <w:t>programs</w:t>
      </w:r>
      <w:r w:rsidRPr="00A5240D">
        <w:rPr>
          <w:rFonts w:ascii="Times New Roman" w:hAnsi="Times New Roman" w:cs="Times New Roman"/>
        </w:rPr>
        <w:t>. This amounts to a violation of the right to health and is tantamount to ill-treatment.</w:t>
      </w:r>
    </w:p>
    <w:p w14:paraId="01413334" w14:textId="77777777" w:rsidR="000C6A1D" w:rsidRDefault="00A5240D" w:rsidP="000C6A1D">
      <w:pPr>
        <w:spacing w:line="276" w:lineRule="auto"/>
        <w:ind w:left="284"/>
        <w:rPr>
          <w:rFonts w:ascii="Times New Roman" w:hAnsi="Times New Roman" w:cs="Times New Roman"/>
        </w:rPr>
      </w:pPr>
      <w:r w:rsidRPr="00A5240D">
        <w:rPr>
          <w:rFonts w:ascii="Times New Roman" w:hAnsi="Times New Roman" w:cs="Times New Roman"/>
          <w:lang w:val="ka-GE"/>
        </w:rPr>
        <w:t>Parallelly, private medical institutions were resticted in providing opioid substitution therapy services,</w:t>
      </w:r>
      <w:r w:rsidRPr="00A5240D">
        <w:rPr>
          <w:rStyle w:val="FootnoteReference"/>
          <w:rFonts w:ascii="Times New Roman" w:hAnsi="Times New Roman" w:cs="Times New Roman"/>
          <w:lang w:val="ka-GE"/>
        </w:rPr>
        <w:footnoteReference w:id="13"/>
      </w:r>
      <w:r w:rsidRPr="00A5240D">
        <w:rPr>
          <w:rFonts w:ascii="Times New Roman" w:hAnsi="Times New Roman" w:cs="Times New Roman"/>
          <w:lang w:val="ka-GE"/>
        </w:rPr>
        <w:t xml:space="preserve"> which creates a significant barrier to access to substitution therapy. Besides, government representatives announced that infrastructure for substitution therapy should be relocated from densely populated areas and city centres to the outskirts (and in several cities such relocation has already taken place), which also reduces accessibility of the healthcare services. It is noteworthy that, in February 2024, amendments were also introduced to the rules regulating substitution therapy (Order No. 01-41/</w:t>
      </w:r>
      <w:r w:rsidRPr="00A5240D">
        <w:rPr>
          <w:rFonts w:ascii="Sylfaen" w:hAnsi="Sylfaen" w:cs="Sylfaen"/>
          <w:lang w:val="ka-GE"/>
        </w:rPr>
        <w:t>ნ</w:t>
      </w:r>
      <w:r w:rsidRPr="00A5240D">
        <w:rPr>
          <w:rFonts w:ascii="Times New Roman" w:hAnsi="Times New Roman" w:cs="Times New Roman"/>
          <w:lang w:val="ka-GE"/>
        </w:rPr>
        <w:t xml:space="preserve"> of the Minister of Labour, Health and Social Affairs of Georgia “On the Provision of Substitution Treatment for Opioid Dependence”), which substantially restricted the possibility for patients - on legitimate grounds (health condition or work-related travel) - to take in advance several days’ worth of substitution medication. </w:t>
      </w:r>
    </w:p>
    <w:p w14:paraId="6C36D974" w14:textId="00E8E260" w:rsidR="00A5240D" w:rsidRPr="000C6A1D" w:rsidRDefault="00A5240D" w:rsidP="000C6A1D">
      <w:pPr>
        <w:spacing w:line="276" w:lineRule="auto"/>
        <w:ind w:left="284"/>
        <w:rPr>
          <w:rFonts w:ascii="Times New Roman" w:hAnsi="Times New Roman" w:cs="Times New Roman"/>
        </w:rPr>
      </w:pPr>
      <w:r w:rsidRPr="00A5240D">
        <w:rPr>
          <w:rFonts w:ascii="Times New Roman" w:hAnsi="Times New Roman" w:cs="Times New Roman"/>
          <w:lang w:val="ka-GE"/>
        </w:rPr>
        <w:t>Another legislative amendment introduced in 2025 concerns a unified information database for people who use drugs and persons with mental health and alcohol-related problems.</w:t>
      </w:r>
      <w:r w:rsidRPr="00A5240D">
        <w:rPr>
          <w:rStyle w:val="FootnoteReference"/>
          <w:rFonts w:ascii="Times New Roman" w:hAnsi="Times New Roman" w:cs="Times New Roman"/>
          <w:lang w:val="ka-GE"/>
        </w:rPr>
        <w:footnoteReference w:id="14"/>
      </w:r>
      <w:r w:rsidRPr="00A5240D">
        <w:rPr>
          <w:rFonts w:ascii="Times New Roman" w:hAnsi="Times New Roman" w:cs="Times New Roman"/>
          <w:lang w:val="ka-GE"/>
        </w:rPr>
        <w:t xml:space="preserve"> According to the amendments, the Minister of Health must establish this database by 1 March 2026. Individuals included in the database may be subject to various restrictions, including in relation to employment and the right to drive. Notably, the Ministry of Internal Affairs will also have access to the database, further intensifying control and oversight. In addition, the database will unambiguously reinforce stigma against certain groups, including people who use drugs, and may operate as an additional deterrent to seeking relevant medical services. </w:t>
      </w:r>
    </w:p>
    <w:p w14:paraId="0F41212B" w14:textId="77777777" w:rsidR="00A5240D" w:rsidRPr="00A5240D" w:rsidRDefault="00A5240D" w:rsidP="00A5240D">
      <w:pPr>
        <w:pStyle w:val="Heading1"/>
        <w:spacing w:line="276" w:lineRule="auto"/>
        <w:rPr>
          <w:rFonts w:ascii="Times New Roman" w:eastAsia="Sylfaen" w:hAnsi="Times New Roman" w:cs="Times New Roman"/>
          <w:b/>
          <w:color w:val="auto"/>
          <w:sz w:val="24"/>
          <w:szCs w:val="24"/>
          <w:lang w:val="en-GB"/>
        </w:rPr>
      </w:pPr>
      <w:r w:rsidRPr="00A5240D">
        <w:rPr>
          <w:rFonts w:ascii="Times New Roman" w:eastAsia="Sylfaen" w:hAnsi="Times New Roman" w:cs="Times New Roman"/>
          <w:b/>
          <w:color w:val="auto"/>
          <w:sz w:val="24"/>
          <w:szCs w:val="24"/>
          <w:lang w:val="en-GB"/>
        </w:rPr>
        <w:t xml:space="preserve">Recommendations: </w:t>
      </w:r>
    </w:p>
    <w:p w14:paraId="50A222FF" w14:textId="23E85CAD" w:rsidR="00A5240D" w:rsidRDefault="00371A0C" w:rsidP="00556749">
      <w:pPr>
        <w:numPr>
          <w:ilvl w:val="0"/>
          <w:numId w:val="4"/>
        </w:numPr>
        <w:rPr>
          <w:rFonts w:ascii="Times New Roman" w:eastAsia="Sylfaen" w:hAnsi="Times New Roman" w:cs="Times New Roman"/>
        </w:rPr>
      </w:pPr>
      <w:r w:rsidRPr="00EB349F">
        <w:rPr>
          <w:rFonts w:ascii="Times New Roman" w:eastAsia="Sylfaen" w:hAnsi="Times New Roman" w:cs="Times New Roman"/>
        </w:rPr>
        <w:t>The State should ensure adequate, continuous access for people who use drugs to essential, life</w:t>
      </w:r>
      <w:r w:rsidRPr="00EB349F">
        <w:rPr>
          <w:rFonts w:ascii="Times New Roman" w:eastAsia="Sylfaen" w:hAnsi="Times New Roman" w:cs="Times New Roman"/>
        </w:rPr>
        <w:noBreakHyphen/>
        <w:t>saving health services, including by removing the artificial barriers introduced in recent years to opioid substitution therapy programs.​</w:t>
      </w:r>
    </w:p>
    <w:p w14:paraId="4331A261" w14:textId="2AB8A1EB" w:rsidR="00174199" w:rsidRPr="00174199" w:rsidRDefault="00174199" w:rsidP="00174199">
      <w:pPr>
        <w:numPr>
          <w:ilvl w:val="0"/>
          <w:numId w:val="4"/>
        </w:numPr>
        <w:rPr>
          <w:rFonts w:ascii="Times New Roman" w:eastAsia="Sylfaen" w:hAnsi="Times New Roman" w:cs="Times New Roman"/>
        </w:rPr>
      </w:pPr>
      <w:r w:rsidRPr="00EB349F">
        <w:rPr>
          <w:rFonts w:ascii="Times New Roman" w:eastAsia="Sylfaen" w:hAnsi="Times New Roman" w:cs="Times New Roman"/>
        </w:rPr>
        <w:t>The State should ensure access to long</w:t>
      </w:r>
      <w:r w:rsidRPr="00EB349F">
        <w:rPr>
          <w:rFonts w:ascii="Times New Roman" w:eastAsia="Sylfaen" w:hAnsi="Times New Roman" w:cs="Times New Roman"/>
        </w:rPr>
        <w:noBreakHyphen/>
        <w:t>term opioid substitution therapy in all penitentiary institutions for all people who require such treatment, on a basis equivalent to services available in the community.​</w:t>
      </w:r>
    </w:p>
    <w:p w14:paraId="1FF94513" w14:textId="77777777" w:rsidR="00556749" w:rsidRPr="00EB349F" w:rsidRDefault="00556749" w:rsidP="00556749">
      <w:pPr>
        <w:numPr>
          <w:ilvl w:val="0"/>
          <w:numId w:val="4"/>
        </w:numPr>
        <w:rPr>
          <w:rFonts w:ascii="Times New Roman" w:eastAsia="Sylfaen" w:hAnsi="Times New Roman" w:cs="Times New Roman"/>
        </w:rPr>
      </w:pPr>
      <w:r w:rsidRPr="00EB349F">
        <w:rPr>
          <w:rFonts w:ascii="Times New Roman" w:eastAsia="Sylfaen" w:hAnsi="Times New Roman" w:cs="Times New Roman"/>
        </w:rPr>
        <w:t xml:space="preserve">The State should review the legal framework governing unified information databases and ensure that their establishment and operation do not result in violations of the rights to </w:t>
      </w:r>
      <w:r w:rsidRPr="00EB349F">
        <w:rPr>
          <w:rFonts w:ascii="Times New Roman" w:eastAsia="Sylfaen" w:hAnsi="Times New Roman" w:cs="Times New Roman"/>
        </w:rPr>
        <w:lastRenderedPageBreak/>
        <w:t>privacy, confidentiality and non</w:t>
      </w:r>
      <w:r w:rsidRPr="00EB349F">
        <w:rPr>
          <w:rFonts w:ascii="Times New Roman" w:eastAsia="Sylfaen" w:hAnsi="Times New Roman" w:cs="Times New Roman"/>
        </w:rPr>
        <w:noBreakHyphen/>
        <w:t>discrimination of people who use drugs and persons with alcoholism and/or mental health conditions.</w:t>
      </w:r>
    </w:p>
    <w:p w14:paraId="70D0AC8E" w14:textId="77777777" w:rsidR="00CF1060" w:rsidRDefault="00CF1060" w:rsidP="00CF1060">
      <w:pPr>
        <w:spacing w:line="276" w:lineRule="auto"/>
        <w:rPr>
          <w:rFonts w:ascii="Times New Roman" w:eastAsiaTheme="majorEastAsia" w:hAnsi="Times New Roman" w:cs="Times New Roman"/>
          <w:b/>
        </w:rPr>
      </w:pPr>
      <w:r w:rsidRPr="00CF1060">
        <w:rPr>
          <w:rFonts w:ascii="Times New Roman" w:eastAsiaTheme="majorEastAsia" w:hAnsi="Times New Roman" w:cs="Times New Roman"/>
          <w:b/>
        </w:rPr>
        <w:t>Stigma, discrimination and gender</w:t>
      </w:r>
      <w:r w:rsidRPr="00CF1060">
        <w:rPr>
          <w:rFonts w:ascii="Times New Roman" w:eastAsiaTheme="majorEastAsia" w:hAnsi="Times New Roman" w:cs="Times New Roman"/>
          <w:b/>
        </w:rPr>
        <w:noBreakHyphen/>
        <w:t>specific barriers</w:t>
      </w:r>
    </w:p>
    <w:p w14:paraId="56655982" w14:textId="77777777" w:rsidR="00A5240D" w:rsidRPr="00A5240D" w:rsidRDefault="00A5240D" w:rsidP="00A5240D">
      <w:pPr>
        <w:spacing w:line="276" w:lineRule="auto"/>
        <w:ind w:left="284"/>
        <w:rPr>
          <w:rFonts w:ascii="Times New Roman" w:eastAsia="Sylfaen" w:hAnsi="Times New Roman" w:cs="Times New Roman"/>
          <w:lang w:val="en-GB"/>
        </w:rPr>
      </w:pPr>
      <w:r w:rsidRPr="00A5240D">
        <w:rPr>
          <w:rFonts w:ascii="Times New Roman" w:hAnsi="Times New Roman" w:cs="Times New Roman"/>
        </w:rPr>
        <w:t>Data from the REACT</w:t>
      </w:r>
      <w:r w:rsidRPr="00A5240D">
        <w:rPr>
          <w:rStyle w:val="FootnoteReference"/>
          <w:rFonts w:ascii="Times New Roman" w:hAnsi="Times New Roman" w:cs="Times New Roman"/>
        </w:rPr>
        <w:footnoteReference w:id="15"/>
      </w:r>
      <w:r w:rsidRPr="00A5240D">
        <w:rPr>
          <w:rFonts w:ascii="Times New Roman" w:hAnsi="Times New Roman" w:cs="Times New Roman"/>
        </w:rPr>
        <w:t xml:space="preserve"> project also suggest that most documented human rights violations against people who use drugs relate to barriers to essential health services, such</w:t>
      </w:r>
      <w:r w:rsidRPr="00A5240D">
        <w:rPr>
          <w:rFonts w:ascii="Times New Roman" w:eastAsia="Sylfaen" w:hAnsi="Times New Roman" w:cs="Times New Roman"/>
          <w:lang w:val="en-GB"/>
        </w:rPr>
        <w:t xml:space="preserve"> as stigma, discrimination, and the lack of documents and health insurance.</w:t>
      </w:r>
      <w:r w:rsidRPr="00A5240D">
        <w:rPr>
          <w:rStyle w:val="FootnoteReference"/>
          <w:rFonts w:ascii="Times New Roman" w:eastAsia="Sylfaen" w:hAnsi="Times New Roman" w:cs="Times New Roman"/>
          <w:lang w:val="en-GB"/>
        </w:rPr>
        <w:footnoteReference w:id="16"/>
      </w:r>
      <w:r w:rsidRPr="00A5240D">
        <w:rPr>
          <w:rFonts w:ascii="Times New Roman" w:eastAsia="Sylfaen" w:hAnsi="Times New Roman" w:cs="Times New Roman"/>
          <w:lang w:val="en-GB"/>
        </w:rPr>
        <w:t xml:space="preserve">  REACT’s 2024 report also indicates that beneficiaries also frequently indicate that their rights have been violated by staff working within OST services.</w:t>
      </w:r>
      <w:r w:rsidRPr="00A5240D">
        <w:rPr>
          <w:rStyle w:val="FootnoteReference"/>
          <w:rFonts w:ascii="Times New Roman" w:eastAsia="Sylfaen" w:hAnsi="Times New Roman" w:cs="Times New Roman"/>
          <w:lang w:val="en-GB"/>
        </w:rPr>
        <w:footnoteReference w:id="17"/>
      </w:r>
    </w:p>
    <w:p w14:paraId="0927A619" w14:textId="77777777" w:rsidR="00A5240D" w:rsidRDefault="00A5240D" w:rsidP="00A5240D">
      <w:pPr>
        <w:spacing w:line="276" w:lineRule="auto"/>
        <w:ind w:left="284" w:right="426"/>
        <w:rPr>
          <w:rFonts w:ascii="Times New Roman" w:eastAsia="Sylfaen" w:hAnsi="Times New Roman" w:cs="Times New Roman"/>
          <w:lang w:val="en-GB"/>
        </w:rPr>
      </w:pPr>
      <w:r w:rsidRPr="00A5240D">
        <w:rPr>
          <w:rFonts w:ascii="Times New Roman" w:eastAsia="Sylfaen" w:hAnsi="Times New Roman" w:cs="Times New Roman"/>
          <w:lang w:val="en-GB"/>
        </w:rPr>
        <w:t>The newly introduced unified information databases further exacerbate the stigma surrounding people who use drugs. The risk of being registered in such databases automatically reduces individuals’ motivation to seek relevant medical services. This negative effect is further compounded by the fact that law enforcement authorities will have direct access to the information contained in the database.</w:t>
      </w:r>
    </w:p>
    <w:p w14:paraId="1E83513F" w14:textId="77777777" w:rsidR="00CF1060" w:rsidRPr="00CF1060" w:rsidRDefault="00CF1060" w:rsidP="00CF1060">
      <w:pPr>
        <w:pStyle w:val="Heading1"/>
        <w:spacing w:line="276" w:lineRule="auto"/>
        <w:rPr>
          <w:rFonts w:ascii="Times New Roman" w:hAnsi="Times New Roman" w:cs="Times New Roman"/>
          <w:b/>
          <w:i/>
          <w:iCs/>
          <w:color w:val="auto"/>
          <w:sz w:val="24"/>
          <w:szCs w:val="24"/>
        </w:rPr>
      </w:pPr>
      <w:r w:rsidRPr="00CF1060">
        <w:rPr>
          <w:rFonts w:ascii="Times New Roman" w:hAnsi="Times New Roman" w:cs="Times New Roman"/>
          <w:b/>
          <w:i/>
          <w:iCs/>
          <w:color w:val="auto"/>
          <w:sz w:val="24"/>
          <w:szCs w:val="24"/>
        </w:rPr>
        <w:t>Gender blind application of criminal/administrative laws, including to pregnant women</w:t>
      </w:r>
    </w:p>
    <w:p w14:paraId="2ED09C01" w14:textId="77777777" w:rsidR="00CF1060" w:rsidRPr="00A5240D" w:rsidRDefault="00CF1060" w:rsidP="00CF1060">
      <w:pPr>
        <w:spacing w:line="276" w:lineRule="auto"/>
        <w:ind w:left="284"/>
        <w:rPr>
          <w:rFonts w:ascii="Times New Roman" w:hAnsi="Times New Roman" w:cs="Times New Roman"/>
        </w:rPr>
      </w:pPr>
      <w:r w:rsidRPr="00A5240D">
        <w:rPr>
          <w:rFonts w:ascii="Times New Roman" w:hAnsi="Times New Roman" w:cs="Times New Roman"/>
        </w:rPr>
        <w:t>Women with substance use disorders are one of Georgia's most hidden and underserved populations</w:t>
      </w:r>
      <w:r w:rsidRPr="00A5240D">
        <w:rPr>
          <w:rStyle w:val="FootnoteReference"/>
          <w:rFonts w:ascii="Times New Roman" w:eastAsiaTheme="majorEastAsia" w:hAnsi="Times New Roman" w:cs="Times New Roman"/>
        </w:rPr>
        <w:footnoteReference w:id="18"/>
      </w:r>
      <w:r w:rsidRPr="00A5240D">
        <w:rPr>
          <w:rFonts w:ascii="Times New Roman" w:hAnsi="Times New Roman" w:cs="Times New Roman"/>
        </w:rPr>
        <w:t>. Women who use drugs are vulnerable to gender-based violence and intersectional discrimination. The discrimination is caused by repressive legislation related to drug use and societal stigmatization.</w:t>
      </w:r>
    </w:p>
    <w:p w14:paraId="13FD9C19" w14:textId="77777777" w:rsidR="00CF1060" w:rsidRPr="00A5240D" w:rsidRDefault="00CF1060" w:rsidP="00CF1060">
      <w:pPr>
        <w:spacing w:line="276" w:lineRule="auto"/>
        <w:ind w:left="284"/>
        <w:rPr>
          <w:rFonts w:ascii="Times New Roman" w:hAnsi="Times New Roman" w:cs="Times New Roman"/>
        </w:rPr>
      </w:pPr>
      <w:r w:rsidRPr="00A5240D">
        <w:rPr>
          <w:rFonts w:ascii="Times New Roman" w:hAnsi="Times New Roman" w:cs="Times New Roman"/>
        </w:rPr>
        <w:t>Criminal liability for drug use and repressive drug policies prevent women who use drugs from reporting domestic and gender-based violence because they fear that their drug use practices will be exposed and they will be prosecuted. In addition, disclosure of the fact of drug use may result in deprivation of parental rights. Women using drugs also report cases of physical and psychological violence, coercion, and sexual assault by law enforcement officers, for which, according to the women, no one is held responsible.</w:t>
      </w:r>
      <w:r w:rsidRPr="00A5240D">
        <w:rPr>
          <w:rStyle w:val="FootnoteReference"/>
          <w:rFonts w:ascii="Times New Roman" w:eastAsiaTheme="majorEastAsia" w:hAnsi="Times New Roman" w:cs="Times New Roman"/>
        </w:rPr>
        <w:footnoteReference w:id="19"/>
      </w:r>
    </w:p>
    <w:p w14:paraId="035A145F" w14:textId="77777777" w:rsidR="00CF1060" w:rsidRPr="00A5240D" w:rsidRDefault="00CF1060" w:rsidP="00CF1060">
      <w:pPr>
        <w:spacing w:line="276" w:lineRule="auto"/>
        <w:ind w:left="284"/>
        <w:rPr>
          <w:rFonts w:ascii="Times New Roman" w:hAnsi="Times New Roman" w:cs="Times New Roman"/>
          <w:i/>
        </w:rPr>
      </w:pPr>
      <w:r w:rsidRPr="00A5240D">
        <w:rPr>
          <w:rFonts w:ascii="Times New Roman" w:hAnsi="Times New Roman" w:cs="Times New Roman"/>
          <w:i/>
        </w:rPr>
        <w:t xml:space="preserve">There is no OST program in women's detention facilities, making it difficult for pre-arrest OST beneficiaries to receive even methadone-assisted detox treatment in prison. Women are taken to the </w:t>
      </w:r>
      <w:proofErr w:type="spellStart"/>
      <w:r w:rsidRPr="00A5240D">
        <w:rPr>
          <w:rFonts w:ascii="Times New Roman" w:hAnsi="Times New Roman" w:cs="Times New Roman"/>
          <w:i/>
        </w:rPr>
        <w:t>Gldani</w:t>
      </w:r>
      <w:proofErr w:type="spellEnd"/>
      <w:r w:rsidRPr="00A5240D">
        <w:rPr>
          <w:rFonts w:ascii="Times New Roman" w:hAnsi="Times New Roman" w:cs="Times New Roman"/>
          <w:i/>
        </w:rPr>
        <w:t xml:space="preserve"> Prison for daily methadone treatment.</w:t>
      </w:r>
      <w:r w:rsidRPr="00A5240D">
        <w:rPr>
          <w:rStyle w:val="FootnoteReference"/>
          <w:rFonts w:ascii="Times New Roman" w:eastAsiaTheme="majorEastAsia" w:hAnsi="Times New Roman" w:cs="Times New Roman"/>
          <w:i/>
        </w:rPr>
        <w:footnoteReference w:id="20"/>
      </w:r>
    </w:p>
    <w:p w14:paraId="31CC3736" w14:textId="77777777" w:rsidR="00CF1060" w:rsidRPr="00A5240D" w:rsidRDefault="00CF1060" w:rsidP="00CF1060">
      <w:pPr>
        <w:spacing w:line="276" w:lineRule="auto"/>
        <w:ind w:left="284"/>
        <w:rPr>
          <w:rStyle w:val="None"/>
          <w:rFonts w:ascii="Times New Roman" w:eastAsia="Arial Unicode MS" w:hAnsi="Times New Roman" w:cs="Times New Roman"/>
          <w:iCs/>
          <w:u w:color="000000"/>
          <w:bdr w:val="nil"/>
        </w:rPr>
      </w:pPr>
      <w:r w:rsidRPr="00A5240D">
        <w:rPr>
          <w:rStyle w:val="None"/>
          <w:rFonts w:ascii="Times New Roman" w:eastAsia="Arial Unicode MS" w:hAnsi="Times New Roman" w:cs="Times New Roman"/>
          <w:iCs/>
          <w:u w:color="000000"/>
          <w:bdr w:val="nil"/>
        </w:rPr>
        <w:lastRenderedPageBreak/>
        <w:t xml:space="preserve">Also, the penitentiary system's </w:t>
      </w:r>
      <w:r w:rsidRPr="00A5240D">
        <w:rPr>
          <w:rFonts w:ascii="Times New Roman" w:hAnsi="Times New Roman" w:cs="Times New Roman"/>
        </w:rPr>
        <w:t>OST</w:t>
      </w:r>
      <w:r w:rsidRPr="00A5240D">
        <w:rPr>
          <w:rStyle w:val="None"/>
          <w:rFonts w:ascii="Times New Roman" w:eastAsia="Arial Unicode MS" w:hAnsi="Times New Roman" w:cs="Times New Roman"/>
          <w:iCs/>
          <w:u w:color="000000"/>
          <w:bdr w:val="nil"/>
        </w:rPr>
        <w:t xml:space="preserve"> infrastructure and security procedures are mainly designed for male prisoners and do not consider the specific requirements of female prisoners. A particular emphasis should be placed on women's prisons and providing OST services to female prisoners, equivalent to the services available in the civilian sector.</w:t>
      </w:r>
      <w:r w:rsidRPr="00A5240D">
        <w:rPr>
          <w:rStyle w:val="FootnoteReference"/>
          <w:rFonts w:ascii="Times New Roman" w:eastAsia="Arial Unicode MS" w:hAnsi="Times New Roman" w:cs="Times New Roman"/>
          <w:iCs/>
          <w:u w:color="000000"/>
          <w:bdr w:val="nil"/>
        </w:rPr>
        <w:footnoteReference w:id="21"/>
      </w:r>
    </w:p>
    <w:p w14:paraId="661A6AE2" w14:textId="0761BE1B" w:rsidR="00CF1060" w:rsidRPr="00CF1060" w:rsidRDefault="00CF1060" w:rsidP="00CF1060">
      <w:pPr>
        <w:spacing w:line="276" w:lineRule="auto"/>
        <w:ind w:left="284"/>
        <w:rPr>
          <w:rFonts w:ascii="Times New Roman" w:eastAsia="Arial Unicode MS" w:hAnsi="Times New Roman" w:cs="Times New Roman"/>
          <w:iCs/>
          <w:u w:color="000000"/>
          <w:bdr w:val="nil"/>
        </w:rPr>
      </w:pPr>
      <w:r w:rsidRPr="00A5240D">
        <w:rPr>
          <w:rStyle w:val="None"/>
          <w:rFonts w:ascii="Times New Roman" w:eastAsia="Arial Unicode MS" w:hAnsi="Times New Roman" w:cs="Times New Roman"/>
          <w:iCs/>
          <w:u w:color="000000"/>
          <w:bdr w:val="nil"/>
        </w:rPr>
        <w:t>Women’s uptake of opioid substitution therapy is also low within the civilian (non-penitentiary) sector. For example, according to 2023 data, a total of 16,403 individuals received OST, of whom only 95 were women.</w:t>
      </w:r>
      <w:r w:rsidRPr="00A5240D">
        <w:rPr>
          <w:rStyle w:val="FootnoteReference"/>
          <w:rFonts w:ascii="Times New Roman" w:eastAsia="Arial Unicode MS" w:hAnsi="Times New Roman" w:cs="Times New Roman"/>
          <w:iCs/>
          <w:u w:color="000000"/>
          <w:bdr w:val="nil"/>
        </w:rPr>
        <w:footnoteReference w:id="22"/>
      </w:r>
    </w:p>
    <w:p w14:paraId="511BC6B4" w14:textId="77777777" w:rsidR="00A5240D" w:rsidRPr="00A5240D" w:rsidRDefault="00A5240D" w:rsidP="00A5240D">
      <w:pPr>
        <w:pStyle w:val="Heading1"/>
        <w:spacing w:line="276" w:lineRule="auto"/>
        <w:rPr>
          <w:rFonts w:ascii="Times New Roman" w:eastAsia="Sylfaen" w:hAnsi="Times New Roman" w:cs="Times New Roman"/>
          <w:b/>
          <w:color w:val="auto"/>
          <w:sz w:val="24"/>
          <w:szCs w:val="24"/>
          <w:lang w:val="en-GB"/>
        </w:rPr>
      </w:pPr>
      <w:r w:rsidRPr="00A5240D">
        <w:rPr>
          <w:rFonts w:ascii="Times New Roman" w:eastAsia="Sylfaen" w:hAnsi="Times New Roman" w:cs="Times New Roman"/>
          <w:b/>
          <w:color w:val="auto"/>
          <w:sz w:val="24"/>
          <w:szCs w:val="24"/>
          <w:lang w:val="en-GB"/>
        </w:rPr>
        <w:t xml:space="preserve">Recommendations: </w:t>
      </w:r>
    </w:p>
    <w:p w14:paraId="27516B4C" w14:textId="77777777" w:rsidR="00E865A9" w:rsidRPr="00EB349F" w:rsidRDefault="00E865A9" w:rsidP="00E865A9">
      <w:pPr>
        <w:numPr>
          <w:ilvl w:val="0"/>
          <w:numId w:val="11"/>
        </w:numPr>
        <w:rPr>
          <w:rFonts w:ascii="Times New Roman" w:eastAsia="Sylfaen" w:hAnsi="Times New Roman" w:cs="Times New Roman"/>
        </w:rPr>
      </w:pPr>
      <w:r w:rsidRPr="00EB349F">
        <w:rPr>
          <w:rFonts w:ascii="Times New Roman" w:eastAsia="Sylfaen" w:hAnsi="Times New Roman" w:cs="Times New Roman"/>
        </w:rPr>
        <w:t>The State should take effective measures to reduce and eliminate stigma against people who use drugs, and avoid – in legislation, policy and public messaging – any framing that contributes to their marginalization or discrimination.​</w:t>
      </w:r>
    </w:p>
    <w:p w14:paraId="5A39ECB8" w14:textId="77777777" w:rsidR="00E865A9" w:rsidRPr="00EB349F" w:rsidRDefault="00E865A9" w:rsidP="00E865A9">
      <w:pPr>
        <w:numPr>
          <w:ilvl w:val="0"/>
          <w:numId w:val="11"/>
        </w:numPr>
        <w:rPr>
          <w:rFonts w:ascii="Times New Roman" w:eastAsia="Sylfaen" w:hAnsi="Times New Roman" w:cs="Times New Roman"/>
        </w:rPr>
      </w:pPr>
      <w:r w:rsidRPr="00EB349F">
        <w:rPr>
          <w:rFonts w:ascii="Times New Roman" w:eastAsia="Sylfaen" w:hAnsi="Times New Roman" w:cs="Times New Roman"/>
        </w:rPr>
        <w:t>Opioid substitution therapy and other essential health services should be designed and delivered in a way that responds to the specific needs of particular groups, including women, in order to strengthen trust in these programs and improve uptake and accessibility.​</w:t>
      </w:r>
    </w:p>
    <w:p w14:paraId="481665EE" w14:textId="027D808D" w:rsidR="00A5240D" w:rsidRPr="00A5240D" w:rsidRDefault="00A5240D" w:rsidP="00A5240D">
      <w:pPr>
        <w:spacing w:line="276" w:lineRule="auto"/>
        <w:rPr>
          <w:rFonts w:ascii="Times New Roman" w:hAnsi="Times New Roman" w:cs="Times New Roman"/>
          <w:b/>
          <w:bCs/>
        </w:rPr>
      </w:pPr>
      <w:r w:rsidRPr="00A5240D">
        <w:rPr>
          <w:rFonts w:ascii="Times New Roman" w:hAnsi="Times New Roman" w:cs="Times New Roman"/>
          <w:b/>
          <w:bCs/>
        </w:rPr>
        <w:t>Part II</w:t>
      </w:r>
    </w:p>
    <w:p w14:paraId="2C4391B1" w14:textId="77777777" w:rsidR="00A5240D" w:rsidRPr="00CF1060" w:rsidRDefault="00A5240D" w:rsidP="00A5240D">
      <w:pPr>
        <w:pStyle w:val="Heading2"/>
        <w:spacing w:line="276" w:lineRule="auto"/>
        <w:jc w:val="both"/>
        <w:rPr>
          <w:rFonts w:ascii="Times New Roman" w:hAnsi="Times New Roman" w:cs="Times New Roman"/>
          <w:b/>
          <w:bCs/>
          <w:color w:val="auto"/>
          <w:sz w:val="24"/>
          <w:szCs w:val="24"/>
          <w:lang w:val="en-GB"/>
        </w:rPr>
      </w:pPr>
      <w:r w:rsidRPr="00CF1060">
        <w:rPr>
          <w:rFonts w:ascii="Times New Roman" w:hAnsi="Times New Roman" w:cs="Times New Roman"/>
          <w:b/>
          <w:bCs/>
          <w:color w:val="auto"/>
          <w:sz w:val="24"/>
          <w:szCs w:val="24"/>
          <w:lang w:val="en-GB"/>
        </w:rPr>
        <w:t xml:space="preserve">Introduction </w:t>
      </w:r>
    </w:p>
    <w:p w14:paraId="3738F610" w14:textId="4DDD1DA5" w:rsidR="00A5240D" w:rsidRPr="00A5240D" w:rsidRDefault="00A5240D" w:rsidP="00A5240D">
      <w:pPr>
        <w:spacing w:line="276" w:lineRule="auto"/>
        <w:ind w:left="720"/>
        <w:jc w:val="both"/>
        <w:rPr>
          <w:rFonts w:ascii="Times New Roman" w:hAnsi="Times New Roman" w:cs="Times New Roman"/>
          <w:lang w:val="ka-GE"/>
        </w:rPr>
      </w:pPr>
      <w:r w:rsidRPr="00A5240D">
        <w:rPr>
          <w:rFonts w:ascii="Times New Roman" w:hAnsi="Times New Roman" w:cs="Times New Roman"/>
          <w:lang w:val="ka-GE"/>
        </w:rPr>
        <w:t xml:space="preserve">Over the past two years, Georgia has experienced a pattern of systemic democratic backsliding. This has been reflected in the tightening of criminal legislation, the deterioration of freedoms of assembly and expression, intrusive interference with freedom of association, and other serious, systematic violations of fundamental rights and freedoms. Independent civil society organisations and associations have become one of the principal targets of these authoritarian trends. This includes groups that are critical of the authorities, those that provide life-saving medical or other essential services to vulnerable populations, organisations working on environmental and ecological issues, and others. The structural barriers and restrictions imposed on civil society organizations are incompatible with international human rights standards and principles. </w:t>
      </w:r>
      <w:r w:rsidR="00CF1060" w:rsidRPr="00CF1060">
        <w:rPr>
          <w:rFonts w:ascii="Times New Roman" w:hAnsi="Times New Roman" w:cs="Times New Roman"/>
        </w:rPr>
        <w:t xml:space="preserve">These restrictions on civic space directly undermine the ability of </w:t>
      </w:r>
      <w:proofErr w:type="spellStart"/>
      <w:r w:rsidR="00CF1060" w:rsidRPr="00CF1060">
        <w:rPr>
          <w:rFonts w:ascii="Times New Roman" w:hAnsi="Times New Roman" w:cs="Times New Roman"/>
        </w:rPr>
        <w:t>organisations</w:t>
      </w:r>
      <w:proofErr w:type="spellEnd"/>
      <w:r w:rsidR="00CF1060" w:rsidRPr="00CF1060">
        <w:rPr>
          <w:rFonts w:ascii="Times New Roman" w:hAnsi="Times New Roman" w:cs="Times New Roman"/>
        </w:rPr>
        <w:t xml:space="preserve"> providing HIV, viral hepatitis and harm reduction services to support people who use drugs and other key populations.</w:t>
      </w:r>
      <w:r w:rsidR="00CF1060">
        <w:rPr>
          <w:rFonts w:ascii="Times New Roman" w:hAnsi="Times New Roman" w:cs="Times New Roman"/>
        </w:rPr>
        <w:t xml:space="preserve"> A</w:t>
      </w:r>
      <w:r w:rsidRPr="00A5240D">
        <w:rPr>
          <w:rFonts w:ascii="Times New Roman" w:hAnsi="Times New Roman" w:cs="Times New Roman"/>
          <w:lang w:val="ka-GE"/>
        </w:rPr>
        <w:t>t a minimum, the</w:t>
      </w:r>
      <w:r w:rsidR="00CF1060">
        <w:rPr>
          <w:rFonts w:ascii="Times New Roman" w:hAnsi="Times New Roman" w:cs="Times New Roman"/>
          <w:lang w:val="ka-GE"/>
        </w:rPr>
        <w:t>se restrictions</w:t>
      </w:r>
      <w:r w:rsidRPr="00A5240D">
        <w:rPr>
          <w:rFonts w:ascii="Times New Roman" w:hAnsi="Times New Roman" w:cs="Times New Roman"/>
          <w:lang w:val="ka-GE"/>
        </w:rPr>
        <w:t xml:space="preserve"> should be assessed as inconsistent with the prohibition of discrimination under Article 2(2) of the International Covenant on Economic, Social and Cultural Rights and as impairing the enjoyment of the right to the highest attainable standard of physical and mental health under Article 12.</w:t>
      </w:r>
      <w:r w:rsidRPr="00A5240D">
        <w:rPr>
          <w:rFonts w:ascii="Times New Roman" w:hAnsi="Times New Roman" w:cs="Times New Roman"/>
          <w:lang w:val="en-GB"/>
        </w:rPr>
        <w:t xml:space="preserve"> </w:t>
      </w:r>
    </w:p>
    <w:p w14:paraId="1F449796" w14:textId="1B673E42" w:rsidR="00A5240D" w:rsidRPr="00CF1060" w:rsidRDefault="00A5240D" w:rsidP="00A5240D">
      <w:pPr>
        <w:pStyle w:val="Heading2"/>
        <w:spacing w:line="276" w:lineRule="auto"/>
        <w:jc w:val="both"/>
        <w:rPr>
          <w:rFonts w:ascii="Times New Roman" w:hAnsi="Times New Roman" w:cs="Times New Roman"/>
          <w:b/>
          <w:bCs/>
          <w:color w:val="auto"/>
          <w:sz w:val="24"/>
          <w:szCs w:val="24"/>
          <w:lang w:val="en-GB"/>
        </w:rPr>
      </w:pPr>
      <w:r w:rsidRPr="00CF1060">
        <w:rPr>
          <w:rFonts w:ascii="Times New Roman" w:hAnsi="Times New Roman" w:cs="Times New Roman"/>
          <w:b/>
          <w:bCs/>
          <w:color w:val="auto"/>
          <w:sz w:val="24"/>
          <w:szCs w:val="24"/>
          <w:lang w:val="en-GB"/>
        </w:rPr>
        <w:lastRenderedPageBreak/>
        <w:t xml:space="preserve">Source of </w:t>
      </w:r>
      <w:r w:rsidR="00CF1060" w:rsidRPr="00CF1060">
        <w:rPr>
          <w:rFonts w:ascii="Times New Roman" w:hAnsi="Times New Roman" w:cs="Times New Roman"/>
          <w:b/>
          <w:bCs/>
          <w:color w:val="auto"/>
          <w:sz w:val="24"/>
          <w:szCs w:val="24"/>
          <w:lang w:val="en-GB"/>
        </w:rPr>
        <w:t>i</w:t>
      </w:r>
      <w:r w:rsidRPr="00CF1060">
        <w:rPr>
          <w:rFonts w:ascii="Times New Roman" w:hAnsi="Times New Roman" w:cs="Times New Roman"/>
          <w:b/>
          <w:bCs/>
          <w:color w:val="auto"/>
          <w:sz w:val="24"/>
          <w:szCs w:val="24"/>
          <w:lang w:val="en-GB"/>
        </w:rPr>
        <w:t xml:space="preserve">nformation </w:t>
      </w:r>
      <w:r w:rsidR="00CF1060" w:rsidRPr="00CF1060">
        <w:rPr>
          <w:rFonts w:ascii="Times New Roman" w:hAnsi="Times New Roman" w:cs="Times New Roman"/>
          <w:b/>
          <w:bCs/>
          <w:color w:val="auto"/>
          <w:sz w:val="24"/>
          <w:szCs w:val="24"/>
          <w:lang w:val="en-GB"/>
        </w:rPr>
        <w:t>and methodology</w:t>
      </w:r>
    </w:p>
    <w:p w14:paraId="25780BD1" w14:textId="77777777" w:rsidR="00A5240D" w:rsidRPr="00A5240D" w:rsidRDefault="00A5240D" w:rsidP="00A5240D">
      <w:pPr>
        <w:spacing w:line="276" w:lineRule="auto"/>
        <w:ind w:left="720"/>
        <w:jc w:val="both"/>
        <w:rPr>
          <w:rFonts w:ascii="Times New Roman" w:hAnsi="Times New Roman" w:cs="Times New Roman"/>
          <w:lang w:val="en-GB"/>
        </w:rPr>
      </w:pPr>
      <w:r w:rsidRPr="00A5240D">
        <w:rPr>
          <w:rFonts w:ascii="Times New Roman" w:hAnsi="Times New Roman" w:cs="Times New Roman"/>
          <w:lang w:val="en-GB"/>
        </w:rPr>
        <w:t>The document is based on a legal analysis of the existing legislative framework, relevant national and international assessments and recommendations concerning Georgia, and a secondary analysis of pertinent research studies.</w:t>
      </w:r>
    </w:p>
    <w:p w14:paraId="096A1EDB" w14:textId="77777777" w:rsidR="00A5240D" w:rsidRPr="00CF1060" w:rsidRDefault="00A5240D" w:rsidP="00A5240D">
      <w:pPr>
        <w:pStyle w:val="Heading2"/>
        <w:spacing w:line="276" w:lineRule="auto"/>
        <w:jc w:val="both"/>
        <w:rPr>
          <w:rFonts w:ascii="Times New Roman" w:hAnsi="Times New Roman" w:cs="Times New Roman"/>
          <w:b/>
          <w:bCs/>
          <w:color w:val="auto"/>
          <w:sz w:val="24"/>
          <w:szCs w:val="24"/>
          <w:lang w:val="en-GB"/>
        </w:rPr>
      </w:pPr>
      <w:r w:rsidRPr="00CF1060">
        <w:rPr>
          <w:rFonts w:ascii="Times New Roman" w:hAnsi="Times New Roman" w:cs="Times New Roman"/>
          <w:b/>
          <w:bCs/>
          <w:color w:val="auto"/>
          <w:sz w:val="24"/>
          <w:szCs w:val="24"/>
          <w:lang w:val="en-GB"/>
        </w:rPr>
        <w:t xml:space="preserve">Summary </w:t>
      </w:r>
    </w:p>
    <w:p w14:paraId="472E6770" w14:textId="3D1E4538" w:rsidR="00A5240D" w:rsidRPr="00A5240D" w:rsidRDefault="00A5240D" w:rsidP="00A5240D">
      <w:pPr>
        <w:spacing w:line="276" w:lineRule="auto"/>
        <w:ind w:left="720"/>
        <w:jc w:val="both"/>
        <w:rPr>
          <w:rFonts w:ascii="Times New Roman" w:hAnsi="Times New Roman" w:cs="Times New Roman"/>
          <w:lang w:val="ka-GE"/>
        </w:rPr>
      </w:pPr>
      <w:r w:rsidRPr="00A5240D">
        <w:rPr>
          <w:rFonts w:ascii="Times New Roman" w:hAnsi="Times New Roman" w:cs="Times New Roman"/>
          <w:lang w:val="ka-GE"/>
        </w:rPr>
        <w:t xml:space="preserve">In previous years, a number of state-adopted strategies and sectoral policy documents explicitly defined cooperation with civil society organisations as a foundational principle. Clear examples include the National Drug Policy Strategy for 2023–2030 and its 2023–2024 Action Plan; the HIV/AIDS Strategy and Action Plan for 2023–2025; and the National Strategy for the Elimination of Viral Hepatitis for 2023–2025, together with its logical framework. These documents envisage multiple activities that would be practically impossible to implement without active cooperation with civil society and community-based organisations - for example, HIV and hepatitis testing for people who inject drugs; syringe and needle exchange programmes; numerous awareness raising activities, </w:t>
      </w:r>
      <w:r w:rsidR="00287523" w:rsidRPr="00287523">
        <w:rPr>
          <w:rFonts w:ascii="Times New Roman" w:hAnsi="Times New Roman" w:cs="Times New Roman"/>
        </w:rPr>
        <w:t>which are essential to the realization of the right to the highest attainable standard of physical and mental health and to non</w:t>
      </w:r>
      <w:r w:rsidR="00287523" w:rsidRPr="00287523">
        <w:rPr>
          <w:rFonts w:ascii="Times New Roman" w:hAnsi="Times New Roman" w:cs="Times New Roman"/>
        </w:rPr>
        <w:noBreakHyphen/>
        <w:t>discrimination in access to these services (Articles 12 and 2(2) of the Covenant)</w:t>
      </w:r>
      <w:r w:rsidRPr="00A5240D">
        <w:rPr>
          <w:rFonts w:ascii="Times New Roman" w:hAnsi="Times New Roman" w:cs="Times New Roman"/>
          <w:lang w:val="ka-GE"/>
        </w:rPr>
        <w:t xml:space="preserve">. </w:t>
      </w:r>
    </w:p>
    <w:p w14:paraId="5A431026" w14:textId="7B07E31C" w:rsidR="00A5240D" w:rsidRPr="00962BC7" w:rsidRDefault="00A5240D" w:rsidP="00A5240D">
      <w:pPr>
        <w:spacing w:line="276" w:lineRule="auto"/>
        <w:ind w:left="720"/>
        <w:jc w:val="both"/>
        <w:rPr>
          <w:rFonts w:ascii="Times New Roman" w:hAnsi="Times New Roman" w:cs="Times New Roman"/>
        </w:rPr>
      </w:pPr>
      <w:r w:rsidRPr="00A5240D">
        <w:rPr>
          <w:rFonts w:ascii="Times New Roman" w:hAnsi="Times New Roman" w:cs="Times New Roman"/>
          <w:lang w:val="ka-GE"/>
        </w:rPr>
        <w:t>By contrast, legislative changes adopted over the past two years have substantially curtailed the ability of civil society organisations to operate freely in Georgia. The legislation on the transparency of foreign influence significantly increases stigma towards civil society organisations and fosters an environment of distrust</w:t>
      </w:r>
      <w:r w:rsidR="00F43050">
        <w:rPr>
          <w:rFonts w:ascii="Times New Roman" w:hAnsi="Times New Roman" w:cs="Times New Roman"/>
          <w:lang w:val="ka-GE"/>
        </w:rPr>
        <w:t xml:space="preserve">, while </w:t>
      </w:r>
      <w:r w:rsidRPr="00A5240D">
        <w:rPr>
          <w:rFonts w:ascii="Times New Roman" w:hAnsi="Times New Roman" w:cs="Times New Roman"/>
          <w:lang w:val="ka-GE"/>
        </w:rPr>
        <w:t>strengthen</w:t>
      </w:r>
      <w:r w:rsidR="007649C0">
        <w:rPr>
          <w:rFonts w:ascii="Times New Roman" w:hAnsi="Times New Roman" w:cs="Times New Roman"/>
          <w:lang w:val="ka-GE"/>
        </w:rPr>
        <w:t>ed</w:t>
      </w:r>
      <w:r w:rsidRPr="00A5240D">
        <w:rPr>
          <w:rFonts w:ascii="Times New Roman" w:hAnsi="Times New Roman" w:cs="Times New Roman"/>
          <w:lang w:val="ka-GE"/>
        </w:rPr>
        <w:t xml:space="preserve"> Government’s control over the receipt of foreign aid constitutes direct interference in the</w:t>
      </w:r>
      <w:r w:rsidR="007649C0">
        <w:rPr>
          <w:rFonts w:ascii="Times New Roman" w:hAnsi="Times New Roman" w:cs="Times New Roman"/>
          <w:lang w:val="ka-GE"/>
        </w:rPr>
        <w:t>ir</w:t>
      </w:r>
      <w:r w:rsidRPr="00A5240D">
        <w:rPr>
          <w:rFonts w:ascii="Times New Roman" w:hAnsi="Times New Roman" w:cs="Times New Roman"/>
          <w:lang w:val="ka-GE"/>
        </w:rPr>
        <w:t xml:space="preserve"> work</w:t>
      </w:r>
      <w:r w:rsidR="007649C0">
        <w:rPr>
          <w:rFonts w:ascii="Times New Roman" w:hAnsi="Times New Roman" w:cs="Times New Roman"/>
          <w:lang w:val="ka-GE"/>
        </w:rPr>
        <w:t>.</w:t>
      </w:r>
      <w:r w:rsidRPr="00A5240D">
        <w:rPr>
          <w:rFonts w:ascii="Times New Roman" w:hAnsi="Times New Roman" w:cs="Times New Roman"/>
          <w:lang w:val="ka-GE"/>
        </w:rPr>
        <w:t xml:space="preserve"> </w:t>
      </w:r>
      <w:r w:rsidR="0003467B">
        <w:rPr>
          <w:rFonts w:ascii="Times New Roman" w:hAnsi="Times New Roman" w:cs="Times New Roman"/>
          <w:lang w:val="ka-GE"/>
        </w:rPr>
        <w:t>E</w:t>
      </w:r>
      <w:r w:rsidRPr="00A5240D">
        <w:rPr>
          <w:rFonts w:ascii="Times New Roman" w:hAnsi="Times New Roman" w:cs="Times New Roman"/>
          <w:lang w:val="ka-GE"/>
        </w:rPr>
        <w:t>xcluding civil society organisations from sector-specific or thematic decision-making and consultation processes further contributes to their marginalisation, silencing, and exclusion from public and political life.</w:t>
      </w:r>
      <w:r w:rsidR="00962BC7">
        <w:rPr>
          <w:rFonts w:ascii="Times New Roman" w:hAnsi="Times New Roman" w:cs="Times New Roman"/>
          <w:lang w:val="ka-GE"/>
        </w:rPr>
        <w:t xml:space="preserve"> </w:t>
      </w:r>
      <w:r w:rsidR="00962BC7" w:rsidRPr="00962BC7">
        <w:rPr>
          <w:rFonts w:ascii="Times New Roman" w:hAnsi="Times New Roman" w:cs="Times New Roman"/>
        </w:rPr>
        <w:t>Together, these measures restrict the participation of affected communities and their organizations in the design, implementation and monitoring of health</w:t>
      </w:r>
      <w:r w:rsidR="00962BC7" w:rsidRPr="00962BC7">
        <w:rPr>
          <w:rFonts w:ascii="Times New Roman" w:hAnsi="Times New Roman" w:cs="Times New Roman"/>
        </w:rPr>
        <w:noBreakHyphen/>
        <w:t>related policies and programs, in violation of the obligations to ensure participation, transparency and accountability in the realization of economic, social and cultural rights and to guarantee equal enjoyment of these rights without discrimination (Articles 2(2), 3 and 12).</w:t>
      </w:r>
    </w:p>
    <w:p w14:paraId="59CF6130" w14:textId="6A879D4D" w:rsidR="00A5240D" w:rsidRPr="00A5240D" w:rsidRDefault="00A5240D" w:rsidP="00A5240D">
      <w:pPr>
        <w:spacing w:line="276" w:lineRule="auto"/>
        <w:ind w:left="720"/>
        <w:jc w:val="both"/>
        <w:rPr>
          <w:rFonts w:ascii="Times New Roman" w:hAnsi="Times New Roman" w:cs="Times New Roman"/>
          <w:lang w:val="ka-GE"/>
        </w:rPr>
      </w:pPr>
      <w:r w:rsidRPr="00A5240D">
        <w:rPr>
          <w:rFonts w:ascii="Times New Roman" w:hAnsi="Times New Roman" w:cs="Times New Roman"/>
          <w:lang w:val="ka-GE"/>
        </w:rPr>
        <w:t>Georgian civil society organizations rely primarily on project-based funding from foreign donors. Intrusive governmental control over such funding - together with the marginalization and delegitimization of recipient organizations - directly and adversely affects access to a range of medical and public health services. The legislative restrictions discussed</w:t>
      </w:r>
      <w:r w:rsidRPr="00A5240D">
        <w:rPr>
          <w:rFonts w:ascii="Times New Roman" w:hAnsi="Times New Roman" w:cs="Times New Roman"/>
          <w:lang w:val="en-GB"/>
        </w:rPr>
        <w:t xml:space="preserve"> below </w:t>
      </w:r>
      <w:r w:rsidRPr="00A5240D">
        <w:rPr>
          <w:rFonts w:ascii="Times New Roman" w:hAnsi="Times New Roman" w:cs="Times New Roman"/>
          <w:lang w:val="ka-GE"/>
        </w:rPr>
        <w:t>risk undermining programmes such as harm reduction for people who use drugs; prevention and treatment services for communicable diseases, including HIV and hepatitis C; rehabilitation services for survivors of violence; and other essential interventions.</w:t>
      </w:r>
      <w:r w:rsidR="00D51E1A">
        <w:rPr>
          <w:rFonts w:ascii="Times New Roman" w:hAnsi="Times New Roman" w:cs="Times New Roman"/>
          <w:lang w:val="ka-GE"/>
        </w:rPr>
        <w:t xml:space="preserve"> </w:t>
      </w:r>
      <w:r w:rsidR="00D51E1A" w:rsidRPr="00D51E1A">
        <w:rPr>
          <w:rFonts w:ascii="Times New Roman" w:hAnsi="Times New Roman" w:cs="Times New Roman"/>
        </w:rPr>
        <w:t xml:space="preserve">This threatens the availability, accessibility and quality of essential health services for people who use drugs and other key populations and undermines the State party’s duty to use the maximum of available resources to progressively </w:t>
      </w:r>
      <w:r w:rsidR="00D51E1A" w:rsidRPr="00D51E1A">
        <w:rPr>
          <w:rFonts w:ascii="Times New Roman" w:hAnsi="Times New Roman" w:cs="Times New Roman"/>
        </w:rPr>
        <w:lastRenderedPageBreak/>
        <w:t>realize economic, social and cultural rights, particularly for disadvantaged and marginalized groups</w:t>
      </w:r>
      <w:r w:rsidR="00D51E1A">
        <w:rPr>
          <w:rFonts w:ascii="Times New Roman" w:hAnsi="Times New Roman" w:cs="Times New Roman"/>
        </w:rPr>
        <w:t>.</w:t>
      </w:r>
    </w:p>
    <w:p w14:paraId="580CAA41" w14:textId="0523B01B" w:rsidR="00A5240D" w:rsidRPr="00A5240D" w:rsidRDefault="00A5240D" w:rsidP="00A5240D">
      <w:pPr>
        <w:spacing w:line="276" w:lineRule="auto"/>
        <w:ind w:left="720"/>
        <w:jc w:val="both"/>
        <w:rPr>
          <w:rFonts w:ascii="Times New Roman" w:hAnsi="Times New Roman" w:cs="Times New Roman"/>
          <w:lang w:val="ka-GE"/>
        </w:rPr>
      </w:pPr>
      <w:r w:rsidRPr="00A5240D">
        <w:rPr>
          <w:rFonts w:ascii="Times New Roman" w:hAnsi="Times New Roman" w:cs="Times New Roman"/>
        </w:rPr>
        <w:t>Taken together with the punitive drug policies set out in Part I, these measures form a coherent pattern of restriction that prevents people who use drugs and other key populations from enjoying their economic, social and cultural rights on an equal basis with others.</w:t>
      </w:r>
    </w:p>
    <w:p w14:paraId="03D0510C" w14:textId="451F79EE" w:rsidR="00A5240D" w:rsidRPr="00A2654F" w:rsidRDefault="00A5240D" w:rsidP="00A5240D">
      <w:pPr>
        <w:pStyle w:val="Heading2"/>
        <w:spacing w:line="276" w:lineRule="auto"/>
        <w:jc w:val="both"/>
        <w:rPr>
          <w:rFonts w:ascii="Times New Roman" w:hAnsi="Times New Roman" w:cs="Times New Roman"/>
          <w:b/>
          <w:bCs/>
          <w:color w:val="auto"/>
          <w:sz w:val="24"/>
          <w:szCs w:val="24"/>
          <w:lang w:val="en-GB"/>
        </w:rPr>
      </w:pPr>
      <w:r w:rsidRPr="00A2654F">
        <w:rPr>
          <w:rFonts w:ascii="Times New Roman" w:hAnsi="Times New Roman" w:cs="Times New Roman"/>
          <w:b/>
          <w:bCs/>
          <w:color w:val="auto"/>
          <w:sz w:val="24"/>
          <w:szCs w:val="24"/>
          <w:lang w:val="en-GB"/>
        </w:rPr>
        <w:t>Recommendations</w:t>
      </w:r>
      <w:r w:rsidR="00A2654F">
        <w:rPr>
          <w:rFonts w:ascii="Times New Roman" w:hAnsi="Times New Roman" w:cs="Times New Roman"/>
          <w:b/>
          <w:bCs/>
          <w:color w:val="auto"/>
          <w:sz w:val="24"/>
          <w:szCs w:val="24"/>
          <w:lang w:val="en-GB"/>
        </w:rPr>
        <w:t>:</w:t>
      </w:r>
    </w:p>
    <w:p w14:paraId="69C1EE55" w14:textId="77777777" w:rsidR="00A5240D" w:rsidRPr="00A5240D" w:rsidRDefault="00A5240D" w:rsidP="00A5240D">
      <w:pPr>
        <w:pStyle w:val="Heading2"/>
        <w:numPr>
          <w:ilvl w:val="0"/>
          <w:numId w:val="8"/>
        </w:numPr>
        <w:spacing w:line="276" w:lineRule="auto"/>
        <w:ind w:left="1080"/>
        <w:jc w:val="both"/>
        <w:rPr>
          <w:rFonts w:ascii="Times New Roman" w:eastAsiaTheme="minorHAnsi" w:hAnsi="Times New Roman" w:cs="Times New Roman"/>
          <w:color w:val="auto"/>
          <w:sz w:val="24"/>
          <w:szCs w:val="24"/>
          <w:lang w:val="en-GB"/>
        </w:rPr>
      </w:pPr>
      <w:r w:rsidRPr="00A5240D">
        <w:rPr>
          <w:rFonts w:ascii="Times New Roman" w:eastAsiaTheme="minorHAnsi" w:hAnsi="Times New Roman" w:cs="Times New Roman"/>
          <w:color w:val="auto"/>
          <w:sz w:val="24"/>
          <w:szCs w:val="24"/>
          <w:lang w:val="en-GB"/>
        </w:rPr>
        <w:t>Georgia should repeal the recently adopted laws on “transparency of foreign influence”, foreign agents and grants, and restore an enabling environment for civil society so that organisations donor funded programmes providing HIV prevention, harm reduction and other essential health services (including NSP, HIV and hepatitis testing, outreach and community-based services for people who use drugs) can continue without disruption.</w:t>
      </w:r>
    </w:p>
    <w:p w14:paraId="4FE11CD4" w14:textId="77777777" w:rsidR="00A5240D" w:rsidRPr="00A5240D" w:rsidRDefault="00A5240D" w:rsidP="00A5240D">
      <w:pPr>
        <w:pStyle w:val="Heading2"/>
        <w:numPr>
          <w:ilvl w:val="0"/>
          <w:numId w:val="8"/>
        </w:numPr>
        <w:spacing w:line="276" w:lineRule="auto"/>
        <w:ind w:left="1080"/>
        <w:jc w:val="both"/>
        <w:rPr>
          <w:rFonts w:ascii="Times New Roman" w:eastAsiaTheme="minorHAnsi" w:hAnsi="Times New Roman" w:cs="Times New Roman"/>
          <w:color w:val="auto"/>
          <w:sz w:val="24"/>
          <w:szCs w:val="24"/>
          <w:lang w:val="en-GB"/>
        </w:rPr>
      </w:pPr>
      <w:r w:rsidRPr="00A5240D">
        <w:rPr>
          <w:rFonts w:ascii="Times New Roman" w:eastAsiaTheme="minorHAnsi" w:hAnsi="Times New Roman" w:cs="Times New Roman"/>
          <w:color w:val="auto"/>
          <w:sz w:val="24"/>
          <w:szCs w:val="24"/>
          <w:lang w:val="en-GB"/>
        </w:rPr>
        <w:t>The legislative and executive branches should cease efforts to marginalize and delegitimize independent and critical civil society organisations and, in particular, organisations led by and working with people who use drugs, people living with HIV and other key populations.</w:t>
      </w:r>
    </w:p>
    <w:p w14:paraId="0A1BC4B7" w14:textId="77777777" w:rsidR="00A5240D" w:rsidRPr="00A5240D" w:rsidRDefault="00A5240D" w:rsidP="00A5240D">
      <w:pPr>
        <w:pStyle w:val="Heading2"/>
        <w:numPr>
          <w:ilvl w:val="0"/>
          <w:numId w:val="8"/>
        </w:numPr>
        <w:spacing w:line="276" w:lineRule="auto"/>
        <w:ind w:left="1080"/>
        <w:jc w:val="both"/>
        <w:rPr>
          <w:rFonts w:ascii="Times New Roman" w:eastAsiaTheme="minorHAnsi" w:hAnsi="Times New Roman" w:cs="Times New Roman"/>
          <w:color w:val="auto"/>
          <w:sz w:val="24"/>
          <w:szCs w:val="24"/>
          <w:lang w:val="en-GB"/>
        </w:rPr>
      </w:pPr>
      <w:r w:rsidRPr="00A5240D">
        <w:rPr>
          <w:rFonts w:ascii="Times New Roman" w:eastAsiaTheme="minorHAnsi" w:hAnsi="Times New Roman" w:cs="Times New Roman"/>
          <w:color w:val="auto"/>
          <w:sz w:val="24"/>
          <w:szCs w:val="24"/>
          <w:lang w:val="en-GB"/>
        </w:rPr>
        <w:t>Georgia should re-establish formal, timely and inclusive consultation mechanisms that ensure the participation of HIV and harm reduction organisations in health and drug policy decision making at national and municipal levels, including in coordinating councils, working groups and grant approval processes, and should guarantee that foreign grants for HIV and harm reduction services are not refused on arbitrary or discriminatory grounds.</w:t>
      </w:r>
    </w:p>
    <w:p w14:paraId="66564FD5" w14:textId="77777777" w:rsidR="00A5240D" w:rsidRPr="00A5240D" w:rsidRDefault="00A5240D" w:rsidP="00A5240D">
      <w:pPr>
        <w:pStyle w:val="Heading2"/>
        <w:numPr>
          <w:ilvl w:val="0"/>
          <w:numId w:val="8"/>
        </w:numPr>
        <w:spacing w:line="276" w:lineRule="auto"/>
        <w:ind w:left="1080"/>
        <w:jc w:val="both"/>
        <w:rPr>
          <w:rFonts w:ascii="Times New Roman" w:eastAsiaTheme="minorHAnsi" w:hAnsi="Times New Roman" w:cs="Times New Roman"/>
          <w:color w:val="auto"/>
          <w:sz w:val="24"/>
          <w:szCs w:val="24"/>
          <w:lang w:val="en-GB"/>
        </w:rPr>
      </w:pPr>
      <w:r w:rsidRPr="00A5240D">
        <w:rPr>
          <w:rFonts w:ascii="Times New Roman" w:eastAsiaTheme="minorHAnsi" w:hAnsi="Times New Roman" w:cs="Times New Roman"/>
          <w:color w:val="auto"/>
          <w:sz w:val="24"/>
          <w:szCs w:val="24"/>
          <w:lang w:val="en-GB"/>
        </w:rPr>
        <w:t>All implementing regulations and practices under the TFI Law, FARA and the Law on Grants should explicitly prohibit the collection and disclosure of beneficiaries’ medical and other sensitive personal data from organisations providing HIV, harm reduction and other health services, to safeguard confidentiality, prevent stigma, and comply with Georgia’s obligations under the right to health and data protection standards.</w:t>
      </w:r>
    </w:p>
    <w:p w14:paraId="577C2583" w14:textId="234FD027" w:rsidR="00CD02E1" w:rsidRPr="00CD02E1" w:rsidRDefault="00CD02E1" w:rsidP="00CD02E1">
      <w:pPr>
        <w:spacing w:line="276" w:lineRule="auto"/>
        <w:jc w:val="both"/>
        <w:rPr>
          <w:rFonts w:ascii="Times New Roman" w:eastAsiaTheme="majorEastAsia" w:hAnsi="Times New Roman" w:cs="Times New Roman"/>
          <w:b/>
          <w:bCs/>
        </w:rPr>
      </w:pPr>
      <w:r w:rsidRPr="00CD02E1">
        <w:rPr>
          <w:rFonts w:ascii="Times New Roman" w:eastAsiaTheme="majorEastAsia" w:hAnsi="Times New Roman" w:cs="Times New Roman"/>
          <w:b/>
          <w:bCs/>
        </w:rPr>
        <w:t xml:space="preserve">Restrictive legal framework and targeting </w:t>
      </w:r>
      <w:r>
        <w:rPr>
          <w:rFonts w:ascii="Times New Roman" w:eastAsiaTheme="majorEastAsia" w:hAnsi="Times New Roman" w:cs="Times New Roman"/>
          <w:b/>
          <w:bCs/>
        </w:rPr>
        <w:t xml:space="preserve">of </w:t>
      </w:r>
      <w:r w:rsidRPr="00CD02E1">
        <w:rPr>
          <w:rFonts w:ascii="Times New Roman" w:eastAsiaTheme="majorEastAsia" w:hAnsi="Times New Roman" w:cs="Times New Roman"/>
          <w:b/>
          <w:bCs/>
        </w:rPr>
        <w:t>civil society</w:t>
      </w:r>
    </w:p>
    <w:p w14:paraId="27429941" w14:textId="338A30BA" w:rsidR="00A5240D" w:rsidRPr="00A5240D" w:rsidRDefault="00A5240D" w:rsidP="00A5240D">
      <w:pPr>
        <w:spacing w:line="276" w:lineRule="auto"/>
        <w:ind w:firstLine="720"/>
        <w:jc w:val="both"/>
        <w:rPr>
          <w:rFonts w:ascii="Times New Roman" w:hAnsi="Times New Roman" w:cs="Times New Roman"/>
          <w:b/>
          <w:bCs/>
          <w:i/>
          <w:iCs/>
          <w:lang w:val="ka-GE"/>
        </w:rPr>
      </w:pPr>
      <w:r w:rsidRPr="00A5240D">
        <w:rPr>
          <w:rFonts w:ascii="Times New Roman" w:hAnsi="Times New Roman" w:cs="Times New Roman"/>
          <w:b/>
          <w:bCs/>
          <w:i/>
          <w:iCs/>
          <w:lang w:val="ka-GE"/>
        </w:rPr>
        <w:t>Trancparency of Foreign Influence Law (TFI)</w:t>
      </w:r>
    </w:p>
    <w:p w14:paraId="40FE0C3C" w14:textId="77777777" w:rsidR="00A5240D" w:rsidRPr="00A5240D" w:rsidRDefault="00A5240D" w:rsidP="00A5240D">
      <w:pPr>
        <w:spacing w:line="276" w:lineRule="auto"/>
        <w:ind w:left="720"/>
        <w:jc w:val="both"/>
        <w:rPr>
          <w:rFonts w:ascii="Times New Roman" w:hAnsi="Times New Roman" w:cs="Times New Roman"/>
          <w:lang w:val="ka-GE"/>
        </w:rPr>
      </w:pPr>
      <w:r w:rsidRPr="00A5240D">
        <w:rPr>
          <w:rFonts w:ascii="Times New Roman" w:hAnsi="Times New Roman" w:cs="Times New Roman"/>
          <w:lang w:val="ka-GE"/>
        </w:rPr>
        <w:t>The first draft law “On Transparency of Foreign Influence” was initiated in Parliament as early as March 2023. Amid growing civic protests and widespread criticism, the ruling party withdrew the draft at that time, promising that it would never be reintroduced. However, roughly a year later, in the spring of 2024, Georgian Dream reintroduced the bill and, this time, adopted it in final form.</w:t>
      </w:r>
    </w:p>
    <w:p w14:paraId="6D28276C" w14:textId="77777777" w:rsidR="00A5240D" w:rsidRPr="00A5240D" w:rsidRDefault="00A5240D" w:rsidP="00A5240D">
      <w:pPr>
        <w:spacing w:line="276" w:lineRule="auto"/>
        <w:ind w:left="720"/>
        <w:jc w:val="both"/>
        <w:rPr>
          <w:rFonts w:ascii="Times New Roman" w:hAnsi="Times New Roman" w:cs="Times New Roman"/>
          <w:lang w:val="ka-GE"/>
        </w:rPr>
      </w:pPr>
      <w:r w:rsidRPr="00A5240D">
        <w:rPr>
          <w:rFonts w:ascii="Times New Roman" w:hAnsi="Times New Roman" w:cs="Times New Roman"/>
          <w:lang w:val="ka-GE"/>
        </w:rPr>
        <w:t xml:space="preserve">The law relies on vague and indeterminate concepts relating to </w:t>
      </w:r>
      <w:r w:rsidRPr="00A5240D">
        <w:rPr>
          <w:rFonts w:ascii="Times New Roman" w:hAnsi="Times New Roman" w:cs="Times New Roman"/>
          <w:lang w:val="en-GB"/>
        </w:rPr>
        <w:t>“</w:t>
      </w:r>
      <w:r w:rsidRPr="00A5240D">
        <w:rPr>
          <w:rFonts w:ascii="Times New Roman" w:hAnsi="Times New Roman" w:cs="Times New Roman"/>
          <w:lang w:val="ka-GE"/>
        </w:rPr>
        <w:t>foreign funding</w:t>
      </w:r>
      <w:r w:rsidRPr="00A5240D">
        <w:rPr>
          <w:rFonts w:ascii="Times New Roman" w:hAnsi="Times New Roman" w:cs="Times New Roman"/>
          <w:lang w:val="en-GB"/>
        </w:rPr>
        <w:t>” and</w:t>
      </w:r>
      <w:r w:rsidRPr="00A5240D">
        <w:rPr>
          <w:rFonts w:ascii="Times New Roman" w:hAnsi="Times New Roman" w:cs="Times New Roman"/>
          <w:lang w:val="ka-GE"/>
        </w:rPr>
        <w:t xml:space="preserve"> “foreign power”. In practice, it brings under its scope virtually any funding provided to Georgian organisations by foreign entities, including projects aimed at public health, responses to various diseases, and public awareness-raising. The law requires any organisation whose annual income </w:t>
      </w:r>
      <w:r w:rsidRPr="00A5240D">
        <w:rPr>
          <w:rFonts w:ascii="Times New Roman" w:hAnsi="Times New Roman" w:cs="Times New Roman"/>
          <w:lang w:val="ka-GE"/>
        </w:rPr>
        <w:lastRenderedPageBreak/>
        <w:t>is at least 20% derived from a “foreign power” to register in a special registry of organisations “carrying the interests of a foreign power.”</w:t>
      </w:r>
    </w:p>
    <w:p w14:paraId="575BE15C" w14:textId="7A1D33ED" w:rsidR="004E2E99" w:rsidRDefault="00A5240D" w:rsidP="00874BAA">
      <w:pPr>
        <w:spacing w:line="276" w:lineRule="auto"/>
        <w:ind w:left="720"/>
        <w:jc w:val="both"/>
        <w:rPr>
          <w:rFonts w:ascii="Times New Roman" w:hAnsi="Times New Roman" w:cs="Times New Roman"/>
          <w:lang w:val="ka-GE"/>
        </w:rPr>
      </w:pPr>
      <w:r w:rsidRPr="00A5240D">
        <w:rPr>
          <w:rFonts w:ascii="Times New Roman" w:hAnsi="Times New Roman" w:cs="Times New Roman"/>
          <w:lang w:val="ka-GE"/>
        </w:rPr>
        <w:t>The law also grants the Ministry of Justice overly broad powers to request comprehensive information from civil society organisations and public institutions, including beneficiaries’ personal and medical data. Failure to comply with the registration requirement constitutes an administrative offence punishable by a GEL 25,000 (approx. EUR 7960) fine.</w:t>
      </w:r>
    </w:p>
    <w:p w14:paraId="7A12649A" w14:textId="77777777" w:rsidR="00A5240D" w:rsidRDefault="00A5240D" w:rsidP="00A5240D">
      <w:pPr>
        <w:spacing w:line="276" w:lineRule="auto"/>
        <w:ind w:left="720"/>
        <w:jc w:val="both"/>
        <w:rPr>
          <w:rFonts w:ascii="Times New Roman" w:hAnsi="Times New Roman" w:cs="Times New Roman"/>
          <w:lang w:val="ka-GE"/>
        </w:rPr>
      </w:pPr>
      <w:r w:rsidRPr="00A5240D">
        <w:rPr>
          <w:rFonts w:ascii="Times New Roman" w:hAnsi="Times New Roman" w:cs="Times New Roman"/>
          <w:lang w:val="ka-GE"/>
        </w:rPr>
        <w:t>OSCE/ODIHR’s also critisized the law and noted that it imposes unjustified restrictions on civil society organisations and is incompatible with democratic standards and human rights norms.</w:t>
      </w:r>
      <w:r w:rsidRPr="00A5240D">
        <w:rPr>
          <w:rStyle w:val="FootnoteReference"/>
          <w:rFonts w:ascii="Times New Roman" w:hAnsi="Times New Roman" w:cs="Times New Roman"/>
          <w:lang w:val="ka-GE"/>
        </w:rPr>
        <w:footnoteReference w:id="23"/>
      </w:r>
    </w:p>
    <w:p w14:paraId="4E9DF24B" w14:textId="77777777" w:rsidR="00A91FD5" w:rsidRPr="00A5240D" w:rsidRDefault="00A91FD5" w:rsidP="00A91FD5">
      <w:pPr>
        <w:spacing w:line="276" w:lineRule="auto"/>
        <w:ind w:left="720"/>
        <w:jc w:val="both"/>
        <w:rPr>
          <w:rFonts w:ascii="Times New Roman" w:hAnsi="Times New Roman" w:cs="Times New Roman"/>
          <w:b/>
          <w:bCs/>
          <w:i/>
          <w:iCs/>
          <w:lang w:val="ka-GE"/>
        </w:rPr>
      </w:pPr>
      <w:r w:rsidRPr="00A5240D">
        <w:rPr>
          <w:rFonts w:ascii="Times New Roman" w:hAnsi="Times New Roman" w:cs="Times New Roman"/>
          <w:b/>
          <w:bCs/>
          <w:i/>
          <w:iCs/>
          <w:lang w:val="ka-GE"/>
        </w:rPr>
        <w:t>Foreign Agents Registracion Act (FARA)</w:t>
      </w:r>
    </w:p>
    <w:p w14:paraId="1C64F8FF" w14:textId="77777777" w:rsidR="00A91FD5" w:rsidRPr="00A5240D" w:rsidRDefault="00A91FD5" w:rsidP="00A91FD5">
      <w:pPr>
        <w:spacing w:line="276" w:lineRule="auto"/>
        <w:ind w:left="720"/>
        <w:jc w:val="both"/>
        <w:rPr>
          <w:rFonts w:ascii="Times New Roman" w:hAnsi="Times New Roman" w:cs="Times New Roman"/>
          <w:lang w:val="ka-GE"/>
        </w:rPr>
      </w:pPr>
      <w:r w:rsidRPr="00A5240D">
        <w:rPr>
          <w:rFonts w:ascii="Times New Roman" w:hAnsi="Times New Roman" w:cs="Times New Roman"/>
          <w:lang w:val="ka-GE"/>
        </w:rPr>
        <w:t xml:space="preserve">On 25 February 2025, Parliament </w:t>
      </w:r>
      <w:r w:rsidRPr="00A5240D">
        <w:rPr>
          <w:rFonts w:ascii="Times New Roman" w:hAnsi="Times New Roman" w:cs="Times New Roman"/>
          <w:lang w:val="en-GB"/>
        </w:rPr>
        <w:t>of Georgia</w:t>
      </w:r>
      <w:r w:rsidRPr="00A5240D">
        <w:rPr>
          <w:rFonts w:ascii="Times New Roman" w:hAnsi="Times New Roman" w:cs="Times New Roman"/>
          <w:lang w:val="ka-GE"/>
        </w:rPr>
        <w:t xml:space="preserve"> introduced the draft Foreign Agents Registration Act (FARA), presented as the United States FARA analogue. The explanatory note argued the TFI Law had failed, as most NGOs chose sanctions over registration. Parliament adopted the FARA on 1 April, to enter into force on 31 May 2025, with a 10-day period for voluntary registration. </w:t>
      </w:r>
    </w:p>
    <w:p w14:paraId="68B108A1" w14:textId="77777777" w:rsidR="00A91FD5" w:rsidRPr="00A5240D" w:rsidRDefault="00A91FD5" w:rsidP="00A91FD5">
      <w:pPr>
        <w:spacing w:line="276" w:lineRule="auto"/>
        <w:ind w:left="720"/>
        <w:jc w:val="both"/>
        <w:rPr>
          <w:rFonts w:ascii="Times New Roman" w:hAnsi="Times New Roman" w:cs="Times New Roman"/>
          <w:lang w:val="ka-GE"/>
        </w:rPr>
      </w:pPr>
      <w:r w:rsidRPr="00A5240D">
        <w:rPr>
          <w:rFonts w:ascii="Times New Roman" w:hAnsi="Times New Roman" w:cs="Times New Roman"/>
          <w:lang w:val="ka-GE"/>
        </w:rPr>
        <w:t xml:space="preserve">FARA applies in parallel with the TFI Law, introducing further compliance obligations on any person who may be regarded as an “agent” of a “foreign principal” to register as such and to comply with other requirements. These include the submission of burdensome financial statements and all forms of correspondence to the Anti-Corruption Bureau, as well as the obligation to label all public communications as made by an “agent of a foreign principal.” Failure to comply with any of FARA’s requirements entails criminal liability and is punishable by a fine of up to GEL 10,000 (approx. EUR 3185) or imprisonment for up to 5 years. Violations regarding labelling requirements may be punished by a fine of up to GEL 5,000 (approx. EUR 1590) and/or imprisonment for up to 6 months. </w:t>
      </w:r>
    </w:p>
    <w:p w14:paraId="59167BF3" w14:textId="3ED2051E" w:rsidR="00A91FD5" w:rsidRDefault="00A91FD5" w:rsidP="00A91FD5">
      <w:pPr>
        <w:spacing w:line="276" w:lineRule="auto"/>
        <w:ind w:left="720"/>
        <w:jc w:val="both"/>
        <w:rPr>
          <w:rFonts w:ascii="Times New Roman" w:hAnsi="Times New Roman" w:cs="Times New Roman"/>
          <w:lang w:val="ka-GE"/>
        </w:rPr>
      </w:pPr>
      <w:r w:rsidRPr="00A5240D">
        <w:rPr>
          <w:rFonts w:ascii="Times New Roman" w:hAnsi="Times New Roman" w:cs="Times New Roman"/>
          <w:lang w:val="ka-GE"/>
        </w:rPr>
        <w:t>On 31 May, the Anti-Corruption Bureau issued Order N10, enacting the FARA bylaw. This order outlines the registration procedure, details the scope of information that registrants must provide to the ACB, and specifies the labelling required to identify materials as originating from a “foreign agent”. Additionally, it places a duty on “affiliated persons”- such as partners, directors, staff, consultants, and other associates linked to an entity obliged to register - to complete a Short Registration Form. The order further grants the ACB authority to launch inspections, request documentation and information, conduct examinations before a magistrate judge, and seek court orders to enforce compliance, halt activities, or implement additional sanctions if there is a failure to meet legal requirements.</w:t>
      </w:r>
    </w:p>
    <w:p w14:paraId="18789855" w14:textId="77777777" w:rsidR="000F30CA" w:rsidRPr="00A5240D" w:rsidRDefault="000F30CA" w:rsidP="000F30CA">
      <w:pPr>
        <w:spacing w:line="276" w:lineRule="auto"/>
        <w:ind w:left="720"/>
        <w:jc w:val="both"/>
        <w:rPr>
          <w:rFonts w:ascii="Times New Roman" w:hAnsi="Times New Roman" w:cs="Times New Roman"/>
          <w:b/>
          <w:bCs/>
          <w:i/>
          <w:iCs/>
          <w:lang w:val="ka-GE"/>
        </w:rPr>
      </w:pPr>
      <w:r w:rsidRPr="00A5240D">
        <w:rPr>
          <w:rFonts w:ascii="Times New Roman" w:hAnsi="Times New Roman" w:cs="Times New Roman"/>
          <w:b/>
          <w:bCs/>
          <w:i/>
          <w:iCs/>
          <w:lang w:val="ka-GE"/>
        </w:rPr>
        <w:t xml:space="preserve">Law on Grants </w:t>
      </w:r>
    </w:p>
    <w:p w14:paraId="6578A235" w14:textId="77777777" w:rsidR="000F30CA" w:rsidRPr="00A5240D" w:rsidRDefault="000F30CA" w:rsidP="000F30CA">
      <w:pPr>
        <w:spacing w:line="276" w:lineRule="auto"/>
        <w:ind w:left="720"/>
        <w:jc w:val="both"/>
        <w:rPr>
          <w:rFonts w:ascii="Times New Roman" w:hAnsi="Times New Roman" w:cs="Times New Roman"/>
          <w:lang w:val="ka-GE"/>
        </w:rPr>
      </w:pPr>
      <w:r w:rsidRPr="00A5240D">
        <w:rPr>
          <w:rFonts w:ascii="Times New Roman" w:hAnsi="Times New Roman" w:cs="Times New Roman"/>
          <w:lang w:val="ka-GE"/>
        </w:rPr>
        <w:lastRenderedPageBreak/>
        <w:t>On 16 April 2025,</w:t>
      </w:r>
      <w:r w:rsidRPr="00A5240D">
        <w:rPr>
          <w:rFonts w:ascii="Times New Roman" w:hAnsi="Times New Roman" w:cs="Times New Roman"/>
          <w:lang w:val="en-GB"/>
        </w:rPr>
        <w:t xml:space="preserve"> Georgian </w:t>
      </w:r>
      <w:r w:rsidRPr="00A5240D">
        <w:rPr>
          <w:rFonts w:ascii="Times New Roman" w:hAnsi="Times New Roman" w:cs="Times New Roman"/>
          <w:lang w:val="ka-GE"/>
        </w:rPr>
        <w:t xml:space="preserve">Parliament passed amendments to the Law on Grants, severely restricting CSOs’ access to foreign funding. These changes stipulate that foreign grants must receive prior authorisation from the government, and any breach of this rule results in a penalty equivalent to twice the amount of the unauthorised grant. The ACB was also given expanded powers to monitor and enforce these provisions, allowing for deeper and more intrusive oversight. On June 12, the scope of what constitutes a “grant” was widened to cover not only financial support but also expert or technical assistance. Hence, government approval is now required for receiving virtually any form of foreign support, subject only to narrow exceptions - primarily for educational grants. </w:t>
      </w:r>
    </w:p>
    <w:p w14:paraId="5FF3C755" w14:textId="77777777" w:rsidR="000F30CA" w:rsidRPr="00A5240D" w:rsidRDefault="000F30CA" w:rsidP="000F30CA">
      <w:pPr>
        <w:spacing w:line="276" w:lineRule="auto"/>
        <w:ind w:left="720"/>
        <w:jc w:val="both"/>
        <w:rPr>
          <w:rFonts w:ascii="Times New Roman" w:hAnsi="Times New Roman" w:cs="Times New Roman"/>
          <w:lang w:val="ka-GE"/>
        </w:rPr>
      </w:pPr>
      <w:r w:rsidRPr="00A5240D">
        <w:rPr>
          <w:rFonts w:ascii="Times New Roman" w:hAnsi="Times New Roman" w:cs="Times New Roman"/>
          <w:lang w:val="ka-GE"/>
        </w:rPr>
        <w:t>On 7 July 2025, a Government Decree clarified the procedures for issuing consent on receiving foreign grants and further underscored that the purpose of this mechanism is not merely to inform the Government, but to enable substantive control over grants. Specifically, the Decree explicitly provides that consent for a foreign grant will be issued only where its content and objectives are aligned with the strategic documents of the Government of Georgia.</w:t>
      </w:r>
      <w:r w:rsidRPr="00A5240D">
        <w:rPr>
          <w:rStyle w:val="FootnoteReference"/>
          <w:rFonts w:ascii="Times New Roman" w:hAnsi="Times New Roman" w:cs="Times New Roman"/>
          <w:lang w:val="ka-GE"/>
        </w:rPr>
        <w:footnoteReference w:id="24"/>
      </w:r>
      <w:r w:rsidRPr="00A5240D">
        <w:rPr>
          <w:rFonts w:ascii="Times New Roman" w:hAnsi="Times New Roman" w:cs="Times New Roman"/>
          <w:lang w:val="ka-GE"/>
        </w:rPr>
        <w:t xml:space="preserve"> </w:t>
      </w:r>
    </w:p>
    <w:p w14:paraId="1CFAE1E8" w14:textId="54C4EC57" w:rsidR="00A91FD5" w:rsidRDefault="000F30CA" w:rsidP="00246F5F">
      <w:pPr>
        <w:spacing w:line="276" w:lineRule="auto"/>
        <w:ind w:left="720"/>
        <w:jc w:val="both"/>
        <w:rPr>
          <w:rFonts w:ascii="Times New Roman" w:hAnsi="Times New Roman" w:cs="Times New Roman"/>
          <w:lang w:val="ka-GE"/>
        </w:rPr>
      </w:pPr>
      <w:r w:rsidRPr="00A5240D">
        <w:rPr>
          <w:rFonts w:ascii="Times New Roman" w:hAnsi="Times New Roman" w:cs="Times New Roman"/>
          <w:lang w:val="ka-GE"/>
        </w:rPr>
        <w:t>These ammendments were critisized by the Venice Commission notin</w:t>
      </w:r>
      <w:r>
        <w:rPr>
          <w:rFonts w:ascii="Times New Roman" w:hAnsi="Times New Roman" w:cs="Times New Roman"/>
          <w:lang w:val="ka-GE"/>
        </w:rPr>
        <w:t>g</w:t>
      </w:r>
      <w:r w:rsidRPr="00A5240D">
        <w:rPr>
          <w:rFonts w:ascii="Times New Roman" w:hAnsi="Times New Roman" w:cs="Times New Roman"/>
          <w:lang w:val="ka-GE"/>
        </w:rPr>
        <w:t>, that it lacks a demonstrated justification in terms of necessity and proportionality. According to the Commission, amendments provide no clear and objective criteria for refusal and contain insufficient safeguards, leaving wide scope for arbitrary application.</w:t>
      </w:r>
      <w:r w:rsidRPr="00A5240D">
        <w:rPr>
          <w:rStyle w:val="FootnoteReference"/>
          <w:rFonts w:ascii="Times New Roman" w:hAnsi="Times New Roman" w:cs="Times New Roman"/>
          <w:lang w:val="ka-GE"/>
        </w:rPr>
        <w:footnoteReference w:id="25"/>
      </w:r>
      <w:r w:rsidRPr="00A5240D">
        <w:rPr>
          <w:rFonts w:ascii="Times New Roman" w:hAnsi="Times New Roman" w:cs="Times New Roman"/>
          <w:lang w:val="ka-GE"/>
        </w:rPr>
        <w:t xml:space="preserve"> </w:t>
      </w:r>
    </w:p>
    <w:p w14:paraId="723AEAFC" w14:textId="77777777" w:rsidR="00874BAA" w:rsidRPr="00A2654F" w:rsidRDefault="00874BAA" w:rsidP="00874BAA">
      <w:pPr>
        <w:pStyle w:val="Heading2"/>
        <w:spacing w:line="276" w:lineRule="auto"/>
        <w:jc w:val="both"/>
        <w:rPr>
          <w:rFonts w:ascii="Times New Roman" w:hAnsi="Times New Roman" w:cs="Times New Roman"/>
          <w:b/>
          <w:bCs/>
          <w:color w:val="auto"/>
          <w:sz w:val="24"/>
          <w:szCs w:val="24"/>
          <w:lang w:val="en-GB"/>
        </w:rPr>
      </w:pPr>
      <w:r w:rsidRPr="00A2654F">
        <w:rPr>
          <w:rFonts w:ascii="Times New Roman" w:hAnsi="Times New Roman" w:cs="Times New Roman"/>
          <w:b/>
          <w:bCs/>
          <w:color w:val="auto"/>
          <w:sz w:val="24"/>
          <w:szCs w:val="24"/>
          <w:lang w:val="en-GB"/>
        </w:rPr>
        <w:t>Recommendations</w:t>
      </w:r>
      <w:r>
        <w:rPr>
          <w:rFonts w:ascii="Times New Roman" w:hAnsi="Times New Roman" w:cs="Times New Roman"/>
          <w:b/>
          <w:bCs/>
          <w:color w:val="auto"/>
          <w:sz w:val="24"/>
          <w:szCs w:val="24"/>
          <w:lang w:val="en-GB"/>
        </w:rPr>
        <w:t>:</w:t>
      </w:r>
    </w:p>
    <w:p w14:paraId="2D5A09E9" w14:textId="615C171A" w:rsidR="00874BAA" w:rsidRPr="00874BAA" w:rsidRDefault="00874BAA" w:rsidP="00874BAA">
      <w:pPr>
        <w:pStyle w:val="Heading2"/>
        <w:numPr>
          <w:ilvl w:val="0"/>
          <w:numId w:val="12"/>
        </w:numPr>
        <w:spacing w:line="276" w:lineRule="auto"/>
        <w:jc w:val="both"/>
        <w:rPr>
          <w:rFonts w:ascii="Times New Roman" w:eastAsiaTheme="minorHAnsi" w:hAnsi="Times New Roman" w:cs="Times New Roman"/>
          <w:color w:val="auto"/>
          <w:sz w:val="24"/>
          <w:szCs w:val="24"/>
          <w:lang w:val="en-GB"/>
        </w:rPr>
      </w:pPr>
      <w:r w:rsidRPr="00A5240D">
        <w:rPr>
          <w:rFonts w:ascii="Times New Roman" w:eastAsiaTheme="minorHAnsi" w:hAnsi="Times New Roman" w:cs="Times New Roman"/>
          <w:color w:val="auto"/>
          <w:sz w:val="24"/>
          <w:szCs w:val="24"/>
          <w:lang w:val="en-GB"/>
        </w:rPr>
        <w:t>Georgia should repeal the recently adopted laws on “transparency of foreign influence”, foreign agents and grants, and restore an enabling environment for civil society so that organisations donor funded programmes providing HIV prevention, harm reduction and other essential health services (including NSP, HIV and hepatitis testing, outreach and community-based services for people who use drugs) can continue without disruption.</w:t>
      </w:r>
    </w:p>
    <w:p w14:paraId="379209D6" w14:textId="6A384B19" w:rsidR="004E2E99" w:rsidRDefault="004E2E99" w:rsidP="004E2E99">
      <w:pPr>
        <w:spacing w:line="276" w:lineRule="auto"/>
        <w:jc w:val="both"/>
        <w:rPr>
          <w:rFonts w:ascii="Times New Roman" w:hAnsi="Times New Roman" w:cs="Times New Roman"/>
          <w:b/>
          <w:bCs/>
        </w:rPr>
      </w:pPr>
      <w:r w:rsidRPr="004E2E99">
        <w:rPr>
          <w:rFonts w:ascii="Times New Roman" w:hAnsi="Times New Roman" w:cs="Times New Roman"/>
          <w:b/>
          <w:bCs/>
        </w:rPr>
        <w:t>Barriers to delivery of HIV, viral hepatitis and harm reduction services</w:t>
      </w:r>
    </w:p>
    <w:p w14:paraId="1DBA9C91" w14:textId="77777777" w:rsidR="00D02E8C" w:rsidRPr="00A5240D" w:rsidRDefault="00D02E8C" w:rsidP="00D02E8C">
      <w:pPr>
        <w:spacing w:line="276" w:lineRule="auto"/>
        <w:ind w:left="720"/>
        <w:jc w:val="both"/>
        <w:rPr>
          <w:rFonts w:ascii="Times New Roman" w:hAnsi="Times New Roman" w:cs="Times New Roman"/>
          <w:lang w:val="ka-GE"/>
        </w:rPr>
      </w:pPr>
      <w:r w:rsidRPr="00A5240D">
        <w:rPr>
          <w:rFonts w:ascii="Times New Roman" w:hAnsi="Times New Roman" w:cs="Times New Roman"/>
          <w:lang w:val="en-GB"/>
        </w:rPr>
        <w:t>As of December 2025, the Anti-Corruption Bureau had initiated administrative proceedings against more than 100 organisations under FARA and/or the Law on Grants. In the context of these proceedings, the ACB requested an unrestricted volume of legal, personal, financial, and administrative information covering the period from January 2024 to June 2025, including special category personal data relating to beneficiaries and third parties.</w:t>
      </w:r>
      <w:r w:rsidRPr="00A5240D">
        <w:rPr>
          <w:rStyle w:val="FootnoteReference"/>
          <w:rFonts w:ascii="Times New Roman" w:hAnsi="Times New Roman" w:cs="Times New Roman"/>
          <w:lang w:val="en-GB"/>
        </w:rPr>
        <w:footnoteReference w:id="26"/>
      </w:r>
      <w:r w:rsidRPr="00A5240D">
        <w:rPr>
          <w:rFonts w:ascii="Times New Roman" w:hAnsi="Times New Roman" w:cs="Times New Roman"/>
          <w:lang w:val="en-GB"/>
        </w:rPr>
        <w:t xml:space="preserve"> </w:t>
      </w:r>
    </w:p>
    <w:p w14:paraId="1B151E5A" w14:textId="77777777" w:rsidR="00D02E8C" w:rsidRPr="00A5240D" w:rsidRDefault="00D02E8C" w:rsidP="00D02E8C">
      <w:pPr>
        <w:spacing w:line="276" w:lineRule="auto"/>
        <w:ind w:left="720"/>
        <w:jc w:val="both"/>
        <w:rPr>
          <w:rFonts w:ascii="Times New Roman" w:hAnsi="Times New Roman" w:cs="Times New Roman"/>
          <w:lang w:val="en-GB"/>
        </w:rPr>
      </w:pPr>
      <w:r w:rsidRPr="00A5240D">
        <w:rPr>
          <w:rFonts w:ascii="Times New Roman" w:hAnsi="Times New Roman" w:cs="Times New Roman"/>
          <w:lang w:val="en-GB"/>
        </w:rPr>
        <w:lastRenderedPageBreak/>
        <w:t>According to the Georgian Young Lawyers’ Association, of the 136 organisations that jointly lodged an application with the European Court of Human Rights concerning the Law on “Transparency of Foreign Influence,” only three registered in the registry envisaged by the law. The overwhelming majority of organisations either suspended their activities altogether or significantly scaled them down. A total of 109 organisations reported difficulties in securing funding, or an inability to do so; of these, 19 stated that the process has become substantially more complicated, while 90 reported that they are unable to obtain any new funding. Meanwhile, 97 organisations indicated that they have reduced staff numbers or that staff have left entirely. In addition, 62 organisations stated that they had been targets of propaganda attacks and disinformation.</w:t>
      </w:r>
      <w:r w:rsidRPr="00A5240D">
        <w:rPr>
          <w:rStyle w:val="FootnoteReference"/>
          <w:rFonts w:ascii="Times New Roman" w:hAnsi="Times New Roman" w:cs="Times New Roman"/>
          <w:lang w:val="en-GB"/>
        </w:rPr>
        <w:footnoteReference w:id="27"/>
      </w:r>
      <w:r w:rsidRPr="00A5240D">
        <w:rPr>
          <w:rFonts w:ascii="Times New Roman" w:hAnsi="Times New Roman" w:cs="Times New Roman"/>
          <w:lang w:val="en-GB"/>
        </w:rPr>
        <w:t xml:space="preserve"> </w:t>
      </w:r>
    </w:p>
    <w:p w14:paraId="143A149A" w14:textId="77777777" w:rsidR="00D02E8C" w:rsidRPr="00A5240D" w:rsidRDefault="00D02E8C" w:rsidP="00D02E8C">
      <w:pPr>
        <w:spacing w:line="276" w:lineRule="auto"/>
        <w:ind w:left="720"/>
        <w:jc w:val="both"/>
        <w:rPr>
          <w:rFonts w:ascii="Times New Roman" w:hAnsi="Times New Roman" w:cs="Times New Roman"/>
          <w:lang w:val="en-GB"/>
        </w:rPr>
      </w:pPr>
      <w:r w:rsidRPr="00A5240D">
        <w:rPr>
          <w:rFonts w:ascii="Times New Roman" w:hAnsi="Times New Roman" w:cs="Times New Roman"/>
          <w:lang w:val="en-GB"/>
        </w:rPr>
        <w:t>The current environment is particularly detrimental for community-based organisations. For example, the database of community groups and organisations maintained by the Centre for Strategic Research and Development of Georgia listed 114 groups as of 2024. According to the updated 2025 map, the activities of 77 of these groups have already ceased, and only 37 community organisations/groups continue to operate in the country. Even those that remain active are largely in the final stages of implementing their most recent projects and, in all likelihood, most will be unable to continue operating from September onward.</w:t>
      </w:r>
      <w:r w:rsidRPr="00A5240D">
        <w:rPr>
          <w:rStyle w:val="FootnoteReference"/>
          <w:rFonts w:ascii="Times New Roman" w:hAnsi="Times New Roman" w:cs="Times New Roman"/>
          <w:lang w:val="en-GB"/>
        </w:rPr>
        <w:footnoteReference w:id="28"/>
      </w:r>
      <w:r w:rsidRPr="00A5240D">
        <w:rPr>
          <w:rFonts w:ascii="Times New Roman" w:hAnsi="Times New Roman" w:cs="Times New Roman"/>
          <w:lang w:val="en-GB"/>
        </w:rPr>
        <w:t xml:space="preserve"> </w:t>
      </w:r>
    </w:p>
    <w:p w14:paraId="5B065A14" w14:textId="6C947392" w:rsidR="00D02E8C" w:rsidRDefault="00D02E8C" w:rsidP="00D02E8C">
      <w:pPr>
        <w:spacing w:line="276" w:lineRule="auto"/>
        <w:ind w:left="720"/>
        <w:jc w:val="both"/>
        <w:rPr>
          <w:rFonts w:ascii="Times New Roman" w:hAnsi="Times New Roman" w:cs="Times New Roman"/>
          <w:lang w:val="en-GB"/>
        </w:rPr>
      </w:pPr>
      <w:r w:rsidRPr="00A5240D">
        <w:rPr>
          <w:rFonts w:ascii="Times New Roman" w:hAnsi="Times New Roman" w:cs="Times New Roman"/>
          <w:lang w:val="en-GB"/>
        </w:rPr>
        <w:t xml:space="preserve">The legislative amendments and its enforcement have an unequivocally restrictive effect on the work of civil society organisations. They create an environment in which it becomes practically impossible to operate independently and sustainably, to secure funding, or to provide assistance to beneficiaries with the assurance that their data will not be disclosed to third parties. The current legal framework also gives rise to heightened risks of punitive enforcement mechanisms being used not only against organisational leadership, but also against staff. It should also be considered that employees of civil society organizations are often themselves members of vulnerable and marginalized groups. Accordingly, the current environment creates heightened risks and specific threats to their safety and rights. </w:t>
      </w:r>
    </w:p>
    <w:p w14:paraId="5DC7428F" w14:textId="51E32AB3" w:rsidR="00D45A38" w:rsidRPr="00D45A38" w:rsidRDefault="00D45A38" w:rsidP="00D45A38">
      <w:pPr>
        <w:pStyle w:val="Heading2"/>
        <w:spacing w:line="276" w:lineRule="auto"/>
        <w:jc w:val="both"/>
        <w:rPr>
          <w:rFonts w:ascii="Times New Roman" w:hAnsi="Times New Roman" w:cs="Times New Roman"/>
          <w:b/>
          <w:bCs/>
          <w:color w:val="auto"/>
          <w:sz w:val="24"/>
          <w:szCs w:val="24"/>
          <w:lang w:val="en-GB"/>
        </w:rPr>
      </w:pPr>
      <w:r w:rsidRPr="00A2654F">
        <w:rPr>
          <w:rFonts w:ascii="Times New Roman" w:hAnsi="Times New Roman" w:cs="Times New Roman"/>
          <w:b/>
          <w:bCs/>
          <w:color w:val="auto"/>
          <w:sz w:val="24"/>
          <w:szCs w:val="24"/>
          <w:lang w:val="en-GB"/>
        </w:rPr>
        <w:t>Recommendations</w:t>
      </w:r>
      <w:r>
        <w:rPr>
          <w:rFonts w:ascii="Times New Roman" w:hAnsi="Times New Roman" w:cs="Times New Roman"/>
          <w:b/>
          <w:bCs/>
          <w:color w:val="auto"/>
          <w:sz w:val="24"/>
          <w:szCs w:val="24"/>
          <w:lang w:val="en-GB"/>
        </w:rPr>
        <w:t>:</w:t>
      </w:r>
    </w:p>
    <w:p w14:paraId="44276C6D" w14:textId="215BCE9A" w:rsidR="00D45A38" w:rsidRPr="00201535" w:rsidRDefault="00D45A38" w:rsidP="00EC6D21">
      <w:pPr>
        <w:pStyle w:val="Heading2"/>
        <w:numPr>
          <w:ilvl w:val="0"/>
          <w:numId w:val="13"/>
        </w:numPr>
        <w:spacing w:line="276" w:lineRule="auto"/>
        <w:jc w:val="both"/>
        <w:rPr>
          <w:rFonts w:ascii="Times New Roman" w:eastAsiaTheme="minorHAnsi" w:hAnsi="Times New Roman" w:cs="Times New Roman"/>
          <w:color w:val="auto"/>
          <w:sz w:val="24"/>
          <w:szCs w:val="24"/>
          <w:lang w:val="en-GB"/>
        </w:rPr>
      </w:pPr>
      <w:r w:rsidRPr="00A5240D">
        <w:rPr>
          <w:rFonts w:ascii="Times New Roman" w:eastAsiaTheme="minorHAnsi" w:hAnsi="Times New Roman" w:cs="Times New Roman"/>
          <w:color w:val="auto"/>
          <w:sz w:val="24"/>
          <w:szCs w:val="24"/>
          <w:lang w:val="en-GB"/>
        </w:rPr>
        <w:t>All implementing regulations and practices under the TFI Law, FARA and the Law on Grants should explicitly prohibit the collection and disclosure of beneficiaries’ medical and other sensitive personal data from organisations providing HIV, harm reduction and other health services, to safeguard confidentiality, prevent stigma, and comply with Georgia’s obligations under the right to health and data protection standards.</w:t>
      </w:r>
    </w:p>
    <w:p w14:paraId="0619A86B" w14:textId="62D7B843" w:rsidR="004C06E6" w:rsidRDefault="004C06E6" w:rsidP="004E2E99">
      <w:pPr>
        <w:spacing w:line="276" w:lineRule="auto"/>
        <w:jc w:val="both"/>
        <w:rPr>
          <w:rFonts w:ascii="Times New Roman" w:hAnsi="Times New Roman" w:cs="Times New Roman"/>
          <w:b/>
          <w:bCs/>
        </w:rPr>
      </w:pPr>
      <w:r w:rsidRPr="004C06E6">
        <w:rPr>
          <w:rFonts w:ascii="Times New Roman" w:hAnsi="Times New Roman" w:cs="Times New Roman"/>
          <w:b/>
          <w:bCs/>
        </w:rPr>
        <w:t>Stigma, delegitimization and exclusion from decision</w:t>
      </w:r>
      <w:r w:rsidRPr="004C06E6">
        <w:rPr>
          <w:rFonts w:ascii="Times New Roman" w:hAnsi="Times New Roman" w:cs="Times New Roman"/>
          <w:b/>
          <w:bCs/>
        </w:rPr>
        <w:noBreakHyphen/>
        <w:t>making</w:t>
      </w:r>
    </w:p>
    <w:p w14:paraId="3A8CD2ED" w14:textId="77777777" w:rsidR="004C06E6" w:rsidRPr="00A5240D" w:rsidRDefault="004C06E6" w:rsidP="004C06E6">
      <w:pPr>
        <w:spacing w:line="276" w:lineRule="auto"/>
        <w:ind w:left="720"/>
        <w:jc w:val="both"/>
        <w:rPr>
          <w:rFonts w:ascii="Times New Roman" w:hAnsi="Times New Roman" w:cs="Times New Roman"/>
          <w:lang w:val="ka-GE"/>
        </w:rPr>
      </w:pPr>
      <w:r w:rsidRPr="00A5240D">
        <w:rPr>
          <w:rFonts w:ascii="Times New Roman" w:hAnsi="Times New Roman" w:cs="Times New Roman"/>
          <w:lang w:val="ka-GE"/>
        </w:rPr>
        <w:t xml:space="preserve">According to the CoE’s Commissioner for Human Rights, TFI Law will lead to stigmatisation and harassment of civil society and human rights defenders and “will consequently render their </w:t>
      </w:r>
      <w:r w:rsidRPr="00A5240D">
        <w:rPr>
          <w:rFonts w:ascii="Times New Roman" w:hAnsi="Times New Roman" w:cs="Times New Roman"/>
          <w:lang w:val="ka-GE"/>
        </w:rPr>
        <w:lastRenderedPageBreak/>
        <w:t>activities difficult or impossible to carry out”.</w:t>
      </w:r>
      <w:r w:rsidRPr="00A5240D">
        <w:rPr>
          <w:rStyle w:val="FootnoteReference"/>
          <w:rFonts w:ascii="Times New Roman" w:hAnsi="Times New Roman" w:cs="Times New Roman"/>
          <w:lang w:val="ka-GE"/>
        </w:rPr>
        <w:footnoteReference w:id="29"/>
      </w:r>
      <w:r w:rsidRPr="00A5240D">
        <w:rPr>
          <w:rFonts w:ascii="Times New Roman" w:hAnsi="Times New Roman" w:cs="Times New Roman"/>
          <w:lang w:val="ka-GE"/>
        </w:rPr>
        <w:t xml:space="preserve"> In its opinion, the Venice Commission came to a conclusion that “the restrictions set by the Law to the rights to freedom of expression, freedom of association and privacy are incompatible with the strict test set out in Articles 8(2), 10(2), and 11(2) of the ECHR and Article 17(2), 19(2) and 22(2) of the ICCPR as they do not meet the requirements of legality, legitimacy, necessity in a democratic society and proportionality, as well as with the principle of non-discrimination set out in Article 14 of the ECHR.”</w:t>
      </w:r>
      <w:r w:rsidRPr="00A5240D">
        <w:rPr>
          <w:rStyle w:val="FootnoteReference"/>
          <w:rFonts w:ascii="Times New Roman" w:hAnsi="Times New Roman" w:cs="Times New Roman"/>
          <w:lang w:val="ka-GE"/>
        </w:rPr>
        <w:footnoteReference w:id="30"/>
      </w:r>
      <w:r w:rsidRPr="00A5240D">
        <w:rPr>
          <w:rFonts w:ascii="Times New Roman" w:hAnsi="Times New Roman" w:cs="Times New Roman"/>
          <w:lang w:val="ka-GE"/>
        </w:rPr>
        <w:t xml:space="preserve"> </w:t>
      </w:r>
    </w:p>
    <w:p w14:paraId="2BCA8540" w14:textId="77777777" w:rsidR="00A5240D" w:rsidRDefault="00A5240D" w:rsidP="00A5240D">
      <w:pPr>
        <w:spacing w:line="276" w:lineRule="auto"/>
        <w:ind w:left="720"/>
        <w:jc w:val="both"/>
        <w:rPr>
          <w:rFonts w:ascii="Times New Roman" w:hAnsi="Times New Roman" w:cs="Times New Roman"/>
          <w:lang w:val="en-GB"/>
        </w:rPr>
      </w:pPr>
      <w:r w:rsidRPr="00A5240D">
        <w:rPr>
          <w:rFonts w:ascii="Times New Roman" w:hAnsi="Times New Roman" w:cs="Times New Roman"/>
          <w:lang w:val="en-GB"/>
        </w:rPr>
        <w:t>According to the Venice Commission, Georgian FARA provides weeping and imprecise definitions of key terms and lacks clarity. “The far-reaching scope of the Law enables its indiscriminate application to an extensive range of persons and organisations, irrespective of the existence of any actual agency relationship with a foreign actor, in a manner that appears neither necessary nor proportionate. The label “agents of foreign principals” is inherently stigmatising, producing a chilling effect on freedom of expression and association.”</w:t>
      </w:r>
      <w:r w:rsidRPr="00A5240D">
        <w:rPr>
          <w:rStyle w:val="FootnoteReference"/>
          <w:rFonts w:ascii="Times New Roman" w:hAnsi="Times New Roman" w:cs="Times New Roman"/>
          <w:lang w:val="en-GB"/>
        </w:rPr>
        <w:footnoteReference w:id="31"/>
      </w:r>
      <w:r w:rsidRPr="00A5240D">
        <w:rPr>
          <w:rFonts w:ascii="Times New Roman" w:hAnsi="Times New Roman" w:cs="Times New Roman"/>
          <w:lang w:val="en-GB"/>
        </w:rPr>
        <w:t xml:space="preserve"> The Commission asserted that the legal regime established by the </w:t>
      </w:r>
      <w:proofErr w:type="spellStart"/>
      <w:r w:rsidRPr="00A5240D">
        <w:rPr>
          <w:rFonts w:ascii="Times New Roman" w:hAnsi="Times New Roman" w:cs="Times New Roman"/>
          <w:lang w:val="en-GB"/>
        </w:rPr>
        <w:t>GeoFARA</w:t>
      </w:r>
      <w:proofErr w:type="spellEnd"/>
      <w:r w:rsidRPr="00A5240D">
        <w:rPr>
          <w:rFonts w:ascii="Times New Roman" w:hAnsi="Times New Roman" w:cs="Times New Roman"/>
          <w:lang w:val="en-GB"/>
        </w:rPr>
        <w:t xml:space="preserve"> risks undermining the rule of law, civic space, and democratic freedoms and it is recommended that the law be repealed.</w:t>
      </w:r>
      <w:r w:rsidRPr="00A5240D">
        <w:rPr>
          <w:rStyle w:val="FootnoteReference"/>
          <w:rFonts w:ascii="Times New Roman" w:hAnsi="Times New Roman" w:cs="Times New Roman"/>
          <w:lang w:val="en-GB"/>
        </w:rPr>
        <w:footnoteReference w:id="32"/>
      </w:r>
      <w:r w:rsidRPr="00A5240D">
        <w:rPr>
          <w:rFonts w:ascii="Times New Roman" w:hAnsi="Times New Roman" w:cs="Times New Roman"/>
          <w:lang w:val="en-GB"/>
        </w:rPr>
        <w:t xml:space="preserve"> </w:t>
      </w:r>
    </w:p>
    <w:p w14:paraId="58EFAFD2" w14:textId="28579DBD" w:rsidR="00246F5F" w:rsidRDefault="00984EC9" w:rsidP="00246F5F">
      <w:pPr>
        <w:spacing w:line="276" w:lineRule="auto"/>
        <w:ind w:left="720"/>
        <w:jc w:val="both"/>
        <w:rPr>
          <w:rFonts w:ascii="Times New Roman" w:hAnsi="Times New Roman" w:cs="Times New Roman"/>
          <w:lang w:val="ka-GE"/>
        </w:rPr>
      </w:pPr>
      <w:r>
        <w:rPr>
          <w:rFonts w:ascii="Times New Roman" w:hAnsi="Times New Roman" w:cs="Times New Roman"/>
          <w:lang w:val="en-GB"/>
        </w:rPr>
        <w:t xml:space="preserve">Furthermore, </w:t>
      </w:r>
      <w:r w:rsidR="00246F5F">
        <w:rPr>
          <w:rFonts w:ascii="Times New Roman" w:hAnsi="Times New Roman" w:cs="Times New Roman"/>
          <w:lang w:val="en-GB"/>
        </w:rPr>
        <w:t>L</w:t>
      </w:r>
      <w:r w:rsidR="00246F5F" w:rsidRPr="00A5240D">
        <w:rPr>
          <w:rFonts w:ascii="Times New Roman" w:hAnsi="Times New Roman" w:cs="Times New Roman"/>
          <w:lang w:val="ka-GE"/>
        </w:rPr>
        <w:t>egislative changes of April 2, 2025 excluded NGOs from participating in policymaking by eliminating mandatory consultation and engagement at both the local and national levels. Specifically, cooperation with civil society organisations has been restricted in three areas: (1) participation in governance processes, including ensuring public accountability of the authorities through such participation; (2) the mandatory involvement of civil society representatives in the selection of certain public office-holders; and (3) the involvement and participation of civil society organisations in consultative processes. The explanatory note to the draft law justifies these amendments on the following grounds: “Recent developments, including events unfolding globally around USAID, have revealed that the involvement of non-governmental organisations in public decision-making hinders the effective functioning of the state.”</w:t>
      </w:r>
      <w:r w:rsidR="00246F5F" w:rsidRPr="00A5240D">
        <w:rPr>
          <w:rStyle w:val="FootnoteReference"/>
          <w:rFonts w:ascii="Times New Roman" w:hAnsi="Times New Roman" w:cs="Times New Roman"/>
          <w:lang w:val="ka-GE"/>
        </w:rPr>
        <w:footnoteReference w:id="33"/>
      </w:r>
      <w:r w:rsidR="00246F5F" w:rsidRPr="00A5240D">
        <w:rPr>
          <w:rFonts w:ascii="Times New Roman" w:hAnsi="Times New Roman" w:cs="Times New Roman"/>
          <w:lang w:val="ka-GE"/>
        </w:rPr>
        <w:t xml:space="preserve"> </w:t>
      </w:r>
    </w:p>
    <w:p w14:paraId="575FE054" w14:textId="0F8BA148" w:rsidR="00EC6D21" w:rsidRPr="00EC6D21" w:rsidRDefault="00EC6D21" w:rsidP="00EC6D21">
      <w:pPr>
        <w:pStyle w:val="Heading2"/>
        <w:spacing w:line="276" w:lineRule="auto"/>
        <w:jc w:val="both"/>
        <w:rPr>
          <w:rFonts w:ascii="Times New Roman" w:hAnsi="Times New Roman" w:cs="Times New Roman"/>
          <w:b/>
          <w:bCs/>
          <w:color w:val="auto"/>
          <w:sz w:val="24"/>
          <w:szCs w:val="24"/>
          <w:lang w:val="en-GB"/>
        </w:rPr>
      </w:pPr>
      <w:r w:rsidRPr="00A2654F">
        <w:rPr>
          <w:rFonts w:ascii="Times New Roman" w:hAnsi="Times New Roman" w:cs="Times New Roman"/>
          <w:b/>
          <w:bCs/>
          <w:color w:val="auto"/>
          <w:sz w:val="24"/>
          <w:szCs w:val="24"/>
          <w:lang w:val="en-GB"/>
        </w:rPr>
        <w:lastRenderedPageBreak/>
        <w:t>Recommendations</w:t>
      </w:r>
      <w:r>
        <w:rPr>
          <w:rFonts w:ascii="Times New Roman" w:hAnsi="Times New Roman" w:cs="Times New Roman"/>
          <w:b/>
          <w:bCs/>
          <w:color w:val="auto"/>
          <w:sz w:val="24"/>
          <w:szCs w:val="24"/>
          <w:lang w:val="en-GB"/>
        </w:rPr>
        <w:t>:</w:t>
      </w:r>
    </w:p>
    <w:p w14:paraId="3E1D5E33" w14:textId="77777777" w:rsidR="00EC6D21" w:rsidRDefault="00EC6D21" w:rsidP="00EC6D21">
      <w:pPr>
        <w:pStyle w:val="Heading2"/>
        <w:numPr>
          <w:ilvl w:val="0"/>
          <w:numId w:val="14"/>
        </w:numPr>
        <w:spacing w:line="276" w:lineRule="auto"/>
        <w:jc w:val="both"/>
        <w:rPr>
          <w:rFonts w:ascii="Times New Roman" w:eastAsiaTheme="minorHAnsi" w:hAnsi="Times New Roman" w:cs="Times New Roman"/>
          <w:color w:val="auto"/>
          <w:sz w:val="24"/>
          <w:szCs w:val="24"/>
          <w:lang w:val="en-GB"/>
        </w:rPr>
      </w:pPr>
      <w:r w:rsidRPr="00A5240D">
        <w:rPr>
          <w:rFonts w:ascii="Times New Roman" w:eastAsiaTheme="minorHAnsi" w:hAnsi="Times New Roman" w:cs="Times New Roman"/>
          <w:color w:val="auto"/>
          <w:sz w:val="24"/>
          <w:szCs w:val="24"/>
          <w:lang w:val="en-GB"/>
        </w:rPr>
        <w:t>The legislative and executive branches should cease efforts to marginalize and delegitimize independent and critical civil society organisations and, in particular, organisations led by and working with people who use drugs, people living with HIV and other key populations.</w:t>
      </w:r>
    </w:p>
    <w:p w14:paraId="034B9832" w14:textId="4B8EBE0A" w:rsidR="00EC6D21" w:rsidRPr="00EC6D21" w:rsidRDefault="00EC6D21" w:rsidP="00EC6D21">
      <w:pPr>
        <w:pStyle w:val="Heading2"/>
        <w:numPr>
          <w:ilvl w:val="0"/>
          <w:numId w:val="14"/>
        </w:numPr>
        <w:spacing w:line="276" w:lineRule="auto"/>
        <w:jc w:val="both"/>
        <w:rPr>
          <w:rFonts w:ascii="Times New Roman" w:eastAsiaTheme="minorHAnsi" w:hAnsi="Times New Roman" w:cs="Times New Roman"/>
          <w:color w:val="auto"/>
          <w:sz w:val="24"/>
          <w:szCs w:val="24"/>
          <w:lang w:val="en-GB"/>
        </w:rPr>
      </w:pPr>
      <w:r w:rsidRPr="00EC6D21">
        <w:rPr>
          <w:rFonts w:ascii="Times New Roman" w:eastAsiaTheme="minorHAnsi" w:hAnsi="Times New Roman" w:cs="Times New Roman"/>
          <w:color w:val="auto"/>
          <w:sz w:val="24"/>
          <w:szCs w:val="24"/>
          <w:lang w:val="en-GB"/>
        </w:rPr>
        <w:t>Georgia should re-establish formal, timely and inclusive consultation mechanisms that ensure the participation of HIV and harm reduction organisations in health and drug policy decision making at national and municipal levels, including in coordinating councils, working groups and grant approval processes, and should guarantee that foreign grants for HIV and harm reduction services are not refused on arbitrary or discriminatory grounds.</w:t>
      </w:r>
    </w:p>
    <w:p w14:paraId="3ADFDBE6" w14:textId="77777777" w:rsidR="00664F47" w:rsidRDefault="00664F47" w:rsidP="00664F47">
      <w:pPr>
        <w:rPr>
          <w:rFonts w:ascii="Times New Roman" w:hAnsi="Times New Roman" w:cs="Times New Roman"/>
          <w:lang w:val="en-GB"/>
        </w:rPr>
      </w:pPr>
    </w:p>
    <w:p w14:paraId="5ECB07F5" w14:textId="19E68097" w:rsidR="009647BE" w:rsidRPr="00664F47" w:rsidRDefault="009647BE" w:rsidP="00664F47">
      <w:pPr>
        <w:rPr>
          <w:rFonts w:ascii="Times New Roman" w:hAnsi="Times New Roman" w:cs="Times New Roman"/>
          <w:lang w:val="en-GB"/>
        </w:rPr>
      </w:pPr>
      <w:proofErr w:type="spellStart"/>
      <w:r>
        <w:rPr>
          <w:rFonts w:ascii="Times New Roman" w:eastAsia="inter" w:hAnsi="Times New Roman" w:cs="Times New Roman"/>
          <w:color w:val="000000"/>
          <w:lang w:val="lt-LT"/>
        </w:rPr>
        <w:t>Annex</w:t>
      </w:r>
      <w:proofErr w:type="spellEnd"/>
      <w:r>
        <w:rPr>
          <w:rFonts w:ascii="Times New Roman" w:eastAsia="inter" w:hAnsi="Times New Roman" w:cs="Times New Roman"/>
          <w:color w:val="000000"/>
          <w:lang w:val="lt-LT"/>
        </w:rPr>
        <w:t xml:space="preserve"> </w:t>
      </w:r>
      <w:r>
        <w:rPr>
          <w:rFonts w:ascii="Times New Roman" w:eastAsia="inter" w:hAnsi="Times New Roman" w:cs="Times New Roman"/>
          <w:color w:val="000000"/>
        </w:rPr>
        <w:t>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7058"/>
      </w:tblGrid>
      <w:tr w:rsidR="009647BE" w14:paraId="6CC6BDEF" w14:textId="77777777" w:rsidTr="00324BC5">
        <w:tc>
          <w:tcPr>
            <w:tcW w:w="2518" w:type="dxa"/>
          </w:tcPr>
          <w:p w14:paraId="2DFD29A2" w14:textId="77777777" w:rsidR="009647BE" w:rsidRDefault="009647BE" w:rsidP="00324BC5">
            <w:pPr>
              <w:pStyle w:val="BodyA"/>
              <w:pBdr>
                <w:top w:val="none" w:sz="0" w:space="0" w:color="auto"/>
                <w:left w:val="none" w:sz="0" w:space="0" w:color="auto"/>
                <w:bottom w:val="none" w:sz="0" w:space="0" w:color="auto"/>
                <w:right w:val="none" w:sz="0" w:space="0" w:color="auto"/>
                <w:between w:val="none" w:sz="0" w:space="0" w:color="auto"/>
                <w:bar w:val="none" w:sz="0" w:color="auto"/>
              </w:pBdr>
              <w:spacing w:before="100" w:after="100" w:line="240" w:lineRule="auto"/>
              <w:rPr>
                <w:rFonts w:ascii="Times New Roman" w:hAnsi="Times New Roman"/>
                <w:sz w:val="24"/>
                <w:szCs w:val="24"/>
              </w:rPr>
            </w:pPr>
            <w:r>
              <w:rPr>
                <w:rFonts w:ascii="Times New Roman" w:hAnsi="Times New Roman"/>
                <w:noProof/>
                <w:sz w:val="24"/>
                <w:szCs w:val="24"/>
                <w:lang w:val="en-CA" w:eastAsia="en-CA"/>
              </w:rPr>
              <w:drawing>
                <wp:anchor distT="0" distB="0" distL="114300" distR="114300" simplePos="0" relativeHeight="251658240" behindDoc="0" locked="0" layoutInCell="1" allowOverlap="1" wp14:anchorId="1F7172D6" wp14:editId="5E4F3CB4">
                  <wp:simplePos x="0" y="0"/>
                  <wp:positionH relativeFrom="column">
                    <wp:posOffset>0</wp:posOffset>
                  </wp:positionH>
                  <wp:positionV relativeFrom="paragraph">
                    <wp:posOffset>60960</wp:posOffset>
                  </wp:positionV>
                  <wp:extent cx="1365885" cy="542290"/>
                  <wp:effectExtent l="0" t="0" r="5715" b="0"/>
                  <wp:wrapSquare wrapText="bothSides"/>
                  <wp:docPr id="6" name="Picture 6" descr="A purpl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urple and white logo&#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65885" cy="542290"/>
                          </a:xfrm>
                          <a:prstGeom prst="rect">
                            <a:avLst/>
                          </a:prstGeom>
                          <a:noFill/>
                        </pic:spPr>
                      </pic:pic>
                    </a:graphicData>
                  </a:graphic>
                  <wp14:sizeRelH relativeFrom="page">
                    <wp14:pctWidth>0</wp14:pctWidth>
                  </wp14:sizeRelH>
                  <wp14:sizeRelV relativeFrom="page">
                    <wp14:pctHeight>0</wp14:pctHeight>
                  </wp14:sizeRelV>
                </wp:anchor>
              </w:drawing>
            </w:r>
          </w:p>
        </w:tc>
        <w:tc>
          <w:tcPr>
            <w:tcW w:w="7058" w:type="dxa"/>
          </w:tcPr>
          <w:p w14:paraId="6432E758" w14:textId="3834082E" w:rsidR="009647BE" w:rsidRDefault="009647BE" w:rsidP="00324BC5">
            <w:pPr>
              <w:pStyle w:val="BodyA"/>
              <w:spacing w:before="100" w:after="0" w:line="240" w:lineRule="auto"/>
              <w:rPr>
                <w:rFonts w:ascii="Times New Roman" w:hAnsi="Times New Roman" w:cs="Times New Roman"/>
              </w:rPr>
            </w:pPr>
            <w:r w:rsidRPr="00F74D64">
              <w:rPr>
                <w:rFonts w:ascii="Times New Roman" w:hAnsi="Times New Roman" w:cs="Times New Roman"/>
              </w:rPr>
              <w:t>Eurasian Harm Reduction Association (</w:t>
            </w:r>
            <w:hyperlink r:id="rId8" w:history="1">
              <w:r w:rsidRPr="005330B3">
                <w:rPr>
                  <w:rStyle w:val="Hyperlink"/>
                  <w:rFonts w:ascii="Times New Roman" w:hAnsi="Times New Roman" w:cs="Times New Roman"/>
                </w:rPr>
                <w:t>http://harmreductioneurasia.org</w:t>
              </w:r>
            </w:hyperlink>
            <w:r w:rsidRPr="00F74D64">
              <w:rPr>
                <w:rFonts w:ascii="Times New Roman" w:hAnsi="Times New Roman" w:cs="Times New Roman"/>
              </w:rPr>
              <w:t>) is a non-for-profit public membership-based organization</w:t>
            </w:r>
            <w:r>
              <w:rPr>
                <w:rFonts w:ascii="Times New Roman" w:hAnsi="Times New Roman" w:cs="Times New Roman"/>
              </w:rPr>
              <w:t>, which</w:t>
            </w:r>
            <w:r w:rsidRPr="00F74D64">
              <w:rPr>
                <w:rFonts w:ascii="Times New Roman" w:hAnsi="Times New Roman" w:cs="Times New Roman"/>
              </w:rPr>
              <w:t xml:space="preserve"> strive</w:t>
            </w:r>
            <w:r>
              <w:rPr>
                <w:rFonts w:ascii="Times New Roman" w:hAnsi="Times New Roman" w:cs="Times New Roman"/>
              </w:rPr>
              <w:t>s</w:t>
            </w:r>
            <w:r w:rsidRPr="00F74D64">
              <w:rPr>
                <w:rFonts w:ascii="Times New Roman" w:hAnsi="Times New Roman" w:cs="Times New Roman"/>
              </w:rPr>
              <w:t xml:space="preserve"> for a progressive human rights-based drug policy, sustainable funding advocacy and quality of harm reduction services oriented on needs of people who use</w:t>
            </w:r>
            <w:r>
              <w:rPr>
                <w:rFonts w:ascii="Times New Roman" w:hAnsi="Times New Roman" w:cs="Times New Roman"/>
              </w:rPr>
              <w:t xml:space="preserve"> drugs in Cen</w:t>
            </w:r>
            <w:r w:rsidRPr="00F74D64">
              <w:rPr>
                <w:rFonts w:ascii="Times New Roman" w:hAnsi="Times New Roman" w:cs="Times New Roman"/>
              </w:rPr>
              <w:t>tral and Eastern Europe and Central Asia (CEECA) in 2017.</w:t>
            </w:r>
            <w:r>
              <w:rPr>
                <w:rFonts w:ascii="Times New Roman" w:hAnsi="Times New Roman" w:cs="Times New Roman"/>
              </w:rPr>
              <w:t xml:space="preserve"> </w:t>
            </w:r>
          </w:p>
          <w:p w14:paraId="0FE1FD5A" w14:textId="77777777" w:rsidR="009647BE" w:rsidRDefault="009647BE" w:rsidP="00324BC5">
            <w:pPr>
              <w:pStyle w:val="BodyA"/>
              <w:spacing w:before="100" w:after="0" w:line="240" w:lineRule="auto"/>
              <w:ind w:left="2268"/>
              <w:rPr>
                <w:rFonts w:ascii="Times New Roman" w:hAnsi="Times New Roman" w:cs="Times New Roman"/>
              </w:rPr>
            </w:pPr>
          </w:p>
          <w:p w14:paraId="6BC12C20" w14:textId="77777777" w:rsidR="009647BE" w:rsidRDefault="009647BE" w:rsidP="00324BC5">
            <w:pPr>
              <w:pStyle w:val="BodyA"/>
              <w:pBdr>
                <w:top w:val="none" w:sz="0" w:space="0" w:color="auto"/>
                <w:left w:val="none" w:sz="0" w:space="0" w:color="auto"/>
                <w:bottom w:val="none" w:sz="0" w:space="0" w:color="auto"/>
                <w:right w:val="none" w:sz="0" w:space="0" w:color="auto"/>
                <w:between w:val="none" w:sz="0" w:space="0" w:color="auto"/>
                <w:bar w:val="none" w:sz="0" w:color="auto"/>
              </w:pBdr>
              <w:spacing w:before="100" w:after="100" w:line="240" w:lineRule="auto"/>
              <w:rPr>
                <w:rFonts w:ascii="Times New Roman" w:hAnsi="Times New Roman"/>
                <w:sz w:val="24"/>
                <w:szCs w:val="24"/>
              </w:rPr>
            </w:pPr>
            <w:r w:rsidRPr="00B9636D">
              <w:rPr>
                <w:rFonts w:ascii="Times New Roman" w:hAnsi="Times New Roman" w:cs="Times New Roman"/>
                <w:i/>
              </w:rPr>
              <w:t xml:space="preserve">Address: </w:t>
            </w:r>
            <w:proofErr w:type="spellStart"/>
            <w:r w:rsidRPr="0018588B">
              <w:rPr>
                <w:rFonts w:ascii="Times New Roman" w:hAnsi="Times New Roman" w:cs="Times New Roman"/>
                <w:i/>
              </w:rPr>
              <w:t>Perkūnkiemio</w:t>
            </w:r>
            <w:proofErr w:type="spellEnd"/>
            <w:r w:rsidRPr="0018588B">
              <w:rPr>
                <w:rFonts w:ascii="Times New Roman" w:hAnsi="Times New Roman" w:cs="Times New Roman"/>
                <w:i/>
              </w:rPr>
              <w:t xml:space="preserve"> g. 6, 7 fl., Vilnius, LT-12130 Lithuania</w:t>
            </w:r>
          </w:p>
        </w:tc>
      </w:tr>
    </w:tbl>
    <w:p w14:paraId="0430CA3C" w14:textId="77777777" w:rsidR="00A5240D" w:rsidRPr="009647BE" w:rsidRDefault="00A5240D" w:rsidP="00A5240D">
      <w:pPr>
        <w:spacing w:line="276" w:lineRule="auto"/>
        <w:rPr>
          <w:rFonts w:ascii="Times New Roman" w:hAnsi="Times New Roman" w:cs="Times New Roman"/>
        </w:rPr>
      </w:pPr>
    </w:p>
    <w:sectPr w:rsidR="00A5240D" w:rsidRPr="009647BE" w:rsidSect="00664F47">
      <w:headerReference w:type="default" r:id="rId9"/>
      <w:footerReference w:type="default" r:id="rId10"/>
      <w:pgSz w:w="12240" w:h="15840"/>
      <w:pgMar w:top="1440" w:right="1080" w:bottom="1440" w:left="1080" w:header="720" w:footer="720" w:gutter="0"/>
      <w:lnNumType w:countBy="5"/>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1808C" w14:textId="77777777" w:rsidR="00A5240D" w:rsidRDefault="00A5240D" w:rsidP="00A5240D">
      <w:pPr>
        <w:spacing w:after="0" w:line="240" w:lineRule="auto"/>
      </w:pPr>
      <w:r>
        <w:separator/>
      </w:r>
    </w:p>
  </w:endnote>
  <w:endnote w:type="continuationSeparator" w:id="0">
    <w:p w14:paraId="61E3492A" w14:textId="77777777" w:rsidR="00A5240D" w:rsidRDefault="00A5240D" w:rsidP="00A524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auto"/>
    <w:pitch w:val="default"/>
  </w:font>
  <w:font w:name="Sylfaen">
    <w:panose1 w:val="010A0502050306030303"/>
    <w:charset w:val="BA"/>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inter">
    <w:altName w:val="Cambria"/>
    <w:panose1 w:val="00000000000000000000"/>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8824329"/>
      <w:docPartObj>
        <w:docPartGallery w:val="Page Numbers (Bottom of Page)"/>
        <w:docPartUnique/>
      </w:docPartObj>
    </w:sdtPr>
    <w:sdtEndPr>
      <w:rPr>
        <w:noProof/>
      </w:rPr>
    </w:sdtEndPr>
    <w:sdtContent>
      <w:p w14:paraId="7727A5A9" w14:textId="08D7C325" w:rsidR="003D4E95" w:rsidRDefault="003D4E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50B73" w14:textId="77777777" w:rsidR="003D4E95" w:rsidRDefault="003D4E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E24EC" w14:textId="77777777" w:rsidR="00A5240D" w:rsidRDefault="00A5240D" w:rsidP="00A5240D">
      <w:pPr>
        <w:spacing w:after="0" w:line="240" w:lineRule="auto"/>
      </w:pPr>
      <w:r>
        <w:separator/>
      </w:r>
    </w:p>
  </w:footnote>
  <w:footnote w:type="continuationSeparator" w:id="0">
    <w:p w14:paraId="5E8F6C59" w14:textId="77777777" w:rsidR="00A5240D" w:rsidRDefault="00A5240D" w:rsidP="00A5240D">
      <w:pPr>
        <w:spacing w:after="0" w:line="240" w:lineRule="auto"/>
      </w:pPr>
      <w:r>
        <w:continuationSeparator/>
      </w:r>
    </w:p>
  </w:footnote>
  <w:footnote w:id="1">
    <w:p w14:paraId="5145E7F0" w14:textId="77777777" w:rsidR="00A5240D" w:rsidRPr="00E123BC" w:rsidRDefault="00A5240D" w:rsidP="00664F47">
      <w:pPr>
        <w:pStyle w:val="FootnoteText"/>
        <w:spacing w:before="0" w:after="0" w:line="240" w:lineRule="auto"/>
        <w:rPr>
          <w:sz w:val="20"/>
          <w:szCs w:val="20"/>
        </w:rPr>
      </w:pPr>
      <w:r>
        <w:rPr>
          <w:rStyle w:val="FootnoteReference"/>
          <w:rFonts w:eastAsiaTheme="majorEastAsia"/>
        </w:rPr>
        <w:footnoteRef/>
      </w:r>
      <w:r>
        <w:t xml:space="preserve"> </w:t>
      </w:r>
      <w:r w:rsidRPr="00E123BC">
        <w:rPr>
          <w:sz w:val="20"/>
          <w:szCs w:val="20"/>
        </w:rPr>
        <w:t xml:space="preserve">This information note is drafted and submitted by the Eurasian Harm Reduction Association. Information about the organization is in Annex I. Person to contact: Maria Plotko maria@harmreductioneurasia.org </w:t>
      </w:r>
    </w:p>
    <w:p w14:paraId="01DFD548" w14:textId="77777777" w:rsidR="00A5240D" w:rsidRDefault="00A5240D" w:rsidP="00A5240D">
      <w:pPr>
        <w:pStyle w:val="FootnoteText"/>
      </w:pPr>
    </w:p>
  </w:footnote>
  <w:footnote w:id="2">
    <w:p w14:paraId="2825E109" w14:textId="77777777" w:rsidR="00A5240D" w:rsidRPr="00AC0E80" w:rsidRDefault="00A5240D" w:rsidP="00664F47">
      <w:pPr>
        <w:pStyle w:val="FootnoteText"/>
        <w:spacing w:before="0" w:after="0" w:line="240" w:lineRule="auto"/>
        <w:rPr>
          <w:sz w:val="20"/>
          <w:szCs w:val="20"/>
          <w:lang w:val="en-GB"/>
        </w:rPr>
      </w:pPr>
      <w:r>
        <w:rPr>
          <w:rStyle w:val="FootnoteReference"/>
        </w:rPr>
        <w:footnoteRef/>
      </w:r>
      <w:r>
        <w:t xml:space="preserve"> </w:t>
      </w:r>
      <w:r w:rsidRPr="00AC0E80">
        <w:rPr>
          <w:sz w:val="20"/>
          <w:szCs w:val="20"/>
          <w:lang w:val="en-GB"/>
        </w:rPr>
        <w:t xml:space="preserve">Human Rights Watch, Georgia: Severe Toll of Abusive Drug Laws, August 2018. Available at: </w:t>
      </w:r>
      <w:hyperlink r:id="rId1" w:history="1">
        <w:r w:rsidRPr="00AC0E80">
          <w:rPr>
            <w:rStyle w:val="Hyperlink"/>
            <w:sz w:val="20"/>
            <w:szCs w:val="20"/>
            <w:lang w:val="en-GB"/>
          </w:rPr>
          <w:t>https://www.hrw.org/news/2018/08/13/georgia-severe-toll-abusive-drug-laws</w:t>
        </w:r>
      </w:hyperlink>
      <w:r w:rsidRPr="00AC0E80">
        <w:rPr>
          <w:sz w:val="20"/>
          <w:szCs w:val="20"/>
          <w:lang w:val="en-GB"/>
        </w:rPr>
        <w:t xml:space="preserve"> </w:t>
      </w:r>
    </w:p>
  </w:footnote>
  <w:footnote w:id="3">
    <w:p w14:paraId="5036EB2A" w14:textId="77777777" w:rsidR="00A5240D" w:rsidRPr="00BF1BC7" w:rsidRDefault="00A5240D" w:rsidP="00664F47">
      <w:pPr>
        <w:pStyle w:val="FootnoteText"/>
        <w:spacing w:before="0" w:after="0" w:line="240" w:lineRule="auto"/>
        <w:rPr>
          <w:lang w:val="en-GB"/>
        </w:rPr>
      </w:pPr>
      <w:r w:rsidRPr="00AC0E80">
        <w:rPr>
          <w:rStyle w:val="FootnoteReference"/>
          <w:sz w:val="20"/>
          <w:szCs w:val="20"/>
        </w:rPr>
        <w:footnoteRef/>
      </w:r>
      <w:r w:rsidRPr="00AC0E80">
        <w:rPr>
          <w:sz w:val="20"/>
          <w:szCs w:val="20"/>
        </w:rPr>
        <w:t xml:space="preserve"> </w:t>
      </w:r>
      <w:r w:rsidRPr="00AC0E80">
        <w:rPr>
          <w:sz w:val="20"/>
          <w:szCs w:val="20"/>
          <w:lang w:val="en-GB"/>
        </w:rPr>
        <w:t xml:space="preserve">Criminal Code of Georgia, Article </w:t>
      </w:r>
      <w:r w:rsidRPr="00AC0E80">
        <w:rPr>
          <w:rFonts w:eastAsia="Sylfaen"/>
          <w:sz w:val="20"/>
          <w:szCs w:val="20"/>
          <w:lang w:val="en-GB"/>
        </w:rPr>
        <w:t>79².</w:t>
      </w:r>
      <w:r>
        <w:rPr>
          <w:rFonts w:eastAsia="Sylfaen"/>
          <w:lang w:val="en-GB"/>
        </w:rPr>
        <w:t xml:space="preserve"> </w:t>
      </w:r>
      <w:r>
        <w:rPr>
          <w:lang w:val="en-GB"/>
        </w:rPr>
        <w:t xml:space="preserve"> </w:t>
      </w:r>
    </w:p>
  </w:footnote>
  <w:footnote w:id="4">
    <w:p w14:paraId="73206D05" w14:textId="77777777" w:rsidR="00A5240D" w:rsidRPr="00FB560D" w:rsidRDefault="00A5240D" w:rsidP="00664F47">
      <w:pPr>
        <w:pStyle w:val="FootnoteText"/>
        <w:spacing w:before="0" w:after="0" w:line="240" w:lineRule="auto"/>
        <w:rPr>
          <w:lang w:val="en-GB"/>
        </w:rPr>
      </w:pPr>
      <w:r w:rsidRPr="00AC0E80">
        <w:rPr>
          <w:rStyle w:val="FootnoteReference"/>
          <w:sz w:val="20"/>
          <w:szCs w:val="20"/>
        </w:rPr>
        <w:footnoteRef/>
      </w:r>
      <w:r w:rsidRPr="00AC0E80">
        <w:rPr>
          <w:sz w:val="20"/>
          <w:szCs w:val="20"/>
        </w:rPr>
        <w:t xml:space="preserve"> Legislative package available at: </w:t>
      </w:r>
      <w:hyperlink r:id="rId2" w:anchor="law-drafting/30418" w:history="1">
        <w:r w:rsidRPr="00AC0E80">
          <w:rPr>
            <w:rStyle w:val="Hyperlink"/>
            <w:sz w:val="20"/>
            <w:szCs w:val="20"/>
          </w:rPr>
          <w:t>https://info.parliament.ge/#law-drafting/30418</w:t>
        </w:r>
      </w:hyperlink>
      <w:r>
        <w:t xml:space="preserve"> </w:t>
      </w:r>
    </w:p>
  </w:footnote>
  <w:footnote w:id="5">
    <w:p w14:paraId="3E0357D2" w14:textId="77777777" w:rsidR="00A5240D" w:rsidRPr="00AC0E80" w:rsidRDefault="00A5240D" w:rsidP="00664F47">
      <w:pPr>
        <w:pStyle w:val="FootnoteText"/>
        <w:spacing w:before="0" w:after="0" w:line="240" w:lineRule="auto"/>
        <w:rPr>
          <w:sz w:val="20"/>
          <w:szCs w:val="20"/>
          <w:lang w:val="en-GB"/>
        </w:rPr>
      </w:pPr>
      <w:r>
        <w:rPr>
          <w:rStyle w:val="FootnoteReference"/>
        </w:rPr>
        <w:footnoteRef/>
      </w:r>
      <w:r>
        <w:t xml:space="preserve"> </w:t>
      </w:r>
      <w:r w:rsidRPr="00AC0E80">
        <w:rPr>
          <w:sz w:val="20"/>
          <w:szCs w:val="20"/>
        </w:rPr>
        <w:t xml:space="preserve">Social Justice Center assessment. available at: </w:t>
      </w:r>
      <w:hyperlink r:id="rId3" w:history="1">
        <w:r w:rsidRPr="00AC0E80">
          <w:rPr>
            <w:rStyle w:val="Hyperlink"/>
            <w:sz w:val="20"/>
            <w:szCs w:val="20"/>
          </w:rPr>
          <w:t>https://socialjustice.org.ge/en/products/kartuli-otsnebis-mier-initsiirebuli-tsvlilebebi-populisturia-ver-gadachris-adiktsiastan-dakavshirebul-jandatsvis-problemebs-da-farto-sazogadoebaze-kontrolis-gadzlierebis-miznebs-emsakhureba</w:t>
        </w:r>
      </w:hyperlink>
      <w:r w:rsidRPr="00AC0E80">
        <w:rPr>
          <w:sz w:val="20"/>
          <w:szCs w:val="20"/>
        </w:rPr>
        <w:t xml:space="preserve"> .</w:t>
      </w:r>
    </w:p>
  </w:footnote>
  <w:footnote w:id="6">
    <w:p w14:paraId="214CE8A2" w14:textId="77777777" w:rsidR="00A5240D" w:rsidRPr="00AC0E80" w:rsidRDefault="00A5240D" w:rsidP="00664F47">
      <w:pPr>
        <w:pStyle w:val="FootnoteText"/>
        <w:spacing w:before="0" w:after="0" w:line="240" w:lineRule="auto"/>
        <w:rPr>
          <w:sz w:val="20"/>
          <w:szCs w:val="20"/>
          <w:lang w:val="en-GB"/>
        </w:rPr>
      </w:pPr>
      <w:r w:rsidRPr="00AC0E80">
        <w:rPr>
          <w:rStyle w:val="FootnoteReference"/>
          <w:sz w:val="20"/>
          <w:szCs w:val="20"/>
        </w:rPr>
        <w:footnoteRef/>
      </w:r>
      <w:r w:rsidRPr="00AC0E80">
        <w:rPr>
          <w:sz w:val="20"/>
          <w:szCs w:val="20"/>
        </w:rPr>
        <w:t xml:space="preserve"> Legislative package is available at: </w:t>
      </w:r>
      <w:hyperlink r:id="rId4" w:anchor="law-drafting/31053" w:history="1">
        <w:r w:rsidRPr="00AC0E80">
          <w:rPr>
            <w:rStyle w:val="Hyperlink"/>
            <w:sz w:val="20"/>
            <w:szCs w:val="20"/>
          </w:rPr>
          <w:t>https://info.parliament.ge/#law-drafting/31053</w:t>
        </w:r>
      </w:hyperlink>
      <w:r w:rsidRPr="00AC0E80">
        <w:rPr>
          <w:sz w:val="20"/>
          <w:szCs w:val="20"/>
        </w:rPr>
        <w:t xml:space="preserve">.   </w:t>
      </w:r>
    </w:p>
  </w:footnote>
  <w:footnote w:id="7">
    <w:p w14:paraId="74B24070" w14:textId="77777777" w:rsidR="00CF1060" w:rsidRPr="00AC0E80" w:rsidRDefault="00CF1060" w:rsidP="00664F47">
      <w:pPr>
        <w:pStyle w:val="FootnoteText"/>
        <w:spacing w:before="0" w:after="0" w:line="240" w:lineRule="auto"/>
        <w:rPr>
          <w:sz w:val="20"/>
          <w:szCs w:val="20"/>
          <w:lang w:val="en-GB"/>
        </w:rPr>
      </w:pPr>
      <w:r w:rsidRPr="00AC0E80">
        <w:rPr>
          <w:rStyle w:val="FootnoteReference"/>
          <w:sz w:val="20"/>
          <w:szCs w:val="20"/>
        </w:rPr>
        <w:footnoteRef/>
      </w:r>
      <w:r w:rsidRPr="00AC0E80">
        <w:rPr>
          <w:sz w:val="20"/>
          <w:szCs w:val="20"/>
        </w:rPr>
        <w:t xml:space="preserve"> Ministry of Internal Affairs, Registered Crime Statistics, 2024. Available at: </w:t>
      </w:r>
      <w:hyperlink r:id="rId5" w:history="1">
        <w:r w:rsidRPr="00AC0E80">
          <w:rPr>
            <w:rStyle w:val="Hyperlink"/>
            <w:sz w:val="20"/>
            <w:szCs w:val="20"/>
          </w:rPr>
          <w:t>https://police.ge/public-information/registrirebuli-danashaulis-statistika?id=137&amp;year=442</w:t>
        </w:r>
      </w:hyperlink>
      <w:r w:rsidRPr="00AC0E80">
        <w:rPr>
          <w:sz w:val="20"/>
          <w:szCs w:val="20"/>
        </w:rPr>
        <w:t xml:space="preserve">. </w:t>
      </w:r>
    </w:p>
  </w:footnote>
  <w:footnote w:id="8">
    <w:p w14:paraId="755EFB40" w14:textId="77777777" w:rsidR="00CF1060" w:rsidRPr="00AC0E80" w:rsidRDefault="00CF1060" w:rsidP="00664F47">
      <w:pPr>
        <w:pStyle w:val="FootnoteText"/>
        <w:spacing w:before="0" w:after="0" w:line="240" w:lineRule="auto"/>
        <w:rPr>
          <w:sz w:val="20"/>
          <w:szCs w:val="20"/>
          <w:lang w:val="en-GB"/>
        </w:rPr>
      </w:pPr>
      <w:r w:rsidRPr="00AC0E80">
        <w:rPr>
          <w:rStyle w:val="FootnoteReference"/>
          <w:sz w:val="20"/>
          <w:szCs w:val="20"/>
        </w:rPr>
        <w:footnoteRef/>
      </w:r>
      <w:r w:rsidRPr="00AC0E80">
        <w:rPr>
          <w:sz w:val="20"/>
          <w:szCs w:val="20"/>
        </w:rPr>
        <w:t xml:space="preserve"> Council of Europe Annual Penal Statistics – SPACE I 2024. Available at: </w:t>
      </w:r>
      <w:hyperlink r:id="rId6" w:history="1">
        <w:r w:rsidRPr="00AC0E80">
          <w:rPr>
            <w:rStyle w:val="Hyperlink"/>
            <w:sz w:val="20"/>
            <w:szCs w:val="20"/>
          </w:rPr>
          <w:t>https://wp.unil.ch/space/files/2025/09/250924_rapport-space-i-2024.pdf</w:t>
        </w:r>
      </w:hyperlink>
      <w:r w:rsidRPr="00AC0E80">
        <w:rPr>
          <w:sz w:val="20"/>
          <w:szCs w:val="20"/>
        </w:rPr>
        <w:t xml:space="preserve"> .</w:t>
      </w:r>
    </w:p>
  </w:footnote>
  <w:footnote w:id="9">
    <w:p w14:paraId="57D9BC1C" w14:textId="77777777" w:rsidR="00CF1060" w:rsidRPr="00AC0E80" w:rsidRDefault="00CF1060" w:rsidP="00664F47">
      <w:pPr>
        <w:pStyle w:val="FootnoteText"/>
        <w:spacing w:before="0" w:after="0" w:line="240" w:lineRule="auto"/>
        <w:rPr>
          <w:sz w:val="20"/>
          <w:szCs w:val="20"/>
          <w:lang w:val="en-GB"/>
        </w:rPr>
      </w:pPr>
      <w:r w:rsidRPr="00AC0E80">
        <w:rPr>
          <w:rStyle w:val="FootnoteReference"/>
          <w:sz w:val="20"/>
          <w:szCs w:val="20"/>
        </w:rPr>
        <w:footnoteRef/>
      </w:r>
      <w:r w:rsidRPr="00AC0E80">
        <w:rPr>
          <w:sz w:val="20"/>
          <w:szCs w:val="20"/>
        </w:rPr>
        <w:t xml:space="preserve">  Ministry of Internal Affairs, Registered Crime Statistics, 2024. Available at: </w:t>
      </w:r>
      <w:hyperlink r:id="rId7" w:history="1">
        <w:r w:rsidRPr="00AC0E80">
          <w:rPr>
            <w:rStyle w:val="Hyperlink"/>
            <w:sz w:val="20"/>
            <w:szCs w:val="20"/>
          </w:rPr>
          <w:t>https://police.ge/public-information/registrirebuli-danashaulis-statistika?id=137&amp;year=442</w:t>
        </w:r>
      </w:hyperlink>
      <w:r w:rsidRPr="00AC0E80">
        <w:rPr>
          <w:sz w:val="20"/>
          <w:szCs w:val="20"/>
        </w:rPr>
        <w:t>.</w:t>
      </w:r>
    </w:p>
  </w:footnote>
  <w:footnote w:id="10">
    <w:p w14:paraId="571273BC" w14:textId="77777777" w:rsidR="00CF1060" w:rsidRPr="00AC0E80" w:rsidRDefault="00CF1060" w:rsidP="00664F47">
      <w:pPr>
        <w:pStyle w:val="FootnoteText"/>
        <w:spacing w:before="0" w:after="0" w:line="240" w:lineRule="auto"/>
        <w:rPr>
          <w:sz w:val="20"/>
          <w:szCs w:val="20"/>
          <w:lang w:val="en-GB"/>
        </w:rPr>
      </w:pPr>
      <w:r w:rsidRPr="00AC0E80">
        <w:rPr>
          <w:rStyle w:val="FootnoteReference"/>
          <w:sz w:val="20"/>
          <w:szCs w:val="20"/>
        </w:rPr>
        <w:footnoteRef/>
      </w:r>
      <w:r w:rsidRPr="00AC0E80">
        <w:rPr>
          <w:sz w:val="20"/>
          <w:szCs w:val="20"/>
        </w:rPr>
        <w:t xml:space="preserve"> Ministry of Internal Affairs, Statistics on persons taken for forced narcological testing. Available at: </w:t>
      </w:r>
      <w:hyperlink r:id="rId8" w:history="1">
        <w:r w:rsidRPr="00AC0E80">
          <w:rPr>
            <w:rStyle w:val="Hyperlink"/>
            <w:sz w:val="20"/>
            <w:szCs w:val="20"/>
          </w:rPr>
          <w:t>https://police.ge/public-information/narkologiuri-shemotsmebis-statistika?id=109&amp;year=295&amp;locale=en</w:t>
        </w:r>
      </w:hyperlink>
      <w:r w:rsidRPr="00AC0E80">
        <w:rPr>
          <w:sz w:val="20"/>
          <w:szCs w:val="20"/>
        </w:rPr>
        <w:t xml:space="preserve"> </w:t>
      </w:r>
    </w:p>
  </w:footnote>
  <w:footnote w:id="11">
    <w:p w14:paraId="5CE00F8F" w14:textId="77777777" w:rsidR="00D21E46" w:rsidRPr="00ED09D3" w:rsidRDefault="00D21E46" w:rsidP="00D21E46">
      <w:pPr>
        <w:pStyle w:val="FootnoteText"/>
        <w:spacing w:before="0" w:after="0" w:line="240" w:lineRule="auto"/>
        <w:rPr>
          <w:sz w:val="20"/>
          <w:szCs w:val="20"/>
          <w:lang w:val="nl-NL"/>
        </w:rPr>
      </w:pPr>
      <w:r w:rsidRPr="00AC0E80">
        <w:rPr>
          <w:rStyle w:val="FootnoteReference"/>
          <w:rFonts w:eastAsiaTheme="majorEastAsia"/>
          <w:sz w:val="20"/>
          <w:szCs w:val="20"/>
        </w:rPr>
        <w:footnoteRef/>
      </w:r>
      <w:r w:rsidRPr="00AC0E80">
        <w:rPr>
          <w:sz w:val="20"/>
          <w:szCs w:val="20"/>
        </w:rPr>
        <w:t xml:space="preserve"> WHO, UNODC, UNAIDS technical guide for countries</w:t>
      </w:r>
      <w:r w:rsidRPr="008E210F">
        <w:rPr>
          <w:sz w:val="20"/>
          <w:szCs w:val="20"/>
        </w:rPr>
        <w:t xml:space="preserve"> to set targets for universal access to HIV prevention, treatment and care for injecting drug users – 2012 revision. </w:t>
      </w:r>
      <w:r w:rsidRPr="00ED09D3">
        <w:rPr>
          <w:sz w:val="20"/>
          <w:szCs w:val="20"/>
          <w:lang w:val="nl-NL"/>
        </w:rPr>
        <w:t xml:space="preserve">Online: </w:t>
      </w:r>
      <w:hyperlink r:id="rId9" w:history="1">
        <w:r w:rsidRPr="00ED09D3">
          <w:rPr>
            <w:rStyle w:val="Hyperlink"/>
            <w:sz w:val="20"/>
            <w:szCs w:val="20"/>
            <w:lang w:val="nl-NL"/>
          </w:rPr>
          <w:t>https://www.who.int/publications/i/item/978924150437</w:t>
        </w:r>
      </w:hyperlink>
      <w:r w:rsidRPr="00ED09D3">
        <w:rPr>
          <w:sz w:val="20"/>
          <w:szCs w:val="20"/>
          <w:lang w:val="nl-NL"/>
        </w:rPr>
        <w:t xml:space="preserve"> </w:t>
      </w:r>
    </w:p>
  </w:footnote>
  <w:footnote w:id="12">
    <w:p w14:paraId="1AC1C162" w14:textId="77777777" w:rsidR="00D21E46" w:rsidRPr="008E210F" w:rsidRDefault="00D21E46" w:rsidP="00664F47">
      <w:pPr>
        <w:pStyle w:val="FootnoteText"/>
        <w:spacing w:before="0" w:after="0" w:line="240" w:lineRule="auto"/>
        <w:rPr>
          <w:sz w:val="20"/>
          <w:szCs w:val="20"/>
        </w:rPr>
      </w:pPr>
      <w:r w:rsidRPr="008E210F">
        <w:rPr>
          <w:rStyle w:val="FootnoteReference"/>
          <w:rFonts w:eastAsiaTheme="majorEastAsia"/>
          <w:sz w:val="20"/>
          <w:szCs w:val="20"/>
        </w:rPr>
        <w:footnoteRef/>
      </w:r>
      <w:r w:rsidRPr="00ED09D3">
        <w:rPr>
          <w:sz w:val="20"/>
          <w:szCs w:val="20"/>
          <w:lang w:val="nl-NL"/>
        </w:rPr>
        <w:t xml:space="preserve"> Javakhishvili et al., 2021. </w:t>
      </w:r>
      <w:r w:rsidRPr="008E210F">
        <w:rPr>
          <w:sz w:val="20"/>
          <w:szCs w:val="20"/>
        </w:rPr>
        <w:t>Survey of Client Satisfaction with Opioid Substitution Program in Western Georgia (online). Eurasian Harm Reduction Association, Ilia State University. Vilnius, Lithuania, 2021. Page 8.</w:t>
      </w:r>
    </w:p>
  </w:footnote>
  <w:footnote w:id="13">
    <w:p w14:paraId="1E85646C" w14:textId="77777777" w:rsidR="00A5240D" w:rsidRPr="00AC0E80" w:rsidRDefault="00A5240D" w:rsidP="00664F47">
      <w:pPr>
        <w:pStyle w:val="FootnoteText"/>
        <w:spacing w:before="0" w:after="0" w:line="240" w:lineRule="auto"/>
        <w:rPr>
          <w:sz w:val="20"/>
          <w:szCs w:val="20"/>
          <w:lang w:val="en-GB"/>
        </w:rPr>
      </w:pPr>
      <w:r w:rsidRPr="00AC0E80">
        <w:rPr>
          <w:rStyle w:val="FootnoteReference"/>
          <w:sz w:val="20"/>
          <w:szCs w:val="20"/>
        </w:rPr>
        <w:footnoteRef/>
      </w:r>
      <w:r w:rsidRPr="00AC0E80">
        <w:rPr>
          <w:sz w:val="20"/>
          <w:szCs w:val="20"/>
        </w:rPr>
        <w:t xml:space="preserve"> L</w:t>
      </w:r>
      <w:r w:rsidRPr="00AC0E80">
        <w:rPr>
          <w:sz w:val="20"/>
          <w:szCs w:val="20"/>
          <w:lang w:val="ka-GE"/>
        </w:rPr>
        <w:t xml:space="preserve">egislative package is available at: </w:t>
      </w:r>
      <w:hyperlink r:id="rId10" w:anchor="law-drafting/31045" w:history="1">
        <w:r w:rsidRPr="00AC0E80">
          <w:rPr>
            <w:rStyle w:val="Hyperlink"/>
            <w:sz w:val="20"/>
            <w:szCs w:val="20"/>
            <w:lang w:val="ka-GE"/>
          </w:rPr>
          <w:t>https://info.parliament.ge/#law-drafting/31045</w:t>
        </w:r>
      </w:hyperlink>
      <w:r w:rsidRPr="00AC0E80">
        <w:rPr>
          <w:sz w:val="20"/>
          <w:szCs w:val="20"/>
          <w:lang w:val="ka-GE"/>
        </w:rPr>
        <w:t xml:space="preserve">.  </w:t>
      </w:r>
    </w:p>
  </w:footnote>
  <w:footnote w:id="14">
    <w:p w14:paraId="7E6A4757" w14:textId="77777777" w:rsidR="00A5240D" w:rsidRPr="00DC4227" w:rsidRDefault="00A5240D" w:rsidP="00664F47">
      <w:pPr>
        <w:pStyle w:val="FootnoteText"/>
        <w:spacing w:before="0" w:after="0" w:line="240" w:lineRule="auto"/>
        <w:rPr>
          <w:lang w:val="en-GB"/>
        </w:rPr>
      </w:pPr>
      <w:r w:rsidRPr="00AC0E80">
        <w:rPr>
          <w:rStyle w:val="FootnoteReference"/>
          <w:sz w:val="20"/>
          <w:szCs w:val="20"/>
        </w:rPr>
        <w:footnoteRef/>
      </w:r>
      <w:r w:rsidRPr="00AC0E80">
        <w:rPr>
          <w:sz w:val="20"/>
          <w:szCs w:val="20"/>
        </w:rPr>
        <w:t xml:space="preserve"> </w:t>
      </w:r>
      <w:r w:rsidRPr="00AC0E80">
        <w:rPr>
          <w:sz w:val="20"/>
          <w:szCs w:val="20"/>
          <w:lang w:val="ka-GE"/>
        </w:rPr>
        <w:t xml:space="preserve">Legislative package is available at: </w:t>
      </w:r>
      <w:hyperlink r:id="rId11" w:anchor="law-drafting/28951" w:history="1">
        <w:r w:rsidRPr="00AC0E80">
          <w:rPr>
            <w:rStyle w:val="Hyperlink"/>
            <w:sz w:val="20"/>
            <w:szCs w:val="20"/>
            <w:lang w:val="ka-GE"/>
          </w:rPr>
          <w:t>https://info.parliament.ge/#law-drafting/28951</w:t>
        </w:r>
      </w:hyperlink>
      <w:r w:rsidRPr="00AC0E80">
        <w:rPr>
          <w:sz w:val="20"/>
          <w:szCs w:val="20"/>
          <w:lang w:val="ka-GE"/>
        </w:rPr>
        <w:t>.</w:t>
      </w:r>
      <w:r>
        <w:rPr>
          <w:lang w:val="ka-GE"/>
        </w:rPr>
        <w:t xml:space="preserve"> </w:t>
      </w:r>
    </w:p>
  </w:footnote>
  <w:footnote w:id="15">
    <w:p w14:paraId="5691C5B2" w14:textId="77777777" w:rsidR="00A5240D" w:rsidRPr="00664F47" w:rsidRDefault="00A5240D" w:rsidP="00664F47">
      <w:pPr>
        <w:pStyle w:val="FootnoteText"/>
        <w:spacing w:before="0" w:after="0" w:line="240" w:lineRule="auto"/>
        <w:rPr>
          <w:sz w:val="20"/>
          <w:szCs w:val="20"/>
          <w:lang w:val="en-GB"/>
        </w:rPr>
      </w:pPr>
      <w:r>
        <w:rPr>
          <w:rStyle w:val="FootnoteReference"/>
        </w:rPr>
        <w:footnoteRef/>
      </w:r>
      <w:r>
        <w:t xml:space="preserve"> </w:t>
      </w:r>
      <w:r w:rsidRPr="00664F47">
        <w:rPr>
          <w:sz w:val="20"/>
          <w:szCs w:val="20"/>
        </w:rPr>
        <w:t xml:space="preserve">REACT (Rights–Evidence–Action) is an electronic system developed by the International HIV/AIDS Alliance to document human-rights violations and barriers to HIV and health services, supporting rights-based </w:t>
      </w:r>
      <w:proofErr w:type="spellStart"/>
      <w:r w:rsidRPr="00664F47">
        <w:rPr>
          <w:sz w:val="20"/>
          <w:szCs w:val="20"/>
        </w:rPr>
        <w:t>programmes</w:t>
      </w:r>
      <w:proofErr w:type="spellEnd"/>
      <w:r w:rsidRPr="00664F47">
        <w:rPr>
          <w:sz w:val="20"/>
          <w:szCs w:val="20"/>
        </w:rPr>
        <w:t xml:space="preserve"> and advocacy. Launched as a Tbilisi pilot in December 2019, it is now expanding nationally through 20 organizations in 9 cities and provides free legal assistance upon request.</w:t>
      </w:r>
    </w:p>
  </w:footnote>
  <w:footnote w:id="16">
    <w:p w14:paraId="315A3241" w14:textId="77777777" w:rsidR="00A5240D" w:rsidRPr="00664F47" w:rsidRDefault="00A5240D" w:rsidP="00664F47">
      <w:pPr>
        <w:pStyle w:val="FootnoteText"/>
        <w:spacing w:before="0" w:after="0" w:line="240" w:lineRule="auto"/>
        <w:jc w:val="left"/>
        <w:rPr>
          <w:sz w:val="20"/>
          <w:szCs w:val="20"/>
          <w:lang w:val="nl-NL"/>
        </w:rPr>
      </w:pPr>
      <w:r w:rsidRPr="00664F47">
        <w:rPr>
          <w:rStyle w:val="FootnoteReference"/>
          <w:rFonts w:eastAsiaTheme="majorEastAsia"/>
          <w:sz w:val="20"/>
          <w:szCs w:val="20"/>
        </w:rPr>
        <w:footnoteRef/>
      </w:r>
      <w:r w:rsidRPr="00664F47">
        <w:rPr>
          <w:sz w:val="20"/>
          <w:szCs w:val="20"/>
        </w:rPr>
        <w:t xml:space="preserve"> TIBERIUS. Information about the project. </w:t>
      </w:r>
      <w:r w:rsidRPr="00664F47">
        <w:rPr>
          <w:sz w:val="20"/>
          <w:szCs w:val="20"/>
          <w:lang w:val="nl-NL"/>
        </w:rPr>
        <w:t xml:space="preserve">Online: </w:t>
      </w:r>
      <w:hyperlink r:id="rId12" w:history="1">
        <w:r w:rsidRPr="00664F47">
          <w:rPr>
            <w:rStyle w:val="Hyperlink"/>
            <w:sz w:val="20"/>
            <w:szCs w:val="20"/>
            <w:lang w:val="nl-NL"/>
          </w:rPr>
          <w:t>https://harmreductioneurasia.org/projects/tiberius</w:t>
        </w:r>
      </w:hyperlink>
      <w:r w:rsidRPr="00664F47">
        <w:rPr>
          <w:sz w:val="20"/>
          <w:szCs w:val="20"/>
          <w:lang w:val="nl-NL"/>
        </w:rPr>
        <w:t xml:space="preserve"> </w:t>
      </w:r>
    </w:p>
  </w:footnote>
  <w:footnote w:id="17">
    <w:p w14:paraId="6C46B35D" w14:textId="77777777" w:rsidR="00A5240D" w:rsidRPr="00664F47" w:rsidRDefault="00A5240D" w:rsidP="00664F47">
      <w:pPr>
        <w:pStyle w:val="FootnoteText"/>
        <w:spacing w:before="0" w:after="0" w:line="240" w:lineRule="auto"/>
        <w:rPr>
          <w:sz w:val="20"/>
          <w:szCs w:val="20"/>
          <w:lang w:val="en-GB"/>
        </w:rPr>
      </w:pPr>
      <w:r w:rsidRPr="00664F47">
        <w:rPr>
          <w:rStyle w:val="FootnoteReference"/>
          <w:sz w:val="20"/>
          <w:szCs w:val="20"/>
        </w:rPr>
        <w:footnoteRef/>
      </w:r>
      <w:r w:rsidRPr="00664F47">
        <w:rPr>
          <w:sz w:val="20"/>
          <w:szCs w:val="20"/>
        </w:rPr>
        <w:t xml:space="preserve"> </w:t>
      </w:r>
      <w:r w:rsidRPr="00664F47">
        <w:rPr>
          <w:sz w:val="20"/>
          <w:szCs w:val="20"/>
          <w:lang w:val="en-GB"/>
        </w:rPr>
        <w:t xml:space="preserve">REACT annual report, 2024. Available at: </w:t>
      </w:r>
      <w:hyperlink r:id="rId13" w:history="1">
        <w:r w:rsidRPr="00664F47">
          <w:rPr>
            <w:rStyle w:val="Hyperlink"/>
            <w:sz w:val="20"/>
            <w:szCs w:val="20"/>
            <w:lang w:val="en-GB"/>
          </w:rPr>
          <w:t>https://ghrn.ge/info.php?lang=eng</w:t>
        </w:r>
      </w:hyperlink>
      <w:r w:rsidRPr="00664F47">
        <w:rPr>
          <w:sz w:val="20"/>
          <w:szCs w:val="20"/>
          <w:lang w:val="en-GB"/>
        </w:rPr>
        <w:t xml:space="preserve">.   </w:t>
      </w:r>
    </w:p>
  </w:footnote>
  <w:footnote w:id="18">
    <w:p w14:paraId="7221F0D0" w14:textId="77777777" w:rsidR="00CF1060" w:rsidRPr="00664F47" w:rsidRDefault="00CF1060" w:rsidP="00664F47">
      <w:pPr>
        <w:pStyle w:val="FootnoteText"/>
        <w:spacing w:before="0" w:after="0" w:line="240" w:lineRule="auto"/>
        <w:rPr>
          <w:sz w:val="20"/>
          <w:szCs w:val="20"/>
        </w:rPr>
      </w:pPr>
      <w:r w:rsidRPr="00664F47">
        <w:rPr>
          <w:rStyle w:val="FootnoteReference"/>
          <w:rFonts w:eastAsiaTheme="majorEastAsia"/>
          <w:sz w:val="20"/>
          <w:szCs w:val="20"/>
        </w:rPr>
        <w:footnoteRef/>
      </w:r>
      <w:r w:rsidRPr="00664F47">
        <w:rPr>
          <w:sz w:val="20"/>
          <w:szCs w:val="20"/>
        </w:rPr>
        <w:t xml:space="preserve"> </w:t>
      </w:r>
      <w:hyperlink r:id="rId14" w:history="1">
        <w:r w:rsidRPr="00664F47">
          <w:rPr>
            <w:rStyle w:val="Hyperlink"/>
            <w:sz w:val="20"/>
            <w:szCs w:val="20"/>
          </w:rPr>
          <w:t>https://www.ncbi.nlm.nih.gov/pmc/articles/PMC6876852/</w:t>
        </w:r>
      </w:hyperlink>
      <w:r w:rsidRPr="00664F47">
        <w:rPr>
          <w:sz w:val="20"/>
          <w:szCs w:val="20"/>
        </w:rPr>
        <w:t xml:space="preserve"> </w:t>
      </w:r>
    </w:p>
  </w:footnote>
  <w:footnote w:id="19">
    <w:p w14:paraId="1B206044" w14:textId="77777777" w:rsidR="00CF1060" w:rsidRPr="00AC0E80" w:rsidRDefault="00CF1060" w:rsidP="00664F47">
      <w:pPr>
        <w:pStyle w:val="FootnoteText"/>
        <w:spacing w:before="0" w:after="0" w:line="240" w:lineRule="auto"/>
        <w:rPr>
          <w:sz w:val="20"/>
          <w:szCs w:val="20"/>
        </w:rPr>
      </w:pPr>
      <w:r w:rsidRPr="00664F47">
        <w:rPr>
          <w:rStyle w:val="FootnoteReference"/>
          <w:rFonts w:eastAsiaTheme="majorEastAsia"/>
          <w:sz w:val="20"/>
          <w:szCs w:val="20"/>
        </w:rPr>
        <w:footnoteRef/>
      </w:r>
      <w:r w:rsidRPr="00664F47">
        <w:rPr>
          <w:sz w:val="20"/>
          <w:szCs w:val="20"/>
        </w:rPr>
        <w:t xml:space="preserve"> </w:t>
      </w:r>
      <w:hyperlink r:id="rId15" w:history="1">
        <w:r w:rsidRPr="00664F47">
          <w:rPr>
            <w:rStyle w:val="Hyperlink"/>
            <w:sz w:val="20"/>
            <w:szCs w:val="20"/>
          </w:rPr>
          <w:t>https://osgf.ge/en/publication/report-of-the-coalition-for-equality-and-other-ngos/</w:t>
        </w:r>
      </w:hyperlink>
    </w:p>
  </w:footnote>
  <w:footnote w:id="20">
    <w:p w14:paraId="4419CF1E" w14:textId="77777777" w:rsidR="00CF1060" w:rsidRPr="00664F47" w:rsidRDefault="00CF1060" w:rsidP="00664F47">
      <w:pPr>
        <w:pStyle w:val="FootnoteText"/>
        <w:spacing w:before="0" w:after="0" w:line="240" w:lineRule="auto"/>
        <w:rPr>
          <w:sz w:val="20"/>
          <w:szCs w:val="20"/>
          <w:lang w:val="nl-NL"/>
        </w:rPr>
      </w:pPr>
      <w:r w:rsidRPr="00AC0E80">
        <w:rPr>
          <w:rStyle w:val="FootnoteReference"/>
          <w:rFonts w:eastAsiaTheme="majorEastAsia"/>
          <w:sz w:val="20"/>
          <w:szCs w:val="20"/>
        </w:rPr>
        <w:footnoteRef/>
      </w:r>
      <w:r w:rsidRPr="00AC0E80">
        <w:rPr>
          <w:sz w:val="20"/>
          <w:szCs w:val="20"/>
        </w:rPr>
        <w:t xml:space="preserve"> </w:t>
      </w:r>
      <w:r w:rsidRPr="00664F47">
        <w:rPr>
          <w:sz w:val="20"/>
          <w:szCs w:val="20"/>
        </w:rPr>
        <w:t xml:space="preserve">Access to the Opioid Substitution Therapy in Georgian Prisons: The Focus on Current Challenges and Barriers. Institute of Addiction Studies, Ilia State University&amp; Alternative Georgia. Tbilisi, December, 2019. </w:t>
      </w:r>
      <w:r w:rsidRPr="00664F47">
        <w:rPr>
          <w:sz w:val="20"/>
          <w:szCs w:val="20"/>
          <w:lang w:val="nl-NL"/>
        </w:rPr>
        <w:t xml:space="preserve">Page 8. Online: </w:t>
      </w:r>
      <w:hyperlink r:id="rId16" w:history="1">
        <w:r w:rsidRPr="00664F47">
          <w:rPr>
            <w:rStyle w:val="Hyperlink"/>
            <w:sz w:val="20"/>
            <w:szCs w:val="20"/>
            <w:lang w:val="nl-NL"/>
          </w:rPr>
          <w:t>https://altgeorgia.ge/media/uploads/ost-in-prison-report-eng.pdf</w:t>
        </w:r>
      </w:hyperlink>
      <w:r w:rsidRPr="00664F47">
        <w:rPr>
          <w:sz w:val="20"/>
          <w:szCs w:val="20"/>
          <w:lang w:val="nl-NL"/>
        </w:rPr>
        <w:t xml:space="preserve"> </w:t>
      </w:r>
    </w:p>
  </w:footnote>
  <w:footnote w:id="21">
    <w:p w14:paraId="2D2B9781" w14:textId="77777777" w:rsidR="00CF1060" w:rsidRPr="00664F47" w:rsidRDefault="00CF1060" w:rsidP="00664F47">
      <w:pPr>
        <w:pStyle w:val="FootnoteText"/>
        <w:spacing w:before="0" w:after="0" w:line="240" w:lineRule="auto"/>
        <w:rPr>
          <w:sz w:val="20"/>
          <w:szCs w:val="20"/>
        </w:rPr>
      </w:pPr>
      <w:r w:rsidRPr="00664F47">
        <w:rPr>
          <w:rStyle w:val="FootnoteReference"/>
          <w:rFonts w:eastAsiaTheme="majorEastAsia"/>
          <w:sz w:val="20"/>
          <w:szCs w:val="20"/>
        </w:rPr>
        <w:footnoteRef/>
      </w:r>
      <w:r w:rsidRPr="00664F47">
        <w:rPr>
          <w:sz w:val="20"/>
          <w:szCs w:val="20"/>
        </w:rPr>
        <w:t xml:space="preserve"> Ibid</w:t>
      </w:r>
    </w:p>
  </w:footnote>
  <w:footnote w:id="22">
    <w:p w14:paraId="7C5FEF06" w14:textId="77777777" w:rsidR="00CF1060" w:rsidRPr="003B1B62" w:rsidRDefault="00CF1060" w:rsidP="00664F47">
      <w:pPr>
        <w:pStyle w:val="FootnoteText"/>
        <w:spacing w:before="0" w:after="0" w:line="240" w:lineRule="auto"/>
        <w:rPr>
          <w:lang w:val="en-GB"/>
        </w:rPr>
      </w:pPr>
      <w:r w:rsidRPr="00664F47">
        <w:rPr>
          <w:rStyle w:val="FootnoteReference"/>
          <w:sz w:val="20"/>
          <w:szCs w:val="20"/>
        </w:rPr>
        <w:footnoteRef/>
      </w:r>
      <w:r w:rsidRPr="00664F47">
        <w:rPr>
          <w:sz w:val="20"/>
          <w:szCs w:val="20"/>
        </w:rPr>
        <w:t xml:space="preserve"> National Drug Monitoring Center, Annual Drug Report 2023, p. 37. Available at: </w:t>
      </w:r>
      <w:hyperlink r:id="rId17" w:history="1">
        <w:r w:rsidRPr="00664F47">
          <w:rPr>
            <w:rStyle w:val="Hyperlink"/>
            <w:sz w:val="20"/>
            <w:szCs w:val="20"/>
          </w:rPr>
          <w:t>https://justice.gov.ge/files/wcCit8YuOs0P.pdf</w:t>
        </w:r>
      </w:hyperlink>
      <w:r w:rsidRPr="00664F47">
        <w:rPr>
          <w:sz w:val="20"/>
          <w:szCs w:val="20"/>
        </w:rPr>
        <w:t xml:space="preserve"> .</w:t>
      </w:r>
    </w:p>
  </w:footnote>
  <w:footnote w:id="23">
    <w:p w14:paraId="2CEAB115" w14:textId="77777777" w:rsidR="00A5240D" w:rsidRPr="0080588E" w:rsidRDefault="00A5240D" w:rsidP="00664F47">
      <w:pPr>
        <w:pStyle w:val="FootnoteText"/>
        <w:spacing w:before="0" w:after="0" w:line="240" w:lineRule="auto"/>
        <w:rPr>
          <w:lang w:val="en-GB"/>
        </w:rPr>
      </w:pPr>
      <w:r w:rsidRPr="00AC51ED">
        <w:rPr>
          <w:rStyle w:val="FootnoteReference"/>
          <w:sz w:val="20"/>
          <w:szCs w:val="20"/>
        </w:rPr>
        <w:footnoteRef/>
      </w:r>
      <w:r w:rsidRPr="00AC51ED">
        <w:rPr>
          <w:sz w:val="20"/>
          <w:szCs w:val="20"/>
        </w:rPr>
        <w:t xml:space="preserve"> </w:t>
      </w:r>
      <w:r w:rsidRPr="00AC51ED">
        <w:rPr>
          <w:sz w:val="20"/>
          <w:szCs w:val="20"/>
          <w:lang w:val="en-GB"/>
        </w:rPr>
        <w:t>OSCE/ODIHR, Urgent Opinion on the Law “On Transparency of Foreign Influence” of Georgia. Available at:</w:t>
      </w:r>
      <w:r w:rsidRPr="0080588E">
        <w:rPr>
          <w:lang w:val="en-GB"/>
        </w:rPr>
        <w:t xml:space="preserve"> </w:t>
      </w:r>
      <w:hyperlink r:id="rId18" w:history="1">
        <w:r w:rsidRPr="00AC51ED">
          <w:rPr>
            <w:rStyle w:val="Hyperlink"/>
            <w:sz w:val="20"/>
            <w:szCs w:val="20"/>
            <w:lang w:val="en-GB"/>
          </w:rPr>
          <w:t>https://www.osce.org/sites/default/files/f/documents/b/d/569922.pdf?utm_source=chatgpt.com</w:t>
        </w:r>
      </w:hyperlink>
      <w:r w:rsidRPr="0080588E">
        <w:rPr>
          <w:lang w:val="en-GB"/>
        </w:rPr>
        <w:t xml:space="preserve"> </w:t>
      </w:r>
    </w:p>
  </w:footnote>
  <w:footnote w:id="24">
    <w:p w14:paraId="0D9EECC1" w14:textId="77777777" w:rsidR="000F30CA" w:rsidRPr="00664F47" w:rsidRDefault="000F30CA" w:rsidP="00664F47">
      <w:pPr>
        <w:pStyle w:val="FootnoteText"/>
        <w:spacing w:before="0" w:after="0" w:line="240" w:lineRule="auto"/>
        <w:rPr>
          <w:sz w:val="20"/>
          <w:szCs w:val="20"/>
          <w:lang w:val="en-GB"/>
        </w:rPr>
      </w:pPr>
      <w:r w:rsidRPr="00664F47">
        <w:rPr>
          <w:rStyle w:val="FootnoteReference"/>
          <w:sz w:val="20"/>
          <w:szCs w:val="20"/>
        </w:rPr>
        <w:footnoteRef/>
      </w:r>
      <w:r w:rsidRPr="00664F47">
        <w:rPr>
          <w:sz w:val="20"/>
          <w:szCs w:val="20"/>
        </w:rPr>
        <w:t xml:space="preserve"> Government of Georgia Decree No. 250 of 7 July 2025, “On Approving the Rules and Conditions for Agreeing with the Government of Georgia the Issuance of a Grant by a Foreign Donor”.</w:t>
      </w:r>
    </w:p>
  </w:footnote>
  <w:footnote w:id="25">
    <w:p w14:paraId="24ED61BC" w14:textId="77777777" w:rsidR="000F30CA" w:rsidRPr="00664F47" w:rsidRDefault="000F30CA" w:rsidP="00664F47">
      <w:pPr>
        <w:pStyle w:val="FootnoteText"/>
        <w:spacing w:before="0" w:after="0" w:line="240" w:lineRule="auto"/>
        <w:rPr>
          <w:sz w:val="20"/>
          <w:szCs w:val="20"/>
          <w:lang w:val="en-GB"/>
        </w:rPr>
      </w:pPr>
      <w:r w:rsidRPr="00664F47">
        <w:rPr>
          <w:rStyle w:val="FootnoteReference"/>
          <w:sz w:val="20"/>
          <w:szCs w:val="20"/>
        </w:rPr>
        <w:footnoteRef/>
      </w:r>
      <w:r w:rsidRPr="00664F47">
        <w:rPr>
          <w:sz w:val="20"/>
          <w:szCs w:val="20"/>
        </w:rPr>
        <w:t xml:space="preserve"> Venice Commission, CDL-AD(2025)034, Opinion on </w:t>
      </w:r>
      <w:proofErr w:type="spellStart"/>
      <w:r w:rsidRPr="00664F47">
        <w:rPr>
          <w:sz w:val="20"/>
          <w:szCs w:val="20"/>
        </w:rPr>
        <w:t>On</w:t>
      </w:r>
      <w:proofErr w:type="spellEnd"/>
      <w:r w:rsidRPr="00664F47">
        <w:rPr>
          <w:sz w:val="20"/>
          <w:szCs w:val="20"/>
        </w:rPr>
        <w:t xml:space="preserve"> the Registration of Foreign Agents, The Amendments to the Law on Grants and Other Laws Relating to “Foreign Influence, par. 118-119.</w:t>
      </w:r>
    </w:p>
  </w:footnote>
  <w:footnote w:id="26">
    <w:p w14:paraId="74DBC1B7" w14:textId="77777777" w:rsidR="00D02E8C" w:rsidRPr="0080588E" w:rsidRDefault="00D02E8C" w:rsidP="00664F47">
      <w:pPr>
        <w:pStyle w:val="FootnoteText"/>
        <w:spacing w:before="0" w:after="0" w:line="240" w:lineRule="auto"/>
        <w:rPr>
          <w:lang w:val="en-GB"/>
        </w:rPr>
      </w:pPr>
      <w:r w:rsidRPr="00664F47">
        <w:rPr>
          <w:rStyle w:val="FootnoteReference"/>
          <w:sz w:val="20"/>
          <w:szCs w:val="20"/>
        </w:rPr>
        <w:footnoteRef/>
      </w:r>
      <w:r w:rsidRPr="00664F47">
        <w:rPr>
          <w:sz w:val="20"/>
          <w:szCs w:val="20"/>
        </w:rPr>
        <w:t xml:space="preserve"> Georgian Young Lawyers’ Association, Human Rights Situation in Georgia in 2025, p. 10. Available at: https://admin.gyla.ge/uploads_script/publications/pdf/</w:t>
      </w:r>
      <w:r w:rsidRPr="00664F47">
        <w:rPr>
          <w:rFonts w:ascii="Sylfaen" w:hAnsi="Sylfaen" w:cs="Sylfaen"/>
          <w:sz w:val="20"/>
          <w:szCs w:val="20"/>
        </w:rPr>
        <w:t>ადამიანის</w:t>
      </w:r>
      <w:r w:rsidRPr="00664F47">
        <w:rPr>
          <w:sz w:val="20"/>
          <w:szCs w:val="20"/>
        </w:rPr>
        <w:t>%20</w:t>
      </w:r>
      <w:r w:rsidRPr="00664F47">
        <w:rPr>
          <w:rFonts w:ascii="Sylfaen" w:hAnsi="Sylfaen" w:cs="Sylfaen"/>
          <w:sz w:val="20"/>
          <w:szCs w:val="20"/>
        </w:rPr>
        <w:t>უფლებების</w:t>
      </w:r>
      <w:r w:rsidRPr="00664F47">
        <w:rPr>
          <w:sz w:val="20"/>
          <w:szCs w:val="20"/>
        </w:rPr>
        <w:t>%20</w:t>
      </w:r>
      <w:r w:rsidRPr="00664F47">
        <w:rPr>
          <w:rFonts w:ascii="Sylfaen" w:hAnsi="Sylfaen" w:cs="Sylfaen"/>
          <w:sz w:val="20"/>
          <w:szCs w:val="20"/>
        </w:rPr>
        <w:t>მდგომარეობა</w:t>
      </w:r>
      <w:r w:rsidRPr="00664F47">
        <w:rPr>
          <w:sz w:val="20"/>
          <w:szCs w:val="20"/>
        </w:rPr>
        <w:t>%20</w:t>
      </w:r>
      <w:r w:rsidRPr="00664F47">
        <w:rPr>
          <w:rFonts w:ascii="Sylfaen" w:hAnsi="Sylfaen" w:cs="Sylfaen"/>
          <w:sz w:val="20"/>
          <w:szCs w:val="20"/>
        </w:rPr>
        <w:t>საქართველოში</w:t>
      </w:r>
      <w:r w:rsidRPr="00664F47">
        <w:rPr>
          <w:sz w:val="20"/>
          <w:szCs w:val="20"/>
        </w:rPr>
        <w:t>%202025%20</w:t>
      </w:r>
      <w:r w:rsidRPr="00664F47">
        <w:rPr>
          <w:rFonts w:ascii="Sylfaen" w:hAnsi="Sylfaen" w:cs="Sylfaen"/>
          <w:sz w:val="20"/>
          <w:szCs w:val="20"/>
        </w:rPr>
        <w:t>წელს</w:t>
      </w:r>
      <w:r w:rsidRPr="00664F47">
        <w:rPr>
          <w:sz w:val="20"/>
          <w:szCs w:val="20"/>
        </w:rPr>
        <w:t>.pdf</w:t>
      </w:r>
      <w:r w:rsidRPr="0080588E">
        <w:t xml:space="preserve">   </w:t>
      </w:r>
    </w:p>
  </w:footnote>
  <w:footnote w:id="27">
    <w:p w14:paraId="2DA37634" w14:textId="77777777" w:rsidR="00D02E8C" w:rsidRPr="00664F47" w:rsidRDefault="00D02E8C" w:rsidP="00664F47">
      <w:pPr>
        <w:pStyle w:val="FootnoteText"/>
        <w:spacing w:before="0" w:after="0" w:line="240" w:lineRule="auto"/>
        <w:rPr>
          <w:sz w:val="20"/>
          <w:szCs w:val="20"/>
          <w:lang w:val="en-GB"/>
        </w:rPr>
      </w:pPr>
      <w:r w:rsidRPr="00004337">
        <w:rPr>
          <w:rStyle w:val="FootnoteReference"/>
          <w:sz w:val="20"/>
          <w:szCs w:val="20"/>
        </w:rPr>
        <w:footnoteRef/>
      </w:r>
      <w:r w:rsidRPr="00004337">
        <w:rPr>
          <w:sz w:val="20"/>
          <w:szCs w:val="20"/>
        </w:rPr>
        <w:t xml:space="preserve"> </w:t>
      </w:r>
      <w:r w:rsidRPr="00664F47">
        <w:rPr>
          <w:sz w:val="20"/>
          <w:szCs w:val="20"/>
          <w:lang w:val="en-GB"/>
        </w:rPr>
        <w:t xml:space="preserve">Ibid, p. 13. </w:t>
      </w:r>
    </w:p>
  </w:footnote>
  <w:footnote w:id="28">
    <w:p w14:paraId="72FA71F1" w14:textId="77777777" w:rsidR="00D02E8C" w:rsidRPr="00004337" w:rsidRDefault="00D02E8C" w:rsidP="00664F47">
      <w:pPr>
        <w:pStyle w:val="FootnoteText"/>
        <w:spacing w:before="0" w:after="0" w:line="240" w:lineRule="auto"/>
        <w:rPr>
          <w:sz w:val="20"/>
          <w:szCs w:val="20"/>
          <w:lang w:val="en-GB"/>
        </w:rPr>
      </w:pPr>
      <w:r w:rsidRPr="00664F47">
        <w:rPr>
          <w:rStyle w:val="FootnoteReference"/>
          <w:sz w:val="20"/>
          <w:szCs w:val="20"/>
        </w:rPr>
        <w:footnoteRef/>
      </w:r>
      <w:r w:rsidRPr="00664F47">
        <w:rPr>
          <w:sz w:val="20"/>
          <w:szCs w:val="20"/>
        </w:rPr>
        <w:t xml:space="preserve"> Centre for Strategic Research and Development of Georgia, Community Organizations’ Database, 2025. Available at: </w:t>
      </w:r>
      <w:hyperlink r:id="rId19" w:history="1">
        <w:r w:rsidRPr="00664F47">
          <w:rPr>
            <w:rStyle w:val="Hyperlink"/>
            <w:sz w:val="20"/>
            <w:szCs w:val="20"/>
          </w:rPr>
          <w:t>https://cdrc.ge/en/organizations</w:t>
        </w:r>
      </w:hyperlink>
      <w:r w:rsidRPr="00664F47">
        <w:rPr>
          <w:sz w:val="20"/>
          <w:szCs w:val="20"/>
        </w:rPr>
        <w:t>.</w:t>
      </w:r>
      <w:r w:rsidRPr="00004337">
        <w:rPr>
          <w:sz w:val="20"/>
          <w:szCs w:val="20"/>
        </w:rPr>
        <w:t xml:space="preserve">  </w:t>
      </w:r>
    </w:p>
  </w:footnote>
  <w:footnote w:id="29">
    <w:p w14:paraId="4784B114" w14:textId="77777777" w:rsidR="004C06E6" w:rsidRPr="00664F47" w:rsidRDefault="004C06E6" w:rsidP="00664F47">
      <w:pPr>
        <w:pStyle w:val="FootnoteText"/>
        <w:spacing w:before="0" w:after="0" w:line="240" w:lineRule="auto"/>
        <w:rPr>
          <w:sz w:val="20"/>
          <w:szCs w:val="20"/>
          <w:lang w:val="en-GB"/>
        </w:rPr>
      </w:pPr>
      <w:r w:rsidRPr="00664F47">
        <w:rPr>
          <w:rStyle w:val="FootnoteReference"/>
          <w:sz w:val="20"/>
          <w:szCs w:val="20"/>
        </w:rPr>
        <w:footnoteRef/>
      </w:r>
      <w:r w:rsidRPr="00664F47">
        <w:rPr>
          <w:sz w:val="20"/>
          <w:szCs w:val="20"/>
        </w:rPr>
        <w:t xml:space="preserve"> </w:t>
      </w:r>
      <w:r w:rsidRPr="00664F47">
        <w:rPr>
          <w:sz w:val="20"/>
          <w:szCs w:val="20"/>
          <w:lang w:val="ka-GE"/>
        </w:rPr>
        <w:t xml:space="preserve">CoE’s Commissioner for Human Rights, Letter to the Chairman of the Parliament of Georgia, 11 April, 2024. Available at: </w:t>
      </w:r>
      <w:hyperlink r:id="rId20" w:history="1">
        <w:r w:rsidRPr="00664F47">
          <w:rPr>
            <w:rStyle w:val="Hyperlink"/>
            <w:sz w:val="20"/>
            <w:szCs w:val="20"/>
            <w:lang w:val="ka-GE"/>
          </w:rPr>
          <w:t>https://rm.coe.int/letter-to-chairman-of-parliament-of-georgia-by-michael-o-flaherty-comm/1680af5350</w:t>
        </w:r>
      </w:hyperlink>
      <w:r w:rsidRPr="00664F47">
        <w:rPr>
          <w:sz w:val="20"/>
          <w:szCs w:val="20"/>
          <w:lang w:val="ka-GE"/>
        </w:rPr>
        <w:t xml:space="preserve"> </w:t>
      </w:r>
    </w:p>
  </w:footnote>
  <w:footnote w:id="30">
    <w:p w14:paraId="488A2415" w14:textId="77777777" w:rsidR="004C06E6" w:rsidRPr="00664F47" w:rsidRDefault="004C06E6" w:rsidP="00664F47">
      <w:pPr>
        <w:pStyle w:val="FootnoteText"/>
        <w:spacing w:before="0" w:after="0" w:line="240" w:lineRule="auto"/>
        <w:rPr>
          <w:sz w:val="20"/>
          <w:szCs w:val="20"/>
          <w:lang w:val="en-GB"/>
        </w:rPr>
      </w:pPr>
      <w:r w:rsidRPr="00664F47">
        <w:rPr>
          <w:rStyle w:val="FootnoteReference"/>
          <w:sz w:val="20"/>
          <w:szCs w:val="20"/>
        </w:rPr>
        <w:footnoteRef/>
      </w:r>
      <w:r w:rsidRPr="00664F47">
        <w:rPr>
          <w:sz w:val="20"/>
          <w:szCs w:val="20"/>
        </w:rPr>
        <w:t xml:space="preserve"> </w:t>
      </w:r>
      <w:r w:rsidRPr="00664F47">
        <w:rPr>
          <w:sz w:val="20"/>
          <w:szCs w:val="20"/>
          <w:lang w:val="en-GB"/>
        </w:rPr>
        <w:t xml:space="preserve">Venice Commission, CDL-AD(2024)020, Urgent Opinion on the Law on Transparency of Foreign Influence. Available at: </w:t>
      </w:r>
      <w:hyperlink r:id="rId21" w:history="1">
        <w:r w:rsidRPr="00664F47">
          <w:rPr>
            <w:rStyle w:val="Hyperlink"/>
            <w:sz w:val="20"/>
            <w:szCs w:val="20"/>
            <w:lang w:val="en-GB"/>
          </w:rPr>
          <w:t>https://www.venice.coe.int/webforms/documents/default.aspx?pdffile=CDL-AD%282024%29020-e</w:t>
        </w:r>
      </w:hyperlink>
      <w:r w:rsidRPr="00664F47">
        <w:rPr>
          <w:sz w:val="20"/>
          <w:szCs w:val="20"/>
          <w:lang w:val="en-GB"/>
        </w:rPr>
        <w:t xml:space="preserve"> </w:t>
      </w:r>
    </w:p>
  </w:footnote>
  <w:footnote w:id="31">
    <w:p w14:paraId="42982CB3" w14:textId="77777777" w:rsidR="00A5240D" w:rsidRPr="00664F47" w:rsidRDefault="00A5240D" w:rsidP="00664F47">
      <w:pPr>
        <w:pStyle w:val="FootnoteText"/>
        <w:spacing w:before="0" w:after="0" w:line="240" w:lineRule="auto"/>
        <w:rPr>
          <w:sz w:val="20"/>
          <w:szCs w:val="20"/>
          <w:lang w:val="en-GB"/>
        </w:rPr>
      </w:pPr>
      <w:r w:rsidRPr="00664F47">
        <w:rPr>
          <w:rStyle w:val="FootnoteReference"/>
          <w:sz w:val="20"/>
          <w:szCs w:val="20"/>
        </w:rPr>
        <w:footnoteRef/>
      </w:r>
      <w:r w:rsidRPr="00664F47">
        <w:rPr>
          <w:sz w:val="20"/>
          <w:szCs w:val="20"/>
        </w:rPr>
        <w:t xml:space="preserve"> Venice Commission, CDL-AD(2025)034, Opinion on </w:t>
      </w:r>
      <w:proofErr w:type="spellStart"/>
      <w:r w:rsidRPr="00664F47">
        <w:rPr>
          <w:sz w:val="20"/>
          <w:szCs w:val="20"/>
        </w:rPr>
        <w:t>On</w:t>
      </w:r>
      <w:proofErr w:type="spellEnd"/>
      <w:r w:rsidRPr="00664F47">
        <w:rPr>
          <w:sz w:val="20"/>
          <w:szCs w:val="20"/>
        </w:rPr>
        <w:t xml:space="preserve"> the Registration of Foreign Agents, The Amendments to the Law on Grants and Other Laws Relating to “Foreign Influence, par. 114. Available at: </w:t>
      </w:r>
      <w:hyperlink r:id="rId22" w:history="1">
        <w:r w:rsidRPr="00664F47">
          <w:rPr>
            <w:rStyle w:val="Hyperlink"/>
            <w:sz w:val="20"/>
            <w:szCs w:val="20"/>
          </w:rPr>
          <w:t>https://www.venice.coe.int/webforms/documents/default.aspx?pdffile=CDL-AD%282025%29034-e&amp;utm_source=chatgpt.com</w:t>
        </w:r>
      </w:hyperlink>
      <w:r w:rsidRPr="00664F47">
        <w:rPr>
          <w:sz w:val="20"/>
          <w:szCs w:val="20"/>
        </w:rPr>
        <w:t xml:space="preserve">. </w:t>
      </w:r>
    </w:p>
  </w:footnote>
  <w:footnote w:id="32">
    <w:p w14:paraId="62F7A019" w14:textId="77777777" w:rsidR="00A5240D" w:rsidRPr="00664F47" w:rsidRDefault="00A5240D" w:rsidP="00664F47">
      <w:pPr>
        <w:pStyle w:val="FootnoteText"/>
        <w:spacing w:before="0" w:after="0" w:line="240" w:lineRule="auto"/>
        <w:rPr>
          <w:sz w:val="20"/>
          <w:szCs w:val="20"/>
          <w:lang w:val="en-GB"/>
        </w:rPr>
      </w:pPr>
      <w:r w:rsidRPr="00664F47">
        <w:rPr>
          <w:rStyle w:val="FootnoteReference"/>
          <w:sz w:val="20"/>
          <w:szCs w:val="20"/>
        </w:rPr>
        <w:footnoteRef/>
      </w:r>
      <w:r w:rsidRPr="00664F47">
        <w:rPr>
          <w:sz w:val="20"/>
          <w:szCs w:val="20"/>
        </w:rPr>
        <w:t xml:space="preserve"> Ibid, par. 117.  </w:t>
      </w:r>
    </w:p>
  </w:footnote>
  <w:footnote w:id="33">
    <w:p w14:paraId="7E38F96E" w14:textId="77777777" w:rsidR="00246F5F" w:rsidRPr="00004337" w:rsidRDefault="00246F5F" w:rsidP="00664F47">
      <w:pPr>
        <w:pStyle w:val="FootnoteText"/>
        <w:spacing w:before="0" w:after="0" w:line="240" w:lineRule="auto"/>
        <w:rPr>
          <w:sz w:val="20"/>
          <w:szCs w:val="20"/>
          <w:lang w:val="en-GB"/>
        </w:rPr>
      </w:pPr>
      <w:r w:rsidRPr="00664F47">
        <w:rPr>
          <w:rStyle w:val="FootnoteReference"/>
          <w:sz w:val="20"/>
          <w:szCs w:val="20"/>
        </w:rPr>
        <w:footnoteRef/>
      </w:r>
      <w:r w:rsidRPr="00664F47">
        <w:rPr>
          <w:sz w:val="20"/>
          <w:szCs w:val="20"/>
        </w:rPr>
        <w:t xml:space="preserve"> The explanatory note is available at: </w:t>
      </w:r>
      <w:hyperlink r:id="rId23" w:history="1">
        <w:r w:rsidRPr="00664F47">
          <w:rPr>
            <w:rStyle w:val="Hyperlink"/>
            <w:sz w:val="20"/>
            <w:szCs w:val="20"/>
          </w:rPr>
          <w:t>https://info.parliament.ge/v1/law-drafting/package/21885</w:t>
        </w:r>
      </w:hyperlink>
      <w:r w:rsidRPr="00664F47">
        <w:rPr>
          <w:sz w:val="20"/>
          <w:szCs w:val="20"/>
        </w:rPr>
        <w:t>.</w:t>
      </w:r>
      <w:r w:rsidRPr="00004337">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EB48E" w14:textId="22E21686" w:rsidR="00AF41EA" w:rsidRDefault="00AF41EA">
    <w:pPr>
      <w:pStyle w:val="Header"/>
    </w:pPr>
    <w:r>
      <w:rPr>
        <w:rFonts w:ascii="Verdana" w:hAnsi="Verdana"/>
        <w:b/>
        <w:bCs/>
        <w:noProof/>
        <w:sz w:val="19"/>
        <w:szCs w:val="19"/>
        <w:lang w:val="en-CA" w:eastAsia="en-CA"/>
      </w:rPr>
      <w:drawing>
        <wp:anchor distT="0" distB="0" distL="114300" distR="114300" simplePos="0" relativeHeight="251657216" behindDoc="0" locked="0" layoutInCell="1" allowOverlap="1" wp14:anchorId="5686E7DF" wp14:editId="5824A631">
          <wp:simplePos x="0" y="0"/>
          <wp:positionH relativeFrom="column">
            <wp:posOffset>5516736</wp:posOffset>
          </wp:positionH>
          <wp:positionV relativeFrom="paragraph">
            <wp:posOffset>-286021</wp:posOffset>
          </wp:positionV>
          <wp:extent cx="1188720" cy="471805"/>
          <wp:effectExtent l="0" t="0" r="0" b="4445"/>
          <wp:wrapNone/>
          <wp:docPr id="1" name="Picture 1" descr="X:\main staff do not delete, please\countries\Kazakhstan\CESCR 2017\logo-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main staff do not delete, please\countries\Kazakhstan\CESCR 2017\logo-en.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8720" cy="4718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F61AA"/>
    <w:multiLevelType w:val="hybridMultilevel"/>
    <w:tmpl w:val="47CA7828"/>
    <w:lvl w:ilvl="0" w:tplc="FB7431BC">
      <w:start w:val="1"/>
      <w:numFmt w:val="decimal"/>
      <w:lvlText w:val="%1."/>
      <w:lvlJc w:val="left"/>
      <w:pPr>
        <w:ind w:left="720" w:hanging="360"/>
      </w:pPr>
      <w:rPr>
        <w:rFonts w:eastAsia="Arial Unicode M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CE7E99"/>
    <w:multiLevelType w:val="hybridMultilevel"/>
    <w:tmpl w:val="276A7B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2111A9"/>
    <w:multiLevelType w:val="hybridMultilevel"/>
    <w:tmpl w:val="7852708C"/>
    <w:lvl w:ilvl="0" w:tplc="E67CB808">
      <w:start w:val="1"/>
      <w:numFmt w:val="decimal"/>
      <w:lvlText w:val="%1."/>
      <w:lvlJc w:val="left"/>
      <w:pPr>
        <w:ind w:left="720" w:hanging="360"/>
      </w:pPr>
      <w:rPr>
        <w:rFonts w:eastAsia="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771CD5"/>
    <w:multiLevelType w:val="hybridMultilevel"/>
    <w:tmpl w:val="868E86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7BB14AE"/>
    <w:multiLevelType w:val="hybridMultilevel"/>
    <w:tmpl w:val="04822752"/>
    <w:lvl w:ilvl="0" w:tplc="1009000F">
      <w:start w:val="1"/>
      <w:numFmt w:val="decimal"/>
      <w:lvlText w:val="%1."/>
      <w:lvlJc w:val="left"/>
      <w:pPr>
        <w:ind w:left="1017" w:hanging="360"/>
      </w:pPr>
    </w:lvl>
    <w:lvl w:ilvl="1" w:tplc="10090019" w:tentative="1">
      <w:start w:val="1"/>
      <w:numFmt w:val="lowerLetter"/>
      <w:lvlText w:val="%2."/>
      <w:lvlJc w:val="left"/>
      <w:pPr>
        <w:ind w:left="1737" w:hanging="360"/>
      </w:pPr>
    </w:lvl>
    <w:lvl w:ilvl="2" w:tplc="1009001B" w:tentative="1">
      <w:start w:val="1"/>
      <w:numFmt w:val="lowerRoman"/>
      <w:lvlText w:val="%3."/>
      <w:lvlJc w:val="right"/>
      <w:pPr>
        <w:ind w:left="2457" w:hanging="180"/>
      </w:pPr>
    </w:lvl>
    <w:lvl w:ilvl="3" w:tplc="1009000F" w:tentative="1">
      <w:start w:val="1"/>
      <w:numFmt w:val="decimal"/>
      <w:lvlText w:val="%4."/>
      <w:lvlJc w:val="left"/>
      <w:pPr>
        <w:ind w:left="3177" w:hanging="360"/>
      </w:pPr>
    </w:lvl>
    <w:lvl w:ilvl="4" w:tplc="10090019" w:tentative="1">
      <w:start w:val="1"/>
      <w:numFmt w:val="lowerLetter"/>
      <w:lvlText w:val="%5."/>
      <w:lvlJc w:val="left"/>
      <w:pPr>
        <w:ind w:left="3897" w:hanging="360"/>
      </w:pPr>
    </w:lvl>
    <w:lvl w:ilvl="5" w:tplc="1009001B" w:tentative="1">
      <w:start w:val="1"/>
      <w:numFmt w:val="lowerRoman"/>
      <w:lvlText w:val="%6."/>
      <w:lvlJc w:val="right"/>
      <w:pPr>
        <w:ind w:left="4617" w:hanging="180"/>
      </w:pPr>
    </w:lvl>
    <w:lvl w:ilvl="6" w:tplc="1009000F" w:tentative="1">
      <w:start w:val="1"/>
      <w:numFmt w:val="decimal"/>
      <w:lvlText w:val="%7."/>
      <w:lvlJc w:val="left"/>
      <w:pPr>
        <w:ind w:left="5337" w:hanging="360"/>
      </w:pPr>
    </w:lvl>
    <w:lvl w:ilvl="7" w:tplc="10090019" w:tentative="1">
      <w:start w:val="1"/>
      <w:numFmt w:val="lowerLetter"/>
      <w:lvlText w:val="%8."/>
      <w:lvlJc w:val="left"/>
      <w:pPr>
        <w:ind w:left="6057" w:hanging="360"/>
      </w:pPr>
    </w:lvl>
    <w:lvl w:ilvl="8" w:tplc="1009001B" w:tentative="1">
      <w:start w:val="1"/>
      <w:numFmt w:val="lowerRoman"/>
      <w:lvlText w:val="%9."/>
      <w:lvlJc w:val="right"/>
      <w:pPr>
        <w:ind w:left="6777" w:hanging="180"/>
      </w:pPr>
    </w:lvl>
  </w:abstractNum>
  <w:abstractNum w:abstractNumId="5" w15:restartNumberingAfterBreak="0">
    <w:nsid w:val="1A6A7A82"/>
    <w:multiLevelType w:val="multilevel"/>
    <w:tmpl w:val="1F14B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065371"/>
    <w:multiLevelType w:val="multilevel"/>
    <w:tmpl w:val="1F14B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0B42E9"/>
    <w:multiLevelType w:val="hybridMultilevel"/>
    <w:tmpl w:val="61ECF974"/>
    <w:lvl w:ilvl="0" w:tplc="5226E29E">
      <w:start w:val="33"/>
      <w:numFmt w:val="bullet"/>
      <w:lvlText w:val="-"/>
      <w:lvlJc w:val="left"/>
      <w:pPr>
        <w:ind w:left="941" w:hanging="360"/>
      </w:pPr>
      <w:rPr>
        <w:rFonts w:ascii="Times New Roman" w:eastAsia="Sylfaen" w:hAnsi="Times New Roman" w:cs="Times New Roman"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8" w15:restartNumberingAfterBreak="0">
    <w:nsid w:val="38723B5E"/>
    <w:multiLevelType w:val="hybridMultilevel"/>
    <w:tmpl w:val="FA86AB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A847DF"/>
    <w:multiLevelType w:val="multilevel"/>
    <w:tmpl w:val="1F14B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1AA33C2"/>
    <w:multiLevelType w:val="hybridMultilevel"/>
    <w:tmpl w:val="4836964A"/>
    <w:lvl w:ilvl="0" w:tplc="13EA6B4E">
      <w:start w:val="1"/>
      <w:numFmt w:val="decimal"/>
      <w:lvlText w:val="%1."/>
      <w:lvlJc w:val="left"/>
      <w:pPr>
        <w:ind w:left="1017" w:hanging="360"/>
      </w:pPr>
      <w:rPr>
        <w:rFonts w:ascii="Times New Roman" w:eastAsia="Times New Roman" w:hAnsi="Times New Roman" w:cs="Times New Roman"/>
      </w:rPr>
    </w:lvl>
    <w:lvl w:ilvl="1" w:tplc="FFFFFFFF" w:tentative="1">
      <w:start w:val="1"/>
      <w:numFmt w:val="lowerLetter"/>
      <w:lvlText w:val="%2."/>
      <w:lvlJc w:val="left"/>
      <w:pPr>
        <w:ind w:left="1737" w:hanging="360"/>
      </w:pPr>
    </w:lvl>
    <w:lvl w:ilvl="2" w:tplc="FFFFFFFF" w:tentative="1">
      <w:start w:val="1"/>
      <w:numFmt w:val="lowerRoman"/>
      <w:lvlText w:val="%3."/>
      <w:lvlJc w:val="right"/>
      <w:pPr>
        <w:ind w:left="2457" w:hanging="180"/>
      </w:pPr>
    </w:lvl>
    <w:lvl w:ilvl="3" w:tplc="FFFFFFFF" w:tentative="1">
      <w:start w:val="1"/>
      <w:numFmt w:val="decimal"/>
      <w:lvlText w:val="%4."/>
      <w:lvlJc w:val="left"/>
      <w:pPr>
        <w:ind w:left="3177" w:hanging="360"/>
      </w:pPr>
    </w:lvl>
    <w:lvl w:ilvl="4" w:tplc="FFFFFFFF" w:tentative="1">
      <w:start w:val="1"/>
      <w:numFmt w:val="lowerLetter"/>
      <w:lvlText w:val="%5."/>
      <w:lvlJc w:val="left"/>
      <w:pPr>
        <w:ind w:left="3897" w:hanging="360"/>
      </w:pPr>
    </w:lvl>
    <w:lvl w:ilvl="5" w:tplc="FFFFFFFF" w:tentative="1">
      <w:start w:val="1"/>
      <w:numFmt w:val="lowerRoman"/>
      <w:lvlText w:val="%6."/>
      <w:lvlJc w:val="right"/>
      <w:pPr>
        <w:ind w:left="4617" w:hanging="180"/>
      </w:pPr>
    </w:lvl>
    <w:lvl w:ilvl="6" w:tplc="FFFFFFFF" w:tentative="1">
      <w:start w:val="1"/>
      <w:numFmt w:val="decimal"/>
      <w:lvlText w:val="%7."/>
      <w:lvlJc w:val="left"/>
      <w:pPr>
        <w:ind w:left="5337" w:hanging="360"/>
      </w:pPr>
    </w:lvl>
    <w:lvl w:ilvl="7" w:tplc="FFFFFFFF" w:tentative="1">
      <w:start w:val="1"/>
      <w:numFmt w:val="lowerLetter"/>
      <w:lvlText w:val="%8."/>
      <w:lvlJc w:val="left"/>
      <w:pPr>
        <w:ind w:left="6057" w:hanging="360"/>
      </w:pPr>
    </w:lvl>
    <w:lvl w:ilvl="8" w:tplc="FFFFFFFF" w:tentative="1">
      <w:start w:val="1"/>
      <w:numFmt w:val="lowerRoman"/>
      <w:lvlText w:val="%9."/>
      <w:lvlJc w:val="right"/>
      <w:pPr>
        <w:ind w:left="6777" w:hanging="180"/>
      </w:pPr>
    </w:lvl>
  </w:abstractNum>
  <w:abstractNum w:abstractNumId="11" w15:restartNumberingAfterBreak="0">
    <w:nsid w:val="572321A7"/>
    <w:multiLevelType w:val="hybridMultilevel"/>
    <w:tmpl w:val="276A7B3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75E08B1"/>
    <w:multiLevelType w:val="hybridMultilevel"/>
    <w:tmpl w:val="19E0EC62"/>
    <w:lvl w:ilvl="0" w:tplc="1009000F">
      <w:start w:val="1"/>
      <w:numFmt w:val="decimal"/>
      <w:lvlText w:val="%1."/>
      <w:lvlJc w:val="left"/>
      <w:pPr>
        <w:ind w:left="1017" w:hanging="360"/>
      </w:pPr>
      <w:rPr>
        <w:rFonts w:hint="default"/>
      </w:rPr>
    </w:lvl>
    <w:lvl w:ilvl="1" w:tplc="04090019" w:tentative="1">
      <w:start w:val="1"/>
      <w:numFmt w:val="lowerLetter"/>
      <w:lvlText w:val="%2."/>
      <w:lvlJc w:val="left"/>
      <w:pPr>
        <w:ind w:left="1737" w:hanging="360"/>
      </w:pPr>
    </w:lvl>
    <w:lvl w:ilvl="2" w:tplc="0409001B" w:tentative="1">
      <w:start w:val="1"/>
      <w:numFmt w:val="lowerRoman"/>
      <w:lvlText w:val="%3."/>
      <w:lvlJc w:val="right"/>
      <w:pPr>
        <w:ind w:left="2457" w:hanging="180"/>
      </w:pPr>
    </w:lvl>
    <w:lvl w:ilvl="3" w:tplc="0409000F" w:tentative="1">
      <w:start w:val="1"/>
      <w:numFmt w:val="decimal"/>
      <w:lvlText w:val="%4."/>
      <w:lvlJc w:val="left"/>
      <w:pPr>
        <w:ind w:left="3177" w:hanging="360"/>
      </w:pPr>
    </w:lvl>
    <w:lvl w:ilvl="4" w:tplc="04090019" w:tentative="1">
      <w:start w:val="1"/>
      <w:numFmt w:val="lowerLetter"/>
      <w:lvlText w:val="%5."/>
      <w:lvlJc w:val="left"/>
      <w:pPr>
        <w:ind w:left="3897" w:hanging="360"/>
      </w:pPr>
    </w:lvl>
    <w:lvl w:ilvl="5" w:tplc="0409001B" w:tentative="1">
      <w:start w:val="1"/>
      <w:numFmt w:val="lowerRoman"/>
      <w:lvlText w:val="%6."/>
      <w:lvlJc w:val="right"/>
      <w:pPr>
        <w:ind w:left="4617" w:hanging="180"/>
      </w:pPr>
    </w:lvl>
    <w:lvl w:ilvl="6" w:tplc="0409000F" w:tentative="1">
      <w:start w:val="1"/>
      <w:numFmt w:val="decimal"/>
      <w:lvlText w:val="%7."/>
      <w:lvlJc w:val="left"/>
      <w:pPr>
        <w:ind w:left="5337" w:hanging="360"/>
      </w:pPr>
    </w:lvl>
    <w:lvl w:ilvl="7" w:tplc="04090019" w:tentative="1">
      <w:start w:val="1"/>
      <w:numFmt w:val="lowerLetter"/>
      <w:lvlText w:val="%8."/>
      <w:lvlJc w:val="left"/>
      <w:pPr>
        <w:ind w:left="6057" w:hanging="360"/>
      </w:pPr>
    </w:lvl>
    <w:lvl w:ilvl="8" w:tplc="0409001B" w:tentative="1">
      <w:start w:val="1"/>
      <w:numFmt w:val="lowerRoman"/>
      <w:lvlText w:val="%9."/>
      <w:lvlJc w:val="right"/>
      <w:pPr>
        <w:ind w:left="6777" w:hanging="180"/>
      </w:pPr>
    </w:lvl>
  </w:abstractNum>
  <w:abstractNum w:abstractNumId="13" w15:restartNumberingAfterBreak="0">
    <w:nsid w:val="7C2A278F"/>
    <w:multiLevelType w:val="hybridMultilevel"/>
    <w:tmpl w:val="2E4688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6757803">
    <w:abstractNumId w:val="4"/>
  </w:num>
  <w:num w:numId="2" w16cid:durableId="1587688706">
    <w:abstractNumId w:val="7"/>
  </w:num>
  <w:num w:numId="3" w16cid:durableId="1523978898">
    <w:abstractNumId w:val="3"/>
  </w:num>
  <w:num w:numId="4" w16cid:durableId="1672024857">
    <w:abstractNumId w:val="10"/>
  </w:num>
  <w:num w:numId="5" w16cid:durableId="4796108">
    <w:abstractNumId w:val="12"/>
  </w:num>
  <w:num w:numId="6" w16cid:durableId="1033268677">
    <w:abstractNumId w:val="2"/>
  </w:num>
  <w:num w:numId="7" w16cid:durableId="2011903345">
    <w:abstractNumId w:val="0"/>
  </w:num>
  <w:num w:numId="8" w16cid:durableId="2049135691">
    <w:abstractNumId w:val="1"/>
  </w:num>
  <w:num w:numId="9" w16cid:durableId="1200317890">
    <w:abstractNumId w:val="5"/>
  </w:num>
  <w:num w:numId="10" w16cid:durableId="2017078283">
    <w:abstractNumId w:val="9"/>
  </w:num>
  <w:num w:numId="11" w16cid:durableId="1696424701">
    <w:abstractNumId w:val="6"/>
  </w:num>
  <w:num w:numId="12" w16cid:durableId="1241718834">
    <w:abstractNumId w:val="11"/>
  </w:num>
  <w:num w:numId="13" w16cid:durableId="839200743">
    <w:abstractNumId w:val="8"/>
  </w:num>
  <w:num w:numId="14" w16cid:durableId="9466917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240D"/>
    <w:rsid w:val="00004337"/>
    <w:rsid w:val="0003467B"/>
    <w:rsid w:val="000C6A1D"/>
    <w:rsid w:val="000F30CA"/>
    <w:rsid w:val="00174199"/>
    <w:rsid w:val="00201535"/>
    <w:rsid w:val="00246F5F"/>
    <w:rsid w:val="00287523"/>
    <w:rsid w:val="002B3AF0"/>
    <w:rsid w:val="00371A0C"/>
    <w:rsid w:val="00392F52"/>
    <w:rsid w:val="003D4E95"/>
    <w:rsid w:val="004C06E6"/>
    <w:rsid w:val="004E2E99"/>
    <w:rsid w:val="00556749"/>
    <w:rsid w:val="006047D9"/>
    <w:rsid w:val="00627561"/>
    <w:rsid w:val="00664F47"/>
    <w:rsid w:val="006B35CF"/>
    <w:rsid w:val="007649C0"/>
    <w:rsid w:val="00874BAA"/>
    <w:rsid w:val="00962BC7"/>
    <w:rsid w:val="009647BE"/>
    <w:rsid w:val="00984EC9"/>
    <w:rsid w:val="009A7966"/>
    <w:rsid w:val="00A2654F"/>
    <w:rsid w:val="00A5240D"/>
    <w:rsid w:val="00A91FD5"/>
    <w:rsid w:val="00AC51ED"/>
    <w:rsid w:val="00AF41EA"/>
    <w:rsid w:val="00C67220"/>
    <w:rsid w:val="00CD02E1"/>
    <w:rsid w:val="00CF1060"/>
    <w:rsid w:val="00D02E8C"/>
    <w:rsid w:val="00D21E46"/>
    <w:rsid w:val="00D45A38"/>
    <w:rsid w:val="00D51E1A"/>
    <w:rsid w:val="00E123BC"/>
    <w:rsid w:val="00E52B80"/>
    <w:rsid w:val="00E865A9"/>
    <w:rsid w:val="00EB349F"/>
    <w:rsid w:val="00EC6D21"/>
    <w:rsid w:val="00ED1A77"/>
    <w:rsid w:val="00EE069F"/>
    <w:rsid w:val="00F43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D8237"/>
  <w15:chartTrackingRefBased/>
  <w15:docId w15:val="{EF6B2C76-8D9F-4F25-AA5B-BEDFE9E35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24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524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24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24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24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24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24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24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24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4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524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24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24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24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24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24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24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240D"/>
    <w:rPr>
      <w:rFonts w:eastAsiaTheme="majorEastAsia" w:cstheme="majorBidi"/>
      <w:color w:val="272727" w:themeColor="text1" w:themeTint="D8"/>
    </w:rPr>
  </w:style>
  <w:style w:type="paragraph" w:styleId="Title">
    <w:name w:val="Title"/>
    <w:basedOn w:val="Normal"/>
    <w:next w:val="Normal"/>
    <w:link w:val="TitleChar"/>
    <w:uiPriority w:val="10"/>
    <w:qFormat/>
    <w:rsid w:val="00A524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24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24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24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240D"/>
    <w:pPr>
      <w:spacing w:before="160"/>
      <w:jc w:val="center"/>
    </w:pPr>
    <w:rPr>
      <w:i/>
      <w:iCs/>
      <w:color w:val="404040" w:themeColor="text1" w:themeTint="BF"/>
    </w:rPr>
  </w:style>
  <w:style w:type="character" w:customStyle="1" w:styleId="QuoteChar">
    <w:name w:val="Quote Char"/>
    <w:basedOn w:val="DefaultParagraphFont"/>
    <w:link w:val="Quote"/>
    <w:uiPriority w:val="29"/>
    <w:rsid w:val="00A5240D"/>
    <w:rPr>
      <w:i/>
      <w:iCs/>
      <w:color w:val="404040" w:themeColor="text1" w:themeTint="BF"/>
    </w:rPr>
  </w:style>
  <w:style w:type="paragraph" w:styleId="ListParagraph">
    <w:name w:val="List Paragraph"/>
    <w:basedOn w:val="Normal"/>
    <w:uiPriority w:val="34"/>
    <w:qFormat/>
    <w:rsid w:val="00A5240D"/>
    <w:pPr>
      <w:ind w:left="720"/>
      <w:contextualSpacing/>
    </w:pPr>
  </w:style>
  <w:style w:type="character" w:styleId="IntenseEmphasis">
    <w:name w:val="Intense Emphasis"/>
    <w:basedOn w:val="DefaultParagraphFont"/>
    <w:uiPriority w:val="21"/>
    <w:qFormat/>
    <w:rsid w:val="00A5240D"/>
    <w:rPr>
      <w:i/>
      <w:iCs/>
      <w:color w:val="0F4761" w:themeColor="accent1" w:themeShade="BF"/>
    </w:rPr>
  </w:style>
  <w:style w:type="paragraph" w:styleId="IntenseQuote">
    <w:name w:val="Intense Quote"/>
    <w:basedOn w:val="Normal"/>
    <w:next w:val="Normal"/>
    <w:link w:val="IntenseQuoteChar"/>
    <w:uiPriority w:val="30"/>
    <w:qFormat/>
    <w:rsid w:val="00A524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240D"/>
    <w:rPr>
      <w:i/>
      <w:iCs/>
      <w:color w:val="0F4761" w:themeColor="accent1" w:themeShade="BF"/>
    </w:rPr>
  </w:style>
  <w:style w:type="character" w:styleId="IntenseReference">
    <w:name w:val="Intense Reference"/>
    <w:basedOn w:val="DefaultParagraphFont"/>
    <w:uiPriority w:val="32"/>
    <w:qFormat/>
    <w:rsid w:val="00A5240D"/>
    <w:rPr>
      <w:b/>
      <w:bCs/>
      <w:smallCaps/>
      <w:color w:val="0F4761" w:themeColor="accent1" w:themeShade="BF"/>
      <w:spacing w:val="5"/>
    </w:rPr>
  </w:style>
  <w:style w:type="paragraph" w:styleId="FootnoteText">
    <w:name w:val="footnote text"/>
    <w:aliases w:val="5_GR,5_G,Char,Footnote Text1 Char,Текст сноски Знак,Текст сноски Знак Знак Знак Знак Знак,Текст сноски Знак Знак Знак Знак1 Знак,Текст сноски Знак1,Текст сноски Знак Знак1,Текст сноски Знак Знак Знак Знак Знак Знак,Char Знак"/>
    <w:basedOn w:val="Normal"/>
    <w:link w:val="FootnoteTextChar"/>
    <w:uiPriority w:val="99"/>
    <w:unhideWhenUsed/>
    <w:rsid w:val="00A5240D"/>
    <w:pPr>
      <w:spacing w:before="120" w:after="120" w:line="259" w:lineRule="auto"/>
      <w:jc w:val="both"/>
    </w:pPr>
    <w:rPr>
      <w:rFonts w:ascii="Times New Roman" w:eastAsia="Times New Roman" w:hAnsi="Times New Roman" w:cs="Times New Roman"/>
      <w:kern w:val="0"/>
      <w:lang w:eastAsia="en-GB"/>
    </w:rPr>
  </w:style>
  <w:style w:type="character" w:customStyle="1" w:styleId="FootnoteTextChar">
    <w:name w:val="Footnote Text Char"/>
    <w:aliases w:val="5_GR Char,5_G Char,Char Char,Footnote Text1 Char Char,Текст сноски Знак Char,Текст сноски Знак Знак Знак Знак Знак Char,Текст сноски Знак Знак Знак Знак1 Знак Char,Текст сноски Знак1 Char,Текст сноски Знак Знак1 Char,Char Знак Char"/>
    <w:basedOn w:val="DefaultParagraphFont"/>
    <w:link w:val="FootnoteText"/>
    <w:uiPriority w:val="99"/>
    <w:rsid w:val="00A5240D"/>
    <w:rPr>
      <w:rFonts w:ascii="Times New Roman" w:eastAsia="Times New Roman" w:hAnsi="Times New Roman" w:cs="Times New Roman"/>
      <w:kern w:val="0"/>
      <w:lang w:eastAsia="en-GB"/>
    </w:rPr>
  </w:style>
  <w:style w:type="character" w:styleId="FootnoteReference">
    <w:name w:val="footnote reference"/>
    <w:aliases w:val="4_GR,4_G,ftref,Footnotes refss,Footnote Refernece,callout,Footnote Reference Superscript,Footnote Reference Number,BVI fnr,Footnote number,Car Char Car Char Car Char Char Char Char Char Char Char Char,Footnote Refernece Char Char1"/>
    <w:basedOn w:val="DefaultParagraphFont"/>
    <w:link w:val="CarCharCarCharCarCharCharCharCharCharCharChar"/>
    <w:uiPriority w:val="99"/>
    <w:unhideWhenUsed/>
    <w:rsid w:val="00A5240D"/>
    <w:rPr>
      <w:vertAlign w:val="superscript"/>
    </w:rPr>
  </w:style>
  <w:style w:type="paragraph" w:customStyle="1" w:styleId="CarCharCarCharCarCharCharCharCharCharCharChar">
    <w:name w:val="Car Char Car Char Car Char Char Char Char Char Char Char"/>
    <w:aliases w:val="Footnote Refernece Char,Footnote Refernece Char Char Char Char,Car Char Car Char Car Char Char Char Char Char Char,Footnote Refernece Char Char"/>
    <w:basedOn w:val="Normal"/>
    <w:link w:val="FootnoteReference"/>
    <w:rsid w:val="00A5240D"/>
    <w:pPr>
      <w:autoSpaceDE w:val="0"/>
      <w:autoSpaceDN w:val="0"/>
      <w:spacing w:line="240" w:lineRule="exact"/>
      <w:jc w:val="both"/>
    </w:pPr>
    <w:rPr>
      <w:vertAlign w:val="superscript"/>
    </w:rPr>
  </w:style>
  <w:style w:type="paragraph" w:styleId="NormalWeb">
    <w:name w:val="Normal (Web)"/>
    <w:basedOn w:val="Normal"/>
    <w:unhideWhenUsed/>
    <w:rsid w:val="00A5240D"/>
    <w:pPr>
      <w:spacing w:before="100" w:beforeAutospacing="1" w:after="100" w:afterAutospacing="1" w:line="240" w:lineRule="auto"/>
    </w:pPr>
    <w:rPr>
      <w:rFonts w:ascii="Times New Roman" w:eastAsia="Times New Roman" w:hAnsi="Times New Roman" w:cs="Times New Roman"/>
      <w:kern w:val="0"/>
      <w:lang w:val="en-CA" w:eastAsia="en-CA"/>
    </w:rPr>
  </w:style>
  <w:style w:type="paragraph" w:customStyle="1" w:styleId="Body">
    <w:name w:val="Body"/>
    <w:rsid w:val="00A5240D"/>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u w:color="000000"/>
      <w:bdr w:val="nil"/>
    </w:rPr>
  </w:style>
  <w:style w:type="character" w:styleId="Hyperlink">
    <w:name w:val="Hyperlink"/>
    <w:basedOn w:val="DefaultParagraphFont"/>
    <w:uiPriority w:val="99"/>
    <w:unhideWhenUsed/>
    <w:rsid w:val="00A5240D"/>
    <w:rPr>
      <w:color w:val="467886" w:themeColor="hyperlink"/>
      <w:u w:val="single"/>
    </w:rPr>
  </w:style>
  <w:style w:type="character" w:customStyle="1" w:styleId="None">
    <w:name w:val="None"/>
    <w:rsid w:val="00A5240D"/>
  </w:style>
  <w:style w:type="paragraph" w:customStyle="1" w:styleId="BodyA">
    <w:name w:val="Body A"/>
    <w:rsid w:val="009647BE"/>
    <w:pPr>
      <w:pBdr>
        <w:top w:val="nil"/>
        <w:left w:val="nil"/>
        <w:bottom w:val="nil"/>
        <w:right w:val="nil"/>
        <w:between w:val="nil"/>
        <w:bar w:val="nil"/>
      </w:pBdr>
      <w:spacing w:after="200" w:line="276" w:lineRule="auto"/>
    </w:pPr>
    <w:rPr>
      <w:rFonts w:ascii="Calibri" w:eastAsia="Calibri" w:hAnsi="Calibri" w:cs="Calibri"/>
      <w:color w:val="000000"/>
      <w:kern w:val="0"/>
      <w:sz w:val="22"/>
      <w:szCs w:val="22"/>
      <w:u w:color="000000"/>
      <w:bdr w:val="nil"/>
    </w:rPr>
  </w:style>
  <w:style w:type="table" w:styleId="TableGrid">
    <w:name w:val="Table Grid"/>
    <w:basedOn w:val="TableNormal"/>
    <w:uiPriority w:val="59"/>
    <w:rsid w:val="009647BE"/>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647BE"/>
    <w:rPr>
      <w:color w:val="605E5C"/>
      <w:shd w:val="clear" w:color="auto" w:fill="E1DFDD"/>
    </w:rPr>
  </w:style>
  <w:style w:type="paragraph" w:styleId="Header">
    <w:name w:val="header"/>
    <w:basedOn w:val="Normal"/>
    <w:link w:val="HeaderChar"/>
    <w:uiPriority w:val="99"/>
    <w:unhideWhenUsed/>
    <w:rsid w:val="003D4E95"/>
    <w:pPr>
      <w:tabs>
        <w:tab w:val="center" w:pos="4986"/>
        <w:tab w:val="right" w:pos="9972"/>
      </w:tabs>
      <w:spacing w:after="0" w:line="240" w:lineRule="auto"/>
    </w:pPr>
  </w:style>
  <w:style w:type="character" w:customStyle="1" w:styleId="HeaderChar">
    <w:name w:val="Header Char"/>
    <w:basedOn w:val="DefaultParagraphFont"/>
    <w:link w:val="Header"/>
    <w:uiPriority w:val="99"/>
    <w:rsid w:val="003D4E95"/>
  </w:style>
  <w:style w:type="paragraph" w:styleId="Footer">
    <w:name w:val="footer"/>
    <w:basedOn w:val="Normal"/>
    <w:link w:val="FooterChar"/>
    <w:uiPriority w:val="99"/>
    <w:unhideWhenUsed/>
    <w:rsid w:val="003D4E95"/>
    <w:pPr>
      <w:tabs>
        <w:tab w:val="center" w:pos="4986"/>
        <w:tab w:val="right" w:pos="9972"/>
      </w:tabs>
      <w:spacing w:after="0" w:line="240" w:lineRule="auto"/>
    </w:pPr>
  </w:style>
  <w:style w:type="character" w:customStyle="1" w:styleId="FooterChar">
    <w:name w:val="Footer Char"/>
    <w:basedOn w:val="DefaultParagraphFont"/>
    <w:link w:val="Footer"/>
    <w:uiPriority w:val="99"/>
    <w:rsid w:val="003D4E95"/>
  </w:style>
  <w:style w:type="character" w:styleId="LineNumber">
    <w:name w:val="line number"/>
    <w:basedOn w:val="DefaultParagraphFont"/>
    <w:uiPriority w:val="99"/>
    <w:semiHidden/>
    <w:unhideWhenUsed/>
    <w:rsid w:val="00664F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armreductioneurasia.or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police.ge/public-information/narkologiuri-shemotsmebis-statistika?id=109&amp;year=295&amp;locale=en" TargetMode="External"/><Relationship Id="rId13" Type="http://schemas.openxmlformats.org/officeDocument/2006/relationships/hyperlink" Target="https://ghrn.ge/info.php?lang=eng" TargetMode="External"/><Relationship Id="rId18" Type="http://schemas.openxmlformats.org/officeDocument/2006/relationships/hyperlink" Target="https://www.osce.org/sites/default/files/f/documents/b/d/569922.pdf?utm_source=chatgpt.com" TargetMode="External"/><Relationship Id="rId3" Type="http://schemas.openxmlformats.org/officeDocument/2006/relationships/hyperlink" Target="https://socialjustice.org.ge/en/products/kartuli-otsnebis-mier-initsiirebuli-tsvlilebebi-populisturia-ver-gadachris-adiktsiastan-dakavshirebul-jandatsvis-problemebs-da-farto-sazogadoebaze-kontrolis-gadzlierebis-miznebs-emsakhureba" TargetMode="External"/><Relationship Id="rId21" Type="http://schemas.openxmlformats.org/officeDocument/2006/relationships/hyperlink" Target="https://www.venice.coe.int/webforms/documents/default.aspx?pdffile=CDL-AD%282024%29020-e" TargetMode="External"/><Relationship Id="rId7" Type="http://schemas.openxmlformats.org/officeDocument/2006/relationships/hyperlink" Target="https://police.ge/public-information/registrirebuli-danashaulis-statistika?id=137&amp;year=442" TargetMode="External"/><Relationship Id="rId12" Type="http://schemas.openxmlformats.org/officeDocument/2006/relationships/hyperlink" Target="https://harmreductioneurasia.org/projects/tiberius" TargetMode="External"/><Relationship Id="rId17" Type="http://schemas.openxmlformats.org/officeDocument/2006/relationships/hyperlink" Target="https://justice.gov.ge/files/wcCit8YuOs0P.pdf" TargetMode="External"/><Relationship Id="rId2" Type="http://schemas.openxmlformats.org/officeDocument/2006/relationships/hyperlink" Target="https://info.parliament.ge/" TargetMode="External"/><Relationship Id="rId16" Type="http://schemas.openxmlformats.org/officeDocument/2006/relationships/hyperlink" Target="https://altgeorgia.ge/media/uploads/ost-in-prison-report-eng.pdf" TargetMode="External"/><Relationship Id="rId20" Type="http://schemas.openxmlformats.org/officeDocument/2006/relationships/hyperlink" Target="https://rm.coe.int/letter-to-chairman-of-parliament-of-georgia-by-michael-o-flaherty-comm/1680af5350" TargetMode="External"/><Relationship Id="rId1" Type="http://schemas.openxmlformats.org/officeDocument/2006/relationships/hyperlink" Target="https://www.hrw.org/news/2018/08/13/georgia-severe-toll-abusive-drug-laws" TargetMode="External"/><Relationship Id="rId6" Type="http://schemas.openxmlformats.org/officeDocument/2006/relationships/hyperlink" Target="https://wp.unil.ch/space/files/2025/09/250924_rapport-space-i-2024.pdf" TargetMode="External"/><Relationship Id="rId11" Type="http://schemas.openxmlformats.org/officeDocument/2006/relationships/hyperlink" Target="https://info.parliament.ge/" TargetMode="External"/><Relationship Id="rId5" Type="http://schemas.openxmlformats.org/officeDocument/2006/relationships/hyperlink" Target="https://police.ge/public-information/registrirebuli-danashaulis-statistika?id=137&amp;year=442" TargetMode="External"/><Relationship Id="rId15" Type="http://schemas.openxmlformats.org/officeDocument/2006/relationships/hyperlink" Target="https://osgf.ge/en/publication/report-of-the-coalition-for-equality-and-other-ngos/" TargetMode="External"/><Relationship Id="rId23" Type="http://schemas.openxmlformats.org/officeDocument/2006/relationships/hyperlink" Target="https://info.parliament.ge/v1/law-drafting/package/21885" TargetMode="External"/><Relationship Id="rId10" Type="http://schemas.openxmlformats.org/officeDocument/2006/relationships/hyperlink" Target="https://info.parliament.ge/" TargetMode="External"/><Relationship Id="rId19" Type="http://schemas.openxmlformats.org/officeDocument/2006/relationships/hyperlink" Target="https://cdrc.ge/en/organizations" TargetMode="External"/><Relationship Id="rId4" Type="http://schemas.openxmlformats.org/officeDocument/2006/relationships/hyperlink" Target="https://info.parliament.ge/" TargetMode="External"/><Relationship Id="rId9" Type="http://schemas.openxmlformats.org/officeDocument/2006/relationships/hyperlink" Target="https://www.who.int/publications/i/item/978924150437" TargetMode="External"/><Relationship Id="rId14" Type="http://schemas.openxmlformats.org/officeDocument/2006/relationships/hyperlink" Target="https://www.ncbi.nlm.nih.gov/pmc/articles/PMC6876852/" TargetMode="External"/><Relationship Id="rId22" Type="http://schemas.openxmlformats.org/officeDocument/2006/relationships/hyperlink" Target="https://www.venice.coe.int/webforms/documents/default.aspx?pdffile=CDL-AD%282025%29034-e&amp;utm_source=chatgp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15</Pages>
  <Words>5771</Words>
  <Characters>32901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Plotko</dc:creator>
  <cp:keywords/>
  <dc:description/>
  <cp:lastModifiedBy>Maria Plotko</cp:lastModifiedBy>
  <cp:revision>39</cp:revision>
  <dcterms:created xsi:type="dcterms:W3CDTF">2026-01-12T23:41:00Z</dcterms:created>
  <dcterms:modified xsi:type="dcterms:W3CDTF">2026-01-13T21:37:00Z</dcterms:modified>
</cp:coreProperties>
</file>