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D9F" w:rsidRPr="00592F76" w:rsidRDefault="00191D9F" w:rsidP="00C83BE8">
      <w:pPr>
        <w:spacing w:after="0" w:line="240" w:lineRule="auto"/>
        <w:jc w:val="both"/>
        <w:rPr>
          <w:b/>
        </w:rPr>
      </w:pPr>
      <w:bookmarkStart w:id="0" w:name="_GoBack"/>
      <w:bookmarkEnd w:id="0"/>
      <w:r w:rsidRPr="00592F76">
        <w:rPr>
          <w:b/>
        </w:rPr>
        <w:t xml:space="preserve">Informe </w:t>
      </w:r>
      <w:r w:rsidR="00912FD3" w:rsidRPr="00592F76">
        <w:rPr>
          <w:b/>
        </w:rPr>
        <w:t xml:space="preserve">del </w:t>
      </w:r>
      <w:r w:rsidRPr="00592F76">
        <w:rPr>
          <w:b/>
        </w:rPr>
        <w:t>M</w:t>
      </w:r>
      <w:r w:rsidR="00912FD3" w:rsidRPr="00592F76">
        <w:rPr>
          <w:b/>
        </w:rPr>
        <w:t xml:space="preserve">ecanismo </w:t>
      </w:r>
      <w:r w:rsidRPr="00592F76">
        <w:rPr>
          <w:b/>
        </w:rPr>
        <w:t>N</w:t>
      </w:r>
      <w:r w:rsidR="00912FD3" w:rsidRPr="00592F76">
        <w:rPr>
          <w:b/>
        </w:rPr>
        <w:t xml:space="preserve">acional de </w:t>
      </w:r>
      <w:r w:rsidRPr="00592F76">
        <w:rPr>
          <w:b/>
        </w:rPr>
        <w:t>P</w:t>
      </w:r>
      <w:r w:rsidR="00912FD3" w:rsidRPr="00592F76">
        <w:rPr>
          <w:b/>
        </w:rPr>
        <w:t>revención de la Tortura de la República del Paraguay</w:t>
      </w:r>
      <w:r w:rsidRPr="00592F76">
        <w:rPr>
          <w:b/>
        </w:rPr>
        <w:t xml:space="preserve"> </w:t>
      </w:r>
      <w:r w:rsidR="00592F76" w:rsidRPr="00592F76">
        <w:rPr>
          <w:b/>
        </w:rPr>
        <w:t>a</w:t>
      </w:r>
      <w:r w:rsidR="00912FD3" w:rsidRPr="00592F76">
        <w:rPr>
          <w:b/>
        </w:rPr>
        <w:t xml:space="preserve"> </w:t>
      </w:r>
      <w:r w:rsidR="00592F76" w:rsidRPr="00592F76">
        <w:rPr>
          <w:rFonts w:eastAsia="Calibri"/>
        </w:rPr>
        <w:t>Lista de cuestiones previa a la presentación del séptimo informe periódico de Paraguay, adoptada por el Comité contra la Tortura en su 50º periodo de sesiones (6 a 31 de mayo de 2013) (</w:t>
      </w:r>
      <w:r w:rsidR="00592F76" w:rsidRPr="00592F76">
        <w:t>CAT/C/PRY/QPR/7, 16 de julio de 2013)</w:t>
      </w:r>
    </w:p>
    <w:p w:rsidR="00912FD3" w:rsidRDefault="00912FD3" w:rsidP="00C83BE8">
      <w:pPr>
        <w:spacing w:after="0" w:line="240" w:lineRule="auto"/>
        <w:jc w:val="both"/>
        <w:rPr>
          <w:b/>
        </w:rPr>
      </w:pPr>
    </w:p>
    <w:p w:rsidR="00912FD3" w:rsidRDefault="00912FD3" w:rsidP="00C83BE8">
      <w:pPr>
        <w:spacing w:after="0" w:line="240" w:lineRule="auto"/>
        <w:jc w:val="both"/>
        <w:rPr>
          <w:b/>
        </w:rPr>
      </w:pPr>
      <w:r>
        <w:rPr>
          <w:b/>
        </w:rPr>
        <w:t>En el marco del Séptimo informe periódico presentado por el E</w:t>
      </w:r>
      <w:r w:rsidR="00592F76">
        <w:rPr>
          <w:b/>
        </w:rPr>
        <w:t>stado paraguayo ante el Comité contra la Tortura</w:t>
      </w:r>
    </w:p>
    <w:p w:rsidR="00912FD3" w:rsidRDefault="00912FD3" w:rsidP="00C83BE8">
      <w:pPr>
        <w:spacing w:after="0" w:line="240" w:lineRule="auto"/>
        <w:jc w:val="both"/>
        <w:rPr>
          <w:b/>
        </w:rPr>
      </w:pPr>
    </w:p>
    <w:p w:rsidR="00891903" w:rsidRDefault="00891903" w:rsidP="00C83BE8">
      <w:pPr>
        <w:spacing w:after="0" w:line="240" w:lineRule="auto"/>
        <w:jc w:val="both"/>
      </w:pPr>
    </w:p>
    <w:p w:rsidR="00912FD3" w:rsidRDefault="009D157E" w:rsidP="00C83BE8">
      <w:pPr>
        <w:spacing w:after="0" w:line="240" w:lineRule="auto"/>
        <w:jc w:val="both"/>
      </w:pPr>
      <w:r>
        <w:t>61</w:t>
      </w:r>
      <w:r w:rsidR="00912FD3">
        <w:t xml:space="preserve"> Período de Sesiones </w:t>
      </w:r>
    </w:p>
    <w:p w:rsidR="00891903" w:rsidRDefault="00592F76" w:rsidP="00C83BE8">
      <w:pPr>
        <w:spacing w:after="0" w:line="240" w:lineRule="auto"/>
        <w:jc w:val="both"/>
      </w:pPr>
      <w:r>
        <w:t>24 de julio a 11 de agosto de 2017</w:t>
      </w:r>
    </w:p>
    <w:p w:rsidR="00912FD3" w:rsidRDefault="00912FD3" w:rsidP="00C83BE8">
      <w:pPr>
        <w:spacing w:after="0" w:line="240" w:lineRule="auto"/>
        <w:jc w:val="both"/>
      </w:pPr>
    </w:p>
    <w:p w:rsidR="00912FD3" w:rsidRDefault="00912FD3">
      <w:r>
        <w:br w:type="page"/>
      </w:r>
    </w:p>
    <w:p w:rsidR="00912FD3" w:rsidRPr="00912FD3" w:rsidRDefault="00912FD3" w:rsidP="00C83BE8">
      <w:pPr>
        <w:spacing w:after="0" w:line="240" w:lineRule="auto"/>
        <w:jc w:val="both"/>
        <w:rPr>
          <w:b/>
        </w:rPr>
      </w:pPr>
      <w:r w:rsidRPr="00912FD3">
        <w:rPr>
          <w:b/>
        </w:rPr>
        <w:lastRenderedPageBreak/>
        <w:t>Introducción</w:t>
      </w:r>
    </w:p>
    <w:p w:rsidR="00912FD3" w:rsidRDefault="00912FD3" w:rsidP="00C83BE8">
      <w:pPr>
        <w:spacing w:after="0" w:line="240" w:lineRule="auto"/>
        <w:jc w:val="both"/>
      </w:pPr>
    </w:p>
    <w:p w:rsidR="001041F2" w:rsidRPr="001041F2" w:rsidRDefault="008F575C" w:rsidP="001D3D18">
      <w:pPr>
        <w:pStyle w:val="Default"/>
        <w:jc w:val="both"/>
        <w:rPr>
          <w:rFonts w:asciiTheme="minorHAnsi" w:hAnsiTheme="minorHAnsi"/>
          <w:sz w:val="22"/>
          <w:szCs w:val="22"/>
        </w:rPr>
      </w:pPr>
      <w:r w:rsidRPr="001041F2">
        <w:rPr>
          <w:rFonts w:asciiTheme="minorHAnsi" w:hAnsiTheme="minorHAnsi"/>
          <w:sz w:val="22"/>
          <w:szCs w:val="22"/>
        </w:rPr>
        <w:t xml:space="preserve">En base al artículo </w:t>
      </w:r>
      <w:r w:rsidR="009D157E">
        <w:rPr>
          <w:rFonts w:asciiTheme="minorHAnsi" w:hAnsiTheme="minorHAnsi"/>
          <w:sz w:val="22"/>
          <w:szCs w:val="22"/>
        </w:rPr>
        <w:t>19</w:t>
      </w:r>
      <w:r w:rsidRPr="001041F2">
        <w:rPr>
          <w:rFonts w:asciiTheme="minorHAnsi" w:hAnsiTheme="minorHAnsi"/>
          <w:sz w:val="22"/>
          <w:szCs w:val="22"/>
        </w:rPr>
        <w:t xml:space="preserve"> de la Convención </w:t>
      </w:r>
      <w:r w:rsidR="005F1CEF" w:rsidRPr="001041F2">
        <w:rPr>
          <w:rFonts w:asciiTheme="minorHAnsi" w:hAnsiTheme="minorHAnsi"/>
          <w:sz w:val="22"/>
          <w:szCs w:val="22"/>
        </w:rPr>
        <w:t>de las Naciones Unidas contra la Tortura y otros tratos o penas crueles, inhumanos o degradantes</w:t>
      </w:r>
      <w:r w:rsidRPr="001041F2">
        <w:rPr>
          <w:rFonts w:asciiTheme="minorHAnsi" w:hAnsiTheme="minorHAnsi"/>
          <w:sz w:val="22"/>
          <w:szCs w:val="22"/>
        </w:rPr>
        <w:t xml:space="preserve">, ratificada por la República del Paraguay por Ley N° </w:t>
      </w:r>
      <w:r w:rsidR="001041F2" w:rsidRPr="001041F2">
        <w:rPr>
          <w:rFonts w:asciiTheme="minorHAnsi" w:hAnsiTheme="minorHAnsi"/>
          <w:sz w:val="22"/>
          <w:szCs w:val="22"/>
        </w:rPr>
        <w:t>69</w:t>
      </w:r>
      <w:r w:rsidRPr="001041F2">
        <w:rPr>
          <w:rFonts w:asciiTheme="minorHAnsi" w:hAnsiTheme="minorHAnsi"/>
          <w:sz w:val="22"/>
          <w:szCs w:val="22"/>
        </w:rPr>
        <w:t>/</w:t>
      </w:r>
      <w:r w:rsidR="005F1CEF" w:rsidRPr="001041F2">
        <w:rPr>
          <w:rFonts w:asciiTheme="minorHAnsi" w:hAnsiTheme="minorHAnsi"/>
          <w:sz w:val="22"/>
          <w:szCs w:val="22"/>
        </w:rPr>
        <w:t>1990</w:t>
      </w:r>
      <w:r w:rsidRPr="001041F2">
        <w:rPr>
          <w:rFonts w:asciiTheme="minorHAnsi" w:hAnsiTheme="minorHAnsi"/>
          <w:sz w:val="22"/>
          <w:szCs w:val="22"/>
        </w:rPr>
        <w:t xml:space="preserve">, el Mecanismo Nacional de Prevención contra la Tortura y otros tratos o penas crueles, inhumanos o degradantes (MNP) de la República del Paraguay, presenta información en el marco del proceso de examen del Séptimo Informe Periódico presentado por el Estado paraguayo (Doc. ONU </w:t>
      </w:r>
      <w:r w:rsidR="001041F2" w:rsidRPr="001041F2">
        <w:rPr>
          <w:rFonts w:asciiTheme="minorHAnsi" w:hAnsiTheme="minorHAnsi"/>
          <w:sz w:val="22"/>
          <w:szCs w:val="22"/>
        </w:rPr>
        <w:t>CAT/C/PRY/7, 11 de abril de 2016).</w:t>
      </w:r>
    </w:p>
    <w:p w:rsidR="008F575C" w:rsidRDefault="008F575C" w:rsidP="008F575C">
      <w:pPr>
        <w:spacing w:after="0" w:line="240" w:lineRule="auto"/>
        <w:jc w:val="both"/>
      </w:pPr>
    </w:p>
    <w:p w:rsidR="00BD5357" w:rsidRPr="000447DC" w:rsidRDefault="008F575C" w:rsidP="00466820">
      <w:pPr>
        <w:spacing w:after="0" w:line="240" w:lineRule="auto"/>
        <w:jc w:val="both"/>
        <w:rPr>
          <w:rFonts w:cs="Arial"/>
        </w:rPr>
      </w:pPr>
      <w:r w:rsidRPr="000447DC">
        <w:t xml:space="preserve">El MNP </w:t>
      </w:r>
      <w:r w:rsidR="00176492">
        <w:t xml:space="preserve">es </w:t>
      </w:r>
      <w:r w:rsidRPr="000447DC">
        <w:rPr>
          <w:rFonts w:cs="Arial"/>
        </w:rPr>
        <w:t xml:space="preserve">un ente autárquico con personería jurídica de derecho público, creado por la República del Paraguay mediante la Ley N° 4288/2011, </w:t>
      </w:r>
      <w:r w:rsidR="0030078F" w:rsidRPr="000447DC">
        <w:rPr>
          <w:rFonts w:cs="Arial"/>
        </w:rPr>
        <w:t>en reglamentación del Protocolo Facultativo de la Convención de las Naciones Unidas Contra La Tortura y otros tratos o penas crueles, inhumanos o degradantes (ratificado por Ley Nº 2754/2005). El MNP integra el sistema internacional de control para la prevención de la tortura y otros tratos o penas crueles inhumanos o degradantes. Es independiente de los demás poderes del Estado en el cumplimiento de sus fines.</w:t>
      </w:r>
    </w:p>
    <w:p w:rsidR="00BD5357" w:rsidRDefault="00BD5357" w:rsidP="00466820">
      <w:pPr>
        <w:spacing w:after="0" w:line="240" w:lineRule="auto"/>
        <w:jc w:val="both"/>
        <w:rPr>
          <w:rFonts w:ascii="Univers" w:hAnsi="Univers" w:cs="Arial"/>
        </w:rPr>
      </w:pPr>
    </w:p>
    <w:p w:rsidR="00882BE5" w:rsidRDefault="0030078F" w:rsidP="00466820">
      <w:pPr>
        <w:spacing w:after="0" w:line="240" w:lineRule="auto"/>
        <w:jc w:val="both"/>
        <w:rPr>
          <w:rFonts w:cs="Arial"/>
        </w:rPr>
      </w:pPr>
      <w:r w:rsidRPr="002373CC">
        <w:t xml:space="preserve">Entre sus atribuciones, el MNP realiza visitas de inspección, con o sin aviso previo, a </w:t>
      </w:r>
      <w:r w:rsidRPr="002373CC">
        <w:rPr>
          <w:rFonts w:cs="Arial"/>
        </w:rPr>
        <w:t xml:space="preserve">lugares donde existan o se presuma que existan personas afectadas en su libertad, sean éstos públicos o privados, en particular: </w:t>
      </w:r>
      <w:r w:rsidR="006A78C3" w:rsidRPr="002373CC">
        <w:rPr>
          <w:rFonts w:cs="Arial"/>
        </w:rPr>
        <w:t>p</w:t>
      </w:r>
      <w:r w:rsidRPr="002373CC">
        <w:rPr>
          <w:rFonts w:cs="Arial"/>
        </w:rPr>
        <w:t>enitenciarías u otros establecimientos similares;</w:t>
      </w:r>
      <w:r w:rsidRPr="002373CC">
        <w:rPr>
          <w:rFonts w:cs="Arial"/>
          <w:lang w:val="pt-BR"/>
        </w:rPr>
        <w:t xml:space="preserve"> </w:t>
      </w:r>
      <w:r w:rsidR="006A78C3" w:rsidRPr="002373CC">
        <w:rPr>
          <w:rFonts w:cs="Arial"/>
          <w:lang w:val="pt-BR"/>
        </w:rPr>
        <w:t>c</w:t>
      </w:r>
      <w:r w:rsidRPr="002373CC">
        <w:rPr>
          <w:rFonts w:cs="Arial"/>
          <w:lang w:val="pt-BR"/>
        </w:rPr>
        <w:t xml:space="preserve">entros educativos para adolescentes </w:t>
      </w:r>
      <w:r w:rsidRPr="002373CC">
        <w:rPr>
          <w:rFonts w:cs="Arial"/>
        </w:rPr>
        <w:t>infractores</w:t>
      </w:r>
      <w:r w:rsidRPr="002373CC">
        <w:rPr>
          <w:rFonts w:cs="Arial"/>
          <w:lang w:val="pt-BR"/>
        </w:rPr>
        <w:t xml:space="preserve">; </w:t>
      </w:r>
      <w:r w:rsidR="006A78C3" w:rsidRPr="002373CC">
        <w:rPr>
          <w:rFonts w:cs="Arial"/>
        </w:rPr>
        <w:t>e</w:t>
      </w:r>
      <w:r w:rsidRPr="002373CC">
        <w:rPr>
          <w:rFonts w:cs="Arial"/>
        </w:rPr>
        <w:t xml:space="preserve">stablecimientos policiales, militares, o educativos que cumplan funciones similares; </w:t>
      </w:r>
      <w:r w:rsidR="006A78C3" w:rsidRPr="002373CC">
        <w:rPr>
          <w:rFonts w:cs="Arial"/>
        </w:rPr>
        <w:t>e</w:t>
      </w:r>
      <w:r w:rsidRPr="002373CC">
        <w:rPr>
          <w:rFonts w:cs="Arial"/>
        </w:rPr>
        <w:t>stablecimientos de internación de personas con discapacidades físicas</w:t>
      </w:r>
      <w:r w:rsidR="006A78C3" w:rsidRPr="002373CC">
        <w:rPr>
          <w:rFonts w:cs="Arial"/>
        </w:rPr>
        <w:t>,</w:t>
      </w:r>
      <w:r w:rsidRPr="002373CC">
        <w:rPr>
          <w:rFonts w:cs="Arial"/>
        </w:rPr>
        <w:t xml:space="preserve"> </w:t>
      </w:r>
      <w:r w:rsidR="006A78C3" w:rsidRPr="002373CC">
        <w:rPr>
          <w:rFonts w:cs="Arial"/>
        </w:rPr>
        <w:t>mentales</w:t>
      </w:r>
      <w:r w:rsidRPr="002373CC">
        <w:rPr>
          <w:rFonts w:cs="Arial"/>
        </w:rPr>
        <w:t xml:space="preserve">  </w:t>
      </w:r>
      <w:r w:rsidR="006A78C3" w:rsidRPr="002373CC">
        <w:rPr>
          <w:rFonts w:cs="Arial"/>
        </w:rPr>
        <w:t>o</w:t>
      </w:r>
      <w:r w:rsidRPr="002373CC">
        <w:rPr>
          <w:rFonts w:cs="Arial"/>
        </w:rPr>
        <w:t xml:space="preserve"> adicciones;</w:t>
      </w:r>
      <w:r w:rsidRPr="002373CC">
        <w:rPr>
          <w:rFonts w:cs="Arial"/>
          <w:lang w:val="pt-BR"/>
        </w:rPr>
        <w:t xml:space="preserve"> </w:t>
      </w:r>
      <w:proofErr w:type="spellStart"/>
      <w:r w:rsidR="00466820" w:rsidRPr="002373CC">
        <w:rPr>
          <w:rFonts w:cs="Arial"/>
          <w:lang w:val="pt-BR"/>
        </w:rPr>
        <w:t>h</w:t>
      </w:r>
      <w:r w:rsidRPr="002373CC">
        <w:rPr>
          <w:rFonts w:cs="Arial"/>
          <w:lang w:val="pt-BR"/>
        </w:rPr>
        <w:t>ogares</w:t>
      </w:r>
      <w:proofErr w:type="spellEnd"/>
      <w:r w:rsidRPr="002373CC">
        <w:rPr>
          <w:rFonts w:cs="Arial"/>
          <w:lang w:val="pt-BR"/>
        </w:rPr>
        <w:t xml:space="preserve"> </w:t>
      </w:r>
      <w:r w:rsidR="00650ADC">
        <w:rPr>
          <w:rFonts w:cs="Arial"/>
          <w:lang w:val="pt-BR"/>
        </w:rPr>
        <w:t xml:space="preserve">de </w:t>
      </w:r>
      <w:r w:rsidRPr="002373CC">
        <w:rPr>
          <w:rFonts w:cs="Arial"/>
          <w:lang w:val="pt-BR"/>
        </w:rPr>
        <w:t xml:space="preserve">abrigo de </w:t>
      </w:r>
      <w:proofErr w:type="spellStart"/>
      <w:r w:rsidR="00466820" w:rsidRPr="002373CC">
        <w:rPr>
          <w:rFonts w:cs="Arial"/>
          <w:lang w:val="pt-BR"/>
        </w:rPr>
        <w:t>n</w:t>
      </w:r>
      <w:r w:rsidRPr="002373CC">
        <w:rPr>
          <w:rFonts w:cs="Arial"/>
          <w:lang w:val="pt-BR"/>
        </w:rPr>
        <w:t>iños</w:t>
      </w:r>
      <w:proofErr w:type="spellEnd"/>
      <w:r w:rsidRPr="002373CC">
        <w:rPr>
          <w:rFonts w:cs="Arial"/>
          <w:lang w:val="pt-BR"/>
        </w:rPr>
        <w:t xml:space="preserve">/as y adolescentes, </w:t>
      </w:r>
      <w:r w:rsidR="00466820" w:rsidRPr="002373CC">
        <w:t>adultos y</w:t>
      </w:r>
      <w:r w:rsidR="00466820" w:rsidRPr="002373CC">
        <w:rPr>
          <w:rFonts w:cs="Arial"/>
          <w:lang w:val="pt-BR"/>
        </w:rPr>
        <w:t xml:space="preserve"> </w:t>
      </w:r>
      <w:r w:rsidR="00650ADC">
        <w:rPr>
          <w:rFonts w:cs="Arial"/>
        </w:rPr>
        <w:t>adulta</w:t>
      </w:r>
      <w:r w:rsidR="00466820" w:rsidRPr="002373CC">
        <w:rPr>
          <w:rFonts w:cs="Arial"/>
        </w:rPr>
        <w:t>s mayores; unidades móviles de detención o aprehensión; lugares de tránsito de inmigrantes; y cualquier otro lugar o circunstancia de privación o afectación de la libertad o de albergue, oficial o no donde se produzcan o se suponga que se producen hechos que caen bajo la jurisdicción del Protocolo Facultativo.</w:t>
      </w:r>
      <w:r w:rsidR="002373CC" w:rsidRPr="002373CC">
        <w:rPr>
          <w:rFonts w:cs="Arial"/>
        </w:rPr>
        <w:t xml:space="preserve"> </w:t>
      </w:r>
    </w:p>
    <w:p w:rsidR="00882BE5" w:rsidRDefault="00882BE5" w:rsidP="00466820">
      <w:pPr>
        <w:spacing w:after="0" w:line="240" w:lineRule="auto"/>
        <w:jc w:val="both"/>
        <w:rPr>
          <w:rFonts w:cs="Arial"/>
        </w:rPr>
      </w:pPr>
    </w:p>
    <w:p w:rsidR="00466820" w:rsidRDefault="002373CC" w:rsidP="00466820">
      <w:pPr>
        <w:spacing w:after="0" w:line="240" w:lineRule="auto"/>
        <w:jc w:val="both"/>
        <w:rPr>
          <w:rFonts w:cs="Arial"/>
        </w:rPr>
      </w:pPr>
      <w:r w:rsidRPr="002373CC">
        <w:rPr>
          <w:rFonts w:cs="Arial"/>
        </w:rPr>
        <w:t>El MNP tiene inmunidades legales para acceder sin restricciones a cualquier lugar de detención y entrevistarse bajo cláusula de confidencialidad con personas privadas de libertad, sus familiares y funcionarios públicos. Realiza recomendaciones a las autoridades responsables de los sitios visitados, incluyendo las recomendaciones y requerimientos necesarios para iniciar y establecer un diálogo constructivo. Las autoridades afectadas están obligadas a cumplir las recomendaciones formuladas.</w:t>
      </w:r>
    </w:p>
    <w:p w:rsidR="00A17C56" w:rsidRPr="002373CC" w:rsidRDefault="00A17C56" w:rsidP="00466820">
      <w:pPr>
        <w:spacing w:after="0" w:line="240" w:lineRule="auto"/>
        <w:jc w:val="both"/>
      </w:pPr>
    </w:p>
    <w:p w:rsidR="00592F76" w:rsidRDefault="00AB3A13" w:rsidP="008F575C">
      <w:pPr>
        <w:spacing w:after="0" w:line="240" w:lineRule="auto"/>
        <w:jc w:val="both"/>
      </w:pPr>
      <w:r w:rsidRPr="005F20DA">
        <w:t>Este informe suministra información adicional Séptimo Informe Per</w:t>
      </w:r>
      <w:r w:rsidR="00592F76">
        <w:t>iódico, específicamente sobre los puntos de la Lista de Cuestiones</w:t>
      </w:r>
      <w:r w:rsidR="001041F2">
        <w:t xml:space="preserve"> Nº 1, 2, </w:t>
      </w:r>
      <w:r w:rsidR="00EE08F7">
        <w:t xml:space="preserve">4, </w:t>
      </w:r>
      <w:r w:rsidR="001041F2">
        <w:t>.</w:t>
      </w:r>
      <w:r w:rsidR="00EE08F7">
        <w:t>5, 6, 7, 12,</w:t>
      </w:r>
      <w:r w:rsidR="00A94C2B">
        <w:t xml:space="preserve"> 15, 16,</w:t>
      </w:r>
      <w:r w:rsidR="00EE08F7">
        <w:t xml:space="preserve"> 17,</w:t>
      </w:r>
      <w:r w:rsidR="00656616">
        <w:t xml:space="preserve"> 18,</w:t>
      </w:r>
      <w:r w:rsidR="00EE08F7">
        <w:t xml:space="preserve"> 19, 20, 21, 23</w:t>
      </w:r>
      <w:r w:rsidR="00592F76">
        <w:t>,</w:t>
      </w:r>
      <w:r w:rsidR="00EE08F7">
        <w:t xml:space="preserve"> 24, 26, 28, 30</w:t>
      </w:r>
      <w:r w:rsidR="00D5089B">
        <w:t xml:space="preserve"> y</w:t>
      </w:r>
      <w:r w:rsidR="00EE08F7">
        <w:t xml:space="preserve"> 35</w:t>
      </w:r>
      <w:r w:rsidR="00592F76">
        <w:t xml:space="preserve"> por ser materias que se encuentran dentro del ámbito de tutela encomendado al MNP de la República del Paraguay, en atención a su ley orgánica.</w:t>
      </w:r>
    </w:p>
    <w:p w:rsidR="008F575C" w:rsidRDefault="008F575C" w:rsidP="00C83BE8">
      <w:pPr>
        <w:spacing w:after="0" w:line="240" w:lineRule="auto"/>
        <w:jc w:val="both"/>
      </w:pPr>
    </w:p>
    <w:p w:rsidR="001041F2" w:rsidRPr="00E77C38" w:rsidRDefault="001041F2" w:rsidP="001041F2">
      <w:pPr>
        <w:pStyle w:val="H23G"/>
        <w:rPr>
          <w:rFonts w:eastAsia="Calibri"/>
          <w:lang w:eastAsia="en-US"/>
        </w:rPr>
      </w:pPr>
      <w:r>
        <w:rPr>
          <w:rFonts w:eastAsia="Calibri"/>
          <w:lang w:eastAsia="en-US"/>
        </w:rPr>
        <w:tab/>
      </w:r>
      <w:r>
        <w:rPr>
          <w:rFonts w:eastAsia="Calibri"/>
          <w:lang w:eastAsia="en-US"/>
        </w:rPr>
        <w:tab/>
      </w:r>
      <w:r w:rsidRPr="00E77C38">
        <w:rPr>
          <w:rFonts w:eastAsia="Calibri"/>
          <w:lang w:eastAsia="en-US"/>
        </w:rPr>
        <w:t>Artículos 1 y 4</w:t>
      </w:r>
    </w:p>
    <w:p w:rsidR="001041F2" w:rsidRPr="00436F9E" w:rsidRDefault="001041F2" w:rsidP="001041F2">
      <w:pPr>
        <w:pStyle w:val="SingleTxtG"/>
        <w:numPr>
          <w:ilvl w:val="0"/>
          <w:numId w:val="2"/>
        </w:numPr>
        <w:ind w:left="1134" w:firstLine="0"/>
        <w:rPr>
          <w:rFonts w:eastAsia="Calibri"/>
          <w:b/>
          <w:lang w:eastAsia="en-US"/>
        </w:rPr>
      </w:pPr>
      <w:r w:rsidRPr="00436F9E">
        <w:rPr>
          <w:rFonts w:eastAsia="Calibri"/>
          <w:b/>
          <w:lang w:eastAsia="en-US"/>
        </w:rPr>
        <w:t xml:space="preserve">Con referencia a las anteriores observaciones finales del Comité (CAT/C/PRY/CO/4-6, párr. 10), sírvanse proporcionar información sobre el contenido y alcance de la Ley Nº 4614, de 22 de mayo de 2012, que modifica los artículos 236 y 309 de la Ley Nº 1160/97 “Código Penal”, sobre desaparición forzosa y tortura. Sírvanse informar también sobre el desarrollo y resultados de los trabajos de la comisión de expertos encargada de analizar la posibilidad de reformar el Código Penal Militar </w:t>
      </w:r>
      <w:r w:rsidRPr="00436F9E">
        <w:rPr>
          <w:rFonts w:eastAsia="Calibri"/>
          <w:b/>
          <w:lang w:eastAsia="en-US"/>
        </w:rPr>
        <w:lastRenderedPageBreak/>
        <w:t>para incluir la tipificación de los actos de tortura. ¿Se ha previsto un calendario para la reforma de esta ley?</w:t>
      </w:r>
    </w:p>
    <w:p w:rsidR="001041F2" w:rsidRDefault="001041F2" w:rsidP="001041F2">
      <w:pPr>
        <w:pStyle w:val="SingleTxtG"/>
        <w:spacing w:after="0"/>
        <w:ind w:left="0" w:right="0"/>
        <w:rPr>
          <w:rFonts w:eastAsia="Calibri"/>
          <w:lang w:eastAsia="en-US"/>
        </w:rPr>
      </w:pPr>
    </w:p>
    <w:p w:rsidR="00283F10" w:rsidRDefault="00283F10" w:rsidP="001041F2">
      <w:pPr>
        <w:pStyle w:val="SingleTxtG"/>
        <w:spacing w:after="0"/>
        <w:ind w:left="0" w:right="0"/>
        <w:rPr>
          <w:rFonts w:eastAsia="Calibri"/>
          <w:lang w:eastAsia="en-US"/>
        </w:rPr>
      </w:pPr>
      <w:r>
        <w:rPr>
          <w:rFonts w:eastAsia="Calibri"/>
          <w:lang w:eastAsia="en-US"/>
        </w:rPr>
        <w:t>El Estado parte modificó su legislación penal en cumplimiento de las recomendaciones anteriores del Comité y de una sentencia dictada por la Corte Interamericana de Derechos Humanos. Mediante la Ley Nº 4.614/2012 el Estado parte estableció una nueva tipificación legal del crimen de tortura, modificando la anterior redacción vigente de 1997, de acuerdo al cuadro sinóptico siguiente:</w:t>
      </w:r>
    </w:p>
    <w:p w:rsidR="00283F10" w:rsidRDefault="00283F10" w:rsidP="001041F2">
      <w:pPr>
        <w:pStyle w:val="SingleTxtG"/>
        <w:spacing w:after="0"/>
        <w:ind w:left="0" w:right="0"/>
        <w:rPr>
          <w:rFonts w:eastAsia="Calibri"/>
          <w:lang w:eastAsia="en-US"/>
        </w:rPr>
      </w:pPr>
    </w:p>
    <w:tbl>
      <w:tblPr>
        <w:tblStyle w:val="TableGrid"/>
        <w:tblW w:w="9464" w:type="dxa"/>
        <w:tblLook w:val="04A0" w:firstRow="1" w:lastRow="0" w:firstColumn="1" w:lastColumn="0" w:noHBand="0" w:noVBand="1"/>
      </w:tblPr>
      <w:tblGrid>
        <w:gridCol w:w="4786"/>
        <w:gridCol w:w="4678"/>
      </w:tblGrid>
      <w:tr w:rsidR="00283F10" w:rsidRPr="009E394A" w:rsidTr="00283F10">
        <w:tc>
          <w:tcPr>
            <w:tcW w:w="4786" w:type="dxa"/>
          </w:tcPr>
          <w:p w:rsidR="00283F10" w:rsidRPr="009E394A" w:rsidRDefault="00283F10" w:rsidP="006E6060">
            <w:pPr>
              <w:rPr>
                <w:b/>
                <w:sz w:val="20"/>
                <w:szCs w:val="20"/>
              </w:rPr>
            </w:pPr>
            <w:r>
              <w:rPr>
                <w:b/>
                <w:sz w:val="20"/>
                <w:szCs w:val="20"/>
              </w:rPr>
              <w:t>Artículo 309.- Tortura (Código Penal de 1997)</w:t>
            </w:r>
          </w:p>
        </w:tc>
        <w:tc>
          <w:tcPr>
            <w:tcW w:w="4678" w:type="dxa"/>
          </w:tcPr>
          <w:p w:rsidR="00283F10" w:rsidRPr="009E394A" w:rsidRDefault="00283F10" w:rsidP="006E6060">
            <w:pPr>
              <w:rPr>
                <w:b/>
                <w:sz w:val="20"/>
                <w:szCs w:val="20"/>
                <w:lang w:eastAsia="es-MX"/>
              </w:rPr>
            </w:pPr>
            <w:r w:rsidRPr="009E394A">
              <w:rPr>
                <w:b/>
                <w:sz w:val="20"/>
                <w:szCs w:val="20"/>
                <w:lang w:eastAsia="es-MX"/>
              </w:rPr>
              <w:t>Artículo 309.- Tortura (Ley N° 4.614/2012)</w:t>
            </w:r>
          </w:p>
        </w:tc>
      </w:tr>
      <w:tr w:rsidR="00283F10" w:rsidRPr="009E394A" w:rsidTr="00283F10">
        <w:tc>
          <w:tcPr>
            <w:tcW w:w="4786" w:type="dxa"/>
          </w:tcPr>
          <w:p w:rsidR="00283F10" w:rsidRDefault="00283F10" w:rsidP="006E6060">
            <w:pPr>
              <w:rPr>
                <w:sz w:val="20"/>
                <w:szCs w:val="20"/>
              </w:rPr>
            </w:pPr>
            <w:r w:rsidRPr="00CD413C">
              <w:rPr>
                <w:sz w:val="20"/>
                <w:szCs w:val="20"/>
              </w:rPr>
              <w:t>1º El que con la intención de destruir o dañar gravemente la personalidad de la víctima o de un tercero, y obrando como funcionario o en acuerdo con un funcionario:</w:t>
            </w:r>
          </w:p>
          <w:p w:rsidR="00283F10" w:rsidRPr="00CD413C" w:rsidRDefault="00283F10" w:rsidP="006E6060">
            <w:pPr>
              <w:rPr>
                <w:sz w:val="20"/>
                <w:szCs w:val="20"/>
              </w:rPr>
            </w:pPr>
          </w:p>
          <w:p w:rsidR="00283F10" w:rsidRPr="00CD413C" w:rsidRDefault="00283F10" w:rsidP="006E6060">
            <w:pPr>
              <w:rPr>
                <w:sz w:val="20"/>
                <w:szCs w:val="20"/>
              </w:rPr>
            </w:pPr>
            <w:r w:rsidRPr="00CD413C">
              <w:rPr>
                <w:sz w:val="20"/>
                <w:szCs w:val="20"/>
              </w:rPr>
              <w:t>1. realizara un hecho punible contra</w:t>
            </w:r>
          </w:p>
          <w:p w:rsidR="00283F10" w:rsidRPr="00CD413C" w:rsidRDefault="00283F10" w:rsidP="006E6060">
            <w:pPr>
              <w:rPr>
                <w:sz w:val="20"/>
                <w:szCs w:val="20"/>
              </w:rPr>
            </w:pPr>
            <w:r w:rsidRPr="00CD413C">
              <w:rPr>
                <w:sz w:val="20"/>
                <w:szCs w:val="20"/>
              </w:rPr>
              <w:t>a) la integridad física conforme a los artículos 110 al 112;</w:t>
            </w:r>
          </w:p>
          <w:p w:rsidR="00283F10" w:rsidRPr="00CD413C" w:rsidRDefault="00283F10" w:rsidP="006E6060">
            <w:pPr>
              <w:rPr>
                <w:sz w:val="20"/>
                <w:szCs w:val="20"/>
              </w:rPr>
            </w:pPr>
            <w:r w:rsidRPr="00CD413C">
              <w:rPr>
                <w:sz w:val="20"/>
                <w:szCs w:val="20"/>
              </w:rPr>
              <w:t>b) la libertad de acuerdo a los artículos 120 al 122 y el 124;</w:t>
            </w:r>
          </w:p>
          <w:p w:rsidR="00283F10" w:rsidRPr="00CD413C" w:rsidRDefault="00283F10" w:rsidP="006E6060">
            <w:pPr>
              <w:rPr>
                <w:sz w:val="20"/>
                <w:szCs w:val="20"/>
              </w:rPr>
            </w:pPr>
            <w:r w:rsidRPr="00CD413C">
              <w:rPr>
                <w:sz w:val="20"/>
                <w:szCs w:val="20"/>
              </w:rPr>
              <w:t>c) la autonomía sexual según los artículos 128, 130 y 131;</w:t>
            </w:r>
          </w:p>
          <w:p w:rsidR="00283F10" w:rsidRPr="00CD413C" w:rsidRDefault="00283F10" w:rsidP="006E6060">
            <w:pPr>
              <w:rPr>
                <w:sz w:val="20"/>
                <w:szCs w:val="20"/>
              </w:rPr>
            </w:pPr>
            <w:r w:rsidRPr="00CD413C">
              <w:rPr>
                <w:sz w:val="20"/>
                <w:szCs w:val="20"/>
              </w:rPr>
              <w:t>d) menores conforme a los artículos 135 y 136;</w:t>
            </w:r>
          </w:p>
          <w:p w:rsidR="00283F10" w:rsidRPr="00CD413C" w:rsidRDefault="00283F10" w:rsidP="006E6060">
            <w:pPr>
              <w:rPr>
                <w:sz w:val="20"/>
                <w:szCs w:val="20"/>
              </w:rPr>
            </w:pPr>
            <w:r w:rsidRPr="00CD413C">
              <w:rPr>
                <w:sz w:val="20"/>
                <w:szCs w:val="20"/>
              </w:rPr>
              <w:t>e) la legalidad del ejercicio de funciones públicas de acuerdo a los artículos 307, 308, 310 y 311; o</w:t>
            </w:r>
          </w:p>
          <w:p w:rsidR="00283F10" w:rsidRDefault="00283F10" w:rsidP="006E6060">
            <w:pPr>
              <w:rPr>
                <w:sz w:val="20"/>
                <w:szCs w:val="20"/>
              </w:rPr>
            </w:pPr>
          </w:p>
          <w:p w:rsidR="00283F10" w:rsidRPr="00CD413C" w:rsidRDefault="00283F10" w:rsidP="006E6060">
            <w:pPr>
              <w:rPr>
                <w:sz w:val="20"/>
                <w:szCs w:val="20"/>
              </w:rPr>
            </w:pPr>
            <w:r w:rsidRPr="00CD413C">
              <w:rPr>
                <w:sz w:val="20"/>
                <w:szCs w:val="20"/>
              </w:rPr>
              <w:t>2. sometiera a la víctima a graves sufrimientos síquicos,</w:t>
            </w:r>
          </w:p>
          <w:p w:rsidR="00283F10" w:rsidRPr="00CD413C" w:rsidRDefault="00283F10" w:rsidP="006E6060">
            <w:pPr>
              <w:rPr>
                <w:sz w:val="20"/>
                <w:szCs w:val="20"/>
              </w:rPr>
            </w:pPr>
            <w:proofErr w:type="gramStart"/>
            <w:r w:rsidRPr="00CD413C">
              <w:rPr>
                <w:sz w:val="20"/>
                <w:szCs w:val="20"/>
              </w:rPr>
              <w:t>será</w:t>
            </w:r>
            <w:proofErr w:type="gramEnd"/>
            <w:r w:rsidRPr="00CD413C">
              <w:rPr>
                <w:sz w:val="20"/>
                <w:szCs w:val="20"/>
              </w:rPr>
              <w:t xml:space="preserve"> castigado con pena privativa de libertad no menor de cinco años.</w:t>
            </w:r>
          </w:p>
          <w:p w:rsidR="00283F10" w:rsidRDefault="00283F10" w:rsidP="006E6060">
            <w:pPr>
              <w:rPr>
                <w:sz w:val="20"/>
                <w:szCs w:val="20"/>
              </w:rPr>
            </w:pPr>
          </w:p>
          <w:p w:rsidR="00283F10" w:rsidRPr="00CD413C" w:rsidRDefault="00283F10" w:rsidP="006E6060">
            <w:pPr>
              <w:rPr>
                <w:sz w:val="20"/>
                <w:szCs w:val="20"/>
              </w:rPr>
            </w:pPr>
            <w:r w:rsidRPr="00CD413C">
              <w:rPr>
                <w:sz w:val="20"/>
                <w:szCs w:val="20"/>
              </w:rPr>
              <w:t>2º El inciso 1º se aplicará aun cuando la calidad de funcionario:</w:t>
            </w:r>
          </w:p>
          <w:p w:rsidR="00283F10" w:rsidRPr="00CD413C" w:rsidRDefault="00283F10" w:rsidP="006E6060">
            <w:pPr>
              <w:rPr>
                <w:sz w:val="20"/>
                <w:szCs w:val="20"/>
              </w:rPr>
            </w:pPr>
            <w:r w:rsidRPr="00CD413C">
              <w:rPr>
                <w:sz w:val="20"/>
                <w:szCs w:val="20"/>
              </w:rPr>
              <w:t>1. careciera de un fundamento jurídico válido; o</w:t>
            </w:r>
          </w:p>
          <w:p w:rsidR="00283F10" w:rsidRPr="00CD413C" w:rsidRDefault="00283F10" w:rsidP="006E6060">
            <w:pPr>
              <w:rPr>
                <w:sz w:val="20"/>
                <w:szCs w:val="20"/>
              </w:rPr>
            </w:pPr>
            <w:r w:rsidRPr="00CD413C">
              <w:rPr>
                <w:sz w:val="20"/>
                <w:szCs w:val="20"/>
              </w:rPr>
              <w:t>2. haya sido arrogada indebidamente por el autor.</w:t>
            </w:r>
          </w:p>
          <w:p w:rsidR="00283F10" w:rsidRPr="00CD413C" w:rsidRDefault="00283F10" w:rsidP="006E6060">
            <w:pPr>
              <w:rPr>
                <w:sz w:val="20"/>
                <w:szCs w:val="20"/>
              </w:rPr>
            </w:pPr>
          </w:p>
        </w:tc>
        <w:tc>
          <w:tcPr>
            <w:tcW w:w="4678" w:type="dxa"/>
          </w:tcPr>
          <w:p w:rsidR="00283F10" w:rsidRPr="009E394A" w:rsidRDefault="00283F10" w:rsidP="006E6060">
            <w:pPr>
              <w:rPr>
                <w:sz w:val="20"/>
                <w:szCs w:val="20"/>
                <w:lang w:eastAsia="es-MX"/>
              </w:rPr>
            </w:pPr>
            <w:r w:rsidRPr="009E394A">
              <w:rPr>
                <w:sz w:val="20"/>
                <w:szCs w:val="20"/>
                <w:lang w:eastAsia="es-MX"/>
              </w:rPr>
              <w:t>1º El que intencionalmente infligiera a una persona penas o sufrimientos físicos o mentales o la sometiera a un hecho punible contra la autonomía sexual, con el fin de obtener de ella o de un tercero información o una confesión con fines de investigación criminal, de castigarla por un acto que haya cometido o se sospeche que ha cometido o de intimidar o coaccionar a esa persona o a otras, como medida preventiva, como pena o con cualquier otro fin; será castigado con pena privativa de libertad no menor de cinco años.</w:t>
            </w:r>
          </w:p>
          <w:p w:rsidR="00283F10" w:rsidRDefault="00283F10" w:rsidP="006E6060">
            <w:pPr>
              <w:rPr>
                <w:sz w:val="20"/>
                <w:szCs w:val="20"/>
                <w:lang w:eastAsia="es-MX"/>
              </w:rPr>
            </w:pPr>
          </w:p>
          <w:p w:rsidR="00283F10" w:rsidRPr="009E394A" w:rsidRDefault="00283F10" w:rsidP="006E6060">
            <w:pPr>
              <w:rPr>
                <w:sz w:val="20"/>
                <w:szCs w:val="20"/>
                <w:lang w:eastAsia="es-MX"/>
              </w:rPr>
            </w:pPr>
            <w:r w:rsidRPr="009E394A">
              <w:rPr>
                <w:sz w:val="20"/>
                <w:szCs w:val="20"/>
                <w:lang w:eastAsia="es-MX"/>
              </w:rPr>
              <w:t>2º El que intencionalmente aplicara sobre una persona métodos tendientes a anular su personalidad o a disminuir su capacidad física o mental, será castigado con pena privativa de libertad no menor de cinco años.</w:t>
            </w:r>
          </w:p>
          <w:p w:rsidR="00283F10" w:rsidRDefault="00283F10" w:rsidP="006E6060">
            <w:pPr>
              <w:rPr>
                <w:sz w:val="20"/>
                <w:szCs w:val="20"/>
                <w:lang w:eastAsia="es-MX"/>
              </w:rPr>
            </w:pPr>
          </w:p>
          <w:p w:rsidR="00283F10" w:rsidRPr="009E394A" w:rsidRDefault="00283F10" w:rsidP="006E6060">
            <w:pPr>
              <w:rPr>
                <w:sz w:val="20"/>
                <w:szCs w:val="20"/>
                <w:lang w:eastAsia="es-MX"/>
              </w:rPr>
            </w:pPr>
            <w:r w:rsidRPr="009E394A">
              <w:rPr>
                <w:sz w:val="20"/>
                <w:szCs w:val="20"/>
                <w:lang w:eastAsia="es-MX"/>
              </w:rPr>
              <w:t>3º Lo previsto en los numerales 1º y 2º del presente artículo será aplicable en los siguientes casos:</w:t>
            </w:r>
          </w:p>
          <w:p w:rsidR="00283F10" w:rsidRPr="009E394A" w:rsidRDefault="00283F10" w:rsidP="006E6060">
            <w:pPr>
              <w:rPr>
                <w:sz w:val="20"/>
                <w:szCs w:val="20"/>
                <w:lang w:eastAsia="es-MX"/>
              </w:rPr>
            </w:pPr>
          </w:p>
          <w:p w:rsidR="00283F10" w:rsidRPr="00283F10" w:rsidRDefault="00283F10" w:rsidP="00283F10">
            <w:pPr>
              <w:pStyle w:val="ListParagraph"/>
              <w:numPr>
                <w:ilvl w:val="0"/>
                <w:numId w:val="3"/>
              </w:numPr>
              <w:rPr>
                <w:rFonts w:eastAsia="Times New Roman" w:cs="Times New Roman"/>
                <w:sz w:val="20"/>
                <w:szCs w:val="20"/>
                <w:lang w:eastAsia="es-MX"/>
              </w:rPr>
            </w:pPr>
            <w:r w:rsidRPr="00283F10">
              <w:rPr>
                <w:rFonts w:eastAsia="Times New Roman" w:cs="Times New Roman"/>
                <w:sz w:val="20"/>
                <w:szCs w:val="20"/>
                <w:lang w:eastAsia="es-MX"/>
              </w:rPr>
              <w:t>cuando el autor actuare como funcionario o agente del Estado o como persona o grupo de personas que actúen con la autorización, el apoyo o la aquiescencia del Estado,</w:t>
            </w:r>
          </w:p>
          <w:p w:rsidR="00283F10" w:rsidRPr="00283F10" w:rsidRDefault="00283F10" w:rsidP="00283F10">
            <w:pPr>
              <w:pStyle w:val="ListParagraph"/>
              <w:numPr>
                <w:ilvl w:val="0"/>
                <w:numId w:val="3"/>
              </w:numPr>
              <w:rPr>
                <w:rFonts w:eastAsia="Times New Roman" w:cs="Times New Roman"/>
                <w:sz w:val="20"/>
                <w:szCs w:val="20"/>
                <w:lang w:eastAsia="es-MX"/>
              </w:rPr>
            </w:pPr>
            <w:r w:rsidRPr="00283F10">
              <w:rPr>
                <w:rFonts w:eastAsia="Times New Roman" w:cs="Times New Roman"/>
                <w:sz w:val="20"/>
                <w:szCs w:val="20"/>
                <w:lang w:eastAsia="es-MX"/>
              </w:rPr>
              <w:t>cuando el autor se haya arrogado indebidamente la calidad de funcionario; o,</w:t>
            </w:r>
          </w:p>
          <w:p w:rsidR="00283F10" w:rsidRPr="00283F10" w:rsidRDefault="00283F10" w:rsidP="00283F10">
            <w:pPr>
              <w:pStyle w:val="ListParagraph"/>
              <w:numPr>
                <w:ilvl w:val="0"/>
                <w:numId w:val="3"/>
              </w:numPr>
              <w:rPr>
                <w:rFonts w:eastAsia="Times New Roman" w:cs="Times New Roman"/>
                <w:sz w:val="20"/>
                <w:szCs w:val="20"/>
                <w:lang w:eastAsia="es-MX"/>
              </w:rPr>
            </w:pPr>
            <w:r w:rsidRPr="00283F10">
              <w:rPr>
                <w:rFonts w:eastAsia="Times New Roman" w:cs="Times New Roman"/>
                <w:sz w:val="20"/>
                <w:szCs w:val="20"/>
                <w:lang w:eastAsia="es-MX"/>
              </w:rPr>
              <w:t>cuando el autor no fuere funcionario.</w:t>
            </w:r>
          </w:p>
          <w:p w:rsidR="00283F10" w:rsidRPr="009E394A" w:rsidRDefault="00283F10" w:rsidP="006E6060">
            <w:pPr>
              <w:rPr>
                <w:sz w:val="20"/>
                <w:szCs w:val="20"/>
              </w:rPr>
            </w:pPr>
          </w:p>
        </w:tc>
      </w:tr>
    </w:tbl>
    <w:p w:rsidR="00784609" w:rsidRDefault="00784609" w:rsidP="00784609">
      <w:pPr>
        <w:autoSpaceDE w:val="0"/>
        <w:autoSpaceDN w:val="0"/>
        <w:adjustRightInd w:val="0"/>
        <w:spacing w:after="0" w:line="240" w:lineRule="auto"/>
        <w:jc w:val="both"/>
        <w:rPr>
          <w:rFonts w:eastAsia="Calibri"/>
          <w:lang w:val="es-ES"/>
        </w:rPr>
      </w:pPr>
    </w:p>
    <w:p w:rsidR="00DA25CF" w:rsidRDefault="00DA25CF" w:rsidP="00784609">
      <w:pPr>
        <w:autoSpaceDE w:val="0"/>
        <w:autoSpaceDN w:val="0"/>
        <w:adjustRightInd w:val="0"/>
        <w:spacing w:after="0" w:line="240" w:lineRule="auto"/>
        <w:jc w:val="both"/>
        <w:rPr>
          <w:rFonts w:cs="Arial"/>
        </w:rPr>
      </w:pPr>
      <w:r>
        <w:rPr>
          <w:rFonts w:eastAsia="Calibri"/>
          <w:lang w:val="es-ES"/>
        </w:rPr>
        <w:t xml:space="preserve">Una </w:t>
      </w:r>
      <w:r w:rsidR="00784609" w:rsidRPr="00784609">
        <w:rPr>
          <w:rFonts w:cs="Arial"/>
        </w:rPr>
        <w:t>Comisión Nacional para el Estudio de la Reforma del Sistema Penal y Penitenciario</w:t>
      </w:r>
      <w:r>
        <w:rPr>
          <w:rFonts w:cs="Arial"/>
        </w:rPr>
        <w:t xml:space="preserve"> (integrada por representantes de los Poderes Ejecutivo, Legislativo y Judicial, el Ministerio Público y el Ministerio de la Defensa Pública) recibió el mandato legal (</w:t>
      </w:r>
      <w:r w:rsidRPr="00784609">
        <w:rPr>
          <w:rFonts w:cs="Arial"/>
        </w:rPr>
        <w:t>Ley N° 5140/2013</w:t>
      </w:r>
      <w:r>
        <w:rPr>
          <w:rFonts w:cs="Arial"/>
        </w:rPr>
        <w:t>)</w:t>
      </w:r>
      <w:r w:rsidRPr="00784609">
        <w:rPr>
          <w:rFonts w:cs="Arial"/>
        </w:rPr>
        <w:t xml:space="preserve"> de elaborar una propuesta de modificación de la Ley N° 1160 “Código Penal”, con su modificatoria Ley N° 3440/08, y de la Ley N° 1286 “Código Procesal Penal”, con todas sus respectivas leyes modificatorias, debiendo elevar sus conclusiones a consideración del Poder Legislativo en el plazo de un año contados a partir de su instalación</w:t>
      </w:r>
      <w:r>
        <w:rPr>
          <w:rFonts w:cs="Arial"/>
        </w:rPr>
        <w:t>.</w:t>
      </w:r>
    </w:p>
    <w:p w:rsidR="00DA25CF" w:rsidRDefault="00DA25CF" w:rsidP="00DA25CF">
      <w:pPr>
        <w:pStyle w:val="ListParagraph"/>
        <w:autoSpaceDE w:val="0"/>
        <w:autoSpaceDN w:val="0"/>
        <w:adjustRightInd w:val="0"/>
        <w:spacing w:after="0" w:line="240" w:lineRule="auto"/>
        <w:ind w:left="0"/>
        <w:jc w:val="both"/>
        <w:rPr>
          <w:rFonts w:cs="Arial"/>
        </w:rPr>
      </w:pPr>
    </w:p>
    <w:p w:rsidR="00784609" w:rsidRPr="00710F14" w:rsidRDefault="00DA25CF" w:rsidP="00DA25CF">
      <w:pPr>
        <w:pStyle w:val="ListParagraph"/>
        <w:autoSpaceDE w:val="0"/>
        <w:autoSpaceDN w:val="0"/>
        <w:adjustRightInd w:val="0"/>
        <w:spacing w:after="0" w:line="240" w:lineRule="auto"/>
        <w:ind w:left="0"/>
        <w:jc w:val="both"/>
        <w:rPr>
          <w:rFonts w:cs="Arial"/>
        </w:rPr>
      </w:pPr>
      <w:r>
        <w:rPr>
          <w:rFonts w:cs="Arial"/>
        </w:rPr>
        <w:t>L</w:t>
      </w:r>
      <w:r w:rsidR="00784609" w:rsidRPr="00710F14">
        <w:rPr>
          <w:rFonts w:cs="Arial"/>
        </w:rPr>
        <w:t>a citada Comisión presentó a fines de 2015 la memoria de sus actividades y los respectivos anteproyectos de modificación del Código Penal y Código Procesal Penal.</w:t>
      </w:r>
      <w:r>
        <w:rPr>
          <w:rFonts w:cs="Arial"/>
        </w:rPr>
        <w:t xml:space="preserve"> Sin embargo, ninguno de ellos fue</w:t>
      </w:r>
      <w:r w:rsidR="00784609" w:rsidRPr="00710F14">
        <w:rPr>
          <w:rFonts w:cs="Arial"/>
        </w:rPr>
        <w:t xml:space="preserve"> presentado formalmente como proyecto de ley.</w:t>
      </w:r>
    </w:p>
    <w:p w:rsidR="00283F10" w:rsidRDefault="00283F10" w:rsidP="001041F2">
      <w:pPr>
        <w:pStyle w:val="SingleTxtG"/>
        <w:spacing w:after="0"/>
        <w:ind w:left="0" w:right="0"/>
        <w:rPr>
          <w:rFonts w:eastAsia="Calibri"/>
          <w:lang w:eastAsia="en-US"/>
        </w:rPr>
      </w:pPr>
    </w:p>
    <w:p w:rsidR="00507BCF" w:rsidRDefault="00E542F3" w:rsidP="001041F2">
      <w:pPr>
        <w:pStyle w:val="SingleTxtG"/>
        <w:spacing w:after="0"/>
        <w:ind w:left="0" w:right="0"/>
        <w:rPr>
          <w:rFonts w:eastAsia="Calibri"/>
          <w:lang w:eastAsia="en-US"/>
        </w:rPr>
      </w:pPr>
      <w:r>
        <w:rPr>
          <w:rFonts w:eastAsia="Calibri"/>
          <w:lang w:eastAsia="en-US"/>
        </w:rPr>
        <w:t>En</w:t>
      </w:r>
      <w:r w:rsidR="00507BCF">
        <w:rPr>
          <w:rFonts w:eastAsia="Calibri"/>
          <w:lang w:eastAsia="en-US"/>
        </w:rPr>
        <w:t xml:space="preserve"> la discusión de la reforma</w:t>
      </w:r>
      <w:r w:rsidR="001E7430">
        <w:rPr>
          <w:rFonts w:eastAsia="Calibri"/>
          <w:lang w:eastAsia="en-US"/>
        </w:rPr>
        <w:t>,</w:t>
      </w:r>
      <w:r w:rsidR="00507BCF">
        <w:rPr>
          <w:rFonts w:eastAsia="Calibri"/>
          <w:lang w:eastAsia="en-US"/>
        </w:rPr>
        <w:t xml:space="preserve"> </w:t>
      </w:r>
      <w:r>
        <w:rPr>
          <w:rFonts w:eastAsia="Calibri"/>
          <w:lang w:eastAsia="en-US"/>
        </w:rPr>
        <w:t xml:space="preserve">el Poder Ejecutivo </w:t>
      </w:r>
      <w:r w:rsidR="00507BCF">
        <w:rPr>
          <w:rFonts w:eastAsia="Calibri"/>
          <w:lang w:eastAsia="en-US"/>
        </w:rPr>
        <w:t xml:space="preserve">planteó la modificación del Artículo 309, volviendo a la redacción original del Código de 1997. </w:t>
      </w:r>
    </w:p>
    <w:p w:rsidR="00E542F3" w:rsidRDefault="00E542F3" w:rsidP="001041F2">
      <w:pPr>
        <w:pStyle w:val="SingleTxtG"/>
        <w:spacing w:after="0"/>
        <w:ind w:left="0" w:right="0"/>
        <w:rPr>
          <w:rFonts w:eastAsia="Calibri"/>
          <w:lang w:eastAsia="en-US"/>
        </w:rPr>
      </w:pPr>
    </w:p>
    <w:p w:rsidR="00A5161A" w:rsidRDefault="00A5161A" w:rsidP="00A5161A">
      <w:pPr>
        <w:spacing w:after="0" w:line="240" w:lineRule="auto"/>
        <w:jc w:val="both"/>
        <w:rPr>
          <w:rFonts w:cs="Arial"/>
        </w:rPr>
      </w:pPr>
      <w:r w:rsidRPr="00710F14">
        <w:rPr>
          <w:rFonts w:cs="Arial"/>
        </w:rPr>
        <w:t>E</w:t>
      </w:r>
      <w:r>
        <w:rPr>
          <w:rFonts w:cs="Arial"/>
        </w:rPr>
        <w:t>l MNP fundamentó</w:t>
      </w:r>
      <w:r w:rsidRPr="00710F14">
        <w:rPr>
          <w:rFonts w:cs="Arial"/>
        </w:rPr>
        <w:t xml:space="preserve"> en contra de volver a la redacción anterior</w:t>
      </w:r>
      <w:r>
        <w:rPr>
          <w:rFonts w:cs="Arial"/>
        </w:rPr>
        <w:t xml:space="preserve">. Se señaló que esta decisión acarreaba incumplir una sentencia de la Corte Interamericana y </w:t>
      </w:r>
      <w:r w:rsidR="009D157E">
        <w:rPr>
          <w:rFonts w:cs="Arial"/>
        </w:rPr>
        <w:t>recomendaciones</w:t>
      </w:r>
      <w:r>
        <w:rPr>
          <w:rFonts w:cs="Arial"/>
        </w:rPr>
        <w:t xml:space="preserve"> anteriores del Comité contra la Tortura. Que esta redacción omitía elementos esenciales de la</w:t>
      </w:r>
      <w:r w:rsidRPr="00A5161A">
        <w:rPr>
          <w:rFonts w:cs="Arial"/>
        </w:rPr>
        <w:t xml:space="preserve"> </w:t>
      </w:r>
      <w:r w:rsidRPr="00710F14">
        <w:rPr>
          <w:rFonts w:cs="Arial"/>
        </w:rPr>
        <w:t>del tipo penal que se describe en la Convención</w:t>
      </w:r>
      <w:r>
        <w:rPr>
          <w:rFonts w:cs="Arial"/>
        </w:rPr>
        <w:t xml:space="preserve">. </w:t>
      </w:r>
      <w:r w:rsidRPr="00710F14">
        <w:rPr>
          <w:rFonts w:cs="Arial"/>
        </w:rPr>
        <w:t>Por otro lado, introducía el estándar de un elemento subjetivo adicional al dolo,</w:t>
      </w:r>
      <w:r>
        <w:rPr>
          <w:rFonts w:cs="Arial"/>
        </w:rPr>
        <w:t xml:space="preserve"> que se constituía en un obstáculo por las dificultades probatorias que conllevaba. L</w:t>
      </w:r>
      <w:r w:rsidRPr="00710F14">
        <w:rPr>
          <w:rFonts w:cs="Arial"/>
        </w:rPr>
        <w:t>a definición del tipo penal de esa redacción, fue usada para dejar impune la tortura en Paraguay</w:t>
      </w:r>
      <w:r>
        <w:rPr>
          <w:rFonts w:cs="Arial"/>
        </w:rPr>
        <w:t>.</w:t>
      </w:r>
    </w:p>
    <w:p w:rsidR="00E542F3" w:rsidRDefault="00E542F3" w:rsidP="001041F2">
      <w:pPr>
        <w:pStyle w:val="SingleTxtG"/>
        <w:spacing w:after="0"/>
        <w:ind w:left="0" w:right="0"/>
        <w:rPr>
          <w:rFonts w:eastAsia="Calibri"/>
          <w:lang w:eastAsia="en-US"/>
        </w:rPr>
      </w:pPr>
    </w:p>
    <w:p w:rsidR="00E542F3" w:rsidRDefault="00A5161A" w:rsidP="00E542F3">
      <w:pPr>
        <w:pStyle w:val="PlainText"/>
        <w:rPr>
          <w:rFonts w:asciiTheme="minorHAnsi" w:hAnsiTheme="minorHAnsi" w:cs="Arial"/>
          <w:sz w:val="22"/>
          <w:szCs w:val="22"/>
        </w:rPr>
      </w:pPr>
      <w:r>
        <w:rPr>
          <w:rFonts w:asciiTheme="minorHAnsi" w:hAnsiTheme="minorHAnsi" w:cs="Arial"/>
          <w:sz w:val="22"/>
          <w:szCs w:val="22"/>
        </w:rPr>
        <w:t xml:space="preserve">El MNP planteó una propuesta alternativa que corregía algunos aspectos deficitarios del actual tipo penal vigente, por ejemplo, la extensión de la condición de autor a cualquier particular, aunque no contara con la aquiescencia de funcionario público. </w:t>
      </w:r>
      <w:r w:rsidR="00E542F3" w:rsidRPr="00710F14">
        <w:rPr>
          <w:rFonts w:asciiTheme="minorHAnsi" w:hAnsiTheme="minorHAnsi" w:cs="Arial"/>
          <w:sz w:val="22"/>
          <w:szCs w:val="22"/>
        </w:rPr>
        <w:t xml:space="preserve">Con respecto </w:t>
      </w:r>
      <w:r w:rsidR="00E542F3">
        <w:rPr>
          <w:rFonts w:asciiTheme="minorHAnsi" w:hAnsiTheme="minorHAnsi" w:cs="Arial"/>
          <w:sz w:val="22"/>
          <w:szCs w:val="22"/>
        </w:rPr>
        <w:t xml:space="preserve">al </w:t>
      </w:r>
      <w:r w:rsidR="00E542F3" w:rsidRPr="00710F14">
        <w:rPr>
          <w:rFonts w:asciiTheme="minorHAnsi" w:hAnsiTheme="minorHAnsi" w:cs="Arial"/>
          <w:sz w:val="22"/>
          <w:szCs w:val="22"/>
        </w:rPr>
        <w:t>Artículo 308</w:t>
      </w:r>
      <w:r w:rsidR="00E542F3">
        <w:rPr>
          <w:rFonts w:asciiTheme="minorHAnsi" w:hAnsiTheme="minorHAnsi" w:cs="Arial"/>
          <w:sz w:val="22"/>
          <w:szCs w:val="22"/>
        </w:rPr>
        <w:t xml:space="preserve"> del Código Penal</w:t>
      </w:r>
      <w:r w:rsidR="00E542F3" w:rsidRPr="00710F14">
        <w:rPr>
          <w:rFonts w:asciiTheme="minorHAnsi" w:hAnsiTheme="minorHAnsi" w:cs="Arial"/>
          <w:sz w:val="22"/>
          <w:szCs w:val="22"/>
        </w:rPr>
        <w:t>,</w:t>
      </w:r>
      <w:r w:rsidR="00E542F3">
        <w:rPr>
          <w:rFonts w:asciiTheme="minorHAnsi" w:hAnsiTheme="minorHAnsi" w:cs="Arial"/>
          <w:sz w:val="22"/>
          <w:szCs w:val="22"/>
        </w:rPr>
        <w:t xml:space="preserve"> delito de</w:t>
      </w:r>
      <w:r w:rsidR="00E542F3" w:rsidRPr="00710F14">
        <w:rPr>
          <w:rFonts w:asciiTheme="minorHAnsi" w:hAnsiTheme="minorHAnsi" w:cs="Arial"/>
          <w:sz w:val="22"/>
          <w:szCs w:val="22"/>
        </w:rPr>
        <w:t xml:space="preserve"> “Coacción respecto a declaraciones”,</w:t>
      </w:r>
      <w:r w:rsidR="00E542F3">
        <w:rPr>
          <w:rFonts w:asciiTheme="minorHAnsi" w:hAnsiTheme="minorHAnsi" w:cs="Arial"/>
          <w:sz w:val="22"/>
          <w:szCs w:val="22"/>
        </w:rPr>
        <w:t xml:space="preserve"> el MNP recomendó su derogación expresa, ya que su definición típica se solapa con los elementos del crimen de tortura, pero con diferente penalidad y sin la aplicabilidad de los principios de imprescriptibilidad ni jurisdicción universal. El MNP recomendó que se evite </w:t>
      </w:r>
      <w:r w:rsidR="00E542F3" w:rsidRPr="00710F14">
        <w:rPr>
          <w:rFonts w:asciiTheme="minorHAnsi" w:hAnsiTheme="minorHAnsi" w:cs="Arial"/>
          <w:sz w:val="22"/>
          <w:szCs w:val="22"/>
        </w:rPr>
        <w:t>la impunidad por vía de la lenidad de las penas, so pretexto de aplicar la ley más favorable al acusado, en un contexto normativo que propicia, producto de una incorrecta técnica legislativa, el concurso ideal.</w:t>
      </w:r>
    </w:p>
    <w:p w:rsidR="00E542F3" w:rsidRDefault="00E542F3" w:rsidP="00E542F3">
      <w:pPr>
        <w:pStyle w:val="PlainText"/>
        <w:rPr>
          <w:rFonts w:asciiTheme="minorHAnsi" w:hAnsiTheme="minorHAnsi" w:cs="Arial"/>
          <w:sz w:val="22"/>
          <w:szCs w:val="22"/>
        </w:rPr>
      </w:pPr>
    </w:p>
    <w:p w:rsidR="001041F2" w:rsidRDefault="001446AB" w:rsidP="001041F2">
      <w:pPr>
        <w:pStyle w:val="SingleTxtG"/>
        <w:spacing w:after="0"/>
        <w:ind w:left="0" w:right="0"/>
        <w:rPr>
          <w:rFonts w:eastAsia="Calibri"/>
          <w:lang w:eastAsia="en-US"/>
        </w:rPr>
      </w:pPr>
      <w:r>
        <w:rPr>
          <w:rFonts w:eastAsia="Calibri"/>
          <w:lang w:eastAsia="en-US"/>
        </w:rPr>
        <w:t>Sobre</w:t>
      </w:r>
      <w:r w:rsidR="001041F2">
        <w:rPr>
          <w:rFonts w:eastAsia="Calibri"/>
          <w:lang w:eastAsia="en-US"/>
        </w:rPr>
        <w:t xml:space="preserve"> la reforma del Código Penal Militar, no existe un proceso de discusión respecto de su reforma ni hay un proyecto al respecto presentado para su estudio en el ámbito del Poder Legislativo.</w:t>
      </w:r>
    </w:p>
    <w:p w:rsidR="001041F2" w:rsidRPr="003A6216" w:rsidRDefault="001041F2" w:rsidP="001041F2">
      <w:pPr>
        <w:pStyle w:val="SingleTxtG"/>
        <w:spacing w:after="0"/>
        <w:ind w:left="0" w:right="0"/>
        <w:rPr>
          <w:rFonts w:eastAsia="Calibri"/>
          <w:lang w:eastAsia="en-US"/>
        </w:rPr>
      </w:pPr>
    </w:p>
    <w:p w:rsidR="001041F2" w:rsidRPr="001A1B4F" w:rsidRDefault="001041F2" w:rsidP="001041F2">
      <w:pPr>
        <w:pStyle w:val="H23G"/>
        <w:rPr>
          <w:rFonts w:eastAsia="Calibri"/>
          <w:lang w:eastAsia="en-US"/>
        </w:rPr>
      </w:pPr>
      <w:r>
        <w:rPr>
          <w:rFonts w:eastAsia="Calibri"/>
          <w:lang w:eastAsia="en-US"/>
        </w:rPr>
        <w:tab/>
      </w:r>
      <w:r>
        <w:rPr>
          <w:rFonts w:eastAsia="Calibri"/>
          <w:lang w:eastAsia="en-US"/>
        </w:rPr>
        <w:tab/>
      </w:r>
      <w:r w:rsidRPr="004242D5">
        <w:rPr>
          <w:rFonts w:eastAsia="Calibri"/>
          <w:lang w:eastAsia="en-US"/>
        </w:rPr>
        <w:t>Artículo 2</w:t>
      </w:r>
    </w:p>
    <w:p w:rsidR="001041F2" w:rsidRPr="00436F9E" w:rsidRDefault="001041F2" w:rsidP="001041F2">
      <w:pPr>
        <w:pStyle w:val="SingleTxtG"/>
        <w:rPr>
          <w:rFonts w:eastAsia="Calibri"/>
          <w:b/>
          <w:lang w:eastAsia="en-US"/>
        </w:rPr>
      </w:pPr>
      <w:r w:rsidRPr="00436F9E">
        <w:rPr>
          <w:rFonts w:eastAsia="Calibri"/>
          <w:b/>
          <w:lang w:eastAsia="en-US"/>
        </w:rPr>
        <w:t>2.</w:t>
      </w:r>
      <w:r w:rsidRPr="00436F9E">
        <w:rPr>
          <w:rFonts w:eastAsia="Calibri"/>
          <w:b/>
          <w:lang w:eastAsia="en-US"/>
        </w:rPr>
        <w:tab/>
        <w:t>Con arreglo a lo recomendado por el Comité en sus anteriores observaciones finales (párr. 11), sírvanse proporcionar información sobre las medidas adoptadas y los procedimientos existentes para velar, en la práctica, por que toda persona privada de libertad tenga garantizados los derechos a ser informada de los motivos de la detención, a tener acceso a un abogado de su elección y a comunicarse con un familiar o persona de confianza y a ser sometida prontamente a un examen médico independiente realizado con arreglo a los principios de confidencialidad y privacidad. Sírvanse facilitar también información actualizada sobre la puesta en marcha del proyecto de Sistematización de Registro de Detenciones de las Comisarías del Paraguay descrito en el informe de seguimiento presentado por el Estado parte. Se ruega indiquen las medidas adoptadas, conforme a la recomendación del Comité, a fin de revisar y reformar el recurso de hábeas corpus.</w:t>
      </w:r>
    </w:p>
    <w:p w:rsidR="001041F2" w:rsidRDefault="001041F2" w:rsidP="00C83BE8">
      <w:pPr>
        <w:spacing w:after="0" w:line="240" w:lineRule="auto"/>
        <w:jc w:val="both"/>
      </w:pPr>
    </w:p>
    <w:p w:rsidR="00CA2513" w:rsidRDefault="00F2260D" w:rsidP="00F2260D">
      <w:pPr>
        <w:spacing w:after="0" w:line="240" w:lineRule="auto"/>
        <w:jc w:val="both"/>
      </w:pPr>
      <w:r>
        <w:t xml:space="preserve">De acuerdo a lo relevado </w:t>
      </w:r>
      <w:r w:rsidR="00CA2513">
        <w:t>por las inspecciones y relevamiento de datos del MNP, la Policía Nacional sigue siendo el principal agente perpetrador de torturas y malos tratos y es el momento de la detención y la reclusión en los centros primarios de detención (las comisarías y las patrulleras policiales) el punto crítico de la ruta de la tortura y la violencia institucional.</w:t>
      </w:r>
    </w:p>
    <w:p w:rsidR="00CA2513" w:rsidRDefault="00CA2513" w:rsidP="00F2260D">
      <w:pPr>
        <w:spacing w:after="0" w:line="240" w:lineRule="auto"/>
        <w:jc w:val="both"/>
      </w:pPr>
    </w:p>
    <w:p w:rsidR="00F2260D" w:rsidRDefault="00CA2513" w:rsidP="00F2260D">
      <w:pPr>
        <w:spacing w:after="0" w:line="240" w:lineRule="auto"/>
        <w:jc w:val="both"/>
        <w:rPr>
          <w:sz w:val="23"/>
          <w:szCs w:val="23"/>
        </w:rPr>
      </w:pPr>
      <w:r>
        <w:lastRenderedPageBreak/>
        <w:t>Conforme a datos d</w:t>
      </w:r>
      <w:r w:rsidR="00F2260D">
        <w:t>el Censo de Mujeres Privadas de Libertad del MNP</w:t>
      </w:r>
      <w:r>
        <w:t xml:space="preserve"> (2016)</w:t>
      </w:r>
      <w:r w:rsidR="00F2260D">
        <w:t xml:space="preserve">, el </w:t>
      </w:r>
      <w:r w:rsidR="00F2260D">
        <w:rPr>
          <w:sz w:val="23"/>
          <w:szCs w:val="23"/>
        </w:rPr>
        <w:t>35,3%</w:t>
      </w:r>
      <w:r w:rsidR="00F2260D" w:rsidRPr="002435CE">
        <w:rPr>
          <w:sz w:val="23"/>
          <w:szCs w:val="23"/>
        </w:rPr>
        <w:t xml:space="preserve"> </w:t>
      </w:r>
      <w:r w:rsidR="00F2260D">
        <w:rPr>
          <w:sz w:val="23"/>
          <w:szCs w:val="23"/>
        </w:rPr>
        <w:t>manifestó haber sido víctima de tortura y/o malos tratos al momento de ser detenida. Del total de las mujeres que refirió ser víctima de apremios ilegales, en el 43,1% de los casos fue de tipo físico, y en el 56,9% de los casos fue de tipo psicológico. La principal institución denunciada es la Policía Nacional (69,6% de los casos), seguido por la Secretaría Nacional Antidrogas (28,3%) y la Fiscalía (2,2%). Entre las alegaciones de tortura, se referencian con alta frecuencia los apremios y el hostigamiento de carácter sexual perpetrados por agentes públicos hombres (los tocamientos indebidos, los desnudos y las amenazas de violación).</w:t>
      </w:r>
    </w:p>
    <w:p w:rsidR="00F2260D" w:rsidRDefault="00F2260D" w:rsidP="00F2260D">
      <w:pPr>
        <w:spacing w:after="0" w:line="240" w:lineRule="auto"/>
        <w:jc w:val="both"/>
        <w:rPr>
          <w:sz w:val="23"/>
          <w:szCs w:val="23"/>
        </w:rPr>
      </w:pPr>
    </w:p>
    <w:p w:rsidR="00CA2513" w:rsidRDefault="00CA2513" w:rsidP="00F2260D">
      <w:pPr>
        <w:spacing w:after="0" w:line="240" w:lineRule="auto"/>
        <w:jc w:val="both"/>
        <w:rPr>
          <w:sz w:val="23"/>
          <w:szCs w:val="23"/>
        </w:rPr>
      </w:pPr>
      <w:r>
        <w:rPr>
          <w:sz w:val="23"/>
          <w:szCs w:val="23"/>
        </w:rPr>
        <w:t xml:space="preserve">En el caso de los y las adolescentes infractores, el Censo de adolescentes privados de libertad del MNP (2015) indica que el 68,3% de los/as adolescentes privados de libertad en centros educativos del Estado parte alegaron haber sido víctimas de tortura o malos tratos durante la detención, ya sea física o psicológica, que incluye el hostigamiento sexual. </w:t>
      </w:r>
      <w:r w:rsidR="00233B5D">
        <w:rPr>
          <w:sz w:val="23"/>
          <w:szCs w:val="23"/>
        </w:rPr>
        <w:t>Nuevamente, la Policía Nacional es la institución más referenciada como perpetradora de la tortura y malos tratos (61,9% de los y las adolescentes señalaron tortura física por parte de agentes de la Policía). En el caso de las mujeres adolescentes, la frecuencia referenciada de malos tratos psicológicos es mayor. El propio Manual de Uso de la Fuerza de la Policía Nacional del Paraguay señala que -además de prescribir la proporcionalidad del uso de la fuerza-"las amenazas y los insultos no son legales" y que "las técnicas de incapacitación deben utilizarse sin animosidad, alevosía, ensañamiento o burla".</w:t>
      </w:r>
    </w:p>
    <w:p w:rsidR="00CA2513" w:rsidRDefault="00CA2513" w:rsidP="00F2260D">
      <w:pPr>
        <w:spacing w:after="0" w:line="240" w:lineRule="auto"/>
        <w:jc w:val="both"/>
        <w:rPr>
          <w:sz w:val="23"/>
          <w:szCs w:val="23"/>
        </w:rPr>
      </w:pPr>
    </w:p>
    <w:p w:rsidR="00FF2E01" w:rsidRDefault="00FF2E01" w:rsidP="00F2260D">
      <w:pPr>
        <w:spacing w:after="0" w:line="240" w:lineRule="auto"/>
        <w:jc w:val="both"/>
        <w:rPr>
          <w:sz w:val="23"/>
          <w:szCs w:val="23"/>
        </w:rPr>
      </w:pPr>
      <w:r>
        <w:rPr>
          <w:sz w:val="23"/>
          <w:szCs w:val="23"/>
        </w:rPr>
        <w:t>Datos de monitoreo del MNP del año 2016 indican que el 51% de las personas privadas de libertad entrevistadas bajo confidencialidad señalaron que fueron torturadas o víctimas de malos tratos por parte de la Policía durante su detención</w:t>
      </w:r>
      <w:r>
        <w:rPr>
          <w:rStyle w:val="FootnoteReference"/>
          <w:sz w:val="23"/>
          <w:szCs w:val="23"/>
        </w:rPr>
        <w:footnoteReference w:id="1"/>
      </w:r>
      <w:r>
        <w:rPr>
          <w:sz w:val="23"/>
          <w:szCs w:val="23"/>
        </w:rPr>
        <w:t>.</w:t>
      </w:r>
    </w:p>
    <w:p w:rsidR="00FF2E01" w:rsidRDefault="00FF2E01" w:rsidP="00F2260D">
      <w:pPr>
        <w:spacing w:after="0" w:line="240" w:lineRule="auto"/>
        <w:jc w:val="both"/>
        <w:rPr>
          <w:sz w:val="23"/>
          <w:szCs w:val="23"/>
        </w:rPr>
      </w:pPr>
    </w:p>
    <w:p w:rsidR="00F2260D" w:rsidRDefault="00F2260D" w:rsidP="00F2260D">
      <w:pPr>
        <w:spacing w:after="0" w:line="240" w:lineRule="auto"/>
        <w:jc w:val="both"/>
      </w:pPr>
      <w:r>
        <w:t xml:space="preserve">A lo largo de sus inspecciones efectuadas a la Policía Nacional, el MNP pudo constatar situaciones </w:t>
      </w:r>
      <w:r w:rsidR="009E7A83">
        <w:t>que se observan</w:t>
      </w:r>
      <w:r>
        <w:t xml:space="preserve"> de un modo sistemático en el ámbito de dicha institución</w:t>
      </w:r>
      <w:r w:rsidR="009E7A83">
        <w:t>, que refieren sobre la ineficacia de las garantías preventivas de la tortura sobre las cuales el Estado parte debe redoblar sus esfuerzos</w:t>
      </w:r>
      <w:r>
        <w:t>:</w:t>
      </w:r>
    </w:p>
    <w:p w:rsidR="00F2260D" w:rsidRDefault="00F2260D" w:rsidP="00F2260D">
      <w:pPr>
        <w:spacing w:after="0" w:line="240" w:lineRule="auto"/>
        <w:jc w:val="both"/>
      </w:pPr>
    </w:p>
    <w:p w:rsidR="00F2260D" w:rsidRDefault="00F2260D" w:rsidP="00F2260D">
      <w:pPr>
        <w:spacing w:after="0" w:line="240" w:lineRule="auto"/>
        <w:jc w:val="both"/>
      </w:pPr>
      <w:r>
        <w:t xml:space="preserve">Las comisarías policiales funcionan como centros primarios de detención, cuando una persona es aprehendida y antes que un juez/a penal decida la prisión o disponer la libertad, tras la audiencia de arraigo. Salvo en la capital, no existen dependencias policiales con espacios específicos para la detención provisoria de mujeres. Esta misma situación afecta a otros colectivos que requieren medidas de protección reforzadas </w:t>
      </w:r>
      <w:r w:rsidR="009E7A83">
        <w:t xml:space="preserve">frente a la violencia </w:t>
      </w:r>
      <w:r>
        <w:t xml:space="preserve">como los y las adolescentes y las personas </w:t>
      </w:r>
      <w:proofErr w:type="spellStart"/>
      <w:r>
        <w:t>transgénero</w:t>
      </w:r>
      <w:proofErr w:type="spellEnd"/>
      <w:r>
        <w:t>.</w:t>
      </w:r>
    </w:p>
    <w:p w:rsidR="00F2260D" w:rsidRDefault="00F2260D" w:rsidP="00F2260D">
      <w:pPr>
        <w:spacing w:after="0" w:line="240" w:lineRule="auto"/>
        <w:jc w:val="both"/>
      </w:pPr>
    </w:p>
    <w:p w:rsidR="00F2260D" w:rsidRPr="00EF6243" w:rsidRDefault="00F2260D" w:rsidP="00F2260D">
      <w:pPr>
        <w:autoSpaceDE w:val="0"/>
        <w:autoSpaceDN w:val="0"/>
        <w:adjustRightInd w:val="0"/>
        <w:spacing w:after="0" w:line="240" w:lineRule="auto"/>
        <w:jc w:val="both"/>
      </w:pPr>
      <w:r w:rsidRPr="00EF6243">
        <w:t xml:space="preserve">En muchas comisarías policiales del país se detectó que no existe personal policial femenino para el trato con las mujeres detenidas. </w:t>
      </w:r>
      <w:r w:rsidRPr="00EF6243">
        <w:rPr>
          <w:rFonts w:cs="HelveticaNeue"/>
          <w:sz w:val="24"/>
          <w:szCs w:val="24"/>
          <w:lang w:val="es-ES"/>
        </w:rPr>
        <w:t>Las mujeres detenidas son custodiadas por personal policial masculino. En algunas capitales departamentales se observó que, debido a esta situación,  a la noche las detenidas son transferidas temporalmente a la prisión para pasar la noche, aún no existiendo una orden judicial</w:t>
      </w:r>
      <w:r w:rsidR="006E6060">
        <w:rPr>
          <w:rFonts w:cs="HelveticaNeue"/>
          <w:sz w:val="24"/>
          <w:szCs w:val="24"/>
          <w:lang w:val="es-ES"/>
        </w:rPr>
        <w:t xml:space="preserve"> de prisión</w:t>
      </w:r>
      <w:r w:rsidRPr="00EF6243">
        <w:rPr>
          <w:rFonts w:cs="HelveticaNeue"/>
          <w:sz w:val="24"/>
          <w:szCs w:val="24"/>
          <w:lang w:val="es-ES"/>
        </w:rPr>
        <w:t>.</w:t>
      </w:r>
      <w:r w:rsidR="009E7A83">
        <w:rPr>
          <w:rFonts w:cs="HelveticaNeue"/>
          <w:sz w:val="24"/>
          <w:szCs w:val="24"/>
          <w:lang w:val="es-ES"/>
        </w:rPr>
        <w:t xml:space="preserve"> En algunas comisarías, el MNP </w:t>
      </w:r>
      <w:r w:rsidR="009E7A83">
        <w:rPr>
          <w:rFonts w:cs="HelveticaNeue"/>
          <w:sz w:val="24"/>
          <w:szCs w:val="24"/>
          <w:lang w:val="es-ES"/>
        </w:rPr>
        <w:lastRenderedPageBreak/>
        <w:t>detectó que adolescentes privados de libertad guardaban detención en la misma celda que adultos.</w:t>
      </w:r>
    </w:p>
    <w:p w:rsidR="00F2260D" w:rsidRDefault="00F2260D" w:rsidP="00F2260D">
      <w:pPr>
        <w:spacing w:after="0" w:line="240" w:lineRule="auto"/>
        <w:jc w:val="both"/>
      </w:pPr>
    </w:p>
    <w:p w:rsidR="00F2260D" w:rsidRDefault="00F2260D" w:rsidP="00F2260D">
      <w:pPr>
        <w:spacing w:after="0" w:line="240" w:lineRule="auto"/>
        <w:jc w:val="both"/>
      </w:pPr>
      <w:r>
        <w:t xml:space="preserve">Además de estas situaciones que específicamente suponen falta de garantías preventivas en contra de la violencia institucional hacia </w:t>
      </w:r>
      <w:r w:rsidR="00173017">
        <w:t>grupos específicos</w:t>
      </w:r>
      <w:r>
        <w:t>, el MNP detectó falencias en la aplicación de otras garantías de la detención que afectan a las personas detenidas en general:</w:t>
      </w:r>
    </w:p>
    <w:p w:rsidR="00F2260D" w:rsidRPr="00725BAA" w:rsidRDefault="00F2260D" w:rsidP="00F2260D">
      <w:pPr>
        <w:spacing w:after="0" w:line="240" w:lineRule="auto"/>
        <w:jc w:val="both"/>
      </w:pPr>
    </w:p>
    <w:p w:rsidR="00F2260D" w:rsidRPr="00725BAA" w:rsidRDefault="00F2260D" w:rsidP="00F2260D">
      <w:pPr>
        <w:autoSpaceDE w:val="0"/>
        <w:autoSpaceDN w:val="0"/>
        <w:adjustRightInd w:val="0"/>
        <w:spacing w:after="0" w:line="240" w:lineRule="auto"/>
        <w:jc w:val="both"/>
        <w:rPr>
          <w:rFonts w:cs="HelveticaNeue"/>
          <w:sz w:val="24"/>
          <w:szCs w:val="24"/>
          <w:lang w:val="es-ES"/>
        </w:rPr>
      </w:pPr>
      <w:r w:rsidRPr="00725BAA">
        <w:rPr>
          <w:rFonts w:cs="HelveticaNeue"/>
          <w:sz w:val="24"/>
          <w:szCs w:val="24"/>
          <w:lang w:val="es-ES"/>
        </w:rPr>
        <w:t xml:space="preserve">Las sedes policiales no están preparadas estructuralmente para alojar dignamente a las personas detenidas. Las celdas no cumplen con los requerimientos mínimos para el respeto a la dignidad de las personas, con respecto a la higiene, al acceso a luz natural y artificial, a la ventilación necesaria, mobiliario necesario (camas, colchones, sillas, mesas, utensilios básicos). </w:t>
      </w:r>
      <w:r w:rsidR="00173017">
        <w:rPr>
          <w:rFonts w:cs="HelveticaNeue"/>
          <w:sz w:val="24"/>
          <w:szCs w:val="24"/>
          <w:lang w:val="es-ES"/>
        </w:rPr>
        <w:t>L</w:t>
      </w:r>
      <w:r w:rsidRPr="00725BAA">
        <w:rPr>
          <w:rFonts w:cs="HelveticaNeue"/>
          <w:sz w:val="24"/>
          <w:szCs w:val="24"/>
          <w:lang w:val="es-ES"/>
        </w:rPr>
        <w:t>a Policía Nacional no tiene previsto en su presupuesto la alimentación de las personas detenidas.</w:t>
      </w:r>
    </w:p>
    <w:p w:rsidR="00F2260D" w:rsidRPr="00725BAA" w:rsidRDefault="00F2260D" w:rsidP="00F2260D">
      <w:pPr>
        <w:autoSpaceDE w:val="0"/>
        <w:autoSpaceDN w:val="0"/>
        <w:adjustRightInd w:val="0"/>
        <w:spacing w:after="0" w:line="240" w:lineRule="auto"/>
        <w:jc w:val="both"/>
        <w:rPr>
          <w:rFonts w:cs="HelveticaNeue"/>
          <w:sz w:val="24"/>
          <w:szCs w:val="24"/>
          <w:lang w:val="es-ES"/>
        </w:rPr>
      </w:pPr>
    </w:p>
    <w:p w:rsidR="00173017" w:rsidRDefault="00F2260D" w:rsidP="00F2260D">
      <w:pPr>
        <w:autoSpaceDE w:val="0"/>
        <w:autoSpaceDN w:val="0"/>
        <w:adjustRightInd w:val="0"/>
        <w:spacing w:after="0" w:line="240" w:lineRule="auto"/>
        <w:jc w:val="both"/>
        <w:rPr>
          <w:rFonts w:cs="HelveticaNeue"/>
          <w:sz w:val="24"/>
          <w:szCs w:val="24"/>
          <w:lang w:val="es-ES"/>
        </w:rPr>
      </w:pPr>
      <w:r w:rsidRPr="00725BAA">
        <w:t xml:space="preserve">Existen dificultades para el acceso a un </w:t>
      </w:r>
      <w:r w:rsidRPr="00725BAA">
        <w:rPr>
          <w:rFonts w:cs="HelveticaNeue"/>
          <w:sz w:val="24"/>
          <w:szCs w:val="24"/>
          <w:lang w:val="es-ES"/>
        </w:rPr>
        <w:t>defensor técnico desde los prime</w:t>
      </w:r>
      <w:r w:rsidR="006E6060">
        <w:rPr>
          <w:rFonts w:cs="HelveticaNeue"/>
          <w:sz w:val="24"/>
          <w:szCs w:val="24"/>
          <w:lang w:val="es-ES"/>
        </w:rPr>
        <w:t xml:space="preserve">ros momentos de la detención. </w:t>
      </w:r>
      <w:r w:rsidRPr="00725BAA">
        <w:rPr>
          <w:rFonts w:cs="HelveticaNeue"/>
          <w:sz w:val="24"/>
          <w:szCs w:val="24"/>
          <w:lang w:val="es-ES"/>
        </w:rPr>
        <w:t xml:space="preserve">A las personas privadas de libertad, en general, no se les brinda acceso a ningún medio para comunicarse con sus familiares o defensores técnicos; </w:t>
      </w:r>
      <w:r w:rsidR="00173017">
        <w:rPr>
          <w:rFonts w:cs="HelveticaNeue"/>
          <w:sz w:val="24"/>
          <w:szCs w:val="24"/>
          <w:lang w:val="es-ES"/>
        </w:rPr>
        <w:t>la comunicación depende de la predisposición del agente policial de custodia y de la disponibilidad de su teléfono personal.</w:t>
      </w:r>
    </w:p>
    <w:p w:rsidR="00173017" w:rsidRDefault="00173017" w:rsidP="00F2260D">
      <w:pPr>
        <w:autoSpaceDE w:val="0"/>
        <w:autoSpaceDN w:val="0"/>
        <w:adjustRightInd w:val="0"/>
        <w:spacing w:after="0" w:line="240" w:lineRule="auto"/>
        <w:jc w:val="both"/>
        <w:rPr>
          <w:rFonts w:cs="HelveticaNeue"/>
          <w:sz w:val="24"/>
          <w:szCs w:val="24"/>
          <w:lang w:val="es-ES"/>
        </w:rPr>
      </w:pPr>
    </w:p>
    <w:p w:rsidR="00F2260D" w:rsidRPr="00725BAA" w:rsidRDefault="00173017" w:rsidP="00F2260D">
      <w:pPr>
        <w:autoSpaceDE w:val="0"/>
        <w:autoSpaceDN w:val="0"/>
        <w:adjustRightInd w:val="0"/>
        <w:spacing w:after="0" w:line="240" w:lineRule="auto"/>
        <w:jc w:val="both"/>
      </w:pPr>
      <w:r>
        <w:rPr>
          <w:rFonts w:cs="HelveticaNeue"/>
          <w:sz w:val="24"/>
          <w:szCs w:val="24"/>
          <w:lang w:val="es-ES"/>
        </w:rPr>
        <w:t xml:space="preserve">Las detenciones no son </w:t>
      </w:r>
      <w:r w:rsidR="00F2260D" w:rsidRPr="00725BAA">
        <w:rPr>
          <w:rFonts w:cs="HelveticaNeue"/>
          <w:sz w:val="24"/>
          <w:szCs w:val="24"/>
          <w:lang w:val="es-ES"/>
        </w:rPr>
        <w:t>comunica</w:t>
      </w:r>
      <w:r>
        <w:rPr>
          <w:rFonts w:cs="HelveticaNeue"/>
          <w:sz w:val="24"/>
          <w:szCs w:val="24"/>
          <w:lang w:val="es-ES"/>
        </w:rPr>
        <w:t>das oficialmente</w:t>
      </w:r>
      <w:r w:rsidR="00F2260D" w:rsidRPr="00725BAA">
        <w:rPr>
          <w:rFonts w:cs="HelveticaNeue"/>
          <w:sz w:val="24"/>
          <w:szCs w:val="24"/>
          <w:lang w:val="es-ES"/>
        </w:rPr>
        <w:t xml:space="preserve"> a la defensa pública</w:t>
      </w:r>
      <w:r>
        <w:rPr>
          <w:rFonts w:cs="HelveticaNeue"/>
          <w:sz w:val="24"/>
          <w:szCs w:val="24"/>
          <w:lang w:val="es-ES"/>
        </w:rPr>
        <w:t>, en caso de no contar con una defensa privada</w:t>
      </w:r>
      <w:r w:rsidR="00F2260D" w:rsidRPr="00725BAA">
        <w:rPr>
          <w:rFonts w:cs="HelveticaNeue"/>
          <w:sz w:val="24"/>
          <w:szCs w:val="24"/>
          <w:lang w:val="es-ES"/>
        </w:rPr>
        <w:t>. El Ministerio de la Defensa Pública alega, por su parte, no contar con la cantidad de recursos humanos y financieros para poder asistir de oficio a las personas detenidas en las comisarías</w:t>
      </w:r>
      <w:r>
        <w:rPr>
          <w:rFonts w:cs="HelveticaNeue"/>
          <w:sz w:val="24"/>
          <w:szCs w:val="24"/>
          <w:lang w:val="es-ES"/>
        </w:rPr>
        <w:t>, desde el primer momento de la detención</w:t>
      </w:r>
      <w:r w:rsidR="00F2260D" w:rsidRPr="00725BAA">
        <w:rPr>
          <w:rFonts w:cs="HelveticaNeue"/>
          <w:sz w:val="24"/>
          <w:szCs w:val="24"/>
          <w:lang w:val="es-ES"/>
        </w:rPr>
        <w:t>. La Defensa Pública proporcionada por el Estado recién toma intervención y se entrevista con la persona detenida cuando se lleva a cabo la audiencia de declaración ante la Fiscalía o durante la audiencia de arraigo ante el Juzgado Penal, es decir, entre 24 y 48 horas posteriores a la detención policial.</w:t>
      </w:r>
    </w:p>
    <w:p w:rsidR="00F2260D" w:rsidRPr="00725BAA" w:rsidRDefault="00F2260D" w:rsidP="00F2260D">
      <w:pPr>
        <w:spacing w:after="0" w:line="240" w:lineRule="auto"/>
        <w:jc w:val="both"/>
      </w:pPr>
    </w:p>
    <w:p w:rsidR="00F2260D" w:rsidRPr="00725BAA" w:rsidRDefault="00F2260D" w:rsidP="00F2260D">
      <w:pPr>
        <w:autoSpaceDE w:val="0"/>
        <w:autoSpaceDN w:val="0"/>
        <w:adjustRightInd w:val="0"/>
        <w:spacing w:after="0" w:line="240" w:lineRule="auto"/>
        <w:jc w:val="both"/>
        <w:rPr>
          <w:rFonts w:cs="HelveticaNeue"/>
          <w:sz w:val="24"/>
          <w:szCs w:val="24"/>
          <w:lang w:val="es-ES"/>
        </w:rPr>
      </w:pPr>
      <w:r w:rsidRPr="00725BAA">
        <w:rPr>
          <w:rFonts w:cs="HelveticaNeue"/>
          <w:sz w:val="24"/>
          <w:szCs w:val="24"/>
          <w:lang w:val="es-ES"/>
        </w:rPr>
        <w:t>Desde el 2013 se implementó en nivel policial el libro de registros de detenidos/as. Sin embargo, éste no es utilizado en algunas dependencias y en otras es utilizado con importantes deficiencias, perdiendo así la eficacia requerida. No existe un plan de capacitación y control, con las sanciones correspondientes, ante la omisión del registro.</w:t>
      </w:r>
      <w:r w:rsidR="00173017">
        <w:rPr>
          <w:rFonts w:cs="HelveticaNeue"/>
          <w:sz w:val="24"/>
          <w:szCs w:val="24"/>
          <w:lang w:val="es-ES"/>
        </w:rPr>
        <w:t xml:space="preserve"> El Ministerio del Interior no tiene presupuestada la reimpresión de estos libros de registro cuando los mismos se completen.</w:t>
      </w:r>
    </w:p>
    <w:p w:rsidR="00F2260D" w:rsidRPr="00725BAA" w:rsidRDefault="00F2260D" w:rsidP="00F2260D">
      <w:pPr>
        <w:autoSpaceDE w:val="0"/>
        <w:autoSpaceDN w:val="0"/>
        <w:adjustRightInd w:val="0"/>
        <w:spacing w:after="0" w:line="240" w:lineRule="auto"/>
        <w:jc w:val="both"/>
        <w:rPr>
          <w:rFonts w:cs="HelveticaNeue"/>
          <w:sz w:val="24"/>
          <w:szCs w:val="24"/>
          <w:lang w:val="es-ES"/>
        </w:rPr>
      </w:pPr>
    </w:p>
    <w:p w:rsidR="00F2260D" w:rsidRPr="00725BAA" w:rsidRDefault="00F2260D" w:rsidP="00F2260D">
      <w:pPr>
        <w:autoSpaceDE w:val="0"/>
        <w:autoSpaceDN w:val="0"/>
        <w:adjustRightInd w:val="0"/>
        <w:spacing w:after="0" w:line="240" w:lineRule="auto"/>
        <w:jc w:val="both"/>
      </w:pPr>
      <w:r w:rsidRPr="00725BAA">
        <w:rPr>
          <w:rFonts w:cs="HelveticaNeue"/>
          <w:sz w:val="24"/>
          <w:szCs w:val="24"/>
          <w:lang w:val="es-ES"/>
        </w:rPr>
        <w:t>Asimismo, se ha implementado la revisión médica de todas las personas detenidas</w:t>
      </w:r>
      <w:r w:rsidR="00173017">
        <w:rPr>
          <w:rFonts w:cs="HelveticaNeue"/>
          <w:sz w:val="24"/>
          <w:szCs w:val="24"/>
          <w:lang w:val="es-ES"/>
        </w:rPr>
        <w:t>, en dependencias del sistema de salud pública</w:t>
      </w:r>
      <w:r w:rsidRPr="00725BAA">
        <w:rPr>
          <w:rFonts w:cs="HelveticaNeue"/>
          <w:sz w:val="24"/>
          <w:szCs w:val="24"/>
          <w:lang w:val="es-ES"/>
        </w:rPr>
        <w:t xml:space="preserve">. No obstante, </w:t>
      </w:r>
      <w:r w:rsidR="00173017">
        <w:rPr>
          <w:rFonts w:cs="HelveticaNeue"/>
          <w:sz w:val="24"/>
          <w:szCs w:val="24"/>
          <w:lang w:val="es-ES"/>
        </w:rPr>
        <w:t xml:space="preserve">se registran casos frecuentes de resistencia del personal de blanco a realizar los exámenes. Cuando se realiza, el examen es </w:t>
      </w:r>
      <w:r w:rsidRPr="00725BAA">
        <w:rPr>
          <w:rFonts w:cs="HelveticaNeue"/>
          <w:sz w:val="24"/>
          <w:szCs w:val="24"/>
          <w:lang w:val="es-ES"/>
        </w:rPr>
        <w:t xml:space="preserve">ineficaz </w:t>
      </w:r>
      <w:r w:rsidR="00173017">
        <w:rPr>
          <w:rFonts w:cs="HelveticaNeue"/>
          <w:sz w:val="24"/>
          <w:szCs w:val="24"/>
          <w:lang w:val="es-ES"/>
        </w:rPr>
        <w:t>porque</w:t>
      </w:r>
      <w:r w:rsidRPr="00725BAA">
        <w:rPr>
          <w:rFonts w:cs="HelveticaNeue"/>
          <w:sz w:val="24"/>
          <w:szCs w:val="24"/>
          <w:lang w:val="es-ES"/>
        </w:rPr>
        <w:t xml:space="preserve"> se desarrolla en presencia del personal policial, lo que restringe la posibilidad de la victima denunciar ante el médico/a. Además, se han detectado casos en los que los golpes se han producidos posterior a la revisión médica.</w:t>
      </w:r>
      <w:r w:rsidR="00173017">
        <w:rPr>
          <w:rFonts w:cs="HelveticaNeue"/>
          <w:sz w:val="24"/>
          <w:szCs w:val="24"/>
          <w:lang w:val="es-ES"/>
        </w:rPr>
        <w:t xml:space="preserve"> El examen médico es superficial y no cumple con los requisitos mínimos del Protocolo de Estambul.</w:t>
      </w:r>
    </w:p>
    <w:p w:rsidR="00F2260D" w:rsidRDefault="00F2260D" w:rsidP="00F2260D">
      <w:pPr>
        <w:spacing w:after="0" w:line="240" w:lineRule="auto"/>
        <w:jc w:val="both"/>
      </w:pPr>
    </w:p>
    <w:p w:rsidR="00F2260D" w:rsidRDefault="00F2260D" w:rsidP="00F2260D">
      <w:pPr>
        <w:spacing w:after="0" w:line="240" w:lineRule="auto"/>
        <w:jc w:val="both"/>
      </w:pPr>
      <w:r>
        <w:lastRenderedPageBreak/>
        <w:t>En atención a estas situaciones, el MNP ha recomendado a las agencias estatales pertinentes, las siguientes observaciones:</w:t>
      </w:r>
    </w:p>
    <w:p w:rsidR="00F2260D" w:rsidRDefault="00F2260D" w:rsidP="00F2260D">
      <w:pPr>
        <w:spacing w:after="0" w:line="240" w:lineRule="auto"/>
        <w:jc w:val="both"/>
      </w:pPr>
    </w:p>
    <w:p w:rsidR="00F2260D" w:rsidRDefault="00F2260D" w:rsidP="00F2260D">
      <w:pPr>
        <w:spacing w:after="0" w:line="240" w:lineRule="auto"/>
        <w:jc w:val="both"/>
      </w:pPr>
      <w:r>
        <w:t>a) Establecer en las cabeceras departamentales comisarías especializadas para la detención de mujeres y adolescentes, con personal acorde y entrenado a las necesidades y derechos de la población respectiva.</w:t>
      </w:r>
    </w:p>
    <w:p w:rsidR="00F2260D" w:rsidRDefault="00F2260D" w:rsidP="00F2260D">
      <w:pPr>
        <w:spacing w:after="0" w:line="240" w:lineRule="auto"/>
        <w:jc w:val="both"/>
      </w:pPr>
    </w:p>
    <w:p w:rsidR="00F2260D" w:rsidRDefault="00F2260D" w:rsidP="00F2260D">
      <w:pPr>
        <w:spacing w:after="0" w:line="240" w:lineRule="auto"/>
        <w:jc w:val="both"/>
        <w:rPr>
          <w:rFonts w:cs="Calibri"/>
        </w:rPr>
      </w:pPr>
      <w:r>
        <w:t>b) Establecer el acceso a la defensa técnica pública desde el primer momento de la detención; a tal efecto, se ha mantenido un diálogo permanente constructivo con el Ministerio de la Defensa Pública, para acompañar un plan de fortalecimiento institucional que permita la cobertura de este servicio a partir de la detención.</w:t>
      </w:r>
      <w:r w:rsidR="00965190">
        <w:t xml:space="preserve"> Asimismo, e</w:t>
      </w:r>
      <w:r w:rsidR="00965190">
        <w:rPr>
          <w:rFonts w:cs="Calibri"/>
        </w:rPr>
        <w:t>l MNP viene trabajando con la titular de la Defensoría, defensores y defensoras públicas, a fin de fortalecer el “Observatorio de la Tortura” del Ministerio de la Defensa Pública.  Se coincide en la importancia para el MNP y el Ministerio de Defensa Pública de generar información de hechos violatorios a los derechos humanos ocurridos al momento de la aprehensión o detención.</w:t>
      </w:r>
    </w:p>
    <w:p w:rsidR="00965190" w:rsidRPr="00E86A1B" w:rsidRDefault="00965190" w:rsidP="00F2260D">
      <w:pPr>
        <w:spacing w:after="0" w:line="240" w:lineRule="auto"/>
        <w:jc w:val="both"/>
      </w:pPr>
    </w:p>
    <w:p w:rsidR="00F2260D" w:rsidRPr="00E86A1B" w:rsidRDefault="00F2260D" w:rsidP="00F2260D">
      <w:pPr>
        <w:autoSpaceDE w:val="0"/>
        <w:autoSpaceDN w:val="0"/>
        <w:adjustRightInd w:val="0"/>
        <w:spacing w:after="0" w:line="240" w:lineRule="auto"/>
        <w:jc w:val="both"/>
      </w:pPr>
      <w:r>
        <w:rPr>
          <w:rFonts w:cs="HelveticaNeue"/>
          <w:lang w:val="es-ES"/>
        </w:rPr>
        <w:t xml:space="preserve">c) </w:t>
      </w:r>
      <w:r w:rsidRPr="00E86A1B">
        <w:rPr>
          <w:rFonts w:cs="HelveticaNeue"/>
          <w:lang w:val="es-ES"/>
        </w:rPr>
        <w:t>Establecer la obligatoriedad de realización de diagnósticos médicos a las personas detenidas, a la luz del Protocolo de Estambul</w:t>
      </w:r>
      <w:r w:rsidR="00130A7E">
        <w:rPr>
          <w:rFonts w:cs="HelveticaNeue"/>
          <w:lang w:val="es-ES"/>
        </w:rPr>
        <w:t xml:space="preserve"> y en condiciones de confidencialidad</w:t>
      </w:r>
      <w:r w:rsidRPr="00E86A1B">
        <w:rPr>
          <w:rFonts w:cs="HelveticaNeue"/>
          <w:lang w:val="es-ES"/>
        </w:rPr>
        <w:t>, en todos los centros asistenciales públicos</w:t>
      </w:r>
    </w:p>
    <w:p w:rsidR="00F2260D" w:rsidRPr="00E86A1B" w:rsidRDefault="00F2260D" w:rsidP="00F2260D">
      <w:pPr>
        <w:spacing w:after="0" w:line="240" w:lineRule="auto"/>
        <w:jc w:val="both"/>
      </w:pPr>
    </w:p>
    <w:p w:rsidR="00F2260D" w:rsidRPr="00E86A1B" w:rsidRDefault="00F2260D" w:rsidP="00F2260D">
      <w:pPr>
        <w:autoSpaceDE w:val="0"/>
        <w:autoSpaceDN w:val="0"/>
        <w:adjustRightInd w:val="0"/>
        <w:spacing w:after="0" w:line="240" w:lineRule="auto"/>
        <w:jc w:val="both"/>
        <w:rPr>
          <w:rFonts w:cs="HelveticaNeue"/>
          <w:lang w:val="es-ES"/>
        </w:rPr>
      </w:pPr>
      <w:r>
        <w:rPr>
          <w:rFonts w:cs="HelveticaNeue"/>
          <w:lang w:val="es-ES"/>
        </w:rPr>
        <w:t xml:space="preserve">d) </w:t>
      </w:r>
      <w:r w:rsidRPr="00E86A1B">
        <w:rPr>
          <w:rFonts w:cs="HelveticaNeue"/>
          <w:lang w:val="es-ES"/>
        </w:rPr>
        <w:t xml:space="preserve">Capacitar -al personal policial en el Manual de uso de la fuerza y armas de fuego de la Policía Nacional aprobada por Resolución N° 126 del 2011 y en el Reglamento Disciplinario de la institución, con especial atención en aquellos aspectos relativos a la prevención y sanción de la tortura y los malos tratos. </w:t>
      </w:r>
    </w:p>
    <w:p w:rsidR="00F2260D" w:rsidRPr="00E86A1B" w:rsidRDefault="00F2260D" w:rsidP="00F2260D">
      <w:pPr>
        <w:autoSpaceDE w:val="0"/>
        <w:autoSpaceDN w:val="0"/>
        <w:adjustRightInd w:val="0"/>
        <w:spacing w:after="0" w:line="240" w:lineRule="auto"/>
        <w:jc w:val="both"/>
        <w:rPr>
          <w:rFonts w:cs="HelveticaNeue"/>
          <w:lang w:val="es-ES"/>
        </w:rPr>
      </w:pPr>
    </w:p>
    <w:p w:rsidR="00F2260D" w:rsidRPr="00E86A1B" w:rsidRDefault="00F2260D" w:rsidP="00F2260D">
      <w:pPr>
        <w:autoSpaceDE w:val="0"/>
        <w:autoSpaceDN w:val="0"/>
        <w:adjustRightInd w:val="0"/>
        <w:spacing w:after="0" w:line="240" w:lineRule="auto"/>
        <w:jc w:val="both"/>
        <w:rPr>
          <w:rFonts w:cs="HelveticaNeue"/>
          <w:lang w:val="es-ES"/>
        </w:rPr>
      </w:pPr>
      <w:r>
        <w:rPr>
          <w:rFonts w:cs="HelveticaNeue"/>
          <w:lang w:val="es-ES"/>
        </w:rPr>
        <w:t xml:space="preserve">e) </w:t>
      </w:r>
      <w:r w:rsidRPr="00E86A1B">
        <w:rPr>
          <w:rFonts w:cs="HelveticaNeue"/>
          <w:lang w:val="es-ES"/>
        </w:rPr>
        <w:t>Realizar un estudio de los costos reales que demanda a la institución policial el albergue transitorio de personas en sus instalaciones, de manera a incluir estos costos y los que demande el mejoramiento de todas las celdas existentes en el país, en el Presupuesto General de Gastos de la Nación.</w:t>
      </w:r>
    </w:p>
    <w:p w:rsidR="00F2260D" w:rsidRDefault="00F2260D" w:rsidP="00C83BE8">
      <w:pPr>
        <w:spacing w:after="0" w:line="240" w:lineRule="auto"/>
        <w:jc w:val="both"/>
      </w:pPr>
    </w:p>
    <w:p w:rsidR="007C3392" w:rsidRPr="003500CF" w:rsidRDefault="007C3392" w:rsidP="007C3392">
      <w:pPr>
        <w:pStyle w:val="SingleTxtG"/>
        <w:rPr>
          <w:rFonts w:ascii="Calibri" w:eastAsia="Calibri" w:hAnsi="Calibri" w:cs="Times New Roman"/>
          <w:b/>
          <w:lang w:eastAsia="en-US"/>
        </w:rPr>
      </w:pPr>
      <w:r w:rsidRPr="003500CF">
        <w:rPr>
          <w:rFonts w:ascii="Calibri" w:eastAsia="Calibri" w:hAnsi="Calibri" w:cs="Times New Roman"/>
          <w:b/>
          <w:lang w:eastAsia="en-US"/>
        </w:rPr>
        <w:t>4.</w:t>
      </w:r>
      <w:r w:rsidRPr="003500CF">
        <w:rPr>
          <w:rFonts w:ascii="Calibri" w:eastAsia="Calibri" w:hAnsi="Calibri" w:cs="Times New Roman"/>
          <w:b/>
          <w:lang w:eastAsia="en-US"/>
        </w:rPr>
        <w:tab/>
        <w:t>A la luz de las anteriores observaciones finales del Comité (párr. 12), sírvanse indicar en qué estado se encuentra el Proyecto de Ley Orgánica de la Defensa Pública. Sírvanse incluir información sobre las medidas adoptadas por el Estado parte para garantizar los recursos humanos, financieros y materiales necesarios para la Defensa Pública de manera que ésta pueda garantizar la asistencia legal gratuita a todas las personas privadas de libertad que lo requieran.</w:t>
      </w:r>
    </w:p>
    <w:p w:rsidR="007C3392" w:rsidRDefault="007C3392" w:rsidP="00C83BE8">
      <w:pPr>
        <w:spacing w:after="0" w:line="240" w:lineRule="auto"/>
        <w:jc w:val="both"/>
      </w:pPr>
    </w:p>
    <w:p w:rsidR="00254091" w:rsidRDefault="00254091" w:rsidP="00A70E48">
      <w:pPr>
        <w:spacing w:after="0" w:line="240" w:lineRule="auto"/>
        <w:jc w:val="both"/>
      </w:pPr>
      <w:r>
        <w:t xml:space="preserve">Desde la puesta en vigor de la Ley Orgánica del Ministerio de la Defensa Pública (Ley N° 4421/2011) </w:t>
      </w:r>
      <w:r w:rsidR="00762FD0">
        <w:t>la entidad ha ido ganando en autonomía orgánica y funcional así como en capacidad institucional.</w:t>
      </w:r>
      <w:r>
        <w:t xml:space="preserve"> </w:t>
      </w:r>
    </w:p>
    <w:p w:rsidR="00254091" w:rsidRDefault="00254091" w:rsidP="00A70E48">
      <w:pPr>
        <w:spacing w:after="0" w:line="240" w:lineRule="auto"/>
        <w:jc w:val="both"/>
      </w:pPr>
    </w:p>
    <w:p w:rsidR="00A70E48" w:rsidRDefault="00A70E48" w:rsidP="00A70E48">
      <w:pPr>
        <w:spacing w:after="0" w:line="240" w:lineRule="auto"/>
        <w:jc w:val="both"/>
      </w:pPr>
      <w:r>
        <w:t xml:space="preserve">El presupuesto asignado al Ministerio de la Defensa Pública para el ejercicio </w:t>
      </w:r>
      <w:r w:rsidR="006140A8">
        <w:t>fiscal 2017 alcanza los US$ 47.</w:t>
      </w:r>
      <w:r>
        <w:t>694.373, monto que es menos de la mitad de lo que se encuentra asignado al Ministerio Público</w:t>
      </w:r>
      <w:r w:rsidR="000D75F2">
        <w:t xml:space="preserve"> para el mismo período</w:t>
      </w:r>
      <w:r>
        <w:t>.</w:t>
      </w:r>
      <w:r w:rsidR="000D75F2">
        <w:t xml:space="preserve"> </w:t>
      </w:r>
      <w:r>
        <w:t>Un defensor penal percibe una remuneración mensual equivalente a US$ 3140, que incluye el sueldo, gastos de representación y un subsidio de salud</w:t>
      </w:r>
      <w:r w:rsidR="000D75F2">
        <w:t>, monto equivalente al que percibe un agente fiscal</w:t>
      </w:r>
      <w:r>
        <w:t>.</w:t>
      </w:r>
    </w:p>
    <w:p w:rsidR="004D2F00" w:rsidRDefault="004D2F00" w:rsidP="00C83BE8">
      <w:pPr>
        <w:spacing w:after="0" w:line="240" w:lineRule="auto"/>
        <w:jc w:val="both"/>
      </w:pPr>
    </w:p>
    <w:p w:rsidR="00AD4AFE" w:rsidRDefault="006140A8" w:rsidP="00C83BE8">
      <w:pPr>
        <w:spacing w:after="0" w:line="240" w:lineRule="auto"/>
        <w:jc w:val="both"/>
      </w:pPr>
      <w:r>
        <w:t>Para las personas mayores de edad, e</w:t>
      </w:r>
      <w:r w:rsidR="00AD4AFE">
        <w:t>l Estado parte provee</w:t>
      </w:r>
      <w:r w:rsidR="000D58FD">
        <w:t xml:space="preserve"> 169 defensores/as penales </w:t>
      </w:r>
      <w:r w:rsidR="00986C26">
        <w:t>que integran el plantel del</w:t>
      </w:r>
      <w:r w:rsidR="00AD4AFE">
        <w:t xml:space="preserve"> Ministerio de la Defensa Pública</w:t>
      </w:r>
      <w:r>
        <w:t>. El servicio se ofrece a los procesados y condenados, tanto privados de libertad como quienes litigan en libertad. De los defensores penales</w:t>
      </w:r>
      <w:r w:rsidR="00986C26">
        <w:t>,</w:t>
      </w:r>
      <w:r w:rsidR="000D58FD">
        <w:t xml:space="preserve"> 19 son de ejecución penal, es decir, con competencia para intervenir ante los juzgados de vigilancia penitenciaria. </w:t>
      </w:r>
      <w:r>
        <w:t>S</w:t>
      </w:r>
      <w:r w:rsidR="00AD4AFE">
        <w:t xml:space="preserve">e cuenta con 13 defensores/as públicos penales por cada mil personas privadas de libertad. Los recursos </w:t>
      </w:r>
      <w:r w:rsidR="00397EC3">
        <w:t>no</w:t>
      </w:r>
      <w:r w:rsidR="00AD4AFE">
        <w:t xml:space="preserve"> están equitativamente distribuidos, ya que algunas circunscripciones como Caaguazú, Concepción y Alto Paraguay, Itapúa y Amambay tienen menor cobertura de este servicio público (con tasas de hasta siete y nueve defensores por cada mil personas privadas de libertad).</w:t>
      </w:r>
      <w:r w:rsidR="004D2F00">
        <w:t xml:space="preserve"> La acusación pública, por otro lado, cuenta con 271 agentes fiscales designados al frente de unidades penales ordinarias o especializadas, distribuidas en 91 sedes en todo el territorio del Estado parte; cada unidad tiene su estructura administrativa de soporte, entre funcionarios, asistentes, etc., además de los servicios de investigación forense del Ministerio Público </w:t>
      </w:r>
      <w:r w:rsidR="00B11EA3">
        <w:t>(Ministerio Público, 2016)</w:t>
      </w:r>
      <w:r w:rsidR="004D2F00">
        <w:t>.</w:t>
      </w:r>
    </w:p>
    <w:p w:rsidR="00AD4AFE" w:rsidRDefault="00AD4AFE" w:rsidP="00C83BE8">
      <w:pPr>
        <w:spacing w:after="0" w:line="240" w:lineRule="auto"/>
        <w:jc w:val="both"/>
      </w:pPr>
    </w:p>
    <w:p w:rsidR="000D58FD" w:rsidRDefault="00AD4AFE" w:rsidP="00C83BE8">
      <w:pPr>
        <w:spacing w:after="0" w:line="240" w:lineRule="auto"/>
        <w:jc w:val="both"/>
      </w:pPr>
      <w:r>
        <w:t xml:space="preserve">Para el caso de los/as adolescentes privados/as de libertad, existen 34 defensores/as públicos con competencia para el fuero penal de la adolescencia; de estos 22 no son especializados, es decir, llevan de manera concurrente su intervención en el fuero penal de adultos y de la adolescencia. </w:t>
      </w:r>
    </w:p>
    <w:p w:rsidR="000D58FD" w:rsidRDefault="000D58FD" w:rsidP="00C83BE8">
      <w:pPr>
        <w:spacing w:after="0" w:line="240" w:lineRule="auto"/>
        <w:jc w:val="both"/>
      </w:pPr>
    </w:p>
    <w:p w:rsidR="00EE08F7" w:rsidRDefault="00EE08F7" w:rsidP="00C83BE8">
      <w:pPr>
        <w:spacing w:after="0" w:line="240" w:lineRule="auto"/>
        <w:jc w:val="both"/>
        <w:rPr>
          <w:b/>
        </w:rPr>
      </w:pPr>
      <w:r>
        <w:rPr>
          <w:b/>
        </w:rPr>
        <w:t>CUADRO</w:t>
      </w:r>
    </w:p>
    <w:p w:rsidR="00C347BD" w:rsidRDefault="00C347BD" w:rsidP="00C83BE8">
      <w:pPr>
        <w:spacing w:after="0" w:line="240" w:lineRule="auto"/>
        <w:jc w:val="both"/>
        <w:rPr>
          <w:b/>
        </w:rPr>
      </w:pPr>
      <w:r w:rsidRPr="00C347BD">
        <w:rPr>
          <w:b/>
        </w:rPr>
        <w:t>Defensore</w:t>
      </w:r>
      <w:r>
        <w:rPr>
          <w:b/>
        </w:rPr>
        <w:t>s penales y de ejecución penal</w:t>
      </w:r>
    </w:p>
    <w:p w:rsidR="00C347BD" w:rsidRPr="00C347BD" w:rsidRDefault="00C347BD" w:rsidP="00C83BE8">
      <w:pPr>
        <w:spacing w:after="0" w:line="240" w:lineRule="auto"/>
        <w:jc w:val="both"/>
        <w:rPr>
          <w:b/>
        </w:rPr>
      </w:pPr>
      <w:r>
        <w:rPr>
          <w:b/>
        </w:rPr>
        <w:t>P</w:t>
      </w:r>
      <w:r w:rsidRPr="00C347BD">
        <w:rPr>
          <w:b/>
        </w:rPr>
        <w:t>or circunscripciones y centros penitenciarios</w:t>
      </w:r>
      <w:r>
        <w:rPr>
          <w:b/>
        </w:rPr>
        <w:t xml:space="preserve"> (2017)</w:t>
      </w:r>
    </w:p>
    <w:p w:rsidR="00C347BD" w:rsidRDefault="00C347BD" w:rsidP="00C83BE8">
      <w:pPr>
        <w:spacing w:after="0" w:line="240" w:lineRule="auto"/>
        <w:jc w:val="both"/>
      </w:pPr>
    </w:p>
    <w:tbl>
      <w:tblPr>
        <w:tblStyle w:val="TableGrid"/>
        <w:tblW w:w="9184" w:type="dxa"/>
        <w:tblLook w:val="04A0" w:firstRow="1" w:lastRow="0" w:firstColumn="1" w:lastColumn="0" w:noHBand="0" w:noVBand="1"/>
      </w:tblPr>
      <w:tblGrid>
        <w:gridCol w:w="2376"/>
        <w:gridCol w:w="2268"/>
        <w:gridCol w:w="1047"/>
        <w:gridCol w:w="970"/>
        <w:gridCol w:w="1247"/>
        <w:gridCol w:w="1276"/>
      </w:tblGrid>
      <w:tr w:rsidR="00542783" w:rsidRPr="00542783" w:rsidTr="00542783">
        <w:tc>
          <w:tcPr>
            <w:tcW w:w="2376" w:type="dxa"/>
            <w:vMerge w:val="restart"/>
            <w:shd w:val="clear" w:color="auto" w:fill="D9D9D9" w:themeFill="background1" w:themeFillShade="D9"/>
            <w:vAlign w:val="center"/>
          </w:tcPr>
          <w:p w:rsidR="00542783" w:rsidRPr="00542783" w:rsidRDefault="00542783" w:rsidP="00542783">
            <w:pPr>
              <w:jc w:val="center"/>
              <w:rPr>
                <w:b/>
              </w:rPr>
            </w:pPr>
            <w:r w:rsidRPr="00542783">
              <w:rPr>
                <w:b/>
              </w:rPr>
              <w:t>Circunscripción judicial</w:t>
            </w:r>
          </w:p>
        </w:tc>
        <w:tc>
          <w:tcPr>
            <w:tcW w:w="2268" w:type="dxa"/>
            <w:vMerge w:val="restart"/>
            <w:shd w:val="clear" w:color="auto" w:fill="D9D9D9" w:themeFill="background1" w:themeFillShade="D9"/>
            <w:vAlign w:val="center"/>
          </w:tcPr>
          <w:p w:rsidR="00542783" w:rsidRPr="00542783" w:rsidRDefault="00542783" w:rsidP="00542783">
            <w:pPr>
              <w:jc w:val="center"/>
              <w:rPr>
                <w:b/>
              </w:rPr>
            </w:pPr>
            <w:r w:rsidRPr="00542783">
              <w:rPr>
                <w:b/>
              </w:rPr>
              <w:t>Establecimientos penales</w:t>
            </w:r>
          </w:p>
        </w:tc>
        <w:tc>
          <w:tcPr>
            <w:tcW w:w="2017" w:type="dxa"/>
            <w:gridSpan w:val="2"/>
            <w:shd w:val="clear" w:color="auto" w:fill="D9D9D9" w:themeFill="background1" w:themeFillShade="D9"/>
            <w:vAlign w:val="center"/>
          </w:tcPr>
          <w:p w:rsidR="00542783" w:rsidRPr="00542783" w:rsidRDefault="00542783" w:rsidP="00542783">
            <w:pPr>
              <w:jc w:val="center"/>
              <w:rPr>
                <w:b/>
              </w:rPr>
            </w:pPr>
            <w:r w:rsidRPr="00542783">
              <w:rPr>
                <w:b/>
              </w:rPr>
              <w:t>Personas privadas de libertad</w:t>
            </w:r>
          </w:p>
        </w:tc>
        <w:tc>
          <w:tcPr>
            <w:tcW w:w="1247" w:type="dxa"/>
            <w:vMerge w:val="restart"/>
            <w:shd w:val="clear" w:color="auto" w:fill="D9D9D9" w:themeFill="background1" w:themeFillShade="D9"/>
            <w:vAlign w:val="center"/>
          </w:tcPr>
          <w:p w:rsidR="00542783" w:rsidRPr="00542783" w:rsidRDefault="00542783" w:rsidP="00542783">
            <w:pPr>
              <w:jc w:val="center"/>
              <w:rPr>
                <w:b/>
              </w:rPr>
            </w:pPr>
            <w:r w:rsidRPr="00542783">
              <w:rPr>
                <w:b/>
              </w:rPr>
              <w:t>Defensores penales</w:t>
            </w:r>
          </w:p>
        </w:tc>
        <w:tc>
          <w:tcPr>
            <w:tcW w:w="1276" w:type="dxa"/>
            <w:vMerge w:val="restart"/>
            <w:shd w:val="clear" w:color="auto" w:fill="D9D9D9" w:themeFill="background1" w:themeFillShade="D9"/>
            <w:vAlign w:val="center"/>
          </w:tcPr>
          <w:p w:rsidR="00542783" w:rsidRPr="00542783" w:rsidRDefault="00542783" w:rsidP="00542783">
            <w:pPr>
              <w:jc w:val="center"/>
              <w:rPr>
                <w:b/>
              </w:rPr>
            </w:pPr>
            <w:r w:rsidRPr="00542783">
              <w:rPr>
                <w:b/>
              </w:rPr>
              <w:t>Defensores penales de ejecución</w:t>
            </w:r>
          </w:p>
        </w:tc>
      </w:tr>
      <w:tr w:rsidR="00542783" w:rsidTr="00542783">
        <w:tc>
          <w:tcPr>
            <w:tcW w:w="2376" w:type="dxa"/>
            <w:vMerge/>
          </w:tcPr>
          <w:p w:rsidR="00542783" w:rsidRDefault="00542783" w:rsidP="00C83BE8">
            <w:pPr>
              <w:jc w:val="both"/>
            </w:pPr>
          </w:p>
        </w:tc>
        <w:tc>
          <w:tcPr>
            <w:tcW w:w="2268" w:type="dxa"/>
            <w:vMerge/>
          </w:tcPr>
          <w:p w:rsidR="00542783" w:rsidRDefault="00542783" w:rsidP="00C83BE8">
            <w:pPr>
              <w:jc w:val="both"/>
            </w:pPr>
          </w:p>
        </w:tc>
        <w:tc>
          <w:tcPr>
            <w:tcW w:w="1047" w:type="dxa"/>
            <w:shd w:val="clear" w:color="auto" w:fill="D9D9D9" w:themeFill="background1" w:themeFillShade="D9"/>
          </w:tcPr>
          <w:p w:rsidR="00542783" w:rsidRPr="00542783" w:rsidRDefault="00542783" w:rsidP="00542783">
            <w:pPr>
              <w:jc w:val="center"/>
              <w:rPr>
                <w:b/>
              </w:rPr>
            </w:pPr>
            <w:r w:rsidRPr="00542783">
              <w:rPr>
                <w:b/>
              </w:rPr>
              <w:t>Hombres</w:t>
            </w:r>
          </w:p>
        </w:tc>
        <w:tc>
          <w:tcPr>
            <w:tcW w:w="970" w:type="dxa"/>
            <w:shd w:val="clear" w:color="auto" w:fill="D9D9D9" w:themeFill="background1" w:themeFillShade="D9"/>
          </w:tcPr>
          <w:p w:rsidR="00542783" w:rsidRPr="00542783" w:rsidRDefault="00542783" w:rsidP="00542783">
            <w:pPr>
              <w:jc w:val="center"/>
              <w:rPr>
                <w:b/>
              </w:rPr>
            </w:pPr>
            <w:r w:rsidRPr="00542783">
              <w:rPr>
                <w:b/>
              </w:rPr>
              <w:t>Mujeres</w:t>
            </w:r>
          </w:p>
        </w:tc>
        <w:tc>
          <w:tcPr>
            <w:tcW w:w="1247" w:type="dxa"/>
            <w:vMerge/>
          </w:tcPr>
          <w:p w:rsidR="00542783" w:rsidRDefault="00542783" w:rsidP="00C83BE8">
            <w:pPr>
              <w:jc w:val="both"/>
            </w:pPr>
          </w:p>
        </w:tc>
        <w:tc>
          <w:tcPr>
            <w:tcW w:w="1276" w:type="dxa"/>
            <w:vMerge/>
          </w:tcPr>
          <w:p w:rsidR="00542783" w:rsidRDefault="00542783" w:rsidP="00C83BE8">
            <w:pPr>
              <w:jc w:val="both"/>
            </w:pPr>
          </w:p>
        </w:tc>
      </w:tr>
      <w:tr w:rsidR="00542783" w:rsidRPr="00542783" w:rsidTr="00CF6EC9">
        <w:tc>
          <w:tcPr>
            <w:tcW w:w="2376" w:type="dxa"/>
          </w:tcPr>
          <w:p w:rsidR="00542783" w:rsidRPr="00542783" w:rsidRDefault="00542783" w:rsidP="00CF6EC9">
            <w:pPr>
              <w:rPr>
                <w:sz w:val="20"/>
                <w:szCs w:val="20"/>
              </w:rPr>
            </w:pPr>
            <w:r w:rsidRPr="00542783">
              <w:rPr>
                <w:sz w:val="20"/>
                <w:szCs w:val="20"/>
              </w:rPr>
              <w:t>Capital, Central, Cordillera, Presidente Hayes y Boquerón</w:t>
            </w:r>
          </w:p>
        </w:tc>
        <w:tc>
          <w:tcPr>
            <w:tcW w:w="2268" w:type="dxa"/>
          </w:tcPr>
          <w:p w:rsidR="00542783" w:rsidRPr="00542783" w:rsidRDefault="00542783" w:rsidP="00CF6EC9">
            <w:pPr>
              <w:rPr>
                <w:sz w:val="20"/>
                <w:szCs w:val="20"/>
              </w:rPr>
            </w:pPr>
            <w:r w:rsidRPr="00542783">
              <w:rPr>
                <w:sz w:val="20"/>
                <w:szCs w:val="20"/>
              </w:rPr>
              <w:t xml:space="preserve">Penitenciaría Nacional de </w:t>
            </w:r>
            <w:proofErr w:type="spellStart"/>
            <w:r w:rsidRPr="00542783">
              <w:rPr>
                <w:sz w:val="20"/>
                <w:szCs w:val="20"/>
              </w:rPr>
              <w:t>Tacumbú</w:t>
            </w:r>
            <w:proofErr w:type="spellEnd"/>
          </w:p>
          <w:p w:rsidR="00542783" w:rsidRPr="00542783" w:rsidRDefault="001776DF" w:rsidP="00CF6EC9">
            <w:pPr>
              <w:rPr>
                <w:sz w:val="20"/>
                <w:szCs w:val="20"/>
              </w:rPr>
            </w:pPr>
            <w:r>
              <w:rPr>
                <w:sz w:val="20"/>
                <w:szCs w:val="20"/>
              </w:rPr>
              <w:t xml:space="preserve">Centro Penitenciario </w:t>
            </w:r>
            <w:r w:rsidR="00542783" w:rsidRPr="00542783">
              <w:rPr>
                <w:sz w:val="20"/>
                <w:szCs w:val="20"/>
              </w:rPr>
              <w:t xml:space="preserve"> de Mujeres del Buen Pastor</w:t>
            </w:r>
          </w:p>
          <w:p w:rsidR="00542783" w:rsidRPr="00542783" w:rsidRDefault="00542783" w:rsidP="00CF6EC9">
            <w:pPr>
              <w:rPr>
                <w:sz w:val="20"/>
                <w:szCs w:val="20"/>
              </w:rPr>
            </w:pPr>
            <w:r w:rsidRPr="00542783">
              <w:rPr>
                <w:sz w:val="20"/>
                <w:szCs w:val="20"/>
              </w:rPr>
              <w:t>Penitenciaría Antigua Emboscada</w:t>
            </w:r>
          </w:p>
          <w:p w:rsidR="00542783" w:rsidRDefault="00542783" w:rsidP="00CF6EC9">
            <w:pPr>
              <w:rPr>
                <w:sz w:val="20"/>
                <w:szCs w:val="20"/>
              </w:rPr>
            </w:pPr>
            <w:r w:rsidRPr="00542783">
              <w:rPr>
                <w:sz w:val="20"/>
                <w:szCs w:val="20"/>
              </w:rPr>
              <w:t>Penitenciaría Juan Antonio de la Vega</w:t>
            </w:r>
          </w:p>
          <w:p w:rsidR="00244ADC" w:rsidRPr="00542783" w:rsidRDefault="00244ADC" w:rsidP="00CF6EC9">
            <w:pPr>
              <w:rPr>
                <w:sz w:val="20"/>
                <w:szCs w:val="20"/>
              </w:rPr>
            </w:pPr>
            <w:r>
              <w:rPr>
                <w:sz w:val="20"/>
                <w:szCs w:val="20"/>
              </w:rPr>
              <w:t>Unidad Industrial La Esperanza</w:t>
            </w:r>
          </w:p>
          <w:p w:rsidR="00542783" w:rsidRPr="00542783" w:rsidRDefault="00542783" w:rsidP="00CF6EC9">
            <w:pPr>
              <w:rPr>
                <w:sz w:val="20"/>
                <w:szCs w:val="20"/>
              </w:rPr>
            </w:pPr>
            <w:r w:rsidRPr="00542783">
              <w:rPr>
                <w:sz w:val="20"/>
                <w:szCs w:val="20"/>
              </w:rPr>
              <w:t xml:space="preserve">Granjas </w:t>
            </w:r>
            <w:proofErr w:type="spellStart"/>
            <w:r w:rsidRPr="00542783">
              <w:rPr>
                <w:sz w:val="20"/>
                <w:szCs w:val="20"/>
              </w:rPr>
              <w:t>Ko'e</w:t>
            </w:r>
            <w:proofErr w:type="spellEnd"/>
            <w:r w:rsidRPr="00542783">
              <w:rPr>
                <w:sz w:val="20"/>
                <w:szCs w:val="20"/>
              </w:rPr>
              <w:t xml:space="preserve"> </w:t>
            </w:r>
            <w:proofErr w:type="spellStart"/>
            <w:r w:rsidRPr="00542783">
              <w:rPr>
                <w:sz w:val="20"/>
                <w:szCs w:val="20"/>
              </w:rPr>
              <w:t>Pyahu</w:t>
            </w:r>
            <w:proofErr w:type="spellEnd"/>
            <w:r w:rsidRPr="00542783">
              <w:rPr>
                <w:sz w:val="20"/>
                <w:szCs w:val="20"/>
              </w:rPr>
              <w:t xml:space="preserve"> e </w:t>
            </w:r>
            <w:proofErr w:type="spellStart"/>
            <w:r w:rsidRPr="00542783">
              <w:rPr>
                <w:sz w:val="20"/>
                <w:szCs w:val="20"/>
              </w:rPr>
              <w:t>Ita</w:t>
            </w:r>
            <w:proofErr w:type="spellEnd"/>
            <w:r w:rsidRPr="00542783">
              <w:rPr>
                <w:sz w:val="20"/>
                <w:szCs w:val="20"/>
              </w:rPr>
              <w:t xml:space="preserve"> </w:t>
            </w:r>
            <w:proofErr w:type="spellStart"/>
            <w:r w:rsidRPr="00542783">
              <w:rPr>
                <w:sz w:val="20"/>
                <w:szCs w:val="20"/>
              </w:rPr>
              <w:t>Porã</w:t>
            </w:r>
            <w:proofErr w:type="spellEnd"/>
          </w:p>
        </w:tc>
        <w:tc>
          <w:tcPr>
            <w:tcW w:w="1047" w:type="dxa"/>
            <w:vAlign w:val="center"/>
          </w:tcPr>
          <w:p w:rsidR="00244ADC" w:rsidRPr="00542783" w:rsidRDefault="00244ADC" w:rsidP="00CF6EC9">
            <w:pPr>
              <w:jc w:val="center"/>
              <w:rPr>
                <w:sz w:val="20"/>
                <w:szCs w:val="20"/>
              </w:rPr>
            </w:pPr>
            <w:r>
              <w:rPr>
                <w:sz w:val="20"/>
                <w:szCs w:val="20"/>
              </w:rPr>
              <w:t>5909</w:t>
            </w:r>
          </w:p>
        </w:tc>
        <w:tc>
          <w:tcPr>
            <w:tcW w:w="970" w:type="dxa"/>
            <w:vAlign w:val="center"/>
          </w:tcPr>
          <w:p w:rsidR="00542783" w:rsidRPr="00542783" w:rsidRDefault="00244ADC" w:rsidP="00CF6EC9">
            <w:pPr>
              <w:jc w:val="center"/>
              <w:rPr>
                <w:sz w:val="20"/>
                <w:szCs w:val="20"/>
              </w:rPr>
            </w:pPr>
            <w:r>
              <w:rPr>
                <w:sz w:val="20"/>
                <w:szCs w:val="20"/>
              </w:rPr>
              <w:t>440</w:t>
            </w:r>
          </w:p>
        </w:tc>
        <w:tc>
          <w:tcPr>
            <w:tcW w:w="1247" w:type="dxa"/>
            <w:vAlign w:val="center"/>
          </w:tcPr>
          <w:p w:rsidR="00C41C7D" w:rsidRPr="00542783" w:rsidRDefault="00712F7C" w:rsidP="00712F7C">
            <w:pPr>
              <w:jc w:val="center"/>
              <w:rPr>
                <w:sz w:val="20"/>
                <w:szCs w:val="20"/>
              </w:rPr>
            </w:pPr>
            <w:r>
              <w:rPr>
                <w:sz w:val="20"/>
                <w:szCs w:val="20"/>
              </w:rPr>
              <w:t>75</w:t>
            </w:r>
          </w:p>
        </w:tc>
        <w:tc>
          <w:tcPr>
            <w:tcW w:w="1276" w:type="dxa"/>
            <w:vAlign w:val="center"/>
          </w:tcPr>
          <w:p w:rsidR="00542783" w:rsidRPr="00542783" w:rsidRDefault="00C41C7D" w:rsidP="00CF6EC9">
            <w:pPr>
              <w:jc w:val="center"/>
              <w:rPr>
                <w:sz w:val="20"/>
                <w:szCs w:val="20"/>
              </w:rPr>
            </w:pPr>
            <w:r>
              <w:rPr>
                <w:sz w:val="20"/>
                <w:szCs w:val="20"/>
              </w:rPr>
              <w:t>10</w:t>
            </w:r>
          </w:p>
        </w:tc>
      </w:tr>
      <w:tr w:rsidR="00542783" w:rsidRPr="00542783" w:rsidTr="00CF6EC9">
        <w:tc>
          <w:tcPr>
            <w:tcW w:w="2376" w:type="dxa"/>
          </w:tcPr>
          <w:p w:rsidR="00542783" w:rsidRPr="00542783" w:rsidRDefault="00CF6EC9" w:rsidP="00CF6EC9">
            <w:pPr>
              <w:rPr>
                <w:sz w:val="20"/>
                <w:szCs w:val="20"/>
              </w:rPr>
            </w:pPr>
            <w:r>
              <w:rPr>
                <w:sz w:val="20"/>
                <w:szCs w:val="20"/>
              </w:rPr>
              <w:t>Caaguazú</w:t>
            </w:r>
          </w:p>
        </w:tc>
        <w:tc>
          <w:tcPr>
            <w:tcW w:w="2268" w:type="dxa"/>
          </w:tcPr>
          <w:p w:rsidR="00542783" w:rsidRDefault="00B475DD" w:rsidP="00CF6EC9">
            <w:pPr>
              <w:rPr>
                <w:sz w:val="20"/>
                <w:szCs w:val="20"/>
              </w:rPr>
            </w:pPr>
            <w:r>
              <w:rPr>
                <w:sz w:val="20"/>
                <w:szCs w:val="20"/>
              </w:rPr>
              <w:t>Penitenciaría Regional de Coronel Oviedo</w:t>
            </w:r>
          </w:p>
          <w:p w:rsidR="00B475DD" w:rsidRPr="00542783" w:rsidRDefault="001776DF" w:rsidP="00CF6EC9">
            <w:pPr>
              <w:rPr>
                <w:sz w:val="20"/>
                <w:szCs w:val="20"/>
              </w:rPr>
            </w:pPr>
            <w:r>
              <w:rPr>
                <w:sz w:val="20"/>
                <w:szCs w:val="20"/>
              </w:rPr>
              <w:t xml:space="preserve">Centro Penitenciario </w:t>
            </w:r>
            <w:r w:rsidR="00B475DD">
              <w:rPr>
                <w:sz w:val="20"/>
                <w:szCs w:val="20"/>
              </w:rPr>
              <w:t xml:space="preserve"> de Mujeres "Serafina Dávalos"</w:t>
            </w:r>
          </w:p>
        </w:tc>
        <w:tc>
          <w:tcPr>
            <w:tcW w:w="1047" w:type="dxa"/>
            <w:vAlign w:val="center"/>
          </w:tcPr>
          <w:p w:rsidR="00542783" w:rsidRPr="00542783" w:rsidRDefault="00244ADC" w:rsidP="00CF6EC9">
            <w:pPr>
              <w:jc w:val="center"/>
              <w:rPr>
                <w:sz w:val="20"/>
                <w:szCs w:val="20"/>
              </w:rPr>
            </w:pPr>
            <w:r>
              <w:rPr>
                <w:sz w:val="20"/>
                <w:szCs w:val="20"/>
              </w:rPr>
              <w:t>1209</w:t>
            </w:r>
          </w:p>
        </w:tc>
        <w:tc>
          <w:tcPr>
            <w:tcW w:w="970" w:type="dxa"/>
            <w:vAlign w:val="center"/>
          </w:tcPr>
          <w:p w:rsidR="00542783" w:rsidRPr="00542783" w:rsidRDefault="00244ADC" w:rsidP="00CF6EC9">
            <w:pPr>
              <w:jc w:val="center"/>
              <w:rPr>
                <w:sz w:val="20"/>
                <w:szCs w:val="20"/>
              </w:rPr>
            </w:pPr>
            <w:r>
              <w:rPr>
                <w:sz w:val="20"/>
                <w:szCs w:val="20"/>
              </w:rPr>
              <w:t>54</w:t>
            </w:r>
          </w:p>
        </w:tc>
        <w:tc>
          <w:tcPr>
            <w:tcW w:w="1247" w:type="dxa"/>
            <w:vAlign w:val="center"/>
          </w:tcPr>
          <w:p w:rsidR="00542783" w:rsidRPr="00542783" w:rsidRDefault="00376ADD" w:rsidP="00CF6EC9">
            <w:pPr>
              <w:jc w:val="center"/>
              <w:rPr>
                <w:sz w:val="20"/>
                <w:szCs w:val="20"/>
              </w:rPr>
            </w:pPr>
            <w:r>
              <w:rPr>
                <w:sz w:val="20"/>
                <w:szCs w:val="20"/>
              </w:rPr>
              <w:t>8</w:t>
            </w:r>
          </w:p>
        </w:tc>
        <w:tc>
          <w:tcPr>
            <w:tcW w:w="1276" w:type="dxa"/>
            <w:vAlign w:val="center"/>
          </w:tcPr>
          <w:p w:rsidR="00542783" w:rsidRPr="00542783" w:rsidRDefault="00376ADD" w:rsidP="00CF6EC9">
            <w:pPr>
              <w:jc w:val="center"/>
              <w:rPr>
                <w:sz w:val="20"/>
                <w:szCs w:val="20"/>
              </w:rPr>
            </w:pPr>
            <w:r>
              <w:rPr>
                <w:sz w:val="20"/>
                <w:szCs w:val="20"/>
              </w:rPr>
              <w:t>1</w:t>
            </w:r>
          </w:p>
        </w:tc>
      </w:tr>
      <w:tr w:rsidR="00CF6EC9" w:rsidRPr="00542783" w:rsidTr="00CF6EC9">
        <w:tc>
          <w:tcPr>
            <w:tcW w:w="2376" w:type="dxa"/>
          </w:tcPr>
          <w:p w:rsidR="00CF6EC9" w:rsidRPr="00542783" w:rsidRDefault="00CF6EC9" w:rsidP="00CF6EC9">
            <w:pPr>
              <w:rPr>
                <w:sz w:val="20"/>
                <w:szCs w:val="20"/>
              </w:rPr>
            </w:pPr>
            <w:r>
              <w:rPr>
                <w:sz w:val="20"/>
                <w:szCs w:val="20"/>
              </w:rPr>
              <w:t>San Pedro</w:t>
            </w:r>
          </w:p>
        </w:tc>
        <w:tc>
          <w:tcPr>
            <w:tcW w:w="2268" w:type="dxa"/>
          </w:tcPr>
          <w:p w:rsidR="00CF6EC9" w:rsidRPr="00542783" w:rsidRDefault="00B475DD" w:rsidP="00CF6EC9">
            <w:pPr>
              <w:rPr>
                <w:sz w:val="20"/>
                <w:szCs w:val="20"/>
              </w:rPr>
            </w:pPr>
            <w:r>
              <w:rPr>
                <w:sz w:val="20"/>
                <w:szCs w:val="20"/>
              </w:rPr>
              <w:t>Penitenciaría Regional de San Pedro</w:t>
            </w:r>
          </w:p>
        </w:tc>
        <w:tc>
          <w:tcPr>
            <w:tcW w:w="1047" w:type="dxa"/>
            <w:vAlign w:val="center"/>
          </w:tcPr>
          <w:p w:rsidR="00CF6EC9" w:rsidRPr="00542783" w:rsidRDefault="00244ADC" w:rsidP="00CF6EC9">
            <w:pPr>
              <w:jc w:val="center"/>
              <w:rPr>
                <w:sz w:val="20"/>
                <w:szCs w:val="20"/>
              </w:rPr>
            </w:pPr>
            <w:r>
              <w:rPr>
                <w:sz w:val="20"/>
                <w:szCs w:val="20"/>
              </w:rPr>
              <w:t>494</w:t>
            </w:r>
          </w:p>
        </w:tc>
        <w:tc>
          <w:tcPr>
            <w:tcW w:w="970" w:type="dxa"/>
            <w:vAlign w:val="center"/>
          </w:tcPr>
          <w:p w:rsidR="00CF6EC9" w:rsidRPr="00542783" w:rsidRDefault="00244ADC" w:rsidP="00CF6EC9">
            <w:pPr>
              <w:jc w:val="center"/>
              <w:rPr>
                <w:sz w:val="20"/>
                <w:szCs w:val="20"/>
              </w:rPr>
            </w:pPr>
            <w:r>
              <w:rPr>
                <w:sz w:val="20"/>
                <w:szCs w:val="20"/>
              </w:rPr>
              <w:t>22</w:t>
            </w:r>
          </w:p>
        </w:tc>
        <w:tc>
          <w:tcPr>
            <w:tcW w:w="1247" w:type="dxa"/>
            <w:vAlign w:val="center"/>
          </w:tcPr>
          <w:p w:rsidR="00CF6EC9" w:rsidRPr="00542783" w:rsidRDefault="0083347E" w:rsidP="00CF6EC9">
            <w:pPr>
              <w:jc w:val="center"/>
              <w:rPr>
                <w:sz w:val="20"/>
                <w:szCs w:val="20"/>
              </w:rPr>
            </w:pPr>
            <w:r>
              <w:rPr>
                <w:sz w:val="20"/>
                <w:szCs w:val="20"/>
              </w:rPr>
              <w:t>5</w:t>
            </w:r>
          </w:p>
        </w:tc>
        <w:tc>
          <w:tcPr>
            <w:tcW w:w="1276" w:type="dxa"/>
            <w:vAlign w:val="center"/>
          </w:tcPr>
          <w:p w:rsidR="00CF6EC9" w:rsidRPr="00542783" w:rsidRDefault="00CF6EC9" w:rsidP="00CF6EC9">
            <w:pPr>
              <w:jc w:val="center"/>
              <w:rPr>
                <w:sz w:val="20"/>
                <w:szCs w:val="20"/>
              </w:rPr>
            </w:pPr>
          </w:p>
        </w:tc>
      </w:tr>
      <w:tr w:rsidR="00CF6EC9" w:rsidRPr="00542783" w:rsidTr="00CF6EC9">
        <w:tc>
          <w:tcPr>
            <w:tcW w:w="2376" w:type="dxa"/>
          </w:tcPr>
          <w:p w:rsidR="00CF6EC9" w:rsidRPr="00542783" w:rsidRDefault="00CF6EC9" w:rsidP="00CF6EC9">
            <w:pPr>
              <w:rPr>
                <w:sz w:val="20"/>
                <w:szCs w:val="20"/>
              </w:rPr>
            </w:pPr>
            <w:r>
              <w:rPr>
                <w:sz w:val="20"/>
                <w:szCs w:val="20"/>
              </w:rPr>
              <w:t>Guairá y Caazapá</w:t>
            </w:r>
          </w:p>
        </w:tc>
        <w:tc>
          <w:tcPr>
            <w:tcW w:w="2268" w:type="dxa"/>
          </w:tcPr>
          <w:p w:rsidR="00CF6EC9" w:rsidRPr="00542783" w:rsidRDefault="00B475DD" w:rsidP="00CF6EC9">
            <w:pPr>
              <w:rPr>
                <w:sz w:val="20"/>
                <w:szCs w:val="20"/>
              </w:rPr>
            </w:pPr>
            <w:r>
              <w:rPr>
                <w:sz w:val="20"/>
                <w:szCs w:val="20"/>
              </w:rPr>
              <w:t>Penitenciaría Regional de Villarrica</w:t>
            </w:r>
          </w:p>
        </w:tc>
        <w:tc>
          <w:tcPr>
            <w:tcW w:w="1047" w:type="dxa"/>
            <w:vAlign w:val="center"/>
          </w:tcPr>
          <w:p w:rsidR="00CF6EC9" w:rsidRPr="00542783" w:rsidRDefault="00244ADC" w:rsidP="00CF6EC9">
            <w:pPr>
              <w:jc w:val="center"/>
              <w:rPr>
                <w:sz w:val="20"/>
                <w:szCs w:val="20"/>
              </w:rPr>
            </w:pPr>
            <w:r>
              <w:rPr>
                <w:sz w:val="20"/>
                <w:szCs w:val="20"/>
              </w:rPr>
              <w:t>432</w:t>
            </w:r>
          </w:p>
        </w:tc>
        <w:tc>
          <w:tcPr>
            <w:tcW w:w="970" w:type="dxa"/>
            <w:vAlign w:val="center"/>
          </w:tcPr>
          <w:p w:rsidR="00CF6EC9" w:rsidRPr="00542783" w:rsidRDefault="00244ADC" w:rsidP="00CF6EC9">
            <w:pPr>
              <w:jc w:val="center"/>
              <w:rPr>
                <w:sz w:val="20"/>
                <w:szCs w:val="20"/>
              </w:rPr>
            </w:pPr>
            <w:r>
              <w:rPr>
                <w:sz w:val="20"/>
                <w:szCs w:val="20"/>
              </w:rPr>
              <w:t>38</w:t>
            </w:r>
          </w:p>
        </w:tc>
        <w:tc>
          <w:tcPr>
            <w:tcW w:w="1247" w:type="dxa"/>
            <w:vAlign w:val="center"/>
          </w:tcPr>
          <w:p w:rsidR="00CF6EC9" w:rsidRPr="00542783" w:rsidRDefault="00376ADD" w:rsidP="00CF6EC9">
            <w:pPr>
              <w:jc w:val="center"/>
              <w:rPr>
                <w:sz w:val="20"/>
                <w:szCs w:val="20"/>
              </w:rPr>
            </w:pPr>
            <w:r>
              <w:rPr>
                <w:sz w:val="20"/>
                <w:szCs w:val="20"/>
              </w:rPr>
              <w:t>10</w:t>
            </w:r>
          </w:p>
        </w:tc>
        <w:tc>
          <w:tcPr>
            <w:tcW w:w="1276" w:type="dxa"/>
            <w:vAlign w:val="center"/>
          </w:tcPr>
          <w:p w:rsidR="00CF6EC9" w:rsidRPr="00542783" w:rsidRDefault="00712F7C" w:rsidP="00CF6EC9">
            <w:pPr>
              <w:jc w:val="center"/>
              <w:rPr>
                <w:sz w:val="20"/>
                <w:szCs w:val="20"/>
              </w:rPr>
            </w:pPr>
            <w:r>
              <w:rPr>
                <w:sz w:val="20"/>
                <w:szCs w:val="20"/>
              </w:rPr>
              <w:t>1</w:t>
            </w:r>
          </w:p>
        </w:tc>
      </w:tr>
      <w:tr w:rsidR="00542783" w:rsidRPr="00542783" w:rsidTr="00CF6EC9">
        <w:tc>
          <w:tcPr>
            <w:tcW w:w="2376" w:type="dxa"/>
          </w:tcPr>
          <w:p w:rsidR="00542783" w:rsidRPr="00542783" w:rsidRDefault="00CF6EC9" w:rsidP="00CF6EC9">
            <w:pPr>
              <w:rPr>
                <w:sz w:val="20"/>
                <w:szCs w:val="20"/>
              </w:rPr>
            </w:pPr>
            <w:r>
              <w:rPr>
                <w:sz w:val="20"/>
                <w:szCs w:val="20"/>
              </w:rPr>
              <w:t>Alto Paraná y Canindeyú</w:t>
            </w:r>
          </w:p>
        </w:tc>
        <w:tc>
          <w:tcPr>
            <w:tcW w:w="2268" w:type="dxa"/>
          </w:tcPr>
          <w:p w:rsidR="00542783" w:rsidRDefault="00B475DD" w:rsidP="00CF6EC9">
            <w:pPr>
              <w:rPr>
                <w:sz w:val="20"/>
                <w:szCs w:val="20"/>
              </w:rPr>
            </w:pPr>
            <w:r>
              <w:rPr>
                <w:sz w:val="20"/>
                <w:szCs w:val="20"/>
              </w:rPr>
              <w:t>Penitenciaría Regional de Ciudad del Este</w:t>
            </w:r>
          </w:p>
          <w:p w:rsidR="00B475DD" w:rsidRPr="00542783" w:rsidRDefault="001776DF" w:rsidP="00CF6EC9">
            <w:pPr>
              <w:rPr>
                <w:sz w:val="20"/>
                <w:szCs w:val="20"/>
              </w:rPr>
            </w:pPr>
            <w:r>
              <w:rPr>
                <w:sz w:val="20"/>
                <w:szCs w:val="20"/>
              </w:rPr>
              <w:t xml:space="preserve">Centro Penitenciario </w:t>
            </w:r>
            <w:r w:rsidR="00B475DD">
              <w:rPr>
                <w:sz w:val="20"/>
                <w:szCs w:val="20"/>
              </w:rPr>
              <w:t xml:space="preserve"> de </w:t>
            </w:r>
            <w:r w:rsidR="00B475DD">
              <w:rPr>
                <w:sz w:val="20"/>
                <w:szCs w:val="20"/>
              </w:rPr>
              <w:lastRenderedPageBreak/>
              <w:t>Mujeres Juana María de Lara</w:t>
            </w:r>
          </w:p>
        </w:tc>
        <w:tc>
          <w:tcPr>
            <w:tcW w:w="1047" w:type="dxa"/>
            <w:vAlign w:val="center"/>
          </w:tcPr>
          <w:p w:rsidR="00542783" w:rsidRPr="00542783" w:rsidRDefault="00244ADC" w:rsidP="00CF6EC9">
            <w:pPr>
              <w:jc w:val="center"/>
              <w:rPr>
                <w:sz w:val="20"/>
                <w:szCs w:val="20"/>
              </w:rPr>
            </w:pPr>
            <w:r>
              <w:rPr>
                <w:sz w:val="20"/>
                <w:szCs w:val="20"/>
              </w:rPr>
              <w:lastRenderedPageBreak/>
              <w:t>1268</w:t>
            </w:r>
          </w:p>
        </w:tc>
        <w:tc>
          <w:tcPr>
            <w:tcW w:w="970" w:type="dxa"/>
            <w:vAlign w:val="center"/>
          </w:tcPr>
          <w:p w:rsidR="00542783" w:rsidRPr="00542783" w:rsidRDefault="00244ADC" w:rsidP="00CF6EC9">
            <w:pPr>
              <w:jc w:val="center"/>
              <w:rPr>
                <w:sz w:val="20"/>
                <w:szCs w:val="20"/>
              </w:rPr>
            </w:pPr>
            <w:r>
              <w:rPr>
                <w:sz w:val="20"/>
                <w:szCs w:val="20"/>
              </w:rPr>
              <w:t>81</w:t>
            </w:r>
          </w:p>
        </w:tc>
        <w:tc>
          <w:tcPr>
            <w:tcW w:w="1247" w:type="dxa"/>
            <w:vAlign w:val="center"/>
          </w:tcPr>
          <w:p w:rsidR="00542783" w:rsidRPr="00542783" w:rsidRDefault="00376ADD" w:rsidP="0083347E">
            <w:pPr>
              <w:jc w:val="center"/>
              <w:rPr>
                <w:sz w:val="20"/>
                <w:szCs w:val="20"/>
              </w:rPr>
            </w:pPr>
            <w:r>
              <w:rPr>
                <w:sz w:val="20"/>
                <w:szCs w:val="20"/>
              </w:rPr>
              <w:t>1</w:t>
            </w:r>
            <w:r w:rsidR="0083347E">
              <w:rPr>
                <w:sz w:val="20"/>
                <w:szCs w:val="20"/>
              </w:rPr>
              <w:t>8</w:t>
            </w:r>
          </w:p>
        </w:tc>
        <w:tc>
          <w:tcPr>
            <w:tcW w:w="1276" w:type="dxa"/>
            <w:vAlign w:val="center"/>
          </w:tcPr>
          <w:p w:rsidR="00542783" w:rsidRPr="00542783" w:rsidRDefault="00376ADD" w:rsidP="00CF6EC9">
            <w:pPr>
              <w:jc w:val="center"/>
              <w:rPr>
                <w:sz w:val="20"/>
                <w:szCs w:val="20"/>
              </w:rPr>
            </w:pPr>
            <w:r>
              <w:rPr>
                <w:sz w:val="20"/>
                <w:szCs w:val="20"/>
              </w:rPr>
              <w:t>2</w:t>
            </w:r>
          </w:p>
        </w:tc>
      </w:tr>
      <w:tr w:rsidR="00542783" w:rsidRPr="00542783" w:rsidTr="00CF6EC9">
        <w:tc>
          <w:tcPr>
            <w:tcW w:w="2376" w:type="dxa"/>
          </w:tcPr>
          <w:p w:rsidR="00542783" w:rsidRPr="00542783" w:rsidRDefault="00CF6EC9" w:rsidP="00CF6EC9">
            <w:pPr>
              <w:rPr>
                <w:sz w:val="20"/>
                <w:szCs w:val="20"/>
              </w:rPr>
            </w:pPr>
            <w:r>
              <w:rPr>
                <w:sz w:val="20"/>
                <w:szCs w:val="20"/>
              </w:rPr>
              <w:lastRenderedPageBreak/>
              <w:t>Concepción y Alto Paraguay</w:t>
            </w:r>
          </w:p>
        </w:tc>
        <w:tc>
          <w:tcPr>
            <w:tcW w:w="2268" w:type="dxa"/>
          </w:tcPr>
          <w:p w:rsidR="00542783" w:rsidRPr="00542783" w:rsidRDefault="00B475DD" w:rsidP="00CF6EC9">
            <w:pPr>
              <w:rPr>
                <w:sz w:val="20"/>
                <w:szCs w:val="20"/>
              </w:rPr>
            </w:pPr>
            <w:r>
              <w:rPr>
                <w:sz w:val="20"/>
                <w:szCs w:val="20"/>
              </w:rPr>
              <w:t>Penitenciaría Regional de Concepción</w:t>
            </w:r>
          </w:p>
        </w:tc>
        <w:tc>
          <w:tcPr>
            <w:tcW w:w="1047" w:type="dxa"/>
            <w:vAlign w:val="center"/>
          </w:tcPr>
          <w:p w:rsidR="00542783" w:rsidRPr="00542783" w:rsidRDefault="00244ADC" w:rsidP="00CF6EC9">
            <w:pPr>
              <w:jc w:val="center"/>
              <w:rPr>
                <w:sz w:val="20"/>
                <w:szCs w:val="20"/>
              </w:rPr>
            </w:pPr>
            <w:r>
              <w:rPr>
                <w:sz w:val="20"/>
                <w:szCs w:val="20"/>
              </w:rPr>
              <w:t>631</w:t>
            </w:r>
          </w:p>
        </w:tc>
        <w:tc>
          <w:tcPr>
            <w:tcW w:w="970" w:type="dxa"/>
            <w:vAlign w:val="center"/>
          </w:tcPr>
          <w:p w:rsidR="00542783" w:rsidRPr="00542783" w:rsidRDefault="00244ADC" w:rsidP="00CF6EC9">
            <w:pPr>
              <w:jc w:val="center"/>
              <w:rPr>
                <w:sz w:val="20"/>
                <w:szCs w:val="20"/>
              </w:rPr>
            </w:pPr>
            <w:r>
              <w:rPr>
                <w:sz w:val="20"/>
                <w:szCs w:val="20"/>
              </w:rPr>
              <w:t>36</w:t>
            </w:r>
          </w:p>
        </w:tc>
        <w:tc>
          <w:tcPr>
            <w:tcW w:w="1247" w:type="dxa"/>
            <w:vAlign w:val="center"/>
          </w:tcPr>
          <w:p w:rsidR="00542783" w:rsidRPr="00542783" w:rsidRDefault="00376ADD" w:rsidP="00CF6EC9">
            <w:pPr>
              <w:jc w:val="center"/>
              <w:rPr>
                <w:sz w:val="20"/>
                <w:szCs w:val="20"/>
              </w:rPr>
            </w:pPr>
            <w:r>
              <w:rPr>
                <w:sz w:val="20"/>
                <w:szCs w:val="20"/>
              </w:rPr>
              <w:t>5</w:t>
            </w:r>
          </w:p>
        </w:tc>
        <w:tc>
          <w:tcPr>
            <w:tcW w:w="1276" w:type="dxa"/>
            <w:vAlign w:val="center"/>
          </w:tcPr>
          <w:p w:rsidR="00542783" w:rsidRPr="00542783" w:rsidRDefault="00376ADD" w:rsidP="00CF6EC9">
            <w:pPr>
              <w:jc w:val="center"/>
              <w:rPr>
                <w:sz w:val="20"/>
                <w:szCs w:val="20"/>
              </w:rPr>
            </w:pPr>
            <w:r>
              <w:rPr>
                <w:sz w:val="20"/>
                <w:szCs w:val="20"/>
              </w:rPr>
              <w:t>1</w:t>
            </w:r>
          </w:p>
        </w:tc>
      </w:tr>
      <w:tr w:rsidR="00CF6EC9" w:rsidRPr="00542783" w:rsidTr="00CF6EC9">
        <w:tc>
          <w:tcPr>
            <w:tcW w:w="2376" w:type="dxa"/>
          </w:tcPr>
          <w:p w:rsidR="00CF6EC9" w:rsidRPr="00542783" w:rsidRDefault="00B475DD" w:rsidP="00CF6EC9">
            <w:pPr>
              <w:rPr>
                <w:sz w:val="20"/>
                <w:szCs w:val="20"/>
              </w:rPr>
            </w:pPr>
            <w:r>
              <w:rPr>
                <w:sz w:val="20"/>
                <w:szCs w:val="20"/>
              </w:rPr>
              <w:t>Misiones, Paraguarí y Ñeembucú</w:t>
            </w:r>
          </w:p>
        </w:tc>
        <w:tc>
          <w:tcPr>
            <w:tcW w:w="2268" w:type="dxa"/>
          </w:tcPr>
          <w:p w:rsidR="00CF6EC9" w:rsidRPr="00542783" w:rsidRDefault="00B475DD" w:rsidP="00CF6EC9">
            <w:pPr>
              <w:rPr>
                <w:sz w:val="20"/>
                <w:szCs w:val="20"/>
              </w:rPr>
            </w:pPr>
            <w:r>
              <w:rPr>
                <w:sz w:val="20"/>
                <w:szCs w:val="20"/>
              </w:rPr>
              <w:t>Penitenciaría Regional de Misiones</w:t>
            </w:r>
          </w:p>
        </w:tc>
        <w:tc>
          <w:tcPr>
            <w:tcW w:w="1047" w:type="dxa"/>
            <w:vAlign w:val="center"/>
          </w:tcPr>
          <w:p w:rsidR="00CF6EC9" w:rsidRPr="00542783" w:rsidRDefault="00244ADC" w:rsidP="00CF6EC9">
            <w:pPr>
              <w:jc w:val="center"/>
              <w:rPr>
                <w:sz w:val="20"/>
                <w:szCs w:val="20"/>
              </w:rPr>
            </w:pPr>
            <w:r>
              <w:rPr>
                <w:sz w:val="20"/>
                <w:szCs w:val="20"/>
              </w:rPr>
              <w:t>728</w:t>
            </w:r>
          </w:p>
        </w:tc>
        <w:tc>
          <w:tcPr>
            <w:tcW w:w="970" w:type="dxa"/>
            <w:vAlign w:val="center"/>
          </w:tcPr>
          <w:p w:rsidR="00CF6EC9" w:rsidRPr="00542783" w:rsidRDefault="00244ADC" w:rsidP="00CF6EC9">
            <w:pPr>
              <w:jc w:val="center"/>
              <w:rPr>
                <w:sz w:val="20"/>
                <w:szCs w:val="20"/>
              </w:rPr>
            </w:pPr>
            <w:r>
              <w:rPr>
                <w:sz w:val="20"/>
                <w:szCs w:val="20"/>
              </w:rPr>
              <w:t>53</w:t>
            </w:r>
          </w:p>
        </w:tc>
        <w:tc>
          <w:tcPr>
            <w:tcW w:w="1247" w:type="dxa"/>
            <w:vAlign w:val="center"/>
          </w:tcPr>
          <w:p w:rsidR="00CF6EC9" w:rsidRPr="00542783" w:rsidRDefault="0083347E" w:rsidP="00CF6EC9">
            <w:pPr>
              <w:jc w:val="center"/>
              <w:rPr>
                <w:sz w:val="20"/>
                <w:szCs w:val="20"/>
              </w:rPr>
            </w:pPr>
            <w:r>
              <w:rPr>
                <w:sz w:val="20"/>
                <w:szCs w:val="20"/>
              </w:rPr>
              <w:t>14</w:t>
            </w:r>
          </w:p>
        </w:tc>
        <w:tc>
          <w:tcPr>
            <w:tcW w:w="1276" w:type="dxa"/>
            <w:vAlign w:val="center"/>
          </w:tcPr>
          <w:p w:rsidR="00CF6EC9" w:rsidRPr="00542783" w:rsidRDefault="0083347E" w:rsidP="00CF6EC9">
            <w:pPr>
              <w:jc w:val="center"/>
              <w:rPr>
                <w:sz w:val="20"/>
                <w:szCs w:val="20"/>
              </w:rPr>
            </w:pPr>
            <w:r>
              <w:rPr>
                <w:sz w:val="20"/>
                <w:szCs w:val="20"/>
              </w:rPr>
              <w:t>3</w:t>
            </w:r>
          </w:p>
        </w:tc>
      </w:tr>
      <w:tr w:rsidR="00CF6EC9" w:rsidRPr="00542783" w:rsidTr="00CF6EC9">
        <w:tc>
          <w:tcPr>
            <w:tcW w:w="2376" w:type="dxa"/>
          </w:tcPr>
          <w:p w:rsidR="00CF6EC9" w:rsidRPr="00542783" w:rsidRDefault="00B475DD" w:rsidP="00CF6EC9">
            <w:pPr>
              <w:rPr>
                <w:sz w:val="20"/>
                <w:szCs w:val="20"/>
              </w:rPr>
            </w:pPr>
            <w:r>
              <w:rPr>
                <w:sz w:val="20"/>
                <w:szCs w:val="20"/>
              </w:rPr>
              <w:t>Itapúa</w:t>
            </w:r>
          </w:p>
        </w:tc>
        <w:tc>
          <w:tcPr>
            <w:tcW w:w="2268" w:type="dxa"/>
          </w:tcPr>
          <w:p w:rsidR="00CF6EC9" w:rsidRPr="00542783" w:rsidRDefault="00B475DD" w:rsidP="00CF6EC9">
            <w:pPr>
              <w:rPr>
                <w:sz w:val="20"/>
                <w:szCs w:val="20"/>
              </w:rPr>
            </w:pPr>
            <w:r>
              <w:rPr>
                <w:sz w:val="20"/>
                <w:szCs w:val="20"/>
              </w:rPr>
              <w:t>Centro de Rehabilitación Social (CERESO)</w:t>
            </w:r>
          </w:p>
        </w:tc>
        <w:tc>
          <w:tcPr>
            <w:tcW w:w="1047" w:type="dxa"/>
            <w:vAlign w:val="center"/>
          </w:tcPr>
          <w:p w:rsidR="00CF6EC9" w:rsidRPr="00542783" w:rsidRDefault="00244ADC" w:rsidP="00CF6EC9">
            <w:pPr>
              <w:jc w:val="center"/>
              <w:rPr>
                <w:sz w:val="20"/>
                <w:szCs w:val="20"/>
              </w:rPr>
            </w:pPr>
            <w:r>
              <w:rPr>
                <w:sz w:val="20"/>
                <w:szCs w:val="20"/>
              </w:rPr>
              <w:t>956</w:t>
            </w:r>
          </w:p>
        </w:tc>
        <w:tc>
          <w:tcPr>
            <w:tcW w:w="970" w:type="dxa"/>
            <w:vAlign w:val="center"/>
          </w:tcPr>
          <w:p w:rsidR="00CF6EC9" w:rsidRPr="00542783" w:rsidRDefault="00244ADC" w:rsidP="00CF6EC9">
            <w:pPr>
              <w:jc w:val="center"/>
              <w:rPr>
                <w:sz w:val="20"/>
                <w:szCs w:val="20"/>
              </w:rPr>
            </w:pPr>
            <w:r>
              <w:rPr>
                <w:sz w:val="20"/>
                <w:szCs w:val="20"/>
              </w:rPr>
              <w:t>56</w:t>
            </w:r>
          </w:p>
        </w:tc>
        <w:tc>
          <w:tcPr>
            <w:tcW w:w="1247" w:type="dxa"/>
            <w:vAlign w:val="center"/>
          </w:tcPr>
          <w:p w:rsidR="00CF6EC9" w:rsidRPr="00542783" w:rsidRDefault="00376ADD" w:rsidP="00CF6EC9">
            <w:pPr>
              <w:jc w:val="center"/>
              <w:rPr>
                <w:sz w:val="20"/>
                <w:szCs w:val="20"/>
              </w:rPr>
            </w:pPr>
            <w:r>
              <w:rPr>
                <w:sz w:val="20"/>
                <w:szCs w:val="20"/>
              </w:rPr>
              <w:t>8</w:t>
            </w:r>
          </w:p>
        </w:tc>
        <w:tc>
          <w:tcPr>
            <w:tcW w:w="1276" w:type="dxa"/>
            <w:vAlign w:val="center"/>
          </w:tcPr>
          <w:p w:rsidR="00CF6EC9" w:rsidRPr="00542783" w:rsidRDefault="00376ADD" w:rsidP="00CF6EC9">
            <w:pPr>
              <w:jc w:val="center"/>
              <w:rPr>
                <w:sz w:val="20"/>
                <w:szCs w:val="20"/>
              </w:rPr>
            </w:pPr>
            <w:r>
              <w:rPr>
                <w:sz w:val="20"/>
                <w:szCs w:val="20"/>
              </w:rPr>
              <w:t>1</w:t>
            </w:r>
          </w:p>
        </w:tc>
      </w:tr>
      <w:tr w:rsidR="00CF6EC9" w:rsidRPr="00542783" w:rsidTr="00CF6EC9">
        <w:tc>
          <w:tcPr>
            <w:tcW w:w="2376" w:type="dxa"/>
          </w:tcPr>
          <w:p w:rsidR="00CF6EC9" w:rsidRPr="00542783" w:rsidRDefault="00B475DD" w:rsidP="00CF6EC9">
            <w:pPr>
              <w:rPr>
                <w:sz w:val="20"/>
                <w:szCs w:val="20"/>
              </w:rPr>
            </w:pPr>
            <w:r>
              <w:rPr>
                <w:sz w:val="20"/>
                <w:szCs w:val="20"/>
              </w:rPr>
              <w:t>Amambay</w:t>
            </w:r>
          </w:p>
        </w:tc>
        <w:tc>
          <w:tcPr>
            <w:tcW w:w="2268" w:type="dxa"/>
          </w:tcPr>
          <w:p w:rsidR="00CF6EC9" w:rsidRPr="00542783" w:rsidRDefault="00B475DD" w:rsidP="00CF6EC9">
            <w:pPr>
              <w:rPr>
                <w:sz w:val="20"/>
                <w:szCs w:val="20"/>
              </w:rPr>
            </w:pPr>
            <w:r>
              <w:rPr>
                <w:sz w:val="20"/>
                <w:szCs w:val="20"/>
              </w:rPr>
              <w:t>Penitenciaría Regional de Pedro Juan Caballero</w:t>
            </w:r>
          </w:p>
        </w:tc>
        <w:tc>
          <w:tcPr>
            <w:tcW w:w="1047" w:type="dxa"/>
            <w:vAlign w:val="center"/>
          </w:tcPr>
          <w:p w:rsidR="00CF6EC9" w:rsidRPr="00542783" w:rsidRDefault="00244ADC" w:rsidP="00CF6EC9">
            <w:pPr>
              <w:jc w:val="center"/>
              <w:rPr>
                <w:sz w:val="20"/>
                <w:szCs w:val="20"/>
              </w:rPr>
            </w:pPr>
            <w:r>
              <w:rPr>
                <w:sz w:val="20"/>
                <w:szCs w:val="20"/>
              </w:rPr>
              <w:t>743</w:t>
            </w:r>
          </w:p>
        </w:tc>
        <w:tc>
          <w:tcPr>
            <w:tcW w:w="970" w:type="dxa"/>
            <w:vAlign w:val="center"/>
          </w:tcPr>
          <w:p w:rsidR="00CF6EC9" w:rsidRPr="00542783" w:rsidRDefault="00244ADC" w:rsidP="00CF6EC9">
            <w:pPr>
              <w:jc w:val="center"/>
              <w:rPr>
                <w:sz w:val="20"/>
                <w:szCs w:val="20"/>
              </w:rPr>
            </w:pPr>
            <w:r>
              <w:rPr>
                <w:sz w:val="20"/>
                <w:szCs w:val="20"/>
              </w:rPr>
              <w:t>42</w:t>
            </w:r>
          </w:p>
        </w:tc>
        <w:tc>
          <w:tcPr>
            <w:tcW w:w="1247" w:type="dxa"/>
            <w:vAlign w:val="center"/>
          </w:tcPr>
          <w:p w:rsidR="00CF6EC9" w:rsidRPr="00542783" w:rsidRDefault="0083347E" w:rsidP="00CF6EC9">
            <w:pPr>
              <w:jc w:val="center"/>
              <w:rPr>
                <w:sz w:val="20"/>
                <w:szCs w:val="20"/>
              </w:rPr>
            </w:pPr>
            <w:r>
              <w:rPr>
                <w:sz w:val="20"/>
                <w:szCs w:val="20"/>
              </w:rPr>
              <w:t>7</w:t>
            </w:r>
          </w:p>
        </w:tc>
        <w:tc>
          <w:tcPr>
            <w:tcW w:w="1276" w:type="dxa"/>
            <w:vAlign w:val="center"/>
          </w:tcPr>
          <w:p w:rsidR="00CF6EC9" w:rsidRPr="00542783" w:rsidRDefault="00CF6EC9" w:rsidP="00CF6EC9">
            <w:pPr>
              <w:jc w:val="center"/>
              <w:rPr>
                <w:sz w:val="20"/>
                <w:szCs w:val="20"/>
              </w:rPr>
            </w:pPr>
          </w:p>
        </w:tc>
      </w:tr>
      <w:tr w:rsidR="00B475DD" w:rsidRPr="00B475DD" w:rsidTr="00CF6EC9">
        <w:tc>
          <w:tcPr>
            <w:tcW w:w="2376" w:type="dxa"/>
          </w:tcPr>
          <w:p w:rsidR="00B475DD" w:rsidRPr="00B475DD" w:rsidRDefault="00B475DD" w:rsidP="00CF6EC9">
            <w:pPr>
              <w:rPr>
                <w:b/>
                <w:sz w:val="20"/>
                <w:szCs w:val="20"/>
              </w:rPr>
            </w:pPr>
            <w:r w:rsidRPr="00B475DD">
              <w:rPr>
                <w:b/>
                <w:sz w:val="20"/>
                <w:szCs w:val="20"/>
              </w:rPr>
              <w:t>Totales</w:t>
            </w:r>
          </w:p>
        </w:tc>
        <w:tc>
          <w:tcPr>
            <w:tcW w:w="2268" w:type="dxa"/>
          </w:tcPr>
          <w:p w:rsidR="00B475DD" w:rsidRPr="00B475DD" w:rsidRDefault="00B475DD" w:rsidP="00CF6EC9">
            <w:pPr>
              <w:rPr>
                <w:b/>
                <w:sz w:val="20"/>
                <w:szCs w:val="20"/>
              </w:rPr>
            </w:pPr>
          </w:p>
        </w:tc>
        <w:tc>
          <w:tcPr>
            <w:tcW w:w="1047" w:type="dxa"/>
            <w:vAlign w:val="center"/>
          </w:tcPr>
          <w:p w:rsidR="00B475DD" w:rsidRPr="00B475DD" w:rsidRDefault="00244ADC" w:rsidP="00CF6EC9">
            <w:pPr>
              <w:jc w:val="center"/>
              <w:rPr>
                <w:b/>
                <w:sz w:val="20"/>
                <w:szCs w:val="20"/>
              </w:rPr>
            </w:pPr>
            <w:r>
              <w:rPr>
                <w:b/>
                <w:sz w:val="20"/>
                <w:szCs w:val="20"/>
              </w:rPr>
              <w:t>12370</w:t>
            </w:r>
          </w:p>
        </w:tc>
        <w:tc>
          <w:tcPr>
            <w:tcW w:w="970" w:type="dxa"/>
            <w:vAlign w:val="center"/>
          </w:tcPr>
          <w:p w:rsidR="00B475DD" w:rsidRPr="00B475DD" w:rsidRDefault="00244ADC" w:rsidP="00CF6EC9">
            <w:pPr>
              <w:jc w:val="center"/>
              <w:rPr>
                <w:b/>
                <w:sz w:val="20"/>
                <w:szCs w:val="20"/>
              </w:rPr>
            </w:pPr>
            <w:r>
              <w:rPr>
                <w:b/>
                <w:sz w:val="20"/>
                <w:szCs w:val="20"/>
              </w:rPr>
              <w:t>822</w:t>
            </w:r>
          </w:p>
        </w:tc>
        <w:tc>
          <w:tcPr>
            <w:tcW w:w="1247" w:type="dxa"/>
            <w:vAlign w:val="center"/>
          </w:tcPr>
          <w:p w:rsidR="00B475DD" w:rsidRPr="00B475DD" w:rsidRDefault="0081572C" w:rsidP="00CF6EC9">
            <w:pPr>
              <w:jc w:val="center"/>
              <w:rPr>
                <w:b/>
                <w:sz w:val="20"/>
                <w:szCs w:val="20"/>
              </w:rPr>
            </w:pPr>
            <w:r>
              <w:rPr>
                <w:b/>
                <w:sz w:val="20"/>
                <w:szCs w:val="20"/>
              </w:rPr>
              <w:t>150</w:t>
            </w:r>
          </w:p>
        </w:tc>
        <w:tc>
          <w:tcPr>
            <w:tcW w:w="1276" w:type="dxa"/>
            <w:vAlign w:val="center"/>
          </w:tcPr>
          <w:p w:rsidR="00B475DD" w:rsidRPr="00B475DD" w:rsidRDefault="0081572C" w:rsidP="00CF6EC9">
            <w:pPr>
              <w:jc w:val="center"/>
              <w:rPr>
                <w:b/>
                <w:sz w:val="20"/>
                <w:szCs w:val="20"/>
              </w:rPr>
            </w:pPr>
            <w:r>
              <w:rPr>
                <w:b/>
                <w:sz w:val="20"/>
                <w:szCs w:val="20"/>
              </w:rPr>
              <w:t>19</w:t>
            </w:r>
          </w:p>
        </w:tc>
      </w:tr>
    </w:tbl>
    <w:p w:rsidR="009F6599" w:rsidRDefault="009F6599" w:rsidP="009F6599">
      <w:pPr>
        <w:spacing w:after="0" w:line="240" w:lineRule="auto"/>
        <w:jc w:val="both"/>
      </w:pPr>
      <w:r>
        <w:t>Fuente: Ministerio de Justicia, Parte Diario del 15/12/2016 y Ministerio de la Defensa Pública (2017).</w:t>
      </w:r>
    </w:p>
    <w:p w:rsidR="007C3392" w:rsidRDefault="007C3392" w:rsidP="00C83BE8">
      <w:pPr>
        <w:spacing w:after="0" w:line="240" w:lineRule="auto"/>
        <w:jc w:val="both"/>
      </w:pPr>
    </w:p>
    <w:p w:rsidR="00EE08F7" w:rsidRDefault="00EE08F7" w:rsidP="00C347BD">
      <w:pPr>
        <w:spacing w:after="0" w:line="240" w:lineRule="auto"/>
        <w:jc w:val="both"/>
        <w:rPr>
          <w:b/>
        </w:rPr>
      </w:pPr>
      <w:r>
        <w:rPr>
          <w:b/>
        </w:rPr>
        <w:t>CUADRO</w:t>
      </w:r>
    </w:p>
    <w:p w:rsidR="00C347BD" w:rsidRDefault="00C347BD" w:rsidP="00C347BD">
      <w:pPr>
        <w:spacing w:after="0" w:line="240" w:lineRule="auto"/>
        <w:jc w:val="both"/>
        <w:rPr>
          <w:b/>
        </w:rPr>
      </w:pPr>
      <w:r w:rsidRPr="00C347BD">
        <w:rPr>
          <w:b/>
        </w:rPr>
        <w:t xml:space="preserve">Defensores penales </w:t>
      </w:r>
      <w:r>
        <w:rPr>
          <w:b/>
        </w:rPr>
        <w:t>de la adolescencia</w:t>
      </w:r>
      <w:r w:rsidRPr="00C347BD">
        <w:rPr>
          <w:b/>
        </w:rPr>
        <w:t xml:space="preserve"> </w:t>
      </w:r>
    </w:p>
    <w:p w:rsidR="00C347BD" w:rsidRPr="00C347BD" w:rsidRDefault="00C347BD" w:rsidP="00C347BD">
      <w:pPr>
        <w:spacing w:after="0" w:line="240" w:lineRule="auto"/>
        <w:jc w:val="both"/>
        <w:rPr>
          <w:b/>
        </w:rPr>
      </w:pPr>
      <w:r>
        <w:rPr>
          <w:b/>
        </w:rPr>
        <w:t>P</w:t>
      </w:r>
      <w:r w:rsidRPr="00C347BD">
        <w:rPr>
          <w:b/>
        </w:rPr>
        <w:t>or circunscripciones y centros penitenciarios</w:t>
      </w:r>
      <w:r>
        <w:rPr>
          <w:b/>
        </w:rPr>
        <w:t xml:space="preserve"> (2017)</w:t>
      </w:r>
    </w:p>
    <w:p w:rsidR="001421B3" w:rsidRDefault="001421B3" w:rsidP="00C83BE8">
      <w:pPr>
        <w:spacing w:after="0" w:line="240" w:lineRule="auto"/>
        <w:jc w:val="both"/>
      </w:pPr>
    </w:p>
    <w:tbl>
      <w:tblPr>
        <w:tblStyle w:val="TableGrid"/>
        <w:tblW w:w="9184" w:type="dxa"/>
        <w:tblLook w:val="04A0" w:firstRow="1" w:lastRow="0" w:firstColumn="1" w:lastColumn="0" w:noHBand="0" w:noVBand="1"/>
      </w:tblPr>
      <w:tblGrid>
        <w:gridCol w:w="2131"/>
        <w:gridCol w:w="1982"/>
        <w:gridCol w:w="1047"/>
        <w:gridCol w:w="970"/>
        <w:gridCol w:w="1527"/>
        <w:gridCol w:w="1527"/>
      </w:tblGrid>
      <w:tr w:rsidR="001421B3" w:rsidRPr="00542783" w:rsidTr="001421B3">
        <w:tc>
          <w:tcPr>
            <w:tcW w:w="2131" w:type="dxa"/>
            <w:vMerge w:val="restart"/>
            <w:shd w:val="clear" w:color="auto" w:fill="D9D9D9" w:themeFill="background1" w:themeFillShade="D9"/>
            <w:vAlign w:val="center"/>
          </w:tcPr>
          <w:p w:rsidR="001421B3" w:rsidRPr="00542783" w:rsidRDefault="001421B3" w:rsidP="006E6060">
            <w:pPr>
              <w:jc w:val="center"/>
              <w:rPr>
                <w:b/>
              </w:rPr>
            </w:pPr>
            <w:r w:rsidRPr="00542783">
              <w:rPr>
                <w:b/>
              </w:rPr>
              <w:t>Circunscripción judicial</w:t>
            </w:r>
          </w:p>
        </w:tc>
        <w:tc>
          <w:tcPr>
            <w:tcW w:w="1982" w:type="dxa"/>
            <w:vMerge w:val="restart"/>
            <w:shd w:val="clear" w:color="auto" w:fill="D9D9D9" w:themeFill="background1" w:themeFillShade="D9"/>
            <w:vAlign w:val="center"/>
          </w:tcPr>
          <w:p w:rsidR="001421B3" w:rsidRPr="00542783" w:rsidRDefault="001421B3" w:rsidP="006E6060">
            <w:pPr>
              <w:jc w:val="center"/>
              <w:rPr>
                <w:b/>
              </w:rPr>
            </w:pPr>
            <w:r>
              <w:rPr>
                <w:b/>
              </w:rPr>
              <w:t>Centros Educativos</w:t>
            </w:r>
          </w:p>
        </w:tc>
        <w:tc>
          <w:tcPr>
            <w:tcW w:w="2017" w:type="dxa"/>
            <w:gridSpan w:val="2"/>
            <w:shd w:val="clear" w:color="auto" w:fill="D9D9D9" w:themeFill="background1" w:themeFillShade="D9"/>
            <w:vAlign w:val="center"/>
          </w:tcPr>
          <w:p w:rsidR="001421B3" w:rsidRPr="00542783" w:rsidRDefault="001421B3" w:rsidP="001421B3">
            <w:pPr>
              <w:jc w:val="center"/>
              <w:rPr>
                <w:b/>
              </w:rPr>
            </w:pPr>
            <w:r>
              <w:rPr>
                <w:b/>
              </w:rPr>
              <w:t>Adolescentes</w:t>
            </w:r>
            <w:r w:rsidRPr="00542783">
              <w:rPr>
                <w:b/>
              </w:rPr>
              <w:t xml:space="preserve"> privad</w:t>
            </w:r>
            <w:r>
              <w:rPr>
                <w:b/>
              </w:rPr>
              <w:t>o</w:t>
            </w:r>
            <w:r w:rsidRPr="00542783">
              <w:rPr>
                <w:b/>
              </w:rPr>
              <w:t>s de libertad</w:t>
            </w:r>
          </w:p>
        </w:tc>
        <w:tc>
          <w:tcPr>
            <w:tcW w:w="1527" w:type="dxa"/>
            <w:vMerge w:val="restart"/>
            <w:shd w:val="clear" w:color="auto" w:fill="D9D9D9" w:themeFill="background1" w:themeFillShade="D9"/>
            <w:vAlign w:val="center"/>
          </w:tcPr>
          <w:p w:rsidR="001421B3" w:rsidRPr="00542783" w:rsidRDefault="001421B3" w:rsidP="006E6060">
            <w:pPr>
              <w:jc w:val="center"/>
              <w:rPr>
                <w:b/>
              </w:rPr>
            </w:pPr>
            <w:r w:rsidRPr="00542783">
              <w:rPr>
                <w:b/>
              </w:rPr>
              <w:t>Defensores penales</w:t>
            </w:r>
            <w:r>
              <w:rPr>
                <w:b/>
              </w:rPr>
              <w:t xml:space="preserve"> especializados</w:t>
            </w:r>
          </w:p>
        </w:tc>
        <w:tc>
          <w:tcPr>
            <w:tcW w:w="1527" w:type="dxa"/>
            <w:vMerge w:val="restart"/>
            <w:shd w:val="clear" w:color="auto" w:fill="D9D9D9" w:themeFill="background1" w:themeFillShade="D9"/>
            <w:vAlign w:val="center"/>
          </w:tcPr>
          <w:p w:rsidR="001421B3" w:rsidRPr="00542783" w:rsidRDefault="001421B3" w:rsidP="006E6060">
            <w:pPr>
              <w:jc w:val="center"/>
              <w:rPr>
                <w:b/>
              </w:rPr>
            </w:pPr>
            <w:r w:rsidRPr="00542783">
              <w:rPr>
                <w:b/>
              </w:rPr>
              <w:t>Defensores penales</w:t>
            </w:r>
            <w:r>
              <w:rPr>
                <w:b/>
              </w:rPr>
              <w:t xml:space="preserve"> no especializados</w:t>
            </w:r>
          </w:p>
        </w:tc>
      </w:tr>
      <w:tr w:rsidR="001421B3" w:rsidTr="001421B3">
        <w:tc>
          <w:tcPr>
            <w:tcW w:w="2131" w:type="dxa"/>
            <w:vMerge/>
          </w:tcPr>
          <w:p w:rsidR="001421B3" w:rsidRDefault="001421B3" w:rsidP="006E6060">
            <w:pPr>
              <w:jc w:val="both"/>
            </w:pPr>
          </w:p>
        </w:tc>
        <w:tc>
          <w:tcPr>
            <w:tcW w:w="1982" w:type="dxa"/>
            <w:vMerge/>
          </w:tcPr>
          <w:p w:rsidR="001421B3" w:rsidRDefault="001421B3" w:rsidP="006E6060">
            <w:pPr>
              <w:jc w:val="both"/>
            </w:pPr>
          </w:p>
        </w:tc>
        <w:tc>
          <w:tcPr>
            <w:tcW w:w="1047" w:type="dxa"/>
            <w:shd w:val="clear" w:color="auto" w:fill="D9D9D9" w:themeFill="background1" w:themeFillShade="D9"/>
          </w:tcPr>
          <w:p w:rsidR="001421B3" w:rsidRPr="00542783" w:rsidRDefault="001421B3" w:rsidP="006E6060">
            <w:pPr>
              <w:jc w:val="center"/>
              <w:rPr>
                <w:b/>
              </w:rPr>
            </w:pPr>
            <w:r w:rsidRPr="00542783">
              <w:rPr>
                <w:b/>
              </w:rPr>
              <w:t>Hombres</w:t>
            </w:r>
          </w:p>
        </w:tc>
        <w:tc>
          <w:tcPr>
            <w:tcW w:w="970" w:type="dxa"/>
            <w:shd w:val="clear" w:color="auto" w:fill="D9D9D9" w:themeFill="background1" w:themeFillShade="D9"/>
          </w:tcPr>
          <w:p w:rsidR="001421B3" w:rsidRPr="00542783" w:rsidRDefault="001421B3" w:rsidP="006E6060">
            <w:pPr>
              <w:jc w:val="center"/>
              <w:rPr>
                <w:b/>
              </w:rPr>
            </w:pPr>
            <w:r w:rsidRPr="00542783">
              <w:rPr>
                <w:b/>
              </w:rPr>
              <w:t>Mujeres</w:t>
            </w:r>
          </w:p>
        </w:tc>
        <w:tc>
          <w:tcPr>
            <w:tcW w:w="1527" w:type="dxa"/>
            <w:vMerge/>
          </w:tcPr>
          <w:p w:rsidR="001421B3" w:rsidRDefault="001421B3" w:rsidP="006E6060">
            <w:pPr>
              <w:jc w:val="both"/>
            </w:pPr>
          </w:p>
        </w:tc>
        <w:tc>
          <w:tcPr>
            <w:tcW w:w="1527" w:type="dxa"/>
            <w:vMerge/>
          </w:tcPr>
          <w:p w:rsidR="001421B3" w:rsidRDefault="001421B3" w:rsidP="006E6060">
            <w:pPr>
              <w:jc w:val="both"/>
            </w:pPr>
          </w:p>
        </w:tc>
      </w:tr>
      <w:tr w:rsidR="001421B3" w:rsidRPr="00542783" w:rsidTr="001421B3">
        <w:tc>
          <w:tcPr>
            <w:tcW w:w="2131" w:type="dxa"/>
          </w:tcPr>
          <w:p w:rsidR="001421B3" w:rsidRPr="00542783" w:rsidRDefault="001421B3" w:rsidP="001421B3">
            <w:pPr>
              <w:rPr>
                <w:sz w:val="20"/>
                <w:szCs w:val="20"/>
              </w:rPr>
            </w:pPr>
            <w:r w:rsidRPr="00542783">
              <w:rPr>
                <w:sz w:val="20"/>
                <w:szCs w:val="20"/>
              </w:rPr>
              <w:t>Capital, Centra</w:t>
            </w:r>
            <w:r>
              <w:rPr>
                <w:sz w:val="20"/>
                <w:szCs w:val="20"/>
              </w:rPr>
              <w:t xml:space="preserve">l, Cordillera, Presidente Hayes, </w:t>
            </w:r>
            <w:r w:rsidRPr="00542783">
              <w:rPr>
                <w:sz w:val="20"/>
                <w:szCs w:val="20"/>
              </w:rPr>
              <w:t>Boquerón</w:t>
            </w:r>
            <w:r>
              <w:rPr>
                <w:sz w:val="20"/>
                <w:szCs w:val="20"/>
              </w:rPr>
              <w:t>, Misiones, Paraguarí y Ñeembucú</w:t>
            </w:r>
          </w:p>
        </w:tc>
        <w:tc>
          <w:tcPr>
            <w:tcW w:w="1982" w:type="dxa"/>
          </w:tcPr>
          <w:p w:rsidR="001421B3" w:rsidRDefault="00196F85" w:rsidP="00196F85">
            <w:pPr>
              <w:rPr>
                <w:sz w:val="20"/>
                <w:szCs w:val="20"/>
              </w:rPr>
            </w:pPr>
            <w:r>
              <w:rPr>
                <w:sz w:val="20"/>
                <w:szCs w:val="20"/>
              </w:rPr>
              <w:t xml:space="preserve">Centro Educativo </w:t>
            </w:r>
            <w:proofErr w:type="spellStart"/>
            <w:r>
              <w:rPr>
                <w:sz w:val="20"/>
                <w:szCs w:val="20"/>
              </w:rPr>
              <w:t>Itauguá</w:t>
            </w:r>
            <w:proofErr w:type="spellEnd"/>
          </w:p>
          <w:p w:rsidR="00196F85" w:rsidRDefault="00196F85" w:rsidP="00196F85">
            <w:pPr>
              <w:rPr>
                <w:sz w:val="20"/>
                <w:szCs w:val="20"/>
              </w:rPr>
            </w:pPr>
            <w:r>
              <w:rPr>
                <w:sz w:val="20"/>
                <w:szCs w:val="20"/>
              </w:rPr>
              <w:t>Centro Educativo La Esperanza</w:t>
            </w:r>
          </w:p>
          <w:p w:rsidR="00196F85" w:rsidRPr="00542783" w:rsidRDefault="00196F85" w:rsidP="00196F85">
            <w:pPr>
              <w:rPr>
                <w:sz w:val="20"/>
                <w:szCs w:val="20"/>
              </w:rPr>
            </w:pPr>
            <w:r>
              <w:rPr>
                <w:sz w:val="20"/>
                <w:szCs w:val="20"/>
              </w:rPr>
              <w:t>Centro Educativo "Virgen de Fátima"</w:t>
            </w:r>
          </w:p>
        </w:tc>
        <w:tc>
          <w:tcPr>
            <w:tcW w:w="1047" w:type="dxa"/>
            <w:vAlign w:val="center"/>
          </w:tcPr>
          <w:p w:rsidR="001421B3" w:rsidRPr="00542783" w:rsidRDefault="005E07E7" w:rsidP="006E6060">
            <w:pPr>
              <w:jc w:val="center"/>
              <w:rPr>
                <w:sz w:val="20"/>
                <w:szCs w:val="20"/>
              </w:rPr>
            </w:pPr>
            <w:r>
              <w:rPr>
                <w:sz w:val="20"/>
                <w:szCs w:val="20"/>
              </w:rPr>
              <w:t>142</w:t>
            </w:r>
          </w:p>
        </w:tc>
        <w:tc>
          <w:tcPr>
            <w:tcW w:w="970" w:type="dxa"/>
            <w:vAlign w:val="center"/>
          </w:tcPr>
          <w:p w:rsidR="001421B3" w:rsidRPr="00542783" w:rsidRDefault="005E07E7" w:rsidP="006E6060">
            <w:pPr>
              <w:jc w:val="center"/>
              <w:rPr>
                <w:sz w:val="20"/>
                <w:szCs w:val="20"/>
              </w:rPr>
            </w:pPr>
            <w:r>
              <w:rPr>
                <w:sz w:val="20"/>
                <w:szCs w:val="20"/>
              </w:rPr>
              <w:t>10</w:t>
            </w:r>
          </w:p>
        </w:tc>
        <w:tc>
          <w:tcPr>
            <w:tcW w:w="1527" w:type="dxa"/>
            <w:vAlign w:val="center"/>
          </w:tcPr>
          <w:p w:rsidR="001421B3" w:rsidRPr="00542783" w:rsidRDefault="006F03C7" w:rsidP="006E6060">
            <w:pPr>
              <w:jc w:val="center"/>
              <w:rPr>
                <w:sz w:val="20"/>
                <w:szCs w:val="20"/>
              </w:rPr>
            </w:pPr>
            <w:r>
              <w:rPr>
                <w:sz w:val="20"/>
                <w:szCs w:val="20"/>
              </w:rPr>
              <w:t>9</w:t>
            </w:r>
          </w:p>
        </w:tc>
        <w:tc>
          <w:tcPr>
            <w:tcW w:w="1527" w:type="dxa"/>
            <w:vAlign w:val="center"/>
          </w:tcPr>
          <w:p w:rsidR="001421B3" w:rsidRPr="00542783" w:rsidRDefault="006F03C7" w:rsidP="006E6060">
            <w:pPr>
              <w:jc w:val="center"/>
              <w:rPr>
                <w:sz w:val="20"/>
                <w:szCs w:val="20"/>
              </w:rPr>
            </w:pPr>
            <w:r>
              <w:rPr>
                <w:sz w:val="20"/>
                <w:szCs w:val="20"/>
              </w:rPr>
              <w:t>3</w:t>
            </w:r>
          </w:p>
        </w:tc>
      </w:tr>
      <w:tr w:rsidR="001421B3" w:rsidRPr="00542783" w:rsidTr="001421B3">
        <w:tc>
          <w:tcPr>
            <w:tcW w:w="2131" w:type="dxa"/>
          </w:tcPr>
          <w:p w:rsidR="001421B3" w:rsidRPr="00542783" w:rsidRDefault="001421B3" w:rsidP="006E6060">
            <w:pPr>
              <w:rPr>
                <w:sz w:val="20"/>
                <w:szCs w:val="20"/>
              </w:rPr>
            </w:pPr>
            <w:r>
              <w:rPr>
                <w:sz w:val="20"/>
                <w:szCs w:val="20"/>
              </w:rPr>
              <w:t>Caaguazú, San Pedro, Guairá y Caazapá</w:t>
            </w:r>
          </w:p>
        </w:tc>
        <w:tc>
          <w:tcPr>
            <w:tcW w:w="1982" w:type="dxa"/>
          </w:tcPr>
          <w:p w:rsidR="001421B3" w:rsidRPr="00542783" w:rsidRDefault="001421B3" w:rsidP="001421B3">
            <w:pPr>
              <w:rPr>
                <w:sz w:val="20"/>
                <w:szCs w:val="20"/>
              </w:rPr>
            </w:pPr>
            <w:r>
              <w:rPr>
                <w:sz w:val="20"/>
                <w:szCs w:val="20"/>
              </w:rPr>
              <w:t>Centro Educativo "Sembrador" de Villarrica</w:t>
            </w:r>
          </w:p>
          <w:p w:rsidR="001421B3" w:rsidRPr="00542783" w:rsidRDefault="001421B3" w:rsidP="006E6060">
            <w:pPr>
              <w:rPr>
                <w:sz w:val="20"/>
                <w:szCs w:val="20"/>
              </w:rPr>
            </w:pPr>
          </w:p>
        </w:tc>
        <w:tc>
          <w:tcPr>
            <w:tcW w:w="1047" w:type="dxa"/>
            <w:vAlign w:val="center"/>
          </w:tcPr>
          <w:p w:rsidR="001421B3" w:rsidRPr="00542783" w:rsidRDefault="005E07E7" w:rsidP="006E6060">
            <w:pPr>
              <w:jc w:val="center"/>
              <w:rPr>
                <w:sz w:val="20"/>
                <w:szCs w:val="20"/>
              </w:rPr>
            </w:pPr>
            <w:r>
              <w:rPr>
                <w:sz w:val="20"/>
                <w:szCs w:val="20"/>
              </w:rPr>
              <w:t>45</w:t>
            </w:r>
          </w:p>
        </w:tc>
        <w:tc>
          <w:tcPr>
            <w:tcW w:w="970" w:type="dxa"/>
            <w:vAlign w:val="center"/>
          </w:tcPr>
          <w:p w:rsidR="001421B3" w:rsidRPr="00542783" w:rsidRDefault="005E07E7" w:rsidP="006E6060">
            <w:pPr>
              <w:jc w:val="center"/>
              <w:rPr>
                <w:sz w:val="20"/>
                <w:szCs w:val="20"/>
              </w:rPr>
            </w:pPr>
            <w:r>
              <w:rPr>
                <w:sz w:val="20"/>
                <w:szCs w:val="20"/>
              </w:rPr>
              <w:t>-</w:t>
            </w:r>
          </w:p>
        </w:tc>
        <w:tc>
          <w:tcPr>
            <w:tcW w:w="1527" w:type="dxa"/>
            <w:vAlign w:val="center"/>
          </w:tcPr>
          <w:p w:rsidR="001421B3" w:rsidRPr="00542783" w:rsidRDefault="00936134" w:rsidP="006E6060">
            <w:pPr>
              <w:jc w:val="center"/>
              <w:rPr>
                <w:sz w:val="20"/>
                <w:szCs w:val="20"/>
              </w:rPr>
            </w:pPr>
            <w:r>
              <w:rPr>
                <w:sz w:val="20"/>
                <w:szCs w:val="20"/>
              </w:rPr>
              <w:t>1</w:t>
            </w:r>
          </w:p>
        </w:tc>
        <w:tc>
          <w:tcPr>
            <w:tcW w:w="1527" w:type="dxa"/>
            <w:vAlign w:val="center"/>
          </w:tcPr>
          <w:p w:rsidR="001421B3" w:rsidRPr="00542783" w:rsidRDefault="006F03C7" w:rsidP="006E6060">
            <w:pPr>
              <w:jc w:val="center"/>
              <w:rPr>
                <w:sz w:val="20"/>
                <w:szCs w:val="20"/>
              </w:rPr>
            </w:pPr>
            <w:r>
              <w:rPr>
                <w:sz w:val="20"/>
                <w:szCs w:val="20"/>
              </w:rPr>
              <w:t>7</w:t>
            </w:r>
          </w:p>
        </w:tc>
      </w:tr>
      <w:tr w:rsidR="001421B3" w:rsidRPr="00542783" w:rsidTr="001421B3">
        <w:tc>
          <w:tcPr>
            <w:tcW w:w="2131" w:type="dxa"/>
          </w:tcPr>
          <w:p w:rsidR="001421B3" w:rsidRPr="00542783" w:rsidRDefault="001421B3" w:rsidP="006E6060">
            <w:pPr>
              <w:rPr>
                <w:sz w:val="20"/>
                <w:szCs w:val="20"/>
              </w:rPr>
            </w:pPr>
            <w:r>
              <w:rPr>
                <w:sz w:val="20"/>
                <w:szCs w:val="20"/>
              </w:rPr>
              <w:t>Alto Paraná y Canindeyú</w:t>
            </w:r>
          </w:p>
        </w:tc>
        <w:tc>
          <w:tcPr>
            <w:tcW w:w="1982" w:type="dxa"/>
          </w:tcPr>
          <w:p w:rsidR="001421B3" w:rsidRPr="00542783" w:rsidRDefault="001421B3" w:rsidP="006E6060">
            <w:pPr>
              <w:rPr>
                <w:sz w:val="20"/>
                <w:szCs w:val="20"/>
              </w:rPr>
            </w:pPr>
            <w:r>
              <w:rPr>
                <w:sz w:val="20"/>
                <w:szCs w:val="20"/>
              </w:rPr>
              <w:t>Centro Educativo del Este</w:t>
            </w:r>
          </w:p>
        </w:tc>
        <w:tc>
          <w:tcPr>
            <w:tcW w:w="1047" w:type="dxa"/>
            <w:vAlign w:val="center"/>
          </w:tcPr>
          <w:p w:rsidR="001421B3" w:rsidRPr="00542783" w:rsidRDefault="005E07E7" w:rsidP="006E6060">
            <w:pPr>
              <w:jc w:val="center"/>
              <w:rPr>
                <w:sz w:val="20"/>
                <w:szCs w:val="20"/>
              </w:rPr>
            </w:pPr>
            <w:r>
              <w:rPr>
                <w:sz w:val="20"/>
                <w:szCs w:val="20"/>
              </w:rPr>
              <w:t>66</w:t>
            </w:r>
          </w:p>
        </w:tc>
        <w:tc>
          <w:tcPr>
            <w:tcW w:w="970" w:type="dxa"/>
            <w:vAlign w:val="center"/>
          </w:tcPr>
          <w:p w:rsidR="001421B3" w:rsidRPr="00542783" w:rsidRDefault="005E07E7" w:rsidP="006E6060">
            <w:pPr>
              <w:jc w:val="center"/>
              <w:rPr>
                <w:sz w:val="20"/>
                <w:szCs w:val="20"/>
              </w:rPr>
            </w:pPr>
            <w:r>
              <w:rPr>
                <w:sz w:val="20"/>
                <w:szCs w:val="20"/>
              </w:rPr>
              <w:t>-</w:t>
            </w:r>
          </w:p>
        </w:tc>
        <w:tc>
          <w:tcPr>
            <w:tcW w:w="1527" w:type="dxa"/>
            <w:vAlign w:val="center"/>
          </w:tcPr>
          <w:p w:rsidR="001421B3" w:rsidRPr="00542783" w:rsidRDefault="00936134" w:rsidP="006E6060">
            <w:pPr>
              <w:jc w:val="center"/>
              <w:rPr>
                <w:sz w:val="20"/>
                <w:szCs w:val="20"/>
              </w:rPr>
            </w:pPr>
            <w:r>
              <w:rPr>
                <w:sz w:val="20"/>
                <w:szCs w:val="20"/>
              </w:rPr>
              <w:t>1</w:t>
            </w:r>
          </w:p>
        </w:tc>
        <w:tc>
          <w:tcPr>
            <w:tcW w:w="1527" w:type="dxa"/>
            <w:vAlign w:val="center"/>
          </w:tcPr>
          <w:p w:rsidR="001421B3" w:rsidRPr="00542783" w:rsidRDefault="006F03C7" w:rsidP="006E6060">
            <w:pPr>
              <w:jc w:val="center"/>
              <w:rPr>
                <w:sz w:val="20"/>
                <w:szCs w:val="20"/>
              </w:rPr>
            </w:pPr>
            <w:r>
              <w:rPr>
                <w:sz w:val="20"/>
                <w:szCs w:val="20"/>
              </w:rPr>
              <w:t>5</w:t>
            </w:r>
          </w:p>
        </w:tc>
      </w:tr>
      <w:tr w:rsidR="001421B3" w:rsidRPr="00542783" w:rsidTr="001421B3">
        <w:tc>
          <w:tcPr>
            <w:tcW w:w="2131" w:type="dxa"/>
          </w:tcPr>
          <w:p w:rsidR="001421B3" w:rsidRPr="00542783" w:rsidRDefault="001421B3" w:rsidP="006E6060">
            <w:pPr>
              <w:rPr>
                <w:sz w:val="20"/>
                <w:szCs w:val="20"/>
              </w:rPr>
            </w:pPr>
            <w:r>
              <w:rPr>
                <w:sz w:val="20"/>
                <w:szCs w:val="20"/>
              </w:rPr>
              <w:t>Concepción y Alto Paraguay</w:t>
            </w:r>
          </w:p>
        </w:tc>
        <w:tc>
          <w:tcPr>
            <w:tcW w:w="1982" w:type="dxa"/>
          </w:tcPr>
          <w:p w:rsidR="001421B3" w:rsidRPr="00542783" w:rsidRDefault="001421B3" w:rsidP="006E6060">
            <w:pPr>
              <w:rPr>
                <w:sz w:val="20"/>
                <w:szCs w:val="20"/>
              </w:rPr>
            </w:pPr>
            <w:r>
              <w:rPr>
                <w:sz w:val="20"/>
                <w:szCs w:val="20"/>
              </w:rPr>
              <w:t>Centro Educativo de Concepción</w:t>
            </w:r>
          </w:p>
        </w:tc>
        <w:tc>
          <w:tcPr>
            <w:tcW w:w="1047" w:type="dxa"/>
            <w:vAlign w:val="center"/>
          </w:tcPr>
          <w:p w:rsidR="001421B3" w:rsidRPr="00542783" w:rsidRDefault="005E07E7" w:rsidP="006E6060">
            <w:pPr>
              <w:jc w:val="center"/>
              <w:rPr>
                <w:sz w:val="20"/>
                <w:szCs w:val="20"/>
              </w:rPr>
            </w:pPr>
            <w:r>
              <w:rPr>
                <w:sz w:val="20"/>
                <w:szCs w:val="20"/>
              </w:rPr>
              <w:t>15</w:t>
            </w:r>
          </w:p>
        </w:tc>
        <w:tc>
          <w:tcPr>
            <w:tcW w:w="970" w:type="dxa"/>
            <w:vAlign w:val="center"/>
          </w:tcPr>
          <w:p w:rsidR="001421B3" w:rsidRPr="00542783" w:rsidRDefault="005E07E7" w:rsidP="006E6060">
            <w:pPr>
              <w:jc w:val="center"/>
              <w:rPr>
                <w:sz w:val="20"/>
                <w:szCs w:val="20"/>
              </w:rPr>
            </w:pPr>
            <w:r>
              <w:rPr>
                <w:sz w:val="20"/>
                <w:szCs w:val="20"/>
              </w:rPr>
              <w:t>-</w:t>
            </w:r>
          </w:p>
        </w:tc>
        <w:tc>
          <w:tcPr>
            <w:tcW w:w="1527" w:type="dxa"/>
            <w:vAlign w:val="center"/>
          </w:tcPr>
          <w:p w:rsidR="001421B3" w:rsidRPr="00542783" w:rsidRDefault="006F03C7" w:rsidP="006E6060">
            <w:pPr>
              <w:jc w:val="center"/>
              <w:rPr>
                <w:sz w:val="20"/>
                <w:szCs w:val="20"/>
              </w:rPr>
            </w:pPr>
            <w:r>
              <w:rPr>
                <w:sz w:val="20"/>
                <w:szCs w:val="20"/>
              </w:rPr>
              <w:t>-</w:t>
            </w:r>
          </w:p>
        </w:tc>
        <w:tc>
          <w:tcPr>
            <w:tcW w:w="1527" w:type="dxa"/>
            <w:vAlign w:val="center"/>
          </w:tcPr>
          <w:p w:rsidR="001421B3" w:rsidRPr="00542783" w:rsidRDefault="00936134" w:rsidP="006E6060">
            <w:pPr>
              <w:jc w:val="center"/>
              <w:rPr>
                <w:sz w:val="20"/>
                <w:szCs w:val="20"/>
              </w:rPr>
            </w:pPr>
            <w:r>
              <w:rPr>
                <w:sz w:val="20"/>
                <w:szCs w:val="20"/>
              </w:rPr>
              <w:t>3</w:t>
            </w:r>
          </w:p>
        </w:tc>
      </w:tr>
      <w:tr w:rsidR="001421B3" w:rsidRPr="00542783" w:rsidTr="001421B3">
        <w:tc>
          <w:tcPr>
            <w:tcW w:w="2131" w:type="dxa"/>
          </w:tcPr>
          <w:p w:rsidR="001421B3" w:rsidRPr="00542783" w:rsidRDefault="001421B3" w:rsidP="006E6060">
            <w:pPr>
              <w:rPr>
                <w:sz w:val="20"/>
                <w:szCs w:val="20"/>
              </w:rPr>
            </w:pPr>
            <w:r>
              <w:rPr>
                <w:sz w:val="20"/>
                <w:szCs w:val="20"/>
              </w:rPr>
              <w:t>Itapúa</w:t>
            </w:r>
          </w:p>
        </w:tc>
        <w:tc>
          <w:tcPr>
            <w:tcW w:w="1982" w:type="dxa"/>
          </w:tcPr>
          <w:p w:rsidR="001421B3" w:rsidRPr="00542783" w:rsidRDefault="001421B3" w:rsidP="00196F85">
            <w:pPr>
              <w:rPr>
                <w:sz w:val="20"/>
                <w:szCs w:val="20"/>
              </w:rPr>
            </w:pPr>
            <w:r>
              <w:rPr>
                <w:sz w:val="20"/>
                <w:szCs w:val="20"/>
              </w:rPr>
              <w:t xml:space="preserve">Centro </w:t>
            </w:r>
            <w:r w:rsidR="00196F85">
              <w:rPr>
                <w:sz w:val="20"/>
                <w:szCs w:val="20"/>
              </w:rPr>
              <w:t xml:space="preserve">Educativo </w:t>
            </w:r>
            <w:r>
              <w:rPr>
                <w:sz w:val="20"/>
                <w:szCs w:val="20"/>
              </w:rPr>
              <w:t xml:space="preserve">de </w:t>
            </w:r>
            <w:proofErr w:type="spellStart"/>
            <w:r w:rsidR="00196F85">
              <w:rPr>
                <w:sz w:val="20"/>
                <w:szCs w:val="20"/>
              </w:rPr>
              <w:t>Kambyret</w:t>
            </w:r>
            <w:r w:rsidR="00196F85" w:rsidRPr="00542783">
              <w:rPr>
                <w:sz w:val="20"/>
                <w:szCs w:val="20"/>
              </w:rPr>
              <w:t>ã</w:t>
            </w:r>
            <w:proofErr w:type="spellEnd"/>
          </w:p>
        </w:tc>
        <w:tc>
          <w:tcPr>
            <w:tcW w:w="1047" w:type="dxa"/>
            <w:vAlign w:val="center"/>
          </w:tcPr>
          <w:p w:rsidR="001421B3" w:rsidRPr="00542783" w:rsidRDefault="005E07E7" w:rsidP="006E6060">
            <w:pPr>
              <w:jc w:val="center"/>
              <w:rPr>
                <w:sz w:val="20"/>
                <w:szCs w:val="20"/>
              </w:rPr>
            </w:pPr>
            <w:r>
              <w:rPr>
                <w:sz w:val="20"/>
                <w:szCs w:val="20"/>
              </w:rPr>
              <w:t>15</w:t>
            </w:r>
          </w:p>
        </w:tc>
        <w:tc>
          <w:tcPr>
            <w:tcW w:w="970" w:type="dxa"/>
            <w:vAlign w:val="center"/>
          </w:tcPr>
          <w:p w:rsidR="001421B3" w:rsidRPr="00542783" w:rsidRDefault="005E07E7" w:rsidP="006E6060">
            <w:pPr>
              <w:jc w:val="center"/>
              <w:rPr>
                <w:sz w:val="20"/>
                <w:szCs w:val="20"/>
              </w:rPr>
            </w:pPr>
            <w:r>
              <w:rPr>
                <w:sz w:val="20"/>
                <w:szCs w:val="20"/>
              </w:rPr>
              <w:t>-</w:t>
            </w:r>
          </w:p>
        </w:tc>
        <w:tc>
          <w:tcPr>
            <w:tcW w:w="1527" w:type="dxa"/>
            <w:vAlign w:val="center"/>
          </w:tcPr>
          <w:p w:rsidR="001421B3" w:rsidRPr="00542783" w:rsidRDefault="00936134" w:rsidP="006E6060">
            <w:pPr>
              <w:jc w:val="center"/>
              <w:rPr>
                <w:sz w:val="20"/>
                <w:szCs w:val="20"/>
              </w:rPr>
            </w:pPr>
            <w:r>
              <w:rPr>
                <w:sz w:val="20"/>
                <w:szCs w:val="20"/>
              </w:rPr>
              <w:t>1</w:t>
            </w:r>
          </w:p>
        </w:tc>
        <w:tc>
          <w:tcPr>
            <w:tcW w:w="1527" w:type="dxa"/>
            <w:vAlign w:val="center"/>
          </w:tcPr>
          <w:p w:rsidR="001421B3" w:rsidRPr="00542783" w:rsidRDefault="001421B3" w:rsidP="006E6060">
            <w:pPr>
              <w:jc w:val="center"/>
              <w:rPr>
                <w:sz w:val="20"/>
                <w:szCs w:val="20"/>
              </w:rPr>
            </w:pPr>
          </w:p>
        </w:tc>
      </w:tr>
      <w:tr w:rsidR="001421B3" w:rsidRPr="00542783" w:rsidTr="001421B3">
        <w:tc>
          <w:tcPr>
            <w:tcW w:w="2131" w:type="dxa"/>
          </w:tcPr>
          <w:p w:rsidR="001421B3" w:rsidRPr="00542783" w:rsidRDefault="001421B3" w:rsidP="006E6060">
            <w:pPr>
              <w:rPr>
                <w:sz w:val="20"/>
                <w:szCs w:val="20"/>
              </w:rPr>
            </w:pPr>
            <w:r>
              <w:rPr>
                <w:sz w:val="20"/>
                <w:szCs w:val="20"/>
              </w:rPr>
              <w:t>Amambay</w:t>
            </w:r>
          </w:p>
        </w:tc>
        <w:tc>
          <w:tcPr>
            <w:tcW w:w="1982" w:type="dxa"/>
          </w:tcPr>
          <w:p w:rsidR="001421B3" w:rsidRPr="00542783" w:rsidRDefault="00196F85" w:rsidP="006E6060">
            <w:pPr>
              <w:rPr>
                <w:sz w:val="20"/>
                <w:szCs w:val="20"/>
              </w:rPr>
            </w:pPr>
            <w:r>
              <w:rPr>
                <w:sz w:val="20"/>
                <w:szCs w:val="20"/>
              </w:rPr>
              <w:t>Centro Educativo</w:t>
            </w:r>
            <w:r w:rsidR="001421B3">
              <w:rPr>
                <w:sz w:val="20"/>
                <w:szCs w:val="20"/>
              </w:rPr>
              <w:t xml:space="preserve"> de Pedro Juan Caballero</w:t>
            </w:r>
          </w:p>
        </w:tc>
        <w:tc>
          <w:tcPr>
            <w:tcW w:w="1047" w:type="dxa"/>
            <w:vAlign w:val="center"/>
          </w:tcPr>
          <w:p w:rsidR="001421B3" w:rsidRPr="00542783" w:rsidRDefault="005E07E7" w:rsidP="006E6060">
            <w:pPr>
              <w:jc w:val="center"/>
              <w:rPr>
                <w:sz w:val="20"/>
                <w:szCs w:val="20"/>
              </w:rPr>
            </w:pPr>
            <w:r>
              <w:rPr>
                <w:sz w:val="20"/>
                <w:szCs w:val="20"/>
              </w:rPr>
              <w:t>24</w:t>
            </w:r>
          </w:p>
        </w:tc>
        <w:tc>
          <w:tcPr>
            <w:tcW w:w="970" w:type="dxa"/>
            <w:vAlign w:val="center"/>
          </w:tcPr>
          <w:p w:rsidR="001421B3" w:rsidRPr="00542783" w:rsidRDefault="005E07E7" w:rsidP="006E6060">
            <w:pPr>
              <w:jc w:val="center"/>
              <w:rPr>
                <w:sz w:val="20"/>
                <w:szCs w:val="20"/>
              </w:rPr>
            </w:pPr>
            <w:r>
              <w:rPr>
                <w:sz w:val="20"/>
                <w:szCs w:val="20"/>
              </w:rPr>
              <w:t>-</w:t>
            </w:r>
          </w:p>
        </w:tc>
        <w:tc>
          <w:tcPr>
            <w:tcW w:w="1527" w:type="dxa"/>
            <w:vAlign w:val="center"/>
          </w:tcPr>
          <w:p w:rsidR="001421B3" w:rsidRPr="00542783" w:rsidRDefault="006F03C7" w:rsidP="006E6060">
            <w:pPr>
              <w:jc w:val="center"/>
              <w:rPr>
                <w:sz w:val="20"/>
                <w:szCs w:val="20"/>
              </w:rPr>
            </w:pPr>
            <w:r>
              <w:rPr>
                <w:sz w:val="20"/>
                <w:szCs w:val="20"/>
              </w:rPr>
              <w:t>-</w:t>
            </w:r>
          </w:p>
        </w:tc>
        <w:tc>
          <w:tcPr>
            <w:tcW w:w="1527" w:type="dxa"/>
            <w:vAlign w:val="center"/>
          </w:tcPr>
          <w:p w:rsidR="001421B3" w:rsidRPr="00542783" w:rsidRDefault="006F03C7" w:rsidP="006E6060">
            <w:pPr>
              <w:jc w:val="center"/>
              <w:rPr>
                <w:sz w:val="20"/>
                <w:szCs w:val="20"/>
              </w:rPr>
            </w:pPr>
            <w:r>
              <w:rPr>
                <w:sz w:val="20"/>
                <w:szCs w:val="20"/>
              </w:rPr>
              <w:t>4</w:t>
            </w:r>
          </w:p>
        </w:tc>
      </w:tr>
      <w:tr w:rsidR="001421B3" w:rsidRPr="00B475DD" w:rsidTr="001421B3">
        <w:tc>
          <w:tcPr>
            <w:tcW w:w="2131" w:type="dxa"/>
          </w:tcPr>
          <w:p w:rsidR="001421B3" w:rsidRPr="00B475DD" w:rsidRDefault="001421B3" w:rsidP="006E6060">
            <w:pPr>
              <w:rPr>
                <w:b/>
                <w:sz w:val="20"/>
                <w:szCs w:val="20"/>
              </w:rPr>
            </w:pPr>
            <w:r w:rsidRPr="00B475DD">
              <w:rPr>
                <w:b/>
                <w:sz w:val="20"/>
                <w:szCs w:val="20"/>
              </w:rPr>
              <w:t>Totales</w:t>
            </w:r>
          </w:p>
        </w:tc>
        <w:tc>
          <w:tcPr>
            <w:tcW w:w="1982" w:type="dxa"/>
          </w:tcPr>
          <w:p w:rsidR="001421B3" w:rsidRPr="00B475DD" w:rsidRDefault="001421B3" w:rsidP="006E6060">
            <w:pPr>
              <w:rPr>
                <w:b/>
                <w:sz w:val="20"/>
                <w:szCs w:val="20"/>
              </w:rPr>
            </w:pPr>
          </w:p>
        </w:tc>
        <w:tc>
          <w:tcPr>
            <w:tcW w:w="1047" w:type="dxa"/>
            <w:vAlign w:val="center"/>
          </w:tcPr>
          <w:p w:rsidR="001421B3" w:rsidRPr="00B475DD" w:rsidRDefault="005E07E7" w:rsidP="006E6060">
            <w:pPr>
              <w:jc w:val="center"/>
              <w:rPr>
                <w:b/>
                <w:sz w:val="20"/>
                <w:szCs w:val="20"/>
              </w:rPr>
            </w:pPr>
            <w:r>
              <w:rPr>
                <w:b/>
                <w:sz w:val="20"/>
                <w:szCs w:val="20"/>
              </w:rPr>
              <w:t>307</w:t>
            </w:r>
          </w:p>
        </w:tc>
        <w:tc>
          <w:tcPr>
            <w:tcW w:w="970" w:type="dxa"/>
            <w:vAlign w:val="center"/>
          </w:tcPr>
          <w:p w:rsidR="001421B3" w:rsidRPr="00B475DD" w:rsidRDefault="005E07E7" w:rsidP="006E6060">
            <w:pPr>
              <w:jc w:val="center"/>
              <w:rPr>
                <w:b/>
                <w:sz w:val="20"/>
                <w:szCs w:val="20"/>
              </w:rPr>
            </w:pPr>
            <w:r>
              <w:rPr>
                <w:b/>
                <w:sz w:val="20"/>
                <w:szCs w:val="20"/>
              </w:rPr>
              <w:t>10</w:t>
            </w:r>
          </w:p>
        </w:tc>
        <w:tc>
          <w:tcPr>
            <w:tcW w:w="1527" w:type="dxa"/>
            <w:vAlign w:val="center"/>
          </w:tcPr>
          <w:p w:rsidR="001421B3" w:rsidRPr="00B475DD" w:rsidRDefault="006F03C7" w:rsidP="006E6060">
            <w:pPr>
              <w:jc w:val="center"/>
              <w:rPr>
                <w:b/>
                <w:sz w:val="20"/>
                <w:szCs w:val="20"/>
              </w:rPr>
            </w:pPr>
            <w:r>
              <w:rPr>
                <w:b/>
                <w:sz w:val="20"/>
                <w:szCs w:val="20"/>
              </w:rPr>
              <w:t>12</w:t>
            </w:r>
          </w:p>
        </w:tc>
        <w:tc>
          <w:tcPr>
            <w:tcW w:w="1527" w:type="dxa"/>
            <w:vAlign w:val="center"/>
          </w:tcPr>
          <w:p w:rsidR="001421B3" w:rsidRPr="00B475DD" w:rsidRDefault="006F03C7" w:rsidP="006E6060">
            <w:pPr>
              <w:jc w:val="center"/>
              <w:rPr>
                <w:b/>
                <w:sz w:val="20"/>
                <w:szCs w:val="20"/>
              </w:rPr>
            </w:pPr>
            <w:r>
              <w:rPr>
                <w:b/>
                <w:sz w:val="20"/>
                <w:szCs w:val="20"/>
              </w:rPr>
              <w:t>22</w:t>
            </w:r>
          </w:p>
        </w:tc>
      </w:tr>
    </w:tbl>
    <w:p w:rsidR="001421B3" w:rsidRDefault="005E07E7" w:rsidP="00C83BE8">
      <w:pPr>
        <w:spacing w:after="0" w:line="240" w:lineRule="auto"/>
        <w:jc w:val="both"/>
      </w:pPr>
      <w:r>
        <w:t>Fuente: SENAII, Parte Diario del 10/05/2017 y Ministerio de la Defensa Pública (2017).</w:t>
      </w:r>
    </w:p>
    <w:p w:rsidR="001421B3" w:rsidRDefault="001421B3" w:rsidP="00C83BE8">
      <w:pPr>
        <w:spacing w:after="0" w:line="240" w:lineRule="auto"/>
        <w:jc w:val="both"/>
      </w:pPr>
    </w:p>
    <w:p w:rsidR="00397EC3" w:rsidRDefault="00B01045" w:rsidP="00C83BE8">
      <w:pPr>
        <w:spacing w:after="0" w:line="240" w:lineRule="auto"/>
        <w:jc w:val="both"/>
      </w:pPr>
      <w:r>
        <w:t>De acuerdo al Ministerio de la Defensa Pública, en el 2015 los defensores penales asistieron a un total de 19</w:t>
      </w:r>
      <w:r w:rsidR="00762FD0">
        <w:t>.</w:t>
      </w:r>
      <w:r>
        <w:t>426 personas (8,8% mujeres y 92,2% hombres; 12,6% adolescentes y 88,4% mayores de edad). El 23% de estas personas asistidas se encontraba en privación de libertad (96 condenados/as y 4</w:t>
      </w:r>
      <w:r w:rsidR="00762FD0">
        <w:t>.</w:t>
      </w:r>
      <w:r>
        <w:t>370 procesados/as (Ministerio de la Defensa Pública, 2015).</w:t>
      </w:r>
      <w:r w:rsidR="00254091">
        <w:t xml:space="preserve"> En el primer semestre de 2016</w:t>
      </w:r>
      <w:r w:rsidR="00762FD0">
        <w:t xml:space="preserve">, el Ministerio de la Defensa Pública señala que asistió en un total de 9.708 casos (11% mujeres y 89% hombres; 12,6% adolescentes y 88,4% mayores de edad). El 17,5% de estas </w:t>
      </w:r>
      <w:r w:rsidR="00762FD0">
        <w:lastRenderedPageBreak/>
        <w:t>personas asistidas se encontraba en privación de libertad (46 condenados/as y 1.653 procesados/as (Ministerio de la Defensa Pública, 2016).</w:t>
      </w:r>
    </w:p>
    <w:p w:rsidR="00B01045" w:rsidRDefault="00B01045" w:rsidP="00C83BE8">
      <w:pPr>
        <w:spacing w:after="0" w:line="240" w:lineRule="auto"/>
        <w:jc w:val="both"/>
      </w:pPr>
    </w:p>
    <w:p w:rsidR="00397EC3" w:rsidRDefault="00397EC3" w:rsidP="00C83BE8">
      <w:pPr>
        <w:spacing w:after="0" w:line="240" w:lineRule="auto"/>
        <w:jc w:val="both"/>
      </w:pPr>
      <w:r w:rsidRPr="00564203">
        <w:t>La dependencia de los servicios de la defensa pública es variable, conforme a la población.</w:t>
      </w:r>
      <w:r w:rsidR="00564203" w:rsidRPr="00564203">
        <w:t xml:space="preserve"> </w:t>
      </w:r>
      <w:r w:rsidR="00564203" w:rsidRPr="00564203">
        <w:rPr>
          <w:rFonts w:cs="Times New Roman"/>
        </w:rPr>
        <w:t xml:space="preserve">El perfil socioeconómico de una persona que recurre a la defensa pública es siempre el de un individuo vulnerable y perteneciente a los estratos socioeconómicos más desaventajados. En el conjunto del sistema penitenciario se observa una tendencia a una mayor dependencia de los servicios públicos del Estado para </w:t>
      </w:r>
      <w:r w:rsidR="001776DF">
        <w:rPr>
          <w:rFonts w:cs="Times New Roman"/>
        </w:rPr>
        <w:t>contar con una defensa</w:t>
      </w:r>
      <w:r w:rsidR="00564203" w:rsidRPr="00564203">
        <w:rPr>
          <w:rFonts w:cs="Times New Roman"/>
        </w:rPr>
        <w:t xml:space="preserve">. </w:t>
      </w:r>
      <w:r w:rsidRPr="00564203">
        <w:t xml:space="preserve"> En el caso de los adolescentes privados de libertad, el 69% (en el caso de los hombres) y el 81% (en el caso de las mujeres), recurren a la defensa pública. El 95,8% de los indígenas privados de libertad, tanto adolescentes como mayores de edad, recurren a la defensa pública.</w:t>
      </w:r>
      <w:r w:rsidR="00564203" w:rsidRPr="00564203">
        <w:t xml:space="preserve"> </w:t>
      </w:r>
      <w:r w:rsidR="00564203">
        <w:t>En el caso de las mujeres</w:t>
      </w:r>
      <w:r w:rsidR="00E1646E">
        <w:t xml:space="preserve"> mayores de edad</w:t>
      </w:r>
      <w:r w:rsidR="00564203">
        <w:t xml:space="preserve">, el </w:t>
      </w:r>
      <w:r w:rsidR="00E1646E">
        <w:t>44,8</w:t>
      </w:r>
      <w:r w:rsidR="00564203">
        <w:t>% recurre a la defensa pública.</w:t>
      </w:r>
      <w:r w:rsidR="00B945C9">
        <w:t xml:space="preserve"> En las inspecciones efectuadas en el año 2016, el 59% de las personas privadas de libertad adultas entrevistadas señalaron que recurren a los servicios de la defensa pública</w:t>
      </w:r>
      <w:r w:rsidR="00B945C9">
        <w:rPr>
          <w:rStyle w:val="FootnoteReference"/>
        </w:rPr>
        <w:footnoteReference w:id="2"/>
      </w:r>
      <w:r w:rsidR="00B945C9">
        <w:t>.</w:t>
      </w:r>
    </w:p>
    <w:p w:rsidR="00564203" w:rsidRDefault="00564203" w:rsidP="00C83BE8">
      <w:pPr>
        <w:spacing w:after="0" w:line="240" w:lineRule="auto"/>
        <w:jc w:val="both"/>
      </w:pPr>
    </w:p>
    <w:p w:rsidR="003500CF" w:rsidRPr="00EF4237" w:rsidRDefault="003500CF" w:rsidP="003500CF">
      <w:pPr>
        <w:autoSpaceDE w:val="0"/>
        <w:autoSpaceDN w:val="0"/>
        <w:adjustRightInd w:val="0"/>
        <w:spacing w:after="0" w:line="240" w:lineRule="auto"/>
        <w:jc w:val="both"/>
        <w:rPr>
          <w:rFonts w:cs="HelveticaNeue"/>
          <w:lang w:val="es-ES"/>
        </w:rPr>
      </w:pPr>
      <w:r w:rsidRPr="00EF4237">
        <w:rPr>
          <w:rFonts w:cs="HelveticaNeue"/>
          <w:lang w:val="es-ES"/>
        </w:rPr>
        <w:t xml:space="preserve">El Ministerio de la Defensa Pública tiene un rol fundamental en la prevención de la tortura, mediante la asistencia a las personas detenidas desde los primeros momentos del procedimiento y a través de las visitas penitenciarias. </w:t>
      </w:r>
    </w:p>
    <w:p w:rsidR="003500CF" w:rsidRPr="00EF4237" w:rsidRDefault="003500CF" w:rsidP="003500CF">
      <w:pPr>
        <w:autoSpaceDE w:val="0"/>
        <w:autoSpaceDN w:val="0"/>
        <w:adjustRightInd w:val="0"/>
        <w:spacing w:after="0" w:line="240" w:lineRule="auto"/>
        <w:jc w:val="both"/>
        <w:rPr>
          <w:rFonts w:cs="HelveticaNeue"/>
          <w:lang w:val="es-ES"/>
        </w:rPr>
      </w:pPr>
    </w:p>
    <w:p w:rsidR="003500CF" w:rsidRPr="00EF4237" w:rsidRDefault="0036559A" w:rsidP="003500CF">
      <w:pPr>
        <w:autoSpaceDE w:val="0"/>
        <w:autoSpaceDN w:val="0"/>
        <w:adjustRightInd w:val="0"/>
        <w:spacing w:after="0" w:line="240" w:lineRule="auto"/>
        <w:jc w:val="both"/>
        <w:rPr>
          <w:rFonts w:cs="HelveticaNeue"/>
          <w:lang w:val="es-ES"/>
        </w:rPr>
      </w:pPr>
      <w:r>
        <w:rPr>
          <w:rFonts w:cs="HelveticaNeue"/>
          <w:lang w:val="es-ES"/>
        </w:rPr>
        <w:t>Respecto a</w:t>
      </w:r>
      <w:r w:rsidR="003500CF" w:rsidRPr="00EF4237">
        <w:rPr>
          <w:rFonts w:cs="HelveticaNeue"/>
          <w:lang w:val="es-ES"/>
        </w:rPr>
        <w:t>l primer punto, ya se señaló que actualmente la institución alega no tener la capacidad operativa para asistir de oficio a las personas detenidas en las comisarías, desde el primer momento de la detención, realizándose la asistencia recién al momento de la audiencia de indagatoria o durante la audiencia de arraigo, entre 24 y 48 horas posteriores a la detención policial.</w:t>
      </w:r>
    </w:p>
    <w:p w:rsidR="003500CF" w:rsidRPr="00EF4237" w:rsidRDefault="003500CF" w:rsidP="003500CF">
      <w:pPr>
        <w:autoSpaceDE w:val="0"/>
        <w:autoSpaceDN w:val="0"/>
        <w:adjustRightInd w:val="0"/>
        <w:spacing w:after="0" w:line="240" w:lineRule="auto"/>
        <w:jc w:val="both"/>
        <w:rPr>
          <w:rFonts w:cs="HelveticaNeue"/>
          <w:lang w:val="es-ES"/>
        </w:rPr>
      </w:pPr>
    </w:p>
    <w:p w:rsidR="003500CF" w:rsidRPr="00EF4237" w:rsidRDefault="00EF4237" w:rsidP="003500CF">
      <w:pPr>
        <w:autoSpaceDE w:val="0"/>
        <w:autoSpaceDN w:val="0"/>
        <w:adjustRightInd w:val="0"/>
        <w:spacing w:after="0" w:line="240" w:lineRule="auto"/>
        <w:jc w:val="both"/>
      </w:pPr>
      <w:r w:rsidRPr="00EF4237">
        <w:rPr>
          <w:rFonts w:eastAsia="Times New Roman" w:cs="Times New Roman"/>
          <w:color w:val="000000"/>
          <w:lang w:eastAsia="es-ES"/>
        </w:rPr>
        <w:t xml:space="preserve">La Ley Orgánica de la Defensa Pública establece que los defensores públicos penales tienen la obligación de hacer al menos una visita mensual a sus asistidos privados de libertad, a fin de informarles sobre el curso de su proceso, coordinar la estrategia defensiva, informarse de las condiciones en que se encuentran y verificar casos de presuntas torturas. </w:t>
      </w:r>
      <w:r w:rsidR="003500CF" w:rsidRPr="00EF4237">
        <w:rPr>
          <w:rFonts w:cs="HelveticaNeue"/>
          <w:lang w:val="es-ES"/>
        </w:rPr>
        <w:t xml:space="preserve"> </w:t>
      </w:r>
      <w:r w:rsidRPr="00EF4237">
        <w:rPr>
          <w:rFonts w:eastAsia="Times New Roman" w:cs="Times New Roman"/>
          <w:color w:val="000000"/>
          <w:lang w:eastAsia="es-ES"/>
        </w:rPr>
        <w:t xml:space="preserve">Además de las visitas de cada defensor en particular, se registran las visitas del </w:t>
      </w:r>
      <w:r w:rsidRPr="00EF4237">
        <w:rPr>
          <w:rFonts w:cs="Times New Roman"/>
        </w:rPr>
        <w:t>Observatorio y Monitoreo de lugares de detención creado en el Ministerio de la Defensa Pública conforme a la Resolución Nº 154/10.</w:t>
      </w:r>
    </w:p>
    <w:p w:rsidR="003500CF" w:rsidRDefault="003500CF" w:rsidP="00C83BE8">
      <w:pPr>
        <w:spacing w:after="0" w:line="240" w:lineRule="auto"/>
        <w:jc w:val="both"/>
      </w:pPr>
    </w:p>
    <w:p w:rsidR="00FE7598" w:rsidRDefault="00FE7598" w:rsidP="00FE7598">
      <w:pPr>
        <w:spacing w:after="0" w:line="240" w:lineRule="auto"/>
        <w:jc w:val="both"/>
      </w:pPr>
      <w:r>
        <w:t xml:space="preserve">El MNP ha verificado que el Ministerio de la Defensa Pública ha fortalecido su capacidad de visita penitenciaria con el nombramiento de más defensores/as penales. Algunos establecimientos, </w:t>
      </w:r>
      <w:r w:rsidR="00BE1B05">
        <w:t>en particular</w:t>
      </w:r>
      <w:r>
        <w:t xml:space="preserve"> los ubicados en capital y zonas aledañas, registran una alta presencia. En otras penitenciarías, con poco personal asignado a las defensorías regionales, se constata una menor frecuencia de visitas. En muchas instituciones penales, a partir de la alta demanda que</w:t>
      </w:r>
      <w:r w:rsidRPr="00FE7598">
        <w:t xml:space="preserve"> </w:t>
      </w:r>
      <w:r>
        <w:t>soporta este servicio público, una visita mensual resulta claramente</w:t>
      </w:r>
      <w:r w:rsidRPr="00FE7598">
        <w:t xml:space="preserve"> </w:t>
      </w:r>
      <w:r>
        <w:t>insuficiente y no constituye una garantía eficaz de prevención y alerta ante la tortura y los tratos crueles, inhumanos y degradantes.</w:t>
      </w:r>
    </w:p>
    <w:p w:rsidR="00FE7598" w:rsidRDefault="00FE7598" w:rsidP="00FE7598">
      <w:pPr>
        <w:spacing w:after="0" w:line="240" w:lineRule="auto"/>
        <w:jc w:val="both"/>
      </w:pPr>
    </w:p>
    <w:p w:rsidR="00FE7598" w:rsidRDefault="00FE7598" w:rsidP="00C83BE8">
      <w:pPr>
        <w:spacing w:after="0" w:line="240" w:lineRule="auto"/>
        <w:jc w:val="both"/>
      </w:pPr>
      <w:r>
        <w:t xml:space="preserve">El MNP ha constatado que la mayor frecuencia de visitas de defensores no repercutió necesariamente en la mejora de las condiciones de detención en los establecimientos penitenciarios. </w:t>
      </w:r>
      <w:r w:rsidR="00721C30">
        <w:t>Salvo casos específicos constatados, el trabajo de los defensores se restringe a la asistencia legal en el proceso penal y no conlleva otras tareas como la verificación de las condiciones de reclusión o la denuncia de malos tratos</w:t>
      </w:r>
      <w:r w:rsidR="005D0F87">
        <w:t xml:space="preserve"> en la prisión</w:t>
      </w:r>
      <w:r w:rsidR="00721C30">
        <w:t xml:space="preserve">. Los abogados/as de la defensa pública no ingresan a los pabellones ni a las celdas de aislamiento, para verificar el trato </w:t>
      </w:r>
      <w:r w:rsidR="00721C30">
        <w:lastRenderedPageBreak/>
        <w:t>dado a sus defendidos. Salvo casos esporádicos, no se plantean acciones de tutela judicial para la defensa de las condiciones dignas de reclusión.</w:t>
      </w:r>
    </w:p>
    <w:p w:rsidR="00721C30" w:rsidRDefault="00721C30" w:rsidP="00C83BE8">
      <w:pPr>
        <w:spacing w:after="0" w:line="240" w:lineRule="auto"/>
        <w:jc w:val="both"/>
      </w:pPr>
    </w:p>
    <w:p w:rsidR="00721C30" w:rsidRDefault="00721C30" w:rsidP="00C83BE8">
      <w:pPr>
        <w:spacing w:after="0" w:line="240" w:lineRule="auto"/>
        <w:jc w:val="both"/>
      </w:pPr>
      <w:r>
        <w:t>Se constata asimismo que las personas privadas de libertad que son trasladadas de una a otra penitenciaría por parte de la administración penitenciaria, ya sea como represalia, castigo disciplinario o como forma de control del hacinamiento, pierden su contacto con la defensa. Algunos establecimientos cuentan con hasta un 50% de su población trasladada en estas circunstancias, siendo éste un colectivo con alto nivel de indefensión y muy vulnerable a los malos tratos en prisión</w:t>
      </w:r>
      <w:r w:rsidR="00A22B46">
        <w:t xml:space="preserve"> por la pérdida de contacto familiar, pero también con la falta de información acerca de los procesos judiciales, la pérdida de contacto con jueces y defensores y la suspensión frecuente de comparecencias a audiencias</w:t>
      </w:r>
      <w:r>
        <w:t>.</w:t>
      </w:r>
      <w:r w:rsidR="00A22B46">
        <w:t xml:space="preserve"> Es probable que los criterios para los traslados sean arbitrarios y se basen en</w:t>
      </w:r>
      <w:r w:rsidR="00A22B46" w:rsidRPr="00A22B46">
        <w:t xml:space="preserve"> </w:t>
      </w:r>
      <w:r w:rsidR="00A22B46">
        <w:t>las condiciones de vulnerabilidad de las personas que son trasladadas.</w:t>
      </w:r>
    </w:p>
    <w:p w:rsidR="00A22B46" w:rsidRDefault="00A22B46" w:rsidP="00C83BE8">
      <w:pPr>
        <w:spacing w:after="0" w:line="240" w:lineRule="auto"/>
        <w:jc w:val="both"/>
      </w:pPr>
    </w:p>
    <w:p w:rsidR="00721C30" w:rsidRDefault="00721C30" w:rsidP="00C83BE8">
      <w:pPr>
        <w:spacing w:after="0" w:line="240" w:lineRule="auto"/>
        <w:jc w:val="both"/>
      </w:pPr>
      <w:r>
        <w:t>El MNP ha formulado, en tal sentido, las siguientes recomendaciones al Ministerio de la Defensa Pública.</w:t>
      </w:r>
    </w:p>
    <w:p w:rsidR="00AE6D8B" w:rsidRDefault="00AE6D8B" w:rsidP="00C83BE8">
      <w:pPr>
        <w:spacing w:after="0" w:line="240" w:lineRule="auto"/>
        <w:jc w:val="both"/>
      </w:pPr>
    </w:p>
    <w:p w:rsidR="00721C30" w:rsidRDefault="00721C30" w:rsidP="0050109B">
      <w:pPr>
        <w:pStyle w:val="NoSpacing"/>
        <w:numPr>
          <w:ilvl w:val="0"/>
          <w:numId w:val="8"/>
        </w:numPr>
        <w:jc w:val="both"/>
        <w:rPr>
          <w:rFonts w:asciiTheme="minorHAnsi" w:hAnsiTheme="minorHAnsi"/>
        </w:rPr>
      </w:pPr>
      <w:r w:rsidRPr="00A22B46">
        <w:rPr>
          <w:rFonts w:asciiTheme="minorHAnsi" w:hAnsiTheme="minorHAnsi"/>
        </w:rPr>
        <w:t>Reforzar la frecuencia de las visitas de defensores públicos, ante aquellas situaciones en que una visita mensual resulta claramente insuficiente y no constituye una garantía eficaz de prevención y alerta ante la tortura y los tratos crueles, inhumanos y degradantes.</w:t>
      </w:r>
    </w:p>
    <w:p w:rsidR="00A22B46" w:rsidRPr="00A22B46" w:rsidRDefault="00A22B46" w:rsidP="00721C30">
      <w:pPr>
        <w:pStyle w:val="NoSpacing"/>
        <w:jc w:val="both"/>
        <w:rPr>
          <w:rFonts w:asciiTheme="minorHAnsi" w:hAnsiTheme="minorHAnsi"/>
        </w:rPr>
      </w:pPr>
    </w:p>
    <w:p w:rsidR="00721C30" w:rsidRPr="00A22B46" w:rsidRDefault="00721C30" w:rsidP="0050109B">
      <w:pPr>
        <w:pStyle w:val="NoSpacing"/>
        <w:numPr>
          <w:ilvl w:val="0"/>
          <w:numId w:val="8"/>
        </w:numPr>
        <w:jc w:val="both"/>
        <w:rPr>
          <w:rFonts w:asciiTheme="minorHAnsi" w:hAnsiTheme="minorHAnsi"/>
        </w:rPr>
      </w:pPr>
      <w:r w:rsidRPr="00A22B46">
        <w:rPr>
          <w:rFonts w:asciiTheme="minorHAnsi" w:hAnsiTheme="minorHAnsi"/>
        </w:rPr>
        <w:t>Se debe reforzar la presencia de defensores públicos de Ejecución Penal para el control de las condiciones de reclusión, explorando las posibilidades de interponer acciones de tutela jurisdiccional en casos graves.</w:t>
      </w:r>
    </w:p>
    <w:p w:rsidR="00A22B46" w:rsidRDefault="00A22B46" w:rsidP="00721C30">
      <w:pPr>
        <w:pStyle w:val="NoSpacing"/>
        <w:jc w:val="both"/>
        <w:rPr>
          <w:rFonts w:asciiTheme="minorHAnsi" w:hAnsiTheme="minorHAnsi" w:cs="Calibri"/>
        </w:rPr>
      </w:pPr>
    </w:p>
    <w:p w:rsidR="00721C30" w:rsidRPr="00A22B46" w:rsidRDefault="00721C30" w:rsidP="0050109B">
      <w:pPr>
        <w:pStyle w:val="NoSpacing"/>
        <w:numPr>
          <w:ilvl w:val="0"/>
          <w:numId w:val="8"/>
        </w:numPr>
        <w:jc w:val="both"/>
        <w:rPr>
          <w:rFonts w:asciiTheme="minorHAnsi" w:hAnsiTheme="minorHAnsi" w:cs="Calibri"/>
        </w:rPr>
      </w:pPr>
      <w:r w:rsidRPr="00A22B46">
        <w:rPr>
          <w:rFonts w:asciiTheme="minorHAnsi" w:hAnsiTheme="minorHAnsi" w:cs="Calibri"/>
        </w:rPr>
        <w:t>Alentar a defensores públicos a que ingresen a las celdas de aislamiento y pabellones, para un mejor cumplimiento de los deberes y atribuciones de prevenir la tortura. En caso de que se encuentren personas aisladas fuera de las condiciones legales, se exhorta a formular los requerimientos para el cese de esa situación.</w:t>
      </w:r>
    </w:p>
    <w:p w:rsidR="00A22B46" w:rsidRDefault="00A22B46" w:rsidP="00721C30">
      <w:pPr>
        <w:pStyle w:val="NoSpacing"/>
        <w:jc w:val="both"/>
        <w:rPr>
          <w:rFonts w:asciiTheme="minorHAnsi" w:hAnsiTheme="minorHAnsi" w:cs="Calibri"/>
        </w:rPr>
      </w:pPr>
    </w:p>
    <w:p w:rsidR="00721C30" w:rsidRPr="00A22B46" w:rsidRDefault="00721C30" w:rsidP="0050109B">
      <w:pPr>
        <w:pStyle w:val="NoSpacing"/>
        <w:numPr>
          <w:ilvl w:val="0"/>
          <w:numId w:val="8"/>
        </w:numPr>
        <w:jc w:val="both"/>
        <w:rPr>
          <w:rFonts w:asciiTheme="minorHAnsi" w:hAnsiTheme="minorHAnsi"/>
        </w:rPr>
      </w:pPr>
      <w:r w:rsidRPr="00A22B46">
        <w:rPr>
          <w:rFonts w:asciiTheme="minorHAnsi" w:hAnsiTheme="minorHAnsi" w:cs="Calibri"/>
        </w:rPr>
        <w:t>Fortalecer la capacidad de inspección penitenciaria del Ministerio de la Defensa Pública reforzando los equipos de asistentes (psicólogos/as y trabajadores/as sociales) con que cuentan actualmente las y los defensores públicos.</w:t>
      </w:r>
      <w:r w:rsidRPr="00A22B46">
        <w:rPr>
          <w:rFonts w:asciiTheme="minorHAnsi" w:hAnsiTheme="minorHAnsi" w:cs="Calibri"/>
          <w:color w:val="000000"/>
        </w:rPr>
        <w:t xml:space="preserve"> </w:t>
      </w:r>
    </w:p>
    <w:p w:rsidR="00721C30" w:rsidRPr="00A22B46" w:rsidRDefault="00721C30" w:rsidP="00721C30">
      <w:pPr>
        <w:pStyle w:val="NoSpacing"/>
        <w:jc w:val="both"/>
        <w:rPr>
          <w:rFonts w:asciiTheme="minorHAnsi" w:hAnsiTheme="minorHAnsi"/>
        </w:rPr>
      </w:pPr>
    </w:p>
    <w:p w:rsidR="00721C30" w:rsidRPr="00721C30" w:rsidRDefault="00721C30" w:rsidP="0050109B">
      <w:pPr>
        <w:pStyle w:val="ListParagraph"/>
        <w:numPr>
          <w:ilvl w:val="0"/>
          <w:numId w:val="8"/>
        </w:numPr>
        <w:spacing w:after="0" w:line="240" w:lineRule="auto"/>
        <w:jc w:val="both"/>
      </w:pPr>
      <w:r w:rsidRPr="00721C30">
        <w:t>Establecer mecanismos de evaluación de gestión para controlar la calidad del trabajo de defensa técnica en el ámbito penal. Comunicar la nómina de quienes no cumplen estándares mínimos de visitas al Consejo de la Magistratura.</w:t>
      </w:r>
    </w:p>
    <w:p w:rsidR="00BD2BA8" w:rsidRDefault="00BD2BA8" w:rsidP="00C83BE8">
      <w:pPr>
        <w:spacing w:after="0" w:line="240" w:lineRule="auto"/>
        <w:jc w:val="both"/>
      </w:pPr>
    </w:p>
    <w:p w:rsidR="00BD2BA8" w:rsidRPr="00BD2BA8" w:rsidRDefault="00BD2BA8" w:rsidP="00BD2BA8">
      <w:pPr>
        <w:pStyle w:val="SingleTxtG"/>
        <w:rPr>
          <w:rFonts w:eastAsia="Calibri"/>
          <w:b/>
          <w:lang w:eastAsia="en-US"/>
        </w:rPr>
      </w:pPr>
      <w:r w:rsidRPr="00BD2BA8">
        <w:rPr>
          <w:rFonts w:eastAsia="Calibri"/>
          <w:b/>
          <w:lang w:eastAsia="en-US"/>
        </w:rPr>
        <w:t>5.</w:t>
      </w:r>
      <w:r w:rsidRPr="00BD2BA8">
        <w:rPr>
          <w:rFonts w:eastAsia="Calibri"/>
          <w:b/>
          <w:lang w:eastAsia="en-US"/>
        </w:rPr>
        <w:tab/>
        <w:t xml:space="preserve">Sírvanse presentar información sobre las medidas que se han adoptado para asegurarse de que las actividades de la Defensoría del Pueblo sean conformes a los Principios relativos al estatuto de las instituciones nacionales de promoción de los derechos humanos aprobados en virtud de la resolución 48/134 de la Asamblea General (Principios de París). Sírvanse indicar también los recursos humanos, financieros y materiales asignados a la Defensoría del Pueblo durante el periodo en examen. Faciliten datos estadísticos sobre el número y el tipo de denuncias recibidas durante el periodo en examen y sobre el seguimiento dado a las denuncias de tortura y malos tratos que hayan recibido. Sírvanse indicar las acciones emprendidas por la Defensoría </w:t>
      </w:r>
      <w:r w:rsidRPr="00BD2BA8">
        <w:rPr>
          <w:rFonts w:eastAsia="Calibri"/>
          <w:b/>
          <w:lang w:eastAsia="en-US"/>
        </w:rPr>
        <w:lastRenderedPageBreak/>
        <w:t xml:space="preserve">del Pueblo para la puesta en práctica de las recomendaciones contenidas en el informe final de la Comisión de Verdad y Justicia. </w:t>
      </w:r>
    </w:p>
    <w:p w:rsidR="00BD2BA8" w:rsidRDefault="00BD2BA8" w:rsidP="00C83BE8">
      <w:pPr>
        <w:spacing w:after="0" w:line="240" w:lineRule="auto"/>
        <w:jc w:val="both"/>
      </w:pPr>
    </w:p>
    <w:p w:rsidR="00BD2BA8" w:rsidRDefault="00BD2BA8" w:rsidP="00BD2BA8">
      <w:pPr>
        <w:spacing w:after="0" w:line="240" w:lineRule="auto"/>
        <w:jc w:val="both"/>
      </w:pPr>
      <w:r>
        <w:t>Fueron electos en el año 2016 nuevos titulares de la Defensoría del Pueblo, luego de un retraso por parte del Congreso de casi una década, ya que los mandatos de los anteriores titulares estaban vencidos desde el 2008. Como defensor titular fue electo Miguel Ángel Godoy Servín y como defensor adjunto Carlos Alberto Vera Bordaberry Salazar.</w:t>
      </w:r>
    </w:p>
    <w:p w:rsidR="00BD2BA8" w:rsidRDefault="00BD2BA8" w:rsidP="00BD2BA8">
      <w:pPr>
        <w:spacing w:after="0" w:line="240" w:lineRule="auto"/>
        <w:jc w:val="both"/>
      </w:pPr>
    </w:p>
    <w:p w:rsidR="00BD2BA8" w:rsidRDefault="00BD2BA8" w:rsidP="00BD2BA8">
      <w:pPr>
        <w:spacing w:after="0" w:line="240" w:lineRule="auto"/>
        <w:jc w:val="both"/>
      </w:pPr>
      <w:r>
        <w:t>El proceso de selección todavía no alcanza los estándares de independencia conforme los Principios de París, en particular su autonomía respecto del sistema político. No obstante, esta institución ha comenzado a funcionar con mayor dinamismo para hacer seguimiento a algunas denuncias de tortura y malos tratos, aunque no se tiene información estadística de los casos en los que ha intervenido.</w:t>
      </w:r>
    </w:p>
    <w:p w:rsidR="00BD2BA8" w:rsidRDefault="00BD2BA8" w:rsidP="00BD2BA8">
      <w:pPr>
        <w:spacing w:after="0" w:line="240" w:lineRule="auto"/>
        <w:jc w:val="both"/>
      </w:pPr>
    </w:p>
    <w:p w:rsidR="00BD2BA8" w:rsidRPr="00F94AD5" w:rsidRDefault="00BD2BA8" w:rsidP="00BD2BA8">
      <w:pPr>
        <w:spacing w:after="0" w:line="240" w:lineRule="auto"/>
        <w:jc w:val="both"/>
      </w:pPr>
      <w:r>
        <w:t>La Defensoría del Pueblo cuenta con una Dirección de Verdad y Reconciliación que debe hacer seguimiento a la puesta en práctica de las recomendaciones finales de la Comisión Verdad y Justicia.</w:t>
      </w:r>
    </w:p>
    <w:p w:rsidR="00BD2BA8" w:rsidRDefault="00BD2BA8" w:rsidP="00C83BE8">
      <w:pPr>
        <w:spacing w:after="0" w:line="240" w:lineRule="auto"/>
        <w:jc w:val="both"/>
      </w:pPr>
    </w:p>
    <w:p w:rsidR="002C41B8" w:rsidRPr="002C41B8" w:rsidRDefault="002C41B8" w:rsidP="002C41B8">
      <w:pPr>
        <w:pStyle w:val="SingleTxtG"/>
        <w:rPr>
          <w:rFonts w:eastAsia="Calibri"/>
          <w:b/>
          <w:lang w:eastAsia="en-US"/>
        </w:rPr>
      </w:pPr>
      <w:r w:rsidRPr="002C41B8">
        <w:rPr>
          <w:rFonts w:eastAsia="Calibri"/>
          <w:b/>
          <w:lang w:eastAsia="en-US"/>
        </w:rPr>
        <w:t>6.</w:t>
      </w:r>
      <w:r w:rsidRPr="002C41B8">
        <w:rPr>
          <w:rFonts w:eastAsia="Calibri"/>
          <w:b/>
          <w:lang w:eastAsia="en-US"/>
        </w:rPr>
        <w:tab/>
        <w:t>En relación con la información de seguimiento proporcionada por el Estado parte sobre el establecimiento de la Comisión Nacional para la Prevención de la Tortura creado por la Ley Nº 4288/11 “Del Mecanismo Nacional de Prevención contra la Tortura y otros tratos o penas crueles, inhumanos o degradantes”, sírvanse proporcionar información actualizada sobre las medidas adoptadas para garantizar la asignación de un presupuesto y recursos suficientes que le permitan desempeñar su labor con eficacia, de conformidad con lo establecido en el Protocolo Facultativo de la Convención y las Directrices relativas a los mecanismos nacionales de prevención (CAT/OP/12/5). Sírvanse proporcionar información sobre el nivel de respuesta que se le está dando a las recomendaciones presentadas por la Comisión Nacional en el marco de sus visitas a centros de detención. Sírvanse indicar también las medidas adoptadas para diseminar los informes publicados por este mecanismo nacional de prevención entre el público en general y los funcionarios públicos.</w:t>
      </w:r>
    </w:p>
    <w:p w:rsidR="00BD2BA8" w:rsidRDefault="00BD2BA8" w:rsidP="00C83BE8">
      <w:pPr>
        <w:spacing w:after="0" w:line="240" w:lineRule="auto"/>
        <w:jc w:val="both"/>
      </w:pPr>
    </w:p>
    <w:p w:rsidR="0036559A" w:rsidRDefault="0036559A" w:rsidP="0036559A">
      <w:pPr>
        <w:spacing w:after="0" w:line="240" w:lineRule="auto"/>
        <w:jc w:val="both"/>
      </w:pPr>
      <w:r>
        <w:t>Para el 2016, el MNP pudo ejecutar el 90% de su presupuesto total.  El veto del Poder Ejecutivo a la Ley del Presupuesto para el 2017 (que le dejó con el mismo presupuesto del año anterior) obstaculizó el financiamiento de necesidades institucionales del MNP como un vehículo, una sede propia y completar el plantel básico de funcionarios/as para el cumplimiento de su misión institucional. Para el 2018 se prevé el mismo presupuesto que el de 2016 con posibles recortes.</w:t>
      </w:r>
    </w:p>
    <w:p w:rsidR="0036559A" w:rsidRDefault="0036559A" w:rsidP="002C41B8">
      <w:pPr>
        <w:spacing w:after="0" w:line="240" w:lineRule="auto"/>
        <w:jc w:val="both"/>
      </w:pPr>
    </w:p>
    <w:p w:rsidR="002C41B8" w:rsidRDefault="002C41B8" w:rsidP="002C41B8">
      <w:pPr>
        <w:spacing w:after="0" w:line="240" w:lineRule="auto"/>
        <w:jc w:val="both"/>
      </w:pPr>
      <w:r>
        <w:t>Las limitaciones presupuestarias impiden realizar todas las visitas de inspección programadas y de intervención que se precisan cada año. De igual manera, topes y autorizaciones fiscales se requieren para la adquisición de vehículos institucionales y designación de funcionarios. Estas restricciones fiscales no son una limitación institucional dirigida específicamente al MNP, pero repercuten sobre la misión del MNP al dejarlo sin recursos suficientes para su gestión y pueden ser utilizadas como un instrumento político que limite la independencia de la institución.</w:t>
      </w:r>
    </w:p>
    <w:p w:rsidR="002C41B8" w:rsidRDefault="002C41B8" w:rsidP="002C41B8">
      <w:pPr>
        <w:spacing w:after="0" w:line="240" w:lineRule="auto"/>
        <w:jc w:val="both"/>
      </w:pPr>
    </w:p>
    <w:p w:rsidR="0036559A" w:rsidRDefault="002C41B8" w:rsidP="0036559A">
      <w:pPr>
        <w:spacing w:after="0" w:line="240" w:lineRule="auto"/>
        <w:jc w:val="both"/>
      </w:pPr>
      <w:r>
        <w:t>Como se ha dicho anteriormente, el presupuesto original desde la creación del MNP hasta cinco años después (del 2013 al 2017) ha mermado en una cuarta parte.  De 5.000 millones de guaraníes (Aprox. 950.000 US$ al cambio de entonces), sólo se cuenta al 2017 con 3.778 millones de guaraníes (Aprox. 678.800US$).</w:t>
      </w:r>
    </w:p>
    <w:p w:rsidR="002C41B8" w:rsidRDefault="002C41B8" w:rsidP="002C41B8">
      <w:pPr>
        <w:spacing w:after="0" w:line="240" w:lineRule="auto"/>
        <w:jc w:val="both"/>
      </w:pPr>
    </w:p>
    <w:p w:rsidR="002C41B8" w:rsidRPr="002C41B8" w:rsidRDefault="002C41B8" w:rsidP="002C41B8">
      <w:pPr>
        <w:spacing w:after="0" w:line="240" w:lineRule="auto"/>
        <w:jc w:val="both"/>
        <w:rPr>
          <w:b/>
        </w:rPr>
      </w:pPr>
      <w:r w:rsidRPr="002C41B8">
        <w:rPr>
          <w:b/>
        </w:rPr>
        <w:t>Gráfico 1</w:t>
      </w:r>
    </w:p>
    <w:p w:rsidR="002C41B8" w:rsidRPr="002C41B8" w:rsidRDefault="002C41B8" w:rsidP="002C41B8">
      <w:pPr>
        <w:spacing w:after="0" w:line="240" w:lineRule="auto"/>
        <w:jc w:val="both"/>
        <w:rPr>
          <w:b/>
        </w:rPr>
      </w:pPr>
      <w:r w:rsidRPr="002C41B8">
        <w:rPr>
          <w:b/>
        </w:rPr>
        <w:t>Evolución del presupuesto del MNP de la República del Paraguay</w:t>
      </w:r>
    </w:p>
    <w:p w:rsidR="002C41B8" w:rsidRPr="002C41B8" w:rsidRDefault="002C41B8" w:rsidP="002C41B8">
      <w:pPr>
        <w:spacing w:after="0" w:line="240" w:lineRule="auto"/>
        <w:jc w:val="both"/>
        <w:rPr>
          <w:b/>
        </w:rPr>
      </w:pPr>
      <w:r w:rsidRPr="002C41B8">
        <w:rPr>
          <w:b/>
        </w:rPr>
        <w:t>Años 2013 - 2016</w:t>
      </w:r>
    </w:p>
    <w:p w:rsidR="002C41B8" w:rsidRDefault="002C41B8" w:rsidP="002C41B8">
      <w:pPr>
        <w:spacing w:after="0" w:line="240" w:lineRule="auto"/>
        <w:jc w:val="both"/>
      </w:pPr>
    </w:p>
    <w:p w:rsidR="002C41B8" w:rsidRDefault="002C41B8" w:rsidP="002C41B8">
      <w:pPr>
        <w:spacing w:after="0" w:line="240" w:lineRule="auto"/>
        <w:jc w:val="both"/>
      </w:pPr>
      <w:r w:rsidRPr="000D0585">
        <w:rPr>
          <w:noProof/>
          <w:lang w:val="es-ES_tradnl" w:eastAsia="es-ES_tradnl"/>
        </w:rPr>
        <w:drawing>
          <wp:inline distT="0" distB="0" distL="0" distR="0">
            <wp:extent cx="5137872" cy="3947048"/>
            <wp:effectExtent l="0" t="0" r="571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59205" cy="3963436"/>
                    </a:xfrm>
                    <a:prstGeom prst="rect">
                      <a:avLst/>
                    </a:prstGeom>
                    <a:noFill/>
                    <a:ln>
                      <a:noFill/>
                    </a:ln>
                  </pic:spPr>
                </pic:pic>
              </a:graphicData>
            </a:graphic>
          </wp:inline>
        </w:drawing>
      </w:r>
    </w:p>
    <w:p w:rsidR="002C41B8" w:rsidRDefault="002C41B8" w:rsidP="002C41B8">
      <w:pPr>
        <w:pStyle w:val="NoSpacing"/>
        <w:rPr>
          <w:rFonts w:eastAsia="Calibri"/>
        </w:rPr>
      </w:pPr>
    </w:p>
    <w:p w:rsidR="002C41B8" w:rsidRPr="002C41B8" w:rsidRDefault="002C41B8" w:rsidP="002C41B8">
      <w:pPr>
        <w:pStyle w:val="NoSpacing"/>
        <w:rPr>
          <w:rFonts w:asciiTheme="minorHAnsi" w:eastAsia="Calibri" w:hAnsiTheme="minorHAnsi"/>
          <w:i/>
        </w:rPr>
      </w:pPr>
      <w:r w:rsidRPr="002C41B8">
        <w:rPr>
          <w:rFonts w:asciiTheme="minorHAnsi" w:eastAsia="Calibri" w:hAnsiTheme="minorHAnsi"/>
          <w:i/>
        </w:rPr>
        <w:t>Nivel  de respuestas de recomendaciones</w:t>
      </w:r>
    </w:p>
    <w:p w:rsidR="002C41B8" w:rsidRPr="00B60275" w:rsidRDefault="002C41B8" w:rsidP="002C41B8">
      <w:pPr>
        <w:pStyle w:val="NoSpacing"/>
        <w:rPr>
          <w:rFonts w:eastAsia="Calibri"/>
          <w:u w:val="single"/>
        </w:rPr>
      </w:pPr>
    </w:p>
    <w:p w:rsidR="002C41B8" w:rsidRDefault="002C41B8" w:rsidP="002C41B8">
      <w:pPr>
        <w:jc w:val="both"/>
      </w:pPr>
      <w:r>
        <w:t>En el 2016, el MNP ha dirigido en total 716 recomendaciones a las instituciones responsables. En el 2015, hubo 636 recomendaciones, resultantes de un total de 67 visitas de inspección, seguimiento e intervención. El MNP publica sin restricciones sus informes de visitas y distribuye las recomendaciones con estos informes a las autoridades responsables en cada caso. El trabajo de diálogo con las autoridades es constructivo, permanente y abierto, y las autoridades reconocen el mandato institucional. Entre los principales interlocutores están: el Ministro de Justicia, como el primero, ya que el ámbito penitenciario es el más visitado; asimis</w:t>
      </w:r>
      <w:r w:rsidR="0036559A">
        <w:t xml:space="preserve">mo, el Ministro del Interior, </w:t>
      </w:r>
      <w:r>
        <w:t>Presidencia y Ministro/a</w:t>
      </w:r>
      <w:r w:rsidR="0036559A">
        <w:t xml:space="preserve"> de la</w:t>
      </w:r>
      <w:r>
        <w:t xml:space="preserve"> Corte Suprema de Justicia encargado de DDHH, el Fiscal General del Estado; el Comandante General de Policía, autoridades del Congreso y el Comandante de Fuerzas </w:t>
      </w:r>
      <w:r>
        <w:lastRenderedPageBreak/>
        <w:t>Militares.</w:t>
      </w:r>
      <w:r w:rsidR="0036559A">
        <w:t xml:space="preserve">  Así mismo, se contacta permanentemente con jueces/as, fiscales/as y defensores/as, así como autoridades locales departamentales y municipales.</w:t>
      </w:r>
    </w:p>
    <w:p w:rsidR="002C41B8" w:rsidRDefault="002C41B8" w:rsidP="002C41B8">
      <w:pPr>
        <w:spacing w:after="0" w:line="240" w:lineRule="auto"/>
        <w:jc w:val="both"/>
      </w:pPr>
      <w:r>
        <w:t xml:space="preserve">Si bien la ley determina la obligatoriedad de las recomendaciones del MNP, hasta el presente el cumplimiento de tales recomendaciones ha enfrentado muchas demoras que no siempre se encuentran suficientemente justificadas. </w:t>
      </w:r>
    </w:p>
    <w:p w:rsidR="002C41B8" w:rsidRDefault="002C41B8" w:rsidP="002C41B8">
      <w:pPr>
        <w:spacing w:after="0" w:line="240" w:lineRule="auto"/>
        <w:jc w:val="both"/>
      </w:pPr>
    </w:p>
    <w:p w:rsidR="002C41B8" w:rsidRDefault="002C41B8" w:rsidP="002C41B8">
      <w:pPr>
        <w:spacing w:after="0" w:line="240" w:lineRule="auto"/>
        <w:jc w:val="both"/>
        <w:rPr>
          <w:rFonts w:eastAsia="Calibri"/>
        </w:rPr>
      </w:pPr>
      <w:r>
        <w:t xml:space="preserve">De todas las recomendaciones, una que ha tenido una mayor reticencia en su cumplimiento es la dada al Poder Legislativo para los cambios de leyes internas modificatorias del Código Procesal Penal que contradicen los estándares de derechos humanos, promoviendo el uso extensivo de la prisión preventiva, </w:t>
      </w:r>
      <w:r w:rsidR="0036559A">
        <w:t>así como su aplicación extensiva por el Poder Judicial, que contraría</w:t>
      </w:r>
      <w:r>
        <w:t xml:space="preserve"> tanto a las recomendaciones del Comité</w:t>
      </w:r>
      <w:r>
        <w:rPr>
          <w:rStyle w:val="FootnoteReference"/>
        </w:rPr>
        <w:footnoteReference w:id="3"/>
      </w:r>
      <w:r>
        <w:t xml:space="preserve"> y del Subcomité de la Tortura como del Comité de Derechos Humanos</w:t>
      </w:r>
      <w:r>
        <w:rPr>
          <w:rStyle w:val="FootnoteReference"/>
        </w:rPr>
        <w:footnoteReference w:id="4"/>
      </w:r>
      <w:r>
        <w:t>.</w:t>
      </w:r>
      <w:r w:rsidR="00D57347">
        <w:t xml:space="preserve">   A veces</w:t>
      </w:r>
      <w:r>
        <w:t xml:space="preserve"> se han conseguido algunos avances en mesas de diálogo</w:t>
      </w:r>
      <w:r w:rsidR="00D57347">
        <w:t xml:space="preserve"> con la Corte Suprema de Justicia</w:t>
      </w:r>
      <w:r>
        <w:t>, pero continúa siendo una preocupación primordial para el MNP el uso abusivo de la prisión preventiva por parte de la judicatura, que se produce en todo el país, y que conduce al grave hacinamiento en todas las penitenciarías del país.</w:t>
      </w:r>
    </w:p>
    <w:p w:rsidR="002C41B8" w:rsidRPr="002C41B8" w:rsidRDefault="002C41B8" w:rsidP="002C41B8">
      <w:pPr>
        <w:pStyle w:val="NoSpacing"/>
        <w:jc w:val="both"/>
        <w:rPr>
          <w:rFonts w:asciiTheme="minorHAnsi" w:eastAsia="Calibri" w:hAnsiTheme="minorHAnsi"/>
        </w:rPr>
      </w:pPr>
    </w:p>
    <w:p w:rsidR="002C41B8" w:rsidRPr="002C41B8" w:rsidRDefault="002C41B8" w:rsidP="002C41B8">
      <w:pPr>
        <w:pStyle w:val="NoSpacing"/>
        <w:jc w:val="both"/>
        <w:rPr>
          <w:rFonts w:asciiTheme="minorHAnsi" w:eastAsia="Calibri" w:hAnsiTheme="minorHAnsi"/>
          <w:i/>
        </w:rPr>
      </w:pPr>
      <w:r w:rsidRPr="002C41B8">
        <w:rPr>
          <w:rFonts w:asciiTheme="minorHAnsi" w:eastAsia="Calibri" w:hAnsiTheme="minorHAnsi"/>
          <w:i/>
        </w:rPr>
        <w:t>Medidas  adoptadas para difundir informes</w:t>
      </w:r>
    </w:p>
    <w:p w:rsidR="002C41B8" w:rsidRDefault="002C41B8" w:rsidP="002C41B8">
      <w:pPr>
        <w:pStyle w:val="NormalWeb"/>
        <w:spacing w:before="0" w:beforeAutospacing="0" w:after="0" w:afterAutospacing="0"/>
        <w:jc w:val="both"/>
        <w:rPr>
          <w:rFonts w:asciiTheme="minorHAnsi" w:hAnsiTheme="minorHAnsi"/>
          <w:i w:val="0"/>
          <w:highlight w:val="yellow"/>
        </w:rPr>
      </w:pPr>
    </w:p>
    <w:p w:rsidR="002C41B8" w:rsidRDefault="002C41B8" w:rsidP="002C41B8">
      <w:pPr>
        <w:pStyle w:val="NormalWeb"/>
        <w:spacing w:before="0" w:beforeAutospacing="0" w:after="0" w:afterAutospacing="0"/>
        <w:jc w:val="both"/>
        <w:rPr>
          <w:rFonts w:asciiTheme="minorHAnsi" w:hAnsiTheme="minorHAnsi"/>
          <w:i w:val="0"/>
        </w:rPr>
      </w:pPr>
      <w:r w:rsidRPr="002C41B8">
        <w:rPr>
          <w:rFonts w:asciiTheme="minorHAnsi" w:hAnsiTheme="minorHAnsi"/>
          <w:i w:val="0"/>
        </w:rPr>
        <w:t>El Art. 9 in fine de la Ley</w:t>
      </w:r>
      <w:r>
        <w:rPr>
          <w:rFonts w:asciiTheme="minorHAnsi" w:hAnsiTheme="minorHAnsi"/>
          <w:i w:val="0"/>
        </w:rPr>
        <w:t xml:space="preserve"> Nº</w:t>
      </w:r>
      <w:r w:rsidRPr="002C41B8">
        <w:rPr>
          <w:rFonts w:asciiTheme="minorHAnsi" w:hAnsiTheme="minorHAnsi"/>
          <w:i w:val="0"/>
        </w:rPr>
        <w:t xml:space="preserve"> 4288/11 de creación del MNP, dice que </w:t>
      </w:r>
      <w:r w:rsidRPr="002C41B8">
        <w:rPr>
          <w:rFonts w:asciiTheme="minorHAnsi" w:hAnsiTheme="minorHAnsi"/>
        </w:rPr>
        <w:t xml:space="preserve"> “La Comisión Nacional dará a publicidad sus informes de gestión y ejecución presupuestaria, utilizando Internet y otros medios eficaces”.</w:t>
      </w:r>
      <w:r w:rsidR="00EE08F7">
        <w:rPr>
          <w:rFonts w:asciiTheme="minorHAnsi" w:hAnsiTheme="minorHAnsi"/>
        </w:rPr>
        <w:t xml:space="preserve"> </w:t>
      </w:r>
      <w:r w:rsidRPr="002C41B8">
        <w:rPr>
          <w:rFonts w:asciiTheme="minorHAnsi" w:hAnsiTheme="minorHAnsi"/>
          <w:i w:val="0"/>
        </w:rPr>
        <w:t>Se cuenta con dos tipos de informes en general, uno es sobre la tr</w:t>
      </w:r>
      <w:r w:rsidR="00D57347">
        <w:rPr>
          <w:rFonts w:asciiTheme="minorHAnsi" w:hAnsiTheme="minorHAnsi"/>
          <w:i w:val="0"/>
        </w:rPr>
        <w:t xml:space="preserve">ansparencia de gestión y </w:t>
      </w:r>
      <w:proofErr w:type="gramStart"/>
      <w:r w:rsidR="00D57347">
        <w:rPr>
          <w:rFonts w:asciiTheme="minorHAnsi" w:hAnsiTheme="minorHAnsi"/>
          <w:i w:val="0"/>
        </w:rPr>
        <w:t>otros</w:t>
      </w:r>
      <w:proofErr w:type="gramEnd"/>
      <w:r w:rsidR="00D57347">
        <w:rPr>
          <w:rFonts w:asciiTheme="minorHAnsi" w:hAnsiTheme="minorHAnsi"/>
          <w:i w:val="0"/>
        </w:rPr>
        <w:t xml:space="preserve"> </w:t>
      </w:r>
      <w:r w:rsidRPr="002C41B8">
        <w:rPr>
          <w:rFonts w:asciiTheme="minorHAnsi" w:hAnsiTheme="minorHAnsi"/>
          <w:i w:val="0"/>
        </w:rPr>
        <w:t>sobre informes de visitas.  Ambos se difunden permanentemente.  El informe anual, que resume los informes y recomendaciones hechas en el año de trabajo, se distribuye ampliamente entre los poderes del estado. Hemos hecho distribución del informe anual y de informes de visitas, mesas de diálogo, talleres, a los diferentes poderes y funcionarios públicos de todo el país.</w:t>
      </w:r>
      <w:r w:rsidR="007B1BE8">
        <w:rPr>
          <w:rFonts w:asciiTheme="minorHAnsi" w:hAnsiTheme="minorHAnsi"/>
          <w:i w:val="0"/>
        </w:rPr>
        <w:t xml:space="preserve"> </w:t>
      </w:r>
      <w:r w:rsidRPr="002C41B8">
        <w:rPr>
          <w:rFonts w:asciiTheme="minorHAnsi" w:hAnsiTheme="minorHAnsi"/>
          <w:i w:val="0"/>
        </w:rPr>
        <w:t>En el año 2013 y 2014 realizamos seminarios para el público donde se difundieron ampliamente nuestros informes, así como las investigaciones hechas, llegando a un grupo masivo de operadores de justicia, funcionarios públicos de los diferentes poderes del Estado, sociedad civil y estudiantes y profesores de universidades. Se trabajó en talleres y mesas de diálogo en todo el país para difundir en especial los informes de cada entidad visitada, con operadores de justicia de las circunscripciones judiciales de las regiones, en conjunto con el Centro de Estudios Penitenciarios del Ministerio de Justicia en la formación de agentes penitenciarios, con personal de entidades de abrigo de niñez, con directores y coordinadores de Centros Educativos de Adolescentes privados de libertad, con jefes de comisarías.</w:t>
      </w:r>
    </w:p>
    <w:p w:rsidR="002C41B8" w:rsidRPr="002C41B8" w:rsidRDefault="002C41B8" w:rsidP="002C41B8">
      <w:pPr>
        <w:pStyle w:val="NormalWeb"/>
        <w:spacing w:before="0" w:beforeAutospacing="0" w:after="0" w:afterAutospacing="0"/>
        <w:jc w:val="both"/>
        <w:rPr>
          <w:rFonts w:asciiTheme="minorHAnsi" w:hAnsiTheme="minorHAnsi"/>
          <w:i w:val="0"/>
        </w:rPr>
      </w:pPr>
    </w:p>
    <w:p w:rsidR="002C41B8" w:rsidRPr="002C41B8" w:rsidRDefault="002C41B8" w:rsidP="002C41B8">
      <w:pPr>
        <w:spacing w:after="0" w:line="240" w:lineRule="auto"/>
        <w:jc w:val="both"/>
      </w:pPr>
      <w:r w:rsidRPr="002C41B8">
        <w:t>En el 2016 el MNP ha efectuado 55 visitas a diversas instituciones, de todos sus ámbitos de intervención, impactando directa e indirectamente sobre una población afectada en su libertad de 7871 personas.  En el 2015, se realizaron 67 visitas de inspección, seguimiento e intervención a diversas instituciones, impactando en una población de 11.154 personas privadas de</w:t>
      </w:r>
      <w:r w:rsidR="0001133D">
        <w:t xml:space="preserve"> libertad en diversos ámbitos. </w:t>
      </w:r>
      <w:r w:rsidRPr="002C41B8">
        <w:t xml:space="preserve">De todas las visitas se realizan informes, y éstos se difunden a todas las </w:t>
      </w:r>
      <w:r w:rsidRPr="002C41B8">
        <w:lastRenderedPageBreak/>
        <w:t xml:space="preserve">autoridades responsables en primer lugar, y luego se publican en el sitio web de la institución, </w:t>
      </w:r>
      <w:hyperlink r:id="rId10" w:history="1">
        <w:r w:rsidRPr="002C41B8">
          <w:rPr>
            <w:rStyle w:val="Hyperlink"/>
          </w:rPr>
          <w:t>www.mnp.gov.py</w:t>
        </w:r>
      </w:hyperlink>
      <w:r w:rsidRPr="002C41B8">
        <w:t xml:space="preserve"> , así como en el Facebook ofic</w:t>
      </w:r>
      <w:r>
        <w:t>ial y el Twitter institucional.</w:t>
      </w:r>
      <w:r w:rsidRPr="002C41B8">
        <w:t xml:space="preserve"> Además, tanto para el informe de gestión anual como para los informes, se impulsa la difusión por medio de la prensa.</w:t>
      </w:r>
    </w:p>
    <w:p w:rsidR="002C41B8" w:rsidRPr="002C41B8" w:rsidRDefault="002C41B8" w:rsidP="002C41B8">
      <w:pPr>
        <w:spacing w:after="0" w:line="240" w:lineRule="auto"/>
        <w:jc w:val="both"/>
      </w:pPr>
    </w:p>
    <w:p w:rsidR="0001133D" w:rsidRPr="0001133D" w:rsidRDefault="0001133D" w:rsidP="0001133D">
      <w:pPr>
        <w:pStyle w:val="SingleTxtG"/>
        <w:rPr>
          <w:rFonts w:eastAsia="Calibri"/>
          <w:b/>
          <w:lang w:eastAsia="en-US"/>
        </w:rPr>
      </w:pPr>
      <w:r w:rsidRPr="0001133D">
        <w:rPr>
          <w:rFonts w:eastAsia="Calibri"/>
          <w:b/>
          <w:lang w:eastAsia="en-US"/>
        </w:rPr>
        <w:t>7.</w:t>
      </w:r>
      <w:r w:rsidRPr="0001133D">
        <w:rPr>
          <w:rFonts w:eastAsia="Calibri"/>
          <w:b/>
          <w:lang w:eastAsia="en-US"/>
        </w:rPr>
        <w:tab/>
        <w:t xml:space="preserve">Con referencia a las observaciones finales anteriores del Comité (párr. 16), sírvanse proporcionar información sobre las medidas adoptadas para prevenir y sancionar los actos de corrupción cometidos por agentes de la Policía Nacional y funcionarios penitenciarios, así como información detallada sobre el número de funcionarios que hayan sido enjuiciados y castigados por corrupción durante el periodo en examen. Sírvanse igualmente indicar las dificultades encontradas por los poderes públicos en este ámbito. </w:t>
      </w:r>
    </w:p>
    <w:p w:rsidR="002C41B8" w:rsidRPr="00BE1B05" w:rsidRDefault="002C41B8" w:rsidP="00BE1B05">
      <w:pPr>
        <w:spacing w:after="0" w:line="240" w:lineRule="auto"/>
        <w:jc w:val="both"/>
      </w:pPr>
    </w:p>
    <w:p w:rsidR="00BE1B05" w:rsidRPr="00BE1B05" w:rsidRDefault="00BE1B05" w:rsidP="00BE1B05">
      <w:pPr>
        <w:pStyle w:val="NoSpacing"/>
        <w:jc w:val="both"/>
        <w:rPr>
          <w:rFonts w:asciiTheme="minorHAnsi" w:eastAsia="Calibri" w:hAnsiTheme="minorHAnsi"/>
        </w:rPr>
      </w:pPr>
      <w:r w:rsidRPr="00BE1B05">
        <w:rPr>
          <w:rFonts w:asciiTheme="minorHAnsi" w:eastAsia="Calibri" w:hAnsiTheme="minorHAnsi"/>
        </w:rPr>
        <w:t>De acuerdo al informe de justicia judicial, para mayo de 2017 había 13 sumarios a agentes policiales por hechos de corrupción relacionados con personas detenidas: cuatro por hechos punibles en ejercicio de funciones públicas y seis por privación de libertad y extorsión y tres hechos punibles contra la libertad. Existe un sub</w:t>
      </w:r>
      <w:r w:rsidR="00606482">
        <w:rPr>
          <w:rFonts w:asciiTheme="minorHAnsi" w:eastAsia="Calibri" w:hAnsiTheme="minorHAnsi"/>
        </w:rPr>
        <w:t xml:space="preserve"> </w:t>
      </w:r>
      <w:r w:rsidRPr="00BE1B05">
        <w:rPr>
          <w:rFonts w:asciiTheme="minorHAnsi" w:eastAsia="Calibri" w:hAnsiTheme="minorHAnsi"/>
        </w:rPr>
        <w:t xml:space="preserve">registro de denuncias, no todos los casos se denuncian formalmente, debido a que la extorsión se hace generalmente a las personas más vulnerables </w:t>
      </w:r>
      <w:r w:rsidR="00606482" w:rsidRPr="00BE1B05">
        <w:rPr>
          <w:rFonts w:asciiTheme="minorHAnsi" w:eastAsia="Calibri" w:hAnsiTheme="minorHAnsi"/>
        </w:rPr>
        <w:t>(con antecedentes penales, personas adictas)</w:t>
      </w:r>
      <w:proofErr w:type="gramStart"/>
      <w:r w:rsidR="00606482">
        <w:rPr>
          <w:rFonts w:asciiTheme="minorHAnsi" w:eastAsia="Calibri" w:hAnsiTheme="minorHAnsi"/>
        </w:rPr>
        <w:t>,que</w:t>
      </w:r>
      <w:proofErr w:type="gramEnd"/>
      <w:r w:rsidR="00606482">
        <w:rPr>
          <w:rFonts w:asciiTheme="minorHAnsi" w:eastAsia="Calibri" w:hAnsiTheme="minorHAnsi"/>
        </w:rPr>
        <w:t xml:space="preserve"> temen que esto les perjudique aún más</w:t>
      </w:r>
      <w:r w:rsidRPr="00BE1B05">
        <w:rPr>
          <w:rFonts w:asciiTheme="minorHAnsi" w:eastAsia="Calibri" w:hAnsiTheme="minorHAnsi"/>
        </w:rPr>
        <w:t>.</w:t>
      </w:r>
    </w:p>
    <w:p w:rsidR="00BE1B05" w:rsidRPr="00BE1B05" w:rsidRDefault="00BE1B05" w:rsidP="00BE1B05">
      <w:pPr>
        <w:spacing w:after="0" w:line="240" w:lineRule="auto"/>
        <w:jc w:val="both"/>
      </w:pPr>
    </w:p>
    <w:p w:rsidR="0001133D" w:rsidRDefault="0001133D" w:rsidP="0001133D">
      <w:pPr>
        <w:spacing w:after="0" w:line="240" w:lineRule="auto"/>
        <w:jc w:val="both"/>
      </w:pPr>
      <w:r>
        <w:t>Al MNP le preocupa la política de recursos humanos del Ministerio de Justicia.  Las veces que se ha constatado por diferentes fuentes, hechos de tortura y malos tratos por parte de un director de establecimiento penitenciario, se han hecho recomendaciones de inmediata separación de estas personas del contacto con la población penal, mientras dure la investigación pertinente. Mientras esto se ha cumplido en uno de los casos (Centro Educativo de Villarrica), en otros las recomendaciones continúan pendientes, con riesgos par</w:t>
      </w:r>
      <w:r w:rsidR="00030CD8">
        <w:t>a la población de represalias, como el caso de la penitenciaría de Pedro Juan Caballero.</w:t>
      </w:r>
    </w:p>
    <w:p w:rsidR="0001133D" w:rsidRDefault="0001133D" w:rsidP="00C83BE8">
      <w:pPr>
        <w:spacing w:after="0" w:line="240" w:lineRule="auto"/>
        <w:jc w:val="both"/>
      </w:pPr>
    </w:p>
    <w:p w:rsidR="007C3392" w:rsidRPr="00FD0262" w:rsidRDefault="007C3392" w:rsidP="00FD0262">
      <w:pPr>
        <w:pStyle w:val="H23G"/>
        <w:spacing w:before="0" w:after="0" w:line="240" w:lineRule="auto"/>
        <w:rPr>
          <w:rFonts w:asciiTheme="minorHAnsi" w:eastAsia="Calibri" w:hAnsiTheme="minorHAnsi"/>
          <w:lang w:eastAsia="en-US"/>
        </w:rPr>
      </w:pPr>
      <w:r w:rsidRPr="00FD0262">
        <w:rPr>
          <w:rFonts w:asciiTheme="minorHAnsi" w:eastAsia="Calibri" w:hAnsiTheme="minorHAnsi"/>
          <w:lang w:eastAsia="en-US"/>
        </w:rPr>
        <w:tab/>
      </w:r>
      <w:r w:rsidRPr="00FD0262">
        <w:rPr>
          <w:rFonts w:asciiTheme="minorHAnsi" w:eastAsia="Calibri" w:hAnsiTheme="minorHAnsi"/>
          <w:lang w:eastAsia="en-US"/>
        </w:rPr>
        <w:tab/>
        <w:t>Artículos 5 a 9</w:t>
      </w:r>
    </w:p>
    <w:p w:rsidR="00FD0262" w:rsidRDefault="00FD0262" w:rsidP="00FD0262">
      <w:pPr>
        <w:pStyle w:val="SingleTxtG"/>
        <w:spacing w:after="0" w:line="240" w:lineRule="auto"/>
        <w:rPr>
          <w:rFonts w:eastAsia="Calibri" w:cs="Times New Roman"/>
          <w:b/>
          <w:lang w:eastAsia="en-US"/>
        </w:rPr>
      </w:pPr>
    </w:p>
    <w:p w:rsidR="007C3392" w:rsidRPr="00FD0262" w:rsidRDefault="007C3392" w:rsidP="00FD0262">
      <w:pPr>
        <w:pStyle w:val="SingleTxtG"/>
        <w:spacing w:after="0" w:line="240" w:lineRule="auto"/>
        <w:rPr>
          <w:rFonts w:eastAsia="Calibri" w:cs="Times New Roman"/>
          <w:b/>
          <w:lang w:eastAsia="en-US"/>
        </w:rPr>
      </w:pPr>
      <w:r w:rsidRPr="00FD0262">
        <w:rPr>
          <w:rFonts w:eastAsia="Calibri" w:cs="Times New Roman"/>
          <w:b/>
          <w:lang w:eastAsia="en-US"/>
        </w:rPr>
        <w:t>12.</w:t>
      </w:r>
      <w:r w:rsidRPr="00FD0262">
        <w:rPr>
          <w:rFonts w:eastAsia="Calibri" w:cs="Times New Roman"/>
          <w:b/>
          <w:lang w:eastAsia="en-US"/>
        </w:rPr>
        <w:tab/>
        <w:t>Sírvanse indicar las medidas legislativas o de otro tipo que se hayan adoptado para dar cumplimiento a las disposiciones del artículo 5 de la Convención. En el derecho interno, ¿se considera que los actos de tortura son delitos sobre los que es obligatorio para el Estado parte ejercer jurisdicción de carácter universal, independientemente de dónde ocurran y de la nacionalidad del autor o de la víctima? Sírvanse proporcionar ejemplos pertinentes de enjuiciamientos de estos delitos.</w:t>
      </w:r>
    </w:p>
    <w:p w:rsidR="007C3392" w:rsidRDefault="007C3392" w:rsidP="00C83BE8">
      <w:pPr>
        <w:spacing w:after="0" w:line="240" w:lineRule="auto"/>
        <w:jc w:val="both"/>
      </w:pPr>
    </w:p>
    <w:p w:rsidR="008B62EB" w:rsidRDefault="00CB0833" w:rsidP="00C83BE8">
      <w:pPr>
        <w:spacing w:after="0" w:line="240" w:lineRule="auto"/>
        <w:jc w:val="both"/>
      </w:pPr>
      <w:r>
        <w:t xml:space="preserve">Con arreglo al artículo 6 del Código Penal de la República del Paraguay, el Estado parte ejerce jurisdicción penal territorial de manera ordinaria ante los hechos de tortura, en concordancia con el artículo 5.1.a de la Convención. </w:t>
      </w:r>
      <w:r w:rsidR="008B62EB">
        <w:t>De conformidad con artículo 9 del Código Penal del Paraguay, se aplica el principio de j</w:t>
      </w:r>
      <w:r w:rsidR="00030CD8">
        <w:t>urisdicción personal activa tanto si la persona hubiese</w:t>
      </w:r>
      <w:r w:rsidR="008B62EB">
        <w:t xml:space="preserve"> tenido la nacionalidad paraguaya al tiempo de la comisión del delito </w:t>
      </w:r>
      <w:r w:rsidR="00030CD8">
        <w:t>com</w:t>
      </w:r>
      <w:r w:rsidR="008B62EB">
        <w:t xml:space="preserve">o </w:t>
      </w:r>
      <w:r w:rsidR="00030CD8">
        <w:t xml:space="preserve">si </w:t>
      </w:r>
      <w:r w:rsidR="008B62EB">
        <w:t>la</w:t>
      </w:r>
      <w:r w:rsidR="00030CD8">
        <w:t xml:space="preserve"> hubiera</w:t>
      </w:r>
      <w:r w:rsidR="008B62EB">
        <w:t xml:space="preserve"> adquirido después de su realización. La jurisdicción personal sobre el autor del crimen de tortura se ejercerá siempre y cuando en la jurisdicción del hecho el crimen de tortura esté penado. Asimismo, el principio </w:t>
      </w:r>
      <w:proofErr w:type="spellStart"/>
      <w:r w:rsidR="008B62EB">
        <w:rPr>
          <w:i/>
        </w:rPr>
        <w:t>aut</w:t>
      </w:r>
      <w:proofErr w:type="spellEnd"/>
      <w:r w:rsidR="008B62EB">
        <w:rPr>
          <w:i/>
        </w:rPr>
        <w:t xml:space="preserve"> </w:t>
      </w:r>
      <w:proofErr w:type="spellStart"/>
      <w:r w:rsidR="008B62EB">
        <w:rPr>
          <w:i/>
        </w:rPr>
        <w:t>dedere</w:t>
      </w:r>
      <w:proofErr w:type="spellEnd"/>
      <w:r w:rsidR="008B62EB">
        <w:rPr>
          <w:i/>
        </w:rPr>
        <w:t xml:space="preserve"> </w:t>
      </w:r>
      <w:proofErr w:type="spellStart"/>
      <w:r w:rsidR="008B62EB">
        <w:rPr>
          <w:i/>
        </w:rPr>
        <w:t>aut</w:t>
      </w:r>
      <w:proofErr w:type="spellEnd"/>
      <w:r w:rsidR="008B62EB">
        <w:rPr>
          <w:i/>
        </w:rPr>
        <w:t xml:space="preserve"> </w:t>
      </w:r>
      <w:proofErr w:type="spellStart"/>
      <w:r w:rsidR="008B62EB">
        <w:rPr>
          <w:i/>
        </w:rPr>
        <w:t>j</w:t>
      </w:r>
      <w:r w:rsidR="008B62EB" w:rsidRPr="008B62EB">
        <w:rPr>
          <w:i/>
        </w:rPr>
        <w:t>udicare</w:t>
      </w:r>
      <w:proofErr w:type="spellEnd"/>
      <w:r w:rsidR="008B62EB">
        <w:t xml:space="preserve"> es aplicable cuando: a) no existiera poder punitivo en el lugar de la realización </w:t>
      </w:r>
      <w:r w:rsidR="008B62EB">
        <w:lastRenderedPageBreak/>
        <w:t xml:space="preserve">del hecho; b) la extradición hubiera sido rechazada a pesar de que, en virtud de la naturaleza del hecho, hubiera sido legalmente admisible (artículo 9, 1°, numeral 2, </w:t>
      </w:r>
      <w:r w:rsidR="002A2E18">
        <w:t>del Código Penal).</w:t>
      </w:r>
    </w:p>
    <w:p w:rsidR="008B62EB" w:rsidRDefault="008B62EB" w:rsidP="00C83BE8">
      <w:pPr>
        <w:spacing w:after="0" w:line="240" w:lineRule="auto"/>
        <w:jc w:val="both"/>
      </w:pPr>
    </w:p>
    <w:p w:rsidR="002F4222" w:rsidRDefault="00A927D1" w:rsidP="00C83BE8">
      <w:pPr>
        <w:spacing w:after="0" w:line="240" w:lineRule="auto"/>
        <w:jc w:val="both"/>
      </w:pPr>
      <w:r>
        <w:t>Adicionalmente</w:t>
      </w:r>
      <w:r w:rsidR="008B62EB">
        <w:t>, el Código Penal del Estado parte dispone que su ley penal será aplicable a los hechos realizados en el extranjero que esté obligado a perseguir en virtud de un tratado internacional (artículo 8, 1°, numeral 7 del Código Penal)</w:t>
      </w:r>
      <w:r>
        <w:t>. Esta disposición, leída en conjunto con los artículos 5, 6 y 7 de la Convención habilita el ejercicio de la jurisdicción extraterritorial en la persecución del crimen de tortura</w:t>
      </w:r>
      <w:r w:rsidR="008B62EB">
        <w:t xml:space="preserve">. En estos casos se procederá en virtud del principio </w:t>
      </w:r>
      <w:proofErr w:type="spellStart"/>
      <w:r w:rsidR="008B62EB">
        <w:rPr>
          <w:i/>
        </w:rPr>
        <w:t>aut</w:t>
      </w:r>
      <w:proofErr w:type="spellEnd"/>
      <w:r w:rsidR="008B62EB">
        <w:rPr>
          <w:i/>
        </w:rPr>
        <w:t xml:space="preserve"> </w:t>
      </w:r>
      <w:proofErr w:type="spellStart"/>
      <w:r w:rsidR="008B62EB">
        <w:rPr>
          <w:i/>
        </w:rPr>
        <w:t>dedere</w:t>
      </w:r>
      <w:proofErr w:type="spellEnd"/>
      <w:r w:rsidR="008B62EB">
        <w:rPr>
          <w:i/>
        </w:rPr>
        <w:t xml:space="preserve"> </w:t>
      </w:r>
      <w:proofErr w:type="spellStart"/>
      <w:r w:rsidR="008B62EB">
        <w:rPr>
          <w:i/>
        </w:rPr>
        <w:t>aut</w:t>
      </w:r>
      <w:proofErr w:type="spellEnd"/>
      <w:r w:rsidR="008B62EB">
        <w:rPr>
          <w:i/>
        </w:rPr>
        <w:t xml:space="preserve"> </w:t>
      </w:r>
      <w:proofErr w:type="spellStart"/>
      <w:r w:rsidR="008B62EB">
        <w:rPr>
          <w:i/>
        </w:rPr>
        <w:t>j</w:t>
      </w:r>
      <w:r w:rsidR="008B62EB" w:rsidRPr="008B62EB">
        <w:rPr>
          <w:i/>
        </w:rPr>
        <w:t>udicare</w:t>
      </w:r>
      <w:proofErr w:type="spellEnd"/>
      <w:r w:rsidR="008B62EB">
        <w:t xml:space="preserve">, ya que la jurisdicción será ejercida siempre y cuando el presunto autor ingrese al territorio del Estado parte y no haya sido absuelto, indultado o la pena haya sido purgada o prescripta en </w:t>
      </w:r>
      <w:r>
        <w:t>la</w:t>
      </w:r>
      <w:r w:rsidR="008B62EB">
        <w:t xml:space="preserve"> jurisdicción </w:t>
      </w:r>
      <w:r>
        <w:t>de un tribunal extranjero</w:t>
      </w:r>
      <w:r w:rsidR="008B62EB">
        <w:t>.</w:t>
      </w:r>
    </w:p>
    <w:p w:rsidR="00626EBB" w:rsidRDefault="00626EBB" w:rsidP="00C83BE8">
      <w:pPr>
        <w:spacing w:after="0" w:line="240" w:lineRule="auto"/>
        <w:jc w:val="both"/>
      </w:pPr>
    </w:p>
    <w:p w:rsidR="00626EBB" w:rsidRDefault="00626EBB" w:rsidP="00C83BE8">
      <w:pPr>
        <w:spacing w:after="0" w:line="240" w:lineRule="auto"/>
        <w:jc w:val="both"/>
      </w:pPr>
      <w:r>
        <w:t xml:space="preserve">No obstante estas normas legales que </w:t>
      </w:r>
      <w:r w:rsidR="00166133">
        <w:t>autorizan legalmente</w:t>
      </w:r>
      <w:r>
        <w:t xml:space="preserve"> el ejercicio de la jurisdicción extraterritorial, el Estado parte no cuenta con precedente alguno al respecto.</w:t>
      </w:r>
    </w:p>
    <w:p w:rsidR="00626EBB" w:rsidRDefault="00626EBB" w:rsidP="00C83BE8">
      <w:pPr>
        <w:spacing w:after="0" w:line="240" w:lineRule="auto"/>
        <w:jc w:val="both"/>
      </w:pPr>
    </w:p>
    <w:p w:rsidR="002A2E18" w:rsidRDefault="002A2E18" w:rsidP="002A2E18">
      <w:pPr>
        <w:spacing w:after="0" w:line="240" w:lineRule="auto"/>
        <w:jc w:val="both"/>
      </w:pPr>
      <w:r w:rsidRPr="00C12994">
        <w:t xml:space="preserve">Los precedentes con que se cuenta a nivel judicial </w:t>
      </w:r>
      <w:r w:rsidR="00C12994" w:rsidRPr="00C12994">
        <w:t xml:space="preserve">se </w:t>
      </w:r>
      <w:r w:rsidRPr="00C12994">
        <w:t xml:space="preserve">refieren </w:t>
      </w:r>
      <w:r w:rsidR="00C12994" w:rsidRPr="00C12994">
        <w:t>a</w:t>
      </w:r>
      <w:r w:rsidRPr="00C12994">
        <w:t xml:space="preserve"> cooperación judicial y extradición, en el caso de personas acusadas de crímenes de lesa humanidad en </w:t>
      </w:r>
      <w:r w:rsidR="00B11EA3" w:rsidRPr="00C12994">
        <w:t>la jurisdicción de Estados extranjeros limítrofes</w:t>
      </w:r>
      <w:r w:rsidRPr="00C12994">
        <w:t>.</w:t>
      </w:r>
    </w:p>
    <w:p w:rsidR="002A2E18" w:rsidRDefault="002A2E18" w:rsidP="002A2E18">
      <w:pPr>
        <w:spacing w:after="0" w:line="240" w:lineRule="auto"/>
        <w:jc w:val="both"/>
      </w:pPr>
    </w:p>
    <w:p w:rsidR="00166133" w:rsidRDefault="002A2E18" w:rsidP="00166133">
      <w:pPr>
        <w:spacing w:after="0" w:line="240" w:lineRule="auto"/>
        <w:jc w:val="both"/>
      </w:pPr>
      <w:r w:rsidRPr="002A2E18">
        <w:t xml:space="preserve">En el 2009, un Juzgado de Primera Instancia Penal rechazó la solicitud de extradición del ex gendarme argentino Eduardo Abelardo </w:t>
      </w:r>
      <w:proofErr w:type="spellStart"/>
      <w:r w:rsidRPr="002A2E18">
        <w:t>Britos</w:t>
      </w:r>
      <w:proofErr w:type="spellEnd"/>
      <w:r w:rsidRPr="002A2E18">
        <w:t xml:space="preserve">, quien era requerido por el Juzgado de Federal de Primera Instancia de la Rioja, República Argentina, en el marco de una causa que investigaba hechos de privación Ilegítima de la libertad y tormentos </w:t>
      </w:r>
      <w:r>
        <w:t>ocurrido</w:t>
      </w:r>
      <w:r w:rsidR="00456E20">
        <w:t>s</w:t>
      </w:r>
      <w:r>
        <w:t xml:space="preserve"> en 1976. </w:t>
      </w:r>
      <w:r w:rsidRPr="002A2E18">
        <w:t>El Juzgado que denegó la extradición argumentó la prescripción de la acción en la causa. No obstante, con posterioridad, la Corte Suprema de Justicia revocó la decisión e hizo lugar a la extradición, la que fue ejecutada en enero de 2010</w:t>
      </w:r>
      <w:r w:rsidRPr="002A2E18">
        <w:rPr>
          <w:rStyle w:val="FootnoteReference"/>
        </w:rPr>
        <w:footnoteReference w:id="5"/>
      </w:r>
      <w:r w:rsidRPr="002A2E18">
        <w:t>.</w:t>
      </w:r>
    </w:p>
    <w:p w:rsidR="00166133" w:rsidRPr="00166133" w:rsidRDefault="00166133" w:rsidP="00166133">
      <w:pPr>
        <w:spacing w:after="0" w:line="240" w:lineRule="auto"/>
        <w:jc w:val="both"/>
      </w:pPr>
    </w:p>
    <w:p w:rsidR="00456E20" w:rsidRPr="00166133" w:rsidRDefault="00166133" w:rsidP="00166133">
      <w:pPr>
        <w:spacing w:after="0" w:line="240" w:lineRule="auto"/>
        <w:jc w:val="both"/>
        <w:rPr>
          <w:rFonts w:ascii="Times New Roman" w:hAnsi="Times New Roman" w:cs="Times New Roman"/>
          <w:lang w:eastAsia="es-MX"/>
        </w:rPr>
      </w:pPr>
      <w:r w:rsidRPr="00166133">
        <w:t xml:space="preserve">En otro precedente anterior, </w:t>
      </w:r>
      <w:r w:rsidR="00456E20" w:rsidRPr="00166133">
        <w:t xml:space="preserve">el médico militar mayor </w:t>
      </w:r>
      <w:proofErr w:type="spellStart"/>
      <w:r w:rsidR="00456E20" w:rsidRPr="00166133">
        <w:t>Nolberto</w:t>
      </w:r>
      <w:proofErr w:type="spellEnd"/>
      <w:r w:rsidR="00456E20" w:rsidRPr="00166133">
        <w:t xml:space="preserve"> Atilio Bianco y su esposa Nilda Susana </w:t>
      </w:r>
      <w:proofErr w:type="spellStart"/>
      <w:r w:rsidR="00456E20" w:rsidRPr="00166133">
        <w:t>Wherli</w:t>
      </w:r>
      <w:proofErr w:type="spellEnd"/>
      <w:r w:rsidR="00456E20" w:rsidRPr="00166133">
        <w:t xml:space="preserve"> de Bianco,</w:t>
      </w:r>
      <w:r w:rsidRPr="00166133">
        <w:t xml:space="preserve"> fueron</w:t>
      </w:r>
      <w:r w:rsidR="00456E20" w:rsidRPr="00166133">
        <w:t xml:space="preserve"> requeridos </w:t>
      </w:r>
      <w:r w:rsidRPr="00166133">
        <w:t xml:space="preserve">en extradición </w:t>
      </w:r>
      <w:r w:rsidR="00456E20" w:rsidRPr="00166133">
        <w:t xml:space="preserve">por la justicia argentina en causas abiertas sobre delitos </w:t>
      </w:r>
      <w:r w:rsidRPr="00166133">
        <w:t>de</w:t>
      </w:r>
      <w:r w:rsidR="00456E20" w:rsidRPr="00166133">
        <w:t xml:space="preserve"> apropiación de menores y sustitución de identidad</w:t>
      </w:r>
      <w:r w:rsidRPr="00166133">
        <w:t xml:space="preserve"> en el marco de investigación de crímenes de lesa humanidad</w:t>
      </w:r>
      <w:r w:rsidR="00456E20" w:rsidRPr="00166133">
        <w:t xml:space="preserve">. En el caso Bianco, </w:t>
      </w:r>
      <w:r w:rsidR="000F38FF">
        <w:t xml:space="preserve">la Corte Suprema de Justicia del Paraguay resolvió en 1989 hacer lugar a la extradición solicitada por la </w:t>
      </w:r>
      <w:r w:rsidR="000F38FF" w:rsidRPr="00166133">
        <w:t>República Argentina en 1987</w:t>
      </w:r>
      <w:r w:rsidR="000F38FF">
        <w:t>.</w:t>
      </w:r>
      <w:r w:rsidR="00456E20" w:rsidRPr="00166133">
        <w:t xml:space="preserve"> </w:t>
      </w:r>
      <w:r w:rsidR="000F38FF">
        <w:t xml:space="preserve">Sin embargo, la extradición del </w:t>
      </w:r>
      <w:r w:rsidR="000F38FF" w:rsidRPr="00166133">
        <w:t xml:space="preserve">matrimonio Bianco </w:t>
      </w:r>
      <w:r w:rsidR="000F38FF">
        <w:t xml:space="preserve">recién se hizo efectiva </w:t>
      </w:r>
      <w:r w:rsidR="000F38FF" w:rsidRPr="00166133">
        <w:t>en marzo de 1997</w:t>
      </w:r>
      <w:r w:rsidR="00C53F82">
        <w:t>,</w:t>
      </w:r>
      <w:r w:rsidR="00C53F82" w:rsidRPr="00C53F82">
        <w:t xml:space="preserve"> </w:t>
      </w:r>
      <w:r w:rsidR="00C53F82">
        <w:t>m</w:t>
      </w:r>
      <w:r w:rsidR="00C53F82" w:rsidRPr="00166133">
        <w:t>ediante la intervención de la Comisión Interamericana de Derechos Humanos (CIDH)</w:t>
      </w:r>
      <w:r w:rsidR="000F38FF">
        <w:t xml:space="preserve">. </w:t>
      </w:r>
      <w:r w:rsidR="00456E20" w:rsidRPr="00166133">
        <w:t xml:space="preserve">El </w:t>
      </w:r>
      <w:r w:rsidRPr="00166133">
        <w:t xml:space="preserve">Estado parte justificó la demora en cumplir la extradición </w:t>
      </w:r>
      <w:r w:rsidR="000F38FF">
        <w:t>con</w:t>
      </w:r>
      <w:r w:rsidRPr="00166133">
        <w:t xml:space="preserve"> cuestiones tales como la pérdida y reconstitución del expediente o la renovación del Poder Judicial</w:t>
      </w:r>
      <w:r w:rsidR="00456E20" w:rsidRPr="00166133">
        <w:rPr>
          <w:rStyle w:val="FootnoteReference"/>
        </w:rPr>
        <w:footnoteReference w:id="6"/>
      </w:r>
      <w:r w:rsidR="00D877EE">
        <w:t>.</w:t>
      </w:r>
      <w:r w:rsidR="00D9632A">
        <w:t xml:space="preserve"> Bianco volvió a ser extraditado a la Argentina en julio de 2011.</w:t>
      </w:r>
    </w:p>
    <w:p w:rsidR="002A2E18" w:rsidRDefault="002A2E18" w:rsidP="00C83BE8">
      <w:pPr>
        <w:spacing w:after="0" w:line="240" w:lineRule="auto"/>
        <w:jc w:val="both"/>
      </w:pPr>
    </w:p>
    <w:p w:rsidR="00D107E1" w:rsidRPr="00D107E1" w:rsidRDefault="00D107E1" w:rsidP="00D107E1">
      <w:pPr>
        <w:pStyle w:val="H23G"/>
        <w:spacing w:before="0" w:after="0" w:line="240" w:lineRule="auto"/>
        <w:rPr>
          <w:rFonts w:eastAsia="Calibri"/>
          <w:lang w:eastAsia="en-US"/>
        </w:rPr>
      </w:pPr>
      <w:r w:rsidRPr="00D107E1">
        <w:rPr>
          <w:rFonts w:eastAsia="Calibri"/>
          <w:lang w:eastAsia="en-US"/>
        </w:rPr>
        <w:tab/>
      </w:r>
      <w:r w:rsidRPr="00D107E1">
        <w:rPr>
          <w:rFonts w:eastAsia="Calibri"/>
          <w:lang w:eastAsia="en-US"/>
        </w:rPr>
        <w:tab/>
        <w:t>Artículo 10</w:t>
      </w:r>
    </w:p>
    <w:p w:rsidR="00D107E1" w:rsidRDefault="00D107E1" w:rsidP="00D107E1">
      <w:pPr>
        <w:pStyle w:val="SingleTxtG"/>
        <w:spacing w:after="0" w:line="240" w:lineRule="auto"/>
        <w:rPr>
          <w:rFonts w:eastAsia="Calibri"/>
          <w:b/>
          <w:lang w:eastAsia="en-US"/>
        </w:rPr>
      </w:pPr>
    </w:p>
    <w:p w:rsidR="00D107E1" w:rsidRPr="00D107E1" w:rsidRDefault="00D107E1" w:rsidP="00D107E1">
      <w:pPr>
        <w:pStyle w:val="SingleTxtG"/>
        <w:spacing w:after="0" w:line="240" w:lineRule="auto"/>
        <w:rPr>
          <w:rFonts w:eastAsia="Calibri"/>
          <w:b/>
          <w:lang w:eastAsia="en-US"/>
        </w:rPr>
      </w:pPr>
      <w:r w:rsidRPr="00D107E1">
        <w:rPr>
          <w:rFonts w:eastAsia="Calibri"/>
          <w:b/>
          <w:lang w:eastAsia="en-US"/>
        </w:rPr>
        <w:lastRenderedPageBreak/>
        <w:t>15.</w:t>
      </w:r>
      <w:r w:rsidRPr="00D107E1">
        <w:rPr>
          <w:rFonts w:eastAsia="Calibri"/>
          <w:b/>
          <w:lang w:eastAsia="en-US"/>
        </w:rPr>
        <w:tab/>
        <w:t>En relación con las observaciones finales anteriores (párr. 24), sírvanse proporcionar información actualizada sobre los programas de formación elaborados por el Estado parte para velar por que todos los funcionarios, y en particular los agentes de policía y demás agentes del orden, conozcan plenamente las disposiciones de la Convención y sean conscientes de que las infracciones no se tolerarán y se investigarán y de que los infractores serán juzgados. Sírvanse aclarar si dichos programas de formación han contado con la participación de organizaciones de la sociedad civil e instituciones académicas en su elaboración. Además, sírvanse indicar si el Estado parte ha elaborado una metodología para evaluar la eficacia y los efectos de los programas de formación sobre la reducción de los casos de tortura y malos tratos y, de ser así, proporcionen información sobre el contenido y la aplicación de esa metodología.</w:t>
      </w:r>
    </w:p>
    <w:p w:rsidR="00D107E1" w:rsidRDefault="00D107E1" w:rsidP="00D107E1">
      <w:pPr>
        <w:spacing w:after="0" w:line="240" w:lineRule="auto"/>
        <w:jc w:val="both"/>
        <w:rPr>
          <w:lang w:val="es-ES"/>
        </w:rPr>
      </w:pPr>
    </w:p>
    <w:p w:rsidR="00D107E1" w:rsidRPr="00145D1C" w:rsidRDefault="00D107E1" w:rsidP="00D107E1">
      <w:pPr>
        <w:autoSpaceDE w:val="0"/>
        <w:autoSpaceDN w:val="0"/>
        <w:adjustRightInd w:val="0"/>
        <w:spacing w:after="0" w:line="240" w:lineRule="auto"/>
        <w:jc w:val="both"/>
        <w:rPr>
          <w:rFonts w:cstheme="minorHAnsi"/>
        </w:rPr>
      </w:pPr>
      <w:r>
        <w:t>En la formación de personal policial, oficiales y suboficiales, el Instituto Superior de Educación Policial (ISEPOL) lista</w:t>
      </w:r>
      <w:r w:rsidRPr="00B003FF">
        <w:t xml:space="preserve"> una serie de materias que cuentan con D</w:t>
      </w:r>
      <w:r>
        <w:t>erechos Humanos</w:t>
      </w:r>
      <w:r w:rsidRPr="00B003FF">
        <w:t xml:space="preserve"> como eje transversal en los programas de formación de diversos institutos policiales de enseñanza</w:t>
      </w:r>
      <w:r>
        <w:t>, si bien no está específicamente nombrada la Convención contra la Tortura</w:t>
      </w:r>
      <w:r w:rsidRPr="00B003FF">
        <w:t xml:space="preserve">. </w:t>
      </w:r>
      <w:r>
        <w:t xml:space="preserve"> </w:t>
      </w:r>
      <w:r w:rsidRPr="00145D1C">
        <w:rPr>
          <w:rFonts w:cstheme="minorHAnsi"/>
        </w:rPr>
        <w:t xml:space="preserve">El </w:t>
      </w:r>
      <w:r w:rsidRPr="00145D1C">
        <w:rPr>
          <w:rFonts w:cstheme="minorHAnsi"/>
          <w:i/>
          <w:iCs/>
          <w:lang w:val="es-PY"/>
        </w:rPr>
        <w:t xml:space="preserve">Manual de Uso de la Fuerza de la Policía Nacional del Paraguay </w:t>
      </w:r>
      <w:r w:rsidRPr="00145D1C">
        <w:rPr>
          <w:rFonts w:cstheme="minorHAnsi"/>
          <w:iCs/>
          <w:lang w:val="es-PY"/>
        </w:rPr>
        <w:t xml:space="preserve">si está basado entre otras disposiciones internacionales, en la Convención.  </w:t>
      </w:r>
    </w:p>
    <w:p w:rsidR="00D107E1" w:rsidRDefault="00D107E1" w:rsidP="00D107E1">
      <w:pPr>
        <w:spacing w:after="0" w:line="240" w:lineRule="auto"/>
        <w:jc w:val="both"/>
      </w:pPr>
    </w:p>
    <w:p w:rsidR="00D107E1" w:rsidRDefault="00D107E1" w:rsidP="00D107E1">
      <w:pPr>
        <w:spacing w:after="0" w:line="240" w:lineRule="auto"/>
        <w:jc w:val="both"/>
      </w:pPr>
      <w:r>
        <w:t xml:space="preserve">Se ha formado del 2007 al 2015 a unos 178 instructores de la policía en Derechos Humanos y Derecho Internacional Humanitario, mediante un Convenio interinstitucional del Ministerio del Interior, la Policía Nacional y el Comité Internacional de la Cruz Roja.  </w:t>
      </w:r>
    </w:p>
    <w:p w:rsidR="00D107E1" w:rsidRDefault="00D107E1" w:rsidP="00D107E1">
      <w:pPr>
        <w:spacing w:after="0" w:line="240" w:lineRule="auto"/>
        <w:jc w:val="both"/>
      </w:pPr>
    </w:p>
    <w:p w:rsidR="00D107E1" w:rsidRDefault="00D107E1" w:rsidP="00D107E1">
      <w:pPr>
        <w:autoSpaceDE w:val="0"/>
        <w:autoSpaceDN w:val="0"/>
        <w:adjustRightInd w:val="0"/>
        <w:spacing w:after="0" w:line="240" w:lineRule="auto"/>
        <w:jc w:val="both"/>
      </w:pPr>
      <w:r w:rsidRPr="00A01AA9">
        <w:t xml:space="preserve">No se conoce ninguna metodología para evaluar la eficacia de esta formación y si hubo algún impacto en la reducción de los casos de tortura.  </w:t>
      </w:r>
      <w:r>
        <w:t>Persiste la</w:t>
      </w:r>
      <w:r w:rsidRPr="00A01AA9">
        <w:t xml:space="preserve"> preocupación</w:t>
      </w:r>
      <w:r>
        <w:t xml:space="preserve"> de </w:t>
      </w:r>
      <w:r w:rsidR="00C12994">
        <w:t>la efectividad de esta capacitación</w:t>
      </w:r>
      <w:r w:rsidRPr="00A01AA9">
        <w:t>, dada la existencia de un elevado número de reclamos por tortura</w:t>
      </w:r>
      <w:r>
        <w:t xml:space="preserve"> -aunque muchos de estos reclamos no son visibilizados o denunciados por las víctimas en situación de encierro-</w:t>
      </w:r>
      <w:r w:rsidRPr="00A01AA9">
        <w:t xml:space="preserve">, </w:t>
      </w:r>
      <w:r>
        <w:t xml:space="preserve">y la falta de correspondencia en el </w:t>
      </w:r>
      <w:r w:rsidRPr="00A01AA9">
        <w:t>número de personal policial</w:t>
      </w:r>
      <w:r w:rsidR="00C12994">
        <w:t xml:space="preserve"> sumariado por estos hechos</w:t>
      </w:r>
      <w:r>
        <w:t>.</w:t>
      </w:r>
    </w:p>
    <w:p w:rsidR="00D107E1" w:rsidRDefault="00D107E1" w:rsidP="00D107E1">
      <w:pPr>
        <w:autoSpaceDE w:val="0"/>
        <w:autoSpaceDN w:val="0"/>
        <w:adjustRightInd w:val="0"/>
        <w:spacing w:after="0" w:line="240" w:lineRule="auto"/>
        <w:jc w:val="both"/>
      </w:pPr>
    </w:p>
    <w:p w:rsidR="00D107E1" w:rsidRDefault="00D107E1" w:rsidP="00D107E1">
      <w:pPr>
        <w:autoSpaceDE w:val="0"/>
        <w:autoSpaceDN w:val="0"/>
        <w:adjustRightInd w:val="0"/>
        <w:spacing w:after="0" w:line="240" w:lineRule="auto"/>
        <w:jc w:val="both"/>
      </w:pPr>
      <w:r>
        <w:t xml:space="preserve">Los datos relevados por el MNP en los censos de mujeres y adolescentes privados de libertad, así como en las entrevistas a personas privadas de libertad en las visitas de inspección, ya citados en respuestas anteriores, </w:t>
      </w:r>
      <w:r>
        <w:rPr>
          <w:rFonts w:cstheme="minorHAnsi"/>
          <w:lang w:val="es-PY"/>
        </w:rPr>
        <w:t>demuestran que la tortura practicada por agentes de policía no es una práctica aislada,</w:t>
      </w:r>
      <w:r w:rsidRPr="00293C6D">
        <w:rPr>
          <w:rFonts w:cstheme="minorHAnsi"/>
          <w:lang w:val="es-PY"/>
        </w:rPr>
        <w:t xml:space="preserve"> a pesar de la vigencia y la formación que se recibe </w:t>
      </w:r>
      <w:r>
        <w:rPr>
          <w:rFonts w:cstheme="minorHAnsi"/>
          <w:lang w:val="es-PY"/>
        </w:rPr>
        <w:t xml:space="preserve">el funcionariado policial </w:t>
      </w:r>
      <w:r w:rsidRPr="00293C6D">
        <w:rPr>
          <w:rFonts w:cstheme="minorHAnsi"/>
          <w:lang w:val="es-PY"/>
        </w:rPr>
        <w:t xml:space="preserve">del Manual del Uso de la Fuerza donde </w:t>
      </w:r>
      <w:r>
        <w:rPr>
          <w:rFonts w:cstheme="minorHAnsi"/>
          <w:lang w:val="es-PY"/>
        </w:rPr>
        <w:t xml:space="preserve">se </w:t>
      </w:r>
      <w:r w:rsidRPr="00293C6D">
        <w:rPr>
          <w:rFonts w:cstheme="minorHAnsi"/>
          <w:lang w:val="es-PY"/>
        </w:rPr>
        <w:t>establece la prohibición de estas prácticas.</w:t>
      </w:r>
    </w:p>
    <w:p w:rsidR="00D107E1" w:rsidRDefault="00D107E1" w:rsidP="00D107E1">
      <w:pPr>
        <w:autoSpaceDE w:val="0"/>
        <w:autoSpaceDN w:val="0"/>
        <w:adjustRightInd w:val="0"/>
        <w:spacing w:after="0" w:line="240" w:lineRule="auto"/>
        <w:jc w:val="both"/>
      </w:pPr>
    </w:p>
    <w:p w:rsidR="00D107E1" w:rsidRPr="00030CD8" w:rsidRDefault="00D107E1" w:rsidP="00D107E1">
      <w:pPr>
        <w:pStyle w:val="NoSpacing"/>
        <w:jc w:val="both"/>
        <w:rPr>
          <w:rFonts w:asciiTheme="minorHAnsi" w:hAnsiTheme="minorHAnsi" w:cstheme="minorHAnsi"/>
        </w:rPr>
      </w:pPr>
      <w:r w:rsidRPr="00030CD8">
        <w:rPr>
          <w:rFonts w:asciiTheme="minorHAnsi" w:hAnsiTheme="minorHAnsi" w:cstheme="minorHAnsi"/>
        </w:rPr>
        <w:t>En cuanto al personal penitenciario, existe actualmente un Centro de Estudios Penitenciarios dependiente del Ministerio de Justicia, donde se imparte capacitación en derechos humanos, con eventual participación de organizaciones de sociedad civil.  No se conoce una metodología para evaluar estos programas de formación y su impacto en la reducción de casos de tortura y malos tratos. En este caso, la alta frecuencia de alegaciones de tortura y/o malos tratos relevados en los censos del MNP en las penitenciarías (por parte de agentes penitenciarios, personal de la sanidad de las prisiones y aún directores/as) dan cuenta del limitado impacto de estas capacitaciones, cuando no están integrados a una política integral de lucha contra la tortura.</w:t>
      </w:r>
    </w:p>
    <w:p w:rsidR="00D107E1" w:rsidRPr="00030CD8" w:rsidRDefault="00D107E1" w:rsidP="00D107E1">
      <w:pPr>
        <w:pStyle w:val="NoSpacing"/>
        <w:jc w:val="both"/>
        <w:rPr>
          <w:rFonts w:asciiTheme="minorHAnsi" w:hAnsiTheme="minorHAnsi" w:cstheme="minorHAnsi"/>
        </w:rPr>
      </w:pPr>
    </w:p>
    <w:p w:rsidR="00D107E1" w:rsidRPr="00293C6D" w:rsidRDefault="00D107E1" w:rsidP="00D107E1">
      <w:pPr>
        <w:autoSpaceDE w:val="0"/>
        <w:autoSpaceDN w:val="0"/>
        <w:adjustRightInd w:val="0"/>
        <w:spacing w:after="0" w:line="240" w:lineRule="auto"/>
        <w:jc w:val="both"/>
        <w:rPr>
          <w:rFonts w:cstheme="minorHAnsi"/>
          <w:lang w:val="es-PY"/>
        </w:rPr>
      </w:pPr>
      <w:r>
        <w:rPr>
          <w:rFonts w:cstheme="minorHAnsi"/>
          <w:lang w:val="es-PY"/>
        </w:rPr>
        <w:lastRenderedPageBreak/>
        <w:t>Sobre personal de las Fuerzas Armadas, si bien se tiene la formación transversal en Derechos Humanos en algunos programas, tampoco se conoce una metodología para evaluar la eficacia y efectos de los programas en la reducción de casos de tortura y malos tratos.</w:t>
      </w:r>
    </w:p>
    <w:p w:rsidR="00D107E1" w:rsidRPr="00D107E1" w:rsidRDefault="00D107E1" w:rsidP="00D107E1">
      <w:pPr>
        <w:spacing w:after="0" w:line="240" w:lineRule="auto"/>
        <w:jc w:val="both"/>
        <w:rPr>
          <w:lang w:val="es-PY"/>
        </w:rPr>
      </w:pPr>
    </w:p>
    <w:p w:rsidR="00D107E1" w:rsidRDefault="00D107E1" w:rsidP="00C83BE8">
      <w:pPr>
        <w:spacing w:after="0" w:line="240" w:lineRule="auto"/>
        <w:jc w:val="both"/>
      </w:pPr>
    </w:p>
    <w:p w:rsidR="00D107E1" w:rsidRPr="00D107E1" w:rsidRDefault="00D107E1" w:rsidP="00D107E1">
      <w:pPr>
        <w:pStyle w:val="SingleTxtG"/>
        <w:spacing w:after="0" w:line="240" w:lineRule="auto"/>
        <w:rPr>
          <w:rFonts w:eastAsia="Calibri"/>
          <w:b/>
          <w:lang w:eastAsia="en-US"/>
        </w:rPr>
      </w:pPr>
      <w:r w:rsidRPr="00D107E1">
        <w:rPr>
          <w:rFonts w:eastAsia="Calibri"/>
          <w:b/>
          <w:lang w:eastAsia="en-US"/>
        </w:rPr>
        <w:t>16.</w:t>
      </w:r>
      <w:r w:rsidRPr="00D107E1">
        <w:rPr>
          <w:rFonts w:eastAsia="Calibri"/>
          <w:b/>
          <w:lang w:eastAsia="en-US"/>
        </w:rPr>
        <w:tab/>
        <w:t xml:space="preserve">Sírvanse proporcionar información actualizada sobre los programas de formación para jueces, fiscales, médicos forenses y personal médico que se ocupa de los detenidos a fin de que puedan detectar y documentar las secuelas físicas y psicológicas de la tortura. ¿Incluyen esos programas capacitación específica en relación con el Manual para la investigación y documentación eficaces de la tortura y otros tratos o penas crueles, </w:t>
      </w:r>
      <w:proofErr w:type="gramStart"/>
      <w:r w:rsidRPr="00D107E1">
        <w:rPr>
          <w:rFonts w:eastAsia="Calibri"/>
          <w:b/>
          <w:lang w:eastAsia="en-US"/>
        </w:rPr>
        <w:t>inhumanos</w:t>
      </w:r>
      <w:proofErr w:type="gramEnd"/>
      <w:r w:rsidRPr="00D107E1">
        <w:rPr>
          <w:rFonts w:eastAsia="Calibri"/>
          <w:b/>
          <w:lang w:eastAsia="en-US"/>
        </w:rPr>
        <w:t xml:space="preserve"> o degradantes (el Protocolo de Estambul)?</w:t>
      </w:r>
    </w:p>
    <w:p w:rsidR="00D107E1" w:rsidRDefault="00D107E1" w:rsidP="00C83BE8">
      <w:pPr>
        <w:spacing w:after="0" w:line="240" w:lineRule="auto"/>
        <w:jc w:val="both"/>
        <w:rPr>
          <w:lang w:val="es-ES"/>
        </w:rPr>
      </w:pPr>
    </w:p>
    <w:p w:rsidR="00D107E1" w:rsidRDefault="00D107E1" w:rsidP="00D107E1">
      <w:pPr>
        <w:spacing w:after="0" w:line="240" w:lineRule="auto"/>
        <w:jc w:val="both"/>
      </w:pPr>
      <w:r>
        <w:t xml:space="preserve">La formación de jueces y especialistas forenses en el Protocolo de Estambul está pendiente.  El Centro </w:t>
      </w:r>
      <w:r w:rsidR="00030CD8">
        <w:t xml:space="preserve">Internacional </w:t>
      </w:r>
      <w:r>
        <w:t>de Estudios Judiciales de la Corte Suprema de Justicia ha iniciado el contacto con el MNP para este entrenamiento.</w:t>
      </w:r>
    </w:p>
    <w:p w:rsidR="00D107E1" w:rsidRDefault="00D107E1" w:rsidP="00D107E1">
      <w:pPr>
        <w:spacing w:after="0" w:line="240" w:lineRule="auto"/>
        <w:jc w:val="both"/>
      </w:pPr>
    </w:p>
    <w:p w:rsidR="00D107E1" w:rsidRDefault="00D107E1" w:rsidP="00D107E1">
      <w:pPr>
        <w:spacing w:after="0" w:line="240" w:lineRule="auto"/>
        <w:jc w:val="both"/>
      </w:pPr>
      <w:r>
        <w:rPr>
          <w:lang w:val="es-ES" w:eastAsia="es-PY"/>
        </w:rPr>
        <w:t xml:space="preserve">El Ministerio Público cuenta con un </w:t>
      </w:r>
      <w:r w:rsidRPr="00E17014">
        <w:rPr>
          <w:lang w:val="es-ES" w:eastAsia="es-PY"/>
        </w:rPr>
        <w:t>Manual práctico de in</w:t>
      </w:r>
      <w:r>
        <w:rPr>
          <w:lang w:val="es-ES" w:eastAsia="es-PY"/>
        </w:rPr>
        <w:t xml:space="preserve">vestigación en casos de tortura del año 2006 </w:t>
      </w:r>
      <w:r w:rsidRPr="00E17014">
        <w:rPr>
          <w:lang w:val="es-ES" w:eastAsia="es-PY"/>
        </w:rPr>
        <w:t xml:space="preserve"> ad</w:t>
      </w:r>
      <w:r>
        <w:rPr>
          <w:lang w:val="es-ES" w:eastAsia="es-PY"/>
        </w:rPr>
        <w:t>aptado al Protocolo de Estambul, y es necesario renovar la capacitación constante en su uso.</w:t>
      </w:r>
    </w:p>
    <w:p w:rsidR="00D107E1" w:rsidRDefault="00D107E1" w:rsidP="00C83BE8">
      <w:pPr>
        <w:spacing w:after="0" w:line="240" w:lineRule="auto"/>
        <w:jc w:val="both"/>
      </w:pPr>
    </w:p>
    <w:p w:rsidR="004A0754" w:rsidRPr="003556DF" w:rsidRDefault="004A0754" w:rsidP="004350F7">
      <w:pPr>
        <w:pStyle w:val="H23G"/>
        <w:spacing w:before="0" w:after="0" w:line="240" w:lineRule="auto"/>
        <w:rPr>
          <w:rFonts w:asciiTheme="minorHAnsi" w:eastAsia="Calibri" w:hAnsiTheme="minorHAnsi"/>
          <w:sz w:val="22"/>
          <w:szCs w:val="22"/>
          <w:lang w:eastAsia="en-US"/>
        </w:rPr>
      </w:pPr>
      <w:r w:rsidRPr="003556DF">
        <w:rPr>
          <w:rFonts w:asciiTheme="minorHAnsi" w:eastAsia="Calibri" w:hAnsiTheme="minorHAnsi"/>
          <w:sz w:val="22"/>
          <w:szCs w:val="22"/>
          <w:lang w:eastAsia="en-US"/>
        </w:rPr>
        <w:tab/>
        <w:t>Artículo 11</w:t>
      </w:r>
    </w:p>
    <w:p w:rsidR="004350F7" w:rsidRDefault="004350F7" w:rsidP="004A0754">
      <w:pPr>
        <w:pStyle w:val="SingleTxtG"/>
        <w:rPr>
          <w:rFonts w:eastAsia="Calibri"/>
          <w:b/>
          <w:lang w:eastAsia="en-US"/>
        </w:rPr>
      </w:pPr>
    </w:p>
    <w:p w:rsidR="004A0754" w:rsidRPr="003556DF" w:rsidRDefault="004A0754" w:rsidP="004A0754">
      <w:pPr>
        <w:pStyle w:val="SingleTxtG"/>
        <w:rPr>
          <w:rFonts w:eastAsia="Calibri"/>
          <w:b/>
          <w:lang w:eastAsia="en-US"/>
        </w:rPr>
      </w:pPr>
      <w:r w:rsidRPr="003556DF">
        <w:rPr>
          <w:rFonts w:eastAsia="Calibri"/>
          <w:b/>
          <w:lang w:eastAsia="en-US"/>
        </w:rPr>
        <w:t>17.</w:t>
      </w:r>
      <w:r w:rsidRPr="003556DF">
        <w:rPr>
          <w:rFonts w:eastAsia="Calibri"/>
          <w:b/>
          <w:lang w:eastAsia="en-US"/>
        </w:rPr>
        <w:tab/>
        <w:t>Sírvanse proporcionar información sobre los procedimientos establecidos para garantizar el cumplimiento del artículo 11 de la Convención y proporcionen información actualizada sobre las nuevas normas, instrucciones, métodos o prácticas o disposiciones en materia de detención que se hayan adoptado desde el examen del anterior informe periódico en 2011. Indiquen asimismo la frecuencia con que se revisan. En particular, sírvanse facilitar información relativa al proceso de reforma penitenciaria iniciado en 2010. Además, sírvanse indicar las conclusiones alcanzadas por la mesa de trabajo interinstitucional sobre traslado de reclusos y el seguimiento dado a las mismas.</w:t>
      </w:r>
    </w:p>
    <w:p w:rsidR="004A0754" w:rsidRPr="008F706B" w:rsidRDefault="004A0754" w:rsidP="004A0754">
      <w:pPr>
        <w:spacing w:after="0" w:line="240" w:lineRule="auto"/>
        <w:jc w:val="both"/>
      </w:pPr>
    </w:p>
    <w:p w:rsidR="004A0754" w:rsidRDefault="004A0754" w:rsidP="004A0754">
      <w:pPr>
        <w:spacing w:after="0" w:line="240" w:lineRule="auto"/>
        <w:jc w:val="both"/>
        <w:rPr>
          <w:rFonts w:cstheme="minorHAnsi"/>
        </w:rPr>
      </w:pPr>
      <w:r w:rsidRPr="008F706B">
        <w:rPr>
          <w:rFonts w:cstheme="minorHAnsi"/>
        </w:rPr>
        <w:t xml:space="preserve">En relación a los métodos de custodia y trato de las personas privadas de libertad, el Estado </w:t>
      </w:r>
      <w:r>
        <w:rPr>
          <w:rFonts w:cstheme="minorHAnsi"/>
        </w:rPr>
        <w:t>parte</w:t>
      </w:r>
      <w:r w:rsidRPr="008F706B">
        <w:rPr>
          <w:rFonts w:cstheme="minorHAnsi"/>
        </w:rPr>
        <w:t xml:space="preserve"> adoptó la Ley Nº 5162/2015 “Código de Ejecución Penal”. En el mismo se detallan nuevas estrategias de tratamiento, instituciones nuevas para las personas condenadas, oficinas judiciales en todos los centros de detención, regímenes </w:t>
      </w:r>
      <w:proofErr w:type="spellStart"/>
      <w:r w:rsidRPr="008F706B">
        <w:rPr>
          <w:rFonts w:cstheme="minorHAnsi"/>
        </w:rPr>
        <w:t>semi</w:t>
      </w:r>
      <w:proofErr w:type="spellEnd"/>
      <w:r w:rsidRPr="008F706B">
        <w:rPr>
          <w:rFonts w:cstheme="minorHAnsi"/>
        </w:rPr>
        <w:t xml:space="preserve">-abiertos y abiertos, salidas transitorias, regímenes de </w:t>
      </w:r>
      <w:proofErr w:type="spellStart"/>
      <w:r w:rsidRPr="008F706B">
        <w:rPr>
          <w:rFonts w:cstheme="minorHAnsi"/>
        </w:rPr>
        <w:t>semi</w:t>
      </w:r>
      <w:proofErr w:type="spellEnd"/>
      <w:r w:rsidRPr="008F706B">
        <w:rPr>
          <w:rFonts w:cstheme="minorHAnsi"/>
        </w:rPr>
        <w:t>-libertad, la figura de la redención y permisos de salida, entre ot</w:t>
      </w:r>
      <w:r>
        <w:rPr>
          <w:rFonts w:cstheme="minorHAnsi"/>
        </w:rPr>
        <w:t>ras cosas. Sin embargo, a casi tres años de su promulgación y dos</w:t>
      </w:r>
      <w:r w:rsidRPr="008F706B">
        <w:rPr>
          <w:rFonts w:cstheme="minorHAnsi"/>
        </w:rPr>
        <w:t xml:space="preserve"> años de su entrada plena en vigor no se han implementado las reformas pertinentes para su efectiva puesta en vigencia. Son escasos o inexistentes los casos de aplicación de los institutos nuevos por parte de los jueces de ejecución, y por otro lado tampoco se ha avanzado en</w:t>
      </w:r>
      <w:r>
        <w:rPr>
          <w:rFonts w:cstheme="minorHAnsi"/>
        </w:rPr>
        <w:t xml:space="preserve"> la puesta en práctica de las instituciones administrativas que crea,</w:t>
      </w:r>
      <w:r w:rsidRPr="008F706B">
        <w:rPr>
          <w:rFonts w:cstheme="minorHAnsi"/>
        </w:rPr>
        <w:t xml:space="preserve"> regímenes </w:t>
      </w:r>
      <w:proofErr w:type="spellStart"/>
      <w:r w:rsidRPr="008F706B">
        <w:rPr>
          <w:rFonts w:cstheme="minorHAnsi"/>
        </w:rPr>
        <w:t>semi</w:t>
      </w:r>
      <w:proofErr w:type="spellEnd"/>
      <w:r w:rsidRPr="008F706B">
        <w:rPr>
          <w:rFonts w:cstheme="minorHAnsi"/>
        </w:rPr>
        <w:t>-abi</w:t>
      </w:r>
      <w:r>
        <w:rPr>
          <w:rFonts w:cstheme="minorHAnsi"/>
        </w:rPr>
        <w:t xml:space="preserve">ertos, abiertos, </w:t>
      </w:r>
      <w:proofErr w:type="spellStart"/>
      <w:r>
        <w:rPr>
          <w:rFonts w:cstheme="minorHAnsi"/>
        </w:rPr>
        <w:t>semi</w:t>
      </w:r>
      <w:proofErr w:type="spellEnd"/>
      <w:r>
        <w:rPr>
          <w:rFonts w:cstheme="minorHAnsi"/>
        </w:rPr>
        <w:t>-libertad.</w:t>
      </w:r>
    </w:p>
    <w:p w:rsidR="004A0754" w:rsidRPr="008F706B" w:rsidRDefault="004A0754" w:rsidP="004A0754">
      <w:pPr>
        <w:spacing w:after="0" w:line="240" w:lineRule="auto"/>
        <w:jc w:val="both"/>
        <w:rPr>
          <w:rFonts w:cstheme="minorHAnsi"/>
        </w:rPr>
      </w:pPr>
    </w:p>
    <w:p w:rsidR="004A0754" w:rsidRDefault="004A0754" w:rsidP="004A0754">
      <w:pPr>
        <w:spacing w:after="0" w:line="240" w:lineRule="auto"/>
        <w:jc w:val="both"/>
        <w:rPr>
          <w:rFonts w:cstheme="minorHAnsi"/>
        </w:rPr>
      </w:pPr>
      <w:r w:rsidRPr="008F706B">
        <w:rPr>
          <w:rFonts w:cstheme="minorHAnsi"/>
        </w:rPr>
        <w:t xml:space="preserve">Por otro lado, preocupa al MNP algunas cuestiones que se introdujeron en dicha ley: la habilitación de la posibilidad del aislamiento hasta 30 días, la habilitación para el suministro de </w:t>
      </w:r>
      <w:r w:rsidRPr="008F706B">
        <w:rPr>
          <w:rFonts w:cstheme="minorHAnsi"/>
        </w:rPr>
        <w:lastRenderedPageBreak/>
        <w:t>alimentación forzada a personas en huelga de hambre</w:t>
      </w:r>
      <w:r w:rsidRPr="008F706B">
        <w:rPr>
          <w:rStyle w:val="FootnoteReference"/>
          <w:rFonts w:cstheme="minorHAnsi"/>
        </w:rPr>
        <w:footnoteReference w:id="7"/>
      </w:r>
      <w:r w:rsidRPr="008F706B">
        <w:rPr>
          <w:rFonts w:cstheme="minorHAnsi"/>
        </w:rPr>
        <w:t>, el mantenimiento del traslado como sanción disciplinaria</w:t>
      </w:r>
      <w:r w:rsidRPr="008F706B">
        <w:rPr>
          <w:rStyle w:val="FootnoteReference"/>
          <w:rFonts w:cstheme="minorHAnsi"/>
        </w:rPr>
        <w:footnoteReference w:id="8"/>
      </w:r>
      <w:r w:rsidRPr="008F706B">
        <w:rPr>
          <w:rFonts w:cstheme="minorHAnsi"/>
        </w:rPr>
        <w:t>, la imposibilidad de la persona privada de libertad que trabaja de disponer de su remuneración como considere, las limitaciones y las sanciones del ejercicio del derecho a la manifestación.</w:t>
      </w:r>
    </w:p>
    <w:p w:rsidR="004A0754" w:rsidRPr="008F706B" w:rsidRDefault="004A0754" w:rsidP="004A0754">
      <w:pPr>
        <w:spacing w:after="0" w:line="240" w:lineRule="auto"/>
        <w:jc w:val="both"/>
        <w:rPr>
          <w:rFonts w:cstheme="minorHAnsi"/>
        </w:rPr>
      </w:pPr>
    </w:p>
    <w:p w:rsidR="004A0754" w:rsidRDefault="004A0754" w:rsidP="004A0754">
      <w:pPr>
        <w:spacing w:after="0" w:line="240" w:lineRule="auto"/>
        <w:jc w:val="both"/>
        <w:rPr>
          <w:rFonts w:cstheme="minorHAnsi"/>
        </w:rPr>
      </w:pPr>
      <w:r w:rsidRPr="008F706B">
        <w:rPr>
          <w:rFonts w:cstheme="minorHAnsi"/>
        </w:rPr>
        <w:t xml:space="preserve">Por otro lado, </w:t>
      </w:r>
      <w:r>
        <w:rPr>
          <w:rFonts w:cstheme="minorHAnsi"/>
        </w:rPr>
        <w:t xml:space="preserve">ya se ha señalado el trabajo de revisión </w:t>
      </w:r>
      <w:r w:rsidRPr="008F706B">
        <w:rPr>
          <w:rFonts w:cstheme="minorHAnsi"/>
        </w:rPr>
        <w:t>de la legislación penal y procesal penal</w:t>
      </w:r>
      <w:r>
        <w:rPr>
          <w:rFonts w:cstheme="minorHAnsi"/>
        </w:rPr>
        <w:t>, efectuado por una</w:t>
      </w:r>
      <w:r>
        <w:rPr>
          <w:rFonts w:eastAsia="Calibri"/>
          <w:lang w:val="es-ES"/>
        </w:rPr>
        <w:t xml:space="preserve"> </w:t>
      </w:r>
      <w:r w:rsidRPr="00784609">
        <w:rPr>
          <w:rFonts w:cs="Arial"/>
        </w:rPr>
        <w:t>Comisión Nacional para el Estudio de la Reforma del Sistema Penal y Penitenciario</w:t>
      </w:r>
      <w:r>
        <w:rPr>
          <w:rFonts w:cs="Arial"/>
        </w:rPr>
        <w:t xml:space="preserve">. </w:t>
      </w:r>
      <w:r>
        <w:rPr>
          <w:rFonts w:cstheme="minorHAnsi"/>
        </w:rPr>
        <w:t xml:space="preserve">El </w:t>
      </w:r>
      <w:r w:rsidRPr="008F706B">
        <w:rPr>
          <w:rFonts w:cstheme="minorHAnsi"/>
        </w:rPr>
        <w:t xml:space="preserve">MNP considera que varias de las reformas que se pudieran implementar podrían afectar directamente a la situación de las personas privadas de libertad y a la prevención de la tortura y malos tratos. </w:t>
      </w:r>
      <w:r>
        <w:rPr>
          <w:rFonts w:cstheme="minorHAnsi"/>
        </w:rPr>
        <w:t>El proceso de discusión de esta Comisión no estuvo abierto a la participación de la sociedad civil ni fue transparente. Se</w:t>
      </w:r>
      <w:r w:rsidRPr="008F706B">
        <w:rPr>
          <w:rFonts w:cstheme="minorHAnsi"/>
        </w:rPr>
        <w:t xml:space="preserve"> limitó la participación de la sociedad civil a la remisión de recomendaciones para la reforma, pero no habilitó ningún proceso de discusión</w:t>
      </w:r>
      <w:r>
        <w:rPr>
          <w:rFonts w:cstheme="minorHAnsi"/>
        </w:rPr>
        <w:t xml:space="preserve"> pública</w:t>
      </w:r>
      <w:r w:rsidRPr="008F706B">
        <w:rPr>
          <w:rFonts w:cstheme="minorHAnsi"/>
        </w:rPr>
        <w:t xml:space="preserve"> sobre los eventuales cambios que se estarían implementando. </w:t>
      </w:r>
      <w:r>
        <w:rPr>
          <w:rFonts w:cstheme="minorHAnsi"/>
        </w:rPr>
        <w:t xml:space="preserve">Como ya se ha indicado, ninguno de los anteproyectos surgidos de esta Comisión </w:t>
      </w:r>
      <w:proofErr w:type="gramStart"/>
      <w:r>
        <w:rPr>
          <w:rFonts w:cstheme="minorHAnsi"/>
        </w:rPr>
        <w:t>han</w:t>
      </w:r>
      <w:proofErr w:type="gramEnd"/>
      <w:r>
        <w:rPr>
          <w:rFonts w:cstheme="minorHAnsi"/>
        </w:rPr>
        <w:t xml:space="preserve"> sido presentados formalmente. El MNP considera de vital importancia la máxima transparencia y participación de la sociedad civil en cualquier proceso de reforma de la legislación penal.</w:t>
      </w:r>
    </w:p>
    <w:p w:rsidR="004A0754" w:rsidRDefault="004A0754" w:rsidP="004A0754">
      <w:pPr>
        <w:spacing w:after="0" w:line="240" w:lineRule="auto"/>
        <w:jc w:val="both"/>
        <w:rPr>
          <w:rFonts w:cstheme="minorHAnsi"/>
        </w:rPr>
      </w:pPr>
    </w:p>
    <w:p w:rsidR="004A0754" w:rsidRDefault="004A0754" w:rsidP="004A0754">
      <w:pPr>
        <w:spacing w:after="0" w:line="240" w:lineRule="auto"/>
        <w:jc w:val="both"/>
        <w:rPr>
          <w:rFonts w:cstheme="minorHAnsi"/>
        </w:rPr>
      </w:pPr>
      <w:r>
        <w:rPr>
          <w:rFonts w:cstheme="minorHAnsi"/>
        </w:rPr>
        <w:t>El MNP ha manifestado su preocupación al Poder Legislativo ante la presentación y estudio de diversas iniciativas legislativas que podrían -en caso de ser aprobadas- menoscabar garantías y salvaguardias de prevención de la tortura y de los tratos inhumanos, crueles y degradantes, establecidos en la legislación penal y procesal penal del Estado parte. Entre estas iniciativas de modificación legislativa, destacan las siguientes:</w:t>
      </w:r>
    </w:p>
    <w:p w:rsidR="004A0754" w:rsidRDefault="004A0754" w:rsidP="004A0754">
      <w:pPr>
        <w:spacing w:after="0" w:line="240" w:lineRule="auto"/>
        <w:jc w:val="both"/>
        <w:rPr>
          <w:rFonts w:cstheme="minorHAnsi"/>
        </w:rPr>
      </w:pPr>
    </w:p>
    <w:p w:rsidR="004A0754" w:rsidRPr="00D554B7" w:rsidRDefault="004A0754" w:rsidP="004A0754">
      <w:pPr>
        <w:pStyle w:val="ListParagraph"/>
        <w:numPr>
          <w:ilvl w:val="0"/>
          <w:numId w:val="9"/>
        </w:numPr>
        <w:spacing w:after="0" w:line="240" w:lineRule="auto"/>
        <w:jc w:val="both"/>
        <w:rPr>
          <w:rFonts w:cstheme="minorHAnsi"/>
        </w:rPr>
      </w:pPr>
      <w:r w:rsidRPr="005C58AD">
        <w:rPr>
          <w:rFonts w:cs="Arial"/>
        </w:rPr>
        <w:t xml:space="preserve">Proyecto de Ley </w:t>
      </w:r>
      <w:r>
        <w:t>Q</w:t>
      </w:r>
      <w:r w:rsidRPr="00FC1276">
        <w:t xml:space="preserve">ue modifica los </w:t>
      </w:r>
      <w:r>
        <w:t>A</w:t>
      </w:r>
      <w:r w:rsidRPr="00FC1276">
        <w:t xml:space="preserve">rtículos 136 y 137 de la </w:t>
      </w:r>
      <w:r>
        <w:t>L</w:t>
      </w:r>
      <w:r w:rsidRPr="00FC1276">
        <w:t xml:space="preserve">ey </w:t>
      </w:r>
      <w:r>
        <w:t>N</w:t>
      </w:r>
      <w:r w:rsidRPr="00FC1276">
        <w:t>º 1.286/98 Código Procesal Penal</w:t>
      </w:r>
      <w:r>
        <w:t xml:space="preserve"> y deroga las L</w:t>
      </w:r>
      <w:r w:rsidRPr="00FC1276">
        <w:t xml:space="preserve">eyes </w:t>
      </w:r>
      <w:r>
        <w:t>N</w:t>
      </w:r>
      <w:r w:rsidRPr="00FC1276">
        <w:t xml:space="preserve">º 2.341/03, </w:t>
      </w:r>
      <w:r>
        <w:t>N</w:t>
      </w:r>
      <w:r w:rsidRPr="00FC1276">
        <w:t xml:space="preserve">º 4.669/12 y </w:t>
      </w:r>
      <w:r>
        <w:t>N</w:t>
      </w:r>
      <w:r w:rsidRPr="00FC1276">
        <w:t>º 4.734/12</w:t>
      </w:r>
      <w:r>
        <w:t xml:space="preserve">. El proyecto proponía flexibilizar y eliminar las garantías del </w:t>
      </w:r>
      <w:r w:rsidRPr="005C58AD">
        <w:rPr>
          <w:rFonts w:cs="Arial"/>
        </w:rPr>
        <w:t xml:space="preserve">plazo razonable </w:t>
      </w:r>
      <w:r>
        <w:rPr>
          <w:rFonts w:cs="Arial"/>
        </w:rPr>
        <w:t xml:space="preserve">en el proceso penal, dejando abiertas las posibilidades a </w:t>
      </w:r>
      <w:r w:rsidRPr="005C58AD">
        <w:rPr>
          <w:rFonts w:cs="Arial"/>
        </w:rPr>
        <w:t xml:space="preserve">los abusos de la administración de justicia penal, en particular cuando la extremada o injustificada dilación de los procesos penales se dan asociadas a situaciones de abuso de la prisión preventiva o de otras medidas cautelares restrictivas de la libertad personal. Estas circunstancias pueden tornarse en condiciones </w:t>
      </w:r>
      <w:r w:rsidRPr="005C58AD">
        <w:rPr>
          <w:rFonts w:cs="Arial"/>
        </w:rPr>
        <w:lastRenderedPageBreak/>
        <w:t>que agravan las condiciones de detención o que causan aflicción innecesaria en las personas procesadas penalmente</w:t>
      </w:r>
      <w:r>
        <w:rPr>
          <w:rFonts w:cs="Arial"/>
        </w:rPr>
        <w:t>.</w:t>
      </w:r>
    </w:p>
    <w:p w:rsidR="004A0754" w:rsidRPr="00D554B7" w:rsidRDefault="004A0754" w:rsidP="004A0754">
      <w:pPr>
        <w:pStyle w:val="ListParagraph"/>
        <w:spacing w:after="0" w:line="240" w:lineRule="auto"/>
        <w:jc w:val="both"/>
        <w:rPr>
          <w:rFonts w:cstheme="minorHAnsi"/>
        </w:rPr>
      </w:pPr>
    </w:p>
    <w:p w:rsidR="004A0754" w:rsidRPr="005C58AD" w:rsidRDefault="004A0754" w:rsidP="004A0754">
      <w:pPr>
        <w:pStyle w:val="ListParagraph"/>
        <w:numPr>
          <w:ilvl w:val="0"/>
          <w:numId w:val="9"/>
        </w:numPr>
        <w:spacing w:after="0" w:line="240" w:lineRule="auto"/>
        <w:jc w:val="both"/>
        <w:rPr>
          <w:rFonts w:cs="Arial"/>
        </w:rPr>
      </w:pPr>
      <w:r>
        <w:t xml:space="preserve">Proyecto de Ley </w:t>
      </w:r>
      <w:r w:rsidRPr="005C58AD">
        <w:rPr>
          <w:rFonts w:cs="Arial"/>
        </w:rPr>
        <w:t xml:space="preserve">que modifica el Artículo 21 de la Ley N° 1160/97 “Código Penal” y el Artículo 1° de la Ley 1702 “Que establece el alcance de los términos niño, adolescente y menor adulto”, modificada por la Ley N° 2169/03 “Que establece la mayoría de edad", que </w:t>
      </w:r>
      <w:r>
        <w:rPr>
          <w:rFonts w:cs="Arial"/>
        </w:rPr>
        <w:t xml:space="preserve">propone </w:t>
      </w:r>
      <w:r w:rsidRPr="005C58AD">
        <w:rPr>
          <w:rFonts w:cs="Arial"/>
        </w:rPr>
        <w:t>reduc</w:t>
      </w:r>
      <w:r>
        <w:rPr>
          <w:rFonts w:cs="Arial"/>
        </w:rPr>
        <w:t>ir</w:t>
      </w:r>
      <w:r w:rsidRPr="005C58AD">
        <w:rPr>
          <w:rFonts w:cs="Arial"/>
        </w:rPr>
        <w:t xml:space="preserve"> la edad mínima de responsabilidad penal de 14 a 12 años.</w:t>
      </w:r>
    </w:p>
    <w:p w:rsidR="004A0754" w:rsidRDefault="004A0754" w:rsidP="004A0754">
      <w:pPr>
        <w:spacing w:after="0" w:line="240" w:lineRule="auto"/>
        <w:jc w:val="both"/>
        <w:rPr>
          <w:rFonts w:cs="Arial"/>
        </w:rPr>
      </w:pPr>
    </w:p>
    <w:p w:rsidR="004A0754" w:rsidRDefault="004A0754" w:rsidP="004A0754">
      <w:pPr>
        <w:pStyle w:val="ListParagraph"/>
        <w:numPr>
          <w:ilvl w:val="0"/>
          <w:numId w:val="9"/>
        </w:numPr>
        <w:spacing w:after="0" w:line="240" w:lineRule="auto"/>
        <w:jc w:val="both"/>
      </w:pPr>
      <w:r>
        <w:t xml:space="preserve">Proyecto de Ley </w:t>
      </w:r>
      <w:r w:rsidRPr="00B47281">
        <w:t>Que modifica y amplía los Artículos 420 Y 421 de la Ley Nº 1.286/1998 Código Procesal Penal (Procedimiento Abreviado)</w:t>
      </w:r>
      <w:r>
        <w:t>, presentado por iniciativa del Poder Ejecutivo. El MNP alertó que l</w:t>
      </w:r>
      <w:r w:rsidRPr="008A39F4">
        <w:rPr>
          <w:lang w:val="es-ES_tradnl"/>
        </w:rPr>
        <w:t>a modificación planteada amplía el marco de aplicación del mecanismo excepcional del procedimiento abreviado</w:t>
      </w:r>
      <w:r>
        <w:rPr>
          <w:lang w:val="es-ES_tradnl"/>
        </w:rPr>
        <w:t xml:space="preserve"> o </w:t>
      </w:r>
      <w:proofErr w:type="spellStart"/>
      <w:r w:rsidR="00BE4E61">
        <w:rPr>
          <w:i/>
          <w:lang w:val="es-ES_tradnl"/>
        </w:rPr>
        <w:t>plea</w:t>
      </w:r>
      <w:proofErr w:type="spellEnd"/>
      <w:r w:rsidR="00BE4E61">
        <w:rPr>
          <w:i/>
          <w:lang w:val="es-ES_tradnl"/>
        </w:rPr>
        <w:t xml:space="preserve"> </w:t>
      </w:r>
      <w:proofErr w:type="spellStart"/>
      <w:r w:rsidR="00BE4E61">
        <w:rPr>
          <w:i/>
          <w:lang w:val="es-ES_tradnl"/>
        </w:rPr>
        <w:t>bargain</w:t>
      </w:r>
      <w:r w:rsidRPr="008A39F4">
        <w:rPr>
          <w:i/>
          <w:lang w:val="es-ES_tradnl"/>
        </w:rPr>
        <w:t>ing</w:t>
      </w:r>
      <w:proofErr w:type="spellEnd"/>
      <w:r w:rsidRPr="008A39F4">
        <w:rPr>
          <w:lang w:val="es-ES_tradnl"/>
        </w:rPr>
        <w:t xml:space="preserve"> a un importante espectro de graves conductas penalizadas que no deberían prescindir del juicio ordinario y de sus garantías como dispositivo institucional de determinación de la verdad y asignación de las penas. El proyecto no está acompañado de estudios criminológicos que justifiquen que la institución deba ser ampliada por sus beneficios</w:t>
      </w:r>
      <w:r>
        <w:rPr>
          <w:lang w:val="es-ES_tradnl"/>
        </w:rPr>
        <w:t xml:space="preserve">. </w:t>
      </w:r>
      <w:r w:rsidRPr="001D266D">
        <w:t>La institución del procedimiento abreviado –en tanto supone una renuncia al derecho al juicio previo y al derecho a no ser obligado a declarar contra uno mismo- tiene inmediata relación con el derecho de la persona detenida a no ser sometida a torturas, con mayor énfasis en la fase de prisión preventiva</w:t>
      </w:r>
      <w:r>
        <w:t>.</w:t>
      </w:r>
    </w:p>
    <w:p w:rsidR="004A0754" w:rsidRDefault="004A0754" w:rsidP="004A0754">
      <w:pPr>
        <w:spacing w:after="0" w:line="240" w:lineRule="auto"/>
        <w:jc w:val="both"/>
      </w:pPr>
    </w:p>
    <w:p w:rsidR="004A0754" w:rsidRDefault="004A0754" w:rsidP="004A0754">
      <w:pPr>
        <w:pStyle w:val="ListParagraph"/>
        <w:numPr>
          <w:ilvl w:val="0"/>
          <w:numId w:val="9"/>
        </w:numPr>
        <w:spacing w:after="0" w:line="240" w:lineRule="auto"/>
        <w:jc w:val="both"/>
      </w:pPr>
      <w:r w:rsidRPr="005C58AD">
        <w:rPr>
          <w:spacing w:val="-2"/>
          <w:lang w:eastAsia="es-ES"/>
        </w:rPr>
        <w:t xml:space="preserve">Proyecto de Ley “Que </w:t>
      </w:r>
      <w:r w:rsidRPr="00F76022">
        <w:t>modifica el Artículo 37 de la Ley Nº 1286/1998 “Código Procesal Penal” (Hechos Punibles de Narcotráfico en Tribunales de Asunción)</w:t>
      </w:r>
      <w:r>
        <w:t xml:space="preserve">, presentado por iniciativa del Poder Ejecutivo. El proyecto plantea que todas </w:t>
      </w:r>
      <w:r w:rsidR="00BE4E61">
        <w:t xml:space="preserve">las causas por narcotráfico </w:t>
      </w:r>
      <w:r>
        <w:t>se tramiten ante los tribunales de la capital. El proyecto plantea la derogación de la garantía del juez natural, por desplazamiento de la competencia territorial. E</w:t>
      </w:r>
      <w:r w:rsidRPr="00871826">
        <w:t>l impacto de esta modificación propuesta por el Poder Ejecutivo afectará a dos de cada diez hombres y a cuatro de cada diez mujeres privadas de libertad en las circunscripciones judiciales distantes de la capital.</w:t>
      </w:r>
      <w:r>
        <w:t xml:space="preserve"> </w:t>
      </w:r>
      <w:r w:rsidRPr="00871826">
        <w:t xml:space="preserve">El </w:t>
      </w:r>
      <w:r>
        <w:t xml:space="preserve">MNP observó que el proyecto rompe con el </w:t>
      </w:r>
      <w:r w:rsidRPr="00871826">
        <w:t>principio de inmediación</w:t>
      </w:r>
      <w:r>
        <w:t xml:space="preserve"> y debilita</w:t>
      </w:r>
      <w:r w:rsidRPr="00871826">
        <w:t xml:space="preserve"> las garantías del control judicial de </w:t>
      </w:r>
      <w:r>
        <w:t>la</w:t>
      </w:r>
      <w:r w:rsidRPr="00871826">
        <w:t>s condiciones de detención</w:t>
      </w:r>
      <w:r>
        <w:t>.</w:t>
      </w:r>
    </w:p>
    <w:p w:rsidR="004A0754" w:rsidRDefault="004A0754" w:rsidP="004A0754">
      <w:pPr>
        <w:spacing w:after="0" w:line="240" w:lineRule="auto"/>
        <w:jc w:val="both"/>
      </w:pPr>
    </w:p>
    <w:p w:rsidR="004A0754" w:rsidRDefault="004A0754" w:rsidP="004A0754">
      <w:pPr>
        <w:pStyle w:val="ListParagraph"/>
        <w:numPr>
          <w:ilvl w:val="0"/>
          <w:numId w:val="9"/>
        </w:numPr>
        <w:spacing w:after="0" w:line="240" w:lineRule="auto"/>
        <w:jc w:val="both"/>
      </w:pPr>
      <w:r w:rsidRPr="005C58AD">
        <w:rPr>
          <w:spacing w:val="-2"/>
          <w:lang w:eastAsia="es-ES"/>
        </w:rPr>
        <w:t>Proyecto de Ley “Que</w:t>
      </w:r>
      <w:r w:rsidRPr="00243918">
        <w:t xml:space="preserve"> modifica y amplía los Artículos 41, 324 y 448 de la</w:t>
      </w:r>
      <w:r>
        <w:t xml:space="preserve"> L</w:t>
      </w:r>
      <w:r w:rsidRPr="00243918">
        <w:t>ey Nº 1286/1998 ´Código Procesal Penal”</w:t>
      </w:r>
      <w:r>
        <w:t>, que establece un procedimiento especial para casos de flagrancia, presentado por iniciativa del Poder Ejecutivo. El procedimiento especial que se plantea introducir</w:t>
      </w:r>
      <w:r w:rsidRPr="00860BAF">
        <w:t xml:space="preserve"> </w:t>
      </w:r>
      <w:r w:rsidRPr="003E1663">
        <w:t>conlleva la reducción de garantías del debido proceso</w:t>
      </w:r>
      <w:r>
        <w:t xml:space="preserve"> -en particular e</w:t>
      </w:r>
      <w:r w:rsidRPr="003E1663">
        <w:t>l derecho a disponer del tiempo y los medios adecuados para la preparación de la defensa</w:t>
      </w:r>
      <w:r>
        <w:t xml:space="preserve"> y controles de legalidad de la investigación- así como </w:t>
      </w:r>
      <w:r w:rsidRPr="003E1663">
        <w:t>la ampliación de márgenes de poder a la Policía Nacional en la configuración de los procedimientos de aplicación de la pena, ya que la flagrancia en última instancia se basará en la intervención policial preliminar.</w:t>
      </w:r>
      <w:r w:rsidRPr="00860BAF">
        <w:t xml:space="preserve"> </w:t>
      </w:r>
      <w:r w:rsidRPr="003E1663">
        <w:t>La supresión de</w:t>
      </w:r>
      <w:r>
        <w:t xml:space="preserve"> estas</w:t>
      </w:r>
      <w:r w:rsidRPr="003E1663">
        <w:t xml:space="preserve"> salvaguardias tiene</w:t>
      </w:r>
      <w:r>
        <w:t>n</w:t>
      </w:r>
      <w:r w:rsidRPr="003E1663">
        <w:t xml:space="preserve"> inmediata relación con el derecho de la persona detenida a no ser sometida a torturas</w:t>
      </w:r>
      <w:r>
        <w:t>.</w:t>
      </w:r>
    </w:p>
    <w:p w:rsidR="004A0754" w:rsidRDefault="004A0754" w:rsidP="004A0754">
      <w:pPr>
        <w:pStyle w:val="ListParagraph"/>
        <w:spacing w:after="0" w:line="240" w:lineRule="auto"/>
        <w:jc w:val="both"/>
      </w:pPr>
    </w:p>
    <w:p w:rsidR="004A0754" w:rsidRDefault="004A0754" w:rsidP="004A0754">
      <w:pPr>
        <w:pStyle w:val="ListParagraph"/>
        <w:numPr>
          <w:ilvl w:val="0"/>
          <w:numId w:val="9"/>
        </w:numPr>
        <w:spacing w:after="0" w:line="240" w:lineRule="auto"/>
        <w:jc w:val="both"/>
      </w:pPr>
      <w:r w:rsidRPr="005C58AD">
        <w:rPr>
          <w:rFonts w:cs="Arial"/>
        </w:rPr>
        <w:t xml:space="preserve">Proyecto de Ley </w:t>
      </w:r>
      <w:r w:rsidRPr="005C58AD">
        <w:rPr>
          <w:rFonts w:cs="Arial"/>
          <w:lang w:val="es-ES" w:eastAsia="es-ES"/>
        </w:rPr>
        <w:t>Que modifica la Ley 4.431/2011, Que modifica el Artículo 245 de la Ley Nº 1.286/98 Código Procesal Penal, modificado por Ley Nº 2.493/04 Que modifica el Artículo 245 de la Ley Nº 1.286/98 Código Procesal Penal</w:t>
      </w:r>
      <w:r>
        <w:rPr>
          <w:rFonts w:cs="Arial"/>
          <w:lang w:val="es-ES" w:eastAsia="es-ES"/>
        </w:rPr>
        <w:t xml:space="preserve">. El proyecto mantiene las medidas de eliminar el principio de </w:t>
      </w:r>
      <w:r w:rsidRPr="002F6D7B">
        <w:rPr>
          <w:rFonts w:cs="Arial"/>
        </w:rPr>
        <w:t>excepcionalidad de la prisión preventiva</w:t>
      </w:r>
      <w:r>
        <w:rPr>
          <w:rFonts w:cs="Arial"/>
        </w:rPr>
        <w:t xml:space="preserve">, en el contexto del Estado parte de una política de </w:t>
      </w:r>
      <w:r w:rsidRPr="002F6D7B">
        <w:rPr>
          <w:rFonts w:cs="Arial"/>
        </w:rPr>
        <w:t>uso abusivo y sistemático de la prisión preventiva</w:t>
      </w:r>
      <w:r>
        <w:rPr>
          <w:rFonts w:cs="Arial"/>
        </w:rPr>
        <w:t xml:space="preserve">. Esta política agravó </w:t>
      </w:r>
      <w:r w:rsidRPr="002F6D7B">
        <w:rPr>
          <w:rFonts w:cs="Arial"/>
        </w:rPr>
        <w:t xml:space="preserve">las condiciones de detención en los establecimientos penitenciarios del </w:t>
      </w:r>
      <w:r>
        <w:rPr>
          <w:rFonts w:cs="Arial"/>
        </w:rPr>
        <w:t xml:space="preserve">Estado </w:t>
      </w:r>
      <w:r>
        <w:rPr>
          <w:rFonts w:cs="Arial"/>
        </w:rPr>
        <w:lastRenderedPageBreak/>
        <w:t>parte</w:t>
      </w:r>
      <w:r w:rsidRPr="002F6D7B">
        <w:rPr>
          <w:rFonts w:cs="Arial"/>
        </w:rPr>
        <w:t>, aumentando hasta alcanzar un pico histórico los niveles de hacinamiento o sobrepoblación crítica que ya existían</w:t>
      </w:r>
      <w:r>
        <w:rPr>
          <w:rFonts w:cs="Arial"/>
        </w:rPr>
        <w:t>.</w:t>
      </w:r>
    </w:p>
    <w:p w:rsidR="004A0754" w:rsidRDefault="004A0754" w:rsidP="004A0754">
      <w:pPr>
        <w:spacing w:after="0" w:line="240" w:lineRule="auto"/>
        <w:jc w:val="both"/>
        <w:rPr>
          <w:rFonts w:cs="Arial"/>
        </w:rPr>
      </w:pPr>
    </w:p>
    <w:p w:rsidR="00B52A11" w:rsidRDefault="00B52A11" w:rsidP="004A0754">
      <w:pPr>
        <w:spacing w:after="0" w:line="240" w:lineRule="auto"/>
        <w:jc w:val="both"/>
      </w:pPr>
      <w:r>
        <w:rPr>
          <w:rFonts w:cs="Arial"/>
        </w:rPr>
        <w:t xml:space="preserve">El MNP ha recomendado la revisión de la </w:t>
      </w:r>
      <w:r w:rsidRPr="00791319">
        <w:t>Ley Nº 4.083/2011 se crea un Programa de Acompañamiento y Protección a Testigos y Víctimas en procesos penales que depende orgánica y funcionalmente de la Fiscalía General del Estado</w:t>
      </w:r>
      <w:r>
        <w:t>. Actualmente, existen dos proyectos de ley que plantean la revisión de esta normativa. Esta Ley actualmente tiene un escaso nivel de desarrollo en su ejecución como un programa específico en el Ministerio Público. No existen medidas que se hayan previsto para la protección de víctimas y testigos que se encuentren en situación de privación de libertad y que denuncien o testifiquen en contra de policías o personal penitenciario en causas de tortura. El Ministerio Público señaló al MNP que las personas privadas de libertad en los centros penitenciarios están a cargo de la autoridad penitenciaria, dependiente del Ministerio de Justicia, instancia que es finalmente la responsable institucional de las personas privadas de libertad y la obligada a establecer un régimen de reclusión exento de violencia, tortura o malos tratos. Se señaló que el Ministerio Público no puede proteger a una persona cuya protección esté mediada por la intervención de otra entidad del Estado. El MNP ha recomendado la creación de un programa específico de protección de testigos que se encuentren bajo custodia del Estado.</w:t>
      </w:r>
    </w:p>
    <w:p w:rsidR="00B52A11" w:rsidRDefault="00B52A11" w:rsidP="004A0754">
      <w:pPr>
        <w:spacing w:after="0" w:line="240" w:lineRule="auto"/>
        <w:jc w:val="both"/>
        <w:rPr>
          <w:rFonts w:cs="Arial"/>
        </w:rPr>
      </w:pPr>
    </w:p>
    <w:p w:rsidR="004A0754" w:rsidRPr="005C58AD" w:rsidRDefault="004A0754" w:rsidP="004A0754">
      <w:pPr>
        <w:spacing w:after="0" w:line="240" w:lineRule="auto"/>
        <w:jc w:val="both"/>
      </w:pPr>
      <w:r w:rsidRPr="005C58AD">
        <w:rPr>
          <w:rFonts w:cstheme="minorHAnsi"/>
        </w:rPr>
        <w:t xml:space="preserve">El MNP ha solicitado la revisión del </w:t>
      </w:r>
      <w:r w:rsidRPr="005C58AD">
        <w:rPr>
          <w:rFonts w:eastAsia="Courier New" w:cs="Courier New"/>
          <w:color w:val="000000"/>
          <w:lang w:eastAsia="es-ES"/>
        </w:rPr>
        <w:t xml:space="preserve">Resolución </w:t>
      </w:r>
      <w:r w:rsidRPr="005C58AD">
        <w:t xml:space="preserve">N° 72/12 de fecha 7 de marzo del año 2012 de la Dirección de Establecimientos Penitenciarios y Ejecución Penal que reglamenta el beneficio de las visitas privadas, íntimas o </w:t>
      </w:r>
      <w:r w:rsidRPr="005C58AD">
        <w:rPr>
          <w:i/>
        </w:rPr>
        <w:t>vis a vis</w:t>
      </w:r>
      <w:r w:rsidRPr="005C58AD">
        <w:t>, de modo a establecer cláusulas de no discriminación por razón de orientación sexual. La autoridad penitenciaria prohíbe este derecho para personas del mismo sexo, bajo la argumentación que las visitas íntimas tienen la finalidad de fortalecer los lazos familiares de las personas privadas de libertad y que por norma constitucional por familia sólo se reconoce a la unión del hombre y la m</w:t>
      </w:r>
      <w:r w:rsidR="000C3B56">
        <w:t>ujer. El MNP ha señalado que las</w:t>
      </w:r>
      <w:r w:rsidRPr="005C58AD">
        <w:t xml:space="preserve"> normas no prohíben este derecho en el sentido en el que es aplicado por el Ministerio de Justicia. </w:t>
      </w:r>
    </w:p>
    <w:p w:rsidR="004A0754" w:rsidRPr="005C58AD" w:rsidRDefault="004A0754" w:rsidP="004A0754">
      <w:pPr>
        <w:spacing w:after="0" w:line="240" w:lineRule="auto"/>
        <w:jc w:val="both"/>
      </w:pPr>
    </w:p>
    <w:p w:rsidR="004A0754" w:rsidRPr="005C58AD" w:rsidRDefault="004A0754" w:rsidP="004A0754">
      <w:pPr>
        <w:spacing w:after="0" w:line="240" w:lineRule="auto"/>
        <w:jc w:val="both"/>
        <w:rPr>
          <w:rFonts w:eastAsia="Calibri" w:cs="Times New Roman"/>
          <w:lang w:val="es-PY"/>
        </w:rPr>
      </w:pPr>
      <w:r w:rsidRPr="005C58AD">
        <w:t xml:space="preserve">El MNP ha manifestado oficialmente que el derecho de las personas privadas de libertad a acceder a visitas íntimas con parejas afectivas de su mismo sexo se encuentra fundada en las disposiciones que regulan los fines resocializadores de la sanción penitenciaria, en consonancia con el derecho a la no discriminación y a la libre expresión de la personalidad. </w:t>
      </w:r>
      <w:r w:rsidRPr="005C58AD">
        <w:rPr>
          <w:rFonts w:eastAsia="Calibri" w:cs="Times New Roman"/>
          <w:lang w:val="es-PY"/>
        </w:rPr>
        <w:t>El MNP considera que la denegación de este derecho, debe ser considerado como una injerencia abusiva y arbitraria en la vida privada de internas e internos procesados y condenados, constitutivo de al menos trato degradante e inhumano.</w:t>
      </w:r>
    </w:p>
    <w:p w:rsidR="004A0754" w:rsidRPr="005C58AD" w:rsidRDefault="004A0754" w:rsidP="004A0754">
      <w:pPr>
        <w:spacing w:after="0" w:line="240" w:lineRule="auto"/>
        <w:jc w:val="both"/>
        <w:rPr>
          <w:rFonts w:eastAsia="Calibri" w:cs="Times New Roman"/>
          <w:lang w:val="es-PY"/>
        </w:rPr>
      </w:pPr>
    </w:p>
    <w:p w:rsidR="004A0754" w:rsidRPr="005C58AD" w:rsidRDefault="004A0754" w:rsidP="004A0754">
      <w:pPr>
        <w:spacing w:after="0" w:line="240" w:lineRule="auto"/>
        <w:jc w:val="both"/>
        <w:rPr>
          <w:rFonts w:eastAsia="Calibri" w:cs="Times New Roman"/>
          <w:lang w:val="es-PY"/>
        </w:rPr>
      </w:pPr>
      <w:r w:rsidRPr="005C58AD">
        <w:rPr>
          <w:rFonts w:eastAsia="Calibri" w:cs="Times New Roman"/>
          <w:lang w:val="es-PY"/>
        </w:rPr>
        <w:t>El Estado parte no ha procedido a la revisión recomendada por el MNP. En diciembre de 2016, un Juzgado de Ejecución Penal rechazó una tutela jurisdiccional promovida por una interna del Centro Penitenciario de Mujeres del Buen Pastor que solicitaba acceder a la visita privada con su pareja del mismo sexo. El Juzgado fundamentó su decisión aplicando la anterior ley de organización penitenciaria, Ley Nº 210/1970, que ya estaba derogada por el Código de Ejecución Penal. El fallo fue recientemente confirmado por el tribunal de apelación penal</w:t>
      </w:r>
      <w:r w:rsidRPr="005C58AD">
        <w:rPr>
          <w:rStyle w:val="FootnoteReference"/>
          <w:rFonts w:eastAsia="Calibri" w:cs="Times New Roman"/>
          <w:lang w:val="es-PY"/>
        </w:rPr>
        <w:footnoteReference w:id="9"/>
      </w:r>
      <w:r w:rsidRPr="005C58AD">
        <w:rPr>
          <w:rFonts w:eastAsia="Calibri" w:cs="Times New Roman"/>
          <w:lang w:val="es-PY"/>
        </w:rPr>
        <w:t>.</w:t>
      </w:r>
    </w:p>
    <w:p w:rsidR="004A0754" w:rsidRDefault="004A0754" w:rsidP="004A0754">
      <w:pPr>
        <w:spacing w:after="0" w:line="240" w:lineRule="auto"/>
        <w:jc w:val="both"/>
      </w:pPr>
    </w:p>
    <w:p w:rsidR="004A0754" w:rsidRDefault="004A0754" w:rsidP="004A0754">
      <w:pPr>
        <w:spacing w:after="0" w:line="240" w:lineRule="auto"/>
        <w:jc w:val="both"/>
      </w:pPr>
      <w:r>
        <w:lastRenderedPageBreak/>
        <w:t>El MNP ha manifestado su preocupación por las restricciones que el Estado parte ha establecido al acceso de periodistas y medios de comunicación a establecimientos penitenciarios y las limitaciones al derecho a la libertad de expresión de las personas privadas de libertad.</w:t>
      </w:r>
    </w:p>
    <w:p w:rsidR="004A0754" w:rsidRDefault="004A0754" w:rsidP="004A0754">
      <w:pPr>
        <w:spacing w:after="0" w:line="240" w:lineRule="auto"/>
        <w:jc w:val="both"/>
      </w:pPr>
    </w:p>
    <w:p w:rsidR="004A0754" w:rsidRDefault="004A0754" w:rsidP="004A0754">
      <w:pPr>
        <w:spacing w:after="0" w:line="240" w:lineRule="auto"/>
        <w:jc w:val="both"/>
        <w:rPr>
          <w:rFonts w:cs="Arial"/>
        </w:rPr>
      </w:pPr>
      <w:r>
        <w:t xml:space="preserve">El Estado parte ha dictado resoluciones a través del Ministerio de Justicia que establecen un </w:t>
      </w:r>
      <w:r w:rsidRPr="006F1F17">
        <w:rPr>
          <w:rFonts w:cs="Arial"/>
        </w:rPr>
        <w:t>Protocolo de acceso de medios de comunicación a los establecimientos penitenciarios</w:t>
      </w:r>
      <w:r>
        <w:rPr>
          <w:rFonts w:cs="Arial"/>
        </w:rPr>
        <w:t xml:space="preserve"> (</w:t>
      </w:r>
      <w:r w:rsidRPr="006F1F17">
        <w:rPr>
          <w:rFonts w:cs="Arial"/>
        </w:rPr>
        <w:t>Resolución Ministerial N° 413 del 26 de mayo de 2015</w:t>
      </w:r>
      <w:r>
        <w:rPr>
          <w:rFonts w:cs="Arial"/>
        </w:rPr>
        <w:t xml:space="preserve">, modificada posteriormente por la </w:t>
      </w:r>
      <w:r w:rsidRPr="006F1F17">
        <w:rPr>
          <w:rFonts w:cs="Arial"/>
        </w:rPr>
        <w:t>Resolución N° 323 de 20 de abril de 2016</w:t>
      </w:r>
      <w:r>
        <w:rPr>
          <w:rFonts w:cs="Arial"/>
        </w:rPr>
        <w:t>).</w:t>
      </w:r>
    </w:p>
    <w:p w:rsidR="004A0754" w:rsidRPr="006F1F17" w:rsidRDefault="004A0754" w:rsidP="004A0754">
      <w:pPr>
        <w:spacing w:after="0" w:line="240" w:lineRule="auto"/>
        <w:jc w:val="both"/>
        <w:rPr>
          <w:rFonts w:cs="Arial"/>
        </w:rPr>
      </w:pPr>
    </w:p>
    <w:p w:rsidR="004A0754" w:rsidRDefault="004A0754" w:rsidP="004A0754">
      <w:pPr>
        <w:tabs>
          <w:tab w:val="left" w:pos="8364"/>
        </w:tabs>
        <w:spacing w:after="0" w:line="240" w:lineRule="auto"/>
        <w:jc w:val="both"/>
        <w:rPr>
          <w:rFonts w:cs="Arial"/>
        </w:rPr>
      </w:pPr>
      <w:r w:rsidRPr="006F1F17">
        <w:rPr>
          <w:rFonts w:cs="Arial"/>
        </w:rPr>
        <w:t>Exige que para las entrevistas de carácter individual, el medio o periodista formule una solicitud por escrito previo, con el requisito de mencionar la finalidad de la entrevista y la individualización de la persona a ser entrevistada. En estos casos, es obligatoria la presencia de un representante de la Dirección del Establecimiento Penitenciario respectivo. Las entrevistas pueden ser negadas argumentando motivos de seguridad.</w:t>
      </w:r>
    </w:p>
    <w:p w:rsidR="004A0754" w:rsidRDefault="004A0754" w:rsidP="004A0754">
      <w:pPr>
        <w:tabs>
          <w:tab w:val="left" w:pos="8364"/>
        </w:tabs>
        <w:spacing w:after="0" w:line="240" w:lineRule="auto"/>
        <w:jc w:val="both"/>
        <w:rPr>
          <w:rFonts w:cs="Arial"/>
        </w:rPr>
      </w:pPr>
    </w:p>
    <w:p w:rsidR="004A0754" w:rsidRPr="006F1F17" w:rsidRDefault="004A0754" w:rsidP="004A0754">
      <w:pPr>
        <w:tabs>
          <w:tab w:val="left" w:pos="8364"/>
        </w:tabs>
        <w:spacing w:after="0" w:line="240" w:lineRule="auto"/>
        <w:jc w:val="both"/>
        <w:rPr>
          <w:rFonts w:cs="Arial"/>
        </w:rPr>
      </w:pPr>
      <w:r w:rsidRPr="006F1F17">
        <w:rPr>
          <w:rFonts w:cs="Arial"/>
        </w:rPr>
        <w:t xml:space="preserve">Para las coberturas de carácter general, también se deberá formular una solicitud escrita, incluyendo el objeto y finalidad de la cobertura. La cobertura será </w:t>
      </w:r>
      <w:proofErr w:type="gramStart"/>
      <w:r w:rsidRPr="006F1F17">
        <w:rPr>
          <w:rFonts w:cs="Arial"/>
        </w:rPr>
        <w:t>supervisada</w:t>
      </w:r>
      <w:proofErr w:type="gramEnd"/>
      <w:r w:rsidRPr="006F1F17">
        <w:rPr>
          <w:rFonts w:cs="Arial"/>
        </w:rPr>
        <w:t xml:space="preserve"> por un representante de la Dirección del Establecimiento Penitenciario respectivo, encargado de la seguridad; un representante de la Dirección de Bienestar y Reinserción Social del Viceministerio de Política Criminal y un representante de la Dirección General de Comunicación y Prensa del Ministerio de Justicia. Se otorga a la Dirección General de Establecimientos Penitenciarios la competencia para analizar la solicitud y autorizarla o rechazarla, sin enunciar y restringir los motivos por los cuales se podría impedir la cobertura.</w:t>
      </w:r>
    </w:p>
    <w:p w:rsidR="004A0754" w:rsidRPr="006F1F17" w:rsidRDefault="004A0754" w:rsidP="004A0754">
      <w:pPr>
        <w:tabs>
          <w:tab w:val="left" w:pos="8364"/>
        </w:tabs>
        <w:spacing w:after="0" w:line="240" w:lineRule="auto"/>
        <w:jc w:val="both"/>
        <w:rPr>
          <w:rFonts w:cs="Arial"/>
        </w:rPr>
      </w:pPr>
    </w:p>
    <w:p w:rsidR="004A0754" w:rsidRDefault="004A0754" w:rsidP="004A0754">
      <w:pPr>
        <w:spacing w:after="0" w:line="240" w:lineRule="auto"/>
        <w:jc w:val="both"/>
      </w:pPr>
      <w:r>
        <w:t xml:space="preserve">En la práctica, estas medidas han restringido el acceso de periodistas y medios de comunicación al ámbito penitenciario al punto de suprimir la calidad e independencia de las coberturas, ya que los medios carecen de otra fuente de información que no sea la oficial. </w:t>
      </w:r>
    </w:p>
    <w:p w:rsidR="004A0754" w:rsidRDefault="004A0754" w:rsidP="004A0754">
      <w:pPr>
        <w:spacing w:after="0" w:line="240" w:lineRule="auto"/>
        <w:jc w:val="both"/>
      </w:pPr>
    </w:p>
    <w:p w:rsidR="004A0754" w:rsidRPr="00887902" w:rsidRDefault="004A0754" w:rsidP="004A0754">
      <w:pPr>
        <w:spacing w:after="0" w:line="240" w:lineRule="auto"/>
        <w:jc w:val="both"/>
      </w:pPr>
      <w:r w:rsidRPr="00887902">
        <w:rPr>
          <w:rFonts w:cs="Arial"/>
        </w:rPr>
        <w:t>El MNP ya ha señalado a las máximas autoridades de la administración penitenciaria que la declaración previa sobre el contenido de la entrevista y la presencia de una autoridad del penal en la misma menoscaban el derecho a la confidencialidad de las fuentes de información de los periodistas establecido en el Art. 29 de la Constitución paraguaya y resulta en una censura previa por vía indirecta de la libertad de expresión tanto de los periodistas como de las personas privadas de libertad. Asimismo, se ha recomendado dar garantías y adoptar medidas positivas para respetar el derecho de toda persona privada de libertad de comunicarse con quien prefiera y de dar información públicamente, previendo dispositivos, espacios y medios que permitan que las personas privadas de libertad se pongan en contacto con trabajadores de la prensa, para la expresión de sus preocupaciones y quejas.</w:t>
      </w:r>
    </w:p>
    <w:p w:rsidR="004A0754" w:rsidRDefault="004A0754" w:rsidP="004A0754">
      <w:pPr>
        <w:spacing w:after="0" w:line="240" w:lineRule="auto"/>
        <w:jc w:val="both"/>
      </w:pPr>
    </w:p>
    <w:p w:rsidR="004A0754" w:rsidRDefault="004A0754" w:rsidP="004A0754">
      <w:pPr>
        <w:spacing w:after="0" w:line="240" w:lineRule="auto"/>
        <w:jc w:val="both"/>
      </w:pPr>
      <w:r>
        <w:t>El acceso de las personas privadas de libertad a los medios de comunicación es una garantía que previene los malos tratos en la prisión.</w:t>
      </w:r>
    </w:p>
    <w:p w:rsidR="004A0754" w:rsidRDefault="004A0754" w:rsidP="004A0754">
      <w:pPr>
        <w:spacing w:after="0" w:line="240" w:lineRule="auto"/>
        <w:jc w:val="both"/>
      </w:pPr>
    </w:p>
    <w:p w:rsidR="004A0754" w:rsidRPr="00887902" w:rsidRDefault="004A0754" w:rsidP="004A0754">
      <w:pPr>
        <w:spacing w:after="0" w:line="240" w:lineRule="auto"/>
        <w:jc w:val="both"/>
        <w:rPr>
          <w:rFonts w:cs="Arial"/>
        </w:rPr>
      </w:pPr>
      <w:r>
        <w:t xml:space="preserve">En tal sentido, el MNP ha recomendado al Ministerio de Justicia dejar sin efecto el Protocolo </w:t>
      </w:r>
      <w:r w:rsidRPr="006F1F17">
        <w:rPr>
          <w:rFonts w:cs="Arial"/>
        </w:rPr>
        <w:t>de acceso de medios de comunicación a los establecimientos penitenciarios</w:t>
      </w:r>
      <w:r>
        <w:rPr>
          <w:rFonts w:cs="Arial"/>
        </w:rPr>
        <w:t xml:space="preserve">. </w:t>
      </w:r>
      <w:r w:rsidRPr="00887902">
        <w:rPr>
          <w:rFonts w:cs="Arial"/>
        </w:rPr>
        <w:t xml:space="preserve">Se recomendó asimismo que cualquier reglamentación razonable al respecto </w:t>
      </w:r>
      <w:proofErr w:type="gramStart"/>
      <w:r w:rsidRPr="00887902">
        <w:rPr>
          <w:rFonts w:cs="Arial"/>
        </w:rPr>
        <w:t>debe</w:t>
      </w:r>
      <w:proofErr w:type="gramEnd"/>
      <w:r w:rsidRPr="00887902">
        <w:rPr>
          <w:rFonts w:cs="Arial"/>
        </w:rPr>
        <w:t xml:space="preserve"> tener en cuenta la opinión de los periodistas y de las personas privadas de libertad.</w:t>
      </w:r>
    </w:p>
    <w:p w:rsidR="004A0754" w:rsidRDefault="004A0754" w:rsidP="004A0754">
      <w:pPr>
        <w:spacing w:after="0" w:line="240" w:lineRule="auto"/>
        <w:jc w:val="both"/>
      </w:pPr>
    </w:p>
    <w:p w:rsidR="000D2C98" w:rsidRPr="000D2C98" w:rsidRDefault="000D2C98" w:rsidP="000D2C98">
      <w:pPr>
        <w:pStyle w:val="SingleTxtG"/>
        <w:rPr>
          <w:rFonts w:eastAsia="Calibri"/>
          <w:b/>
          <w:lang w:eastAsia="en-US"/>
        </w:rPr>
      </w:pPr>
      <w:r w:rsidRPr="000D2C98">
        <w:rPr>
          <w:rFonts w:eastAsia="Calibri"/>
          <w:b/>
          <w:lang w:eastAsia="en-US"/>
        </w:rPr>
        <w:lastRenderedPageBreak/>
        <w:t>18.</w:t>
      </w:r>
      <w:r w:rsidRPr="000D2C98">
        <w:rPr>
          <w:rFonts w:eastAsia="Calibri"/>
          <w:b/>
          <w:lang w:eastAsia="en-US"/>
        </w:rPr>
        <w:tab/>
        <w:t>Sírvanse presentar información actualizada que incluya datos estadísticos desglosados por sexo, edad, origen étnico o nacionalidad sobre el número de presos preventivos y condenados, así como la tasa de ocupación de todos los lugares de detención.</w:t>
      </w:r>
    </w:p>
    <w:p w:rsidR="000D2C98" w:rsidRPr="00656616" w:rsidRDefault="000D2C98" w:rsidP="004A0754">
      <w:pPr>
        <w:spacing w:after="0" w:line="240" w:lineRule="auto"/>
        <w:jc w:val="both"/>
      </w:pPr>
    </w:p>
    <w:p w:rsidR="00656616" w:rsidRDefault="005D72B9" w:rsidP="00656616">
      <w:pPr>
        <w:spacing w:after="0" w:line="240" w:lineRule="auto"/>
        <w:jc w:val="both"/>
        <w:rPr>
          <w:rFonts w:ascii="Calibri" w:eastAsia="Times New Roman" w:hAnsi="Calibri" w:cs="Times New Roman"/>
          <w:iCs/>
          <w:color w:val="000000"/>
          <w:lang w:val="es-ES" w:eastAsia="es-ES"/>
        </w:rPr>
      </w:pPr>
      <w:r>
        <w:rPr>
          <w:rFonts w:ascii="Calibri" w:eastAsia="Times New Roman" w:hAnsi="Calibri" w:cs="Times New Roman"/>
          <w:iCs/>
          <w:color w:val="000000"/>
          <w:lang w:val="es-ES" w:eastAsia="es-ES"/>
        </w:rPr>
        <w:t>Entre 1995</w:t>
      </w:r>
      <w:r w:rsidR="00656616" w:rsidRPr="00656616">
        <w:rPr>
          <w:rFonts w:ascii="Calibri" w:eastAsia="Times New Roman" w:hAnsi="Calibri" w:cs="Times New Roman"/>
          <w:iCs/>
          <w:color w:val="000000"/>
          <w:lang w:val="es-ES" w:eastAsia="es-ES"/>
        </w:rPr>
        <w:t xml:space="preserve"> y 2016 se produjo un crecimiento exponencial de la cantidad de personas privadas de libertad. Entre el 2011 y 2016, periodo a ser analizado por el Comité contra la Tortura, el crecimiento casi llegó al 83%</w:t>
      </w:r>
      <w:r>
        <w:rPr>
          <w:rFonts w:ascii="Calibri" w:eastAsia="Times New Roman" w:hAnsi="Calibri" w:cs="Times New Roman"/>
          <w:iCs/>
          <w:color w:val="000000"/>
          <w:lang w:val="es-ES" w:eastAsia="es-ES"/>
        </w:rPr>
        <w:t>.</w:t>
      </w:r>
    </w:p>
    <w:p w:rsidR="005D72B9" w:rsidRDefault="005D72B9" w:rsidP="00656616">
      <w:pPr>
        <w:spacing w:after="0" w:line="240" w:lineRule="auto"/>
        <w:jc w:val="both"/>
        <w:rPr>
          <w:rFonts w:ascii="Calibri" w:eastAsia="Times New Roman" w:hAnsi="Calibri" w:cs="Times New Roman"/>
          <w:iCs/>
          <w:color w:val="000000"/>
          <w:lang w:val="es-ES" w:eastAsia="es-ES"/>
        </w:rPr>
      </w:pPr>
    </w:p>
    <w:p w:rsidR="005D72B9" w:rsidRPr="005D72B9" w:rsidRDefault="005D72B9" w:rsidP="00656616">
      <w:pPr>
        <w:spacing w:after="0" w:line="240" w:lineRule="auto"/>
        <w:jc w:val="both"/>
        <w:rPr>
          <w:rFonts w:ascii="Calibri" w:eastAsia="Times New Roman" w:hAnsi="Calibri" w:cs="Times New Roman"/>
          <w:b/>
          <w:iCs/>
          <w:color w:val="000000"/>
          <w:lang w:val="es-ES" w:eastAsia="es-ES"/>
        </w:rPr>
      </w:pPr>
      <w:r w:rsidRPr="005D72B9">
        <w:rPr>
          <w:rFonts w:ascii="Calibri" w:eastAsia="Times New Roman" w:hAnsi="Calibri" w:cs="Times New Roman"/>
          <w:b/>
          <w:iCs/>
          <w:color w:val="000000"/>
          <w:lang w:val="es-ES" w:eastAsia="es-ES"/>
        </w:rPr>
        <w:t>Gráfico</w:t>
      </w:r>
    </w:p>
    <w:p w:rsidR="005D72B9" w:rsidRPr="005D72B9" w:rsidRDefault="005D72B9" w:rsidP="00656616">
      <w:pPr>
        <w:spacing w:after="0" w:line="240" w:lineRule="auto"/>
        <w:jc w:val="both"/>
        <w:rPr>
          <w:rFonts w:ascii="Calibri" w:eastAsia="Times New Roman" w:hAnsi="Calibri" w:cs="Times New Roman"/>
          <w:b/>
          <w:iCs/>
          <w:color w:val="000000"/>
          <w:lang w:val="es-ES" w:eastAsia="es-ES"/>
        </w:rPr>
      </w:pPr>
      <w:r w:rsidRPr="005D72B9">
        <w:rPr>
          <w:rFonts w:ascii="Calibri" w:eastAsia="Times New Roman" w:hAnsi="Calibri" w:cs="Times New Roman"/>
          <w:b/>
          <w:iCs/>
          <w:color w:val="000000"/>
          <w:lang w:val="es-ES" w:eastAsia="es-ES"/>
        </w:rPr>
        <w:t>Crecimiento de la población privada de libertad</w:t>
      </w:r>
    </w:p>
    <w:p w:rsidR="005D72B9" w:rsidRPr="00656616" w:rsidRDefault="005D72B9" w:rsidP="00656616">
      <w:pPr>
        <w:spacing w:after="0" w:line="240" w:lineRule="auto"/>
        <w:jc w:val="both"/>
        <w:rPr>
          <w:rFonts w:ascii="Times New Roman" w:eastAsia="Times New Roman" w:hAnsi="Times New Roman" w:cs="Times New Roman"/>
          <w:b/>
          <w:sz w:val="24"/>
          <w:szCs w:val="24"/>
          <w:lang w:val="es-ES" w:eastAsia="es-ES"/>
        </w:rPr>
      </w:pPr>
      <w:r w:rsidRPr="005D72B9">
        <w:rPr>
          <w:rFonts w:ascii="Calibri" w:eastAsia="Times New Roman" w:hAnsi="Calibri" w:cs="Times New Roman"/>
          <w:b/>
          <w:iCs/>
          <w:color w:val="000000"/>
          <w:lang w:val="es-ES" w:eastAsia="es-ES"/>
        </w:rPr>
        <w:t>Paraguay 1995 - 2016</w:t>
      </w:r>
    </w:p>
    <w:p w:rsidR="00656616" w:rsidRPr="00656616" w:rsidRDefault="00656616" w:rsidP="00656616">
      <w:pPr>
        <w:spacing w:after="0" w:line="240" w:lineRule="auto"/>
        <w:jc w:val="both"/>
        <w:rPr>
          <w:rFonts w:ascii="Times New Roman" w:eastAsia="Times New Roman" w:hAnsi="Times New Roman" w:cs="Times New Roman"/>
          <w:sz w:val="24"/>
          <w:szCs w:val="24"/>
          <w:lang w:val="es-ES" w:eastAsia="es-ES"/>
        </w:rPr>
      </w:pPr>
      <w:r>
        <w:rPr>
          <w:rFonts w:ascii="Calibri" w:eastAsia="Times New Roman" w:hAnsi="Calibri" w:cs="Times New Roman"/>
          <w:i/>
          <w:iCs/>
          <w:noProof/>
          <w:color w:val="000000"/>
          <w:lang w:val="es-ES_tradnl" w:eastAsia="es-ES_tradnl"/>
        </w:rPr>
        <w:drawing>
          <wp:inline distT="0" distB="0" distL="0" distR="0">
            <wp:extent cx="6315075" cy="2247900"/>
            <wp:effectExtent l="19050" t="0" r="9525" b="0"/>
            <wp:docPr id="3" name="Imagen 3" descr="https://lh5.googleusercontent.com/_2RD5tIltpRkyjelnOB_w7Xva3NRFfKiKJbkf8WMvHhZl9jNsQPy2zB_hGeoqcgQ0hSd6c8i3Q-0CRTkmUm-FyFmDeFn0s72GiqJxjPUa_lC1Tnro61Yj4cauZT6kiGaHmK1NjmPDDryh665f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_2RD5tIltpRkyjelnOB_w7Xva3NRFfKiKJbkf8WMvHhZl9jNsQPy2zB_hGeoqcgQ0hSd6c8i3Q-0CRTkmUm-FyFmDeFn0s72GiqJxjPUa_lC1Tnro61Yj4cauZT6kiGaHmK1NjmPDDryh665fw"/>
                    <pic:cNvPicPr>
                      <a:picLocks noChangeAspect="1" noChangeArrowheads="1"/>
                    </pic:cNvPicPr>
                  </pic:nvPicPr>
                  <pic:blipFill>
                    <a:blip r:embed="rId11" cstate="print"/>
                    <a:srcRect/>
                    <a:stretch>
                      <a:fillRect/>
                    </a:stretch>
                  </pic:blipFill>
                  <pic:spPr bwMode="auto">
                    <a:xfrm>
                      <a:off x="0" y="0"/>
                      <a:ext cx="6315075" cy="2247900"/>
                    </a:xfrm>
                    <a:prstGeom prst="rect">
                      <a:avLst/>
                    </a:prstGeom>
                    <a:noFill/>
                    <a:ln w="9525">
                      <a:noFill/>
                      <a:miter lim="800000"/>
                      <a:headEnd/>
                      <a:tailEnd/>
                    </a:ln>
                  </pic:spPr>
                </pic:pic>
              </a:graphicData>
            </a:graphic>
          </wp:inline>
        </w:drawing>
      </w:r>
    </w:p>
    <w:p w:rsidR="00656616" w:rsidRPr="00656616" w:rsidRDefault="00656616" w:rsidP="00656616">
      <w:pPr>
        <w:spacing w:after="0" w:line="240" w:lineRule="auto"/>
        <w:jc w:val="both"/>
        <w:rPr>
          <w:rFonts w:ascii="Times New Roman" w:eastAsia="Times New Roman" w:hAnsi="Times New Roman" w:cs="Times New Roman"/>
          <w:sz w:val="24"/>
          <w:szCs w:val="24"/>
          <w:lang w:val="es-ES" w:eastAsia="es-ES"/>
        </w:rPr>
      </w:pPr>
      <w:r w:rsidRPr="00656616">
        <w:rPr>
          <w:rFonts w:ascii="Calibri" w:eastAsia="Times New Roman" w:hAnsi="Calibri" w:cs="Times New Roman"/>
          <w:iCs/>
          <w:color w:val="000000"/>
          <w:u w:val="single"/>
          <w:lang w:val="es-ES" w:eastAsia="es-ES"/>
        </w:rPr>
        <w:t>Fuente</w:t>
      </w:r>
      <w:r w:rsidRPr="00656616">
        <w:rPr>
          <w:rFonts w:ascii="Calibri" w:eastAsia="Times New Roman" w:hAnsi="Calibri" w:cs="Times New Roman"/>
          <w:iCs/>
          <w:color w:val="000000"/>
          <w:lang w:val="es-ES" w:eastAsia="es-ES"/>
        </w:rPr>
        <w:t>: Elaboración MNP a partir los partes diarios remitidos por el MJ. Dato de diciembre de 2016.</w:t>
      </w:r>
    </w:p>
    <w:p w:rsidR="00656616" w:rsidRPr="00656616" w:rsidRDefault="00656616" w:rsidP="004A0754">
      <w:pPr>
        <w:spacing w:after="0" w:line="240" w:lineRule="auto"/>
        <w:jc w:val="both"/>
      </w:pPr>
    </w:p>
    <w:p w:rsidR="000D2C98" w:rsidRDefault="000D2C98" w:rsidP="000D2C98">
      <w:pPr>
        <w:spacing w:after="0" w:line="240" w:lineRule="auto"/>
        <w:jc w:val="both"/>
      </w:pPr>
      <w:r>
        <w:t>Para diciembre de 2016, la población penitenciaria masculina en el Estado parte alcanzaba los 12.370 adultos y 307 adolescentes. La población femenina alcanzaba las 827 mujeres en el sistema penitenciario de adultos y doce mujeres privadas de libertad en el sistema correccional de adolescentes infractores</w:t>
      </w:r>
      <w:r>
        <w:rPr>
          <w:rStyle w:val="FootnoteReference"/>
        </w:rPr>
        <w:footnoteReference w:id="10"/>
      </w:r>
      <w:r>
        <w:t>. Los niveles de hacinamiento o sobrepoblación crítica en el sistema penitenciario del Estado parte alcanza niveles inaceptables conforme a los estándares de derechos humanos. Los establecimientos femeninos tienen una ocupación en general del 186% y los masculinos del 189%, tomando en cuenta la capacidad de albergue o aforo declarado por el Ministerio de Justicia de la República del Paraguay.</w:t>
      </w:r>
    </w:p>
    <w:p w:rsidR="000D2C98" w:rsidRDefault="000D2C98" w:rsidP="000D2C98">
      <w:pPr>
        <w:spacing w:after="0" w:line="240" w:lineRule="auto"/>
        <w:jc w:val="both"/>
      </w:pPr>
    </w:p>
    <w:p w:rsidR="000D2C98" w:rsidRDefault="000D2C98" w:rsidP="000D2C98">
      <w:pPr>
        <w:spacing w:after="0" w:line="240" w:lineRule="auto"/>
        <w:jc w:val="both"/>
      </w:pPr>
      <w:r>
        <w:t>Los hombres se encuentran en 21 centros penitenciarios distribuidos en el territorio del Estado parte. Quince de estos establecimientos son penales exclusivamente para hombres, en los demás, existen sectores ocupados por mujeres. De los establecimientos masculinos, siete son Centros Educativos (CE) para adolescentes infractores.</w:t>
      </w:r>
    </w:p>
    <w:p w:rsidR="000D2C98" w:rsidRDefault="000D2C98" w:rsidP="000D2C98">
      <w:pPr>
        <w:spacing w:after="0" w:line="240" w:lineRule="auto"/>
        <w:jc w:val="both"/>
      </w:pPr>
    </w:p>
    <w:p w:rsidR="000D2C98" w:rsidRPr="0092538E" w:rsidRDefault="000D2C98" w:rsidP="000D2C98">
      <w:pPr>
        <w:spacing w:after="0" w:line="240" w:lineRule="auto"/>
        <w:jc w:val="both"/>
        <w:rPr>
          <w:b/>
        </w:rPr>
      </w:pPr>
      <w:r w:rsidRPr="0092538E">
        <w:rPr>
          <w:b/>
        </w:rPr>
        <w:t>CUADRO</w:t>
      </w:r>
    </w:p>
    <w:p w:rsidR="000D2C98" w:rsidRDefault="000D2C98" w:rsidP="000D2C98">
      <w:pPr>
        <w:spacing w:after="0" w:line="240" w:lineRule="auto"/>
        <w:jc w:val="both"/>
        <w:rPr>
          <w:b/>
        </w:rPr>
      </w:pPr>
      <w:r>
        <w:rPr>
          <w:b/>
        </w:rPr>
        <w:t xml:space="preserve">Ocupación del sistema </w:t>
      </w:r>
      <w:r w:rsidRPr="0092538E">
        <w:rPr>
          <w:b/>
        </w:rPr>
        <w:t>penitenciario</w:t>
      </w:r>
      <w:r>
        <w:rPr>
          <w:b/>
        </w:rPr>
        <w:t xml:space="preserve"> paraguayo</w:t>
      </w:r>
    </w:p>
    <w:p w:rsidR="000D2C98" w:rsidRPr="0092538E" w:rsidRDefault="000D2C98" w:rsidP="000D2C98">
      <w:pPr>
        <w:spacing w:after="0" w:line="240" w:lineRule="auto"/>
        <w:jc w:val="both"/>
        <w:rPr>
          <w:b/>
        </w:rPr>
      </w:pPr>
      <w:r w:rsidRPr="0092538E">
        <w:rPr>
          <w:b/>
        </w:rPr>
        <w:lastRenderedPageBreak/>
        <w:t>Años 2016</w:t>
      </w:r>
      <w:r>
        <w:rPr>
          <w:b/>
        </w:rPr>
        <w:t xml:space="preserve"> (Por establecimiento penitenciario, hombres)</w:t>
      </w:r>
    </w:p>
    <w:tbl>
      <w:tblPr>
        <w:tblStyle w:val="TableGrid"/>
        <w:tblW w:w="0" w:type="auto"/>
        <w:tblLook w:val="04A0" w:firstRow="1" w:lastRow="0" w:firstColumn="1" w:lastColumn="0" w:noHBand="0" w:noVBand="1"/>
      </w:tblPr>
      <w:tblGrid>
        <w:gridCol w:w="2327"/>
        <w:gridCol w:w="1368"/>
        <w:gridCol w:w="1417"/>
        <w:gridCol w:w="1587"/>
        <w:gridCol w:w="2355"/>
      </w:tblGrid>
      <w:tr w:rsidR="000D2C98" w:rsidRPr="00905710" w:rsidTr="00176492">
        <w:tc>
          <w:tcPr>
            <w:tcW w:w="2327" w:type="dxa"/>
            <w:vMerge w:val="restart"/>
            <w:vAlign w:val="center"/>
          </w:tcPr>
          <w:p w:rsidR="000D2C98" w:rsidRPr="00905710" w:rsidRDefault="000D2C98" w:rsidP="00176492">
            <w:pPr>
              <w:jc w:val="center"/>
              <w:rPr>
                <w:b/>
              </w:rPr>
            </w:pPr>
            <w:r w:rsidRPr="00905710">
              <w:rPr>
                <w:b/>
              </w:rPr>
              <w:t>Establecimiento</w:t>
            </w:r>
          </w:p>
        </w:tc>
        <w:tc>
          <w:tcPr>
            <w:tcW w:w="2785" w:type="dxa"/>
            <w:gridSpan w:val="2"/>
            <w:vAlign w:val="center"/>
          </w:tcPr>
          <w:p w:rsidR="000D2C98" w:rsidRPr="00905710" w:rsidRDefault="000D2C98" w:rsidP="00176492">
            <w:pPr>
              <w:jc w:val="center"/>
              <w:rPr>
                <w:b/>
              </w:rPr>
            </w:pPr>
            <w:r w:rsidRPr="00905710">
              <w:rPr>
                <w:b/>
              </w:rPr>
              <w:t>Población</w:t>
            </w:r>
          </w:p>
        </w:tc>
        <w:tc>
          <w:tcPr>
            <w:tcW w:w="1587" w:type="dxa"/>
            <w:vMerge w:val="restart"/>
          </w:tcPr>
          <w:p w:rsidR="000D2C98" w:rsidRPr="00905710" w:rsidRDefault="000D2C98" w:rsidP="00176492">
            <w:pPr>
              <w:jc w:val="center"/>
              <w:rPr>
                <w:b/>
              </w:rPr>
            </w:pPr>
            <w:r>
              <w:rPr>
                <w:b/>
              </w:rPr>
              <w:t>Aforo máximo según MJ</w:t>
            </w:r>
          </w:p>
        </w:tc>
        <w:tc>
          <w:tcPr>
            <w:tcW w:w="2355" w:type="dxa"/>
            <w:vMerge w:val="restart"/>
            <w:vAlign w:val="center"/>
          </w:tcPr>
          <w:p w:rsidR="000D2C98" w:rsidRPr="00905710" w:rsidRDefault="000D2C98" w:rsidP="00176492">
            <w:pPr>
              <w:jc w:val="center"/>
              <w:rPr>
                <w:b/>
              </w:rPr>
            </w:pPr>
            <w:r w:rsidRPr="00905710">
              <w:rPr>
                <w:b/>
              </w:rPr>
              <w:t>Características</w:t>
            </w:r>
          </w:p>
        </w:tc>
      </w:tr>
      <w:tr w:rsidR="000D2C98" w:rsidRPr="00905710" w:rsidTr="00176492">
        <w:tc>
          <w:tcPr>
            <w:tcW w:w="2327" w:type="dxa"/>
            <w:vMerge/>
            <w:vAlign w:val="center"/>
          </w:tcPr>
          <w:p w:rsidR="000D2C98" w:rsidRPr="00905710" w:rsidRDefault="000D2C98" w:rsidP="00176492">
            <w:pPr>
              <w:jc w:val="center"/>
              <w:rPr>
                <w:b/>
              </w:rPr>
            </w:pPr>
          </w:p>
        </w:tc>
        <w:tc>
          <w:tcPr>
            <w:tcW w:w="1368" w:type="dxa"/>
            <w:vAlign w:val="center"/>
          </w:tcPr>
          <w:p w:rsidR="000D2C98" w:rsidRPr="00905710" w:rsidRDefault="000D2C98" w:rsidP="00176492">
            <w:pPr>
              <w:jc w:val="center"/>
              <w:rPr>
                <w:b/>
              </w:rPr>
            </w:pPr>
            <w:r>
              <w:rPr>
                <w:b/>
              </w:rPr>
              <w:t>Procesados</w:t>
            </w:r>
          </w:p>
        </w:tc>
        <w:tc>
          <w:tcPr>
            <w:tcW w:w="1417" w:type="dxa"/>
            <w:vAlign w:val="center"/>
          </w:tcPr>
          <w:p w:rsidR="000D2C98" w:rsidRPr="00905710" w:rsidRDefault="000D2C98" w:rsidP="00176492">
            <w:pPr>
              <w:jc w:val="center"/>
              <w:rPr>
                <w:b/>
              </w:rPr>
            </w:pPr>
            <w:r>
              <w:rPr>
                <w:b/>
              </w:rPr>
              <w:t>Condenados</w:t>
            </w:r>
          </w:p>
        </w:tc>
        <w:tc>
          <w:tcPr>
            <w:tcW w:w="1587" w:type="dxa"/>
            <w:vMerge/>
          </w:tcPr>
          <w:p w:rsidR="000D2C98" w:rsidRPr="00905710" w:rsidRDefault="000D2C98" w:rsidP="00176492">
            <w:pPr>
              <w:jc w:val="center"/>
              <w:rPr>
                <w:b/>
              </w:rPr>
            </w:pPr>
          </w:p>
        </w:tc>
        <w:tc>
          <w:tcPr>
            <w:tcW w:w="2355" w:type="dxa"/>
            <w:vMerge/>
            <w:vAlign w:val="center"/>
          </w:tcPr>
          <w:p w:rsidR="000D2C98" w:rsidRPr="00905710" w:rsidRDefault="000D2C98" w:rsidP="00176492">
            <w:pPr>
              <w:jc w:val="center"/>
              <w:rPr>
                <w:b/>
              </w:rPr>
            </w:pPr>
          </w:p>
        </w:tc>
      </w:tr>
      <w:tr w:rsidR="000D2C98" w:rsidTr="00176492">
        <w:tc>
          <w:tcPr>
            <w:tcW w:w="2327" w:type="dxa"/>
          </w:tcPr>
          <w:p w:rsidR="000D2C98" w:rsidRDefault="000D2C98" w:rsidP="00176492">
            <w:pPr>
              <w:jc w:val="both"/>
            </w:pPr>
            <w:r>
              <w:t xml:space="preserve">Penitenciaría Nacional de </w:t>
            </w:r>
            <w:proofErr w:type="spellStart"/>
            <w:r>
              <w:t>Tacumbú</w:t>
            </w:r>
            <w:proofErr w:type="spellEnd"/>
          </w:p>
        </w:tc>
        <w:tc>
          <w:tcPr>
            <w:tcW w:w="1368" w:type="dxa"/>
            <w:vAlign w:val="center"/>
          </w:tcPr>
          <w:p w:rsidR="000D2C98" w:rsidRPr="00AF072F" w:rsidRDefault="000D2C98" w:rsidP="00176492">
            <w:pPr>
              <w:jc w:val="center"/>
            </w:pPr>
            <w:r>
              <w:t>2.</w:t>
            </w:r>
            <w:r w:rsidRPr="00AF072F">
              <w:t>723</w:t>
            </w:r>
          </w:p>
        </w:tc>
        <w:tc>
          <w:tcPr>
            <w:tcW w:w="1417" w:type="dxa"/>
            <w:vAlign w:val="center"/>
          </w:tcPr>
          <w:p w:rsidR="000D2C98" w:rsidRPr="00AF072F" w:rsidRDefault="000D2C98" w:rsidP="00176492">
            <w:pPr>
              <w:jc w:val="center"/>
            </w:pPr>
            <w:r w:rsidRPr="00AF072F">
              <w:t>890</w:t>
            </w:r>
          </w:p>
        </w:tc>
        <w:tc>
          <w:tcPr>
            <w:tcW w:w="1587" w:type="dxa"/>
            <w:vAlign w:val="center"/>
          </w:tcPr>
          <w:p w:rsidR="000D2C98" w:rsidRPr="00AF072F" w:rsidRDefault="000D2C98" w:rsidP="00176492">
            <w:pPr>
              <w:jc w:val="center"/>
            </w:pPr>
            <w:r>
              <w:t>1.</w:t>
            </w:r>
            <w:r w:rsidRPr="00AF072F">
              <w:t>687</w:t>
            </w:r>
          </w:p>
        </w:tc>
        <w:tc>
          <w:tcPr>
            <w:tcW w:w="2355" w:type="dxa"/>
            <w:vMerge w:val="restart"/>
            <w:vAlign w:val="center"/>
          </w:tcPr>
          <w:p w:rsidR="000D2C98" w:rsidRDefault="000D2C98" w:rsidP="00176492">
            <w:r>
              <w:t>Establecimientos cerrados de seguridad mediana, para hombres adultos.</w:t>
            </w:r>
          </w:p>
          <w:p w:rsidR="000D2C98" w:rsidRDefault="000D2C98" w:rsidP="00176492">
            <w:r>
              <w:t>Exclusivo para hombres.</w:t>
            </w:r>
          </w:p>
        </w:tc>
      </w:tr>
      <w:tr w:rsidR="000D2C98" w:rsidTr="00176492">
        <w:tc>
          <w:tcPr>
            <w:tcW w:w="2327" w:type="dxa"/>
          </w:tcPr>
          <w:p w:rsidR="000D2C98" w:rsidRDefault="000D2C98" w:rsidP="00176492">
            <w:pPr>
              <w:jc w:val="both"/>
            </w:pPr>
            <w:r>
              <w:t>Penitenciaría Regional Antigua Emboscada</w:t>
            </w:r>
          </w:p>
        </w:tc>
        <w:tc>
          <w:tcPr>
            <w:tcW w:w="1368" w:type="dxa"/>
            <w:vAlign w:val="center"/>
          </w:tcPr>
          <w:p w:rsidR="000D2C98" w:rsidRPr="00AF072F" w:rsidRDefault="000D2C98" w:rsidP="00176492">
            <w:pPr>
              <w:jc w:val="center"/>
            </w:pPr>
            <w:r w:rsidRPr="00AF072F">
              <w:t>982</w:t>
            </w:r>
          </w:p>
        </w:tc>
        <w:tc>
          <w:tcPr>
            <w:tcW w:w="1417" w:type="dxa"/>
            <w:vAlign w:val="center"/>
          </w:tcPr>
          <w:p w:rsidR="000D2C98" w:rsidRPr="00AF072F" w:rsidRDefault="000D2C98" w:rsidP="00176492">
            <w:pPr>
              <w:jc w:val="center"/>
            </w:pPr>
            <w:r w:rsidRPr="00AF072F">
              <w:t>143</w:t>
            </w:r>
          </w:p>
        </w:tc>
        <w:tc>
          <w:tcPr>
            <w:tcW w:w="1587" w:type="dxa"/>
            <w:vAlign w:val="center"/>
          </w:tcPr>
          <w:p w:rsidR="000D2C98" w:rsidRPr="00AF072F" w:rsidRDefault="000D2C98" w:rsidP="00176492">
            <w:pPr>
              <w:jc w:val="center"/>
            </w:pPr>
            <w:r w:rsidRPr="00AF072F">
              <w:t>315</w:t>
            </w:r>
          </w:p>
        </w:tc>
        <w:tc>
          <w:tcPr>
            <w:tcW w:w="2355" w:type="dxa"/>
            <w:vMerge/>
            <w:vAlign w:val="center"/>
          </w:tcPr>
          <w:p w:rsidR="000D2C98" w:rsidRDefault="000D2C98" w:rsidP="00176492"/>
        </w:tc>
      </w:tr>
      <w:tr w:rsidR="000D2C98" w:rsidTr="00176492">
        <w:tc>
          <w:tcPr>
            <w:tcW w:w="2327" w:type="dxa"/>
          </w:tcPr>
          <w:p w:rsidR="000D2C98" w:rsidRDefault="000D2C98" w:rsidP="00176492">
            <w:pPr>
              <w:jc w:val="both"/>
            </w:pPr>
            <w:r>
              <w:t>Penitenciaría Regional Padre Juan Antonio de la Vega</w:t>
            </w:r>
          </w:p>
        </w:tc>
        <w:tc>
          <w:tcPr>
            <w:tcW w:w="1368" w:type="dxa"/>
            <w:vAlign w:val="center"/>
          </w:tcPr>
          <w:p w:rsidR="000D2C98" w:rsidRPr="00AF072F" w:rsidRDefault="000D2C98" w:rsidP="00176492">
            <w:pPr>
              <w:jc w:val="center"/>
            </w:pPr>
            <w:r w:rsidRPr="00AF072F">
              <w:t>709</w:t>
            </w:r>
          </w:p>
        </w:tc>
        <w:tc>
          <w:tcPr>
            <w:tcW w:w="1417" w:type="dxa"/>
            <w:vAlign w:val="center"/>
          </w:tcPr>
          <w:p w:rsidR="000D2C98" w:rsidRPr="00AF072F" w:rsidRDefault="000D2C98" w:rsidP="00176492">
            <w:pPr>
              <w:jc w:val="center"/>
            </w:pPr>
            <w:r w:rsidRPr="00AF072F">
              <w:t>163</w:t>
            </w:r>
          </w:p>
        </w:tc>
        <w:tc>
          <w:tcPr>
            <w:tcW w:w="1587" w:type="dxa"/>
            <w:vAlign w:val="center"/>
          </w:tcPr>
          <w:p w:rsidR="000D2C98" w:rsidRPr="00AF072F" w:rsidRDefault="000D2C98" w:rsidP="00176492">
            <w:pPr>
              <w:jc w:val="center"/>
            </w:pPr>
            <w:r w:rsidRPr="00AF072F">
              <w:t>540</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Penitenciaría Regional de Coronel Oviedo</w:t>
            </w:r>
          </w:p>
        </w:tc>
        <w:tc>
          <w:tcPr>
            <w:tcW w:w="1368" w:type="dxa"/>
            <w:vAlign w:val="center"/>
          </w:tcPr>
          <w:p w:rsidR="000D2C98" w:rsidRPr="00AF072F" w:rsidRDefault="000D2C98" w:rsidP="00176492">
            <w:pPr>
              <w:jc w:val="center"/>
            </w:pPr>
            <w:r>
              <w:t>1.</w:t>
            </w:r>
            <w:r w:rsidRPr="00AF072F">
              <w:t>098</w:t>
            </w:r>
          </w:p>
        </w:tc>
        <w:tc>
          <w:tcPr>
            <w:tcW w:w="1417" w:type="dxa"/>
            <w:vAlign w:val="center"/>
          </w:tcPr>
          <w:p w:rsidR="000D2C98" w:rsidRPr="00AF072F" w:rsidRDefault="000D2C98" w:rsidP="00176492">
            <w:pPr>
              <w:jc w:val="center"/>
            </w:pPr>
            <w:r w:rsidRPr="00AF072F">
              <w:t>111</w:t>
            </w:r>
          </w:p>
        </w:tc>
        <w:tc>
          <w:tcPr>
            <w:tcW w:w="1587" w:type="dxa"/>
            <w:vAlign w:val="center"/>
          </w:tcPr>
          <w:p w:rsidR="000D2C98" w:rsidRPr="00AF072F" w:rsidRDefault="000D2C98" w:rsidP="00176492">
            <w:pPr>
              <w:jc w:val="center"/>
            </w:pPr>
            <w:r w:rsidRPr="00AF072F">
              <w:t>596</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Penitenciaría Regional de Ciudad del Este</w:t>
            </w:r>
          </w:p>
        </w:tc>
        <w:tc>
          <w:tcPr>
            <w:tcW w:w="1368" w:type="dxa"/>
            <w:vAlign w:val="center"/>
          </w:tcPr>
          <w:p w:rsidR="000D2C98" w:rsidRPr="00AF072F" w:rsidRDefault="000D2C98" w:rsidP="00176492">
            <w:pPr>
              <w:jc w:val="center"/>
            </w:pPr>
            <w:r>
              <w:t>1.</w:t>
            </w:r>
            <w:r w:rsidRPr="00AF072F">
              <w:t>066</w:t>
            </w:r>
          </w:p>
        </w:tc>
        <w:tc>
          <w:tcPr>
            <w:tcW w:w="1417" w:type="dxa"/>
            <w:vAlign w:val="center"/>
          </w:tcPr>
          <w:p w:rsidR="000D2C98" w:rsidRPr="00AF072F" w:rsidRDefault="000D2C98" w:rsidP="00176492">
            <w:pPr>
              <w:jc w:val="center"/>
            </w:pPr>
            <w:r w:rsidRPr="00AF072F">
              <w:t>202</w:t>
            </w:r>
          </w:p>
        </w:tc>
        <w:tc>
          <w:tcPr>
            <w:tcW w:w="1587" w:type="dxa"/>
            <w:vAlign w:val="center"/>
          </w:tcPr>
          <w:p w:rsidR="000D2C98" w:rsidRPr="00AF072F" w:rsidRDefault="000D2C98" w:rsidP="00176492">
            <w:pPr>
              <w:jc w:val="center"/>
            </w:pPr>
            <w:r w:rsidRPr="00AF072F">
              <w:t>450</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Centro de Rehabilitación Social (CERESO). Penitenciaría Regional de Itapúa</w:t>
            </w:r>
          </w:p>
        </w:tc>
        <w:tc>
          <w:tcPr>
            <w:tcW w:w="1368" w:type="dxa"/>
            <w:vAlign w:val="center"/>
          </w:tcPr>
          <w:p w:rsidR="000D2C98" w:rsidRPr="00AF072F" w:rsidRDefault="000D2C98" w:rsidP="00176492">
            <w:pPr>
              <w:jc w:val="center"/>
            </w:pPr>
            <w:r w:rsidRPr="00AF072F">
              <w:t>622</w:t>
            </w:r>
          </w:p>
        </w:tc>
        <w:tc>
          <w:tcPr>
            <w:tcW w:w="1417" w:type="dxa"/>
            <w:vAlign w:val="center"/>
          </w:tcPr>
          <w:p w:rsidR="000D2C98" w:rsidRPr="00AF072F" w:rsidRDefault="000D2C98" w:rsidP="00176492">
            <w:pPr>
              <w:jc w:val="center"/>
            </w:pPr>
            <w:r w:rsidRPr="00AF072F">
              <w:t>334</w:t>
            </w:r>
          </w:p>
        </w:tc>
        <w:tc>
          <w:tcPr>
            <w:tcW w:w="1587" w:type="dxa"/>
            <w:vAlign w:val="center"/>
          </w:tcPr>
          <w:p w:rsidR="000D2C98" w:rsidRPr="00AF072F" w:rsidRDefault="000D2C98" w:rsidP="00176492">
            <w:pPr>
              <w:jc w:val="center"/>
            </w:pPr>
            <w:r w:rsidRPr="00AF072F">
              <w:t>642</w:t>
            </w:r>
          </w:p>
        </w:tc>
        <w:tc>
          <w:tcPr>
            <w:tcW w:w="2355" w:type="dxa"/>
            <w:vMerge w:val="restart"/>
            <w:vAlign w:val="center"/>
          </w:tcPr>
          <w:p w:rsidR="000D2C98" w:rsidRDefault="000D2C98" w:rsidP="00176492">
            <w:r>
              <w:t>Establecimientos cerrados de seguridad mediana.</w:t>
            </w:r>
          </w:p>
          <w:p w:rsidR="000D2C98" w:rsidRDefault="000D2C98" w:rsidP="00176492">
            <w:r>
              <w:t>Mixtos para hombres y mujeres.</w:t>
            </w:r>
          </w:p>
        </w:tc>
      </w:tr>
      <w:tr w:rsidR="000D2C98" w:rsidTr="00176492">
        <w:tc>
          <w:tcPr>
            <w:tcW w:w="2327" w:type="dxa"/>
          </w:tcPr>
          <w:p w:rsidR="000D2C98" w:rsidRDefault="000D2C98" w:rsidP="00176492">
            <w:pPr>
              <w:jc w:val="both"/>
            </w:pPr>
            <w:r>
              <w:t>Penitenciaría Regional de Misiones</w:t>
            </w:r>
          </w:p>
        </w:tc>
        <w:tc>
          <w:tcPr>
            <w:tcW w:w="1368" w:type="dxa"/>
            <w:vAlign w:val="center"/>
          </w:tcPr>
          <w:p w:rsidR="000D2C98" w:rsidRPr="00AF072F" w:rsidRDefault="000D2C98" w:rsidP="00176492">
            <w:pPr>
              <w:jc w:val="center"/>
            </w:pPr>
            <w:r w:rsidRPr="00AF072F">
              <w:t>588</w:t>
            </w:r>
          </w:p>
        </w:tc>
        <w:tc>
          <w:tcPr>
            <w:tcW w:w="1417" w:type="dxa"/>
            <w:vAlign w:val="center"/>
          </w:tcPr>
          <w:p w:rsidR="000D2C98" w:rsidRPr="00AF072F" w:rsidRDefault="000D2C98" w:rsidP="00176492">
            <w:pPr>
              <w:jc w:val="center"/>
            </w:pPr>
            <w:r w:rsidRPr="00AF072F">
              <w:t>140</w:t>
            </w:r>
          </w:p>
        </w:tc>
        <w:tc>
          <w:tcPr>
            <w:tcW w:w="1587" w:type="dxa"/>
            <w:vAlign w:val="center"/>
          </w:tcPr>
          <w:p w:rsidR="000D2C98" w:rsidRPr="00AF072F" w:rsidRDefault="000D2C98" w:rsidP="00176492">
            <w:pPr>
              <w:jc w:val="center"/>
            </w:pPr>
            <w:r w:rsidRPr="00AF072F">
              <w:t>445</w:t>
            </w:r>
          </w:p>
        </w:tc>
        <w:tc>
          <w:tcPr>
            <w:tcW w:w="2355" w:type="dxa"/>
            <w:vMerge/>
            <w:vAlign w:val="center"/>
          </w:tcPr>
          <w:p w:rsidR="000D2C98" w:rsidRDefault="000D2C98" w:rsidP="00176492"/>
        </w:tc>
      </w:tr>
      <w:tr w:rsidR="000D2C98" w:rsidTr="00176492">
        <w:tc>
          <w:tcPr>
            <w:tcW w:w="2327" w:type="dxa"/>
          </w:tcPr>
          <w:p w:rsidR="000D2C98" w:rsidRDefault="000D2C98" w:rsidP="00176492">
            <w:pPr>
              <w:jc w:val="both"/>
            </w:pPr>
            <w:r>
              <w:t>Penitenciaría Regional de Concepción</w:t>
            </w:r>
          </w:p>
        </w:tc>
        <w:tc>
          <w:tcPr>
            <w:tcW w:w="1368" w:type="dxa"/>
            <w:vAlign w:val="center"/>
          </w:tcPr>
          <w:p w:rsidR="000D2C98" w:rsidRPr="00AF072F" w:rsidRDefault="000D2C98" w:rsidP="00176492">
            <w:pPr>
              <w:jc w:val="center"/>
            </w:pPr>
            <w:r w:rsidRPr="00AF072F">
              <w:t>396</w:t>
            </w:r>
          </w:p>
        </w:tc>
        <w:tc>
          <w:tcPr>
            <w:tcW w:w="1417" w:type="dxa"/>
            <w:vAlign w:val="center"/>
          </w:tcPr>
          <w:p w:rsidR="000D2C98" w:rsidRPr="00AF072F" w:rsidRDefault="000D2C98" w:rsidP="00176492">
            <w:pPr>
              <w:jc w:val="center"/>
            </w:pPr>
            <w:r w:rsidRPr="00AF072F">
              <w:t>235</w:t>
            </w:r>
          </w:p>
        </w:tc>
        <w:tc>
          <w:tcPr>
            <w:tcW w:w="1587" w:type="dxa"/>
            <w:vAlign w:val="center"/>
          </w:tcPr>
          <w:p w:rsidR="000D2C98" w:rsidRPr="00AF072F" w:rsidRDefault="000D2C98" w:rsidP="00176492">
            <w:pPr>
              <w:jc w:val="center"/>
            </w:pPr>
            <w:r w:rsidRPr="00AF072F">
              <w:t>420</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Penitenciaría Regional de San Pedro</w:t>
            </w:r>
          </w:p>
        </w:tc>
        <w:tc>
          <w:tcPr>
            <w:tcW w:w="1368" w:type="dxa"/>
            <w:vAlign w:val="center"/>
          </w:tcPr>
          <w:p w:rsidR="000D2C98" w:rsidRPr="00AF072F" w:rsidRDefault="000D2C98" w:rsidP="00176492">
            <w:pPr>
              <w:jc w:val="center"/>
            </w:pPr>
            <w:r w:rsidRPr="00AF072F">
              <w:t>328</w:t>
            </w:r>
          </w:p>
        </w:tc>
        <w:tc>
          <w:tcPr>
            <w:tcW w:w="1417" w:type="dxa"/>
            <w:vAlign w:val="center"/>
          </w:tcPr>
          <w:p w:rsidR="000D2C98" w:rsidRPr="00AF072F" w:rsidRDefault="000D2C98" w:rsidP="00176492">
            <w:pPr>
              <w:jc w:val="center"/>
            </w:pPr>
            <w:r w:rsidRPr="00AF072F">
              <w:t>166</w:t>
            </w:r>
          </w:p>
        </w:tc>
        <w:tc>
          <w:tcPr>
            <w:tcW w:w="1587" w:type="dxa"/>
            <w:vAlign w:val="center"/>
          </w:tcPr>
          <w:p w:rsidR="000D2C98" w:rsidRPr="00AF072F" w:rsidRDefault="000D2C98" w:rsidP="00176492">
            <w:pPr>
              <w:jc w:val="center"/>
            </w:pPr>
            <w:r w:rsidRPr="00AF072F">
              <w:t>281</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Penitenciaría Regional de Villarrica</w:t>
            </w:r>
          </w:p>
        </w:tc>
        <w:tc>
          <w:tcPr>
            <w:tcW w:w="1368" w:type="dxa"/>
            <w:vAlign w:val="center"/>
          </w:tcPr>
          <w:p w:rsidR="000D2C98" w:rsidRPr="00AF072F" w:rsidRDefault="000D2C98" w:rsidP="00176492">
            <w:pPr>
              <w:jc w:val="center"/>
            </w:pPr>
            <w:r w:rsidRPr="00AF072F">
              <w:t>335</w:t>
            </w:r>
          </w:p>
        </w:tc>
        <w:tc>
          <w:tcPr>
            <w:tcW w:w="1417" w:type="dxa"/>
            <w:vAlign w:val="center"/>
          </w:tcPr>
          <w:p w:rsidR="000D2C98" w:rsidRPr="00AF072F" w:rsidRDefault="000D2C98" w:rsidP="00176492">
            <w:pPr>
              <w:jc w:val="center"/>
            </w:pPr>
            <w:r w:rsidRPr="00AF072F">
              <w:t>97</w:t>
            </w:r>
          </w:p>
        </w:tc>
        <w:tc>
          <w:tcPr>
            <w:tcW w:w="1587" w:type="dxa"/>
            <w:vAlign w:val="center"/>
          </w:tcPr>
          <w:p w:rsidR="000D2C98" w:rsidRPr="00AF072F" w:rsidRDefault="000D2C98" w:rsidP="00176492">
            <w:pPr>
              <w:jc w:val="center"/>
            </w:pPr>
            <w:r w:rsidRPr="00AF072F">
              <w:t>188</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Penitenciaría Regional de Pedro Juan Caballero</w:t>
            </w:r>
          </w:p>
        </w:tc>
        <w:tc>
          <w:tcPr>
            <w:tcW w:w="1368" w:type="dxa"/>
            <w:vAlign w:val="center"/>
          </w:tcPr>
          <w:p w:rsidR="000D2C98" w:rsidRPr="00AF072F" w:rsidRDefault="000D2C98" w:rsidP="00176492">
            <w:pPr>
              <w:jc w:val="center"/>
            </w:pPr>
            <w:r w:rsidRPr="00AF072F">
              <w:t>594</w:t>
            </w:r>
          </w:p>
        </w:tc>
        <w:tc>
          <w:tcPr>
            <w:tcW w:w="1417" w:type="dxa"/>
            <w:vAlign w:val="center"/>
          </w:tcPr>
          <w:p w:rsidR="000D2C98" w:rsidRPr="00AF072F" w:rsidRDefault="000D2C98" w:rsidP="00176492">
            <w:pPr>
              <w:jc w:val="center"/>
            </w:pPr>
            <w:r w:rsidRPr="00AF072F">
              <w:t>149</w:t>
            </w:r>
          </w:p>
        </w:tc>
        <w:tc>
          <w:tcPr>
            <w:tcW w:w="1587" w:type="dxa"/>
            <w:vAlign w:val="center"/>
          </w:tcPr>
          <w:p w:rsidR="000D2C98" w:rsidRPr="00AF072F" w:rsidRDefault="000D2C98" w:rsidP="00176492">
            <w:pPr>
              <w:jc w:val="center"/>
            </w:pPr>
            <w:r w:rsidRPr="00AF072F">
              <w:t>516</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Unidad Industrial La Esperanza</w:t>
            </w:r>
          </w:p>
        </w:tc>
        <w:tc>
          <w:tcPr>
            <w:tcW w:w="1368" w:type="dxa"/>
            <w:vAlign w:val="center"/>
          </w:tcPr>
          <w:p w:rsidR="000D2C98" w:rsidRPr="00AF072F" w:rsidRDefault="000D2C98" w:rsidP="00176492">
            <w:pPr>
              <w:jc w:val="center"/>
            </w:pPr>
            <w:r w:rsidRPr="00AF072F">
              <w:t>0</w:t>
            </w:r>
          </w:p>
        </w:tc>
        <w:tc>
          <w:tcPr>
            <w:tcW w:w="1417" w:type="dxa"/>
            <w:vAlign w:val="center"/>
          </w:tcPr>
          <w:p w:rsidR="000D2C98" w:rsidRPr="00AF072F" w:rsidRDefault="000D2C98" w:rsidP="00176492">
            <w:pPr>
              <w:jc w:val="center"/>
              <w:rPr>
                <w:color w:val="000000"/>
              </w:rPr>
            </w:pPr>
            <w:r w:rsidRPr="00AF072F">
              <w:rPr>
                <w:color w:val="000000"/>
              </w:rPr>
              <w:t>272</w:t>
            </w:r>
          </w:p>
        </w:tc>
        <w:tc>
          <w:tcPr>
            <w:tcW w:w="1587" w:type="dxa"/>
            <w:vAlign w:val="center"/>
          </w:tcPr>
          <w:p w:rsidR="000D2C98" w:rsidRPr="00AF072F" w:rsidRDefault="000D2C98" w:rsidP="00176492">
            <w:pPr>
              <w:jc w:val="center"/>
            </w:pPr>
            <w:r w:rsidRPr="00AF072F">
              <w:t>288</w:t>
            </w:r>
          </w:p>
        </w:tc>
        <w:tc>
          <w:tcPr>
            <w:tcW w:w="2355" w:type="dxa"/>
          </w:tcPr>
          <w:p w:rsidR="000D2C98" w:rsidRDefault="000D2C98" w:rsidP="00176492">
            <w:r>
              <w:t>Establecimiento cerrado de seguridad mediana, exclusivo para condenados hombres.</w:t>
            </w:r>
          </w:p>
        </w:tc>
      </w:tr>
      <w:tr w:rsidR="000D2C98" w:rsidTr="00176492">
        <w:tc>
          <w:tcPr>
            <w:tcW w:w="2327" w:type="dxa"/>
          </w:tcPr>
          <w:p w:rsidR="000D2C98" w:rsidRDefault="000D2C98" w:rsidP="00176492">
            <w:pPr>
              <w:jc w:val="both"/>
            </w:pPr>
            <w:r>
              <w:t xml:space="preserve">Granja Penitenciaria </w:t>
            </w:r>
            <w:proofErr w:type="spellStart"/>
            <w:r>
              <w:t>Ita</w:t>
            </w:r>
            <w:proofErr w:type="spellEnd"/>
            <w:r>
              <w:t xml:space="preserve"> </w:t>
            </w:r>
            <w:proofErr w:type="spellStart"/>
            <w:r>
              <w:t>Pora</w:t>
            </w:r>
            <w:proofErr w:type="spellEnd"/>
          </w:p>
        </w:tc>
        <w:tc>
          <w:tcPr>
            <w:tcW w:w="1368" w:type="dxa"/>
            <w:vAlign w:val="center"/>
          </w:tcPr>
          <w:p w:rsidR="000D2C98" w:rsidRPr="00AF072F" w:rsidRDefault="000D2C98" w:rsidP="00176492">
            <w:pPr>
              <w:jc w:val="center"/>
            </w:pPr>
            <w:r w:rsidRPr="00AF072F">
              <w:t>0</w:t>
            </w:r>
          </w:p>
        </w:tc>
        <w:tc>
          <w:tcPr>
            <w:tcW w:w="1417" w:type="dxa"/>
            <w:vAlign w:val="center"/>
          </w:tcPr>
          <w:p w:rsidR="000D2C98" w:rsidRPr="00AF072F" w:rsidRDefault="000D2C98" w:rsidP="00176492">
            <w:pPr>
              <w:jc w:val="center"/>
            </w:pPr>
            <w:r w:rsidRPr="00AF072F">
              <w:t>9</w:t>
            </w:r>
          </w:p>
        </w:tc>
        <w:tc>
          <w:tcPr>
            <w:tcW w:w="1587" w:type="dxa"/>
            <w:vAlign w:val="center"/>
          </w:tcPr>
          <w:p w:rsidR="000D2C98" w:rsidRPr="00AF072F" w:rsidRDefault="000D2C98" w:rsidP="00176492">
            <w:pPr>
              <w:jc w:val="center"/>
            </w:pPr>
            <w:r w:rsidRPr="00AF072F">
              <w:t>12</w:t>
            </w:r>
          </w:p>
        </w:tc>
        <w:tc>
          <w:tcPr>
            <w:tcW w:w="2355" w:type="dxa"/>
            <w:vMerge w:val="restart"/>
            <w:vAlign w:val="center"/>
          </w:tcPr>
          <w:p w:rsidR="000D2C98" w:rsidRDefault="000D2C98" w:rsidP="00176492">
            <w:r>
              <w:t xml:space="preserve">Establecimiento </w:t>
            </w:r>
            <w:proofErr w:type="spellStart"/>
            <w:r>
              <w:t>semi</w:t>
            </w:r>
            <w:proofErr w:type="spellEnd"/>
            <w:r>
              <w:t xml:space="preserve"> abierto, exclusivo para condenados hombres.</w:t>
            </w:r>
          </w:p>
        </w:tc>
      </w:tr>
      <w:tr w:rsidR="000D2C98" w:rsidTr="00176492">
        <w:tc>
          <w:tcPr>
            <w:tcW w:w="2327" w:type="dxa"/>
          </w:tcPr>
          <w:p w:rsidR="000D2C98" w:rsidRDefault="000D2C98" w:rsidP="00176492">
            <w:pPr>
              <w:jc w:val="both"/>
            </w:pPr>
            <w:r>
              <w:t xml:space="preserve">Granja Penitenciaria </w:t>
            </w:r>
            <w:proofErr w:type="spellStart"/>
            <w:r>
              <w:t>Ko’e</w:t>
            </w:r>
            <w:proofErr w:type="spellEnd"/>
            <w:r>
              <w:t xml:space="preserve"> </w:t>
            </w:r>
            <w:proofErr w:type="spellStart"/>
            <w:r>
              <w:t>Pyahu</w:t>
            </w:r>
            <w:proofErr w:type="spellEnd"/>
          </w:p>
        </w:tc>
        <w:tc>
          <w:tcPr>
            <w:tcW w:w="1368" w:type="dxa"/>
            <w:vAlign w:val="center"/>
          </w:tcPr>
          <w:p w:rsidR="000D2C98" w:rsidRPr="00AF072F" w:rsidRDefault="000D2C98" w:rsidP="00176492">
            <w:pPr>
              <w:jc w:val="center"/>
            </w:pPr>
            <w:r w:rsidRPr="00AF072F">
              <w:t>0</w:t>
            </w:r>
          </w:p>
        </w:tc>
        <w:tc>
          <w:tcPr>
            <w:tcW w:w="1417" w:type="dxa"/>
            <w:vAlign w:val="center"/>
          </w:tcPr>
          <w:p w:rsidR="000D2C98" w:rsidRPr="00AF072F" w:rsidRDefault="000D2C98" w:rsidP="00176492">
            <w:pPr>
              <w:jc w:val="center"/>
            </w:pPr>
            <w:r w:rsidRPr="00AF072F">
              <w:t>18</w:t>
            </w:r>
          </w:p>
        </w:tc>
        <w:tc>
          <w:tcPr>
            <w:tcW w:w="1587" w:type="dxa"/>
            <w:vAlign w:val="center"/>
          </w:tcPr>
          <w:p w:rsidR="000D2C98" w:rsidRPr="00AF072F" w:rsidRDefault="000D2C98" w:rsidP="00176492">
            <w:pPr>
              <w:jc w:val="center"/>
            </w:pPr>
            <w:r w:rsidRPr="00AF072F">
              <w:t>13</w:t>
            </w:r>
          </w:p>
        </w:tc>
        <w:tc>
          <w:tcPr>
            <w:tcW w:w="2355" w:type="dxa"/>
            <w:vMerge/>
          </w:tcPr>
          <w:p w:rsidR="000D2C98" w:rsidRDefault="000D2C98" w:rsidP="00176492"/>
        </w:tc>
      </w:tr>
      <w:tr w:rsidR="000D2C98" w:rsidTr="00176492">
        <w:tc>
          <w:tcPr>
            <w:tcW w:w="2327" w:type="dxa"/>
          </w:tcPr>
          <w:p w:rsidR="000D2C98" w:rsidRDefault="000D2C98" w:rsidP="00176492">
            <w:pPr>
              <w:jc w:val="both"/>
            </w:pPr>
            <w:r>
              <w:t xml:space="preserve">CE de </w:t>
            </w:r>
            <w:proofErr w:type="spellStart"/>
            <w:r>
              <w:t>Itauguá</w:t>
            </w:r>
            <w:proofErr w:type="spellEnd"/>
          </w:p>
        </w:tc>
        <w:tc>
          <w:tcPr>
            <w:tcW w:w="1368" w:type="dxa"/>
            <w:vAlign w:val="center"/>
          </w:tcPr>
          <w:p w:rsidR="000D2C98" w:rsidRPr="00AF072F" w:rsidRDefault="000D2C98" w:rsidP="00176492">
            <w:pPr>
              <w:jc w:val="center"/>
              <w:rPr>
                <w:rFonts w:cs="Arial"/>
                <w:color w:val="000000"/>
              </w:rPr>
            </w:pPr>
            <w:r w:rsidRPr="00AF072F">
              <w:rPr>
                <w:rFonts w:cs="Arial"/>
                <w:color w:val="000000"/>
              </w:rPr>
              <w:t>102</w:t>
            </w:r>
          </w:p>
        </w:tc>
        <w:tc>
          <w:tcPr>
            <w:tcW w:w="1417" w:type="dxa"/>
            <w:vAlign w:val="center"/>
          </w:tcPr>
          <w:p w:rsidR="000D2C98" w:rsidRPr="00AF072F" w:rsidRDefault="000D2C98" w:rsidP="00176492">
            <w:pPr>
              <w:jc w:val="center"/>
              <w:rPr>
                <w:rFonts w:cs="Arial"/>
                <w:color w:val="000000"/>
              </w:rPr>
            </w:pPr>
            <w:r w:rsidRPr="00AF072F">
              <w:rPr>
                <w:rFonts w:cs="Arial"/>
                <w:color w:val="000000"/>
              </w:rPr>
              <w:t>19</w:t>
            </w:r>
          </w:p>
        </w:tc>
        <w:tc>
          <w:tcPr>
            <w:tcW w:w="1587" w:type="dxa"/>
            <w:vAlign w:val="center"/>
          </w:tcPr>
          <w:p w:rsidR="000D2C98" w:rsidRPr="00AF072F" w:rsidRDefault="000D2C98" w:rsidP="00176492">
            <w:pPr>
              <w:jc w:val="center"/>
            </w:pPr>
            <w:r w:rsidRPr="00AF072F">
              <w:t>120</w:t>
            </w:r>
          </w:p>
        </w:tc>
        <w:tc>
          <w:tcPr>
            <w:tcW w:w="2355" w:type="dxa"/>
            <w:vMerge w:val="restart"/>
            <w:vAlign w:val="center"/>
          </w:tcPr>
          <w:p w:rsidR="000D2C98" w:rsidRDefault="000D2C98" w:rsidP="00176492">
            <w:r>
              <w:t>Establecimientos cerrados de seguridad mediana, para adolescentes infractores.</w:t>
            </w:r>
          </w:p>
          <w:p w:rsidR="000D2C98" w:rsidRDefault="000D2C98" w:rsidP="00176492">
            <w:r>
              <w:t>Exclusivo para hombres.</w:t>
            </w:r>
          </w:p>
        </w:tc>
      </w:tr>
      <w:tr w:rsidR="000D2C98" w:rsidTr="00176492">
        <w:tc>
          <w:tcPr>
            <w:tcW w:w="2327" w:type="dxa"/>
          </w:tcPr>
          <w:p w:rsidR="000D2C98" w:rsidRDefault="000D2C98" w:rsidP="00176492">
            <w:pPr>
              <w:jc w:val="both"/>
            </w:pPr>
            <w:r>
              <w:t>CE de Concepción</w:t>
            </w:r>
          </w:p>
        </w:tc>
        <w:tc>
          <w:tcPr>
            <w:tcW w:w="1368" w:type="dxa"/>
            <w:vAlign w:val="center"/>
          </w:tcPr>
          <w:p w:rsidR="000D2C98" w:rsidRPr="00AF072F" w:rsidRDefault="000D2C98" w:rsidP="00176492">
            <w:pPr>
              <w:jc w:val="center"/>
              <w:rPr>
                <w:rFonts w:cs="Arial"/>
                <w:color w:val="000000"/>
              </w:rPr>
            </w:pPr>
            <w:r w:rsidRPr="00AF072F">
              <w:rPr>
                <w:rFonts w:cs="Arial"/>
                <w:color w:val="000000"/>
              </w:rPr>
              <w:t>12</w:t>
            </w:r>
          </w:p>
        </w:tc>
        <w:tc>
          <w:tcPr>
            <w:tcW w:w="1417" w:type="dxa"/>
            <w:vAlign w:val="center"/>
          </w:tcPr>
          <w:p w:rsidR="000D2C98" w:rsidRPr="00AF072F" w:rsidRDefault="000D2C98" w:rsidP="00176492">
            <w:pPr>
              <w:jc w:val="center"/>
              <w:rPr>
                <w:rFonts w:cs="Arial"/>
                <w:color w:val="000000"/>
              </w:rPr>
            </w:pPr>
            <w:r w:rsidRPr="00AF072F">
              <w:rPr>
                <w:rFonts w:cs="Arial"/>
                <w:color w:val="000000"/>
              </w:rPr>
              <w:t>3</w:t>
            </w:r>
          </w:p>
        </w:tc>
        <w:tc>
          <w:tcPr>
            <w:tcW w:w="1587" w:type="dxa"/>
            <w:vAlign w:val="center"/>
          </w:tcPr>
          <w:p w:rsidR="000D2C98" w:rsidRPr="00AF072F" w:rsidRDefault="000D2C98" w:rsidP="00176492">
            <w:pPr>
              <w:jc w:val="center"/>
            </w:pPr>
            <w:r w:rsidRPr="00AF072F">
              <w:t>25</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CE Sembrador de Villarrica</w:t>
            </w:r>
          </w:p>
        </w:tc>
        <w:tc>
          <w:tcPr>
            <w:tcW w:w="1368" w:type="dxa"/>
            <w:vAlign w:val="center"/>
          </w:tcPr>
          <w:p w:rsidR="000D2C98" w:rsidRPr="00AF072F" w:rsidRDefault="000D2C98" w:rsidP="00176492">
            <w:pPr>
              <w:jc w:val="center"/>
              <w:rPr>
                <w:rFonts w:cs="Arial"/>
                <w:color w:val="000000"/>
              </w:rPr>
            </w:pPr>
            <w:r w:rsidRPr="00AF072F">
              <w:rPr>
                <w:rFonts w:cs="Arial"/>
                <w:color w:val="000000"/>
              </w:rPr>
              <w:t>39</w:t>
            </w:r>
          </w:p>
        </w:tc>
        <w:tc>
          <w:tcPr>
            <w:tcW w:w="1417" w:type="dxa"/>
            <w:vAlign w:val="center"/>
          </w:tcPr>
          <w:p w:rsidR="000D2C98" w:rsidRPr="00AF072F" w:rsidRDefault="000D2C98" w:rsidP="00176492">
            <w:pPr>
              <w:jc w:val="center"/>
              <w:rPr>
                <w:rFonts w:cs="Arial"/>
                <w:color w:val="000000"/>
              </w:rPr>
            </w:pPr>
            <w:r w:rsidRPr="00AF072F">
              <w:rPr>
                <w:rFonts w:cs="Arial"/>
                <w:color w:val="000000"/>
              </w:rPr>
              <w:t>6</w:t>
            </w:r>
          </w:p>
        </w:tc>
        <w:tc>
          <w:tcPr>
            <w:tcW w:w="1587" w:type="dxa"/>
            <w:vAlign w:val="center"/>
          </w:tcPr>
          <w:p w:rsidR="000D2C98" w:rsidRPr="00AF072F" w:rsidRDefault="000D2C98" w:rsidP="00176492">
            <w:pPr>
              <w:jc w:val="center"/>
            </w:pPr>
            <w:r w:rsidRPr="00AF072F">
              <w:t>25</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CE de Ciudad del Este</w:t>
            </w:r>
          </w:p>
        </w:tc>
        <w:tc>
          <w:tcPr>
            <w:tcW w:w="1368" w:type="dxa"/>
            <w:vAlign w:val="center"/>
          </w:tcPr>
          <w:p w:rsidR="000D2C98" w:rsidRPr="00AF072F" w:rsidRDefault="000D2C98" w:rsidP="00176492">
            <w:pPr>
              <w:jc w:val="center"/>
              <w:rPr>
                <w:rFonts w:cs="Arial"/>
                <w:color w:val="000000"/>
              </w:rPr>
            </w:pPr>
            <w:r w:rsidRPr="00AF072F">
              <w:rPr>
                <w:rFonts w:cs="Arial"/>
                <w:color w:val="000000"/>
              </w:rPr>
              <w:t>63</w:t>
            </w:r>
          </w:p>
        </w:tc>
        <w:tc>
          <w:tcPr>
            <w:tcW w:w="1417" w:type="dxa"/>
            <w:vAlign w:val="center"/>
          </w:tcPr>
          <w:p w:rsidR="000D2C98" w:rsidRPr="00AF072F" w:rsidRDefault="000D2C98" w:rsidP="00176492">
            <w:pPr>
              <w:jc w:val="center"/>
              <w:rPr>
                <w:rFonts w:cs="Arial"/>
                <w:color w:val="000000"/>
              </w:rPr>
            </w:pPr>
            <w:r w:rsidRPr="00AF072F">
              <w:rPr>
                <w:rFonts w:cs="Arial"/>
                <w:color w:val="000000"/>
              </w:rPr>
              <w:t>3</w:t>
            </w:r>
          </w:p>
        </w:tc>
        <w:tc>
          <w:tcPr>
            <w:tcW w:w="1587" w:type="dxa"/>
            <w:vAlign w:val="center"/>
          </w:tcPr>
          <w:p w:rsidR="000D2C98" w:rsidRPr="00AF072F" w:rsidRDefault="000D2C98" w:rsidP="00176492">
            <w:pPr>
              <w:jc w:val="center"/>
            </w:pPr>
            <w:r w:rsidRPr="00AF072F">
              <w:t>45</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 xml:space="preserve">CE de </w:t>
            </w:r>
            <w:proofErr w:type="spellStart"/>
            <w:r>
              <w:t>Kambyreta</w:t>
            </w:r>
            <w:proofErr w:type="spellEnd"/>
          </w:p>
        </w:tc>
        <w:tc>
          <w:tcPr>
            <w:tcW w:w="1368" w:type="dxa"/>
            <w:vAlign w:val="center"/>
          </w:tcPr>
          <w:p w:rsidR="000D2C98" w:rsidRPr="00AF072F" w:rsidRDefault="000D2C98" w:rsidP="00176492">
            <w:pPr>
              <w:jc w:val="center"/>
              <w:rPr>
                <w:rFonts w:cs="Arial"/>
                <w:color w:val="000000"/>
              </w:rPr>
            </w:pPr>
            <w:r w:rsidRPr="00AF072F">
              <w:rPr>
                <w:rFonts w:cs="Arial"/>
                <w:color w:val="000000"/>
              </w:rPr>
              <w:t>9</w:t>
            </w:r>
          </w:p>
        </w:tc>
        <w:tc>
          <w:tcPr>
            <w:tcW w:w="1417" w:type="dxa"/>
            <w:vAlign w:val="center"/>
          </w:tcPr>
          <w:p w:rsidR="000D2C98" w:rsidRPr="00AF072F" w:rsidRDefault="000D2C98" w:rsidP="00176492">
            <w:pPr>
              <w:jc w:val="center"/>
              <w:rPr>
                <w:rFonts w:cs="Arial"/>
                <w:color w:val="000000"/>
              </w:rPr>
            </w:pPr>
            <w:r w:rsidRPr="00AF072F">
              <w:rPr>
                <w:rFonts w:cs="Arial"/>
                <w:color w:val="000000"/>
              </w:rPr>
              <w:t>6</w:t>
            </w:r>
          </w:p>
        </w:tc>
        <w:tc>
          <w:tcPr>
            <w:tcW w:w="1587" w:type="dxa"/>
            <w:vAlign w:val="center"/>
          </w:tcPr>
          <w:p w:rsidR="000D2C98" w:rsidRPr="00AF072F" w:rsidRDefault="000D2C98" w:rsidP="00176492">
            <w:pPr>
              <w:jc w:val="center"/>
            </w:pPr>
            <w:r w:rsidRPr="00AF072F">
              <w:t>40</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CE de Pedro Juan Caballero</w:t>
            </w:r>
          </w:p>
        </w:tc>
        <w:tc>
          <w:tcPr>
            <w:tcW w:w="1368" w:type="dxa"/>
            <w:vAlign w:val="center"/>
          </w:tcPr>
          <w:p w:rsidR="000D2C98" w:rsidRPr="00AF072F" w:rsidRDefault="000D2C98" w:rsidP="00176492">
            <w:pPr>
              <w:jc w:val="center"/>
              <w:rPr>
                <w:rFonts w:cs="Arial"/>
                <w:color w:val="000000"/>
              </w:rPr>
            </w:pPr>
            <w:r w:rsidRPr="00AF072F">
              <w:rPr>
                <w:rFonts w:cs="Arial"/>
                <w:color w:val="000000"/>
              </w:rPr>
              <w:t>22</w:t>
            </w:r>
          </w:p>
        </w:tc>
        <w:tc>
          <w:tcPr>
            <w:tcW w:w="1417" w:type="dxa"/>
            <w:vAlign w:val="center"/>
          </w:tcPr>
          <w:p w:rsidR="000D2C98" w:rsidRPr="00AF072F" w:rsidRDefault="000D2C98" w:rsidP="00176492">
            <w:pPr>
              <w:jc w:val="center"/>
              <w:rPr>
                <w:rFonts w:cs="Arial"/>
                <w:color w:val="000000"/>
              </w:rPr>
            </w:pPr>
            <w:r w:rsidRPr="00AF072F">
              <w:rPr>
                <w:rFonts w:cs="Arial"/>
                <w:color w:val="000000"/>
              </w:rPr>
              <w:t>2</w:t>
            </w:r>
          </w:p>
        </w:tc>
        <w:tc>
          <w:tcPr>
            <w:tcW w:w="1587" w:type="dxa"/>
            <w:vAlign w:val="center"/>
          </w:tcPr>
          <w:p w:rsidR="000D2C98" w:rsidRPr="00AF072F" w:rsidRDefault="000D2C98" w:rsidP="00176492">
            <w:pPr>
              <w:jc w:val="center"/>
            </w:pPr>
            <w:r w:rsidRPr="00AF072F">
              <w:t>25</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CE Esperanza</w:t>
            </w:r>
          </w:p>
        </w:tc>
        <w:tc>
          <w:tcPr>
            <w:tcW w:w="1368" w:type="dxa"/>
            <w:vAlign w:val="center"/>
          </w:tcPr>
          <w:p w:rsidR="000D2C98" w:rsidRPr="00AF072F" w:rsidRDefault="000D2C98" w:rsidP="00176492">
            <w:pPr>
              <w:jc w:val="center"/>
              <w:rPr>
                <w:rFonts w:cs="Arial"/>
                <w:color w:val="000000"/>
              </w:rPr>
            </w:pPr>
            <w:r w:rsidRPr="00AF072F">
              <w:rPr>
                <w:rFonts w:cs="Arial"/>
                <w:color w:val="000000"/>
              </w:rPr>
              <w:t>16</w:t>
            </w:r>
          </w:p>
        </w:tc>
        <w:tc>
          <w:tcPr>
            <w:tcW w:w="1417" w:type="dxa"/>
            <w:vAlign w:val="center"/>
          </w:tcPr>
          <w:p w:rsidR="000D2C98" w:rsidRPr="00AF072F" w:rsidRDefault="000D2C98" w:rsidP="00176492">
            <w:pPr>
              <w:jc w:val="center"/>
              <w:rPr>
                <w:rFonts w:cs="Arial"/>
                <w:color w:val="000000"/>
              </w:rPr>
            </w:pPr>
            <w:r w:rsidRPr="00AF072F">
              <w:rPr>
                <w:rFonts w:cs="Arial"/>
                <w:color w:val="000000"/>
              </w:rPr>
              <w:t>5</w:t>
            </w:r>
          </w:p>
        </w:tc>
        <w:tc>
          <w:tcPr>
            <w:tcW w:w="1587" w:type="dxa"/>
            <w:vAlign w:val="center"/>
          </w:tcPr>
          <w:p w:rsidR="000D2C98" w:rsidRPr="00AF072F" w:rsidRDefault="000D2C98" w:rsidP="00176492">
            <w:pPr>
              <w:jc w:val="center"/>
            </w:pPr>
            <w:r w:rsidRPr="00AF072F">
              <w:t>20</w:t>
            </w:r>
          </w:p>
        </w:tc>
        <w:tc>
          <w:tcPr>
            <w:tcW w:w="2355" w:type="dxa"/>
          </w:tcPr>
          <w:p w:rsidR="000D2C98" w:rsidRDefault="000D2C98" w:rsidP="00176492">
            <w:pPr>
              <w:jc w:val="both"/>
            </w:pPr>
            <w:r>
              <w:t xml:space="preserve">Establecimiento </w:t>
            </w:r>
            <w:proofErr w:type="spellStart"/>
            <w:r>
              <w:t>semi</w:t>
            </w:r>
            <w:proofErr w:type="spellEnd"/>
            <w:r>
              <w:t xml:space="preserve"> </w:t>
            </w:r>
            <w:r>
              <w:lastRenderedPageBreak/>
              <w:t>abierto, para adolescentes infractores.</w:t>
            </w:r>
          </w:p>
          <w:p w:rsidR="000D2C98" w:rsidRDefault="000D2C98" w:rsidP="00176492">
            <w:pPr>
              <w:jc w:val="both"/>
            </w:pPr>
            <w:r>
              <w:t>Exclusivo para hombres.</w:t>
            </w:r>
          </w:p>
        </w:tc>
      </w:tr>
      <w:tr w:rsidR="000D2C98" w:rsidTr="00176492">
        <w:tc>
          <w:tcPr>
            <w:tcW w:w="2327" w:type="dxa"/>
          </w:tcPr>
          <w:p w:rsidR="000D2C98" w:rsidRPr="00774B93" w:rsidRDefault="000D2C98" w:rsidP="00176492">
            <w:pPr>
              <w:jc w:val="both"/>
              <w:rPr>
                <w:b/>
              </w:rPr>
            </w:pPr>
            <w:r w:rsidRPr="00774B93">
              <w:rPr>
                <w:b/>
              </w:rPr>
              <w:lastRenderedPageBreak/>
              <w:t>Totales</w:t>
            </w:r>
          </w:p>
        </w:tc>
        <w:tc>
          <w:tcPr>
            <w:tcW w:w="1368" w:type="dxa"/>
            <w:vAlign w:val="bottom"/>
          </w:tcPr>
          <w:p w:rsidR="000D2C98" w:rsidRPr="00AF072F" w:rsidRDefault="000D2C98" w:rsidP="00176492">
            <w:pPr>
              <w:jc w:val="center"/>
              <w:rPr>
                <w:rFonts w:ascii="Calibri" w:hAnsi="Calibri"/>
                <w:b/>
                <w:color w:val="000000"/>
              </w:rPr>
            </w:pPr>
            <w:r w:rsidRPr="00AF072F">
              <w:rPr>
                <w:rFonts w:ascii="Calibri" w:hAnsi="Calibri"/>
                <w:b/>
                <w:color w:val="000000"/>
              </w:rPr>
              <w:t>9.704</w:t>
            </w:r>
          </w:p>
        </w:tc>
        <w:tc>
          <w:tcPr>
            <w:tcW w:w="1417" w:type="dxa"/>
            <w:vAlign w:val="bottom"/>
          </w:tcPr>
          <w:p w:rsidR="000D2C98" w:rsidRPr="00AF072F" w:rsidRDefault="000D2C98" w:rsidP="00176492">
            <w:pPr>
              <w:jc w:val="center"/>
              <w:rPr>
                <w:rFonts w:ascii="Calibri" w:hAnsi="Calibri"/>
                <w:b/>
                <w:color w:val="000000"/>
              </w:rPr>
            </w:pPr>
            <w:r w:rsidRPr="00AF072F">
              <w:rPr>
                <w:rFonts w:ascii="Calibri" w:hAnsi="Calibri"/>
                <w:b/>
                <w:color w:val="000000"/>
              </w:rPr>
              <w:t>2</w:t>
            </w:r>
            <w:r>
              <w:rPr>
                <w:rFonts w:ascii="Calibri" w:hAnsi="Calibri"/>
                <w:b/>
                <w:color w:val="000000"/>
              </w:rPr>
              <w:t>.</w:t>
            </w:r>
            <w:r w:rsidRPr="00AF072F">
              <w:rPr>
                <w:rFonts w:ascii="Calibri" w:hAnsi="Calibri"/>
                <w:b/>
                <w:color w:val="000000"/>
              </w:rPr>
              <w:t>973</w:t>
            </w:r>
          </w:p>
        </w:tc>
        <w:tc>
          <w:tcPr>
            <w:tcW w:w="1587" w:type="dxa"/>
            <w:vAlign w:val="bottom"/>
          </w:tcPr>
          <w:p w:rsidR="000D2C98" w:rsidRPr="00AF072F" w:rsidRDefault="000D2C98" w:rsidP="00176492">
            <w:pPr>
              <w:jc w:val="center"/>
              <w:rPr>
                <w:rFonts w:ascii="Calibri" w:hAnsi="Calibri"/>
                <w:b/>
                <w:color w:val="000000"/>
              </w:rPr>
            </w:pPr>
            <w:r w:rsidRPr="00AF072F">
              <w:rPr>
                <w:rFonts w:ascii="Calibri" w:hAnsi="Calibri"/>
                <w:b/>
                <w:color w:val="000000"/>
              </w:rPr>
              <w:t>6</w:t>
            </w:r>
            <w:r>
              <w:rPr>
                <w:rFonts w:ascii="Calibri" w:hAnsi="Calibri"/>
                <w:b/>
                <w:color w:val="000000"/>
              </w:rPr>
              <w:t>.</w:t>
            </w:r>
            <w:r w:rsidRPr="00AF072F">
              <w:rPr>
                <w:rFonts w:ascii="Calibri" w:hAnsi="Calibri"/>
                <w:b/>
                <w:color w:val="000000"/>
              </w:rPr>
              <w:t>693</w:t>
            </w:r>
          </w:p>
        </w:tc>
        <w:tc>
          <w:tcPr>
            <w:tcW w:w="2355" w:type="dxa"/>
          </w:tcPr>
          <w:p w:rsidR="000D2C98" w:rsidRDefault="000D2C98" w:rsidP="00176492">
            <w:pPr>
              <w:jc w:val="both"/>
            </w:pPr>
          </w:p>
        </w:tc>
      </w:tr>
    </w:tbl>
    <w:p w:rsidR="000D2C98" w:rsidRDefault="000D2C98" w:rsidP="000D2C98">
      <w:pPr>
        <w:spacing w:after="0" w:line="240" w:lineRule="auto"/>
        <w:jc w:val="both"/>
      </w:pPr>
      <w:r w:rsidRPr="00C20D1E">
        <w:rPr>
          <w:b/>
          <w:u w:val="single"/>
        </w:rPr>
        <w:t>Fuente</w:t>
      </w:r>
      <w:r>
        <w:t xml:space="preserve">: </w:t>
      </w:r>
      <w:r w:rsidRPr="006931E9">
        <w:t xml:space="preserve">Ministerio de Justicia. Parte Diario del </w:t>
      </w:r>
      <w:r>
        <w:t>15</w:t>
      </w:r>
      <w:r w:rsidRPr="006931E9">
        <w:t xml:space="preserve"> de </w:t>
      </w:r>
      <w:r>
        <w:t>diciembre</w:t>
      </w:r>
      <w:r w:rsidRPr="006931E9">
        <w:t xml:space="preserve"> de 201</w:t>
      </w:r>
      <w:r>
        <w:t>6; Servicio Nacional de Asistencia al Adolescente Infractor (SENAAI. Parte Diario del 10 de mayo de 2017.</w:t>
      </w:r>
    </w:p>
    <w:p w:rsidR="000D2C98" w:rsidRDefault="000D2C98" w:rsidP="000D2C98">
      <w:pPr>
        <w:spacing w:after="0" w:line="240" w:lineRule="auto"/>
        <w:jc w:val="both"/>
      </w:pPr>
    </w:p>
    <w:p w:rsidR="000D2C98" w:rsidRDefault="000D2C98" w:rsidP="000D2C98">
      <w:pPr>
        <w:spacing w:after="0" w:line="240" w:lineRule="auto"/>
        <w:jc w:val="both"/>
      </w:pPr>
      <w:r>
        <w:t>Las mujeres se encuentran en diez centros penitenciarios distribuidos en el territorio del Estado parte. Cuatro de estos establecimientos son penales exclusivamente femeninos. En los seis restantes, las mujeres ocupan un sector dentro de la Penitenciaría de los hombres. En cinco de estas penitenciarías, el pabellón de mujeres ocupa el sector previsto originalmente para el hospital penitenciario, que hoy día no existe.</w:t>
      </w:r>
    </w:p>
    <w:p w:rsidR="000D2C98" w:rsidRDefault="000D2C98" w:rsidP="000D2C98">
      <w:pPr>
        <w:spacing w:after="0" w:line="240" w:lineRule="auto"/>
        <w:jc w:val="both"/>
      </w:pPr>
    </w:p>
    <w:p w:rsidR="000D2C98" w:rsidRPr="0092538E" w:rsidRDefault="000D2C98" w:rsidP="000D2C98">
      <w:pPr>
        <w:spacing w:after="0" w:line="240" w:lineRule="auto"/>
        <w:jc w:val="both"/>
        <w:rPr>
          <w:b/>
        </w:rPr>
      </w:pPr>
      <w:r w:rsidRPr="0092538E">
        <w:rPr>
          <w:b/>
        </w:rPr>
        <w:t>CUADRO</w:t>
      </w:r>
    </w:p>
    <w:p w:rsidR="000D2C98" w:rsidRDefault="000D2C98" w:rsidP="000D2C98">
      <w:pPr>
        <w:spacing w:after="0" w:line="240" w:lineRule="auto"/>
        <w:jc w:val="both"/>
        <w:rPr>
          <w:b/>
        </w:rPr>
      </w:pPr>
      <w:r>
        <w:rPr>
          <w:b/>
        </w:rPr>
        <w:t xml:space="preserve">Ocupación del sistema </w:t>
      </w:r>
      <w:r w:rsidRPr="0092538E">
        <w:rPr>
          <w:b/>
        </w:rPr>
        <w:t>penitenciario</w:t>
      </w:r>
      <w:r>
        <w:rPr>
          <w:b/>
        </w:rPr>
        <w:t xml:space="preserve"> paraguayo</w:t>
      </w:r>
    </w:p>
    <w:p w:rsidR="000D2C98" w:rsidRPr="0092538E" w:rsidRDefault="000D2C98" w:rsidP="000D2C98">
      <w:pPr>
        <w:spacing w:after="0" w:line="240" w:lineRule="auto"/>
        <w:jc w:val="both"/>
        <w:rPr>
          <w:b/>
        </w:rPr>
      </w:pPr>
      <w:r w:rsidRPr="0092538E">
        <w:rPr>
          <w:b/>
        </w:rPr>
        <w:t>Años 2016</w:t>
      </w:r>
      <w:r>
        <w:rPr>
          <w:b/>
        </w:rPr>
        <w:t xml:space="preserve"> (Por establecimiento penitenciario, mujeres)</w:t>
      </w:r>
    </w:p>
    <w:tbl>
      <w:tblPr>
        <w:tblStyle w:val="TableGrid"/>
        <w:tblW w:w="0" w:type="auto"/>
        <w:tblLook w:val="04A0" w:firstRow="1" w:lastRow="0" w:firstColumn="1" w:lastColumn="0" w:noHBand="0" w:noVBand="1"/>
      </w:tblPr>
      <w:tblGrid>
        <w:gridCol w:w="2327"/>
        <w:gridCol w:w="1368"/>
        <w:gridCol w:w="1417"/>
        <w:gridCol w:w="1587"/>
        <w:gridCol w:w="2355"/>
      </w:tblGrid>
      <w:tr w:rsidR="000D2C98" w:rsidRPr="00905710" w:rsidTr="00176492">
        <w:tc>
          <w:tcPr>
            <w:tcW w:w="2327" w:type="dxa"/>
            <w:vMerge w:val="restart"/>
            <w:vAlign w:val="center"/>
          </w:tcPr>
          <w:p w:rsidR="000D2C98" w:rsidRPr="00905710" w:rsidRDefault="000D2C98" w:rsidP="00176492">
            <w:pPr>
              <w:jc w:val="center"/>
              <w:rPr>
                <w:b/>
              </w:rPr>
            </w:pPr>
            <w:r w:rsidRPr="00905710">
              <w:rPr>
                <w:b/>
              </w:rPr>
              <w:t>Establecimiento</w:t>
            </w:r>
          </w:p>
        </w:tc>
        <w:tc>
          <w:tcPr>
            <w:tcW w:w="2785" w:type="dxa"/>
            <w:gridSpan w:val="2"/>
            <w:vAlign w:val="center"/>
          </w:tcPr>
          <w:p w:rsidR="000D2C98" w:rsidRPr="00905710" w:rsidRDefault="000D2C98" w:rsidP="00176492">
            <w:pPr>
              <w:jc w:val="center"/>
              <w:rPr>
                <w:b/>
              </w:rPr>
            </w:pPr>
            <w:r w:rsidRPr="00905710">
              <w:rPr>
                <w:b/>
              </w:rPr>
              <w:t>Población</w:t>
            </w:r>
          </w:p>
        </w:tc>
        <w:tc>
          <w:tcPr>
            <w:tcW w:w="1587" w:type="dxa"/>
            <w:vMerge w:val="restart"/>
          </w:tcPr>
          <w:p w:rsidR="000D2C98" w:rsidRPr="00905710" w:rsidRDefault="000D2C98" w:rsidP="00176492">
            <w:pPr>
              <w:jc w:val="center"/>
              <w:rPr>
                <w:b/>
              </w:rPr>
            </w:pPr>
            <w:r>
              <w:rPr>
                <w:b/>
              </w:rPr>
              <w:t>Aforo máximo según MJ</w:t>
            </w:r>
          </w:p>
        </w:tc>
        <w:tc>
          <w:tcPr>
            <w:tcW w:w="2355" w:type="dxa"/>
            <w:vMerge w:val="restart"/>
            <w:vAlign w:val="center"/>
          </w:tcPr>
          <w:p w:rsidR="000D2C98" w:rsidRPr="00905710" w:rsidRDefault="000D2C98" w:rsidP="00176492">
            <w:pPr>
              <w:jc w:val="center"/>
              <w:rPr>
                <w:b/>
              </w:rPr>
            </w:pPr>
            <w:r w:rsidRPr="00905710">
              <w:rPr>
                <w:b/>
              </w:rPr>
              <w:t>Características</w:t>
            </w:r>
          </w:p>
        </w:tc>
      </w:tr>
      <w:tr w:rsidR="000D2C98" w:rsidRPr="00905710" w:rsidTr="00176492">
        <w:tc>
          <w:tcPr>
            <w:tcW w:w="2327" w:type="dxa"/>
            <w:vMerge/>
            <w:vAlign w:val="center"/>
          </w:tcPr>
          <w:p w:rsidR="000D2C98" w:rsidRPr="00905710" w:rsidRDefault="000D2C98" w:rsidP="00176492">
            <w:pPr>
              <w:jc w:val="center"/>
              <w:rPr>
                <w:b/>
              </w:rPr>
            </w:pPr>
          </w:p>
        </w:tc>
        <w:tc>
          <w:tcPr>
            <w:tcW w:w="1368" w:type="dxa"/>
            <w:vAlign w:val="center"/>
          </w:tcPr>
          <w:p w:rsidR="000D2C98" w:rsidRPr="00905710" w:rsidRDefault="000D2C98" w:rsidP="00176492">
            <w:pPr>
              <w:jc w:val="center"/>
              <w:rPr>
                <w:b/>
              </w:rPr>
            </w:pPr>
            <w:r>
              <w:rPr>
                <w:b/>
              </w:rPr>
              <w:t>Procesadas</w:t>
            </w:r>
          </w:p>
        </w:tc>
        <w:tc>
          <w:tcPr>
            <w:tcW w:w="1417" w:type="dxa"/>
            <w:vAlign w:val="center"/>
          </w:tcPr>
          <w:p w:rsidR="000D2C98" w:rsidRPr="00905710" w:rsidRDefault="000D2C98" w:rsidP="00176492">
            <w:pPr>
              <w:jc w:val="center"/>
              <w:rPr>
                <w:b/>
              </w:rPr>
            </w:pPr>
            <w:r>
              <w:rPr>
                <w:b/>
              </w:rPr>
              <w:t>Condenadas</w:t>
            </w:r>
          </w:p>
        </w:tc>
        <w:tc>
          <w:tcPr>
            <w:tcW w:w="1587" w:type="dxa"/>
            <w:vMerge/>
          </w:tcPr>
          <w:p w:rsidR="000D2C98" w:rsidRPr="00905710" w:rsidRDefault="000D2C98" w:rsidP="00176492">
            <w:pPr>
              <w:jc w:val="center"/>
              <w:rPr>
                <w:b/>
              </w:rPr>
            </w:pPr>
          </w:p>
        </w:tc>
        <w:tc>
          <w:tcPr>
            <w:tcW w:w="2355" w:type="dxa"/>
            <w:vMerge/>
            <w:vAlign w:val="center"/>
          </w:tcPr>
          <w:p w:rsidR="000D2C98" w:rsidRPr="00905710" w:rsidRDefault="000D2C98" w:rsidP="00176492">
            <w:pPr>
              <w:jc w:val="center"/>
              <w:rPr>
                <w:b/>
              </w:rPr>
            </w:pPr>
          </w:p>
        </w:tc>
      </w:tr>
      <w:tr w:rsidR="000D2C98" w:rsidTr="00176492">
        <w:tc>
          <w:tcPr>
            <w:tcW w:w="2327" w:type="dxa"/>
          </w:tcPr>
          <w:p w:rsidR="000D2C98" w:rsidRDefault="000D2C98" w:rsidP="00176492">
            <w:pPr>
              <w:jc w:val="both"/>
            </w:pPr>
            <w:r>
              <w:t>Centro Penitenciario  de Mujeres “Buen Pastor”</w:t>
            </w:r>
          </w:p>
        </w:tc>
        <w:tc>
          <w:tcPr>
            <w:tcW w:w="1368" w:type="dxa"/>
            <w:vAlign w:val="center"/>
          </w:tcPr>
          <w:p w:rsidR="000D2C98" w:rsidRDefault="000D2C98" w:rsidP="00176492">
            <w:pPr>
              <w:jc w:val="center"/>
            </w:pPr>
            <w:r>
              <w:t>270</w:t>
            </w:r>
          </w:p>
        </w:tc>
        <w:tc>
          <w:tcPr>
            <w:tcW w:w="1417" w:type="dxa"/>
            <w:vAlign w:val="center"/>
          </w:tcPr>
          <w:p w:rsidR="000D2C98" w:rsidRDefault="000D2C98" w:rsidP="00176492">
            <w:pPr>
              <w:jc w:val="center"/>
            </w:pPr>
            <w:r>
              <w:t>170</w:t>
            </w:r>
          </w:p>
        </w:tc>
        <w:tc>
          <w:tcPr>
            <w:tcW w:w="1587" w:type="dxa"/>
            <w:vAlign w:val="center"/>
          </w:tcPr>
          <w:p w:rsidR="000D2C98" w:rsidRDefault="000D2C98" w:rsidP="00176492">
            <w:pPr>
              <w:jc w:val="center"/>
            </w:pPr>
            <w:r>
              <w:t>200</w:t>
            </w:r>
          </w:p>
        </w:tc>
        <w:tc>
          <w:tcPr>
            <w:tcW w:w="2355" w:type="dxa"/>
            <w:vMerge w:val="restart"/>
            <w:vAlign w:val="center"/>
          </w:tcPr>
          <w:p w:rsidR="000D2C98" w:rsidRDefault="000D2C98" w:rsidP="00176492">
            <w:r>
              <w:t>Establecimientos cerrados de seguridad mediana, para mujeres adultas.</w:t>
            </w:r>
          </w:p>
          <w:p w:rsidR="000D2C98" w:rsidRDefault="000D2C98" w:rsidP="00176492">
            <w:r>
              <w:t>Exclusivo para mujeres.</w:t>
            </w:r>
          </w:p>
        </w:tc>
      </w:tr>
      <w:tr w:rsidR="000D2C98" w:rsidTr="00176492">
        <w:tc>
          <w:tcPr>
            <w:tcW w:w="2327" w:type="dxa"/>
          </w:tcPr>
          <w:p w:rsidR="000D2C98" w:rsidRDefault="000D2C98" w:rsidP="00176492">
            <w:pPr>
              <w:jc w:val="both"/>
            </w:pPr>
            <w:r>
              <w:t>Centro Penitenciario  de Mujeres “Juana María de Lara”</w:t>
            </w:r>
          </w:p>
        </w:tc>
        <w:tc>
          <w:tcPr>
            <w:tcW w:w="1368" w:type="dxa"/>
            <w:vAlign w:val="center"/>
          </w:tcPr>
          <w:p w:rsidR="000D2C98" w:rsidRDefault="000D2C98" w:rsidP="00176492">
            <w:pPr>
              <w:jc w:val="center"/>
            </w:pPr>
            <w:r>
              <w:t>61</w:t>
            </w:r>
          </w:p>
        </w:tc>
        <w:tc>
          <w:tcPr>
            <w:tcW w:w="1417" w:type="dxa"/>
            <w:vAlign w:val="center"/>
          </w:tcPr>
          <w:p w:rsidR="000D2C98" w:rsidRDefault="000D2C98" w:rsidP="00176492">
            <w:pPr>
              <w:jc w:val="center"/>
            </w:pPr>
            <w:r>
              <w:t>20</w:t>
            </w:r>
          </w:p>
        </w:tc>
        <w:tc>
          <w:tcPr>
            <w:tcW w:w="1587" w:type="dxa"/>
            <w:vAlign w:val="center"/>
          </w:tcPr>
          <w:p w:rsidR="000D2C98" w:rsidRDefault="000D2C98" w:rsidP="00176492">
            <w:pPr>
              <w:jc w:val="center"/>
            </w:pPr>
            <w:r>
              <w:t>50</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Centro Penitenciario  de Mujeres “Serafina Dávalos”</w:t>
            </w:r>
          </w:p>
        </w:tc>
        <w:tc>
          <w:tcPr>
            <w:tcW w:w="1368" w:type="dxa"/>
            <w:vAlign w:val="center"/>
          </w:tcPr>
          <w:p w:rsidR="000D2C98" w:rsidRDefault="000D2C98" w:rsidP="00176492">
            <w:pPr>
              <w:jc w:val="center"/>
            </w:pPr>
            <w:r>
              <w:t>46</w:t>
            </w:r>
          </w:p>
        </w:tc>
        <w:tc>
          <w:tcPr>
            <w:tcW w:w="1417" w:type="dxa"/>
            <w:vAlign w:val="center"/>
          </w:tcPr>
          <w:p w:rsidR="000D2C98" w:rsidRDefault="000D2C98" w:rsidP="00176492">
            <w:pPr>
              <w:jc w:val="center"/>
            </w:pPr>
            <w:r>
              <w:t>8</w:t>
            </w:r>
          </w:p>
        </w:tc>
        <w:tc>
          <w:tcPr>
            <w:tcW w:w="1587" w:type="dxa"/>
            <w:vAlign w:val="center"/>
          </w:tcPr>
          <w:p w:rsidR="000D2C98" w:rsidRDefault="000D2C98" w:rsidP="00176492">
            <w:pPr>
              <w:jc w:val="center"/>
            </w:pPr>
            <w:r>
              <w:t>52</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Penitenciaría Regional de Itapúa</w:t>
            </w:r>
          </w:p>
        </w:tc>
        <w:tc>
          <w:tcPr>
            <w:tcW w:w="1368" w:type="dxa"/>
            <w:vAlign w:val="center"/>
          </w:tcPr>
          <w:p w:rsidR="000D2C98" w:rsidRDefault="000D2C98" w:rsidP="00176492">
            <w:pPr>
              <w:jc w:val="center"/>
            </w:pPr>
            <w:r>
              <w:t>46</w:t>
            </w:r>
          </w:p>
        </w:tc>
        <w:tc>
          <w:tcPr>
            <w:tcW w:w="1417" w:type="dxa"/>
            <w:vAlign w:val="center"/>
          </w:tcPr>
          <w:p w:rsidR="000D2C98" w:rsidRDefault="000D2C98" w:rsidP="00176492">
            <w:pPr>
              <w:jc w:val="center"/>
            </w:pPr>
            <w:r>
              <w:t>16</w:t>
            </w:r>
          </w:p>
        </w:tc>
        <w:tc>
          <w:tcPr>
            <w:tcW w:w="1587" w:type="dxa"/>
            <w:vAlign w:val="center"/>
          </w:tcPr>
          <w:p w:rsidR="000D2C98" w:rsidRDefault="000D2C98" w:rsidP="00176492">
            <w:pPr>
              <w:jc w:val="center"/>
            </w:pPr>
            <w:r>
              <w:t>26</w:t>
            </w:r>
          </w:p>
        </w:tc>
        <w:tc>
          <w:tcPr>
            <w:tcW w:w="2355" w:type="dxa"/>
            <w:vMerge w:val="restart"/>
            <w:vAlign w:val="center"/>
          </w:tcPr>
          <w:p w:rsidR="000D2C98" w:rsidRDefault="000D2C98" w:rsidP="00176492">
            <w:r>
              <w:t>Establecimientos cerrados de seguridad mediana.</w:t>
            </w:r>
          </w:p>
          <w:p w:rsidR="000D2C98" w:rsidRDefault="000D2C98" w:rsidP="00176492">
            <w:r>
              <w:t>Área para mujeres dentro de penitenciaría para hombres.</w:t>
            </w:r>
          </w:p>
        </w:tc>
      </w:tr>
      <w:tr w:rsidR="000D2C98" w:rsidTr="00176492">
        <w:tc>
          <w:tcPr>
            <w:tcW w:w="2327" w:type="dxa"/>
          </w:tcPr>
          <w:p w:rsidR="000D2C98" w:rsidRDefault="000D2C98" w:rsidP="00176492">
            <w:pPr>
              <w:jc w:val="both"/>
            </w:pPr>
            <w:r>
              <w:t>Penitenciaría Regional de Villarrica</w:t>
            </w:r>
          </w:p>
        </w:tc>
        <w:tc>
          <w:tcPr>
            <w:tcW w:w="1368" w:type="dxa"/>
            <w:vAlign w:val="center"/>
          </w:tcPr>
          <w:p w:rsidR="000D2C98" w:rsidRDefault="000D2C98" w:rsidP="00176492">
            <w:pPr>
              <w:jc w:val="center"/>
            </w:pPr>
            <w:r>
              <w:t>30</w:t>
            </w:r>
          </w:p>
        </w:tc>
        <w:tc>
          <w:tcPr>
            <w:tcW w:w="1417" w:type="dxa"/>
            <w:vAlign w:val="center"/>
          </w:tcPr>
          <w:p w:rsidR="000D2C98" w:rsidRDefault="000D2C98" w:rsidP="00176492">
            <w:pPr>
              <w:jc w:val="center"/>
            </w:pPr>
            <w:r>
              <w:t>8</w:t>
            </w:r>
          </w:p>
        </w:tc>
        <w:tc>
          <w:tcPr>
            <w:tcW w:w="1587" w:type="dxa"/>
            <w:vAlign w:val="center"/>
          </w:tcPr>
          <w:p w:rsidR="000D2C98" w:rsidRDefault="000D2C98" w:rsidP="00176492">
            <w:pPr>
              <w:jc w:val="center"/>
            </w:pPr>
            <w:r>
              <w:t>20</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Penitenciaría Regional de Misiones</w:t>
            </w:r>
          </w:p>
        </w:tc>
        <w:tc>
          <w:tcPr>
            <w:tcW w:w="1368" w:type="dxa"/>
            <w:vAlign w:val="center"/>
          </w:tcPr>
          <w:p w:rsidR="000D2C98" w:rsidRDefault="000D2C98" w:rsidP="00176492">
            <w:pPr>
              <w:jc w:val="center"/>
            </w:pPr>
            <w:r>
              <w:t>43</w:t>
            </w:r>
          </w:p>
        </w:tc>
        <w:tc>
          <w:tcPr>
            <w:tcW w:w="1417" w:type="dxa"/>
            <w:vAlign w:val="center"/>
          </w:tcPr>
          <w:p w:rsidR="000D2C98" w:rsidRDefault="000D2C98" w:rsidP="00176492">
            <w:pPr>
              <w:jc w:val="center"/>
            </w:pPr>
            <w:r>
              <w:t>10</w:t>
            </w:r>
          </w:p>
        </w:tc>
        <w:tc>
          <w:tcPr>
            <w:tcW w:w="1587" w:type="dxa"/>
            <w:vAlign w:val="center"/>
          </w:tcPr>
          <w:p w:rsidR="000D2C98" w:rsidRDefault="000D2C98" w:rsidP="00176492">
            <w:pPr>
              <w:jc w:val="center"/>
            </w:pPr>
            <w:r>
              <w:t>16</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Penitenciaría Regional de San Pedro</w:t>
            </w:r>
          </w:p>
        </w:tc>
        <w:tc>
          <w:tcPr>
            <w:tcW w:w="1368" w:type="dxa"/>
            <w:vAlign w:val="center"/>
          </w:tcPr>
          <w:p w:rsidR="000D2C98" w:rsidRDefault="000D2C98" w:rsidP="00176492">
            <w:pPr>
              <w:jc w:val="center"/>
            </w:pPr>
            <w:r>
              <w:t>11</w:t>
            </w:r>
          </w:p>
        </w:tc>
        <w:tc>
          <w:tcPr>
            <w:tcW w:w="1417" w:type="dxa"/>
            <w:vAlign w:val="center"/>
          </w:tcPr>
          <w:p w:rsidR="000D2C98" w:rsidRDefault="000D2C98" w:rsidP="00176492">
            <w:pPr>
              <w:jc w:val="center"/>
            </w:pPr>
            <w:r>
              <w:t>10</w:t>
            </w:r>
          </w:p>
        </w:tc>
        <w:tc>
          <w:tcPr>
            <w:tcW w:w="1587" w:type="dxa"/>
            <w:vAlign w:val="center"/>
          </w:tcPr>
          <w:p w:rsidR="000D2C98" w:rsidRDefault="000D2C98" w:rsidP="00176492">
            <w:pPr>
              <w:jc w:val="center"/>
            </w:pPr>
            <w:r>
              <w:t>20</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Penitenciaría Regional de Concepción</w:t>
            </w:r>
          </w:p>
        </w:tc>
        <w:tc>
          <w:tcPr>
            <w:tcW w:w="1368" w:type="dxa"/>
            <w:vAlign w:val="center"/>
          </w:tcPr>
          <w:p w:rsidR="000D2C98" w:rsidRDefault="000D2C98" w:rsidP="00176492">
            <w:pPr>
              <w:jc w:val="center"/>
            </w:pPr>
            <w:r>
              <w:t>25</w:t>
            </w:r>
          </w:p>
        </w:tc>
        <w:tc>
          <w:tcPr>
            <w:tcW w:w="1417" w:type="dxa"/>
            <w:vAlign w:val="center"/>
          </w:tcPr>
          <w:p w:rsidR="000D2C98" w:rsidRDefault="000D2C98" w:rsidP="00176492">
            <w:pPr>
              <w:jc w:val="center"/>
            </w:pPr>
            <w:r>
              <w:t>11</w:t>
            </w:r>
          </w:p>
        </w:tc>
        <w:tc>
          <w:tcPr>
            <w:tcW w:w="1587" w:type="dxa"/>
            <w:vAlign w:val="center"/>
          </w:tcPr>
          <w:p w:rsidR="000D2C98" w:rsidRDefault="000D2C98" w:rsidP="00176492">
            <w:pPr>
              <w:jc w:val="center"/>
            </w:pPr>
            <w:r>
              <w:t>26</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Penitenciaría Regional de Pedro Juan Caballero</w:t>
            </w:r>
          </w:p>
        </w:tc>
        <w:tc>
          <w:tcPr>
            <w:tcW w:w="1368" w:type="dxa"/>
            <w:vAlign w:val="center"/>
          </w:tcPr>
          <w:p w:rsidR="000D2C98" w:rsidRDefault="000D2C98" w:rsidP="00176492">
            <w:pPr>
              <w:jc w:val="center"/>
            </w:pPr>
            <w:r>
              <w:t>36</w:t>
            </w:r>
          </w:p>
        </w:tc>
        <w:tc>
          <w:tcPr>
            <w:tcW w:w="1417" w:type="dxa"/>
            <w:vAlign w:val="center"/>
          </w:tcPr>
          <w:p w:rsidR="000D2C98" w:rsidRDefault="000D2C98" w:rsidP="00176492">
            <w:pPr>
              <w:jc w:val="center"/>
            </w:pPr>
            <w:r>
              <w:t>6</w:t>
            </w:r>
          </w:p>
        </w:tc>
        <w:tc>
          <w:tcPr>
            <w:tcW w:w="1587" w:type="dxa"/>
            <w:vAlign w:val="center"/>
          </w:tcPr>
          <w:p w:rsidR="000D2C98" w:rsidRDefault="000D2C98" w:rsidP="00176492">
            <w:pPr>
              <w:jc w:val="center"/>
            </w:pPr>
            <w:r>
              <w:t>26</w:t>
            </w:r>
          </w:p>
        </w:tc>
        <w:tc>
          <w:tcPr>
            <w:tcW w:w="2355" w:type="dxa"/>
            <w:vMerge/>
          </w:tcPr>
          <w:p w:rsidR="000D2C98" w:rsidRDefault="000D2C98" w:rsidP="00176492">
            <w:pPr>
              <w:jc w:val="both"/>
            </w:pPr>
          </w:p>
        </w:tc>
      </w:tr>
      <w:tr w:rsidR="000D2C98" w:rsidTr="00176492">
        <w:tc>
          <w:tcPr>
            <w:tcW w:w="2327" w:type="dxa"/>
          </w:tcPr>
          <w:p w:rsidR="000D2C98" w:rsidRDefault="000D2C98" w:rsidP="00176492">
            <w:pPr>
              <w:jc w:val="both"/>
            </w:pPr>
            <w:r>
              <w:t>Centro Educativo Virgen de Fátima</w:t>
            </w:r>
          </w:p>
        </w:tc>
        <w:tc>
          <w:tcPr>
            <w:tcW w:w="1368" w:type="dxa"/>
            <w:vAlign w:val="center"/>
          </w:tcPr>
          <w:p w:rsidR="000D2C98" w:rsidRDefault="000D2C98" w:rsidP="00176492">
            <w:pPr>
              <w:jc w:val="center"/>
            </w:pPr>
            <w:r>
              <w:t>11</w:t>
            </w:r>
          </w:p>
        </w:tc>
        <w:tc>
          <w:tcPr>
            <w:tcW w:w="1417" w:type="dxa"/>
            <w:vAlign w:val="center"/>
          </w:tcPr>
          <w:p w:rsidR="000D2C98" w:rsidRDefault="000D2C98" w:rsidP="00176492">
            <w:pPr>
              <w:jc w:val="center"/>
            </w:pPr>
            <w:r>
              <w:t>1</w:t>
            </w:r>
          </w:p>
        </w:tc>
        <w:tc>
          <w:tcPr>
            <w:tcW w:w="1587" w:type="dxa"/>
            <w:vAlign w:val="center"/>
          </w:tcPr>
          <w:p w:rsidR="000D2C98" w:rsidRDefault="000D2C98" w:rsidP="00176492">
            <w:pPr>
              <w:jc w:val="center"/>
            </w:pPr>
            <w:r>
              <w:t>16</w:t>
            </w:r>
          </w:p>
        </w:tc>
        <w:tc>
          <w:tcPr>
            <w:tcW w:w="2355" w:type="dxa"/>
          </w:tcPr>
          <w:p w:rsidR="000D2C98" w:rsidRDefault="000D2C98" w:rsidP="00176492">
            <w:pPr>
              <w:jc w:val="both"/>
            </w:pPr>
            <w:r>
              <w:t>Establecimiento cerrado de seguridad mediana, para adolescentes infractoras.</w:t>
            </w:r>
          </w:p>
          <w:p w:rsidR="000D2C98" w:rsidRDefault="000D2C98" w:rsidP="00176492">
            <w:pPr>
              <w:jc w:val="both"/>
            </w:pPr>
            <w:r>
              <w:lastRenderedPageBreak/>
              <w:t>Exclusivo para mujeres.</w:t>
            </w:r>
          </w:p>
        </w:tc>
      </w:tr>
      <w:tr w:rsidR="000D2C98" w:rsidTr="00176492">
        <w:tc>
          <w:tcPr>
            <w:tcW w:w="2327" w:type="dxa"/>
          </w:tcPr>
          <w:p w:rsidR="000D2C98" w:rsidRPr="00774B93" w:rsidRDefault="000D2C98" w:rsidP="00176492">
            <w:pPr>
              <w:jc w:val="both"/>
              <w:rPr>
                <w:b/>
              </w:rPr>
            </w:pPr>
            <w:r w:rsidRPr="00774B93">
              <w:rPr>
                <w:b/>
              </w:rPr>
              <w:lastRenderedPageBreak/>
              <w:t>Totales</w:t>
            </w:r>
          </w:p>
        </w:tc>
        <w:tc>
          <w:tcPr>
            <w:tcW w:w="1368" w:type="dxa"/>
            <w:vAlign w:val="center"/>
          </w:tcPr>
          <w:p w:rsidR="000D2C98" w:rsidRPr="00774B93" w:rsidRDefault="000D2C98" w:rsidP="00176492">
            <w:pPr>
              <w:jc w:val="center"/>
              <w:rPr>
                <w:b/>
              </w:rPr>
            </w:pPr>
            <w:r w:rsidRPr="00774B93">
              <w:rPr>
                <w:b/>
              </w:rPr>
              <w:t>57</w:t>
            </w:r>
            <w:r>
              <w:rPr>
                <w:b/>
              </w:rPr>
              <w:t>9</w:t>
            </w:r>
          </w:p>
        </w:tc>
        <w:tc>
          <w:tcPr>
            <w:tcW w:w="1417" w:type="dxa"/>
            <w:vAlign w:val="center"/>
          </w:tcPr>
          <w:p w:rsidR="000D2C98" w:rsidRPr="00774B93" w:rsidRDefault="000D2C98" w:rsidP="00176492">
            <w:pPr>
              <w:jc w:val="center"/>
              <w:rPr>
                <w:b/>
              </w:rPr>
            </w:pPr>
            <w:r w:rsidRPr="00774B93">
              <w:rPr>
                <w:b/>
              </w:rPr>
              <w:t>260</w:t>
            </w:r>
          </w:p>
        </w:tc>
        <w:tc>
          <w:tcPr>
            <w:tcW w:w="1587" w:type="dxa"/>
            <w:vAlign w:val="center"/>
          </w:tcPr>
          <w:p w:rsidR="000D2C98" w:rsidRPr="00B70B59" w:rsidRDefault="000D2C98" w:rsidP="00176492">
            <w:pPr>
              <w:jc w:val="center"/>
              <w:rPr>
                <w:b/>
              </w:rPr>
            </w:pPr>
            <w:r w:rsidRPr="00B70B59">
              <w:rPr>
                <w:b/>
              </w:rPr>
              <w:t>452</w:t>
            </w:r>
          </w:p>
        </w:tc>
        <w:tc>
          <w:tcPr>
            <w:tcW w:w="2355" w:type="dxa"/>
          </w:tcPr>
          <w:p w:rsidR="000D2C98" w:rsidRDefault="000D2C98" w:rsidP="00176492">
            <w:pPr>
              <w:jc w:val="both"/>
            </w:pPr>
          </w:p>
        </w:tc>
      </w:tr>
    </w:tbl>
    <w:p w:rsidR="000D2C98" w:rsidRDefault="000D2C98" w:rsidP="000D2C98">
      <w:pPr>
        <w:spacing w:after="0" w:line="240" w:lineRule="auto"/>
        <w:jc w:val="both"/>
      </w:pPr>
      <w:r w:rsidRPr="00C20D1E">
        <w:rPr>
          <w:b/>
          <w:u w:val="single"/>
        </w:rPr>
        <w:t>Fuente</w:t>
      </w:r>
      <w:r>
        <w:t xml:space="preserve">: </w:t>
      </w:r>
      <w:r w:rsidRPr="006931E9">
        <w:t xml:space="preserve">Ministerio de Justicia. Parte Diario del </w:t>
      </w:r>
      <w:r>
        <w:t>15</w:t>
      </w:r>
      <w:r w:rsidRPr="006931E9">
        <w:t xml:space="preserve"> de </w:t>
      </w:r>
      <w:r>
        <w:t>diciembre</w:t>
      </w:r>
      <w:r w:rsidRPr="006931E9">
        <w:t xml:space="preserve"> de 201</w:t>
      </w:r>
      <w:r>
        <w:t>6; Servicio Nacional de Asistencia al Adolescente Infractor (SENAAI) Centro Educativo “Virgen de Fátima”, diciembre de 2016.</w:t>
      </w:r>
    </w:p>
    <w:p w:rsidR="000D2C98" w:rsidRDefault="000D2C98" w:rsidP="000D2C98">
      <w:pPr>
        <w:spacing w:after="0" w:line="240" w:lineRule="auto"/>
        <w:jc w:val="both"/>
      </w:pPr>
    </w:p>
    <w:p w:rsidR="000D2C98" w:rsidRPr="00EE1C0C" w:rsidRDefault="000D2C98" w:rsidP="000D2C98">
      <w:pPr>
        <w:spacing w:after="0" w:line="240" w:lineRule="auto"/>
        <w:jc w:val="both"/>
      </w:pPr>
      <w:r w:rsidRPr="00EE1C0C">
        <w:t xml:space="preserve">Sin embargo, las tasas de ocupación real de las prisiones del Estado parte deben ser discutidas, en base a los criterios utilizados para determinar el aforo de los establecimientos. De acuerdo al Código de Ejecución Penal vigente en el Estado parte, la autoridad administrativa penitenciaria deberá establecer mediante criterios técnicos y de modo transparente el aforo de los establecimientos penitenciarios, debiendo para ello lograr la certificación de </w:t>
      </w:r>
      <w:r w:rsidRPr="00EE1C0C">
        <w:rPr>
          <w:rFonts w:cs="Arial"/>
        </w:rPr>
        <w:t xml:space="preserve">los organismos públicos y los de la sociedad civil que hayan firmado convenios de prestación de servicios o asistencia en el ámbito penitenciario o de los derechos humanos. Los directores de establecimientos están autorizados a rechazar el ingreso de excedentes. </w:t>
      </w:r>
      <w:r w:rsidRPr="00EE1C0C">
        <w:t xml:space="preserve">Es función del Juzgado de Ejecución </w:t>
      </w:r>
      <w:r w:rsidRPr="00EE1C0C">
        <w:rPr>
          <w:rFonts w:cs="Arial"/>
          <w:lang w:val="es-ES_tradnl"/>
        </w:rPr>
        <w:t>controlar este aforo y tomar las medidas que correspondan en caso de que dicha capacidad se vea excedida y no se disponga nada al respecto por parte del director respectivo.</w:t>
      </w:r>
    </w:p>
    <w:p w:rsidR="000D2C98" w:rsidRDefault="000D2C98" w:rsidP="000D2C98">
      <w:pPr>
        <w:spacing w:after="0" w:line="240" w:lineRule="auto"/>
        <w:jc w:val="both"/>
      </w:pPr>
    </w:p>
    <w:p w:rsidR="000D2C98" w:rsidRPr="00EE1C0C" w:rsidRDefault="000D2C98" w:rsidP="000D2C98">
      <w:pPr>
        <w:spacing w:after="0" w:line="240" w:lineRule="auto"/>
        <w:jc w:val="both"/>
      </w:pPr>
      <w:r w:rsidRPr="00EE1C0C">
        <w:t xml:space="preserve">Estas normas no son aplicadas en la práctica. Se desconocen cuáles son los criterios utilizados para determinar la capacidad de albergue. El MNP adopta </w:t>
      </w:r>
      <w:r w:rsidRPr="00EE1C0C">
        <w:rPr>
          <w:kern w:val="28"/>
        </w:rPr>
        <w:t>el estándar internacional en derechos humanos en la materia, que define que 7 m² (2 m entre paredes y 2,5 m entre piso y techo) de espacio de habitación en una celda de detención por prisionero es el estándar deseable para mantener a una persona en régimen de privación de libertad</w:t>
      </w:r>
      <w:r w:rsidRPr="00EE1C0C">
        <w:rPr>
          <w:rStyle w:val="FootnoteReference"/>
          <w:kern w:val="28"/>
        </w:rPr>
        <w:footnoteReference w:id="11"/>
      </w:r>
      <w:r w:rsidRPr="00EE1C0C">
        <w:rPr>
          <w:kern w:val="28"/>
        </w:rPr>
        <w:t>.</w:t>
      </w:r>
    </w:p>
    <w:p w:rsidR="000D2C98" w:rsidRDefault="000D2C98" w:rsidP="000D2C98">
      <w:pPr>
        <w:spacing w:after="0" w:line="240" w:lineRule="auto"/>
        <w:jc w:val="both"/>
      </w:pPr>
    </w:p>
    <w:p w:rsidR="000D2C98" w:rsidRPr="0042419E" w:rsidRDefault="000D2C98" w:rsidP="000D2C98">
      <w:pPr>
        <w:spacing w:after="0" w:line="240" w:lineRule="auto"/>
        <w:jc w:val="both"/>
      </w:pPr>
      <w:r w:rsidRPr="0042419E">
        <w:t xml:space="preserve">De aplicarse este criterio, el nivel de hacinamiento sería mayor. En inspecciones del 2015 el MNP -aplicando el estándar de </w:t>
      </w:r>
      <w:r w:rsidRPr="0042419E">
        <w:rPr>
          <w:kern w:val="28"/>
        </w:rPr>
        <w:t xml:space="preserve">7 m²- determinó que las Penitenciarías Regionales de Coronel Oviedo, Misiones y Antigua Emboscada presentaban niveles de ocupación del </w:t>
      </w:r>
      <w:r w:rsidRPr="0042419E">
        <w:t>265%, 420% y 829% respectivamente. A pesar de la diferencia en estructura y organización del espacio entre prisiones, es común la existencia de pabellones con celdas de un tamaño estándar de once m², espacio que es insuficiente para albergar a más de un interno sin generar hacinamiento. En cada celda se cuenta con tres a cuatro camas construidas en cemento y dispuestas en litera. En algunas celdas, en pabellones sobrepoblados, el MNP ha llegado a constatar que viven más de diez internos.</w:t>
      </w:r>
    </w:p>
    <w:p w:rsidR="004A0754" w:rsidRDefault="004A0754" w:rsidP="00C83BE8">
      <w:pPr>
        <w:spacing w:after="0" w:line="240" w:lineRule="auto"/>
        <w:jc w:val="both"/>
      </w:pPr>
    </w:p>
    <w:p w:rsidR="000D2C98" w:rsidRDefault="000D2C98" w:rsidP="00C83BE8">
      <w:pPr>
        <w:spacing w:after="0" w:line="240" w:lineRule="auto"/>
        <w:jc w:val="both"/>
      </w:pPr>
      <w:r>
        <w:t>Para diciembre de 2016, existían 539 personas (4% del total) de nacionalidad extranjera en los centros penitenciarios del Estado parte. En su mayor parte, se trata de nacionales de los Estados limítrofes (Brasil y Argentina, principalmente).</w:t>
      </w:r>
    </w:p>
    <w:p w:rsidR="000D2C98" w:rsidRDefault="000D2C98" w:rsidP="00C83BE8">
      <w:pPr>
        <w:spacing w:after="0" w:line="240" w:lineRule="auto"/>
        <w:jc w:val="both"/>
      </w:pPr>
    </w:p>
    <w:p w:rsidR="000D2C98" w:rsidRDefault="000D2C98" w:rsidP="00C83BE8">
      <w:pPr>
        <w:spacing w:after="0" w:line="240" w:lineRule="auto"/>
        <w:jc w:val="both"/>
      </w:pPr>
      <w:r>
        <w:t>Para el 2016, se contaba con 180 indígenas en los establecimientos penitenciarios</w:t>
      </w:r>
      <w:r w:rsidR="0038306A">
        <w:t xml:space="preserve"> (1,4% de la población total)</w:t>
      </w:r>
      <w:r>
        <w:t xml:space="preserve">. </w:t>
      </w:r>
      <w:r w:rsidR="0038306A">
        <w:t xml:space="preserve">Mayoritariamente son hombres (172 hombres y 8 mujeres). De ellos, 19 (17 hombres y dos mujeres) son adolescentes infractores. Las etnias que mayoritariamente conforman la población penitenciaria indígena son las guaraníes de la Región Occidental, los </w:t>
      </w:r>
      <w:proofErr w:type="spellStart"/>
      <w:r w:rsidR="0038306A">
        <w:t>pai</w:t>
      </w:r>
      <w:proofErr w:type="spellEnd"/>
      <w:r w:rsidR="0038306A">
        <w:t xml:space="preserve"> </w:t>
      </w:r>
      <w:proofErr w:type="spellStart"/>
      <w:r w:rsidR="0038306A">
        <w:t>tavytera</w:t>
      </w:r>
      <w:proofErr w:type="spellEnd"/>
      <w:r w:rsidR="0038306A">
        <w:t xml:space="preserve">, </w:t>
      </w:r>
      <w:proofErr w:type="spellStart"/>
      <w:r w:rsidR="0038306A">
        <w:t>mbya</w:t>
      </w:r>
      <w:proofErr w:type="spellEnd"/>
      <w:r w:rsidR="0038306A">
        <w:t xml:space="preserve"> guaraní y </w:t>
      </w:r>
      <w:proofErr w:type="spellStart"/>
      <w:r w:rsidR="0038306A">
        <w:t>ava</w:t>
      </w:r>
      <w:proofErr w:type="spellEnd"/>
      <w:r w:rsidR="0038306A">
        <w:t xml:space="preserve"> guaraní. En conjunto, las personas pertenecientes a estos tres pueblos conforman más del 80% de la población indígena privada de libertad.</w:t>
      </w:r>
    </w:p>
    <w:p w:rsidR="000D2C98" w:rsidRDefault="000D2C98" w:rsidP="00C83BE8">
      <w:pPr>
        <w:spacing w:after="0" w:line="240" w:lineRule="auto"/>
        <w:jc w:val="both"/>
      </w:pPr>
    </w:p>
    <w:p w:rsidR="000D2C98" w:rsidRPr="0012204E" w:rsidRDefault="000D2C98" w:rsidP="000D2C98">
      <w:pPr>
        <w:spacing w:after="0" w:line="240" w:lineRule="auto"/>
        <w:jc w:val="both"/>
      </w:pPr>
      <w:r w:rsidRPr="0012204E">
        <w:t xml:space="preserve">Para diciembre de 2016, el 68,5% de las mujeres privadas de libertad se encontraba guardando reclusión en virtud de una orden de prisión preventiva, en tanto que el 31,5% se encontraba cumpliendo una condena. Para los hombres, la proporción de presos en prisión preventiva alcanza el 76,5%. </w:t>
      </w:r>
      <w:r>
        <w:t xml:space="preserve">El 85,6% de la población indígena privada de libertad se encuentra sin condena. En el caso de los adolescentes, hombres y mujeres, la relación es peor; el 85,5% de los mismos se encuentran en prisión preventiva. </w:t>
      </w:r>
      <w:r w:rsidRPr="0012204E">
        <w:t>Paraguay se ubica en el cuarto lugar a nivel mundial en la proporción de presos sin condena y en el primer lugar en ese mismo indicador a nivel sudamericano, de acuerdo a un reporte del año 2017 (</w:t>
      </w:r>
      <w:proofErr w:type="spellStart"/>
      <w:r w:rsidRPr="0012204E">
        <w:t>Walmsley</w:t>
      </w:r>
      <w:proofErr w:type="spellEnd"/>
      <w:r w:rsidRPr="0012204E">
        <w:t>, 2017).</w:t>
      </w:r>
    </w:p>
    <w:p w:rsidR="000D2C98" w:rsidRPr="00454AD3" w:rsidRDefault="000D2C98" w:rsidP="000D2C98">
      <w:pPr>
        <w:spacing w:after="0" w:line="240" w:lineRule="auto"/>
        <w:jc w:val="both"/>
        <w:rPr>
          <w:highlight w:val="yellow"/>
        </w:rPr>
      </w:pPr>
    </w:p>
    <w:p w:rsidR="002B19FA" w:rsidRPr="0042419E" w:rsidRDefault="002B19FA" w:rsidP="002B19FA">
      <w:pPr>
        <w:pStyle w:val="SingleTxtG"/>
        <w:rPr>
          <w:rFonts w:ascii="Calibri" w:eastAsia="Calibri" w:hAnsi="Calibri" w:cs="Times New Roman"/>
          <w:b/>
          <w:lang w:eastAsia="en-US"/>
        </w:rPr>
      </w:pPr>
      <w:r w:rsidRPr="0042419E">
        <w:rPr>
          <w:rFonts w:ascii="Calibri" w:eastAsia="Calibri" w:hAnsi="Calibri" w:cs="Times New Roman"/>
          <w:b/>
          <w:lang w:eastAsia="en-US"/>
        </w:rPr>
        <w:t>19.</w:t>
      </w:r>
      <w:r w:rsidRPr="0042419E">
        <w:rPr>
          <w:rFonts w:ascii="Calibri" w:eastAsia="Calibri" w:hAnsi="Calibri" w:cs="Times New Roman"/>
          <w:b/>
          <w:lang w:eastAsia="en-US"/>
        </w:rPr>
        <w:tab/>
        <w:t>Con referencia a las observaciones finales anteriores del Comité (párr. 19), sírvanse indicar las medidas adoptadas a fin de mejorar las infraestructuras de las instituciones penitenciarias y otros lugares de detención. Sírvanse evaluar la eficacia de las medidas adoptadas para garantizar la separación entre menores y ad</w:t>
      </w:r>
      <w:r w:rsidR="00FD79F3" w:rsidRPr="0042419E">
        <w:rPr>
          <w:rFonts w:ascii="Calibri" w:eastAsia="Calibri" w:hAnsi="Calibri" w:cs="Times New Roman"/>
          <w:b/>
          <w:lang w:eastAsia="en-US"/>
        </w:rPr>
        <w:t>ultos y aliviar el hacinamiento</w:t>
      </w:r>
      <w:r w:rsidRPr="0042419E">
        <w:rPr>
          <w:rFonts w:ascii="Calibri" w:eastAsia="Calibri" w:hAnsi="Calibri" w:cs="Times New Roman"/>
          <w:b/>
          <w:lang w:eastAsia="en-US"/>
        </w:rPr>
        <w:t xml:space="preserve"> en la prisiones del Estado parte. Sírvanse proporcionar también información sobre los esfuerzos desplegados por el Estado parte a fin de reforzar los recursos de atención de salud disponibles en los centros penitenciarios.</w:t>
      </w:r>
    </w:p>
    <w:p w:rsidR="007C3392" w:rsidRPr="0042419E" w:rsidRDefault="0042419E" w:rsidP="00C83BE8">
      <w:pPr>
        <w:spacing w:after="0" w:line="240" w:lineRule="auto"/>
        <w:jc w:val="both"/>
        <w:rPr>
          <w:i/>
        </w:rPr>
      </w:pPr>
      <w:r w:rsidRPr="0042419E">
        <w:rPr>
          <w:i/>
        </w:rPr>
        <w:t>Infraestructura penitenciaria</w:t>
      </w:r>
    </w:p>
    <w:p w:rsidR="0042419E" w:rsidRDefault="0042419E" w:rsidP="00C83BE8">
      <w:pPr>
        <w:spacing w:after="0" w:line="240" w:lineRule="auto"/>
        <w:jc w:val="both"/>
      </w:pPr>
    </w:p>
    <w:p w:rsidR="00B70B59" w:rsidRPr="00B70B59" w:rsidRDefault="00EE1C0C" w:rsidP="00B70B59">
      <w:pPr>
        <w:spacing w:after="0" w:line="240" w:lineRule="auto"/>
        <w:jc w:val="both"/>
      </w:pPr>
      <w:r>
        <w:t>L</w:t>
      </w:r>
      <w:r w:rsidR="00B70B59" w:rsidRPr="00B70B59">
        <w:t xml:space="preserve">os centros de privación de mujeres son de carácter cerrado y de seguridad mediana. No existen establecimientos </w:t>
      </w:r>
      <w:proofErr w:type="spellStart"/>
      <w:r w:rsidR="00B70B59" w:rsidRPr="00B70B59">
        <w:t>semi</w:t>
      </w:r>
      <w:proofErr w:type="spellEnd"/>
      <w:r w:rsidR="00B70B59" w:rsidRPr="00B70B59">
        <w:t xml:space="preserve"> abiertos o abiertos</w:t>
      </w:r>
      <w:r w:rsidR="00B70B59" w:rsidRPr="00B70B59">
        <w:rPr>
          <w:rStyle w:val="FootnoteReference"/>
        </w:rPr>
        <w:footnoteReference w:id="12"/>
      </w:r>
      <w:r w:rsidR="00B70B59" w:rsidRPr="00B70B59">
        <w:t xml:space="preserve">. No existen establecimientos de máxima seguridad, salvo un sector en el </w:t>
      </w:r>
      <w:r w:rsidR="001776DF">
        <w:t xml:space="preserve">Centro Penitenciario </w:t>
      </w:r>
      <w:r w:rsidR="00B70B59" w:rsidRPr="00B70B59">
        <w:t xml:space="preserve"> del Buen Pastor de Asunción, en donde se albergan tres internas condenadas. Tampoco existen otros tipos de centros de reclusión con finalidades específicas –que están establecidas en el Código de Ejecución Penal de la República del Paraguay- como los centros de prevenidos</w:t>
      </w:r>
      <w:r w:rsidR="00B70B59" w:rsidRPr="00B70B59">
        <w:rPr>
          <w:rStyle w:val="FootnoteReference"/>
        </w:rPr>
        <w:footnoteReference w:id="13"/>
      </w:r>
      <w:r w:rsidR="00B70B59" w:rsidRPr="00B70B59">
        <w:t>, centros de admisión</w:t>
      </w:r>
      <w:r w:rsidR="00B70B59" w:rsidRPr="00B70B59">
        <w:rPr>
          <w:rStyle w:val="FootnoteReference"/>
        </w:rPr>
        <w:footnoteReference w:id="14"/>
      </w:r>
      <w:r w:rsidR="00B70B59" w:rsidRPr="00B70B59">
        <w:t>, centros de detención breve</w:t>
      </w:r>
      <w:r w:rsidR="00B70B59" w:rsidRPr="00B70B59">
        <w:rPr>
          <w:rStyle w:val="FootnoteReference"/>
        </w:rPr>
        <w:footnoteReference w:id="15"/>
      </w:r>
      <w:r w:rsidR="00B70B59" w:rsidRPr="00B70B59">
        <w:t xml:space="preserve"> y centros de internación</w:t>
      </w:r>
      <w:r w:rsidR="00B70B59" w:rsidRPr="00B70B59">
        <w:rPr>
          <w:rStyle w:val="FootnoteReference"/>
        </w:rPr>
        <w:footnoteReference w:id="16"/>
      </w:r>
      <w:r w:rsidR="00B70B59" w:rsidRPr="00B70B59">
        <w:t xml:space="preserve">; no obstantes estas falencias afectan por igual a hombres y mujeres. Adicionalmente, existen hombres privados de libertad en un penal militar, donde son recluidos oficiales militares por disposición de la Justicia Militar y un reclusorio en el cuartel de la Agrupación Especializada de la Policía Nacional, donde guardan privación de libertad agentes de policía y, en algunos casos, civiles que requieren de un nivel de seguridad mayor que el proporcionado por los establecimientos penitenciarios. El MNP ya ha recomendado el cierre de este último establecimiento, debido </w:t>
      </w:r>
      <w:r w:rsidR="00B70B59" w:rsidRPr="00B70B59">
        <w:rPr>
          <w:rFonts w:cs="Arial"/>
          <w:shd w:val="clear" w:color="auto" w:fill="FFFFFF"/>
        </w:rPr>
        <w:t>a que el lugar no posee la infraestructura ni el personal capacitado para cumplir la función de custodia de personas.</w:t>
      </w:r>
    </w:p>
    <w:p w:rsidR="00B70B59" w:rsidRDefault="00B70B59" w:rsidP="00B70B59">
      <w:pPr>
        <w:spacing w:after="0" w:line="240" w:lineRule="auto"/>
        <w:jc w:val="both"/>
      </w:pPr>
    </w:p>
    <w:p w:rsidR="00B70B59" w:rsidRDefault="00B70B59" w:rsidP="00B70B59">
      <w:pPr>
        <w:spacing w:after="0" w:line="240" w:lineRule="auto"/>
        <w:jc w:val="both"/>
      </w:pPr>
      <w:r>
        <w:t xml:space="preserve">En todo el sistema penitenciario no se aplica la separación entre personas privadas de libertad condenadas y procesadas, salvo en tres unidades penitenciarias menores que albergan exclusivamente condenados hombres. Las personas que se encuentran en prisión preventiva </w:t>
      </w:r>
      <w:r>
        <w:lastRenderedPageBreak/>
        <w:t>cumplen la restricción de libertad en las mismas condiciones de reclusión y compartiendo los mismos espacios y rutinas que las personas que ya se encuentran cumpliendo una condena. Estas características afectan por igual a hombres y mujeres privados de libertad.</w:t>
      </w:r>
    </w:p>
    <w:p w:rsidR="005A4047" w:rsidRDefault="005A4047" w:rsidP="00C83BE8">
      <w:pPr>
        <w:spacing w:after="0" w:line="240" w:lineRule="auto"/>
        <w:jc w:val="both"/>
      </w:pPr>
    </w:p>
    <w:p w:rsidR="00B70B59" w:rsidRDefault="00B70B59" w:rsidP="00C83BE8">
      <w:pPr>
        <w:spacing w:after="0" w:line="240" w:lineRule="auto"/>
        <w:jc w:val="both"/>
      </w:pPr>
      <w:r>
        <w:t>En el conjunto del sistema penitenciario del Estado parte, las condiciones de infraestructura están sumamente deterioradas. Al hacinamiento existente</w:t>
      </w:r>
      <w:r w:rsidR="0020412B">
        <w:t>, se suman problemas de acceso al agua potable, conexiones eléctricas precarias, filtraciones de humedad y deterioro de la infraestructura, así como nulos sistemas de detección y alarma ante incendios, agravado por los escasos y deteriorados sistemas de combate contra incendios disponibles.</w:t>
      </w:r>
    </w:p>
    <w:p w:rsidR="00B70B59" w:rsidRDefault="00B70B59" w:rsidP="00C83BE8">
      <w:pPr>
        <w:spacing w:after="0" w:line="240" w:lineRule="auto"/>
        <w:jc w:val="both"/>
      </w:pPr>
    </w:p>
    <w:p w:rsidR="001776DF" w:rsidRDefault="0020412B" w:rsidP="00C83BE8">
      <w:pPr>
        <w:spacing w:after="0" w:line="240" w:lineRule="auto"/>
        <w:jc w:val="both"/>
      </w:pPr>
      <w:r>
        <w:t>En el 2015 el último sector de adolescentes infractores que se ubicaba en una prisión de adultos fue independizado con la habilitación de un nuevo centro educativo</w:t>
      </w:r>
      <w:r w:rsidR="001776DF">
        <w:t xml:space="preserve"> en la localidad de </w:t>
      </w:r>
      <w:proofErr w:type="spellStart"/>
      <w:r w:rsidR="001776DF">
        <w:t>Kambyreta</w:t>
      </w:r>
      <w:proofErr w:type="spellEnd"/>
      <w:r w:rsidR="001776DF">
        <w:t>. Asimismo, se construyó un nuevo Centro Educativo en Pedro Juan Caballero, para la reclusión de adolescentes infractores de la circunscripción judicial del Amambay</w:t>
      </w:r>
      <w:r>
        <w:t xml:space="preserve">. Asimismo, a principios del 2017 se habilitó el </w:t>
      </w:r>
      <w:r w:rsidR="001776DF">
        <w:t xml:space="preserve">Centro Penitenciario </w:t>
      </w:r>
      <w:r>
        <w:t xml:space="preserve"> de Mujeres "Serafina Dávalos" de Coronel Oviedo, que se independizó de esta manera del establecimiento masculino. </w:t>
      </w:r>
      <w:r w:rsidR="001776DF">
        <w:t xml:space="preserve"> En los últimos años el Estado parte ha construido nuevos pabellones en penitenciarías ya existentes (en el Centro Educativo de </w:t>
      </w:r>
      <w:proofErr w:type="spellStart"/>
      <w:r w:rsidR="001776DF">
        <w:t>Itauguá</w:t>
      </w:r>
      <w:proofErr w:type="spellEnd"/>
      <w:r w:rsidR="001776DF">
        <w:t>, en las Penitenciarías Regionales de San Pedro, Coronel Oviedo y Misiones). Se proyecta la construcción de un complejo penitenciario para 13.000 personas en Emboscada</w:t>
      </w:r>
      <w:r w:rsidR="00024EEE">
        <w:t>, inversión que podría duplicar la capacidad de alojamiento del sistema penitenciario</w:t>
      </w:r>
      <w:r w:rsidR="001776DF">
        <w:t>.</w:t>
      </w:r>
    </w:p>
    <w:p w:rsidR="001776DF" w:rsidRDefault="001776DF" w:rsidP="00C83BE8">
      <w:pPr>
        <w:spacing w:after="0" w:line="240" w:lineRule="auto"/>
        <w:jc w:val="both"/>
      </w:pPr>
    </w:p>
    <w:p w:rsidR="00024EEE" w:rsidRPr="00024EEE" w:rsidRDefault="00024EEE" w:rsidP="00C83BE8">
      <w:pPr>
        <w:spacing w:after="0" w:line="240" w:lineRule="auto"/>
        <w:jc w:val="both"/>
        <w:rPr>
          <w:i/>
        </w:rPr>
      </w:pPr>
      <w:r w:rsidRPr="00024EEE">
        <w:rPr>
          <w:i/>
        </w:rPr>
        <w:t>Política de prisión preventiva y encarcelamiento masivo</w:t>
      </w:r>
    </w:p>
    <w:p w:rsidR="00024EEE" w:rsidRDefault="00024EEE" w:rsidP="00C83BE8">
      <w:pPr>
        <w:spacing w:after="0" w:line="240" w:lineRule="auto"/>
        <w:jc w:val="both"/>
      </w:pPr>
    </w:p>
    <w:p w:rsidR="0020412B" w:rsidRDefault="0020412B" w:rsidP="00C83BE8">
      <w:pPr>
        <w:spacing w:after="0" w:line="240" w:lineRule="auto"/>
        <w:jc w:val="both"/>
      </w:pPr>
      <w:r>
        <w:t>Si bien el MNP recomendó que las instalaciones de mujeres sean independientes de los est</w:t>
      </w:r>
      <w:r w:rsidR="00662B13">
        <w:t xml:space="preserve">ablecimientos masculinos, </w:t>
      </w:r>
      <w:r>
        <w:t xml:space="preserve">la construcción de más prisiones </w:t>
      </w:r>
      <w:r w:rsidR="00662B13">
        <w:t xml:space="preserve">no da </w:t>
      </w:r>
      <w:r>
        <w:t>la solución al hacinamiento crítico registrado.</w:t>
      </w:r>
    </w:p>
    <w:p w:rsidR="00B70B59" w:rsidRDefault="00B70B59" w:rsidP="00C83BE8">
      <w:pPr>
        <w:spacing w:after="0" w:line="240" w:lineRule="auto"/>
        <w:jc w:val="both"/>
      </w:pPr>
    </w:p>
    <w:p w:rsidR="00B70B59" w:rsidRDefault="00B70B59" w:rsidP="00B70B59">
      <w:pPr>
        <w:spacing w:after="0" w:line="240" w:lineRule="auto"/>
        <w:jc w:val="both"/>
      </w:pPr>
      <w:r>
        <w:t xml:space="preserve">La causa principal del hacinamiento en las prisiones es el abuso de la prisión preventiva y las restricciones al cumplimiento anticipado de la condena (libertad condicional o </w:t>
      </w:r>
      <w:proofErr w:type="spellStart"/>
      <w:r w:rsidRPr="00692538">
        <w:rPr>
          <w:i/>
        </w:rPr>
        <w:t>parole</w:t>
      </w:r>
      <w:proofErr w:type="spellEnd"/>
      <w:r>
        <w:t xml:space="preserve">, redención, etc.). La política criminal de encierro masivo lleva al colapso del sistema penitenciario. </w:t>
      </w:r>
    </w:p>
    <w:p w:rsidR="00B70B59" w:rsidRDefault="00B70B59" w:rsidP="00C83BE8">
      <w:pPr>
        <w:spacing w:after="0" w:line="240" w:lineRule="auto"/>
        <w:jc w:val="both"/>
      </w:pPr>
    </w:p>
    <w:p w:rsidR="00454AD3" w:rsidRPr="005A0BC8" w:rsidRDefault="0012204E" w:rsidP="00454AD3">
      <w:pPr>
        <w:spacing w:after="0" w:line="240" w:lineRule="auto"/>
        <w:jc w:val="both"/>
      </w:pPr>
      <w:r w:rsidRPr="005A0BC8">
        <w:t>En sus inspecciones, el MNP ha constatado los prolongados promedios de duración de la prisión preventiva en el conjunto del sistema penitenciario</w:t>
      </w:r>
      <w:r w:rsidR="005A0BC8" w:rsidRPr="005A0BC8">
        <w:t xml:space="preserve"> </w:t>
      </w:r>
      <w:r w:rsidR="005A0BC8">
        <w:t xml:space="preserve">y </w:t>
      </w:r>
      <w:r w:rsidR="005A0BC8" w:rsidRPr="005A0BC8">
        <w:t>situaciones generalizada</w:t>
      </w:r>
      <w:r w:rsidR="005A0BC8">
        <w:t>s</w:t>
      </w:r>
      <w:r w:rsidR="005A0BC8" w:rsidRPr="005A0BC8">
        <w:t xml:space="preserve"> de abuso de la prisión preventiva, afectando tanto a mujeres como a hombres.</w:t>
      </w:r>
      <w:r w:rsidRPr="005A0BC8">
        <w:t xml:space="preserve"> </w:t>
      </w:r>
      <w:r w:rsidR="00454AD3" w:rsidRPr="005A0BC8">
        <w:t>El tiempo promedio de reclusión de las mujeres en prisión preventiva alcanza los 15,46 meses, de acuerdo a los datos del censo de mujeres privadas de libertad del MNP.</w:t>
      </w:r>
      <w:r w:rsidR="002351B7" w:rsidRPr="005A0BC8">
        <w:t xml:space="preserve"> En el caso de los indígenas privados de libertad, el tiempo promedio de reclusión en prisión preventiva es de 18,1 meses</w:t>
      </w:r>
      <w:r w:rsidR="005A0BC8">
        <w:t xml:space="preserve"> durante el 2016</w:t>
      </w:r>
      <w:r w:rsidR="002351B7" w:rsidRPr="005A0BC8">
        <w:t xml:space="preserve">, de acuerdo al </w:t>
      </w:r>
      <w:r w:rsidR="005A0BC8" w:rsidRPr="005A0BC8">
        <w:t>censo de indígenas privados de libertad del MNP</w:t>
      </w:r>
      <w:r w:rsidR="002351B7" w:rsidRPr="005A0BC8">
        <w:t>.</w:t>
      </w:r>
      <w:r w:rsidR="00B65C00">
        <w:t xml:space="preserve"> En el caso de los adolescentes, para el 2016, el tiempo promedio de reclusión en prisión preventiva era de </w:t>
      </w:r>
      <w:r w:rsidR="00916778">
        <w:t>seis</w:t>
      </w:r>
      <w:r w:rsidR="00B65C00">
        <w:t xml:space="preserve"> meses, de acuerdo a los datos de monitoreo relevados por el MNP.</w:t>
      </w:r>
    </w:p>
    <w:p w:rsidR="00454AD3" w:rsidRPr="00454AD3" w:rsidRDefault="00454AD3" w:rsidP="00454AD3">
      <w:pPr>
        <w:spacing w:after="0" w:line="240" w:lineRule="auto"/>
        <w:jc w:val="both"/>
        <w:rPr>
          <w:highlight w:val="yellow"/>
        </w:rPr>
      </w:pPr>
    </w:p>
    <w:p w:rsidR="00454AD3" w:rsidRPr="005A0BC8" w:rsidRDefault="00454AD3" w:rsidP="00454AD3">
      <w:pPr>
        <w:spacing w:after="0" w:line="240" w:lineRule="auto"/>
        <w:jc w:val="both"/>
      </w:pPr>
      <w:r w:rsidRPr="005A0BC8">
        <w:t xml:space="preserve">Este indicador señala el abuso de la prisión preventiva y una vulneración del derecho de las </w:t>
      </w:r>
      <w:r w:rsidR="005A0BC8" w:rsidRPr="005A0BC8">
        <w:t>personas</w:t>
      </w:r>
      <w:r w:rsidRPr="005A0BC8">
        <w:t xml:space="preserve"> privadas de libertad a ser juzgadas dentro de un plazo razonable o, en su defecto, ser puestas en libertad. El tiempo promedio de reclusión prolongada presenta peores indicadores en el caso de quienes están procesad</w:t>
      </w:r>
      <w:r w:rsidR="005A0BC8" w:rsidRPr="005A0BC8">
        <w:t>os/</w:t>
      </w:r>
      <w:r w:rsidRPr="005A0BC8">
        <w:t xml:space="preserve">as por narcotráfico o por hechos punibles contra la persona. La manera desproporcionada en la que la ley contra el narcotráfico (Ley N° 1340/1988) afecta a las mujeres, quienes se encuentran mayoritariamente recluidas por imputaciones basadas en estos </w:t>
      </w:r>
      <w:r w:rsidRPr="005A0BC8">
        <w:lastRenderedPageBreak/>
        <w:t>delitos, incide en estos prolongados términos de reclusión a la espera de juicio</w:t>
      </w:r>
      <w:r w:rsidR="00024EEE">
        <w:t xml:space="preserve"> en el segmento femenino</w:t>
      </w:r>
      <w:r w:rsidRPr="005A0BC8">
        <w:t>.</w:t>
      </w:r>
    </w:p>
    <w:p w:rsidR="00454AD3" w:rsidRPr="005A0BC8" w:rsidRDefault="00454AD3" w:rsidP="00454AD3">
      <w:pPr>
        <w:spacing w:after="0" w:line="240" w:lineRule="auto"/>
        <w:jc w:val="both"/>
      </w:pPr>
    </w:p>
    <w:p w:rsidR="005A0BC8" w:rsidRPr="005A0BC8" w:rsidRDefault="005A0BC8" w:rsidP="00454AD3">
      <w:pPr>
        <w:spacing w:after="0" w:line="240" w:lineRule="auto"/>
        <w:jc w:val="both"/>
        <w:rPr>
          <w:b/>
        </w:rPr>
      </w:pPr>
      <w:r w:rsidRPr="005A0BC8">
        <w:rPr>
          <w:b/>
        </w:rPr>
        <w:t>CUADRO</w:t>
      </w:r>
    </w:p>
    <w:p w:rsidR="00454AD3" w:rsidRPr="005A0BC8" w:rsidRDefault="00454AD3" w:rsidP="00454AD3">
      <w:pPr>
        <w:spacing w:after="0" w:line="240" w:lineRule="auto"/>
        <w:jc w:val="both"/>
        <w:rPr>
          <w:b/>
        </w:rPr>
      </w:pPr>
      <w:r w:rsidRPr="005A0BC8">
        <w:rPr>
          <w:b/>
        </w:rPr>
        <w:t>Tiempo promedio de reclusión en prisión preventiva</w:t>
      </w:r>
    </w:p>
    <w:p w:rsidR="00454AD3" w:rsidRPr="005A0BC8" w:rsidRDefault="00454AD3" w:rsidP="00454AD3">
      <w:pPr>
        <w:spacing w:after="0" w:line="240" w:lineRule="auto"/>
        <w:jc w:val="both"/>
        <w:rPr>
          <w:b/>
        </w:rPr>
      </w:pPr>
      <w:r w:rsidRPr="005A0BC8">
        <w:rPr>
          <w:b/>
        </w:rPr>
        <w:t>Por establecimientos penitenciarios monitoreados. Años 2014 - 2016</w:t>
      </w:r>
    </w:p>
    <w:tbl>
      <w:tblPr>
        <w:tblStyle w:val="TableGrid"/>
        <w:tblW w:w="9370" w:type="dxa"/>
        <w:tblLook w:val="04A0" w:firstRow="1" w:lastRow="0" w:firstColumn="1" w:lastColumn="0" w:noHBand="0" w:noVBand="1"/>
      </w:tblPr>
      <w:tblGrid>
        <w:gridCol w:w="3085"/>
        <w:gridCol w:w="1047"/>
        <w:gridCol w:w="1079"/>
        <w:gridCol w:w="1047"/>
        <w:gridCol w:w="1080"/>
        <w:gridCol w:w="984"/>
        <w:gridCol w:w="1048"/>
      </w:tblGrid>
      <w:tr w:rsidR="00454AD3" w:rsidRPr="005A0BC8" w:rsidTr="0042419E">
        <w:tc>
          <w:tcPr>
            <w:tcW w:w="3085" w:type="dxa"/>
            <w:vMerge w:val="restart"/>
            <w:vAlign w:val="center"/>
          </w:tcPr>
          <w:p w:rsidR="00454AD3" w:rsidRPr="005A0BC8" w:rsidRDefault="00454AD3" w:rsidP="0042419E">
            <w:pPr>
              <w:jc w:val="center"/>
              <w:rPr>
                <w:b/>
                <w:sz w:val="18"/>
                <w:szCs w:val="18"/>
              </w:rPr>
            </w:pPr>
            <w:r w:rsidRPr="005A0BC8">
              <w:rPr>
                <w:b/>
                <w:sz w:val="18"/>
                <w:szCs w:val="18"/>
              </w:rPr>
              <w:t>Establecimiento Penitenciario</w:t>
            </w:r>
          </w:p>
        </w:tc>
        <w:tc>
          <w:tcPr>
            <w:tcW w:w="6285" w:type="dxa"/>
            <w:gridSpan w:val="6"/>
          </w:tcPr>
          <w:p w:rsidR="00454AD3" w:rsidRPr="005A0BC8" w:rsidRDefault="00454AD3" w:rsidP="0042419E">
            <w:pPr>
              <w:jc w:val="center"/>
              <w:rPr>
                <w:b/>
                <w:sz w:val="18"/>
                <w:szCs w:val="18"/>
              </w:rPr>
            </w:pPr>
            <w:r w:rsidRPr="005A0BC8">
              <w:rPr>
                <w:b/>
                <w:sz w:val="18"/>
                <w:szCs w:val="18"/>
              </w:rPr>
              <w:t>Tiempo promedio de duración de la prisión preventiva (en días)</w:t>
            </w:r>
          </w:p>
        </w:tc>
      </w:tr>
      <w:tr w:rsidR="00454AD3" w:rsidRPr="005A0BC8" w:rsidTr="0042419E">
        <w:tc>
          <w:tcPr>
            <w:tcW w:w="3085" w:type="dxa"/>
            <w:vMerge/>
          </w:tcPr>
          <w:p w:rsidR="00454AD3" w:rsidRPr="005A0BC8" w:rsidRDefault="00454AD3" w:rsidP="0042419E">
            <w:pPr>
              <w:jc w:val="center"/>
              <w:rPr>
                <w:b/>
                <w:sz w:val="18"/>
                <w:szCs w:val="18"/>
              </w:rPr>
            </w:pPr>
          </w:p>
        </w:tc>
        <w:tc>
          <w:tcPr>
            <w:tcW w:w="2126" w:type="dxa"/>
            <w:gridSpan w:val="2"/>
          </w:tcPr>
          <w:p w:rsidR="00454AD3" w:rsidRPr="005A0BC8" w:rsidRDefault="00454AD3" w:rsidP="0042419E">
            <w:pPr>
              <w:jc w:val="center"/>
              <w:rPr>
                <w:b/>
                <w:sz w:val="18"/>
                <w:szCs w:val="18"/>
              </w:rPr>
            </w:pPr>
            <w:r w:rsidRPr="005A0BC8">
              <w:rPr>
                <w:b/>
                <w:sz w:val="18"/>
                <w:szCs w:val="18"/>
              </w:rPr>
              <w:t>2014</w:t>
            </w:r>
          </w:p>
        </w:tc>
        <w:tc>
          <w:tcPr>
            <w:tcW w:w="2127" w:type="dxa"/>
            <w:gridSpan w:val="2"/>
          </w:tcPr>
          <w:p w:rsidR="00454AD3" w:rsidRPr="005A0BC8" w:rsidRDefault="00454AD3" w:rsidP="0042419E">
            <w:pPr>
              <w:jc w:val="center"/>
              <w:rPr>
                <w:b/>
                <w:sz w:val="18"/>
                <w:szCs w:val="18"/>
              </w:rPr>
            </w:pPr>
            <w:r w:rsidRPr="005A0BC8">
              <w:rPr>
                <w:b/>
                <w:sz w:val="18"/>
                <w:szCs w:val="18"/>
              </w:rPr>
              <w:t>2015</w:t>
            </w:r>
          </w:p>
        </w:tc>
        <w:tc>
          <w:tcPr>
            <w:tcW w:w="2032" w:type="dxa"/>
            <w:gridSpan w:val="2"/>
          </w:tcPr>
          <w:p w:rsidR="00454AD3" w:rsidRPr="005A0BC8" w:rsidRDefault="00454AD3" w:rsidP="0042419E">
            <w:pPr>
              <w:jc w:val="center"/>
              <w:rPr>
                <w:b/>
                <w:sz w:val="18"/>
                <w:szCs w:val="18"/>
              </w:rPr>
            </w:pPr>
            <w:r w:rsidRPr="005A0BC8">
              <w:rPr>
                <w:b/>
                <w:sz w:val="18"/>
                <w:szCs w:val="18"/>
              </w:rPr>
              <w:t>2016</w:t>
            </w:r>
          </w:p>
        </w:tc>
      </w:tr>
      <w:tr w:rsidR="00454AD3" w:rsidRPr="005A0BC8" w:rsidTr="0042419E">
        <w:tc>
          <w:tcPr>
            <w:tcW w:w="3085" w:type="dxa"/>
            <w:vMerge/>
          </w:tcPr>
          <w:p w:rsidR="00454AD3" w:rsidRPr="005A0BC8" w:rsidRDefault="00454AD3" w:rsidP="0042419E">
            <w:pPr>
              <w:jc w:val="both"/>
              <w:rPr>
                <w:sz w:val="18"/>
                <w:szCs w:val="18"/>
              </w:rPr>
            </w:pPr>
          </w:p>
        </w:tc>
        <w:tc>
          <w:tcPr>
            <w:tcW w:w="1047" w:type="dxa"/>
            <w:vAlign w:val="center"/>
          </w:tcPr>
          <w:p w:rsidR="00454AD3" w:rsidRPr="005A0BC8" w:rsidRDefault="00454AD3" w:rsidP="0042419E">
            <w:pPr>
              <w:jc w:val="center"/>
              <w:rPr>
                <w:b/>
                <w:sz w:val="18"/>
                <w:szCs w:val="18"/>
              </w:rPr>
            </w:pPr>
            <w:r w:rsidRPr="005A0BC8">
              <w:rPr>
                <w:b/>
                <w:sz w:val="18"/>
                <w:szCs w:val="18"/>
              </w:rPr>
              <w:t>Hombres</w:t>
            </w:r>
          </w:p>
        </w:tc>
        <w:tc>
          <w:tcPr>
            <w:tcW w:w="1079" w:type="dxa"/>
            <w:vAlign w:val="center"/>
          </w:tcPr>
          <w:p w:rsidR="00454AD3" w:rsidRPr="005A0BC8" w:rsidRDefault="00454AD3" w:rsidP="0042419E">
            <w:pPr>
              <w:jc w:val="center"/>
              <w:rPr>
                <w:b/>
                <w:sz w:val="18"/>
                <w:szCs w:val="18"/>
              </w:rPr>
            </w:pPr>
            <w:r w:rsidRPr="005A0BC8">
              <w:rPr>
                <w:b/>
                <w:sz w:val="18"/>
                <w:szCs w:val="18"/>
              </w:rPr>
              <w:t>Mujeres</w:t>
            </w:r>
          </w:p>
        </w:tc>
        <w:tc>
          <w:tcPr>
            <w:tcW w:w="1047" w:type="dxa"/>
            <w:vAlign w:val="center"/>
          </w:tcPr>
          <w:p w:rsidR="00454AD3" w:rsidRPr="005A0BC8" w:rsidRDefault="00454AD3" w:rsidP="0042419E">
            <w:pPr>
              <w:jc w:val="center"/>
              <w:rPr>
                <w:b/>
                <w:sz w:val="18"/>
                <w:szCs w:val="18"/>
              </w:rPr>
            </w:pPr>
            <w:r w:rsidRPr="005A0BC8">
              <w:rPr>
                <w:b/>
                <w:sz w:val="18"/>
                <w:szCs w:val="18"/>
              </w:rPr>
              <w:t>Hombres</w:t>
            </w:r>
          </w:p>
        </w:tc>
        <w:tc>
          <w:tcPr>
            <w:tcW w:w="1080" w:type="dxa"/>
            <w:vAlign w:val="center"/>
          </w:tcPr>
          <w:p w:rsidR="00454AD3" w:rsidRPr="005A0BC8" w:rsidRDefault="00454AD3" w:rsidP="0042419E">
            <w:pPr>
              <w:jc w:val="center"/>
              <w:rPr>
                <w:b/>
                <w:sz w:val="18"/>
                <w:szCs w:val="18"/>
              </w:rPr>
            </w:pPr>
            <w:r w:rsidRPr="005A0BC8">
              <w:rPr>
                <w:b/>
                <w:sz w:val="18"/>
                <w:szCs w:val="18"/>
              </w:rPr>
              <w:t>Mujeres</w:t>
            </w:r>
          </w:p>
        </w:tc>
        <w:tc>
          <w:tcPr>
            <w:tcW w:w="984" w:type="dxa"/>
            <w:vAlign w:val="center"/>
          </w:tcPr>
          <w:p w:rsidR="00454AD3" w:rsidRPr="005A0BC8" w:rsidRDefault="00454AD3" w:rsidP="0042419E">
            <w:pPr>
              <w:jc w:val="center"/>
              <w:rPr>
                <w:b/>
                <w:sz w:val="18"/>
                <w:szCs w:val="18"/>
              </w:rPr>
            </w:pPr>
            <w:r w:rsidRPr="005A0BC8">
              <w:rPr>
                <w:b/>
                <w:sz w:val="18"/>
                <w:szCs w:val="18"/>
              </w:rPr>
              <w:t>Hombres</w:t>
            </w:r>
          </w:p>
        </w:tc>
        <w:tc>
          <w:tcPr>
            <w:tcW w:w="1048" w:type="dxa"/>
            <w:vAlign w:val="center"/>
          </w:tcPr>
          <w:p w:rsidR="00454AD3" w:rsidRPr="005A0BC8" w:rsidRDefault="00454AD3" w:rsidP="0042419E">
            <w:pPr>
              <w:jc w:val="center"/>
              <w:rPr>
                <w:b/>
                <w:sz w:val="18"/>
                <w:szCs w:val="18"/>
              </w:rPr>
            </w:pPr>
            <w:r w:rsidRPr="005A0BC8">
              <w:rPr>
                <w:b/>
                <w:sz w:val="18"/>
                <w:szCs w:val="18"/>
              </w:rPr>
              <w:t>Mujeres</w:t>
            </w:r>
          </w:p>
        </w:tc>
      </w:tr>
      <w:tr w:rsidR="00454AD3" w:rsidRPr="005A0BC8" w:rsidTr="0042419E">
        <w:tc>
          <w:tcPr>
            <w:tcW w:w="3085" w:type="dxa"/>
          </w:tcPr>
          <w:p w:rsidR="00454AD3" w:rsidRPr="005A0BC8" w:rsidRDefault="001776DF" w:rsidP="0042419E">
            <w:pPr>
              <w:jc w:val="both"/>
              <w:rPr>
                <w:sz w:val="18"/>
                <w:szCs w:val="18"/>
              </w:rPr>
            </w:pPr>
            <w:r>
              <w:rPr>
                <w:sz w:val="18"/>
                <w:szCs w:val="18"/>
              </w:rPr>
              <w:t xml:space="preserve">Centro Penitenciario </w:t>
            </w:r>
            <w:r w:rsidR="00454AD3" w:rsidRPr="005A0BC8">
              <w:rPr>
                <w:sz w:val="18"/>
                <w:szCs w:val="18"/>
              </w:rPr>
              <w:t xml:space="preserve"> de Mujeres del Buen Pastor</w:t>
            </w:r>
          </w:p>
        </w:tc>
        <w:tc>
          <w:tcPr>
            <w:tcW w:w="1047" w:type="dxa"/>
            <w:vAlign w:val="center"/>
          </w:tcPr>
          <w:p w:rsidR="00454AD3" w:rsidRPr="005A0BC8" w:rsidRDefault="00454AD3" w:rsidP="0042419E">
            <w:pPr>
              <w:jc w:val="center"/>
              <w:rPr>
                <w:sz w:val="18"/>
                <w:szCs w:val="18"/>
              </w:rPr>
            </w:pPr>
            <w:r w:rsidRPr="005A0BC8">
              <w:rPr>
                <w:sz w:val="18"/>
                <w:szCs w:val="18"/>
              </w:rPr>
              <w:t>-</w:t>
            </w:r>
          </w:p>
        </w:tc>
        <w:tc>
          <w:tcPr>
            <w:tcW w:w="1079" w:type="dxa"/>
            <w:vAlign w:val="center"/>
          </w:tcPr>
          <w:p w:rsidR="00454AD3" w:rsidRPr="005A0BC8" w:rsidRDefault="00454AD3" w:rsidP="0042419E">
            <w:pPr>
              <w:jc w:val="center"/>
              <w:rPr>
                <w:sz w:val="18"/>
                <w:szCs w:val="18"/>
              </w:rPr>
            </w:pPr>
            <w:r w:rsidRPr="005A0BC8">
              <w:rPr>
                <w:sz w:val="18"/>
                <w:szCs w:val="18"/>
              </w:rPr>
              <w:t>s/d</w:t>
            </w:r>
          </w:p>
        </w:tc>
        <w:tc>
          <w:tcPr>
            <w:tcW w:w="1047" w:type="dxa"/>
            <w:vAlign w:val="center"/>
          </w:tcPr>
          <w:p w:rsidR="00454AD3" w:rsidRPr="005A0BC8" w:rsidRDefault="00454AD3" w:rsidP="0042419E">
            <w:pPr>
              <w:jc w:val="center"/>
              <w:rPr>
                <w:sz w:val="18"/>
                <w:szCs w:val="18"/>
              </w:rPr>
            </w:pPr>
            <w:r w:rsidRPr="005A0BC8">
              <w:rPr>
                <w:sz w:val="18"/>
                <w:szCs w:val="18"/>
              </w:rPr>
              <w:t>-</w:t>
            </w:r>
          </w:p>
        </w:tc>
        <w:tc>
          <w:tcPr>
            <w:tcW w:w="1080" w:type="dxa"/>
            <w:vAlign w:val="center"/>
          </w:tcPr>
          <w:p w:rsidR="00454AD3" w:rsidRPr="005A0BC8" w:rsidRDefault="00454AD3" w:rsidP="0042419E">
            <w:pPr>
              <w:jc w:val="center"/>
              <w:rPr>
                <w:sz w:val="18"/>
                <w:szCs w:val="18"/>
              </w:rPr>
            </w:pPr>
            <w:r w:rsidRPr="005A0BC8">
              <w:rPr>
                <w:sz w:val="18"/>
                <w:szCs w:val="18"/>
              </w:rPr>
              <w:t>470</w:t>
            </w:r>
          </w:p>
        </w:tc>
        <w:tc>
          <w:tcPr>
            <w:tcW w:w="984" w:type="dxa"/>
            <w:vAlign w:val="center"/>
          </w:tcPr>
          <w:p w:rsidR="00454AD3" w:rsidRPr="005A0BC8" w:rsidRDefault="00454AD3" w:rsidP="0042419E">
            <w:pPr>
              <w:jc w:val="center"/>
              <w:rPr>
                <w:sz w:val="18"/>
                <w:szCs w:val="18"/>
              </w:rPr>
            </w:pPr>
            <w:r w:rsidRPr="005A0BC8">
              <w:rPr>
                <w:sz w:val="18"/>
                <w:szCs w:val="18"/>
              </w:rPr>
              <w:t>-</w:t>
            </w:r>
          </w:p>
        </w:tc>
        <w:tc>
          <w:tcPr>
            <w:tcW w:w="1048" w:type="dxa"/>
            <w:vAlign w:val="center"/>
          </w:tcPr>
          <w:p w:rsidR="00454AD3" w:rsidRPr="005A0BC8" w:rsidRDefault="00454AD3" w:rsidP="0042419E">
            <w:pPr>
              <w:jc w:val="center"/>
              <w:rPr>
                <w:sz w:val="18"/>
                <w:szCs w:val="18"/>
              </w:rPr>
            </w:pPr>
            <w:r w:rsidRPr="005A0BC8">
              <w:rPr>
                <w:sz w:val="18"/>
                <w:szCs w:val="18"/>
              </w:rPr>
              <w:t>s/d</w:t>
            </w:r>
          </w:p>
        </w:tc>
      </w:tr>
      <w:tr w:rsidR="00454AD3" w:rsidRPr="005A0BC8" w:rsidTr="0042419E">
        <w:tc>
          <w:tcPr>
            <w:tcW w:w="3085" w:type="dxa"/>
          </w:tcPr>
          <w:p w:rsidR="00454AD3" w:rsidRPr="005A0BC8" w:rsidRDefault="00454AD3" w:rsidP="0042419E">
            <w:pPr>
              <w:jc w:val="both"/>
              <w:rPr>
                <w:sz w:val="18"/>
                <w:szCs w:val="18"/>
              </w:rPr>
            </w:pPr>
            <w:r w:rsidRPr="005A0BC8">
              <w:rPr>
                <w:sz w:val="18"/>
                <w:szCs w:val="18"/>
              </w:rPr>
              <w:t>Penitenciaría Regional de Concepción</w:t>
            </w:r>
          </w:p>
        </w:tc>
        <w:tc>
          <w:tcPr>
            <w:tcW w:w="1047" w:type="dxa"/>
            <w:vAlign w:val="center"/>
          </w:tcPr>
          <w:p w:rsidR="00454AD3" w:rsidRPr="005A0BC8" w:rsidRDefault="00454AD3" w:rsidP="0042419E">
            <w:pPr>
              <w:jc w:val="center"/>
              <w:rPr>
                <w:sz w:val="18"/>
                <w:szCs w:val="18"/>
              </w:rPr>
            </w:pPr>
            <w:r w:rsidRPr="005A0BC8">
              <w:rPr>
                <w:sz w:val="18"/>
                <w:szCs w:val="18"/>
              </w:rPr>
              <w:t>336</w:t>
            </w:r>
          </w:p>
        </w:tc>
        <w:tc>
          <w:tcPr>
            <w:tcW w:w="1079" w:type="dxa"/>
            <w:vAlign w:val="center"/>
          </w:tcPr>
          <w:p w:rsidR="00454AD3" w:rsidRPr="005A0BC8" w:rsidRDefault="00454AD3" w:rsidP="0042419E">
            <w:pPr>
              <w:jc w:val="center"/>
              <w:rPr>
                <w:sz w:val="18"/>
                <w:szCs w:val="18"/>
              </w:rPr>
            </w:pPr>
            <w:r w:rsidRPr="005A0BC8">
              <w:rPr>
                <w:sz w:val="18"/>
                <w:szCs w:val="18"/>
              </w:rPr>
              <w:t>380</w:t>
            </w:r>
          </w:p>
        </w:tc>
        <w:tc>
          <w:tcPr>
            <w:tcW w:w="1047" w:type="dxa"/>
            <w:vAlign w:val="center"/>
          </w:tcPr>
          <w:p w:rsidR="00454AD3" w:rsidRPr="005A0BC8" w:rsidRDefault="00454AD3" w:rsidP="0042419E">
            <w:pPr>
              <w:jc w:val="center"/>
            </w:pPr>
            <w:r w:rsidRPr="005A0BC8">
              <w:rPr>
                <w:sz w:val="18"/>
                <w:szCs w:val="18"/>
              </w:rPr>
              <w:t>s/d</w:t>
            </w:r>
          </w:p>
        </w:tc>
        <w:tc>
          <w:tcPr>
            <w:tcW w:w="1080" w:type="dxa"/>
            <w:vAlign w:val="center"/>
          </w:tcPr>
          <w:p w:rsidR="00454AD3" w:rsidRPr="005A0BC8" w:rsidRDefault="00454AD3" w:rsidP="0042419E">
            <w:pPr>
              <w:jc w:val="center"/>
            </w:pPr>
            <w:r w:rsidRPr="005A0BC8">
              <w:rPr>
                <w:sz w:val="18"/>
                <w:szCs w:val="18"/>
              </w:rPr>
              <w:t>s/d</w:t>
            </w:r>
          </w:p>
        </w:tc>
        <w:tc>
          <w:tcPr>
            <w:tcW w:w="984" w:type="dxa"/>
            <w:vAlign w:val="center"/>
          </w:tcPr>
          <w:p w:rsidR="00454AD3" w:rsidRPr="005A0BC8" w:rsidRDefault="00454AD3" w:rsidP="0042419E">
            <w:pPr>
              <w:jc w:val="center"/>
              <w:rPr>
                <w:sz w:val="18"/>
                <w:szCs w:val="18"/>
              </w:rPr>
            </w:pPr>
            <w:r w:rsidRPr="005A0BC8">
              <w:rPr>
                <w:sz w:val="18"/>
                <w:szCs w:val="18"/>
              </w:rPr>
              <w:t>320</w:t>
            </w:r>
          </w:p>
        </w:tc>
        <w:tc>
          <w:tcPr>
            <w:tcW w:w="1048" w:type="dxa"/>
            <w:vAlign w:val="center"/>
          </w:tcPr>
          <w:p w:rsidR="00454AD3" w:rsidRPr="005A0BC8" w:rsidRDefault="00454AD3" w:rsidP="0042419E">
            <w:pPr>
              <w:jc w:val="center"/>
              <w:rPr>
                <w:sz w:val="18"/>
                <w:szCs w:val="18"/>
              </w:rPr>
            </w:pPr>
            <w:r w:rsidRPr="005A0BC8">
              <w:rPr>
                <w:sz w:val="18"/>
                <w:szCs w:val="18"/>
              </w:rPr>
              <w:t>392</w:t>
            </w:r>
          </w:p>
        </w:tc>
      </w:tr>
      <w:tr w:rsidR="00454AD3" w:rsidRPr="005A0BC8" w:rsidTr="0042419E">
        <w:tc>
          <w:tcPr>
            <w:tcW w:w="3085" w:type="dxa"/>
          </w:tcPr>
          <w:p w:rsidR="00454AD3" w:rsidRPr="005A0BC8" w:rsidRDefault="00454AD3" w:rsidP="0042419E">
            <w:pPr>
              <w:jc w:val="both"/>
              <w:rPr>
                <w:sz w:val="18"/>
                <w:szCs w:val="18"/>
              </w:rPr>
            </w:pPr>
            <w:r w:rsidRPr="005A0BC8">
              <w:rPr>
                <w:sz w:val="18"/>
                <w:szCs w:val="18"/>
              </w:rPr>
              <w:t>Penitenciaría Regional de Pedro Juan Caballero</w:t>
            </w:r>
          </w:p>
        </w:tc>
        <w:tc>
          <w:tcPr>
            <w:tcW w:w="1047" w:type="dxa"/>
            <w:vAlign w:val="center"/>
          </w:tcPr>
          <w:p w:rsidR="00454AD3" w:rsidRPr="005A0BC8" w:rsidRDefault="00454AD3" w:rsidP="0042419E">
            <w:pPr>
              <w:jc w:val="center"/>
              <w:rPr>
                <w:sz w:val="18"/>
                <w:szCs w:val="18"/>
              </w:rPr>
            </w:pPr>
            <w:r w:rsidRPr="005A0BC8">
              <w:rPr>
                <w:sz w:val="18"/>
                <w:szCs w:val="18"/>
              </w:rPr>
              <w:t>367</w:t>
            </w:r>
          </w:p>
        </w:tc>
        <w:tc>
          <w:tcPr>
            <w:tcW w:w="1079" w:type="dxa"/>
            <w:vAlign w:val="center"/>
          </w:tcPr>
          <w:p w:rsidR="00454AD3" w:rsidRPr="005A0BC8" w:rsidRDefault="00454AD3" w:rsidP="0042419E">
            <w:pPr>
              <w:jc w:val="center"/>
              <w:rPr>
                <w:sz w:val="18"/>
                <w:szCs w:val="18"/>
              </w:rPr>
            </w:pPr>
            <w:r w:rsidRPr="005A0BC8">
              <w:rPr>
                <w:sz w:val="18"/>
                <w:szCs w:val="18"/>
              </w:rPr>
              <w:t>406</w:t>
            </w:r>
          </w:p>
        </w:tc>
        <w:tc>
          <w:tcPr>
            <w:tcW w:w="1047" w:type="dxa"/>
            <w:vAlign w:val="center"/>
          </w:tcPr>
          <w:p w:rsidR="00454AD3" w:rsidRPr="005A0BC8" w:rsidRDefault="00454AD3" w:rsidP="0042419E">
            <w:pPr>
              <w:jc w:val="center"/>
            </w:pPr>
            <w:r w:rsidRPr="005A0BC8">
              <w:rPr>
                <w:sz w:val="18"/>
                <w:szCs w:val="18"/>
              </w:rPr>
              <w:t>s/d</w:t>
            </w:r>
          </w:p>
        </w:tc>
        <w:tc>
          <w:tcPr>
            <w:tcW w:w="1080" w:type="dxa"/>
            <w:vAlign w:val="center"/>
          </w:tcPr>
          <w:p w:rsidR="00454AD3" w:rsidRPr="005A0BC8" w:rsidRDefault="00454AD3" w:rsidP="0042419E">
            <w:pPr>
              <w:jc w:val="center"/>
            </w:pPr>
            <w:r w:rsidRPr="005A0BC8">
              <w:rPr>
                <w:sz w:val="18"/>
                <w:szCs w:val="18"/>
              </w:rPr>
              <w:t>s/d</w:t>
            </w:r>
          </w:p>
        </w:tc>
        <w:tc>
          <w:tcPr>
            <w:tcW w:w="984" w:type="dxa"/>
            <w:vAlign w:val="center"/>
          </w:tcPr>
          <w:p w:rsidR="00454AD3" w:rsidRPr="005A0BC8" w:rsidRDefault="00454AD3" w:rsidP="0042419E">
            <w:pPr>
              <w:jc w:val="center"/>
              <w:rPr>
                <w:sz w:val="18"/>
                <w:szCs w:val="18"/>
              </w:rPr>
            </w:pPr>
            <w:r w:rsidRPr="005A0BC8">
              <w:rPr>
                <w:sz w:val="18"/>
                <w:szCs w:val="18"/>
              </w:rPr>
              <w:t>377</w:t>
            </w:r>
          </w:p>
        </w:tc>
        <w:tc>
          <w:tcPr>
            <w:tcW w:w="1048" w:type="dxa"/>
            <w:vAlign w:val="center"/>
          </w:tcPr>
          <w:p w:rsidR="00454AD3" w:rsidRPr="005A0BC8" w:rsidRDefault="00454AD3" w:rsidP="0042419E">
            <w:pPr>
              <w:jc w:val="center"/>
              <w:rPr>
                <w:sz w:val="18"/>
                <w:szCs w:val="18"/>
              </w:rPr>
            </w:pPr>
            <w:r w:rsidRPr="005A0BC8">
              <w:rPr>
                <w:sz w:val="18"/>
                <w:szCs w:val="18"/>
              </w:rPr>
              <w:t>333</w:t>
            </w:r>
          </w:p>
        </w:tc>
      </w:tr>
      <w:tr w:rsidR="00454AD3" w:rsidRPr="005A0BC8" w:rsidTr="0042419E">
        <w:tc>
          <w:tcPr>
            <w:tcW w:w="3085" w:type="dxa"/>
          </w:tcPr>
          <w:p w:rsidR="00454AD3" w:rsidRPr="005A0BC8" w:rsidRDefault="00454AD3" w:rsidP="0042419E">
            <w:pPr>
              <w:jc w:val="both"/>
              <w:rPr>
                <w:sz w:val="18"/>
                <w:szCs w:val="18"/>
              </w:rPr>
            </w:pPr>
            <w:r w:rsidRPr="005A0BC8">
              <w:rPr>
                <w:sz w:val="18"/>
                <w:szCs w:val="18"/>
              </w:rPr>
              <w:t>Penitenciaría Regional de Itapúa</w:t>
            </w:r>
          </w:p>
        </w:tc>
        <w:tc>
          <w:tcPr>
            <w:tcW w:w="1047" w:type="dxa"/>
            <w:vAlign w:val="center"/>
          </w:tcPr>
          <w:p w:rsidR="00454AD3" w:rsidRPr="005A0BC8" w:rsidRDefault="00454AD3" w:rsidP="0042419E">
            <w:pPr>
              <w:jc w:val="center"/>
              <w:rPr>
                <w:sz w:val="18"/>
                <w:szCs w:val="18"/>
              </w:rPr>
            </w:pPr>
            <w:r w:rsidRPr="005A0BC8">
              <w:rPr>
                <w:sz w:val="18"/>
                <w:szCs w:val="18"/>
              </w:rPr>
              <w:t>507</w:t>
            </w:r>
          </w:p>
        </w:tc>
        <w:tc>
          <w:tcPr>
            <w:tcW w:w="1079" w:type="dxa"/>
            <w:vAlign w:val="center"/>
          </w:tcPr>
          <w:p w:rsidR="00454AD3" w:rsidRPr="005A0BC8" w:rsidRDefault="00454AD3" w:rsidP="0042419E">
            <w:pPr>
              <w:jc w:val="center"/>
              <w:rPr>
                <w:sz w:val="18"/>
                <w:szCs w:val="18"/>
              </w:rPr>
            </w:pPr>
            <w:r w:rsidRPr="005A0BC8">
              <w:rPr>
                <w:sz w:val="18"/>
                <w:szCs w:val="18"/>
              </w:rPr>
              <w:t>594</w:t>
            </w:r>
          </w:p>
        </w:tc>
        <w:tc>
          <w:tcPr>
            <w:tcW w:w="1047" w:type="dxa"/>
            <w:vAlign w:val="center"/>
          </w:tcPr>
          <w:p w:rsidR="00454AD3" w:rsidRPr="005A0BC8" w:rsidRDefault="00454AD3" w:rsidP="0042419E">
            <w:pPr>
              <w:jc w:val="center"/>
            </w:pPr>
            <w:r w:rsidRPr="005A0BC8">
              <w:rPr>
                <w:sz w:val="18"/>
                <w:szCs w:val="18"/>
              </w:rPr>
              <w:t>s/d</w:t>
            </w:r>
          </w:p>
        </w:tc>
        <w:tc>
          <w:tcPr>
            <w:tcW w:w="1080" w:type="dxa"/>
            <w:vAlign w:val="center"/>
          </w:tcPr>
          <w:p w:rsidR="00454AD3" w:rsidRPr="005A0BC8" w:rsidRDefault="00454AD3" w:rsidP="0042419E">
            <w:pPr>
              <w:jc w:val="center"/>
            </w:pPr>
            <w:r w:rsidRPr="005A0BC8">
              <w:rPr>
                <w:sz w:val="18"/>
                <w:szCs w:val="18"/>
              </w:rPr>
              <w:t>s/d</w:t>
            </w:r>
          </w:p>
        </w:tc>
        <w:tc>
          <w:tcPr>
            <w:tcW w:w="984" w:type="dxa"/>
            <w:vAlign w:val="center"/>
          </w:tcPr>
          <w:p w:rsidR="00454AD3" w:rsidRPr="005A0BC8" w:rsidRDefault="00454AD3" w:rsidP="0042419E">
            <w:pPr>
              <w:jc w:val="center"/>
              <w:rPr>
                <w:sz w:val="18"/>
                <w:szCs w:val="18"/>
              </w:rPr>
            </w:pPr>
            <w:r w:rsidRPr="005A0BC8">
              <w:rPr>
                <w:sz w:val="18"/>
                <w:szCs w:val="18"/>
              </w:rPr>
              <w:t>482</w:t>
            </w:r>
          </w:p>
        </w:tc>
        <w:tc>
          <w:tcPr>
            <w:tcW w:w="1048" w:type="dxa"/>
            <w:vAlign w:val="center"/>
          </w:tcPr>
          <w:p w:rsidR="00454AD3" w:rsidRPr="005A0BC8" w:rsidRDefault="00454AD3" w:rsidP="0042419E">
            <w:pPr>
              <w:jc w:val="center"/>
              <w:rPr>
                <w:sz w:val="18"/>
                <w:szCs w:val="18"/>
              </w:rPr>
            </w:pPr>
            <w:r w:rsidRPr="005A0BC8">
              <w:rPr>
                <w:sz w:val="18"/>
                <w:szCs w:val="18"/>
              </w:rPr>
              <w:t>360</w:t>
            </w:r>
          </w:p>
        </w:tc>
      </w:tr>
      <w:tr w:rsidR="00454AD3" w:rsidRPr="005A0BC8" w:rsidTr="0042419E">
        <w:tc>
          <w:tcPr>
            <w:tcW w:w="3085" w:type="dxa"/>
          </w:tcPr>
          <w:p w:rsidR="00454AD3" w:rsidRPr="005A0BC8" w:rsidRDefault="00454AD3" w:rsidP="0042419E">
            <w:pPr>
              <w:jc w:val="both"/>
              <w:rPr>
                <w:sz w:val="18"/>
                <w:szCs w:val="18"/>
              </w:rPr>
            </w:pPr>
            <w:r w:rsidRPr="005A0BC8">
              <w:rPr>
                <w:sz w:val="18"/>
                <w:szCs w:val="18"/>
              </w:rPr>
              <w:t>Penitenciaría Regional de Ciudad del Este</w:t>
            </w:r>
          </w:p>
        </w:tc>
        <w:tc>
          <w:tcPr>
            <w:tcW w:w="1047" w:type="dxa"/>
            <w:vAlign w:val="center"/>
          </w:tcPr>
          <w:p w:rsidR="00454AD3" w:rsidRPr="005A0BC8" w:rsidRDefault="00454AD3" w:rsidP="0042419E">
            <w:pPr>
              <w:jc w:val="center"/>
              <w:rPr>
                <w:sz w:val="18"/>
                <w:szCs w:val="18"/>
              </w:rPr>
            </w:pPr>
            <w:r w:rsidRPr="005A0BC8">
              <w:rPr>
                <w:sz w:val="18"/>
                <w:szCs w:val="18"/>
              </w:rPr>
              <w:t>s/d</w:t>
            </w:r>
          </w:p>
        </w:tc>
        <w:tc>
          <w:tcPr>
            <w:tcW w:w="1079" w:type="dxa"/>
            <w:vAlign w:val="center"/>
          </w:tcPr>
          <w:p w:rsidR="00454AD3" w:rsidRPr="005A0BC8" w:rsidRDefault="00454AD3" w:rsidP="0042419E">
            <w:pPr>
              <w:jc w:val="center"/>
              <w:rPr>
                <w:sz w:val="18"/>
                <w:szCs w:val="18"/>
              </w:rPr>
            </w:pPr>
            <w:r w:rsidRPr="005A0BC8">
              <w:rPr>
                <w:sz w:val="18"/>
                <w:szCs w:val="18"/>
              </w:rPr>
              <w:t>-</w:t>
            </w:r>
          </w:p>
        </w:tc>
        <w:tc>
          <w:tcPr>
            <w:tcW w:w="1047" w:type="dxa"/>
            <w:vAlign w:val="center"/>
          </w:tcPr>
          <w:p w:rsidR="00454AD3" w:rsidRPr="005A0BC8" w:rsidRDefault="00454AD3" w:rsidP="0042419E">
            <w:pPr>
              <w:jc w:val="center"/>
              <w:rPr>
                <w:sz w:val="18"/>
                <w:szCs w:val="18"/>
              </w:rPr>
            </w:pPr>
            <w:r w:rsidRPr="005A0BC8">
              <w:rPr>
                <w:sz w:val="18"/>
                <w:szCs w:val="18"/>
              </w:rPr>
              <w:t>558</w:t>
            </w:r>
          </w:p>
        </w:tc>
        <w:tc>
          <w:tcPr>
            <w:tcW w:w="1080" w:type="dxa"/>
            <w:vAlign w:val="center"/>
          </w:tcPr>
          <w:p w:rsidR="00454AD3" w:rsidRPr="005A0BC8" w:rsidRDefault="00454AD3" w:rsidP="0042419E">
            <w:pPr>
              <w:jc w:val="center"/>
              <w:rPr>
                <w:sz w:val="18"/>
                <w:szCs w:val="18"/>
              </w:rPr>
            </w:pPr>
            <w:r w:rsidRPr="005A0BC8">
              <w:rPr>
                <w:sz w:val="18"/>
                <w:szCs w:val="18"/>
              </w:rPr>
              <w:t>-</w:t>
            </w:r>
          </w:p>
        </w:tc>
        <w:tc>
          <w:tcPr>
            <w:tcW w:w="984" w:type="dxa"/>
            <w:vAlign w:val="center"/>
          </w:tcPr>
          <w:p w:rsidR="00454AD3" w:rsidRPr="005A0BC8" w:rsidRDefault="00454AD3" w:rsidP="0042419E">
            <w:pPr>
              <w:jc w:val="center"/>
              <w:rPr>
                <w:sz w:val="18"/>
                <w:szCs w:val="18"/>
              </w:rPr>
            </w:pPr>
            <w:r w:rsidRPr="005A0BC8">
              <w:rPr>
                <w:sz w:val="18"/>
                <w:szCs w:val="18"/>
              </w:rPr>
              <w:t>697</w:t>
            </w:r>
          </w:p>
        </w:tc>
        <w:tc>
          <w:tcPr>
            <w:tcW w:w="1048" w:type="dxa"/>
            <w:vAlign w:val="center"/>
          </w:tcPr>
          <w:p w:rsidR="00454AD3" w:rsidRPr="005A0BC8" w:rsidRDefault="00454AD3" w:rsidP="0042419E">
            <w:pPr>
              <w:jc w:val="center"/>
              <w:rPr>
                <w:sz w:val="18"/>
                <w:szCs w:val="18"/>
              </w:rPr>
            </w:pPr>
            <w:r w:rsidRPr="005A0BC8">
              <w:rPr>
                <w:sz w:val="18"/>
                <w:szCs w:val="18"/>
              </w:rPr>
              <w:t>-</w:t>
            </w:r>
          </w:p>
        </w:tc>
      </w:tr>
      <w:tr w:rsidR="00454AD3" w:rsidRPr="005A0BC8" w:rsidTr="0042419E">
        <w:tc>
          <w:tcPr>
            <w:tcW w:w="3085" w:type="dxa"/>
          </w:tcPr>
          <w:p w:rsidR="00454AD3" w:rsidRPr="005A0BC8" w:rsidRDefault="001776DF" w:rsidP="0042419E">
            <w:pPr>
              <w:jc w:val="both"/>
              <w:rPr>
                <w:sz w:val="18"/>
                <w:szCs w:val="18"/>
              </w:rPr>
            </w:pPr>
            <w:r>
              <w:rPr>
                <w:sz w:val="18"/>
                <w:szCs w:val="18"/>
              </w:rPr>
              <w:t xml:space="preserve">Centro Penitenciario </w:t>
            </w:r>
            <w:r w:rsidR="00454AD3" w:rsidRPr="005A0BC8">
              <w:rPr>
                <w:sz w:val="18"/>
                <w:szCs w:val="18"/>
              </w:rPr>
              <w:t xml:space="preserve"> de Mujeres Juana María de Lara de Ciudad del Este</w:t>
            </w:r>
          </w:p>
        </w:tc>
        <w:tc>
          <w:tcPr>
            <w:tcW w:w="1047" w:type="dxa"/>
            <w:vAlign w:val="center"/>
          </w:tcPr>
          <w:p w:rsidR="00454AD3" w:rsidRPr="005A0BC8" w:rsidRDefault="00454AD3" w:rsidP="0042419E">
            <w:pPr>
              <w:jc w:val="center"/>
              <w:rPr>
                <w:sz w:val="18"/>
                <w:szCs w:val="18"/>
              </w:rPr>
            </w:pPr>
            <w:r w:rsidRPr="005A0BC8">
              <w:rPr>
                <w:sz w:val="18"/>
                <w:szCs w:val="18"/>
              </w:rPr>
              <w:t>-</w:t>
            </w:r>
          </w:p>
        </w:tc>
        <w:tc>
          <w:tcPr>
            <w:tcW w:w="1079" w:type="dxa"/>
            <w:vAlign w:val="center"/>
          </w:tcPr>
          <w:p w:rsidR="00454AD3" w:rsidRPr="005A0BC8" w:rsidRDefault="00454AD3" w:rsidP="0042419E">
            <w:pPr>
              <w:jc w:val="center"/>
              <w:rPr>
                <w:sz w:val="18"/>
                <w:szCs w:val="18"/>
              </w:rPr>
            </w:pPr>
            <w:r w:rsidRPr="005A0BC8">
              <w:rPr>
                <w:sz w:val="18"/>
                <w:szCs w:val="18"/>
              </w:rPr>
              <w:t>s/d</w:t>
            </w:r>
          </w:p>
        </w:tc>
        <w:tc>
          <w:tcPr>
            <w:tcW w:w="1047" w:type="dxa"/>
            <w:vAlign w:val="center"/>
          </w:tcPr>
          <w:p w:rsidR="00454AD3" w:rsidRPr="005A0BC8" w:rsidRDefault="00454AD3" w:rsidP="0042419E">
            <w:pPr>
              <w:jc w:val="center"/>
              <w:rPr>
                <w:sz w:val="18"/>
                <w:szCs w:val="18"/>
              </w:rPr>
            </w:pPr>
            <w:r w:rsidRPr="005A0BC8">
              <w:rPr>
                <w:sz w:val="18"/>
                <w:szCs w:val="18"/>
              </w:rPr>
              <w:t>-</w:t>
            </w:r>
          </w:p>
        </w:tc>
        <w:tc>
          <w:tcPr>
            <w:tcW w:w="1080" w:type="dxa"/>
            <w:vAlign w:val="center"/>
          </w:tcPr>
          <w:p w:rsidR="00454AD3" w:rsidRPr="005A0BC8" w:rsidRDefault="00454AD3" w:rsidP="0042419E">
            <w:pPr>
              <w:jc w:val="center"/>
              <w:rPr>
                <w:sz w:val="18"/>
                <w:szCs w:val="18"/>
              </w:rPr>
            </w:pPr>
            <w:r w:rsidRPr="005A0BC8">
              <w:rPr>
                <w:sz w:val="18"/>
                <w:szCs w:val="18"/>
              </w:rPr>
              <w:t>470</w:t>
            </w:r>
          </w:p>
        </w:tc>
        <w:tc>
          <w:tcPr>
            <w:tcW w:w="984" w:type="dxa"/>
            <w:vAlign w:val="center"/>
          </w:tcPr>
          <w:p w:rsidR="00454AD3" w:rsidRPr="005A0BC8" w:rsidRDefault="00454AD3" w:rsidP="0042419E">
            <w:pPr>
              <w:jc w:val="center"/>
              <w:rPr>
                <w:sz w:val="18"/>
                <w:szCs w:val="18"/>
              </w:rPr>
            </w:pPr>
            <w:r w:rsidRPr="005A0BC8">
              <w:rPr>
                <w:sz w:val="18"/>
                <w:szCs w:val="18"/>
              </w:rPr>
              <w:t>-</w:t>
            </w:r>
          </w:p>
        </w:tc>
        <w:tc>
          <w:tcPr>
            <w:tcW w:w="1048" w:type="dxa"/>
            <w:vAlign w:val="center"/>
          </w:tcPr>
          <w:p w:rsidR="00454AD3" w:rsidRPr="005A0BC8" w:rsidRDefault="00454AD3" w:rsidP="0042419E">
            <w:pPr>
              <w:jc w:val="center"/>
              <w:rPr>
                <w:sz w:val="18"/>
                <w:szCs w:val="18"/>
              </w:rPr>
            </w:pPr>
            <w:r w:rsidRPr="005A0BC8">
              <w:rPr>
                <w:sz w:val="18"/>
                <w:szCs w:val="18"/>
              </w:rPr>
              <w:t>460</w:t>
            </w:r>
          </w:p>
        </w:tc>
      </w:tr>
      <w:tr w:rsidR="00454AD3" w:rsidRPr="005A0BC8" w:rsidTr="0042419E">
        <w:tc>
          <w:tcPr>
            <w:tcW w:w="3085" w:type="dxa"/>
          </w:tcPr>
          <w:p w:rsidR="00454AD3" w:rsidRPr="005A0BC8" w:rsidRDefault="00454AD3" w:rsidP="0042419E">
            <w:pPr>
              <w:jc w:val="both"/>
              <w:rPr>
                <w:sz w:val="18"/>
                <w:szCs w:val="18"/>
              </w:rPr>
            </w:pPr>
            <w:r w:rsidRPr="005A0BC8">
              <w:rPr>
                <w:sz w:val="18"/>
                <w:szCs w:val="18"/>
              </w:rPr>
              <w:t>Penitenciaría Regional de Coronel Oviedo</w:t>
            </w:r>
          </w:p>
        </w:tc>
        <w:tc>
          <w:tcPr>
            <w:tcW w:w="1047" w:type="dxa"/>
            <w:vAlign w:val="center"/>
          </w:tcPr>
          <w:p w:rsidR="00454AD3" w:rsidRPr="005A0BC8" w:rsidRDefault="00454AD3" w:rsidP="0042419E">
            <w:pPr>
              <w:jc w:val="center"/>
            </w:pPr>
            <w:r w:rsidRPr="005A0BC8">
              <w:rPr>
                <w:sz w:val="18"/>
                <w:szCs w:val="18"/>
              </w:rPr>
              <w:t>s/d</w:t>
            </w:r>
          </w:p>
        </w:tc>
        <w:tc>
          <w:tcPr>
            <w:tcW w:w="1079" w:type="dxa"/>
            <w:vAlign w:val="center"/>
          </w:tcPr>
          <w:p w:rsidR="00454AD3" w:rsidRPr="005A0BC8" w:rsidRDefault="00454AD3" w:rsidP="0042419E">
            <w:pPr>
              <w:jc w:val="center"/>
            </w:pPr>
            <w:r w:rsidRPr="005A0BC8">
              <w:rPr>
                <w:sz w:val="18"/>
                <w:szCs w:val="18"/>
              </w:rPr>
              <w:t>s/d</w:t>
            </w:r>
          </w:p>
        </w:tc>
        <w:tc>
          <w:tcPr>
            <w:tcW w:w="1047" w:type="dxa"/>
            <w:vAlign w:val="center"/>
          </w:tcPr>
          <w:p w:rsidR="00454AD3" w:rsidRPr="005A0BC8" w:rsidRDefault="00454AD3" w:rsidP="0042419E">
            <w:pPr>
              <w:jc w:val="center"/>
              <w:rPr>
                <w:sz w:val="18"/>
                <w:szCs w:val="18"/>
              </w:rPr>
            </w:pPr>
            <w:r w:rsidRPr="005A0BC8">
              <w:rPr>
                <w:sz w:val="18"/>
                <w:szCs w:val="18"/>
              </w:rPr>
              <w:t>497</w:t>
            </w:r>
          </w:p>
        </w:tc>
        <w:tc>
          <w:tcPr>
            <w:tcW w:w="1080" w:type="dxa"/>
            <w:vAlign w:val="center"/>
          </w:tcPr>
          <w:p w:rsidR="00454AD3" w:rsidRPr="005A0BC8" w:rsidRDefault="00454AD3" w:rsidP="0042419E">
            <w:pPr>
              <w:jc w:val="center"/>
              <w:rPr>
                <w:sz w:val="18"/>
                <w:szCs w:val="18"/>
              </w:rPr>
            </w:pPr>
            <w:r w:rsidRPr="005A0BC8">
              <w:rPr>
                <w:sz w:val="18"/>
                <w:szCs w:val="18"/>
              </w:rPr>
              <w:t>390</w:t>
            </w:r>
          </w:p>
        </w:tc>
        <w:tc>
          <w:tcPr>
            <w:tcW w:w="984" w:type="dxa"/>
            <w:vAlign w:val="center"/>
          </w:tcPr>
          <w:p w:rsidR="00454AD3" w:rsidRPr="005A0BC8" w:rsidRDefault="00454AD3" w:rsidP="0042419E">
            <w:pPr>
              <w:jc w:val="center"/>
              <w:rPr>
                <w:sz w:val="18"/>
                <w:szCs w:val="18"/>
              </w:rPr>
            </w:pPr>
            <w:r w:rsidRPr="005A0BC8">
              <w:rPr>
                <w:sz w:val="18"/>
                <w:szCs w:val="18"/>
              </w:rPr>
              <w:t>360</w:t>
            </w:r>
          </w:p>
        </w:tc>
        <w:tc>
          <w:tcPr>
            <w:tcW w:w="1048" w:type="dxa"/>
            <w:vAlign w:val="center"/>
          </w:tcPr>
          <w:p w:rsidR="00454AD3" w:rsidRPr="005A0BC8" w:rsidRDefault="00454AD3" w:rsidP="0042419E">
            <w:pPr>
              <w:jc w:val="center"/>
              <w:rPr>
                <w:sz w:val="18"/>
                <w:szCs w:val="18"/>
              </w:rPr>
            </w:pPr>
            <w:r w:rsidRPr="005A0BC8">
              <w:rPr>
                <w:sz w:val="18"/>
                <w:szCs w:val="18"/>
              </w:rPr>
              <w:t>286</w:t>
            </w:r>
          </w:p>
        </w:tc>
      </w:tr>
      <w:tr w:rsidR="00454AD3" w:rsidRPr="005A0BC8" w:rsidTr="0042419E">
        <w:tc>
          <w:tcPr>
            <w:tcW w:w="3085" w:type="dxa"/>
          </w:tcPr>
          <w:p w:rsidR="00454AD3" w:rsidRPr="005A0BC8" w:rsidRDefault="00454AD3" w:rsidP="0042419E">
            <w:pPr>
              <w:jc w:val="both"/>
              <w:rPr>
                <w:sz w:val="18"/>
                <w:szCs w:val="18"/>
              </w:rPr>
            </w:pPr>
            <w:r w:rsidRPr="005A0BC8">
              <w:rPr>
                <w:sz w:val="18"/>
                <w:szCs w:val="18"/>
              </w:rPr>
              <w:t>Penitenciaría Regional de San Pedro</w:t>
            </w:r>
          </w:p>
        </w:tc>
        <w:tc>
          <w:tcPr>
            <w:tcW w:w="1047" w:type="dxa"/>
            <w:vAlign w:val="center"/>
          </w:tcPr>
          <w:p w:rsidR="00454AD3" w:rsidRPr="005A0BC8" w:rsidRDefault="00454AD3" w:rsidP="0042419E">
            <w:pPr>
              <w:jc w:val="center"/>
            </w:pPr>
            <w:r w:rsidRPr="005A0BC8">
              <w:rPr>
                <w:sz w:val="18"/>
                <w:szCs w:val="18"/>
              </w:rPr>
              <w:t>s/d</w:t>
            </w:r>
          </w:p>
        </w:tc>
        <w:tc>
          <w:tcPr>
            <w:tcW w:w="1079" w:type="dxa"/>
            <w:vAlign w:val="center"/>
          </w:tcPr>
          <w:p w:rsidR="00454AD3" w:rsidRPr="005A0BC8" w:rsidRDefault="00454AD3" w:rsidP="0042419E">
            <w:pPr>
              <w:jc w:val="center"/>
            </w:pPr>
            <w:r w:rsidRPr="005A0BC8">
              <w:rPr>
                <w:sz w:val="18"/>
                <w:szCs w:val="18"/>
              </w:rPr>
              <w:t>s/d</w:t>
            </w:r>
          </w:p>
        </w:tc>
        <w:tc>
          <w:tcPr>
            <w:tcW w:w="1047" w:type="dxa"/>
            <w:vAlign w:val="center"/>
          </w:tcPr>
          <w:p w:rsidR="00454AD3" w:rsidRPr="005A0BC8" w:rsidRDefault="00454AD3" w:rsidP="0042419E">
            <w:pPr>
              <w:jc w:val="center"/>
              <w:rPr>
                <w:sz w:val="18"/>
                <w:szCs w:val="18"/>
              </w:rPr>
            </w:pPr>
            <w:r w:rsidRPr="005A0BC8">
              <w:rPr>
                <w:sz w:val="18"/>
                <w:szCs w:val="18"/>
              </w:rPr>
              <w:t>552</w:t>
            </w:r>
          </w:p>
        </w:tc>
        <w:tc>
          <w:tcPr>
            <w:tcW w:w="1080" w:type="dxa"/>
            <w:vAlign w:val="center"/>
          </w:tcPr>
          <w:p w:rsidR="00454AD3" w:rsidRPr="005A0BC8" w:rsidRDefault="00454AD3" w:rsidP="0042419E">
            <w:pPr>
              <w:jc w:val="center"/>
              <w:rPr>
                <w:sz w:val="18"/>
                <w:szCs w:val="18"/>
              </w:rPr>
            </w:pPr>
            <w:r w:rsidRPr="005A0BC8">
              <w:rPr>
                <w:sz w:val="18"/>
                <w:szCs w:val="18"/>
              </w:rPr>
              <w:t>688</w:t>
            </w:r>
          </w:p>
        </w:tc>
        <w:tc>
          <w:tcPr>
            <w:tcW w:w="984" w:type="dxa"/>
            <w:vAlign w:val="center"/>
          </w:tcPr>
          <w:p w:rsidR="00454AD3" w:rsidRPr="005A0BC8" w:rsidRDefault="00454AD3" w:rsidP="0042419E">
            <w:pPr>
              <w:jc w:val="center"/>
            </w:pPr>
            <w:r w:rsidRPr="005A0BC8">
              <w:rPr>
                <w:sz w:val="18"/>
                <w:szCs w:val="18"/>
              </w:rPr>
              <w:t>s/d</w:t>
            </w:r>
          </w:p>
        </w:tc>
        <w:tc>
          <w:tcPr>
            <w:tcW w:w="1048" w:type="dxa"/>
            <w:vAlign w:val="center"/>
          </w:tcPr>
          <w:p w:rsidR="00454AD3" w:rsidRPr="005A0BC8" w:rsidRDefault="00454AD3" w:rsidP="0042419E">
            <w:pPr>
              <w:jc w:val="center"/>
            </w:pPr>
            <w:r w:rsidRPr="005A0BC8">
              <w:rPr>
                <w:sz w:val="18"/>
                <w:szCs w:val="18"/>
              </w:rPr>
              <w:t>s/d</w:t>
            </w:r>
          </w:p>
        </w:tc>
      </w:tr>
      <w:tr w:rsidR="00454AD3" w:rsidRPr="005A0BC8" w:rsidTr="0042419E">
        <w:tc>
          <w:tcPr>
            <w:tcW w:w="3085" w:type="dxa"/>
          </w:tcPr>
          <w:p w:rsidR="00454AD3" w:rsidRPr="005A0BC8" w:rsidRDefault="00454AD3" w:rsidP="0042419E">
            <w:pPr>
              <w:jc w:val="both"/>
              <w:rPr>
                <w:sz w:val="18"/>
                <w:szCs w:val="18"/>
              </w:rPr>
            </w:pPr>
            <w:r w:rsidRPr="005A0BC8">
              <w:rPr>
                <w:sz w:val="18"/>
                <w:szCs w:val="18"/>
              </w:rPr>
              <w:t>Penitenciaría Regional de Misiones</w:t>
            </w:r>
          </w:p>
        </w:tc>
        <w:tc>
          <w:tcPr>
            <w:tcW w:w="1047" w:type="dxa"/>
            <w:vAlign w:val="center"/>
          </w:tcPr>
          <w:p w:rsidR="00454AD3" w:rsidRPr="005A0BC8" w:rsidRDefault="00454AD3" w:rsidP="0042419E">
            <w:pPr>
              <w:jc w:val="center"/>
              <w:rPr>
                <w:sz w:val="18"/>
                <w:szCs w:val="18"/>
              </w:rPr>
            </w:pPr>
          </w:p>
        </w:tc>
        <w:tc>
          <w:tcPr>
            <w:tcW w:w="1079" w:type="dxa"/>
            <w:vAlign w:val="center"/>
          </w:tcPr>
          <w:p w:rsidR="00454AD3" w:rsidRPr="005A0BC8" w:rsidRDefault="00454AD3" w:rsidP="0042419E">
            <w:pPr>
              <w:jc w:val="center"/>
              <w:rPr>
                <w:sz w:val="18"/>
                <w:szCs w:val="18"/>
              </w:rPr>
            </w:pPr>
          </w:p>
        </w:tc>
        <w:tc>
          <w:tcPr>
            <w:tcW w:w="1047" w:type="dxa"/>
            <w:vAlign w:val="center"/>
          </w:tcPr>
          <w:p w:rsidR="00454AD3" w:rsidRPr="005A0BC8" w:rsidRDefault="00454AD3" w:rsidP="0042419E">
            <w:pPr>
              <w:jc w:val="center"/>
              <w:rPr>
                <w:sz w:val="18"/>
                <w:szCs w:val="18"/>
              </w:rPr>
            </w:pPr>
            <w:r w:rsidRPr="005A0BC8">
              <w:rPr>
                <w:sz w:val="18"/>
                <w:szCs w:val="18"/>
              </w:rPr>
              <w:t>420</w:t>
            </w:r>
          </w:p>
        </w:tc>
        <w:tc>
          <w:tcPr>
            <w:tcW w:w="1080" w:type="dxa"/>
            <w:vAlign w:val="center"/>
          </w:tcPr>
          <w:p w:rsidR="00454AD3" w:rsidRPr="005A0BC8" w:rsidRDefault="00454AD3" w:rsidP="0042419E">
            <w:pPr>
              <w:jc w:val="center"/>
              <w:rPr>
                <w:sz w:val="18"/>
                <w:szCs w:val="18"/>
              </w:rPr>
            </w:pPr>
            <w:r w:rsidRPr="005A0BC8">
              <w:rPr>
                <w:sz w:val="18"/>
                <w:szCs w:val="18"/>
              </w:rPr>
              <w:t>296</w:t>
            </w:r>
          </w:p>
        </w:tc>
        <w:tc>
          <w:tcPr>
            <w:tcW w:w="984" w:type="dxa"/>
            <w:vAlign w:val="center"/>
          </w:tcPr>
          <w:p w:rsidR="00454AD3" w:rsidRPr="005A0BC8" w:rsidRDefault="00454AD3" w:rsidP="0042419E">
            <w:pPr>
              <w:jc w:val="center"/>
              <w:rPr>
                <w:sz w:val="18"/>
                <w:szCs w:val="18"/>
              </w:rPr>
            </w:pPr>
          </w:p>
        </w:tc>
        <w:tc>
          <w:tcPr>
            <w:tcW w:w="1048" w:type="dxa"/>
            <w:vAlign w:val="center"/>
          </w:tcPr>
          <w:p w:rsidR="00454AD3" w:rsidRPr="005A0BC8" w:rsidRDefault="00454AD3" w:rsidP="0042419E">
            <w:pPr>
              <w:jc w:val="center"/>
              <w:rPr>
                <w:sz w:val="18"/>
                <w:szCs w:val="18"/>
              </w:rPr>
            </w:pPr>
          </w:p>
        </w:tc>
      </w:tr>
      <w:tr w:rsidR="00454AD3" w:rsidRPr="005A0BC8" w:rsidTr="0042419E">
        <w:tc>
          <w:tcPr>
            <w:tcW w:w="3085" w:type="dxa"/>
          </w:tcPr>
          <w:p w:rsidR="00454AD3" w:rsidRPr="005A0BC8" w:rsidRDefault="00454AD3" w:rsidP="0042419E">
            <w:pPr>
              <w:jc w:val="both"/>
              <w:rPr>
                <w:sz w:val="18"/>
                <w:szCs w:val="18"/>
              </w:rPr>
            </w:pPr>
            <w:r w:rsidRPr="005A0BC8">
              <w:rPr>
                <w:sz w:val="18"/>
                <w:szCs w:val="18"/>
              </w:rPr>
              <w:t xml:space="preserve">Centro Educativo de </w:t>
            </w:r>
            <w:proofErr w:type="spellStart"/>
            <w:r w:rsidRPr="005A0BC8">
              <w:rPr>
                <w:sz w:val="18"/>
                <w:szCs w:val="18"/>
              </w:rPr>
              <w:t>Itauguá</w:t>
            </w:r>
            <w:proofErr w:type="spellEnd"/>
          </w:p>
        </w:tc>
        <w:tc>
          <w:tcPr>
            <w:tcW w:w="1047" w:type="dxa"/>
            <w:vAlign w:val="center"/>
          </w:tcPr>
          <w:p w:rsidR="00454AD3" w:rsidRPr="005A0BC8" w:rsidRDefault="00454AD3" w:rsidP="0042419E">
            <w:pPr>
              <w:jc w:val="center"/>
              <w:rPr>
                <w:sz w:val="18"/>
                <w:szCs w:val="18"/>
              </w:rPr>
            </w:pPr>
            <w:r w:rsidRPr="005A0BC8">
              <w:rPr>
                <w:sz w:val="18"/>
                <w:szCs w:val="18"/>
              </w:rPr>
              <w:t>106</w:t>
            </w:r>
          </w:p>
        </w:tc>
        <w:tc>
          <w:tcPr>
            <w:tcW w:w="1079" w:type="dxa"/>
            <w:vAlign w:val="center"/>
          </w:tcPr>
          <w:p w:rsidR="00454AD3" w:rsidRPr="005A0BC8" w:rsidRDefault="00454AD3" w:rsidP="0042419E">
            <w:pPr>
              <w:jc w:val="center"/>
              <w:rPr>
                <w:sz w:val="18"/>
                <w:szCs w:val="18"/>
              </w:rPr>
            </w:pPr>
            <w:r w:rsidRPr="005A0BC8">
              <w:rPr>
                <w:sz w:val="18"/>
                <w:szCs w:val="18"/>
              </w:rPr>
              <w:t>-</w:t>
            </w:r>
          </w:p>
        </w:tc>
        <w:tc>
          <w:tcPr>
            <w:tcW w:w="1047" w:type="dxa"/>
            <w:vAlign w:val="center"/>
          </w:tcPr>
          <w:p w:rsidR="00454AD3" w:rsidRPr="005A0BC8" w:rsidRDefault="00454AD3" w:rsidP="0042419E">
            <w:pPr>
              <w:jc w:val="center"/>
              <w:rPr>
                <w:sz w:val="18"/>
                <w:szCs w:val="18"/>
              </w:rPr>
            </w:pPr>
            <w:r w:rsidRPr="005A0BC8">
              <w:rPr>
                <w:sz w:val="18"/>
                <w:szCs w:val="18"/>
              </w:rPr>
              <w:t>s/d</w:t>
            </w:r>
          </w:p>
        </w:tc>
        <w:tc>
          <w:tcPr>
            <w:tcW w:w="1080" w:type="dxa"/>
            <w:vAlign w:val="center"/>
          </w:tcPr>
          <w:p w:rsidR="00454AD3" w:rsidRPr="005A0BC8" w:rsidRDefault="00454AD3" w:rsidP="0042419E">
            <w:pPr>
              <w:jc w:val="center"/>
              <w:rPr>
                <w:sz w:val="18"/>
                <w:szCs w:val="18"/>
              </w:rPr>
            </w:pPr>
            <w:r w:rsidRPr="005A0BC8">
              <w:rPr>
                <w:sz w:val="18"/>
                <w:szCs w:val="18"/>
              </w:rPr>
              <w:t>-</w:t>
            </w:r>
          </w:p>
        </w:tc>
        <w:tc>
          <w:tcPr>
            <w:tcW w:w="984" w:type="dxa"/>
            <w:vAlign w:val="center"/>
          </w:tcPr>
          <w:p w:rsidR="00454AD3" w:rsidRPr="005A0BC8" w:rsidRDefault="00454AD3" w:rsidP="0042419E">
            <w:pPr>
              <w:jc w:val="center"/>
              <w:rPr>
                <w:sz w:val="18"/>
                <w:szCs w:val="18"/>
              </w:rPr>
            </w:pPr>
            <w:r w:rsidRPr="005A0BC8">
              <w:rPr>
                <w:sz w:val="18"/>
                <w:szCs w:val="18"/>
              </w:rPr>
              <w:t>149</w:t>
            </w:r>
          </w:p>
        </w:tc>
        <w:tc>
          <w:tcPr>
            <w:tcW w:w="1048" w:type="dxa"/>
            <w:vAlign w:val="center"/>
          </w:tcPr>
          <w:p w:rsidR="00454AD3" w:rsidRPr="005A0BC8" w:rsidRDefault="00454AD3" w:rsidP="0042419E">
            <w:pPr>
              <w:jc w:val="center"/>
              <w:rPr>
                <w:sz w:val="18"/>
                <w:szCs w:val="18"/>
              </w:rPr>
            </w:pPr>
            <w:r w:rsidRPr="005A0BC8">
              <w:rPr>
                <w:sz w:val="18"/>
                <w:szCs w:val="18"/>
              </w:rPr>
              <w:t>-</w:t>
            </w:r>
          </w:p>
        </w:tc>
      </w:tr>
      <w:tr w:rsidR="00454AD3" w:rsidRPr="005A0BC8" w:rsidTr="0042419E">
        <w:tc>
          <w:tcPr>
            <w:tcW w:w="3085" w:type="dxa"/>
          </w:tcPr>
          <w:p w:rsidR="00454AD3" w:rsidRPr="005A0BC8" w:rsidRDefault="00454AD3" w:rsidP="0042419E">
            <w:pPr>
              <w:jc w:val="both"/>
              <w:rPr>
                <w:sz w:val="18"/>
                <w:szCs w:val="18"/>
              </w:rPr>
            </w:pPr>
            <w:r w:rsidRPr="005A0BC8">
              <w:rPr>
                <w:sz w:val="18"/>
                <w:szCs w:val="18"/>
              </w:rPr>
              <w:t>Centro Educativo “Sembrador” de Villarrica</w:t>
            </w:r>
          </w:p>
        </w:tc>
        <w:tc>
          <w:tcPr>
            <w:tcW w:w="1047" w:type="dxa"/>
            <w:vAlign w:val="center"/>
          </w:tcPr>
          <w:p w:rsidR="00454AD3" w:rsidRPr="005A0BC8" w:rsidRDefault="00454AD3" w:rsidP="0042419E">
            <w:pPr>
              <w:jc w:val="center"/>
              <w:rPr>
                <w:sz w:val="18"/>
                <w:szCs w:val="18"/>
              </w:rPr>
            </w:pPr>
          </w:p>
        </w:tc>
        <w:tc>
          <w:tcPr>
            <w:tcW w:w="1079" w:type="dxa"/>
            <w:vAlign w:val="center"/>
          </w:tcPr>
          <w:p w:rsidR="00454AD3" w:rsidRPr="005A0BC8" w:rsidRDefault="00454AD3" w:rsidP="0042419E">
            <w:pPr>
              <w:jc w:val="center"/>
              <w:rPr>
                <w:sz w:val="18"/>
                <w:szCs w:val="18"/>
              </w:rPr>
            </w:pPr>
            <w:r w:rsidRPr="005A0BC8">
              <w:rPr>
                <w:sz w:val="18"/>
                <w:szCs w:val="18"/>
              </w:rPr>
              <w:t>-</w:t>
            </w:r>
          </w:p>
        </w:tc>
        <w:tc>
          <w:tcPr>
            <w:tcW w:w="1047" w:type="dxa"/>
            <w:vAlign w:val="center"/>
          </w:tcPr>
          <w:p w:rsidR="00454AD3" w:rsidRPr="005A0BC8" w:rsidRDefault="00454AD3" w:rsidP="0042419E">
            <w:pPr>
              <w:jc w:val="center"/>
              <w:rPr>
                <w:sz w:val="18"/>
                <w:szCs w:val="18"/>
              </w:rPr>
            </w:pPr>
            <w:r w:rsidRPr="005A0BC8">
              <w:rPr>
                <w:sz w:val="18"/>
                <w:szCs w:val="18"/>
              </w:rPr>
              <w:t>217</w:t>
            </w:r>
          </w:p>
        </w:tc>
        <w:tc>
          <w:tcPr>
            <w:tcW w:w="1080" w:type="dxa"/>
            <w:vAlign w:val="center"/>
          </w:tcPr>
          <w:p w:rsidR="00454AD3" w:rsidRPr="005A0BC8" w:rsidRDefault="00454AD3" w:rsidP="0042419E">
            <w:pPr>
              <w:jc w:val="center"/>
              <w:rPr>
                <w:sz w:val="18"/>
                <w:szCs w:val="18"/>
              </w:rPr>
            </w:pPr>
            <w:r w:rsidRPr="005A0BC8">
              <w:rPr>
                <w:sz w:val="18"/>
                <w:szCs w:val="18"/>
              </w:rPr>
              <w:t>-</w:t>
            </w:r>
          </w:p>
        </w:tc>
        <w:tc>
          <w:tcPr>
            <w:tcW w:w="984" w:type="dxa"/>
            <w:vAlign w:val="center"/>
          </w:tcPr>
          <w:p w:rsidR="00454AD3" w:rsidRPr="005A0BC8" w:rsidRDefault="00454AD3" w:rsidP="0042419E">
            <w:pPr>
              <w:jc w:val="center"/>
              <w:rPr>
                <w:sz w:val="18"/>
                <w:szCs w:val="18"/>
              </w:rPr>
            </w:pPr>
            <w:r w:rsidRPr="005A0BC8">
              <w:rPr>
                <w:sz w:val="18"/>
                <w:szCs w:val="18"/>
              </w:rPr>
              <w:t>206</w:t>
            </w:r>
          </w:p>
        </w:tc>
        <w:tc>
          <w:tcPr>
            <w:tcW w:w="1048" w:type="dxa"/>
            <w:vAlign w:val="center"/>
          </w:tcPr>
          <w:p w:rsidR="00454AD3" w:rsidRPr="005A0BC8" w:rsidRDefault="00454AD3" w:rsidP="0042419E">
            <w:pPr>
              <w:jc w:val="center"/>
              <w:rPr>
                <w:sz w:val="18"/>
                <w:szCs w:val="18"/>
              </w:rPr>
            </w:pPr>
            <w:r w:rsidRPr="005A0BC8">
              <w:rPr>
                <w:sz w:val="18"/>
                <w:szCs w:val="18"/>
              </w:rPr>
              <w:t>-</w:t>
            </w:r>
          </w:p>
        </w:tc>
      </w:tr>
      <w:tr w:rsidR="00454AD3" w:rsidRPr="005A0BC8" w:rsidTr="0042419E">
        <w:tc>
          <w:tcPr>
            <w:tcW w:w="3085" w:type="dxa"/>
          </w:tcPr>
          <w:p w:rsidR="00454AD3" w:rsidRPr="005A0BC8" w:rsidRDefault="00454AD3" w:rsidP="0042419E">
            <w:pPr>
              <w:jc w:val="both"/>
              <w:rPr>
                <w:sz w:val="18"/>
                <w:szCs w:val="18"/>
              </w:rPr>
            </w:pPr>
            <w:r w:rsidRPr="005A0BC8">
              <w:rPr>
                <w:sz w:val="18"/>
                <w:szCs w:val="18"/>
              </w:rPr>
              <w:t>Centro Educativo de Ciudad del Este</w:t>
            </w:r>
          </w:p>
        </w:tc>
        <w:tc>
          <w:tcPr>
            <w:tcW w:w="1047" w:type="dxa"/>
            <w:vAlign w:val="center"/>
          </w:tcPr>
          <w:p w:rsidR="00454AD3" w:rsidRPr="005A0BC8" w:rsidRDefault="00454AD3" w:rsidP="0042419E">
            <w:pPr>
              <w:jc w:val="center"/>
              <w:rPr>
                <w:sz w:val="18"/>
                <w:szCs w:val="18"/>
              </w:rPr>
            </w:pPr>
            <w:r w:rsidRPr="005A0BC8">
              <w:rPr>
                <w:sz w:val="18"/>
                <w:szCs w:val="18"/>
              </w:rPr>
              <w:t>106</w:t>
            </w:r>
          </w:p>
        </w:tc>
        <w:tc>
          <w:tcPr>
            <w:tcW w:w="1079" w:type="dxa"/>
            <w:vAlign w:val="center"/>
          </w:tcPr>
          <w:p w:rsidR="00454AD3" w:rsidRPr="005A0BC8" w:rsidRDefault="00454AD3" w:rsidP="0042419E">
            <w:pPr>
              <w:jc w:val="center"/>
              <w:rPr>
                <w:sz w:val="18"/>
                <w:szCs w:val="18"/>
              </w:rPr>
            </w:pPr>
            <w:r w:rsidRPr="005A0BC8">
              <w:rPr>
                <w:sz w:val="18"/>
                <w:szCs w:val="18"/>
              </w:rPr>
              <w:t>-</w:t>
            </w:r>
          </w:p>
        </w:tc>
        <w:tc>
          <w:tcPr>
            <w:tcW w:w="1047" w:type="dxa"/>
            <w:vAlign w:val="center"/>
          </w:tcPr>
          <w:p w:rsidR="00454AD3" w:rsidRPr="005A0BC8" w:rsidRDefault="00454AD3" w:rsidP="0042419E">
            <w:pPr>
              <w:jc w:val="center"/>
              <w:rPr>
                <w:sz w:val="18"/>
                <w:szCs w:val="18"/>
              </w:rPr>
            </w:pPr>
            <w:r w:rsidRPr="005A0BC8">
              <w:rPr>
                <w:sz w:val="18"/>
                <w:szCs w:val="18"/>
              </w:rPr>
              <w:t>205</w:t>
            </w:r>
          </w:p>
        </w:tc>
        <w:tc>
          <w:tcPr>
            <w:tcW w:w="1080" w:type="dxa"/>
            <w:vAlign w:val="center"/>
          </w:tcPr>
          <w:p w:rsidR="00454AD3" w:rsidRPr="005A0BC8" w:rsidRDefault="00454AD3" w:rsidP="0042419E">
            <w:pPr>
              <w:jc w:val="center"/>
              <w:rPr>
                <w:sz w:val="18"/>
                <w:szCs w:val="18"/>
              </w:rPr>
            </w:pPr>
            <w:r w:rsidRPr="005A0BC8">
              <w:rPr>
                <w:sz w:val="18"/>
                <w:szCs w:val="18"/>
              </w:rPr>
              <w:t>-</w:t>
            </w:r>
          </w:p>
        </w:tc>
        <w:tc>
          <w:tcPr>
            <w:tcW w:w="984" w:type="dxa"/>
            <w:vAlign w:val="center"/>
          </w:tcPr>
          <w:p w:rsidR="00454AD3" w:rsidRPr="005A0BC8" w:rsidRDefault="00454AD3" w:rsidP="0042419E">
            <w:pPr>
              <w:jc w:val="center"/>
              <w:rPr>
                <w:sz w:val="18"/>
                <w:szCs w:val="18"/>
              </w:rPr>
            </w:pPr>
            <w:r w:rsidRPr="005A0BC8">
              <w:rPr>
                <w:sz w:val="18"/>
                <w:szCs w:val="18"/>
              </w:rPr>
              <w:t>306</w:t>
            </w:r>
          </w:p>
        </w:tc>
        <w:tc>
          <w:tcPr>
            <w:tcW w:w="1048" w:type="dxa"/>
            <w:vAlign w:val="center"/>
          </w:tcPr>
          <w:p w:rsidR="00454AD3" w:rsidRPr="005A0BC8" w:rsidRDefault="00454AD3" w:rsidP="0042419E">
            <w:pPr>
              <w:jc w:val="center"/>
              <w:rPr>
                <w:sz w:val="18"/>
                <w:szCs w:val="18"/>
              </w:rPr>
            </w:pPr>
            <w:r w:rsidRPr="005A0BC8">
              <w:rPr>
                <w:sz w:val="18"/>
                <w:szCs w:val="18"/>
              </w:rPr>
              <w:t>-</w:t>
            </w:r>
          </w:p>
        </w:tc>
      </w:tr>
      <w:tr w:rsidR="00454AD3" w:rsidRPr="005A0BC8" w:rsidTr="0042419E">
        <w:tc>
          <w:tcPr>
            <w:tcW w:w="3085" w:type="dxa"/>
          </w:tcPr>
          <w:p w:rsidR="00454AD3" w:rsidRPr="005A0BC8" w:rsidRDefault="00454AD3" w:rsidP="0042419E">
            <w:pPr>
              <w:jc w:val="both"/>
              <w:rPr>
                <w:sz w:val="18"/>
                <w:szCs w:val="18"/>
              </w:rPr>
            </w:pPr>
            <w:r w:rsidRPr="005A0BC8">
              <w:rPr>
                <w:sz w:val="18"/>
                <w:szCs w:val="18"/>
              </w:rPr>
              <w:t>Centro Educativo Virgen de Fátima de Asunción</w:t>
            </w:r>
          </w:p>
        </w:tc>
        <w:tc>
          <w:tcPr>
            <w:tcW w:w="1047" w:type="dxa"/>
            <w:vAlign w:val="center"/>
          </w:tcPr>
          <w:p w:rsidR="00454AD3" w:rsidRPr="005A0BC8" w:rsidRDefault="00454AD3" w:rsidP="0042419E">
            <w:pPr>
              <w:jc w:val="center"/>
              <w:rPr>
                <w:sz w:val="18"/>
                <w:szCs w:val="18"/>
              </w:rPr>
            </w:pPr>
            <w:r w:rsidRPr="005A0BC8">
              <w:rPr>
                <w:sz w:val="18"/>
                <w:szCs w:val="18"/>
              </w:rPr>
              <w:t>-</w:t>
            </w:r>
          </w:p>
        </w:tc>
        <w:tc>
          <w:tcPr>
            <w:tcW w:w="1079" w:type="dxa"/>
            <w:vAlign w:val="center"/>
          </w:tcPr>
          <w:p w:rsidR="00454AD3" w:rsidRPr="005A0BC8" w:rsidRDefault="00454AD3" w:rsidP="0042419E">
            <w:pPr>
              <w:jc w:val="center"/>
              <w:rPr>
                <w:sz w:val="18"/>
                <w:szCs w:val="18"/>
              </w:rPr>
            </w:pPr>
            <w:r w:rsidRPr="005A0BC8">
              <w:rPr>
                <w:sz w:val="18"/>
                <w:szCs w:val="18"/>
              </w:rPr>
              <w:t>s/d</w:t>
            </w:r>
          </w:p>
        </w:tc>
        <w:tc>
          <w:tcPr>
            <w:tcW w:w="1047" w:type="dxa"/>
            <w:vAlign w:val="center"/>
          </w:tcPr>
          <w:p w:rsidR="00454AD3" w:rsidRPr="005A0BC8" w:rsidRDefault="00454AD3" w:rsidP="0042419E">
            <w:pPr>
              <w:jc w:val="center"/>
              <w:rPr>
                <w:sz w:val="18"/>
                <w:szCs w:val="18"/>
              </w:rPr>
            </w:pPr>
            <w:r w:rsidRPr="005A0BC8">
              <w:rPr>
                <w:sz w:val="18"/>
                <w:szCs w:val="18"/>
              </w:rPr>
              <w:t>-</w:t>
            </w:r>
          </w:p>
        </w:tc>
        <w:tc>
          <w:tcPr>
            <w:tcW w:w="1080" w:type="dxa"/>
            <w:vAlign w:val="center"/>
          </w:tcPr>
          <w:p w:rsidR="00454AD3" w:rsidRPr="005A0BC8" w:rsidRDefault="00454AD3" w:rsidP="0042419E">
            <w:pPr>
              <w:jc w:val="center"/>
              <w:rPr>
                <w:sz w:val="18"/>
                <w:szCs w:val="18"/>
              </w:rPr>
            </w:pPr>
            <w:r w:rsidRPr="005A0BC8">
              <w:rPr>
                <w:sz w:val="18"/>
                <w:szCs w:val="18"/>
              </w:rPr>
              <w:t>s/d</w:t>
            </w:r>
          </w:p>
        </w:tc>
        <w:tc>
          <w:tcPr>
            <w:tcW w:w="984" w:type="dxa"/>
            <w:vAlign w:val="center"/>
          </w:tcPr>
          <w:p w:rsidR="00454AD3" w:rsidRPr="005A0BC8" w:rsidRDefault="00454AD3" w:rsidP="0042419E">
            <w:pPr>
              <w:jc w:val="center"/>
              <w:rPr>
                <w:sz w:val="18"/>
                <w:szCs w:val="18"/>
              </w:rPr>
            </w:pPr>
            <w:r w:rsidRPr="005A0BC8">
              <w:rPr>
                <w:sz w:val="18"/>
                <w:szCs w:val="18"/>
              </w:rPr>
              <w:t>-</w:t>
            </w:r>
          </w:p>
        </w:tc>
        <w:tc>
          <w:tcPr>
            <w:tcW w:w="1048" w:type="dxa"/>
            <w:vAlign w:val="center"/>
          </w:tcPr>
          <w:p w:rsidR="00454AD3" w:rsidRPr="005A0BC8" w:rsidRDefault="00454AD3" w:rsidP="0042419E">
            <w:pPr>
              <w:jc w:val="center"/>
              <w:rPr>
                <w:sz w:val="18"/>
                <w:szCs w:val="18"/>
              </w:rPr>
            </w:pPr>
            <w:r w:rsidRPr="005A0BC8">
              <w:rPr>
                <w:sz w:val="18"/>
                <w:szCs w:val="18"/>
              </w:rPr>
              <w:t>85</w:t>
            </w:r>
          </w:p>
        </w:tc>
      </w:tr>
    </w:tbl>
    <w:p w:rsidR="00454AD3" w:rsidRPr="005A0BC8" w:rsidRDefault="00454AD3" w:rsidP="00454AD3">
      <w:pPr>
        <w:spacing w:after="0" w:line="240" w:lineRule="auto"/>
        <w:jc w:val="both"/>
      </w:pPr>
      <w:r w:rsidRPr="005A0BC8">
        <w:t>Fuente: Tabulación propia sobre los informes de monitoreo y seguimiento del MNP 2014 – 2016.</w:t>
      </w:r>
    </w:p>
    <w:p w:rsidR="00454AD3" w:rsidRPr="00454AD3" w:rsidRDefault="00454AD3" w:rsidP="00454AD3">
      <w:pPr>
        <w:spacing w:after="0" w:line="240" w:lineRule="auto"/>
        <w:jc w:val="both"/>
        <w:rPr>
          <w:highlight w:val="yellow"/>
        </w:rPr>
      </w:pPr>
    </w:p>
    <w:p w:rsidR="00454AD3" w:rsidRPr="00024EEE" w:rsidRDefault="00454AD3" w:rsidP="00454AD3">
      <w:pPr>
        <w:spacing w:after="0" w:line="240" w:lineRule="auto"/>
        <w:jc w:val="both"/>
      </w:pPr>
      <w:r w:rsidRPr="00024EEE">
        <w:t>El Estado paraguayo sostiene una política criminal basada en el uso desproporcionado de la prisión preventiva. Esta política se instrumentaliza, entre otros factores, mediante la adopción de leyes de emergencia de carácter regresivo, que debilitan las garantías que frenan el uso abusivo de la prisión preventiva; la aplicación abusiva de la prisión preventiva sobre la base de estas leyes; la destitución de jueces penales bajo el argumento de haber concedido medidas sustitutivas en casos en que estaban obligados por ley a decretar la prisión preventiva; la impunidad de magistrados/as que aplican prisión preventiva abusiva.</w:t>
      </w:r>
    </w:p>
    <w:p w:rsidR="00454AD3" w:rsidRPr="00024EEE" w:rsidRDefault="00454AD3" w:rsidP="00454AD3">
      <w:pPr>
        <w:spacing w:after="0" w:line="240" w:lineRule="auto"/>
        <w:jc w:val="both"/>
      </w:pPr>
    </w:p>
    <w:p w:rsidR="00B07112" w:rsidRDefault="00454AD3" w:rsidP="00454AD3">
      <w:pPr>
        <w:spacing w:after="0" w:line="240" w:lineRule="auto"/>
        <w:jc w:val="both"/>
        <w:rPr>
          <w:rFonts w:cs="Times New Roman"/>
        </w:rPr>
      </w:pPr>
      <w:r w:rsidRPr="00BD2BA8">
        <w:t xml:space="preserve">Las garantías que limitaban la prisión preventiva establecidas en </w:t>
      </w:r>
      <w:r w:rsidRPr="00BD2BA8">
        <w:rPr>
          <w:lang w:val="es-PY"/>
        </w:rPr>
        <w:t xml:space="preserve">la Ley N° 1286/98 Código Procesal Penal, fueron eliminadas mediante dos reformas regresivas a través de las leyes N° 2493/2004 y N° 4431/2011. Esta última, que se encuentra vigente, en la forma en la que es aplicada por el Poder Judicial paraguayo, es interpretada de modo que ningún magistrado/a puede aplicar otra medida salvo la prisión preventiva, cuando concurren ciertos requisitos citados en la ley. Entre otros, cuando el hecho investigado </w:t>
      </w:r>
      <w:r w:rsidRPr="00BD2BA8">
        <w:rPr>
          <w:rFonts w:cs="Times New Roman"/>
        </w:rPr>
        <w:t>está tipificado como crimen (hechos con expectativa de pena privativa de libertad mayor de cinco años)</w:t>
      </w:r>
      <w:r w:rsidR="00024EEE" w:rsidRPr="00BD2BA8">
        <w:rPr>
          <w:rFonts w:cs="Times New Roman"/>
        </w:rPr>
        <w:t xml:space="preserve"> </w:t>
      </w:r>
      <w:r w:rsidRPr="00BD2BA8">
        <w:rPr>
          <w:rFonts w:cs="Times New Roman"/>
        </w:rPr>
        <w:t>o cuando se encuentre pendiente una imputación en otra causa, con una expectativa de pena superior a cinco años de prisión.</w:t>
      </w:r>
      <w:r w:rsidR="00B07112" w:rsidRPr="00BD2BA8">
        <w:rPr>
          <w:rFonts w:cs="Times New Roman"/>
        </w:rPr>
        <w:t xml:space="preserve"> </w:t>
      </w:r>
    </w:p>
    <w:p w:rsidR="00B07112" w:rsidRDefault="00B07112" w:rsidP="00454AD3">
      <w:pPr>
        <w:spacing w:after="0" w:line="240" w:lineRule="auto"/>
        <w:jc w:val="both"/>
        <w:rPr>
          <w:rFonts w:cs="Times New Roman"/>
        </w:rPr>
      </w:pPr>
    </w:p>
    <w:p w:rsidR="00B07112" w:rsidRDefault="00B07112" w:rsidP="00454AD3">
      <w:pPr>
        <w:spacing w:after="0" w:line="240" w:lineRule="auto"/>
        <w:jc w:val="both"/>
        <w:rPr>
          <w:highlight w:val="yellow"/>
        </w:rPr>
      </w:pPr>
      <w:r>
        <w:t xml:space="preserve">En la actual normativa un total de 220 conductas típicas definidas tienen marcos penales máximos de hasta 5 años o se sancionan con penas no privativas de libertad. Por otro lado, 114 conductas </w:t>
      </w:r>
      <w:r>
        <w:lastRenderedPageBreak/>
        <w:t>típicas tienen previstas sanciones máximas superiores a dicho marco penal, es decir, que constituyen crímenes.</w:t>
      </w:r>
    </w:p>
    <w:p w:rsidR="00B07112" w:rsidRPr="00B07112" w:rsidRDefault="00B07112" w:rsidP="00454AD3">
      <w:pPr>
        <w:spacing w:after="0" w:line="240" w:lineRule="auto"/>
        <w:jc w:val="both"/>
      </w:pPr>
    </w:p>
    <w:p w:rsidR="00454AD3" w:rsidRPr="00B07112" w:rsidRDefault="00B07112" w:rsidP="00454AD3">
      <w:pPr>
        <w:spacing w:after="0" w:line="240" w:lineRule="auto"/>
        <w:jc w:val="both"/>
      </w:pPr>
      <w:r w:rsidRPr="00B07112">
        <w:t xml:space="preserve">Entre estos crímenes existen varios </w:t>
      </w:r>
      <w:r w:rsidR="007D0A22">
        <w:t xml:space="preserve">que </w:t>
      </w:r>
      <w:r w:rsidRPr="00B07112">
        <w:t>conforman mayoritariamente la población penal o que tienen alta incidencia en las políticas criminales de encar</w:t>
      </w:r>
      <w:r>
        <w:t>celamiento</w:t>
      </w:r>
      <w:r w:rsidRPr="00B07112">
        <w:t xml:space="preserve"> tales como el robo, el hurto agravado y la violencia intrafamiliar. L</w:t>
      </w:r>
      <w:r w:rsidR="00454AD3" w:rsidRPr="00B07112">
        <w:t xml:space="preserve">as conductas sancionadas por la ley de narcotráfico son definidas como crímenes, </w:t>
      </w:r>
      <w:r w:rsidRPr="00B07112">
        <w:t xml:space="preserve">por lo que </w:t>
      </w:r>
      <w:r w:rsidR="00454AD3" w:rsidRPr="00B07112">
        <w:t xml:space="preserve">a las mujeres procesadas por esta ley les resulta desproporcionadamente difícil acceder a medidas sustitutivas de la prisión o, en su defecto, al arresto domiciliario, aún cuando en el caso en particular se den las condiciones para que la justicia revoque la prisión y la sustituya, al menos, por el arresto domiciliario. </w:t>
      </w:r>
    </w:p>
    <w:p w:rsidR="00454AD3" w:rsidRPr="00B07112" w:rsidRDefault="00454AD3" w:rsidP="00454AD3">
      <w:pPr>
        <w:spacing w:after="0" w:line="240" w:lineRule="auto"/>
        <w:jc w:val="both"/>
      </w:pPr>
    </w:p>
    <w:p w:rsidR="00454AD3" w:rsidRPr="00B07112" w:rsidRDefault="00454AD3" w:rsidP="00454AD3">
      <w:pPr>
        <w:spacing w:after="0" w:line="240" w:lineRule="auto"/>
        <w:jc w:val="both"/>
      </w:pPr>
      <w:r w:rsidRPr="00B07112">
        <w:rPr>
          <w:lang w:val="es-CR"/>
        </w:rPr>
        <w:t xml:space="preserve">Estas leyes son incompatibles con el artículo 9.3 del Pacto Internacional de Derechos Civiles y Políticos y con el artículo 7.5 de la Convención Americana de Derechos Humanos. Asimismo, trasgreden lo establecido en la Constitución de la República del Paraguay de 1992. Esto, sin embargo, no fue obstáculo </w:t>
      </w:r>
      <w:r w:rsidRPr="00B07112">
        <w:t>para que el 2 de agosto de 2013, la sala constitucional de la Corte Suprema de Justicia declare que la Ley N° 4431/2011 es constitucional, sentando un precedente jurisprudencial que orienta las decisiones de todos los juzgados penales de la República y fija la línea por donde serán resueltos todos los incidentes que las defensa técnicas planteen en contra de la tasación de la prisión preventiva.</w:t>
      </w:r>
    </w:p>
    <w:p w:rsidR="00454AD3" w:rsidRPr="00B07112" w:rsidRDefault="00454AD3" w:rsidP="00454AD3">
      <w:pPr>
        <w:spacing w:after="0" w:line="240" w:lineRule="auto"/>
        <w:jc w:val="both"/>
      </w:pPr>
    </w:p>
    <w:p w:rsidR="00454AD3" w:rsidRPr="00B07112" w:rsidRDefault="00454AD3" w:rsidP="00454AD3">
      <w:pPr>
        <w:spacing w:after="0" w:line="240" w:lineRule="auto"/>
        <w:jc w:val="both"/>
      </w:pPr>
      <w:r w:rsidRPr="00B07112">
        <w:t>Por otra parte, la Corte Suprema de Justicia del Paraguay adoptó las Reglas de Bangkok mediante la Acordada Nº 845/2013 del 1 de octubre de 2013 y dispuso implementarlas en la administración de la justicia penal doméstica haciéndolas efectivas en sus decisorios y en la actuación de los tribunales. Asimismo, a recomendación del MNP, el Ministerio Público dictó el Instructivo General Nº 7/16 del 8 de junio de 2016, que establece indicaciones de política criminal que la Fiscalía General del Estado dicta a los/as agentes fiscales, estableciendo los criterios que se deben reunir para requerir la aplicación de la prisión preventiva en las causas penales en las que tengan intervención.</w:t>
      </w:r>
    </w:p>
    <w:p w:rsidR="00454AD3" w:rsidRPr="00B07112" w:rsidRDefault="00454AD3" w:rsidP="00454AD3">
      <w:pPr>
        <w:spacing w:after="0" w:line="240" w:lineRule="auto"/>
        <w:jc w:val="both"/>
      </w:pPr>
    </w:p>
    <w:p w:rsidR="00454AD3" w:rsidRPr="00B07112" w:rsidRDefault="00454AD3" w:rsidP="00454AD3">
      <w:pPr>
        <w:spacing w:after="0" w:line="240" w:lineRule="auto"/>
        <w:jc w:val="both"/>
      </w:pPr>
      <w:r w:rsidRPr="00B07112">
        <w:t>Al respecto, el MNP ya ha recomendado a las autoridades paraguayas en diversas oportunidades, la adopción de estas medidas:</w:t>
      </w:r>
    </w:p>
    <w:p w:rsidR="00454AD3" w:rsidRPr="00B07112" w:rsidRDefault="00454AD3" w:rsidP="00454AD3">
      <w:pPr>
        <w:spacing w:after="0" w:line="240" w:lineRule="auto"/>
        <w:jc w:val="both"/>
      </w:pPr>
    </w:p>
    <w:p w:rsidR="00454AD3" w:rsidRPr="00B07112" w:rsidRDefault="006140A8" w:rsidP="00454AD3">
      <w:pPr>
        <w:spacing w:after="0" w:line="240" w:lineRule="auto"/>
        <w:jc w:val="both"/>
      </w:pPr>
      <w:r>
        <w:t xml:space="preserve">a) </w:t>
      </w:r>
      <w:r w:rsidR="00454AD3" w:rsidRPr="00B07112">
        <w:t>Derogar la Ley N° 4431/2011 y las que impiden la aplicación del libre criterio de los juzgados penales en la aplicación de medidas sustitutivas de la prisión preventiva.</w:t>
      </w:r>
    </w:p>
    <w:p w:rsidR="00454AD3" w:rsidRPr="00B07112" w:rsidRDefault="00454AD3" w:rsidP="00454AD3">
      <w:pPr>
        <w:spacing w:after="0" w:line="240" w:lineRule="auto"/>
        <w:jc w:val="both"/>
      </w:pPr>
    </w:p>
    <w:p w:rsidR="00454AD3" w:rsidRPr="00B07112" w:rsidRDefault="006140A8" w:rsidP="00454AD3">
      <w:pPr>
        <w:spacing w:after="0" w:line="240" w:lineRule="auto"/>
        <w:jc w:val="both"/>
      </w:pPr>
      <w:r>
        <w:t xml:space="preserve">b) </w:t>
      </w:r>
      <w:r w:rsidR="00454AD3" w:rsidRPr="00B07112">
        <w:t>Alentar a que desde la Corte Suprema de Justicia y la Fiscalía General del Estado se establezca un programa para la sistemática revisión de prisiones que puedan ser revocadas por resultar pertinente conforme a la ley. Que el control de convencionalidad cuente con posibilidades de ser incorporado en este programa y que sean cumplidas las causales de revocatoria de la prisión en los casos previstos en la legislación, facilitando el otorgamiento de libertades y limitando el ingreso, de modo a descomprimir los niveles de sobrepoblación carcelaria.</w:t>
      </w:r>
    </w:p>
    <w:p w:rsidR="00454AD3" w:rsidRPr="00B07112" w:rsidRDefault="00454AD3" w:rsidP="00454AD3">
      <w:pPr>
        <w:spacing w:after="0" w:line="240" w:lineRule="auto"/>
        <w:jc w:val="both"/>
        <w:rPr>
          <w:sz w:val="24"/>
          <w:szCs w:val="24"/>
        </w:rPr>
      </w:pPr>
    </w:p>
    <w:p w:rsidR="00454AD3" w:rsidRPr="00B07112" w:rsidRDefault="006140A8" w:rsidP="00454AD3">
      <w:pPr>
        <w:spacing w:after="0" w:line="240" w:lineRule="auto"/>
        <w:jc w:val="both"/>
        <w:rPr>
          <w:sz w:val="24"/>
          <w:szCs w:val="24"/>
        </w:rPr>
      </w:pPr>
      <w:r>
        <w:rPr>
          <w:sz w:val="24"/>
          <w:szCs w:val="24"/>
        </w:rPr>
        <w:t xml:space="preserve">c) </w:t>
      </w:r>
      <w:r w:rsidR="00454AD3" w:rsidRPr="00B07112">
        <w:rPr>
          <w:sz w:val="24"/>
          <w:szCs w:val="24"/>
        </w:rPr>
        <w:t>Establecer un sistema de comunicación eficaz entre los Juzgados Penales de Garantía (que aplican la prisión), la Dirección de los establecimientos penales y los Juzgados de Ejecución Penal (que ejercen la vigilancia penitenciaria de la condena y el trato dado a las personas en prisión preventiva), para controlar el tiempo de duración de la prisión preventiva e intervenir ante las condiciones degradantes que padecen las internas.</w:t>
      </w:r>
    </w:p>
    <w:p w:rsidR="00454AD3" w:rsidRPr="00B07112" w:rsidRDefault="00454AD3" w:rsidP="00454AD3">
      <w:pPr>
        <w:spacing w:after="0" w:line="240" w:lineRule="auto"/>
        <w:jc w:val="both"/>
        <w:rPr>
          <w:sz w:val="24"/>
          <w:szCs w:val="24"/>
        </w:rPr>
      </w:pPr>
    </w:p>
    <w:p w:rsidR="00454AD3" w:rsidRPr="00B07112" w:rsidRDefault="006140A8" w:rsidP="00454AD3">
      <w:pPr>
        <w:spacing w:after="0" w:line="240" w:lineRule="auto"/>
        <w:jc w:val="both"/>
      </w:pPr>
      <w:r>
        <w:t xml:space="preserve">d) </w:t>
      </w:r>
      <w:r w:rsidR="00454AD3" w:rsidRPr="00B07112">
        <w:t xml:space="preserve">Hacer efectiva la divulgación y aplicación de las Reglas de Bangkok entre agentes fiscales del Ministerio Público y magistrados/as del Poder Judicial, en especial en lo relativo a las medidas de prisión preventiva y a sus alternativas para mujeres gestantes y durante el puerperio, en conjunto con las Reglas de Tokio. </w:t>
      </w:r>
    </w:p>
    <w:p w:rsidR="00454AD3" w:rsidRPr="00B07112" w:rsidRDefault="00454AD3" w:rsidP="00454AD3">
      <w:pPr>
        <w:spacing w:after="0" w:line="240" w:lineRule="auto"/>
        <w:jc w:val="both"/>
      </w:pPr>
    </w:p>
    <w:p w:rsidR="00454AD3" w:rsidRDefault="006140A8" w:rsidP="00454AD3">
      <w:pPr>
        <w:spacing w:after="0" w:line="240" w:lineRule="auto"/>
        <w:jc w:val="both"/>
      </w:pPr>
      <w:r>
        <w:t xml:space="preserve">e) </w:t>
      </w:r>
      <w:r w:rsidR="00454AD3" w:rsidRPr="00B07112">
        <w:t>Difundir y capacitar a los agentes fiscales respecto del Instructivo General Nº 7/16 del 8 de junio de 2016, que indica los criterios que se deben contemplar para que la Fiscalía solicite la aplicación de la prisión preventiva.</w:t>
      </w:r>
    </w:p>
    <w:p w:rsidR="00962A45" w:rsidRDefault="00962A45" w:rsidP="00C83BE8">
      <w:pPr>
        <w:spacing w:after="0" w:line="240" w:lineRule="auto"/>
        <w:jc w:val="both"/>
      </w:pPr>
    </w:p>
    <w:p w:rsidR="006140A8" w:rsidRPr="00BF4813" w:rsidRDefault="006140A8" w:rsidP="00C83BE8">
      <w:pPr>
        <w:spacing w:after="0" w:line="240" w:lineRule="auto"/>
        <w:jc w:val="both"/>
        <w:rPr>
          <w:rFonts w:eastAsia="Times New Roman"/>
          <w:lang w:eastAsia="es-ES"/>
        </w:rPr>
      </w:pPr>
      <w:r w:rsidRPr="00BF4813">
        <w:rPr>
          <w:rFonts w:eastAsia="Times New Roman"/>
          <w:lang w:eastAsia="es-ES"/>
        </w:rPr>
        <w:t>f) Cumplir con el Código de Ejecución Penal y las normas constitucionales e internacionales que disponen la separación de condenados y procesados en los establecimientos de reclusión.</w:t>
      </w:r>
    </w:p>
    <w:p w:rsidR="006140A8" w:rsidRPr="00BF4813" w:rsidRDefault="006140A8" w:rsidP="00C83BE8">
      <w:pPr>
        <w:spacing w:after="0" w:line="240" w:lineRule="auto"/>
        <w:jc w:val="both"/>
        <w:rPr>
          <w:rFonts w:eastAsia="Times New Roman"/>
          <w:lang w:eastAsia="es-ES"/>
        </w:rPr>
      </w:pPr>
    </w:p>
    <w:p w:rsidR="006140A8" w:rsidRPr="00BF4813" w:rsidRDefault="006140A8" w:rsidP="00C83BE8">
      <w:pPr>
        <w:spacing w:after="0" w:line="240" w:lineRule="auto"/>
        <w:jc w:val="both"/>
        <w:rPr>
          <w:rFonts w:eastAsia="Times New Roman"/>
          <w:lang w:eastAsia="es-ES"/>
        </w:rPr>
      </w:pPr>
      <w:r w:rsidRPr="00BF4813">
        <w:rPr>
          <w:rFonts w:eastAsia="Times New Roman"/>
          <w:lang w:eastAsia="es-ES"/>
        </w:rPr>
        <w:t xml:space="preserve">g) Establecer la capacidad máxima de albergue en cada establecimiento penitenciario, conforme a </w:t>
      </w:r>
      <w:r w:rsidR="00BF4813" w:rsidRPr="00BF4813">
        <w:rPr>
          <w:rFonts w:eastAsia="Times New Roman"/>
          <w:lang w:eastAsia="es-ES"/>
        </w:rPr>
        <w:t>estándares</w:t>
      </w:r>
      <w:r w:rsidRPr="00BF4813">
        <w:rPr>
          <w:rFonts w:eastAsia="Times New Roman"/>
          <w:lang w:eastAsia="es-ES"/>
        </w:rPr>
        <w:t xml:space="preserve"> de derechos humanos y de acuerdo a los procedimientos técnicos transparentes establecidos en el Código de Ejecución Penal del Estado parte. Hacer cumplir las facultades con que cuentan los directores de centros </w:t>
      </w:r>
      <w:r w:rsidR="00BF4813" w:rsidRPr="00BF4813">
        <w:rPr>
          <w:rFonts w:eastAsia="Times New Roman"/>
          <w:lang w:eastAsia="es-ES"/>
        </w:rPr>
        <w:t>penitenciarios</w:t>
      </w:r>
      <w:r w:rsidRPr="00BF4813">
        <w:rPr>
          <w:rFonts w:eastAsia="Times New Roman"/>
          <w:lang w:eastAsia="es-ES"/>
        </w:rPr>
        <w:t xml:space="preserve"> y los juzgados de ejecución penal para </w:t>
      </w:r>
      <w:r w:rsidR="00BF4813" w:rsidRPr="00BF4813">
        <w:rPr>
          <w:rFonts w:eastAsia="Times New Roman"/>
          <w:lang w:eastAsia="es-ES"/>
        </w:rPr>
        <w:t>velar que esta capacidad no sea excedida.</w:t>
      </w:r>
    </w:p>
    <w:p w:rsidR="006140A8" w:rsidRPr="00BF4813" w:rsidRDefault="006140A8" w:rsidP="00C83BE8">
      <w:pPr>
        <w:spacing w:after="0" w:line="240" w:lineRule="auto"/>
        <w:jc w:val="both"/>
      </w:pPr>
    </w:p>
    <w:p w:rsidR="00962A45" w:rsidRPr="00B07112" w:rsidRDefault="00B07112" w:rsidP="00C83BE8">
      <w:pPr>
        <w:spacing w:after="0" w:line="240" w:lineRule="auto"/>
        <w:jc w:val="both"/>
        <w:rPr>
          <w:i/>
        </w:rPr>
      </w:pPr>
      <w:r w:rsidRPr="00B07112">
        <w:rPr>
          <w:i/>
        </w:rPr>
        <w:t>Derecho a la salud en los establecimientos penitenciarios</w:t>
      </w:r>
    </w:p>
    <w:p w:rsidR="00B07112" w:rsidRDefault="00B07112" w:rsidP="00C83BE8">
      <w:pPr>
        <w:spacing w:after="0" w:line="240" w:lineRule="auto"/>
        <w:jc w:val="both"/>
      </w:pPr>
    </w:p>
    <w:p w:rsidR="00962A45" w:rsidRDefault="00962A45" w:rsidP="00962A45">
      <w:pPr>
        <w:spacing w:after="0" w:line="240" w:lineRule="auto"/>
        <w:jc w:val="both"/>
      </w:pPr>
      <w:r>
        <w:t>La atención de la salud es deficitaria en todo el sistema penitenciario del Estado parte. No existen suficientes médicos asignados a los penales conforme a la población privada de libertad, los establecimientos no están abastecidos con insumos médicos en cantidad y pertinencia y los servicios no están alineados y coordinados con el sistema de salud pública. Algunas penitenciarías carecen de profesionales médicos en servicio y ninguna garantiza la atención sanitaria las 24 horas o todos los días de la semana. En el caso de las mujeres, estas circunstancias se ven agravadas porque los servicios disponibles no dan cuenta de las necesidades de atención médica específica.</w:t>
      </w:r>
    </w:p>
    <w:p w:rsidR="00962A45" w:rsidRDefault="00962A45" w:rsidP="00962A45">
      <w:pPr>
        <w:spacing w:after="0" w:line="240" w:lineRule="auto"/>
        <w:jc w:val="both"/>
      </w:pPr>
    </w:p>
    <w:p w:rsidR="00A52F60" w:rsidRPr="00932CA3" w:rsidRDefault="00A52F60" w:rsidP="00962A45">
      <w:pPr>
        <w:spacing w:after="0" w:line="240" w:lineRule="auto"/>
        <w:jc w:val="both"/>
      </w:pPr>
      <w:r w:rsidRPr="00932CA3">
        <w:rPr>
          <w:rFonts w:cs="Arial"/>
          <w:color w:val="000000"/>
        </w:rPr>
        <w:t xml:space="preserve">El plantel de profesionales de la salud penitenciaria consta de 1 director, 1 coordinadora médica, 1 coordinadora de salud mental, 1 coordinadora de trabajo social, 1 jefatura de estadísticas, 25 médicos, 60 enfermeros, 20 odontólogos, 2 bioquímicos, 35 sicólogos, 20 trabajadores sociales, 10 auxiliares de enfermería y 2 </w:t>
      </w:r>
      <w:r w:rsidR="0046351D" w:rsidRPr="00932CA3">
        <w:rPr>
          <w:rFonts w:cs="Arial"/>
          <w:color w:val="000000"/>
        </w:rPr>
        <w:t>psiquiatras</w:t>
      </w:r>
      <w:r w:rsidRPr="00932CA3">
        <w:rPr>
          <w:rFonts w:cs="Arial"/>
          <w:color w:val="000000"/>
        </w:rPr>
        <w:t>. Sin embargo, durante el relevamiento de datos se han levantado denuncias de incumplimiento de horarios por parte de los médicos.</w:t>
      </w:r>
      <w:r w:rsidR="00932CA3">
        <w:rPr>
          <w:rFonts w:cs="Arial"/>
          <w:color w:val="000000"/>
        </w:rPr>
        <w:t xml:space="preserve"> Asimismo, los recursos están mal distribuidos. Por ejemplo, las Penitenciarías Regionales de Emboscada Antigua y Juan Antonio de la Vega -que en conjunto suman aproximadamente 2500 personas privadas de libertad- comparten un sólo médico que cumple un horario de media jornada (cuatro horas de consulta) por semana, en cada una.</w:t>
      </w:r>
    </w:p>
    <w:p w:rsidR="00A52F60" w:rsidRPr="008D3A47" w:rsidRDefault="00A52F60" w:rsidP="00962A45">
      <w:pPr>
        <w:spacing w:after="0" w:line="240" w:lineRule="auto"/>
        <w:jc w:val="both"/>
      </w:pPr>
    </w:p>
    <w:p w:rsidR="00962A45" w:rsidRPr="008D3A47" w:rsidRDefault="00962A45" w:rsidP="00962A45">
      <w:pPr>
        <w:spacing w:after="0" w:line="240" w:lineRule="auto"/>
        <w:jc w:val="both"/>
      </w:pPr>
      <w:r w:rsidRPr="008D3A47">
        <w:t>De acuerdo al Censo de Mujeres Privadas de Libertad del MNP, el  57,8% de las internas señaló que no accede a controles ginecológicos dentro de la penitenciaría. En tanto, solamente el 30,2% se realizó mamografía. De las mujeres embarazadas privadas de libertad, el 68,2% tiene acceso a controles obstétricos. En cuanto a la salud mental, el 89% de las mujeres no recibe atención psiquiátrica, y el 57,8% no recibe atención psicológica.</w:t>
      </w:r>
    </w:p>
    <w:p w:rsidR="00962A45" w:rsidRPr="008D3A47" w:rsidRDefault="00962A45" w:rsidP="00962A45">
      <w:pPr>
        <w:spacing w:after="0" w:line="240" w:lineRule="auto"/>
        <w:jc w:val="both"/>
      </w:pPr>
    </w:p>
    <w:p w:rsidR="00962A45" w:rsidRPr="008D3A47" w:rsidRDefault="00962A45" w:rsidP="00962A45">
      <w:pPr>
        <w:spacing w:after="0" w:line="240" w:lineRule="auto"/>
        <w:jc w:val="both"/>
      </w:pPr>
      <w:r w:rsidRPr="008D3A47">
        <w:t xml:space="preserve">Las mujeres privadas de libertad tampoco reciben de la administración penitenciaria los insumos básicos de higiene personal. Si bien el 92,9% de las mujeres indicó contar con dichos elementos, en su mayor parte lo recibieron de sus familiares (28,6%) o lo compraron de las cantinas del penal </w:t>
      </w:r>
      <w:r w:rsidRPr="008D3A47">
        <w:lastRenderedPageBreak/>
        <w:t>(65,6%). Solamente el 5,6% refirió haber recibido esos insumos de parte del penal. Así también el 73,2% de las mujeres privadas de libertad señaló contar con toallas higiénicas. No obstante, el 48,1% señaló que lo tuvo que comprar con su propio dinero de los almacenes que funcionan en la penitenciaría, y el 19,7% señaló que le fue suministrado por familiares.</w:t>
      </w:r>
    </w:p>
    <w:p w:rsidR="00962A45" w:rsidRPr="008D3A47" w:rsidRDefault="00962A45" w:rsidP="00962A45">
      <w:pPr>
        <w:spacing w:after="0" w:line="240" w:lineRule="auto"/>
        <w:jc w:val="both"/>
      </w:pPr>
    </w:p>
    <w:p w:rsidR="00962A45" w:rsidRPr="008D3A47" w:rsidRDefault="00962A45" w:rsidP="00962A45">
      <w:pPr>
        <w:spacing w:after="0" w:line="240" w:lineRule="auto"/>
        <w:jc w:val="both"/>
      </w:pPr>
      <w:r w:rsidRPr="008D3A47">
        <w:t>El MNP recomendó a las autoridades del Ministerio de Justicia que se garantice la cobertura de la asistencia sanitaria a 24 horas y todos los días de la semana. Proveer equipos multidisciplinarios de médicos/as clínicos, servicios ginecológicos, de psiquiatría, psicología y trabajadores/as sociales, con especialización en el tratamiento de adicciones. Establecer medidas de atención integral a la salud de las mujeres y de aquellas que tienen hijos e hijas viviendo con ellas, teniendo en cuenta sus particularidades biológicas y el traslado a centros hospitalarios del servicio general para la atención de quienes padecen enfermedades crónicas. Incluir capacitaciones que incluyan la salud sexual y reproductiva y programas de prevención que contemplen factores de género en materia de autolesión y suicidio.</w:t>
      </w:r>
    </w:p>
    <w:p w:rsidR="00A007CC" w:rsidRDefault="00A007CC" w:rsidP="00C83BE8">
      <w:pPr>
        <w:spacing w:after="0" w:line="240" w:lineRule="auto"/>
        <w:jc w:val="both"/>
      </w:pPr>
    </w:p>
    <w:p w:rsidR="002B19FA" w:rsidRPr="008D3C45" w:rsidRDefault="002B19FA" w:rsidP="002B19FA">
      <w:pPr>
        <w:pStyle w:val="SingleTxtG"/>
        <w:rPr>
          <w:rFonts w:ascii="Calibri" w:eastAsia="Calibri" w:hAnsi="Calibri" w:cs="Times New Roman"/>
          <w:b/>
          <w:lang w:eastAsia="en-US"/>
        </w:rPr>
      </w:pPr>
      <w:r w:rsidRPr="008D3C45">
        <w:rPr>
          <w:rFonts w:ascii="Calibri" w:eastAsia="Calibri" w:hAnsi="Calibri" w:cs="Times New Roman"/>
          <w:b/>
          <w:lang w:eastAsia="en-US"/>
        </w:rPr>
        <w:t>20.</w:t>
      </w:r>
      <w:r w:rsidRPr="008D3C45">
        <w:rPr>
          <w:rFonts w:ascii="Calibri" w:eastAsia="Calibri" w:hAnsi="Calibri" w:cs="Times New Roman"/>
          <w:b/>
          <w:lang w:eastAsia="en-US"/>
        </w:rPr>
        <w:tab/>
        <w:t>Sírvanse proporcionar información sobre las sanciones disciplinarias aplicables a las personas privadas de libertad. Sírvanse evaluar la práctica vigente de reclusión en régimen de aislamiento y proporcionen estadísticas detalladas sobre su uso. ¿Cuáles son los mecanismos de control y las vías de recurso existentes?</w:t>
      </w:r>
    </w:p>
    <w:p w:rsidR="007C3392" w:rsidRPr="008D3C45" w:rsidRDefault="007C3392" w:rsidP="00C83BE8">
      <w:pPr>
        <w:spacing w:after="0" w:line="240" w:lineRule="auto"/>
        <w:jc w:val="both"/>
      </w:pPr>
    </w:p>
    <w:p w:rsidR="009D157E" w:rsidRPr="008D3C45" w:rsidRDefault="0063457C" w:rsidP="00C83BE8">
      <w:pPr>
        <w:spacing w:after="0" w:line="240" w:lineRule="auto"/>
        <w:jc w:val="both"/>
      </w:pPr>
      <w:r w:rsidRPr="008D3C45">
        <w:t>La legislación vigente en la actualidad (el Código de Ejec</w:t>
      </w:r>
      <w:r w:rsidR="00896B99" w:rsidRPr="008D3C45">
        <w:t xml:space="preserve">ución Penal, Ley N° 5.162/2014), dispone que las personas privadas de libertad están sujetas a un régimen disciplinario que se rige por principios de legalidad y debido proceso legal. Existen faltas o infracciones leves, graves y especialmente graves, que se tipifican en la ley. A éstas, se corresponden en una medida de proporcionalidad, establecida también en la ley, sanciones que van desde la amonestación, la </w:t>
      </w:r>
      <w:r w:rsidR="00896B99" w:rsidRPr="008D3C45">
        <w:rPr>
          <w:rFonts w:cs="Arial"/>
        </w:rPr>
        <w:t>privación del derecho a participar en actividades recreativas y deportivas hasta por diez días consecutivos, la suspensión de visitas desde ocho hasta quince días consecutivos, la permanencia en la celda por desde  siete hasta treinta días consecutivos, el aislamiento en solitario hasta treinta días y el traslado a otro pabellón del establecimiento o a otro establecimiento penitenciario.</w:t>
      </w:r>
    </w:p>
    <w:p w:rsidR="00896B99" w:rsidRPr="008D3C45" w:rsidRDefault="00896B99" w:rsidP="00C83BE8">
      <w:pPr>
        <w:spacing w:after="0" w:line="240" w:lineRule="auto"/>
        <w:jc w:val="both"/>
      </w:pPr>
    </w:p>
    <w:p w:rsidR="00896B99" w:rsidRPr="008D3C45" w:rsidRDefault="00896B99" w:rsidP="00C83BE8">
      <w:pPr>
        <w:spacing w:after="0" w:line="240" w:lineRule="auto"/>
        <w:jc w:val="both"/>
      </w:pPr>
      <w:r w:rsidRPr="008D3C45">
        <w:t>Están prohibidas las sanciones disciplinarias que constituyan un trato inhumano, cruel o degradante.</w:t>
      </w:r>
    </w:p>
    <w:p w:rsidR="00896B99" w:rsidRPr="008D3C45" w:rsidRDefault="00896B99" w:rsidP="00C83BE8">
      <w:pPr>
        <w:spacing w:after="0" w:line="240" w:lineRule="auto"/>
        <w:jc w:val="both"/>
      </w:pPr>
    </w:p>
    <w:p w:rsidR="00896B99" w:rsidRPr="008D3C45" w:rsidRDefault="00896B99" w:rsidP="00C83BE8">
      <w:pPr>
        <w:spacing w:after="0" w:line="240" w:lineRule="auto"/>
        <w:jc w:val="both"/>
      </w:pPr>
      <w:r w:rsidRPr="008D3C45">
        <w:t>Las sanciones disciplinarias deberán ser aplicadas por el director del establecimiento únicamente mediante un sumario administrativo en el que se deberán acreditar con pruebas las acusaciones y se otorgará el derecho a la defensa. Las sanciones podrán ser recurridas por los internos ante el Juzgado de Ejecución Penal correspondiente.</w:t>
      </w:r>
    </w:p>
    <w:p w:rsidR="00896B99" w:rsidRPr="008D3C45" w:rsidRDefault="00896B99" w:rsidP="00C83BE8">
      <w:pPr>
        <w:spacing w:after="0" w:line="240" w:lineRule="auto"/>
        <w:jc w:val="both"/>
      </w:pPr>
    </w:p>
    <w:p w:rsidR="00896B99" w:rsidRPr="008D3C45" w:rsidRDefault="00896B99" w:rsidP="00C83BE8">
      <w:pPr>
        <w:spacing w:after="0" w:line="240" w:lineRule="auto"/>
        <w:jc w:val="both"/>
      </w:pPr>
      <w:r w:rsidRPr="008D3C45">
        <w:t xml:space="preserve">Respecto del aislamiento, prevista como una de las sanciones para faltas graves y especialmente graves, la misma se reviste en la ley de ciertas salvaguardias. </w:t>
      </w:r>
      <w:r w:rsidR="00654FC1" w:rsidRPr="008D3C45">
        <w:t xml:space="preserve">Un médico y el director del establecimiento deberán verificar diariamente la situación de las personas afectadas por esta sanción, a efectos de controlar si debe </w:t>
      </w:r>
      <w:r w:rsidR="00654FC1" w:rsidRPr="008D3C45">
        <w:rPr>
          <w:rFonts w:cs="Arial"/>
        </w:rPr>
        <w:t>suspenderse o atenuarse por razones de salud psíquica o física. Está prohibido el aislamiento para los adolescentes infractores y cualquiera que afecte al feto o al lactante, en el caso de las mujeres embarazadas o durante el puerperio.</w:t>
      </w:r>
    </w:p>
    <w:p w:rsidR="00654FC1" w:rsidRPr="008D3C45" w:rsidRDefault="00654FC1" w:rsidP="00896B99">
      <w:pPr>
        <w:spacing w:after="0" w:line="240" w:lineRule="auto"/>
        <w:jc w:val="both"/>
      </w:pPr>
    </w:p>
    <w:p w:rsidR="00654FC1" w:rsidRPr="008D3C45" w:rsidRDefault="00654FC1" w:rsidP="00896B99">
      <w:pPr>
        <w:spacing w:after="0" w:line="240" w:lineRule="auto"/>
        <w:jc w:val="both"/>
      </w:pPr>
      <w:r w:rsidRPr="008D3C45">
        <w:lastRenderedPageBreak/>
        <w:t>Estas salvaguardias en la legislación están muy lejos de ser cumplidas en la prácti</w:t>
      </w:r>
      <w:r w:rsidR="003742C3" w:rsidRPr="008D3C45">
        <w:t xml:space="preserve">ca. El MNP </w:t>
      </w:r>
      <w:r w:rsidR="0049575A" w:rsidRPr="008D3C45">
        <w:t xml:space="preserve">ha constatado en sus inspecciones que en los establecimientos penitenciarios el sistema disciplinario se destaca por su extrema arbitrariedad e incorrección. Los castigos son aplicados </w:t>
      </w:r>
      <w:r w:rsidR="0049575A" w:rsidRPr="008D3C45">
        <w:rPr>
          <w:rFonts w:eastAsia="Times New Roman" w:cs="Times New Roman"/>
        </w:rPr>
        <w:t xml:space="preserve">sin un sumario administrativo previo en el que el interno tenga derecho a ser oído y pueda ejercer su defensa. En los casos en que las actuaciones se consignan en actas y </w:t>
      </w:r>
      <w:r w:rsidR="00476C2B" w:rsidRPr="008D3C45">
        <w:rPr>
          <w:rFonts w:eastAsia="Times New Roman" w:cs="Times New Roman"/>
        </w:rPr>
        <w:t>resoluciones</w:t>
      </w:r>
      <w:r w:rsidR="0049575A" w:rsidRPr="008D3C45">
        <w:rPr>
          <w:rFonts w:eastAsia="Times New Roman" w:cs="Times New Roman"/>
        </w:rPr>
        <w:t>, no existe una verdadera posibilidad de ejercer la defensa; los internos sancionados no son asistidos por sus defensores. Las sanciones no se notifican a los Juzgados de Ejecución correspondientes ni se da oportunidad al recurso de revisión.</w:t>
      </w:r>
      <w:r w:rsidR="00484E32" w:rsidRPr="008D3C45">
        <w:rPr>
          <w:rFonts w:eastAsia="Times New Roman" w:cs="Times New Roman"/>
        </w:rPr>
        <w:t xml:space="preserve"> No existe una dosimetría de las sanciones. En forma masiva, se utiliza el confinamiento en solitario y –en menor medida- los traslados a otra cárcel. No hay una relación de proporcionalidad entra la gravedad de la presunta falta cometida y la sanción. La mayoría de estos casos, en realidad, se tratan de situaciones extorsivas en que los guardias presionan a los internos para cobrar privilegios o servicios, como tener un teléfono celular o dinero.</w:t>
      </w:r>
    </w:p>
    <w:p w:rsidR="00654FC1" w:rsidRPr="008D3C45" w:rsidRDefault="00654FC1" w:rsidP="00896B99">
      <w:pPr>
        <w:spacing w:after="0" w:line="240" w:lineRule="auto"/>
        <w:jc w:val="both"/>
      </w:pPr>
    </w:p>
    <w:p w:rsidR="00484E32" w:rsidRPr="008D3C45" w:rsidRDefault="00484E32" w:rsidP="00896B99">
      <w:pPr>
        <w:spacing w:after="0" w:line="240" w:lineRule="auto"/>
        <w:jc w:val="both"/>
      </w:pPr>
      <w:r w:rsidRPr="008D3C45">
        <w:t xml:space="preserve">Por ejemplo, en algunas penitenciarías que fueron corroborados los registros, </w:t>
      </w:r>
      <w:r w:rsidRPr="008D3C45">
        <w:rPr>
          <w:rFonts w:eastAsia="Times New Roman" w:cs="Times New Roman"/>
        </w:rPr>
        <w:t>se sanciona con mayor dureza tener un celular, en comparación con las sanciones aplicadas por tener un arma blanca, consumir estupefacientes o agredir a otro interno.</w:t>
      </w:r>
    </w:p>
    <w:p w:rsidR="002670F9" w:rsidRPr="008D3C45" w:rsidRDefault="002670F9" w:rsidP="00896B99">
      <w:pPr>
        <w:spacing w:after="0" w:line="240" w:lineRule="auto"/>
        <w:jc w:val="both"/>
      </w:pPr>
    </w:p>
    <w:p w:rsidR="000D4365" w:rsidRPr="008D3C45" w:rsidRDefault="00484E32" w:rsidP="000D4365">
      <w:pPr>
        <w:autoSpaceDE w:val="0"/>
        <w:autoSpaceDN w:val="0"/>
        <w:adjustRightInd w:val="0"/>
        <w:spacing w:after="0" w:line="240" w:lineRule="auto"/>
        <w:jc w:val="both"/>
        <w:rPr>
          <w:kern w:val="28"/>
        </w:rPr>
      </w:pPr>
      <w:r w:rsidRPr="008D3C45">
        <w:t xml:space="preserve">Otro punto destacado es que las celdas de aislamiento y los espacios designados para este castigo presentan condiciones de alojamiento extremadamente inhumanas. </w:t>
      </w:r>
      <w:r w:rsidRPr="008D3C45">
        <w:rPr>
          <w:rFonts w:cs="Times New Roman"/>
        </w:rPr>
        <w:t xml:space="preserve">De acuerdo a sus dimensiones, las celdas son insuficientes aún para alojar a una persona, siendo espacios concebidos para mortificar el cuerpo del interno sancionado. Las celdas en general carecen de luz y aire natural suficiente, e incluso artificial. </w:t>
      </w:r>
      <w:r w:rsidR="000D4365" w:rsidRPr="008D3C45">
        <w:rPr>
          <w:kern w:val="28"/>
        </w:rPr>
        <w:t>Los internos tampoco reciben artículos de higiene personal ni para la limpieza del calabozo. Entre los aislados, las condiciones de higiene personal son nulas. Las instalaciones sanitarias son extremadamente precarias; en algunos establecimientos se observó que la falta de instalaciones para desagotar las excretas provocaba que los pisos estuvieran llenos de excrementos y orines.</w:t>
      </w:r>
    </w:p>
    <w:p w:rsidR="000D4365" w:rsidRPr="008D3C45" w:rsidRDefault="000D4365" w:rsidP="00484E32">
      <w:pPr>
        <w:spacing w:after="0" w:line="240" w:lineRule="auto"/>
        <w:rPr>
          <w:rFonts w:cs="Times New Roman"/>
        </w:rPr>
      </w:pPr>
    </w:p>
    <w:p w:rsidR="00484E32" w:rsidRPr="008D3C45" w:rsidRDefault="00484E32" w:rsidP="00484E32">
      <w:pPr>
        <w:spacing w:after="0" w:line="240" w:lineRule="auto"/>
        <w:rPr>
          <w:rFonts w:cs="Times New Roman"/>
        </w:rPr>
      </w:pPr>
      <w:r w:rsidRPr="008D3C45">
        <w:rPr>
          <w:rFonts w:cs="Times New Roman"/>
        </w:rPr>
        <w:t>Los internos castigados permanecen encerrados las 24 horas del día, durante todo el tiempo que dure la sanción, pierden su derecho a recibir visitas familiares y –en algunos casos- se constató que se restringió su contacto con su defensor público.</w:t>
      </w:r>
    </w:p>
    <w:p w:rsidR="00484E32" w:rsidRPr="008D3C45" w:rsidRDefault="00484E32" w:rsidP="00896B99">
      <w:pPr>
        <w:spacing w:after="0" w:line="240" w:lineRule="auto"/>
        <w:jc w:val="both"/>
      </w:pPr>
    </w:p>
    <w:p w:rsidR="00484E32" w:rsidRPr="008D3C45" w:rsidRDefault="00484E32" w:rsidP="00896B99">
      <w:pPr>
        <w:spacing w:after="0" w:line="240" w:lineRule="auto"/>
        <w:jc w:val="both"/>
      </w:pPr>
      <w:r w:rsidRPr="008D3C45">
        <w:t>A pesar que la ley obliga a que cada establecimiento penitenciario tenga un registro obligatorio –bajo validación del Juzgado de Ejecución correspondiente- donde consignar en orden cronológico las sanciones impuestas, sus motivos, su ejecución o suspensión condicional, este requisito mínimo no se cumple. En algunos establecimientos se llevan algunos registros incompletos y sin supervisión judicial. En la mayoría, ni siquiera se registran los nombres de quienes son aislados</w:t>
      </w:r>
      <w:r w:rsidR="00DC1ADD" w:rsidRPr="008D3C45">
        <w:t xml:space="preserve"> ni desde cuándo se encuentran en esta situación.</w:t>
      </w:r>
    </w:p>
    <w:p w:rsidR="00DC1ADD" w:rsidRPr="008D3C45" w:rsidRDefault="00DC1ADD" w:rsidP="00896B99">
      <w:pPr>
        <w:spacing w:after="0" w:line="240" w:lineRule="auto"/>
        <w:jc w:val="both"/>
      </w:pPr>
    </w:p>
    <w:p w:rsidR="00DC1ADD" w:rsidRPr="008D3C45" w:rsidRDefault="00DC1ADD" w:rsidP="00896B99">
      <w:pPr>
        <w:spacing w:after="0" w:line="240" w:lineRule="auto"/>
        <w:jc w:val="both"/>
      </w:pPr>
      <w:r w:rsidRPr="008D3C45">
        <w:t xml:space="preserve">Por ejemplo, el MNP constató que en la Penitenciaría de Emboscada Antigua, </w:t>
      </w:r>
      <w:r w:rsidRPr="008D3C45">
        <w:rPr>
          <w:rFonts w:cs="Times New Roman"/>
        </w:rPr>
        <w:t>desde el 1 de enero de 2013 hasta el 4 de abril de 2014 se registran 407 sanciones de encierro en la celda de castigo aplicadas a 245 personas diferentes, sobre una población fluctuante de aproximadamente unos 400 internos durante el periodo. Es decir, seis de cada diez internos, poco más del 60%, estuvo en aislamiento al menos una vez durante su estadía.</w:t>
      </w:r>
      <w:r w:rsidRPr="008D3C45">
        <w:rPr>
          <w:rFonts w:eastAsia="Times New Roman" w:cs="Times New Roman"/>
        </w:rPr>
        <w:t xml:space="preserve"> El tiempo promedio de duración de un castigo de aislamiento es de 8 días (encontrándose una sanción máxima de 32 días y la mínima de un día). Además, destaca la cantidad de internos que reciben penas sucesivas. Un interno, por ejemplo, acumuló en el 2013 un total de seis sanciones (en los meses de enero, marzo, julio, septiembre, octubre y diciembre) completando 72 días de aislamiento.</w:t>
      </w:r>
    </w:p>
    <w:p w:rsidR="002670F9" w:rsidRPr="008D3C45" w:rsidRDefault="002670F9" w:rsidP="00896B99">
      <w:pPr>
        <w:spacing w:after="0" w:line="240" w:lineRule="auto"/>
        <w:jc w:val="both"/>
        <w:rPr>
          <w:rFonts w:cs="Times New Roman"/>
        </w:rPr>
      </w:pPr>
    </w:p>
    <w:p w:rsidR="00DC1ADD" w:rsidRPr="008D3C45" w:rsidRDefault="00DC1ADD" w:rsidP="00896B99">
      <w:pPr>
        <w:spacing w:after="0" w:line="240" w:lineRule="auto"/>
        <w:jc w:val="both"/>
        <w:rPr>
          <w:rFonts w:cs="Times New Roman"/>
        </w:rPr>
      </w:pPr>
      <w:r w:rsidRPr="008D3C45">
        <w:rPr>
          <w:rFonts w:cs="Times New Roman"/>
        </w:rPr>
        <w:lastRenderedPageBreak/>
        <w:t xml:space="preserve">En la Penitenciaría Nacional de </w:t>
      </w:r>
      <w:proofErr w:type="spellStart"/>
      <w:r w:rsidRPr="008D3C45">
        <w:rPr>
          <w:rFonts w:cs="Times New Roman"/>
        </w:rPr>
        <w:t>Tacumbú</w:t>
      </w:r>
      <w:proofErr w:type="spellEnd"/>
      <w:r w:rsidRPr="008D3C45">
        <w:rPr>
          <w:rFonts w:cs="Times New Roman"/>
        </w:rPr>
        <w:t xml:space="preserve"> –la mayor del Estado parte- se constató que entre octubre de 2014 a noviembre de 2015 se registraron 700 sanciones a 508 internos y a 73 visitantes. </w:t>
      </w:r>
      <w:r w:rsidRPr="008D3C45">
        <w:rPr>
          <w:kern w:val="28"/>
        </w:rPr>
        <w:t>Un total de 528 sanciones aplicadas fueron de aislamiento (63% del total de sanciones). El 28% del total de las sanciones de aislamiento sobrepasó los 15 días.</w:t>
      </w:r>
    </w:p>
    <w:p w:rsidR="002670F9" w:rsidRPr="008D3C45" w:rsidRDefault="002670F9" w:rsidP="00896B99">
      <w:pPr>
        <w:spacing w:after="0" w:line="240" w:lineRule="auto"/>
        <w:jc w:val="both"/>
      </w:pPr>
    </w:p>
    <w:p w:rsidR="000D4365" w:rsidRPr="008D3C45" w:rsidRDefault="00C564B5" w:rsidP="00896B99">
      <w:pPr>
        <w:spacing w:after="0" w:line="240" w:lineRule="auto"/>
        <w:jc w:val="both"/>
      </w:pPr>
      <w:r w:rsidRPr="008D3C45">
        <w:rPr>
          <w:rFonts w:eastAsia="Times New Roman" w:cs="Times New Roman"/>
        </w:rPr>
        <w:t xml:space="preserve">Es generalizada la aplicación de castigos físicos por parte de los </w:t>
      </w:r>
      <w:proofErr w:type="spellStart"/>
      <w:r w:rsidRPr="008D3C45">
        <w:rPr>
          <w:rFonts w:eastAsia="Times New Roman" w:cs="Times New Roman"/>
        </w:rPr>
        <w:t>guardiacárceles</w:t>
      </w:r>
      <w:proofErr w:type="spellEnd"/>
      <w:r w:rsidRPr="008D3C45">
        <w:rPr>
          <w:rFonts w:eastAsia="Times New Roman" w:cs="Times New Roman"/>
        </w:rPr>
        <w:t xml:space="preserve"> en ocasión de los traslados a aislamiento y por motivos disciplinarios.</w:t>
      </w:r>
      <w:r w:rsidR="000D4365" w:rsidRPr="008D3C45">
        <w:rPr>
          <w:rFonts w:eastAsia="Times New Roman" w:cs="Times New Roman"/>
        </w:rPr>
        <w:t xml:space="preserve"> </w:t>
      </w:r>
      <w:r w:rsidR="00896B99" w:rsidRPr="008D3C45">
        <w:t>El MNP ha constatado asimismo que internas embarazadas o en período de lactancia fueron sancionadas con traslados a otros establecimientos penitenciarios.</w:t>
      </w:r>
    </w:p>
    <w:p w:rsidR="000D4365" w:rsidRPr="008D3C45" w:rsidRDefault="000D4365" w:rsidP="00896B99">
      <w:pPr>
        <w:spacing w:after="0" w:line="240" w:lineRule="auto"/>
        <w:jc w:val="both"/>
      </w:pPr>
    </w:p>
    <w:p w:rsidR="00DA0CC0" w:rsidRPr="008D3C45" w:rsidRDefault="000D4365" w:rsidP="00896B99">
      <w:pPr>
        <w:spacing w:after="0" w:line="240" w:lineRule="auto"/>
        <w:jc w:val="both"/>
        <w:rPr>
          <w:rFonts w:cs="Arial"/>
        </w:rPr>
      </w:pPr>
      <w:r w:rsidRPr="008D3C45">
        <w:t xml:space="preserve">Asimismo, se constató que en algunos correccionales de adolescentes infractores (denominados “centros educativos” en el Estado parte) se aplicaba la sanción de aislamiento de manera clandestina, aunque esté prohibida por la ley. Asimismo, se observa que </w:t>
      </w:r>
      <w:r w:rsidR="00DA0CC0" w:rsidRPr="008D3C45">
        <w:t xml:space="preserve">se </w:t>
      </w:r>
      <w:r w:rsidRPr="008D3C45">
        <w:t xml:space="preserve">aplica de un modo generalizado el traslado a correccionales </w:t>
      </w:r>
      <w:proofErr w:type="gramStart"/>
      <w:r w:rsidRPr="008D3C45">
        <w:t>distantes</w:t>
      </w:r>
      <w:proofErr w:type="gramEnd"/>
      <w:r w:rsidRPr="008D3C45">
        <w:t xml:space="preserve"> de sus lugares de origen y de la sede de sus juzgados, a pesar que la ley prohíbe que a los adolescentes se los sanciones con medidas que conlleven </w:t>
      </w:r>
      <w:r w:rsidRPr="008D3C45">
        <w:rPr>
          <w:rFonts w:cs="Arial"/>
        </w:rPr>
        <w:t>la restricción o denegación de contacto con familiares</w:t>
      </w:r>
      <w:r w:rsidR="00DA0CC0" w:rsidRPr="008D3C45">
        <w:rPr>
          <w:rFonts w:cs="Arial"/>
        </w:rPr>
        <w:t>.</w:t>
      </w:r>
    </w:p>
    <w:p w:rsidR="00DA0CC0" w:rsidRPr="008D3C45" w:rsidRDefault="00DA0CC0" w:rsidP="00896B99">
      <w:pPr>
        <w:spacing w:after="0" w:line="240" w:lineRule="auto"/>
        <w:jc w:val="both"/>
        <w:rPr>
          <w:rFonts w:cs="Arial"/>
        </w:rPr>
      </w:pPr>
    </w:p>
    <w:p w:rsidR="00896B99" w:rsidRPr="008D3C45" w:rsidRDefault="000D4365" w:rsidP="00896B99">
      <w:pPr>
        <w:spacing w:after="0" w:line="240" w:lineRule="auto"/>
        <w:jc w:val="both"/>
        <w:rPr>
          <w:rFonts w:cs="Times New Roman"/>
        </w:rPr>
      </w:pPr>
      <w:r w:rsidRPr="008D3C45">
        <w:rPr>
          <w:rFonts w:cs="Arial"/>
        </w:rPr>
        <w:t xml:space="preserve">Sólo en el Centro Educativo de </w:t>
      </w:r>
      <w:proofErr w:type="spellStart"/>
      <w:r w:rsidRPr="008D3C45">
        <w:rPr>
          <w:rFonts w:cs="Arial"/>
        </w:rPr>
        <w:t>Itauguá</w:t>
      </w:r>
      <w:proofErr w:type="spellEnd"/>
      <w:r w:rsidRPr="008D3C45">
        <w:rPr>
          <w:rFonts w:cs="Arial"/>
        </w:rPr>
        <w:t xml:space="preserve"> –el mayor correccional de adolescentes del Estado parte- el MNP tiene registrado entre 2013 y 2016 (hasta marzo) un total de 447 traslados por razones disciplinarias. </w:t>
      </w:r>
      <w:r w:rsidRPr="008D3C45">
        <w:rPr>
          <w:rFonts w:cs="Times New Roman"/>
        </w:rPr>
        <w:t>El 75% de estos traslados fueron dispuestos por decisión administrativa, es decir sin estar autorizados por el juzgado de la causa, ni haber sido sujetos posteriormente a un control judicial. Los traslados administrativos son particularmente sospechosos de haber sido adoptados como medidas de control disciplinario. Coincidentemente, la mayor parte de los traslados masivos son ordenados en los días subsiguientes a protestas y fugas en el centro educativo. La mayoría de los traslados (el 58,1%) son dispuestos a otro correccional de adolescentes en algún lugar distante en el territorio del Estado parte. Un tercio de l</w:t>
      </w:r>
      <w:r w:rsidR="008D3C45" w:rsidRPr="008D3C45">
        <w:rPr>
          <w:rFonts w:cs="Times New Roman"/>
        </w:rPr>
        <w:t>a</w:t>
      </w:r>
      <w:r w:rsidRPr="008D3C45">
        <w:rPr>
          <w:rFonts w:cs="Times New Roman"/>
        </w:rPr>
        <w:t>s</w:t>
      </w:r>
      <w:r w:rsidR="008D3C45" w:rsidRPr="008D3C45">
        <w:rPr>
          <w:rFonts w:cs="Times New Roman"/>
        </w:rPr>
        <w:t xml:space="preserve"> sanciones de</w:t>
      </w:r>
      <w:r w:rsidRPr="008D3C45">
        <w:rPr>
          <w:rFonts w:cs="Times New Roman"/>
        </w:rPr>
        <w:t xml:space="preserve"> traslado (35,1%) son a penitenciarías de adultos, práctica que se adopta cuando el adolescente privado de libertad </w:t>
      </w:r>
      <w:r w:rsidR="008D3C45" w:rsidRPr="008D3C45">
        <w:rPr>
          <w:rFonts w:cs="Times New Roman"/>
        </w:rPr>
        <w:t>cumple 18 años</w:t>
      </w:r>
      <w:r w:rsidRPr="008D3C45">
        <w:rPr>
          <w:rFonts w:cs="Times New Roman"/>
        </w:rPr>
        <w:t>.</w:t>
      </w:r>
    </w:p>
    <w:p w:rsidR="000D4365" w:rsidRPr="008D3C45" w:rsidRDefault="000D4365" w:rsidP="00896B99">
      <w:pPr>
        <w:spacing w:after="0" w:line="240" w:lineRule="auto"/>
        <w:jc w:val="both"/>
      </w:pPr>
    </w:p>
    <w:p w:rsidR="008D3C45" w:rsidRPr="008D3C45" w:rsidRDefault="008D3C45" w:rsidP="008D3C45">
      <w:pPr>
        <w:spacing w:after="0" w:line="240" w:lineRule="auto"/>
        <w:jc w:val="both"/>
        <w:rPr>
          <w:rFonts w:eastAsia="Times New Roman"/>
        </w:rPr>
      </w:pPr>
      <w:r w:rsidRPr="008D3C45">
        <w:rPr>
          <w:rFonts w:eastAsia="Times New Roman"/>
        </w:rPr>
        <w:t>El MNP ha recomendado a las instituciones competentes del Estado parte, en numerosos informes, la adopción de las siguientes medidas:</w:t>
      </w:r>
    </w:p>
    <w:p w:rsidR="008D3C45" w:rsidRPr="008D3C45" w:rsidRDefault="008D3C45" w:rsidP="008D3C45">
      <w:pPr>
        <w:spacing w:after="0" w:line="240" w:lineRule="auto"/>
        <w:jc w:val="both"/>
      </w:pPr>
    </w:p>
    <w:p w:rsidR="008D3C45" w:rsidRPr="008D3C45" w:rsidRDefault="008D3C45" w:rsidP="008D3C45">
      <w:pPr>
        <w:pStyle w:val="ListParagraph"/>
        <w:numPr>
          <w:ilvl w:val="0"/>
          <w:numId w:val="7"/>
        </w:numPr>
        <w:spacing w:after="0" w:line="240" w:lineRule="auto"/>
        <w:jc w:val="both"/>
        <w:rPr>
          <w:rFonts w:eastAsia="Times New Roman"/>
          <w:color w:val="000000"/>
          <w:lang w:eastAsia="es-ES"/>
        </w:rPr>
      </w:pPr>
      <w:r w:rsidRPr="008D3C45">
        <w:rPr>
          <w:lang w:val="es-PY"/>
        </w:rPr>
        <w:t>En lo que respecta al régimen disciplinario, aplicar y dar cumplimiento a</w:t>
      </w:r>
      <w:r w:rsidRPr="008D3C45">
        <w:t>l Código de Ejecución Penal, en particular respetar el debido proceso sumarial, la observancia del principio de legalidad al calificar la falta disciplinaria y establecer su sanción, el derecho a la defensa técnica y la posibilidad de recurso judicial de las sanciones ante el Juzgado de Ejecución Penal de la circunscripción.</w:t>
      </w:r>
    </w:p>
    <w:p w:rsidR="008D3C45" w:rsidRPr="008D3C45" w:rsidRDefault="008D3C45" w:rsidP="008D3C45">
      <w:pPr>
        <w:pStyle w:val="ListParagraph"/>
        <w:numPr>
          <w:ilvl w:val="0"/>
          <w:numId w:val="7"/>
        </w:numPr>
        <w:spacing w:after="0" w:line="240" w:lineRule="auto"/>
        <w:jc w:val="both"/>
        <w:rPr>
          <w:rFonts w:eastAsia="Times New Roman"/>
          <w:color w:val="000000"/>
          <w:lang w:eastAsia="es-ES"/>
        </w:rPr>
      </w:pPr>
      <w:r w:rsidRPr="008D3C45">
        <w:rPr>
          <w:lang w:val="es-PY"/>
        </w:rPr>
        <w:t>Limitar el uso de la sanción de aislamiento hasta un máximo de 15 días, conforme se establece en el derecho internacional de los derechos humanos.</w:t>
      </w:r>
    </w:p>
    <w:p w:rsidR="008D3C45" w:rsidRPr="008D3C45" w:rsidRDefault="008D3C45" w:rsidP="008D3C45">
      <w:pPr>
        <w:pStyle w:val="ListParagraph"/>
        <w:numPr>
          <w:ilvl w:val="0"/>
          <w:numId w:val="7"/>
        </w:numPr>
        <w:spacing w:after="0" w:line="240" w:lineRule="auto"/>
        <w:jc w:val="both"/>
        <w:rPr>
          <w:rFonts w:eastAsia="Times New Roman"/>
          <w:color w:val="000000"/>
          <w:lang w:eastAsia="es-ES"/>
        </w:rPr>
      </w:pPr>
      <w:r w:rsidRPr="008D3C45">
        <w:t>Dar cumplimiento estricto a lo establecido en el Código de Ejecución Penal, en lo relativo a la supervisión médica diaria de las personas sancionadas en aislamiento.</w:t>
      </w:r>
    </w:p>
    <w:p w:rsidR="008D3C45" w:rsidRPr="008D3C45" w:rsidRDefault="008D3C45" w:rsidP="008D3C45">
      <w:pPr>
        <w:pStyle w:val="ListParagraph"/>
        <w:numPr>
          <w:ilvl w:val="0"/>
          <w:numId w:val="7"/>
        </w:numPr>
        <w:spacing w:after="0" w:line="240" w:lineRule="auto"/>
        <w:jc w:val="both"/>
        <w:rPr>
          <w:rFonts w:eastAsia="Times New Roman"/>
          <w:color w:val="000000"/>
          <w:lang w:eastAsia="es-ES"/>
        </w:rPr>
      </w:pPr>
      <w:r w:rsidRPr="008D3C45">
        <w:rPr>
          <w:rFonts w:eastAsia="Times New Roman"/>
          <w:color w:val="000000"/>
          <w:lang w:eastAsia="es-ES"/>
        </w:rPr>
        <w:t>Dar cumplimiento al</w:t>
      </w:r>
      <w:r w:rsidRPr="008D3C45">
        <w:t xml:space="preserve"> Código de Ejecución Penal, en lo que respecta a llevar el</w:t>
      </w:r>
      <w:r w:rsidRPr="008D3C45">
        <w:rPr>
          <w:rFonts w:eastAsia="Times New Roman"/>
        </w:rPr>
        <w:t xml:space="preserve"> libro obligatorio de registro de sanciones, el cual debe ser </w:t>
      </w:r>
      <w:r w:rsidRPr="008D3C45">
        <w:t>foliado, encuadernado y rubricado por el Juez de Ejecución de la circunscripción, y en el que se deben anotar por orden cronológico las sanciones impuestas, sus motivos, su ejecución o suspensión condicional.</w:t>
      </w:r>
    </w:p>
    <w:p w:rsidR="008D3C45" w:rsidRPr="00431735" w:rsidRDefault="008D3C45" w:rsidP="008D3C45">
      <w:pPr>
        <w:pStyle w:val="ListParagraph"/>
        <w:numPr>
          <w:ilvl w:val="0"/>
          <w:numId w:val="7"/>
        </w:numPr>
        <w:spacing w:after="0" w:line="240" w:lineRule="auto"/>
        <w:jc w:val="both"/>
        <w:rPr>
          <w:rFonts w:eastAsia="Times New Roman"/>
          <w:lang w:eastAsia="es-ES"/>
        </w:rPr>
      </w:pPr>
      <w:r w:rsidRPr="008D3C45">
        <w:t>Demoler los sectores utilizados para el aislamiento en solitario, construyendo instalaciones adecuadas que cumplan con los estándares básicos de habitabilidad y trato humano.</w:t>
      </w:r>
    </w:p>
    <w:p w:rsidR="00431735" w:rsidRPr="008D3C45" w:rsidRDefault="00431735" w:rsidP="008D3C45">
      <w:pPr>
        <w:pStyle w:val="ListParagraph"/>
        <w:numPr>
          <w:ilvl w:val="0"/>
          <w:numId w:val="7"/>
        </w:numPr>
        <w:spacing w:after="0" w:line="240" w:lineRule="auto"/>
        <w:jc w:val="both"/>
        <w:rPr>
          <w:rFonts w:eastAsia="Times New Roman"/>
          <w:lang w:eastAsia="es-ES"/>
        </w:rPr>
      </w:pPr>
      <w:r>
        <w:lastRenderedPageBreak/>
        <w:t>Cesar con la utilización del traslado administrativo, sin el permiso judicial</w:t>
      </w:r>
      <w:r w:rsidRPr="00431735">
        <w:t xml:space="preserve"> </w:t>
      </w:r>
      <w:r>
        <w:t>correspondiente, como forma de sanción o control disciplinario de la población adolescente privada de libertad.</w:t>
      </w:r>
    </w:p>
    <w:p w:rsidR="002B19FA" w:rsidRDefault="002B19FA" w:rsidP="00C83BE8">
      <w:pPr>
        <w:spacing w:after="0" w:line="240" w:lineRule="auto"/>
        <w:jc w:val="both"/>
      </w:pPr>
    </w:p>
    <w:p w:rsidR="002B19FA" w:rsidRPr="0007775C" w:rsidRDefault="002B19FA" w:rsidP="002B19FA">
      <w:pPr>
        <w:pStyle w:val="SingleTxtG"/>
        <w:rPr>
          <w:rFonts w:ascii="Calibri" w:eastAsia="Calibri" w:hAnsi="Calibri" w:cs="Times New Roman"/>
          <w:b/>
          <w:lang w:eastAsia="en-US"/>
        </w:rPr>
      </w:pPr>
      <w:r w:rsidRPr="0007775C">
        <w:rPr>
          <w:rFonts w:ascii="Calibri" w:eastAsia="Calibri" w:hAnsi="Calibri" w:cs="Times New Roman"/>
          <w:b/>
          <w:lang w:eastAsia="en-US"/>
        </w:rPr>
        <w:t>21.</w:t>
      </w:r>
      <w:r w:rsidRPr="0007775C">
        <w:rPr>
          <w:rFonts w:ascii="Calibri" w:eastAsia="Calibri" w:hAnsi="Calibri" w:cs="Times New Roman"/>
          <w:b/>
          <w:lang w:eastAsia="en-US"/>
        </w:rPr>
        <w:tab/>
        <w:t>Sírvanse proporcionar datos estadísticos sobre las muertes acaecidas durante la custodia en el periodo en examen, desglosados por sexo, edad, origen étnico o nacionalidad de los fallecidos, lugar de privación de libertad y causa del fallecimiento. Sírvanse proporcionar información detallada sobre los resultados de las investigaciones de esas muertes, así como de las medidas aplicadas para prevenir la repetición de casos similares. Sírvanse indicar si en algún caso se han concedido indemnizaciones a los familiares.</w:t>
      </w:r>
    </w:p>
    <w:p w:rsidR="002B19FA" w:rsidRDefault="002B19FA" w:rsidP="00C83BE8">
      <w:pPr>
        <w:spacing w:after="0" w:line="240" w:lineRule="auto"/>
        <w:jc w:val="both"/>
      </w:pPr>
    </w:p>
    <w:p w:rsidR="001A1E09" w:rsidRDefault="00431735" w:rsidP="00C83BE8">
      <w:pPr>
        <w:spacing w:after="0" w:line="240" w:lineRule="auto"/>
        <w:jc w:val="both"/>
      </w:pPr>
      <w:r>
        <w:t>El MNP lamenta que el Estado parte no haya proporcionado una respuesta satisfactoria a esta cuestión.</w:t>
      </w:r>
      <w:r w:rsidR="001A1E09">
        <w:t xml:space="preserve"> El Estado parte no cuenta con un registro nacional de personas fallecidas bajo custodia ya sea en establecimientos penitenciarios o por uso de la fuerza de agentes policiales.</w:t>
      </w:r>
      <w:r>
        <w:t xml:space="preserve"> </w:t>
      </w:r>
    </w:p>
    <w:p w:rsidR="001A1E09" w:rsidRDefault="001A1E09" w:rsidP="00C83BE8">
      <w:pPr>
        <w:spacing w:after="0" w:line="240" w:lineRule="auto"/>
        <w:jc w:val="both"/>
      </w:pPr>
    </w:p>
    <w:p w:rsidR="002B19FA" w:rsidRDefault="00431735" w:rsidP="00C83BE8">
      <w:pPr>
        <w:spacing w:after="0" w:line="240" w:lineRule="auto"/>
        <w:jc w:val="both"/>
      </w:pPr>
      <w:r>
        <w:t>En el transcurso de sus visitas de inspección, desde el año de su existencia, el MNP lleva un registro de personas fallecidas bajo custodia en establecimientos penitenciarios (se excluyen aún aquellas personas fallecidas durante la detención policial o por uso de armas letales</w:t>
      </w:r>
      <w:r w:rsidR="008D3A47">
        <w:t xml:space="preserve"> de la policía</w:t>
      </w:r>
      <w:r>
        <w:t xml:space="preserve">), que desde el año 2013 al 2016 lleva 166 casos registrados. Se registran cinco casos de mujeres (3%) y cinco casos de adolescentes infractores (3%). De acuerdo a su origen étnico, cuatro casos son indígenas de </w:t>
      </w:r>
      <w:r w:rsidR="001A1E09">
        <w:t>dos</w:t>
      </w:r>
      <w:r>
        <w:t xml:space="preserve"> etnias guaraníes (2,4%) y seis extranjeros (3,6% del total; cinco brasileros y un italiano).</w:t>
      </w:r>
    </w:p>
    <w:p w:rsidR="0092538E" w:rsidRDefault="0092538E" w:rsidP="00C83BE8">
      <w:pPr>
        <w:spacing w:after="0" w:line="240" w:lineRule="auto"/>
        <w:jc w:val="both"/>
      </w:pPr>
    </w:p>
    <w:p w:rsidR="001A1E09" w:rsidRDefault="001A1E09" w:rsidP="00C83BE8">
      <w:pPr>
        <w:spacing w:after="0" w:line="240" w:lineRule="auto"/>
        <w:jc w:val="both"/>
      </w:pPr>
      <w:r>
        <w:t xml:space="preserve">De acuerdo al establecimiento de origen, se registran muertes bajo custodia en catorce prisiones y centros educativos, del total de 24 instituciones existentes hasta 2016. Encabezan la lista de establecimientos con mayor número de muertes la Penitenciaría Nacional de </w:t>
      </w:r>
      <w:proofErr w:type="spellStart"/>
      <w:r>
        <w:t>Tacumbú</w:t>
      </w:r>
      <w:proofErr w:type="spellEnd"/>
      <w:r>
        <w:t xml:space="preserve"> y la Penitenciaría Regional de Ciudad del Este, seguidas de las regionales de Emboscada Antigua y Oviedo. </w:t>
      </w:r>
    </w:p>
    <w:p w:rsidR="001A1E09" w:rsidRDefault="001A1E09" w:rsidP="00C83BE8">
      <w:pPr>
        <w:spacing w:after="0" w:line="240" w:lineRule="auto"/>
        <w:jc w:val="both"/>
      </w:pPr>
    </w:p>
    <w:p w:rsidR="0092538E" w:rsidRPr="0092538E" w:rsidRDefault="0092538E" w:rsidP="00C83BE8">
      <w:pPr>
        <w:spacing w:after="0" w:line="240" w:lineRule="auto"/>
        <w:jc w:val="both"/>
        <w:rPr>
          <w:b/>
        </w:rPr>
      </w:pPr>
      <w:r w:rsidRPr="0092538E">
        <w:rPr>
          <w:b/>
        </w:rPr>
        <w:t>CUADRO</w:t>
      </w:r>
    </w:p>
    <w:p w:rsidR="0007775C" w:rsidRDefault="0092538E" w:rsidP="00C83BE8">
      <w:pPr>
        <w:spacing w:after="0" w:line="240" w:lineRule="auto"/>
        <w:jc w:val="both"/>
        <w:rPr>
          <w:b/>
        </w:rPr>
      </w:pPr>
      <w:r w:rsidRPr="0092538E">
        <w:rPr>
          <w:b/>
        </w:rPr>
        <w:t>Personas privadas de libertad en establecimientos penitenciarios</w:t>
      </w:r>
      <w:r w:rsidR="0007775C">
        <w:rPr>
          <w:b/>
        </w:rPr>
        <w:t xml:space="preserve"> muertas bajo custodia</w:t>
      </w:r>
    </w:p>
    <w:p w:rsidR="0092538E" w:rsidRPr="0092538E" w:rsidRDefault="0092538E" w:rsidP="00C83BE8">
      <w:pPr>
        <w:spacing w:after="0" w:line="240" w:lineRule="auto"/>
        <w:jc w:val="both"/>
        <w:rPr>
          <w:b/>
        </w:rPr>
      </w:pPr>
      <w:r w:rsidRPr="0092538E">
        <w:rPr>
          <w:b/>
        </w:rPr>
        <w:t xml:space="preserve">Años 2013 </w:t>
      </w:r>
      <w:r>
        <w:rPr>
          <w:b/>
        </w:rPr>
        <w:t>–</w:t>
      </w:r>
      <w:r w:rsidRPr="0092538E">
        <w:rPr>
          <w:b/>
        </w:rPr>
        <w:t xml:space="preserve"> 2016</w:t>
      </w:r>
      <w:r>
        <w:rPr>
          <w:b/>
        </w:rPr>
        <w:t xml:space="preserve"> (Por establecimiento penitenciario, sexo y mayoría de edad)</w:t>
      </w:r>
    </w:p>
    <w:tbl>
      <w:tblPr>
        <w:tblStyle w:val="TableGrid"/>
        <w:tblW w:w="0" w:type="auto"/>
        <w:tblLook w:val="04A0" w:firstRow="1" w:lastRow="0" w:firstColumn="1" w:lastColumn="0" w:noHBand="0" w:noVBand="1"/>
      </w:tblPr>
      <w:tblGrid>
        <w:gridCol w:w="2992"/>
        <w:gridCol w:w="1496"/>
        <w:gridCol w:w="1497"/>
        <w:gridCol w:w="1496"/>
        <w:gridCol w:w="1497"/>
      </w:tblGrid>
      <w:tr w:rsidR="004B662C" w:rsidTr="004B662C">
        <w:tc>
          <w:tcPr>
            <w:tcW w:w="2992" w:type="dxa"/>
            <w:vMerge w:val="restart"/>
            <w:vAlign w:val="center"/>
          </w:tcPr>
          <w:p w:rsidR="004B662C" w:rsidRPr="004B662C" w:rsidRDefault="004B662C" w:rsidP="004B662C">
            <w:pPr>
              <w:jc w:val="center"/>
              <w:rPr>
                <w:b/>
              </w:rPr>
            </w:pPr>
            <w:r w:rsidRPr="004B662C">
              <w:rPr>
                <w:b/>
              </w:rPr>
              <w:t>Establecimiento Penitenciario</w:t>
            </w:r>
          </w:p>
        </w:tc>
        <w:tc>
          <w:tcPr>
            <w:tcW w:w="2993" w:type="dxa"/>
            <w:gridSpan w:val="2"/>
            <w:vAlign w:val="center"/>
          </w:tcPr>
          <w:p w:rsidR="004B662C" w:rsidRPr="004B662C" w:rsidRDefault="004B662C" w:rsidP="004B662C">
            <w:pPr>
              <w:jc w:val="center"/>
              <w:rPr>
                <w:b/>
              </w:rPr>
            </w:pPr>
            <w:r w:rsidRPr="004B662C">
              <w:rPr>
                <w:b/>
              </w:rPr>
              <w:t>Mayores</w:t>
            </w:r>
          </w:p>
        </w:tc>
        <w:tc>
          <w:tcPr>
            <w:tcW w:w="2993" w:type="dxa"/>
            <w:gridSpan w:val="2"/>
            <w:vAlign w:val="center"/>
          </w:tcPr>
          <w:p w:rsidR="004B662C" w:rsidRPr="004B662C" w:rsidRDefault="004B662C" w:rsidP="004B662C">
            <w:pPr>
              <w:jc w:val="center"/>
              <w:rPr>
                <w:b/>
              </w:rPr>
            </w:pPr>
            <w:r w:rsidRPr="004B662C">
              <w:rPr>
                <w:b/>
              </w:rPr>
              <w:t>Adolescentes</w:t>
            </w:r>
          </w:p>
        </w:tc>
      </w:tr>
      <w:tr w:rsidR="004B662C" w:rsidTr="004B662C">
        <w:tc>
          <w:tcPr>
            <w:tcW w:w="2992" w:type="dxa"/>
            <w:vMerge/>
            <w:vAlign w:val="center"/>
          </w:tcPr>
          <w:p w:rsidR="004B662C" w:rsidRPr="004B662C" w:rsidRDefault="004B662C" w:rsidP="004B662C">
            <w:pPr>
              <w:jc w:val="center"/>
              <w:rPr>
                <w:b/>
              </w:rPr>
            </w:pPr>
          </w:p>
        </w:tc>
        <w:tc>
          <w:tcPr>
            <w:tcW w:w="1496" w:type="dxa"/>
            <w:vAlign w:val="center"/>
          </w:tcPr>
          <w:p w:rsidR="004B662C" w:rsidRPr="004B662C" w:rsidRDefault="004B662C" w:rsidP="004B662C">
            <w:pPr>
              <w:jc w:val="center"/>
              <w:rPr>
                <w:b/>
              </w:rPr>
            </w:pPr>
            <w:r w:rsidRPr="004B662C">
              <w:rPr>
                <w:b/>
              </w:rPr>
              <w:t>Hombres</w:t>
            </w:r>
          </w:p>
        </w:tc>
        <w:tc>
          <w:tcPr>
            <w:tcW w:w="1497" w:type="dxa"/>
            <w:vAlign w:val="center"/>
          </w:tcPr>
          <w:p w:rsidR="004B662C" w:rsidRPr="004B662C" w:rsidRDefault="004B662C" w:rsidP="004B662C">
            <w:pPr>
              <w:jc w:val="center"/>
              <w:rPr>
                <w:b/>
              </w:rPr>
            </w:pPr>
            <w:r w:rsidRPr="004B662C">
              <w:rPr>
                <w:b/>
              </w:rPr>
              <w:t>Mujeres</w:t>
            </w:r>
          </w:p>
        </w:tc>
        <w:tc>
          <w:tcPr>
            <w:tcW w:w="1496" w:type="dxa"/>
            <w:vAlign w:val="center"/>
          </w:tcPr>
          <w:p w:rsidR="004B662C" w:rsidRPr="004B662C" w:rsidRDefault="004B662C" w:rsidP="004B662C">
            <w:pPr>
              <w:jc w:val="center"/>
              <w:rPr>
                <w:b/>
              </w:rPr>
            </w:pPr>
            <w:r w:rsidRPr="004B662C">
              <w:rPr>
                <w:b/>
              </w:rPr>
              <w:t>Hombres</w:t>
            </w:r>
          </w:p>
        </w:tc>
        <w:tc>
          <w:tcPr>
            <w:tcW w:w="1497" w:type="dxa"/>
            <w:vAlign w:val="center"/>
          </w:tcPr>
          <w:p w:rsidR="004B662C" w:rsidRPr="004B662C" w:rsidRDefault="004B662C" w:rsidP="004B662C">
            <w:pPr>
              <w:jc w:val="center"/>
              <w:rPr>
                <w:b/>
              </w:rPr>
            </w:pPr>
            <w:r w:rsidRPr="004B662C">
              <w:rPr>
                <w:b/>
              </w:rPr>
              <w:t>Mujeres</w:t>
            </w:r>
          </w:p>
        </w:tc>
      </w:tr>
      <w:tr w:rsidR="006B0AF5" w:rsidTr="006E6060">
        <w:tc>
          <w:tcPr>
            <w:tcW w:w="2992" w:type="dxa"/>
          </w:tcPr>
          <w:p w:rsidR="006B0AF5" w:rsidRDefault="006B0AF5" w:rsidP="00C83BE8">
            <w:pPr>
              <w:jc w:val="both"/>
            </w:pPr>
            <w:r>
              <w:rPr>
                <w:rFonts w:ascii="Calibri" w:eastAsia="Times New Roman" w:hAnsi="Calibri" w:cs="Times New Roman"/>
                <w:color w:val="000000"/>
                <w:lang w:eastAsia="es-MX"/>
              </w:rPr>
              <w:t xml:space="preserve">Penitenciaría Nacional de </w:t>
            </w:r>
            <w:proofErr w:type="spellStart"/>
            <w:r w:rsidRPr="004B662C">
              <w:rPr>
                <w:rFonts w:ascii="Calibri" w:eastAsia="Times New Roman" w:hAnsi="Calibri" w:cs="Times New Roman"/>
                <w:color w:val="000000"/>
                <w:lang w:eastAsia="es-MX"/>
              </w:rPr>
              <w:t>Tacumbú</w:t>
            </w:r>
            <w:proofErr w:type="spellEnd"/>
          </w:p>
        </w:tc>
        <w:tc>
          <w:tcPr>
            <w:tcW w:w="1496" w:type="dxa"/>
          </w:tcPr>
          <w:p w:rsidR="006B0AF5" w:rsidRDefault="00B9780C" w:rsidP="006B0AF5">
            <w:pPr>
              <w:jc w:val="center"/>
            </w:pPr>
            <w:r>
              <w:t>69</w:t>
            </w:r>
          </w:p>
        </w:tc>
        <w:tc>
          <w:tcPr>
            <w:tcW w:w="1497" w:type="dxa"/>
          </w:tcPr>
          <w:p w:rsidR="006B0AF5" w:rsidRDefault="006B0AF5" w:rsidP="006B0AF5">
            <w:pPr>
              <w:jc w:val="center"/>
            </w:pPr>
            <w:r>
              <w:t>-</w:t>
            </w:r>
          </w:p>
        </w:tc>
        <w:tc>
          <w:tcPr>
            <w:tcW w:w="1496" w:type="dxa"/>
          </w:tcPr>
          <w:p w:rsidR="006B0AF5" w:rsidRDefault="006B0AF5" w:rsidP="006E6060">
            <w:pPr>
              <w:jc w:val="center"/>
            </w:pPr>
            <w:r>
              <w:t>-</w:t>
            </w:r>
          </w:p>
        </w:tc>
        <w:tc>
          <w:tcPr>
            <w:tcW w:w="1497" w:type="dxa"/>
          </w:tcPr>
          <w:p w:rsidR="006B0AF5" w:rsidRDefault="006B0AF5" w:rsidP="006E6060">
            <w:pPr>
              <w:jc w:val="center"/>
            </w:pPr>
            <w:r>
              <w:t>-</w:t>
            </w:r>
          </w:p>
        </w:tc>
      </w:tr>
      <w:tr w:rsidR="006B0AF5" w:rsidTr="006E6060">
        <w:tc>
          <w:tcPr>
            <w:tcW w:w="2992" w:type="dxa"/>
          </w:tcPr>
          <w:p w:rsidR="006B0AF5" w:rsidRDefault="006B0AF5" w:rsidP="00C83BE8">
            <w:pPr>
              <w:jc w:val="both"/>
            </w:pPr>
            <w:r>
              <w:rPr>
                <w:rFonts w:ascii="Calibri" w:eastAsia="Times New Roman" w:hAnsi="Calibri" w:cs="Times New Roman"/>
                <w:color w:val="000000"/>
                <w:lang w:eastAsia="es-MX"/>
              </w:rPr>
              <w:t xml:space="preserve">Unidad Industrial La </w:t>
            </w:r>
            <w:r w:rsidRPr="004B662C">
              <w:rPr>
                <w:rFonts w:ascii="Calibri" w:eastAsia="Times New Roman" w:hAnsi="Calibri" w:cs="Times New Roman"/>
                <w:color w:val="000000"/>
                <w:lang w:eastAsia="es-MX"/>
              </w:rPr>
              <w:t>Esperanza</w:t>
            </w:r>
          </w:p>
        </w:tc>
        <w:tc>
          <w:tcPr>
            <w:tcW w:w="1496" w:type="dxa"/>
          </w:tcPr>
          <w:p w:rsidR="006B0AF5" w:rsidRDefault="00B9780C" w:rsidP="006B0AF5">
            <w:pPr>
              <w:jc w:val="center"/>
            </w:pPr>
            <w:r>
              <w:t>3</w:t>
            </w:r>
          </w:p>
        </w:tc>
        <w:tc>
          <w:tcPr>
            <w:tcW w:w="1497" w:type="dxa"/>
          </w:tcPr>
          <w:p w:rsidR="006B0AF5" w:rsidRDefault="006B0AF5" w:rsidP="006B0AF5">
            <w:pPr>
              <w:jc w:val="center"/>
            </w:pPr>
            <w:r>
              <w:t>-</w:t>
            </w:r>
          </w:p>
        </w:tc>
        <w:tc>
          <w:tcPr>
            <w:tcW w:w="1496" w:type="dxa"/>
          </w:tcPr>
          <w:p w:rsidR="006B0AF5" w:rsidRDefault="006B0AF5" w:rsidP="006E6060">
            <w:pPr>
              <w:jc w:val="center"/>
            </w:pPr>
            <w:r>
              <w:t>-</w:t>
            </w:r>
          </w:p>
        </w:tc>
        <w:tc>
          <w:tcPr>
            <w:tcW w:w="1497" w:type="dxa"/>
          </w:tcPr>
          <w:p w:rsidR="006B0AF5" w:rsidRDefault="006B0AF5" w:rsidP="006E6060">
            <w:pPr>
              <w:jc w:val="center"/>
            </w:pPr>
            <w:r>
              <w:t>-</w:t>
            </w:r>
          </w:p>
        </w:tc>
      </w:tr>
      <w:tr w:rsidR="006B0AF5" w:rsidTr="006E6060">
        <w:tc>
          <w:tcPr>
            <w:tcW w:w="2992" w:type="dxa"/>
          </w:tcPr>
          <w:p w:rsidR="006B0AF5" w:rsidRDefault="001776DF" w:rsidP="00C83BE8">
            <w:pPr>
              <w:jc w:val="both"/>
            </w:pPr>
            <w:r>
              <w:rPr>
                <w:rFonts w:ascii="Calibri" w:eastAsia="Times New Roman" w:hAnsi="Calibri" w:cs="Times New Roman"/>
                <w:color w:val="000000"/>
                <w:lang w:eastAsia="es-MX"/>
              </w:rPr>
              <w:t xml:space="preserve">Centro Penitenciario </w:t>
            </w:r>
            <w:r w:rsidR="006B0AF5">
              <w:rPr>
                <w:rFonts w:ascii="Calibri" w:eastAsia="Times New Roman" w:hAnsi="Calibri" w:cs="Times New Roman"/>
                <w:color w:val="000000"/>
                <w:lang w:eastAsia="es-MX"/>
              </w:rPr>
              <w:t xml:space="preserve"> de Mujeres del </w:t>
            </w:r>
            <w:r w:rsidR="006B0AF5" w:rsidRPr="004B662C">
              <w:rPr>
                <w:rFonts w:ascii="Calibri" w:eastAsia="Times New Roman" w:hAnsi="Calibri" w:cs="Times New Roman"/>
                <w:color w:val="000000"/>
                <w:lang w:eastAsia="es-MX"/>
              </w:rPr>
              <w:t>Buen Pastor</w:t>
            </w:r>
          </w:p>
        </w:tc>
        <w:tc>
          <w:tcPr>
            <w:tcW w:w="1496" w:type="dxa"/>
          </w:tcPr>
          <w:p w:rsidR="006B0AF5" w:rsidRDefault="006B0AF5" w:rsidP="006B0AF5">
            <w:pPr>
              <w:jc w:val="center"/>
            </w:pPr>
            <w:r>
              <w:t>-</w:t>
            </w:r>
          </w:p>
        </w:tc>
        <w:tc>
          <w:tcPr>
            <w:tcW w:w="1497" w:type="dxa"/>
          </w:tcPr>
          <w:p w:rsidR="006B0AF5" w:rsidRDefault="006B0AF5" w:rsidP="006B0AF5">
            <w:pPr>
              <w:jc w:val="center"/>
            </w:pPr>
            <w:r>
              <w:t>3</w:t>
            </w:r>
          </w:p>
        </w:tc>
        <w:tc>
          <w:tcPr>
            <w:tcW w:w="1496" w:type="dxa"/>
          </w:tcPr>
          <w:p w:rsidR="006B0AF5" w:rsidRDefault="006B0AF5" w:rsidP="006E6060">
            <w:pPr>
              <w:jc w:val="center"/>
            </w:pPr>
            <w:r>
              <w:t>-</w:t>
            </w:r>
          </w:p>
        </w:tc>
        <w:tc>
          <w:tcPr>
            <w:tcW w:w="1497" w:type="dxa"/>
          </w:tcPr>
          <w:p w:rsidR="006B0AF5" w:rsidRDefault="006B0AF5" w:rsidP="006E6060">
            <w:pPr>
              <w:jc w:val="center"/>
            </w:pPr>
            <w:r>
              <w:t>-</w:t>
            </w:r>
          </w:p>
        </w:tc>
      </w:tr>
      <w:tr w:rsidR="006B0AF5" w:rsidTr="006E6060">
        <w:tc>
          <w:tcPr>
            <w:tcW w:w="2992" w:type="dxa"/>
          </w:tcPr>
          <w:p w:rsidR="006B0AF5" w:rsidRDefault="006B0AF5" w:rsidP="00C83BE8">
            <w:pPr>
              <w:jc w:val="both"/>
            </w:pPr>
            <w:r>
              <w:t xml:space="preserve">Penitenciaría Regional de </w:t>
            </w:r>
            <w:r w:rsidRPr="004B662C">
              <w:rPr>
                <w:rFonts w:ascii="Calibri" w:eastAsia="Times New Roman" w:hAnsi="Calibri" w:cs="Times New Roman"/>
                <w:color w:val="000000"/>
                <w:lang w:eastAsia="es-MX"/>
              </w:rPr>
              <w:t>Emboscada Antigua</w:t>
            </w:r>
          </w:p>
        </w:tc>
        <w:tc>
          <w:tcPr>
            <w:tcW w:w="1496" w:type="dxa"/>
          </w:tcPr>
          <w:p w:rsidR="006B0AF5" w:rsidRDefault="00B9780C" w:rsidP="006B0AF5">
            <w:pPr>
              <w:jc w:val="center"/>
            </w:pPr>
            <w:r>
              <w:t>10</w:t>
            </w:r>
          </w:p>
        </w:tc>
        <w:tc>
          <w:tcPr>
            <w:tcW w:w="1497" w:type="dxa"/>
          </w:tcPr>
          <w:p w:rsidR="006B0AF5" w:rsidRDefault="006B0AF5" w:rsidP="006B0AF5">
            <w:pPr>
              <w:jc w:val="center"/>
            </w:pPr>
            <w:r>
              <w:t>-</w:t>
            </w:r>
          </w:p>
        </w:tc>
        <w:tc>
          <w:tcPr>
            <w:tcW w:w="1496" w:type="dxa"/>
          </w:tcPr>
          <w:p w:rsidR="006B0AF5" w:rsidRDefault="006B0AF5" w:rsidP="006E6060">
            <w:pPr>
              <w:jc w:val="center"/>
            </w:pPr>
            <w:r>
              <w:t>-</w:t>
            </w:r>
          </w:p>
        </w:tc>
        <w:tc>
          <w:tcPr>
            <w:tcW w:w="1497" w:type="dxa"/>
          </w:tcPr>
          <w:p w:rsidR="006B0AF5" w:rsidRDefault="006B0AF5" w:rsidP="006E6060">
            <w:pPr>
              <w:jc w:val="center"/>
            </w:pPr>
            <w:r>
              <w:t>-</w:t>
            </w:r>
          </w:p>
        </w:tc>
      </w:tr>
      <w:tr w:rsidR="006B0AF5" w:rsidTr="006E6060">
        <w:tc>
          <w:tcPr>
            <w:tcW w:w="2992" w:type="dxa"/>
          </w:tcPr>
          <w:p w:rsidR="006B0AF5" w:rsidRDefault="006B0AF5" w:rsidP="00C83BE8">
            <w:pPr>
              <w:jc w:val="both"/>
            </w:pPr>
            <w:r>
              <w:rPr>
                <w:rFonts w:ascii="Calibri" w:eastAsia="Times New Roman" w:hAnsi="Calibri" w:cs="Times New Roman"/>
                <w:color w:val="000000"/>
                <w:lang w:eastAsia="es-MX"/>
              </w:rPr>
              <w:t xml:space="preserve">Penitenciaría Regional Padre </w:t>
            </w:r>
            <w:r w:rsidRPr="004B662C">
              <w:rPr>
                <w:rFonts w:ascii="Calibri" w:eastAsia="Times New Roman" w:hAnsi="Calibri" w:cs="Times New Roman"/>
                <w:color w:val="000000"/>
                <w:lang w:eastAsia="es-MX"/>
              </w:rPr>
              <w:t>Juan Antonio de la Vega</w:t>
            </w:r>
          </w:p>
        </w:tc>
        <w:tc>
          <w:tcPr>
            <w:tcW w:w="1496" w:type="dxa"/>
          </w:tcPr>
          <w:p w:rsidR="006B0AF5" w:rsidRDefault="00B9780C" w:rsidP="006B0AF5">
            <w:pPr>
              <w:jc w:val="center"/>
            </w:pPr>
            <w:r>
              <w:t>7</w:t>
            </w:r>
          </w:p>
        </w:tc>
        <w:tc>
          <w:tcPr>
            <w:tcW w:w="1497" w:type="dxa"/>
          </w:tcPr>
          <w:p w:rsidR="006B0AF5" w:rsidRDefault="006B0AF5" w:rsidP="006B0AF5">
            <w:pPr>
              <w:jc w:val="center"/>
            </w:pPr>
            <w:r>
              <w:t>-</w:t>
            </w:r>
          </w:p>
        </w:tc>
        <w:tc>
          <w:tcPr>
            <w:tcW w:w="1496" w:type="dxa"/>
          </w:tcPr>
          <w:p w:rsidR="006B0AF5" w:rsidRDefault="006B0AF5" w:rsidP="006E6060">
            <w:pPr>
              <w:jc w:val="center"/>
            </w:pPr>
            <w:r>
              <w:t>-</w:t>
            </w:r>
          </w:p>
        </w:tc>
        <w:tc>
          <w:tcPr>
            <w:tcW w:w="1497" w:type="dxa"/>
          </w:tcPr>
          <w:p w:rsidR="006B0AF5" w:rsidRDefault="006B0AF5" w:rsidP="006E6060">
            <w:pPr>
              <w:jc w:val="center"/>
            </w:pPr>
            <w:r>
              <w:t>-</w:t>
            </w:r>
          </w:p>
        </w:tc>
      </w:tr>
      <w:tr w:rsidR="006B0AF5" w:rsidTr="006E6060">
        <w:tc>
          <w:tcPr>
            <w:tcW w:w="2992" w:type="dxa"/>
          </w:tcPr>
          <w:p w:rsidR="006B0AF5" w:rsidRDefault="006B0AF5" w:rsidP="00C83BE8">
            <w:pPr>
              <w:jc w:val="both"/>
            </w:pPr>
            <w:r>
              <w:rPr>
                <w:rFonts w:ascii="Calibri" w:eastAsia="Times New Roman" w:hAnsi="Calibri" w:cs="Times New Roman"/>
                <w:color w:val="000000"/>
                <w:lang w:eastAsia="es-MX"/>
              </w:rPr>
              <w:t>Penitenciaría Regional de</w:t>
            </w:r>
            <w:r w:rsidRPr="004B662C">
              <w:rPr>
                <w:rFonts w:ascii="Calibri" w:eastAsia="Times New Roman" w:hAnsi="Calibri" w:cs="Times New Roman"/>
                <w:color w:val="000000"/>
                <w:lang w:eastAsia="es-MX"/>
              </w:rPr>
              <w:t xml:space="preserve"> Coronel Oviedo</w:t>
            </w:r>
          </w:p>
        </w:tc>
        <w:tc>
          <w:tcPr>
            <w:tcW w:w="1496" w:type="dxa"/>
          </w:tcPr>
          <w:p w:rsidR="006B0AF5" w:rsidRDefault="00B9780C" w:rsidP="006B0AF5">
            <w:pPr>
              <w:jc w:val="center"/>
            </w:pPr>
            <w:r>
              <w:t>10</w:t>
            </w:r>
          </w:p>
        </w:tc>
        <w:tc>
          <w:tcPr>
            <w:tcW w:w="1497" w:type="dxa"/>
          </w:tcPr>
          <w:p w:rsidR="006B0AF5" w:rsidRDefault="006B0AF5" w:rsidP="006B0AF5">
            <w:pPr>
              <w:jc w:val="center"/>
            </w:pPr>
            <w:r>
              <w:t>1</w:t>
            </w:r>
          </w:p>
        </w:tc>
        <w:tc>
          <w:tcPr>
            <w:tcW w:w="1496" w:type="dxa"/>
          </w:tcPr>
          <w:p w:rsidR="006B0AF5" w:rsidRDefault="006B0AF5" w:rsidP="006E6060">
            <w:pPr>
              <w:jc w:val="center"/>
            </w:pPr>
            <w:r>
              <w:t>-</w:t>
            </w:r>
          </w:p>
        </w:tc>
        <w:tc>
          <w:tcPr>
            <w:tcW w:w="1497" w:type="dxa"/>
          </w:tcPr>
          <w:p w:rsidR="006B0AF5" w:rsidRDefault="006B0AF5" w:rsidP="006E6060">
            <w:pPr>
              <w:jc w:val="center"/>
            </w:pPr>
            <w:r>
              <w:t>-</w:t>
            </w:r>
          </w:p>
        </w:tc>
      </w:tr>
      <w:tr w:rsidR="006B0AF5" w:rsidTr="006E6060">
        <w:tc>
          <w:tcPr>
            <w:tcW w:w="2992" w:type="dxa"/>
          </w:tcPr>
          <w:p w:rsidR="006B0AF5" w:rsidRDefault="006B0AF5" w:rsidP="00C83BE8">
            <w:pPr>
              <w:jc w:val="both"/>
            </w:pPr>
            <w:r>
              <w:rPr>
                <w:rFonts w:ascii="Calibri" w:eastAsia="Times New Roman" w:hAnsi="Calibri" w:cs="Times New Roman"/>
                <w:color w:val="000000"/>
                <w:lang w:eastAsia="es-MX"/>
              </w:rPr>
              <w:lastRenderedPageBreak/>
              <w:t>Penitenciaría Regional de</w:t>
            </w:r>
            <w:r w:rsidRPr="004B662C">
              <w:rPr>
                <w:rFonts w:ascii="Calibri" w:eastAsia="Times New Roman" w:hAnsi="Calibri" w:cs="Times New Roman"/>
                <w:color w:val="000000"/>
                <w:lang w:eastAsia="es-MX"/>
              </w:rPr>
              <w:t xml:space="preserve"> Villar</w:t>
            </w:r>
            <w:r>
              <w:rPr>
                <w:rFonts w:ascii="Calibri" w:eastAsia="Times New Roman" w:hAnsi="Calibri" w:cs="Times New Roman"/>
                <w:color w:val="000000"/>
                <w:lang w:eastAsia="es-MX"/>
              </w:rPr>
              <w:t>r</w:t>
            </w:r>
            <w:r w:rsidRPr="004B662C">
              <w:rPr>
                <w:rFonts w:ascii="Calibri" w:eastAsia="Times New Roman" w:hAnsi="Calibri" w:cs="Times New Roman"/>
                <w:color w:val="000000"/>
                <w:lang w:eastAsia="es-MX"/>
              </w:rPr>
              <w:t>ica</w:t>
            </w:r>
          </w:p>
        </w:tc>
        <w:tc>
          <w:tcPr>
            <w:tcW w:w="1496" w:type="dxa"/>
          </w:tcPr>
          <w:p w:rsidR="006B0AF5" w:rsidRDefault="00B9780C" w:rsidP="006B0AF5">
            <w:pPr>
              <w:jc w:val="center"/>
            </w:pPr>
            <w:r>
              <w:t>3</w:t>
            </w:r>
          </w:p>
        </w:tc>
        <w:tc>
          <w:tcPr>
            <w:tcW w:w="1497" w:type="dxa"/>
          </w:tcPr>
          <w:p w:rsidR="006B0AF5" w:rsidRDefault="006B0AF5" w:rsidP="006B0AF5">
            <w:pPr>
              <w:jc w:val="center"/>
            </w:pPr>
            <w:r>
              <w:t>1</w:t>
            </w:r>
          </w:p>
        </w:tc>
        <w:tc>
          <w:tcPr>
            <w:tcW w:w="1496" w:type="dxa"/>
          </w:tcPr>
          <w:p w:rsidR="006B0AF5" w:rsidRDefault="006B0AF5" w:rsidP="006E6060">
            <w:pPr>
              <w:jc w:val="center"/>
            </w:pPr>
            <w:r>
              <w:t>-</w:t>
            </w:r>
          </w:p>
        </w:tc>
        <w:tc>
          <w:tcPr>
            <w:tcW w:w="1497" w:type="dxa"/>
          </w:tcPr>
          <w:p w:rsidR="006B0AF5" w:rsidRDefault="006B0AF5" w:rsidP="006E6060">
            <w:pPr>
              <w:jc w:val="center"/>
            </w:pPr>
            <w:r>
              <w:t>-</w:t>
            </w:r>
          </w:p>
        </w:tc>
      </w:tr>
      <w:tr w:rsidR="006B0AF5" w:rsidTr="006E6060">
        <w:tc>
          <w:tcPr>
            <w:tcW w:w="2992" w:type="dxa"/>
          </w:tcPr>
          <w:p w:rsidR="006B0AF5" w:rsidRPr="004B662C" w:rsidRDefault="006B0AF5" w:rsidP="00C83BE8">
            <w:pPr>
              <w:jc w:val="both"/>
              <w:rPr>
                <w:rFonts w:ascii="Calibri" w:eastAsia="Times New Roman" w:hAnsi="Calibri" w:cs="Times New Roman"/>
                <w:color w:val="000000"/>
                <w:lang w:eastAsia="es-MX"/>
              </w:rPr>
            </w:pPr>
            <w:r>
              <w:rPr>
                <w:rFonts w:ascii="Calibri" w:eastAsia="Times New Roman" w:hAnsi="Calibri" w:cs="Times New Roman"/>
                <w:color w:val="000000"/>
                <w:lang w:eastAsia="es-MX"/>
              </w:rPr>
              <w:t>Penitenciaría Regional de</w:t>
            </w:r>
            <w:r w:rsidRPr="004B662C">
              <w:rPr>
                <w:rFonts w:ascii="Calibri" w:eastAsia="Times New Roman" w:hAnsi="Calibri" w:cs="Times New Roman"/>
                <w:color w:val="000000"/>
                <w:lang w:eastAsia="es-MX"/>
              </w:rPr>
              <w:t xml:space="preserve"> Misiones</w:t>
            </w:r>
          </w:p>
        </w:tc>
        <w:tc>
          <w:tcPr>
            <w:tcW w:w="1496" w:type="dxa"/>
          </w:tcPr>
          <w:p w:rsidR="006B0AF5" w:rsidRDefault="00B9780C" w:rsidP="006B0AF5">
            <w:pPr>
              <w:jc w:val="center"/>
            </w:pPr>
            <w:r>
              <w:t>7</w:t>
            </w:r>
          </w:p>
        </w:tc>
        <w:tc>
          <w:tcPr>
            <w:tcW w:w="1497" w:type="dxa"/>
          </w:tcPr>
          <w:p w:rsidR="006B0AF5" w:rsidRDefault="006B0AF5" w:rsidP="006B0AF5">
            <w:pPr>
              <w:jc w:val="center"/>
            </w:pPr>
            <w:r>
              <w:t>0</w:t>
            </w:r>
          </w:p>
        </w:tc>
        <w:tc>
          <w:tcPr>
            <w:tcW w:w="1496" w:type="dxa"/>
          </w:tcPr>
          <w:p w:rsidR="006B0AF5" w:rsidRDefault="006B0AF5" w:rsidP="006E6060">
            <w:pPr>
              <w:jc w:val="center"/>
            </w:pPr>
            <w:r>
              <w:t>-</w:t>
            </w:r>
          </w:p>
        </w:tc>
        <w:tc>
          <w:tcPr>
            <w:tcW w:w="1497" w:type="dxa"/>
          </w:tcPr>
          <w:p w:rsidR="006B0AF5" w:rsidRDefault="006B0AF5" w:rsidP="006E6060">
            <w:pPr>
              <w:jc w:val="center"/>
            </w:pPr>
            <w:r>
              <w:t>-</w:t>
            </w:r>
          </w:p>
        </w:tc>
      </w:tr>
      <w:tr w:rsidR="006B0AF5" w:rsidTr="006E6060">
        <w:tc>
          <w:tcPr>
            <w:tcW w:w="2992" w:type="dxa"/>
          </w:tcPr>
          <w:p w:rsidR="006B0AF5" w:rsidRPr="004B662C" w:rsidRDefault="006B0AF5" w:rsidP="004B662C">
            <w:pPr>
              <w:jc w:val="both"/>
              <w:rPr>
                <w:rFonts w:ascii="Calibri" w:eastAsia="Times New Roman" w:hAnsi="Calibri" w:cs="Times New Roman"/>
                <w:color w:val="000000"/>
                <w:lang w:eastAsia="es-MX"/>
              </w:rPr>
            </w:pPr>
            <w:r>
              <w:rPr>
                <w:rFonts w:ascii="Calibri" w:eastAsia="Times New Roman" w:hAnsi="Calibri" w:cs="Times New Roman"/>
                <w:color w:val="000000"/>
                <w:lang w:eastAsia="es-MX"/>
              </w:rPr>
              <w:t>Centro de Rehabilitación Social (</w:t>
            </w:r>
            <w:r w:rsidRPr="004B662C">
              <w:rPr>
                <w:rFonts w:ascii="Calibri" w:eastAsia="Times New Roman" w:hAnsi="Calibri" w:cs="Times New Roman"/>
                <w:color w:val="000000"/>
                <w:lang w:eastAsia="es-MX"/>
              </w:rPr>
              <w:t>CERESO</w:t>
            </w:r>
            <w:r>
              <w:rPr>
                <w:rFonts w:ascii="Calibri" w:eastAsia="Times New Roman" w:hAnsi="Calibri" w:cs="Times New Roman"/>
                <w:color w:val="000000"/>
                <w:lang w:eastAsia="es-MX"/>
              </w:rPr>
              <w:t>) Penitenciaría Regional de Itapúa</w:t>
            </w:r>
          </w:p>
        </w:tc>
        <w:tc>
          <w:tcPr>
            <w:tcW w:w="1496" w:type="dxa"/>
          </w:tcPr>
          <w:p w:rsidR="006B0AF5" w:rsidRDefault="00B9780C" w:rsidP="006B0AF5">
            <w:pPr>
              <w:jc w:val="center"/>
            </w:pPr>
            <w:r>
              <w:t>6</w:t>
            </w:r>
          </w:p>
        </w:tc>
        <w:tc>
          <w:tcPr>
            <w:tcW w:w="1497" w:type="dxa"/>
          </w:tcPr>
          <w:p w:rsidR="006B0AF5" w:rsidRDefault="006B0AF5" w:rsidP="006B0AF5">
            <w:pPr>
              <w:jc w:val="center"/>
            </w:pPr>
            <w:r>
              <w:t>0</w:t>
            </w:r>
          </w:p>
        </w:tc>
        <w:tc>
          <w:tcPr>
            <w:tcW w:w="1496" w:type="dxa"/>
          </w:tcPr>
          <w:p w:rsidR="006B0AF5" w:rsidRDefault="006B0AF5" w:rsidP="006E6060">
            <w:pPr>
              <w:jc w:val="center"/>
            </w:pPr>
            <w:r>
              <w:t>-</w:t>
            </w:r>
          </w:p>
        </w:tc>
        <w:tc>
          <w:tcPr>
            <w:tcW w:w="1497" w:type="dxa"/>
          </w:tcPr>
          <w:p w:rsidR="006B0AF5" w:rsidRDefault="006B0AF5" w:rsidP="006E6060">
            <w:pPr>
              <w:jc w:val="center"/>
            </w:pPr>
            <w:r>
              <w:t>-</w:t>
            </w:r>
          </w:p>
        </w:tc>
      </w:tr>
      <w:tr w:rsidR="006B0AF5" w:rsidTr="006E6060">
        <w:tc>
          <w:tcPr>
            <w:tcW w:w="2992" w:type="dxa"/>
          </w:tcPr>
          <w:p w:rsidR="006B0AF5" w:rsidRPr="004B662C" w:rsidRDefault="006B0AF5" w:rsidP="00C83BE8">
            <w:pPr>
              <w:jc w:val="both"/>
              <w:rPr>
                <w:rFonts w:ascii="Calibri" w:eastAsia="Times New Roman" w:hAnsi="Calibri" w:cs="Times New Roman"/>
                <w:color w:val="000000"/>
                <w:lang w:eastAsia="es-MX"/>
              </w:rPr>
            </w:pPr>
            <w:r>
              <w:rPr>
                <w:rFonts w:ascii="Calibri" w:eastAsia="Times New Roman" w:hAnsi="Calibri" w:cs="Times New Roman"/>
                <w:color w:val="000000"/>
                <w:lang w:eastAsia="es-MX"/>
              </w:rPr>
              <w:t>Penitenciaría Regional de</w:t>
            </w:r>
            <w:r w:rsidRPr="004B662C">
              <w:rPr>
                <w:rFonts w:ascii="Calibri" w:eastAsia="Times New Roman" w:hAnsi="Calibri" w:cs="Times New Roman"/>
                <w:color w:val="000000"/>
                <w:lang w:eastAsia="es-MX"/>
              </w:rPr>
              <w:t xml:space="preserve"> Ciudad del Este</w:t>
            </w:r>
          </w:p>
        </w:tc>
        <w:tc>
          <w:tcPr>
            <w:tcW w:w="1496" w:type="dxa"/>
          </w:tcPr>
          <w:p w:rsidR="006B0AF5" w:rsidRDefault="00B9780C" w:rsidP="006B0AF5">
            <w:pPr>
              <w:jc w:val="center"/>
            </w:pPr>
            <w:r>
              <w:t>17</w:t>
            </w:r>
          </w:p>
        </w:tc>
        <w:tc>
          <w:tcPr>
            <w:tcW w:w="1497" w:type="dxa"/>
          </w:tcPr>
          <w:p w:rsidR="006B0AF5" w:rsidRDefault="006B0AF5" w:rsidP="006B0AF5">
            <w:pPr>
              <w:jc w:val="center"/>
            </w:pPr>
            <w:r>
              <w:t>0</w:t>
            </w:r>
          </w:p>
        </w:tc>
        <w:tc>
          <w:tcPr>
            <w:tcW w:w="1496" w:type="dxa"/>
          </w:tcPr>
          <w:p w:rsidR="006B0AF5" w:rsidRDefault="006B0AF5" w:rsidP="006E6060">
            <w:pPr>
              <w:jc w:val="center"/>
            </w:pPr>
            <w:r>
              <w:t>-</w:t>
            </w:r>
          </w:p>
        </w:tc>
        <w:tc>
          <w:tcPr>
            <w:tcW w:w="1497" w:type="dxa"/>
          </w:tcPr>
          <w:p w:rsidR="006B0AF5" w:rsidRDefault="006B0AF5" w:rsidP="006E6060">
            <w:pPr>
              <w:jc w:val="center"/>
            </w:pPr>
            <w:r>
              <w:t>-</w:t>
            </w:r>
          </w:p>
        </w:tc>
      </w:tr>
      <w:tr w:rsidR="004B662C" w:rsidTr="006E6060">
        <w:tc>
          <w:tcPr>
            <w:tcW w:w="2992" w:type="dxa"/>
          </w:tcPr>
          <w:p w:rsidR="004B662C" w:rsidRPr="004B662C" w:rsidRDefault="001776DF" w:rsidP="00C83BE8">
            <w:pPr>
              <w:jc w:val="both"/>
              <w:rPr>
                <w:rFonts w:ascii="Calibri" w:eastAsia="Times New Roman" w:hAnsi="Calibri" w:cs="Times New Roman"/>
                <w:color w:val="000000"/>
                <w:lang w:eastAsia="es-MX"/>
              </w:rPr>
            </w:pPr>
            <w:r>
              <w:rPr>
                <w:rFonts w:ascii="Calibri" w:eastAsia="Times New Roman" w:hAnsi="Calibri" w:cs="Times New Roman"/>
                <w:color w:val="000000"/>
                <w:lang w:eastAsia="es-MX"/>
              </w:rPr>
              <w:t xml:space="preserve">Centro Penitenciario </w:t>
            </w:r>
            <w:r w:rsidR="006B0AF5">
              <w:rPr>
                <w:rFonts w:ascii="Calibri" w:eastAsia="Times New Roman" w:hAnsi="Calibri" w:cs="Times New Roman"/>
                <w:color w:val="000000"/>
                <w:lang w:eastAsia="es-MX"/>
              </w:rPr>
              <w:t xml:space="preserve"> de Mujeres </w:t>
            </w:r>
            <w:r w:rsidR="004B662C" w:rsidRPr="004B662C">
              <w:rPr>
                <w:rFonts w:ascii="Calibri" w:eastAsia="Times New Roman" w:hAnsi="Calibri" w:cs="Times New Roman"/>
                <w:color w:val="000000"/>
                <w:lang w:eastAsia="es-MX"/>
              </w:rPr>
              <w:t>Juana María de Lara</w:t>
            </w:r>
          </w:p>
        </w:tc>
        <w:tc>
          <w:tcPr>
            <w:tcW w:w="1496" w:type="dxa"/>
          </w:tcPr>
          <w:p w:rsidR="004B662C" w:rsidRDefault="006B0AF5" w:rsidP="006B0AF5">
            <w:pPr>
              <w:jc w:val="center"/>
            </w:pPr>
            <w:r>
              <w:t>-</w:t>
            </w:r>
          </w:p>
        </w:tc>
        <w:tc>
          <w:tcPr>
            <w:tcW w:w="1497" w:type="dxa"/>
          </w:tcPr>
          <w:p w:rsidR="004B662C" w:rsidRDefault="006B0AF5" w:rsidP="006B0AF5">
            <w:pPr>
              <w:jc w:val="center"/>
            </w:pPr>
            <w:r>
              <w:t>0</w:t>
            </w:r>
          </w:p>
        </w:tc>
        <w:tc>
          <w:tcPr>
            <w:tcW w:w="1496" w:type="dxa"/>
          </w:tcPr>
          <w:p w:rsidR="004B662C" w:rsidRDefault="006B0AF5" w:rsidP="006B0AF5">
            <w:pPr>
              <w:jc w:val="center"/>
            </w:pPr>
            <w:r>
              <w:t>-</w:t>
            </w:r>
          </w:p>
        </w:tc>
        <w:tc>
          <w:tcPr>
            <w:tcW w:w="1497" w:type="dxa"/>
          </w:tcPr>
          <w:p w:rsidR="004B662C" w:rsidRDefault="006B0AF5" w:rsidP="006B0AF5">
            <w:pPr>
              <w:jc w:val="center"/>
            </w:pPr>
            <w:r>
              <w:t>0</w:t>
            </w:r>
          </w:p>
        </w:tc>
      </w:tr>
      <w:tr w:rsidR="006B0AF5" w:rsidTr="006E6060">
        <w:tc>
          <w:tcPr>
            <w:tcW w:w="2992" w:type="dxa"/>
          </w:tcPr>
          <w:p w:rsidR="006B0AF5" w:rsidRPr="004B662C" w:rsidRDefault="006B0AF5" w:rsidP="00C83BE8">
            <w:pPr>
              <w:jc w:val="both"/>
              <w:rPr>
                <w:rFonts w:ascii="Calibri" w:eastAsia="Times New Roman" w:hAnsi="Calibri" w:cs="Times New Roman"/>
                <w:color w:val="000000"/>
                <w:lang w:eastAsia="es-MX"/>
              </w:rPr>
            </w:pPr>
            <w:r>
              <w:rPr>
                <w:rFonts w:ascii="Calibri" w:eastAsia="Times New Roman" w:hAnsi="Calibri" w:cs="Times New Roman"/>
                <w:color w:val="000000"/>
                <w:lang w:eastAsia="es-MX"/>
              </w:rPr>
              <w:t>Penitenciaría Regional de</w:t>
            </w:r>
            <w:r w:rsidRPr="004B662C">
              <w:rPr>
                <w:rFonts w:ascii="Calibri" w:eastAsia="Times New Roman" w:hAnsi="Calibri" w:cs="Times New Roman"/>
                <w:color w:val="000000"/>
                <w:lang w:eastAsia="es-MX"/>
              </w:rPr>
              <w:t xml:space="preserve"> Pedro Juan Caballero</w:t>
            </w:r>
          </w:p>
        </w:tc>
        <w:tc>
          <w:tcPr>
            <w:tcW w:w="1496" w:type="dxa"/>
          </w:tcPr>
          <w:p w:rsidR="006B0AF5" w:rsidRDefault="00B9780C" w:rsidP="006B0AF5">
            <w:pPr>
              <w:jc w:val="center"/>
            </w:pPr>
            <w:r>
              <w:t>8</w:t>
            </w:r>
          </w:p>
        </w:tc>
        <w:tc>
          <w:tcPr>
            <w:tcW w:w="1497" w:type="dxa"/>
          </w:tcPr>
          <w:p w:rsidR="006B0AF5" w:rsidRDefault="006B0AF5" w:rsidP="006B0AF5">
            <w:pPr>
              <w:jc w:val="center"/>
            </w:pPr>
            <w:r>
              <w:t>0</w:t>
            </w:r>
          </w:p>
        </w:tc>
        <w:tc>
          <w:tcPr>
            <w:tcW w:w="1496" w:type="dxa"/>
          </w:tcPr>
          <w:p w:rsidR="006B0AF5" w:rsidRDefault="006B0AF5" w:rsidP="006E6060">
            <w:pPr>
              <w:jc w:val="center"/>
            </w:pPr>
            <w:r>
              <w:t>-</w:t>
            </w:r>
          </w:p>
        </w:tc>
        <w:tc>
          <w:tcPr>
            <w:tcW w:w="1497" w:type="dxa"/>
          </w:tcPr>
          <w:p w:rsidR="006B0AF5" w:rsidRDefault="006B0AF5" w:rsidP="006E6060">
            <w:pPr>
              <w:jc w:val="center"/>
            </w:pPr>
            <w:r>
              <w:t>-</w:t>
            </w:r>
          </w:p>
        </w:tc>
      </w:tr>
      <w:tr w:rsidR="006B0AF5" w:rsidTr="006E6060">
        <w:tc>
          <w:tcPr>
            <w:tcW w:w="2992" w:type="dxa"/>
          </w:tcPr>
          <w:p w:rsidR="006B0AF5" w:rsidRPr="004B662C" w:rsidRDefault="006B0AF5" w:rsidP="00C83BE8">
            <w:pPr>
              <w:jc w:val="both"/>
              <w:rPr>
                <w:rFonts w:ascii="Calibri" w:eastAsia="Times New Roman" w:hAnsi="Calibri" w:cs="Times New Roman"/>
                <w:color w:val="000000"/>
                <w:lang w:eastAsia="es-MX"/>
              </w:rPr>
            </w:pPr>
            <w:r>
              <w:rPr>
                <w:rFonts w:ascii="Calibri" w:eastAsia="Times New Roman" w:hAnsi="Calibri" w:cs="Times New Roman"/>
                <w:color w:val="000000"/>
                <w:lang w:eastAsia="es-MX"/>
              </w:rPr>
              <w:t>Penitenciaría Regional de</w:t>
            </w:r>
            <w:r w:rsidRPr="004B662C">
              <w:rPr>
                <w:rFonts w:ascii="Calibri" w:eastAsia="Times New Roman" w:hAnsi="Calibri" w:cs="Times New Roman"/>
                <w:color w:val="000000"/>
                <w:lang w:eastAsia="es-MX"/>
              </w:rPr>
              <w:t xml:space="preserve"> San Pedro</w:t>
            </w:r>
          </w:p>
        </w:tc>
        <w:tc>
          <w:tcPr>
            <w:tcW w:w="1496" w:type="dxa"/>
          </w:tcPr>
          <w:p w:rsidR="006B0AF5" w:rsidRDefault="00B9780C" w:rsidP="006B0AF5">
            <w:pPr>
              <w:jc w:val="center"/>
            </w:pPr>
            <w:r>
              <w:t>9</w:t>
            </w:r>
          </w:p>
        </w:tc>
        <w:tc>
          <w:tcPr>
            <w:tcW w:w="1497" w:type="dxa"/>
          </w:tcPr>
          <w:p w:rsidR="006B0AF5" w:rsidRDefault="006B0AF5" w:rsidP="006B0AF5">
            <w:pPr>
              <w:jc w:val="center"/>
            </w:pPr>
            <w:r>
              <w:t>0</w:t>
            </w:r>
          </w:p>
        </w:tc>
        <w:tc>
          <w:tcPr>
            <w:tcW w:w="1496" w:type="dxa"/>
          </w:tcPr>
          <w:p w:rsidR="006B0AF5" w:rsidRDefault="006B0AF5" w:rsidP="006E6060">
            <w:pPr>
              <w:jc w:val="center"/>
            </w:pPr>
            <w:r>
              <w:t>-</w:t>
            </w:r>
          </w:p>
        </w:tc>
        <w:tc>
          <w:tcPr>
            <w:tcW w:w="1497" w:type="dxa"/>
          </w:tcPr>
          <w:p w:rsidR="006B0AF5" w:rsidRDefault="006B0AF5" w:rsidP="006E6060">
            <w:pPr>
              <w:jc w:val="center"/>
            </w:pPr>
            <w:r>
              <w:t>-</w:t>
            </w:r>
          </w:p>
        </w:tc>
      </w:tr>
      <w:tr w:rsidR="006B0AF5" w:rsidTr="006E6060">
        <w:tc>
          <w:tcPr>
            <w:tcW w:w="2992" w:type="dxa"/>
          </w:tcPr>
          <w:p w:rsidR="006B0AF5" w:rsidRPr="004B662C" w:rsidRDefault="006B0AF5" w:rsidP="00C83BE8">
            <w:pPr>
              <w:jc w:val="both"/>
              <w:rPr>
                <w:rFonts w:ascii="Calibri" w:eastAsia="Times New Roman" w:hAnsi="Calibri" w:cs="Times New Roman"/>
                <w:color w:val="000000"/>
                <w:lang w:eastAsia="es-MX"/>
              </w:rPr>
            </w:pPr>
            <w:r>
              <w:rPr>
                <w:rFonts w:ascii="Calibri" w:eastAsia="Times New Roman" w:hAnsi="Calibri" w:cs="Times New Roman"/>
                <w:color w:val="000000"/>
                <w:lang w:eastAsia="es-MX"/>
              </w:rPr>
              <w:t>Penitenciaría Regional de</w:t>
            </w:r>
            <w:r w:rsidRPr="004B662C">
              <w:rPr>
                <w:rFonts w:ascii="Calibri" w:eastAsia="Times New Roman" w:hAnsi="Calibri" w:cs="Times New Roman"/>
                <w:color w:val="000000"/>
                <w:lang w:eastAsia="es-MX"/>
              </w:rPr>
              <w:t xml:space="preserve"> Concepción</w:t>
            </w:r>
          </w:p>
        </w:tc>
        <w:tc>
          <w:tcPr>
            <w:tcW w:w="1496" w:type="dxa"/>
          </w:tcPr>
          <w:p w:rsidR="006B0AF5" w:rsidRDefault="00B9780C" w:rsidP="006B0AF5">
            <w:pPr>
              <w:jc w:val="center"/>
            </w:pPr>
            <w:r>
              <w:t>7</w:t>
            </w:r>
          </w:p>
        </w:tc>
        <w:tc>
          <w:tcPr>
            <w:tcW w:w="1497" w:type="dxa"/>
          </w:tcPr>
          <w:p w:rsidR="006B0AF5" w:rsidRDefault="006B0AF5" w:rsidP="006B0AF5">
            <w:pPr>
              <w:jc w:val="center"/>
            </w:pPr>
            <w:r>
              <w:t>0</w:t>
            </w:r>
          </w:p>
        </w:tc>
        <w:tc>
          <w:tcPr>
            <w:tcW w:w="1496" w:type="dxa"/>
          </w:tcPr>
          <w:p w:rsidR="006B0AF5" w:rsidRDefault="006B0AF5" w:rsidP="006E6060">
            <w:pPr>
              <w:jc w:val="center"/>
            </w:pPr>
            <w:r>
              <w:t>-</w:t>
            </w:r>
          </w:p>
        </w:tc>
        <w:tc>
          <w:tcPr>
            <w:tcW w:w="1497" w:type="dxa"/>
          </w:tcPr>
          <w:p w:rsidR="006B0AF5" w:rsidRDefault="006B0AF5" w:rsidP="006E6060">
            <w:pPr>
              <w:jc w:val="center"/>
            </w:pPr>
            <w:r>
              <w:t>-</w:t>
            </w:r>
          </w:p>
        </w:tc>
      </w:tr>
      <w:tr w:rsidR="004B662C" w:rsidTr="006E6060">
        <w:tc>
          <w:tcPr>
            <w:tcW w:w="2992" w:type="dxa"/>
          </w:tcPr>
          <w:p w:rsidR="004B662C" w:rsidRPr="004B662C" w:rsidRDefault="004B662C" w:rsidP="00C83BE8">
            <w:pPr>
              <w:jc w:val="both"/>
              <w:rPr>
                <w:rFonts w:ascii="Calibri" w:eastAsia="Times New Roman" w:hAnsi="Calibri" w:cs="Times New Roman"/>
                <w:color w:val="000000"/>
                <w:lang w:eastAsia="es-MX"/>
              </w:rPr>
            </w:pPr>
            <w:r w:rsidRPr="004B662C">
              <w:rPr>
                <w:rFonts w:ascii="Calibri" w:eastAsia="Times New Roman" w:hAnsi="Calibri" w:cs="Times New Roman"/>
                <w:color w:val="000000"/>
                <w:lang w:eastAsia="es-MX"/>
              </w:rPr>
              <w:t xml:space="preserve">Gran </w:t>
            </w:r>
            <w:proofErr w:type="spellStart"/>
            <w:r w:rsidRPr="004B662C">
              <w:rPr>
                <w:rFonts w:ascii="Calibri" w:eastAsia="Times New Roman" w:hAnsi="Calibri" w:cs="Times New Roman"/>
                <w:color w:val="000000"/>
                <w:lang w:eastAsia="es-MX"/>
              </w:rPr>
              <w:t>Ita</w:t>
            </w:r>
            <w:proofErr w:type="spellEnd"/>
            <w:r w:rsidRPr="004B662C">
              <w:rPr>
                <w:rFonts w:ascii="Calibri" w:eastAsia="Times New Roman" w:hAnsi="Calibri" w:cs="Times New Roman"/>
                <w:color w:val="000000"/>
                <w:lang w:eastAsia="es-MX"/>
              </w:rPr>
              <w:t xml:space="preserve"> </w:t>
            </w:r>
            <w:proofErr w:type="spellStart"/>
            <w:r w:rsidRPr="004B662C">
              <w:rPr>
                <w:rFonts w:ascii="Calibri" w:eastAsia="Times New Roman" w:hAnsi="Calibri" w:cs="Times New Roman"/>
                <w:color w:val="000000"/>
                <w:lang w:eastAsia="es-MX"/>
              </w:rPr>
              <w:t>Pora</w:t>
            </w:r>
            <w:proofErr w:type="spellEnd"/>
          </w:p>
        </w:tc>
        <w:tc>
          <w:tcPr>
            <w:tcW w:w="1496" w:type="dxa"/>
          </w:tcPr>
          <w:p w:rsidR="004B662C" w:rsidRDefault="004B662C" w:rsidP="006B0AF5">
            <w:pPr>
              <w:jc w:val="center"/>
            </w:pPr>
            <w:r w:rsidRPr="00D20C94">
              <w:t>0</w:t>
            </w:r>
          </w:p>
        </w:tc>
        <w:tc>
          <w:tcPr>
            <w:tcW w:w="1497" w:type="dxa"/>
          </w:tcPr>
          <w:p w:rsidR="004B662C" w:rsidRDefault="004B662C" w:rsidP="006B0AF5">
            <w:pPr>
              <w:jc w:val="center"/>
            </w:pPr>
            <w:r w:rsidRPr="00D20C94">
              <w:t>0</w:t>
            </w:r>
          </w:p>
        </w:tc>
        <w:tc>
          <w:tcPr>
            <w:tcW w:w="1496" w:type="dxa"/>
          </w:tcPr>
          <w:p w:rsidR="004B662C" w:rsidRDefault="006B0AF5" w:rsidP="006B0AF5">
            <w:pPr>
              <w:jc w:val="center"/>
            </w:pPr>
            <w:r>
              <w:t>-</w:t>
            </w:r>
          </w:p>
        </w:tc>
        <w:tc>
          <w:tcPr>
            <w:tcW w:w="1497" w:type="dxa"/>
          </w:tcPr>
          <w:p w:rsidR="004B662C" w:rsidRDefault="006B0AF5" w:rsidP="006B0AF5">
            <w:pPr>
              <w:jc w:val="center"/>
            </w:pPr>
            <w:r>
              <w:t>-</w:t>
            </w:r>
          </w:p>
        </w:tc>
      </w:tr>
      <w:tr w:rsidR="004B662C" w:rsidTr="006E6060">
        <w:tc>
          <w:tcPr>
            <w:tcW w:w="2992" w:type="dxa"/>
          </w:tcPr>
          <w:p w:rsidR="004B662C" w:rsidRPr="004B662C" w:rsidRDefault="004B662C" w:rsidP="00C83BE8">
            <w:pPr>
              <w:jc w:val="both"/>
              <w:rPr>
                <w:rFonts w:ascii="Calibri" w:eastAsia="Times New Roman" w:hAnsi="Calibri" w:cs="Times New Roman"/>
                <w:color w:val="000000"/>
                <w:lang w:eastAsia="es-MX"/>
              </w:rPr>
            </w:pPr>
            <w:r w:rsidRPr="004B662C">
              <w:rPr>
                <w:rFonts w:ascii="Calibri" w:eastAsia="Times New Roman" w:hAnsi="Calibri" w:cs="Times New Roman"/>
                <w:color w:val="000000"/>
                <w:lang w:eastAsia="es-MX"/>
              </w:rPr>
              <w:t xml:space="preserve">Granja </w:t>
            </w:r>
            <w:proofErr w:type="spellStart"/>
            <w:r w:rsidRPr="004B662C">
              <w:rPr>
                <w:rFonts w:ascii="Calibri" w:eastAsia="Times New Roman" w:hAnsi="Calibri" w:cs="Times New Roman"/>
                <w:color w:val="000000"/>
                <w:lang w:eastAsia="es-MX"/>
              </w:rPr>
              <w:t>Ko'e</w:t>
            </w:r>
            <w:proofErr w:type="spellEnd"/>
            <w:r w:rsidRPr="004B662C">
              <w:rPr>
                <w:rFonts w:ascii="Calibri" w:eastAsia="Times New Roman" w:hAnsi="Calibri" w:cs="Times New Roman"/>
                <w:color w:val="000000"/>
                <w:lang w:eastAsia="es-MX"/>
              </w:rPr>
              <w:t xml:space="preserve"> </w:t>
            </w:r>
            <w:proofErr w:type="spellStart"/>
            <w:r w:rsidRPr="004B662C">
              <w:rPr>
                <w:rFonts w:ascii="Calibri" w:eastAsia="Times New Roman" w:hAnsi="Calibri" w:cs="Times New Roman"/>
                <w:color w:val="000000"/>
                <w:lang w:eastAsia="es-MX"/>
              </w:rPr>
              <w:t>Pyahu</w:t>
            </w:r>
            <w:proofErr w:type="spellEnd"/>
          </w:p>
        </w:tc>
        <w:tc>
          <w:tcPr>
            <w:tcW w:w="1496" w:type="dxa"/>
          </w:tcPr>
          <w:p w:rsidR="004B662C" w:rsidRDefault="004B662C" w:rsidP="006B0AF5">
            <w:pPr>
              <w:jc w:val="center"/>
            </w:pPr>
            <w:r w:rsidRPr="00D20C94">
              <w:t>0</w:t>
            </w:r>
          </w:p>
        </w:tc>
        <w:tc>
          <w:tcPr>
            <w:tcW w:w="1497" w:type="dxa"/>
          </w:tcPr>
          <w:p w:rsidR="004B662C" w:rsidRDefault="004B662C" w:rsidP="006B0AF5">
            <w:pPr>
              <w:jc w:val="center"/>
            </w:pPr>
            <w:r w:rsidRPr="00D20C94">
              <w:t>0</w:t>
            </w:r>
          </w:p>
        </w:tc>
        <w:tc>
          <w:tcPr>
            <w:tcW w:w="1496" w:type="dxa"/>
          </w:tcPr>
          <w:p w:rsidR="004B662C" w:rsidRDefault="006B0AF5" w:rsidP="006B0AF5">
            <w:pPr>
              <w:jc w:val="center"/>
            </w:pPr>
            <w:r>
              <w:t>-</w:t>
            </w:r>
          </w:p>
        </w:tc>
        <w:tc>
          <w:tcPr>
            <w:tcW w:w="1497" w:type="dxa"/>
          </w:tcPr>
          <w:p w:rsidR="004B662C" w:rsidRDefault="006B0AF5" w:rsidP="006B0AF5">
            <w:pPr>
              <w:jc w:val="center"/>
            </w:pPr>
            <w:r>
              <w:t>-</w:t>
            </w:r>
          </w:p>
        </w:tc>
      </w:tr>
      <w:tr w:rsidR="006B0AF5" w:rsidTr="006E6060">
        <w:tc>
          <w:tcPr>
            <w:tcW w:w="2992" w:type="dxa"/>
          </w:tcPr>
          <w:p w:rsidR="006B0AF5" w:rsidRPr="004B662C" w:rsidRDefault="006B0AF5" w:rsidP="00C83BE8">
            <w:pPr>
              <w:jc w:val="both"/>
              <w:rPr>
                <w:rFonts w:ascii="Calibri" w:eastAsia="Times New Roman" w:hAnsi="Calibri" w:cs="Times New Roman"/>
                <w:color w:val="000000"/>
                <w:lang w:eastAsia="es-MX"/>
              </w:rPr>
            </w:pPr>
            <w:r w:rsidRPr="004B662C">
              <w:rPr>
                <w:rFonts w:ascii="Calibri" w:eastAsia="Times New Roman" w:hAnsi="Calibri" w:cs="Times New Roman"/>
                <w:color w:val="000000"/>
                <w:lang w:eastAsia="es-MX"/>
              </w:rPr>
              <w:t xml:space="preserve">CE </w:t>
            </w:r>
            <w:proofErr w:type="spellStart"/>
            <w:r w:rsidRPr="004B662C">
              <w:rPr>
                <w:rFonts w:ascii="Calibri" w:eastAsia="Times New Roman" w:hAnsi="Calibri" w:cs="Times New Roman"/>
                <w:color w:val="000000"/>
                <w:lang w:eastAsia="es-MX"/>
              </w:rPr>
              <w:t>Itauguá</w:t>
            </w:r>
            <w:proofErr w:type="spellEnd"/>
          </w:p>
        </w:tc>
        <w:tc>
          <w:tcPr>
            <w:tcW w:w="1496" w:type="dxa"/>
          </w:tcPr>
          <w:p w:rsidR="006B0AF5" w:rsidRDefault="006B0AF5" w:rsidP="006B0AF5">
            <w:pPr>
              <w:jc w:val="center"/>
            </w:pPr>
            <w:r w:rsidRPr="009A39BC">
              <w:t>-</w:t>
            </w:r>
          </w:p>
        </w:tc>
        <w:tc>
          <w:tcPr>
            <w:tcW w:w="1497" w:type="dxa"/>
          </w:tcPr>
          <w:p w:rsidR="006B0AF5" w:rsidRDefault="006B0AF5" w:rsidP="006B0AF5">
            <w:pPr>
              <w:jc w:val="center"/>
            </w:pPr>
            <w:r w:rsidRPr="009A39BC">
              <w:t>-</w:t>
            </w:r>
          </w:p>
        </w:tc>
        <w:tc>
          <w:tcPr>
            <w:tcW w:w="1496" w:type="dxa"/>
          </w:tcPr>
          <w:p w:rsidR="006B0AF5" w:rsidRDefault="006B0AF5" w:rsidP="006B0AF5">
            <w:pPr>
              <w:jc w:val="center"/>
            </w:pPr>
            <w:r>
              <w:t>5</w:t>
            </w:r>
          </w:p>
        </w:tc>
        <w:tc>
          <w:tcPr>
            <w:tcW w:w="1497" w:type="dxa"/>
          </w:tcPr>
          <w:p w:rsidR="006B0AF5" w:rsidRDefault="00B9780C" w:rsidP="006B0AF5">
            <w:pPr>
              <w:jc w:val="center"/>
            </w:pPr>
            <w:r>
              <w:t>-</w:t>
            </w:r>
          </w:p>
        </w:tc>
      </w:tr>
      <w:tr w:rsidR="006B0AF5" w:rsidTr="006E6060">
        <w:tc>
          <w:tcPr>
            <w:tcW w:w="2992" w:type="dxa"/>
          </w:tcPr>
          <w:p w:rsidR="006B0AF5" w:rsidRPr="004B662C" w:rsidRDefault="006B0AF5" w:rsidP="00C83BE8">
            <w:pPr>
              <w:jc w:val="both"/>
              <w:rPr>
                <w:rFonts w:ascii="Calibri" w:eastAsia="Times New Roman" w:hAnsi="Calibri" w:cs="Times New Roman"/>
                <w:color w:val="000000"/>
                <w:lang w:eastAsia="es-MX"/>
              </w:rPr>
            </w:pPr>
            <w:r w:rsidRPr="004B662C">
              <w:rPr>
                <w:rFonts w:ascii="Calibri" w:eastAsia="Times New Roman" w:hAnsi="Calibri" w:cs="Times New Roman"/>
                <w:color w:val="000000"/>
                <w:lang w:eastAsia="es-MX"/>
              </w:rPr>
              <w:t>CE La Esperanza</w:t>
            </w:r>
          </w:p>
        </w:tc>
        <w:tc>
          <w:tcPr>
            <w:tcW w:w="1496" w:type="dxa"/>
          </w:tcPr>
          <w:p w:rsidR="006B0AF5" w:rsidRDefault="006B0AF5" w:rsidP="006B0AF5">
            <w:pPr>
              <w:jc w:val="center"/>
            </w:pPr>
            <w:r w:rsidRPr="009A39BC">
              <w:t>-</w:t>
            </w:r>
          </w:p>
        </w:tc>
        <w:tc>
          <w:tcPr>
            <w:tcW w:w="1497" w:type="dxa"/>
          </w:tcPr>
          <w:p w:rsidR="006B0AF5" w:rsidRDefault="006B0AF5" w:rsidP="006B0AF5">
            <w:pPr>
              <w:jc w:val="center"/>
            </w:pPr>
            <w:r w:rsidRPr="009A39BC">
              <w:t>-</w:t>
            </w:r>
          </w:p>
        </w:tc>
        <w:tc>
          <w:tcPr>
            <w:tcW w:w="1496" w:type="dxa"/>
          </w:tcPr>
          <w:p w:rsidR="006B0AF5" w:rsidRDefault="006B0AF5" w:rsidP="006B0AF5">
            <w:pPr>
              <w:jc w:val="center"/>
            </w:pPr>
            <w:r w:rsidRPr="00D20C94">
              <w:t>0</w:t>
            </w:r>
          </w:p>
        </w:tc>
        <w:tc>
          <w:tcPr>
            <w:tcW w:w="1497" w:type="dxa"/>
          </w:tcPr>
          <w:p w:rsidR="006B0AF5" w:rsidRDefault="00B9780C" w:rsidP="006B0AF5">
            <w:pPr>
              <w:jc w:val="center"/>
            </w:pPr>
            <w:r>
              <w:t>-</w:t>
            </w:r>
          </w:p>
        </w:tc>
      </w:tr>
      <w:tr w:rsidR="006B0AF5" w:rsidTr="006E6060">
        <w:tc>
          <w:tcPr>
            <w:tcW w:w="2992" w:type="dxa"/>
          </w:tcPr>
          <w:p w:rsidR="006B0AF5" w:rsidRPr="004B662C" w:rsidRDefault="006B0AF5" w:rsidP="00C83BE8">
            <w:pPr>
              <w:jc w:val="both"/>
              <w:rPr>
                <w:rFonts w:ascii="Calibri" w:eastAsia="Times New Roman" w:hAnsi="Calibri" w:cs="Times New Roman"/>
                <w:color w:val="000000"/>
                <w:lang w:eastAsia="es-MX"/>
              </w:rPr>
            </w:pPr>
            <w:r w:rsidRPr="004B662C">
              <w:rPr>
                <w:rFonts w:ascii="Calibri" w:eastAsia="Times New Roman" w:hAnsi="Calibri" w:cs="Times New Roman"/>
                <w:color w:val="000000"/>
                <w:lang w:eastAsia="es-MX"/>
              </w:rPr>
              <w:t>CE Virgen de Fátima</w:t>
            </w:r>
          </w:p>
        </w:tc>
        <w:tc>
          <w:tcPr>
            <w:tcW w:w="1496" w:type="dxa"/>
          </w:tcPr>
          <w:p w:rsidR="006B0AF5" w:rsidRDefault="006B0AF5" w:rsidP="006B0AF5">
            <w:pPr>
              <w:jc w:val="center"/>
            </w:pPr>
            <w:r w:rsidRPr="009A39BC">
              <w:t>-</w:t>
            </w:r>
          </w:p>
        </w:tc>
        <w:tc>
          <w:tcPr>
            <w:tcW w:w="1497" w:type="dxa"/>
          </w:tcPr>
          <w:p w:rsidR="006B0AF5" w:rsidRDefault="006B0AF5" w:rsidP="006B0AF5">
            <w:pPr>
              <w:jc w:val="center"/>
            </w:pPr>
            <w:r w:rsidRPr="009A39BC">
              <w:t>-</w:t>
            </w:r>
          </w:p>
        </w:tc>
        <w:tc>
          <w:tcPr>
            <w:tcW w:w="1496" w:type="dxa"/>
          </w:tcPr>
          <w:p w:rsidR="006B0AF5" w:rsidRDefault="00B9780C" w:rsidP="006B0AF5">
            <w:pPr>
              <w:jc w:val="center"/>
            </w:pPr>
            <w:r>
              <w:t>-</w:t>
            </w:r>
          </w:p>
        </w:tc>
        <w:tc>
          <w:tcPr>
            <w:tcW w:w="1497" w:type="dxa"/>
          </w:tcPr>
          <w:p w:rsidR="006B0AF5" w:rsidRDefault="006B0AF5" w:rsidP="006B0AF5">
            <w:pPr>
              <w:jc w:val="center"/>
            </w:pPr>
            <w:r w:rsidRPr="00D20C94">
              <w:t>0</w:t>
            </w:r>
          </w:p>
        </w:tc>
      </w:tr>
      <w:tr w:rsidR="006B0AF5" w:rsidTr="006E6060">
        <w:tc>
          <w:tcPr>
            <w:tcW w:w="2992" w:type="dxa"/>
          </w:tcPr>
          <w:p w:rsidR="006B0AF5" w:rsidRPr="004B662C" w:rsidRDefault="006B0AF5" w:rsidP="00C83BE8">
            <w:pPr>
              <w:jc w:val="both"/>
              <w:rPr>
                <w:rFonts w:ascii="Calibri" w:eastAsia="Times New Roman" w:hAnsi="Calibri" w:cs="Times New Roman"/>
                <w:color w:val="000000"/>
                <w:lang w:eastAsia="es-MX"/>
              </w:rPr>
            </w:pPr>
            <w:r w:rsidRPr="004B662C">
              <w:rPr>
                <w:rFonts w:ascii="Calibri" w:eastAsia="Times New Roman" w:hAnsi="Calibri" w:cs="Times New Roman"/>
                <w:color w:val="000000"/>
                <w:lang w:eastAsia="es-MX"/>
              </w:rPr>
              <w:t xml:space="preserve">CE </w:t>
            </w:r>
            <w:r>
              <w:rPr>
                <w:rFonts w:ascii="Calibri" w:eastAsia="Times New Roman" w:hAnsi="Calibri" w:cs="Times New Roman"/>
                <w:color w:val="000000"/>
                <w:lang w:eastAsia="es-MX"/>
              </w:rPr>
              <w:t xml:space="preserve">“Sembrador” de </w:t>
            </w:r>
            <w:r w:rsidRPr="004B662C">
              <w:rPr>
                <w:rFonts w:ascii="Calibri" w:eastAsia="Times New Roman" w:hAnsi="Calibri" w:cs="Times New Roman"/>
                <w:color w:val="000000"/>
                <w:lang w:eastAsia="es-MX"/>
              </w:rPr>
              <w:t>Villarrica</w:t>
            </w:r>
          </w:p>
        </w:tc>
        <w:tc>
          <w:tcPr>
            <w:tcW w:w="1496" w:type="dxa"/>
          </w:tcPr>
          <w:p w:rsidR="006B0AF5" w:rsidRDefault="006B0AF5" w:rsidP="006B0AF5">
            <w:pPr>
              <w:jc w:val="center"/>
            </w:pPr>
            <w:r w:rsidRPr="009A39BC">
              <w:t>-</w:t>
            </w:r>
          </w:p>
        </w:tc>
        <w:tc>
          <w:tcPr>
            <w:tcW w:w="1497" w:type="dxa"/>
          </w:tcPr>
          <w:p w:rsidR="006B0AF5" w:rsidRDefault="006B0AF5" w:rsidP="006B0AF5">
            <w:pPr>
              <w:jc w:val="center"/>
            </w:pPr>
            <w:r w:rsidRPr="009A39BC">
              <w:t>-</w:t>
            </w:r>
          </w:p>
        </w:tc>
        <w:tc>
          <w:tcPr>
            <w:tcW w:w="1496" w:type="dxa"/>
          </w:tcPr>
          <w:p w:rsidR="006B0AF5" w:rsidRDefault="006B0AF5" w:rsidP="006B0AF5">
            <w:pPr>
              <w:jc w:val="center"/>
            </w:pPr>
            <w:r w:rsidRPr="00D20C94">
              <w:t>0</w:t>
            </w:r>
          </w:p>
        </w:tc>
        <w:tc>
          <w:tcPr>
            <w:tcW w:w="1497" w:type="dxa"/>
          </w:tcPr>
          <w:p w:rsidR="006B0AF5" w:rsidRDefault="00B9780C" w:rsidP="006B0AF5">
            <w:pPr>
              <w:jc w:val="center"/>
            </w:pPr>
            <w:r>
              <w:t>-</w:t>
            </w:r>
          </w:p>
        </w:tc>
      </w:tr>
      <w:tr w:rsidR="006B0AF5" w:rsidTr="006E6060">
        <w:tc>
          <w:tcPr>
            <w:tcW w:w="2992" w:type="dxa"/>
          </w:tcPr>
          <w:p w:rsidR="006B0AF5" w:rsidRPr="004B662C" w:rsidRDefault="006B0AF5" w:rsidP="004B662C">
            <w:pPr>
              <w:jc w:val="both"/>
              <w:rPr>
                <w:rFonts w:ascii="Calibri" w:eastAsia="Times New Roman" w:hAnsi="Calibri" w:cs="Times New Roman"/>
                <w:color w:val="000000"/>
                <w:lang w:eastAsia="es-MX"/>
              </w:rPr>
            </w:pPr>
            <w:r w:rsidRPr="004B662C">
              <w:rPr>
                <w:rFonts w:ascii="Calibri" w:eastAsia="Times New Roman" w:hAnsi="Calibri" w:cs="Times New Roman"/>
                <w:color w:val="000000"/>
                <w:lang w:eastAsia="es-MX"/>
              </w:rPr>
              <w:t xml:space="preserve">CE </w:t>
            </w:r>
            <w:r>
              <w:rPr>
                <w:rFonts w:ascii="Calibri" w:eastAsia="Times New Roman" w:hAnsi="Calibri" w:cs="Times New Roman"/>
                <w:color w:val="000000"/>
                <w:lang w:eastAsia="es-MX"/>
              </w:rPr>
              <w:t xml:space="preserve">de </w:t>
            </w:r>
            <w:proofErr w:type="spellStart"/>
            <w:r>
              <w:rPr>
                <w:rFonts w:ascii="Calibri" w:eastAsia="Times New Roman" w:hAnsi="Calibri" w:cs="Times New Roman"/>
                <w:color w:val="000000"/>
                <w:lang w:eastAsia="es-MX"/>
              </w:rPr>
              <w:t>Kambyreta</w:t>
            </w:r>
            <w:proofErr w:type="spellEnd"/>
          </w:p>
        </w:tc>
        <w:tc>
          <w:tcPr>
            <w:tcW w:w="1496" w:type="dxa"/>
          </w:tcPr>
          <w:p w:rsidR="006B0AF5" w:rsidRDefault="006B0AF5" w:rsidP="006B0AF5">
            <w:pPr>
              <w:jc w:val="center"/>
            </w:pPr>
            <w:r w:rsidRPr="009A39BC">
              <w:t>-</w:t>
            </w:r>
          </w:p>
        </w:tc>
        <w:tc>
          <w:tcPr>
            <w:tcW w:w="1497" w:type="dxa"/>
          </w:tcPr>
          <w:p w:rsidR="006B0AF5" w:rsidRDefault="006B0AF5" w:rsidP="006B0AF5">
            <w:pPr>
              <w:jc w:val="center"/>
            </w:pPr>
            <w:r w:rsidRPr="009A39BC">
              <w:t>-</w:t>
            </w:r>
          </w:p>
        </w:tc>
        <w:tc>
          <w:tcPr>
            <w:tcW w:w="1496" w:type="dxa"/>
          </w:tcPr>
          <w:p w:rsidR="006B0AF5" w:rsidRDefault="006B0AF5" w:rsidP="006B0AF5">
            <w:pPr>
              <w:jc w:val="center"/>
            </w:pPr>
            <w:r w:rsidRPr="00D20C94">
              <w:t>0</w:t>
            </w:r>
          </w:p>
        </w:tc>
        <w:tc>
          <w:tcPr>
            <w:tcW w:w="1497" w:type="dxa"/>
          </w:tcPr>
          <w:p w:rsidR="006B0AF5" w:rsidRDefault="00B9780C" w:rsidP="006B0AF5">
            <w:pPr>
              <w:jc w:val="center"/>
            </w:pPr>
            <w:r>
              <w:t>-</w:t>
            </w:r>
          </w:p>
        </w:tc>
      </w:tr>
      <w:tr w:rsidR="006B0AF5" w:rsidTr="006E6060">
        <w:tc>
          <w:tcPr>
            <w:tcW w:w="2992" w:type="dxa"/>
          </w:tcPr>
          <w:p w:rsidR="006B0AF5" w:rsidRPr="004B662C" w:rsidRDefault="006B0AF5" w:rsidP="004B662C">
            <w:pPr>
              <w:jc w:val="both"/>
              <w:rPr>
                <w:rFonts w:ascii="Calibri" w:eastAsia="Times New Roman" w:hAnsi="Calibri" w:cs="Times New Roman"/>
                <w:color w:val="000000"/>
                <w:lang w:eastAsia="es-MX"/>
              </w:rPr>
            </w:pPr>
            <w:r w:rsidRPr="004B662C">
              <w:rPr>
                <w:rFonts w:ascii="Calibri" w:eastAsia="Times New Roman" w:hAnsi="Calibri" w:cs="Times New Roman"/>
                <w:color w:val="000000"/>
                <w:lang w:eastAsia="es-MX"/>
              </w:rPr>
              <w:t>CE Ciudad del Este</w:t>
            </w:r>
          </w:p>
        </w:tc>
        <w:tc>
          <w:tcPr>
            <w:tcW w:w="1496" w:type="dxa"/>
          </w:tcPr>
          <w:p w:rsidR="006B0AF5" w:rsidRDefault="006B0AF5" w:rsidP="006B0AF5">
            <w:pPr>
              <w:jc w:val="center"/>
            </w:pPr>
            <w:r w:rsidRPr="009A39BC">
              <w:t>-</w:t>
            </w:r>
          </w:p>
        </w:tc>
        <w:tc>
          <w:tcPr>
            <w:tcW w:w="1497" w:type="dxa"/>
          </w:tcPr>
          <w:p w:rsidR="006B0AF5" w:rsidRDefault="006B0AF5" w:rsidP="006B0AF5">
            <w:pPr>
              <w:jc w:val="center"/>
            </w:pPr>
            <w:r w:rsidRPr="009A39BC">
              <w:t>-</w:t>
            </w:r>
          </w:p>
        </w:tc>
        <w:tc>
          <w:tcPr>
            <w:tcW w:w="1496" w:type="dxa"/>
          </w:tcPr>
          <w:p w:rsidR="006B0AF5" w:rsidRDefault="006B0AF5" w:rsidP="006B0AF5">
            <w:pPr>
              <w:jc w:val="center"/>
            </w:pPr>
            <w:r w:rsidRPr="00D20C94">
              <w:t>0</w:t>
            </w:r>
          </w:p>
        </w:tc>
        <w:tc>
          <w:tcPr>
            <w:tcW w:w="1497" w:type="dxa"/>
          </w:tcPr>
          <w:p w:rsidR="006B0AF5" w:rsidRDefault="00B9780C" w:rsidP="006B0AF5">
            <w:pPr>
              <w:jc w:val="center"/>
            </w:pPr>
            <w:r>
              <w:t>-</w:t>
            </w:r>
          </w:p>
        </w:tc>
      </w:tr>
      <w:tr w:rsidR="006B0AF5" w:rsidTr="006E6060">
        <w:tc>
          <w:tcPr>
            <w:tcW w:w="2992" w:type="dxa"/>
          </w:tcPr>
          <w:p w:rsidR="006B0AF5" w:rsidRPr="004B662C" w:rsidRDefault="006B0AF5" w:rsidP="004B662C">
            <w:pPr>
              <w:jc w:val="both"/>
              <w:rPr>
                <w:rFonts w:ascii="Calibri" w:eastAsia="Times New Roman" w:hAnsi="Calibri" w:cs="Times New Roman"/>
                <w:color w:val="000000"/>
                <w:lang w:eastAsia="es-MX"/>
              </w:rPr>
            </w:pPr>
            <w:r w:rsidRPr="004B662C">
              <w:rPr>
                <w:rFonts w:ascii="Calibri" w:eastAsia="Times New Roman" w:hAnsi="Calibri" w:cs="Times New Roman"/>
                <w:color w:val="000000"/>
                <w:lang w:eastAsia="es-MX"/>
              </w:rPr>
              <w:t>CE Concepción</w:t>
            </w:r>
          </w:p>
        </w:tc>
        <w:tc>
          <w:tcPr>
            <w:tcW w:w="1496" w:type="dxa"/>
          </w:tcPr>
          <w:p w:rsidR="006B0AF5" w:rsidRDefault="006B0AF5" w:rsidP="006B0AF5">
            <w:pPr>
              <w:jc w:val="center"/>
            </w:pPr>
            <w:r w:rsidRPr="009A39BC">
              <w:t>-</w:t>
            </w:r>
          </w:p>
        </w:tc>
        <w:tc>
          <w:tcPr>
            <w:tcW w:w="1497" w:type="dxa"/>
          </w:tcPr>
          <w:p w:rsidR="006B0AF5" w:rsidRDefault="006B0AF5" w:rsidP="006B0AF5">
            <w:pPr>
              <w:jc w:val="center"/>
            </w:pPr>
            <w:r w:rsidRPr="009A39BC">
              <w:t>-</w:t>
            </w:r>
          </w:p>
        </w:tc>
        <w:tc>
          <w:tcPr>
            <w:tcW w:w="1496" w:type="dxa"/>
          </w:tcPr>
          <w:p w:rsidR="006B0AF5" w:rsidRDefault="006B0AF5" w:rsidP="006B0AF5">
            <w:pPr>
              <w:jc w:val="center"/>
            </w:pPr>
            <w:r w:rsidRPr="00D20C94">
              <w:t>0</w:t>
            </w:r>
          </w:p>
        </w:tc>
        <w:tc>
          <w:tcPr>
            <w:tcW w:w="1497" w:type="dxa"/>
          </w:tcPr>
          <w:p w:rsidR="006B0AF5" w:rsidRDefault="00B9780C" w:rsidP="006B0AF5">
            <w:pPr>
              <w:jc w:val="center"/>
            </w:pPr>
            <w:r>
              <w:t>-</w:t>
            </w:r>
          </w:p>
        </w:tc>
      </w:tr>
      <w:tr w:rsidR="006B0AF5" w:rsidTr="006E6060">
        <w:tc>
          <w:tcPr>
            <w:tcW w:w="2992" w:type="dxa"/>
          </w:tcPr>
          <w:p w:rsidR="006B0AF5" w:rsidRPr="004B662C" w:rsidRDefault="006B0AF5" w:rsidP="004B662C">
            <w:pPr>
              <w:jc w:val="both"/>
              <w:rPr>
                <w:rFonts w:ascii="Calibri" w:eastAsia="Times New Roman" w:hAnsi="Calibri" w:cs="Times New Roman"/>
                <w:color w:val="000000"/>
                <w:lang w:eastAsia="es-MX"/>
              </w:rPr>
            </w:pPr>
            <w:r w:rsidRPr="004B662C">
              <w:rPr>
                <w:rFonts w:ascii="Calibri" w:eastAsia="Times New Roman" w:hAnsi="Calibri" w:cs="Times New Roman"/>
                <w:color w:val="000000"/>
                <w:lang w:eastAsia="es-MX"/>
              </w:rPr>
              <w:t>CE Pedro Juan Caballero</w:t>
            </w:r>
          </w:p>
        </w:tc>
        <w:tc>
          <w:tcPr>
            <w:tcW w:w="1496" w:type="dxa"/>
          </w:tcPr>
          <w:p w:rsidR="006B0AF5" w:rsidRDefault="006B0AF5" w:rsidP="006B0AF5">
            <w:pPr>
              <w:jc w:val="center"/>
            </w:pPr>
            <w:r w:rsidRPr="009A39BC">
              <w:t>-</w:t>
            </w:r>
          </w:p>
        </w:tc>
        <w:tc>
          <w:tcPr>
            <w:tcW w:w="1497" w:type="dxa"/>
          </w:tcPr>
          <w:p w:rsidR="006B0AF5" w:rsidRDefault="006B0AF5" w:rsidP="006B0AF5">
            <w:pPr>
              <w:jc w:val="center"/>
            </w:pPr>
            <w:r w:rsidRPr="009A39BC">
              <w:t>-</w:t>
            </w:r>
          </w:p>
        </w:tc>
        <w:tc>
          <w:tcPr>
            <w:tcW w:w="1496" w:type="dxa"/>
          </w:tcPr>
          <w:p w:rsidR="006B0AF5" w:rsidRDefault="006B0AF5" w:rsidP="006B0AF5">
            <w:pPr>
              <w:jc w:val="center"/>
            </w:pPr>
            <w:r w:rsidRPr="00D20C94">
              <w:t>0</w:t>
            </w:r>
          </w:p>
        </w:tc>
        <w:tc>
          <w:tcPr>
            <w:tcW w:w="1497" w:type="dxa"/>
          </w:tcPr>
          <w:p w:rsidR="006B0AF5" w:rsidRDefault="00B9780C" w:rsidP="006B0AF5">
            <w:pPr>
              <w:jc w:val="center"/>
            </w:pPr>
            <w:r>
              <w:t>-</w:t>
            </w:r>
          </w:p>
        </w:tc>
      </w:tr>
    </w:tbl>
    <w:p w:rsidR="004B662C" w:rsidRDefault="001A1E09" w:rsidP="00C83BE8">
      <w:pPr>
        <w:spacing w:after="0" w:line="240" w:lineRule="auto"/>
        <w:jc w:val="both"/>
      </w:pPr>
      <w:r>
        <w:t>Fuente: MNP Paraguay.</w:t>
      </w:r>
    </w:p>
    <w:p w:rsidR="001A1E09" w:rsidRDefault="001A1E09" w:rsidP="00C83BE8">
      <w:pPr>
        <w:spacing w:after="0" w:line="240" w:lineRule="auto"/>
        <w:jc w:val="both"/>
      </w:pPr>
    </w:p>
    <w:p w:rsidR="001A1E09" w:rsidRDefault="001A1E09" w:rsidP="00C83BE8">
      <w:pPr>
        <w:spacing w:after="0" w:line="240" w:lineRule="auto"/>
        <w:jc w:val="both"/>
      </w:pPr>
      <w:r>
        <w:t>Respecto de las causas de muerte, conforme al Clasificador Internacional de Enfermedades, décima versión (CIE-10), en 46 casos (27,7%) se tiene un diagnóstico inclasificable y tres casos</w:t>
      </w:r>
      <w:r w:rsidR="00176746">
        <w:t xml:space="preserve"> sin datos.</w:t>
      </w:r>
      <w:r>
        <w:t xml:space="preserve"> </w:t>
      </w:r>
      <w:r w:rsidR="00176746">
        <w:t xml:space="preserve">Respecto de aquellos casos con diagnóstico definido, en 41 casos (24,7% del total), se origina de agresión de terceros, que incluye la agresión de otros internos o la violencia </w:t>
      </w:r>
      <w:proofErr w:type="spellStart"/>
      <w:r w:rsidR="00176746">
        <w:t>intracarcelaria</w:t>
      </w:r>
      <w:proofErr w:type="spellEnd"/>
      <w:r w:rsidR="00176746">
        <w:t xml:space="preserve">, así como el uso de armas de fuego por parte de agentes penitenciarios para debelar protestas de internos. Siguen las causas vinculadas a enfermedades cardiovasculares (10,8% de casos), infecciosas (9,6%), causas externas (9%), </w:t>
      </w:r>
      <w:proofErr w:type="spellStart"/>
      <w:r w:rsidR="00176746">
        <w:t>autoinfligidas</w:t>
      </w:r>
      <w:proofErr w:type="spellEnd"/>
      <w:r w:rsidR="00176746">
        <w:t xml:space="preserve"> (7,2%), otras causas (6%) y cáncer (3%). </w:t>
      </w:r>
    </w:p>
    <w:p w:rsidR="001A1E09" w:rsidRDefault="001A1E09" w:rsidP="00C83BE8">
      <w:pPr>
        <w:spacing w:after="0" w:line="240" w:lineRule="auto"/>
        <w:jc w:val="both"/>
      </w:pPr>
    </w:p>
    <w:p w:rsidR="0007775C" w:rsidRPr="0092538E" w:rsidRDefault="0007775C" w:rsidP="0007775C">
      <w:pPr>
        <w:spacing w:after="0" w:line="240" w:lineRule="auto"/>
        <w:jc w:val="both"/>
        <w:rPr>
          <w:b/>
        </w:rPr>
      </w:pPr>
      <w:r w:rsidRPr="0092538E">
        <w:rPr>
          <w:b/>
        </w:rPr>
        <w:t>CUADRO</w:t>
      </w:r>
    </w:p>
    <w:p w:rsidR="0007775C" w:rsidRDefault="0007775C" w:rsidP="0007775C">
      <w:pPr>
        <w:spacing w:after="0" w:line="240" w:lineRule="auto"/>
        <w:jc w:val="both"/>
        <w:rPr>
          <w:b/>
        </w:rPr>
      </w:pPr>
      <w:r w:rsidRPr="0092538E">
        <w:rPr>
          <w:b/>
        </w:rPr>
        <w:t>Personas privadas de libertad en establecimientos penitenciarios</w:t>
      </w:r>
      <w:r>
        <w:rPr>
          <w:b/>
        </w:rPr>
        <w:t xml:space="preserve"> muertas bajo custodia</w:t>
      </w:r>
    </w:p>
    <w:p w:rsidR="0007775C" w:rsidRPr="0092538E" w:rsidRDefault="0007775C" w:rsidP="0007775C">
      <w:pPr>
        <w:spacing w:after="0" w:line="240" w:lineRule="auto"/>
        <w:jc w:val="both"/>
        <w:rPr>
          <w:b/>
        </w:rPr>
      </w:pPr>
      <w:r w:rsidRPr="0092538E">
        <w:rPr>
          <w:b/>
        </w:rPr>
        <w:t xml:space="preserve">Años 2013 </w:t>
      </w:r>
      <w:r>
        <w:rPr>
          <w:b/>
        </w:rPr>
        <w:t>–</w:t>
      </w:r>
      <w:r w:rsidRPr="0092538E">
        <w:rPr>
          <w:b/>
        </w:rPr>
        <w:t xml:space="preserve"> 2016</w:t>
      </w:r>
      <w:r>
        <w:rPr>
          <w:b/>
        </w:rPr>
        <w:t xml:space="preserve"> (Por causa de muerte)</w:t>
      </w:r>
    </w:p>
    <w:tbl>
      <w:tblPr>
        <w:tblStyle w:val="TableGrid"/>
        <w:tblW w:w="0" w:type="auto"/>
        <w:tblLook w:val="04A0" w:firstRow="1" w:lastRow="0" w:firstColumn="1" w:lastColumn="0" w:noHBand="0" w:noVBand="1"/>
      </w:tblPr>
      <w:tblGrid>
        <w:gridCol w:w="2992"/>
        <w:gridCol w:w="2993"/>
        <w:gridCol w:w="2993"/>
      </w:tblGrid>
      <w:tr w:rsidR="0007775C" w:rsidTr="0007775C">
        <w:tc>
          <w:tcPr>
            <w:tcW w:w="2992" w:type="dxa"/>
          </w:tcPr>
          <w:p w:rsidR="0007775C" w:rsidRPr="0007775C" w:rsidRDefault="0007775C" w:rsidP="007F2DD2">
            <w:pPr>
              <w:rPr>
                <w:b/>
              </w:rPr>
            </w:pPr>
            <w:r w:rsidRPr="0007775C">
              <w:rPr>
                <w:b/>
              </w:rPr>
              <w:t>Causa de muerte</w:t>
            </w:r>
          </w:p>
        </w:tc>
        <w:tc>
          <w:tcPr>
            <w:tcW w:w="2993" w:type="dxa"/>
          </w:tcPr>
          <w:p w:rsidR="0007775C" w:rsidRPr="0007775C" w:rsidRDefault="0007775C" w:rsidP="0007775C">
            <w:pPr>
              <w:jc w:val="center"/>
              <w:rPr>
                <w:b/>
              </w:rPr>
            </w:pPr>
            <w:r w:rsidRPr="0007775C">
              <w:rPr>
                <w:b/>
              </w:rPr>
              <w:t>N</w:t>
            </w:r>
          </w:p>
        </w:tc>
        <w:tc>
          <w:tcPr>
            <w:tcW w:w="2993" w:type="dxa"/>
          </w:tcPr>
          <w:p w:rsidR="0007775C" w:rsidRPr="0007775C" w:rsidRDefault="0007775C" w:rsidP="0007775C">
            <w:pPr>
              <w:jc w:val="center"/>
              <w:rPr>
                <w:b/>
              </w:rPr>
            </w:pPr>
            <w:r w:rsidRPr="0007775C">
              <w:rPr>
                <w:b/>
              </w:rPr>
              <w:t>%</w:t>
            </w:r>
          </w:p>
        </w:tc>
      </w:tr>
      <w:tr w:rsidR="001A1E09" w:rsidTr="00F742B1">
        <w:tc>
          <w:tcPr>
            <w:tcW w:w="2992" w:type="dxa"/>
          </w:tcPr>
          <w:p w:rsidR="001A1E09" w:rsidRPr="0007775C" w:rsidRDefault="001A1E09" w:rsidP="00C83BE8">
            <w:pPr>
              <w:jc w:val="both"/>
              <w:rPr>
                <w:b/>
              </w:rPr>
            </w:pPr>
            <w:r w:rsidRPr="0007775C">
              <w:rPr>
                <w:b/>
              </w:rPr>
              <w:t xml:space="preserve">Inclasificables </w:t>
            </w:r>
          </w:p>
        </w:tc>
        <w:tc>
          <w:tcPr>
            <w:tcW w:w="2993" w:type="dxa"/>
          </w:tcPr>
          <w:p w:rsidR="001A1E09" w:rsidRPr="0007775C" w:rsidRDefault="001A1E09" w:rsidP="0007775C">
            <w:pPr>
              <w:jc w:val="center"/>
              <w:rPr>
                <w:b/>
              </w:rPr>
            </w:pPr>
            <w:r w:rsidRPr="0007775C">
              <w:rPr>
                <w:b/>
              </w:rPr>
              <w:t>46</w:t>
            </w:r>
          </w:p>
        </w:tc>
        <w:tc>
          <w:tcPr>
            <w:tcW w:w="2993" w:type="dxa"/>
            <w:vAlign w:val="bottom"/>
          </w:tcPr>
          <w:p w:rsidR="001A1E09" w:rsidRPr="001A1E09" w:rsidRDefault="001A1E09" w:rsidP="001A1E09">
            <w:pPr>
              <w:jc w:val="center"/>
              <w:rPr>
                <w:rFonts w:ascii="Calibri" w:hAnsi="Calibri"/>
                <w:b/>
                <w:color w:val="000000"/>
              </w:rPr>
            </w:pPr>
            <w:r w:rsidRPr="001A1E09">
              <w:rPr>
                <w:rFonts w:ascii="Calibri" w:hAnsi="Calibri"/>
                <w:b/>
                <w:color w:val="000000"/>
              </w:rPr>
              <w:t>27,7</w:t>
            </w:r>
          </w:p>
        </w:tc>
      </w:tr>
      <w:tr w:rsidR="001A1E09" w:rsidTr="00F742B1">
        <w:tc>
          <w:tcPr>
            <w:tcW w:w="2992" w:type="dxa"/>
          </w:tcPr>
          <w:p w:rsidR="001A1E09" w:rsidRPr="0007775C" w:rsidRDefault="001A1E09" w:rsidP="00C83BE8">
            <w:pPr>
              <w:jc w:val="both"/>
              <w:rPr>
                <w:b/>
              </w:rPr>
            </w:pPr>
            <w:r w:rsidRPr="0007775C">
              <w:rPr>
                <w:b/>
              </w:rPr>
              <w:t>Sin datos</w:t>
            </w:r>
          </w:p>
        </w:tc>
        <w:tc>
          <w:tcPr>
            <w:tcW w:w="2993" w:type="dxa"/>
          </w:tcPr>
          <w:p w:rsidR="001A1E09" w:rsidRPr="0007775C" w:rsidRDefault="001A1E09" w:rsidP="0007775C">
            <w:pPr>
              <w:jc w:val="center"/>
              <w:rPr>
                <w:b/>
              </w:rPr>
            </w:pPr>
            <w:r w:rsidRPr="0007775C">
              <w:rPr>
                <w:b/>
              </w:rPr>
              <w:t>3</w:t>
            </w:r>
          </w:p>
        </w:tc>
        <w:tc>
          <w:tcPr>
            <w:tcW w:w="2993" w:type="dxa"/>
            <w:vAlign w:val="bottom"/>
          </w:tcPr>
          <w:p w:rsidR="001A1E09" w:rsidRPr="001A1E09" w:rsidRDefault="001A1E09" w:rsidP="001A1E09">
            <w:pPr>
              <w:jc w:val="center"/>
              <w:rPr>
                <w:rFonts w:ascii="Calibri" w:hAnsi="Calibri"/>
                <w:b/>
                <w:color w:val="000000"/>
              </w:rPr>
            </w:pPr>
            <w:r w:rsidRPr="001A1E09">
              <w:rPr>
                <w:rFonts w:ascii="Calibri" w:hAnsi="Calibri"/>
                <w:b/>
                <w:color w:val="000000"/>
              </w:rPr>
              <w:t>1,8</w:t>
            </w:r>
          </w:p>
        </w:tc>
      </w:tr>
      <w:tr w:rsidR="001A1E09" w:rsidTr="00F742B1">
        <w:tc>
          <w:tcPr>
            <w:tcW w:w="2992" w:type="dxa"/>
          </w:tcPr>
          <w:p w:rsidR="001A1E09" w:rsidRPr="0007775C" w:rsidRDefault="001A1E09" w:rsidP="00C83BE8">
            <w:pPr>
              <w:jc w:val="both"/>
              <w:rPr>
                <w:b/>
              </w:rPr>
            </w:pPr>
            <w:r w:rsidRPr="0007775C">
              <w:rPr>
                <w:b/>
              </w:rPr>
              <w:t>Diagnóstico definido</w:t>
            </w:r>
          </w:p>
        </w:tc>
        <w:tc>
          <w:tcPr>
            <w:tcW w:w="2993" w:type="dxa"/>
          </w:tcPr>
          <w:p w:rsidR="001A1E09" w:rsidRPr="0007775C" w:rsidRDefault="001A1E09" w:rsidP="0007775C">
            <w:pPr>
              <w:jc w:val="center"/>
              <w:rPr>
                <w:b/>
              </w:rPr>
            </w:pPr>
            <w:r w:rsidRPr="0007775C">
              <w:rPr>
                <w:b/>
              </w:rPr>
              <w:t>117</w:t>
            </w:r>
          </w:p>
        </w:tc>
        <w:tc>
          <w:tcPr>
            <w:tcW w:w="2993" w:type="dxa"/>
            <w:vAlign w:val="bottom"/>
          </w:tcPr>
          <w:p w:rsidR="001A1E09" w:rsidRPr="001A1E09" w:rsidRDefault="001A1E09" w:rsidP="001A1E09">
            <w:pPr>
              <w:jc w:val="center"/>
              <w:rPr>
                <w:rFonts w:ascii="Calibri" w:hAnsi="Calibri"/>
                <w:b/>
                <w:color w:val="000000"/>
              </w:rPr>
            </w:pPr>
            <w:r w:rsidRPr="001A1E09">
              <w:rPr>
                <w:rFonts w:ascii="Calibri" w:hAnsi="Calibri"/>
                <w:b/>
                <w:color w:val="000000"/>
              </w:rPr>
              <w:t>70,5</w:t>
            </w:r>
          </w:p>
        </w:tc>
      </w:tr>
      <w:tr w:rsidR="001A1E09" w:rsidTr="00F742B1">
        <w:tc>
          <w:tcPr>
            <w:tcW w:w="2992" w:type="dxa"/>
          </w:tcPr>
          <w:p w:rsidR="001A1E09" w:rsidRDefault="001A1E09" w:rsidP="0007775C">
            <w:pPr>
              <w:ind w:left="426"/>
              <w:jc w:val="both"/>
            </w:pPr>
            <w:r>
              <w:t>Agresión por terceros</w:t>
            </w:r>
          </w:p>
        </w:tc>
        <w:tc>
          <w:tcPr>
            <w:tcW w:w="2993" w:type="dxa"/>
          </w:tcPr>
          <w:p w:rsidR="001A1E09" w:rsidRDefault="001A1E09" w:rsidP="0007775C">
            <w:pPr>
              <w:jc w:val="center"/>
            </w:pPr>
            <w:r>
              <w:t>41</w:t>
            </w:r>
          </w:p>
        </w:tc>
        <w:tc>
          <w:tcPr>
            <w:tcW w:w="2993" w:type="dxa"/>
            <w:vAlign w:val="bottom"/>
          </w:tcPr>
          <w:p w:rsidR="001A1E09" w:rsidRDefault="001A1E09" w:rsidP="001A1E09">
            <w:pPr>
              <w:jc w:val="center"/>
              <w:rPr>
                <w:rFonts w:ascii="Calibri" w:hAnsi="Calibri"/>
                <w:color w:val="000000"/>
              </w:rPr>
            </w:pPr>
            <w:r>
              <w:rPr>
                <w:rFonts w:ascii="Calibri" w:hAnsi="Calibri"/>
                <w:color w:val="000000"/>
              </w:rPr>
              <w:t>24,7</w:t>
            </w:r>
          </w:p>
        </w:tc>
      </w:tr>
      <w:tr w:rsidR="001A1E09" w:rsidTr="00F742B1">
        <w:tc>
          <w:tcPr>
            <w:tcW w:w="2992" w:type="dxa"/>
          </w:tcPr>
          <w:p w:rsidR="001A1E09" w:rsidRPr="0007775C" w:rsidRDefault="001A1E09" w:rsidP="0007775C">
            <w:pPr>
              <w:ind w:left="851"/>
              <w:jc w:val="both"/>
              <w:rPr>
                <w:i/>
                <w:sz w:val="16"/>
                <w:szCs w:val="16"/>
              </w:rPr>
            </w:pPr>
            <w:r w:rsidRPr="0007775C">
              <w:rPr>
                <w:i/>
                <w:sz w:val="16"/>
                <w:szCs w:val="16"/>
              </w:rPr>
              <w:t>Arma blanca</w:t>
            </w:r>
          </w:p>
        </w:tc>
        <w:tc>
          <w:tcPr>
            <w:tcW w:w="2993" w:type="dxa"/>
          </w:tcPr>
          <w:p w:rsidR="001A1E09" w:rsidRPr="0007775C" w:rsidRDefault="001A1E09" w:rsidP="0007775C">
            <w:pPr>
              <w:jc w:val="center"/>
              <w:rPr>
                <w:i/>
                <w:sz w:val="16"/>
                <w:szCs w:val="16"/>
              </w:rPr>
            </w:pPr>
            <w:r w:rsidRPr="0007775C">
              <w:rPr>
                <w:i/>
                <w:sz w:val="16"/>
                <w:szCs w:val="16"/>
              </w:rPr>
              <w:t>35</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21,1</w:t>
            </w:r>
          </w:p>
        </w:tc>
      </w:tr>
      <w:tr w:rsidR="001A1E09" w:rsidTr="00F742B1">
        <w:tc>
          <w:tcPr>
            <w:tcW w:w="2992" w:type="dxa"/>
          </w:tcPr>
          <w:p w:rsidR="001A1E09" w:rsidRPr="0007775C" w:rsidRDefault="001A1E09" w:rsidP="0007775C">
            <w:pPr>
              <w:ind w:left="851"/>
              <w:jc w:val="both"/>
              <w:rPr>
                <w:i/>
                <w:sz w:val="16"/>
                <w:szCs w:val="16"/>
              </w:rPr>
            </w:pPr>
            <w:r w:rsidRPr="0007775C">
              <w:rPr>
                <w:i/>
                <w:sz w:val="16"/>
                <w:szCs w:val="16"/>
              </w:rPr>
              <w:lastRenderedPageBreak/>
              <w:t>Arma de fuego</w:t>
            </w:r>
          </w:p>
        </w:tc>
        <w:tc>
          <w:tcPr>
            <w:tcW w:w="2993" w:type="dxa"/>
          </w:tcPr>
          <w:p w:rsidR="001A1E09" w:rsidRPr="0007775C" w:rsidRDefault="001A1E09" w:rsidP="0007775C">
            <w:pPr>
              <w:jc w:val="center"/>
              <w:rPr>
                <w:i/>
                <w:sz w:val="16"/>
                <w:szCs w:val="16"/>
              </w:rPr>
            </w:pPr>
            <w:r w:rsidRPr="0007775C">
              <w:rPr>
                <w:i/>
                <w:sz w:val="16"/>
                <w:szCs w:val="16"/>
              </w:rPr>
              <w:t>4</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2,4</w:t>
            </w:r>
          </w:p>
        </w:tc>
      </w:tr>
      <w:tr w:rsidR="001A1E09" w:rsidTr="00F742B1">
        <w:tc>
          <w:tcPr>
            <w:tcW w:w="2992" w:type="dxa"/>
          </w:tcPr>
          <w:p w:rsidR="001A1E09" w:rsidRPr="0007775C" w:rsidRDefault="001A1E09" w:rsidP="0007775C">
            <w:pPr>
              <w:ind w:left="851"/>
              <w:jc w:val="both"/>
              <w:rPr>
                <w:i/>
                <w:sz w:val="16"/>
                <w:szCs w:val="16"/>
              </w:rPr>
            </w:pPr>
            <w:r w:rsidRPr="0007775C">
              <w:rPr>
                <w:i/>
                <w:sz w:val="16"/>
                <w:szCs w:val="16"/>
              </w:rPr>
              <w:t>No especificado</w:t>
            </w:r>
          </w:p>
        </w:tc>
        <w:tc>
          <w:tcPr>
            <w:tcW w:w="2993" w:type="dxa"/>
          </w:tcPr>
          <w:p w:rsidR="001A1E09" w:rsidRPr="0007775C" w:rsidRDefault="001A1E09" w:rsidP="0007775C">
            <w:pPr>
              <w:jc w:val="center"/>
              <w:rPr>
                <w:i/>
                <w:sz w:val="16"/>
                <w:szCs w:val="16"/>
              </w:rPr>
            </w:pPr>
            <w:r w:rsidRPr="0007775C">
              <w:rPr>
                <w:i/>
                <w:sz w:val="16"/>
                <w:szCs w:val="16"/>
              </w:rPr>
              <w:t>2</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1,2</w:t>
            </w:r>
          </w:p>
        </w:tc>
      </w:tr>
      <w:tr w:rsidR="001A1E09" w:rsidTr="00F742B1">
        <w:tc>
          <w:tcPr>
            <w:tcW w:w="2992" w:type="dxa"/>
          </w:tcPr>
          <w:p w:rsidR="001A1E09" w:rsidRDefault="001A1E09" w:rsidP="0007775C">
            <w:pPr>
              <w:ind w:left="426"/>
              <w:jc w:val="both"/>
            </w:pPr>
            <w:r>
              <w:t>Cardiovasculares</w:t>
            </w:r>
          </w:p>
        </w:tc>
        <w:tc>
          <w:tcPr>
            <w:tcW w:w="2993" w:type="dxa"/>
          </w:tcPr>
          <w:p w:rsidR="001A1E09" w:rsidRDefault="001A1E09" w:rsidP="0007775C">
            <w:pPr>
              <w:jc w:val="center"/>
            </w:pPr>
            <w:r>
              <w:t>18</w:t>
            </w:r>
          </w:p>
        </w:tc>
        <w:tc>
          <w:tcPr>
            <w:tcW w:w="2993" w:type="dxa"/>
            <w:vAlign w:val="bottom"/>
          </w:tcPr>
          <w:p w:rsidR="001A1E09" w:rsidRDefault="001A1E09" w:rsidP="001A1E09">
            <w:pPr>
              <w:jc w:val="center"/>
              <w:rPr>
                <w:rFonts w:ascii="Calibri" w:hAnsi="Calibri"/>
                <w:color w:val="000000"/>
              </w:rPr>
            </w:pPr>
            <w:r>
              <w:rPr>
                <w:rFonts w:ascii="Calibri" w:hAnsi="Calibri"/>
                <w:color w:val="000000"/>
              </w:rPr>
              <w:t>10,8</w:t>
            </w:r>
          </w:p>
        </w:tc>
      </w:tr>
      <w:tr w:rsidR="001A1E09" w:rsidRPr="0007775C" w:rsidTr="00F742B1">
        <w:tc>
          <w:tcPr>
            <w:tcW w:w="2992" w:type="dxa"/>
          </w:tcPr>
          <w:p w:rsidR="001A1E09" w:rsidRPr="0007775C" w:rsidRDefault="001A1E09" w:rsidP="0007775C">
            <w:pPr>
              <w:ind w:left="851"/>
              <w:jc w:val="both"/>
              <w:rPr>
                <w:i/>
                <w:sz w:val="16"/>
                <w:szCs w:val="16"/>
              </w:rPr>
            </w:pPr>
            <w:r>
              <w:rPr>
                <w:i/>
                <w:sz w:val="16"/>
                <w:szCs w:val="16"/>
              </w:rPr>
              <w:t>ACV</w:t>
            </w:r>
          </w:p>
        </w:tc>
        <w:tc>
          <w:tcPr>
            <w:tcW w:w="2993" w:type="dxa"/>
          </w:tcPr>
          <w:p w:rsidR="001A1E09" w:rsidRPr="0007775C" w:rsidRDefault="001A1E09" w:rsidP="0007775C">
            <w:pPr>
              <w:jc w:val="center"/>
              <w:rPr>
                <w:i/>
                <w:sz w:val="16"/>
                <w:szCs w:val="16"/>
              </w:rPr>
            </w:pPr>
            <w:r>
              <w:rPr>
                <w:i/>
                <w:sz w:val="16"/>
                <w:szCs w:val="16"/>
              </w:rPr>
              <w:t>6</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3,6</w:t>
            </w:r>
          </w:p>
        </w:tc>
      </w:tr>
      <w:tr w:rsidR="001A1E09" w:rsidRPr="0007775C" w:rsidTr="00F742B1">
        <w:tc>
          <w:tcPr>
            <w:tcW w:w="2992" w:type="dxa"/>
          </w:tcPr>
          <w:p w:rsidR="001A1E09" w:rsidRDefault="001A1E09" w:rsidP="0007775C">
            <w:pPr>
              <w:ind w:left="851"/>
              <w:jc w:val="both"/>
              <w:rPr>
                <w:i/>
                <w:sz w:val="16"/>
                <w:szCs w:val="16"/>
              </w:rPr>
            </w:pPr>
            <w:r>
              <w:rPr>
                <w:i/>
                <w:sz w:val="16"/>
                <w:szCs w:val="16"/>
              </w:rPr>
              <w:t>IAM</w:t>
            </w:r>
          </w:p>
        </w:tc>
        <w:tc>
          <w:tcPr>
            <w:tcW w:w="2993" w:type="dxa"/>
          </w:tcPr>
          <w:p w:rsidR="001A1E09" w:rsidRDefault="001A1E09" w:rsidP="0007775C">
            <w:pPr>
              <w:jc w:val="center"/>
              <w:rPr>
                <w:i/>
                <w:sz w:val="16"/>
                <w:szCs w:val="16"/>
              </w:rPr>
            </w:pPr>
            <w:r>
              <w:rPr>
                <w:i/>
                <w:sz w:val="16"/>
                <w:szCs w:val="16"/>
              </w:rPr>
              <w:t>3</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1,8</w:t>
            </w:r>
          </w:p>
        </w:tc>
      </w:tr>
      <w:tr w:rsidR="001A1E09" w:rsidRPr="0007775C" w:rsidTr="00F742B1">
        <w:tc>
          <w:tcPr>
            <w:tcW w:w="2992" w:type="dxa"/>
          </w:tcPr>
          <w:p w:rsidR="001A1E09" w:rsidRDefault="001A1E09" w:rsidP="0007775C">
            <w:pPr>
              <w:ind w:left="851"/>
              <w:jc w:val="both"/>
              <w:rPr>
                <w:i/>
                <w:sz w:val="16"/>
                <w:szCs w:val="16"/>
              </w:rPr>
            </w:pPr>
            <w:r>
              <w:rPr>
                <w:i/>
                <w:sz w:val="16"/>
                <w:szCs w:val="16"/>
              </w:rPr>
              <w:t>HTA</w:t>
            </w:r>
          </w:p>
        </w:tc>
        <w:tc>
          <w:tcPr>
            <w:tcW w:w="2993" w:type="dxa"/>
          </w:tcPr>
          <w:p w:rsidR="001A1E09" w:rsidRDefault="001A1E09" w:rsidP="0007775C">
            <w:pPr>
              <w:jc w:val="center"/>
              <w:rPr>
                <w:i/>
                <w:sz w:val="16"/>
                <w:szCs w:val="16"/>
              </w:rPr>
            </w:pPr>
            <w:r>
              <w:rPr>
                <w:i/>
                <w:sz w:val="16"/>
                <w:szCs w:val="16"/>
              </w:rPr>
              <w:t>4</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2,4</w:t>
            </w:r>
          </w:p>
        </w:tc>
      </w:tr>
      <w:tr w:rsidR="001A1E09" w:rsidRPr="0007775C" w:rsidTr="00F742B1">
        <w:tc>
          <w:tcPr>
            <w:tcW w:w="2992" w:type="dxa"/>
          </w:tcPr>
          <w:p w:rsidR="001A1E09" w:rsidRDefault="001A1E09" w:rsidP="0007775C">
            <w:pPr>
              <w:ind w:left="851"/>
              <w:jc w:val="both"/>
              <w:rPr>
                <w:i/>
                <w:sz w:val="16"/>
                <w:szCs w:val="16"/>
              </w:rPr>
            </w:pPr>
            <w:r>
              <w:rPr>
                <w:i/>
                <w:sz w:val="16"/>
                <w:szCs w:val="16"/>
              </w:rPr>
              <w:t>Otros</w:t>
            </w:r>
          </w:p>
        </w:tc>
        <w:tc>
          <w:tcPr>
            <w:tcW w:w="2993" w:type="dxa"/>
          </w:tcPr>
          <w:p w:rsidR="001A1E09" w:rsidRDefault="001A1E09" w:rsidP="0007775C">
            <w:pPr>
              <w:jc w:val="center"/>
              <w:rPr>
                <w:i/>
                <w:sz w:val="16"/>
                <w:szCs w:val="16"/>
              </w:rPr>
            </w:pPr>
            <w:r>
              <w:rPr>
                <w:i/>
                <w:sz w:val="16"/>
                <w:szCs w:val="16"/>
              </w:rPr>
              <w:t>5</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3,0</w:t>
            </w:r>
          </w:p>
        </w:tc>
      </w:tr>
      <w:tr w:rsidR="001A1E09" w:rsidTr="00F742B1">
        <w:tc>
          <w:tcPr>
            <w:tcW w:w="2992" w:type="dxa"/>
          </w:tcPr>
          <w:p w:rsidR="001A1E09" w:rsidRDefault="001A1E09" w:rsidP="0007775C">
            <w:pPr>
              <w:ind w:left="426"/>
              <w:jc w:val="both"/>
            </w:pPr>
            <w:r>
              <w:t>Infecciosas</w:t>
            </w:r>
          </w:p>
        </w:tc>
        <w:tc>
          <w:tcPr>
            <w:tcW w:w="2993" w:type="dxa"/>
          </w:tcPr>
          <w:p w:rsidR="001A1E09" w:rsidRDefault="001A1E09" w:rsidP="0007775C">
            <w:pPr>
              <w:jc w:val="center"/>
            </w:pPr>
            <w:r>
              <w:t>16</w:t>
            </w:r>
          </w:p>
        </w:tc>
        <w:tc>
          <w:tcPr>
            <w:tcW w:w="2993" w:type="dxa"/>
            <w:vAlign w:val="bottom"/>
          </w:tcPr>
          <w:p w:rsidR="001A1E09" w:rsidRDefault="001A1E09" w:rsidP="001A1E09">
            <w:pPr>
              <w:jc w:val="center"/>
              <w:rPr>
                <w:rFonts w:ascii="Calibri" w:hAnsi="Calibri"/>
                <w:color w:val="000000"/>
              </w:rPr>
            </w:pPr>
            <w:r>
              <w:rPr>
                <w:rFonts w:ascii="Calibri" w:hAnsi="Calibri"/>
                <w:color w:val="000000"/>
              </w:rPr>
              <w:t>9,6</w:t>
            </w:r>
          </w:p>
        </w:tc>
      </w:tr>
      <w:tr w:rsidR="001A1E09" w:rsidRPr="0007775C" w:rsidTr="00F742B1">
        <w:tc>
          <w:tcPr>
            <w:tcW w:w="2992" w:type="dxa"/>
          </w:tcPr>
          <w:p w:rsidR="001A1E09" w:rsidRPr="0007775C" w:rsidRDefault="001A1E09" w:rsidP="0007775C">
            <w:pPr>
              <w:ind w:left="851"/>
              <w:jc w:val="both"/>
              <w:rPr>
                <w:i/>
                <w:sz w:val="16"/>
                <w:szCs w:val="16"/>
              </w:rPr>
            </w:pPr>
            <w:r>
              <w:rPr>
                <w:i/>
                <w:sz w:val="16"/>
                <w:szCs w:val="16"/>
              </w:rPr>
              <w:t>Tuberculosis</w:t>
            </w:r>
          </w:p>
        </w:tc>
        <w:tc>
          <w:tcPr>
            <w:tcW w:w="2993" w:type="dxa"/>
          </w:tcPr>
          <w:p w:rsidR="001A1E09" w:rsidRPr="0007775C" w:rsidRDefault="001A1E09" w:rsidP="0007775C">
            <w:pPr>
              <w:jc w:val="center"/>
              <w:rPr>
                <w:i/>
                <w:sz w:val="16"/>
                <w:szCs w:val="16"/>
              </w:rPr>
            </w:pPr>
            <w:r>
              <w:rPr>
                <w:i/>
                <w:sz w:val="16"/>
                <w:szCs w:val="16"/>
              </w:rPr>
              <w:t>11</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6,6</w:t>
            </w:r>
          </w:p>
        </w:tc>
      </w:tr>
      <w:tr w:rsidR="001A1E09" w:rsidRPr="0007775C" w:rsidTr="00F742B1">
        <w:tc>
          <w:tcPr>
            <w:tcW w:w="2992" w:type="dxa"/>
          </w:tcPr>
          <w:p w:rsidR="001A1E09" w:rsidRDefault="001A1E09" w:rsidP="0007775C">
            <w:pPr>
              <w:ind w:left="851"/>
              <w:jc w:val="both"/>
              <w:rPr>
                <w:i/>
                <w:sz w:val="16"/>
                <w:szCs w:val="16"/>
              </w:rPr>
            </w:pPr>
            <w:r>
              <w:rPr>
                <w:i/>
                <w:sz w:val="16"/>
                <w:szCs w:val="16"/>
              </w:rPr>
              <w:t>HIV</w:t>
            </w:r>
          </w:p>
        </w:tc>
        <w:tc>
          <w:tcPr>
            <w:tcW w:w="2993" w:type="dxa"/>
          </w:tcPr>
          <w:p w:rsidR="001A1E09" w:rsidRDefault="001A1E09" w:rsidP="0007775C">
            <w:pPr>
              <w:jc w:val="center"/>
              <w:rPr>
                <w:i/>
                <w:sz w:val="16"/>
                <w:szCs w:val="16"/>
              </w:rPr>
            </w:pPr>
            <w:r>
              <w:rPr>
                <w:i/>
                <w:sz w:val="16"/>
                <w:szCs w:val="16"/>
              </w:rPr>
              <w:t>3</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1,8</w:t>
            </w:r>
          </w:p>
        </w:tc>
      </w:tr>
      <w:tr w:rsidR="001A1E09" w:rsidRPr="0007775C" w:rsidTr="00F742B1">
        <w:trPr>
          <w:trHeight w:val="70"/>
        </w:trPr>
        <w:tc>
          <w:tcPr>
            <w:tcW w:w="2992" w:type="dxa"/>
          </w:tcPr>
          <w:p w:rsidR="001A1E09" w:rsidRDefault="001A1E09" w:rsidP="0007775C">
            <w:pPr>
              <w:ind w:left="851"/>
              <w:jc w:val="both"/>
              <w:rPr>
                <w:i/>
                <w:sz w:val="16"/>
                <w:szCs w:val="16"/>
              </w:rPr>
            </w:pPr>
            <w:r>
              <w:rPr>
                <w:i/>
                <w:sz w:val="16"/>
                <w:szCs w:val="16"/>
              </w:rPr>
              <w:t>Otras</w:t>
            </w:r>
          </w:p>
        </w:tc>
        <w:tc>
          <w:tcPr>
            <w:tcW w:w="2993" w:type="dxa"/>
          </w:tcPr>
          <w:p w:rsidR="001A1E09" w:rsidRDefault="001A1E09" w:rsidP="0007775C">
            <w:pPr>
              <w:jc w:val="center"/>
              <w:rPr>
                <w:i/>
                <w:sz w:val="16"/>
                <w:szCs w:val="16"/>
              </w:rPr>
            </w:pPr>
            <w:r>
              <w:rPr>
                <w:i/>
                <w:sz w:val="16"/>
                <w:szCs w:val="16"/>
              </w:rPr>
              <w:t>2</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1,2</w:t>
            </w:r>
          </w:p>
        </w:tc>
      </w:tr>
      <w:tr w:rsidR="001A1E09" w:rsidTr="00F742B1">
        <w:tc>
          <w:tcPr>
            <w:tcW w:w="2992" w:type="dxa"/>
          </w:tcPr>
          <w:p w:rsidR="001A1E09" w:rsidRDefault="001A1E09" w:rsidP="0007775C">
            <w:pPr>
              <w:ind w:left="426"/>
              <w:jc w:val="both"/>
            </w:pPr>
            <w:r>
              <w:t>Causas externas</w:t>
            </w:r>
          </w:p>
        </w:tc>
        <w:tc>
          <w:tcPr>
            <w:tcW w:w="2993" w:type="dxa"/>
          </w:tcPr>
          <w:p w:rsidR="001A1E09" w:rsidRDefault="001A1E09" w:rsidP="0007775C">
            <w:pPr>
              <w:jc w:val="center"/>
            </w:pPr>
            <w:r>
              <w:t>15</w:t>
            </w:r>
          </w:p>
        </w:tc>
        <w:tc>
          <w:tcPr>
            <w:tcW w:w="2993" w:type="dxa"/>
            <w:vAlign w:val="bottom"/>
          </w:tcPr>
          <w:p w:rsidR="001A1E09" w:rsidRDefault="001A1E09" w:rsidP="001A1E09">
            <w:pPr>
              <w:jc w:val="center"/>
              <w:rPr>
                <w:rFonts w:ascii="Calibri" w:hAnsi="Calibri"/>
                <w:color w:val="000000"/>
              </w:rPr>
            </w:pPr>
            <w:r>
              <w:rPr>
                <w:rFonts w:ascii="Calibri" w:hAnsi="Calibri"/>
                <w:color w:val="000000"/>
              </w:rPr>
              <w:t>9,0</w:t>
            </w:r>
          </w:p>
        </w:tc>
      </w:tr>
      <w:tr w:rsidR="001A1E09" w:rsidRPr="0007775C" w:rsidTr="00F742B1">
        <w:tc>
          <w:tcPr>
            <w:tcW w:w="2992" w:type="dxa"/>
          </w:tcPr>
          <w:p w:rsidR="001A1E09" w:rsidRPr="0007775C" w:rsidRDefault="001A1E09" w:rsidP="0007775C">
            <w:pPr>
              <w:ind w:left="851"/>
              <w:jc w:val="both"/>
              <w:rPr>
                <w:i/>
                <w:sz w:val="16"/>
                <w:szCs w:val="16"/>
              </w:rPr>
            </w:pPr>
            <w:r>
              <w:rPr>
                <w:i/>
                <w:sz w:val="16"/>
                <w:szCs w:val="16"/>
              </w:rPr>
              <w:t>Quemaduras</w:t>
            </w:r>
          </w:p>
        </w:tc>
        <w:tc>
          <w:tcPr>
            <w:tcW w:w="2993" w:type="dxa"/>
          </w:tcPr>
          <w:p w:rsidR="001A1E09" w:rsidRPr="0007775C" w:rsidRDefault="001A1E09" w:rsidP="0007775C">
            <w:pPr>
              <w:jc w:val="center"/>
              <w:rPr>
                <w:i/>
                <w:sz w:val="16"/>
                <w:szCs w:val="16"/>
              </w:rPr>
            </w:pPr>
            <w:r>
              <w:rPr>
                <w:i/>
                <w:sz w:val="16"/>
                <w:szCs w:val="16"/>
              </w:rPr>
              <w:t>1</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0,6</w:t>
            </w:r>
          </w:p>
        </w:tc>
      </w:tr>
      <w:tr w:rsidR="001A1E09" w:rsidRPr="0007775C" w:rsidTr="00F742B1">
        <w:tc>
          <w:tcPr>
            <w:tcW w:w="2992" w:type="dxa"/>
          </w:tcPr>
          <w:p w:rsidR="001A1E09" w:rsidRDefault="001A1E09" w:rsidP="0007775C">
            <w:pPr>
              <w:ind w:left="851"/>
              <w:jc w:val="both"/>
              <w:rPr>
                <w:i/>
                <w:sz w:val="16"/>
                <w:szCs w:val="16"/>
              </w:rPr>
            </w:pPr>
            <w:r>
              <w:rPr>
                <w:i/>
                <w:sz w:val="16"/>
                <w:szCs w:val="16"/>
              </w:rPr>
              <w:t>Intoxicación drogas</w:t>
            </w:r>
          </w:p>
        </w:tc>
        <w:tc>
          <w:tcPr>
            <w:tcW w:w="2993" w:type="dxa"/>
          </w:tcPr>
          <w:p w:rsidR="001A1E09" w:rsidRPr="0007775C" w:rsidRDefault="001A1E09" w:rsidP="0007775C">
            <w:pPr>
              <w:jc w:val="center"/>
              <w:rPr>
                <w:i/>
                <w:sz w:val="16"/>
                <w:szCs w:val="16"/>
              </w:rPr>
            </w:pPr>
            <w:r>
              <w:rPr>
                <w:i/>
                <w:sz w:val="16"/>
                <w:szCs w:val="16"/>
              </w:rPr>
              <w:t>3</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1,8</w:t>
            </w:r>
          </w:p>
        </w:tc>
      </w:tr>
      <w:tr w:rsidR="001A1E09" w:rsidRPr="0007775C" w:rsidTr="00F742B1">
        <w:tc>
          <w:tcPr>
            <w:tcW w:w="2992" w:type="dxa"/>
          </w:tcPr>
          <w:p w:rsidR="001A1E09" w:rsidRDefault="001A1E09" w:rsidP="0007775C">
            <w:pPr>
              <w:ind w:left="851"/>
              <w:jc w:val="both"/>
              <w:rPr>
                <w:i/>
                <w:sz w:val="16"/>
                <w:szCs w:val="16"/>
              </w:rPr>
            </w:pPr>
            <w:r>
              <w:rPr>
                <w:i/>
                <w:sz w:val="16"/>
                <w:szCs w:val="16"/>
              </w:rPr>
              <w:t>Electrocución</w:t>
            </w:r>
          </w:p>
        </w:tc>
        <w:tc>
          <w:tcPr>
            <w:tcW w:w="2993" w:type="dxa"/>
          </w:tcPr>
          <w:p w:rsidR="001A1E09" w:rsidRPr="0007775C" w:rsidRDefault="001A1E09" w:rsidP="0007775C">
            <w:pPr>
              <w:jc w:val="center"/>
              <w:rPr>
                <w:i/>
                <w:sz w:val="16"/>
                <w:szCs w:val="16"/>
              </w:rPr>
            </w:pPr>
            <w:r>
              <w:rPr>
                <w:i/>
                <w:sz w:val="16"/>
                <w:szCs w:val="16"/>
              </w:rPr>
              <w:t>11</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6,6</w:t>
            </w:r>
          </w:p>
        </w:tc>
      </w:tr>
      <w:tr w:rsidR="001A1E09" w:rsidTr="00F742B1">
        <w:tc>
          <w:tcPr>
            <w:tcW w:w="2992" w:type="dxa"/>
          </w:tcPr>
          <w:p w:rsidR="001A1E09" w:rsidRDefault="001A1E09" w:rsidP="0007775C">
            <w:pPr>
              <w:ind w:left="426"/>
              <w:jc w:val="both"/>
            </w:pPr>
            <w:proofErr w:type="spellStart"/>
            <w:r>
              <w:t>Autoinfligidas</w:t>
            </w:r>
            <w:proofErr w:type="spellEnd"/>
          </w:p>
        </w:tc>
        <w:tc>
          <w:tcPr>
            <w:tcW w:w="2993" w:type="dxa"/>
          </w:tcPr>
          <w:p w:rsidR="001A1E09" w:rsidRDefault="001A1E09" w:rsidP="0007775C">
            <w:pPr>
              <w:jc w:val="center"/>
            </w:pPr>
            <w:r>
              <w:t>12</w:t>
            </w:r>
          </w:p>
        </w:tc>
        <w:tc>
          <w:tcPr>
            <w:tcW w:w="2993" w:type="dxa"/>
            <w:vAlign w:val="bottom"/>
          </w:tcPr>
          <w:p w:rsidR="001A1E09" w:rsidRDefault="001A1E09" w:rsidP="001A1E09">
            <w:pPr>
              <w:jc w:val="center"/>
              <w:rPr>
                <w:rFonts w:ascii="Calibri" w:hAnsi="Calibri"/>
                <w:color w:val="000000"/>
              </w:rPr>
            </w:pPr>
            <w:r>
              <w:rPr>
                <w:rFonts w:ascii="Calibri" w:hAnsi="Calibri"/>
                <w:color w:val="000000"/>
              </w:rPr>
              <w:t>7,2</w:t>
            </w:r>
          </w:p>
        </w:tc>
      </w:tr>
      <w:tr w:rsidR="001A1E09" w:rsidRPr="007F2DD2" w:rsidTr="00F742B1">
        <w:tc>
          <w:tcPr>
            <w:tcW w:w="2992" w:type="dxa"/>
          </w:tcPr>
          <w:p w:rsidR="001A1E09" w:rsidRPr="007F2DD2" w:rsidRDefault="001A1E09" w:rsidP="007F2DD2">
            <w:pPr>
              <w:ind w:left="851"/>
              <w:jc w:val="both"/>
              <w:rPr>
                <w:i/>
                <w:sz w:val="16"/>
                <w:szCs w:val="16"/>
              </w:rPr>
            </w:pPr>
            <w:r>
              <w:rPr>
                <w:i/>
                <w:sz w:val="16"/>
                <w:szCs w:val="16"/>
              </w:rPr>
              <w:t>Inanición</w:t>
            </w:r>
          </w:p>
        </w:tc>
        <w:tc>
          <w:tcPr>
            <w:tcW w:w="2993" w:type="dxa"/>
          </w:tcPr>
          <w:p w:rsidR="001A1E09" w:rsidRPr="007F2DD2" w:rsidRDefault="001A1E09" w:rsidP="0007775C">
            <w:pPr>
              <w:jc w:val="center"/>
              <w:rPr>
                <w:i/>
                <w:sz w:val="16"/>
                <w:szCs w:val="16"/>
              </w:rPr>
            </w:pPr>
            <w:r>
              <w:rPr>
                <w:i/>
                <w:sz w:val="16"/>
                <w:szCs w:val="16"/>
              </w:rPr>
              <w:t>1</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0,6</w:t>
            </w:r>
          </w:p>
        </w:tc>
      </w:tr>
      <w:tr w:rsidR="001A1E09" w:rsidRPr="007F2DD2" w:rsidTr="00F742B1">
        <w:tc>
          <w:tcPr>
            <w:tcW w:w="2992" w:type="dxa"/>
          </w:tcPr>
          <w:p w:rsidR="001A1E09" w:rsidRDefault="001A1E09" w:rsidP="007F2DD2">
            <w:pPr>
              <w:ind w:left="851"/>
              <w:jc w:val="both"/>
              <w:rPr>
                <w:i/>
                <w:sz w:val="16"/>
                <w:szCs w:val="16"/>
              </w:rPr>
            </w:pPr>
            <w:r>
              <w:rPr>
                <w:i/>
                <w:sz w:val="16"/>
                <w:szCs w:val="16"/>
              </w:rPr>
              <w:t>Ahorcamiento</w:t>
            </w:r>
          </w:p>
        </w:tc>
        <w:tc>
          <w:tcPr>
            <w:tcW w:w="2993" w:type="dxa"/>
          </w:tcPr>
          <w:p w:rsidR="001A1E09" w:rsidRDefault="001A1E09" w:rsidP="0007775C">
            <w:pPr>
              <w:jc w:val="center"/>
              <w:rPr>
                <w:i/>
                <w:sz w:val="16"/>
                <w:szCs w:val="16"/>
              </w:rPr>
            </w:pPr>
            <w:r>
              <w:rPr>
                <w:i/>
                <w:sz w:val="16"/>
                <w:szCs w:val="16"/>
              </w:rPr>
              <w:t>6</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3,6</w:t>
            </w:r>
          </w:p>
        </w:tc>
      </w:tr>
      <w:tr w:rsidR="001A1E09" w:rsidRPr="007F2DD2" w:rsidTr="00F742B1">
        <w:tc>
          <w:tcPr>
            <w:tcW w:w="2992" w:type="dxa"/>
          </w:tcPr>
          <w:p w:rsidR="001A1E09" w:rsidRDefault="001A1E09" w:rsidP="007F2DD2">
            <w:pPr>
              <w:ind w:left="851"/>
              <w:jc w:val="both"/>
              <w:rPr>
                <w:i/>
                <w:sz w:val="16"/>
                <w:szCs w:val="16"/>
              </w:rPr>
            </w:pPr>
            <w:r>
              <w:rPr>
                <w:i/>
                <w:sz w:val="16"/>
                <w:szCs w:val="16"/>
              </w:rPr>
              <w:t>Lesión cortante</w:t>
            </w:r>
          </w:p>
        </w:tc>
        <w:tc>
          <w:tcPr>
            <w:tcW w:w="2993" w:type="dxa"/>
          </w:tcPr>
          <w:p w:rsidR="001A1E09" w:rsidRDefault="001A1E09" w:rsidP="0007775C">
            <w:pPr>
              <w:jc w:val="center"/>
              <w:rPr>
                <w:i/>
                <w:sz w:val="16"/>
                <w:szCs w:val="16"/>
              </w:rPr>
            </w:pPr>
            <w:r>
              <w:rPr>
                <w:i/>
                <w:sz w:val="16"/>
                <w:szCs w:val="16"/>
              </w:rPr>
              <w:t>1</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0,6</w:t>
            </w:r>
          </w:p>
        </w:tc>
      </w:tr>
      <w:tr w:rsidR="001A1E09" w:rsidRPr="007F2DD2" w:rsidTr="00F742B1">
        <w:tc>
          <w:tcPr>
            <w:tcW w:w="2992" w:type="dxa"/>
          </w:tcPr>
          <w:p w:rsidR="001A1E09" w:rsidRDefault="001A1E09" w:rsidP="007F2DD2">
            <w:pPr>
              <w:ind w:left="851"/>
              <w:jc w:val="both"/>
              <w:rPr>
                <w:i/>
                <w:sz w:val="16"/>
                <w:szCs w:val="16"/>
              </w:rPr>
            </w:pPr>
            <w:r>
              <w:rPr>
                <w:i/>
                <w:sz w:val="16"/>
                <w:szCs w:val="16"/>
              </w:rPr>
              <w:t>Quemaduras</w:t>
            </w:r>
          </w:p>
        </w:tc>
        <w:tc>
          <w:tcPr>
            <w:tcW w:w="2993" w:type="dxa"/>
          </w:tcPr>
          <w:p w:rsidR="001A1E09" w:rsidRDefault="001A1E09" w:rsidP="0007775C">
            <w:pPr>
              <w:jc w:val="center"/>
              <w:rPr>
                <w:i/>
                <w:sz w:val="16"/>
                <w:szCs w:val="16"/>
              </w:rPr>
            </w:pPr>
            <w:r>
              <w:rPr>
                <w:i/>
                <w:sz w:val="16"/>
                <w:szCs w:val="16"/>
              </w:rPr>
              <w:t>1</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0,6</w:t>
            </w:r>
          </w:p>
        </w:tc>
      </w:tr>
      <w:tr w:rsidR="001A1E09" w:rsidRPr="007F2DD2" w:rsidTr="00F742B1">
        <w:tc>
          <w:tcPr>
            <w:tcW w:w="2992" w:type="dxa"/>
          </w:tcPr>
          <w:p w:rsidR="001A1E09" w:rsidRDefault="001A1E09" w:rsidP="007F2DD2">
            <w:pPr>
              <w:ind w:left="851"/>
              <w:jc w:val="both"/>
              <w:rPr>
                <w:i/>
                <w:sz w:val="16"/>
                <w:szCs w:val="16"/>
              </w:rPr>
            </w:pPr>
            <w:r>
              <w:rPr>
                <w:i/>
                <w:sz w:val="16"/>
                <w:szCs w:val="16"/>
              </w:rPr>
              <w:t>No especifica</w:t>
            </w:r>
          </w:p>
        </w:tc>
        <w:tc>
          <w:tcPr>
            <w:tcW w:w="2993" w:type="dxa"/>
          </w:tcPr>
          <w:p w:rsidR="001A1E09" w:rsidRDefault="001A1E09" w:rsidP="0007775C">
            <w:pPr>
              <w:jc w:val="center"/>
              <w:rPr>
                <w:i/>
                <w:sz w:val="16"/>
                <w:szCs w:val="16"/>
              </w:rPr>
            </w:pPr>
            <w:r>
              <w:rPr>
                <w:i/>
                <w:sz w:val="16"/>
                <w:szCs w:val="16"/>
              </w:rPr>
              <w:t>2</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1,2</w:t>
            </w:r>
          </w:p>
        </w:tc>
      </w:tr>
      <w:tr w:rsidR="001A1E09" w:rsidTr="00F742B1">
        <w:tc>
          <w:tcPr>
            <w:tcW w:w="2992" w:type="dxa"/>
          </w:tcPr>
          <w:p w:rsidR="001A1E09" w:rsidRDefault="001A1E09" w:rsidP="0007775C">
            <w:pPr>
              <w:ind w:left="426"/>
              <w:jc w:val="both"/>
            </w:pPr>
            <w:r>
              <w:t>Otros</w:t>
            </w:r>
          </w:p>
        </w:tc>
        <w:tc>
          <w:tcPr>
            <w:tcW w:w="2993" w:type="dxa"/>
          </w:tcPr>
          <w:p w:rsidR="001A1E09" w:rsidRDefault="001A1E09" w:rsidP="0007775C">
            <w:pPr>
              <w:jc w:val="center"/>
            </w:pPr>
            <w:r>
              <w:t>10</w:t>
            </w:r>
          </w:p>
        </w:tc>
        <w:tc>
          <w:tcPr>
            <w:tcW w:w="2993" w:type="dxa"/>
            <w:vAlign w:val="bottom"/>
          </w:tcPr>
          <w:p w:rsidR="001A1E09" w:rsidRDefault="001A1E09" w:rsidP="001A1E09">
            <w:pPr>
              <w:jc w:val="center"/>
              <w:rPr>
                <w:rFonts w:ascii="Calibri" w:hAnsi="Calibri"/>
                <w:color w:val="000000"/>
              </w:rPr>
            </w:pPr>
            <w:r>
              <w:rPr>
                <w:rFonts w:ascii="Calibri" w:hAnsi="Calibri"/>
                <w:color w:val="000000"/>
              </w:rPr>
              <w:t>6,0</w:t>
            </w:r>
          </w:p>
        </w:tc>
      </w:tr>
      <w:tr w:rsidR="001A1E09" w:rsidRPr="007F2DD2" w:rsidTr="00F742B1">
        <w:tc>
          <w:tcPr>
            <w:tcW w:w="2992" w:type="dxa"/>
          </w:tcPr>
          <w:p w:rsidR="001A1E09" w:rsidRPr="007F2DD2" w:rsidRDefault="001A1E09" w:rsidP="007F2DD2">
            <w:pPr>
              <w:ind w:left="851"/>
              <w:jc w:val="both"/>
              <w:rPr>
                <w:i/>
                <w:sz w:val="16"/>
                <w:szCs w:val="16"/>
              </w:rPr>
            </w:pPr>
            <w:r w:rsidRPr="007F2DD2">
              <w:rPr>
                <w:i/>
                <w:sz w:val="16"/>
                <w:szCs w:val="16"/>
              </w:rPr>
              <w:t>Diabetes Mellitus</w:t>
            </w:r>
          </w:p>
        </w:tc>
        <w:tc>
          <w:tcPr>
            <w:tcW w:w="2993" w:type="dxa"/>
          </w:tcPr>
          <w:p w:rsidR="001A1E09" w:rsidRPr="007F2DD2" w:rsidRDefault="001A1E09" w:rsidP="0007775C">
            <w:pPr>
              <w:jc w:val="center"/>
              <w:rPr>
                <w:i/>
                <w:sz w:val="16"/>
                <w:szCs w:val="16"/>
              </w:rPr>
            </w:pPr>
            <w:r w:rsidRPr="007F2DD2">
              <w:rPr>
                <w:i/>
                <w:sz w:val="16"/>
                <w:szCs w:val="16"/>
              </w:rPr>
              <w:t>6</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3,6</w:t>
            </w:r>
          </w:p>
        </w:tc>
      </w:tr>
      <w:tr w:rsidR="001A1E09" w:rsidRPr="007F2DD2" w:rsidTr="00F742B1">
        <w:tc>
          <w:tcPr>
            <w:tcW w:w="2992" w:type="dxa"/>
          </w:tcPr>
          <w:p w:rsidR="001A1E09" w:rsidRPr="007F2DD2" w:rsidRDefault="001A1E09" w:rsidP="007F2DD2">
            <w:pPr>
              <w:ind w:left="851"/>
              <w:jc w:val="both"/>
              <w:rPr>
                <w:i/>
                <w:sz w:val="16"/>
                <w:szCs w:val="16"/>
              </w:rPr>
            </w:pPr>
            <w:r w:rsidRPr="007F2DD2">
              <w:rPr>
                <w:i/>
                <w:sz w:val="16"/>
                <w:szCs w:val="16"/>
              </w:rPr>
              <w:t>EPOC</w:t>
            </w:r>
          </w:p>
        </w:tc>
        <w:tc>
          <w:tcPr>
            <w:tcW w:w="2993" w:type="dxa"/>
          </w:tcPr>
          <w:p w:rsidR="001A1E09" w:rsidRPr="007F2DD2" w:rsidRDefault="001A1E09" w:rsidP="0007775C">
            <w:pPr>
              <w:jc w:val="center"/>
              <w:rPr>
                <w:i/>
                <w:sz w:val="16"/>
                <w:szCs w:val="16"/>
              </w:rPr>
            </w:pPr>
            <w:r w:rsidRPr="007F2DD2">
              <w:rPr>
                <w:i/>
                <w:sz w:val="16"/>
                <w:szCs w:val="16"/>
              </w:rPr>
              <w:t>2</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1,2</w:t>
            </w:r>
          </w:p>
        </w:tc>
      </w:tr>
      <w:tr w:rsidR="001A1E09" w:rsidRPr="007F2DD2" w:rsidTr="00F742B1">
        <w:tc>
          <w:tcPr>
            <w:tcW w:w="2992" w:type="dxa"/>
          </w:tcPr>
          <w:p w:rsidR="001A1E09" w:rsidRPr="007F2DD2" w:rsidRDefault="001A1E09" w:rsidP="007F2DD2">
            <w:pPr>
              <w:ind w:left="851"/>
              <w:jc w:val="both"/>
              <w:rPr>
                <w:i/>
                <w:sz w:val="16"/>
                <w:szCs w:val="16"/>
              </w:rPr>
            </w:pPr>
            <w:r w:rsidRPr="007F2DD2">
              <w:rPr>
                <w:i/>
                <w:sz w:val="16"/>
                <w:szCs w:val="16"/>
              </w:rPr>
              <w:t>IRC</w:t>
            </w:r>
          </w:p>
        </w:tc>
        <w:tc>
          <w:tcPr>
            <w:tcW w:w="2993" w:type="dxa"/>
          </w:tcPr>
          <w:p w:rsidR="001A1E09" w:rsidRPr="007F2DD2" w:rsidRDefault="001A1E09" w:rsidP="0007775C">
            <w:pPr>
              <w:jc w:val="center"/>
              <w:rPr>
                <w:i/>
                <w:sz w:val="16"/>
                <w:szCs w:val="16"/>
              </w:rPr>
            </w:pPr>
            <w:r w:rsidRPr="007F2DD2">
              <w:rPr>
                <w:i/>
                <w:sz w:val="16"/>
                <w:szCs w:val="16"/>
              </w:rPr>
              <w:t>2</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1,2</w:t>
            </w:r>
          </w:p>
        </w:tc>
      </w:tr>
      <w:tr w:rsidR="001A1E09" w:rsidTr="00F742B1">
        <w:tc>
          <w:tcPr>
            <w:tcW w:w="2992" w:type="dxa"/>
          </w:tcPr>
          <w:p w:rsidR="001A1E09" w:rsidRDefault="001A1E09" w:rsidP="0007775C">
            <w:pPr>
              <w:ind w:left="426"/>
              <w:jc w:val="both"/>
            </w:pPr>
            <w:r>
              <w:t>Cáncer</w:t>
            </w:r>
          </w:p>
        </w:tc>
        <w:tc>
          <w:tcPr>
            <w:tcW w:w="2993" w:type="dxa"/>
          </w:tcPr>
          <w:p w:rsidR="001A1E09" w:rsidRDefault="001A1E09" w:rsidP="0007775C">
            <w:pPr>
              <w:jc w:val="center"/>
            </w:pPr>
            <w:r>
              <w:t>5</w:t>
            </w:r>
          </w:p>
        </w:tc>
        <w:tc>
          <w:tcPr>
            <w:tcW w:w="2993" w:type="dxa"/>
            <w:vAlign w:val="bottom"/>
          </w:tcPr>
          <w:p w:rsidR="001A1E09" w:rsidRDefault="001A1E09" w:rsidP="001A1E09">
            <w:pPr>
              <w:jc w:val="center"/>
              <w:rPr>
                <w:rFonts w:ascii="Calibri" w:hAnsi="Calibri"/>
                <w:color w:val="000000"/>
              </w:rPr>
            </w:pPr>
            <w:r>
              <w:rPr>
                <w:rFonts w:ascii="Calibri" w:hAnsi="Calibri"/>
                <w:color w:val="000000"/>
              </w:rPr>
              <w:t>3,0</w:t>
            </w:r>
          </w:p>
        </w:tc>
      </w:tr>
      <w:tr w:rsidR="001A1E09" w:rsidRPr="007F2DD2" w:rsidTr="00F742B1">
        <w:tc>
          <w:tcPr>
            <w:tcW w:w="2992" w:type="dxa"/>
          </w:tcPr>
          <w:p w:rsidR="001A1E09" w:rsidRPr="007F2DD2" w:rsidRDefault="001A1E09" w:rsidP="007F2DD2">
            <w:pPr>
              <w:ind w:left="851"/>
              <w:jc w:val="both"/>
              <w:rPr>
                <w:i/>
                <w:sz w:val="16"/>
                <w:szCs w:val="16"/>
              </w:rPr>
            </w:pPr>
            <w:r w:rsidRPr="007F2DD2">
              <w:rPr>
                <w:i/>
                <w:sz w:val="16"/>
                <w:szCs w:val="16"/>
              </w:rPr>
              <w:t>Pulmón</w:t>
            </w:r>
          </w:p>
        </w:tc>
        <w:tc>
          <w:tcPr>
            <w:tcW w:w="2993" w:type="dxa"/>
          </w:tcPr>
          <w:p w:rsidR="001A1E09" w:rsidRPr="007F2DD2" w:rsidRDefault="001A1E09" w:rsidP="0007775C">
            <w:pPr>
              <w:jc w:val="center"/>
              <w:rPr>
                <w:i/>
                <w:sz w:val="16"/>
                <w:szCs w:val="16"/>
              </w:rPr>
            </w:pPr>
            <w:r w:rsidRPr="007F2DD2">
              <w:rPr>
                <w:i/>
                <w:sz w:val="16"/>
                <w:szCs w:val="16"/>
              </w:rPr>
              <w:t>2</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1,2</w:t>
            </w:r>
          </w:p>
        </w:tc>
      </w:tr>
      <w:tr w:rsidR="001A1E09" w:rsidRPr="007F2DD2" w:rsidTr="00F742B1">
        <w:tc>
          <w:tcPr>
            <w:tcW w:w="2992" w:type="dxa"/>
          </w:tcPr>
          <w:p w:rsidR="001A1E09" w:rsidRPr="007F2DD2" w:rsidRDefault="001A1E09" w:rsidP="007F2DD2">
            <w:pPr>
              <w:ind w:left="851"/>
              <w:jc w:val="both"/>
              <w:rPr>
                <w:i/>
                <w:sz w:val="16"/>
                <w:szCs w:val="16"/>
              </w:rPr>
            </w:pPr>
            <w:r w:rsidRPr="007F2DD2">
              <w:rPr>
                <w:i/>
                <w:sz w:val="16"/>
                <w:szCs w:val="16"/>
              </w:rPr>
              <w:t>Mama</w:t>
            </w:r>
          </w:p>
        </w:tc>
        <w:tc>
          <w:tcPr>
            <w:tcW w:w="2993" w:type="dxa"/>
          </w:tcPr>
          <w:p w:rsidR="001A1E09" w:rsidRPr="007F2DD2" w:rsidRDefault="001A1E09" w:rsidP="0007775C">
            <w:pPr>
              <w:jc w:val="center"/>
              <w:rPr>
                <w:i/>
                <w:sz w:val="16"/>
                <w:szCs w:val="16"/>
              </w:rPr>
            </w:pPr>
            <w:r w:rsidRPr="007F2DD2">
              <w:rPr>
                <w:i/>
                <w:sz w:val="16"/>
                <w:szCs w:val="16"/>
              </w:rPr>
              <w:t>1</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0,6</w:t>
            </w:r>
          </w:p>
        </w:tc>
      </w:tr>
      <w:tr w:rsidR="001A1E09" w:rsidRPr="007F2DD2" w:rsidTr="00F742B1">
        <w:tc>
          <w:tcPr>
            <w:tcW w:w="2992" w:type="dxa"/>
          </w:tcPr>
          <w:p w:rsidR="001A1E09" w:rsidRPr="007F2DD2" w:rsidRDefault="001A1E09" w:rsidP="007F2DD2">
            <w:pPr>
              <w:ind w:left="851"/>
              <w:jc w:val="both"/>
              <w:rPr>
                <w:i/>
                <w:sz w:val="16"/>
                <w:szCs w:val="16"/>
              </w:rPr>
            </w:pPr>
            <w:r w:rsidRPr="007F2DD2">
              <w:rPr>
                <w:i/>
                <w:sz w:val="16"/>
                <w:szCs w:val="16"/>
              </w:rPr>
              <w:t>Otros</w:t>
            </w:r>
          </w:p>
        </w:tc>
        <w:tc>
          <w:tcPr>
            <w:tcW w:w="2993" w:type="dxa"/>
          </w:tcPr>
          <w:p w:rsidR="001A1E09" w:rsidRPr="007F2DD2" w:rsidRDefault="001A1E09" w:rsidP="0007775C">
            <w:pPr>
              <w:jc w:val="center"/>
              <w:rPr>
                <w:i/>
                <w:sz w:val="16"/>
                <w:szCs w:val="16"/>
              </w:rPr>
            </w:pPr>
            <w:r w:rsidRPr="007F2DD2">
              <w:rPr>
                <w:i/>
                <w:sz w:val="16"/>
                <w:szCs w:val="16"/>
              </w:rPr>
              <w:t>2</w:t>
            </w:r>
          </w:p>
        </w:tc>
        <w:tc>
          <w:tcPr>
            <w:tcW w:w="2993" w:type="dxa"/>
            <w:vAlign w:val="bottom"/>
          </w:tcPr>
          <w:p w:rsidR="001A1E09" w:rsidRPr="001A1E09" w:rsidRDefault="001A1E09" w:rsidP="001A1E09">
            <w:pPr>
              <w:jc w:val="center"/>
              <w:rPr>
                <w:rFonts w:ascii="Calibri" w:hAnsi="Calibri"/>
                <w:i/>
                <w:color w:val="000000"/>
                <w:sz w:val="16"/>
                <w:szCs w:val="16"/>
              </w:rPr>
            </w:pPr>
            <w:r w:rsidRPr="001A1E09">
              <w:rPr>
                <w:rFonts w:ascii="Calibri" w:hAnsi="Calibri"/>
                <w:i/>
                <w:color w:val="000000"/>
                <w:sz w:val="16"/>
                <w:szCs w:val="16"/>
              </w:rPr>
              <w:t>1,2</w:t>
            </w:r>
          </w:p>
        </w:tc>
      </w:tr>
    </w:tbl>
    <w:p w:rsidR="001A1E09" w:rsidRDefault="001A1E09" w:rsidP="001A1E09">
      <w:pPr>
        <w:spacing w:after="0" w:line="240" w:lineRule="auto"/>
        <w:jc w:val="both"/>
      </w:pPr>
      <w:r>
        <w:t>Fuente: MNP Paraguay.</w:t>
      </w:r>
    </w:p>
    <w:p w:rsidR="0007775C" w:rsidRDefault="0007775C" w:rsidP="00C83BE8">
      <w:pPr>
        <w:spacing w:after="0" w:line="240" w:lineRule="auto"/>
        <w:jc w:val="both"/>
      </w:pPr>
    </w:p>
    <w:p w:rsidR="009B7DB1" w:rsidRDefault="009B7DB1" w:rsidP="00C83BE8">
      <w:pPr>
        <w:spacing w:after="0" w:line="240" w:lineRule="auto"/>
        <w:jc w:val="both"/>
      </w:pPr>
      <w:r>
        <w:t>De un modo preliminar, el MNP constata que el contexto de estas muertes se caracteriza por una serie de omisiones del Estado parte en su posición de garante de los derechos de las personas privadas de libertad. Se dan situaciones sistemáticas de o</w:t>
      </w:r>
      <w:r w:rsidRPr="00E9352C">
        <w:rPr>
          <w:rFonts w:ascii="Calibri" w:eastAsia="Times New Roman" w:hAnsi="Calibri" w:cs="Times New Roman"/>
          <w:color w:val="000000"/>
          <w:lang w:eastAsia="es-MX"/>
        </w:rPr>
        <w:t xml:space="preserve">misión en la posición de garante </w:t>
      </w:r>
      <w:r>
        <w:rPr>
          <w:rFonts w:ascii="Calibri" w:eastAsia="Times New Roman" w:hAnsi="Calibri" w:cs="Times New Roman"/>
          <w:color w:val="000000"/>
          <w:lang w:eastAsia="es-MX"/>
        </w:rPr>
        <w:t xml:space="preserve">en la garantía </w:t>
      </w:r>
      <w:r w:rsidRPr="00E9352C">
        <w:rPr>
          <w:rFonts w:ascii="Calibri" w:eastAsia="Times New Roman" w:hAnsi="Calibri" w:cs="Times New Roman"/>
          <w:color w:val="000000"/>
          <w:lang w:eastAsia="es-MX"/>
        </w:rPr>
        <w:t>del derecho a la salud</w:t>
      </w:r>
      <w:r>
        <w:rPr>
          <w:rFonts w:ascii="Calibri" w:eastAsia="Times New Roman" w:hAnsi="Calibri" w:cs="Times New Roman"/>
          <w:color w:val="000000"/>
          <w:lang w:eastAsia="es-MX"/>
        </w:rPr>
        <w:t xml:space="preserve">; en la adopción de </w:t>
      </w:r>
      <w:r w:rsidRPr="00E9352C">
        <w:rPr>
          <w:rFonts w:ascii="Calibri" w:eastAsia="Times New Roman" w:hAnsi="Calibri" w:cs="Times New Roman"/>
          <w:color w:val="000000"/>
          <w:lang w:eastAsia="es-MX"/>
        </w:rPr>
        <w:t>medidas de seguridad preventiva de la violencia entre internos</w:t>
      </w:r>
      <w:r>
        <w:rPr>
          <w:rFonts w:ascii="Calibri" w:eastAsia="Times New Roman" w:hAnsi="Calibri" w:cs="Times New Roman"/>
          <w:color w:val="000000"/>
          <w:lang w:eastAsia="es-MX"/>
        </w:rPr>
        <w:t xml:space="preserve">; </w:t>
      </w:r>
      <w:r w:rsidRPr="00E9352C">
        <w:rPr>
          <w:rFonts w:ascii="Calibri" w:eastAsia="Times New Roman" w:hAnsi="Calibri" w:cs="Times New Roman"/>
          <w:color w:val="000000"/>
          <w:lang w:eastAsia="es-MX"/>
        </w:rPr>
        <w:t>en la prevención de siniestros</w:t>
      </w:r>
      <w:r>
        <w:rPr>
          <w:rFonts w:ascii="Calibri" w:eastAsia="Times New Roman" w:hAnsi="Calibri" w:cs="Times New Roman"/>
          <w:color w:val="000000"/>
          <w:lang w:eastAsia="es-MX"/>
        </w:rPr>
        <w:t>; en la limitación y legitimidad del u</w:t>
      </w:r>
      <w:r w:rsidRPr="00E9352C">
        <w:rPr>
          <w:rFonts w:ascii="Calibri" w:eastAsia="Times New Roman" w:hAnsi="Calibri" w:cs="Times New Roman"/>
          <w:color w:val="000000"/>
          <w:lang w:eastAsia="es-MX"/>
        </w:rPr>
        <w:t>so de la fuerza letal por parte de agentes penitenciarios</w:t>
      </w:r>
      <w:r>
        <w:rPr>
          <w:rFonts w:ascii="Calibri" w:eastAsia="Times New Roman" w:hAnsi="Calibri" w:cs="Times New Roman"/>
          <w:color w:val="000000"/>
          <w:lang w:eastAsia="es-MX"/>
        </w:rPr>
        <w:t xml:space="preserve">; </w:t>
      </w:r>
      <w:r w:rsidRPr="00E9352C">
        <w:rPr>
          <w:rFonts w:ascii="Calibri" w:eastAsia="Times New Roman" w:hAnsi="Calibri" w:cs="Times New Roman"/>
          <w:color w:val="000000"/>
          <w:lang w:eastAsia="es-MX"/>
        </w:rPr>
        <w:t>en la posición de garante ante situaciones de huelga de hambre</w:t>
      </w:r>
      <w:r>
        <w:rPr>
          <w:rFonts w:ascii="Calibri" w:eastAsia="Times New Roman" w:hAnsi="Calibri" w:cs="Times New Roman"/>
          <w:color w:val="000000"/>
          <w:lang w:eastAsia="es-MX"/>
        </w:rPr>
        <w:t xml:space="preserve">; y en la previsión y prevención de </w:t>
      </w:r>
      <w:r w:rsidRPr="00E9352C">
        <w:rPr>
          <w:rFonts w:ascii="Calibri" w:eastAsia="Times New Roman" w:hAnsi="Calibri" w:cs="Times New Roman"/>
          <w:color w:val="000000"/>
          <w:lang w:eastAsia="es-MX"/>
        </w:rPr>
        <w:t>suicidios</w:t>
      </w:r>
      <w:r>
        <w:rPr>
          <w:rFonts w:ascii="Calibri" w:eastAsia="Times New Roman" w:hAnsi="Calibri" w:cs="Times New Roman"/>
          <w:color w:val="000000"/>
          <w:lang w:eastAsia="es-MX"/>
        </w:rPr>
        <w:t>.</w:t>
      </w:r>
    </w:p>
    <w:p w:rsidR="009B7DB1" w:rsidRDefault="009B7DB1" w:rsidP="00C83BE8">
      <w:pPr>
        <w:spacing w:after="0" w:line="240" w:lineRule="auto"/>
        <w:jc w:val="both"/>
      </w:pPr>
    </w:p>
    <w:p w:rsidR="00E9352C" w:rsidRDefault="008C0141" w:rsidP="00C83BE8">
      <w:pPr>
        <w:spacing w:after="0" w:line="240" w:lineRule="auto"/>
        <w:jc w:val="both"/>
      </w:pPr>
      <w:r>
        <w:t>El MNP constata asimismo que estos casos, en su mayor parte, acaban con un cuadro de general impunidad. No es una práctica que se realicen sumarios administrativos en investigación de los hechos; cuando estos se llevan a cabo, se limitan a investigar la responsabilidad individual administrativa de los funcionarios encargados de la seguridad. En general, las investigaciones administrativas no concluyen en recomendaciones sobre medidas preventivas y garantías de no repetición. A nivel de responsabilidad penal, el MNP cuenta con el registro de que en 63 casos existe una intervención del Ministerio Público en la investigación; en el resto de los casos no se cuenta con la información. En un solo caso se cuenta con información que la acusación ha sido resuelta en una condena de cuatro años, tras un procedimiento abreviado. En seis casos se cuenta con información que la acusación está pendiente de juicio oral.</w:t>
      </w:r>
    </w:p>
    <w:p w:rsidR="00E9352C" w:rsidRDefault="00E9352C" w:rsidP="00C83BE8">
      <w:pPr>
        <w:spacing w:after="0" w:line="240" w:lineRule="auto"/>
        <w:jc w:val="both"/>
      </w:pPr>
    </w:p>
    <w:p w:rsidR="00BF5572" w:rsidRPr="00BF5572" w:rsidRDefault="008C0141" w:rsidP="00C83BE8">
      <w:pPr>
        <w:spacing w:after="0" w:line="240" w:lineRule="auto"/>
        <w:jc w:val="both"/>
      </w:pPr>
      <w:r>
        <w:t xml:space="preserve">Es preocupante la impunidad de los casos en los que se presume uso ilegítimo de la fuerza por parte de agentes penitenciarios. </w:t>
      </w:r>
      <w:r w:rsidR="00BF5572">
        <w:t xml:space="preserve">En una emblemática causa de dos adolescentes privados de libertad en el CE de </w:t>
      </w:r>
      <w:proofErr w:type="spellStart"/>
      <w:r w:rsidR="00BF5572">
        <w:t>Itauguá</w:t>
      </w:r>
      <w:proofErr w:type="spellEnd"/>
      <w:r w:rsidR="00BF5572">
        <w:t xml:space="preserve">, víctimas de una ejecución arbitraria en el 2014, tres guardias están </w:t>
      </w:r>
      <w:r w:rsidR="00BF5572">
        <w:lastRenderedPageBreak/>
        <w:t xml:space="preserve">acusados de homicidio doloso, pero la fecha de juicio oral fue postergada en diciembre de 2016, a solicitud de la defensa. Ni el director del centro en este momento ni el jefe de seguridad fueron investigados penal o administrativamente </w:t>
      </w:r>
      <w:r w:rsidR="00BF5572" w:rsidRPr="00BF5572">
        <w:t>(</w:t>
      </w:r>
      <w:r w:rsidR="00BF5572" w:rsidRPr="00BF5572">
        <w:rPr>
          <w:shd w:val="clear" w:color="auto" w:fill="FFFFFF"/>
        </w:rPr>
        <w:t>causa “Ignacio Franco Fernández y otros s/ homicidio doloso”, ante el Tribunal de Sentencia de Luque).</w:t>
      </w:r>
    </w:p>
    <w:p w:rsidR="008C0141" w:rsidRDefault="008C0141" w:rsidP="00C83BE8">
      <w:pPr>
        <w:spacing w:after="0" w:line="240" w:lineRule="auto"/>
        <w:jc w:val="both"/>
      </w:pPr>
    </w:p>
    <w:p w:rsidR="00BF5572" w:rsidRDefault="00BF5572" w:rsidP="00C83BE8">
      <w:pPr>
        <w:spacing w:after="0" w:line="240" w:lineRule="auto"/>
        <w:jc w:val="both"/>
      </w:pPr>
      <w:r>
        <w:t xml:space="preserve">En el caso de dos internos víctimas de una presunta ejecución arbitraria por disparos de arma de fuego efectuadas por agentes penitenciarios en la represión de una protesta de presos por la falta de energía eléctrica en el pabellón, ocurrida en la Penitenciaría Juan Antonio de la Vega en </w:t>
      </w:r>
      <w:r w:rsidR="00A52F60">
        <w:t xml:space="preserve">diciembre de </w:t>
      </w:r>
      <w:r>
        <w:t xml:space="preserve">2015, una investigación fiscal fue abierta pero no produjo resultado alguno hasta la fecha. Ningún funcionario público fue imputado ni investigado por este hecho y </w:t>
      </w:r>
      <w:r w:rsidR="00B60FBA">
        <w:t xml:space="preserve">la </w:t>
      </w:r>
      <w:r>
        <w:t>causa aún permanece en la fase preparatoria (</w:t>
      </w:r>
      <w:r w:rsidRPr="00BF5572">
        <w:t>Causa N° 1112/2015 Innominado s/ a determinar</w:t>
      </w:r>
      <w:r>
        <w:t>, ante la Unidad Penal N° 1 del distrito de Emboscada).</w:t>
      </w:r>
    </w:p>
    <w:p w:rsidR="00BF5572" w:rsidRDefault="00BF5572" w:rsidP="00C83BE8">
      <w:pPr>
        <w:spacing w:after="0" w:line="240" w:lineRule="auto"/>
        <w:jc w:val="both"/>
      </w:pPr>
    </w:p>
    <w:p w:rsidR="00BF5572" w:rsidRDefault="00BF5572" w:rsidP="00C83BE8">
      <w:pPr>
        <w:spacing w:after="0" w:line="240" w:lineRule="auto"/>
        <w:jc w:val="both"/>
      </w:pPr>
      <w:r>
        <w:t xml:space="preserve">En una causa de muerte por politraumatismo ocurrido por presuntas torturas en el Centro de Rehabilitación Social (CERESO), de Itapúa, hubo una intervención administrativa del establecimiento por parte de las autoridades del Ministerio de Justicia. La intervención administrativa concluyó con un informe que responsabilizaba a otro interno de las heridas recibidas por la víctima. Sin embargo, el informe del médico forense estableció que las múltiples lesiones que provocaron la muerte de la víctima eran compatibles con la tortura, no con una pelea o enfrentamiento. A pesar de este diagnóstico, la investigación no avanzó porque quedó </w:t>
      </w:r>
      <w:r w:rsidRPr="00BF5572">
        <w:t>pendiente de decisión por parte del Fiscal General del Estado una cuestión de competencia</w:t>
      </w:r>
      <w:r>
        <w:t xml:space="preserve"> respecto de cuál era la unidad que debía investigar el caso (</w:t>
      </w:r>
      <w:r w:rsidRPr="00BF5572">
        <w:t>Causa N° 66/2015 “Innominado s/ a determinar”</w:t>
      </w:r>
      <w:r>
        <w:t xml:space="preserve">, ante la </w:t>
      </w:r>
      <w:r w:rsidRPr="00BF5572">
        <w:t>UP N° 8 Encarnación o UP N° 2 Fiscalía Especializada de Derechos Humanos</w:t>
      </w:r>
      <w:r>
        <w:t>).</w:t>
      </w:r>
    </w:p>
    <w:p w:rsidR="00BF5572" w:rsidRDefault="00BF5572" w:rsidP="00C83BE8">
      <w:pPr>
        <w:spacing w:after="0" w:line="240" w:lineRule="auto"/>
        <w:jc w:val="both"/>
      </w:pPr>
    </w:p>
    <w:p w:rsidR="002B19FA" w:rsidRDefault="002B19FA" w:rsidP="00C83BE8">
      <w:pPr>
        <w:spacing w:after="0" w:line="240" w:lineRule="auto"/>
        <w:jc w:val="both"/>
      </w:pPr>
      <w:r>
        <w:t>No se conceden indemnizaciones a los familiares de personas fallecidas bajo custodia. Lo que existe en el sistema penitenciario es un servicio de sepelio contratado en virtud del cual el Ministerio de Justicia provee el féretro a los familiares de la persona fallecida. No obstante, la observación de campo del MNP corrobora que no siempre se ofrece este servicio a los familiares de las víctimas.</w:t>
      </w:r>
    </w:p>
    <w:p w:rsidR="002B19FA" w:rsidRDefault="002B19FA" w:rsidP="00C83BE8">
      <w:pPr>
        <w:spacing w:after="0" w:line="240" w:lineRule="auto"/>
        <w:jc w:val="both"/>
      </w:pPr>
    </w:p>
    <w:p w:rsidR="00532A50" w:rsidRDefault="00532A50" w:rsidP="00C83BE8">
      <w:pPr>
        <w:spacing w:after="0" w:line="240" w:lineRule="auto"/>
        <w:jc w:val="both"/>
      </w:pPr>
      <w:r>
        <w:t xml:space="preserve">El MNP está preparando un informe </w:t>
      </w:r>
      <w:r w:rsidR="001E1F52">
        <w:t>sobre las muertes bajo custodia en el sistema penitenciario, en el que se recomendará que el Estado parte: a) Establezca un registro nacional de personas fallecidas bajo custodia en los establecimientos penitenciarios y centros educativos; b) realice investigaciones exhaustivas, independientes e imparciales en todos los casos, a los efectos de determinar las responsabilidades individuales y formular recomendaciones de garantías de no repetición; c) se realicen autopsias conforme al Protocolo de Estambul en todos los casos de personas fallecidas bajo custodia del Estado.</w:t>
      </w:r>
    </w:p>
    <w:p w:rsidR="0063457C" w:rsidRDefault="0063457C" w:rsidP="00C83BE8">
      <w:pPr>
        <w:spacing w:after="0" w:line="240" w:lineRule="auto"/>
        <w:jc w:val="both"/>
      </w:pPr>
    </w:p>
    <w:p w:rsidR="00941010" w:rsidRPr="00941010" w:rsidRDefault="00941010" w:rsidP="00941010">
      <w:pPr>
        <w:pStyle w:val="H23G"/>
        <w:spacing w:before="0" w:after="0" w:line="240" w:lineRule="auto"/>
        <w:rPr>
          <w:rFonts w:asciiTheme="minorHAnsi" w:eastAsia="Calibri" w:hAnsiTheme="minorHAnsi"/>
          <w:sz w:val="22"/>
          <w:szCs w:val="22"/>
          <w:lang w:eastAsia="en-US"/>
        </w:rPr>
      </w:pPr>
      <w:r w:rsidRPr="00941010">
        <w:rPr>
          <w:rFonts w:asciiTheme="minorHAnsi" w:eastAsia="Calibri" w:hAnsiTheme="minorHAnsi"/>
          <w:sz w:val="22"/>
          <w:szCs w:val="22"/>
          <w:lang w:eastAsia="en-US"/>
        </w:rPr>
        <w:tab/>
      </w:r>
      <w:r w:rsidRPr="00941010">
        <w:rPr>
          <w:rFonts w:asciiTheme="minorHAnsi" w:eastAsia="Calibri" w:hAnsiTheme="minorHAnsi"/>
          <w:sz w:val="22"/>
          <w:szCs w:val="22"/>
          <w:lang w:eastAsia="en-US"/>
        </w:rPr>
        <w:tab/>
        <w:t>Artículos 12 y 13</w:t>
      </w:r>
    </w:p>
    <w:p w:rsidR="00941010" w:rsidRDefault="00941010" w:rsidP="00941010">
      <w:pPr>
        <w:pStyle w:val="SingleTxtG"/>
        <w:spacing w:after="0" w:line="240" w:lineRule="auto"/>
        <w:rPr>
          <w:rFonts w:eastAsia="Calibri"/>
          <w:b/>
          <w:lang w:eastAsia="en-US"/>
        </w:rPr>
      </w:pPr>
    </w:p>
    <w:p w:rsidR="00941010" w:rsidRDefault="00941010" w:rsidP="00941010">
      <w:pPr>
        <w:pStyle w:val="SingleTxtG"/>
        <w:spacing w:after="0" w:line="240" w:lineRule="auto"/>
        <w:rPr>
          <w:rFonts w:eastAsia="Calibri"/>
          <w:b/>
          <w:lang w:eastAsia="en-US"/>
        </w:rPr>
      </w:pPr>
      <w:r w:rsidRPr="00941010">
        <w:rPr>
          <w:rFonts w:eastAsia="Calibri"/>
          <w:b/>
          <w:lang w:eastAsia="en-US"/>
        </w:rPr>
        <w:t>23.</w:t>
      </w:r>
      <w:r w:rsidRPr="00941010">
        <w:rPr>
          <w:rFonts w:eastAsia="Calibri"/>
          <w:b/>
          <w:lang w:eastAsia="en-US"/>
        </w:rPr>
        <w:tab/>
        <w:t>Sírvanse proporcionar datos estadísticos desglosados por sexo, edad, origen étnico o nacionalidad y lugar de detención, sobre el número de denuncias por actos de tortura o malos tratos registrados durante el periodo en examen. Sírvanse incluir información sobre las investigaciones, los procedimientos disciplinarios y penales, las condenas y las sanciones penales o disciplinarias impuestas</w:t>
      </w:r>
      <w:r>
        <w:rPr>
          <w:rFonts w:eastAsia="Calibri"/>
          <w:b/>
          <w:lang w:eastAsia="en-US"/>
        </w:rPr>
        <w:t>.</w:t>
      </w:r>
    </w:p>
    <w:p w:rsidR="00941010" w:rsidRPr="00941010" w:rsidRDefault="00941010" w:rsidP="00941010">
      <w:pPr>
        <w:pStyle w:val="SingleTxtG"/>
        <w:spacing w:after="0" w:line="240" w:lineRule="auto"/>
        <w:rPr>
          <w:rFonts w:eastAsia="Calibri"/>
          <w:b/>
          <w:lang w:eastAsia="en-US"/>
        </w:rPr>
      </w:pPr>
    </w:p>
    <w:p w:rsidR="00941010" w:rsidRPr="00941010" w:rsidRDefault="00941010" w:rsidP="00941010">
      <w:pPr>
        <w:pStyle w:val="SingleTxtG"/>
        <w:spacing w:after="0" w:line="240" w:lineRule="auto"/>
        <w:rPr>
          <w:rFonts w:eastAsia="Calibri"/>
          <w:b/>
          <w:lang w:eastAsia="en-US"/>
        </w:rPr>
      </w:pPr>
      <w:r w:rsidRPr="00941010">
        <w:rPr>
          <w:rFonts w:eastAsia="Calibri"/>
          <w:b/>
          <w:lang w:eastAsia="en-US"/>
        </w:rPr>
        <w:lastRenderedPageBreak/>
        <w:t>24.</w:t>
      </w:r>
      <w:r w:rsidRPr="00941010">
        <w:rPr>
          <w:rFonts w:eastAsia="Calibri"/>
          <w:b/>
          <w:lang w:eastAsia="en-US"/>
        </w:rPr>
        <w:tab/>
        <w:t>Con referencia a la información facilitada por el Estado parte en el informe de seguimiento, sírvase proporcionar información más detallada sobre las medidas adoptadas para velar por que todas las denuncias de tortura o malos tratos se investiguen de forma pronta e imparcial por un órgano independiente</w:t>
      </w:r>
      <w:r w:rsidRPr="00941010">
        <w:rPr>
          <w:rFonts w:eastAsia="Calibri"/>
          <w:b/>
          <w:vertAlign w:val="superscript"/>
          <w:lang w:eastAsia="en-US"/>
        </w:rPr>
        <w:footnoteReference w:id="17"/>
      </w:r>
      <w:r w:rsidRPr="00941010">
        <w:rPr>
          <w:rFonts w:eastAsia="Calibri"/>
          <w:b/>
          <w:lang w:eastAsia="en-US"/>
        </w:rPr>
        <w:t>. Asimismo, sírvanse indicar las medidas adoptadas para garantizar la eficacia e independencia del sistema interno de quejas a disposición de las personas privadas de libertad.</w:t>
      </w:r>
    </w:p>
    <w:p w:rsidR="00941010" w:rsidRPr="00941010" w:rsidRDefault="00941010" w:rsidP="00C83BE8">
      <w:pPr>
        <w:spacing w:after="0" w:line="240" w:lineRule="auto"/>
        <w:jc w:val="both"/>
      </w:pPr>
    </w:p>
    <w:p w:rsidR="00941010" w:rsidRPr="00941010" w:rsidRDefault="00941010" w:rsidP="00941010">
      <w:pPr>
        <w:spacing w:after="0" w:line="240" w:lineRule="auto"/>
        <w:jc w:val="both"/>
        <w:rPr>
          <w:rFonts w:ascii="Times New Roman" w:eastAsia="Times New Roman" w:hAnsi="Times New Roman" w:cs="Times New Roman"/>
          <w:sz w:val="24"/>
          <w:szCs w:val="24"/>
          <w:lang w:val="es-ES" w:eastAsia="es-ES"/>
        </w:rPr>
      </w:pPr>
      <w:r>
        <w:rPr>
          <w:rFonts w:ascii="Calibri" w:eastAsia="Times New Roman" w:hAnsi="Calibri" w:cs="Times New Roman"/>
          <w:iCs/>
          <w:color w:val="000000"/>
          <w:lang w:val="es-ES" w:eastAsia="es-ES"/>
        </w:rPr>
        <w:t xml:space="preserve">En el Estado parte, el crimen de tortura es de competencia de una unidad del Ministerio Público que está especializada en la persecución de hechos punibles contra los derechos humanos. Esta unidad está a cargo de tres agentes fiscales penales que tienen jurisdicción en todo el territorio del Estado parte. </w:t>
      </w:r>
      <w:r w:rsidRPr="00941010">
        <w:rPr>
          <w:rFonts w:ascii="Calibri" w:eastAsia="Times New Roman" w:hAnsi="Calibri" w:cs="Times New Roman"/>
          <w:iCs/>
          <w:color w:val="000000"/>
          <w:lang w:val="es-ES" w:eastAsia="es-ES"/>
        </w:rPr>
        <w:t xml:space="preserve">Desde su creación el MNP viene monitoreando la actuación de la Unidad Especializada en Hechos Punibles contra los Derechos Humanos del Ministerio Público, valorando la importancia de que se sancionen efectivamente los hechos de torturas y malos tratos. Este monitoreo reveló que existe una situación de impunidad casi generalizada frente a este tipo de hechos punibles. </w:t>
      </w:r>
    </w:p>
    <w:p w:rsidR="00941010" w:rsidRDefault="00941010" w:rsidP="00941010">
      <w:pPr>
        <w:spacing w:after="0" w:line="240" w:lineRule="auto"/>
        <w:jc w:val="both"/>
        <w:rPr>
          <w:rFonts w:ascii="Calibri" w:eastAsia="Times New Roman" w:hAnsi="Calibri" w:cs="Times New Roman"/>
          <w:iCs/>
          <w:color w:val="000000"/>
          <w:lang w:val="es-ES" w:eastAsia="es-ES"/>
        </w:rPr>
      </w:pPr>
    </w:p>
    <w:p w:rsidR="00941010" w:rsidRDefault="00941010" w:rsidP="00941010">
      <w:pPr>
        <w:spacing w:after="0" w:line="240" w:lineRule="auto"/>
        <w:jc w:val="both"/>
        <w:rPr>
          <w:rFonts w:ascii="Calibri" w:eastAsia="Times New Roman" w:hAnsi="Calibri" w:cs="Times New Roman"/>
          <w:iCs/>
          <w:color w:val="000000"/>
          <w:lang w:val="es-ES" w:eastAsia="es-ES"/>
        </w:rPr>
      </w:pPr>
      <w:r w:rsidRPr="00941010">
        <w:rPr>
          <w:rFonts w:ascii="Calibri" w:eastAsia="Times New Roman" w:hAnsi="Calibri" w:cs="Times New Roman"/>
          <w:iCs/>
          <w:color w:val="000000"/>
          <w:lang w:val="es-ES" w:eastAsia="es-ES"/>
        </w:rPr>
        <w:t xml:space="preserve">Esta situación ha sido manifestada en los informes de gestión de los años 2013, 2014, 2015 y 2016 como un factor que claramente contribuye a la </w:t>
      </w:r>
      <w:proofErr w:type="spellStart"/>
      <w:r w:rsidRPr="00941010">
        <w:rPr>
          <w:rFonts w:ascii="Calibri" w:eastAsia="Times New Roman" w:hAnsi="Calibri" w:cs="Times New Roman"/>
          <w:iCs/>
          <w:color w:val="000000"/>
          <w:lang w:val="es-ES" w:eastAsia="es-ES"/>
        </w:rPr>
        <w:t>cronificación</w:t>
      </w:r>
      <w:proofErr w:type="spellEnd"/>
      <w:r w:rsidRPr="00941010">
        <w:rPr>
          <w:rFonts w:ascii="Calibri" w:eastAsia="Times New Roman" w:hAnsi="Calibri" w:cs="Times New Roman"/>
          <w:iCs/>
          <w:color w:val="000000"/>
          <w:lang w:val="es-ES" w:eastAsia="es-ES"/>
        </w:rPr>
        <w:t xml:space="preserve"> de la práctica</w:t>
      </w:r>
      <w:r>
        <w:rPr>
          <w:rFonts w:ascii="Calibri" w:eastAsia="Times New Roman" w:hAnsi="Calibri" w:cs="Times New Roman"/>
          <w:iCs/>
          <w:color w:val="000000"/>
          <w:lang w:val="es-ES" w:eastAsia="es-ES"/>
        </w:rPr>
        <w:t xml:space="preserve"> de la tortura</w:t>
      </w:r>
      <w:r w:rsidRPr="00941010">
        <w:rPr>
          <w:rFonts w:ascii="Calibri" w:eastAsia="Times New Roman" w:hAnsi="Calibri" w:cs="Times New Roman"/>
          <w:iCs/>
          <w:color w:val="000000"/>
          <w:lang w:val="es-ES" w:eastAsia="es-ES"/>
        </w:rPr>
        <w:t xml:space="preserve"> en las instituciones policiales y penales de</w:t>
      </w:r>
      <w:r>
        <w:rPr>
          <w:rFonts w:ascii="Calibri" w:eastAsia="Times New Roman" w:hAnsi="Calibri" w:cs="Times New Roman"/>
          <w:iCs/>
          <w:color w:val="000000"/>
          <w:lang w:val="es-ES" w:eastAsia="es-ES"/>
        </w:rPr>
        <w:t>l Estado parte</w:t>
      </w:r>
      <w:r w:rsidRPr="00941010">
        <w:rPr>
          <w:rFonts w:ascii="Calibri" w:eastAsia="Times New Roman" w:hAnsi="Calibri" w:cs="Times New Roman"/>
          <w:iCs/>
          <w:color w:val="000000"/>
          <w:lang w:val="es-ES" w:eastAsia="es-ES"/>
        </w:rPr>
        <w:t>.</w:t>
      </w:r>
    </w:p>
    <w:p w:rsidR="00941010" w:rsidRDefault="00941010" w:rsidP="00941010">
      <w:pPr>
        <w:spacing w:after="0" w:line="240" w:lineRule="auto"/>
        <w:jc w:val="both"/>
        <w:rPr>
          <w:rFonts w:ascii="Calibri" w:eastAsia="Times New Roman" w:hAnsi="Calibri" w:cs="Times New Roman"/>
          <w:iCs/>
          <w:color w:val="000000"/>
          <w:lang w:val="es-ES" w:eastAsia="es-ES"/>
        </w:rPr>
      </w:pPr>
    </w:p>
    <w:p w:rsidR="00941010" w:rsidRDefault="00941010" w:rsidP="00941010">
      <w:pPr>
        <w:spacing w:after="0" w:line="240" w:lineRule="auto"/>
        <w:jc w:val="both"/>
        <w:rPr>
          <w:color w:val="000000"/>
        </w:rPr>
      </w:pPr>
      <w:r>
        <w:rPr>
          <w:color w:val="000000"/>
        </w:rPr>
        <w:t>E</w:t>
      </w:r>
      <w:r w:rsidRPr="008019B4">
        <w:rPr>
          <w:color w:val="000000"/>
        </w:rPr>
        <w:t xml:space="preserve">l </w:t>
      </w:r>
      <w:r>
        <w:rPr>
          <w:color w:val="000000"/>
        </w:rPr>
        <w:t>patrón de</w:t>
      </w:r>
      <w:r w:rsidRPr="008019B4">
        <w:rPr>
          <w:color w:val="000000"/>
        </w:rPr>
        <w:t xml:space="preserve"> impunidad </w:t>
      </w:r>
      <w:r>
        <w:rPr>
          <w:color w:val="000000"/>
        </w:rPr>
        <w:t xml:space="preserve">vigente </w:t>
      </w:r>
      <w:r w:rsidRPr="008019B4">
        <w:rPr>
          <w:color w:val="000000"/>
        </w:rPr>
        <w:t>encuentra</w:t>
      </w:r>
      <w:r>
        <w:rPr>
          <w:color w:val="000000"/>
        </w:rPr>
        <w:t xml:space="preserve"> un método común de consumación en la ineficacia de las investigaciones fiscales. Las investigaciones no son eficaces ni oportunas. Las denuncias no son esclarecidas y no hay acusación </w:t>
      </w:r>
      <w:r w:rsidRPr="00941010">
        <w:rPr>
          <w:color w:val="000000"/>
        </w:rPr>
        <w:t>por falta de pruebas que no son recolectadas en la etapa procesal correspondiente</w:t>
      </w:r>
      <w:r>
        <w:rPr>
          <w:color w:val="000000"/>
        </w:rPr>
        <w:t>. Las investigaciones forenses -cuando se practican- son extemporáneas y no se rigen por el Protocolo de Estambul.</w:t>
      </w:r>
    </w:p>
    <w:p w:rsidR="00941010" w:rsidRPr="00941010" w:rsidRDefault="00941010" w:rsidP="00941010">
      <w:pPr>
        <w:spacing w:after="0" w:line="240" w:lineRule="auto"/>
        <w:jc w:val="both"/>
        <w:rPr>
          <w:rFonts w:ascii="Times New Roman" w:eastAsia="Times New Roman" w:hAnsi="Times New Roman" w:cs="Times New Roman"/>
          <w:sz w:val="24"/>
          <w:szCs w:val="24"/>
          <w:lang w:val="es-ES" w:eastAsia="es-ES"/>
        </w:rPr>
      </w:pPr>
    </w:p>
    <w:p w:rsidR="00AA5AC2" w:rsidRDefault="00AA5AC2" w:rsidP="00941010">
      <w:pPr>
        <w:spacing w:after="0" w:line="240" w:lineRule="auto"/>
        <w:jc w:val="both"/>
        <w:rPr>
          <w:rFonts w:ascii="Calibri" w:eastAsia="Times New Roman" w:hAnsi="Calibri" w:cs="Times New Roman"/>
          <w:iCs/>
          <w:color w:val="000000"/>
          <w:lang w:val="es-ES" w:eastAsia="es-ES"/>
        </w:rPr>
      </w:pPr>
    </w:p>
    <w:p w:rsidR="00941010" w:rsidRDefault="00941010" w:rsidP="00941010">
      <w:pPr>
        <w:spacing w:after="0" w:line="240" w:lineRule="auto"/>
        <w:jc w:val="both"/>
        <w:rPr>
          <w:rFonts w:ascii="Calibri" w:eastAsia="Times New Roman" w:hAnsi="Calibri" w:cs="Times New Roman"/>
          <w:iCs/>
          <w:color w:val="000000"/>
          <w:lang w:val="es-ES" w:eastAsia="es-ES"/>
        </w:rPr>
      </w:pPr>
      <w:r w:rsidRPr="00941010">
        <w:rPr>
          <w:rFonts w:ascii="Calibri" w:eastAsia="Times New Roman" w:hAnsi="Calibri" w:cs="Times New Roman"/>
          <w:iCs/>
          <w:color w:val="000000"/>
          <w:lang w:val="es-ES" w:eastAsia="es-ES"/>
        </w:rPr>
        <w:t>Se recomendó a</w:t>
      </w:r>
      <w:r w:rsidR="00B60FBA">
        <w:rPr>
          <w:rFonts w:ascii="Calibri" w:eastAsia="Times New Roman" w:hAnsi="Calibri" w:cs="Times New Roman"/>
          <w:iCs/>
          <w:color w:val="000000"/>
          <w:lang w:val="es-ES" w:eastAsia="es-ES"/>
        </w:rPr>
        <w:t>l Ministerio Público</w:t>
      </w:r>
      <w:r w:rsidRPr="00941010">
        <w:rPr>
          <w:rFonts w:ascii="Calibri" w:eastAsia="Times New Roman" w:hAnsi="Calibri" w:cs="Times New Roman"/>
          <w:iCs/>
          <w:color w:val="000000"/>
          <w:lang w:val="es-ES" w:eastAsia="es-ES"/>
        </w:rPr>
        <w:t xml:space="preserve"> la adopción de política criminal para enfrentar la tortura, investigando, enjuiciando y sancionando efectivamente a los perpetradores. Esta política criminal debe contemplar el fortalecimiento financiero y operativo de la Unidad Especializada en Hechos Punibles contra los Derechos Humanos de la Fiscalía, así como la efectiva independencia e imparcialidad de los fiscales y funcionarios de la Unidad para poder enfrentar los crímenes que cometen otros funcionarios públicos que detentan poder.</w:t>
      </w:r>
    </w:p>
    <w:p w:rsidR="00941010" w:rsidRPr="00941010" w:rsidRDefault="00941010" w:rsidP="00941010">
      <w:pPr>
        <w:spacing w:after="0" w:line="240" w:lineRule="auto"/>
        <w:jc w:val="both"/>
        <w:rPr>
          <w:rFonts w:ascii="Times New Roman" w:eastAsia="Times New Roman" w:hAnsi="Times New Roman" w:cs="Times New Roman"/>
          <w:sz w:val="24"/>
          <w:szCs w:val="24"/>
          <w:lang w:val="es-ES" w:eastAsia="es-ES"/>
        </w:rPr>
      </w:pPr>
    </w:p>
    <w:p w:rsidR="00AA5AC2" w:rsidRDefault="00AA5AC2" w:rsidP="00941010">
      <w:pPr>
        <w:spacing w:after="0" w:line="240" w:lineRule="auto"/>
        <w:jc w:val="both"/>
        <w:rPr>
          <w:rFonts w:ascii="Calibri" w:eastAsia="Times New Roman" w:hAnsi="Calibri" w:cs="Times New Roman"/>
          <w:iCs/>
          <w:color w:val="000000"/>
          <w:lang w:val="es-ES" w:eastAsia="es-ES"/>
        </w:rPr>
      </w:pPr>
    </w:p>
    <w:p w:rsidR="00E915FC" w:rsidRDefault="00941010" w:rsidP="00941010">
      <w:pPr>
        <w:spacing w:after="0" w:line="240" w:lineRule="auto"/>
        <w:jc w:val="both"/>
        <w:rPr>
          <w:rFonts w:ascii="Calibri" w:eastAsia="Times New Roman" w:hAnsi="Calibri" w:cs="Times New Roman"/>
          <w:iCs/>
          <w:color w:val="000000"/>
          <w:lang w:val="es-ES" w:eastAsia="es-ES"/>
        </w:rPr>
      </w:pPr>
      <w:r w:rsidRPr="00941010">
        <w:rPr>
          <w:rFonts w:ascii="Calibri" w:eastAsia="Times New Roman" w:hAnsi="Calibri" w:cs="Times New Roman"/>
          <w:iCs/>
          <w:color w:val="000000"/>
          <w:lang w:val="es-ES" w:eastAsia="es-ES"/>
        </w:rPr>
        <w:t>El ingreso de causas a la Unidad Especializada se ma</w:t>
      </w:r>
      <w:r>
        <w:rPr>
          <w:rFonts w:ascii="Calibri" w:eastAsia="Times New Roman" w:hAnsi="Calibri" w:cs="Times New Roman"/>
          <w:iCs/>
          <w:color w:val="000000"/>
          <w:lang w:val="es-ES" w:eastAsia="es-ES"/>
        </w:rPr>
        <w:t>ntuvo constante en los últimos cuatro</w:t>
      </w:r>
      <w:r w:rsidRPr="00941010">
        <w:rPr>
          <w:rFonts w:ascii="Calibri" w:eastAsia="Times New Roman" w:hAnsi="Calibri" w:cs="Times New Roman"/>
          <w:iCs/>
          <w:color w:val="000000"/>
          <w:lang w:val="es-ES" w:eastAsia="es-ES"/>
        </w:rPr>
        <w:t xml:space="preserve"> años y la cantidad de causas que ingresan es menor a las que reciben las unidades ordinarias.</w:t>
      </w:r>
    </w:p>
    <w:p w:rsidR="00941010" w:rsidRPr="00E915FC" w:rsidRDefault="00941010" w:rsidP="00941010">
      <w:pPr>
        <w:spacing w:after="0" w:line="240" w:lineRule="auto"/>
        <w:jc w:val="both"/>
        <w:rPr>
          <w:rFonts w:ascii="Calibri" w:eastAsia="Times New Roman" w:hAnsi="Calibri" w:cs="Times New Roman"/>
          <w:b/>
          <w:iCs/>
          <w:color w:val="000000"/>
          <w:lang w:val="es-ES" w:eastAsia="es-ES"/>
        </w:rPr>
      </w:pPr>
    </w:p>
    <w:p w:rsidR="00AA5AC2" w:rsidRDefault="00AA5AC2" w:rsidP="00941010">
      <w:pPr>
        <w:spacing w:after="0" w:line="240" w:lineRule="auto"/>
        <w:jc w:val="both"/>
        <w:rPr>
          <w:rFonts w:ascii="Calibri" w:eastAsia="Times New Roman" w:hAnsi="Calibri" w:cs="Times New Roman"/>
          <w:b/>
          <w:iCs/>
          <w:color w:val="000000"/>
          <w:lang w:val="es-ES" w:eastAsia="es-ES"/>
        </w:rPr>
      </w:pPr>
    </w:p>
    <w:p w:rsidR="00AA5AC2" w:rsidRDefault="00AA5AC2" w:rsidP="00941010">
      <w:pPr>
        <w:spacing w:after="0" w:line="240" w:lineRule="auto"/>
        <w:jc w:val="both"/>
        <w:rPr>
          <w:rFonts w:ascii="Calibri" w:eastAsia="Times New Roman" w:hAnsi="Calibri" w:cs="Times New Roman"/>
          <w:b/>
          <w:iCs/>
          <w:color w:val="000000"/>
          <w:lang w:val="es-ES" w:eastAsia="es-ES"/>
        </w:rPr>
      </w:pPr>
    </w:p>
    <w:p w:rsidR="00AA5AC2" w:rsidRDefault="00AA5AC2" w:rsidP="00941010">
      <w:pPr>
        <w:spacing w:after="0" w:line="240" w:lineRule="auto"/>
        <w:jc w:val="both"/>
        <w:rPr>
          <w:rFonts w:ascii="Calibri" w:eastAsia="Times New Roman" w:hAnsi="Calibri" w:cs="Times New Roman"/>
          <w:b/>
          <w:iCs/>
          <w:color w:val="000000"/>
          <w:lang w:val="es-ES" w:eastAsia="es-ES"/>
        </w:rPr>
      </w:pPr>
    </w:p>
    <w:p w:rsidR="00AA5AC2" w:rsidRDefault="00AA5AC2" w:rsidP="00941010">
      <w:pPr>
        <w:spacing w:after="0" w:line="240" w:lineRule="auto"/>
        <w:jc w:val="both"/>
        <w:rPr>
          <w:rFonts w:ascii="Calibri" w:eastAsia="Times New Roman" w:hAnsi="Calibri" w:cs="Times New Roman"/>
          <w:b/>
          <w:iCs/>
          <w:color w:val="000000"/>
          <w:lang w:val="es-ES" w:eastAsia="es-ES"/>
        </w:rPr>
      </w:pPr>
    </w:p>
    <w:p w:rsidR="00E915FC" w:rsidRPr="00E915FC" w:rsidRDefault="00E915FC" w:rsidP="00941010">
      <w:pPr>
        <w:spacing w:after="0" w:line="240" w:lineRule="auto"/>
        <w:jc w:val="both"/>
        <w:rPr>
          <w:rFonts w:ascii="Calibri" w:eastAsia="Times New Roman" w:hAnsi="Calibri" w:cs="Times New Roman"/>
          <w:b/>
          <w:iCs/>
          <w:color w:val="000000"/>
          <w:lang w:val="es-ES" w:eastAsia="es-ES"/>
        </w:rPr>
      </w:pPr>
      <w:r w:rsidRPr="00E915FC">
        <w:rPr>
          <w:rFonts w:ascii="Calibri" w:eastAsia="Times New Roman" w:hAnsi="Calibri" w:cs="Times New Roman"/>
          <w:b/>
          <w:iCs/>
          <w:color w:val="000000"/>
          <w:lang w:val="es-ES" w:eastAsia="es-ES"/>
        </w:rPr>
        <w:lastRenderedPageBreak/>
        <w:t>CUADRO</w:t>
      </w:r>
    </w:p>
    <w:p w:rsidR="00E915FC" w:rsidRPr="00E915FC" w:rsidRDefault="00E915FC" w:rsidP="00941010">
      <w:pPr>
        <w:spacing w:after="0" w:line="240" w:lineRule="auto"/>
        <w:jc w:val="both"/>
        <w:rPr>
          <w:rFonts w:ascii="Calibri" w:eastAsia="Times New Roman" w:hAnsi="Calibri" w:cs="Times New Roman"/>
          <w:b/>
          <w:iCs/>
          <w:color w:val="000000"/>
          <w:lang w:val="es-ES" w:eastAsia="es-ES"/>
        </w:rPr>
      </w:pPr>
      <w:r w:rsidRPr="00E915FC">
        <w:rPr>
          <w:rFonts w:ascii="Calibri" w:eastAsia="Times New Roman" w:hAnsi="Calibri" w:cs="Times New Roman"/>
          <w:b/>
          <w:iCs/>
          <w:color w:val="000000"/>
          <w:lang w:val="es-ES" w:eastAsia="es-ES"/>
        </w:rPr>
        <w:t>Causas ingresadas a la Unidad Especializada en Derechos Humanos</w:t>
      </w:r>
    </w:p>
    <w:p w:rsidR="00E915FC" w:rsidRPr="00E915FC" w:rsidRDefault="00E915FC" w:rsidP="00941010">
      <w:pPr>
        <w:spacing w:after="0" w:line="240" w:lineRule="auto"/>
        <w:jc w:val="both"/>
        <w:rPr>
          <w:rFonts w:ascii="Calibri" w:eastAsia="Times New Roman" w:hAnsi="Calibri" w:cs="Times New Roman"/>
          <w:b/>
          <w:iCs/>
          <w:color w:val="000000"/>
          <w:lang w:val="es-ES" w:eastAsia="es-ES"/>
        </w:rPr>
      </w:pPr>
      <w:r w:rsidRPr="00E915FC">
        <w:rPr>
          <w:rFonts w:ascii="Calibri" w:eastAsia="Times New Roman" w:hAnsi="Calibri" w:cs="Times New Roman"/>
          <w:b/>
          <w:iCs/>
          <w:color w:val="000000"/>
          <w:lang w:val="es-ES" w:eastAsia="es-ES"/>
        </w:rPr>
        <w:t>Años 2013 - 2016</w:t>
      </w:r>
    </w:p>
    <w:tbl>
      <w:tblPr>
        <w:tblStyle w:val="TableGrid"/>
        <w:tblW w:w="0" w:type="auto"/>
        <w:tblLook w:val="04A0" w:firstRow="1" w:lastRow="0" w:firstColumn="1" w:lastColumn="0" w:noHBand="0" w:noVBand="1"/>
      </w:tblPr>
      <w:tblGrid>
        <w:gridCol w:w="2943"/>
        <w:gridCol w:w="3119"/>
      </w:tblGrid>
      <w:tr w:rsidR="00E915FC" w:rsidRPr="00E915FC" w:rsidTr="00E915FC">
        <w:tc>
          <w:tcPr>
            <w:tcW w:w="2943" w:type="dxa"/>
          </w:tcPr>
          <w:p w:rsidR="00E915FC" w:rsidRPr="00E915FC" w:rsidRDefault="00E915FC" w:rsidP="00941010">
            <w:pPr>
              <w:jc w:val="both"/>
              <w:rPr>
                <w:rFonts w:ascii="Calibri" w:eastAsia="Times New Roman" w:hAnsi="Calibri" w:cs="Times New Roman"/>
                <w:b/>
                <w:iCs/>
                <w:color w:val="000000"/>
                <w:lang w:val="es-ES" w:eastAsia="es-ES"/>
              </w:rPr>
            </w:pPr>
            <w:r w:rsidRPr="00E915FC">
              <w:rPr>
                <w:rFonts w:ascii="Calibri" w:eastAsia="Times New Roman" w:hAnsi="Calibri" w:cs="Times New Roman"/>
                <w:b/>
                <w:iCs/>
                <w:color w:val="000000"/>
                <w:lang w:val="es-ES" w:eastAsia="es-ES"/>
              </w:rPr>
              <w:t>Año</w:t>
            </w:r>
          </w:p>
        </w:tc>
        <w:tc>
          <w:tcPr>
            <w:tcW w:w="3119" w:type="dxa"/>
          </w:tcPr>
          <w:p w:rsidR="00E915FC" w:rsidRPr="00E915FC" w:rsidRDefault="00E915FC" w:rsidP="00941010">
            <w:pPr>
              <w:jc w:val="both"/>
              <w:rPr>
                <w:rFonts w:ascii="Calibri" w:eastAsia="Times New Roman" w:hAnsi="Calibri" w:cs="Times New Roman"/>
                <w:b/>
                <w:iCs/>
                <w:color w:val="000000"/>
                <w:lang w:val="es-ES" w:eastAsia="es-ES"/>
              </w:rPr>
            </w:pPr>
            <w:r w:rsidRPr="00E915FC">
              <w:rPr>
                <w:rFonts w:ascii="Calibri" w:eastAsia="Times New Roman" w:hAnsi="Calibri" w:cs="Times New Roman"/>
                <w:b/>
                <w:iCs/>
                <w:color w:val="000000"/>
                <w:lang w:val="es-ES" w:eastAsia="es-ES"/>
              </w:rPr>
              <w:t>Causas ingresadas</w:t>
            </w:r>
          </w:p>
        </w:tc>
      </w:tr>
      <w:tr w:rsidR="00E915FC" w:rsidTr="00E915FC">
        <w:tc>
          <w:tcPr>
            <w:tcW w:w="2943" w:type="dxa"/>
          </w:tcPr>
          <w:p w:rsidR="00E915FC" w:rsidRDefault="00E915FC" w:rsidP="00941010">
            <w:pPr>
              <w:jc w:val="both"/>
              <w:rPr>
                <w:rFonts w:ascii="Calibri" w:eastAsia="Times New Roman" w:hAnsi="Calibri" w:cs="Times New Roman"/>
                <w:iCs/>
                <w:color w:val="000000"/>
                <w:lang w:val="es-ES" w:eastAsia="es-ES"/>
              </w:rPr>
            </w:pPr>
            <w:r>
              <w:rPr>
                <w:rFonts w:ascii="Calibri" w:eastAsia="Times New Roman" w:hAnsi="Calibri" w:cs="Times New Roman"/>
                <w:iCs/>
                <w:color w:val="000000"/>
                <w:lang w:val="es-ES" w:eastAsia="es-ES"/>
              </w:rPr>
              <w:t>2013</w:t>
            </w:r>
          </w:p>
        </w:tc>
        <w:tc>
          <w:tcPr>
            <w:tcW w:w="3119" w:type="dxa"/>
          </w:tcPr>
          <w:p w:rsidR="00E915FC" w:rsidRDefault="00E915FC" w:rsidP="00941010">
            <w:pPr>
              <w:jc w:val="both"/>
              <w:rPr>
                <w:rFonts w:ascii="Calibri" w:eastAsia="Times New Roman" w:hAnsi="Calibri" w:cs="Times New Roman"/>
                <w:iCs/>
                <w:color w:val="000000"/>
                <w:lang w:val="es-ES" w:eastAsia="es-ES"/>
              </w:rPr>
            </w:pPr>
            <w:r>
              <w:rPr>
                <w:rFonts w:ascii="Calibri" w:eastAsia="Times New Roman" w:hAnsi="Calibri" w:cs="Times New Roman"/>
                <w:iCs/>
                <w:color w:val="000000"/>
                <w:lang w:val="es-ES" w:eastAsia="es-ES"/>
              </w:rPr>
              <w:t>176</w:t>
            </w:r>
          </w:p>
        </w:tc>
      </w:tr>
      <w:tr w:rsidR="00E915FC" w:rsidTr="00E915FC">
        <w:tc>
          <w:tcPr>
            <w:tcW w:w="2943" w:type="dxa"/>
          </w:tcPr>
          <w:p w:rsidR="00E915FC" w:rsidRDefault="00E915FC" w:rsidP="00941010">
            <w:pPr>
              <w:jc w:val="both"/>
              <w:rPr>
                <w:rFonts w:ascii="Calibri" w:eastAsia="Times New Roman" w:hAnsi="Calibri" w:cs="Times New Roman"/>
                <w:iCs/>
                <w:color w:val="000000"/>
                <w:lang w:val="es-ES" w:eastAsia="es-ES"/>
              </w:rPr>
            </w:pPr>
            <w:r>
              <w:rPr>
                <w:rFonts w:ascii="Calibri" w:eastAsia="Times New Roman" w:hAnsi="Calibri" w:cs="Times New Roman"/>
                <w:iCs/>
                <w:color w:val="000000"/>
                <w:lang w:val="es-ES" w:eastAsia="es-ES"/>
              </w:rPr>
              <w:t>2014</w:t>
            </w:r>
          </w:p>
        </w:tc>
        <w:tc>
          <w:tcPr>
            <w:tcW w:w="3119" w:type="dxa"/>
          </w:tcPr>
          <w:p w:rsidR="00E915FC" w:rsidRDefault="00E915FC" w:rsidP="00941010">
            <w:pPr>
              <w:jc w:val="both"/>
              <w:rPr>
                <w:rFonts w:ascii="Calibri" w:eastAsia="Times New Roman" w:hAnsi="Calibri" w:cs="Times New Roman"/>
                <w:iCs/>
                <w:color w:val="000000"/>
                <w:lang w:val="es-ES" w:eastAsia="es-ES"/>
              </w:rPr>
            </w:pPr>
            <w:r>
              <w:rPr>
                <w:rFonts w:ascii="Calibri" w:eastAsia="Times New Roman" w:hAnsi="Calibri" w:cs="Times New Roman"/>
                <w:iCs/>
                <w:color w:val="000000"/>
                <w:lang w:val="es-ES" w:eastAsia="es-ES"/>
              </w:rPr>
              <w:t>174</w:t>
            </w:r>
          </w:p>
        </w:tc>
      </w:tr>
      <w:tr w:rsidR="00E915FC" w:rsidTr="00E915FC">
        <w:tc>
          <w:tcPr>
            <w:tcW w:w="2943" w:type="dxa"/>
          </w:tcPr>
          <w:p w:rsidR="00E915FC" w:rsidRDefault="00E915FC" w:rsidP="00941010">
            <w:pPr>
              <w:jc w:val="both"/>
              <w:rPr>
                <w:rFonts w:ascii="Calibri" w:eastAsia="Times New Roman" w:hAnsi="Calibri" w:cs="Times New Roman"/>
                <w:iCs/>
                <w:color w:val="000000"/>
                <w:lang w:val="es-ES" w:eastAsia="es-ES"/>
              </w:rPr>
            </w:pPr>
            <w:r>
              <w:rPr>
                <w:rFonts w:ascii="Calibri" w:eastAsia="Times New Roman" w:hAnsi="Calibri" w:cs="Times New Roman"/>
                <w:iCs/>
                <w:color w:val="000000"/>
                <w:lang w:val="es-ES" w:eastAsia="es-ES"/>
              </w:rPr>
              <w:t>2015</w:t>
            </w:r>
          </w:p>
        </w:tc>
        <w:tc>
          <w:tcPr>
            <w:tcW w:w="3119" w:type="dxa"/>
          </w:tcPr>
          <w:p w:rsidR="00E915FC" w:rsidRDefault="00E915FC" w:rsidP="00941010">
            <w:pPr>
              <w:jc w:val="both"/>
              <w:rPr>
                <w:rFonts w:ascii="Calibri" w:eastAsia="Times New Roman" w:hAnsi="Calibri" w:cs="Times New Roman"/>
                <w:iCs/>
                <w:color w:val="000000"/>
                <w:lang w:val="es-ES" w:eastAsia="es-ES"/>
              </w:rPr>
            </w:pPr>
            <w:r>
              <w:rPr>
                <w:rFonts w:ascii="Calibri" w:eastAsia="Times New Roman" w:hAnsi="Calibri" w:cs="Times New Roman"/>
                <w:iCs/>
                <w:color w:val="000000"/>
                <w:lang w:val="es-ES" w:eastAsia="es-ES"/>
              </w:rPr>
              <w:t>s/d</w:t>
            </w:r>
          </w:p>
        </w:tc>
      </w:tr>
      <w:tr w:rsidR="00E915FC" w:rsidTr="00E915FC">
        <w:tc>
          <w:tcPr>
            <w:tcW w:w="2943" w:type="dxa"/>
          </w:tcPr>
          <w:p w:rsidR="00E915FC" w:rsidRDefault="00E915FC" w:rsidP="00941010">
            <w:pPr>
              <w:jc w:val="both"/>
              <w:rPr>
                <w:rFonts w:ascii="Calibri" w:eastAsia="Times New Roman" w:hAnsi="Calibri" w:cs="Times New Roman"/>
                <w:iCs/>
                <w:color w:val="000000"/>
                <w:lang w:val="es-ES" w:eastAsia="es-ES"/>
              </w:rPr>
            </w:pPr>
            <w:r>
              <w:rPr>
                <w:rFonts w:ascii="Calibri" w:eastAsia="Times New Roman" w:hAnsi="Calibri" w:cs="Times New Roman"/>
                <w:iCs/>
                <w:color w:val="000000"/>
                <w:lang w:val="es-ES" w:eastAsia="es-ES"/>
              </w:rPr>
              <w:t>2016</w:t>
            </w:r>
          </w:p>
        </w:tc>
        <w:tc>
          <w:tcPr>
            <w:tcW w:w="3119" w:type="dxa"/>
          </w:tcPr>
          <w:p w:rsidR="00E915FC" w:rsidRDefault="00E915FC" w:rsidP="00941010">
            <w:pPr>
              <w:jc w:val="both"/>
              <w:rPr>
                <w:rFonts w:ascii="Calibri" w:eastAsia="Times New Roman" w:hAnsi="Calibri" w:cs="Times New Roman"/>
                <w:iCs/>
                <w:color w:val="000000"/>
                <w:lang w:val="es-ES" w:eastAsia="es-ES"/>
              </w:rPr>
            </w:pPr>
            <w:r>
              <w:rPr>
                <w:rFonts w:ascii="Calibri" w:eastAsia="Times New Roman" w:hAnsi="Calibri" w:cs="Times New Roman"/>
                <w:iCs/>
                <w:color w:val="000000"/>
                <w:lang w:val="es-ES" w:eastAsia="es-ES"/>
              </w:rPr>
              <w:t>152</w:t>
            </w:r>
          </w:p>
        </w:tc>
      </w:tr>
      <w:tr w:rsidR="00E915FC" w:rsidTr="00E915FC">
        <w:tc>
          <w:tcPr>
            <w:tcW w:w="2943" w:type="dxa"/>
          </w:tcPr>
          <w:p w:rsidR="00E915FC" w:rsidRDefault="00E915FC" w:rsidP="00941010">
            <w:pPr>
              <w:jc w:val="both"/>
              <w:rPr>
                <w:rFonts w:ascii="Calibri" w:eastAsia="Times New Roman" w:hAnsi="Calibri" w:cs="Times New Roman"/>
                <w:iCs/>
                <w:color w:val="000000"/>
                <w:lang w:val="es-ES" w:eastAsia="es-ES"/>
              </w:rPr>
            </w:pPr>
            <w:r>
              <w:rPr>
                <w:rFonts w:ascii="Calibri" w:eastAsia="Times New Roman" w:hAnsi="Calibri" w:cs="Times New Roman"/>
                <w:iCs/>
                <w:color w:val="000000"/>
                <w:lang w:val="es-ES" w:eastAsia="es-ES"/>
              </w:rPr>
              <w:t>2017</w:t>
            </w:r>
          </w:p>
        </w:tc>
        <w:tc>
          <w:tcPr>
            <w:tcW w:w="3119" w:type="dxa"/>
          </w:tcPr>
          <w:p w:rsidR="00E915FC" w:rsidRDefault="00AA5AC2" w:rsidP="00941010">
            <w:pPr>
              <w:jc w:val="both"/>
              <w:rPr>
                <w:rFonts w:ascii="Calibri" w:eastAsia="Times New Roman" w:hAnsi="Calibri" w:cs="Times New Roman"/>
                <w:iCs/>
                <w:color w:val="000000"/>
                <w:lang w:val="es-ES" w:eastAsia="es-ES"/>
              </w:rPr>
            </w:pPr>
            <w:r>
              <w:rPr>
                <w:rFonts w:ascii="Calibri" w:eastAsia="Times New Roman" w:hAnsi="Calibri" w:cs="Times New Roman"/>
                <w:iCs/>
                <w:color w:val="000000"/>
                <w:lang w:val="es-ES" w:eastAsia="es-ES"/>
              </w:rPr>
              <w:t>135</w:t>
            </w:r>
            <w:r>
              <w:rPr>
                <w:rStyle w:val="FootnoteReference"/>
                <w:rFonts w:ascii="Calibri" w:eastAsia="Times New Roman" w:hAnsi="Calibri" w:cs="Times New Roman"/>
                <w:iCs/>
                <w:color w:val="000000"/>
                <w:lang w:val="es-ES" w:eastAsia="es-ES"/>
              </w:rPr>
              <w:footnoteReference w:id="18"/>
            </w:r>
          </w:p>
        </w:tc>
      </w:tr>
    </w:tbl>
    <w:p w:rsidR="00E915FC" w:rsidRDefault="00E915FC" w:rsidP="00941010">
      <w:pPr>
        <w:spacing w:after="0" w:line="240" w:lineRule="auto"/>
        <w:jc w:val="both"/>
        <w:rPr>
          <w:rFonts w:ascii="Calibri" w:eastAsia="Times New Roman" w:hAnsi="Calibri" w:cs="Times New Roman"/>
          <w:iCs/>
          <w:color w:val="000000"/>
          <w:lang w:val="es-ES" w:eastAsia="es-ES"/>
        </w:rPr>
      </w:pPr>
      <w:r>
        <w:rPr>
          <w:rFonts w:ascii="Calibri" w:eastAsia="Times New Roman" w:hAnsi="Calibri" w:cs="Times New Roman"/>
          <w:iCs/>
          <w:color w:val="000000"/>
          <w:lang w:val="es-ES" w:eastAsia="es-ES"/>
        </w:rPr>
        <w:t xml:space="preserve">Fuente: Ministerio Público. </w:t>
      </w:r>
      <w:r>
        <w:rPr>
          <w:rFonts w:ascii="Calibri" w:hAnsi="Calibri"/>
          <w:color w:val="000000"/>
          <w:sz w:val="20"/>
          <w:szCs w:val="20"/>
        </w:rPr>
        <w:t>Refiere las causas que recibieron las Unidades Nº 1 y 3. El informe de la Unidad 2 no detalla cuántas causas recibió por año.</w:t>
      </w:r>
    </w:p>
    <w:p w:rsidR="00E915FC" w:rsidRDefault="00E915FC" w:rsidP="00941010">
      <w:pPr>
        <w:spacing w:after="0" w:line="240" w:lineRule="auto"/>
        <w:jc w:val="both"/>
        <w:rPr>
          <w:rFonts w:ascii="Times New Roman" w:eastAsia="Times New Roman" w:hAnsi="Times New Roman" w:cs="Times New Roman"/>
          <w:sz w:val="24"/>
          <w:szCs w:val="24"/>
          <w:lang w:val="es-ES" w:eastAsia="es-ES"/>
        </w:rPr>
      </w:pPr>
    </w:p>
    <w:p w:rsidR="00AA5AC2" w:rsidRPr="00AA5AC2" w:rsidRDefault="00AA5AC2" w:rsidP="00AA5AC2">
      <w:pPr>
        <w:spacing w:after="0" w:line="240" w:lineRule="auto"/>
        <w:jc w:val="both"/>
        <w:rPr>
          <w:rFonts w:ascii="Times New Roman" w:eastAsia="Times New Roman" w:hAnsi="Times New Roman" w:cs="Times New Roman"/>
          <w:sz w:val="24"/>
          <w:szCs w:val="24"/>
          <w:lang w:val="es-ES" w:eastAsia="es-ES"/>
        </w:rPr>
      </w:pPr>
      <w:r w:rsidRPr="00AA5AC2">
        <w:rPr>
          <w:rFonts w:ascii="Calibri" w:eastAsia="Times New Roman" w:hAnsi="Calibri" w:cs="Times New Roman"/>
          <w:iCs/>
          <w:lang w:val="es-ES" w:eastAsia="es-ES"/>
        </w:rPr>
        <w:t>De estas causas, las ingresadas entre 2013 y 2016, ninguna cuenta con una sentencia definitiva. Las causas que fueron elevadas a Juicio Oral y Público son seis. Las causas en las cuales se ha realizado una imputación o procesamiento son cuatro, todas por “Lesión Corporal en el ejercicio de las funciones públicas”, más doce personas imputadas de acuerdo al informe de la Unidad 2, que no detalla las causas ni las tipificaciones de las imputaciones.</w:t>
      </w:r>
    </w:p>
    <w:p w:rsidR="00AA5AC2" w:rsidRPr="00AA5AC2" w:rsidRDefault="00AA5AC2" w:rsidP="00AA5AC2">
      <w:pPr>
        <w:spacing w:after="0" w:line="240" w:lineRule="auto"/>
        <w:jc w:val="both"/>
        <w:rPr>
          <w:rFonts w:ascii="Calibri" w:eastAsia="Times New Roman" w:hAnsi="Calibri" w:cs="Times New Roman"/>
          <w:iCs/>
          <w:lang w:val="es-ES" w:eastAsia="es-ES"/>
        </w:rPr>
      </w:pPr>
    </w:p>
    <w:p w:rsidR="00AA5AC2" w:rsidRPr="00AA5AC2" w:rsidRDefault="00AA5AC2" w:rsidP="00AA5AC2">
      <w:pPr>
        <w:spacing w:after="0" w:line="240" w:lineRule="auto"/>
        <w:jc w:val="both"/>
        <w:rPr>
          <w:rFonts w:ascii="Calibri" w:eastAsia="Times New Roman" w:hAnsi="Calibri" w:cs="Times New Roman"/>
          <w:iCs/>
          <w:lang w:val="es-ES" w:eastAsia="es-ES"/>
        </w:rPr>
      </w:pPr>
      <w:r w:rsidRPr="00AA5AC2">
        <w:rPr>
          <w:rFonts w:ascii="Calibri" w:eastAsia="Times New Roman" w:hAnsi="Calibri" w:cs="Times New Roman"/>
          <w:iCs/>
          <w:lang w:val="es-ES" w:eastAsia="es-ES"/>
        </w:rPr>
        <w:t>La Unidad Nº 1 recibió en los años 2013-2016 en total 188 causas. En este periodo de tiempo formuló imputación por “Lesión Corporal en el ejercicio de las funciones públicas” en 4 causas (una de 2010, dos de 2014 y una de 2015) y en dos causas se solicitó que sean elevadas a Juicio Oral (una de 2009 y otra de 2012). En el mismo periodo se realizaron 3 juicios orales pero de causas de 2010, 2011 y 2012. En 17 causas se solicitó una salida alternativa: en nueve casos se solicitó la desestimación de la denuncia (Art. 352 del CPP por no existencia del hecho), en cinco casos se solicitó criterio de oportunidad (Art. 19 CPP, por la insignificancia del hecho), en un caso se solicitó la suspensión condicional del procedimiento (Art. 21 CPP).</w:t>
      </w:r>
    </w:p>
    <w:p w:rsidR="00E915FC" w:rsidRDefault="00E915FC" w:rsidP="00941010">
      <w:pPr>
        <w:spacing w:after="0" w:line="240" w:lineRule="auto"/>
        <w:jc w:val="both"/>
        <w:rPr>
          <w:rFonts w:ascii="Calibri" w:eastAsia="Times New Roman" w:hAnsi="Calibri" w:cs="Times New Roman"/>
          <w:iCs/>
          <w:color w:val="000000"/>
          <w:lang w:val="es-ES" w:eastAsia="es-ES"/>
        </w:rPr>
      </w:pPr>
    </w:p>
    <w:p w:rsidR="00941010" w:rsidRPr="00941010" w:rsidRDefault="00941010" w:rsidP="00941010">
      <w:pPr>
        <w:spacing w:after="0" w:line="240" w:lineRule="auto"/>
        <w:jc w:val="both"/>
        <w:rPr>
          <w:rFonts w:ascii="Times New Roman" w:eastAsia="Times New Roman" w:hAnsi="Times New Roman" w:cs="Times New Roman"/>
          <w:sz w:val="24"/>
          <w:szCs w:val="24"/>
          <w:lang w:val="es-ES" w:eastAsia="es-ES"/>
        </w:rPr>
      </w:pPr>
      <w:r w:rsidRPr="00941010">
        <w:rPr>
          <w:rFonts w:ascii="Calibri" w:eastAsia="Times New Roman" w:hAnsi="Calibri" w:cs="Times New Roman"/>
          <w:iCs/>
          <w:color w:val="000000"/>
          <w:lang w:val="es-ES" w:eastAsia="es-ES"/>
        </w:rPr>
        <w:t xml:space="preserve">La </w:t>
      </w:r>
      <w:r w:rsidR="00E915FC">
        <w:rPr>
          <w:rFonts w:ascii="Calibri" w:eastAsia="Times New Roman" w:hAnsi="Calibri" w:cs="Times New Roman"/>
          <w:iCs/>
          <w:color w:val="000000"/>
          <w:lang w:val="es-ES" w:eastAsia="es-ES"/>
        </w:rPr>
        <w:t>Unidad Nº 2</w:t>
      </w:r>
      <w:r w:rsidRPr="00941010">
        <w:rPr>
          <w:rFonts w:ascii="Calibri" w:eastAsia="Times New Roman" w:hAnsi="Calibri" w:cs="Times New Roman"/>
          <w:iCs/>
          <w:color w:val="000000"/>
          <w:lang w:val="es-ES" w:eastAsia="es-ES"/>
        </w:rPr>
        <w:t xml:space="preserve"> recibió 236 </w:t>
      </w:r>
      <w:r w:rsidR="00B60FBA">
        <w:rPr>
          <w:rFonts w:ascii="Calibri" w:eastAsia="Times New Roman" w:hAnsi="Calibri" w:cs="Times New Roman"/>
          <w:iCs/>
          <w:color w:val="000000"/>
          <w:lang w:val="es-ES" w:eastAsia="es-ES"/>
        </w:rPr>
        <w:t xml:space="preserve">causas, imputó </w:t>
      </w:r>
      <w:r w:rsidR="00E915FC">
        <w:rPr>
          <w:rFonts w:ascii="Calibri" w:eastAsia="Times New Roman" w:hAnsi="Calibri" w:cs="Times New Roman"/>
          <w:iCs/>
          <w:color w:val="000000"/>
          <w:lang w:val="es-ES" w:eastAsia="es-ES"/>
        </w:rPr>
        <w:t>a doce</w:t>
      </w:r>
      <w:r w:rsidRPr="00941010">
        <w:rPr>
          <w:rFonts w:ascii="Calibri" w:eastAsia="Times New Roman" w:hAnsi="Calibri" w:cs="Times New Roman"/>
          <w:iCs/>
          <w:color w:val="000000"/>
          <w:lang w:val="es-ES" w:eastAsia="es-ES"/>
        </w:rPr>
        <w:t xml:space="preserve"> personas, solicitó la elevación a Juicio Oral y Público en </w:t>
      </w:r>
      <w:r w:rsidR="00E915FC">
        <w:rPr>
          <w:rFonts w:ascii="Calibri" w:eastAsia="Times New Roman" w:hAnsi="Calibri" w:cs="Times New Roman"/>
          <w:iCs/>
          <w:color w:val="000000"/>
          <w:lang w:val="es-ES" w:eastAsia="es-ES"/>
        </w:rPr>
        <w:t>dos</w:t>
      </w:r>
      <w:r w:rsidRPr="00941010">
        <w:rPr>
          <w:rFonts w:ascii="Calibri" w:eastAsia="Times New Roman" w:hAnsi="Calibri" w:cs="Times New Roman"/>
          <w:iCs/>
          <w:color w:val="000000"/>
          <w:lang w:val="es-ES" w:eastAsia="es-ES"/>
        </w:rPr>
        <w:t xml:space="preserve"> causas y solicitó salidas alternativas en </w:t>
      </w:r>
      <w:r w:rsidR="00E915FC">
        <w:rPr>
          <w:rFonts w:ascii="Calibri" w:eastAsia="Times New Roman" w:hAnsi="Calibri" w:cs="Times New Roman"/>
          <w:iCs/>
          <w:color w:val="000000"/>
          <w:lang w:val="es-ES" w:eastAsia="es-ES"/>
        </w:rPr>
        <w:t>catorce</w:t>
      </w:r>
      <w:r w:rsidRPr="00941010">
        <w:rPr>
          <w:rFonts w:ascii="Calibri" w:eastAsia="Times New Roman" w:hAnsi="Calibri" w:cs="Times New Roman"/>
          <w:iCs/>
          <w:color w:val="000000"/>
          <w:lang w:val="es-ES" w:eastAsia="es-ES"/>
        </w:rPr>
        <w:t xml:space="preserve"> causas. No se informó con más detalle.</w:t>
      </w:r>
    </w:p>
    <w:p w:rsidR="00E915FC" w:rsidRDefault="00E915FC" w:rsidP="00941010">
      <w:pPr>
        <w:spacing w:after="0" w:line="240" w:lineRule="auto"/>
        <w:jc w:val="both"/>
        <w:rPr>
          <w:rFonts w:ascii="Calibri" w:eastAsia="Times New Roman" w:hAnsi="Calibri" w:cs="Times New Roman"/>
          <w:iCs/>
          <w:color w:val="000000"/>
          <w:lang w:val="es-ES" w:eastAsia="es-ES"/>
        </w:rPr>
      </w:pPr>
    </w:p>
    <w:p w:rsidR="00941010" w:rsidRPr="00941010" w:rsidRDefault="00941010" w:rsidP="00941010">
      <w:pPr>
        <w:spacing w:after="0" w:line="240" w:lineRule="auto"/>
        <w:jc w:val="both"/>
        <w:rPr>
          <w:rFonts w:ascii="Times New Roman" w:eastAsia="Times New Roman" w:hAnsi="Times New Roman" w:cs="Times New Roman"/>
          <w:sz w:val="24"/>
          <w:szCs w:val="24"/>
          <w:lang w:val="es-ES" w:eastAsia="es-ES"/>
        </w:rPr>
      </w:pPr>
      <w:r w:rsidRPr="00941010">
        <w:rPr>
          <w:rFonts w:ascii="Calibri" w:eastAsia="Times New Roman" w:hAnsi="Calibri" w:cs="Times New Roman"/>
          <w:iCs/>
          <w:color w:val="000000"/>
          <w:lang w:val="es-ES" w:eastAsia="es-ES"/>
        </w:rPr>
        <w:t xml:space="preserve">La </w:t>
      </w:r>
      <w:r w:rsidR="00E915FC">
        <w:rPr>
          <w:rFonts w:ascii="Calibri" w:eastAsia="Times New Roman" w:hAnsi="Calibri" w:cs="Times New Roman"/>
          <w:iCs/>
          <w:color w:val="000000"/>
          <w:lang w:val="es-ES" w:eastAsia="es-ES"/>
        </w:rPr>
        <w:t xml:space="preserve">Unidad Nº </w:t>
      </w:r>
      <w:r w:rsidRPr="00941010">
        <w:rPr>
          <w:rFonts w:ascii="Calibri" w:eastAsia="Times New Roman" w:hAnsi="Calibri" w:cs="Times New Roman"/>
          <w:iCs/>
          <w:color w:val="000000"/>
          <w:lang w:val="es-ES" w:eastAsia="es-ES"/>
        </w:rPr>
        <w:t>3 recibió en total 315 causas, de las cuales 114 continúan en investigación sin imputados o procesados</w:t>
      </w:r>
      <w:r w:rsidR="00E915FC">
        <w:rPr>
          <w:rFonts w:ascii="Calibri" w:eastAsia="Times New Roman" w:hAnsi="Calibri" w:cs="Times New Roman"/>
          <w:iCs/>
          <w:color w:val="000000"/>
          <w:lang w:val="es-ES" w:eastAsia="es-ES"/>
        </w:rPr>
        <w:t>;</w:t>
      </w:r>
      <w:r w:rsidRPr="00941010">
        <w:rPr>
          <w:rFonts w:ascii="Calibri" w:eastAsia="Times New Roman" w:hAnsi="Calibri" w:cs="Times New Roman"/>
          <w:iCs/>
          <w:color w:val="000000"/>
          <w:lang w:val="es-ES" w:eastAsia="es-ES"/>
        </w:rPr>
        <w:t xml:space="preserve"> </w:t>
      </w:r>
      <w:r w:rsidR="00E915FC">
        <w:rPr>
          <w:rFonts w:ascii="Calibri" w:eastAsia="Times New Roman" w:hAnsi="Calibri" w:cs="Times New Roman"/>
          <w:iCs/>
          <w:color w:val="000000"/>
          <w:lang w:val="es-ES" w:eastAsia="es-ES"/>
        </w:rPr>
        <w:t>una causa</w:t>
      </w:r>
      <w:r w:rsidRPr="00941010">
        <w:rPr>
          <w:rFonts w:ascii="Calibri" w:eastAsia="Times New Roman" w:hAnsi="Calibri" w:cs="Times New Roman"/>
          <w:iCs/>
          <w:color w:val="000000"/>
          <w:lang w:val="es-ES" w:eastAsia="es-ES"/>
        </w:rPr>
        <w:t xml:space="preserve"> ha sido elevada a Juicio Oral y Público</w:t>
      </w:r>
      <w:r w:rsidR="00E915FC">
        <w:rPr>
          <w:rFonts w:ascii="Calibri" w:eastAsia="Times New Roman" w:hAnsi="Calibri" w:cs="Times New Roman"/>
          <w:iCs/>
          <w:color w:val="000000"/>
          <w:lang w:val="es-ES" w:eastAsia="es-ES"/>
        </w:rPr>
        <w:t>;</w:t>
      </w:r>
      <w:r w:rsidRPr="00941010">
        <w:rPr>
          <w:rFonts w:ascii="Calibri" w:eastAsia="Times New Roman" w:hAnsi="Calibri" w:cs="Times New Roman"/>
          <w:iCs/>
          <w:color w:val="000000"/>
          <w:lang w:val="es-ES" w:eastAsia="es-ES"/>
        </w:rPr>
        <w:t xml:space="preserve"> 117 han sido desestimadas</w:t>
      </w:r>
      <w:r w:rsidR="00E915FC">
        <w:rPr>
          <w:rFonts w:ascii="Calibri" w:eastAsia="Times New Roman" w:hAnsi="Calibri" w:cs="Times New Roman"/>
          <w:iCs/>
          <w:color w:val="000000"/>
          <w:lang w:val="es-ES" w:eastAsia="es-ES"/>
        </w:rPr>
        <w:t>;</w:t>
      </w:r>
      <w:r w:rsidRPr="00941010">
        <w:rPr>
          <w:rFonts w:ascii="Calibri" w:eastAsia="Times New Roman" w:hAnsi="Calibri" w:cs="Times New Roman"/>
          <w:iCs/>
          <w:color w:val="000000"/>
          <w:lang w:val="es-ES" w:eastAsia="es-ES"/>
        </w:rPr>
        <w:t xml:space="preserve"> en </w:t>
      </w:r>
      <w:r w:rsidR="00E915FC">
        <w:rPr>
          <w:rFonts w:ascii="Calibri" w:eastAsia="Times New Roman" w:hAnsi="Calibri" w:cs="Times New Roman"/>
          <w:iCs/>
          <w:color w:val="000000"/>
          <w:lang w:val="es-ES" w:eastAsia="es-ES"/>
        </w:rPr>
        <w:t>siete</w:t>
      </w:r>
      <w:r w:rsidRPr="00941010">
        <w:rPr>
          <w:rFonts w:ascii="Calibri" w:eastAsia="Times New Roman" w:hAnsi="Calibri" w:cs="Times New Roman"/>
          <w:iCs/>
          <w:color w:val="000000"/>
          <w:lang w:val="es-ES" w:eastAsia="es-ES"/>
        </w:rPr>
        <w:t xml:space="preserve"> causas se ha solicitado la </w:t>
      </w:r>
      <w:r w:rsidR="00E915FC">
        <w:rPr>
          <w:rFonts w:ascii="Calibri" w:eastAsia="Times New Roman" w:hAnsi="Calibri" w:cs="Times New Roman"/>
          <w:iCs/>
          <w:color w:val="000000"/>
          <w:lang w:val="es-ES" w:eastAsia="es-ES"/>
        </w:rPr>
        <w:t>s</w:t>
      </w:r>
      <w:r w:rsidRPr="00941010">
        <w:rPr>
          <w:rFonts w:ascii="Calibri" w:eastAsia="Times New Roman" w:hAnsi="Calibri" w:cs="Times New Roman"/>
          <w:iCs/>
          <w:color w:val="000000"/>
          <w:lang w:val="es-ES" w:eastAsia="es-ES"/>
        </w:rPr>
        <w:t xml:space="preserve">uspensión condicional del procedimiento, en </w:t>
      </w:r>
      <w:r w:rsidR="00E915FC">
        <w:rPr>
          <w:rFonts w:ascii="Calibri" w:eastAsia="Times New Roman" w:hAnsi="Calibri" w:cs="Times New Roman"/>
          <w:iCs/>
          <w:color w:val="000000"/>
          <w:lang w:val="es-ES" w:eastAsia="es-ES"/>
        </w:rPr>
        <w:t>diez el criterio de o</w:t>
      </w:r>
      <w:r w:rsidRPr="00941010">
        <w:rPr>
          <w:rFonts w:ascii="Calibri" w:eastAsia="Times New Roman" w:hAnsi="Calibri" w:cs="Times New Roman"/>
          <w:iCs/>
          <w:color w:val="000000"/>
          <w:lang w:val="es-ES" w:eastAsia="es-ES"/>
        </w:rPr>
        <w:t>portunidad y 66 han sido archivadas por lo contar con elementos para investigar.</w:t>
      </w:r>
    </w:p>
    <w:p w:rsidR="00E915FC" w:rsidRDefault="00E915FC" w:rsidP="00941010">
      <w:pPr>
        <w:spacing w:after="0" w:line="240" w:lineRule="auto"/>
        <w:jc w:val="both"/>
        <w:rPr>
          <w:rFonts w:ascii="Calibri" w:eastAsia="Times New Roman" w:hAnsi="Calibri" w:cs="Times New Roman"/>
          <w:iCs/>
          <w:color w:val="000000"/>
          <w:lang w:val="es-ES" w:eastAsia="es-ES"/>
        </w:rPr>
      </w:pPr>
    </w:p>
    <w:p w:rsidR="00E915FC" w:rsidRDefault="00941010" w:rsidP="00941010">
      <w:pPr>
        <w:spacing w:after="0" w:line="240" w:lineRule="auto"/>
        <w:jc w:val="both"/>
        <w:rPr>
          <w:rFonts w:ascii="Calibri" w:eastAsia="Times New Roman" w:hAnsi="Calibri" w:cs="Times New Roman"/>
          <w:iCs/>
          <w:color w:val="000000"/>
          <w:lang w:val="es-ES" w:eastAsia="es-ES"/>
        </w:rPr>
      </w:pPr>
      <w:r w:rsidRPr="00941010">
        <w:rPr>
          <w:rFonts w:ascii="Calibri" w:eastAsia="Times New Roman" w:hAnsi="Calibri" w:cs="Times New Roman"/>
          <w:iCs/>
          <w:color w:val="000000"/>
          <w:lang w:val="es-ES" w:eastAsia="es-ES"/>
        </w:rPr>
        <w:t xml:space="preserve">En la gran mayoría de las causas </w:t>
      </w:r>
      <w:r w:rsidR="00E915FC">
        <w:rPr>
          <w:rFonts w:ascii="Calibri" w:eastAsia="Times New Roman" w:hAnsi="Calibri" w:cs="Times New Roman"/>
          <w:iCs/>
          <w:color w:val="000000"/>
          <w:lang w:val="es-ES" w:eastAsia="es-ES"/>
        </w:rPr>
        <w:t xml:space="preserve">la imputación inicial se realiza bajo el delito de </w:t>
      </w:r>
      <w:r w:rsidR="00E915FC" w:rsidRPr="00941010">
        <w:rPr>
          <w:rFonts w:ascii="Calibri" w:eastAsia="Times New Roman" w:hAnsi="Calibri" w:cs="Times New Roman"/>
          <w:iCs/>
          <w:color w:val="000000"/>
          <w:lang w:val="es-ES" w:eastAsia="es-ES"/>
        </w:rPr>
        <w:t xml:space="preserve">Lesión Corporal en el Ejercicio de las funciones públicas, las investigaciones difícilmente se encuadran en el tipo penal de Torturas. El MNP ya ha manifestado su preocupación sobre esta práctica, la considera peligrosa, y debe ser </w:t>
      </w:r>
      <w:proofErr w:type="gramStart"/>
      <w:r w:rsidR="00E915FC" w:rsidRPr="00941010">
        <w:rPr>
          <w:rFonts w:ascii="Calibri" w:eastAsia="Times New Roman" w:hAnsi="Calibri" w:cs="Times New Roman"/>
          <w:iCs/>
          <w:color w:val="000000"/>
          <w:lang w:val="es-ES" w:eastAsia="es-ES"/>
        </w:rPr>
        <w:t>analizada</w:t>
      </w:r>
      <w:proofErr w:type="gramEnd"/>
      <w:r w:rsidR="00E915FC" w:rsidRPr="00941010">
        <w:rPr>
          <w:rFonts w:ascii="Calibri" w:eastAsia="Times New Roman" w:hAnsi="Calibri" w:cs="Times New Roman"/>
          <w:iCs/>
          <w:color w:val="000000"/>
          <w:lang w:val="es-ES" w:eastAsia="es-ES"/>
        </w:rPr>
        <w:t xml:space="preserve">, sopesada y dimensionada como un aspecto favorable a la impunidad por las autoridades correspondientes (Fiscalía General del Estado, Jurado de Enjuiciamiento, entre otros). Existen casos que por sus características y de acuerdo a la legislación y jurisprudencia internacional claramente son tortura, y los fiscales y fiscalas no deben olvidar que </w:t>
      </w:r>
      <w:r w:rsidR="00E915FC" w:rsidRPr="00941010">
        <w:rPr>
          <w:rFonts w:ascii="Calibri" w:eastAsia="Times New Roman" w:hAnsi="Calibri" w:cs="Times New Roman"/>
          <w:iCs/>
          <w:color w:val="000000"/>
          <w:lang w:val="es-ES" w:eastAsia="es-ES"/>
        </w:rPr>
        <w:lastRenderedPageBreak/>
        <w:t>la cobertura punitiva que</w:t>
      </w:r>
      <w:r w:rsidR="00B33D9D">
        <w:rPr>
          <w:rFonts w:ascii="Calibri" w:eastAsia="Times New Roman" w:hAnsi="Calibri" w:cs="Times New Roman"/>
          <w:iCs/>
          <w:color w:val="000000"/>
          <w:lang w:val="es-ES" w:eastAsia="es-ES"/>
        </w:rPr>
        <w:t xml:space="preserve"> establece el artículo 309 del C</w:t>
      </w:r>
      <w:r w:rsidR="00E915FC" w:rsidRPr="00941010">
        <w:rPr>
          <w:rFonts w:ascii="Calibri" w:eastAsia="Times New Roman" w:hAnsi="Calibri" w:cs="Times New Roman"/>
          <w:iCs/>
          <w:color w:val="000000"/>
          <w:lang w:val="es-ES" w:eastAsia="es-ES"/>
        </w:rPr>
        <w:t xml:space="preserve">ódigo </w:t>
      </w:r>
      <w:r w:rsidR="00B33D9D">
        <w:rPr>
          <w:rFonts w:ascii="Calibri" w:eastAsia="Times New Roman" w:hAnsi="Calibri" w:cs="Times New Roman"/>
          <w:iCs/>
          <w:color w:val="000000"/>
          <w:lang w:val="es-ES" w:eastAsia="es-ES"/>
        </w:rPr>
        <w:t>P</w:t>
      </w:r>
      <w:r w:rsidR="00E915FC" w:rsidRPr="00941010">
        <w:rPr>
          <w:rFonts w:ascii="Calibri" w:eastAsia="Times New Roman" w:hAnsi="Calibri" w:cs="Times New Roman"/>
          <w:iCs/>
          <w:color w:val="000000"/>
          <w:lang w:val="es-ES" w:eastAsia="es-ES"/>
        </w:rPr>
        <w:t>enal les obliga a intervenir punitivamente en base a esta tipificación.</w:t>
      </w:r>
    </w:p>
    <w:p w:rsidR="00E915FC" w:rsidRDefault="00E915FC" w:rsidP="00941010">
      <w:pPr>
        <w:spacing w:after="0" w:line="240" w:lineRule="auto"/>
        <w:jc w:val="both"/>
        <w:rPr>
          <w:rFonts w:ascii="Calibri" w:eastAsia="Times New Roman" w:hAnsi="Calibri" w:cs="Times New Roman"/>
          <w:iCs/>
          <w:color w:val="000000"/>
          <w:lang w:val="es-ES" w:eastAsia="es-ES"/>
        </w:rPr>
      </w:pPr>
    </w:p>
    <w:p w:rsidR="00941010" w:rsidRDefault="00941010" w:rsidP="00941010">
      <w:pPr>
        <w:spacing w:after="0" w:line="240" w:lineRule="auto"/>
        <w:jc w:val="both"/>
        <w:rPr>
          <w:rFonts w:ascii="Calibri" w:eastAsia="Times New Roman" w:hAnsi="Calibri" w:cs="Times New Roman"/>
          <w:iCs/>
          <w:color w:val="000000"/>
          <w:lang w:val="es-ES" w:eastAsia="es-ES"/>
        </w:rPr>
      </w:pPr>
      <w:r w:rsidRPr="00941010">
        <w:rPr>
          <w:rFonts w:ascii="Calibri" w:eastAsia="Times New Roman" w:hAnsi="Calibri" w:cs="Times New Roman"/>
          <w:iCs/>
          <w:color w:val="000000"/>
          <w:lang w:val="es-ES" w:eastAsia="es-ES"/>
        </w:rPr>
        <w:t>Del mismo modo se ha entrevistado a agentes fiscales que manifiestan una preocupante resistencia a encuadrar sus imputaciones bajo el tipo penal de tortura. Algunos funcionarios y funcionarias del Ministerio Público arguyen que la carga semántica del concepto de tortura, supone que una imputación bajo este tipo conlleve una exposición pública del caso que resulta más grave e incómoda para los fiscales y fiscalas. Por otra parte existen cuestiones de la normativa procesal que tornan más c</w:t>
      </w:r>
      <w:r w:rsidR="00B60FBA">
        <w:rPr>
          <w:rFonts w:ascii="Calibri" w:eastAsia="Times New Roman" w:hAnsi="Calibri" w:cs="Times New Roman"/>
          <w:iCs/>
          <w:color w:val="000000"/>
          <w:lang w:val="es-ES" w:eastAsia="es-ES"/>
        </w:rPr>
        <w:t>onveniente</w:t>
      </w:r>
      <w:r w:rsidRPr="00941010">
        <w:rPr>
          <w:rFonts w:ascii="Calibri" w:eastAsia="Times New Roman" w:hAnsi="Calibri" w:cs="Times New Roman"/>
          <w:iCs/>
          <w:color w:val="000000"/>
          <w:lang w:val="es-ES" w:eastAsia="es-ES"/>
        </w:rPr>
        <w:t xml:space="preserve"> no usar el tipo penal de tortura.</w:t>
      </w:r>
    </w:p>
    <w:p w:rsidR="00B33D9D" w:rsidRPr="00941010" w:rsidRDefault="00B33D9D" w:rsidP="00941010">
      <w:pPr>
        <w:spacing w:after="0" w:line="240" w:lineRule="auto"/>
        <w:jc w:val="both"/>
        <w:rPr>
          <w:rFonts w:ascii="Times New Roman" w:eastAsia="Times New Roman" w:hAnsi="Times New Roman" w:cs="Times New Roman"/>
          <w:sz w:val="24"/>
          <w:szCs w:val="24"/>
          <w:lang w:val="es-ES" w:eastAsia="es-ES"/>
        </w:rPr>
      </w:pPr>
    </w:p>
    <w:p w:rsidR="00941010" w:rsidRPr="00941010" w:rsidRDefault="00941010" w:rsidP="00941010">
      <w:pPr>
        <w:spacing w:after="0" w:line="240" w:lineRule="auto"/>
        <w:jc w:val="both"/>
        <w:rPr>
          <w:rFonts w:ascii="Times New Roman" w:eastAsia="Times New Roman" w:hAnsi="Times New Roman" w:cs="Times New Roman"/>
          <w:sz w:val="24"/>
          <w:szCs w:val="24"/>
          <w:lang w:val="es-ES" w:eastAsia="es-ES"/>
        </w:rPr>
      </w:pPr>
      <w:r w:rsidRPr="00941010">
        <w:rPr>
          <w:rFonts w:ascii="Calibri" w:eastAsia="Times New Roman" w:hAnsi="Calibri" w:cs="Times New Roman"/>
          <w:iCs/>
          <w:color w:val="000000"/>
          <w:lang w:val="es-ES" w:eastAsia="es-ES"/>
        </w:rPr>
        <w:t xml:space="preserve">Bajo una imputación </w:t>
      </w:r>
      <w:r w:rsidR="00B33D9D">
        <w:rPr>
          <w:rFonts w:ascii="Calibri" w:eastAsia="Times New Roman" w:hAnsi="Calibri" w:cs="Times New Roman"/>
          <w:iCs/>
          <w:color w:val="000000"/>
          <w:lang w:val="es-ES" w:eastAsia="es-ES"/>
        </w:rPr>
        <w:t>de Lesión corporal en ejercicio de las funciones públicas</w:t>
      </w:r>
      <w:r w:rsidRPr="00941010">
        <w:rPr>
          <w:rFonts w:ascii="Calibri" w:eastAsia="Times New Roman" w:hAnsi="Calibri" w:cs="Times New Roman"/>
          <w:iCs/>
          <w:color w:val="000000"/>
          <w:lang w:val="es-ES" w:eastAsia="es-ES"/>
        </w:rPr>
        <w:t xml:space="preserve">, es más fácil justificar la aplicación de medidas alternativas de prisión, lo que permite lidiar con las presiones políticas que los imputados (generalmente jefes y oficiales de policía) ejercen sobre fiscales o fiscalas. En el marco de </w:t>
      </w:r>
      <w:r w:rsidR="00B33D9D">
        <w:rPr>
          <w:rFonts w:ascii="Calibri" w:eastAsia="Times New Roman" w:hAnsi="Calibri" w:cs="Times New Roman"/>
          <w:iCs/>
          <w:color w:val="000000"/>
          <w:lang w:val="es-ES" w:eastAsia="es-ES"/>
        </w:rPr>
        <w:t>de este delito</w:t>
      </w:r>
      <w:r w:rsidRPr="00941010">
        <w:rPr>
          <w:rFonts w:ascii="Calibri" w:eastAsia="Times New Roman" w:hAnsi="Calibri" w:cs="Times New Roman"/>
          <w:iCs/>
          <w:color w:val="000000"/>
          <w:lang w:val="es-ES" w:eastAsia="es-ES"/>
        </w:rPr>
        <w:t xml:space="preserve">, es más fácil negociar una alternativa al proceso que eluda el juicio y la sanción, sin que por ello los casos queden sin finiquito. </w:t>
      </w:r>
      <w:r w:rsidR="00B33D9D">
        <w:rPr>
          <w:rFonts w:ascii="Calibri" w:eastAsia="Times New Roman" w:hAnsi="Calibri" w:cs="Times New Roman"/>
          <w:iCs/>
          <w:color w:val="000000"/>
          <w:lang w:val="es-ES" w:eastAsia="es-ES"/>
        </w:rPr>
        <w:t>Por otra parte, l</w:t>
      </w:r>
      <w:r w:rsidRPr="00941010">
        <w:rPr>
          <w:rFonts w:ascii="Calibri" w:eastAsia="Times New Roman" w:hAnsi="Calibri" w:cs="Times New Roman"/>
          <w:iCs/>
          <w:color w:val="000000"/>
          <w:lang w:val="es-ES" w:eastAsia="es-ES"/>
        </w:rPr>
        <w:t>a lesión corporal en el ejercicio de las funciones públicas es un delito que prescribe.</w:t>
      </w:r>
    </w:p>
    <w:p w:rsidR="00941010" w:rsidRDefault="00941010" w:rsidP="00C83BE8">
      <w:pPr>
        <w:spacing w:after="0" w:line="240" w:lineRule="auto"/>
        <w:jc w:val="both"/>
      </w:pPr>
    </w:p>
    <w:p w:rsidR="002B19FA" w:rsidRPr="00F47642" w:rsidRDefault="002B19FA" w:rsidP="002B19FA">
      <w:pPr>
        <w:pStyle w:val="SingleTxtG"/>
        <w:rPr>
          <w:rFonts w:ascii="Calibri" w:eastAsia="Calibri" w:hAnsi="Calibri" w:cs="Times New Roman"/>
          <w:b/>
          <w:lang w:eastAsia="en-US"/>
        </w:rPr>
      </w:pPr>
      <w:r w:rsidRPr="00F47642">
        <w:rPr>
          <w:rFonts w:ascii="Calibri" w:eastAsia="Calibri" w:hAnsi="Calibri" w:cs="Times New Roman"/>
          <w:b/>
          <w:lang w:eastAsia="en-US"/>
        </w:rPr>
        <w:t>26.</w:t>
      </w:r>
      <w:r w:rsidRPr="00F47642">
        <w:rPr>
          <w:rFonts w:ascii="Calibri" w:eastAsia="Calibri" w:hAnsi="Calibri" w:cs="Times New Roman"/>
          <w:b/>
          <w:lang w:eastAsia="en-US"/>
        </w:rPr>
        <w:tab/>
        <w:t>Sírvanse proporcionar información relativa</w:t>
      </w:r>
      <w:r w:rsidRPr="00F47642" w:rsidDel="00ED4173">
        <w:rPr>
          <w:rFonts w:ascii="Calibri" w:eastAsia="Calibri" w:hAnsi="Calibri" w:cs="Times New Roman"/>
          <w:b/>
          <w:lang w:eastAsia="en-US"/>
        </w:rPr>
        <w:t xml:space="preserve"> </w:t>
      </w:r>
      <w:r w:rsidRPr="00F47642">
        <w:rPr>
          <w:rFonts w:ascii="Calibri" w:eastAsia="Calibri" w:hAnsi="Calibri" w:cs="Times New Roman"/>
          <w:b/>
          <w:lang w:eastAsia="en-US"/>
        </w:rPr>
        <w:t xml:space="preserve">a los graves hechos ocurridos el 15 de junio de 2012 en </w:t>
      </w:r>
      <w:proofErr w:type="spellStart"/>
      <w:r w:rsidRPr="00F47642">
        <w:rPr>
          <w:rFonts w:ascii="Calibri" w:eastAsia="Calibri" w:hAnsi="Calibri" w:cs="Times New Roman"/>
          <w:b/>
          <w:lang w:eastAsia="en-US"/>
        </w:rPr>
        <w:t>Curuguaty</w:t>
      </w:r>
      <w:proofErr w:type="spellEnd"/>
      <w:r w:rsidRPr="00F47642">
        <w:rPr>
          <w:rFonts w:ascii="Calibri" w:eastAsia="Calibri" w:hAnsi="Calibri" w:cs="Times New Roman"/>
          <w:b/>
          <w:lang w:eastAsia="en-US"/>
        </w:rPr>
        <w:t>, en los que habrían fallecido 11 campesinos y seis policías y al menos otras 20 personas habrían resultado heridas. Sírvanse incluir también información sobre los resultados de la investigación abierta tras el asesinato el 1 de noviembre de 2012 del Sr. Vidal Vega, líder campesino y testigo clave en la investigación de la masacre de junio de 2012.</w:t>
      </w:r>
    </w:p>
    <w:p w:rsidR="00F742B1" w:rsidRDefault="00F742B1" w:rsidP="00C83BE8">
      <w:pPr>
        <w:spacing w:after="0" w:line="240" w:lineRule="auto"/>
        <w:jc w:val="both"/>
      </w:pPr>
    </w:p>
    <w:p w:rsidR="005014FF" w:rsidRDefault="00AD07B4" w:rsidP="00C83BE8">
      <w:pPr>
        <w:spacing w:after="0" w:line="240" w:lineRule="auto"/>
        <w:jc w:val="both"/>
      </w:pPr>
      <w:r>
        <w:t xml:space="preserve">En julio de 2016 concluyó el juicio oral y público en la acusación promovida por el Ministerio Público en el caso de la masacre de </w:t>
      </w:r>
      <w:proofErr w:type="spellStart"/>
      <w:r>
        <w:t>Curuguaty</w:t>
      </w:r>
      <w:proofErr w:type="spellEnd"/>
      <w:r>
        <w:t xml:space="preserve"> del 15 de junio de 2012. </w:t>
      </w:r>
      <w:r w:rsidR="005014FF">
        <w:t xml:space="preserve">El Tribunal Colegiado de Sentencia de la circunscripción judicial de Canindeyú condenó a los once campesinos acusados, confirmando en su totalidad la acusación fiscal. Dos campesinos fueron condenados a 35 y 20 años de prisión respectivamente, bajo los cargos de homicidio doloso agravado consumado, asociación criminal e invasión de inmueble ajeno. Dos campesinos fueron condenados a 18 años de prisión, bajo los cargos de homicidio doloso agravado en grado de tentativa, asociación criminal e invasión de inmueble ajeno. Las tres mujeres campesinas mayores de edad que se encontraban acusadas, fueron condenadas a seis años de prisión bajo los cargos de homicidio doloso agravado en grado de tentativa en calidad de cómplices, asociación criminal e invasión de inmueble ajeno. Finalmente, otros cuatro campesinos –hombres- fueron condenados a cuatro años de prisión, bajo los cargos de asociación criminal e invasión de inmueble ajeno. En mayo de 2017, el Tribunal de Apelaciones de la circunscripción rechazó un recurso de apelación interpuesto por la defensa de los campesinos y confirmó la totalidad de las condenas. En la actualidad, de los once campesinos condenados, los cuatro que cuentan con las condenas más altas se encuentran guardando prisión en la Penitenciaría Nacional de </w:t>
      </w:r>
      <w:proofErr w:type="spellStart"/>
      <w:r w:rsidR="005014FF">
        <w:t>Tacumbú</w:t>
      </w:r>
      <w:proofErr w:type="spellEnd"/>
      <w:r w:rsidR="005014FF">
        <w:t>.</w:t>
      </w:r>
    </w:p>
    <w:p w:rsidR="00AD07B4" w:rsidRDefault="00AD07B4" w:rsidP="00C83BE8">
      <w:pPr>
        <w:spacing w:after="0" w:line="240" w:lineRule="auto"/>
        <w:jc w:val="both"/>
      </w:pPr>
    </w:p>
    <w:p w:rsidR="005014FF" w:rsidRDefault="005014FF" w:rsidP="00C83BE8">
      <w:pPr>
        <w:spacing w:after="0" w:line="240" w:lineRule="auto"/>
        <w:jc w:val="both"/>
      </w:pPr>
      <w:r>
        <w:t xml:space="preserve">A este grupo se suman dos adolescentes quienes también fueron acusados de los mismos delitos que los adultos. Un adolescente de 15 años al momento del hecho fue condenado a dos años de prisión en suspensión condicional de la pena, tras una negociación con la fiscalía en la que se vio obligado a reconocer su responsabilidad y formular una declaración inculpatoria en contra en los dirigentes acusados. La otra adolescente, quien tenía 17 años al momento de los hechos, fue </w:t>
      </w:r>
      <w:r>
        <w:lastRenderedPageBreak/>
        <w:t xml:space="preserve">llevada a juicio oral porque se negó a </w:t>
      </w:r>
      <w:r w:rsidR="00F47642">
        <w:t>aceptar un acuerdo con la fiscalía en los términos que se exigían. Finalmente, fue absuelta en noviembre de 2016, tras un incidente de nulidad promovido por la defensa, sobre la base que a la acusada no se le había realizado al momento de su imputación el peritaje de madurez psicológica que es obligatorio en el fuero penal adolescente para determinar la capacidad del adolescente infractor de entender la punibilidad de su conducta.</w:t>
      </w:r>
    </w:p>
    <w:p w:rsidR="005014FF" w:rsidRDefault="005014FF" w:rsidP="00C83BE8">
      <w:pPr>
        <w:spacing w:after="0" w:line="240" w:lineRule="auto"/>
        <w:jc w:val="both"/>
      </w:pPr>
    </w:p>
    <w:p w:rsidR="00F47642" w:rsidRDefault="00F47642" w:rsidP="00C83BE8">
      <w:pPr>
        <w:spacing w:after="0" w:line="240" w:lineRule="auto"/>
        <w:jc w:val="both"/>
      </w:pPr>
      <w:r>
        <w:t xml:space="preserve">Las actuaciones judiciales del caso fueron cuestionadas por su falta de imparcialidad y la sospecha de </w:t>
      </w:r>
      <w:proofErr w:type="spellStart"/>
      <w:r>
        <w:t>preconstitución</w:t>
      </w:r>
      <w:proofErr w:type="spellEnd"/>
      <w:r>
        <w:t xml:space="preserve"> de pruebas incriminatorias. Hasta la fecha, ningún agente policial o funcionario fiscal fue investigado formalmente por su responsabilidad en los hechos de tortura y en las ejecuciones de los once campesinos que fallecieron en el incidente. Existen dos investigaciones fiscales abiertas, una ante la Unidad Especializada de Derechos Humanos que investiga sobre los hechos de tortura de los que fueron víctimas los civiles detenidos en la oportunidad; otra causa, abierta ante la Unidad Penal N° 3 del distrito de </w:t>
      </w:r>
      <w:proofErr w:type="spellStart"/>
      <w:r>
        <w:t>Curuguaty</w:t>
      </w:r>
      <w:proofErr w:type="spellEnd"/>
      <w:r>
        <w:t xml:space="preserve"> investiga las ejecuciones de los once campesinos. Sin embargo, no hay avances en la individualización de los responsables de los hechos denunciados en estas causas.</w:t>
      </w:r>
    </w:p>
    <w:p w:rsidR="00F47642" w:rsidRDefault="00F47642" w:rsidP="00C83BE8">
      <w:pPr>
        <w:spacing w:after="0" w:line="240" w:lineRule="auto"/>
        <w:jc w:val="both"/>
      </w:pPr>
    </w:p>
    <w:p w:rsidR="00F742B1" w:rsidRDefault="00F742B1" w:rsidP="00C83BE8">
      <w:pPr>
        <w:spacing w:after="0" w:line="240" w:lineRule="auto"/>
        <w:jc w:val="both"/>
      </w:pPr>
      <w:r>
        <w:t xml:space="preserve">En julio de 2016, la Cámara de Senadores rechazó un proyecto de resolución que conformaba una comisión de investigación independiente de los hechos ocurridos </w:t>
      </w:r>
      <w:r w:rsidRPr="00F742B1">
        <w:rPr>
          <w:rFonts w:ascii="Calibri" w:eastAsia="Calibri" w:hAnsi="Calibri" w:cs="Times New Roman"/>
        </w:rPr>
        <w:t>el 15 de junio de 2012</w:t>
      </w:r>
      <w:r>
        <w:rPr>
          <w:rFonts w:ascii="Calibri" w:eastAsia="Calibri" w:hAnsi="Calibri" w:cs="Times New Roman"/>
        </w:rPr>
        <w:t xml:space="preserve">, tal como se había recomendado en el último Examen Periódico Universal (EPU) al Paraguay y </w:t>
      </w:r>
      <w:r w:rsidR="00AD07B4">
        <w:rPr>
          <w:rFonts w:ascii="Calibri" w:eastAsia="Calibri" w:hAnsi="Calibri" w:cs="Times New Roman"/>
        </w:rPr>
        <w:t>en la línea de lo recomendado por</w:t>
      </w:r>
      <w:r>
        <w:rPr>
          <w:rFonts w:ascii="Calibri" w:eastAsia="Calibri" w:hAnsi="Calibri" w:cs="Times New Roman"/>
        </w:rPr>
        <w:t xml:space="preserve"> el Comité de Derechos Humanos</w:t>
      </w:r>
      <w:r w:rsidR="00AD07B4">
        <w:rPr>
          <w:rFonts w:ascii="Calibri" w:eastAsia="Calibri" w:hAnsi="Calibri" w:cs="Times New Roman"/>
        </w:rPr>
        <w:t xml:space="preserve"> en 2013</w:t>
      </w:r>
      <w:r w:rsidR="00AD07B4">
        <w:rPr>
          <w:rStyle w:val="FootnoteReference"/>
          <w:rFonts w:ascii="Calibri" w:eastAsia="Calibri" w:hAnsi="Calibri" w:cs="Times New Roman"/>
        </w:rPr>
        <w:footnoteReference w:id="19"/>
      </w:r>
      <w:r>
        <w:rPr>
          <w:rFonts w:ascii="Calibri" w:eastAsia="Calibri" w:hAnsi="Calibri" w:cs="Times New Roman"/>
        </w:rPr>
        <w:t xml:space="preserve">. No hubo otras iniciativas oficiales encaminadas a garantizar una investigación imparcial de los hechos de </w:t>
      </w:r>
      <w:proofErr w:type="spellStart"/>
      <w:r>
        <w:rPr>
          <w:rFonts w:ascii="Calibri" w:eastAsia="Calibri" w:hAnsi="Calibri" w:cs="Times New Roman"/>
        </w:rPr>
        <w:t>Curuguaty</w:t>
      </w:r>
      <w:proofErr w:type="spellEnd"/>
      <w:r>
        <w:rPr>
          <w:rFonts w:ascii="Calibri" w:eastAsia="Calibri" w:hAnsi="Calibri" w:cs="Times New Roman"/>
        </w:rPr>
        <w:t>.</w:t>
      </w:r>
    </w:p>
    <w:p w:rsidR="002B19FA" w:rsidRDefault="002B19FA" w:rsidP="00C83BE8">
      <w:pPr>
        <w:spacing w:after="0" w:line="240" w:lineRule="auto"/>
        <w:jc w:val="both"/>
      </w:pPr>
    </w:p>
    <w:p w:rsidR="00F742B1" w:rsidRDefault="00F742B1" w:rsidP="00C83BE8">
      <w:pPr>
        <w:spacing w:after="0" w:line="240" w:lineRule="auto"/>
        <w:jc w:val="both"/>
      </w:pPr>
      <w:r>
        <w:t>Respecto del asesinato del dirigente campesino Vidal Vega, una persona fue acusada y, luego de un juicio oral celebrado en abril de 2016, condenada a la pena privativa de libertad de doce años, bajo el cargo de homicidio doloso del dirigente campesino. El presunto sicario se encuentra guardando reclusión en la Penitenciaría Regional de Coronel Oviedo desde diciembre de 2012. La investigación fiscal concluyó que el presunto sicario fue el único autor del asesinato del dirigente campesino</w:t>
      </w:r>
      <w:r w:rsidR="00AD07B4">
        <w:t xml:space="preserve"> y no se pudo comprobar de manera razonable el móvil del crimen. No hubo investigación en el grado de la autoría moral o la instigación del asesinato del dirigente campesino, a pesar que el mismo era testigo en el caso de la masacre de </w:t>
      </w:r>
      <w:proofErr w:type="spellStart"/>
      <w:r w:rsidR="00AD07B4">
        <w:t>Curuguaty</w:t>
      </w:r>
      <w:proofErr w:type="spellEnd"/>
      <w:r w:rsidR="00AD07B4">
        <w:rPr>
          <w:rStyle w:val="FootnoteReference"/>
        </w:rPr>
        <w:footnoteReference w:id="20"/>
      </w:r>
      <w:r w:rsidR="00AD07B4">
        <w:t>.</w:t>
      </w:r>
    </w:p>
    <w:p w:rsidR="00F742B1" w:rsidRDefault="00F742B1" w:rsidP="00C83BE8">
      <w:pPr>
        <w:spacing w:after="0" w:line="240" w:lineRule="auto"/>
        <w:jc w:val="both"/>
      </w:pPr>
    </w:p>
    <w:p w:rsidR="007B432B" w:rsidRPr="007B432B" w:rsidRDefault="007B432B" w:rsidP="007B432B">
      <w:pPr>
        <w:pStyle w:val="SingleTxtG"/>
        <w:rPr>
          <w:rFonts w:eastAsia="Calibri"/>
          <w:b/>
          <w:lang w:eastAsia="en-US"/>
        </w:rPr>
      </w:pPr>
      <w:r w:rsidRPr="007B432B">
        <w:rPr>
          <w:rFonts w:eastAsia="Calibri"/>
          <w:b/>
          <w:lang w:eastAsia="en-US"/>
        </w:rPr>
        <w:t>28.</w:t>
      </w:r>
      <w:r w:rsidRPr="007B432B">
        <w:rPr>
          <w:rFonts w:eastAsia="Calibri"/>
          <w:b/>
          <w:lang w:eastAsia="en-US"/>
        </w:rPr>
        <w:tab/>
        <w:t>Sírvanse proporcionar información sobre los programas de reparación, incluido el tratamiento de traumas, físicos y psicológicos, y otras formas de rehabilitación proporcionados a las víctimas de la tortura y los malos tratos, así como sobre la asignación de recursos adecuados para garantizar el funcionamiento eficaz de esos programas. Sírvanse facilitar también información sobre el nivel de colaboración existente en este ámbito con organizaciones no gubernamentales especializadas, e indiquen si el Estado parte presta apoyo financiero y/o de otra índole para su funcionamiento eficaz.</w:t>
      </w:r>
    </w:p>
    <w:p w:rsidR="007B432B" w:rsidRDefault="007B432B" w:rsidP="00C83BE8">
      <w:pPr>
        <w:spacing w:after="0" w:line="240" w:lineRule="auto"/>
        <w:jc w:val="both"/>
      </w:pPr>
    </w:p>
    <w:p w:rsidR="007B432B" w:rsidRPr="007B432B" w:rsidRDefault="007B432B" w:rsidP="00C83BE8">
      <w:pPr>
        <w:spacing w:after="0" w:line="240" w:lineRule="auto"/>
        <w:jc w:val="both"/>
      </w:pPr>
      <w:r w:rsidRPr="007B432B">
        <w:rPr>
          <w:iCs/>
        </w:rPr>
        <w:t xml:space="preserve">El Estado parte no cuenta con programas de rehabilitación y/o tratamiento de traumas para las víctimas de torturas. La única ley vigente para la reparación de víctimas de torturas, se refiere </w:t>
      </w:r>
      <w:r w:rsidRPr="007B432B">
        <w:rPr>
          <w:iCs/>
        </w:rPr>
        <w:lastRenderedPageBreak/>
        <w:t xml:space="preserve">solamente a las víctimas </w:t>
      </w:r>
      <w:r>
        <w:rPr>
          <w:iCs/>
        </w:rPr>
        <w:t>del r</w:t>
      </w:r>
      <w:r w:rsidRPr="007B432B">
        <w:rPr>
          <w:iCs/>
        </w:rPr>
        <w:t>égimen dictatorial que gobernó Paraguay entre 1954 y 1989, y abarca solo reparaciones pecuniaria</w:t>
      </w:r>
      <w:r w:rsidR="00B60FBA">
        <w:rPr>
          <w:iCs/>
        </w:rPr>
        <w:t>s</w:t>
      </w:r>
      <w:r w:rsidRPr="007B432B">
        <w:rPr>
          <w:iCs/>
        </w:rPr>
        <w:t xml:space="preserve">, </w:t>
      </w:r>
      <w:r>
        <w:rPr>
          <w:iCs/>
        </w:rPr>
        <w:t xml:space="preserve">no existe otro tipo de abordaje o </w:t>
      </w:r>
      <w:r w:rsidRPr="007B432B">
        <w:rPr>
          <w:iCs/>
        </w:rPr>
        <w:t>asistencia.</w:t>
      </w:r>
    </w:p>
    <w:p w:rsidR="00F742B1" w:rsidRPr="00AD07B4" w:rsidRDefault="00F742B1" w:rsidP="00C83BE8">
      <w:pPr>
        <w:spacing w:after="0" w:line="240" w:lineRule="auto"/>
        <w:jc w:val="both"/>
      </w:pPr>
    </w:p>
    <w:p w:rsidR="00137AA7" w:rsidRPr="00DF411A" w:rsidRDefault="00137AA7" w:rsidP="00137AA7">
      <w:pPr>
        <w:pStyle w:val="SingleTxtG"/>
        <w:rPr>
          <w:rFonts w:ascii="Calibri" w:eastAsia="Calibri" w:hAnsi="Calibri" w:cs="Times New Roman"/>
          <w:b/>
          <w:lang w:eastAsia="en-US"/>
        </w:rPr>
      </w:pPr>
      <w:r w:rsidRPr="00DF411A">
        <w:rPr>
          <w:rFonts w:ascii="Calibri" w:eastAsia="Calibri" w:hAnsi="Calibri" w:cs="Times New Roman"/>
          <w:b/>
          <w:lang w:eastAsia="en-US"/>
        </w:rPr>
        <w:t>30.</w:t>
      </w:r>
      <w:r w:rsidRPr="00DF411A">
        <w:rPr>
          <w:rFonts w:ascii="Calibri" w:eastAsia="Calibri" w:hAnsi="Calibri" w:cs="Times New Roman"/>
          <w:b/>
          <w:lang w:eastAsia="en-US"/>
        </w:rPr>
        <w:tab/>
        <w:t>Con arreglo a lo recomendado por el Comité en sus anteriores observaciones finales (párr. 20), sírvanse informar sobre las medidas concretas adoptadas para garantizar la observancia en la práctica del principio de inadmisibilidad de las pruebas obtenidas mediante tortura. ¿En cuántos procesos penales celebrados desde el examen del anterior informe periódico se adujo que las pruebas contra los acusados habían sido obtenidas bajo coacción o torturas? Faciliten datos sobre los casos que hayan sido desestimados por los tribunales por esta razón.</w:t>
      </w:r>
    </w:p>
    <w:p w:rsidR="002B19FA" w:rsidRDefault="002B19FA" w:rsidP="00C83BE8">
      <w:pPr>
        <w:spacing w:after="0" w:line="240" w:lineRule="auto"/>
        <w:jc w:val="both"/>
      </w:pPr>
    </w:p>
    <w:p w:rsidR="00DF411A" w:rsidRDefault="00DF411A" w:rsidP="00C83BE8">
      <w:pPr>
        <w:spacing w:after="0" w:line="240" w:lineRule="auto"/>
        <w:jc w:val="both"/>
      </w:pPr>
      <w:r>
        <w:t>La legislación del Estado parte contiene suficientes garantías que sancionan con la nulidad a las pruebas obtenidas bajo tortura, en particular, a las declaraciones. En tal sentido, el Código de Procedimientos Penales de la República del Paraguay dispone que la declaración de una persona procesada penalmente sólo tendrá validez si el imputado lo hace con la presencia de su abogado defensor (artículo 84). La Policía en ningún caso podrá tomar declaración indagatoria a los detenidos; tales declaraciones son nulas, carecen de valor y no pueden constituir prueba (artículo 90).</w:t>
      </w:r>
      <w:r w:rsidR="00EB370A">
        <w:t xml:space="preserve"> </w:t>
      </w:r>
      <w:r w:rsidR="00125A2D">
        <w:t>Al momento de la declaración, el Código Procesal Penal dispone de las siguientes garantías:</w:t>
      </w:r>
    </w:p>
    <w:p w:rsidR="00125A2D" w:rsidRDefault="00125A2D" w:rsidP="00C83BE8">
      <w:pPr>
        <w:spacing w:after="0" w:line="240" w:lineRule="auto"/>
        <w:jc w:val="both"/>
      </w:pPr>
    </w:p>
    <w:p w:rsidR="00125A2D" w:rsidRDefault="00125A2D" w:rsidP="00125A2D">
      <w:pPr>
        <w:numPr>
          <w:ilvl w:val="0"/>
          <w:numId w:val="6"/>
        </w:numPr>
        <w:spacing w:after="0" w:line="240" w:lineRule="auto"/>
        <w:jc w:val="both"/>
      </w:pPr>
      <w:r>
        <w:t>Se prohíbe que se empleen en contra del imputado/a medios contrarios a su dignidad (artículo 75.1);</w:t>
      </w:r>
    </w:p>
    <w:p w:rsidR="00125A2D" w:rsidRDefault="00125A2D" w:rsidP="00125A2D">
      <w:pPr>
        <w:numPr>
          <w:ilvl w:val="0"/>
          <w:numId w:val="6"/>
        </w:numPr>
        <w:spacing w:after="0" w:line="240" w:lineRule="auto"/>
        <w:jc w:val="both"/>
      </w:pPr>
      <w:r>
        <w:t>Se prohíbe que se lo inmovilice físicamente en el lugar y durante la realización de la audiencia, o cualquier otro acto procesal que exija su presencia, sin perjuicio de las medidas de vigilancia que en casos especiales pueda requerir el juez o el Ministerio Público (artículo 75.8); particularmente, está prohibido que el mismo se encuentre esposado (artículo 91);</w:t>
      </w:r>
    </w:p>
    <w:p w:rsidR="00125A2D" w:rsidRDefault="00125A2D" w:rsidP="00125A2D">
      <w:pPr>
        <w:numPr>
          <w:ilvl w:val="0"/>
          <w:numId w:val="6"/>
        </w:numPr>
        <w:spacing w:after="0" w:line="240" w:lineRule="auto"/>
        <w:jc w:val="both"/>
      </w:pPr>
      <w:r>
        <w:t>Se prohíbe cualquier método de fuerza o coacción, así como a medidas que afecten su libertad de decisión, su memoria, voluntad, capacidad de comprensión y la dirección de su propia declaración (artículo 88);</w:t>
      </w:r>
    </w:p>
    <w:p w:rsidR="00125A2D" w:rsidRDefault="00125A2D" w:rsidP="00125A2D">
      <w:pPr>
        <w:numPr>
          <w:ilvl w:val="0"/>
          <w:numId w:val="6"/>
        </w:numPr>
        <w:spacing w:after="0" w:line="240" w:lineRule="auto"/>
        <w:jc w:val="both"/>
      </w:pPr>
      <w:r>
        <w:t>Se prohíben los interrogatorios con preguntas capciosas, sugestivas o que se le exija que conteste perentoriamente a las cuestiones que se le planteen (artículo 89).</w:t>
      </w:r>
    </w:p>
    <w:p w:rsidR="00125A2D" w:rsidRDefault="00125A2D" w:rsidP="00C83BE8">
      <w:pPr>
        <w:spacing w:after="0" w:line="240" w:lineRule="auto"/>
        <w:jc w:val="both"/>
      </w:pPr>
    </w:p>
    <w:p w:rsidR="00DF411A" w:rsidRDefault="00125A2D" w:rsidP="00C83BE8">
      <w:pPr>
        <w:spacing w:after="0" w:line="240" w:lineRule="auto"/>
        <w:jc w:val="both"/>
      </w:pPr>
      <w:r>
        <w:t>Pruebas obtenidas bajo tortura, o en violación de estas prescripciones, son nulas y carecen de eficacia probatoria, por lo que deben ser excluidos del acervo probatorio de las causas penales.</w:t>
      </w:r>
    </w:p>
    <w:p w:rsidR="00DF411A" w:rsidRDefault="00DF411A" w:rsidP="00C83BE8">
      <w:pPr>
        <w:spacing w:after="0" w:line="240" w:lineRule="auto"/>
        <w:jc w:val="both"/>
      </w:pPr>
    </w:p>
    <w:p w:rsidR="00125A2D" w:rsidRDefault="00125A2D" w:rsidP="00C83BE8">
      <w:pPr>
        <w:spacing w:after="0" w:line="240" w:lineRule="auto"/>
        <w:jc w:val="both"/>
      </w:pPr>
      <w:r>
        <w:t xml:space="preserve">El </w:t>
      </w:r>
      <w:proofErr w:type="spellStart"/>
      <w:r w:rsidRPr="00125A2D">
        <w:rPr>
          <w:i/>
        </w:rPr>
        <w:t>l</w:t>
      </w:r>
      <w:r w:rsidR="007A2753" w:rsidRPr="00125A2D">
        <w:rPr>
          <w:i/>
        </w:rPr>
        <w:t>eading</w:t>
      </w:r>
      <w:proofErr w:type="spellEnd"/>
      <w:r w:rsidR="007A2753" w:rsidRPr="00125A2D">
        <w:rPr>
          <w:i/>
        </w:rPr>
        <w:t xml:space="preserve"> case</w:t>
      </w:r>
      <w:r w:rsidR="007A2753" w:rsidRPr="007325FE">
        <w:t xml:space="preserve"> </w:t>
      </w:r>
      <w:r>
        <w:t xml:space="preserve">en materia de nulidad de pruebas obtenidas bajo tortura es el caso Napoleón </w:t>
      </w:r>
      <w:proofErr w:type="spellStart"/>
      <w:r>
        <w:t>Ortigoza</w:t>
      </w:r>
      <w:proofErr w:type="spellEnd"/>
      <w:r>
        <w:t>, militar que fuera condenado a la pena de 25 años de prisión por un supuesto homicidio ocurrido en 1962. En 1996, la Corte Suprema de Justicia de la República del Paraguay declaró la nulidad de todos los procesos seguidos</w:t>
      </w:r>
      <w:r w:rsidR="00052138">
        <w:t xml:space="preserve"> en contra de </w:t>
      </w:r>
      <w:proofErr w:type="spellStart"/>
      <w:r w:rsidR="00052138">
        <w:t>Ortigoza</w:t>
      </w:r>
      <w:proofErr w:type="spellEnd"/>
      <w:r w:rsidR="00052138">
        <w:t xml:space="preserve"> debido a</w:t>
      </w:r>
      <w:r>
        <w:t xml:space="preserve"> graves violaciones a las garantías judiciales, entre ellas, que la causa se </w:t>
      </w:r>
      <w:r w:rsidR="00052138">
        <w:t>hubiera</w:t>
      </w:r>
      <w:r>
        <w:t xml:space="preserve"> iniciado sobre una declaración arrancada bajo tortura</w:t>
      </w:r>
      <w:r>
        <w:rPr>
          <w:rStyle w:val="FootnoteReference"/>
        </w:rPr>
        <w:footnoteReference w:id="21"/>
      </w:r>
      <w:r>
        <w:t>. Esta decisión de la Corte dio lugar posteriormente a una indemnización.</w:t>
      </w:r>
    </w:p>
    <w:p w:rsidR="00125A2D" w:rsidRDefault="00125A2D" w:rsidP="00C83BE8">
      <w:pPr>
        <w:spacing w:after="0" w:line="240" w:lineRule="auto"/>
        <w:jc w:val="both"/>
      </w:pPr>
    </w:p>
    <w:p w:rsidR="00125A2D" w:rsidRDefault="00125A2D" w:rsidP="00C83BE8">
      <w:pPr>
        <w:spacing w:after="0" w:line="240" w:lineRule="auto"/>
        <w:jc w:val="both"/>
      </w:pPr>
      <w:r>
        <w:lastRenderedPageBreak/>
        <w:t xml:space="preserve">No existen, sin embargo, precedentes judiciales posteriores al caso </w:t>
      </w:r>
      <w:proofErr w:type="spellStart"/>
      <w:r>
        <w:t>Ortigoza</w:t>
      </w:r>
      <w:proofErr w:type="spellEnd"/>
      <w:r>
        <w:t xml:space="preserve"> en los que la justicia del Estado parte haya declarado la nulidad de pruebas o procesos viciados por el crimen de la tortura.</w:t>
      </w:r>
    </w:p>
    <w:p w:rsidR="00125A2D" w:rsidRDefault="00125A2D" w:rsidP="00C83BE8">
      <w:pPr>
        <w:spacing w:after="0" w:line="240" w:lineRule="auto"/>
        <w:jc w:val="both"/>
      </w:pPr>
    </w:p>
    <w:p w:rsidR="000F123F" w:rsidRPr="000F123F" w:rsidRDefault="000F123F" w:rsidP="000F123F">
      <w:pPr>
        <w:autoSpaceDE w:val="0"/>
        <w:autoSpaceDN w:val="0"/>
        <w:adjustRightInd w:val="0"/>
        <w:spacing w:after="0" w:line="240" w:lineRule="auto"/>
        <w:jc w:val="both"/>
        <w:rPr>
          <w:rFonts w:cs="Times New Roman"/>
        </w:rPr>
      </w:pPr>
      <w:r w:rsidRPr="000F123F">
        <w:rPr>
          <w:rFonts w:cs="Times New Roman"/>
        </w:rPr>
        <w:t>En el curso de sus intervenciones, el MNP ha constatado que no existe una constante práctica judicial de invalidar las actuaciones policiales irregulares, abusivas o violentas. Incluso, en algunos casos, en la propia resolución judicial que decreta una orden de prisión preventiva se registraron actuaciones policiales ilegales que –al menos- privarían de validez a los elementos de convicción aportados o a la misma denuncia policial. Sin embargo, la acrítica intervención del juzgado convalidó estas actuaciones, ordenando sobre su base la prisión preventiva</w:t>
      </w:r>
      <w:r>
        <w:rPr>
          <w:rFonts w:cs="Times New Roman"/>
        </w:rPr>
        <w:t xml:space="preserve"> y las ulteriores actuaciones fiscales y judiciales.</w:t>
      </w:r>
    </w:p>
    <w:p w:rsidR="00887902" w:rsidRDefault="00887902" w:rsidP="00C83BE8">
      <w:pPr>
        <w:spacing w:after="0" w:line="240" w:lineRule="auto"/>
        <w:jc w:val="both"/>
        <w:rPr>
          <w:rFonts w:cs="Arial"/>
        </w:rPr>
      </w:pPr>
    </w:p>
    <w:p w:rsidR="006A78C4" w:rsidRPr="000F1AD0" w:rsidRDefault="006A78C4" w:rsidP="000F1AD0">
      <w:pPr>
        <w:pStyle w:val="H23G"/>
        <w:spacing w:before="0" w:after="0" w:line="240" w:lineRule="auto"/>
        <w:rPr>
          <w:rFonts w:asciiTheme="minorHAnsi" w:eastAsia="Calibri" w:hAnsiTheme="minorHAnsi"/>
          <w:sz w:val="22"/>
          <w:szCs w:val="22"/>
          <w:lang w:eastAsia="en-US"/>
        </w:rPr>
      </w:pPr>
      <w:r w:rsidRPr="000F1AD0">
        <w:rPr>
          <w:rFonts w:asciiTheme="minorHAnsi" w:eastAsia="Calibri" w:hAnsiTheme="minorHAnsi"/>
          <w:sz w:val="22"/>
          <w:szCs w:val="22"/>
          <w:lang w:eastAsia="en-US"/>
        </w:rPr>
        <w:tab/>
      </w:r>
      <w:r w:rsidRPr="000F1AD0">
        <w:rPr>
          <w:rFonts w:asciiTheme="minorHAnsi" w:eastAsia="Calibri" w:hAnsiTheme="minorHAnsi"/>
          <w:sz w:val="22"/>
          <w:szCs w:val="22"/>
          <w:lang w:eastAsia="en-US"/>
        </w:rPr>
        <w:tab/>
        <w:t>Artículo 16</w:t>
      </w:r>
    </w:p>
    <w:p w:rsidR="000F1AD0" w:rsidRDefault="000F1AD0" w:rsidP="000F1AD0">
      <w:pPr>
        <w:pStyle w:val="SingleTxtG"/>
        <w:spacing w:after="0" w:line="240" w:lineRule="auto"/>
        <w:rPr>
          <w:rFonts w:eastAsia="Calibri"/>
          <w:b/>
          <w:lang w:eastAsia="en-US"/>
        </w:rPr>
      </w:pPr>
    </w:p>
    <w:p w:rsidR="006A78C4" w:rsidRPr="000F1AD0" w:rsidRDefault="006A78C4" w:rsidP="000F1AD0">
      <w:pPr>
        <w:pStyle w:val="SingleTxtG"/>
        <w:spacing w:after="0" w:line="240" w:lineRule="auto"/>
        <w:rPr>
          <w:rFonts w:eastAsia="Calibri"/>
          <w:b/>
          <w:lang w:eastAsia="en-US"/>
        </w:rPr>
      </w:pPr>
      <w:r w:rsidRPr="000F1AD0">
        <w:rPr>
          <w:rFonts w:eastAsia="Calibri"/>
          <w:b/>
          <w:lang w:eastAsia="en-US"/>
        </w:rPr>
        <w:t>35.</w:t>
      </w:r>
      <w:r w:rsidRPr="000F1AD0">
        <w:rPr>
          <w:rFonts w:eastAsia="Calibri"/>
          <w:b/>
          <w:lang w:eastAsia="en-US"/>
        </w:rPr>
        <w:tab/>
        <w:t>Sírvanse proporcionar información actualizada sobre las medidas que haya adoptado el Estado parte para responder a la amenaza de actos de terrorismo y describir, en su caso, cómo han afectado esas medidas a las salvaguardias que protegen los derechos humanos en la ley y en la práctica y cómo se ha asegurado el Estado parte de que las medidas adoptadas para luchar contra el terrorismo cumplan las obligaciones que le incumben en virtud del derecho internacional, especialmente la Convención. Sírvanse describir la capacitación en esta materia impartida a los agentes del orden, el número y el tipo de personas condenadas con arreglo a dicha legislación, las salvaguardias y recursos legales a disposición de las personas sujetas a medidas antiterroristas en la ley y en la práctica, si existen o no quejas relacionadas con la no observancia de las normas internacionales y el resultado de dichas quejas.</w:t>
      </w:r>
    </w:p>
    <w:p w:rsidR="006A78C4" w:rsidRDefault="006A78C4" w:rsidP="00C83BE8">
      <w:pPr>
        <w:spacing w:after="0" w:line="240" w:lineRule="auto"/>
        <w:jc w:val="both"/>
        <w:rPr>
          <w:rFonts w:cs="Arial"/>
        </w:rPr>
      </w:pPr>
    </w:p>
    <w:p w:rsidR="006940D4" w:rsidRPr="006940D4" w:rsidRDefault="006940D4" w:rsidP="006940D4">
      <w:pPr>
        <w:spacing w:after="0" w:line="240" w:lineRule="auto"/>
        <w:jc w:val="both"/>
        <w:rPr>
          <w:rFonts w:ascii="Calibri" w:eastAsia="Times New Roman" w:hAnsi="Calibri" w:cs="Times New Roman"/>
          <w:iCs/>
          <w:color w:val="000000"/>
          <w:lang w:val="es-ES" w:eastAsia="es-ES"/>
        </w:rPr>
      </w:pPr>
      <w:r>
        <w:rPr>
          <w:rFonts w:ascii="Calibri" w:eastAsia="Times New Roman" w:hAnsi="Calibri" w:cs="Times New Roman"/>
          <w:iCs/>
          <w:color w:val="000000"/>
          <w:lang w:val="es-ES" w:eastAsia="es-ES"/>
        </w:rPr>
        <w:t>Mediante</w:t>
      </w:r>
      <w:r w:rsidRPr="006940D4">
        <w:rPr>
          <w:rFonts w:ascii="Calibri" w:eastAsia="Times New Roman" w:hAnsi="Calibri" w:cs="Times New Roman"/>
          <w:iCs/>
          <w:color w:val="000000"/>
          <w:lang w:val="es-ES" w:eastAsia="es-ES"/>
        </w:rPr>
        <w:t xml:space="preserve"> las </w:t>
      </w:r>
      <w:r>
        <w:rPr>
          <w:rFonts w:ascii="Calibri" w:eastAsia="Times New Roman" w:hAnsi="Calibri" w:cs="Times New Roman"/>
          <w:iCs/>
          <w:color w:val="000000"/>
          <w:lang w:val="es-ES" w:eastAsia="es-ES"/>
        </w:rPr>
        <w:t>L</w:t>
      </w:r>
      <w:r w:rsidRPr="006940D4">
        <w:rPr>
          <w:rFonts w:ascii="Calibri" w:eastAsia="Times New Roman" w:hAnsi="Calibri" w:cs="Times New Roman"/>
          <w:iCs/>
          <w:color w:val="000000"/>
          <w:lang w:val="es-ES" w:eastAsia="es-ES"/>
        </w:rPr>
        <w:t>eyes</w:t>
      </w:r>
      <w:r>
        <w:rPr>
          <w:rFonts w:ascii="Calibri" w:eastAsia="Times New Roman" w:hAnsi="Calibri" w:cs="Times New Roman"/>
          <w:iCs/>
          <w:color w:val="000000"/>
          <w:lang w:val="es-ES" w:eastAsia="es-ES"/>
        </w:rPr>
        <w:t xml:space="preserve"> Nº</w:t>
      </w:r>
      <w:r w:rsidRPr="006940D4">
        <w:rPr>
          <w:rFonts w:ascii="Calibri" w:eastAsia="Times New Roman" w:hAnsi="Calibri" w:cs="Times New Roman"/>
          <w:iCs/>
          <w:color w:val="000000"/>
          <w:lang w:val="es-ES" w:eastAsia="es-ES"/>
        </w:rPr>
        <w:t xml:space="preserve"> 3994</w:t>
      </w:r>
      <w:r>
        <w:rPr>
          <w:rFonts w:ascii="Calibri" w:eastAsia="Times New Roman" w:hAnsi="Calibri" w:cs="Times New Roman"/>
          <w:iCs/>
          <w:color w:val="000000"/>
          <w:lang w:val="es-ES" w:eastAsia="es-ES"/>
        </w:rPr>
        <w:t>/08 y 4473/11 se establecieron E</w:t>
      </w:r>
      <w:r w:rsidRPr="006940D4">
        <w:rPr>
          <w:rFonts w:ascii="Calibri" w:eastAsia="Times New Roman" w:hAnsi="Calibri" w:cs="Times New Roman"/>
          <w:iCs/>
          <w:color w:val="000000"/>
          <w:lang w:val="es-ES" w:eastAsia="es-ES"/>
        </w:rPr>
        <w:t xml:space="preserve">stados de </w:t>
      </w:r>
      <w:r>
        <w:rPr>
          <w:rFonts w:ascii="Calibri" w:eastAsia="Times New Roman" w:hAnsi="Calibri" w:cs="Times New Roman"/>
          <w:iCs/>
          <w:color w:val="000000"/>
          <w:lang w:val="es-ES" w:eastAsia="es-ES"/>
        </w:rPr>
        <w:t>E</w:t>
      </w:r>
      <w:r w:rsidRPr="006940D4">
        <w:rPr>
          <w:rFonts w:ascii="Calibri" w:eastAsia="Times New Roman" w:hAnsi="Calibri" w:cs="Times New Roman"/>
          <w:iCs/>
          <w:color w:val="000000"/>
          <w:lang w:val="es-ES" w:eastAsia="es-ES"/>
        </w:rPr>
        <w:t>xcepción en departamentos del norte de la Región Oriental</w:t>
      </w:r>
      <w:r>
        <w:rPr>
          <w:rFonts w:ascii="Calibri" w:eastAsia="Times New Roman" w:hAnsi="Calibri" w:cs="Times New Roman"/>
          <w:iCs/>
          <w:color w:val="000000"/>
          <w:lang w:val="es-ES" w:eastAsia="es-ES"/>
        </w:rPr>
        <w:t xml:space="preserve"> del Estado parte</w:t>
      </w:r>
      <w:r w:rsidRPr="006940D4">
        <w:rPr>
          <w:rFonts w:ascii="Calibri" w:eastAsia="Times New Roman" w:hAnsi="Calibri" w:cs="Times New Roman"/>
          <w:iCs/>
          <w:color w:val="000000"/>
          <w:lang w:val="es-ES" w:eastAsia="es-ES"/>
        </w:rPr>
        <w:t>. Informes elaborados por la sociedad civil dan cuenta de posibles vulneraciones de derechos humanos de los y las pobladores de dicha zona</w:t>
      </w:r>
      <w:r>
        <w:rPr>
          <w:rFonts w:ascii="Calibri" w:eastAsia="Times New Roman" w:hAnsi="Calibri" w:cs="Times New Roman"/>
          <w:iCs/>
          <w:color w:val="000000"/>
          <w:lang w:val="es-ES" w:eastAsia="es-ES"/>
        </w:rPr>
        <w:t xml:space="preserve"> en el marco de las actuaciones estatales durante el Estado de Excepción</w:t>
      </w:r>
      <w:r w:rsidRPr="006940D4">
        <w:rPr>
          <w:rFonts w:ascii="Calibri" w:eastAsia="Times New Roman" w:hAnsi="Calibri" w:cs="Times New Roman"/>
          <w:iCs/>
          <w:color w:val="000000"/>
          <w:lang w:val="es-ES" w:eastAsia="es-ES"/>
        </w:rPr>
        <w:t>.</w:t>
      </w:r>
    </w:p>
    <w:p w:rsidR="006940D4" w:rsidRPr="006940D4" w:rsidRDefault="006940D4" w:rsidP="006940D4">
      <w:pPr>
        <w:spacing w:after="0" w:line="240" w:lineRule="auto"/>
        <w:jc w:val="both"/>
        <w:rPr>
          <w:rFonts w:ascii="Calibri" w:eastAsia="Times New Roman" w:hAnsi="Calibri" w:cs="Times New Roman"/>
          <w:iCs/>
          <w:color w:val="000000"/>
          <w:lang w:val="es-ES" w:eastAsia="es-ES"/>
        </w:rPr>
      </w:pPr>
    </w:p>
    <w:p w:rsidR="006940D4" w:rsidRPr="006940D4" w:rsidRDefault="006940D4" w:rsidP="006940D4">
      <w:pPr>
        <w:spacing w:after="0" w:line="240" w:lineRule="auto"/>
        <w:jc w:val="both"/>
        <w:rPr>
          <w:rFonts w:ascii="Times New Roman" w:eastAsia="Times New Roman" w:hAnsi="Times New Roman" w:cs="Times New Roman"/>
          <w:sz w:val="24"/>
          <w:szCs w:val="24"/>
          <w:lang w:val="es-ES" w:eastAsia="es-ES"/>
        </w:rPr>
      </w:pPr>
      <w:r w:rsidRPr="006940D4">
        <w:rPr>
          <w:rFonts w:ascii="Calibri" w:eastAsia="Times New Roman" w:hAnsi="Calibri" w:cs="Times New Roman"/>
          <w:iCs/>
          <w:color w:val="000000"/>
          <w:lang w:val="es-ES" w:eastAsia="es-ES"/>
        </w:rPr>
        <w:t>Posteriormente, en agosto de 2013, fue modificada la Ley Nº 1337 De Defensa y Seguridad Interna. En virtud a esta modificación se faculta al Poder Ejecutivo el empleo transitorio de las fuerzas de combate de las Fuerzas Armadas cuando, en situaciones de extrema gravedad, el sistema de seguridad interna resulte manifiestamente insuficiente. Esta modificación normativa también contempla la implementación de estas fuerzas de combate en casos de terrorismo o cuando existiesen amenazas o acciones violentas contra las autoridades legítimamente constituidas que impidan el libre ejercicio de sus funciones constitucionales y legales.</w:t>
      </w:r>
      <w:r w:rsidR="00607453">
        <w:rPr>
          <w:rFonts w:ascii="Calibri" w:eastAsia="Times New Roman" w:hAnsi="Calibri" w:cs="Times New Roman"/>
          <w:iCs/>
          <w:color w:val="000000"/>
          <w:lang w:val="es-ES" w:eastAsia="es-ES"/>
        </w:rPr>
        <w:t xml:space="preserve"> Una organización de la sociedad civil planteó ante la Corte Suprema de Justicia una acción de inconstitucionalidad en contra de esta modificación de la ley que se encuentra pendiente de resolución.</w:t>
      </w:r>
    </w:p>
    <w:p w:rsidR="006940D4" w:rsidRDefault="006940D4" w:rsidP="006940D4">
      <w:pPr>
        <w:spacing w:after="0" w:line="240" w:lineRule="auto"/>
        <w:jc w:val="both"/>
        <w:rPr>
          <w:rFonts w:ascii="Calibri" w:eastAsia="Times New Roman" w:hAnsi="Calibri" w:cs="Times New Roman"/>
          <w:iCs/>
          <w:color w:val="000000"/>
          <w:lang w:val="es-ES" w:eastAsia="es-ES"/>
        </w:rPr>
      </w:pPr>
    </w:p>
    <w:p w:rsidR="006940D4" w:rsidRPr="006940D4" w:rsidRDefault="006940D4" w:rsidP="006940D4">
      <w:pPr>
        <w:spacing w:after="0" w:line="240" w:lineRule="auto"/>
        <w:jc w:val="both"/>
        <w:rPr>
          <w:rFonts w:ascii="Calibri" w:eastAsia="Times New Roman" w:hAnsi="Calibri" w:cs="Times New Roman"/>
          <w:iCs/>
          <w:color w:val="000000"/>
          <w:lang w:val="es-ES" w:eastAsia="es-ES"/>
        </w:rPr>
      </w:pPr>
      <w:r>
        <w:rPr>
          <w:rFonts w:ascii="Calibri" w:eastAsia="Times New Roman" w:hAnsi="Calibri" w:cs="Times New Roman"/>
          <w:iCs/>
          <w:color w:val="000000"/>
          <w:lang w:val="es-ES" w:eastAsia="es-ES"/>
        </w:rPr>
        <w:t xml:space="preserve">En virtud de dicha modificación, </w:t>
      </w:r>
      <w:r w:rsidRPr="006940D4">
        <w:rPr>
          <w:rFonts w:ascii="Calibri" w:eastAsia="Times New Roman" w:hAnsi="Calibri" w:cs="Times New Roman"/>
          <w:iCs/>
          <w:color w:val="000000"/>
          <w:lang w:val="es-ES" w:eastAsia="es-ES"/>
        </w:rPr>
        <w:t xml:space="preserve">el </w:t>
      </w:r>
      <w:r>
        <w:rPr>
          <w:rFonts w:ascii="Calibri" w:eastAsia="Times New Roman" w:hAnsi="Calibri" w:cs="Times New Roman"/>
          <w:iCs/>
          <w:color w:val="000000"/>
          <w:lang w:val="es-ES" w:eastAsia="es-ES"/>
        </w:rPr>
        <w:t>P</w:t>
      </w:r>
      <w:r w:rsidRPr="006940D4">
        <w:rPr>
          <w:rFonts w:ascii="Calibri" w:eastAsia="Times New Roman" w:hAnsi="Calibri" w:cs="Times New Roman"/>
          <w:iCs/>
          <w:color w:val="000000"/>
          <w:lang w:val="es-ES" w:eastAsia="es-ES"/>
        </w:rPr>
        <w:t xml:space="preserve">oder </w:t>
      </w:r>
      <w:r>
        <w:rPr>
          <w:rFonts w:ascii="Calibri" w:eastAsia="Times New Roman" w:hAnsi="Calibri" w:cs="Times New Roman"/>
          <w:iCs/>
          <w:color w:val="000000"/>
          <w:lang w:val="es-ES" w:eastAsia="es-ES"/>
        </w:rPr>
        <w:t>E</w:t>
      </w:r>
      <w:r w:rsidRPr="006940D4">
        <w:rPr>
          <w:rFonts w:ascii="Calibri" w:eastAsia="Times New Roman" w:hAnsi="Calibri" w:cs="Times New Roman"/>
          <w:iCs/>
          <w:color w:val="000000"/>
          <w:lang w:val="es-ES" w:eastAsia="es-ES"/>
        </w:rPr>
        <w:t xml:space="preserve">jecutivo designó por </w:t>
      </w:r>
      <w:r>
        <w:rPr>
          <w:rFonts w:ascii="Calibri" w:eastAsia="Times New Roman" w:hAnsi="Calibri" w:cs="Times New Roman"/>
          <w:iCs/>
          <w:color w:val="000000"/>
          <w:lang w:val="es-ES" w:eastAsia="es-ES"/>
        </w:rPr>
        <w:t>D</w:t>
      </w:r>
      <w:r w:rsidRPr="006940D4">
        <w:rPr>
          <w:rFonts w:ascii="Calibri" w:eastAsia="Times New Roman" w:hAnsi="Calibri" w:cs="Times New Roman"/>
          <w:iCs/>
          <w:color w:val="000000"/>
          <w:lang w:val="es-ES" w:eastAsia="es-ES"/>
        </w:rPr>
        <w:t>ecreto N° 103 del 24 de agosto de 2013 el empleo de las fuerzas de combate en los departamentos del Concepción, Amambay y San Pedro, denominada Fuerzas de Tarea</w:t>
      </w:r>
      <w:r>
        <w:rPr>
          <w:rFonts w:ascii="Calibri" w:eastAsia="Times New Roman" w:hAnsi="Calibri" w:cs="Times New Roman"/>
          <w:iCs/>
          <w:color w:val="000000"/>
          <w:lang w:val="es-ES" w:eastAsia="es-ES"/>
        </w:rPr>
        <w:t xml:space="preserve"> Conjunta (FTC)</w:t>
      </w:r>
      <w:r w:rsidRPr="006940D4">
        <w:rPr>
          <w:rFonts w:ascii="Calibri" w:eastAsia="Times New Roman" w:hAnsi="Calibri" w:cs="Times New Roman"/>
          <w:iCs/>
          <w:color w:val="000000"/>
          <w:lang w:val="es-ES" w:eastAsia="es-ES"/>
        </w:rPr>
        <w:t xml:space="preserve">, que nuclea a la Policía Nacional, las Fuerzas </w:t>
      </w:r>
      <w:r w:rsidRPr="006940D4">
        <w:rPr>
          <w:rFonts w:ascii="Calibri" w:eastAsia="Times New Roman" w:hAnsi="Calibri" w:cs="Times New Roman"/>
          <w:iCs/>
          <w:color w:val="000000"/>
          <w:lang w:val="es-ES" w:eastAsia="es-ES"/>
        </w:rPr>
        <w:lastRenderedPageBreak/>
        <w:t>Armadas y la</w:t>
      </w:r>
      <w:r w:rsidR="009316AB">
        <w:rPr>
          <w:rFonts w:ascii="Calibri" w:eastAsia="Times New Roman" w:hAnsi="Calibri" w:cs="Times New Roman"/>
          <w:iCs/>
          <w:color w:val="000000"/>
          <w:lang w:val="es-ES" w:eastAsia="es-ES"/>
        </w:rPr>
        <w:t>s</w:t>
      </w:r>
      <w:r w:rsidRPr="006940D4">
        <w:rPr>
          <w:rFonts w:ascii="Calibri" w:eastAsia="Times New Roman" w:hAnsi="Calibri" w:cs="Times New Roman"/>
          <w:iCs/>
          <w:color w:val="000000"/>
          <w:lang w:val="es-ES" w:eastAsia="es-ES"/>
        </w:rPr>
        <w:t xml:space="preserve"> fuerzas a cargo de la Secretaría Nacional Antidrogas (SENAD). Esta situación emula un continuo estado de excepción, ya que se produce desde agosto de 2013 una “ocupación permanente” de</w:t>
      </w:r>
      <w:r>
        <w:rPr>
          <w:rFonts w:ascii="Calibri" w:eastAsia="Times New Roman" w:hAnsi="Calibri" w:cs="Times New Roman"/>
          <w:iCs/>
          <w:color w:val="000000"/>
          <w:lang w:val="es-ES" w:eastAsia="es-ES"/>
        </w:rPr>
        <w:t xml:space="preserve"> las FTC -una situación de militarización de la seguridad- en la zona mencionada.</w:t>
      </w:r>
    </w:p>
    <w:p w:rsidR="006940D4" w:rsidRPr="006940D4" w:rsidRDefault="006940D4" w:rsidP="006940D4">
      <w:pPr>
        <w:spacing w:after="0" w:line="240" w:lineRule="auto"/>
        <w:jc w:val="both"/>
        <w:rPr>
          <w:rFonts w:ascii="Calibri" w:eastAsia="Times New Roman" w:hAnsi="Calibri" w:cs="Times New Roman"/>
          <w:iCs/>
          <w:color w:val="000000"/>
          <w:lang w:val="es-ES" w:eastAsia="es-ES"/>
        </w:rPr>
      </w:pPr>
    </w:p>
    <w:p w:rsidR="006940D4" w:rsidRPr="00607453" w:rsidRDefault="006940D4" w:rsidP="006940D4">
      <w:pPr>
        <w:spacing w:after="0" w:line="240" w:lineRule="auto"/>
        <w:jc w:val="both"/>
        <w:rPr>
          <w:rFonts w:ascii="Calibri" w:eastAsia="Times New Roman" w:hAnsi="Calibri" w:cs="Times New Roman"/>
          <w:iCs/>
          <w:color w:val="000000"/>
          <w:lang w:val="es-ES" w:eastAsia="es-ES"/>
        </w:rPr>
      </w:pPr>
      <w:r w:rsidRPr="006940D4">
        <w:rPr>
          <w:rFonts w:ascii="Calibri" w:eastAsia="Times New Roman" w:hAnsi="Calibri" w:cs="Times New Roman"/>
          <w:iCs/>
          <w:color w:val="000000"/>
          <w:lang w:val="es-ES" w:eastAsia="es-ES"/>
        </w:rPr>
        <w:t>En el año 2010 entró en vigencia la Ley N° 4024/10 Que castiga el Terrorismo, y se señala la creación de la SEPRINTE (Secretaría de Prevención e Investigación del Terrorismo) y de las Unidades Especializadas en Hechos Punibles contra la Libertad de las Personas (A</w:t>
      </w:r>
      <w:r w:rsidRPr="00607453">
        <w:rPr>
          <w:rFonts w:ascii="Calibri" w:eastAsia="Times New Roman" w:hAnsi="Calibri" w:cs="Times New Roman"/>
          <w:iCs/>
          <w:color w:val="000000"/>
          <w:lang w:val="es-ES" w:eastAsia="es-ES"/>
        </w:rPr>
        <w:t>ntisecuestro y Antiterrorismo).</w:t>
      </w:r>
    </w:p>
    <w:p w:rsidR="006940D4" w:rsidRPr="006940D4" w:rsidRDefault="006940D4" w:rsidP="006940D4">
      <w:pPr>
        <w:spacing w:after="0" w:line="240" w:lineRule="auto"/>
        <w:jc w:val="both"/>
        <w:rPr>
          <w:rFonts w:ascii="Calibri" w:eastAsia="Times New Roman" w:hAnsi="Calibri" w:cs="Times New Roman"/>
          <w:iCs/>
          <w:color w:val="000000"/>
          <w:lang w:val="es-ES" w:eastAsia="es-ES"/>
        </w:rPr>
      </w:pPr>
    </w:p>
    <w:p w:rsidR="006940D4" w:rsidRPr="006940D4" w:rsidRDefault="006940D4" w:rsidP="006940D4">
      <w:pPr>
        <w:spacing w:after="0" w:line="240" w:lineRule="auto"/>
        <w:jc w:val="both"/>
        <w:rPr>
          <w:rFonts w:ascii="Calibri" w:eastAsia="Times New Roman" w:hAnsi="Calibri" w:cs="Times New Roman"/>
          <w:iCs/>
          <w:color w:val="000000"/>
          <w:lang w:val="es-ES" w:eastAsia="es-ES"/>
        </w:rPr>
      </w:pPr>
      <w:r w:rsidRPr="006940D4">
        <w:rPr>
          <w:rFonts w:ascii="Calibri" w:eastAsia="Times New Roman" w:hAnsi="Calibri" w:cs="Times New Roman"/>
          <w:iCs/>
          <w:color w:val="000000"/>
          <w:lang w:val="es-ES" w:eastAsia="es-ES"/>
        </w:rPr>
        <w:t>Estas leyes y medidas de excepción están siendo aplicadas, fundamentalmente, a personas vinculadas con los grupos armados extra estatales</w:t>
      </w:r>
      <w:r>
        <w:rPr>
          <w:rFonts w:ascii="Calibri" w:eastAsia="Times New Roman" w:hAnsi="Calibri" w:cs="Times New Roman"/>
          <w:iCs/>
          <w:color w:val="000000"/>
          <w:lang w:val="es-ES" w:eastAsia="es-ES"/>
        </w:rPr>
        <w:t xml:space="preserve"> u </w:t>
      </w:r>
      <w:r w:rsidR="00607453">
        <w:rPr>
          <w:rFonts w:ascii="Calibri" w:eastAsia="Times New Roman" w:hAnsi="Calibri" w:cs="Times New Roman"/>
          <w:iCs/>
          <w:color w:val="000000"/>
          <w:lang w:val="es-ES" w:eastAsia="es-ES"/>
        </w:rPr>
        <w:t>organizaciones</w:t>
      </w:r>
      <w:r>
        <w:rPr>
          <w:rFonts w:ascii="Calibri" w:eastAsia="Times New Roman" w:hAnsi="Calibri" w:cs="Times New Roman"/>
          <w:iCs/>
          <w:color w:val="000000"/>
          <w:lang w:val="es-ES" w:eastAsia="es-ES"/>
        </w:rPr>
        <w:t xml:space="preserve"> criminales territoriales</w:t>
      </w:r>
      <w:r w:rsidRPr="006940D4">
        <w:rPr>
          <w:rFonts w:ascii="Calibri" w:eastAsia="Times New Roman" w:hAnsi="Calibri" w:cs="Times New Roman"/>
          <w:iCs/>
          <w:color w:val="000000"/>
          <w:lang w:val="es-ES" w:eastAsia="es-ES"/>
        </w:rPr>
        <w:t xml:space="preserve"> </w:t>
      </w:r>
      <w:proofErr w:type="gramStart"/>
      <w:r w:rsidRPr="006940D4">
        <w:rPr>
          <w:rFonts w:ascii="Calibri" w:eastAsia="Times New Roman" w:hAnsi="Calibri" w:cs="Times New Roman"/>
          <w:iCs/>
          <w:color w:val="000000"/>
          <w:lang w:val="es-ES" w:eastAsia="es-ES"/>
        </w:rPr>
        <w:t xml:space="preserve">identificados como “Ejercito del Pueblo Paraguayo” (EPP) y “Asociación Campesina Armada” (ACA) que operan en el norte de </w:t>
      </w:r>
      <w:r>
        <w:rPr>
          <w:rFonts w:ascii="Calibri" w:eastAsia="Times New Roman" w:hAnsi="Calibri" w:cs="Times New Roman"/>
          <w:iCs/>
          <w:color w:val="000000"/>
          <w:lang w:val="es-ES" w:eastAsia="es-ES"/>
        </w:rPr>
        <w:t>la Región Oriental en Paraguay</w:t>
      </w:r>
      <w:proofErr w:type="gramEnd"/>
      <w:r>
        <w:rPr>
          <w:rFonts w:ascii="Calibri" w:eastAsia="Times New Roman" w:hAnsi="Calibri" w:cs="Times New Roman"/>
          <w:iCs/>
          <w:color w:val="000000"/>
          <w:lang w:val="es-ES" w:eastAsia="es-ES"/>
        </w:rPr>
        <w:t>.</w:t>
      </w:r>
    </w:p>
    <w:p w:rsidR="006940D4" w:rsidRPr="006940D4" w:rsidRDefault="006940D4" w:rsidP="006940D4">
      <w:pPr>
        <w:spacing w:after="0" w:line="240" w:lineRule="auto"/>
        <w:jc w:val="both"/>
        <w:rPr>
          <w:rFonts w:ascii="Times New Roman" w:eastAsia="Times New Roman" w:hAnsi="Times New Roman" w:cs="Times New Roman"/>
          <w:sz w:val="24"/>
          <w:szCs w:val="24"/>
          <w:lang w:val="es-ES" w:eastAsia="es-ES"/>
        </w:rPr>
      </w:pPr>
    </w:p>
    <w:p w:rsidR="00607453" w:rsidRPr="00607453" w:rsidRDefault="006940D4" w:rsidP="006940D4">
      <w:pPr>
        <w:spacing w:after="0" w:line="240" w:lineRule="auto"/>
        <w:jc w:val="both"/>
        <w:rPr>
          <w:rFonts w:ascii="Calibri" w:eastAsia="Times New Roman" w:hAnsi="Calibri" w:cs="Times New Roman"/>
          <w:iCs/>
          <w:color w:val="000000"/>
          <w:lang w:val="es-ES" w:eastAsia="es-ES"/>
        </w:rPr>
      </w:pPr>
      <w:r w:rsidRPr="006940D4">
        <w:rPr>
          <w:rFonts w:ascii="Calibri" w:eastAsia="Times New Roman" w:hAnsi="Calibri" w:cs="Times New Roman"/>
          <w:iCs/>
          <w:color w:val="000000"/>
          <w:lang w:val="es-ES" w:eastAsia="es-ES"/>
        </w:rPr>
        <w:t xml:space="preserve">El MNP ha manifestado </w:t>
      </w:r>
      <w:r w:rsidR="00607453" w:rsidRPr="00607453">
        <w:rPr>
          <w:rFonts w:ascii="Calibri" w:eastAsia="Times New Roman" w:hAnsi="Calibri" w:cs="Times New Roman"/>
          <w:iCs/>
          <w:color w:val="000000"/>
          <w:lang w:val="es-ES" w:eastAsia="es-ES"/>
        </w:rPr>
        <w:t>su</w:t>
      </w:r>
      <w:r w:rsidRPr="006940D4">
        <w:rPr>
          <w:rFonts w:ascii="Calibri" w:eastAsia="Times New Roman" w:hAnsi="Calibri" w:cs="Times New Roman"/>
          <w:iCs/>
          <w:color w:val="000000"/>
          <w:lang w:val="es-ES" w:eastAsia="es-ES"/>
        </w:rPr>
        <w:t xml:space="preserve"> preocupa</w:t>
      </w:r>
      <w:r w:rsidR="00607453" w:rsidRPr="00607453">
        <w:rPr>
          <w:rFonts w:ascii="Calibri" w:eastAsia="Times New Roman" w:hAnsi="Calibri" w:cs="Times New Roman"/>
          <w:iCs/>
          <w:color w:val="000000"/>
          <w:lang w:val="es-ES" w:eastAsia="es-ES"/>
        </w:rPr>
        <w:t>ción por</w:t>
      </w:r>
      <w:r w:rsidRPr="006940D4">
        <w:rPr>
          <w:rFonts w:ascii="Calibri" w:eastAsia="Times New Roman" w:hAnsi="Calibri" w:cs="Times New Roman"/>
          <w:iCs/>
          <w:color w:val="000000"/>
          <w:lang w:val="es-ES" w:eastAsia="es-ES"/>
        </w:rPr>
        <w:t>que la</w:t>
      </w:r>
      <w:r w:rsidR="00607453" w:rsidRPr="00607453">
        <w:rPr>
          <w:rFonts w:ascii="Calibri" w:eastAsia="Times New Roman" w:hAnsi="Calibri" w:cs="Times New Roman"/>
          <w:iCs/>
          <w:color w:val="000000"/>
          <w:lang w:val="es-ES" w:eastAsia="es-ES"/>
        </w:rPr>
        <w:t xml:space="preserve"> modificación de la L</w:t>
      </w:r>
      <w:r w:rsidRPr="006940D4">
        <w:rPr>
          <w:rFonts w:ascii="Calibri" w:eastAsia="Times New Roman" w:hAnsi="Calibri" w:cs="Times New Roman"/>
          <w:iCs/>
          <w:color w:val="000000"/>
          <w:lang w:val="es-ES" w:eastAsia="es-ES"/>
        </w:rPr>
        <w:t>ey</w:t>
      </w:r>
      <w:r w:rsidR="00607453" w:rsidRPr="00607453">
        <w:rPr>
          <w:rFonts w:ascii="Calibri" w:eastAsia="Times New Roman" w:hAnsi="Calibri" w:cs="Times New Roman"/>
          <w:iCs/>
          <w:color w:val="000000"/>
          <w:lang w:val="es-ES" w:eastAsia="es-ES"/>
        </w:rPr>
        <w:t xml:space="preserve"> de Seguridad Interna</w:t>
      </w:r>
      <w:r w:rsidRPr="006940D4">
        <w:rPr>
          <w:rFonts w:ascii="Calibri" w:eastAsia="Times New Roman" w:hAnsi="Calibri" w:cs="Times New Roman"/>
          <w:iCs/>
          <w:color w:val="000000"/>
          <w:lang w:val="es-ES" w:eastAsia="es-ES"/>
        </w:rPr>
        <w:t xml:space="preserve"> y el </w:t>
      </w:r>
      <w:r w:rsidR="00607453" w:rsidRPr="00607453">
        <w:rPr>
          <w:rFonts w:ascii="Calibri" w:eastAsia="Times New Roman" w:hAnsi="Calibri" w:cs="Times New Roman"/>
          <w:iCs/>
          <w:color w:val="000000"/>
          <w:lang w:val="es-ES" w:eastAsia="es-ES"/>
        </w:rPr>
        <w:t>D</w:t>
      </w:r>
      <w:r w:rsidRPr="006940D4">
        <w:rPr>
          <w:rFonts w:ascii="Calibri" w:eastAsia="Times New Roman" w:hAnsi="Calibri" w:cs="Times New Roman"/>
          <w:iCs/>
          <w:color w:val="000000"/>
          <w:lang w:val="es-ES" w:eastAsia="es-ES"/>
        </w:rPr>
        <w:t>ecreto</w:t>
      </w:r>
      <w:r w:rsidR="00607453" w:rsidRPr="00607453">
        <w:rPr>
          <w:rFonts w:ascii="Calibri" w:eastAsia="Times New Roman" w:hAnsi="Calibri" w:cs="Times New Roman"/>
          <w:iCs/>
          <w:color w:val="000000"/>
          <w:lang w:val="es-ES" w:eastAsia="es-ES"/>
        </w:rPr>
        <w:t xml:space="preserve"> Nº 103/2013</w:t>
      </w:r>
      <w:r w:rsidRPr="006940D4">
        <w:rPr>
          <w:rFonts w:ascii="Calibri" w:eastAsia="Times New Roman" w:hAnsi="Calibri" w:cs="Times New Roman"/>
          <w:iCs/>
          <w:color w:val="000000"/>
          <w:lang w:val="es-ES" w:eastAsia="es-ES"/>
        </w:rPr>
        <w:t xml:space="preserve"> estén escasamente fundados. La intervención de la FTC en la zona norte provoca un modelo de militarización de la seguridad interna, que de acuerdo al monitoreo realizado, es desfavorable al respeto</w:t>
      </w:r>
      <w:r w:rsidR="00607453" w:rsidRPr="00607453">
        <w:rPr>
          <w:rFonts w:ascii="Calibri" w:eastAsia="Times New Roman" w:hAnsi="Calibri" w:cs="Times New Roman"/>
          <w:iCs/>
          <w:color w:val="000000"/>
          <w:lang w:val="es-ES" w:eastAsia="es-ES"/>
        </w:rPr>
        <w:t xml:space="preserve"> de los compromisos asumidos con</w:t>
      </w:r>
      <w:r w:rsidRPr="006940D4">
        <w:rPr>
          <w:rFonts w:ascii="Calibri" w:eastAsia="Times New Roman" w:hAnsi="Calibri" w:cs="Times New Roman"/>
          <w:iCs/>
          <w:color w:val="000000"/>
          <w:lang w:val="es-ES" w:eastAsia="es-ES"/>
        </w:rPr>
        <w:t xml:space="preserve"> la </w:t>
      </w:r>
      <w:r w:rsidR="00607453" w:rsidRPr="00607453">
        <w:rPr>
          <w:rFonts w:ascii="Calibri" w:eastAsia="Times New Roman" w:hAnsi="Calibri" w:cs="Times New Roman"/>
          <w:iCs/>
          <w:color w:val="000000"/>
          <w:lang w:val="es-ES" w:eastAsia="es-ES"/>
        </w:rPr>
        <w:t>Convención</w:t>
      </w:r>
      <w:r w:rsidRPr="006940D4">
        <w:rPr>
          <w:rFonts w:ascii="Calibri" w:eastAsia="Times New Roman" w:hAnsi="Calibri" w:cs="Times New Roman"/>
          <w:iCs/>
          <w:color w:val="000000"/>
          <w:lang w:val="es-ES" w:eastAsia="es-ES"/>
        </w:rPr>
        <w:t>.</w:t>
      </w:r>
    </w:p>
    <w:p w:rsidR="00607453" w:rsidRPr="00607453" w:rsidRDefault="00607453" w:rsidP="006940D4">
      <w:pPr>
        <w:spacing w:after="0" w:line="240" w:lineRule="auto"/>
        <w:jc w:val="both"/>
        <w:rPr>
          <w:rFonts w:ascii="Calibri" w:eastAsia="Times New Roman" w:hAnsi="Calibri" w:cs="Times New Roman"/>
          <w:iCs/>
          <w:color w:val="000000"/>
          <w:lang w:val="es-ES" w:eastAsia="es-ES"/>
        </w:rPr>
      </w:pPr>
    </w:p>
    <w:p w:rsidR="006940D4" w:rsidRPr="006940D4" w:rsidRDefault="006940D4" w:rsidP="006940D4">
      <w:pPr>
        <w:spacing w:after="0" w:line="240" w:lineRule="auto"/>
        <w:jc w:val="both"/>
        <w:rPr>
          <w:rFonts w:ascii="Times New Roman" w:eastAsia="Times New Roman" w:hAnsi="Times New Roman" w:cs="Times New Roman"/>
          <w:sz w:val="24"/>
          <w:szCs w:val="24"/>
          <w:lang w:val="es-ES" w:eastAsia="es-ES"/>
        </w:rPr>
      </w:pPr>
      <w:r w:rsidRPr="006940D4">
        <w:rPr>
          <w:rFonts w:ascii="Calibri" w:eastAsia="Times New Roman" w:hAnsi="Calibri" w:cs="Times New Roman"/>
          <w:iCs/>
          <w:color w:val="000000"/>
          <w:lang w:val="es-ES" w:eastAsia="es-ES"/>
        </w:rPr>
        <w:t xml:space="preserve">Con relación a las actuaciones de las Fuerzas de Tareas Conjuntas (FTC), el MNP ha monitoreado el trabajo de éstas desde su constitución y ha relevado distintas situaciones que vulnerarían los derechos humanos de las personas aprehendidas y con los/as pobladores de esos departamentos. </w:t>
      </w:r>
    </w:p>
    <w:p w:rsidR="00982BF5" w:rsidRPr="00D5089B" w:rsidRDefault="00982BF5" w:rsidP="006940D4">
      <w:pPr>
        <w:spacing w:after="0" w:line="240" w:lineRule="auto"/>
        <w:ind w:right="333"/>
        <w:jc w:val="both"/>
        <w:rPr>
          <w:rFonts w:ascii="Calibri" w:eastAsia="Times New Roman" w:hAnsi="Calibri" w:cs="Times New Roman"/>
          <w:iCs/>
          <w:color w:val="000000"/>
          <w:lang w:val="es-ES" w:eastAsia="es-ES"/>
        </w:rPr>
      </w:pPr>
    </w:p>
    <w:p w:rsidR="006940D4" w:rsidRPr="006940D4" w:rsidRDefault="006940D4" w:rsidP="006940D4">
      <w:pPr>
        <w:spacing w:after="0" w:line="240" w:lineRule="auto"/>
        <w:ind w:right="333"/>
        <w:jc w:val="both"/>
        <w:rPr>
          <w:rFonts w:ascii="Times New Roman" w:eastAsia="Times New Roman" w:hAnsi="Times New Roman" w:cs="Times New Roman"/>
          <w:sz w:val="24"/>
          <w:szCs w:val="24"/>
          <w:lang w:val="es-ES" w:eastAsia="es-ES"/>
        </w:rPr>
      </w:pPr>
      <w:r w:rsidRPr="006940D4">
        <w:rPr>
          <w:rFonts w:ascii="Calibri" w:eastAsia="Times New Roman" w:hAnsi="Calibri" w:cs="Times New Roman"/>
          <w:b/>
          <w:bCs/>
          <w:iCs/>
          <w:color w:val="000000"/>
          <w:lang w:val="es-ES" w:eastAsia="es-ES"/>
        </w:rPr>
        <w:t>Persisten prácticas de tortura</w:t>
      </w:r>
      <w:r w:rsidRPr="006940D4">
        <w:rPr>
          <w:rFonts w:ascii="Calibri" w:eastAsia="Times New Roman" w:hAnsi="Calibri" w:cs="Times New Roman"/>
          <w:iCs/>
          <w:color w:val="000000"/>
          <w:lang w:val="es-ES" w:eastAsia="es-ES"/>
        </w:rPr>
        <w:t xml:space="preserve"> en los pri</w:t>
      </w:r>
      <w:r w:rsidR="00982BF5" w:rsidRPr="00D5089B">
        <w:rPr>
          <w:rFonts w:ascii="Calibri" w:eastAsia="Times New Roman" w:hAnsi="Calibri" w:cs="Times New Roman"/>
          <w:iCs/>
          <w:color w:val="000000"/>
          <w:lang w:val="es-ES" w:eastAsia="es-ES"/>
        </w:rPr>
        <w:t xml:space="preserve">meros momentos de la detención, </w:t>
      </w:r>
      <w:r w:rsidRPr="006940D4">
        <w:rPr>
          <w:rFonts w:ascii="Calibri" w:eastAsia="Times New Roman" w:hAnsi="Calibri" w:cs="Times New Roman"/>
          <w:iCs/>
          <w:color w:val="000000"/>
          <w:lang w:val="es-ES" w:eastAsia="es-ES"/>
        </w:rPr>
        <w:t>sin que fiscales y jueces tomen medida</w:t>
      </w:r>
      <w:r w:rsidR="00982BF5" w:rsidRPr="00D5089B">
        <w:rPr>
          <w:rFonts w:ascii="Calibri" w:eastAsia="Times New Roman" w:hAnsi="Calibri" w:cs="Times New Roman"/>
          <w:iCs/>
          <w:color w:val="000000"/>
          <w:lang w:val="es-ES" w:eastAsia="es-ES"/>
        </w:rPr>
        <w:t>s para</w:t>
      </w:r>
      <w:r w:rsidRPr="006940D4">
        <w:rPr>
          <w:rFonts w:ascii="Calibri" w:eastAsia="Times New Roman" w:hAnsi="Calibri" w:cs="Times New Roman"/>
          <w:iCs/>
          <w:color w:val="000000"/>
          <w:lang w:val="es-ES" w:eastAsia="es-ES"/>
        </w:rPr>
        <w:t xml:space="preserve"> las investigaciones pertinentes.</w:t>
      </w:r>
      <w:r w:rsidR="00982BF5" w:rsidRPr="00D5089B">
        <w:rPr>
          <w:rFonts w:ascii="Calibri" w:eastAsia="Times New Roman" w:hAnsi="Calibri" w:cs="Times New Roman"/>
          <w:iCs/>
          <w:color w:val="000000"/>
          <w:lang w:val="es-ES" w:eastAsia="es-ES"/>
        </w:rPr>
        <w:t xml:space="preserve"> El MNP constató que agentes estatales que intervienen en la zona consideran a las garantías como un </w:t>
      </w:r>
      <w:r w:rsidR="00982BF5" w:rsidRPr="006940D4">
        <w:rPr>
          <w:rFonts w:ascii="Calibri" w:eastAsia="Times New Roman" w:hAnsi="Calibri" w:cs="Times New Roman"/>
          <w:iCs/>
          <w:color w:val="000000"/>
          <w:lang w:val="es-ES" w:eastAsia="es-ES"/>
        </w:rPr>
        <w:t>estorbo en su tarea.</w:t>
      </w:r>
    </w:p>
    <w:p w:rsidR="006940D4" w:rsidRPr="00D5089B" w:rsidRDefault="006940D4" w:rsidP="006940D4">
      <w:pPr>
        <w:spacing w:after="0" w:line="240" w:lineRule="auto"/>
        <w:ind w:right="333"/>
        <w:jc w:val="both"/>
        <w:rPr>
          <w:rFonts w:ascii="Calibri" w:eastAsia="Times New Roman" w:hAnsi="Calibri" w:cs="Times New Roman"/>
          <w:iCs/>
          <w:color w:val="000000"/>
          <w:lang w:val="es-ES" w:eastAsia="es-ES"/>
        </w:rPr>
      </w:pPr>
    </w:p>
    <w:p w:rsidR="00982BF5" w:rsidRPr="00D5089B" w:rsidRDefault="006940D4" w:rsidP="006940D4">
      <w:pPr>
        <w:spacing w:after="0" w:line="240" w:lineRule="auto"/>
        <w:ind w:right="333"/>
        <w:jc w:val="both"/>
        <w:rPr>
          <w:rFonts w:ascii="Calibri" w:eastAsia="Times New Roman" w:hAnsi="Calibri" w:cs="Times New Roman"/>
          <w:iCs/>
          <w:color w:val="000000"/>
          <w:lang w:val="es-ES" w:eastAsia="es-ES"/>
        </w:rPr>
      </w:pPr>
      <w:r w:rsidRPr="006940D4">
        <w:rPr>
          <w:rFonts w:ascii="Calibri" w:eastAsia="Times New Roman" w:hAnsi="Calibri" w:cs="Times New Roman"/>
          <w:b/>
          <w:bCs/>
          <w:iCs/>
          <w:color w:val="000000"/>
          <w:lang w:val="es-ES" w:eastAsia="es-ES"/>
        </w:rPr>
        <w:t xml:space="preserve">Abusos en las acciones de las fuerzas militares: </w:t>
      </w:r>
      <w:r w:rsidRPr="006940D4">
        <w:rPr>
          <w:rFonts w:ascii="Calibri" w:eastAsia="Times New Roman" w:hAnsi="Calibri" w:cs="Times New Roman"/>
          <w:iCs/>
          <w:color w:val="000000"/>
          <w:lang w:val="es-ES" w:eastAsia="es-ES"/>
        </w:rPr>
        <w:t>Se verific</w:t>
      </w:r>
      <w:r w:rsidR="00982BF5" w:rsidRPr="00D5089B">
        <w:rPr>
          <w:rFonts w:ascii="Calibri" w:eastAsia="Times New Roman" w:hAnsi="Calibri" w:cs="Times New Roman"/>
          <w:iCs/>
          <w:color w:val="000000"/>
          <w:lang w:val="es-ES" w:eastAsia="es-ES"/>
        </w:rPr>
        <w:t>ó</w:t>
      </w:r>
      <w:r w:rsidRPr="006940D4">
        <w:rPr>
          <w:rFonts w:ascii="Calibri" w:eastAsia="Times New Roman" w:hAnsi="Calibri" w:cs="Times New Roman"/>
          <w:iCs/>
          <w:color w:val="000000"/>
          <w:lang w:val="es-ES" w:eastAsia="es-ES"/>
        </w:rPr>
        <w:t xml:space="preserve"> que existen casos en los que las Fuerzas Militares no actúan en coordinación con la Policía Nacional como lo exige la Ley. Persiguen y aprehenden sin presencia policial y fiscal; se usa la fuerza de las armas de un modo desproporcionad</w:t>
      </w:r>
      <w:r w:rsidR="00982BF5" w:rsidRPr="00D5089B">
        <w:rPr>
          <w:rFonts w:ascii="Calibri" w:eastAsia="Times New Roman" w:hAnsi="Calibri" w:cs="Times New Roman"/>
          <w:iCs/>
          <w:color w:val="000000"/>
          <w:lang w:val="es-ES" w:eastAsia="es-ES"/>
        </w:rPr>
        <w:t>o.</w:t>
      </w:r>
    </w:p>
    <w:p w:rsidR="00982BF5" w:rsidRPr="00D5089B" w:rsidRDefault="00982BF5" w:rsidP="006940D4">
      <w:pPr>
        <w:spacing w:after="0" w:line="240" w:lineRule="auto"/>
        <w:ind w:right="333"/>
        <w:jc w:val="both"/>
        <w:rPr>
          <w:rFonts w:ascii="Calibri" w:eastAsia="Times New Roman" w:hAnsi="Calibri" w:cs="Times New Roman"/>
          <w:iCs/>
          <w:color w:val="000000"/>
          <w:lang w:val="es-ES" w:eastAsia="es-ES"/>
        </w:rPr>
      </w:pPr>
    </w:p>
    <w:p w:rsidR="00982BF5" w:rsidRPr="00D5089B" w:rsidRDefault="006940D4" w:rsidP="006940D4">
      <w:pPr>
        <w:spacing w:after="0" w:line="240" w:lineRule="auto"/>
        <w:ind w:right="333"/>
        <w:jc w:val="both"/>
        <w:rPr>
          <w:rFonts w:ascii="Calibri" w:eastAsia="Times New Roman" w:hAnsi="Calibri" w:cs="Times New Roman"/>
          <w:iCs/>
          <w:color w:val="000000"/>
          <w:lang w:val="es-ES" w:eastAsia="es-ES"/>
        </w:rPr>
      </w:pPr>
      <w:r w:rsidRPr="006940D4">
        <w:rPr>
          <w:rFonts w:ascii="Calibri" w:eastAsia="Times New Roman" w:hAnsi="Calibri" w:cs="Times New Roman"/>
          <w:b/>
          <w:bCs/>
          <w:iCs/>
          <w:color w:val="000000"/>
          <w:lang w:val="es-ES" w:eastAsia="es-ES"/>
        </w:rPr>
        <w:t>Falta de investigaciones administrativas y penales en casos de torturas:</w:t>
      </w:r>
      <w:r w:rsidRPr="006940D4">
        <w:rPr>
          <w:rFonts w:ascii="Calibri" w:eastAsia="Times New Roman" w:hAnsi="Calibri" w:cs="Times New Roman"/>
          <w:iCs/>
          <w:color w:val="000000"/>
          <w:lang w:val="es-ES" w:eastAsia="es-ES"/>
        </w:rPr>
        <w:t xml:space="preserve"> Las FTC no toman medidas tendientes a la investigación de hechos punibles que comenten militares contra civiles en el ejercicio de su cargo.</w:t>
      </w:r>
      <w:r w:rsidR="00982BF5" w:rsidRPr="00D5089B">
        <w:rPr>
          <w:rFonts w:ascii="Calibri" w:eastAsia="Times New Roman" w:hAnsi="Calibri" w:cs="Times New Roman"/>
          <w:iCs/>
          <w:color w:val="000000"/>
          <w:lang w:val="es-ES" w:eastAsia="es-ES"/>
        </w:rPr>
        <w:t xml:space="preserve"> Se derivan las investigaciones al fuero militar y se permitió que quedara impune </w:t>
      </w:r>
      <w:r w:rsidR="00982BF5" w:rsidRPr="006940D4">
        <w:rPr>
          <w:rFonts w:ascii="Calibri" w:eastAsia="Times New Roman" w:hAnsi="Calibri" w:cs="Times New Roman"/>
          <w:iCs/>
          <w:color w:val="000000"/>
          <w:lang w:val="es-ES" w:eastAsia="es-ES"/>
        </w:rPr>
        <w:t xml:space="preserve">un homicidio frustrado </w:t>
      </w:r>
      <w:r w:rsidR="00982BF5" w:rsidRPr="00D5089B">
        <w:rPr>
          <w:rFonts w:ascii="Calibri" w:eastAsia="Times New Roman" w:hAnsi="Calibri" w:cs="Times New Roman"/>
          <w:iCs/>
          <w:color w:val="000000"/>
          <w:lang w:val="es-ES" w:eastAsia="es-ES"/>
        </w:rPr>
        <w:t xml:space="preserve">que concluyó en una conciliación con la presunta víctima, </w:t>
      </w:r>
      <w:r w:rsidR="00982BF5" w:rsidRPr="006940D4">
        <w:rPr>
          <w:rFonts w:ascii="Calibri" w:eastAsia="Times New Roman" w:hAnsi="Calibri" w:cs="Times New Roman"/>
          <w:iCs/>
          <w:color w:val="000000"/>
          <w:lang w:val="es-ES" w:eastAsia="es-ES"/>
        </w:rPr>
        <w:t xml:space="preserve">con </w:t>
      </w:r>
      <w:r w:rsidR="00982BF5" w:rsidRPr="00D5089B">
        <w:rPr>
          <w:rFonts w:ascii="Calibri" w:eastAsia="Times New Roman" w:hAnsi="Calibri" w:cs="Times New Roman"/>
          <w:iCs/>
          <w:color w:val="000000"/>
          <w:lang w:val="es-ES" w:eastAsia="es-ES"/>
        </w:rPr>
        <w:t xml:space="preserve">la </w:t>
      </w:r>
      <w:r w:rsidR="00982BF5" w:rsidRPr="006940D4">
        <w:rPr>
          <w:rFonts w:ascii="Calibri" w:eastAsia="Times New Roman" w:hAnsi="Calibri" w:cs="Times New Roman"/>
          <w:iCs/>
          <w:color w:val="000000"/>
          <w:lang w:val="es-ES" w:eastAsia="es-ES"/>
        </w:rPr>
        <w:t>participación de una abogada militar</w:t>
      </w:r>
      <w:r w:rsidR="00982BF5" w:rsidRPr="00D5089B">
        <w:rPr>
          <w:rFonts w:ascii="Calibri" w:eastAsia="Times New Roman" w:hAnsi="Calibri" w:cs="Times New Roman"/>
          <w:iCs/>
          <w:color w:val="000000"/>
          <w:lang w:val="es-ES" w:eastAsia="es-ES"/>
        </w:rPr>
        <w:t>.</w:t>
      </w:r>
    </w:p>
    <w:p w:rsidR="006940D4" w:rsidRPr="00D5089B" w:rsidRDefault="006940D4" w:rsidP="006940D4">
      <w:pPr>
        <w:spacing w:after="0" w:line="240" w:lineRule="auto"/>
        <w:ind w:right="333"/>
        <w:jc w:val="both"/>
        <w:rPr>
          <w:rFonts w:ascii="Calibri" w:eastAsia="Times New Roman" w:hAnsi="Calibri" w:cs="Times New Roman"/>
          <w:iCs/>
          <w:color w:val="000000"/>
          <w:lang w:val="es-ES" w:eastAsia="es-ES"/>
        </w:rPr>
      </w:pPr>
    </w:p>
    <w:p w:rsidR="00982BF5" w:rsidRPr="00D5089B" w:rsidRDefault="00982BF5" w:rsidP="006940D4">
      <w:pPr>
        <w:spacing w:after="0" w:line="240" w:lineRule="auto"/>
        <w:ind w:right="333"/>
        <w:jc w:val="both"/>
        <w:rPr>
          <w:rFonts w:ascii="Calibri" w:eastAsia="Times New Roman" w:hAnsi="Calibri" w:cs="Times New Roman"/>
          <w:iCs/>
          <w:color w:val="000000"/>
          <w:lang w:val="es-ES" w:eastAsia="es-ES"/>
        </w:rPr>
      </w:pPr>
      <w:r w:rsidRPr="006940D4">
        <w:rPr>
          <w:rFonts w:ascii="Calibri" w:eastAsia="Times New Roman" w:hAnsi="Calibri" w:cs="Times New Roman"/>
          <w:b/>
          <w:bCs/>
          <w:iCs/>
          <w:color w:val="000000"/>
          <w:lang w:val="es-ES" w:eastAsia="es-ES"/>
        </w:rPr>
        <w:t xml:space="preserve">Actuación irregular </w:t>
      </w:r>
      <w:r w:rsidRPr="00D5089B">
        <w:rPr>
          <w:rFonts w:ascii="Calibri" w:eastAsia="Times New Roman" w:hAnsi="Calibri" w:cs="Times New Roman"/>
          <w:b/>
          <w:bCs/>
          <w:iCs/>
          <w:color w:val="000000"/>
          <w:lang w:val="es-ES" w:eastAsia="es-ES"/>
        </w:rPr>
        <w:t xml:space="preserve">judicial, </w:t>
      </w:r>
      <w:r w:rsidRPr="006940D4">
        <w:rPr>
          <w:rFonts w:ascii="Calibri" w:eastAsia="Times New Roman" w:hAnsi="Calibri" w:cs="Times New Roman"/>
          <w:b/>
          <w:bCs/>
          <w:iCs/>
          <w:color w:val="000000"/>
          <w:lang w:val="es-ES" w:eastAsia="es-ES"/>
        </w:rPr>
        <w:t xml:space="preserve">policial y militar en los procedimientos de investigación: </w:t>
      </w:r>
      <w:r w:rsidRPr="006940D4">
        <w:rPr>
          <w:rFonts w:ascii="Calibri" w:eastAsia="Times New Roman" w:hAnsi="Calibri" w:cs="Times New Roman"/>
          <w:iCs/>
          <w:color w:val="000000"/>
          <w:lang w:val="es-ES" w:eastAsia="es-ES"/>
        </w:rPr>
        <w:t>Se relevaron relatos que indican que se implantan pruebas para incriminar a personas.</w:t>
      </w:r>
      <w:r w:rsidRPr="00D5089B">
        <w:rPr>
          <w:rFonts w:ascii="Calibri" w:eastAsia="Times New Roman" w:hAnsi="Calibri" w:cs="Times New Roman"/>
          <w:iCs/>
          <w:color w:val="000000"/>
          <w:lang w:val="es-ES" w:eastAsia="es-ES"/>
        </w:rPr>
        <w:t xml:space="preserve"> Se utilizan órdenes de allanamiento genéricas.</w:t>
      </w:r>
    </w:p>
    <w:p w:rsidR="00982BF5" w:rsidRPr="00D5089B" w:rsidRDefault="00982BF5" w:rsidP="006940D4">
      <w:pPr>
        <w:spacing w:after="0" w:line="240" w:lineRule="auto"/>
        <w:ind w:right="333"/>
        <w:jc w:val="both"/>
        <w:rPr>
          <w:rFonts w:ascii="Times New Roman" w:eastAsia="Times New Roman" w:hAnsi="Times New Roman" w:cs="Times New Roman"/>
          <w:sz w:val="24"/>
          <w:szCs w:val="24"/>
          <w:lang w:val="es-ES" w:eastAsia="es-ES"/>
        </w:rPr>
      </w:pPr>
    </w:p>
    <w:p w:rsidR="00982BF5" w:rsidRPr="00D5089B" w:rsidRDefault="00982BF5" w:rsidP="00982BF5">
      <w:pPr>
        <w:spacing w:after="0" w:line="240" w:lineRule="auto"/>
        <w:ind w:right="333"/>
        <w:jc w:val="both"/>
        <w:rPr>
          <w:rFonts w:ascii="Calibri" w:eastAsia="Times New Roman" w:hAnsi="Calibri" w:cs="Times New Roman"/>
          <w:iCs/>
          <w:color w:val="000000"/>
          <w:lang w:val="es-ES" w:eastAsia="es-ES"/>
        </w:rPr>
      </w:pPr>
      <w:r w:rsidRPr="00D5089B">
        <w:rPr>
          <w:rFonts w:ascii="Calibri" w:eastAsia="Times New Roman" w:hAnsi="Calibri" w:cs="Times New Roman"/>
          <w:b/>
          <w:bCs/>
          <w:iCs/>
          <w:color w:val="000000"/>
          <w:lang w:val="es-ES" w:eastAsia="es-ES"/>
        </w:rPr>
        <w:t>Incumplimiento de garantías</w:t>
      </w:r>
      <w:r w:rsidRPr="006940D4">
        <w:rPr>
          <w:rFonts w:ascii="Calibri" w:eastAsia="Times New Roman" w:hAnsi="Calibri" w:cs="Times New Roman"/>
          <w:b/>
          <w:bCs/>
          <w:iCs/>
          <w:color w:val="000000"/>
          <w:lang w:val="es-ES" w:eastAsia="es-ES"/>
        </w:rPr>
        <w:t xml:space="preserve"> relacionadas a la custodia de las personas privadas de libertad: </w:t>
      </w:r>
      <w:r w:rsidRPr="006940D4">
        <w:rPr>
          <w:rFonts w:ascii="Calibri" w:eastAsia="Times New Roman" w:hAnsi="Calibri" w:cs="Times New Roman"/>
          <w:iCs/>
          <w:color w:val="000000"/>
          <w:lang w:val="es-ES" w:eastAsia="es-ES"/>
        </w:rPr>
        <w:t>No se utiliza de manera correcta el libro de registros de detenidos en sede policial</w:t>
      </w:r>
      <w:r w:rsidRPr="00D5089B">
        <w:rPr>
          <w:rFonts w:ascii="Calibri" w:eastAsia="Times New Roman" w:hAnsi="Calibri" w:cs="Times New Roman"/>
          <w:iCs/>
          <w:color w:val="000000"/>
          <w:lang w:val="es-ES" w:eastAsia="es-ES"/>
        </w:rPr>
        <w:t xml:space="preserve">. </w:t>
      </w:r>
      <w:r w:rsidRPr="006940D4">
        <w:rPr>
          <w:rFonts w:ascii="Calibri" w:eastAsia="Times New Roman" w:hAnsi="Calibri" w:cs="Times New Roman"/>
          <w:iCs/>
          <w:color w:val="000000"/>
          <w:lang w:val="es-ES" w:eastAsia="es-ES"/>
        </w:rPr>
        <w:t>Se verifica que se practican revisiones médicas formales y no sustanciales y que las revisiones se realizan en presencia de la policía que en muchos casos es responsable de las lesiones inspeccionadas.</w:t>
      </w:r>
    </w:p>
    <w:p w:rsidR="00982BF5" w:rsidRPr="00D5089B" w:rsidRDefault="00982BF5" w:rsidP="006940D4">
      <w:pPr>
        <w:spacing w:after="0" w:line="240" w:lineRule="auto"/>
        <w:ind w:right="333"/>
        <w:jc w:val="both"/>
        <w:rPr>
          <w:rFonts w:ascii="Calibri" w:eastAsia="Times New Roman" w:hAnsi="Calibri" w:cs="Times New Roman"/>
          <w:b/>
          <w:bCs/>
          <w:iCs/>
          <w:color w:val="000000"/>
          <w:lang w:val="es-ES" w:eastAsia="es-ES"/>
        </w:rPr>
      </w:pPr>
    </w:p>
    <w:p w:rsidR="00982BF5" w:rsidRPr="00D5089B" w:rsidRDefault="006940D4" w:rsidP="006940D4">
      <w:pPr>
        <w:spacing w:after="0" w:line="240" w:lineRule="auto"/>
        <w:ind w:right="333"/>
        <w:jc w:val="both"/>
        <w:rPr>
          <w:rFonts w:ascii="Calibri" w:eastAsia="Times New Roman" w:hAnsi="Calibri" w:cs="Times New Roman"/>
          <w:iCs/>
          <w:color w:val="000000"/>
          <w:lang w:val="es-ES" w:eastAsia="es-ES"/>
        </w:rPr>
      </w:pPr>
      <w:r w:rsidRPr="006940D4">
        <w:rPr>
          <w:rFonts w:ascii="Calibri" w:eastAsia="Times New Roman" w:hAnsi="Calibri" w:cs="Times New Roman"/>
          <w:b/>
          <w:bCs/>
          <w:iCs/>
          <w:color w:val="000000"/>
          <w:lang w:val="es-ES" w:eastAsia="es-ES"/>
        </w:rPr>
        <w:lastRenderedPageBreak/>
        <w:t>Actuación del Ministerio Público:</w:t>
      </w:r>
      <w:r w:rsidRPr="006940D4">
        <w:rPr>
          <w:rFonts w:ascii="Calibri" w:eastAsia="Times New Roman" w:hAnsi="Calibri" w:cs="Times New Roman"/>
          <w:iCs/>
          <w:color w:val="000000"/>
          <w:lang w:val="es-ES" w:eastAsia="es-ES"/>
        </w:rPr>
        <w:t xml:space="preserve"> Se verificó que se presentan imputaciones genéricas en casos donde el M</w:t>
      </w:r>
      <w:r w:rsidR="00982BF5" w:rsidRPr="00D5089B">
        <w:rPr>
          <w:rFonts w:ascii="Calibri" w:eastAsia="Times New Roman" w:hAnsi="Calibri" w:cs="Times New Roman"/>
          <w:iCs/>
          <w:color w:val="000000"/>
          <w:lang w:val="es-ES" w:eastAsia="es-ES"/>
        </w:rPr>
        <w:t xml:space="preserve">inisterio </w:t>
      </w:r>
      <w:r w:rsidRPr="006940D4">
        <w:rPr>
          <w:rFonts w:ascii="Calibri" w:eastAsia="Times New Roman" w:hAnsi="Calibri" w:cs="Times New Roman"/>
          <w:iCs/>
          <w:color w:val="000000"/>
          <w:lang w:val="es-ES" w:eastAsia="es-ES"/>
        </w:rPr>
        <w:t>P</w:t>
      </w:r>
      <w:r w:rsidR="00982BF5" w:rsidRPr="00D5089B">
        <w:rPr>
          <w:rFonts w:ascii="Calibri" w:eastAsia="Times New Roman" w:hAnsi="Calibri" w:cs="Times New Roman"/>
          <w:iCs/>
          <w:color w:val="000000"/>
          <w:lang w:val="es-ES" w:eastAsia="es-ES"/>
        </w:rPr>
        <w:t>úblico</w:t>
      </w:r>
      <w:r w:rsidRPr="006940D4">
        <w:rPr>
          <w:rFonts w:ascii="Calibri" w:eastAsia="Times New Roman" w:hAnsi="Calibri" w:cs="Times New Roman"/>
          <w:iCs/>
          <w:color w:val="000000"/>
          <w:lang w:val="es-ES" w:eastAsia="es-ES"/>
        </w:rPr>
        <w:t xml:space="preserve"> investiga hechos de asociación terrorista, terrorismo, etc. </w:t>
      </w:r>
    </w:p>
    <w:p w:rsidR="00982BF5" w:rsidRPr="00D5089B" w:rsidRDefault="00982BF5" w:rsidP="006940D4">
      <w:pPr>
        <w:spacing w:after="0" w:line="240" w:lineRule="auto"/>
        <w:ind w:right="333"/>
        <w:jc w:val="both"/>
        <w:rPr>
          <w:rFonts w:ascii="Calibri" w:eastAsia="Times New Roman" w:hAnsi="Calibri" w:cs="Times New Roman"/>
          <w:b/>
          <w:bCs/>
          <w:iCs/>
          <w:color w:val="000000"/>
          <w:lang w:val="es-ES" w:eastAsia="es-ES"/>
        </w:rPr>
      </w:pPr>
    </w:p>
    <w:p w:rsidR="006940D4" w:rsidRPr="006940D4" w:rsidRDefault="006940D4" w:rsidP="006940D4">
      <w:pPr>
        <w:spacing w:after="0" w:line="240" w:lineRule="auto"/>
        <w:ind w:right="333"/>
        <w:jc w:val="both"/>
        <w:rPr>
          <w:rFonts w:ascii="Times New Roman" w:eastAsia="Times New Roman" w:hAnsi="Times New Roman" w:cs="Times New Roman"/>
          <w:sz w:val="24"/>
          <w:szCs w:val="24"/>
          <w:lang w:val="es-ES" w:eastAsia="es-ES"/>
        </w:rPr>
      </w:pPr>
      <w:r w:rsidRPr="006940D4">
        <w:rPr>
          <w:rFonts w:ascii="Calibri" w:eastAsia="Times New Roman" w:hAnsi="Calibri" w:cs="Times New Roman"/>
          <w:b/>
          <w:bCs/>
          <w:iCs/>
          <w:color w:val="000000"/>
          <w:lang w:val="es-ES" w:eastAsia="es-ES"/>
        </w:rPr>
        <w:t xml:space="preserve">Víctimas de abusos de poder sin posibilidades de indemnización: </w:t>
      </w:r>
      <w:r w:rsidRPr="006940D4">
        <w:rPr>
          <w:rFonts w:ascii="Calibri" w:eastAsia="Times New Roman" w:hAnsi="Calibri" w:cs="Times New Roman"/>
          <w:iCs/>
          <w:color w:val="000000"/>
          <w:lang w:val="es-ES" w:eastAsia="es-ES"/>
        </w:rPr>
        <w:t>No existen protocolos de actuación ni previsiones presupuestarias que permitan a particulares afectados en su persona o sus bienes, por heridas, daños materiales, lucro cesante, etc. a recibir reparación integral por los efectos col</w:t>
      </w:r>
      <w:r w:rsidR="00982BF5" w:rsidRPr="00D5089B">
        <w:rPr>
          <w:rFonts w:ascii="Calibri" w:eastAsia="Times New Roman" w:hAnsi="Calibri" w:cs="Times New Roman"/>
          <w:iCs/>
          <w:color w:val="000000"/>
          <w:lang w:val="es-ES" w:eastAsia="es-ES"/>
        </w:rPr>
        <w:t>aterales de las actividades del E</w:t>
      </w:r>
      <w:r w:rsidRPr="006940D4">
        <w:rPr>
          <w:rFonts w:ascii="Calibri" w:eastAsia="Times New Roman" w:hAnsi="Calibri" w:cs="Times New Roman"/>
          <w:iCs/>
          <w:color w:val="000000"/>
          <w:lang w:val="es-ES" w:eastAsia="es-ES"/>
        </w:rPr>
        <w:t>stado, legítimas e ilegítimas, en la lucha contra el terrorismo impulsada en la zona.</w:t>
      </w:r>
    </w:p>
    <w:p w:rsidR="000F1AD0" w:rsidRPr="00D5089B" w:rsidRDefault="000F1AD0" w:rsidP="00C83BE8">
      <w:pPr>
        <w:spacing w:after="0" w:line="240" w:lineRule="auto"/>
        <w:jc w:val="both"/>
        <w:rPr>
          <w:rFonts w:cs="Arial"/>
        </w:rPr>
      </w:pPr>
    </w:p>
    <w:p w:rsidR="00137AA7" w:rsidRPr="00D5089B" w:rsidRDefault="00137AA7" w:rsidP="00C83BE8">
      <w:pPr>
        <w:spacing w:after="0" w:line="240" w:lineRule="auto"/>
        <w:jc w:val="both"/>
      </w:pPr>
    </w:p>
    <w:p w:rsidR="005E07E7" w:rsidRPr="00DF411A" w:rsidRDefault="005E07E7" w:rsidP="00C83BE8">
      <w:pPr>
        <w:spacing w:after="0" w:line="240" w:lineRule="auto"/>
        <w:jc w:val="both"/>
        <w:rPr>
          <w:b/>
        </w:rPr>
      </w:pPr>
      <w:r w:rsidRPr="00DF411A">
        <w:rPr>
          <w:b/>
        </w:rPr>
        <w:t>Fuentes y bibliografía</w:t>
      </w:r>
    </w:p>
    <w:p w:rsidR="005E07E7" w:rsidRDefault="005E07E7" w:rsidP="00C83BE8">
      <w:pPr>
        <w:spacing w:after="0" w:line="240" w:lineRule="auto"/>
        <w:jc w:val="both"/>
      </w:pPr>
    </w:p>
    <w:p w:rsidR="00B01045" w:rsidRDefault="00B01045" w:rsidP="00B01045">
      <w:pPr>
        <w:spacing w:after="0" w:line="240" w:lineRule="auto"/>
        <w:jc w:val="both"/>
      </w:pPr>
      <w:r>
        <w:t>Ministerio de la Defensa Pública (2015). Informe de Gestión 2015. En:</w:t>
      </w:r>
      <w:r w:rsidRPr="00B01045">
        <w:t xml:space="preserve"> </w:t>
      </w:r>
      <w:hyperlink r:id="rId12" w:history="1">
        <w:r w:rsidRPr="000F420D">
          <w:rPr>
            <w:rStyle w:val="Hyperlink"/>
          </w:rPr>
          <w:t>http://www.mdp.gov.py/application/files/4114/6305/8548/Informe_de_Gestion_2015.pdf</w:t>
        </w:r>
      </w:hyperlink>
      <w:r>
        <w:t xml:space="preserve"> (en línea). Consultado el 30 de mayo de 2017.</w:t>
      </w:r>
    </w:p>
    <w:p w:rsidR="00B01045" w:rsidRDefault="00B01045" w:rsidP="00C83BE8">
      <w:pPr>
        <w:spacing w:after="0" w:line="240" w:lineRule="auto"/>
        <w:jc w:val="both"/>
      </w:pPr>
    </w:p>
    <w:p w:rsidR="00254091" w:rsidRDefault="00254091" w:rsidP="00254091">
      <w:pPr>
        <w:spacing w:after="0" w:line="240" w:lineRule="auto"/>
        <w:jc w:val="both"/>
      </w:pPr>
      <w:r>
        <w:t>Ministerio de la Defensa Pública (2016). Informe de Gestión 2016 (Primer Semestre). En:</w:t>
      </w:r>
      <w:r w:rsidRPr="00B01045">
        <w:t xml:space="preserve"> </w:t>
      </w:r>
      <w:hyperlink r:id="rId13" w:history="1">
        <w:r w:rsidRPr="000F420D">
          <w:rPr>
            <w:rStyle w:val="Hyperlink"/>
          </w:rPr>
          <w:t>http://www.mdp.gov.py/application/files/4114/6305/8548/Informe_de_Gestion_2015.pdf</w:t>
        </w:r>
      </w:hyperlink>
      <w:r>
        <w:t xml:space="preserve"> (en línea). Consultado el 30 de mayo de 2017.</w:t>
      </w:r>
    </w:p>
    <w:p w:rsidR="00B01045" w:rsidRDefault="00B01045" w:rsidP="00C83BE8">
      <w:pPr>
        <w:spacing w:after="0" w:line="240" w:lineRule="auto"/>
        <w:jc w:val="both"/>
      </w:pPr>
    </w:p>
    <w:p w:rsidR="005E07E7" w:rsidRDefault="005E07E7" w:rsidP="00C83BE8">
      <w:pPr>
        <w:spacing w:after="0" w:line="240" w:lineRule="auto"/>
        <w:jc w:val="both"/>
      </w:pPr>
      <w:r>
        <w:t>Ministerio de la Defensa Pública (2017). Defensores Públicos po</w:t>
      </w:r>
      <w:r w:rsidR="00B01045">
        <w:t xml:space="preserve">r circunscripciones. En: </w:t>
      </w:r>
      <w:r w:rsidRPr="005E07E7">
        <w:t>http://www.mdp.gov.py/defensores-publc/defensores-publicos-por-circunscripciones</w:t>
      </w:r>
      <w:r>
        <w:t xml:space="preserve"> (en línea</w:t>
      </w:r>
      <w:r w:rsidR="009F6599">
        <w:t>)</w:t>
      </w:r>
      <w:r>
        <w:t>. Consultado el 30 de mayo de 2017.</w:t>
      </w:r>
    </w:p>
    <w:p w:rsidR="004D2F00" w:rsidRDefault="004D2F00" w:rsidP="00C83BE8">
      <w:pPr>
        <w:spacing w:after="0" w:line="240" w:lineRule="auto"/>
        <w:jc w:val="both"/>
      </w:pPr>
    </w:p>
    <w:p w:rsidR="004D2F00" w:rsidRPr="0012204E" w:rsidRDefault="004D2F00" w:rsidP="004D2F00">
      <w:pPr>
        <w:spacing w:after="0" w:line="240" w:lineRule="auto"/>
        <w:jc w:val="both"/>
        <w:rPr>
          <w:lang w:val="en-US"/>
        </w:rPr>
      </w:pPr>
      <w:r>
        <w:t xml:space="preserve">Ministerio Público (2016). Sedes fiscales. En: </w:t>
      </w:r>
      <w:r w:rsidRPr="004D2F00">
        <w:t>http://www.ministeriopublico.gov.py/sedes-fiscales-asuncion-barriales-l249</w:t>
      </w:r>
      <w:r>
        <w:t xml:space="preserve"> (en línea). </w:t>
      </w:r>
      <w:proofErr w:type="spellStart"/>
      <w:proofErr w:type="gramStart"/>
      <w:r w:rsidRPr="0012204E">
        <w:rPr>
          <w:lang w:val="en-US"/>
        </w:rPr>
        <w:t>Consultado</w:t>
      </w:r>
      <w:proofErr w:type="spellEnd"/>
      <w:r w:rsidRPr="0012204E">
        <w:rPr>
          <w:lang w:val="en-US"/>
        </w:rPr>
        <w:t xml:space="preserve"> el 30 de mayo de 2017.</w:t>
      </w:r>
      <w:proofErr w:type="gramEnd"/>
    </w:p>
    <w:p w:rsidR="004D2F00" w:rsidRPr="005C58AD" w:rsidRDefault="004D2F00" w:rsidP="00C83BE8">
      <w:pPr>
        <w:spacing w:after="0" w:line="240" w:lineRule="auto"/>
        <w:jc w:val="both"/>
        <w:rPr>
          <w:lang w:val="en-US"/>
        </w:rPr>
      </w:pPr>
    </w:p>
    <w:p w:rsidR="004D2F00" w:rsidRPr="005C58AD" w:rsidRDefault="0012204E" w:rsidP="00C83BE8">
      <w:pPr>
        <w:spacing w:after="0" w:line="240" w:lineRule="auto"/>
        <w:jc w:val="both"/>
        <w:rPr>
          <w:lang w:val="en-US"/>
        </w:rPr>
      </w:pPr>
      <w:r w:rsidRPr="005C58AD">
        <w:rPr>
          <w:lang w:val="en-US"/>
        </w:rPr>
        <w:t xml:space="preserve">Walmsley, Roy (2017). </w:t>
      </w:r>
      <w:proofErr w:type="gramStart"/>
      <w:r w:rsidRPr="005C58AD">
        <w:rPr>
          <w:i/>
          <w:lang w:val="en-US"/>
        </w:rPr>
        <w:t>World Pre-trial/Remand Imprisonment List (third edition)</w:t>
      </w:r>
      <w:r w:rsidRPr="005C58AD">
        <w:rPr>
          <w:lang w:val="en-US"/>
        </w:rPr>
        <w:t>.</w:t>
      </w:r>
      <w:proofErr w:type="gramEnd"/>
      <w:r w:rsidRPr="005C58AD">
        <w:rPr>
          <w:lang w:val="en-US"/>
        </w:rPr>
        <w:t xml:space="preserve"> London, International Centre for Prison Studies, University of Essex.</w:t>
      </w:r>
    </w:p>
    <w:p w:rsidR="004D2F00" w:rsidRPr="005C58AD" w:rsidRDefault="004D2F00" w:rsidP="00C83BE8">
      <w:pPr>
        <w:spacing w:after="0" w:line="240" w:lineRule="auto"/>
        <w:jc w:val="both"/>
        <w:rPr>
          <w:lang w:val="en-US"/>
        </w:rPr>
      </w:pPr>
    </w:p>
    <w:sectPr w:rsidR="004D2F00" w:rsidRPr="005C58AD" w:rsidSect="001F744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492" w:rsidRDefault="00176492" w:rsidP="0041438C">
      <w:pPr>
        <w:spacing w:after="0" w:line="240" w:lineRule="auto"/>
      </w:pPr>
      <w:r>
        <w:separator/>
      </w:r>
    </w:p>
  </w:endnote>
  <w:endnote w:type="continuationSeparator" w:id="0">
    <w:p w:rsidR="00176492" w:rsidRDefault="00176492" w:rsidP="00414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287" w:usb1="00000000" w:usb2="00000000" w:usb3="00000000" w:csb0="0000009F" w:csb1="00000000"/>
  </w:font>
  <w:font w:name="HelveticaNeue">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492" w:rsidRDefault="00176492" w:rsidP="0041438C">
      <w:pPr>
        <w:spacing w:after="0" w:line="240" w:lineRule="auto"/>
      </w:pPr>
      <w:r>
        <w:separator/>
      </w:r>
    </w:p>
  </w:footnote>
  <w:footnote w:type="continuationSeparator" w:id="0">
    <w:p w:rsidR="00176492" w:rsidRDefault="00176492" w:rsidP="0041438C">
      <w:pPr>
        <w:spacing w:after="0" w:line="240" w:lineRule="auto"/>
      </w:pPr>
      <w:r>
        <w:continuationSeparator/>
      </w:r>
    </w:p>
  </w:footnote>
  <w:footnote w:id="1">
    <w:p w:rsidR="00176492" w:rsidRPr="00FF2E01" w:rsidRDefault="00176492">
      <w:pPr>
        <w:pStyle w:val="FootnoteText"/>
        <w:rPr>
          <w:lang w:val="es-ES"/>
        </w:rPr>
      </w:pPr>
      <w:r>
        <w:rPr>
          <w:rStyle w:val="FootnoteReference"/>
        </w:rPr>
        <w:footnoteRef/>
      </w:r>
      <w:r>
        <w:t xml:space="preserve"> </w:t>
      </w:r>
      <w:r>
        <w:rPr>
          <w:sz w:val="23"/>
          <w:szCs w:val="23"/>
        </w:rPr>
        <w:t>Los datos provienen de 113 entrevistas a adolescentes privados de libertad de cinco centros educativos y 212 entrevistas a personas adultas privadas de libertad de seis penitenciarías inspeccionadas.</w:t>
      </w:r>
    </w:p>
  </w:footnote>
  <w:footnote w:id="2">
    <w:p w:rsidR="00176492" w:rsidRDefault="00176492">
      <w:pPr>
        <w:pStyle w:val="FootnoteText"/>
      </w:pPr>
      <w:r>
        <w:rPr>
          <w:rStyle w:val="FootnoteReference"/>
        </w:rPr>
        <w:footnoteRef/>
      </w:r>
      <w:r>
        <w:t xml:space="preserve"> Véase nota N° 1.</w:t>
      </w:r>
    </w:p>
  </w:footnote>
  <w:footnote w:id="3">
    <w:p w:rsidR="00176492" w:rsidRPr="00294BB8" w:rsidRDefault="00176492" w:rsidP="002C41B8">
      <w:pPr>
        <w:pStyle w:val="FootnoteText"/>
        <w:rPr>
          <w:lang w:val="es-PY"/>
        </w:rPr>
      </w:pPr>
      <w:r>
        <w:rPr>
          <w:rStyle w:val="FootnoteReference"/>
        </w:rPr>
        <w:footnoteRef/>
      </w:r>
      <w:r>
        <w:t xml:space="preserve"> </w:t>
      </w:r>
      <w:r w:rsidRPr="00294BB8">
        <w:t>El Estado parte debería adoptar medidas eficaces para garantizar que su política de prisión preventiva está de acuerdo con los estándares internacionales y que la prisión preventiva sólo se utiliza como medida de último recurso durante un período limitado</w:t>
      </w:r>
      <w:proofErr w:type="gramStart"/>
      <w:r w:rsidRPr="00294BB8">
        <w:t>.</w:t>
      </w:r>
      <w:r>
        <w:t>[</w:t>
      </w:r>
      <w:proofErr w:type="gramEnd"/>
      <w:r>
        <w:t>…]</w:t>
      </w:r>
      <w:r w:rsidRPr="00294BB8">
        <w:t xml:space="preserve">  También debería aumentar el control judicial de la duración de la prisión preventiva. </w:t>
      </w:r>
      <w:r w:rsidRPr="00294BB8">
        <w:rPr>
          <w:b/>
          <w:bCs/>
          <w:lang w:val="es-CO"/>
        </w:rPr>
        <w:t xml:space="preserve">(Comité contra la Tortura, CAT/C/PRY/CO/4-6, 14 Dic 2011, párr. 19)   </w:t>
      </w:r>
    </w:p>
  </w:footnote>
  <w:footnote w:id="4">
    <w:p w:rsidR="00176492" w:rsidRPr="00294BB8" w:rsidRDefault="00176492" w:rsidP="002C41B8">
      <w:pPr>
        <w:pStyle w:val="FootnoteText"/>
        <w:rPr>
          <w:lang w:val="es-PY"/>
        </w:rPr>
      </w:pPr>
      <w:r>
        <w:rPr>
          <w:rStyle w:val="FootnoteReference"/>
        </w:rPr>
        <w:footnoteRef/>
      </w:r>
      <w:r>
        <w:t xml:space="preserve"> </w:t>
      </w:r>
      <w:r w:rsidRPr="00294BB8">
        <w:rPr>
          <w:lang w:val="es-ES_tradnl"/>
        </w:rPr>
        <w:t xml:space="preserve">El Estado parte debe reducir el número de personas en detención preventiva y debe limitar estrictamente su duración, </w:t>
      </w:r>
      <w:r w:rsidRPr="00294BB8">
        <w:rPr>
          <w:lang w:val="es-ES"/>
        </w:rPr>
        <w:t xml:space="preserve">de conformidad con el apartado c) del párrafo 3 del artículo 14 del Pacto y asegurarse que se respete plenamente lo dispuesto en el artículo 9. </w:t>
      </w:r>
      <w:r w:rsidRPr="00294BB8">
        <w:rPr>
          <w:b/>
          <w:bCs/>
          <w:lang w:val="es-ES"/>
        </w:rPr>
        <w:t xml:space="preserve">(CCPR/C/PRY/CO/3 marzo 2013, párr. 20)  </w:t>
      </w:r>
    </w:p>
  </w:footnote>
  <w:footnote w:id="5">
    <w:p w:rsidR="00176492" w:rsidRDefault="00176492" w:rsidP="002A2E1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Corte Suprema de Justicia. Expediente </w:t>
      </w:r>
      <w:r>
        <w:rPr>
          <w:rFonts w:ascii="Times New Roman" w:eastAsia="Times New Roman" w:hAnsi="Times New Roman" w:cs="Times New Roman"/>
          <w:lang w:eastAsia="es-MX"/>
        </w:rPr>
        <w:t>“</w:t>
      </w:r>
      <w:r>
        <w:rPr>
          <w:rFonts w:ascii="Times New Roman" w:hAnsi="Times New Roman" w:cs="Times New Roman"/>
        </w:rPr>
        <w:t xml:space="preserve">solicitud </w:t>
      </w:r>
      <w:r>
        <w:rPr>
          <w:rFonts w:ascii="Times New Roman" w:eastAsia="Times New Roman" w:hAnsi="Times New Roman" w:cs="Times New Roman"/>
          <w:lang w:eastAsia="es-MX"/>
        </w:rPr>
        <w:t xml:space="preserve">de </w:t>
      </w:r>
      <w:r>
        <w:rPr>
          <w:rFonts w:ascii="Times New Roman" w:hAnsi="Times New Roman" w:cs="Times New Roman"/>
        </w:rPr>
        <w:t xml:space="preserve">detención preventiva </w:t>
      </w:r>
      <w:r>
        <w:rPr>
          <w:rFonts w:ascii="Times New Roman" w:eastAsia="Times New Roman" w:hAnsi="Times New Roman" w:cs="Times New Roman"/>
          <w:lang w:eastAsia="es-MX"/>
        </w:rPr>
        <w:t xml:space="preserve">con fines de </w:t>
      </w:r>
      <w:r>
        <w:rPr>
          <w:rFonts w:ascii="Times New Roman" w:hAnsi="Times New Roman" w:cs="Times New Roman"/>
        </w:rPr>
        <w:t xml:space="preserve">extradición </w:t>
      </w:r>
      <w:r>
        <w:rPr>
          <w:rFonts w:ascii="Times New Roman" w:eastAsia="Times New Roman" w:hAnsi="Times New Roman" w:cs="Times New Roman"/>
          <w:lang w:eastAsia="es-MX"/>
        </w:rPr>
        <w:t xml:space="preserve">del ciudadano argentino </w:t>
      </w:r>
      <w:r>
        <w:rPr>
          <w:rFonts w:ascii="Times New Roman" w:hAnsi="Times New Roman" w:cs="Times New Roman"/>
        </w:rPr>
        <w:t xml:space="preserve">Eduardo Abelardo </w:t>
      </w:r>
      <w:proofErr w:type="spellStart"/>
      <w:r>
        <w:rPr>
          <w:rFonts w:ascii="Times New Roman" w:hAnsi="Times New Roman" w:cs="Times New Roman"/>
        </w:rPr>
        <w:t>Britos</w:t>
      </w:r>
      <w:proofErr w:type="spellEnd"/>
      <w:r>
        <w:rPr>
          <w:rFonts w:ascii="Times New Roman" w:eastAsia="Times New Roman" w:hAnsi="Times New Roman" w:cs="Times New Roman"/>
          <w:lang w:eastAsia="es-MX"/>
        </w:rPr>
        <w:t>” Nº 1184/09</w:t>
      </w:r>
      <w:r>
        <w:rPr>
          <w:rFonts w:ascii="Times New Roman" w:hAnsi="Times New Roman" w:cs="Times New Roman"/>
        </w:rPr>
        <w:t xml:space="preserve"> (Acuerdo y Sentencia Nº 960 de 31 de diciembre de 2009).</w:t>
      </w:r>
    </w:p>
  </w:footnote>
  <w:footnote w:id="6">
    <w:p w:rsidR="00176492" w:rsidRDefault="00176492" w:rsidP="00456E20">
      <w:pPr>
        <w:pStyle w:val="FootnoteText"/>
        <w:jc w:val="both"/>
      </w:pPr>
      <w:r>
        <w:rPr>
          <w:rStyle w:val="FootnoteReference"/>
        </w:rPr>
        <w:footnoteRef/>
      </w:r>
      <w:r>
        <w:t xml:space="preserve"> </w:t>
      </w:r>
      <w:r>
        <w:rPr>
          <w:rFonts w:ascii="Times New Roman" w:hAnsi="Times New Roman" w:cs="Times New Roman"/>
          <w:color w:val="000000"/>
        </w:rPr>
        <w:t>Comisión Interamericana de Derechos Humanos (CIDH), 20</w:t>
      </w:r>
      <w:r>
        <w:rPr>
          <w:color w:val="000000"/>
        </w:rPr>
        <w:t>12</w:t>
      </w:r>
      <w:r>
        <w:rPr>
          <w:rFonts w:ascii="Times New Roman" w:hAnsi="Times New Roman" w:cs="Times New Roman"/>
          <w:color w:val="000000"/>
        </w:rPr>
        <w:t xml:space="preserve">. </w:t>
      </w:r>
      <w:r>
        <w:rPr>
          <w:rFonts w:ascii="Times New Roman" w:eastAsia="Calibri" w:hAnsi="Times New Roman" w:cs="Times New Roman"/>
          <w:i/>
          <w:lang w:val="es-ES"/>
        </w:rPr>
        <w:t>INFORME No. 108/12</w:t>
      </w:r>
      <w:r>
        <w:rPr>
          <w:rFonts w:ascii="Times New Roman" w:hAnsi="Times New Roman" w:cs="Times New Roman"/>
          <w:i/>
          <w:lang w:val="es-ES"/>
        </w:rPr>
        <w:t xml:space="preserve">. </w:t>
      </w:r>
      <w:r>
        <w:rPr>
          <w:rFonts w:ascii="Times New Roman" w:eastAsia="Calibri" w:hAnsi="Times New Roman" w:cs="Times New Roman"/>
          <w:i/>
          <w:lang w:val="es-ES"/>
        </w:rPr>
        <w:t>DECISIÓN DE ARCHIVO</w:t>
      </w:r>
      <w:r>
        <w:rPr>
          <w:rFonts w:ascii="Times New Roman" w:hAnsi="Times New Roman" w:cs="Times New Roman"/>
          <w:i/>
          <w:lang w:val="es-ES"/>
        </w:rPr>
        <w:t xml:space="preserve">. </w:t>
      </w:r>
      <w:r>
        <w:rPr>
          <w:rFonts w:ascii="Times New Roman" w:eastAsia="Calibri" w:hAnsi="Times New Roman" w:cs="Times New Roman"/>
          <w:i/>
          <w:lang w:val="es-ES"/>
        </w:rPr>
        <w:t>CASO 11.561</w:t>
      </w:r>
      <w:r>
        <w:rPr>
          <w:rFonts w:ascii="Times New Roman" w:hAnsi="Times New Roman" w:cs="Times New Roman"/>
          <w:i/>
          <w:lang w:val="es-ES"/>
        </w:rPr>
        <w:t xml:space="preserve"> - </w:t>
      </w:r>
      <w:r>
        <w:rPr>
          <w:rFonts w:ascii="Times New Roman" w:eastAsia="Calibri" w:hAnsi="Times New Roman" w:cs="Times New Roman"/>
          <w:i/>
          <w:lang w:val="es-ES"/>
        </w:rPr>
        <w:t>PARAGUAY</w:t>
      </w:r>
      <w:r>
        <w:rPr>
          <w:lang w:val="es-ES"/>
        </w:rPr>
        <w:t xml:space="preserve"> </w:t>
      </w:r>
      <w:r>
        <w:rPr>
          <w:rFonts w:ascii="Times New Roman" w:hAnsi="Times New Roman" w:cs="Times New Roman"/>
        </w:rPr>
        <w:t>[</w:t>
      </w:r>
      <w:r>
        <w:rPr>
          <w:rStyle w:val="HTMLCite"/>
          <w:rFonts w:ascii="Times New Roman" w:hAnsi="Times New Roman" w:cs="Times New Roman"/>
        </w:rPr>
        <w:t>HTML]</w:t>
      </w:r>
      <w:r>
        <w:rPr>
          <w:rFonts w:ascii="Times New Roman" w:hAnsi="Times New Roman" w:cs="Times New Roman"/>
          <w:color w:val="000000"/>
          <w:lang w:eastAsia="es-MX"/>
        </w:rPr>
        <w:t xml:space="preserve">, </w:t>
      </w:r>
      <w:r>
        <w:rPr>
          <w:rFonts w:ascii="Times New Roman" w:hAnsi="Times New Roman" w:cs="Times New Roman"/>
        </w:rPr>
        <w:t xml:space="preserve">Washington: Comisión Interamericana de Derechos Humanos. Disponible en: </w:t>
      </w:r>
      <w:r>
        <w:rPr>
          <w:rFonts w:ascii="Times New Roman" w:hAnsi="Times New Roman" w:cs="Times New Roman"/>
          <w:color w:val="000000"/>
          <w:lang w:eastAsia="es-MX"/>
        </w:rPr>
        <w:t>&lt;</w:t>
      </w:r>
      <w:r>
        <w:rPr>
          <w:rFonts w:ascii="Times New Roman" w:eastAsia="Times New Roman" w:hAnsi="Times New Roman" w:cs="Times New Roman"/>
          <w:iCs/>
          <w:lang w:eastAsia="es-MX"/>
        </w:rPr>
        <w:t>www.oas.org/es/</w:t>
      </w:r>
      <w:r>
        <w:rPr>
          <w:rFonts w:ascii="Times New Roman" w:eastAsia="Times New Roman" w:hAnsi="Times New Roman" w:cs="Times New Roman"/>
          <w:bCs/>
          <w:iCs/>
          <w:lang w:eastAsia="es-MX"/>
        </w:rPr>
        <w:t>cidh</w:t>
      </w:r>
      <w:r>
        <w:rPr>
          <w:rFonts w:ascii="Times New Roman" w:eastAsia="Times New Roman" w:hAnsi="Times New Roman" w:cs="Times New Roman"/>
          <w:iCs/>
          <w:lang w:eastAsia="es-MX"/>
        </w:rPr>
        <w:t>/decisiones/2012/PYAR11561ES.doc</w:t>
      </w:r>
      <w:r>
        <w:rPr>
          <w:rFonts w:ascii="Times New Roman" w:hAnsi="Times New Roman" w:cs="Times New Roman"/>
        </w:rPr>
        <w:t>&gt; [Consulta: 5 de agosto de 2014].</w:t>
      </w:r>
    </w:p>
  </w:footnote>
  <w:footnote w:id="7">
    <w:p w:rsidR="00176492" w:rsidRPr="009A15CA" w:rsidRDefault="00176492" w:rsidP="004A0754">
      <w:pPr>
        <w:pStyle w:val="FootnoteText"/>
        <w:jc w:val="both"/>
        <w:rPr>
          <w:i/>
          <w:sz w:val="18"/>
          <w:szCs w:val="18"/>
        </w:rPr>
      </w:pPr>
      <w:r w:rsidRPr="00685D9A">
        <w:rPr>
          <w:rStyle w:val="FootnoteReference"/>
          <w:sz w:val="18"/>
          <w:szCs w:val="18"/>
        </w:rPr>
        <w:footnoteRef/>
      </w:r>
      <w:r w:rsidRPr="00685D9A">
        <w:rPr>
          <w:sz w:val="18"/>
          <w:szCs w:val="18"/>
        </w:rPr>
        <w:t xml:space="preserve"> Conforme a la Declaración de Malta: </w:t>
      </w:r>
      <w:r w:rsidRPr="00685D9A">
        <w:rPr>
          <w:i/>
          <w:sz w:val="18"/>
          <w:szCs w:val="18"/>
        </w:rPr>
        <w:t xml:space="preserve">“La alimentación forzada nunca es éticamente aceptable. Incluso con la intención de beneficiar, la alimentación con amenazas, presión, fuerza o uso de restricción física es una forma de trato inhumano y degradante. Al igual que es inaceptable la alimentación forzada de algunos detenidos a fin de intimidar o presionar a otras personas en huelgas de hambre para que pongan término a su ayuno” </w:t>
      </w:r>
      <w:r w:rsidRPr="00685D9A">
        <w:rPr>
          <w:sz w:val="18"/>
          <w:szCs w:val="18"/>
        </w:rPr>
        <w:t>(Asociación Médica Mundial, 2006)</w:t>
      </w:r>
      <w:r w:rsidRPr="00685D9A">
        <w:rPr>
          <w:i/>
          <w:sz w:val="18"/>
          <w:szCs w:val="18"/>
        </w:rPr>
        <w:t xml:space="preserve">. </w:t>
      </w:r>
      <w:r w:rsidRPr="00685D9A">
        <w:rPr>
          <w:sz w:val="18"/>
          <w:szCs w:val="18"/>
        </w:rPr>
        <w:t>Por otro lado, el informe Situación de los deten</w:t>
      </w:r>
      <w:r>
        <w:rPr>
          <w:sz w:val="18"/>
          <w:szCs w:val="18"/>
        </w:rPr>
        <w:t>idos en la bahía de Guantánamo,</w:t>
      </w:r>
      <w:r w:rsidRPr="00685D9A">
        <w:rPr>
          <w:sz w:val="18"/>
          <w:szCs w:val="18"/>
        </w:rPr>
        <w:t xml:space="preserve"> considera que la alimentación forzada puede ser considerada como tortura por los métodos utilizados. Además</w:t>
      </w:r>
      <w:r>
        <w:rPr>
          <w:sz w:val="18"/>
          <w:szCs w:val="18"/>
        </w:rPr>
        <w:t>,</w:t>
      </w:r>
      <w:r w:rsidRPr="00685D9A">
        <w:rPr>
          <w:i/>
          <w:sz w:val="18"/>
          <w:szCs w:val="18"/>
        </w:rPr>
        <w:t xml:space="preserve"> “Desde la perspectiva del derecho a la salud, un consentimiento con conocimiento de causa previo al tratamiento médico es esencial, como lo es su "corolario lógico", el derecho a rechazar un tratamiento. Un detenido en plena posesión de sus facultades tiene, al igual que cualquier otra persona, derecho a rechazar un tratamiento. En resumen, administrar un tratamiento a un detenido en plena posesión de sus facultades sin su consentimiento, -incluida la alimentación forzada- es una violación del derecho a la salud, así como de la ética internacional aplicable a los profesionales de la salud” </w:t>
      </w:r>
      <w:r w:rsidRPr="00685D9A">
        <w:rPr>
          <w:sz w:val="18"/>
          <w:szCs w:val="18"/>
        </w:rPr>
        <w:t>(Naciones Unidas, 2006, párr. 54 y 82)</w:t>
      </w:r>
    </w:p>
  </w:footnote>
  <w:footnote w:id="8">
    <w:p w:rsidR="00176492" w:rsidRPr="00685D9A" w:rsidRDefault="00176492" w:rsidP="004A0754">
      <w:pPr>
        <w:pStyle w:val="FootnoteText"/>
        <w:jc w:val="both"/>
        <w:rPr>
          <w:sz w:val="18"/>
          <w:szCs w:val="18"/>
        </w:rPr>
      </w:pPr>
      <w:r w:rsidRPr="00685D9A">
        <w:rPr>
          <w:rStyle w:val="FootnoteReference"/>
        </w:rPr>
        <w:footnoteRef/>
      </w:r>
      <w:r w:rsidRPr="00685D9A">
        <w:rPr>
          <w:sz w:val="18"/>
          <w:szCs w:val="18"/>
        </w:rPr>
        <w:t xml:space="preserve"> La Relatoría sobre los Derechos de las Personas Privadas de Libertad de la CIDH realizó una visita de trabajo a Paraguay del 25 al 29 de agosto de 2014, en dicha oportunidad en relación a la utilización del traslado como medida disciplinaria manifestó lo siguiente: La relatoría fue también informada sobre la utilización de traslados entre penitenciarías como una forma de control del orden interno en los penales. A este respecto, la relatoría exhorta al Gobierno paraguayo a tomar medidas dirigidas a limitar los traslados previo control judicial y a evitar que sean utilizados como sanción disciplinaria. Además, se recomienda al Estado considerar la proximidad del detenido a su núcleo familiar, su estado físico, y su pertenencia, si es el caso, a programas de educación o trabajo como criterios fundamentales al momento de disponer los traslados. Recuerda además que, de conformidad con los Principios y Buenas Prácticas sobre la Protección de las Personas Privadas de la Libertad en las Américas de la CIDH, los traslados no se deberán practicar con la intención de castigar, reprimir o discriminar a las personas privadas de libertad, a sus familiares o representantes.</w:t>
      </w:r>
    </w:p>
  </w:footnote>
  <w:footnote w:id="9">
    <w:p w:rsidR="00176492" w:rsidRPr="00037F92" w:rsidRDefault="00176492" w:rsidP="004A0754">
      <w:pPr>
        <w:spacing w:after="0" w:line="240" w:lineRule="auto"/>
        <w:jc w:val="both"/>
        <w:rPr>
          <w:sz w:val="20"/>
          <w:szCs w:val="20"/>
        </w:rPr>
      </w:pPr>
      <w:r>
        <w:rPr>
          <w:rStyle w:val="FootnoteReference"/>
        </w:rPr>
        <w:footnoteRef/>
      </w:r>
      <w:r>
        <w:t xml:space="preserve"> </w:t>
      </w:r>
      <w:r w:rsidRPr="00037F92">
        <w:rPr>
          <w:rFonts w:eastAsia="Calibri" w:cs="Times New Roman"/>
          <w:sz w:val="20"/>
          <w:szCs w:val="20"/>
          <w:lang w:val="es-PY"/>
        </w:rPr>
        <w:t xml:space="preserve">Ver A.I. N° 776 del 13 de diciembre de 2016 en la Causa N° 2012/1578 “Mónica Carolina Alemán Benítez y Richard Ariel González Franco s/ robo agravado” ante el Juzgado de Ejecución Penal de Fernando de la Mora. </w:t>
      </w:r>
    </w:p>
    <w:p w:rsidR="00176492" w:rsidRPr="00037F92" w:rsidRDefault="00176492" w:rsidP="004A0754">
      <w:pPr>
        <w:pStyle w:val="FootnoteText"/>
        <w:rPr>
          <w:lang w:val="es-ES"/>
        </w:rPr>
      </w:pPr>
    </w:p>
  </w:footnote>
  <w:footnote w:id="10">
    <w:p w:rsidR="00176492" w:rsidRDefault="00176492" w:rsidP="000D2C98">
      <w:pPr>
        <w:pStyle w:val="FootnoteText"/>
      </w:pPr>
      <w:r>
        <w:rPr>
          <w:rStyle w:val="FootnoteReference"/>
        </w:rPr>
        <w:footnoteRef/>
      </w:r>
      <w:r>
        <w:t xml:space="preserve"> </w:t>
      </w:r>
      <w:r w:rsidRPr="006931E9">
        <w:t xml:space="preserve">Ministerio de Justicia. Parte Diario del </w:t>
      </w:r>
      <w:r>
        <w:t>15</w:t>
      </w:r>
      <w:r w:rsidRPr="006931E9">
        <w:t xml:space="preserve"> de </w:t>
      </w:r>
      <w:r>
        <w:t>diciembre</w:t>
      </w:r>
      <w:r w:rsidRPr="006931E9">
        <w:t xml:space="preserve"> de 201</w:t>
      </w:r>
      <w:r>
        <w:t>6; SENAAI. Parte Diario del 10 de mayo de 2017</w:t>
      </w:r>
      <w:r w:rsidRPr="006931E9">
        <w:t>.</w:t>
      </w:r>
    </w:p>
  </w:footnote>
  <w:footnote w:id="11">
    <w:p w:rsidR="00176492" w:rsidRPr="00266F6E" w:rsidRDefault="00176492" w:rsidP="000D2C98">
      <w:pPr>
        <w:autoSpaceDE w:val="0"/>
        <w:autoSpaceDN w:val="0"/>
        <w:adjustRightInd w:val="0"/>
        <w:spacing w:after="0" w:line="240" w:lineRule="auto"/>
        <w:jc w:val="both"/>
        <w:rPr>
          <w:kern w:val="28"/>
          <w:sz w:val="18"/>
          <w:szCs w:val="18"/>
        </w:rPr>
      </w:pPr>
      <w:r w:rsidRPr="00266F6E">
        <w:rPr>
          <w:rStyle w:val="FootnoteReference"/>
          <w:sz w:val="18"/>
          <w:szCs w:val="18"/>
        </w:rPr>
        <w:footnoteRef/>
      </w:r>
      <w:r w:rsidRPr="00266F6E">
        <w:rPr>
          <w:sz w:val="18"/>
          <w:szCs w:val="18"/>
        </w:rPr>
        <w:t xml:space="preserve"> </w:t>
      </w:r>
      <w:r w:rsidRPr="00266F6E">
        <w:rPr>
          <w:kern w:val="28"/>
          <w:sz w:val="18"/>
          <w:szCs w:val="18"/>
        </w:rPr>
        <w:t xml:space="preserve">Corte I.D.H. </w:t>
      </w:r>
      <w:r w:rsidRPr="00266F6E">
        <w:rPr>
          <w:i/>
          <w:kern w:val="28"/>
          <w:sz w:val="18"/>
          <w:szCs w:val="18"/>
        </w:rPr>
        <w:t xml:space="preserve">Caso Montero Aranguren y </w:t>
      </w:r>
      <w:proofErr w:type="gramStart"/>
      <w:r w:rsidRPr="00266F6E">
        <w:rPr>
          <w:i/>
          <w:kern w:val="28"/>
          <w:sz w:val="18"/>
          <w:szCs w:val="18"/>
        </w:rPr>
        <w:t>otros</w:t>
      </w:r>
      <w:proofErr w:type="gramEnd"/>
      <w:r w:rsidRPr="00266F6E">
        <w:rPr>
          <w:i/>
          <w:kern w:val="28"/>
          <w:sz w:val="18"/>
          <w:szCs w:val="18"/>
        </w:rPr>
        <w:t xml:space="preserve"> (Retén de Catia) vs. Venezuela. </w:t>
      </w:r>
      <w:proofErr w:type="spellStart"/>
      <w:r w:rsidRPr="00266F6E">
        <w:rPr>
          <w:i/>
          <w:kern w:val="28"/>
          <w:sz w:val="18"/>
          <w:szCs w:val="18"/>
          <w:lang w:val="en-US"/>
        </w:rPr>
        <w:t>Sentencia</w:t>
      </w:r>
      <w:proofErr w:type="spellEnd"/>
      <w:r w:rsidRPr="00266F6E">
        <w:rPr>
          <w:i/>
          <w:kern w:val="28"/>
          <w:sz w:val="18"/>
          <w:szCs w:val="18"/>
          <w:lang w:val="en-US"/>
        </w:rPr>
        <w:t xml:space="preserve"> de 5 de </w:t>
      </w:r>
      <w:proofErr w:type="spellStart"/>
      <w:proofErr w:type="gramStart"/>
      <w:r w:rsidRPr="00266F6E">
        <w:rPr>
          <w:i/>
          <w:kern w:val="28"/>
          <w:sz w:val="18"/>
          <w:szCs w:val="18"/>
          <w:lang w:val="en-US"/>
        </w:rPr>
        <w:t>julio</w:t>
      </w:r>
      <w:proofErr w:type="spellEnd"/>
      <w:proofErr w:type="gramEnd"/>
      <w:r w:rsidRPr="00266F6E">
        <w:rPr>
          <w:i/>
          <w:kern w:val="28"/>
          <w:sz w:val="18"/>
          <w:szCs w:val="18"/>
          <w:lang w:val="en-US"/>
        </w:rPr>
        <w:t xml:space="preserve"> de 2006</w:t>
      </w:r>
      <w:r w:rsidRPr="00266F6E">
        <w:rPr>
          <w:kern w:val="28"/>
          <w:sz w:val="18"/>
          <w:szCs w:val="18"/>
          <w:lang w:val="en-US"/>
        </w:rPr>
        <w:t xml:space="preserve">, </w:t>
      </w:r>
      <w:proofErr w:type="spellStart"/>
      <w:r w:rsidRPr="00266F6E">
        <w:rPr>
          <w:kern w:val="28"/>
          <w:sz w:val="18"/>
          <w:szCs w:val="18"/>
          <w:lang w:val="en-US"/>
        </w:rPr>
        <w:t>párr</w:t>
      </w:r>
      <w:proofErr w:type="spellEnd"/>
      <w:r w:rsidRPr="00266F6E">
        <w:rPr>
          <w:kern w:val="28"/>
          <w:sz w:val="18"/>
          <w:szCs w:val="18"/>
          <w:lang w:val="en-US"/>
        </w:rPr>
        <w:t xml:space="preserve">. 90. </w:t>
      </w:r>
      <w:r w:rsidRPr="00266F6E">
        <w:rPr>
          <w:sz w:val="18"/>
          <w:szCs w:val="18"/>
          <w:lang w:val="en-US"/>
        </w:rPr>
        <w:t xml:space="preserve">European Committee for the Prevention of Torture and Inhuman or Degrading Treatment or Punishment. </w:t>
      </w:r>
      <w:proofErr w:type="gramStart"/>
      <w:r w:rsidRPr="00266F6E">
        <w:rPr>
          <w:i/>
          <w:sz w:val="18"/>
          <w:szCs w:val="18"/>
          <w:lang w:val="en-US"/>
        </w:rPr>
        <w:t>2nd General Report on the CPT's activities covering the period 1 January to 31 December 1991</w:t>
      </w:r>
      <w:r w:rsidRPr="00266F6E">
        <w:rPr>
          <w:sz w:val="18"/>
          <w:szCs w:val="18"/>
          <w:lang w:val="en-US"/>
        </w:rPr>
        <w:t xml:space="preserve">, </w:t>
      </w:r>
      <w:r w:rsidRPr="00266F6E">
        <w:rPr>
          <w:kern w:val="28"/>
          <w:sz w:val="18"/>
          <w:szCs w:val="18"/>
          <w:lang w:val="en-US"/>
        </w:rPr>
        <w:t>CPT/</w:t>
      </w:r>
      <w:proofErr w:type="spellStart"/>
      <w:r w:rsidRPr="00266F6E">
        <w:rPr>
          <w:kern w:val="28"/>
          <w:sz w:val="18"/>
          <w:szCs w:val="18"/>
          <w:lang w:val="en-US"/>
        </w:rPr>
        <w:t>Inf</w:t>
      </w:r>
      <w:proofErr w:type="spellEnd"/>
      <w:r w:rsidRPr="00266F6E">
        <w:rPr>
          <w:kern w:val="28"/>
          <w:sz w:val="18"/>
          <w:szCs w:val="18"/>
          <w:lang w:val="en-US"/>
        </w:rPr>
        <w:t xml:space="preserve"> (92) 3 [EN], 2nd General Report, 13 April 1992, </w:t>
      </w:r>
      <w:proofErr w:type="spellStart"/>
      <w:r w:rsidRPr="00266F6E">
        <w:rPr>
          <w:kern w:val="28"/>
          <w:sz w:val="18"/>
          <w:szCs w:val="18"/>
          <w:lang w:val="en-US"/>
        </w:rPr>
        <w:t>párr</w:t>
      </w:r>
      <w:proofErr w:type="spellEnd"/>
      <w:r w:rsidRPr="00266F6E">
        <w:rPr>
          <w:kern w:val="28"/>
          <w:sz w:val="18"/>
          <w:szCs w:val="18"/>
          <w:lang w:val="en-US"/>
        </w:rPr>
        <w:t>.</w:t>
      </w:r>
      <w:proofErr w:type="gramEnd"/>
      <w:r w:rsidRPr="00266F6E">
        <w:rPr>
          <w:kern w:val="28"/>
          <w:sz w:val="18"/>
          <w:szCs w:val="18"/>
          <w:lang w:val="en-US"/>
        </w:rPr>
        <w:t xml:space="preserve"> </w:t>
      </w:r>
      <w:r w:rsidRPr="00266F6E">
        <w:rPr>
          <w:kern w:val="28"/>
          <w:sz w:val="18"/>
          <w:szCs w:val="18"/>
        </w:rPr>
        <w:t xml:space="preserve">43. Disponible en: </w:t>
      </w:r>
      <w:hyperlink r:id="rId1" w:history="1">
        <w:r w:rsidRPr="00266F6E">
          <w:rPr>
            <w:rStyle w:val="Hyperlink"/>
            <w:kern w:val="28"/>
            <w:sz w:val="18"/>
            <w:szCs w:val="18"/>
          </w:rPr>
          <w:t>http://www.cpt.coe.int/en/annual/rep-02.htm</w:t>
        </w:r>
      </w:hyperlink>
      <w:r w:rsidRPr="00266F6E">
        <w:rPr>
          <w:kern w:val="28"/>
          <w:sz w:val="18"/>
          <w:szCs w:val="18"/>
        </w:rPr>
        <w:t xml:space="preserve"> (En línea) [Consulta mayo de 2015].</w:t>
      </w:r>
    </w:p>
    <w:p w:rsidR="00176492" w:rsidRPr="00266F6E" w:rsidRDefault="00176492" w:rsidP="000D2C98">
      <w:pPr>
        <w:pStyle w:val="FootnoteText"/>
        <w:rPr>
          <w:sz w:val="18"/>
          <w:szCs w:val="18"/>
        </w:rPr>
      </w:pPr>
    </w:p>
  </w:footnote>
  <w:footnote w:id="12">
    <w:p w:rsidR="00176492" w:rsidRDefault="00176492" w:rsidP="00B70B59">
      <w:pPr>
        <w:pStyle w:val="FootnoteText"/>
      </w:pPr>
      <w:r>
        <w:rPr>
          <w:rStyle w:val="FootnoteReference"/>
        </w:rPr>
        <w:footnoteRef/>
      </w:r>
      <w:r>
        <w:t xml:space="preserve"> El sistema penitenciario masculino cuenta con dos centros </w:t>
      </w:r>
      <w:proofErr w:type="spellStart"/>
      <w:r>
        <w:t>semiabiertos</w:t>
      </w:r>
      <w:proofErr w:type="spellEnd"/>
      <w:r>
        <w:t xml:space="preserve"> para adultos (dos granjas penitenciarias) y un establecimiento para adolescentes.</w:t>
      </w:r>
    </w:p>
  </w:footnote>
  <w:footnote w:id="13">
    <w:p w:rsidR="00176492" w:rsidRDefault="00176492" w:rsidP="00B70B59">
      <w:pPr>
        <w:pStyle w:val="FootnoteText"/>
      </w:pPr>
      <w:r>
        <w:rPr>
          <w:rStyle w:val="FootnoteReference"/>
        </w:rPr>
        <w:footnoteRef/>
      </w:r>
      <w:r>
        <w:t xml:space="preserve"> Son los establecimientos para el cumplimiento de la prisión preventiva, medida cautelar previa al juicio.</w:t>
      </w:r>
    </w:p>
  </w:footnote>
  <w:footnote w:id="14">
    <w:p w:rsidR="00176492" w:rsidRDefault="00176492" w:rsidP="00B70B59">
      <w:pPr>
        <w:pStyle w:val="FootnoteText"/>
      </w:pPr>
      <w:r>
        <w:rPr>
          <w:rStyle w:val="FootnoteReference"/>
        </w:rPr>
        <w:footnoteRef/>
      </w:r>
      <w:r>
        <w:t xml:space="preserve"> Son los centros previstos para el ingreso de las personas condenadas, para su observación y diagnóstico inicial, que según la ley deberá tener una duración de quince a 45 días.</w:t>
      </w:r>
    </w:p>
  </w:footnote>
  <w:footnote w:id="15">
    <w:p w:rsidR="00176492" w:rsidRDefault="00176492" w:rsidP="00B70B59">
      <w:pPr>
        <w:pStyle w:val="FootnoteText"/>
      </w:pPr>
      <w:r>
        <w:rPr>
          <w:rStyle w:val="FootnoteReference"/>
        </w:rPr>
        <w:footnoteRef/>
      </w:r>
      <w:r>
        <w:t xml:space="preserve"> Son centros penitenciarios para el cumplimiento de condenas de hasta un año, o para el caso que se haya convertido en  prisión una pena no privativa de libertad.</w:t>
      </w:r>
    </w:p>
  </w:footnote>
  <w:footnote w:id="16">
    <w:p w:rsidR="00176492" w:rsidRDefault="00176492" w:rsidP="00B70B59">
      <w:pPr>
        <w:pStyle w:val="FootnoteText"/>
      </w:pPr>
      <w:r>
        <w:rPr>
          <w:rStyle w:val="FootnoteReference"/>
        </w:rPr>
        <w:footnoteRef/>
      </w:r>
      <w:r>
        <w:t xml:space="preserve"> Son los establecimientos para tratamiento psiquiátrico, de desintoxicación y de seguridad.</w:t>
      </w:r>
    </w:p>
  </w:footnote>
  <w:footnote w:id="17">
    <w:p w:rsidR="00176492" w:rsidRPr="00015D8C" w:rsidRDefault="00176492" w:rsidP="00941010">
      <w:pPr>
        <w:pStyle w:val="FootnoteText"/>
        <w:rPr>
          <w:szCs w:val="18"/>
        </w:rPr>
      </w:pPr>
      <w:r w:rsidRPr="00BE1B05">
        <w:rPr>
          <w:szCs w:val="18"/>
        </w:rPr>
        <w:tab/>
      </w:r>
      <w:r w:rsidRPr="00015D8C">
        <w:rPr>
          <w:rStyle w:val="FootnoteReference"/>
          <w:szCs w:val="18"/>
        </w:rPr>
        <w:footnoteRef/>
      </w:r>
      <w:r w:rsidRPr="007E5CCF">
        <w:rPr>
          <w:szCs w:val="18"/>
          <w:lang w:val="en-US"/>
        </w:rPr>
        <w:t xml:space="preserve"> </w:t>
      </w:r>
      <w:r w:rsidRPr="007E5CCF">
        <w:rPr>
          <w:szCs w:val="18"/>
          <w:lang w:val="en-US"/>
        </w:rPr>
        <w:tab/>
      </w:r>
      <w:r w:rsidRPr="007E5CCF">
        <w:rPr>
          <w:rFonts w:eastAsia="Calibri"/>
          <w:szCs w:val="18"/>
          <w:lang w:val="en-US"/>
        </w:rPr>
        <w:t xml:space="preserve">CAT/C/PRY/CO/4-6/Add.1, </w:t>
      </w:r>
      <w:proofErr w:type="spellStart"/>
      <w:r w:rsidRPr="007E5CCF">
        <w:rPr>
          <w:rFonts w:eastAsia="Calibri"/>
          <w:szCs w:val="18"/>
          <w:lang w:val="en-US"/>
        </w:rPr>
        <w:t>págs</w:t>
      </w:r>
      <w:proofErr w:type="spellEnd"/>
      <w:r w:rsidRPr="007E5CCF">
        <w:rPr>
          <w:rFonts w:eastAsia="Calibri"/>
          <w:szCs w:val="18"/>
          <w:lang w:val="en-US"/>
        </w:rPr>
        <w:t xml:space="preserve">. </w:t>
      </w:r>
      <w:proofErr w:type="gramStart"/>
      <w:r w:rsidRPr="00BE1B05">
        <w:rPr>
          <w:rFonts w:eastAsia="Calibri"/>
          <w:szCs w:val="18"/>
          <w:lang w:val="en-US"/>
        </w:rPr>
        <w:t xml:space="preserve">2 y 3; CAT/C/PRY/CO/4-6, </w:t>
      </w:r>
      <w:proofErr w:type="spellStart"/>
      <w:r w:rsidRPr="00BE1B05">
        <w:rPr>
          <w:rFonts w:eastAsia="Calibri"/>
          <w:szCs w:val="18"/>
          <w:lang w:val="en-US"/>
        </w:rPr>
        <w:t>párr</w:t>
      </w:r>
      <w:proofErr w:type="spellEnd"/>
      <w:r w:rsidRPr="00BE1B05">
        <w:rPr>
          <w:rFonts w:eastAsia="Calibri"/>
          <w:szCs w:val="18"/>
          <w:lang w:val="en-US"/>
        </w:rPr>
        <w:t>.</w:t>
      </w:r>
      <w:proofErr w:type="gramEnd"/>
      <w:r w:rsidRPr="00BE1B05">
        <w:rPr>
          <w:rFonts w:eastAsia="Calibri"/>
          <w:szCs w:val="18"/>
          <w:lang w:val="en-US"/>
        </w:rPr>
        <w:t xml:space="preserve"> </w:t>
      </w:r>
      <w:r>
        <w:rPr>
          <w:rFonts w:eastAsia="Calibri"/>
          <w:szCs w:val="18"/>
        </w:rPr>
        <w:t xml:space="preserve">18; </w:t>
      </w:r>
      <w:r w:rsidRPr="00015D8C">
        <w:rPr>
          <w:szCs w:val="18"/>
        </w:rPr>
        <w:t xml:space="preserve">A/HRC/13/39/Add.6, </w:t>
      </w:r>
      <w:r>
        <w:rPr>
          <w:szCs w:val="18"/>
        </w:rPr>
        <w:t>cuadro pág.</w:t>
      </w:r>
      <w:r w:rsidRPr="00015D8C">
        <w:rPr>
          <w:szCs w:val="18"/>
        </w:rPr>
        <w:t xml:space="preserve"> 144; A/HRC/17/18, párr. 52</w:t>
      </w:r>
      <w:r>
        <w:rPr>
          <w:szCs w:val="18"/>
        </w:rPr>
        <w:t xml:space="preserve">; CAT/OP/PRY/2 y Corr.1, </w:t>
      </w:r>
      <w:proofErr w:type="spellStart"/>
      <w:r>
        <w:rPr>
          <w:szCs w:val="18"/>
        </w:rPr>
        <w:t>párrs</w:t>
      </w:r>
      <w:proofErr w:type="spellEnd"/>
      <w:r>
        <w:rPr>
          <w:szCs w:val="18"/>
        </w:rPr>
        <w:t>. 30 y 51; CAT/OP/PRY/2/Add.1, párr. 46.</w:t>
      </w:r>
    </w:p>
  </w:footnote>
  <w:footnote w:id="18">
    <w:p w:rsidR="00AA5AC2" w:rsidRPr="00AA5AC2" w:rsidRDefault="00AA5AC2" w:rsidP="00AA5AC2">
      <w:pPr>
        <w:pStyle w:val="FootnoteText"/>
        <w:jc w:val="both"/>
        <w:rPr>
          <w:lang w:val="es-PY"/>
        </w:rPr>
      </w:pPr>
      <w:r w:rsidRPr="00AA5AC2">
        <w:rPr>
          <w:rStyle w:val="FootnoteReference"/>
        </w:rPr>
        <w:footnoteRef/>
      </w:r>
      <w:r w:rsidRPr="00AA5AC2">
        <w:t xml:space="preserve"> Solo en el 2016 se r</w:t>
      </w:r>
      <w:r w:rsidRPr="00AA5AC2">
        <w:rPr>
          <w:rFonts w:ascii="Calibri" w:hAnsi="Calibri"/>
        </w:rPr>
        <w:t xml:space="preserve">efiere a las causas que recibieron las Unidades Nº 1 y 3. El informe de la Unidad 2 no detalla cuántas causas recibió por año. Los datos de los años anteriores se registraron a través de otras fuentes y si acumulan las causas ingresadas en las tres unidades. </w:t>
      </w:r>
    </w:p>
  </w:footnote>
  <w:footnote w:id="19">
    <w:p w:rsidR="00176492" w:rsidRPr="00AD07B4" w:rsidRDefault="00176492" w:rsidP="00AD07B4">
      <w:pPr>
        <w:spacing w:after="0" w:line="240" w:lineRule="auto"/>
        <w:jc w:val="both"/>
        <w:rPr>
          <w:sz w:val="20"/>
          <w:szCs w:val="20"/>
        </w:rPr>
      </w:pPr>
      <w:r w:rsidRPr="00AD07B4">
        <w:rPr>
          <w:rStyle w:val="FootnoteReference"/>
          <w:sz w:val="20"/>
          <w:szCs w:val="20"/>
        </w:rPr>
        <w:footnoteRef/>
      </w:r>
      <w:r w:rsidRPr="00AD07B4">
        <w:rPr>
          <w:sz w:val="20"/>
          <w:szCs w:val="20"/>
        </w:rPr>
        <w:t xml:space="preserve"> </w:t>
      </w:r>
      <w:proofErr w:type="spellStart"/>
      <w:r w:rsidRPr="00AD07B4">
        <w:rPr>
          <w:sz w:val="20"/>
          <w:szCs w:val="20"/>
        </w:rPr>
        <w:t>Doc</w:t>
      </w:r>
      <w:proofErr w:type="spellEnd"/>
      <w:r w:rsidRPr="00AD07B4">
        <w:rPr>
          <w:sz w:val="20"/>
          <w:szCs w:val="20"/>
        </w:rPr>
        <w:t xml:space="preserve"> ONU CCPR/C/PRY/CO/3, 29 de abril de 2013, párr. 23.</w:t>
      </w:r>
    </w:p>
  </w:footnote>
  <w:footnote w:id="20">
    <w:p w:rsidR="00176492" w:rsidRPr="00AD07B4" w:rsidRDefault="00176492">
      <w:pPr>
        <w:pStyle w:val="FootnoteText"/>
      </w:pPr>
      <w:r w:rsidRPr="00AD07B4">
        <w:rPr>
          <w:rStyle w:val="FootnoteReference"/>
        </w:rPr>
        <w:footnoteRef/>
      </w:r>
      <w:r w:rsidRPr="00AD07B4">
        <w:t xml:space="preserve"> </w:t>
      </w:r>
      <w:r w:rsidRPr="00AD07B4">
        <w:rPr>
          <w:color w:val="000000"/>
        </w:rPr>
        <w:t xml:space="preserve">Carpeta Fiscal: Causa Nº 1797/12 “Pánfilo Franco Toledo s/ HP c/ la vida – Homicidio Doloso”, ante la Unidad Penal N° 3 de </w:t>
      </w:r>
      <w:proofErr w:type="spellStart"/>
      <w:r w:rsidRPr="00AD07B4">
        <w:rPr>
          <w:color w:val="000000"/>
        </w:rPr>
        <w:t>Curuguaty</w:t>
      </w:r>
      <w:proofErr w:type="spellEnd"/>
      <w:r w:rsidRPr="00AD07B4">
        <w:rPr>
          <w:color w:val="000000"/>
        </w:rPr>
        <w:t>.</w:t>
      </w:r>
    </w:p>
  </w:footnote>
  <w:footnote w:id="21">
    <w:p w:rsidR="00176492" w:rsidRDefault="00176492">
      <w:pPr>
        <w:pStyle w:val="FootnoteText"/>
      </w:pPr>
      <w:r>
        <w:rPr>
          <w:rStyle w:val="FootnoteReference"/>
        </w:rPr>
        <w:footnoteRef/>
      </w:r>
      <w:r>
        <w:t xml:space="preserve"> Corte Suprema de Justicia. Expediente: </w:t>
      </w:r>
      <w:r w:rsidRPr="007325FE">
        <w:t xml:space="preserve">“Modesto Napoleón </w:t>
      </w:r>
      <w:proofErr w:type="spellStart"/>
      <w:r w:rsidRPr="007325FE">
        <w:t>Ortigoza</w:t>
      </w:r>
      <w:proofErr w:type="spellEnd"/>
      <w:r w:rsidRPr="007325FE">
        <w:t xml:space="preserve"> s/ supuesto homicidio del cadete </w:t>
      </w:r>
      <w:r>
        <w:t xml:space="preserve">Alberto </w:t>
      </w:r>
      <w:proofErr w:type="spellStart"/>
      <w:r>
        <w:t>Anastacio</w:t>
      </w:r>
      <w:proofErr w:type="spellEnd"/>
      <w:r>
        <w:t xml:space="preserve"> Benítez”, Acuerdo y Sentencia N° 585 del 31 de diciembre de 1996.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34ADD"/>
    <w:multiLevelType w:val="hybridMultilevel"/>
    <w:tmpl w:val="FFB0CE56"/>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2A466E73"/>
    <w:multiLevelType w:val="hybridMultilevel"/>
    <w:tmpl w:val="1EEED608"/>
    <w:lvl w:ilvl="0" w:tplc="3C0A0001">
      <w:start w:val="1"/>
      <w:numFmt w:val="bullet"/>
      <w:lvlText w:val=""/>
      <w:lvlJc w:val="left"/>
      <w:pPr>
        <w:ind w:left="720" w:hanging="360"/>
      </w:pPr>
      <w:rPr>
        <w:rFonts w:ascii="Symbol" w:hAnsi="Symbol" w:hint="default"/>
      </w:rPr>
    </w:lvl>
    <w:lvl w:ilvl="1" w:tplc="3C0A0003">
      <w:start w:val="1"/>
      <w:numFmt w:val="bullet"/>
      <w:lvlText w:val="o"/>
      <w:lvlJc w:val="left"/>
      <w:pPr>
        <w:ind w:left="1440" w:hanging="360"/>
      </w:pPr>
      <w:rPr>
        <w:rFonts w:ascii="Courier New" w:hAnsi="Courier New" w:cs="Courier New" w:hint="default"/>
      </w:rPr>
    </w:lvl>
    <w:lvl w:ilvl="2" w:tplc="3C0A0005">
      <w:start w:val="1"/>
      <w:numFmt w:val="bullet"/>
      <w:lvlText w:val=""/>
      <w:lvlJc w:val="left"/>
      <w:pPr>
        <w:ind w:left="2160" w:hanging="360"/>
      </w:pPr>
      <w:rPr>
        <w:rFonts w:ascii="Wingdings" w:hAnsi="Wingdings" w:hint="default"/>
      </w:rPr>
    </w:lvl>
    <w:lvl w:ilvl="3" w:tplc="3C0A0001">
      <w:start w:val="1"/>
      <w:numFmt w:val="bullet"/>
      <w:lvlText w:val=""/>
      <w:lvlJc w:val="left"/>
      <w:pPr>
        <w:ind w:left="2880" w:hanging="360"/>
      </w:pPr>
      <w:rPr>
        <w:rFonts w:ascii="Symbol" w:hAnsi="Symbol" w:hint="default"/>
      </w:rPr>
    </w:lvl>
    <w:lvl w:ilvl="4" w:tplc="3C0A0003">
      <w:start w:val="1"/>
      <w:numFmt w:val="bullet"/>
      <w:lvlText w:val="o"/>
      <w:lvlJc w:val="left"/>
      <w:pPr>
        <w:ind w:left="3600" w:hanging="360"/>
      </w:pPr>
      <w:rPr>
        <w:rFonts w:ascii="Courier New" w:hAnsi="Courier New" w:cs="Courier New" w:hint="default"/>
      </w:rPr>
    </w:lvl>
    <w:lvl w:ilvl="5" w:tplc="3C0A0005">
      <w:start w:val="1"/>
      <w:numFmt w:val="bullet"/>
      <w:lvlText w:val=""/>
      <w:lvlJc w:val="left"/>
      <w:pPr>
        <w:ind w:left="4320" w:hanging="360"/>
      </w:pPr>
      <w:rPr>
        <w:rFonts w:ascii="Wingdings" w:hAnsi="Wingdings" w:hint="default"/>
      </w:rPr>
    </w:lvl>
    <w:lvl w:ilvl="6" w:tplc="3C0A0001">
      <w:start w:val="1"/>
      <w:numFmt w:val="bullet"/>
      <w:lvlText w:val=""/>
      <w:lvlJc w:val="left"/>
      <w:pPr>
        <w:ind w:left="5040" w:hanging="360"/>
      </w:pPr>
      <w:rPr>
        <w:rFonts w:ascii="Symbol" w:hAnsi="Symbol" w:hint="default"/>
      </w:rPr>
    </w:lvl>
    <w:lvl w:ilvl="7" w:tplc="3C0A0003">
      <w:start w:val="1"/>
      <w:numFmt w:val="bullet"/>
      <w:lvlText w:val="o"/>
      <w:lvlJc w:val="left"/>
      <w:pPr>
        <w:ind w:left="5760" w:hanging="360"/>
      </w:pPr>
      <w:rPr>
        <w:rFonts w:ascii="Courier New" w:hAnsi="Courier New" w:cs="Courier New" w:hint="default"/>
      </w:rPr>
    </w:lvl>
    <w:lvl w:ilvl="8" w:tplc="3C0A0005">
      <w:start w:val="1"/>
      <w:numFmt w:val="bullet"/>
      <w:lvlText w:val=""/>
      <w:lvlJc w:val="left"/>
      <w:pPr>
        <w:ind w:left="6480" w:hanging="360"/>
      </w:pPr>
      <w:rPr>
        <w:rFonts w:ascii="Wingdings" w:hAnsi="Wingdings" w:hint="default"/>
      </w:rPr>
    </w:lvl>
  </w:abstractNum>
  <w:abstractNum w:abstractNumId="2">
    <w:nsid w:val="51DD3F47"/>
    <w:multiLevelType w:val="hybridMultilevel"/>
    <w:tmpl w:val="ABAA28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55CB0202"/>
    <w:multiLevelType w:val="hybridMultilevel"/>
    <w:tmpl w:val="F316387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5E85519C"/>
    <w:multiLevelType w:val="hybridMultilevel"/>
    <w:tmpl w:val="2D50DE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5F6147F5"/>
    <w:multiLevelType w:val="hybridMultilevel"/>
    <w:tmpl w:val="6E6E0F8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6A022218"/>
    <w:multiLevelType w:val="hybridMultilevel"/>
    <w:tmpl w:val="D898B73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6A3C4DE0"/>
    <w:multiLevelType w:val="hybridMultilevel"/>
    <w:tmpl w:val="86A83D8A"/>
    <w:lvl w:ilvl="0" w:tplc="D93C5E8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7B5C4657"/>
    <w:multiLevelType w:val="hybridMultilevel"/>
    <w:tmpl w:val="A01C00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
  </w:num>
  <w:num w:numId="2">
    <w:abstractNumId w:val="7"/>
  </w:num>
  <w:num w:numId="3">
    <w:abstractNumId w:val="8"/>
  </w:num>
  <w:num w:numId="4">
    <w:abstractNumId w:val="6"/>
  </w:num>
  <w:num w:numId="5">
    <w:abstractNumId w:val="1"/>
  </w:num>
  <w:num w:numId="6">
    <w:abstractNumId w:val="4"/>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D9F"/>
    <w:rsid w:val="0001133D"/>
    <w:rsid w:val="00012CB4"/>
    <w:rsid w:val="00020970"/>
    <w:rsid w:val="0002236B"/>
    <w:rsid w:val="00022768"/>
    <w:rsid w:val="00023255"/>
    <w:rsid w:val="00023A84"/>
    <w:rsid w:val="00024EEE"/>
    <w:rsid w:val="00030CD8"/>
    <w:rsid w:val="00034EA7"/>
    <w:rsid w:val="00037ACD"/>
    <w:rsid w:val="00037F92"/>
    <w:rsid w:val="0004012B"/>
    <w:rsid w:val="000447DC"/>
    <w:rsid w:val="00046504"/>
    <w:rsid w:val="00052138"/>
    <w:rsid w:val="000700C7"/>
    <w:rsid w:val="0007775C"/>
    <w:rsid w:val="00092155"/>
    <w:rsid w:val="00096FD8"/>
    <w:rsid w:val="000B7265"/>
    <w:rsid w:val="000C2DE8"/>
    <w:rsid w:val="000C3B56"/>
    <w:rsid w:val="000C4590"/>
    <w:rsid w:val="000D2C98"/>
    <w:rsid w:val="000D42C7"/>
    <w:rsid w:val="000D4365"/>
    <w:rsid w:val="000D58FD"/>
    <w:rsid w:val="000D75F2"/>
    <w:rsid w:val="000E17DA"/>
    <w:rsid w:val="000F123F"/>
    <w:rsid w:val="000F1AD0"/>
    <w:rsid w:val="000F38FF"/>
    <w:rsid w:val="000F75E3"/>
    <w:rsid w:val="00101E27"/>
    <w:rsid w:val="00101F7F"/>
    <w:rsid w:val="001041F2"/>
    <w:rsid w:val="001205D3"/>
    <w:rsid w:val="0012204E"/>
    <w:rsid w:val="00125A2D"/>
    <w:rsid w:val="00130A7E"/>
    <w:rsid w:val="00132EDA"/>
    <w:rsid w:val="00137AA7"/>
    <w:rsid w:val="001421B3"/>
    <w:rsid w:val="00144261"/>
    <w:rsid w:val="001446AB"/>
    <w:rsid w:val="00154AAF"/>
    <w:rsid w:val="001574DE"/>
    <w:rsid w:val="00160F81"/>
    <w:rsid w:val="0016263B"/>
    <w:rsid w:val="00163AED"/>
    <w:rsid w:val="00166133"/>
    <w:rsid w:val="00173017"/>
    <w:rsid w:val="00175358"/>
    <w:rsid w:val="00176296"/>
    <w:rsid w:val="00176492"/>
    <w:rsid w:val="00176746"/>
    <w:rsid w:val="001776DF"/>
    <w:rsid w:val="001806E2"/>
    <w:rsid w:val="00190763"/>
    <w:rsid w:val="00191D9F"/>
    <w:rsid w:val="00196F85"/>
    <w:rsid w:val="001A0EF6"/>
    <w:rsid w:val="001A1E09"/>
    <w:rsid w:val="001B3F02"/>
    <w:rsid w:val="001C0E2F"/>
    <w:rsid w:val="001C30BD"/>
    <w:rsid w:val="001C4C1D"/>
    <w:rsid w:val="001D3D18"/>
    <w:rsid w:val="001E1F52"/>
    <w:rsid w:val="001E1FC9"/>
    <w:rsid w:val="001E7430"/>
    <w:rsid w:val="001F7449"/>
    <w:rsid w:val="0020412B"/>
    <w:rsid w:val="00205AEA"/>
    <w:rsid w:val="00212AC3"/>
    <w:rsid w:val="0021513D"/>
    <w:rsid w:val="002221FB"/>
    <w:rsid w:val="002313A0"/>
    <w:rsid w:val="00233B5D"/>
    <w:rsid w:val="002351B7"/>
    <w:rsid w:val="002373CC"/>
    <w:rsid w:val="002435CE"/>
    <w:rsid w:val="00244ADC"/>
    <w:rsid w:val="00254091"/>
    <w:rsid w:val="00263D2B"/>
    <w:rsid w:val="002670F9"/>
    <w:rsid w:val="00271842"/>
    <w:rsid w:val="002736AF"/>
    <w:rsid w:val="00275CDD"/>
    <w:rsid w:val="00281198"/>
    <w:rsid w:val="00283F10"/>
    <w:rsid w:val="00284BEF"/>
    <w:rsid w:val="002925EC"/>
    <w:rsid w:val="002A260E"/>
    <w:rsid w:val="002A2E18"/>
    <w:rsid w:val="002B19FA"/>
    <w:rsid w:val="002C41B8"/>
    <w:rsid w:val="002C74D7"/>
    <w:rsid w:val="002D2BA9"/>
    <w:rsid w:val="002E0C9F"/>
    <w:rsid w:val="002F1AAA"/>
    <w:rsid w:val="002F4222"/>
    <w:rsid w:val="002F7745"/>
    <w:rsid w:val="0030078F"/>
    <w:rsid w:val="00301B7B"/>
    <w:rsid w:val="00312EFA"/>
    <w:rsid w:val="003176B1"/>
    <w:rsid w:val="00322C4A"/>
    <w:rsid w:val="00323226"/>
    <w:rsid w:val="00336DA7"/>
    <w:rsid w:val="00344131"/>
    <w:rsid w:val="003500CF"/>
    <w:rsid w:val="00353458"/>
    <w:rsid w:val="003556DF"/>
    <w:rsid w:val="0036422F"/>
    <w:rsid w:val="0036559A"/>
    <w:rsid w:val="003707F2"/>
    <w:rsid w:val="003724DA"/>
    <w:rsid w:val="003742C3"/>
    <w:rsid w:val="00376ADD"/>
    <w:rsid w:val="0038306A"/>
    <w:rsid w:val="0038486F"/>
    <w:rsid w:val="00385082"/>
    <w:rsid w:val="003879FB"/>
    <w:rsid w:val="00395185"/>
    <w:rsid w:val="00397EC3"/>
    <w:rsid w:val="003C6760"/>
    <w:rsid w:val="00405A53"/>
    <w:rsid w:val="0041438C"/>
    <w:rsid w:val="00420721"/>
    <w:rsid w:val="0042419E"/>
    <w:rsid w:val="00431735"/>
    <w:rsid w:val="0043352C"/>
    <w:rsid w:val="00434DAA"/>
    <w:rsid w:val="004350F7"/>
    <w:rsid w:val="00436F9E"/>
    <w:rsid w:val="00444A85"/>
    <w:rsid w:val="00450120"/>
    <w:rsid w:val="00454AD3"/>
    <w:rsid w:val="004557F1"/>
    <w:rsid w:val="00456E20"/>
    <w:rsid w:val="004611F5"/>
    <w:rsid w:val="0046351D"/>
    <w:rsid w:val="00466820"/>
    <w:rsid w:val="00476C2B"/>
    <w:rsid w:val="00484E32"/>
    <w:rsid w:val="004862A4"/>
    <w:rsid w:val="00486396"/>
    <w:rsid w:val="004937C8"/>
    <w:rsid w:val="0049575A"/>
    <w:rsid w:val="004A0754"/>
    <w:rsid w:val="004B662C"/>
    <w:rsid w:val="004C7543"/>
    <w:rsid w:val="004D2F00"/>
    <w:rsid w:val="004D6227"/>
    <w:rsid w:val="004E5451"/>
    <w:rsid w:val="00500FCF"/>
    <w:rsid w:val="0050109B"/>
    <w:rsid w:val="005014FF"/>
    <w:rsid w:val="00502C73"/>
    <w:rsid w:val="00507BCF"/>
    <w:rsid w:val="00510C28"/>
    <w:rsid w:val="00522C8D"/>
    <w:rsid w:val="00525479"/>
    <w:rsid w:val="00526252"/>
    <w:rsid w:val="00532A50"/>
    <w:rsid w:val="00542783"/>
    <w:rsid w:val="00552CFE"/>
    <w:rsid w:val="005571B9"/>
    <w:rsid w:val="00564203"/>
    <w:rsid w:val="00571A2C"/>
    <w:rsid w:val="0058136A"/>
    <w:rsid w:val="00592F76"/>
    <w:rsid w:val="00593228"/>
    <w:rsid w:val="005A0BC8"/>
    <w:rsid w:val="005A4047"/>
    <w:rsid w:val="005C4D36"/>
    <w:rsid w:val="005C58AD"/>
    <w:rsid w:val="005D0F87"/>
    <w:rsid w:val="005D72B9"/>
    <w:rsid w:val="005E07E7"/>
    <w:rsid w:val="005E4A11"/>
    <w:rsid w:val="005F1CEF"/>
    <w:rsid w:val="005F20DA"/>
    <w:rsid w:val="005F5BA0"/>
    <w:rsid w:val="00606482"/>
    <w:rsid w:val="00607453"/>
    <w:rsid w:val="006135E3"/>
    <w:rsid w:val="006140A8"/>
    <w:rsid w:val="00614FB9"/>
    <w:rsid w:val="006202F8"/>
    <w:rsid w:val="00623024"/>
    <w:rsid w:val="00623A79"/>
    <w:rsid w:val="00626EBB"/>
    <w:rsid w:val="006279A1"/>
    <w:rsid w:val="0063457C"/>
    <w:rsid w:val="00647012"/>
    <w:rsid w:val="00650ADC"/>
    <w:rsid w:val="00654FC1"/>
    <w:rsid w:val="006554A7"/>
    <w:rsid w:val="00656616"/>
    <w:rsid w:val="00662B13"/>
    <w:rsid w:val="006656F3"/>
    <w:rsid w:val="00666A06"/>
    <w:rsid w:val="00670F2D"/>
    <w:rsid w:val="00681ABC"/>
    <w:rsid w:val="00681B71"/>
    <w:rsid w:val="00683126"/>
    <w:rsid w:val="00686C67"/>
    <w:rsid w:val="00692538"/>
    <w:rsid w:val="006931E9"/>
    <w:rsid w:val="006940D4"/>
    <w:rsid w:val="006A356C"/>
    <w:rsid w:val="006A57C6"/>
    <w:rsid w:val="006A7083"/>
    <w:rsid w:val="006A78C3"/>
    <w:rsid w:val="006A78C4"/>
    <w:rsid w:val="006A7F5D"/>
    <w:rsid w:val="006B0AF5"/>
    <w:rsid w:val="006E45B5"/>
    <w:rsid w:val="006E5A3A"/>
    <w:rsid w:val="006E6060"/>
    <w:rsid w:val="006E63D9"/>
    <w:rsid w:val="006F03C7"/>
    <w:rsid w:val="006F07D4"/>
    <w:rsid w:val="006F1F17"/>
    <w:rsid w:val="006F6147"/>
    <w:rsid w:val="006F6755"/>
    <w:rsid w:val="00712F7C"/>
    <w:rsid w:val="00715594"/>
    <w:rsid w:val="00721C30"/>
    <w:rsid w:val="00725BAA"/>
    <w:rsid w:val="00731A28"/>
    <w:rsid w:val="007325FE"/>
    <w:rsid w:val="00734360"/>
    <w:rsid w:val="007356A9"/>
    <w:rsid w:val="007375AD"/>
    <w:rsid w:val="007552FD"/>
    <w:rsid w:val="00761369"/>
    <w:rsid w:val="007619BD"/>
    <w:rsid w:val="00762FD0"/>
    <w:rsid w:val="00774B93"/>
    <w:rsid w:val="007765E8"/>
    <w:rsid w:val="00777F0F"/>
    <w:rsid w:val="00784609"/>
    <w:rsid w:val="007936C9"/>
    <w:rsid w:val="007A2753"/>
    <w:rsid w:val="007A6FD6"/>
    <w:rsid w:val="007A72F8"/>
    <w:rsid w:val="007B1BE8"/>
    <w:rsid w:val="007B432B"/>
    <w:rsid w:val="007B7063"/>
    <w:rsid w:val="007C3392"/>
    <w:rsid w:val="007C5E39"/>
    <w:rsid w:val="007D0A22"/>
    <w:rsid w:val="007D4277"/>
    <w:rsid w:val="007E2E66"/>
    <w:rsid w:val="007E4AC0"/>
    <w:rsid w:val="007F2DD2"/>
    <w:rsid w:val="007F5B71"/>
    <w:rsid w:val="00803130"/>
    <w:rsid w:val="0081572C"/>
    <w:rsid w:val="008164CB"/>
    <w:rsid w:val="0083347E"/>
    <w:rsid w:val="00843EC9"/>
    <w:rsid w:val="00860BAF"/>
    <w:rsid w:val="008755C0"/>
    <w:rsid w:val="00882BE5"/>
    <w:rsid w:val="00887902"/>
    <w:rsid w:val="00890BAA"/>
    <w:rsid w:val="00891903"/>
    <w:rsid w:val="008924BF"/>
    <w:rsid w:val="00896B99"/>
    <w:rsid w:val="008A39F4"/>
    <w:rsid w:val="008A52F2"/>
    <w:rsid w:val="008B3564"/>
    <w:rsid w:val="008B4CC8"/>
    <w:rsid w:val="008B62EB"/>
    <w:rsid w:val="008C0141"/>
    <w:rsid w:val="008C36F1"/>
    <w:rsid w:val="008D3A47"/>
    <w:rsid w:val="008D3C45"/>
    <w:rsid w:val="008E1628"/>
    <w:rsid w:val="008E4BF7"/>
    <w:rsid w:val="008F0F10"/>
    <w:rsid w:val="008F575C"/>
    <w:rsid w:val="008F6E0E"/>
    <w:rsid w:val="008F706B"/>
    <w:rsid w:val="00905710"/>
    <w:rsid w:val="00912418"/>
    <w:rsid w:val="00912FD3"/>
    <w:rsid w:val="00915736"/>
    <w:rsid w:val="00916778"/>
    <w:rsid w:val="00923FCD"/>
    <w:rsid w:val="0092538E"/>
    <w:rsid w:val="00927156"/>
    <w:rsid w:val="009316AB"/>
    <w:rsid w:val="00932CA3"/>
    <w:rsid w:val="00936134"/>
    <w:rsid w:val="00941010"/>
    <w:rsid w:val="00961A94"/>
    <w:rsid w:val="00962A45"/>
    <w:rsid w:val="00965190"/>
    <w:rsid w:val="00972837"/>
    <w:rsid w:val="009805F5"/>
    <w:rsid w:val="00982BF5"/>
    <w:rsid w:val="00986C26"/>
    <w:rsid w:val="00991865"/>
    <w:rsid w:val="009B7DB1"/>
    <w:rsid w:val="009C128C"/>
    <w:rsid w:val="009C2D72"/>
    <w:rsid w:val="009C4A41"/>
    <w:rsid w:val="009D157E"/>
    <w:rsid w:val="009E7A83"/>
    <w:rsid w:val="009F07FA"/>
    <w:rsid w:val="009F6599"/>
    <w:rsid w:val="00A007CC"/>
    <w:rsid w:val="00A0524E"/>
    <w:rsid w:val="00A14A2D"/>
    <w:rsid w:val="00A17C56"/>
    <w:rsid w:val="00A22B46"/>
    <w:rsid w:val="00A26A3E"/>
    <w:rsid w:val="00A5161A"/>
    <w:rsid w:val="00A52144"/>
    <w:rsid w:val="00A52F60"/>
    <w:rsid w:val="00A61DB7"/>
    <w:rsid w:val="00A66624"/>
    <w:rsid w:val="00A70E48"/>
    <w:rsid w:val="00A927D1"/>
    <w:rsid w:val="00A94C2B"/>
    <w:rsid w:val="00AA5820"/>
    <w:rsid w:val="00AA5AC2"/>
    <w:rsid w:val="00AB3A13"/>
    <w:rsid w:val="00AC2ED2"/>
    <w:rsid w:val="00AD07B4"/>
    <w:rsid w:val="00AD4AFE"/>
    <w:rsid w:val="00AE6D8B"/>
    <w:rsid w:val="00AF072F"/>
    <w:rsid w:val="00AF0ED1"/>
    <w:rsid w:val="00AF2A12"/>
    <w:rsid w:val="00B01045"/>
    <w:rsid w:val="00B017EC"/>
    <w:rsid w:val="00B03CE9"/>
    <w:rsid w:val="00B05352"/>
    <w:rsid w:val="00B07112"/>
    <w:rsid w:val="00B11930"/>
    <w:rsid w:val="00B11EA3"/>
    <w:rsid w:val="00B33D9D"/>
    <w:rsid w:val="00B36503"/>
    <w:rsid w:val="00B43146"/>
    <w:rsid w:val="00B475DD"/>
    <w:rsid w:val="00B52A11"/>
    <w:rsid w:val="00B54257"/>
    <w:rsid w:val="00B55DE5"/>
    <w:rsid w:val="00B60FBA"/>
    <w:rsid w:val="00B616F8"/>
    <w:rsid w:val="00B65C00"/>
    <w:rsid w:val="00B70B59"/>
    <w:rsid w:val="00B81E6F"/>
    <w:rsid w:val="00B82829"/>
    <w:rsid w:val="00B8674F"/>
    <w:rsid w:val="00B87143"/>
    <w:rsid w:val="00B87DAA"/>
    <w:rsid w:val="00B94361"/>
    <w:rsid w:val="00B945C9"/>
    <w:rsid w:val="00B9780C"/>
    <w:rsid w:val="00BB4F40"/>
    <w:rsid w:val="00BC5368"/>
    <w:rsid w:val="00BC57DB"/>
    <w:rsid w:val="00BD2BA8"/>
    <w:rsid w:val="00BD5357"/>
    <w:rsid w:val="00BD7599"/>
    <w:rsid w:val="00BE092B"/>
    <w:rsid w:val="00BE1B05"/>
    <w:rsid w:val="00BE4E61"/>
    <w:rsid w:val="00BE5DA7"/>
    <w:rsid w:val="00BF4813"/>
    <w:rsid w:val="00BF5572"/>
    <w:rsid w:val="00C1215B"/>
    <w:rsid w:val="00C12994"/>
    <w:rsid w:val="00C20D1E"/>
    <w:rsid w:val="00C347BD"/>
    <w:rsid w:val="00C360A6"/>
    <w:rsid w:val="00C41C7D"/>
    <w:rsid w:val="00C52AD0"/>
    <w:rsid w:val="00C53D33"/>
    <w:rsid w:val="00C53F82"/>
    <w:rsid w:val="00C564B5"/>
    <w:rsid w:val="00C65A09"/>
    <w:rsid w:val="00C701BA"/>
    <w:rsid w:val="00C8046B"/>
    <w:rsid w:val="00C83852"/>
    <w:rsid w:val="00C83BE8"/>
    <w:rsid w:val="00CA2513"/>
    <w:rsid w:val="00CB0833"/>
    <w:rsid w:val="00CC6B24"/>
    <w:rsid w:val="00CC6DC6"/>
    <w:rsid w:val="00CE29B5"/>
    <w:rsid w:val="00CF0230"/>
    <w:rsid w:val="00CF0AB4"/>
    <w:rsid w:val="00CF5571"/>
    <w:rsid w:val="00CF6EC9"/>
    <w:rsid w:val="00CF77A1"/>
    <w:rsid w:val="00D107E1"/>
    <w:rsid w:val="00D11826"/>
    <w:rsid w:val="00D14CB1"/>
    <w:rsid w:val="00D20AFF"/>
    <w:rsid w:val="00D24F2C"/>
    <w:rsid w:val="00D26B02"/>
    <w:rsid w:val="00D44126"/>
    <w:rsid w:val="00D44652"/>
    <w:rsid w:val="00D5089B"/>
    <w:rsid w:val="00D529F8"/>
    <w:rsid w:val="00D554B7"/>
    <w:rsid w:val="00D5580E"/>
    <w:rsid w:val="00D57347"/>
    <w:rsid w:val="00D7750B"/>
    <w:rsid w:val="00D877EE"/>
    <w:rsid w:val="00D9632A"/>
    <w:rsid w:val="00D97A95"/>
    <w:rsid w:val="00DA0CC0"/>
    <w:rsid w:val="00DA25CF"/>
    <w:rsid w:val="00DB1354"/>
    <w:rsid w:val="00DB42C5"/>
    <w:rsid w:val="00DC08F7"/>
    <w:rsid w:val="00DC1ADD"/>
    <w:rsid w:val="00DC4CE7"/>
    <w:rsid w:val="00DC52DB"/>
    <w:rsid w:val="00DD2229"/>
    <w:rsid w:val="00DF3271"/>
    <w:rsid w:val="00DF3969"/>
    <w:rsid w:val="00DF411A"/>
    <w:rsid w:val="00DF6738"/>
    <w:rsid w:val="00DF6A79"/>
    <w:rsid w:val="00E1083C"/>
    <w:rsid w:val="00E1646E"/>
    <w:rsid w:val="00E327D0"/>
    <w:rsid w:val="00E40D8E"/>
    <w:rsid w:val="00E4289F"/>
    <w:rsid w:val="00E542F3"/>
    <w:rsid w:val="00E73B71"/>
    <w:rsid w:val="00E804E5"/>
    <w:rsid w:val="00E86A1B"/>
    <w:rsid w:val="00E915FC"/>
    <w:rsid w:val="00E9352C"/>
    <w:rsid w:val="00EA513E"/>
    <w:rsid w:val="00EB370A"/>
    <w:rsid w:val="00EB589B"/>
    <w:rsid w:val="00ED11D9"/>
    <w:rsid w:val="00EE08F7"/>
    <w:rsid w:val="00EE1338"/>
    <w:rsid w:val="00EE1C0C"/>
    <w:rsid w:val="00EE4B69"/>
    <w:rsid w:val="00EF4237"/>
    <w:rsid w:val="00EF6243"/>
    <w:rsid w:val="00F0416E"/>
    <w:rsid w:val="00F11838"/>
    <w:rsid w:val="00F2260D"/>
    <w:rsid w:val="00F47642"/>
    <w:rsid w:val="00F742B1"/>
    <w:rsid w:val="00F76381"/>
    <w:rsid w:val="00FA24EB"/>
    <w:rsid w:val="00FB3D97"/>
    <w:rsid w:val="00FB4F65"/>
    <w:rsid w:val="00FD0262"/>
    <w:rsid w:val="00FD0EBA"/>
    <w:rsid w:val="00FD2D92"/>
    <w:rsid w:val="00FD6855"/>
    <w:rsid w:val="00FD79F3"/>
    <w:rsid w:val="00FE7598"/>
    <w:rsid w:val="00FF2E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TextonotapieCar"/>
    <w:unhideWhenUsed/>
    <w:qFormat/>
    <w:rsid w:val="0041438C"/>
    <w:pPr>
      <w:spacing w:after="0" w:line="240" w:lineRule="auto"/>
    </w:pPr>
    <w:rPr>
      <w:sz w:val="20"/>
      <w:szCs w:val="20"/>
    </w:rPr>
  </w:style>
  <w:style w:type="character" w:customStyle="1" w:styleId="TextonotapieCar">
    <w:name w:val="Texto nota pie Car"/>
    <w:basedOn w:val="DefaultParagraphFont"/>
    <w:link w:val="FootnoteText"/>
    <w:rsid w:val="0041438C"/>
    <w:rPr>
      <w:sz w:val="20"/>
      <w:szCs w:val="20"/>
    </w:rPr>
  </w:style>
  <w:style w:type="character" w:styleId="FootnoteReference">
    <w:name w:val="footnote reference"/>
    <w:aliases w:val="4_G"/>
    <w:basedOn w:val="DefaultParagraphFont"/>
    <w:unhideWhenUsed/>
    <w:qFormat/>
    <w:rsid w:val="0041438C"/>
    <w:rPr>
      <w:vertAlign w:val="superscript"/>
    </w:rPr>
  </w:style>
  <w:style w:type="character" w:customStyle="1" w:styleId="SingleTxtGChar">
    <w:name w:val="_ Single Txt_G Char"/>
    <w:basedOn w:val="DefaultParagraphFont"/>
    <w:link w:val="SingleTxtG"/>
    <w:rsid w:val="0041438C"/>
    <w:rPr>
      <w:lang w:val="es-ES" w:eastAsia="es-ES"/>
    </w:rPr>
  </w:style>
  <w:style w:type="paragraph" w:customStyle="1" w:styleId="H56G">
    <w:name w:val="_ H_5/6_G"/>
    <w:basedOn w:val="Normal"/>
    <w:next w:val="Normal"/>
    <w:rsid w:val="0041438C"/>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sz w:val="20"/>
      <w:szCs w:val="20"/>
      <w:lang w:val="es-ES" w:eastAsia="es-ES"/>
    </w:rPr>
  </w:style>
  <w:style w:type="paragraph" w:customStyle="1" w:styleId="SingleTxtG">
    <w:name w:val="_ Single Txt_G"/>
    <w:basedOn w:val="Normal"/>
    <w:link w:val="SingleTxtGChar"/>
    <w:rsid w:val="0041438C"/>
    <w:pPr>
      <w:spacing w:after="120" w:line="240" w:lineRule="atLeast"/>
      <w:ind w:left="1134" w:right="1134"/>
      <w:jc w:val="both"/>
    </w:pPr>
    <w:rPr>
      <w:lang w:val="es-ES" w:eastAsia="es-ES"/>
    </w:rPr>
  </w:style>
  <w:style w:type="paragraph" w:customStyle="1" w:styleId="H1G">
    <w:name w:val="_ H_1_G"/>
    <w:basedOn w:val="Normal"/>
    <w:next w:val="Normal"/>
    <w:rsid w:val="00395185"/>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s-ES" w:eastAsia="es-ES"/>
    </w:rPr>
  </w:style>
  <w:style w:type="table" w:styleId="TableGrid">
    <w:name w:val="Table Grid"/>
    <w:basedOn w:val="TableNormal"/>
    <w:uiPriority w:val="59"/>
    <w:rsid w:val="00905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D11D9"/>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ListParagraph">
    <w:name w:val="List Paragraph"/>
    <w:basedOn w:val="Normal"/>
    <w:uiPriority w:val="34"/>
    <w:qFormat/>
    <w:rsid w:val="00F0416E"/>
    <w:pPr>
      <w:ind w:left="720"/>
      <w:contextualSpacing/>
    </w:pPr>
  </w:style>
  <w:style w:type="paragraph" w:customStyle="1" w:styleId="H23G">
    <w:name w:val="_ H_2/3_G"/>
    <w:basedOn w:val="Normal"/>
    <w:next w:val="Normal"/>
    <w:rsid w:val="001041F2"/>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paragraph" w:styleId="PlainText">
    <w:name w:val="Plain Text"/>
    <w:basedOn w:val="Normal"/>
    <w:link w:val="PlainTextChar"/>
    <w:uiPriority w:val="99"/>
    <w:unhideWhenUsed/>
    <w:rsid w:val="00E542F3"/>
    <w:pPr>
      <w:autoSpaceDE w:val="0"/>
      <w:autoSpaceDN w:val="0"/>
      <w:adjustRightInd w:val="0"/>
      <w:spacing w:after="0" w:line="240" w:lineRule="auto"/>
      <w:jc w:val="both"/>
    </w:pPr>
    <w:rPr>
      <w:rFonts w:ascii="Consolas" w:eastAsia="Calibri" w:hAnsi="Consolas" w:cs="Consolas"/>
      <w:sz w:val="21"/>
      <w:szCs w:val="21"/>
      <w:lang w:val="es-PY"/>
    </w:rPr>
  </w:style>
  <w:style w:type="character" w:customStyle="1" w:styleId="PlainTextChar">
    <w:name w:val="Plain Text Char"/>
    <w:basedOn w:val="DefaultParagraphFont"/>
    <w:link w:val="PlainText"/>
    <w:uiPriority w:val="99"/>
    <w:rsid w:val="00E542F3"/>
    <w:rPr>
      <w:rFonts w:ascii="Consolas" w:eastAsia="Calibri" w:hAnsi="Consolas" w:cs="Consolas"/>
      <w:sz w:val="21"/>
      <w:szCs w:val="21"/>
      <w:lang w:val="es-PY"/>
    </w:rPr>
  </w:style>
  <w:style w:type="character" w:styleId="Hyperlink">
    <w:name w:val="Hyperlink"/>
    <w:basedOn w:val="DefaultParagraphFont"/>
    <w:uiPriority w:val="99"/>
    <w:unhideWhenUsed/>
    <w:rsid w:val="00B01045"/>
    <w:rPr>
      <w:color w:val="0000FF" w:themeColor="hyperlink"/>
      <w:u w:val="single"/>
    </w:rPr>
  </w:style>
  <w:style w:type="character" w:customStyle="1" w:styleId="NoSpacingChar">
    <w:name w:val="No Spacing Char"/>
    <w:basedOn w:val="DefaultParagraphFont"/>
    <w:link w:val="NoSpacing"/>
    <w:uiPriority w:val="1"/>
    <w:locked/>
    <w:rsid w:val="00965190"/>
    <w:rPr>
      <w:rFonts w:asciiTheme="majorHAnsi" w:eastAsiaTheme="majorEastAsia" w:hAnsiTheme="majorHAnsi" w:cstheme="majorBidi"/>
      <w:lang w:eastAsia="es-PY"/>
    </w:rPr>
  </w:style>
  <w:style w:type="paragraph" w:styleId="NoSpacing">
    <w:name w:val="No Spacing"/>
    <w:basedOn w:val="Normal"/>
    <w:link w:val="NoSpacingChar"/>
    <w:uiPriority w:val="1"/>
    <w:qFormat/>
    <w:rsid w:val="00965190"/>
    <w:pPr>
      <w:spacing w:after="0" w:line="240" w:lineRule="auto"/>
    </w:pPr>
    <w:rPr>
      <w:rFonts w:asciiTheme="majorHAnsi" w:eastAsiaTheme="majorEastAsia" w:hAnsiTheme="majorHAnsi" w:cstheme="majorBidi"/>
      <w:lang w:eastAsia="es-PY"/>
    </w:rPr>
  </w:style>
  <w:style w:type="paragraph" w:customStyle="1" w:styleId="info">
    <w:name w:val="info"/>
    <w:basedOn w:val="Normal"/>
    <w:rsid w:val="002A2E18"/>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HTMLCite">
    <w:name w:val="HTML Cite"/>
    <w:basedOn w:val="DefaultParagraphFont"/>
    <w:uiPriority w:val="99"/>
    <w:semiHidden/>
    <w:unhideWhenUsed/>
    <w:rsid w:val="00456E20"/>
    <w:rPr>
      <w:i/>
      <w:iCs/>
    </w:rPr>
  </w:style>
  <w:style w:type="paragraph" w:styleId="NormalWeb">
    <w:name w:val="Normal (Web)"/>
    <w:basedOn w:val="Normal"/>
    <w:uiPriority w:val="99"/>
    <w:unhideWhenUsed/>
    <w:rsid w:val="002C41B8"/>
    <w:pPr>
      <w:spacing w:before="100" w:beforeAutospacing="1" w:after="100" w:afterAutospacing="1" w:line="240" w:lineRule="auto"/>
    </w:pPr>
    <w:rPr>
      <w:rFonts w:ascii="Times New Roman" w:eastAsia="Times New Roman" w:hAnsi="Times New Roman" w:cs="Times New Roman"/>
      <w:i/>
      <w:color w:val="000000"/>
      <w:lang w:val="es-PY" w:eastAsia="es-PY"/>
    </w:rPr>
  </w:style>
  <w:style w:type="paragraph" w:styleId="BalloonText">
    <w:name w:val="Balloon Text"/>
    <w:basedOn w:val="Normal"/>
    <w:link w:val="BalloonTextChar"/>
    <w:uiPriority w:val="99"/>
    <w:semiHidden/>
    <w:unhideWhenUsed/>
    <w:rsid w:val="002C41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41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TextonotapieCar"/>
    <w:unhideWhenUsed/>
    <w:qFormat/>
    <w:rsid w:val="0041438C"/>
    <w:pPr>
      <w:spacing w:after="0" w:line="240" w:lineRule="auto"/>
    </w:pPr>
    <w:rPr>
      <w:sz w:val="20"/>
      <w:szCs w:val="20"/>
    </w:rPr>
  </w:style>
  <w:style w:type="character" w:customStyle="1" w:styleId="TextonotapieCar">
    <w:name w:val="Texto nota pie Car"/>
    <w:basedOn w:val="DefaultParagraphFont"/>
    <w:link w:val="FootnoteText"/>
    <w:rsid w:val="0041438C"/>
    <w:rPr>
      <w:sz w:val="20"/>
      <w:szCs w:val="20"/>
    </w:rPr>
  </w:style>
  <w:style w:type="character" w:styleId="FootnoteReference">
    <w:name w:val="footnote reference"/>
    <w:aliases w:val="4_G"/>
    <w:basedOn w:val="DefaultParagraphFont"/>
    <w:unhideWhenUsed/>
    <w:qFormat/>
    <w:rsid w:val="0041438C"/>
    <w:rPr>
      <w:vertAlign w:val="superscript"/>
    </w:rPr>
  </w:style>
  <w:style w:type="character" w:customStyle="1" w:styleId="SingleTxtGChar">
    <w:name w:val="_ Single Txt_G Char"/>
    <w:basedOn w:val="DefaultParagraphFont"/>
    <w:link w:val="SingleTxtG"/>
    <w:rsid w:val="0041438C"/>
    <w:rPr>
      <w:lang w:val="es-ES" w:eastAsia="es-ES"/>
    </w:rPr>
  </w:style>
  <w:style w:type="paragraph" w:customStyle="1" w:styleId="H56G">
    <w:name w:val="_ H_5/6_G"/>
    <w:basedOn w:val="Normal"/>
    <w:next w:val="Normal"/>
    <w:rsid w:val="0041438C"/>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sz w:val="20"/>
      <w:szCs w:val="20"/>
      <w:lang w:val="es-ES" w:eastAsia="es-ES"/>
    </w:rPr>
  </w:style>
  <w:style w:type="paragraph" w:customStyle="1" w:styleId="SingleTxtG">
    <w:name w:val="_ Single Txt_G"/>
    <w:basedOn w:val="Normal"/>
    <w:link w:val="SingleTxtGChar"/>
    <w:rsid w:val="0041438C"/>
    <w:pPr>
      <w:spacing w:after="120" w:line="240" w:lineRule="atLeast"/>
      <w:ind w:left="1134" w:right="1134"/>
      <w:jc w:val="both"/>
    </w:pPr>
    <w:rPr>
      <w:lang w:val="es-ES" w:eastAsia="es-ES"/>
    </w:rPr>
  </w:style>
  <w:style w:type="paragraph" w:customStyle="1" w:styleId="H1G">
    <w:name w:val="_ H_1_G"/>
    <w:basedOn w:val="Normal"/>
    <w:next w:val="Normal"/>
    <w:rsid w:val="00395185"/>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s-ES" w:eastAsia="es-ES"/>
    </w:rPr>
  </w:style>
  <w:style w:type="table" w:styleId="TableGrid">
    <w:name w:val="Table Grid"/>
    <w:basedOn w:val="TableNormal"/>
    <w:uiPriority w:val="59"/>
    <w:rsid w:val="00905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D11D9"/>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ListParagraph">
    <w:name w:val="List Paragraph"/>
    <w:basedOn w:val="Normal"/>
    <w:uiPriority w:val="34"/>
    <w:qFormat/>
    <w:rsid w:val="00F0416E"/>
    <w:pPr>
      <w:ind w:left="720"/>
      <w:contextualSpacing/>
    </w:pPr>
  </w:style>
  <w:style w:type="paragraph" w:customStyle="1" w:styleId="H23G">
    <w:name w:val="_ H_2/3_G"/>
    <w:basedOn w:val="Normal"/>
    <w:next w:val="Normal"/>
    <w:rsid w:val="001041F2"/>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paragraph" w:styleId="PlainText">
    <w:name w:val="Plain Text"/>
    <w:basedOn w:val="Normal"/>
    <w:link w:val="PlainTextChar"/>
    <w:uiPriority w:val="99"/>
    <w:unhideWhenUsed/>
    <w:rsid w:val="00E542F3"/>
    <w:pPr>
      <w:autoSpaceDE w:val="0"/>
      <w:autoSpaceDN w:val="0"/>
      <w:adjustRightInd w:val="0"/>
      <w:spacing w:after="0" w:line="240" w:lineRule="auto"/>
      <w:jc w:val="both"/>
    </w:pPr>
    <w:rPr>
      <w:rFonts w:ascii="Consolas" w:eastAsia="Calibri" w:hAnsi="Consolas" w:cs="Consolas"/>
      <w:sz w:val="21"/>
      <w:szCs w:val="21"/>
      <w:lang w:val="es-PY"/>
    </w:rPr>
  </w:style>
  <w:style w:type="character" w:customStyle="1" w:styleId="PlainTextChar">
    <w:name w:val="Plain Text Char"/>
    <w:basedOn w:val="DefaultParagraphFont"/>
    <w:link w:val="PlainText"/>
    <w:uiPriority w:val="99"/>
    <w:rsid w:val="00E542F3"/>
    <w:rPr>
      <w:rFonts w:ascii="Consolas" w:eastAsia="Calibri" w:hAnsi="Consolas" w:cs="Consolas"/>
      <w:sz w:val="21"/>
      <w:szCs w:val="21"/>
      <w:lang w:val="es-PY"/>
    </w:rPr>
  </w:style>
  <w:style w:type="character" w:styleId="Hyperlink">
    <w:name w:val="Hyperlink"/>
    <w:basedOn w:val="DefaultParagraphFont"/>
    <w:uiPriority w:val="99"/>
    <w:unhideWhenUsed/>
    <w:rsid w:val="00B01045"/>
    <w:rPr>
      <w:color w:val="0000FF" w:themeColor="hyperlink"/>
      <w:u w:val="single"/>
    </w:rPr>
  </w:style>
  <w:style w:type="character" w:customStyle="1" w:styleId="NoSpacingChar">
    <w:name w:val="No Spacing Char"/>
    <w:basedOn w:val="DefaultParagraphFont"/>
    <w:link w:val="NoSpacing"/>
    <w:uiPriority w:val="1"/>
    <w:locked/>
    <w:rsid w:val="00965190"/>
    <w:rPr>
      <w:rFonts w:asciiTheme="majorHAnsi" w:eastAsiaTheme="majorEastAsia" w:hAnsiTheme="majorHAnsi" w:cstheme="majorBidi"/>
      <w:lang w:eastAsia="es-PY"/>
    </w:rPr>
  </w:style>
  <w:style w:type="paragraph" w:styleId="NoSpacing">
    <w:name w:val="No Spacing"/>
    <w:basedOn w:val="Normal"/>
    <w:link w:val="NoSpacingChar"/>
    <w:uiPriority w:val="1"/>
    <w:qFormat/>
    <w:rsid w:val="00965190"/>
    <w:pPr>
      <w:spacing w:after="0" w:line="240" w:lineRule="auto"/>
    </w:pPr>
    <w:rPr>
      <w:rFonts w:asciiTheme="majorHAnsi" w:eastAsiaTheme="majorEastAsia" w:hAnsiTheme="majorHAnsi" w:cstheme="majorBidi"/>
      <w:lang w:eastAsia="es-PY"/>
    </w:rPr>
  </w:style>
  <w:style w:type="paragraph" w:customStyle="1" w:styleId="info">
    <w:name w:val="info"/>
    <w:basedOn w:val="Normal"/>
    <w:rsid w:val="002A2E18"/>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HTMLCite">
    <w:name w:val="HTML Cite"/>
    <w:basedOn w:val="DefaultParagraphFont"/>
    <w:uiPriority w:val="99"/>
    <w:semiHidden/>
    <w:unhideWhenUsed/>
    <w:rsid w:val="00456E20"/>
    <w:rPr>
      <w:i/>
      <w:iCs/>
    </w:rPr>
  </w:style>
  <w:style w:type="paragraph" w:styleId="NormalWeb">
    <w:name w:val="Normal (Web)"/>
    <w:basedOn w:val="Normal"/>
    <w:uiPriority w:val="99"/>
    <w:unhideWhenUsed/>
    <w:rsid w:val="002C41B8"/>
    <w:pPr>
      <w:spacing w:before="100" w:beforeAutospacing="1" w:after="100" w:afterAutospacing="1" w:line="240" w:lineRule="auto"/>
    </w:pPr>
    <w:rPr>
      <w:rFonts w:ascii="Times New Roman" w:eastAsia="Times New Roman" w:hAnsi="Times New Roman" w:cs="Times New Roman"/>
      <w:i/>
      <w:color w:val="000000"/>
      <w:lang w:val="es-PY" w:eastAsia="es-PY"/>
    </w:rPr>
  </w:style>
  <w:style w:type="paragraph" w:styleId="BalloonText">
    <w:name w:val="Balloon Text"/>
    <w:basedOn w:val="Normal"/>
    <w:link w:val="BalloonTextChar"/>
    <w:uiPriority w:val="99"/>
    <w:semiHidden/>
    <w:unhideWhenUsed/>
    <w:rsid w:val="002C41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41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42108">
      <w:bodyDiv w:val="1"/>
      <w:marLeft w:val="0"/>
      <w:marRight w:val="0"/>
      <w:marTop w:val="0"/>
      <w:marBottom w:val="0"/>
      <w:divBdr>
        <w:top w:val="none" w:sz="0" w:space="0" w:color="auto"/>
        <w:left w:val="none" w:sz="0" w:space="0" w:color="auto"/>
        <w:bottom w:val="none" w:sz="0" w:space="0" w:color="auto"/>
        <w:right w:val="none" w:sz="0" w:space="0" w:color="auto"/>
      </w:divBdr>
    </w:div>
    <w:div w:id="107361164">
      <w:bodyDiv w:val="1"/>
      <w:marLeft w:val="0"/>
      <w:marRight w:val="0"/>
      <w:marTop w:val="0"/>
      <w:marBottom w:val="0"/>
      <w:divBdr>
        <w:top w:val="none" w:sz="0" w:space="0" w:color="auto"/>
        <w:left w:val="none" w:sz="0" w:space="0" w:color="auto"/>
        <w:bottom w:val="none" w:sz="0" w:space="0" w:color="auto"/>
        <w:right w:val="none" w:sz="0" w:space="0" w:color="auto"/>
      </w:divBdr>
    </w:div>
    <w:div w:id="208883157">
      <w:bodyDiv w:val="1"/>
      <w:marLeft w:val="0"/>
      <w:marRight w:val="0"/>
      <w:marTop w:val="0"/>
      <w:marBottom w:val="0"/>
      <w:divBdr>
        <w:top w:val="none" w:sz="0" w:space="0" w:color="auto"/>
        <w:left w:val="none" w:sz="0" w:space="0" w:color="auto"/>
        <w:bottom w:val="none" w:sz="0" w:space="0" w:color="auto"/>
        <w:right w:val="none" w:sz="0" w:space="0" w:color="auto"/>
      </w:divBdr>
    </w:div>
    <w:div w:id="211574733">
      <w:bodyDiv w:val="1"/>
      <w:marLeft w:val="0"/>
      <w:marRight w:val="0"/>
      <w:marTop w:val="0"/>
      <w:marBottom w:val="0"/>
      <w:divBdr>
        <w:top w:val="none" w:sz="0" w:space="0" w:color="auto"/>
        <w:left w:val="none" w:sz="0" w:space="0" w:color="auto"/>
        <w:bottom w:val="none" w:sz="0" w:space="0" w:color="auto"/>
        <w:right w:val="none" w:sz="0" w:space="0" w:color="auto"/>
      </w:divBdr>
    </w:div>
    <w:div w:id="261306127">
      <w:bodyDiv w:val="1"/>
      <w:marLeft w:val="0"/>
      <w:marRight w:val="0"/>
      <w:marTop w:val="0"/>
      <w:marBottom w:val="0"/>
      <w:divBdr>
        <w:top w:val="none" w:sz="0" w:space="0" w:color="auto"/>
        <w:left w:val="none" w:sz="0" w:space="0" w:color="auto"/>
        <w:bottom w:val="none" w:sz="0" w:space="0" w:color="auto"/>
        <w:right w:val="none" w:sz="0" w:space="0" w:color="auto"/>
      </w:divBdr>
    </w:div>
    <w:div w:id="950672052">
      <w:bodyDiv w:val="1"/>
      <w:marLeft w:val="0"/>
      <w:marRight w:val="0"/>
      <w:marTop w:val="0"/>
      <w:marBottom w:val="0"/>
      <w:divBdr>
        <w:top w:val="none" w:sz="0" w:space="0" w:color="auto"/>
        <w:left w:val="none" w:sz="0" w:space="0" w:color="auto"/>
        <w:bottom w:val="none" w:sz="0" w:space="0" w:color="auto"/>
        <w:right w:val="none" w:sz="0" w:space="0" w:color="auto"/>
      </w:divBdr>
    </w:div>
    <w:div w:id="1011252432">
      <w:bodyDiv w:val="1"/>
      <w:marLeft w:val="0"/>
      <w:marRight w:val="0"/>
      <w:marTop w:val="0"/>
      <w:marBottom w:val="0"/>
      <w:divBdr>
        <w:top w:val="none" w:sz="0" w:space="0" w:color="auto"/>
        <w:left w:val="none" w:sz="0" w:space="0" w:color="auto"/>
        <w:bottom w:val="none" w:sz="0" w:space="0" w:color="auto"/>
        <w:right w:val="none" w:sz="0" w:space="0" w:color="auto"/>
      </w:divBdr>
    </w:div>
    <w:div w:id="1288272892">
      <w:bodyDiv w:val="1"/>
      <w:marLeft w:val="0"/>
      <w:marRight w:val="0"/>
      <w:marTop w:val="0"/>
      <w:marBottom w:val="0"/>
      <w:divBdr>
        <w:top w:val="none" w:sz="0" w:space="0" w:color="auto"/>
        <w:left w:val="none" w:sz="0" w:space="0" w:color="auto"/>
        <w:bottom w:val="none" w:sz="0" w:space="0" w:color="auto"/>
        <w:right w:val="none" w:sz="0" w:space="0" w:color="auto"/>
      </w:divBdr>
    </w:div>
    <w:div w:id="1333610321">
      <w:bodyDiv w:val="1"/>
      <w:marLeft w:val="0"/>
      <w:marRight w:val="0"/>
      <w:marTop w:val="0"/>
      <w:marBottom w:val="0"/>
      <w:divBdr>
        <w:top w:val="none" w:sz="0" w:space="0" w:color="auto"/>
        <w:left w:val="none" w:sz="0" w:space="0" w:color="auto"/>
        <w:bottom w:val="none" w:sz="0" w:space="0" w:color="auto"/>
        <w:right w:val="none" w:sz="0" w:space="0" w:color="auto"/>
      </w:divBdr>
    </w:div>
    <w:div w:id="1522818249">
      <w:bodyDiv w:val="1"/>
      <w:marLeft w:val="0"/>
      <w:marRight w:val="0"/>
      <w:marTop w:val="0"/>
      <w:marBottom w:val="0"/>
      <w:divBdr>
        <w:top w:val="none" w:sz="0" w:space="0" w:color="auto"/>
        <w:left w:val="none" w:sz="0" w:space="0" w:color="auto"/>
        <w:bottom w:val="none" w:sz="0" w:space="0" w:color="auto"/>
        <w:right w:val="none" w:sz="0" w:space="0" w:color="auto"/>
      </w:divBdr>
    </w:div>
    <w:div w:id="1604922033">
      <w:bodyDiv w:val="1"/>
      <w:marLeft w:val="0"/>
      <w:marRight w:val="0"/>
      <w:marTop w:val="0"/>
      <w:marBottom w:val="0"/>
      <w:divBdr>
        <w:top w:val="none" w:sz="0" w:space="0" w:color="auto"/>
        <w:left w:val="none" w:sz="0" w:space="0" w:color="auto"/>
        <w:bottom w:val="none" w:sz="0" w:space="0" w:color="auto"/>
        <w:right w:val="none" w:sz="0" w:space="0" w:color="auto"/>
      </w:divBdr>
    </w:div>
    <w:div w:id="1606306601">
      <w:bodyDiv w:val="1"/>
      <w:marLeft w:val="0"/>
      <w:marRight w:val="0"/>
      <w:marTop w:val="0"/>
      <w:marBottom w:val="0"/>
      <w:divBdr>
        <w:top w:val="none" w:sz="0" w:space="0" w:color="auto"/>
        <w:left w:val="none" w:sz="0" w:space="0" w:color="auto"/>
        <w:bottom w:val="none" w:sz="0" w:space="0" w:color="auto"/>
        <w:right w:val="none" w:sz="0" w:space="0" w:color="auto"/>
      </w:divBdr>
    </w:div>
    <w:div w:id="1760901547">
      <w:bodyDiv w:val="1"/>
      <w:marLeft w:val="0"/>
      <w:marRight w:val="0"/>
      <w:marTop w:val="0"/>
      <w:marBottom w:val="0"/>
      <w:divBdr>
        <w:top w:val="none" w:sz="0" w:space="0" w:color="auto"/>
        <w:left w:val="none" w:sz="0" w:space="0" w:color="auto"/>
        <w:bottom w:val="none" w:sz="0" w:space="0" w:color="auto"/>
        <w:right w:val="none" w:sz="0" w:space="0" w:color="auto"/>
      </w:divBdr>
    </w:div>
    <w:div w:id="1802796448">
      <w:bodyDiv w:val="1"/>
      <w:marLeft w:val="0"/>
      <w:marRight w:val="0"/>
      <w:marTop w:val="0"/>
      <w:marBottom w:val="0"/>
      <w:divBdr>
        <w:top w:val="none" w:sz="0" w:space="0" w:color="auto"/>
        <w:left w:val="none" w:sz="0" w:space="0" w:color="auto"/>
        <w:bottom w:val="none" w:sz="0" w:space="0" w:color="auto"/>
        <w:right w:val="none" w:sz="0" w:space="0" w:color="auto"/>
      </w:divBdr>
    </w:div>
    <w:div w:id="1803426073">
      <w:bodyDiv w:val="1"/>
      <w:marLeft w:val="0"/>
      <w:marRight w:val="0"/>
      <w:marTop w:val="0"/>
      <w:marBottom w:val="0"/>
      <w:divBdr>
        <w:top w:val="none" w:sz="0" w:space="0" w:color="auto"/>
        <w:left w:val="none" w:sz="0" w:space="0" w:color="auto"/>
        <w:bottom w:val="none" w:sz="0" w:space="0" w:color="auto"/>
        <w:right w:val="none" w:sz="0" w:space="0" w:color="auto"/>
      </w:divBdr>
    </w:div>
    <w:div w:id="1997997504">
      <w:bodyDiv w:val="1"/>
      <w:marLeft w:val="0"/>
      <w:marRight w:val="0"/>
      <w:marTop w:val="0"/>
      <w:marBottom w:val="0"/>
      <w:divBdr>
        <w:top w:val="none" w:sz="0" w:space="0" w:color="auto"/>
        <w:left w:val="none" w:sz="0" w:space="0" w:color="auto"/>
        <w:bottom w:val="none" w:sz="0" w:space="0" w:color="auto"/>
        <w:right w:val="none" w:sz="0" w:space="0" w:color="auto"/>
      </w:divBdr>
    </w:div>
    <w:div w:id="2102682890">
      <w:bodyDiv w:val="1"/>
      <w:marLeft w:val="0"/>
      <w:marRight w:val="0"/>
      <w:marTop w:val="0"/>
      <w:marBottom w:val="0"/>
      <w:divBdr>
        <w:top w:val="none" w:sz="0" w:space="0" w:color="auto"/>
        <w:left w:val="none" w:sz="0" w:space="0" w:color="auto"/>
        <w:bottom w:val="none" w:sz="0" w:space="0" w:color="auto"/>
        <w:right w:val="none" w:sz="0" w:space="0" w:color="auto"/>
      </w:divBdr>
    </w:div>
    <w:div w:id="2117403833">
      <w:bodyDiv w:val="1"/>
      <w:marLeft w:val="0"/>
      <w:marRight w:val="0"/>
      <w:marTop w:val="0"/>
      <w:marBottom w:val="0"/>
      <w:divBdr>
        <w:top w:val="none" w:sz="0" w:space="0" w:color="auto"/>
        <w:left w:val="none" w:sz="0" w:space="0" w:color="auto"/>
        <w:bottom w:val="none" w:sz="0" w:space="0" w:color="auto"/>
        <w:right w:val="none" w:sz="0" w:space="0" w:color="auto"/>
      </w:divBdr>
    </w:div>
    <w:div w:id="214650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dp.gov.py/application/files/4114/6305/8548/Informe_de_Gestion_2015.pdf"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dp.gov.py/application/files/4114/6305/8548/Informe_de_Gestion_2015.pdf"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mnp.gov.py"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cpt.coe.int/en/annual/rep-02.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200ED4-0D5F-4491-ACD4-EE40978FBD6E}"/>
</file>

<file path=customXml/itemProps2.xml><?xml version="1.0" encoding="utf-8"?>
<ds:datastoreItem xmlns:ds="http://schemas.openxmlformats.org/officeDocument/2006/customXml" ds:itemID="{45186DA7-577E-4F72-89A6-48CAA7956F94}"/>
</file>

<file path=customXml/itemProps3.xml><?xml version="1.0" encoding="utf-8"?>
<ds:datastoreItem xmlns:ds="http://schemas.openxmlformats.org/officeDocument/2006/customXml" ds:itemID="{CEE81A1C-10F7-47E6-9047-0B79BE213D02}"/>
</file>

<file path=customXml/itemProps4.xml><?xml version="1.0" encoding="utf-8"?>
<ds:datastoreItem xmlns:ds="http://schemas.openxmlformats.org/officeDocument/2006/customXml" ds:itemID="{528B4373-E5B9-4500-82F5-731D1F63680E}"/>
</file>

<file path=docProps/app.xml><?xml version="1.0" encoding="utf-8"?>
<Properties xmlns="http://schemas.openxmlformats.org/officeDocument/2006/extended-properties" xmlns:vt="http://schemas.openxmlformats.org/officeDocument/2006/docPropsVTypes">
  <Template>Normal.dotm</Template>
  <TotalTime>1</TotalTime>
  <Pages>46</Pages>
  <Words>20218</Words>
  <Characters>111200</Characters>
  <Application>Microsoft Office Word</Application>
  <DocSecurity>0</DocSecurity>
  <Lines>926</Lines>
  <Paragraphs>262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131156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Valiente</dc:creator>
  <cp:lastModifiedBy>Liliana Trillo Diaz</cp:lastModifiedBy>
  <cp:revision>2</cp:revision>
  <dcterms:created xsi:type="dcterms:W3CDTF">2017-06-28T14:44:00Z</dcterms:created>
  <dcterms:modified xsi:type="dcterms:W3CDTF">2017-06-28T14:44:00Z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