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line="360" w:lineRule="auto"/>
        <w:rPr/>
      </w:pPr>
      <w:r w:rsidDel="00000000" w:rsidR="00000000" w:rsidRPr="00000000">
        <w:rPr/>
        <w:drawing>
          <wp:anchor allowOverlap="1" behindDoc="0" distB="0" distT="0" distL="114300" distR="114300" hidden="0" layoutInCell="1" locked="0" relativeHeight="0" simplePos="0">
            <wp:simplePos x="0" y="0"/>
            <wp:positionH relativeFrom="page">
              <wp:posOffset>4224338</wp:posOffset>
            </wp:positionH>
            <wp:positionV relativeFrom="page">
              <wp:posOffset>829175</wp:posOffset>
            </wp:positionV>
            <wp:extent cx="2435663" cy="649510"/>
            <wp:effectExtent b="0" l="0" r="0" t="0"/>
            <wp:wrapTopAndBottom distB="0" distT="0"/>
            <wp:docPr id="3" name="image1.png"/>
            <a:graphic>
              <a:graphicData uri="http://schemas.openxmlformats.org/drawingml/2006/picture">
                <pic:pic>
                  <pic:nvPicPr>
                    <pic:cNvPr id="0" name="image1.png"/>
                    <pic:cNvPicPr preferRelativeResize="0"/>
                  </pic:nvPicPr>
                  <pic:blipFill>
                    <a:blip r:embed="rId7"/>
                    <a:srcRect b="-4587" l="0" r="0" t="4587"/>
                    <a:stretch>
                      <a:fillRect/>
                    </a:stretch>
                  </pic:blipFill>
                  <pic:spPr>
                    <a:xfrm>
                      <a:off x="0" y="0"/>
                      <a:ext cx="2435663" cy="649510"/>
                    </a:xfrm>
                    <a:prstGeom prst="rect"/>
                    <a:ln/>
                  </pic:spPr>
                </pic:pic>
              </a:graphicData>
            </a:graphic>
          </wp:anchor>
        </w:drawing>
      </w:r>
      <w:r w:rsidDel="00000000" w:rsidR="00000000" w:rsidRPr="00000000">
        <w:rPr>
          <w:rtl w:val="0"/>
        </w:rPr>
      </w:r>
    </w:p>
    <w:p w:rsidR="00000000" w:rsidDel="00000000" w:rsidP="00000000" w:rsidRDefault="00000000" w:rsidRPr="00000000" w14:paraId="00000002">
      <w:pPr>
        <w:pStyle w:val="Title"/>
        <w:spacing w:before="200" w:lineRule="auto"/>
        <w:rPr>
          <w:b w:val="1"/>
          <w:sz w:val="32"/>
          <w:szCs w:val="32"/>
        </w:rPr>
      </w:pPr>
      <w:bookmarkStart w:colFirst="0" w:colLast="0" w:name="_w8d3bqr691z2" w:id="0"/>
      <w:bookmarkEnd w:id="0"/>
      <w:r w:rsidDel="00000000" w:rsidR="00000000" w:rsidRPr="00000000">
        <w:rPr>
          <w:b w:val="1"/>
          <w:sz w:val="32"/>
          <w:szCs w:val="32"/>
          <w:rtl w:val="0"/>
        </w:rPr>
        <w:t xml:space="preserve">Input to the Committee on Economic, Social and Cultural Rights (CESCR) </w:t>
      </w:r>
    </w:p>
    <w:p w:rsidR="00000000" w:rsidDel="00000000" w:rsidP="00000000" w:rsidRDefault="00000000" w:rsidRPr="00000000" w14:paraId="00000003">
      <w:pPr>
        <w:pStyle w:val="Subtitle"/>
        <w:rPr/>
      </w:pPr>
      <w:bookmarkStart w:colFirst="0" w:colLast="0" w:name="_vskajvgurkxn" w:id="1"/>
      <w:bookmarkEnd w:id="1"/>
      <w:r w:rsidDel="00000000" w:rsidR="00000000" w:rsidRPr="00000000">
        <w:rPr>
          <w:rtl w:val="0"/>
        </w:rPr>
        <w:t xml:space="preserve">January 2025</w:t>
      </w:r>
    </w:p>
    <w:p w:rsidR="00000000" w:rsidDel="00000000" w:rsidP="00000000" w:rsidRDefault="00000000" w:rsidRPr="00000000" w14:paraId="00000004">
      <w:pPr>
        <w:pStyle w:val="Heading2"/>
        <w:rPr/>
      </w:pPr>
      <w:bookmarkStart w:colFirst="0" w:colLast="0" w:name="_8zl9cugvtb6b" w:id="2"/>
      <w:bookmarkEnd w:id="2"/>
      <w:r w:rsidDel="00000000" w:rsidR="00000000" w:rsidRPr="00000000">
        <w:rPr>
          <w:rtl w:val="0"/>
        </w:rPr>
        <w:t xml:space="preserve">Introduction </w:t>
      </w:r>
    </w:p>
    <w:p w:rsidR="00000000" w:rsidDel="00000000" w:rsidP="00000000" w:rsidRDefault="00000000" w:rsidRPr="00000000" w14:paraId="00000005">
      <w:pPr>
        <w:rPr/>
      </w:pPr>
      <w:r w:rsidDel="00000000" w:rsidR="00000000" w:rsidRPr="00000000">
        <w:rPr>
          <w:rtl w:val="0"/>
        </w:rPr>
        <w:t xml:space="preserve">This is a submission to the Committee on Economic, Social and Cultural Rights as it considers the response from the UK Government to its List of Issues Report (LoIR). </w:t>
      </w:r>
    </w:p>
    <w:p w:rsidR="00000000" w:rsidDel="00000000" w:rsidP="00000000" w:rsidRDefault="00000000" w:rsidRPr="00000000" w14:paraId="00000006">
      <w:pPr>
        <w:rPr/>
      </w:pPr>
      <w:r w:rsidDel="00000000" w:rsidR="00000000" w:rsidRPr="00000000">
        <w:rPr>
          <w:rtl w:val="0"/>
        </w:rPr>
        <w:t xml:space="preserve">Sex Matters is a UK human-rights charity (registered charity number 1207701) with a single objective: to restore clarity about sex to law, policy and language in order to protect everybody’s rights.</w:t>
      </w:r>
      <w:r w:rsidDel="00000000" w:rsidR="00000000" w:rsidRPr="00000000">
        <w:rPr>
          <w:vertAlign w:val="superscript"/>
        </w:rPr>
        <w:footnoteReference w:customMarkFollows="0" w:id="0"/>
      </w:r>
      <w:r w:rsidDel="00000000" w:rsidR="00000000" w:rsidRPr="00000000">
        <w:rPr>
          <w:rtl w:val="0"/>
        </w:rPr>
        <w:t xml:space="preserve"> It does this by helping people use the legal framework to protect their sex-based rights and to win back institutions to their mission and purpose.</w:t>
      </w:r>
    </w:p>
    <w:p w:rsidR="00000000" w:rsidDel="00000000" w:rsidP="00000000" w:rsidRDefault="00000000" w:rsidRPr="00000000" w14:paraId="00000007">
      <w:pPr>
        <w:pStyle w:val="Heading2"/>
        <w:rPr/>
      </w:pPr>
      <w:bookmarkStart w:colFirst="0" w:colLast="0" w:name="_2w0xdekznbbp" w:id="3"/>
      <w:bookmarkEnd w:id="3"/>
      <w:r w:rsidDel="00000000" w:rsidR="00000000" w:rsidRPr="00000000">
        <w:rPr>
          <w:rtl w:val="0"/>
        </w:rPr>
        <w:t xml:space="preserve">Measures taken to adopt a comprehensive anti-discrimination law</w:t>
      </w:r>
    </w:p>
    <w:p w:rsidR="00000000" w:rsidDel="00000000" w:rsidP="00000000" w:rsidRDefault="00000000" w:rsidRPr="00000000" w14:paraId="00000008">
      <w:pPr>
        <w:keepNext w:val="0"/>
        <w:keepLines w:val="0"/>
        <w:pageBreakBefore w:val="0"/>
        <w:widowControl w:val="1"/>
        <w:pBdr>
          <w:top w:color="auto" w:space="0" w:sz="0" w:val="none"/>
          <w:left w:color="auto" w:space="0" w:sz="0" w:val="none"/>
          <w:bottom w:color="auto" w:space="0" w:sz="0" w:val="none"/>
          <w:right w:color="auto" w:space="0" w:sz="0" w:val="none"/>
          <w:between w:color="auto" w:space="0" w:sz="0" w:val="none"/>
        </w:pBdr>
        <w:shd w:fill="ffffff" w:val="clear"/>
        <w:spacing w:after="200" w:before="0" w:line="276" w:lineRule="auto"/>
        <w:ind w:left="0" w:right="0" w:firstLine="0"/>
        <w:jc w:val="left"/>
        <w:rPr/>
      </w:pPr>
      <w:r w:rsidDel="00000000" w:rsidR="00000000" w:rsidRPr="00000000">
        <w:rPr>
          <w:rtl w:val="0"/>
        </w:rPr>
        <w:t xml:space="preserve">The UK state response says:</w:t>
      </w:r>
    </w:p>
    <w:p w:rsidR="00000000" w:rsidDel="00000000" w:rsidP="00000000" w:rsidRDefault="00000000" w:rsidRPr="00000000" w14:paraId="00000009">
      <w:pPr>
        <w:pStyle w:val="Heading5"/>
        <w:spacing w:after="200" w:line="276" w:lineRule="auto"/>
        <w:ind w:left="720" w:firstLine="0"/>
        <w:rPr/>
      </w:pPr>
      <w:bookmarkStart w:colFirst="0" w:colLast="0" w:name="_yf3sbgp7x19h" w:id="4"/>
      <w:bookmarkEnd w:id="4"/>
      <w:r w:rsidDel="00000000" w:rsidR="00000000" w:rsidRPr="00000000">
        <w:rPr>
          <w:rtl w:val="0"/>
        </w:rPr>
        <w:t xml:space="preserve">54. Under the Equality Act 2010, protection from direct and indirect discrimination continues to apply for 9 protected characteristics (age, sex, disability, race, sexual orientation, gender reassignment, marriage and civil partnership, pregnancy and maternity and religion or belief).</w:t>
      </w:r>
    </w:p>
    <w:p w:rsidR="00000000" w:rsidDel="00000000" w:rsidP="00000000" w:rsidRDefault="00000000" w:rsidRPr="00000000" w14:paraId="0000000A">
      <w:pPr>
        <w:pStyle w:val="Heading3"/>
        <w:rPr/>
      </w:pPr>
      <w:bookmarkStart w:colFirst="0" w:colLast="0" w:name="_ebesgqf06o4s" w:id="5"/>
      <w:bookmarkEnd w:id="5"/>
      <w:r w:rsidDel="00000000" w:rsidR="00000000" w:rsidRPr="00000000">
        <w:rPr>
          <w:rtl w:val="0"/>
        </w:rPr>
        <w:t xml:space="preserve">Sex Matters response</w:t>
      </w:r>
    </w:p>
    <w:p w:rsidR="00000000" w:rsidDel="00000000" w:rsidP="00000000" w:rsidRDefault="00000000" w:rsidRPr="00000000" w14:paraId="0000000B">
      <w:pPr>
        <w:rPr/>
      </w:pPr>
      <w:r w:rsidDel="00000000" w:rsidR="00000000" w:rsidRPr="00000000">
        <w:rPr>
          <w:rtl w:val="0"/>
        </w:rPr>
        <w:t xml:space="preserve">The UK has a well established legislative framework to protect against sex discrimination and sexual harassment for women and men. This was established by the Sex Discrimination Act 1975 and the Equal Pay Act 1970, whose provisions were both integrated into the Equality Act 2010. It also includes provisions against discrimination on the basis of “gender reassignment” (i.e. against people who identify as transgender). This law does not consider that sex is a self-determined characteristic, independent of biology. </w:t>
      </w:r>
    </w:p>
    <w:p w:rsidR="00000000" w:rsidDel="00000000" w:rsidP="00000000" w:rsidRDefault="00000000" w:rsidRPr="00000000" w14:paraId="0000000C">
      <w:pPr>
        <w:rPr/>
      </w:pPr>
      <w:r w:rsidDel="00000000" w:rsidR="00000000" w:rsidRPr="00000000">
        <w:rPr>
          <w:rtl w:val="0"/>
        </w:rPr>
        <w:t xml:space="preserve">However, confusion about the definition of the protected characteristic of sex, and the interaction with the Gender Recognition Act 2004  have led to the legislation not working adequately, and to individuals being discriminated against and harassed for expressing the ordinary view that there are two sexes and for advocating for protection of sex-based rights. This has been smeared as “transphobic”. </w:t>
      </w:r>
    </w:p>
    <w:p w:rsidR="00000000" w:rsidDel="00000000" w:rsidP="00000000" w:rsidRDefault="00000000" w:rsidRPr="00000000" w14:paraId="0000000D">
      <w:pPr>
        <w:rPr/>
      </w:pPr>
      <w:r w:rsidDel="00000000" w:rsidR="00000000" w:rsidRPr="00000000">
        <w:rPr>
          <w:rtl w:val="0"/>
        </w:rPr>
        <w:t xml:space="preserve">In April 2023 the Chair of the Equality and Human Rights Commission wrote to the Minister for Women and Equalities on the definition of the protected characteristic of sex in the Equality Act 2010 saying that “human rights law may require the statutory recognition of biological sex”. She argued that “redefining ‘sex’ in EqA to mean biological sex would create rationalisations, simplifications, clarity and/or reductions in risk” in areas such as maternity services, providers and users of other services, gay and lesbian associations, sports organisers and employers.</w:t>
      </w:r>
      <w:r w:rsidDel="00000000" w:rsidR="00000000" w:rsidRPr="00000000">
        <w:rPr>
          <w:vertAlign w:val="superscript"/>
        </w:rPr>
        <w:footnoteReference w:customMarkFollows="0" w:id="1"/>
      </w:r>
      <w:r w:rsidDel="00000000" w:rsidR="00000000" w:rsidRPr="00000000">
        <w:rPr>
          <w:rtl w:val="0"/>
        </w:rPr>
        <w:t xml:space="preserve"> It therefore merits further consideration. </w:t>
      </w:r>
    </w:p>
    <w:p w:rsidR="00000000" w:rsidDel="00000000" w:rsidP="00000000" w:rsidRDefault="00000000" w:rsidRPr="00000000" w14:paraId="0000000E">
      <w:pPr>
        <w:rPr>
          <w:color w:val="292b31"/>
        </w:rPr>
      </w:pPr>
      <w:r w:rsidDel="00000000" w:rsidR="00000000" w:rsidRPr="00000000">
        <w:rPr>
          <w:rtl w:val="0"/>
        </w:rPr>
        <w:t xml:space="preserve">To date the UK government has not taken action to clarify the law and it has been left to grassroots organisations to bring a legal claim all the way to the Supreme Court. The case </w:t>
      </w:r>
      <w:r w:rsidDel="00000000" w:rsidR="00000000" w:rsidRPr="00000000">
        <w:rPr>
          <w:i w:val="1"/>
          <w:color w:val="292b31"/>
          <w:rtl w:val="0"/>
        </w:rPr>
        <w:t xml:space="preserve">For Women Scotland Ltd v The Scottish Ministers</w:t>
      </w:r>
      <w:r w:rsidDel="00000000" w:rsidR="00000000" w:rsidRPr="00000000">
        <w:rPr>
          <w:color w:val="292b31"/>
          <w:rtl w:val="0"/>
        </w:rPr>
        <w:t xml:space="preserve"> was heard by the Supreme Court on 26th and 27th November 2024 and is awaiting judgment. </w:t>
      </w:r>
      <w:r w:rsidDel="00000000" w:rsidR="00000000" w:rsidRPr="00000000">
        <w:rPr>
          <w:color w:val="292b31"/>
          <w:rtl w:val="0"/>
        </w:rPr>
        <w:t xml:space="preserve">For Women Scotland argue t</w:t>
      </w:r>
      <w:r w:rsidDel="00000000" w:rsidR="00000000" w:rsidRPr="00000000">
        <w:rPr>
          <w:color w:val="292b31"/>
          <w:rtl w:val="0"/>
        </w:rPr>
        <w:t xml:space="preserve">hat the Equality Act is the law that replaced the Sex Discrimination Act 1975, in which “sex” meant biological sex and “man” and “woman” were unambiguously sex-based terms. There are serious consequences that follow from any implied </w:t>
      </w:r>
      <w:r w:rsidDel="00000000" w:rsidR="00000000" w:rsidRPr="00000000">
        <w:rPr>
          <w:rtl w:val="0"/>
        </w:rPr>
        <w:t xml:space="preserve">change</w:t>
      </w:r>
      <w:r w:rsidDel="00000000" w:rsidR="00000000" w:rsidRPr="00000000">
        <w:rPr>
          <w:color w:val="292b31"/>
          <w:rtl w:val="0"/>
        </w:rPr>
        <w:t xml:space="preserve"> to that position which undermine protection for sex discrimination, in particular in situations where the interests of women and trans-identifying men (“transwomen”) come into conflict.</w:t>
      </w:r>
      <w:r w:rsidDel="00000000" w:rsidR="00000000" w:rsidRPr="00000000">
        <w:rPr>
          <w:color w:val="292b31"/>
          <w:vertAlign w:val="superscript"/>
        </w:rPr>
        <w:footnoteReference w:customMarkFollows="0" w:id="2"/>
      </w: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Analysis by Claire Methven O’Brien of the University of Dundee finds that the UK is likely to be in breach of CEDAW’s protection against discrimination by extending affirmative action schemes for women to include trans-identifying males. This includes measures in relation to,, inter alia, ending sex discrimination and achieving women’s substantive equality with men, the achievement of gender parity, and addressing gender stereotypes.</w:t>
      </w:r>
      <w:r w:rsidDel="00000000" w:rsidR="00000000" w:rsidRPr="00000000">
        <w:rPr>
          <w:vertAlign w:val="superscript"/>
        </w:rPr>
        <w:footnoteReference w:customMarkFollows="0" w:id="3"/>
      </w:r>
      <w:r w:rsidDel="00000000" w:rsidR="00000000" w:rsidRPr="00000000">
        <w:rPr>
          <w:rtl w:val="0"/>
        </w:rPr>
      </w:r>
    </w:p>
    <w:p w:rsidR="00000000" w:rsidDel="00000000" w:rsidP="00000000" w:rsidRDefault="00000000" w:rsidRPr="00000000" w14:paraId="00000010">
      <w:pPr>
        <w:rPr>
          <w:color w:val="292b31"/>
        </w:rPr>
      </w:pPr>
      <w:r w:rsidDel="00000000" w:rsidR="00000000" w:rsidRPr="00000000">
        <w:rPr>
          <w:rtl w:val="0"/>
        </w:rPr>
      </w:r>
    </w:p>
    <w:p w:rsidR="00000000" w:rsidDel="00000000" w:rsidP="00000000" w:rsidRDefault="00000000" w:rsidRPr="00000000" w14:paraId="00000011">
      <w:pPr>
        <w:pStyle w:val="Heading2"/>
        <w:keepNext w:val="0"/>
        <w:keepLines w:val="0"/>
        <w:spacing w:after="80" w:before="360" w:lineRule="auto"/>
        <w:rPr/>
      </w:pPr>
      <w:bookmarkStart w:colFirst="0" w:colLast="0" w:name="_qye7nxd2q1ou" w:id="6"/>
      <w:bookmarkEnd w:id="6"/>
      <w:r w:rsidDel="00000000" w:rsidR="00000000" w:rsidRPr="00000000">
        <w:rPr>
          <w:rtl w:val="0"/>
        </w:rPr>
        <w:t xml:space="preserve">Equal rights of men and women (article 3)</w:t>
      </w:r>
    </w:p>
    <w:p w:rsidR="00000000" w:rsidDel="00000000" w:rsidP="00000000" w:rsidRDefault="00000000" w:rsidRPr="00000000" w14:paraId="00000012">
      <w:pPr>
        <w:rPr/>
      </w:pPr>
      <w:r w:rsidDel="00000000" w:rsidR="00000000" w:rsidRPr="00000000">
        <w:rPr>
          <w:rtl w:val="0"/>
        </w:rPr>
        <w:t xml:space="preserve">The UK response in relation to the statistical data on the representation of women says:</w:t>
      </w:r>
    </w:p>
    <w:p w:rsidR="00000000" w:rsidDel="00000000" w:rsidP="00000000" w:rsidRDefault="00000000" w:rsidRPr="00000000" w14:paraId="00000013">
      <w:pPr>
        <w:pStyle w:val="Heading5"/>
        <w:keepNext w:val="0"/>
        <w:keepLines w:val="0"/>
        <w:widowControl w:val="0"/>
        <w:ind w:left="720" w:firstLine="0"/>
        <w:rPr/>
      </w:pPr>
      <w:bookmarkStart w:colFirst="0" w:colLast="0" w:name="_e8tuueehnnfu" w:id="7"/>
      <w:bookmarkEnd w:id="7"/>
      <w:r w:rsidDel="00000000" w:rsidR="00000000" w:rsidRPr="00000000">
        <w:rPr>
          <w:rtl w:val="0"/>
        </w:rPr>
        <w:t xml:space="preserve">“76. The Office for National Statistics (ONS) regularly publishes data on employment, broken down by sex:</w:t>
      </w:r>
    </w:p>
    <w:p w:rsidR="00000000" w:rsidDel="00000000" w:rsidP="00000000" w:rsidRDefault="00000000" w:rsidRPr="00000000" w14:paraId="00000014">
      <w:pPr>
        <w:pStyle w:val="Heading5"/>
        <w:keepNext w:val="0"/>
        <w:keepLines w:val="0"/>
        <w:widowControl w:val="0"/>
        <w:ind w:left="720" w:firstLine="0"/>
        <w:rPr/>
      </w:pPr>
      <w:bookmarkStart w:colFirst="0" w:colLast="0" w:name="_tkyzvep71fyi" w:id="8"/>
      <w:bookmarkEnd w:id="8"/>
      <w:r w:rsidDel="00000000" w:rsidR="00000000" w:rsidRPr="00000000">
        <w:rPr>
          <w:rtl w:val="0"/>
        </w:rPr>
        <w:t xml:space="preserve">https://www.ons.gov.uk/employmentandlabourmarket/peopleinwork/employmentandemployeetypes.</w:t>
      </w:r>
    </w:p>
    <w:p w:rsidR="00000000" w:rsidDel="00000000" w:rsidP="00000000" w:rsidRDefault="00000000" w:rsidRPr="00000000" w14:paraId="00000015">
      <w:pPr>
        <w:pStyle w:val="Heading5"/>
        <w:keepNext w:val="0"/>
        <w:keepLines w:val="0"/>
        <w:widowControl w:val="0"/>
        <w:ind w:left="720" w:firstLine="0"/>
        <w:rPr/>
      </w:pPr>
      <w:bookmarkStart w:colFirst="0" w:colLast="0" w:name="_nayzuu1zc3ll" w:id="9"/>
      <w:bookmarkEnd w:id="9"/>
      <w:r w:rsidDel="00000000" w:rsidR="00000000" w:rsidRPr="00000000">
        <w:rPr>
          <w:rtl w:val="0"/>
        </w:rPr>
        <w:t xml:space="preserve">“77. In Scotland, there have been positive increases in women’s representation over recent years, notably in relation to Scottish public appointments, many of which are subject to the Gender Representation on Public Boards (Scotland) Act 2018.”</w:t>
      </w:r>
    </w:p>
    <w:p w:rsidR="00000000" w:rsidDel="00000000" w:rsidP="00000000" w:rsidRDefault="00000000" w:rsidRPr="00000000" w14:paraId="00000016">
      <w:pPr>
        <w:pStyle w:val="Heading3"/>
        <w:rPr/>
      </w:pPr>
      <w:bookmarkStart w:colFirst="0" w:colLast="0" w:name="_v3x96c5zybmm" w:id="10"/>
      <w:bookmarkEnd w:id="10"/>
      <w:r w:rsidDel="00000000" w:rsidR="00000000" w:rsidRPr="00000000">
        <w:rPr>
          <w:rtl w:val="0"/>
        </w:rPr>
        <w:t xml:space="preserve">Sex Matters response</w:t>
      </w:r>
    </w:p>
    <w:p w:rsidR="00000000" w:rsidDel="00000000" w:rsidP="00000000" w:rsidRDefault="00000000" w:rsidRPr="00000000" w14:paraId="00000017">
      <w:pPr>
        <w:rPr/>
      </w:pPr>
      <w:r w:rsidDel="00000000" w:rsidR="00000000" w:rsidRPr="00000000">
        <w:rPr>
          <w:rtl w:val="0"/>
        </w:rPr>
        <w:t xml:space="preserve">Collection and recording of sex-disagregated data in the UK has become corrupted and confused by elision of the clear category of sex (male and female) with the idea of “gender identity”. </w:t>
      </w:r>
    </w:p>
    <w:p w:rsidR="00000000" w:rsidDel="00000000" w:rsidP="00000000" w:rsidRDefault="00000000" w:rsidRPr="00000000" w14:paraId="00000018">
      <w:pPr>
        <w:rPr/>
      </w:pPr>
      <w:r w:rsidDel="00000000" w:rsidR="00000000" w:rsidRPr="00000000">
        <w:rPr>
          <w:rtl w:val="0"/>
        </w:rPr>
        <w:t xml:space="preserve">Again grassroots organisations of women have had to step in to try to ensure that the government collects data on sex, bringing a series of judicial reviews to seek to ensure that the definition of sex used in the census (which then shapes the definition used in other public statistics) is clear and accurate. </w:t>
      </w:r>
    </w:p>
    <w:p w:rsidR="00000000" w:rsidDel="00000000" w:rsidP="00000000" w:rsidRDefault="00000000" w:rsidRPr="00000000" w14:paraId="00000019">
      <w:pPr>
        <w:rPr/>
      </w:pPr>
      <w:r w:rsidDel="00000000" w:rsidR="00000000" w:rsidRPr="00000000">
        <w:rPr>
          <w:rtl w:val="0"/>
        </w:rPr>
        <w:t xml:space="preserve">The Office for Statistics Regulation recently released guidance that: </w:t>
      </w:r>
    </w:p>
    <w:p w:rsidR="00000000" w:rsidDel="00000000" w:rsidP="00000000" w:rsidRDefault="00000000" w:rsidRPr="00000000" w14:paraId="0000001A">
      <w:pPr>
        <w:pStyle w:val="Heading5"/>
        <w:ind w:left="720" w:firstLine="0"/>
        <w:rPr/>
      </w:pPr>
      <w:bookmarkStart w:colFirst="0" w:colLast="0" w:name="_9ukqdvj2xpzo" w:id="11"/>
      <w:bookmarkEnd w:id="11"/>
      <w:r w:rsidDel="00000000" w:rsidR="00000000" w:rsidRPr="00000000">
        <w:rPr>
          <w:rtl w:val="0"/>
        </w:rPr>
        <w:t xml:space="preserve">“It is the responsibility of official statistics producers to determine whether there is a legitimate need to collect data about sex, gender identity, both or neither, based on identified user and respondent needs. Producers should be clear about what they are collecting and why.”</w:t>
      </w:r>
      <w:r w:rsidDel="00000000" w:rsidR="00000000" w:rsidRPr="00000000">
        <w:rPr>
          <w:vertAlign w:val="superscript"/>
        </w:rPr>
        <w:footnoteReference w:customMarkFollows="0" w:id="4"/>
      </w: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However, this good practice is rarely followed. </w:t>
      </w:r>
    </w:p>
    <w:p w:rsidR="00000000" w:rsidDel="00000000" w:rsidP="00000000" w:rsidRDefault="00000000" w:rsidRPr="00000000" w14:paraId="0000001C">
      <w:pPr>
        <w:rPr/>
      </w:pPr>
      <w:r w:rsidDel="00000000" w:rsidR="00000000" w:rsidRPr="00000000">
        <w:rPr>
          <w:rtl w:val="0"/>
        </w:rPr>
        <w:t xml:space="preserve">The government is currently developing an overarching system for verification and protection of personal digital identity information, without ensuring that sex data will be accurate and protected in the same way as other data.</w:t>
      </w:r>
      <w:r w:rsidDel="00000000" w:rsidR="00000000" w:rsidRPr="00000000">
        <w:rPr>
          <w:vertAlign w:val="superscript"/>
        </w:rPr>
        <w:footnoteReference w:customMarkFollows="0" w:id="5"/>
      </w:r>
      <w:r w:rsidDel="00000000" w:rsidR="00000000" w:rsidRPr="00000000">
        <w:rPr>
          <w:rtl w:val="0"/>
        </w:rPr>
        <w:t xml:space="preserve"> This is likely to lead to loss of data for equality monitoring. This was seen for example with data on pupils in school which, instead of being clearly available demographic data in the national statistical database, have been treated as “special category data”.</w:t>
      </w:r>
      <w:r w:rsidDel="00000000" w:rsidR="00000000" w:rsidRPr="00000000">
        <w:rPr>
          <w:vertAlign w:val="superscript"/>
        </w:rPr>
        <w:footnoteReference w:customMarkFollows="0" w:id="6"/>
      </w:r>
      <w:r w:rsidDel="00000000" w:rsidR="00000000" w:rsidRPr="00000000">
        <w:rPr>
          <w:rtl w:val="0"/>
        </w:rPr>
      </w:r>
    </w:p>
    <w:p w:rsidR="00000000" w:rsidDel="00000000" w:rsidP="00000000" w:rsidRDefault="00000000" w:rsidRPr="00000000" w14:paraId="0000001D">
      <w:pPr>
        <w:pStyle w:val="Heading2"/>
        <w:keepNext w:val="0"/>
        <w:keepLines w:val="0"/>
        <w:spacing w:after="80" w:before="360" w:lineRule="auto"/>
        <w:rPr/>
      </w:pPr>
      <w:bookmarkStart w:colFirst="0" w:colLast="0" w:name="_ed64ymub2t5" w:id="12"/>
      <w:bookmarkEnd w:id="12"/>
      <w:r w:rsidDel="00000000" w:rsidR="00000000" w:rsidRPr="00000000">
        <w:rPr>
          <w:rtl w:val="0"/>
        </w:rPr>
        <w:t xml:space="preserve">Right to just and favourable conditions of work (article 7)</w:t>
      </w:r>
    </w:p>
    <w:p w:rsidR="00000000" w:rsidDel="00000000" w:rsidP="00000000" w:rsidRDefault="00000000" w:rsidRPr="00000000" w14:paraId="0000001E">
      <w:pPr>
        <w:rPr/>
      </w:pPr>
      <w:r w:rsidDel="00000000" w:rsidR="00000000" w:rsidRPr="00000000">
        <w:rPr>
          <w:rtl w:val="0"/>
        </w:rPr>
        <w:t xml:space="preserve">The UK state response says:</w:t>
      </w:r>
    </w:p>
    <w:p w:rsidR="00000000" w:rsidDel="00000000" w:rsidP="00000000" w:rsidRDefault="00000000" w:rsidRPr="00000000" w14:paraId="0000001F">
      <w:pPr>
        <w:pStyle w:val="Heading5"/>
        <w:keepNext w:val="0"/>
        <w:rPr/>
      </w:pPr>
      <w:bookmarkStart w:colFirst="0" w:colLast="0" w:name="_uzl7q2gmiy8y" w:id="13"/>
      <w:bookmarkEnd w:id="13"/>
      <w:r w:rsidDel="00000000" w:rsidR="00000000" w:rsidRPr="00000000">
        <w:rPr>
          <w:rtl w:val="0"/>
        </w:rPr>
        <w:t xml:space="preserve">“The Plan to Make Work Pay sets out a significant and ambitious agenda to ensure workplace rights are fit for a modern economy, empower working people and deliver economic growth. This is a core part of the Government’s mission to grow the economy and raise living standards across the country;</w:t>
      </w:r>
    </w:p>
    <w:p w:rsidR="00000000" w:rsidDel="00000000" w:rsidP="00000000" w:rsidRDefault="00000000" w:rsidRPr="00000000" w14:paraId="00000020">
      <w:pPr>
        <w:rPr/>
      </w:pPr>
      <w:r w:rsidDel="00000000" w:rsidR="00000000" w:rsidRPr="00000000">
        <w:rPr>
          <w:rtl w:val="0"/>
        </w:rPr>
        <w:t xml:space="preserve">“Rights to equal pay and protections from maternity and menopause discrimination and sexual harassment will be strengthened;”</w:t>
      </w:r>
    </w:p>
    <w:p w:rsidR="00000000" w:rsidDel="00000000" w:rsidP="00000000" w:rsidRDefault="00000000" w:rsidRPr="00000000" w14:paraId="00000021">
      <w:pPr>
        <w:rPr/>
      </w:pPr>
      <w:r w:rsidDel="00000000" w:rsidR="00000000" w:rsidRPr="00000000">
        <w:rPr>
          <w:rtl w:val="0"/>
        </w:rPr>
        <w:t xml:space="preserve">It references the Equality Act 2010, through which “protection from direct and indirect discrimination continues to apply for 9 protected characteristics (age, sex, disability, race, sexual orientation, gender reassignment, marriage and civil partnership, pregnancy and maternity and religion or belief).”</w:t>
      </w:r>
    </w:p>
    <w:p w:rsidR="00000000" w:rsidDel="00000000" w:rsidP="00000000" w:rsidRDefault="00000000" w:rsidRPr="00000000" w14:paraId="00000022">
      <w:pPr>
        <w:rPr>
          <w:b w:val="1"/>
        </w:rPr>
      </w:pPr>
      <w:r w:rsidDel="00000000" w:rsidR="00000000" w:rsidRPr="00000000">
        <w:rPr>
          <w:rtl w:val="0"/>
        </w:rPr>
        <w:t xml:space="preserve">In the section headed  </w:t>
      </w:r>
      <w:r w:rsidDel="00000000" w:rsidR="00000000" w:rsidRPr="00000000">
        <w:rPr>
          <w:b w:val="1"/>
          <w:rtl w:val="0"/>
        </w:rPr>
        <w:t xml:space="preserve">18. Physical and mental harassment, including sexual harassment, and its means of enforcement</w:t>
      </w:r>
    </w:p>
    <w:p w:rsidR="00000000" w:rsidDel="00000000" w:rsidP="00000000" w:rsidRDefault="00000000" w:rsidRPr="00000000" w14:paraId="00000023">
      <w:pPr>
        <w:rPr/>
      </w:pPr>
      <w:r w:rsidDel="00000000" w:rsidR="00000000" w:rsidRPr="00000000">
        <w:rPr>
          <w:rtl w:val="0"/>
        </w:rPr>
        <w:t xml:space="preserve">The response says that “122. Strong laws against workplace harassment are set out in the Equality Act 2010.”</w:t>
      </w:r>
    </w:p>
    <w:p w:rsidR="00000000" w:rsidDel="00000000" w:rsidP="00000000" w:rsidRDefault="00000000" w:rsidRPr="00000000" w14:paraId="00000024">
      <w:pPr>
        <w:pStyle w:val="Heading3"/>
        <w:rPr/>
      </w:pPr>
      <w:bookmarkStart w:colFirst="0" w:colLast="0" w:name="_l4ejg0xnx6yj" w:id="14"/>
      <w:bookmarkEnd w:id="14"/>
      <w:r w:rsidDel="00000000" w:rsidR="00000000" w:rsidRPr="00000000">
        <w:rPr>
          <w:rtl w:val="0"/>
        </w:rPr>
        <w:t xml:space="preserve">Sex Matters response</w:t>
      </w:r>
    </w:p>
    <w:p w:rsidR="00000000" w:rsidDel="00000000" w:rsidP="00000000" w:rsidRDefault="00000000" w:rsidRPr="00000000" w14:paraId="00000025">
      <w:pPr>
        <w:rPr/>
      </w:pPr>
      <w:r w:rsidDel="00000000" w:rsidR="00000000" w:rsidRPr="00000000">
        <w:rPr>
          <w:rtl w:val="0"/>
        </w:rPr>
        <w:t xml:space="preserve">The UK has a well-established legislative framework to protect against sex discrimination and sexual harassment for women and men. This was established by the Sex Discrimination Act 1975 and the Equal Pay Act 1970, whose provisions were both integrated into the Equality Act 2010. It also has separate provisions against discrimination on the basis of “gender reassignment” (i.e. against people who identify as transgender). This law does not consider that sex is a self determined characteristic, independent of biology. </w:t>
      </w:r>
    </w:p>
    <w:p w:rsidR="00000000" w:rsidDel="00000000" w:rsidP="00000000" w:rsidRDefault="00000000" w:rsidRPr="00000000" w14:paraId="00000026">
      <w:pPr>
        <w:rPr/>
      </w:pPr>
      <w:r w:rsidDel="00000000" w:rsidR="00000000" w:rsidRPr="00000000">
        <w:rPr>
          <w:rtl w:val="0"/>
        </w:rPr>
        <w:t xml:space="preserve">However, confusion about the definition of the protected characteristic of sex has led to the legislation not working adequately, and individuals being discriminated against and harassed for expressing the ordinary view that there are two sexes, and advocating for protection of sex-based rights. This has been smeared as “transphobic”. </w:t>
      </w:r>
    </w:p>
    <w:p w:rsidR="00000000" w:rsidDel="00000000" w:rsidP="00000000" w:rsidRDefault="00000000" w:rsidRPr="00000000" w14:paraId="00000027">
      <w:pPr>
        <w:rPr/>
      </w:pPr>
      <w:r w:rsidDel="00000000" w:rsidR="00000000" w:rsidRPr="00000000">
        <w:rPr>
          <w:rtl w:val="0"/>
        </w:rPr>
        <w:t xml:space="preserve">In April 2023 the Chair of the Equality and Human Rights Commission wrote to the Minister for Women and Equalities on the definition of the protected characteristic of sex in the Equality Act 2010 saying that “human rights law may require the statutory recognition of biological sex”. She argued that “redefining ‘sex’ in EqA to mean biological sex would create rationalisations, simplifications, clarity and/or reductions in risk” in areas such as  maternity services, providers and users of other services, gay and lesbian associations, sports organisers and employers. </w:t>
      </w:r>
      <w:r w:rsidDel="00000000" w:rsidR="00000000" w:rsidRPr="00000000">
        <w:rPr>
          <w:vertAlign w:val="superscript"/>
        </w:rPr>
        <w:footnoteReference w:customMarkFollows="0" w:id="7"/>
      </w:r>
      <w:r w:rsidDel="00000000" w:rsidR="00000000" w:rsidRPr="00000000">
        <w:rPr>
          <w:rtl w:val="0"/>
        </w:rPr>
        <w:t xml:space="preserve">It therefore merits further consideration. </w:t>
      </w:r>
    </w:p>
    <w:p w:rsidR="00000000" w:rsidDel="00000000" w:rsidP="00000000" w:rsidRDefault="00000000" w:rsidRPr="00000000" w14:paraId="00000028">
      <w:pPr>
        <w:rPr>
          <w:color w:val="292b31"/>
        </w:rPr>
      </w:pPr>
      <w:r w:rsidDel="00000000" w:rsidR="00000000" w:rsidRPr="00000000">
        <w:rPr>
          <w:rtl w:val="0"/>
        </w:rPr>
        <w:t xml:space="preserve">To date the government has not taken action to clarify the law and it has been left to grassroots organisations to bring a legal claim all the way to the Supreme Court. The case </w:t>
      </w:r>
      <w:r w:rsidDel="00000000" w:rsidR="00000000" w:rsidRPr="00000000">
        <w:rPr>
          <w:i w:val="1"/>
          <w:color w:val="292b31"/>
          <w:rtl w:val="0"/>
        </w:rPr>
        <w:t xml:space="preserve">For Women Scotland Ltd v The Scottish Ministers</w:t>
      </w:r>
      <w:r w:rsidDel="00000000" w:rsidR="00000000" w:rsidRPr="00000000">
        <w:rPr>
          <w:color w:val="292b31"/>
          <w:rtl w:val="0"/>
        </w:rPr>
        <w:t xml:space="preserve"> was heard by the Supreme Court on 26th and 27th November 2024 and is awaiting judgment. </w:t>
      </w:r>
      <w:r w:rsidDel="00000000" w:rsidR="00000000" w:rsidRPr="00000000">
        <w:rPr>
          <w:b w:val="1"/>
          <w:color w:val="292b31"/>
          <w:rtl w:val="0"/>
        </w:rPr>
        <w:t xml:space="preserve">For Women Scotland argues </w:t>
      </w:r>
      <w:r w:rsidDel="00000000" w:rsidR="00000000" w:rsidRPr="00000000">
        <w:rPr>
          <w:color w:val="292b31"/>
          <w:rtl w:val="0"/>
        </w:rPr>
        <w:t xml:space="preserve">that the Equality Act is the law that replaced the Sex Discrimination Act 1975, in which “sex” meant biological sex and “man” and “woman” were unambiguously sex-based terms. There are serious consequences that follow from any implied </w:t>
      </w:r>
      <w:r w:rsidDel="00000000" w:rsidR="00000000" w:rsidRPr="00000000">
        <w:rPr>
          <w:rtl w:val="0"/>
        </w:rPr>
        <w:t xml:space="preserve">change</w:t>
      </w:r>
      <w:r w:rsidDel="00000000" w:rsidR="00000000" w:rsidRPr="00000000">
        <w:rPr>
          <w:color w:val="292b31"/>
          <w:rtl w:val="0"/>
        </w:rPr>
        <w:t xml:space="preserve"> to that position which undermine protection for sex discrimination, in particular in situations where the interests of women and trans-identifying men (“transwomen”) come into conflict.</w:t>
      </w:r>
      <w:r w:rsidDel="00000000" w:rsidR="00000000" w:rsidRPr="00000000">
        <w:rPr>
          <w:color w:val="292b31"/>
          <w:vertAlign w:val="superscript"/>
        </w:rPr>
        <w:footnoteReference w:customMarkFollows="0" w:id="8"/>
      </w: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The issues with the understanding and application of the Equality Act in relation to sex and “gender reassignment” are particularly stark at work, where discrimination and harassment against people who express the ordinary belief that sex is real, immutable and important remains common across the public, voluntary and corporate sectors.</w:t>
      </w:r>
    </w:p>
    <w:p w:rsidR="00000000" w:rsidDel="00000000" w:rsidP="00000000" w:rsidRDefault="00000000" w:rsidRPr="00000000" w14:paraId="0000002A">
      <w:pPr>
        <w:rPr>
          <w:color w:val="292b31"/>
        </w:rPr>
      </w:pPr>
      <w:r w:rsidDel="00000000" w:rsidR="00000000" w:rsidRPr="00000000">
        <w:rPr>
          <w:color w:val="292b31"/>
          <w:rtl w:val="0"/>
        </w:rPr>
        <w:t xml:space="preserve">In 2021 an Employment Appeal Tribunal judgment in the case of </w:t>
      </w:r>
      <w:r w:rsidDel="00000000" w:rsidR="00000000" w:rsidRPr="00000000">
        <w:rPr>
          <w:i w:val="1"/>
          <w:color w:val="292b31"/>
          <w:rtl w:val="0"/>
        </w:rPr>
        <w:t xml:space="preserve">Forstater v CGD </w:t>
      </w:r>
      <w:r w:rsidDel="00000000" w:rsidR="00000000" w:rsidRPr="00000000">
        <w:rPr>
          <w:color w:val="292b31"/>
          <w:rtl w:val="0"/>
        </w:rPr>
        <w:t xml:space="preserve">found that “gender critical” beliefs (i.e. that sex is real, immutable and important) are protected against discrimination by the Equality Act and that they are not incompatible with the rights and freedoms of other people (including those with transgender identities). However many organisations continue to flout the law. </w:t>
      </w:r>
    </w:p>
    <w:p w:rsidR="00000000" w:rsidDel="00000000" w:rsidP="00000000" w:rsidRDefault="00000000" w:rsidRPr="00000000" w14:paraId="0000002B">
      <w:pPr>
        <w:rPr>
          <w:color w:val="292b31"/>
        </w:rPr>
      </w:pPr>
      <w:r w:rsidDel="00000000" w:rsidR="00000000" w:rsidRPr="00000000">
        <w:rPr>
          <w:color w:val="292b31"/>
          <w:rtl w:val="0"/>
        </w:rPr>
        <w:t xml:space="preserve">In December 2024 a civil service department settled a discrimination with a gender critical civil servant and pledged to address the problem of the culture of fear and the unbalanced policies which have developed around sex and gender </w:t>
      </w:r>
      <w:r w:rsidDel="00000000" w:rsidR="00000000" w:rsidRPr="00000000">
        <w:rPr>
          <w:color w:val="292b31"/>
          <w:vertAlign w:val="superscript"/>
        </w:rPr>
        <w:footnoteReference w:customMarkFollows="0" w:id="9"/>
      </w:r>
      <w:r w:rsidDel="00000000" w:rsidR="00000000" w:rsidRPr="00000000">
        <w:rPr>
          <w:rtl w:val="0"/>
        </w:rPr>
      </w:r>
    </w:p>
    <w:p w:rsidR="00000000" w:rsidDel="00000000" w:rsidP="00000000" w:rsidRDefault="00000000" w:rsidRPr="00000000" w14:paraId="0000002C">
      <w:pPr>
        <w:pStyle w:val="Heading2"/>
        <w:keepNext w:val="0"/>
        <w:keepLines w:val="0"/>
        <w:spacing w:after="80" w:before="360" w:lineRule="auto"/>
        <w:rPr/>
      </w:pPr>
      <w:bookmarkStart w:colFirst="0" w:colLast="0" w:name="_jrzjy6evi8zz" w:id="15"/>
      <w:bookmarkEnd w:id="15"/>
      <w:r w:rsidDel="00000000" w:rsidR="00000000" w:rsidRPr="00000000">
        <w:rPr>
          <w:rtl w:val="0"/>
        </w:rPr>
        <w:t xml:space="preserve">Protection of the family and children (article 10)</w:t>
      </w:r>
    </w:p>
    <w:p w:rsidR="00000000" w:rsidDel="00000000" w:rsidP="00000000" w:rsidRDefault="00000000" w:rsidRPr="00000000" w14:paraId="0000002D">
      <w:pPr>
        <w:rPr/>
      </w:pPr>
      <w:r w:rsidDel="00000000" w:rsidR="00000000" w:rsidRPr="00000000">
        <w:rPr>
          <w:rtl w:val="0"/>
        </w:rPr>
        <w:t xml:space="preserve">The failure to record and collect clear data on sex, and to remember that individuals who identify as the opposite sex have not in fact changed sex undermines the UK’s system of safeguarding for children and vulnerable people. </w:t>
      </w:r>
    </w:p>
    <w:p w:rsidR="00000000" w:rsidDel="00000000" w:rsidP="00000000" w:rsidRDefault="00000000" w:rsidRPr="00000000" w14:paraId="0000002E">
      <w:pPr>
        <w:rPr/>
      </w:pPr>
      <w:r w:rsidDel="00000000" w:rsidR="00000000" w:rsidRPr="00000000">
        <w:rPr>
          <w:rtl w:val="0"/>
        </w:rPr>
        <w:t xml:space="preserve">It is well understood that the single biggest risk factor for violent and sexual offending is being a man. Misrecording the sex of individuals, flexing sex-based rules and risk assessment processes, and falsifying records all undermine the integrity of systems designed to prevent harm and abuse, for example undermining clarity, openness and candour, recognition of and respect for boundaries and appropriate behaviour. Processes such as “safer recruitment” and risk assessment are undermined when men are recorded as women and vice versa. </w:t>
      </w:r>
    </w:p>
    <w:p w:rsidR="00000000" w:rsidDel="00000000" w:rsidP="00000000" w:rsidRDefault="00000000" w:rsidRPr="00000000" w14:paraId="0000002F">
      <w:pPr>
        <w:rPr/>
      </w:pPr>
      <w:r w:rsidDel="00000000" w:rsidR="00000000" w:rsidRPr="00000000">
        <w:rPr>
          <w:rtl w:val="0"/>
        </w:rPr>
        <w:t xml:space="preserve">Many schools have adopted the idea that being a man or a woman is a matter of self-determination and have taught this to children. This is untrue and dangerous. Children experiencing gender-related distress have been set outside of normal safeguarding frameworks. This has been recognised by Dr Hilary Cass in her review of gender healthcare services for children. </w:t>
      </w:r>
    </w:p>
    <w:p w:rsidR="00000000" w:rsidDel="00000000" w:rsidP="00000000" w:rsidRDefault="00000000" w:rsidRPr="00000000" w14:paraId="00000030">
      <w:pPr>
        <w:rPr/>
      </w:pPr>
      <w:r w:rsidDel="00000000" w:rsidR="00000000" w:rsidRPr="00000000">
        <w:rPr>
          <w:rtl w:val="0"/>
        </w:rPr>
        <w:t xml:space="preserve">The Cass Review considered the case histories of children and young people attending the Tavistock Gender Identity Service. It found that children “living in stealth” (i.e. concealing their true sex and presenting themselves as the opposite sex) frequently have a deeply felt fear of “being found out” and suffering rejection. It observed that this fear creates a sense of urgency regarding access to puberty-blocking drugs (for which the review found no evidence of health benefit).</w:t>
      </w:r>
      <w:r w:rsidDel="00000000" w:rsidR="00000000" w:rsidRPr="00000000">
        <w:rPr>
          <w:vertAlign w:val="superscript"/>
        </w:rPr>
        <w:footnoteReference w:customMarkFollows="0" w:id="10"/>
      </w:r>
      <w:r w:rsidDel="00000000" w:rsidR="00000000" w:rsidRPr="00000000">
        <w:rPr>
          <w:rtl w:val="0"/>
        </w:rPr>
        <w:t xml:space="preserve"> T</w:t>
      </w:r>
      <w:r w:rsidDel="00000000" w:rsidR="00000000" w:rsidRPr="00000000">
        <w:rPr>
          <w:rtl w:val="0"/>
        </w:rPr>
        <w:t xml:space="preserve">he Government has been trying unsuccessfully for the past 5 years to develop robust guidance for schools on how to address the vulnerabilities and needs of children who become convinced they were “born in the wrong body” and that it might be possible to change sex. The Department for Education has still not produced this guidance, where guidance produced in Scotland and Wales suggests treating children as the opposite sex. This is not compatible with safeguarding. </w:t>
      </w:r>
      <w:r w:rsidDel="00000000" w:rsidR="00000000" w:rsidRPr="00000000">
        <w:rPr>
          <w:rtl w:val="0"/>
        </w:rPr>
      </w:r>
    </w:p>
    <w:p w:rsidR="00000000" w:rsidDel="00000000" w:rsidP="00000000" w:rsidRDefault="00000000" w:rsidRPr="00000000" w14:paraId="00000031">
      <w:pPr>
        <w:pStyle w:val="Heading2"/>
        <w:rPr/>
      </w:pPr>
      <w:bookmarkStart w:colFirst="0" w:colLast="0" w:name="_glhc8wwmz8nw" w:id="16"/>
      <w:bookmarkEnd w:id="16"/>
      <w:r w:rsidDel="00000000" w:rsidR="00000000" w:rsidRPr="00000000">
        <w:rPr>
          <w:rtl w:val="0"/>
        </w:rPr>
        <w:t xml:space="preserve">Right to physical and mental health (article 12)</w:t>
      </w:r>
    </w:p>
    <w:p w:rsidR="00000000" w:rsidDel="00000000" w:rsidP="00000000" w:rsidRDefault="00000000" w:rsidRPr="00000000" w14:paraId="00000032">
      <w:pPr>
        <w:pStyle w:val="Heading3"/>
        <w:rPr/>
      </w:pPr>
      <w:bookmarkStart w:colFirst="0" w:colLast="0" w:name="_46mip6o8yod0" w:id="17"/>
      <w:bookmarkEnd w:id="17"/>
      <w:r w:rsidDel="00000000" w:rsidR="00000000" w:rsidRPr="00000000">
        <w:rPr>
          <w:rtl w:val="0"/>
        </w:rPr>
        <w:t xml:space="preserve">Sex Matters response</w:t>
      </w:r>
    </w:p>
    <w:p w:rsidR="00000000" w:rsidDel="00000000" w:rsidP="00000000" w:rsidRDefault="00000000" w:rsidRPr="00000000" w14:paraId="00000033">
      <w:pPr>
        <w:rPr/>
      </w:pPr>
      <w:r w:rsidDel="00000000" w:rsidR="00000000" w:rsidRPr="00000000">
        <w:rPr>
          <w:rtl w:val="0"/>
        </w:rPr>
        <w:t xml:space="preserve">This section makes no mention of the widely-reported issues affecting female participation in sport and recreation. Women and girls are an under-represented group in sport</w:t>
      </w:r>
      <w:r w:rsidDel="00000000" w:rsidR="00000000" w:rsidRPr="00000000">
        <w:rPr>
          <w:vertAlign w:val="superscript"/>
        </w:rPr>
        <w:footnoteReference w:customMarkFollows="0" w:id="11"/>
      </w:r>
      <w:r w:rsidDel="00000000" w:rsidR="00000000" w:rsidRPr="00000000">
        <w:rPr>
          <w:rtl w:val="0"/>
        </w:rPr>
        <w:t xml:space="preserve">. Removing obstacles and increasing their participation is an important policy goal. Measures to include other groups that may be under-represented should not be undertaken in a way that is detrimental to the participation of women and girls.</w:t>
      </w:r>
    </w:p>
    <w:p w:rsidR="00000000" w:rsidDel="00000000" w:rsidP="00000000" w:rsidRDefault="00000000" w:rsidRPr="00000000" w14:paraId="00000034">
      <w:pPr>
        <w:spacing w:after="200" w:line="276" w:lineRule="auto"/>
        <w:rPr/>
      </w:pPr>
      <w:r w:rsidDel="00000000" w:rsidR="00000000" w:rsidRPr="00000000">
        <w:rPr>
          <w:rtl w:val="0"/>
        </w:rPr>
        <w:t xml:space="preserve">Prior to 2021, clear guidance to this effect has been lacking, and many sports, clubs and leisure facilities have adopted policies that undermine this aim by permitting males who identify as female to access women’s and girls’ facilities and sports, and counting this towards diversity and inclusion goals. This denies privacy in changing rooms to women and girls. It also creates unfair and sometimes unsafe play, as has been stated unequivocally by the Sports Councils’ Equality Group (SCEG) in its 2021 transgender inclusion guidance.</w:t>
      </w:r>
      <w:r w:rsidDel="00000000" w:rsidR="00000000" w:rsidRPr="00000000">
        <w:rPr>
          <w:vertAlign w:val="superscript"/>
        </w:rPr>
        <w:footnoteReference w:customMarkFollows="0" w:id="12"/>
      </w:r>
      <w:r w:rsidDel="00000000" w:rsidR="00000000" w:rsidRPr="00000000">
        <w:rPr>
          <w:rtl w:val="0"/>
        </w:rPr>
      </w:r>
    </w:p>
    <w:p w:rsidR="00000000" w:rsidDel="00000000" w:rsidP="00000000" w:rsidRDefault="00000000" w:rsidRPr="00000000" w14:paraId="00000035">
      <w:pPr>
        <w:spacing w:after="200" w:line="276" w:lineRule="auto"/>
        <w:rPr/>
      </w:pPr>
      <w:r w:rsidDel="00000000" w:rsidR="00000000" w:rsidRPr="00000000">
        <w:rPr>
          <w:rtl w:val="0"/>
        </w:rPr>
        <w:t xml:space="preserve">Although some sports bodies have reversed such policies in recent years and are restoring female-only categories, the problem remains at every level and across a majority of sports.</w:t>
      </w:r>
    </w:p>
    <w:p w:rsidR="00000000" w:rsidDel="00000000" w:rsidP="00000000" w:rsidRDefault="00000000" w:rsidRPr="00000000" w14:paraId="00000036">
      <w:pPr>
        <w:rPr/>
      </w:pPr>
      <w:r w:rsidDel="00000000" w:rsidR="00000000" w:rsidRPr="00000000">
        <w:rPr>
          <w:rtl w:val="0"/>
        </w:rPr>
        <w:t xml:space="preserve">In order to meet its obligations under article 12, the UK government must do more to ensure fair and safe sports opportunities for women and girls. In gender-affected sports, this means no male participants in the women’s category, regardless of how they identify.</w:t>
      </w:r>
    </w:p>
    <w:p w:rsidR="00000000" w:rsidDel="00000000" w:rsidP="00000000" w:rsidRDefault="00000000" w:rsidRPr="00000000" w14:paraId="00000037">
      <w:pPr>
        <w:pStyle w:val="Heading2"/>
        <w:rPr/>
      </w:pPr>
      <w:bookmarkStart w:colFirst="0" w:colLast="0" w:name="_xqtns9dhzrf" w:id="18"/>
      <w:bookmarkEnd w:id="18"/>
      <w:r w:rsidDel="00000000" w:rsidR="00000000" w:rsidRPr="00000000">
        <w:rPr>
          <w:rtl w:val="0"/>
        </w:rPr>
        <w:t xml:space="preserve">Cultural rights (article 15)</w:t>
      </w:r>
    </w:p>
    <w:p w:rsidR="00000000" w:rsidDel="00000000" w:rsidP="00000000" w:rsidRDefault="00000000" w:rsidRPr="00000000" w14:paraId="00000038">
      <w:pPr>
        <w:rPr>
          <w:b w:val="1"/>
        </w:rPr>
      </w:pPr>
      <w:r w:rsidDel="00000000" w:rsidR="00000000" w:rsidRPr="00000000">
        <w:rPr>
          <w:b w:val="1"/>
          <w:rtl w:val="0"/>
        </w:rPr>
        <w:t xml:space="preserve">41. Access to sports, sports facilities and competitions by persons with disabilities and transgender persons </w:t>
      </w:r>
    </w:p>
    <w:p w:rsidR="00000000" w:rsidDel="00000000" w:rsidP="00000000" w:rsidRDefault="00000000" w:rsidRPr="00000000" w14:paraId="00000039">
      <w:pPr>
        <w:pStyle w:val="Heading3"/>
        <w:rPr/>
      </w:pPr>
      <w:bookmarkStart w:colFirst="0" w:colLast="0" w:name="_wtz4myncaa3f" w:id="19"/>
      <w:bookmarkEnd w:id="19"/>
      <w:r w:rsidDel="00000000" w:rsidR="00000000" w:rsidRPr="00000000">
        <w:rPr>
          <w:rtl w:val="0"/>
        </w:rPr>
        <w:t xml:space="preserve">Sex Matters response</w:t>
      </w:r>
    </w:p>
    <w:p w:rsidR="00000000" w:rsidDel="00000000" w:rsidP="00000000" w:rsidRDefault="00000000" w:rsidRPr="00000000" w14:paraId="0000003A">
      <w:pPr>
        <w:rPr/>
      </w:pPr>
      <w:r w:rsidDel="00000000" w:rsidR="00000000" w:rsidRPr="00000000">
        <w:rPr>
          <w:rtl w:val="0"/>
        </w:rPr>
        <w:t xml:space="preserve">We welcome the UK state response which commits to “delivering more opportunities for women and girls and disabled players to participate”, citing initiatives in football, the country’s most popular participation sport</w:t>
      </w:r>
      <w:r w:rsidDel="00000000" w:rsidR="00000000" w:rsidRPr="00000000">
        <w:rPr>
          <w:b w:val="1"/>
          <w:rtl w:val="0"/>
        </w:rPr>
        <w:t xml:space="preserve">.</w:t>
      </w:r>
      <w:r w:rsidDel="00000000" w:rsidR="00000000" w:rsidRPr="00000000">
        <w:rPr>
          <w:vertAlign w:val="superscript"/>
        </w:rPr>
        <w:footnoteReference w:customMarkFollows="0" w:id="13"/>
      </w:r>
      <w:r w:rsidDel="00000000" w:rsidR="00000000" w:rsidRPr="00000000">
        <w:rPr>
          <w:b w:val="1"/>
          <w:rtl w:val="0"/>
        </w:rPr>
        <w:t xml:space="preserve"> </w:t>
      </w:r>
      <w:r w:rsidDel="00000000" w:rsidR="00000000" w:rsidRPr="00000000">
        <w:rPr>
          <w:rtl w:val="0"/>
        </w:rPr>
        <w:t xml:space="preserve">However, the failure to enforce the strong direction from the Sports Councils’ Equality Group (SCEG) in its 2021 transgender inclusion guidance totally undermines these initiatives. The guidance states unequivocally that the inclusion of trans-identifying male players in the women’s category cannot be balanced with fair sport for female players, and in some sports women’s safety is also at risk. Football is a contact sport in which male strength and speed create both significant advantages for male players and a serious injury risk for females who try to tackle them. It is dominated by male players, so just a few of these players identifying into women’s teams have a serious impact. Newspaper reports have shown how one male player negatively affects dozens of women around him.</w:t>
      </w:r>
      <w:r w:rsidDel="00000000" w:rsidR="00000000" w:rsidRPr="00000000">
        <w:rPr>
          <w:vertAlign w:val="superscript"/>
        </w:rPr>
        <w:footnoteReference w:customMarkFollows="0" w:id="14"/>
      </w:r>
      <w:r w:rsidDel="00000000" w:rsidR="00000000" w:rsidRPr="00000000">
        <w:rPr>
          <w:rtl w:val="0"/>
        </w:rPr>
        <w:t xml:space="preserve"> This is not an isolated example.</w:t>
      </w:r>
    </w:p>
    <w:tbl>
      <w:tblPr>
        <w:tblStyle w:val="Table1"/>
        <w:tblW w:w="907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75"/>
        <w:tblGridChange w:id="0">
          <w:tblGrid>
            <w:gridCol w:w="90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b w:val="1"/>
                <w:rtl w:val="0"/>
              </w:rPr>
              <w:t xml:space="preserve">Overall we recommend that the UK clarifies the Equality Act 2010 and associated guidance and policies</w:t>
            </w:r>
            <w:r w:rsidDel="00000000" w:rsidR="00000000" w:rsidRPr="00000000">
              <w:rPr>
                <w:rtl w:val="0"/>
              </w:rPr>
              <w:t xml:space="preserve"> to be clear that the rights of women and men to be protected against sex discrimination are based on the ordinary conception of the two sexes.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t xml:space="preserve">This would not undermine the rights of people who identify as transgender to “</w:t>
            </w:r>
            <w:r w:rsidDel="00000000" w:rsidR="00000000" w:rsidRPr="00000000">
              <w:rPr>
                <w:rtl w:val="0"/>
              </w:rPr>
              <w:t xml:space="preserve">self-determination”, but would  recognise that being male or female is not a matter of self-determination but a material reality. </w:t>
            </w:r>
            <w:r w:rsidDel="00000000" w:rsidR="00000000" w:rsidRPr="00000000">
              <w:rPr>
                <w:rtl w:val="0"/>
              </w:rPr>
              <w:t xml:space="preserve">This understanding and legal framework is critical to meet Article 3 of the I</w:t>
            </w:r>
            <w:r w:rsidDel="00000000" w:rsidR="00000000" w:rsidRPr="00000000">
              <w:rPr>
                <w:rtl w:val="0"/>
              </w:rPr>
              <w:t xml:space="preserve">nternational Covenant on Economic, Social and Cultural Rights, CEDAW and the Istanbul Convention, as well as protecting rights of women and men secured by the  European Convention on Human Rights. </w:t>
            </w:r>
            <w:r w:rsidDel="00000000" w:rsidR="00000000" w:rsidRPr="00000000">
              <w:rPr>
                <w:rtl w:val="0"/>
              </w:rPr>
            </w:r>
          </w:p>
        </w:tc>
      </w:tr>
    </w:tbl>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rFonts w:ascii="Calibri" w:cs="Calibri" w:eastAsia="Calibri" w:hAnsi="Calibri"/>
          <w:b w:val="1"/>
        </w:rPr>
      </w:pPr>
      <w:r w:rsidDel="00000000" w:rsidR="00000000" w:rsidRPr="00000000">
        <w:rPr>
          <w:rtl w:val="0"/>
        </w:rPr>
        <w:t xml:space="preserve">Written by Maya Forstater, CEO  </w:t>
        <w:tab/>
        <w:tab/>
      </w:r>
      <w:hyperlink r:id="rId8">
        <w:r w:rsidDel="00000000" w:rsidR="00000000" w:rsidRPr="00000000">
          <w:rPr>
            <w:color w:val="1155cc"/>
            <w:u w:val="single"/>
            <w:rtl w:val="0"/>
          </w:rPr>
          <w:t xml:space="preserve">maya.forstater@sex-matters.org</w:t>
        </w:r>
      </w:hyperlink>
      <w:r w:rsidDel="00000000" w:rsidR="00000000" w:rsidRPr="00000000">
        <w:rPr>
          <w:rtl w:val="0"/>
        </w:rPr>
        <w:br w:type="textWrapping"/>
        <w:t xml:space="preserve">Fiona McAnena, Director of campaigns  </w:t>
        <w:tab/>
      </w:r>
      <w:hyperlink r:id="rId9">
        <w:r w:rsidDel="00000000" w:rsidR="00000000" w:rsidRPr="00000000">
          <w:rPr>
            <w:color w:val="1155cc"/>
            <w:u w:val="single"/>
            <w:rtl w:val="0"/>
          </w:rPr>
          <w:t xml:space="preserve">fiona.mcanena@sex-matters.org</w:t>
        </w:r>
      </w:hyperlink>
      <w:r w:rsidDel="00000000" w:rsidR="00000000" w:rsidRPr="00000000">
        <w:rPr>
          <w:rtl w:val="0"/>
        </w:rPr>
        <w:br w:type="textWrapping"/>
      </w:r>
      <w:hyperlink r:id="rId10">
        <w:r w:rsidDel="00000000" w:rsidR="00000000" w:rsidRPr="00000000">
          <w:rPr>
            <w:b w:val="1"/>
            <w:color w:val="1155cc"/>
            <w:u w:val="single"/>
            <w:rtl w:val="0"/>
          </w:rPr>
          <w:t xml:space="preserve">www.sex-matters.org</w:t>
        </w:r>
      </w:hyperlink>
      <w:r w:rsidDel="00000000" w:rsidR="00000000" w:rsidRPr="00000000">
        <w:rPr>
          <w:rtl w:val="0"/>
        </w:rPr>
      </w:r>
    </w:p>
    <w:sectPr>
      <w:headerReference r:id="rId11" w:type="default"/>
      <w:headerReference r:id="rId12" w:type="first"/>
      <w:footerReference r:id="rId13" w:type="default"/>
      <w:footerReference r:id="rId14" w:type="first"/>
      <w:pgSz w:h="16834" w:w="11909" w:orient="portrait"/>
      <w:pgMar w:bottom="1417.3228346456694" w:top="2267.716535433071" w:left="1417.3228346456694" w:right="1417.3228346456694" w:header="72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Roboto Black">
    <w:embedBold w:fontKey="{00000000-0000-0000-0000-000000000000}" r:id="rId1" w:subsetted="0"/>
    <w:embedBoldItalic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1">
    <w:pPr>
      <w:spacing w:after="0" w:before="400" w:lineRule="auto"/>
      <w:jc w:val="right"/>
      <w:rPr>
        <w:sz w:val="20"/>
        <w:szCs w:val="2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2">
    <w:pPr>
      <w:pStyle w:val="Heading6"/>
      <w:tabs>
        <w:tab w:val="right" w:leader="none" w:pos="9360"/>
      </w:tabs>
      <w:spacing w:after="0" w:before="0" w:lineRule="auto"/>
      <w:rPr>
        <w:i w:val="0"/>
        <w:color w:val="6d6d6d"/>
        <w:sz w:val="20"/>
        <w:szCs w:val="20"/>
      </w:rPr>
    </w:pPr>
    <w:bookmarkStart w:colFirst="0" w:colLast="0" w:name="_pyx5onqoh1yk" w:id="20"/>
    <w:bookmarkEnd w:id="20"/>
    <w:r w:rsidDel="00000000" w:rsidR="00000000" w:rsidRPr="00000000">
      <w:rPr>
        <w:i w:val="0"/>
        <w:color w:val="6d6d6d"/>
        <w:sz w:val="20"/>
        <w:szCs w:val="20"/>
        <w:rtl w:val="0"/>
      </w:rPr>
      <w:tab/>
      <w:t xml:space="preserve">page </w:t>
    </w:r>
    <w:r w:rsidDel="00000000" w:rsidR="00000000" w:rsidRPr="00000000">
      <w:rPr>
        <w:i w:val="0"/>
        <w:color w:val="6d6d6d"/>
        <w:sz w:val="20"/>
        <w:szCs w:val="2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13">
    <w:p w:rsidR="00000000" w:rsidDel="00000000" w:rsidP="00000000" w:rsidRDefault="00000000" w:rsidRPr="00000000" w14:paraId="00000043">
      <w:pPr>
        <w:pStyle w:val="Heading5"/>
        <w:spacing w:after="60" w:line="264" w:lineRule="auto"/>
        <w:ind w:left="0" w:right="0" w:firstLine="0"/>
        <w:rPr>
          <w:color w:val="666666"/>
          <w:sz w:val="18"/>
          <w:szCs w:val="18"/>
          <w:u w:val="single"/>
        </w:rPr>
      </w:pPr>
      <w:bookmarkStart w:colFirst="0" w:colLast="0" w:name="_2r2dh0rkbbja" w:id="21"/>
      <w:bookmarkEnd w:id="21"/>
      <w:r w:rsidDel="00000000" w:rsidR="00000000" w:rsidRPr="00000000">
        <w:rPr>
          <w:rStyle w:val="FootnoteReference"/>
          <w:vertAlign w:val="superscript"/>
        </w:rPr>
        <w:footnoteRef/>
      </w:r>
      <w:r w:rsidDel="00000000" w:rsidR="00000000" w:rsidRPr="00000000">
        <w:rPr>
          <w:color w:val="666666"/>
          <w:sz w:val="18"/>
          <w:szCs w:val="18"/>
          <w:rtl w:val="0"/>
        </w:rPr>
        <w:t xml:space="preserve"> </w:t>
      </w:r>
      <w:hyperlink r:id="rId1">
        <w:r w:rsidDel="00000000" w:rsidR="00000000" w:rsidRPr="00000000">
          <w:rPr>
            <w:color w:val="666666"/>
            <w:sz w:val="18"/>
            <w:szCs w:val="18"/>
            <w:u w:val="single"/>
            <w:rtl w:val="0"/>
          </w:rPr>
          <w:t xml:space="preserve">https://www.statista.com/statistics/975115/sport-participation-england/</w:t>
        </w:r>
      </w:hyperlink>
      <w:r w:rsidDel="00000000" w:rsidR="00000000" w:rsidRPr="00000000">
        <w:rPr>
          <w:rtl w:val="0"/>
        </w:rPr>
      </w:r>
    </w:p>
  </w:footnote>
  <w:footnote w:id="14">
    <w:p w:rsidR="00000000" w:rsidDel="00000000" w:rsidP="00000000" w:rsidRDefault="00000000" w:rsidRPr="00000000" w14:paraId="00000044">
      <w:pPr>
        <w:pStyle w:val="Heading5"/>
        <w:spacing w:after="60" w:line="264" w:lineRule="auto"/>
        <w:ind w:left="0" w:right="0" w:firstLine="0"/>
        <w:rPr>
          <w:color w:val="666666"/>
          <w:sz w:val="18"/>
          <w:szCs w:val="18"/>
        </w:rPr>
      </w:pPr>
      <w:bookmarkStart w:colFirst="0" w:colLast="0" w:name="_3vl09whkjzf1" w:id="22"/>
      <w:bookmarkEnd w:id="22"/>
      <w:r w:rsidDel="00000000" w:rsidR="00000000" w:rsidRPr="00000000">
        <w:rPr>
          <w:rStyle w:val="FootnoteReference"/>
          <w:vertAlign w:val="superscript"/>
        </w:rPr>
        <w:footnoteRef/>
      </w:r>
      <w:r w:rsidDel="00000000" w:rsidR="00000000" w:rsidRPr="00000000">
        <w:rPr>
          <w:color w:val="666666"/>
          <w:sz w:val="18"/>
          <w:szCs w:val="18"/>
          <w:rtl w:val="0"/>
        </w:rPr>
        <w:t xml:space="preserve"> </w:t>
      </w:r>
      <w:hyperlink r:id="rId2">
        <w:r w:rsidDel="00000000" w:rsidR="00000000" w:rsidRPr="00000000">
          <w:rPr>
            <w:color w:val="666666"/>
            <w:sz w:val="18"/>
            <w:szCs w:val="18"/>
            <w:u w:val="single"/>
            <w:rtl w:val="0"/>
          </w:rPr>
          <w:t xml:space="preserve">https://www.telegraph.co.uk/football/2023/11/20/football-teams-refuse-transgender-player-injury-sheffield/</w:t>
        </w:r>
      </w:hyperlink>
      <w:r w:rsidDel="00000000" w:rsidR="00000000" w:rsidRPr="00000000">
        <w:rPr>
          <w:rtl w:val="0"/>
        </w:rPr>
      </w:r>
    </w:p>
  </w:footnote>
  <w:footnote w:id="11">
    <w:p w:rsidR="00000000" w:rsidDel="00000000" w:rsidP="00000000" w:rsidRDefault="00000000" w:rsidRPr="00000000" w14:paraId="00000045">
      <w:pPr>
        <w:pStyle w:val="Heading5"/>
        <w:spacing w:after="60" w:line="240" w:lineRule="auto"/>
        <w:ind w:left="0" w:right="0" w:firstLine="0"/>
        <w:rPr>
          <w:color w:val="666666"/>
          <w:sz w:val="18"/>
          <w:szCs w:val="18"/>
        </w:rPr>
      </w:pPr>
      <w:bookmarkStart w:colFirst="0" w:colLast="0" w:name="_b6xale8h81e0" w:id="23"/>
      <w:bookmarkEnd w:id="23"/>
      <w:r w:rsidDel="00000000" w:rsidR="00000000" w:rsidRPr="00000000">
        <w:rPr>
          <w:rStyle w:val="FootnoteReference"/>
          <w:vertAlign w:val="superscript"/>
        </w:rPr>
        <w:footnoteRef/>
      </w:r>
      <w:r w:rsidDel="00000000" w:rsidR="00000000" w:rsidRPr="00000000">
        <w:rPr>
          <w:color w:val="666666"/>
          <w:sz w:val="18"/>
          <w:szCs w:val="18"/>
          <w:rtl w:val="0"/>
        </w:rPr>
        <w:t xml:space="preserve"> </w:t>
      </w:r>
      <w:hyperlink r:id="rId3">
        <w:r w:rsidDel="00000000" w:rsidR="00000000" w:rsidRPr="00000000">
          <w:rPr>
            <w:color w:val="666666"/>
            <w:sz w:val="18"/>
            <w:szCs w:val="18"/>
            <w:u w:val="single"/>
            <w:rtl w:val="0"/>
          </w:rPr>
          <w:t xml:space="preserve">https://womeninsport.org/sexism-in-sport/</w:t>
        </w:r>
      </w:hyperlink>
      <w:r w:rsidDel="00000000" w:rsidR="00000000" w:rsidRPr="00000000">
        <w:rPr>
          <w:rtl w:val="0"/>
        </w:rPr>
      </w:r>
    </w:p>
  </w:footnote>
  <w:footnote w:id="12">
    <w:p w:rsidR="00000000" w:rsidDel="00000000" w:rsidP="00000000" w:rsidRDefault="00000000" w:rsidRPr="00000000" w14:paraId="00000046">
      <w:pPr>
        <w:pStyle w:val="Heading5"/>
        <w:spacing w:after="60" w:line="264" w:lineRule="auto"/>
        <w:ind w:left="0" w:right="0" w:firstLine="0"/>
        <w:rPr>
          <w:color w:val="666666"/>
          <w:sz w:val="18"/>
          <w:szCs w:val="18"/>
          <w:u w:val="single"/>
        </w:rPr>
      </w:pPr>
      <w:bookmarkStart w:colFirst="0" w:colLast="0" w:name="_k7xmfvy3ccw7" w:id="24"/>
      <w:bookmarkEnd w:id="24"/>
      <w:r w:rsidDel="00000000" w:rsidR="00000000" w:rsidRPr="00000000">
        <w:rPr>
          <w:rStyle w:val="FootnoteReference"/>
          <w:vertAlign w:val="superscript"/>
        </w:rPr>
        <w:footnoteRef/>
      </w:r>
      <w:r w:rsidDel="00000000" w:rsidR="00000000" w:rsidRPr="00000000">
        <w:rPr>
          <w:color w:val="666666"/>
          <w:sz w:val="18"/>
          <w:szCs w:val="18"/>
          <w:u w:val="single"/>
          <w:rtl w:val="0"/>
        </w:rPr>
        <w:t xml:space="preserve"> </w:t>
      </w:r>
      <w:hyperlink r:id="rId4">
        <w:r w:rsidDel="00000000" w:rsidR="00000000" w:rsidRPr="00000000">
          <w:rPr>
            <w:color w:val="666666"/>
            <w:sz w:val="18"/>
            <w:szCs w:val="18"/>
            <w:u w:val="single"/>
            <w:rtl w:val="0"/>
          </w:rPr>
          <w:t xml:space="preserve">https://movingtoinclusion.co.uk/wp-content/uploads/2023/07/Guidance-For-Transgender-Inclusion-In-</w:t>
          <w:br w:type="textWrapping"/>
          <w:t xml:space="preserve">Domestic-Sport-2021.pdf</w:t>
        </w:r>
      </w:hyperlink>
      <w:r w:rsidDel="00000000" w:rsidR="00000000" w:rsidRPr="00000000">
        <w:rPr>
          <w:color w:val="666666"/>
          <w:sz w:val="18"/>
          <w:szCs w:val="18"/>
          <w:u w:val="single"/>
          <w:rtl w:val="0"/>
        </w:rPr>
        <w:t xml:space="preserve"> </w:t>
      </w:r>
    </w:p>
  </w:footnote>
  <w:footnote w:id="4">
    <w:p w:rsidR="00000000" w:rsidDel="00000000" w:rsidP="00000000" w:rsidRDefault="00000000" w:rsidRPr="00000000" w14:paraId="00000047">
      <w:pPr>
        <w:pStyle w:val="Heading6"/>
        <w:rPr/>
      </w:pPr>
      <w:bookmarkStart w:colFirst="0" w:colLast="0" w:name="_8fcnk9w3fqx6" w:id="25"/>
      <w:bookmarkEnd w:id="25"/>
      <w:r w:rsidDel="00000000" w:rsidR="00000000" w:rsidRPr="00000000">
        <w:rPr>
          <w:rStyle w:val="FootnoteReference"/>
          <w:vertAlign w:val="superscript"/>
        </w:rPr>
        <w:footnoteRef/>
      </w:r>
      <w:r w:rsidDel="00000000" w:rsidR="00000000" w:rsidRPr="00000000">
        <w:rPr>
          <w:rtl w:val="0"/>
        </w:rPr>
        <w:t xml:space="preserve"> </w:t>
      </w:r>
      <w:hyperlink r:id="rId5">
        <w:r w:rsidDel="00000000" w:rsidR="00000000" w:rsidRPr="00000000">
          <w:rPr>
            <w:u w:val="single"/>
            <w:rtl w:val="0"/>
          </w:rPr>
          <w:t xml:space="preserve">https://osr.statisticsauthority.gov.uk/publication/collecting-and-reporting-data-about-sex-and-gender-identity</w:t>
          <w:br w:type="textWrapping"/>
          <w:t xml:space="preserve">-in-official-statistics-a-guide-for-official-statistics-producers/</w:t>
        </w:r>
      </w:hyperlink>
      <w:r w:rsidDel="00000000" w:rsidR="00000000" w:rsidRPr="00000000">
        <w:rPr>
          <w:rtl w:val="0"/>
        </w:rPr>
        <w:t xml:space="preserve"> </w:t>
      </w:r>
    </w:p>
  </w:footnote>
  <w:footnote w:id="5">
    <w:p w:rsidR="00000000" w:rsidDel="00000000" w:rsidP="00000000" w:rsidRDefault="00000000" w:rsidRPr="00000000" w14:paraId="00000048">
      <w:pPr>
        <w:pStyle w:val="Heading6"/>
        <w:rPr/>
      </w:pPr>
      <w:bookmarkStart w:colFirst="0" w:colLast="0" w:name="_h3iuzlpskivx" w:id="26"/>
      <w:bookmarkEnd w:id="26"/>
      <w:r w:rsidDel="00000000" w:rsidR="00000000" w:rsidRPr="00000000">
        <w:rPr>
          <w:rStyle w:val="FootnoteReference"/>
          <w:vertAlign w:val="superscript"/>
        </w:rPr>
        <w:footnoteRef/>
      </w:r>
      <w:r w:rsidDel="00000000" w:rsidR="00000000" w:rsidRPr="00000000">
        <w:rPr>
          <w:rtl w:val="0"/>
        </w:rPr>
        <w:t xml:space="preserve"> </w:t>
      </w:r>
      <w:hyperlink r:id="rId6">
        <w:r w:rsidDel="00000000" w:rsidR="00000000" w:rsidRPr="00000000">
          <w:rPr>
            <w:u w:val="single"/>
            <w:rtl w:val="0"/>
          </w:rPr>
          <w:t xml:space="preserve">https://sex-matters.org/posts/updates/theres-still-a-fatal-flaw-in-the-governments-digital-trust-framework/</w:t>
        </w:r>
      </w:hyperlink>
      <w:r w:rsidDel="00000000" w:rsidR="00000000" w:rsidRPr="00000000">
        <w:rPr>
          <w:rtl w:val="0"/>
        </w:rPr>
        <w:t xml:space="preserve"> </w:t>
      </w:r>
    </w:p>
  </w:footnote>
  <w:footnote w:id="6">
    <w:p w:rsidR="00000000" w:rsidDel="00000000" w:rsidP="00000000" w:rsidRDefault="00000000" w:rsidRPr="00000000" w14:paraId="00000049">
      <w:pPr>
        <w:pStyle w:val="Heading6"/>
        <w:rPr/>
      </w:pPr>
      <w:bookmarkStart w:colFirst="0" w:colLast="0" w:name="_klsm8n37h30c" w:id="27"/>
      <w:bookmarkEnd w:id="27"/>
      <w:r w:rsidDel="00000000" w:rsidR="00000000" w:rsidRPr="00000000">
        <w:rPr>
          <w:rStyle w:val="FootnoteReference"/>
          <w:vertAlign w:val="superscript"/>
        </w:rPr>
        <w:footnoteRef/>
      </w:r>
      <w:r w:rsidDel="00000000" w:rsidR="00000000" w:rsidRPr="00000000">
        <w:rPr>
          <w:rtl w:val="0"/>
        </w:rPr>
        <w:t xml:space="preserve"> </w:t>
      </w:r>
      <w:hyperlink r:id="rId7">
        <w:r w:rsidDel="00000000" w:rsidR="00000000" w:rsidRPr="00000000">
          <w:rPr>
            <w:u w:val="single"/>
            <w:rtl w:val="0"/>
          </w:rPr>
          <w:t xml:space="preserve">https://www.find-npd-data.education.gov.uk/data_elements/0a1016c5-5933-4cb2-97c3-22a26037760d</w:t>
        </w:r>
      </w:hyperlink>
      <w:r w:rsidDel="00000000" w:rsidR="00000000" w:rsidRPr="00000000">
        <w:rPr>
          <w:rtl w:val="0"/>
        </w:rPr>
        <w:t xml:space="preserve"> </w:t>
      </w:r>
    </w:p>
  </w:footnote>
  <w:footnote w:id="1">
    <w:p w:rsidR="00000000" w:rsidDel="00000000" w:rsidP="00000000" w:rsidRDefault="00000000" w:rsidRPr="00000000" w14:paraId="0000004A">
      <w:pPr>
        <w:pStyle w:val="Heading6"/>
        <w:rPr/>
      </w:pPr>
      <w:bookmarkStart w:colFirst="0" w:colLast="0" w:name="_1unaikn8etvw" w:id="28"/>
      <w:bookmarkEnd w:id="28"/>
      <w:r w:rsidDel="00000000" w:rsidR="00000000" w:rsidRPr="00000000">
        <w:rPr>
          <w:rStyle w:val="FootnoteReference"/>
          <w:vertAlign w:val="superscript"/>
        </w:rPr>
        <w:footnoteRef/>
      </w:r>
      <w:r w:rsidDel="00000000" w:rsidR="00000000" w:rsidRPr="00000000">
        <w:rPr>
          <w:rtl w:val="0"/>
        </w:rPr>
        <w:t xml:space="preserve"> </w:t>
      </w:r>
      <w:hyperlink r:id="rId8">
        <w:r w:rsidDel="00000000" w:rsidR="00000000" w:rsidRPr="00000000">
          <w:rPr>
            <w:u w:val="single"/>
            <w:rtl w:val="0"/>
          </w:rPr>
          <w:t xml:space="preserve">https://www.equalityhumanrights.com/sites/default/files/2023/letter-to-mfwe-definition-of-sex-in-ea-210-3-</w:t>
          <w:br w:type="textWrapping"/>
          <w:t xml:space="preserve">april-2023.pdf</w:t>
        </w:r>
      </w:hyperlink>
      <w:r w:rsidDel="00000000" w:rsidR="00000000" w:rsidRPr="00000000">
        <w:rPr>
          <w:rtl w:val="0"/>
        </w:rPr>
        <w:t xml:space="preserve"> </w:t>
      </w:r>
    </w:p>
  </w:footnote>
  <w:footnote w:id="2">
    <w:p w:rsidR="00000000" w:rsidDel="00000000" w:rsidP="00000000" w:rsidRDefault="00000000" w:rsidRPr="00000000" w14:paraId="0000004B">
      <w:pPr>
        <w:pStyle w:val="Heading6"/>
        <w:rPr/>
      </w:pPr>
      <w:bookmarkStart w:colFirst="0" w:colLast="0" w:name="_dxflyt3s7zw3" w:id="29"/>
      <w:bookmarkEnd w:id="29"/>
      <w:r w:rsidDel="00000000" w:rsidR="00000000" w:rsidRPr="00000000">
        <w:rPr>
          <w:rStyle w:val="FootnoteReference"/>
          <w:vertAlign w:val="superscript"/>
        </w:rPr>
        <w:footnoteRef/>
      </w:r>
      <w:r w:rsidDel="00000000" w:rsidR="00000000" w:rsidRPr="00000000">
        <w:rPr>
          <w:rtl w:val="0"/>
        </w:rPr>
        <w:t xml:space="preserve"> </w:t>
      </w:r>
      <w:hyperlink r:id="rId9">
        <w:r w:rsidDel="00000000" w:rsidR="00000000" w:rsidRPr="00000000">
          <w:rPr>
            <w:u w:val="single"/>
            <w:rtl w:val="0"/>
          </w:rPr>
          <w:t xml:space="preserve">https://sex-matters.org/posts/updates/for-women-scotland-in-the-supreme-court/</w:t>
        </w:r>
      </w:hyperlink>
      <w:r w:rsidDel="00000000" w:rsidR="00000000" w:rsidRPr="00000000">
        <w:rPr>
          <w:rtl w:val="0"/>
        </w:rPr>
        <w:t xml:space="preserve"> </w:t>
      </w:r>
    </w:p>
  </w:footnote>
  <w:footnote w:id="7">
    <w:p w:rsidR="00000000" w:rsidDel="00000000" w:rsidP="00000000" w:rsidRDefault="00000000" w:rsidRPr="00000000" w14:paraId="0000004C">
      <w:pPr>
        <w:pStyle w:val="Heading6"/>
        <w:rPr/>
      </w:pPr>
      <w:bookmarkStart w:colFirst="0" w:colLast="0" w:name="_qne86svd4y32" w:id="30"/>
      <w:bookmarkEnd w:id="30"/>
      <w:r w:rsidDel="00000000" w:rsidR="00000000" w:rsidRPr="00000000">
        <w:rPr>
          <w:rStyle w:val="FootnoteReference"/>
          <w:vertAlign w:val="superscript"/>
        </w:rPr>
        <w:footnoteRef/>
      </w:r>
      <w:r w:rsidDel="00000000" w:rsidR="00000000" w:rsidRPr="00000000">
        <w:rPr>
          <w:rtl w:val="0"/>
        </w:rPr>
        <w:t xml:space="preserve"> </w:t>
      </w:r>
      <w:hyperlink r:id="rId10">
        <w:r w:rsidDel="00000000" w:rsidR="00000000" w:rsidRPr="00000000">
          <w:rPr>
            <w:u w:val="single"/>
            <w:rtl w:val="0"/>
          </w:rPr>
          <w:t xml:space="preserve">https://www.equalityhumanrights.com/sites/default/files/2023/letter-to-mfwe-definition-of-sex-in-ea-210-3-</w:t>
          <w:br w:type="textWrapping"/>
          <w:t xml:space="preserve">april-2023.pdf</w:t>
        </w:r>
      </w:hyperlink>
      <w:r w:rsidDel="00000000" w:rsidR="00000000" w:rsidRPr="00000000">
        <w:rPr>
          <w:rtl w:val="0"/>
        </w:rPr>
        <w:t xml:space="preserve"> </w:t>
      </w:r>
    </w:p>
  </w:footnote>
  <w:footnote w:id="8">
    <w:p w:rsidR="00000000" w:rsidDel="00000000" w:rsidP="00000000" w:rsidRDefault="00000000" w:rsidRPr="00000000" w14:paraId="0000004D">
      <w:pPr>
        <w:pStyle w:val="Heading6"/>
        <w:rPr/>
      </w:pPr>
      <w:bookmarkStart w:colFirst="0" w:colLast="0" w:name="_w3i4ihustt5o" w:id="31"/>
      <w:bookmarkEnd w:id="31"/>
      <w:r w:rsidDel="00000000" w:rsidR="00000000" w:rsidRPr="00000000">
        <w:rPr>
          <w:rStyle w:val="FootnoteReference"/>
          <w:vertAlign w:val="superscript"/>
        </w:rPr>
        <w:footnoteRef/>
      </w:r>
      <w:r w:rsidDel="00000000" w:rsidR="00000000" w:rsidRPr="00000000">
        <w:rPr>
          <w:rtl w:val="0"/>
        </w:rPr>
        <w:t xml:space="preserve"> </w:t>
      </w:r>
      <w:hyperlink r:id="rId11">
        <w:r w:rsidDel="00000000" w:rsidR="00000000" w:rsidRPr="00000000">
          <w:rPr>
            <w:u w:val="single"/>
            <w:rtl w:val="0"/>
          </w:rPr>
          <w:t xml:space="preserve">https://sex-matters.org/posts/updates/for-women-scotland-in-the-supreme-court/</w:t>
        </w:r>
      </w:hyperlink>
      <w:r w:rsidDel="00000000" w:rsidR="00000000" w:rsidRPr="00000000">
        <w:rPr>
          <w:rtl w:val="0"/>
        </w:rPr>
        <w:t xml:space="preserve"> </w:t>
      </w:r>
    </w:p>
  </w:footnote>
  <w:footnote w:id="9">
    <w:p w:rsidR="00000000" w:rsidDel="00000000" w:rsidP="00000000" w:rsidRDefault="00000000" w:rsidRPr="00000000" w14:paraId="0000004E">
      <w:pPr>
        <w:pStyle w:val="Heading6"/>
        <w:rPr/>
      </w:pPr>
      <w:bookmarkStart w:colFirst="0" w:colLast="0" w:name="_lvbmcvlrqs09" w:id="32"/>
      <w:bookmarkEnd w:id="32"/>
      <w:r w:rsidDel="00000000" w:rsidR="00000000" w:rsidRPr="00000000">
        <w:rPr>
          <w:rStyle w:val="FootnoteReference"/>
          <w:vertAlign w:val="superscript"/>
        </w:rPr>
        <w:footnoteRef/>
      </w:r>
      <w:r w:rsidDel="00000000" w:rsidR="00000000" w:rsidRPr="00000000">
        <w:rPr>
          <w:rtl w:val="0"/>
        </w:rPr>
        <w:t xml:space="preserve"> </w:t>
      </w:r>
      <w:hyperlink r:id="rId12">
        <w:r w:rsidDel="00000000" w:rsidR="00000000" w:rsidRPr="00000000">
          <w:rPr>
            <w:u w:val="single"/>
            <w:rtl w:val="0"/>
          </w:rPr>
          <w:t xml:space="preserve">https://sex-matters.org/posts/updates/civil-service-must-return-to-impartiality-and-protection-for-all/</w:t>
        </w:r>
      </w:hyperlink>
      <w:r w:rsidDel="00000000" w:rsidR="00000000" w:rsidRPr="00000000">
        <w:rPr>
          <w:rtl w:val="0"/>
        </w:rPr>
        <w:t xml:space="preserve"> </w:t>
      </w:r>
    </w:p>
  </w:footnote>
  <w:footnote w:id="3">
    <w:p w:rsidR="00000000" w:rsidDel="00000000" w:rsidP="00000000" w:rsidRDefault="00000000" w:rsidRPr="00000000" w14:paraId="0000004F">
      <w:pPr>
        <w:pStyle w:val="Heading6"/>
        <w:rPr/>
      </w:pPr>
      <w:bookmarkStart w:colFirst="0" w:colLast="0" w:name="_qsjbeniqs3ep" w:id="33"/>
      <w:bookmarkEnd w:id="33"/>
      <w:r w:rsidDel="00000000" w:rsidR="00000000" w:rsidRPr="00000000">
        <w:rPr>
          <w:rStyle w:val="FootnoteReference"/>
          <w:vertAlign w:val="superscript"/>
        </w:rPr>
        <w:footnoteRef/>
      </w:r>
      <w:r w:rsidDel="00000000" w:rsidR="00000000" w:rsidRPr="00000000">
        <w:rPr>
          <w:rtl w:val="0"/>
        </w:rPr>
        <w:t xml:space="preserve"> </w:t>
      </w:r>
      <w:hyperlink r:id="rId13">
        <w:r w:rsidDel="00000000" w:rsidR="00000000" w:rsidRPr="00000000">
          <w:rPr>
            <w:u w:val="single"/>
            <w:rtl w:val="0"/>
          </w:rPr>
          <w:t xml:space="preserve">https://claireob1.substack.com/p/does-international-human-rights-law</w:t>
        </w:r>
      </w:hyperlink>
      <w:r w:rsidDel="00000000" w:rsidR="00000000" w:rsidRPr="00000000">
        <w:rPr>
          <w:rtl w:val="0"/>
        </w:rPr>
        <w:t xml:space="preserve"> </w:t>
      </w:r>
    </w:p>
  </w:footnote>
  <w:footnote w:id="10">
    <w:p w:rsidR="00000000" w:rsidDel="00000000" w:rsidP="00000000" w:rsidRDefault="00000000" w:rsidRPr="00000000" w14:paraId="00000050">
      <w:pPr>
        <w:pStyle w:val="Heading6"/>
        <w:rPr/>
      </w:pPr>
      <w:bookmarkStart w:colFirst="0" w:colLast="0" w:name="_dx54d5gg644f" w:id="34"/>
      <w:bookmarkEnd w:id="34"/>
      <w:r w:rsidDel="00000000" w:rsidR="00000000" w:rsidRPr="00000000">
        <w:rPr>
          <w:rStyle w:val="FootnoteReference"/>
          <w:vertAlign w:val="superscript"/>
        </w:rPr>
        <w:footnoteRef/>
      </w:r>
      <w:r w:rsidDel="00000000" w:rsidR="00000000" w:rsidRPr="00000000">
        <w:rPr>
          <w:rtl w:val="0"/>
        </w:rPr>
        <w:t xml:space="preserve"> </w:t>
      </w:r>
      <w:hyperlink r:id="rId14">
        <w:r w:rsidDel="00000000" w:rsidR="00000000" w:rsidRPr="00000000">
          <w:rPr>
            <w:u w:val="single"/>
            <w:rtl w:val="0"/>
          </w:rPr>
          <w:t xml:space="preserve">https://cass.independent-review.uk/home/publications/final-report/</w:t>
        </w:r>
      </w:hyperlink>
      <w:r w:rsidDel="00000000" w:rsidR="00000000" w:rsidRPr="00000000">
        <w:rPr>
          <w:rtl w:val="0"/>
        </w:rPr>
        <w:t xml:space="preserve"> </w:t>
      </w:r>
    </w:p>
  </w:footnote>
  <w:footnote w:id="0">
    <w:p w:rsidR="00000000" w:rsidDel="00000000" w:rsidP="00000000" w:rsidRDefault="00000000" w:rsidRPr="00000000" w14:paraId="00000051">
      <w:pPr>
        <w:pStyle w:val="Heading6"/>
        <w:rPr/>
      </w:pPr>
      <w:bookmarkStart w:colFirst="0" w:colLast="0" w:name="_apxf6qdh0tww" w:id="35"/>
      <w:bookmarkEnd w:id="35"/>
      <w:r w:rsidDel="00000000" w:rsidR="00000000" w:rsidRPr="00000000">
        <w:rPr>
          <w:rStyle w:val="FootnoteReference"/>
          <w:vertAlign w:val="superscript"/>
        </w:rPr>
        <w:footnoteRef/>
      </w:r>
      <w:r w:rsidDel="00000000" w:rsidR="00000000" w:rsidRPr="00000000">
        <w:rPr>
          <w:rtl w:val="0"/>
        </w:rPr>
        <w:t xml:space="preserve"> </w:t>
      </w:r>
      <w:hyperlink r:id="rId15">
        <w:r w:rsidDel="00000000" w:rsidR="00000000" w:rsidRPr="00000000">
          <w:rPr>
            <w:u w:val="single"/>
            <w:rtl w:val="0"/>
          </w:rPr>
          <w:t xml:space="preserve">https://sex-matters.org/posts/publications/why-sex-matters-for-human-rights-our-organisational-framework/</w:t>
        </w:r>
      </w:hyperlink>
      <w:r w:rsidDel="00000000" w:rsidR="00000000" w:rsidRPr="00000000">
        <w:rPr>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rPr/>
    </w:pPr>
    <w:r w:rsidDel="00000000" w:rsidR="00000000" w:rsidRPr="00000000">
      <w:rPr/>
      <w:drawing>
        <wp:anchor allowOverlap="1" behindDoc="0" distB="0" distT="0" distL="114300" distR="114300" hidden="0" layoutInCell="1" locked="0" relativeHeight="0" simplePos="0">
          <wp:simplePos x="0" y="0"/>
          <wp:positionH relativeFrom="page">
            <wp:posOffset>5030520</wp:posOffset>
          </wp:positionH>
          <wp:positionV relativeFrom="page">
            <wp:posOffset>609600</wp:posOffset>
          </wp:positionV>
          <wp:extent cx="1626069" cy="395288"/>
          <wp:effectExtent b="0" l="0" r="0" t="0"/>
          <wp:wrapTopAndBottom distB="0" distT="0"/>
          <wp:docPr id="4"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1626069" cy="395288"/>
                  </a:xfrm>
                  <a:prstGeom prst="rect"/>
                  <a:ln/>
                </pic:spPr>
              </pic:pic>
            </a:graphicData>
          </a:graphic>
        </wp:anchor>
      </w:drawing>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-1266824</wp:posOffset>
              </wp:positionH>
              <wp:positionV relativeFrom="paragraph">
                <wp:posOffset>-457199</wp:posOffset>
              </wp:positionV>
              <wp:extent cx="8334375" cy="204788"/>
              <wp:effectExtent b="0" l="0" r="0" t="0"/>
              <wp:wrapNone/>
              <wp:docPr id="1" name=""/>
              <a:graphic>
                <a:graphicData uri="http://schemas.microsoft.com/office/word/2010/wordprocessingShape">
                  <wps:wsp>
                    <wps:cNvSpPr/>
                    <wps:cNvPr id="2" name="Shape 2"/>
                    <wps:spPr>
                      <a:xfrm>
                        <a:off x="1381826" y="3637107"/>
                        <a:ext cx="7928348" cy="285787"/>
                      </a:xfrm>
                      <a:prstGeom prst="rect">
                        <a:avLst/>
                      </a:prstGeom>
                      <a:solidFill>
                        <a:srgbClr val="006CB1"/>
                      </a:solidFill>
                      <a:ln>
                        <a:noFill/>
                      </a:ln>
                    </wps:spPr>
                    <wps:txbx>
                      <w:txbxContent>
                        <w:p w:rsidR="00000000" w:rsidDel="00000000" w:rsidP="00000000" w:rsidRDefault="00000000" w:rsidRPr="00000000">
                          <w:pPr>
                            <w:spacing w:after="240" w:before="0" w:line="36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-1266824</wp:posOffset>
              </wp:positionH>
              <wp:positionV relativeFrom="paragraph">
                <wp:posOffset>-457199</wp:posOffset>
              </wp:positionV>
              <wp:extent cx="8334375" cy="204788"/>
              <wp:effectExtent b="0" l="0" r="0" t="0"/>
              <wp:wrapNone/>
              <wp:docPr id="1" name="image2.png"/>
              <a:graphic>
                <a:graphicData uri="http://schemas.openxmlformats.org/drawingml/2006/picture">
                  <pic:pic>
                    <pic:nvPicPr>
                      <pic:cNvPr id="0" name="image2.png"/>
                      <pic:cNvPicPr preferRelativeResize="0"/>
                    </pic:nvPicPr>
                    <pic:blipFill>
                      <a:blip r:embed="rId2"/>
                      <a:srcRect/>
                      <a:stretch>
                        <a:fillRect/>
                      </a:stretch>
                    </pic:blipFill>
                    <pic:spPr>
                      <a:xfrm>
                        <a:off x="0" y="0"/>
                        <a:ext cx="8334375" cy="204788"/>
                      </a:xfrm>
                      <a:prstGeom prst="rect"/>
                      <a:ln/>
                    </pic:spPr>
                  </pic:pic>
                </a:graphicData>
              </a:graphic>
            </wp:anchor>
          </w:drawing>
        </mc:Fallback>
      </mc:AlternateConten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0">
    <w:pPr>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-1247774</wp:posOffset>
              </wp:positionH>
              <wp:positionV relativeFrom="paragraph">
                <wp:posOffset>-457199</wp:posOffset>
              </wp:positionV>
              <wp:extent cx="8334375" cy="204788"/>
              <wp:effectExtent b="0" l="0" r="0" t="0"/>
              <wp:wrapNone/>
              <wp:docPr id="2" name=""/>
              <a:graphic>
                <a:graphicData uri="http://schemas.microsoft.com/office/word/2010/wordprocessingShape">
                  <wps:wsp>
                    <wps:cNvSpPr/>
                    <wps:cNvPr id="2" name="Shape 2"/>
                    <wps:spPr>
                      <a:xfrm>
                        <a:off x="1381826" y="3637107"/>
                        <a:ext cx="7928348" cy="285787"/>
                      </a:xfrm>
                      <a:prstGeom prst="rect">
                        <a:avLst/>
                      </a:prstGeom>
                      <a:solidFill>
                        <a:srgbClr val="006CB1"/>
                      </a:solidFill>
                      <a:ln>
                        <a:noFill/>
                      </a:ln>
                    </wps:spPr>
                    <wps:txbx>
                      <w:txbxContent>
                        <w:p w:rsidR="00000000" w:rsidDel="00000000" w:rsidP="00000000" w:rsidRDefault="00000000" w:rsidRPr="00000000">
                          <w:pPr>
                            <w:spacing w:after="240" w:before="0" w:line="36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-1247774</wp:posOffset>
              </wp:positionH>
              <wp:positionV relativeFrom="paragraph">
                <wp:posOffset>-457199</wp:posOffset>
              </wp:positionV>
              <wp:extent cx="8334375" cy="204788"/>
              <wp:effectExtent b="0" l="0" r="0" t="0"/>
              <wp:wrapNone/>
              <wp:docPr id="2"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8334375" cy="204788"/>
                      </a:xfrm>
                      <a:prstGeom prst="rect"/>
                      <a:ln/>
                    </pic:spPr>
                  </pic:pic>
                </a:graphicData>
              </a:graphic>
            </wp:anchor>
          </w:drawing>
        </mc:Fallback>
      </mc:AlternateConten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Roboto" w:cs="Roboto" w:eastAsia="Roboto" w:hAnsi="Roboto"/>
        <w:sz w:val="22"/>
        <w:szCs w:val="22"/>
        <w:lang w:val="en_GB"/>
      </w:rPr>
    </w:rPrDefault>
    <w:pPrDefault>
      <w:pPr>
        <w:pBdr>
          <w:top w:color="auto" w:space="0" w:sz="0" w:val="none"/>
          <w:left w:color="auto" w:space="0" w:sz="0" w:val="none"/>
          <w:bottom w:color="auto" w:space="0" w:sz="0" w:val="none"/>
          <w:right w:color="auto" w:space="0" w:sz="0" w:val="none"/>
          <w:between w:color="auto" w:space="0" w:sz="0" w:val="none"/>
        </w:pBdr>
        <w:shd w:fill="ffffff" w:val="clear"/>
        <w:spacing w:after="160" w:line="288"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lineRule="auto"/>
    </w:pPr>
    <w:rPr>
      <w:rFonts w:ascii="Roboto Black" w:cs="Roboto Black" w:eastAsia="Roboto Black" w:hAnsi="Roboto Black"/>
      <w:color w:val="006db1"/>
      <w:sz w:val="50"/>
      <w:szCs w:val="50"/>
    </w:rPr>
  </w:style>
  <w:style w:type="paragraph" w:styleId="Heading2">
    <w:name w:val="heading 2"/>
    <w:basedOn w:val="Normal"/>
    <w:next w:val="Normal"/>
    <w:pPr>
      <w:keepNext w:val="1"/>
      <w:keepLines w:val="1"/>
      <w:spacing w:before="600" w:lineRule="auto"/>
    </w:pPr>
    <w:rPr>
      <w:rFonts w:ascii="Roboto Black" w:cs="Roboto Black" w:eastAsia="Roboto Black" w:hAnsi="Roboto Black"/>
      <w:color w:val="ea5a3a"/>
      <w:sz w:val="32"/>
      <w:szCs w:val="32"/>
    </w:rPr>
  </w:style>
  <w:style w:type="paragraph" w:styleId="Heading3">
    <w:name w:val="heading 3"/>
    <w:basedOn w:val="Normal"/>
    <w:next w:val="Normal"/>
    <w:pPr>
      <w:keepNext w:val="1"/>
      <w:keepLines w:val="1"/>
      <w:spacing w:before="400" w:lineRule="auto"/>
    </w:pPr>
    <w:rPr>
      <w:rFonts w:ascii="Roboto Black" w:cs="Roboto Black" w:eastAsia="Roboto Black" w:hAnsi="Roboto Black"/>
      <w:color w:val="1e5597"/>
      <w:sz w:val="28"/>
      <w:szCs w:val="28"/>
    </w:rPr>
  </w:style>
  <w:style w:type="paragraph" w:styleId="Heading4">
    <w:name w:val="heading 4"/>
    <w:basedOn w:val="Normal"/>
    <w:next w:val="Normal"/>
    <w:pPr>
      <w:keepNext w:val="1"/>
      <w:keepLines w:val="1"/>
      <w:spacing w:before="300" w:lineRule="auto"/>
    </w:pPr>
    <w:rPr>
      <w:rFonts w:ascii="Roboto Black" w:cs="Roboto Black" w:eastAsia="Roboto Black" w:hAnsi="Roboto Black"/>
      <w:color w:val="006db1"/>
      <w:sz w:val="26"/>
      <w:szCs w:val="26"/>
    </w:rPr>
  </w:style>
  <w:style w:type="paragraph" w:styleId="Heading5">
    <w:name w:val="heading 5"/>
    <w:basedOn w:val="Normal"/>
    <w:next w:val="Normal"/>
    <w:pPr>
      <w:keepNext w:val="1"/>
      <w:keepLines w:val="1"/>
      <w:ind w:left="720" w:right="560" w:firstLine="0"/>
    </w:pPr>
    <w:rPr>
      <w:color w:val="006db1"/>
    </w:rPr>
  </w:style>
  <w:style w:type="paragraph" w:styleId="Heading6">
    <w:name w:val="heading 6"/>
    <w:basedOn w:val="Normal"/>
    <w:next w:val="Normal"/>
    <w:pPr>
      <w:keepNext w:val="1"/>
      <w:keepLines w:val="1"/>
      <w:spacing w:after="100" w:line="240" w:lineRule="auto"/>
    </w:pPr>
    <w:rPr>
      <w:color w:val="666666"/>
      <w:sz w:val="18"/>
      <w:szCs w:val="18"/>
    </w:rPr>
  </w:style>
  <w:style w:type="paragraph" w:styleId="Title">
    <w:name w:val="Title"/>
    <w:basedOn w:val="Normal"/>
    <w:next w:val="Normal"/>
    <w:pPr>
      <w:keepNext w:val="1"/>
      <w:keepLines w:val="1"/>
      <w:spacing w:after="240" w:before="400" w:line="276" w:lineRule="auto"/>
    </w:pPr>
    <w:rPr>
      <w:color w:val="006db1"/>
      <w:sz w:val="50"/>
      <w:szCs w:val="50"/>
    </w:rPr>
  </w:style>
  <w:style w:type="paragraph" w:styleId="Subtitle">
    <w:name w:val="Subtitle"/>
    <w:basedOn w:val="Normal"/>
    <w:next w:val="Normal"/>
    <w:pPr>
      <w:keepNext w:val="1"/>
      <w:keepLines w:val="1"/>
      <w:spacing w:after="0" w:line="276" w:lineRule="auto"/>
    </w:pPr>
    <w:rPr>
      <w:rFonts w:ascii="Roboto Black" w:cs="Roboto Black" w:eastAsia="Roboto Black" w:hAnsi="Roboto Black"/>
      <w:sz w:val="28"/>
      <w:szCs w:val="28"/>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hyperlink" Target="http://www.sex-matters.org" TargetMode="External"/><Relationship Id="rId13" Type="http://schemas.openxmlformats.org/officeDocument/2006/relationships/footer" Target="footer2.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mailto:fiona.mcanena@sex-matters.org" TargetMode="External"/><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hyperlink" Target="mailto:maya.forstater@sex-matters.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Black-bold.ttf"/><Relationship Id="rId2" Type="http://schemas.openxmlformats.org/officeDocument/2006/relationships/font" Target="fonts/RobotoBlack-boldItalic.ttf"/><Relationship Id="rId3" Type="http://schemas.openxmlformats.org/officeDocument/2006/relationships/font" Target="fonts/Roboto-regular.ttf"/><Relationship Id="rId4" Type="http://schemas.openxmlformats.org/officeDocument/2006/relationships/font" Target="fonts/Roboto-bold.ttf"/><Relationship Id="rId5" Type="http://schemas.openxmlformats.org/officeDocument/2006/relationships/font" Target="fonts/Roboto-italic.ttf"/><Relationship Id="rId6"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11" Type="http://schemas.openxmlformats.org/officeDocument/2006/relationships/hyperlink" Target="https://sex-matters.org/posts/updates/for-women-scotland-in-the-supreme-court/" TargetMode="External"/><Relationship Id="rId10" Type="http://schemas.openxmlformats.org/officeDocument/2006/relationships/hyperlink" Target="https://www.equalityhumanrights.com/sites/default/files/2023/letter-to-mfwe-definition-of-sex-in-ea-210-3-april-2023.pdf" TargetMode="External"/><Relationship Id="rId13" Type="http://schemas.openxmlformats.org/officeDocument/2006/relationships/hyperlink" Target="https://claireob1.substack.com/p/does-international-human-rights-law" TargetMode="External"/><Relationship Id="rId12" Type="http://schemas.openxmlformats.org/officeDocument/2006/relationships/hyperlink" Target="https://sex-matters.org/posts/updates/civil-service-must-return-to-impartiality-and-protection-for-all/" TargetMode="External"/><Relationship Id="rId1" Type="http://schemas.openxmlformats.org/officeDocument/2006/relationships/hyperlink" Target="https://www.statista.com/statistics/975115/sport-participation-england/" TargetMode="External"/><Relationship Id="rId2" Type="http://schemas.openxmlformats.org/officeDocument/2006/relationships/hyperlink" Target="https://www.telegraph.co.uk/football/2023/11/20/football-teams-refuse-transgender-player-injury-sheffield/" TargetMode="External"/><Relationship Id="rId3" Type="http://schemas.openxmlformats.org/officeDocument/2006/relationships/hyperlink" Target="https://womeninsport.org/sexism-in-sport/" TargetMode="External"/><Relationship Id="rId4" Type="http://schemas.openxmlformats.org/officeDocument/2006/relationships/hyperlink" Target="https://movingtoinclusion.co.uk/wp-content/uploads/2023/07/Guidance-For-Transgender-Inclusion-In-Domestic-Sport-2021.pdf" TargetMode="External"/><Relationship Id="rId9" Type="http://schemas.openxmlformats.org/officeDocument/2006/relationships/hyperlink" Target="https://sex-matters.org/posts/updates/for-women-scotland-in-the-supreme-court/" TargetMode="External"/><Relationship Id="rId15" Type="http://schemas.openxmlformats.org/officeDocument/2006/relationships/hyperlink" Target="https://sex-matters.org/posts/publications/why-sex-matters-for-human-rights-our-organisational-framework/" TargetMode="External"/><Relationship Id="rId14" Type="http://schemas.openxmlformats.org/officeDocument/2006/relationships/hyperlink" Target="https://cass.independent-review.uk/home/publications/final-report/" TargetMode="External"/><Relationship Id="rId5" Type="http://schemas.openxmlformats.org/officeDocument/2006/relationships/hyperlink" Target="https://osr.statisticsauthority.gov.uk/publication/collecting-and-reporting-data-about-sex-and-gender-identity-in-official-statistics-a-guide-for-official-statistics-producers/" TargetMode="External"/><Relationship Id="rId6" Type="http://schemas.openxmlformats.org/officeDocument/2006/relationships/hyperlink" Target="https://sex-matters.org/posts/updates/theres-still-a-fatal-flaw-in-the-governments-digital-trust-framework/" TargetMode="External"/><Relationship Id="rId7" Type="http://schemas.openxmlformats.org/officeDocument/2006/relationships/hyperlink" Target="https://www.find-npd-data.education.gov.uk/data_elements/0a1016c5-5933-4cb2-97c3-22a26037760d" TargetMode="External"/><Relationship Id="rId8" Type="http://schemas.openxmlformats.org/officeDocument/2006/relationships/hyperlink" Target="https://www.equalityhumanrights.com/sites/default/files/2023/letter-to-mfwe-definition-of-sex-in-ea-210-3-april-2023.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