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0987B" w14:textId="3DE6064C" w:rsidR="00971D0B" w:rsidRDefault="00971D0B" w:rsidP="00645EC4">
      <w:pPr>
        <w:shd w:val="clear" w:color="auto" w:fill="941100"/>
        <w:jc w:val="center"/>
        <w:rPr>
          <w:rFonts w:ascii="Montserrat" w:hAnsi="Montserrat"/>
          <w:lang w:val="es-ES"/>
        </w:rPr>
      </w:pPr>
      <w:r w:rsidRPr="00971D0B">
        <w:rPr>
          <w:rFonts w:ascii="Montserrat" w:hAnsi="Montserrat"/>
          <w:lang w:val="es-ES"/>
        </w:rPr>
        <w:t>Información adicional a las cuestiones planteadas p</w:t>
      </w:r>
      <w:r>
        <w:rPr>
          <w:rFonts w:ascii="Montserrat" w:hAnsi="Montserrat"/>
          <w:lang w:val="es-ES"/>
        </w:rPr>
        <w:t>or el Comité sobre  los Derechos de las Personas con Discapacidad</w:t>
      </w:r>
    </w:p>
    <w:p w14:paraId="3C8C68E7" w14:textId="71A130D8" w:rsidR="00971D0B" w:rsidRPr="00C911FE" w:rsidRDefault="00971D0B" w:rsidP="00645EC4">
      <w:pPr>
        <w:jc w:val="center"/>
        <w:rPr>
          <w:rFonts w:ascii="Montserrat" w:hAnsi="Montserrat"/>
          <w:lang w:val="es-ES"/>
        </w:rPr>
      </w:pPr>
    </w:p>
    <w:p w14:paraId="7D320D0B" w14:textId="7D518BE0" w:rsidR="00CF50EC" w:rsidRDefault="00407A96" w:rsidP="00645EC4">
      <w:pPr>
        <w:jc w:val="both"/>
        <w:rPr>
          <w:rFonts w:ascii="Montserrat" w:hAnsi="Montserrat" w:cs="Times New Roman"/>
          <w:bCs/>
          <w:color w:val="000000"/>
          <w:sz w:val="22"/>
          <w:szCs w:val="22"/>
          <w:bdr w:val="none" w:sz="0" w:space="0" w:color="auto" w:frame="1"/>
          <w:shd w:val="clear" w:color="auto" w:fill="FFFFFF"/>
        </w:rPr>
      </w:pPr>
      <w:r w:rsidRPr="00653722">
        <w:rPr>
          <w:rFonts w:ascii="Montserrat" w:hAnsi="Montserrat" w:cs="Times New Roman"/>
          <w:bCs/>
          <w:color w:val="000000"/>
          <w:sz w:val="22"/>
          <w:szCs w:val="22"/>
          <w:bdr w:val="none" w:sz="0" w:space="0" w:color="auto" w:frame="1"/>
          <w:shd w:val="clear" w:color="auto" w:fill="FFFFFF"/>
        </w:rPr>
        <w:t xml:space="preserve">De conformidad con la </w:t>
      </w:r>
      <w:r w:rsidR="00F76952">
        <w:rPr>
          <w:rFonts w:ascii="Montserrat" w:hAnsi="Montserrat" w:cs="Times New Roman"/>
          <w:bCs/>
          <w:color w:val="000000"/>
          <w:sz w:val="22"/>
          <w:szCs w:val="22"/>
          <w:bdr w:val="none" w:sz="0" w:space="0" w:color="auto" w:frame="1"/>
          <w:shd w:val="clear" w:color="auto" w:fill="FFFFFF"/>
        </w:rPr>
        <w:t>cuestiones planteadas</w:t>
      </w:r>
      <w:r w:rsidRPr="00653722">
        <w:rPr>
          <w:rFonts w:ascii="Montserrat" w:hAnsi="Montserrat" w:cs="Times New Roman"/>
          <w:bCs/>
          <w:color w:val="000000"/>
          <w:sz w:val="22"/>
          <w:szCs w:val="22"/>
          <w:bdr w:val="none" w:sz="0" w:space="0" w:color="auto" w:frame="1"/>
          <w:shd w:val="clear" w:color="auto" w:fill="FFFFFF"/>
        </w:rPr>
        <w:t xml:space="preserve"> </w:t>
      </w:r>
      <w:r w:rsidR="00F67544">
        <w:rPr>
          <w:rFonts w:ascii="Montserrat" w:hAnsi="Montserrat" w:cs="Times New Roman"/>
          <w:bCs/>
          <w:color w:val="000000"/>
          <w:sz w:val="22"/>
          <w:szCs w:val="22"/>
          <w:bdr w:val="none" w:sz="0" w:space="0" w:color="auto" w:frame="1"/>
          <w:shd w:val="clear" w:color="auto" w:fill="FFFFFF"/>
        </w:rPr>
        <w:t xml:space="preserve">durante </w:t>
      </w:r>
      <w:r w:rsidRPr="00653722">
        <w:rPr>
          <w:rFonts w:ascii="Montserrat" w:hAnsi="Montserrat" w:cs="Times New Roman"/>
          <w:bCs/>
          <w:color w:val="000000"/>
          <w:sz w:val="22"/>
          <w:szCs w:val="22"/>
          <w:bdr w:val="none" w:sz="0" w:space="0" w:color="auto" w:frame="1"/>
          <w:shd w:val="clear" w:color="auto" w:fill="FFFFFF"/>
        </w:rPr>
        <w:t>la Sustentación de los Informes periódicos 2º y 3º combinados de México sobre la instrumentación y cumplimiento de la Convención</w:t>
      </w:r>
      <w:r w:rsidRPr="00653722">
        <w:rPr>
          <w:rFonts w:ascii="Montserrat" w:hAnsi="Montserrat" w:cs="Times New Roman"/>
          <w:b/>
          <w:bCs/>
          <w:color w:val="000000"/>
          <w:sz w:val="22"/>
          <w:szCs w:val="22"/>
          <w:bdr w:val="none" w:sz="0" w:space="0" w:color="auto" w:frame="1"/>
          <w:shd w:val="clear" w:color="auto" w:fill="FFFFFF"/>
        </w:rPr>
        <w:t xml:space="preserve"> </w:t>
      </w:r>
      <w:r w:rsidRPr="00653722">
        <w:rPr>
          <w:rFonts w:ascii="Montserrat" w:hAnsi="Montserrat" w:cs="Times New Roman"/>
          <w:bCs/>
          <w:color w:val="000000"/>
          <w:sz w:val="22"/>
          <w:szCs w:val="22"/>
          <w:bdr w:val="none" w:sz="0" w:space="0" w:color="auto" w:frame="1"/>
          <w:shd w:val="clear" w:color="auto" w:fill="FFFFFF"/>
        </w:rPr>
        <w:t>sobre los Derechos de las Personas con Discapacidad</w:t>
      </w:r>
      <w:r w:rsidR="001E41D3" w:rsidRPr="00653722">
        <w:rPr>
          <w:rFonts w:ascii="Montserrat" w:hAnsi="Montserrat" w:cs="Times New Roman"/>
          <w:bCs/>
          <w:color w:val="000000"/>
          <w:sz w:val="22"/>
          <w:szCs w:val="22"/>
          <w:bdr w:val="none" w:sz="0" w:space="0" w:color="auto" w:frame="1"/>
          <w:shd w:val="clear" w:color="auto" w:fill="FFFFFF"/>
        </w:rPr>
        <w:t>, se informa lo siguiente:</w:t>
      </w:r>
    </w:p>
    <w:p w14:paraId="16D5055D" w14:textId="053B9037" w:rsidR="0089730C" w:rsidRDefault="0089730C" w:rsidP="00645EC4">
      <w:pPr>
        <w:jc w:val="both"/>
        <w:rPr>
          <w:rFonts w:ascii="Montserrat" w:hAnsi="Montserrat" w:cs="Times New Roman"/>
          <w:bCs/>
          <w:color w:val="000000"/>
          <w:sz w:val="22"/>
          <w:szCs w:val="22"/>
          <w:bdr w:val="none" w:sz="0" w:space="0" w:color="auto" w:frame="1"/>
          <w:shd w:val="clear" w:color="auto" w:fill="FFFFFF"/>
        </w:rPr>
      </w:pPr>
    </w:p>
    <w:p w14:paraId="59182FC6" w14:textId="4A75259C" w:rsidR="0089730C" w:rsidRDefault="0089730C" w:rsidP="00645EC4">
      <w:pPr>
        <w:jc w:val="both"/>
        <w:rPr>
          <w:rFonts w:ascii="Montserrat" w:hAnsi="Montserrat" w:cs="Times New Roman"/>
          <w:b/>
          <w:color w:val="000000"/>
          <w:bdr w:val="none" w:sz="0" w:space="0" w:color="auto" w:frame="1"/>
          <w:shd w:val="clear" w:color="auto" w:fill="FFFFFF"/>
        </w:rPr>
      </w:pPr>
      <w:r>
        <w:rPr>
          <w:rFonts w:ascii="Montserrat" w:hAnsi="Montserrat" w:cs="Times New Roman"/>
          <w:b/>
          <w:color w:val="000000"/>
          <w:bdr w:val="none" w:sz="0" w:space="0" w:color="auto" w:frame="1"/>
          <w:shd w:val="clear" w:color="auto" w:fill="FFFFFF"/>
        </w:rPr>
        <w:t xml:space="preserve">Artículo 4. </w:t>
      </w:r>
      <w:r w:rsidR="00D22A8C" w:rsidRPr="00D22A8C">
        <w:rPr>
          <w:rFonts w:ascii="Montserrat" w:hAnsi="Montserrat" w:cs="Times New Roman"/>
          <w:b/>
          <w:color w:val="000000"/>
          <w:bdr w:val="none" w:sz="0" w:space="0" w:color="auto" w:frame="1"/>
          <w:shd w:val="clear" w:color="auto" w:fill="FFFFFF"/>
        </w:rPr>
        <w:t>Obligaciones generales</w:t>
      </w:r>
    </w:p>
    <w:p w14:paraId="0B30B9AD" w14:textId="674FD9D1" w:rsidR="00D22A8C" w:rsidRDefault="00D22A8C" w:rsidP="00645EC4">
      <w:pPr>
        <w:jc w:val="both"/>
        <w:rPr>
          <w:rFonts w:ascii="Montserrat" w:hAnsi="Montserrat" w:cs="Times New Roman"/>
          <w:b/>
          <w:color w:val="000000"/>
          <w:bdr w:val="none" w:sz="0" w:space="0" w:color="auto" w:frame="1"/>
          <w:shd w:val="clear" w:color="auto" w:fill="FFFFFF"/>
        </w:rPr>
      </w:pPr>
    </w:p>
    <w:p w14:paraId="22D1E663" w14:textId="77777777" w:rsidR="00D22A8C" w:rsidRPr="00D22A8C" w:rsidRDefault="00D22A8C" w:rsidP="00645EC4">
      <w:pPr>
        <w:jc w:val="both"/>
        <w:rPr>
          <w:rFonts w:ascii="Montserrat" w:hAnsi="Montserrat" w:cs="Times New Roman"/>
          <w:iCs/>
          <w:sz w:val="22"/>
          <w:szCs w:val="22"/>
        </w:rPr>
      </w:pPr>
      <w:r w:rsidRPr="00D22A8C">
        <w:rPr>
          <w:rFonts w:ascii="Montserrat" w:hAnsi="Montserrat" w:cs="Times New Roman"/>
          <w:iCs/>
          <w:sz w:val="22"/>
          <w:szCs w:val="22"/>
        </w:rPr>
        <w:t>El Programa Especial de los Pueblos Indígenas y Afromexicano (PEPIA) 2021-2024 considera diversos instrumentos jurídicos internacionales como fundamento normativo, entre los que se destaca el Convenio 169 de la OIT sobre pueblos indígenas y tribales en países independientes, la Declaración de Naciones Unidas sobre los Derechos de los Pueblos Indígenas (artículos 3, 4, 5, 18, 21, 23, 38 y 39) y la Convención sobre los Derechos de las Personas con Discapacidad (artículo 4).</w:t>
      </w:r>
    </w:p>
    <w:p w14:paraId="69801E08" w14:textId="77777777" w:rsidR="00D22A8C" w:rsidRPr="00D22A8C" w:rsidRDefault="00D22A8C" w:rsidP="00645EC4">
      <w:pPr>
        <w:jc w:val="both"/>
        <w:rPr>
          <w:rFonts w:ascii="Montserrat" w:hAnsi="Montserrat" w:cs="Times New Roman"/>
          <w:iCs/>
          <w:sz w:val="22"/>
          <w:szCs w:val="22"/>
        </w:rPr>
      </w:pPr>
    </w:p>
    <w:p w14:paraId="730D1057" w14:textId="77777777" w:rsidR="00D22A8C" w:rsidRPr="00D22A8C" w:rsidRDefault="00D22A8C" w:rsidP="00645EC4">
      <w:pPr>
        <w:jc w:val="both"/>
        <w:rPr>
          <w:rFonts w:ascii="Montserrat" w:hAnsi="Montserrat" w:cs="Times New Roman"/>
          <w:iCs/>
          <w:sz w:val="22"/>
          <w:szCs w:val="22"/>
        </w:rPr>
      </w:pPr>
      <w:r w:rsidRPr="00D22A8C">
        <w:rPr>
          <w:rFonts w:ascii="Montserrat" w:hAnsi="Montserrat" w:cs="Times New Roman"/>
          <w:iCs/>
          <w:sz w:val="22"/>
          <w:szCs w:val="22"/>
        </w:rPr>
        <w:t>El PEPIA busca contribuir al nuevo modelo de desarrollo basado en el bienestar de los pueblos indígenas y afromexicano, mediante la construcción de las condiciones para resolver la situación de pobreza, desigualdad e injusticia en la que viven estos pueblos, partiendo de la premise fundamental de que es necesario impulsar el reconocimiento integral de los derechos indígenas, que tienen una naturaleza colectiva, base y sustento para garantizar sus autonomías y formas de gobierno; sus tierras, territories y recursos naturales; su patrimonio cultural y todos los elementos que constituyen su cultura e identidad, así como sus legítimas aspiraciones de desarrollo y bienestar común.</w:t>
      </w:r>
    </w:p>
    <w:p w14:paraId="5738C7F9" w14:textId="77777777" w:rsidR="00D22A8C" w:rsidRPr="00D22A8C" w:rsidRDefault="00D22A8C" w:rsidP="00645EC4">
      <w:pPr>
        <w:jc w:val="both"/>
        <w:rPr>
          <w:rFonts w:ascii="Montserrat" w:hAnsi="Montserrat" w:cs="Times New Roman"/>
          <w:iCs/>
          <w:sz w:val="22"/>
          <w:szCs w:val="22"/>
        </w:rPr>
      </w:pPr>
    </w:p>
    <w:p w14:paraId="385C8ABA" w14:textId="77777777" w:rsidR="00D22A8C" w:rsidRPr="00D22A8C" w:rsidRDefault="00D22A8C" w:rsidP="00645EC4">
      <w:pPr>
        <w:jc w:val="both"/>
        <w:rPr>
          <w:rFonts w:ascii="Montserrat" w:hAnsi="Montserrat" w:cs="Times New Roman"/>
          <w:iCs/>
          <w:sz w:val="22"/>
          <w:szCs w:val="22"/>
        </w:rPr>
      </w:pPr>
      <w:r w:rsidRPr="00D22A8C">
        <w:rPr>
          <w:rFonts w:ascii="Montserrat" w:hAnsi="Montserrat" w:cs="Times New Roman"/>
          <w:iCs/>
          <w:sz w:val="22"/>
          <w:szCs w:val="22"/>
        </w:rPr>
        <w:t>En el objetivo prioritario 1 “ Promover el reconocimiento y pleno ejercicio de los derechos de los pueblos y comunidades indígenas y afromexicanas, en particular el derecho a la libre determinación, tierras, territorios y recursos naturales y participación y consulta desde una perspectiva integral, intercultural y de género”, estrategia prioritaria 1.2 Garantizar el reconocimiento de la pertinencia cultural y el enfoque de derechos en los espacios de impartición de justicia para que los pueblos, comunidades y personas indígenas y afromexicanas gocen del acceso efectivo a la jurisdicción del Estado, se cuenta con la acción 1.2.3 Promover la inclusión de las personas indígenas y afromexicanas con discapacidad en los ámbitos escolares, laborales y de la comunidad.</w:t>
      </w:r>
    </w:p>
    <w:p w14:paraId="5142D14B" w14:textId="77777777" w:rsidR="00D22A8C" w:rsidRPr="00D22A8C" w:rsidRDefault="00D22A8C" w:rsidP="00645EC4">
      <w:pPr>
        <w:jc w:val="both"/>
        <w:rPr>
          <w:rFonts w:ascii="Montserrat" w:hAnsi="Montserrat" w:cs="Times New Roman"/>
          <w:iCs/>
          <w:sz w:val="22"/>
          <w:szCs w:val="22"/>
        </w:rPr>
      </w:pPr>
    </w:p>
    <w:p w14:paraId="0B640E47" w14:textId="77777777" w:rsidR="00D22A8C" w:rsidRPr="00D22A8C" w:rsidRDefault="00D22A8C" w:rsidP="00645EC4">
      <w:pPr>
        <w:jc w:val="both"/>
        <w:rPr>
          <w:rFonts w:ascii="Montserrat" w:hAnsi="Montserrat" w:cs="Times New Roman"/>
          <w:iCs/>
          <w:sz w:val="22"/>
          <w:szCs w:val="22"/>
        </w:rPr>
      </w:pPr>
      <w:r w:rsidRPr="00D22A8C">
        <w:rPr>
          <w:rFonts w:ascii="Montserrat" w:hAnsi="Montserrat" w:cs="Times New Roman"/>
          <w:iCs/>
          <w:sz w:val="22"/>
          <w:szCs w:val="22"/>
        </w:rPr>
        <w:t>Asimismo, en el objetivo prioritario 2 “Garantizar el desarrollo integral y el bienestar común de las regiones indígenas y afromexicanas, mediante el fortalecimiento de sus sistemas económicos, el mejoramiento de la infraestructura social, y el aprovechamiento sustentable de sus tierras, territorios y recursos naturales”, estrategia prioritaria 2.7 Impulsar acciones para el bienestar social y comunitario en regiones indígenas y afromexicanas, se cuenta con la acción 2.7.4 Impulsar acciones que promuevan la inclusión de las personas indígenas y afromexicanas con discapacidad en los ámbitos escolares, laborales y de la comunidad</w:t>
      </w:r>
    </w:p>
    <w:p w14:paraId="18848014" w14:textId="7148891D" w:rsidR="00D22A8C" w:rsidRDefault="00D22A8C" w:rsidP="00645EC4">
      <w:pPr>
        <w:jc w:val="both"/>
        <w:rPr>
          <w:b/>
          <w:sz w:val="22"/>
          <w:szCs w:val="22"/>
        </w:rPr>
      </w:pPr>
    </w:p>
    <w:p w14:paraId="36547360" w14:textId="21BAA4CE" w:rsidR="00AA6DD2" w:rsidRDefault="00AA6DD2" w:rsidP="00645EC4">
      <w:pPr>
        <w:jc w:val="both"/>
        <w:rPr>
          <w:rFonts w:ascii="Montserrat" w:hAnsi="Montserrat" w:cs="Times New Roman"/>
          <w:b/>
          <w:color w:val="000000"/>
          <w:bdr w:val="none" w:sz="0" w:space="0" w:color="auto" w:frame="1"/>
          <w:shd w:val="clear" w:color="auto" w:fill="FFFFFF"/>
        </w:rPr>
      </w:pPr>
      <w:r>
        <w:rPr>
          <w:rFonts w:ascii="Montserrat" w:hAnsi="Montserrat" w:cs="Times New Roman"/>
          <w:b/>
          <w:color w:val="000000"/>
          <w:bdr w:val="none" w:sz="0" w:space="0" w:color="auto" w:frame="1"/>
          <w:shd w:val="clear" w:color="auto" w:fill="FFFFFF"/>
        </w:rPr>
        <w:lastRenderedPageBreak/>
        <w:t>Artículo 5. Igualdad y no discriminación</w:t>
      </w:r>
    </w:p>
    <w:p w14:paraId="10514842" w14:textId="194DC227" w:rsidR="00AA6DD2" w:rsidRDefault="00AA6DD2" w:rsidP="00645EC4">
      <w:pPr>
        <w:jc w:val="both"/>
        <w:rPr>
          <w:rFonts w:ascii="Montserrat" w:hAnsi="Montserrat" w:cs="Times New Roman"/>
          <w:b/>
          <w:color w:val="000000"/>
          <w:bdr w:val="none" w:sz="0" w:space="0" w:color="auto" w:frame="1"/>
          <w:shd w:val="clear" w:color="auto" w:fill="FFFFFF"/>
        </w:rPr>
      </w:pPr>
    </w:p>
    <w:p w14:paraId="3E6B6332"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r w:rsidRPr="00AA6DD2">
        <w:rPr>
          <w:rFonts w:ascii="Montserrat" w:hAnsi="Montserrat" w:cs="Times New Roman"/>
          <w:bCs/>
          <w:color w:val="000000"/>
          <w:sz w:val="22"/>
          <w:szCs w:val="22"/>
          <w:bdr w:val="none" w:sz="0" w:space="0" w:color="auto" w:frame="1"/>
          <w:shd w:val="clear" w:color="auto" w:fill="FFFFFF"/>
        </w:rPr>
        <w:t>Se informa que a partir de la disculpa pública del 4 de octubre del año pasado, el Subsecretario de Derechos Humanos, Población y Migración instruyó la coordinación de un grupo de trabajo en torno a la armonización legislativa. En cumplimiento, la Coordinación de Asuntos Internacionales de la Unidad para la Defensa de los Derechos Humanos convocó a las oficinas involucradas en la temática para construir una ruta de trabajo así como la metodología correspondiente. Lo anterior con perspectiva de género y enfoque interseccional.</w:t>
      </w:r>
    </w:p>
    <w:p w14:paraId="38C94603"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p>
    <w:p w14:paraId="1C8FBA8F"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r w:rsidRPr="00AA6DD2">
        <w:rPr>
          <w:rFonts w:ascii="Montserrat" w:hAnsi="Montserrat" w:cs="Times New Roman"/>
          <w:bCs/>
          <w:color w:val="000000"/>
          <w:sz w:val="22"/>
          <w:szCs w:val="22"/>
          <w:bdr w:val="none" w:sz="0" w:space="0" w:color="auto" w:frame="1"/>
          <w:shd w:val="clear" w:color="auto" w:fill="FFFFFF"/>
        </w:rPr>
        <w:t>En el grupo participa el Consejo Nacional para Prevenir la Discriminación (CONAPRED); el Instituto de las Personas con Discapacidad (INDISCAPACIDAD); las Direcciones Generales de Estrategias para la Atención de Derechos Humanos así como de Política Pública de Derechos Humanos; la Unidad de Enlace Legislativo de la SEGOB y la Secretaría de Bienestar.</w:t>
      </w:r>
    </w:p>
    <w:p w14:paraId="50F4AEC7"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p>
    <w:p w14:paraId="55E1F649"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r w:rsidRPr="00AA6DD2">
        <w:rPr>
          <w:rFonts w:ascii="Montserrat" w:hAnsi="Montserrat" w:cs="Times New Roman"/>
          <w:bCs/>
          <w:color w:val="000000"/>
          <w:sz w:val="22"/>
          <w:szCs w:val="22"/>
          <w:bdr w:val="none" w:sz="0" w:space="0" w:color="auto" w:frame="1"/>
          <w:shd w:val="clear" w:color="auto" w:fill="FFFFFF"/>
        </w:rPr>
        <w:t>A la fecha dicho grupo se ha reunido en cinco ocasiones y una vez que se concrete la propuesta de trabajo, ésta será compartida con la organización Documenta —análisis y acción para la justicia A.C. — representante del caso, para sus observaciones.</w:t>
      </w:r>
    </w:p>
    <w:p w14:paraId="58B2413C"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p>
    <w:p w14:paraId="497D7828" w14:textId="77777777" w:rsidR="00AA6DD2" w:rsidRPr="00AA6DD2" w:rsidRDefault="00AA6DD2" w:rsidP="00645EC4">
      <w:pPr>
        <w:jc w:val="both"/>
        <w:rPr>
          <w:rFonts w:ascii="Montserrat" w:hAnsi="Montserrat" w:cs="Times New Roman"/>
          <w:bCs/>
          <w:color w:val="000000"/>
          <w:sz w:val="22"/>
          <w:szCs w:val="22"/>
          <w:bdr w:val="none" w:sz="0" w:space="0" w:color="auto" w:frame="1"/>
          <w:shd w:val="clear" w:color="auto" w:fill="FFFFFF"/>
        </w:rPr>
      </w:pPr>
      <w:r w:rsidRPr="00AA6DD2">
        <w:rPr>
          <w:rFonts w:ascii="Montserrat" w:hAnsi="Montserrat" w:cs="Times New Roman"/>
          <w:bCs/>
          <w:color w:val="000000"/>
          <w:sz w:val="22"/>
          <w:szCs w:val="22"/>
          <w:bdr w:val="none" w:sz="0" w:space="0" w:color="auto" w:frame="1"/>
          <w:shd w:val="clear" w:color="auto" w:fill="FFFFFF"/>
        </w:rPr>
        <w:t>Asimismo, se prevé que luego de delimitar la ruta de trabajo se realice un proceso participativo con sociedad civil y dependencias de los tres niveles de gobierno.</w:t>
      </w:r>
    </w:p>
    <w:p w14:paraId="571E1228" w14:textId="77777777" w:rsidR="00AA6DD2" w:rsidRDefault="00AA6DD2" w:rsidP="00645EC4">
      <w:pPr>
        <w:jc w:val="both"/>
        <w:rPr>
          <w:rFonts w:ascii="Montserrat" w:hAnsi="Montserrat" w:cs="Times New Roman"/>
          <w:b/>
          <w:color w:val="000000"/>
          <w:bdr w:val="none" w:sz="0" w:space="0" w:color="auto" w:frame="1"/>
          <w:shd w:val="clear" w:color="auto" w:fill="FFFFFF"/>
        </w:rPr>
      </w:pPr>
    </w:p>
    <w:p w14:paraId="7D641B10" w14:textId="7D58D887" w:rsidR="00D22A8C" w:rsidRDefault="00546F73" w:rsidP="00645EC4">
      <w:pPr>
        <w:jc w:val="both"/>
        <w:rPr>
          <w:rFonts w:ascii="Montserrat" w:hAnsi="Montserrat"/>
          <w:b/>
        </w:rPr>
      </w:pPr>
      <w:r>
        <w:rPr>
          <w:rFonts w:ascii="Montserrat" w:hAnsi="Montserrat"/>
          <w:b/>
        </w:rPr>
        <w:t xml:space="preserve">Artículo 6. </w:t>
      </w:r>
      <w:r w:rsidRPr="00546F73">
        <w:rPr>
          <w:rFonts w:ascii="Montserrat" w:hAnsi="Montserrat"/>
          <w:b/>
        </w:rPr>
        <w:t>Mujeres con discapacidad</w:t>
      </w:r>
    </w:p>
    <w:p w14:paraId="5477B3C5" w14:textId="77777777" w:rsidR="00546F73" w:rsidRDefault="00546F73" w:rsidP="00645EC4">
      <w:pPr>
        <w:jc w:val="both"/>
        <w:rPr>
          <w:rFonts w:ascii="Montserrat" w:hAnsi="Montserrat"/>
          <w:b/>
        </w:rPr>
      </w:pPr>
    </w:p>
    <w:p w14:paraId="73617293" w14:textId="0F3868CE" w:rsidR="00546F73" w:rsidRPr="00546F73" w:rsidRDefault="00546F73" w:rsidP="00645EC4">
      <w:pPr>
        <w:pBdr>
          <w:top w:val="nil"/>
          <w:left w:val="nil"/>
          <w:bottom w:val="nil"/>
          <w:right w:val="nil"/>
          <w:between w:val="nil"/>
        </w:pBdr>
        <w:jc w:val="both"/>
        <w:rPr>
          <w:rFonts w:ascii="Montserrat" w:hAnsi="Montserrat"/>
          <w:color w:val="000000"/>
          <w:sz w:val="22"/>
          <w:szCs w:val="22"/>
        </w:rPr>
      </w:pPr>
      <w:r w:rsidRPr="00546F73">
        <w:rPr>
          <w:rFonts w:ascii="Montserrat" w:hAnsi="Montserrat"/>
          <w:color w:val="000000"/>
          <w:sz w:val="22"/>
          <w:szCs w:val="22"/>
        </w:rPr>
        <w:t xml:space="preserve">El Estado mexicano a través del Instituto Nacional de las Mujeres opera el Programa de Fortalecimiento a la Transversalidad de la Perspectiva de Género (PFTPG), el cual en el Anexo 1 de sus Reglas de Operación de los ejercicios 2020, 2021 y 2022 incorporó las consideraciones para el diseño y ejecución de los proyectos; en particular lo referente a la ejecución del proyecto, señala que para la contratación de servicios profesionales vinculados a las metas de Fortalecimiento a los Mecanismos para el Adelanto de las Mujeres (MAM) y para la operación de los Centros para el Desarrollo de las Mujeres se debe considerar: </w:t>
      </w:r>
    </w:p>
    <w:p w14:paraId="7C755474" w14:textId="77777777" w:rsidR="00546F73" w:rsidRPr="00546F73" w:rsidRDefault="00546F73" w:rsidP="00E31990">
      <w:pPr>
        <w:pStyle w:val="Prrafodelista"/>
        <w:numPr>
          <w:ilvl w:val="0"/>
          <w:numId w:val="19"/>
        </w:numPr>
        <w:pBdr>
          <w:top w:val="nil"/>
          <w:left w:val="nil"/>
          <w:bottom w:val="nil"/>
          <w:right w:val="nil"/>
          <w:between w:val="nil"/>
        </w:pBdr>
        <w:jc w:val="both"/>
        <w:rPr>
          <w:rFonts w:ascii="Montserrat" w:hAnsi="Montserrat"/>
          <w:color w:val="000000"/>
          <w:sz w:val="22"/>
          <w:szCs w:val="22"/>
        </w:rPr>
      </w:pPr>
      <w:r w:rsidRPr="00546F73">
        <w:rPr>
          <w:rFonts w:ascii="Montserrat" w:hAnsi="Montserrat"/>
          <w:color w:val="000000"/>
          <w:sz w:val="22"/>
          <w:szCs w:val="22"/>
        </w:rPr>
        <w:t xml:space="preserve">Procurar que la formación académica de las personas se encuentre entre las ciencias sociales, humanidades y psicología u otras afines; impulsando la inclusión de personas con discapacidad, para que apoyen en la ejecución del proyecto. </w:t>
      </w:r>
    </w:p>
    <w:p w14:paraId="3C35EB70" w14:textId="77777777" w:rsidR="00546F73" w:rsidRPr="00546F73" w:rsidRDefault="00546F73" w:rsidP="00645EC4">
      <w:pPr>
        <w:pBdr>
          <w:top w:val="nil"/>
          <w:left w:val="nil"/>
          <w:bottom w:val="nil"/>
          <w:right w:val="nil"/>
          <w:between w:val="nil"/>
        </w:pBdr>
        <w:jc w:val="both"/>
        <w:rPr>
          <w:rFonts w:ascii="Montserrat" w:hAnsi="Montserrat"/>
          <w:color w:val="000000"/>
          <w:sz w:val="22"/>
          <w:szCs w:val="22"/>
        </w:rPr>
      </w:pPr>
    </w:p>
    <w:p w14:paraId="7B9606EB" w14:textId="77777777" w:rsidR="00546F73" w:rsidRPr="00546F73" w:rsidRDefault="00546F73" w:rsidP="00645EC4">
      <w:pPr>
        <w:pBdr>
          <w:top w:val="nil"/>
          <w:left w:val="nil"/>
          <w:bottom w:val="nil"/>
          <w:right w:val="nil"/>
          <w:between w:val="nil"/>
        </w:pBdr>
        <w:jc w:val="both"/>
        <w:rPr>
          <w:rFonts w:ascii="Montserrat" w:hAnsi="Montserrat"/>
          <w:color w:val="000000"/>
          <w:sz w:val="22"/>
          <w:szCs w:val="22"/>
        </w:rPr>
      </w:pPr>
      <w:r w:rsidRPr="00546F73">
        <w:rPr>
          <w:rFonts w:ascii="Montserrat" w:hAnsi="Montserrat"/>
          <w:color w:val="000000"/>
          <w:sz w:val="22"/>
          <w:szCs w:val="22"/>
        </w:rPr>
        <w:t>Asimismo, atendiendo el objetivo superior del Plan Nacional de Desarrollo (PND) 2019-2024 en particular el principio “No dejar a nadie atrás, no dejar a nadie fuera” impulsa un modelo de desarrollo con inclusión, igualdad, sustentable y sensible a las diferencias territoriales. Además, defiende el derecho a la igualdad sustantiva entre mujeres y hombres y rechaza toda forma de discriminación.</w:t>
      </w:r>
    </w:p>
    <w:p w14:paraId="45946067" w14:textId="77777777" w:rsidR="00546F73" w:rsidRPr="00546F73" w:rsidRDefault="00546F73" w:rsidP="00645EC4">
      <w:pPr>
        <w:pBdr>
          <w:top w:val="nil"/>
          <w:left w:val="nil"/>
          <w:bottom w:val="nil"/>
          <w:right w:val="nil"/>
          <w:between w:val="nil"/>
        </w:pBdr>
        <w:jc w:val="both"/>
        <w:rPr>
          <w:rFonts w:ascii="Montserrat" w:hAnsi="Montserrat"/>
          <w:color w:val="000000"/>
          <w:sz w:val="22"/>
          <w:szCs w:val="22"/>
        </w:rPr>
      </w:pPr>
    </w:p>
    <w:p w14:paraId="68433325" w14:textId="77777777" w:rsidR="00546F73" w:rsidRPr="00546F73" w:rsidRDefault="00546F73" w:rsidP="00645EC4">
      <w:pPr>
        <w:jc w:val="both"/>
        <w:rPr>
          <w:rFonts w:ascii="Montserrat" w:hAnsi="Montserrat"/>
          <w:sz w:val="22"/>
          <w:szCs w:val="22"/>
        </w:rPr>
      </w:pPr>
      <w:r w:rsidRPr="00546F73">
        <w:rPr>
          <w:rFonts w:ascii="Montserrat" w:hAnsi="Montserrat"/>
          <w:sz w:val="22"/>
          <w:szCs w:val="22"/>
        </w:rPr>
        <w:lastRenderedPageBreak/>
        <w:t>Para el ejercicio fiscal 2021, en las Reglas de Operación del Programa de Fortalecimiento a la Transversalidad de la Perspectiva de Género</w:t>
      </w:r>
      <w:r w:rsidRPr="00546F73">
        <w:rPr>
          <w:rStyle w:val="Refdenotaalpie"/>
          <w:rFonts w:ascii="Montserrat" w:hAnsi="Montserrat"/>
          <w:sz w:val="22"/>
          <w:szCs w:val="22"/>
        </w:rPr>
        <w:footnoteReference w:id="1"/>
      </w:r>
      <w:r w:rsidRPr="00546F73">
        <w:rPr>
          <w:rFonts w:ascii="Montserrat" w:hAnsi="Montserrat"/>
          <w:sz w:val="22"/>
          <w:szCs w:val="22"/>
        </w:rPr>
        <w:t xml:space="preserve">, específicamente en el </w:t>
      </w:r>
      <w:r w:rsidRPr="00546F73">
        <w:rPr>
          <w:rFonts w:ascii="Montserrat" w:hAnsi="Montserrat"/>
          <w:i/>
          <w:iCs/>
          <w:sz w:val="22"/>
          <w:szCs w:val="22"/>
        </w:rPr>
        <w:t>Anexo 1 Alineación al Proigualdad 2020-2024 y ejes temáticos para las Modalidades</w:t>
      </w:r>
      <w:r w:rsidRPr="00546F73">
        <w:rPr>
          <w:rFonts w:ascii="Montserrat" w:hAnsi="Montserrat"/>
          <w:sz w:val="22"/>
          <w:szCs w:val="22"/>
        </w:rPr>
        <w:t>, se estipulan una serie de requerimiento mínimos que los Mecanismos para el Adelanto de las Mujeres (MAM) deberán considerar en la formulación de su proyecto, entre los que se encuentra el siguiente:</w:t>
      </w:r>
    </w:p>
    <w:p w14:paraId="750E0993" w14:textId="77777777" w:rsidR="00546F73" w:rsidRPr="00AA2419" w:rsidRDefault="00546F73" w:rsidP="00645EC4">
      <w:pPr>
        <w:ind w:left="567" w:right="709"/>
        <w:jc w:val="both"/>
        <w:rPr>
          <w:rFonts w:ascii="Montserrat" w:hAnsi="Montserrat"/>
          <w:i/>
          <w:iCs/>
          <w:sz w:val="22"/>
          <w:szCs w:val="22"/>
        </w:rPr>
      </w:pPr>
      <w:r w:rsidRPr="00AA2419">
        <w:rPr>
          <w:rFonts w:ascii="Montserrat" w:hAnsi="Montserrat"/>
          <w:i/>
          <w:iCs/>
          <w:sz w:val="22"/>
          <w:szCs w:val="22"/>
        </w:rPr>
        <w:t>Para la contratación de servicios profesionales vinculados a las metas de las personas de apoyo para los MAM y para la operación de los Centros para el Desarrollo de las Mujeres se debe considerar:</w:t>
      </w:r>
    </w:p>
    <w:p w14:paraId="36924543" w14:textId="77777777" w:rsidR="00546F73" w:rsidRPr="00AA2419" w:rsidRDefault="00546F73" w:rsidP="00645EC4">
      <w:pPr>
        <w:ind w:left="567" w:right="709"/>
        <w:jc w:val="both"/>
        <w:rPr>
          <w:rFonts w:ascii="Montserrat" w:hAnsi="Montserrat"/>
          <w:i/>
          <w:iCs/>
          <w:sz w:val="22"/>
          <w:szCs w:val="22"/>
        </w:rPr>
      </w:pPr>
      <w:r w:rsidRPr="00AA2419">
        <w:rPr>
          <w:rFonts w:ascii="Montserrat" w:hAnsi="Montserrat"/>
          <w:i/>
          <w:iCs/>
          <w:sz w:val="22"/>
          <w:szCs w:val="22"/>
        </w:rPr>
        <w:t>… Procurar que la formación académica de las personas se encuentre entre las ciencias sociales … impulsando la inclusión de las personas con discapacidad, para que apoyen la ejecución del proyecto…</w:t>
      </w:r>
    </w:p>
    <w:p w14:paraId="2477F4BB" w14:textId="77777777" w:rsidR="00546F73" w:rsidRPr="00546F73" w:rsidRDefault="00546F73" w:rsidP="00645EC4">
      <w:pPr>
        <w:jc w:val="both"/>
        <w:rPr>
          <w:rFonts w:ascii="Montserrat" w:hAnsi="Montserrat"/>
          <w:sz w:val="22"/>
          <w:szCs w:val="22"/>
        </w:rPr>
      </w:pPr>
    </w:p>
    <w:p w14:paraId="615B466F" w14:textId="2CDFCCBB" w:rsidR="001A7688" w:rsidRDefault="00546F73" w:rsidP="00645EC4">
      <w:pPr>
        <w:jc w:val="both"/>
        <w:rPr>
          <w:rFonts w:ascii="Montserrat" w:hAnsi="Montserrat"/>
          <w:sz w:val="22"/>
          <w:szCs w:val="22"/>
        </w:rPr>
      </w:pPr>
      <w:r w:rsidRPr="00546F73">
        <w:rPr>
          <w:rFonts w:ascii="Montserrat" w:hAnsi="Montserrat"/>
          <w:sz w:val="22"/>
          <w:szCs w:val="22"/>
        </w:rPr>
        <w:t>Asimismo, como parte de la ejecución de las metas, los MAM se reportó la atención a 945 personas con discapacidad</w:t>
      </w:r>
      <w:r w:rsidRPr="00546F73">
        <w:rPr>
          <w:rStyle w:val="Refdenotaalpie"/>
          <w:rFonts w:ascii="Montserrat" w:hAnsi="Montserrat"/>
          <w:sz w:val="22"/>
          <w:szCs w:val="22"/>
        </w:rPr>
        <w:footnoteReference w:id="2"/>
      </w:r>
      <w:r w:rsidRPr="00546F73">
        <w:rPr>
          <w:rFonts w:ascii="Montserrat" w:hAnsi="Montserrat"/>
          <w:sz w:val="22"/>
          <w:szCs w:val="22"/>
        </w:rPr>
        <w:t xml:space="preserve"> (717 mujeres, 226 hombres y 2 personas en la categoría “otro”</w:t>
      </w:r>
      <w:r w:rsidRPr="00546F73">
        <w:rPr>
          <w:rStyle w:val="Refdenotaalpie"/>
          <w:rFonts w:ascii="Montserrat" w:hAnsi="Montserrat"/>
          <w:sz w:val="22"/>
          <w:szCs w:val="22"/>
        </w:rPr>
        <w:footnoteReference w:id="3"/>
      </w:r>
      <w:r w:rsidRPr="00546F73">
        <w:rPr>
          <w:rFonts w:ascii="Montserrat" w:hAnsi="Montserrat"/>
          <w:sz w:val="22"/>
          <w:szCs w:val="22"/>
        </w:rPr>
        <w:t>), de las cuales, el 55.23 por ciento fueron atendidas en los Centros para el Desarrollo de las Mujeres (387 mujeres y 135 hombres).</w:t>
      </w:r>
    </w:p>
    <w:p w14:paraId="20BDF7F4" w14:textId="32DE1333" w:rsidR="001A7688" w:rsidRDefault="001A7688" w:rsidP="00645EC4">
      <w:pPr>
        <w:jc w:val="both"/>
        <w:rPr>
          <w:rFonts w:ascii="Montserrat" w:hAnsi="Montserrat"/>
          <w:sz w:val="22"/>
          <w:szCs w:val="22"/>
        </w:rPr>
      </w:pPr>
    </w:p>
    <w:p w14:paraId="37BBFBAD" w14:textId="3FDBD982" w:rsidR="001A7688" w:rsidRPr="001A7688" w:rsidRDefault="001A7688" w:rsidP="00645EC4">
      <w:pPr>
        <w:jc w:val="both"/>
        <w:rPr>
          <w:rFonts w:ascii="Montserrat" w:hAnsi="Montserrat"/>
          <w:sz w:val="22"/>
          <w:szCs w:val="22"/>
        </w:rPr>
      </w:pPr>
      <w:r>
        <w:rPr>
          <w:rFonts w:ascii="Montserrat" w:hAnsi="Montserrat"/>
          <w:sz w:val="22"/>
          <w:szCs w:val="22"/>
        </w:rPr>
        <w:t>En materia de violencia contra las mujeres, se</w:t>
      </w:r>
      <w:r w:rsidRPr="001A7688">
        <w:rPr>
          <w:rFonts w:ascii="Montserrat" w:hAnsi="Montserrat"/>
          <w:sz w:val="22"/>
          <w:szCs w:val="22"/>
        </w:rPr>
        <w:t xml:space="preserve"> cuenta con el Sistema Nacional de Prevención, Atención, Sanción y Erradicación de la Violencia contra las Mujeres, como mecanismo interinstitucional que coordina esfuerzos, instrumentos, políticas, servicios y acciones para garantizar el derecho de las mujeres a una vida libre de violencia. La L</w:t>
      </w:r>
      <w:r>
        <w:rPr>
          <w:rFonts w:ascii="Montserrat" w:hAnsi="Montserrat"/>
          <w:sz w:val="22"/>
          <w:szCs w:val="22"/>
        </w:rPr>
        <w:t xml:space="preserve">ey </w:t>
      </w:r>
      <w:r w:rsidRPr="001A7688">
        <w:rPr>
          <w:rFonts w:ascii="Montserrat" w:hAnsi="Montserrat"/>
          <w:sz w:val="22"/>
          <w:szCs w:val="22"/>
        </w:rPr>
        <w:t>G</w:t>
      </w:r>
      <w:r>
        <w:rPr>
          <w:rFonts w:ascii="Montserrat" w:hAnsi="Montserrat"/>
          <w:sz w:val="22"/>
          <w:szCs w:val="22"/>
        </w:rPr>
        <w:t xml:space="preserve">eneral de </w:t>
      </w:r>
      <w:r w:rsidRPr="001A7688">
        <w:rPr>
          <w:rFonts w:ascii="Montserrat" w:hAnsi="Montserrat"/>
          <w:sz w:val="22"/>
          <w:szCs w:val="22"/>
        </w:rPr>
        <w:t>A</w:t>
      </w:r>
      <w:r>
        <w:rPr>
          <w:rFonts w:ascii="Montserrat" w:hAnsi="Montserrat"/>
          <w:sz w:val="22"/>
          <w:szCs w:val="22"/>
        </w:rPr>
        <w:t xml:space="preserve">cceso de las </w:t>
      </w:r>
      <w:r w:rsidRPr="001A7688">
        <w:rPr>
          <w:rFonts w:ascii="Montserrat" w:hAnsi="Montserrat"/>
          <w:sz w:val="22"/>
          <w:szCs w:val="22"/>
        </w:rPr>
        <w:t>M</w:t>
      </w:r>
      <w:r>
        <w:rPr>
          <w:rFonts w:ascii="Montserrat" w:hAnsi="Montserrat"/>
          <w:sz w:val="22"/>
          <w:szCs w:val="22"/>
        </w:rPr>
        <w:t xml:space="preserve">ujeres a una </w:t>
      </w:r>
      <w:r w:rsidRPr="001A7688">
        <w:rPr>
          <w:rFonts w:ascii="Montserrat" w:hAnsi="Montserrat"/>
          <w:sz w:val="22"/>
          <w:szCs w:val="22"/>
        </w:rPr>
        <w:t>V</w:t>
      </w:r>
      <w:r>
        <w:rPr>
          <w:rFonts w:ascii="Montserrat" w:hAnsi="Montserrat"/>
          <w:sz w:val="22"/>
          <w:szCs w:val="22"/>
        </w:rPr>
        <w:t xml:space="preserve">ida </w:t>
      </w:r>
      <w:r w:rsidRPr="001A7688">
        <w:rPr>
          <w:rFonts w:ascii="Montserrat" w:hAnsi="Montserrat"/>
          <w:sz w:val="22"/>
          <w:szCs w:val="22"/>
        </w:rPr>
        <w:t>L</w:t>
      </w:r>
      <w:r>
        <w:rPr>
          <w:rFonts w:ascii="Montserrat" w:hAnsi="Montserrat"/>
          <w:sz w:val="22"/>
          <w:szCs w:val="22"/>
        </w:rPr>
        <w:t xml:space="preserve">ibre de </w:t>
      </w:r>
      <w:r w:rsidRPr="001A7688">
        <w:rPr>
          <w:rFonts w:ascii="Montserrat" w:hAnsi="Montserrat"/>
          <w:sz w:val="22"/>
          <w:szCs w:val="22"/>
        </w:rPr>
        <w:t>V</w:t>
      </w:r>
      <w:r>
        <w:rPr>
          <w:rFonts w:ascii="Montserrat" w:hAnsi="Montserrat"/>
          <w:sz w:val="22"/>
          <w:szCs w:val="22"/>
        </w:rPr>
        <w:t>iolencia</w:t>
      </w:r>
      <w:r w:rsidRPr="001A7688">
        <w:rPr>
          <w:rFonts w:ascii="Montserrat" w:hAnsi="Montserrat"/>
          <w:sz w:val="22"/>
          <w:szCs w:val="22"/>
        </w:rPr>
        <w:t xml:space="preserve"> </w:t>
      </w:r>
      <w:r w:rsidR="002B7ED4">
        <w:rPr>
          <w:rFonts w:ascii="Montserrat" w:hAnsi="Montserrat"/>
          <w:sz w:val="22"/>
          <w:szCs w:val="22"/>
        </w:rPr>
        <w:t xml:space="preserve">(LGAMVLV) </w:t>
      </w:r>
      <w:r w:rsidRPr="001A7688">
        <w:rPr>
          <w:rFonts w:ascii="Montserrat" w:hAnsi="Montserrat"/>
          <w:sz w:val="22"/>
          <w:szCs w:val="22"/>
        </w:rPr>
        <w:t>establece que dicho órgano colegiado opera y se organiza bajo cuatro ejes de acción a través de cuatro comisiones, cuya tarea es facilitar la implementación de políticas públicas y la ejecución del Programa Integral:</w:t>
      </w:r>
    </w:p>
    <w:p w14:paraId="41B2EA00" w14:textId="38B7CF16" w:rsidR="001A7688" w:rsidRPr="001A7688" w:rsidRDefault="001A7688" w:rsidP="00E31990">
      <w:pPr>
        <w:pStyle w:val="Prrafodelista"/>
        <w:numPr>
          <w:ilvl w:val="0"/>
          <w:numId w:val="22"/>
        </w:numPr>
        <w:jc w:val="both"/>
        <w:rPr>
          <w:rFonts w:ascii="Montserrat" w:hAnsi="Montserrat"/>
          <w:sz w:val="22"/>
          <w:szCs w:val="22"/>
        </w:rPr>
      </w:pPr>
      <w:r w:rsidRPr="001A7688">
        <w:rPr>
          <w:rFonts w:ascii="Montserrat" w:hAnsi="Montserrat"/>
          <w:sz w:val="22"/>
          <w:szCs w:val="22"/>
        </w:rPr>
        <w:t>La Comisión de Prevención, presidida por la Secretaría de Educación Pública;</w:t>
      </w:r>
    </w:p>
    <w:p w14:paraId="07C7C6CA" w14:textId="2A5AF593" w:rsidR="001A7688" w:rsidRPr="001A7688" w:rsidRDefault="001A7688" w:rsidP="00E31990">
      <w:pPr>
        <w:pStyle w:val="Prrafodelista"/>
        <w:numPr>
          <w:ilvl w:val="0"/>
          <w:numId w:val="22"/>
        </w:numPr>
        <w:jc w:val="both"/>
        <w:rPr>
          <w:rFonts w:ascii="Montserrat" w:hAnsi="Montserrat"/>
          <w:sz w:val="22"/>
          <w:szCs w:val="22"/>
        </w:rPr>
      </w:pPr>
      <w:r w:rsidRPr="001A7688">
        <w:rPr>
          <w:rFonts w:ascii="Montserrat" w:hAnsi="Montserrat"/>
          <w:sz w:val="22"/>
          <w:szCs w:val="22"/>
        </w:rPr>
        <w:t>La Comisión de Atención, presidida por la Secretaría de Salud;</w:t>
      </w:r>
    </w:p>
    <w:p w14:paraId="1621DD1F" w14:textId="520A9AC3" w:rsidR="001A7688" w:rsidRPr="001A7688" w:rsidRDefault="001A7688" w:rsidP="00E31990">
      <w:pPr>
        <w:pStyle w:val="Prrafodelista"/>
        <w:numPr>
          <w:ilvl w:val="0"/>
          <w:numId w:val="22"/>
        </w:numPr>
        <w:jc w:val="both"/>
        <w:rPr>
          <w:rFonts w:ascii="Montserrat" w:hAnsi="Montserrat"/>
          <w:sz w:val="22"/>
          <w:szCs w:val="22"/>
        </w:rPr>
      </w:pPr>
      <w:r w:rsidRPr="001A7688">
        <w:rPr>
          <w:rFonts w:ascii="Montserrat" w:hAnsi="Montserrat"/>
          <w:sz w:val="22"/>
          <w:szCs w:val="22"/>
        </w:rPr>
        <w:t>La Comisión de Sanción, presidida por la Procuraduría General de la República, y</w:t>
      </w:r>
    </w:p>
    <w:p w14:paraId="2C2CA868" w14:textId="5EB3C90C" w:rsidR="001A7688" w:rsidRPr="001A7688" w:rsidRDefault="001A7688" w:rsidP="00E31990">
      <w:pPr>
        <w:pStyle w:val="Prrafodelista"/>
        <w:numPr>
          <w:ilvl w:val="0"/>
          <w:numId w:val="22"/>
        </w:numPr>
        <w:jc w:val="both"/>
        <w:rPr>
          <w:rFonts w:ascii="Montserrat" w:hAnsi="Montserrat"/>
          <w:sz w:val="22"/>
          <w:szCs w:val="22"/>
        </w:rPr>
      </w:pPr>
      <w:r w:rsidRPr="001A7688">
        <w:rPr>
          <w:rFonts w:ascii="Montserrat" w:hAnsi="Montserrat"/>
          <w:sz w:val="22"/>
          <w:szCs w:val="22"/>
        </w:rPr>
        <w:t>La Comisión de Erradicación, presidida por la Secretaría de Gobernación.</w:t>
      </w:r>
    </w:p>
    <w:p w14:paraId="484575D2" w14:textId="77777777" w:rsidR="001A7688" w:rsidRPr="001A7688" w:rsidRDefault="001A7688" w:rsidP="00645EC4">
      <w:pPr>
        <w:jc w:val="both"/>
        <w:rPr>
          <w:rFonts w:ascii="Montserrat" w:hAnsi="Montserrat"/>
          <w:sz w:val="22"/>
          <w:szCs w:val="22"/>
        </w:rPr>
      </w:pPr>
    </w:p>
    <w:p w14:paraId="2BC5E38A" w14:textId="77777777" w:rsidR="001A7688" w:rsidRPr="001A7688" w:rsidRDefault="001A7688" w:rsidP="00645EC4">
      <w:pPr>
        <w:jc w:val="both"/>
        <w:rPr>
          <w:rFonts w:ascii="Montserrat" w:hAnsi="Montserrat"/>
          <w:sz w:val="22"/>
          <w:szCs w:val="22"/>
        </w:rPr>
      </w:pPr>
      <w:r w:rsidRPr="001A7688">
        <w:rPr>
          <w:rFonts w:ascii="Montserrat" w:hAnsi="Montserrat"/>
          <w:sz w:val="22"/>
          <w:szCs w:val="22"/>
        </w:rPr>
        <w:t xml:space="preserve">Estas comisiones son las responsables de coadyuvar para la instrumentación de la política nacional integral y proponen al pleno del Sistema acciones de política pública con enfoque interseccional e intercultural. Los acuerdos que se establecen son de observancia para las instancias de la Administración Pública Federal y para las entidades federativas. Entre los acuerdo importante realizados en el año 2021 está la aprobación del Modelo Integral de Prevención Primaria de Violencias contra las Mujeres y el Modelo de Atención </w:t>
      </w:r>
      <w:r w:rsidRPr="001A7688">
        <w:rPr>
          <w:rFonts w:ascii="Montserrat" w:hAnsi="Montserrat"/>
          <w:sz w:val="22"/>
          <w:szCs w:val="22"/>
        </w:rPr>
        <w:lastRenderedPageBreak/>
        <w:t>para la Atención Integral para Mujeres que Viven Violencia, ambos con los principios transversales de interseccionalidad e interculturalidad , lo que permitirá generar estrategias para las mujeres con discapacidad que vivan violencia.</w:t>
      </w:r>
    </w:p>
    <w:p w14:paraId="4045B874" w14:textId="77777777" w:rsidR="001E1E86" w:rsidRDefault="001E1E86" w:rsidP="00645EC4">
      <w:pPr>
        <w:jc w:val="both"/>
        <w:rPr>
          <w:rFonts w:ascii="Montserrat" w:hAnsi="Montserrat"/>
          <w:sz w:val="22"/>
          <w:szCs w:val="22"/>
        </w:rPr>
      </w:pPr>
    </w:p>
    <w:p w14:paraId="0C555AE2" w14:textId="53021907" w:rsidR="001A7688" w:rsidRDefault="001E1E86" w:rsidP="00645EC4">
      <w:pPr>
        <w:jc w:val="both"/>
        <w:rPr>
          <w:rFonts w:ascii="Montserrat" w:hAnsi="Montserrat"/>
          <w:sz w:val="22"/>
          <w:szCs w:val="22"/>
        </w:rPr>
      </w:pPr>
      <w:r>
        <w:rPr>
          <w:rFonts w:ascii="Montserrat" w:hAnsi="Montserrat"/>
          <w:sz w:val="22"/>
          <w:szCs w:val="22"/>
        </w:rPr>
        <w:t>Asimismo, se cuenta con el</w:t>
      </w:r>
      <w:r w:rsidR="001A7688" w:rsidRPr="001A7688">
        <w:rPr>
          <w:rFonts w:ascii="Montserrat" w:hAnsi="Montserrat"/>
          <w:sz w:val="22"/>
          <w:szCs w:val="22"/>
        </w:rPr>
        <w:t xml:space="preserve"> Programa Integral para Prevenir, Atender, Sancionar y Erradicar la Violencia Contra las Mujeres (PIPASEVM) 2021-2024 , el cual se publicó en el Diario Oficial de la Federación el 30 de diciembre del 2021. El PIPASEVM contiene atenciones específicas para mujeres con discapacidad, entendiendo la doble situación de vulnerabilidad que plantea el ser mujer y ser una persona con discapacidad en México</w:t>
      </w:r>
      <w:r w:rsidR="00EC3B01">
        <w:rPr>
          <w:rFonts w:ascii="Montserrat" w:hAnsi="Montserrat"/>
          <w:sz w:val="22"/>
          <w:szCs w:val="22"/>
        </w:rPr>
        <w:t xml:space="preserve">. Además, </w:t>
      </w:r>
      <w:r w:rsidR="001A7688" w:rsidRPr="001A7688">
        <w:rPr>
          <w:rFonts w:ascii="Montserrat" w:hAnsi="Montserrat"/>
          <w:sz w:val="22"/>
          <w:szCs w:val="22"/>
        </w:rPr>
        <w:t>es de observancia obligatoria para las instituciones de la Administración Pública Federal y entidades federativas; es un instrumento normativo programático, el cual establece cuatro objetivos estratégicos que contiene 112 líneas de acción puntual para fomentar la prevención de la violencia; la atención; el acceso a la justicia a las mujeres; la armonización legislativa;  así como la generación de estadística y presupuestos para la erradicación de la violencia contra las mujeres.</w:t>
      </w:r>
      <w:r w:rsidR="00640805">
        <w:rPr>
          <w:rFonts w:ascii="Montserrat" w:hAnsi="Montserrat"/>
          <w:sz w:val="22"/>
          <w:szCs w:val="22"/>
        </w:rPr>
        <w:t xml:space="preserve"> </w:t>
      </w:r>
      <w:r w:rsidR="001A7688" w:rsidRPr="001A7688">
        <w:rPr>
          <w:rFonts w:ascii="Montserrat" w:hAnsi="Montserrat"/>
          <w:sz w:val="22"/>
          <w:szCs w:val="22"/>
        </w:rPr>
        <w:t xml:space="preserve">El PIPASEVM contiene un enfoque interseccional e intercultural y opera a través de las instancias señaladas como responsables por cada acción puntual. </w:t>
      </w:r>
    </w:p>
    <w:p w14:paraId="1286F1B8" w14:textId="77777777" w:rsidR="00884B40" w:rsidRDefault="00884B40" w:rsidP="00645EC4">
      <w:pPr>
        <w:jc w:val="both"/>
        <w:rPr>
          <w:rFonts w:ascii="Montserrat" w:hAnsi="Montserrat"/>
          <w:sz w:val="22"/>
          <w:szCs w:val="22"/>
        </w:rPr>
      </w:pPr>
    </w:p>
    <w:p w14:paraId="3D469EE0" w14:textId="5DF3E0F4" w:rsidR="004A0D55" w:rsidRDefault="004A0D55" w:rsidP="00645EC4">
      <w:pPr>
        <w:pStyle w:val="NormalWeb"/>
        <w:shd w:val="clear" w:color="auto" w:fill="FFFFFF"/>
        <w:spacing w:before="0" w:beforeAutospacing="0" w:after="0" w:afterAutospacing="0"/>
        <w:contextualSpacing/>
        <w:mirrorIndents/>
        <w:jc w:val="both"/>
        <w:rPr>
          <w:rFonts w:ascii="Montserrat" w:eastAsia="Calibri" w:hAnsi="Montserrat"/>
          <w:sz w:val="22"/>
          <w:szCs w:val="22"/>
          <w:lang w:eastAsia="en-US"/>
        </w:rPr>
      </w:pPr>
      <w:r>
        <w:rPr>
          <w:rFonts w:ascii="Montserrat" w:hAnsi="Montserrat"/>
          <w:sz w:val="22"/>
          <w:szCs w:val="22"/>
        </w:rPr>
        <w:t xml:space="preserve">De igual forma, </w:t>
      </w:r>
      <w:r>
        <w:rPr>
          <w:rFonts w:ascii="Montserrat" w:eastAsia="Calibri" w:hAnsi="Montserrat"/>
          <w:sz w:val="22"/>
          <w:szCs w:val="22"/>
          <w:lang w:eastAsia="en-US"/>
        </w:rPr>
        <w:t xml:space="preserve">una de las políticas públicas más exitosas que ha puesto en marcha la CONAVIM desde el 2010, ha sido la creación y fortalecimiento de los </w:t>
      </w:r>
      <w:r w:rsidRPr="004A0D55">
        <w:rPr>
          <w:rFonts w:ascii="Montserrat" w:eastAsia="Calibri" w:hAnsi="Montserrat"/>
          <w:bCs/>
          <w:sz w:val="22"/>
          <w:szCs w:val="22"/>
          <w:lang w:eastAsia="en-US"/>
        </w:rPr>
        <w:t>Centros de Justicia para las Mujeres</w:t>
      </w:r>
      <w:r>
        <w:rPr>
          <w:rFonts w:ascii="Montserrat" w:eastAsia="Calibri" w:hAnsi="Montserrat"/>
          <w:sz w:val="22"/>
          <w:szCs w:val="22"/>
          <w:lang w:eastAsia="en-US"/>
        </w:rPr>
        <w:t xml:space="preserve"> (CJM),</w:t>
      </w:r>
      <w:r w:rsidRPr="0081690B">
        <w:rPr>
          <w:rFonts w:ascii="Montserrat" w:eastAsia="Calibri" w:hAnsi="Montserrat"/>
          <w:sz w:val="22"/>
          <w:szCs w:val="22"/>
          <w:lang w:eastAsia="en-US"/>
        </w:rPr>
        <w:t xml:space="preserve"> los cuales son el resultado de la suma de esfuerzos y recursos entre el Gobierno de la República, las entidades federativas y organizaciones de la sociedad civil, para la creación de espacios que concentran bajo un mismo techo servicios multidisciplinarios tales como:</w:t>
      </w:r>
      <w:r>
        <w:rPr>
          <w:rFonts w:ascii="Montserrat" w:eastAsia="Calibri" w:hAnsi="Montserrat"/>
          <w:sz w:val="22"/>
          <w:szCs w:val="22"/>
          <w:lang w:eastAsia="en-US"/>
        </w:rPr>
        <w:t xml:space="preserve"> a</w:t>
      </w:r>
      <w:r w:rsidRPr="004A0D55">
        <w:rPr>
          <w:rFonts w:ascii="Montserrat" w:eastAsia="Calibri" w:hAnsi="Montserrat"/>
          <w:sz w:val="22"/>
          <w:szCs w:val="22"/>
          <w:lang w:eastAsia="en-US"/>
        </w:rPr>
        <w:t>tención psicológica, jurídica y médica;</w:t>
      </w:r>
      <w:r>
        <w:rPr>
          <w:rFonts w:ascii="Montserrat" w:eastAsia="Calibri" w:hAnsi="Montserrat"/>
          <w:sz w:val="22"/>
          <w:szCs w:val="22"/>
          <w:lang w:eastAsia="en-US"/>
        </w:rPr>
        <w:t xml:space="preserve"> a</w:t>
      </w:r>
      <w:r w:rsidRPr="004A0D55">
        <w:rPr>
          <w:rFonts w:ascii="Montserrat" w:eastAsia="Calibri" w:hAnsi="Montserrat"/>
          <w:sz w:val="22"/>
          <w:szCs w:val="22"/>
          <w:lang w:eastAsia="en-US"/>
        </w:rPr>
        <w:t>lbergues temporales;</w:t>
      </w:r>
      <w:r>
        <w:rPr>
          <w:rFonts w:ascii="Montserrat" w:eastAsia="Calibri" w:hAnsi="Montserrat"/>
          <w:sz w:val="22"/>
          <w:szCs w:val="22"/>
          <w:lang w:eastAsia="en-US"/>
        </w:rPr>
        <w:t xml:space="preserve"> l</w:t>
      </w:r>
      <w:r w:rsidRPr="004A0D55">
        <w:rPr>
          <w:rFonts w:ascii="Montserrat" w:eastAsia="Calibri" w:hAnsi="Montserrat"/>
          <w:sz w:val="22"/>
          <w:szCs w:val="22"/>
          <w:lang w:eastAsia="en-US"/>
        </w:rPr>
        <w:t>udoteca con expertas/os en temas de desarrollo infantil y;</w:t>
      </w:r>
      <w:r>
        <w:rPr>
          <w:rFonts w:ascii="Montserrat" w:eastAsia="Calibri" w:hAnsi="Montserrat"/>
          <w:sz w:val="22"/>
          <w:szCs w:val="22"/>
          <w:lang w:eastAsia="en-US"/>
        </w:rPr>
        <w:t xml:space="preserve"> t</w:t>
      </w:r>
      <w:r w:rsidRPr="004A0D55">
        <w:rPr>
          <w:rFonts w:ascii="Montserrat" w:eastAsia="Calibri" w:hAnsi="Montserrat"/>
          <w:sz w:val="22"/>
          <w:szCs w:val="22"/>
          <w:lang w:eastAsia="en-US"/>
        </w:rPr>
        <w:t>alleres de empoderamiento social y económico para apoyar a las mujeres a salir del círculo de violencia.</w:t>
      </w:r>
    </w:p>
    <w:p w14:paraId="7009EAEC" w14:textId="77777777" w:rsidR="00884B40" w:rsidRPr="004A0D55" w:rsidRDefault="00884B40" w:rsidP="00645EC4">
      <w:pPr>
        <w:pStyle w:val="NormalWeb"/>
        <w:shd w:val="clear" w:color="auto" w:fill="FFFFFF"/>
        <w:spacing w:before="0" w:beforeAutospacing="0" w:after="0" w:afterAutospacing="0"/>
        <w:contextualSpacing/>
        <w:mirrorIndents/>
        <w:jc w:val="both"/>
        <w:rPr>
          <w:rFonts w:ascii="Montserrat" w:eastAsia="Calibri" w:hAnsi="Montserrat"/>
          <w:sz w:val="22"/>
          <w:szCs w:val="22"/>
          <w:lang w:eastAsia="en-US"/>
        </w:rPr>
      </w:pPr>
    </w:p>
    <w:p w14:paraId="0FAE8C82" w14:textId="77777777" w:rsidR="004A0D55" w:rsidRPr="00884B40" w:rsidRDefault="004A0D55" w:rsidP="00645EC4">
      <w:pPr>
        <w:contextualSpacing/>
        <w:mirrorIndents/>
        <w:jc w:val="both"/>
        <w:rPr>
          <w:rFonts w:ascii="Montserrat" w:hAnsi="Montserrat"/>
          <w:sz w:val="22"/>
          <w:szCs w:val="22"/>
        </w:rPr>
      </w:pPr>
      <w:r w:rsidRPr="00884B40">
        <w:rPr>
          <w:rFonts w:ascii="Montserrat" w:hAnsi="Montserrat"/>
          <w:sz w:val="22"/>
          <w:szCs w:val="22"/>
        </w:rPr>
        <w:t>En este sentido, se puede consultar el Protocolo para la atención de usuarias y víctimas den los CJM en México</w:t>
      </w:r>
      <w:r w:rsidRPr="00884B40">
        <w:rPr>
          <w:rStyle w:val="Refdenotaalpie"/>
          <w:rFonts w:ascii="Montserrat" w:hAnsi="Montserrat"/>
          <w:sz w:val="22"/>
          <w:szCs w:val="22"/>
        </w:rPr>
        <w:footnoteReference w:id="4"/>
      </w:r>
      <w:r w:rsidRPr="00884B40">
        <w:rPr>
          <w:rFonts w:ascii="Montserrat" w:hAnsi="Montserrat"/>
          <w:sz w:val="22"/>
          <w:szCs w:val="22"/>
        </w:rPr>
        <w:t>; los Lineamientos urbanos y diseño arquitectónico de los CJM</w:t>
      </w:r>
      <w:r w:rsidRPr="00884B40">
        <w:rPr>
          <w:rStyle w:val="Refdenotaalpie"/>
          <w:rFonts w:ascii="Montserrat" w:hAnsi="Montserrat"/>
          <w:sz w:val="22"/>
          <w:szCs w:val="22"/>
        </w:rPr>
        <w:footnoteReference w:id="5"/>
      </w:r>
      <w:r w:rsidRPr="00884B40">
        <w:rPr>
          <w:rFonts w:ascii="Montserrat" w:hAnsi="Montserrat"/>
          <w:sz w:val="22"/>
          <w:szCs w:val="22"/>
        </w:rPr>
        <w:t>; los Lineamientos para la creación y operación de CJM</w:t>
      </w:r>
      <w:r w:rsidRPr="00884B40">
        <w:rPr>
          <w:rStyle w:val="Refdenotaalpie"/>
          <w:rFonts w:ascii="Montserrat" w:hAnsi="Montserrat"/>
          <w:sz w:val="22"/>
          <w:szCs w:val="22"/>
        </w:rPr>
        <w:footnoteReference w:id="6"/>
      </w:r>
      <w:r w:rsidRPr="00884B40">
        <w:rPr>
          <w:rFonts w:ascii="Montserrat" w:hAnsi="Montserrat"/>
          <w:sz w:val="22"/>
          <w:szCs w:val="22"/>
        </w:rPr>
        <w:t>; los Lineamientos Arquitectónicos de los CJM</w:t>
      </w:r>
      <w:r w:rsidRPr="00884B40">
        <w:rPr>
          <w:rStyle w:val="Refdenotaalpie"/>
          <w:rFonts w:ascii="Montserrat" w:hAnsi="Montserrat"/>
          <w:sz w:val="22"/>
          <w:szCs w:val="22"/>
        </w:rPr>
        <w:footnoteReference w:id="7"/>
      </w:r>
      <w:r w:rsidRPr="00884B40">
        <w:rPr>
          <w:rFonts w:ascii="Montserrat" w:hAnsi="Montserrat"/>
          <w:sz w:val="22"/>
          <w:szCs w:val="22"/>
        </w:rPr>
        <w:t>; el Directorio de los CJM 2022</w:t>
      </w:r>
      <w:r w:rsidRPr="00884B40">
        <w:rPr>
          <w:rStyle w:val="Refdenotaalpie"/>
          <w:rFonts w:ascii="Montserrat" w:hAnsi="Montserrat"/>
          <w:sz w:val="22"/>
          <w:szCs w:val="22"/>
        </w:rPr>
        <w:footnoteReference w:id="8"/>
      </w:r>
      <w:r w:rsidRPr="00884B40">
        <w:rPr>
          <w:rFonts w:ascii="Montserrat" w:hAnsi="Montserrat"/>
          <w:sz w:val="22"/>
          <w:szCs w:val="22"/>
        </w:rPr>
        <w:t>; así como los Lineamientos Arquitectónicos de Refugios para mujeres, sus hijas e hijos</w:t>
      </w:r>
      <w:r w:rsidRPr="00884B40">
        <w:rPr>
          <w:rStyle w:val="Refdenotaalpie"/>
          <w:rFonts w:ascii="Montserrat" w:hAnsi="Montserrat"/>
          <w:sz w:val="22"/>
          <w:szCs w:val="22"/>
        </w:rPr>
        <w:footnoteReference w:id="9"/>
      </w:r>
      <w:r w:rsidRPr="00884B40">
        <w:rPr>
          <w:rFonts w:ascii="Montserrat" w:hAnsi="Montserrat"/>
          <w:sz w:val="22"/>
          <w:szCs w:val="22"/>
        </w:rPr>
        <w:t xml:space="preserve">. </w:t>
      </w:r>
    </w:p>
    <w:p w14:paraId="69D9D91F" w14:textId="36511F9C" w:rsidR="004A0D55" w:rsidRPr="001A7688" w:rsidRDefault="004A0D55" w:rsidP="00645EC4">
      <w:pPr>
        <w:jc w:val="both"/>
        <w:rPr>
          <w:rFonts w:ascii="Montserrat" w:hAnsi="Montserrat"/>
          <w:sz w:val="22"/>
          <w:szCs w:val="22"/>
        </w:rPr>
      </w:pPr>
    </w:p>
    <w:p w14:paraId="0498B39B" w14:textId="61B76A9E" w:rsidR="00F96287" w:rsidRPr="009F2827" w:rsidRDefault="00AF3C9C" w:rsidP="00645EC4">
      <w:pPr>
        <w:jc w:val="both"/>
        <w:rPr>
          <w:rFonts w:ascii="Montserrat" w:eastAsia="Montserrat" w:hAnsi="Montserrat" w:cs="Montserrat"/>
          <w:sz w:val="22"/>
          <w:szCs w:val="22"/>
        </w:rPr>
      </w:pPr>
      <w:r>
        <w:rPr>
          <w:rFonts w:ascii="Montserrat" w:eastAsia="Montserrat" w:hAnsi="Montserrat" w:cs="Montserrat"/>
          <w:sz w:val="22"/>
          <w:szCs w:val="22"/>
        </w:rPr>
        <w:t>Se</w:t>
      </w:r>
      <w:r w:rsidR="00F96287" w:rsidRPr="009F2827">
        <w:rPr>
          <w:rFonts w:ascii="Montserrat" w:eastAsia="Montserrat" w:hAnsi="Montserrat" w:cs="Montserrat"/>
          <w:sz w:val="22"/>
          <w:szCs w:val="22"/>
        </w:rPr>
        <w:t xml:space="preserve"> informa que al día de hoy existen 56 Centros de Justicia para las Mujeres, ubicados en 31 entidades federativas de la República Mexicana, los cuales cuentan cada uno con su Programa de Operación Anual y Manuales de Operación y Procedimientos. Basado en un modelo interdisciplinario, </w:t>
      </w:r>
      <w:r w:rsidR="00F96287" w:rsidRPr="009F2827">
        <w:rPr>
          <w:rFonts w:ascii="Montserrat" w:eastAsia="Montserrat" w:hAnsi="Montserrat" w:cs="Montserrat"/>
          <w:sz w:val="22"/>
          <w:szCs w:val="22"/>
        </w:rPr>
        <w:lastRenderedPageBreak/>
        <w:t>secuencial y especializado que brinda servicios a mujeres víctimas de violencia (a sus hijas e hijos) con unidad de criterio y aplicación de protocolos con perspectiva de género</w:t>
      </w:r>
      <w:r>
        <w:rPr>
          <w:rFonts w:ascii="Montserrat" w:eastAsia="Montserrat" w:hAnsi="Montserrat" w:cs="Montserrat"/>
          <w:sz w:val="22"/>
          <w:szCs w:val="22"/>
        </w:rPr>
        <w:t>.</w:t>
      </w:r>
    </w:p>
    <w:p w14:paraId="4ACFDE23" w14:textId="77777777" w:rsidR="00F96287" w:rsidRPr="008D2D68" w:rsidRDefault="00F96287" w:rsidP="00645EC4">
      <w:pPr>
        <w:jc w:val="both"/>
        <w:rPr>
          <w:rFonts w:ascii="Montserrat" w:eastAsia="Montserrat" w:hAnsi="Montserrat" w:cs="Montserrat"/>
        </w:rPr>
      </w:pPr>
    </w:p>
    <w:p w14:paraId="4E28D831" w14:textId="1C6F00E1" w:rsidR="00F96287" w:rsidRDefault="00F96287" w:rsidP="00645EC4">
      <w:pPr>
        <w:jc w:val="both"/>
        <w:rPr>
          <w:rFonts w:ascii="Montserrat" w:hAnsi="Montserrat"/>
          <w:noProof/>
          <w:sz w:val="22"/>
          <w:szCs w:val="22"/>
          <w:lang w:eastAsia="es-MX"/>
        </w:rPr>
      </w:pPr>
      <w:r w:rsidRPr="007815D5">
        <w:rPr>
          <w:rFonts w:ascii="Montserrat" w:eastAsia="Montserrat" w:hAnsi="Montserrat" w:cs="Montserrat"/>
          <w:sz w:val="22"/>
          <w:szCs w:val="22"/>
        </w:rPr>
        <w:t>D</w:t>
      </w:r>
      <w:r w:rsidRPr="007815D5">
        <w:rPr>
          <w:rFonts w:ascii="Montserrat" w:hAnsi="Montserrat"/>
          <w:noProof/>
          <w:sz w:val="22"/>
          <w:szCs w:val="22"/>
          <w:lang w:eastAsia="es-MX"/>
        </w:rPr>
        <w:t>urante el mes de enero de 2022 estos CJM atendieron de primera vez a</w:t>
      </w:r>
      <w:r w:rsidR="007815D5">
        <w:rPr>
          <w:rFonts w:ascii="Montserrat" w:hAnsi="Montserrat"/>
          <w:noProof/>
          <w:sz w:val="22"/>
          <w:szCs w:val="22"/>
          <w:lang w:eastAsia="es-MX"/>
        </w:rPr>
        <w:t xml:space="preserve"> 181 personas con alguna discapacidad de las cuales 175 eran mujeres y 6 hombres. </w:t>
      </w:r>
      <w:r w:rsidRPr="007815D5">
        <w:rPr>
          <w:rFonts w:ascii="Montserrat" w:hAnsi="Montserrat"/>
          <w:noProof/>
          <w:sz w:val="22"/>
          <w:szCs w:val="22"/>
          <w:lang w:eastAsia="es-MX"/>
        </w:rPr>
        <w:t>Mientras que durante el mes febrero de 2022 atendieron por primera vez a</w:t>
      </w:r>
      <w:r w:rsidR="007815D5">
        <w:rPr>
          <w:rFonts w:ascii="Montserrat" w:hAnsi="Montserrat"/>
          <w:noProof/>
          <w:sz w:val="22"/>
          <w:szCs w:val="22"/>
          <w:lang w:eastAsia="es-MX"/>
        </w:rPr>
        <w:t xml:space="preserve"> 69 personas con alguna discapacidad</w:t>
      </w:r>
      <w:r w:rsidRPr="007815D5">
        <w:rPr>
          <w:rFonts w:ascii="Montserrat" w:hAnsi="Montserrat"/>
          <w:noProof/>
          <w:sz w:val="22"/>
          <w:szCs w:val="22"/>
          <w:lang w:eastAsia="es-MX"/>
        </w:rPr>
        <w:t xml:space="preserve"> </w:t>
      </w:r>
      <w:r w:rsidR="007815D5">
        <w:rPr>
          <w:rFonts w:ascii="Montserrat" w:hAnsi="Montserrat"/>
          <w:noProof/>
          <w:sz w:val="22"/>
          <w:szCs w:val="22"/>
          <w:lang w:eastAsia="es-MX"/>
        </w:rPr>
        <w:t>de las cuales 63 fueron mujeres y 6 hombres.</w:t>
      </w:r>
    </w:p>
    <w:p w14:paraId="698182AA" w14:textId="287EA62D" w:rsidR="002B7ED4" w:rsidRDefault="002B7ED4" w:rsidP="00645EC4">
      <w:pPr>
        <w:jc w:val="both"/>
        <w:rPr>
          <w:rFonts w:ascii="Montserrat" w:hAnsi="Montserrat"/>
          <w:noProof/>
          <w:sz w:val="22"/>
          <w:szCs w:val="22"/>
          <w:lang w:eastAsia="es-MX"/>
        </w:rPr>
      </w:pPr>
    </w:p>
    <w:p w14:paraId="7492856C" w14:textId="54008140" w:rsidR="002B7ED4" w:rsidRPr="007D22AC" w:rsidRDefault="002B7ED4" w:rsidP="00645EC4">
      <w:pPr>
        <w:tabs>
          <w:tab w:val="left" w:pos="8715"/>
        </w:tabs>
        <w:ind w:right="49"/>
        <w:contextualSpacing/>
        <w:mirrorIndents/>
        <w:jc w:val="both"/>
        <w:rPr>
          <w:rFonts w:ascii="Montserrat" w:hAnsi="Montserrat"/>
          <w:sz w:val="22"/>
          <w:szCs w:val="22"/>
        </w:rPr>
      </w:pPr>
      <w:r w:rsidRPr="007D22AC">
        <w:rPr>
          <w:rFonts w:ascii="Montserrat" w:hAnsi="Montserrat"/>
          <w:noProof/>
          <w:sz w:val="22"/>
          <w:szCs w:val="22"/>
          <w:lang w:eastAsia="es-MX"/>
        </w:rPr>
        <w:t>Finalmente,  e</w:t>
      </w:r>
      <w:r w:rsidRPr="007D22AC">
        <w:rPr>
          <w:rFonts w:ascii="Montserrat" w:hAnsi="Montserrat"/>
          <w:sz w:val="22"/>
          <w:szCs w:val="22"/>
        </w:rPr>
        <w:t>n atención a mujeres que han sido víctimas de violencia, se creó un área de vinculación</w:t>
      </w:r>
      <w:r w:rsidR="007D22AC" w:rsidRPr="007D22AC">
        <w:rPr>
          <w:rFonts w:ascii="Montserrat" w:hAnsi="Montserrat"/>
          <w:sz w:val="22"/>
          <w:szCs w:val="22"/>
        </w:rPr>
        <w:t xml:space="preserve"> en la Comisión Nacional para Prevenir y Erradicar la Violencia contra las Mujeres (CONAVIM)</w:t>
      </w:r>
      <w:r w:rsidRPr="007D22AC">
        <w:rPr>
          <w:rFonts w:ascii="Montserrat" w:hAnsi="Montserrat"/>
          <w:sz w:val="22"/>
          <w:szCs w:val="22"/>
        </w:rPr>
        <w:t xml:space="preserve"> con otras autoridades para referir a las mujeres que han sido víctimas de cualquier tipo de violencia contenida en la LGAMVLV. Así, abogadas y especialistas de las diversas áreas, brindan atención consistente en orientación jurídica y canalización a las autoridades y dependencias a quienes les corresponde la atención y respuesta de acuerdo con sus competencias. </w:t>
      </w:r>
      <w:r w:rsidR="007D22AC" w:rsidRPr="007D22AC">
        <w:rPr>
          <w:rFonts w:ascii="Montserrat" w:hAnsi="Montserrat"/>
          <w:sz w:val="22"/>
          <w:szCs w:val="22"/>
        </w:rPr>
        <w:t>Con ello, se busca</w:t>
      </w:r>
      <w:r w:rsidRPr="007D22AC">
        <w:rPr>
          <w:rFonts w:ascii="Montserrat" w:hAnsi="Montserrat"/>
          <w:sz w:val="22"/>
          <w:szCs w:val="22"/>
        </w:rPr>
        <w:t xml:space="preserve"> propiciar que las instituciones instrumenten acciones de atención</w:t>
      </w:r>
      <w:r w:rsidR="007D22AC" w:rsidRPr="007D22AC">
        <w:rPr>
          <w:rFonts w:ascii="Montserrat" w:hAnsi="Montserrat"/>
          <w:sz w:val="22"/>
          <w:szCs w:val="22"/>
        </w:rPr>
        <w:t xml:space="preserve"> y</w:t>
      </w:r>
      <w:r w:rsidRPr="007D22AC">
        <w:rPr>
          <w:rFonts w:ascii="Montserrat" w:hAnsi="Montserrat"/>
          <w:sz w:val="22"/>
          <w:szCs w:val="22"/>
        </w:rPr>
        <w:t xml:space="preserve"> se fomenta un mecanismo de vinculación y comunicación interinstitucional con órganos y operadores del sistema de justicia de todo el país para promover estándares de atención e investigación con perspectiva de género y debida diligencia para mujeres víctimas de violencia.</w:t>
      </w:r>
    </w:p>
    <w:p w14:paraId="34157978" w14:textId="77777777" w:rsidR="002B7ED4" w:rsidRPr="007D22AC" w:rsidRDefault="002B7ED4" w:rsidP="00645EC4">
      <w:pPr>
        <w:contextualSpacing/>
        <w:mirrorIndents/>
        <w:jc w:val="both"/>
        <w:rPr>
          <w:rFonts w:ascii="Montserrat" w:hAnsi="Montserrat"/>
          <w:sz w:val="22"/>
          <w:szCs w:val="22"/>
        </w:rPr>
      </w:pPr>
    </w:p>
    <w:p w14:paraId="36E1C68A" w14:textId="77777777" w:rsidR="002B7ED4" w:rsidRPr="007D22AC" w:rsidRDefault="002B7ED4" w:rsidP="00645EC4">
      <w:pPr>
        <w:contextualSpacing/>
        <w:mirrorIndents/>
        <w:jc w:val="both"/>
        <w:rPr>
          <w:rFonts w:ascii="Montserrat" w:hAnsi="Montserrat"/>
          <w:sz w:val="22"/>
          <w:szCs w:val="22"/>
        </w:rPr>
      </w:pPr>
      <w:r w:rsidRPr="007D22AC">
        <w:rPr>
          <w:rFonts w:ascii="Montserrat" w:hAnsi="Montserrat"/>
          <w:sz w:val="22"/>
          <w:szCs w:val="22"/>
        </w:rPr>
        <w:t xml:space="preserve">Así, cuando se recibe una solicitud de mujeres víctimas de violencia de género, se procede a detectar sus necesidades con la finalidad de poder vincularnos con las autoridades competentes a fin de brindar atención. En ese primer diagnóstico se detecta si la víctima pertenece a algún grupo vulnerable o si presenta alguna discapacidad con la finalidad de poder tener un acercamiento particular que atienda sus necesidades. </w:t>
      </w:r>
    </w:p>
    <w:p w14:paraId="0E8A5CB9" w14:textId="77777777" w:rsidR="002B7ED4" w:rsidRPr="007D22AC" w:rsidRDefault="002B7ED4" w:rsidP="00645EC4">
      <w:pPr>
        <w:contextualSpacing/>
        <w:mirrorIndents/>
        <w:jc w:val="both"/>
        <w:rPr>
          <w:rFonts w:ascii="Montserrat" w:hAnsi="Montserrat"/>
          <w:sz w:val="22"/>
          <w:szCs w:val="22"/>
        </w:rPr>
      </w:pPr>
    </w:p>
    <w:p w14:paraId="30B99D3A" w14:textId="326B5954" w:rsidR="002B7ED4" w:rsidRPr="007D22AC" w:rsidRDefault="002B7ED4" w:rsidP="00645EC4">
      <w:pPr>
        <w:contextualSpacing/>
        <w:mirrorIndents/>
        <w:jc w:val="both"/>
        <w:rPr>
          <w:rFonts w:ascii="Montserrat" w:hAnsi="Montserrat"/>
          <w:sz w:val="22"/>
          <w:szCs w:val="22"/>
        </w:rPr>
      </w:pPr>
      <w:r w:rsidRPr="007D22AC">
        <w:rPr>
          <w:rFonts w:ascii="Montserrat" w:hAnsi="Montserrat"/>
          <w:sz w:val="22"/>
          <w:szCs w:val="22"/>
        </w:rPr>
        <w:t>En el año 2021, de las solicitudes que se han recibido, se tiene conocimiento de dos casos donde las víctimas directas son personas con discapacidad, realizando las siguientes acciones para su atención:</w:t>
      </w:r>
    </w:p>
    <w:p w14:paraId="5BD17D21"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Primer contacto con las mujeres solicitantes de atención.</w:t>
      </w:r>
    </w:p>
    <w:p w14:paraId="0EBA4AA3"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Brindar atención inicial para la detección de hechos constitutivos de delito, necesidades inmediatas y detección de Riesgo Feminicida.</w:t>
      </w:r>
    </w:p>
    <w:p w14:paraId="1BCDF50E"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Brindar información a las mujeres sobre los derechos que como víctima le asisten.</w:t>
      </w:r>
    </w:p>
    <w:p w14:paraId="473EE983"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Brindar asesoría sobre el procedimiento para iniciar denuncia o querella.</w:t>
      </w:r>
    </w:p>
    <w:p w14:paraId="53910EBF"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Informar sobre el proceso y las diligencias a realizarse.</w:t>
      </w:r>
    </w:p>
    <w:p w14:paraId="7EEF8C26"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Establecer la coordinación y vinculación con las instituciones encargadas de brindar atención integral (médica, jurídica, psicológica y social), en los tres órdenes de gobierno en la entidad de residencia de la solicitante.</w:t>
      </w:r>
    </w:p>
    <w:p w14:paraId="46E09B0B"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t>Coadyuvar para que se brinden los oficios de canalización para las diligencias a practicarse (medicina legista, pericial psicológica, etc.)</w:t>
      </w:r>
    </w:p>
    <w:p w14:paraId="31A8DDF9" w14:textId="77777777" w:rsidR="002B7ED4" w:rsidRPr="007D22AC" w:rsidRDefault="002B7ED4" w:rsidP="00E31990">
      <w:pPr>
        <w:pStyle w:val="Prrafodelista"/>
        <w:numPr>
          <w:ilvl w:val="0"/>
          <w:numId w:val="23"/>
        </w:numPr>
        <w:mirrorIndents/>
        <w:jc w:val="both"/>
        <w:rPr>
          <w:rFonts w:ascii="Montserrat" w:hAnsi="Montserrat"/>
          <w:sz w:val="22"/>
          <w:szCs w:val="22"/>
        </w:rPr>
      </w:pPr>
      <w:r w:rsidRPr="007D22AC">
        <w:rPr>
          <w:rFonts w:ascii="Montserrat" w:hAnsi="Montserrat"/>
          <w:sz w:val="22"/>
          <w:szCs w:val="22"/>
        </w:rPr>
        <w:lastRenderedPageBreak/>
        <w:t>Coadyuvar con la elaboración de oficios de referencia y contra referencia para la atención integral de las víctimas.</w:t>
      </w:r>
    </w:p>
    <w:p w14:paraId="36585F4B" w14:textId="77777777" w:rsidR="002B7ED4" w:rsidRPr="007D22AC" w:rsidRDefault="002B7ED4" w:rsidP="00645EC4">
      <w:pPr>
        <w:contextualSpacing/>
        <w:mirrorIndents/>
        <w:jc w:val="both"/>
        <w:rPr>
          <w:rFonts w:ascii="Montserrat" w:hAnsi="Montserrat"/>
          <w:sz w:val="22"/>
          <w:szCs w:val="22"/>
        </w:rPr>
      </w:pPr>
    </w:p>
    <w:p w14:paraId="774C7ECF" w14:textId="77777777" w:rsidR="002B7ED4" w:rsidRPr="007D22AC" w:rsidRDefault="002B7ED4" w:rsidP="00645EC4">
      <w:pPr>
        <w:contextualSpacing/>
        <w:mirrorIndents/>
        <w:jc w:val="both"/>
        <w:rPr>
          <w:rFonts w:ascii="Montserrat" w:hAnsi="Montserrat"/>
          <w:sz w:val="22"/>
          <w:szCs w:val="22"/>
        </w:rPr>
      </w:pPr>
      <w:r w:rsidRPr="007D22AC">
        <w:rPr>
          <w:rFonts w:ascii="Montserrat" w:hAnsi="Montserrat"/>
          <w:sz w:val="22"/>
          <w:szCs w:val="22"/>
        </w:rPr>
        <w:t xml:space="preserve">Aunado a lo anterior, a través del </w:t>
      </w:r>
      <w:r w:rsidRPr="002837A4">
        <w:rPr>
          <w:rFonts w:ascii="Montserrat" w:hAnsi="Montserrat"/>
          <w:bCs/>
          <w:sz w:val="22"/>
          <w:szCs w:val="22"/>
        </w:rPr>
        <w:t xml:space="preserve">Padrón de Niños, Niñas y Adolescentes, la </w:t>
      </w:r>
      <w:r w:rsidRPr="002837A4">
        <w:rPr>
          <w:rFonts w:ascii="Montserrat" w:eastAsia="Times New Roman" w:hAnsi="Montserrat" w:cs="Arial"/>
          <w:bCs/>
          <w:sz w:val="22"/>
          <w:szCs w:val="22"/>
        </w:rPr>
        <w:t>CONAVIM</w:t>
      </w:r>
      <w:r w:rsidRPr="002837A4">
        <w:rPr>
          <w:rFonts w:ascii="Montserrat" w:hAnsi="Montserrat"/>
          <w:bCs/>
          <w:sz w:val="22"/>
          <w:szCs w:val="22"/>
        </w:rPr>
        <w:t>, en coordinación con la Secretaria de Bienestar, a partir del 15 de diciembre del 2020,  ha promovido la identificación de víctimas indirectas del delito de feminicidio (niñas, niños y adolescentes</w:t>
      </w:r>
      <w:r w:rsidRPr="007D22AC">
        <w:rPr>
          <w:rFonts w:ascii="Montserrat" w:hAnsi="Montserrat"/>
          <w:sz w:val="22"/>
          <w:szCs w:val="22"/>
        </w:rPr>
        <w:t xml:space="preserve"> en situación de orfandad), con el objetivo de brindar servicios a través de su inscripción al Programa de Apoyo para el Bienestar de las niñas y niños hijas de madres trabajadoras en su modalidad B. </w:t>
      </w:r>
    </w:p>
    <w:p w14:paraId="4CA9BEBD" w14:textId="77777777" w:rsidR="002B7ED4" w:rsidRPr="007D22AC" w:rsidRDefault="002B7ED4" w:rsidP="00645EC4">
      <w:pPr>
        <w:contextualSpacing/>
        <w:mirrorIndents/>
        <w:jc w:val="both"/>
        <w:rPr>
          <w:rFonts w:ascii="Montserrat" w:hAnsi="Montserrat"/>
          <w:sz w:val="22"/>
          <w:szCs w:val="22"/>
        </w:rPr>
      </w:pPr>
    </w:p>
    <w:p w14:paraId="27073619" w14:textId="77777777" w:rsidR="002B7ED4" w:rsidRPr="007D22AC" w:rsidRDefault="002B7ED4" w:rsidP="00645EC4">
      <w:pPr>
        <w:contextualSpacing/>
        <w:mirrorIndents/>
        <w:jc w:val="both"/>
        <w:rPr>
          <w:rFonts w:ascii="Montserrat" w:hAnsi="Montserrat"/>
          <w:sz w:val="22"/>
          <w:szCs w:val="22"/>
        </w:rPr>
      </w:pPr>
      <w:r w:rsidRPr="007D22AC">
        <w:rPr>
          <w:rFonts w:ascii="Montserrat" w:hAnsi="Montserrat"/>
          <w:sz w:val="22"/>
          <w:szCs w:val="22"/>
        </w:rPr>
        <w:t>El Programa es una política pública de alcance nacional que tiene como objeto el bienestar social e igualdad a través de la mejora de las condiciones de acceso y permanencia en el sistema educativo nacional de niñas, niños, adolescentes y jóvenes en orfandad; contribuye principalmente a la protección de la población menor de 18 años y de quienes se encuentran en edad escolar.</w:t>
      </w:r>
    </w:p>
    <w:p w14:paraId="1DB9CDD6" w14:textId="5AB323F7" w:rsidR="002B7ED4" w:rsidRPr="007815D5" w:rsidRDefault="002B7ED4" w:rsidP="00645EC4">
      <w:pPr>
        <w:jc w:val="both"/>
        <w:rPr>
          <w:rFonts w:ascii="Montserrat" w:hAnsi="Montserrat"/>
          <w:noProof/>
          <w:sz w:val="22"/>
          <w:szCs w:val="22"/>
          <w:lang w:eastAsia="es-MX"/>
        </w:rPr>
      </w:pPr>
    </w:p>
    <w:p w14:paraId="4AEDD18E" w14:textId="77777777" w:rsidR="00F96287" w:rsidRDefault="00F96287" w:rsidP="00645EC4">
      <w:pPr>
        <w:jc w:val="both"/>
        <w:rPr>
          <w:rFonts w:ascii="Montserrat" w:hAnsi="Montserrat" w:cs="Times New Roman"/>
          <w:b/>
          <w:color w:val="000000"/>
          <w:bdr w:val="none" w:sz="0" w:space="0" w:color="auto" w:frame="1"/>
          <w:shd w:val="clear" w:color="auto" w:fill="FFFFFF"/>
        </w:rPr>
      </w:pPr>
    </w:p>
    <w:p w14:paraId="5494437A" w14:textId="2A681117" w:rsidR="00AA2419" w:rsidRDefault="00AA2419" w:rsidP="00645EC4">
      <w:pPr>
        <w:jc w:val="both"/>
        <w:rPr>
          <w:rFonts w:ascii="Montserrat" w:hAnsi="Montserrat"/>
          <w:b/>
          <w:bCs/>
          <w:lang w:val="es-ES"/>
        </w:rPr>
      </w:pPr>
      <w:r w:rsidRPr="003E27B1">
        <w:rPr>
          <w:rFonts w:ascii="Montserrat" w:hAnsi="Montserrat"/>
          <w:b/>
          <w:bCs/>
          <w:lang w:val="es-ES"/>
        </w:rPr>
        <w:t xml:space="preserve">Artículo </w:t>
      </w:r>
      <w:r>
        <w:rPr>
          <w:rFonts w:ascii="Montserrat" w:hAnsi="Montserrat"/>
          <w:b/>
          <w:bCs/>
          <w:lang w:val="es-ES"/>
        </w:rPr>
        <w:t>7</w:t>
      </w:r>
      <w:r w:rsidRPr="003E27B1">
        <w:rPr>
          <w:rFonts w:ascii="Montserrat" w:hAnsi="Montserrat"/>
          <w:b/>
          <w:bCs/>
          <w:lang w:val="es-ES"/>
        </w:rPr>
        <w:t xml:space="preserve">. </w:t>
      </w:r>
      <w:r w:rsidRPr="00AA2419">
        <w:rPr>
          <w:rFonts w:ascii="Montserrat" w:hAnsi="Montserrat"/>
          <w:b/>
          <w:bCs/>
          <w:lang w:val="es-ES"/>
        </w:rPr>
        <w:t>Niñ</w:t>
      </w:r>
      <w:r w:rsidR="00D52F6D">
        <w:rPr>
          <w:rFonts w:ascii="Montserrat" w:hAnsi="Montserrat"/>
          <w:b/>
          <w:bCs/>
          <w:lang w:val="es-ES"/>
        </w:rPr>
        <w:t>a</w:t>
      </w:r>
      <w:r w:rsidRPr="00AA2419">
        <w:rPr>
          <w:rFonts w:ascii="Montserrat" w:hAnsi="Montserrat"/>
          <w:b/>
          <w:bCs/>
          <w:lang w:val="es-ES"/>
        </w:rPr>
        <w:t>s y niñ</w:t>
      </w:r>
      <w:r w:rsidR="00D52F6D">
        <w:rPr>
          <w:rFonts w:ascii="Montserrat" w:hAnsi="Montserrat"/>
          <w:b/>
          <w:bCs/>
          <w:lang w:val="es-ES"/>
        </w:rPr>
        <w:t>o</w:t>
      </w:r>
      <w:r w:rsidRPr="00AA2419">
        <w:rPr>
          <w:rFonts w:ascii="Montserrat" w:hAnsi="Montserrat"/>
          <w:b/>
          <w:bCs/>
          <w:lang w:val="es-ES"/>
        </w:rPr>
        <w:t>s con discapacidad</w:t>
      </w:r>
    </w:p>
    <w:p w14:paraId="291C21BA" w14:textId="374697B1" w:rsidR="00AA2419" w:rsidRDefault="00AA2419" w:rsidP="00645EC4">
      <w:pPr>
        <w:jc w:val="both"/>
        <w:rPr>
          <w:rFonts w:ascii="Montserrat" w:hAnsi="Montserrat"/>
          <w:b/>
          <w:bCs/>
          <w:lang w:val="es-ES"/>
        </w:rPr>
      </w:pPr>
    </w:p>
    <w:p w14:paraId="4050696F"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r w:rsidRPr="00AA2419">
        <w:rPr>
          <w:rFonts w:ascii="Montserrat" w:hAnsi="Montserrat"/>
          <w:color w:val="000000"/>
          <w:sz w:val="22"/>
          <w:szCs w:val="22"/>
        </w:rPr>
        <w:t>El Estado mexicano cuenta con instituciones encargadas de generar las acciones correspondientes para que las autoridades de los tres órdenes de gobierno, instituciones públicas o privadas, realicen de manera coordinada las acciones conducentes a garantizar los derechos de los niños, niñas y adolescentes que se encuentren en situación de de vulnerabilidad por discapacidad. Uno de los derechos que se garantiza es el derecho a la participación, dentro del cual estas instituciones deben garantizar que la opinión de los niños sea tenida en cuenta en todos los asuntos que les conciernen.</w:t>
      </w:r>
    </w:p>
    <w:p w14:paraId="67E98F1A"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p>
    <w:p w14:paraId="0623D91A"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r w:rsidRPr="00AA2419">
        <w:rPr>
          <w:rFonts w:ascii="Montserrat" w:hAnsi="Montserrat"/>
          <w:color w:val="000000"/>
          <w:sz w:val="22"/>
          <w:szCs w:val="22"/>
        </w:rPr>
        <w:t>Asimismo, estas instituciones están obligadas a representarles legalmente en los procedimientos judiciales, por lo que también deben garantizar que la autoridad judicial tenga en cuenta la opinión de los niños dentro de estos procedimientos.</w:t>
      </w:r>
    </w:p>
    <w:p w14:paraId="284C6934"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p>
    <w:p w14:paraId="2F480470" w14:textId="7B01B524" w:rsidR="00AA2419" w:rsidRPr="00AA2419" w:rsidRDefault="00AA2419" w:rsidP="00645EC4">
      <w:pPr>
        <w:pBdr>
          <w:top w:val="nil"/>
          <w:left w:val="nil"/>
          <w:bottom w:val="nil"/>
          <w:right w:val="nil"/>
          <w:between w:val="nil"/>
        </w:pBdr>
        <w:jc w:val="both"/>
        <w:rPr>
          <w:rFonts w:ascii="Montserrat" w:hAnsi="Montserrat"/>
          <w:color w:val="000000"/>
          <w:sz w:val="22"/>
          <w:szCs w:val="22"/>
        </w:rPr>
      </w:pPr>
      <w:r w:rsidRPr="00AA2419">
        <w:rPr>
          <w:rFonts w:ascii="Montserrat" w:hAnsi="Montserrat"/>
          <w:color w:val="000000"/>
          <w:sz w:val="22"/>
          <w:szCs w:val="22"/>
        </w:rPr>
        <w:t>Del mismo modo, se informa que la Constitución Política de los Estados Unidos Mexicanos exige que todas las decisiones y acciones del Estado aseguren y cumplan con el principio del interés superior de la niñez, garantizando plenamente sus derechos. Los niños tienen derecho a la satisfacción de sus necesidades de alimentación, salud, educación y sano esparcimiento para su desarrollo integral.</w:t>
      </w:r>
      <w:r>
        <w:rPr>
          <w:rFonts w:ascii="Montserrat" w:hAnsi="Montserrat"/>
          <w:color w:val="000000"/>
          <w:sz w:val="22"/>
          <w:szCs w:val="22"/>
        </w:rPr>
        <w:t xml:space="preserve"> </w:t>
      </w:r>
      <w:r w:rsidRPr="00AA2419">
        <w:rPr>
          <w:rFonts w:ascii="Montserrat" w:hAnsi="Montserrat"/>
          <w:color w:val="000000"/>
          <w:sz w:val="22"/>
          <w:szCs w:val="22"/>
        </w:rPr>
        <w:t>Este interés superior lo determina la autoridad especializada en protección de menores.</w:t>
      </w:r>
    </w:p>
    <w:p w14:paraId="2A3620D7" w14:textId="161A3AA4" w:rsidR="00AA2419" w:rsidRPr="00AA2419" w:rsidRDefault="00AA2419" w:rsidP="00645EC4">
      <w:pPr>
        <w:jc w:val="both"/>
        <w:rPr>
          <w:rFonts w:ascii="Montserrat" w:hAnsi="Montserrat" w:cs="Times New Roman"/>
          <w:color w:val="000000"/>
          <w:sz w:val="22"/>
          <w:szCs w:val="22"/>
          <w:bdr w:val="none" w:sz="0" w:space="0" w:color="auto" w:frame="1"/>
          <w:shd w:val="clear" w:color="auto" w:fill="FFFFFF"/>
        </w:rPr>
      </w:pPr>
    </w:p>
    <w:p w14:paraId="40640CB2"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r w:rsidRPr="00AA2419">
        <w:rPr>
          <w:rFonts w:ascii="Montserrat" w:hAnsi="Montserrat" w:cs="Times New Roman"/>
          <w:color w:val="000000"/>
          <w:sz w:val="22"/>
          <w:szCs w:val="22"/>
          <w:bdr w:val="none" w:sz="0" w:space="0" w:color="auto" w:frame="1"/>
          <w:shd w:val="clear" w:color="auto" w:fill="FFFFFF"/>
        </w:rPr>
        <w:t xml:space="preserve">Además, </w:t>
      </w:r>
      <w:r w:rsidRPr="00AA2419">
        <w:rPr>
          <w:rFonts w:ascii="Montserrat" w:hAnsi="Montserrat"/>
          <w:color w:val="000000"/>
          <w:sz w:val="22"/>
          <w:szCs w:val="22"/>
        </w:rPr>
        <w:t>cuenta con una institución cuyas atribuciones incluyen la representación legal de los niños. Cuando esta autoridad toma conocimiento de una situación que vulnera sus derechos, realiza las denuncias correspondientes ante las autoridades correspondientes para que tengan acceso a la Justicia.</w:t>
      </w:r>
    </w:p>
    <w:p w14:paraId="5947E1AD"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p>
    <w:p w14:paraId="35A9A1F5" w14:textId="77777777" w:rsidR="00AA2419" w:rsidRPr="00AA2419" w:rsidRDefault="00AA2419" w:rsidP="00645EC4">
      <w:pPr>
        <w:pBdr>
          <w:top w:val="nil"/>
          <w:left w:val="nil"/>
          <w:bottom w:val="nil"/>
          <w:right w:val="nil"/>
          <w:between w:val="nil"/>
        </w:pBdr>
        <w:jc w:val="both"/>
        <w:rPr>
          <w:rFonts w:ascii="Montserrat" w:hAnsi="Montserrat"/>
          <w:color w:val="000000"/>
          <w:sz w:val="22"/>
          <w:szCs w:val="22"/>
        </w:rPr>
      </w:pPr>
      <w:r w:rsidRPr="00AA2419">
        <w:rPr>
          <w:rFonts w:ascii="Montserrat" w:hAnsi="Montserrat"/>
          <w:color w:val="000000"/>
          <w:sz w:val="22"/>
          <w:szCs w:val="22"/>
        </w:rPr>
        <w:lastRenderedPageBreak/>
        <w:t>Es importante señalar que las leyes penales en México exigen que cuando una persona tenga conocimiento de un delito y especialmente si se trata de niños, debe informar a las autoridades correspondientes.</w:t>
      </w:r>
    </w:p>
    <w:p w14:paraId="0748577C" w14:textId="29C93B92" w:rsidR="00AA2419" w:rsidRPr="00AA2419" w:rsidRDefault="00AA2419" w:rsidP="00645EC4">
      <w:pPr>
        <w:jc w:val="both"/>
        <w:rPr>
          <w:rFonts w:ascii="Montserrat" w:hAnsi="Montserrat" w:cs="Times New Roman"/>
          <w:color w:val="000000"/>
          <w:sz w:val="22"/>
          <w:szCs w:val="22"/>
          <w:bdr w:val="none" w:sz="0" w:space="0" w:color="auto" w:frame="1"/>
          <w:shd w:val="clear" w:color="auto" w:fill="FFFFFF"/>
        </w:rPr>
      </w:pPr>
    </w:p>
    <w:p w14:paraId="071D9C13" w14:textId="034B25EC" w:rsidR="00AA2419" w:rsidRPr="00AA2419" w:rsidRDefault="00AA2419" w:rsidP="00645EC4">
      <w:pPr>
        <w:jc w:val="both"/>
        <w:rPr>
          <w:rFonts w:ascii="Montserrat" w:eastAsia="Arial" w:hAnsi="Montserrat"/>
          <w:bCs/>
          <w:color w:val="000000"/>
          <w:sz w:val="22"/>
          <w:szCs w:val="22"/>
        </w:rPr>
      </w:pPr>
      <w:r w:rsidRPr="00AA2419">
        <w:rPr>
          <w:rFonts w:ascii="Montserrat" w:hAnsi="Montserrat" w:cs="Times New Roman"/>
          <w:color w:val="000000"/>
          <w:sz w:val="22"/>
          <w:szCs w:val="22"/>
          <w:bdr w:val="none" w:sz="0" w:space="0" w:color="auto" w:frame="1"/>
          <w:shd w:val="clear" w:color="auto" w:fill="FFFFFF"/>
        </w:rPr>
        <w:t xml:space="preserve">Por otra parte, </w:t>
      </w:r>
      <w:r>
        <w:rPr>
          <w:rFonts w:ascii="Montserrat" w:eastAsia="Arial" w:hAnsi="Montserrat"/>
          <w:bCs/>
          <w:color w:val="000000"/>
          <w:sz w:val="22"/>
          <w:szCs w:val="22"/>
        </w:rPr>
        <w:t>l</w:t>
      </w:r>
      <w:r w:rsidRPr="00AA2419">
        <w:rPr>
          <w:rFonts w:ascii="Montserrat" w:eastAsia="Arial" w:hAnsi="Montserrat"/>
          <w:bCs/>
          <w:color w:val="000000"/>
          <w:sz w:val="22"/>
          <w:szCs w:val="22"/>
        </w:rPr>
        <w:t>a Ley General de los Derechos de la Niñez y la Adolescencia, es la norma principal que prevé la protección y restitución de los derechos de la niñez en México bajo cualquier condición, incluida la discapacidad, esta norma reconoce a la niñez como titulares de derechos y establece las obligaciones de los Estado y sociedad para garantizar el pleno ejercicio, respeto, protección y promoción de los derechos humanos de la niñez.</w:t>
      </w:r>
    </w:p>
    <w:p w14:paraId="15F927B6" w14:textId="77777777" w:rsidR="00AA2419" w:rsidRPr="00AA2419" w:rsidRDefault="00AA2419" w:rsidP="00645EC4">
      <w:pPr>
        <w:jc w:val="both"/>
        <w:rPr>
          <w:rFonts w:ascii="Montserrat" w:eastAsia="Arial" w:hAnsi="Montserrat"/>
          <w:bCs/>
          <w:color w:val="000000"/>
          <w:sz w:val="22"/>
          <w:szCs w:val="22"/>
        </w:rPr>
      </w:pPr>
    </w:p>
    <w:p w14:paraId="27FF24B6" w14:textId="40893C29" w:rsidR="00AA2419" w:rsidRPr="00AA2419" w:rsidRDefault="00AA2419" w:rsidP="00645EC4">
      <w:pPr>
        <w:jc w:val="both"/>
        <w:rPr>
          <w:rFonts w:ascii="Montserrat" w:eastAsia="Arial" w:hAnsi="Montserrat"/>
          <w:bCs/>
          <w:color w:val="000000"/>
          <w:sz w:val="22"/>
          <w:szCs w:val="22"/>
        </w:rPr>
      </w:pPr>
      <w:r w:rsidRPr="00AA2419">
        <w:rPr>
          <w:rFonts w:ascii="Montserrat" w:eastAsia="Arial" w:hAnsi="Montserrat"/>
          <w:bCs/>
          <w:color w:val="000000"/>
          <w:sz w:val="22"/>
          <w:szCs w:val="22"/>
        </w:rPr>
        <w:t>Del mismo modo, la citada ley establece la obligación de proporcionar a los niños, en cualquier circunstancia, condiciones de vida suficientes para su sano desarrollo. Por otra parte, esta Ley General establece la obligación del Estado de garantizar el derecho a la salud y la seguridad social de los niños que se encuentren en territorio nacional, así como de establecer políticas para fortalecer la salud materno infantil y aumentar la esperanza de vida.</w:t>
      </w:r>
    </w:p>
    <w:p w14:paraId="25663140" w14:textId="77777777" w:rsidR="001E41D3" w:rsidRPr="00653722" w:rsidRDefault="001E41D3" w:rsidP="00645EC4">
      <w:pPr>
        <w:pStyle w:val="xxwordsection1"/>
        <w:jc w:val="both"/>
        <w:rPr>
          <w:rFonts w:ascii="Montserrat" w:hAnsi="Montserrat" w:cs="Times New Roman"/>
          <w:bCs/>
          <w:color w:val="000000"/>
          <w:bdr w:val="none" w:sz="0" w:space="0" w:color="auto" w:frame="1"/>
          <w:shd w:val="clear" w:color="auto" w:fill="FFFFFF"/>
        </w:rPr>
      </w:pPr>
    </w:p>
    <w:p w14:paraId="725F4CCD" w14:textId="1558E5B0" w:rsidR="00CF50EC" w:rsidRDefault="00CF50EC" w:rsidP="00645EC4">
      <w:pPr>
        <w:jc w:val="both"/>
        <w:rPr>
          <w:rFonts w:ascii="Montserrat" w:hAnsi="Montserrat"/>
          <w:b/>
          <w:bCs/>
          <w:lang w:val="es-ES"/>
        </w:rPr>
      </w:pPr>
      <w:r w:rsidRPr="003E27B1">
        <w:rPr>
          <w:rFonts w:ascii="Montserrat" w:hAnsi="Montserrat"/>
          <w:b/>
          <w:bCs/>
          <w:lang w:val="es-ES"/>
        </w:rPr>
        <w:t>Artículo 9. Accesibilidad</w:t>
      </w:r>
    </w:p>
    <w:p w14:paraId="18C035BF" w14:textId="77777777" w:rsidR="00892EC4" w:rsidRDefault="00892EC4" w:rsidP="00645EC4">
      <w:pPr>
        <w:jc w:val="both"/>
        <w:rPr>
          <w:rFonts w:ascii="Montserrat" w:hAnsi="Montserrat"/>
          <w:b/>
          <w:bCs/>
          <w:lang w:val="es-ES"/>
        </w:rPr>
      </w:pPr>
    </w:p>
    <w:p w14:paraId="52F40EBE" w14:textId="58F3B6FF" w:rsidR="00A43BD9" w:rsidRDefault="00A43BD9" w:rsidP="00645EC4">
      <w:pPr>
        <w:jc w:val="both"/>
        <w:rPr>
          <w:rFonts w:ascii="Montserrat" w:hAnsi="Montserrat"/>
          <w:sz w:val="22"/>
          <w:szCs w:val="22"/>
        </w:rPr>
      </w:pPr>
      <w:r w:rsidRPr="00A43BD9">
        <w:rPr>
          <w:rFonts w:ascii="Montserrat" w:hAnsi="Montserrat"/>
          <w:sz w:val="22"/>
          <w:szCs w:val="22"/>
        </w:rPr>
        <w:t xml:space="preserve">La actual legislatura, denominada Legislatura de la Paridad, la Inclusión y la Diversidad, tiene un compromiso con el fortalecimiento del marco jurídico en materias como igualdad, no discriminación, accesibilidad, inclusión y respeto a la diversidad. Con el objetivo de ser un espacio igualitario y libre de discriminación para las personas visitantes y trabajadoras, la Cámara de Diputados ha iniciado el proceso de implementación de un Plan de Accesibilidad que abarca aspectos como infraestructura, así como sistemas y tecnologías de la información y las comunicaciones. </w:t>
      </w:r>
    </w:p>
    <w:p w14:paraId="6AC72FAB" w14:textId="77777777" w:rsidR="00A43BD9" w:rsidRPr="00A43BD9" w:rsidRDefault="00A43BD9" w:rsidP="00645EC4">
      <w:pPr>
        <w:jc w:val="both"/>
        <w:rPr>
          <w:rFonts w:ascii="Montserrat" w:hAnsi="Montserrat"/>
          <w:sz w:val="22"/>
          <w:szCs w:val="22"/>
        </w:rPr>
      </w:pPr>
    </w:p>
    <w:p w14:paraId="77E6778C" w14:textId="767CB139" w:rsidR="00A43BD9" w:rsidRDefault="00A43BD9" w:rsidP="00645EC4">
      <w:pPr>
        <w:jc w:val="both"/>
        <w:rPr>
          <w:rFonts w:ascii="Montserrat" w:hAnsi="Montserrat"/>
          <w:sz w:val="22"/>
          <w:szCs w:val="22"/>
        </w:rPr>
      </w:pPr>
      <w:r w:rsidRPr="00A43BD9">
        <w:rPr>
          <w:rFonts w:ascii="Montserrat" w:hAnsi="Montserrat"/>
          <w:sz w:val="22"/>
          <w:szCs w:val="22"/>
        </w:rPr>
        <w:t>El Plan de Accesibilidad contempla distribución funcional, señalética, referencias cromáticas, pavimentos podotáctiles, anuncios visuales y auditivos, mecanismos de circulación vertical y horizontal, puntos de encuentro, respeto a lugares asignados y prestación de servicio accesible. Igualmente, busca incorporar buenas prácticas de otros contextos, en concordancia con la Convención sobre los Derechos de las Personas con Discapacidad, la Convención Interamericana para la Eliminación de Todas las Formas de Discriminación contra las Personas con Discapacidad, la Ley General para la Inclusión de las Personas con Discapacidad, entre otros instrumentos internacionales y domésticos.</w:t>
      </w:r>
    </w:p>
    <w:p w14:paraId="28A7CC86" w14:textId="77777777" w:rsidR="00A43BD9" w:rsidRPr="00A43BD9" w:rsidRDefault="00A43BD9" w:rsidP="00645EC4">
      <w:pPr>
        <w:jc w:val="both"/>
        <w:rPr>
          <w:rFonts w:ascii="Montserrat" w:hAnsi="Montserrat"/>
          <w:sz w:val="22"/>
          <w:szCs w:val="22"/>
        </w:rPr>
      </w:pPr>
    </w:p>
    <w:p w14:paraId="5259B067" w14:textId="10F41E1E" w:rsidR="00A43BD9" w:rsidRPr="00A43BD9" w:rsidRDefault="00A43BD9" w:rsidP="00645EC4">
      <w:pPr>
        <w:jc w:val="both"/>
        <w:rPr>
          <w:rFonts w:ascii="Montserrat" w:hAnsi="Montserrat"/>
          <w:sz w:val="22"/>
          <w:szCs w:val="22"/>
        </w:rPr>
      </w:pPr>
      <w:r w:rsidRPr="00A43BD9">
        <w:rPr>
          <w:rFonts w:ascii="Montserrat" w:hAnsi="Montserrat"/>
          <w:sz w:val="22"/>
          <w:szCs w:val="22"/>
        </w:rPr>
        <w:t xml:space="preserve">Para contar con un diagnóstico certero sobre la situación actual de la Cámara en materia de accesibilidad, la cooperación con distintas organizaciones de la sociedad civil ha sido de suma importancia. Las auditorías de accesibilidad son fundamentales para que el recinto legislativo cumpla con normas de accesibilidad vigentes y ayudan a la detección y atención de barreras de accesibilidad con miras a lograr una plena inclusión laboral y garantizar el goce de derechos de las personas con discapacidad que trabajan en la Cámara.    </w:t>
      </w:r>
    </w:p>
    <w:p w14:paraId="00341768" w14:textId="77777777" w:rsidR="00A43BD9" w:rsidRPr="00A43BD9" w:rsidRDefault="00A43BD9" w:rsidP="00645EC4">
      <w:pPr>
        <w:jc w:val="both"/>
        <w:rPr>
          <w:rFonts w:ascii="Montserrat" w:hAnsi="Montserrat"/>
          <w:b/>
          <w:bCs/>
        </w:rPr>
      </w:pPr>
    </w:p>
    <w:p w14:paraId="36DB5555" w14:textId="77777777" w:rsidR="008602FB" w:rsidRDefault="008602FB" w:rsidP="00645EC4">
      <w:pPr>
        <w:pStyle w:val="NormalWeb"/>
        <w:spacing w:before="0" w:beforeAutospacing="0" w:after="0" w:afterAutospacing="0"/>
        <w:jc w:val="both"/>
        <w:rPr>
          <w:rFonts w:ascii="Montserrat" w:hAnsi="Montserrat" w:cs="Arial"/>
          <w:color w:val="000000"/>
          <w:sz w:val="22"/>
          <w:szCs w:val="22"/>
        </w:rPr>
      </w:pPr>
      <w:r w:rsidRPr="008602FB">
        <w:rPr>
          <w:rFonts w:ascii="Montserrat" w:hAnsi="Montserrat" w:cs="Arial"/>
          <w:color w:val="000000"/>
          <w:sz w:val="22"/>
          <w:szCs w:val="22"/>
        </w:rPr>
        <w:t xml:space="preserve">Acatando la Ley General de las Personas con Discapacidad; la Ley Federal para Prevenir y Eliminar la Discriminación; y de conformidad con el REGLAMENTO </w:t>
      </w:r>
      <w:r w:rsidRPr="008602FB">
        <w:rPr>
          <w:rFonts w:ascii="Montserrat" w:hAnsi="Montserrat" w:cs="Arial"/>
          <w:color w:val="000000"/>
          <w:sz w:val="22"/>
          <w:szCs w:val="22"/>
        </w:rPr>
        <w:lastRenderedPageBreak/>
        <w:t>Interior de la Secretaría de Turismo capítulo V artículo 11 numeral VI; en la Dirección General de Tecnologías de la Información y Comunicaciones de Turismo nos es de toral importancia garantizar los derechos de las personas a la accesibilidad, empezando por el sitio web alojado en la URL </w:t>
      </w:r>
      <w:hyperlink r:id="rId7" w:history="1">
        <w:r w:rsidRPr="008602FB">
          <w:rPr>
            <w:rStyle w:val="Hipervnculo"/>
            <w:rFonts w:ascii="Montserrat" w:hAnsi="Montserrat" w:cs="Arial"/>
            <w:color w:val="4285F4"/>
            <w:sz w:val="22"/>
            <w:szCs w:val="22"/>
          </w:rPr>
          <w:t>https://www.gob.mx/sectur</w:t>
        </w:r>
      </w:hyperlink>
      <w:r w:rsidRPr="008602FB">
        <w:rPr>
          <w:rFonts w:ascii="Montserrat" w:hAnsi="Montserrat" w:cs="Arial"/>
          <w:color w:val="000000"/>
          <w:sz w:val="22"/>
          <w:szCs w:val="22"/>
        </w:rPr>
        <w:t xml:space="preserve">. </w:t>
      </w:r>
    </w:p>
    <w:p w14:paraId="2A19263E" w14:textId="77777777" w:rsidR="008602FB" w:rsidRDefault="008602FB" w:rsidP="00645EC4">
      <w:pPr>
        <w:pStyle w:val="NormalWeb"/>
        <w:spacing w:before="0" w:beforeAutospacing="0" w:after="0" w:afterAutospacing="0"/>
        <w:jc w:val="both"/>
        <w:rPr>
          <w:rFonts w:ascii="Montserrat" w:hAnsi="Montserrat" w:cs="Arial"/>
          <w:color w:val="000000"/>
          <w:sz w:val="22"/>
          <w:szCs w:val="22"/>
        </w:rPr>
      </w:pPr>
    </w:p>
    <w:p w14:paraId="2E44F51B" w14:textId="47B02106" w:rsidR="008602FB" w:rsidRPr="008602FB" w:rsidRDefault="008602FB" w:rsidP="00645EC4">
      <w:pPr>
        <w:pStyle w:val="NormalWeb"/>
        <w:spacing w:before="0" w:beforeAutospacing="0" w:after="0" w:afterAutospacing="0"/>
        <w:jc w:val="both"/>
        <w:rPr>
          <w:rFonts w:ascii="Montserrat" w:hAnsi="Montserrat"/>
          <w:color w:val="000000"/>
          <w:sz w:val="22"/>
          <w:szCs w:val="22"/>
        </w:rPr>
      </w:pPr>
      <w:r w:rsidRPr="008602FB">
        <w:rPr>
          <w:rFonts w:ascii="Montserrat" w:hAnsi="Montserrat" w:cs="Arial"/>
          <w:color w:val="000000"/>
          <w:sz w:val="22"/>
          <w:szCs w:val="22"/>
        </w:rPr>
        <w:t xml:space="preserve">De manera concreta, y referente al sitio antes mencionado, se cuenta con elementos que proporcionan accesibilidad universal para personas con discapacidad visual mediante el uso de tecnologías de lectura de pantalla; y </w:t>
      </w:r>
      <w:r w:rsidR="004D39C9">
        <w:rPr>
          <w:rFonts w:ascii="Montserrat" w:hAnsi="Montserrat" w:cs="Arial"/>
          <w:color w:val="000000"/>
          <w:sz w:val="22"/>
          <w:szCs w:val="22"/>
        </w:rPr>
        <w:t>a</w:t>
      </w:r>
      <w:r w:rsidRPr="008602FB">
        <w:rPr>
          <w:rFonts w:ascii="Montserrat" w:hAnsi="Montserrat" w:cs="Arial"/>
          <w:color w:val="000000"/>
          <w:sz w:val="22"/>
          <w:szCs w:val="22"/>
        </w:rPr>
        <w:t xml:space="preserve"> la existencia de un orden de navegación explícito, mejorando la experiencia de uso de las personas que empleen tecnologías de asistencia en general.</w:t>
      </w:r>
    </w:p>
    <w:p w14:paraId="267BCB3A" w14:textId="77777777" w:rsidR="008602FB" w:rsidRPr="008602FB" w:rsidRDefault="008602FB" w:rsidP="00645EC4">
      <w:pPr>
        <w:pStyle w:val="NormalWeb"/>
        <w:spacing w:before="0" w:beforeAutospacing="0" w:after="0" w:afterAutospacing="0"/>
        <w:jc w:val="both"/>
        <w:rPr>
          <w:rFonts w:ascii="Montserrat" w:hAnsi="Montserrat"/>
          <w:color w:val="000000"/>
          <w:sz w:val="22"/>
          <w:szCs w:val="22"/>
        </w:rPr>
      </w:pPr>
      <w:r w:rsidRPr="008602FB">
        <w:rPr>
          <w:rFonts w:ascii="Montserrat" w:hAnsi="Montserrat" w:cs="Arial"/>
          <w:color w:val="000000"/>
          <w:sz w:val="22"/>
          <w:szCs w:val="22"/>
        </w:rPr>
        <w:t> </w:t>
      </w:r>
    </w:p>
    <w:p w14:paraId="76302F4F" w14:textId="77777777" w:rsidR="008602FB" w:rsidRPr="008602FB" w:rsidRDefault="008602FB" w:rsidP="00645EC4">
      <w:pPr>
        <w:pStyle w:val="NormalWeb"/>
        <w:spacing w:before="0" w:beforeAutospacing="0" w:after="0" w:afterAutospacing="0"/>
        <w:jc w:val="both"/>
        <w:rPr>
          <w:rFonts w:ascii="Montserrat" w:hAnsi="Montserrat"/>
          <w:color w:val="000000"/>
          <w:sz w:val="22"/>
          <w:szCs w:val="22"/>
        </w:rPr>
      </w:pPr>
      <w:r w:rsidRPr="008602FB">
        <w:rPr>
          <w:rFonts w:ascii="Montserrat" w:hAnsi="Montserrat" w:cs="Arial"/>
          <w:color w:val="000000"/>
          <w:sz w:val="22"/>
          <w:szCs w:val="22"/>
        </w:rPr>
        <w:t>Respecto a la metodología empleada para la auditoría, fue empleada la herramienta de desarrollo Lighthouse sobre el navegador Google Chrome. Esta herramienta aplica pruebas automatizadas basadas en los lineamientos internacionales de Web Content Accesibility  Guidelines publicadas por la institución World Wide Web Consortium.</w:t>
      </w:r>
    </w:p>
    <w:p w14:paraId="3BF085DF" w14:textId="7F17FA14" w:rsidR="008602FB" w:rsidRPr="004C7BFB" w:rsidRDefault="008602FB" w:rsidP="004C7BFB">
      <w:pPr>
        <w:pStyle w:val="NormalWeb"/>
        <w:spacing w:before="0" w:beforeAutospacing="0" w:after="0" w:afterAutospacing="0"/>
        <w:jc w:val="both"/>
        <w:rPr>
          <w:rFonts w:ascii="Montserrat" w:hAnsi="Montserrat"/>
          <w:color w:val="000000"/>
          <w:sz w:val="22"/>
          <w:szCs w:val="22"/>
        </w:rPr>
      </w:pPr>
    </w:p>
    <w:p w14:paraId="10B6FB47" w14:textId="5A1A3F05" w:rsidR="00407A96" w:rsidRPr="00653722" w:rsidRDefault="001E41D3" w:rsidP="00645EC4">
      <w:pPr>
        <w:pStyle w:val="xxwordsection1"/>
        <w:jc w:val="both"/>
        <w:rPr>
          <w:rFonts w:ascii="Montserrat" w:hAnsi="Montserrat" w:cs="Times New Roman"/>
          <w:bCs/>
          <w:color w:val="000000"/>
          <w:bdr w:val="none" w:sz="0" w:space="0" w:color="auto" w:frame="1"/>
          <w:shd w:val="clear" w:color="auto" w:fill="FFFFFF"/>
        </w:rPr>
      </w:pPr>
      <w:r w:rsidRPr="00653722">
        <w:rPr>
          <w:rFonts w:ascii="Montserrat" w:hAnsi="Montserrat" w:cs="Times New Roman"/>
          <w:bCs/>
          <w:color w:val="000000"/>
          <w:bdr w:val="none" w:sz="0" w:space="0" w:color="auto" w:frame="1"/>
          <w:shd w:val="clear" w:color="auto" w:fill="FFFFFF"/>
        </w:rPr>
        <w:t>En relación</w:t>
      </w:r>
      <w:r w:rsidR="00407A96" w:rsidRPr="00653722">
        <w:rPr>
          <w:rFonts w:ascii="Montserrat" w:hAnsi="Montserrat" w:cs="Times New Roman"/>
          <w:bCs/>
          <w:color w:val="000000"/>
          <w:bdr w:val="none" w:sz="0" w:space="0" w:color="auto" w:frame="1"/>
          <w:shd w:val="clear" w:color="auto" w:fill="FFFFFF"/>
        </w:rPr>
        <w:t xml:space="preserve"> con las medidas adoptadas para la accesibilidad de las personas con discapacidad en diferentes ámbitos, </w:t>
      </w:r>
      <w:r w:rsidRPr="00653722">
        <w:rPr>
          <w:rFonts w:ascii="Montserrat" w:hAnsi="Montserrat" w:cs="Times New Roman"/>
          <w:bCs/>
          <w:color w:val="000000"/>
          <w:bdr w:val="none" w:sz="0" w:space="0" w:color="auto" w:frame="1"/>
          <w:shd w:val="clear" w:color="auto" w:fill="FFFFFF"/>
        </w:rPr>
        <w:t>particularmente</w:t>
      </w:r>
      <w:r w:rsidR="00407A96" w:rsidRPr="00653722">
        <w:rPr>
          <w:rFonts w:ascii="Montserrat" w:hAnsi="Montserrat" w:cs="Times New Roman"/>
          <w:bCs/>
          <w:color w:val="000000"/>
          <w:bdr w:val="none" w:sz="0" w:space="0" w:color="auto" w:frame="1"/>
          <w:shd w:val="clear" w:color="auto" w:fill="FFFFFF"/>
        </w:rPr>
        <w:t xml:space="preserve"> las acciones específicas que ha impulsado el </w:t>
      </w:r>
      <w:r w:rsidRPr="00653722">
        <w:rPr>
          <w:rFonts w:ascii="Montserrat" w:hAnsi="Montserrat" w:cs="Times New Roman"/>
          <w:bCs/>
          <w:color w:val="000000"/>
          <w:bdr w:val="none" w:sz="0" w:space="0" w:color="auto" w:frame="1"/>
          <w:shd w:val="clear" w:color="auto" w:fill="FFFFFF"/>
        </w:rPr>
        <w:t>G</w:t>
      </w:r>
      <w:r w:rsidR="00407A96" w:rsidRPr="00653722">
        <w:rPr>
          <w:rFonts w:ascii="Montserrat" w:hAnsi="Montserrat" w:cs="Times New Roman"/>
          <w:bCs/>
          <w:color w:val="000000"/>
          <w:bdr w:val="none" w:sz="0" w:space="0" w:color="auto" w:frame="1"/>
          <w:shd w:val="clear" w:color="auto" w:fill="FFFFFF"/>
        </w:rPr>
        <w:t>obierno federal para garantizar la accesibilidad de sus inmuebles, así como en aquellos edificios públicos, atendiendo a lo previsto en el art. 9 de la Convención</w:t>
      </w:r>
      <w:r w:rsidRPr="00653722">
        <w:rPr>
          <w:rFonts w:ascii="Montserrat" w:hAnsi="Montserrat" w:cs="Times New Roman"/>
          <w:bCs/>
          <w:color w:val="000000"/>
          <w:bdr w:val="none" w:sz="0" w:space="0" w:color="auto" w:frame="1"/>
          <w:shd w:val="clear" w:color="auto" w:fill="FFFFFF"/>
        </w:rPr>
        <w:t xml:space="preserve">, se informa que se coordinó la participación de diferentes instituciones tanto públicas como privadas en la elaboración y actualización del </w:t>
      </w:r>
      <w:r w:rsidR="00407A96" w:rsidRPr="00653722">
        <w:rPr>
          <w:rFonts w:ascii="Montserrat" w:eastAsia="Times New Roman" w:hAnsi="Montserrat" w:cs="Times New Roman"/>
          <w:bCs/>
          <w:i/>
          <w:iCs/>
        </w:rPr>
        <w:t>ACUERDO POR EL QUE SE EMITEN LOS CRITERIOS Y ESPECIFICACIONES TÉCNICOS PARA LA ACCESIBILIDAD DE LAS PERSONAS CON DISCAPACIDAD A LOS INMUEBLES DE LA ADMINISTRACIÓN PÚBLICA FEDERAL</w:t>
      </w:r>
      <w:r w:rsidR="00407A96" w:rsidRPr="00653722">
        <w:rPr>
          <w:rFonts w:ascii="Montserrat" w:eastAsia="Times New Roman" w:hAnsi="Montserrat" w:cs="Times New Roman"/>
          <w:b/>
        </w:rPr>
        <w:t xml:space="preserve"> </w:t>
      </w:r>
      <w:r w:rsidRPr="00653722">
        <w:rPr>
          <w:rFonts w:ascii="Montserrat" w:eastAsia="Times New Roman" w:hAnsi="Montserrat" w:cs="Times New Roman"/>
          <w:bCs/>
        </w:rPr>
        <w:t>publicado en el Diario Oficial de la Federación el 10 de enero del 2022</w:t>
      </w:r>
      <w:r w:rsidR="00003A4F" w:rsidRPr="00653722">
        <w:rPr>
          <w:rFonts w:ascii="Montserrat" w:eastAsia="Times New Roman" w:hAnsi="Montserrat" w:cs="Times New Roman"/>
          <w:bCs/>
        </w:rPr>
        <w:t xml:space="preserve">, </w:t>
      </w:r>
      <w:r w:rsidR="00407A96" w:rsidRPr="00653722">
        <w:rPr>
          <w:rFonts w:ascii="Montserrat" w:hAnsi="Montserrat" w:cs="Times New Roman"/>
          <w:bCs/>
          <w:color w:val="000000"/>
          <w:bdr w:val="none" w:sz="0" w:space="0" w:color="auto" w:frame="1"/>
          <w:shd w:val="clear" w:color="auto" w:fill="FFFFFF"/>
        </w:rPr>
        <w:t>por lo que se agotó el proceso de consulta pública y participativa con las siguientes</w:t>
      </w:r>
      <w:r w:rsidR="00003A4F" w:rsidRPr="00653722">
        <w:rPr>
          <w:rFonts w:ascii="Montserrat" w:hAnsi="Montserrat" w:cs="Times New Roman"/>
          <w:bCs/>
          <w:color w:val="000000"/>
          <w:bdr w:val="none" w:sz="0" w:space="0" w:color="auto" w:frame="1"/>
          <w:shd w:val="clear" w:color="auto" w:fill="FFFFFF"/>
        </w:rPr>
        <w:t xml:space="preserve"> partes</w:t>
      </w:r>
      <w:r w:rsidR="00407A96" w:rsidRPr="00653722">
        <w:rPr>
          <w:rFonts w:ascii="Montserrat" w:hAnsi="Montserrat" w:cs="Times New Roman"/>
          <w:bCs/>
          <w:color w:val="000000"/>
          <w:bdr w:val="none" w:sz="0" w:space="0" w:color="auto" w:frame="1"/>
          <w:shd w:val="clear" w:color="auto" w:fill="FFFFFF"/>
        </w:rPr>
        <w:t>:</w:t>
      </w:r>
    </w:p>
    <w:p w14:paraId="56D29C12" w14:textId="77777777" w:rsidR="00407A96" w:rsidRPr="00653722" w:rsidRDefault="00407A96" w:rsidP="00645EC4">
      <w:pPr>
        <w:jc w:val="both"/>
        <w:rPr>
          <w:rFonts w:ascii="Montserrat" w:eastAsia="Times New Roman" w:hAnsi="Montserrat" w:cs="Times New Roman"/>
          <w:sz w:val="22"/>
          <w:szCs w:val="22"/>
          <w:lang w:eastAsia="es-MX"/>
        </w:rPr>
      </w:pPr>
    </w:p>
    <w:p w14:paraId="4EC6483B"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Dependencias:</w:t>
      </w:r>
    </w:p>
    <w:p w14:paraId="27CDEDF4"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Gobernación</w:t>
      </w:r>
    </w:p>
    <w:p w14:paraId="222E8069"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Hacienda y Crédito Público</w:t>
      </w:r>
    </w:p>
    <w:p w14:paraId="6D00FCA8"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Desarrollo Agrario, Territorial y Urbano</w:t>
      </w:r>
    </w:p>
    <w:p w14:paraId="59E9A1EE"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Medio Ambiente y Recursos Naturales</w:t>
      </w:r>
    </w:p>
    <w:p w14:paraId="72F60CB0"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Comunicaciones Infraestructura y Transportes</w:t>
      </w:r>
    </w:p>
    <w:p w14:paraId="6451A4FC"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Cultura</w:t>
      </w:r>
    </w:p>
    <w:p w14:paraId="2B334ADD"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Relaciones Exteriores</w:t>
      </w:r>
    </w:p>
    <w:p w14:paraId="69CBC8AA"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Secretaría de Turismo.</w:t>
      </w:r>
    </w:p>
    <w:p w14:paraId="66B60F79"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Servicio de Administración Tributaria (SAT)</w:t>
      </w:r>
    </w:p>
    <w:p w14:paraId="717C7EFA" w14:textId="77777777" w:rsidR="00407A96" w:rsidRPr="00653722" w:rsidRDefault="00407A96" w:rsidP="00645EC4">
      <w:pPr>
        <w:pStyle w:val="Prrafodelista"/>
        <w:numPr>
          <w:ilvl w:val="0"/>
          <w:numId w:val="1"/>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Presidencia de la República. Gobierno de México</w:t>
      </w:r>
    </w:p>
    <w:p w14:paraId="7FF17F93" w14:textId="77777777" w:rsidR="00407A96" w:rsidRPr="00653722" w:rsidRDefault="00407A96" w:rsidP="00645EC4">
      <w:pPr>
        <w:jc w:val="both"/>
        <w:rPr>
          <w:rFonts w:ascii="Montserrat" w:eastAsia="Times New Roman" w:hAnsi="Montserrat" w:cs="Times New Roman"/>
          <w:sz w:val="22"/>
          <w:szCs w:val="22"/>
          <w:lang w:eastAsia="es-MX"/>
        </w:rPr>
      </w:pPr>
    </w:p>
    <w:p w14:paraId="6EB8311F"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Institutos:</w:t>
      </w:r>
    </w:p>
    <w:p w14:paraId="2B4162E1" w14:textId="77777777" w:rsidR="00407A96" w:rsidRPr="00653722" w:rsidRDefault="00407A96" w:rsidP="00E31990">
      <w:pPr>
        <w:pStyle w:val="Prrafodelista"/>
        <w:numPr>
          <w:ilvl w:val="0"/>
          <w:numId w:val="2"/>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Instituto de Administración y Avalúos de Bienes Nacionales (INDAABIN)</w:t>
      </w:r>
    </w:p>
    <w:p w14:paraId="067B2BE1" w14:textId="77777777" w:rsidR="00407A96" w:rsidRPr="00653722" w:rsidRDefault="00407A96" w:rsidP="00E31990">
      <w:pPr>
        <w:pStyle w:val="Prrafodelista"/>
        <w:numPr>
          <w:ilvl w:val="0"/>
          <w:numId w:val="2"/>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Instituto de Seguridad y Servicios Sociales de los Trabajadores del Estado (ISSSTE)</w:t>
      </w:r>
    </w:p>
    <w:p w14:paraId="3E4F1DEC" w14:textId="77777777" w:rsidR="00407A96" w:rsidRPr="00653722" w:rsidRDefault="00407A96" w:rsidP="00E31990">
      <w:pPr>
        <w:pStyle w:val="Prrafodelista"/>
        <w:numPr>
          <w:ilvl w:val="0"/>
          <w:numId w:val="2"/>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Instituto Mexicano del Seguro Social (IMSS)</w:t>
      </w:r>
    </w:p>
    <w:p w14:paraId="7C3BAFA3" w14:textId="77777777" w:rsidR="00407A96" w:rsidRPr="00653722" w:rsidRDefault="00407A96" w:rsidP="00E31990">
      <w:pPr>
        <w:pStyle w:val="Prrafodelista"/>
        <w:numPr>
          <w:ilvl w:val="0"/>
          <w:numId w:val="2"/>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Instituto Nacional de la Infraestructura Física Educativa (INIFED)</w:t>
      </w:r>
    </w:p>
    <w:p w14:paraId="306ECC01" w14:textId="77777777" w:rsidR="00407A96" w:rsidRPr="00653722" w:rsidRDefault="00407A96" w:rsidP="00645EC4">
      <w:pPr>
        <w:jc w:val="both"/>
        <w:rPr>
          <w:rFonts w:ascii="Montserrat" w:eastAsia="Times New Roman" w:hAnsi="Montserrat" w:cs="Times New Roman"/>
          <w:sz w:val="22"/>
          <w:szCs w:val="22"/>
          <w:lang w:eastAsia="es-MX"/>
        </w:rPr>
      </w:pPr>
    </w:p>
    <w:p w14:paraId="259508A6"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Entidades:</w:t>
      </w:r>
    </w:p>
    <w:p w14:paraId="61798A51" w14:textId="77777777" w:rsidR="00407A96" w:rsidRPr="00653722" w:rsidRDefault="00407A96" w:rsidP="00E31990">
      <w:pPr>
        <w:pStyle w:val="Prrafodelista"/>
        <w:numPr>
          <w:ilvl w:val="0"/>
          <w:numId w:val="3"/>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lastRenderedPageBreak/>
        <w:t xml:space="preserve">Diconsa, S.A. de C.V. </w:t>
      </w:r>
    </w:p>
    <w:p w14:paraId="0EBC203E" w14:textId="77777777" w:rsidR="00407A96" w:rsidRPr="00653722" w:rsidRDefault="00407A96" w:rsidP="00E31990">
      <w:pPr>
        <w:pStyle w:val="Prrafodelista"/>
        <w:numPr>
          <w:ilvl w:val="0"/>
          <w:numId w:val="3"/>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Servicio Postal Mexicano (SEPOMEX)</w:t>
      </w:r>
    </w:p>
    <w:p w14:paraId="59E43CBD" w14:textId="77777777" w:rsidR="00407A96" w:rsidRPr="00653722" w:rsidRDefault="00407A96" w:rsidP="00E31990">
      <w:pPr>
        <w:pStyle w:val="Prrafodelista"/>
        <w:numPr>
          <w:ilvl w:val="0"/>
          <w:numId w:val="3"/>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Telecomunicaciones de México (TELECOMM)</w:t>
      </w:r>
    </w:p>
    <w:p w14:paraId="72D081FB" w14:textId="77777777" w:rsidR="00407A96" w:rsidRPr="00653722" w:rsidRDefault="00407A96" w:rsidP="00645EC4">
      <w:pPr>
        <w:jc w:val="both"/>
        <w:rPr>
          <w:rFonts w:ascii="Montserrat" w:eastAsia="Times New Roman" w:hAnsi="Montserrat" w:cs="Times New Roman"/>
          <w:sz w:val="22"/>
          <w:szCs w:val="22"/>
          <w:lang w:eastAsia="es-MX"/>
        </w:rPr>
      </w:pPr>
    </w:p>
    <w:p w14:paraId="44177990"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Secretaría Infraestructura,  Comunicaciones  y Transportes:</w:t>
      </w:r>
    </w:p>
    <w:p w14:paraId="539F5B0F" w14:textId="77777777" w:rsidR="00407A96" w:rsidRPr="00653722" w:rsidRDefault="00407A96" w:rsidP="00E31990">
      <w:pPr>
        <w:pStyle w:val="Prrafodelista"/>
        <w:numPr>
          <w:ilvl w:val="0"/>
          <w:numId w:val="4"/>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Dirección General de Aeronáutica Civil / SCIT</w:t>
      </w:r>
    </w:p>
    <w:p w14:paraId="23752ECF" w14:textId="77777777" w:rsidR="00407A96" w:rsidRPr="00653722" w:rsidRDefault="00407A96" w:rsidP="00E31990">
      <w:pPr>
        <w:pStyle w:val="Prrafodelista"/>
        <w:numPr>
          <w:ilvl w:val="0"/>
          <w:numId w:val="4"/>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Zona Federal Marítimo Terrestre y Ambientes Costeros / SCIT</w:t>
      </w:r>
    </w:p>
    <w:p w14:paraId="6191854D" w14:textId="77777777" w:rsidR="00407A96" w:rsidRPr="00653722" w:rsidRDefault="00407A96" w:rsidP="00E31990">
      <w:pPr>
        <w:pStyle w:val="Prrafodelista"/>
        <w:numPr>
          <w:ilvl w:val="0"/>
          <w:numId w:val="4"/>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Aeropuertos y Servicios Auxiliares (ASA)</w:t>
      </w:r>
    </w:p>
    <w:p w14:paraId="5ADE16AF" w14:textId="77777777" w:rsidR="00407A96" w:rsidRPr="00653722" w:rsidRDefault="00407A96" w:rsidP="00E31990">
      <w:pPr>
        <w:pStyle w:val="Prrafodelista"/>
        <w:numPr>
          <w:ilvl w:val="0"/>
          <w:numId w:val="4"/>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Autoridad Federal para el Desarrollo de las Zonas Económicas Especiales</w:t>
      </w:r>
    </w:p>
    <w:p w14:paraId="15192A38" w14:textId="77777777" w:rsidR="00407A96" w:rsidRPr="00653722" w:rsidRDefault="00407A96" w:rsidP="00645EC4">
      <w:pPr>
        <w:jc w:val="both"/>
        <w:rPr>
          <w:rFonts w:ascii="Montserrat" w:eastAsia="Times New Roman" w:hAnsi="Montserrat" w:cs="Times New Roman"/>
          <w:sz w:val="22"/>
          <w:szCs w:val="22"/>
          <w:lang w:eastAsia="es-MX"/>
        </w:rPr>
      </w:pPr>
    </w:p>
    <w:p w14:paraId="01755660"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Comisiones:</w:t>
      </w:r>
    </w:p>
    <w:p w14:paraId="0D7F64EA" w14:textId="77777777" w:rsidR="00407A96" w:rsidRPr="00653722" w:rsidRDefault="00407A96" w:rsidP="00E31990">
      <w:pPr>
        <w:pStyle w:val="Prrafodelista"/>
        <w:numPr>
          <w:ilvl w:val="0"/>
          <w:numId w:val="5"/>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Comisión Nacional de Áreas Naturales Protegidas (CONANP)</w:t>
      </w:r>
    </w:p>
    <w:p w14:paraId="6B4F15C9" w14:textId="77777777" w:rsidR="00407A96" w:rsidRPr="00653722" w:rsidRDefault="00407A96" w:rsidP="00E31990">
      <w:pPr>
        <w:pStyle w:val="Prrafodelista"/>
        <w:numPr>
          <w:ilvl w:val="0"/>
          <w:numId w:val="5"/>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Comisión Nacional del Agua (CONAGUA)</w:t>
      </w:r>
    </w:p>
    <w:p w14:paraId="5403AEE0" w14:textId="77777777" w:rsidR="00407A96" w:rsidRPr="00653722" w:rsidRDefault="00407A96" w:rsidP="00E31990">
      <w:pPr>
        <w:pStyle w:val="Prrafodelista"/>
        <w:numPr>
          <w:ilvl w:val="0"/>
          <w:numId w:val="5"/>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 xml:space="preserve">Comisión Mexicana de Defensa y Promoción de los Derechos Humanos </w:t>
      </w:r>
    </w:p>
    <w:p w14:paraId="2C58AA5B" w14:textId="77777777" w:rsidR="00407A96" w:rsidRPr="00653722" w:rsidRDefault="00407A96" w:rsidP="00E31990">
      <w:pPr>
        <w:pStyle w:val="Prrafodelista"/>
        <w:numPr>
          <w:ilvl w:val="0"/>
          <w:numId w:val="5"/>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Comisión Nacional de Los Derechos Humanos</w:t>
      </w:r>
    </w:p>
    <w:p w14:paraId="608C3CDF" w14:textId="77777777" w:rsidR="00407A96" w:rsidRPr="00653722" w:rsidRDefault="00407A96" w:rsidP="00645EC4">
      <w:pPr>
        <w:jc w:val="both"/>
        <w:rPr>
          <w:rFonts w:ascii="Montserrat" w:eastAsia="Times New Roman" w:hAnsi="Montserrat" w:cs="Times New Roman"/>
          <w:sz w:val="22"/>
          <w:szCs w:val="22"/>
          <w:lang w:eastAsia="es-MX"/>
        </w:rPr>
      </w:pPr>
    </w:p>
    <w:p w14:paraId="7F0832B7" w14:textId="77777777" w:rsidR="00407A96" w:rsidRPr="00653722" w:rsidRDefault="00407A96" w:rsidP="00645EC4">
      <w:pPr>
        <w:jc w:val="both"/>
        <w:rPr>
          <w:rFonts w:ascii="Montserrat" w:eastAsia="Times New Roman" w:hAnsi="Montserrat" w:cs="Times New Roman"/>
          <w:sz w:val="22"/>
          <w:szCs w:val="22"/>
          <w:lang w:eastAsia="es-MX"/>
        </w:rPr>
      </w:pPr>
    </w:p>
    <w:p w14:paraId="788E9269"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Consejo:</w:t>
      </w:r>
    </w:p>
    <w:p w14:paraId="1093B0C5" w14:textId="77777777" w:rsidR="00407A96" w:rsidRPr="00653722" w:rsidRDefault="00407A96" w:rsidP="00E31990">
      <w:pPr>
        <w:pStyle w:val="Prrafodelista"/>
        <w:numPr>
          <w:ilvl w:val="0"/>
          <w:numId w:val="6"/>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Consejo Nacional para el Desarrollo y la Inclusión de las Personas con Discapacidad (CONADIS)</w:t>
      </w:r>
    </w:p>
    <w:p w14:paraId="0CF13B54" w14:textId="77777777" w:rsidR="00407A96" w:rsidRPr="00653722" w:rsidRDefault="00407A96" w:rsidP="00E31990">
      <w:pPr>
        <w:pStyle w:val="Prrafodelista"/>
        <w:numPr>
          <w:ilvl w:val="0"/>
          <w:numId w:val="6"/>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Consejo Nacional para Prevenir la Discriminación (CONAPRED)</w:t>
      </w:r>
    </w:p>
    <w:p w14:paraId="1D7DBD1D" w14:textId="77777777" w:rsidR="00407A96" w:rsidRPr="00653722" w:rsidRDefault="00407A96" w:rsidP="00645EC4">
      <w:pPr>
        <w:jc w:val="both"/>
        <w:rPr>
          <w:rFonts w:ascii="Montserrat" w:eastAsia="Times New Roman" w:hAnsi="Montserrat" w:cs="Times New Roman"/>
          <w:sz w:val="22"/>
          <w:szCs w:val="22"/>
          <w:lang w:eastAsia="es-MX"/>
        </w:rPr>
      </w:pPr>
    </w:p>
    <w:p w14:paraId="7BCCD2D4" w14:textId="77777777" w:rsidR="00407A96" w:rsidRPr="00653722" w:rsidRDefault="00407A96" w:rsidP="00645EC4">
      <w:pPr>
        <w:jc w:val="both"/>
        <w:rPr>
          <w:rFonts w:ascii="Montserrat" w:eastAsia="Times New Roman" w:hAnsi="Montserrat" w:cs="Times New Roman"/>
          <w:b/>
          <w:sz w:val="22"/>
          <w:szCs w:val="22"/>
          <w:lang w:eastAsia="es-MX"/>
        </w:rPr>
      </w:pPr>
    </w:p>
    <w:p w14:paraId="7BC11249"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Educación:</w:t>
      </w:r>
    </w:p>
    <w:p w14:paraId="14AF2A80" w14:textId="77777777" w:rsidR="00003A4F" w:rsidRPr="00653722" w:rsidRDefault="00407A96" w:rsidP="00E31990">
      <w:pPr>
        <w:pStyle w:val="Prrafodelista"/>
        <w:numPr>
          <w:ilvl w:val="0"/>
          <w:numId w:val="7"/>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Centro Innovación y de Recursos Para la Inclusión UANL.</w:t>
      </w:r>
    </w:p>
    <w:p w14:paraId="24B4CD70" w14:textId="1D1DA0D1" w:rsidR="00407A96" w:rsidRPr="00653722" w:rsidRDefault="00407A96" w:rsidP="00E31990">
      <w:pPr>
        <w:pStyle w:val="Prrafodelista"/>
        <w:numPr>
          <w:ilvl w:val="0"/>
          <w:numId w:val="7"/>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Universidad Nacional Autónoma de México UNAM</w:t>
      </w:r>
    </w:p>
    <w:p w14:paraId="4739FFE1" w14:textId="77777777" w:rsidR="00407A96" w:rsidRPr="00653722" w:rsidRDefault="00407A96" w:rsidP="00645EC4">
      <w:pPr>
        <w:jc w:val="both"/>
        <w:rPr>
          <w:rFonts w:ascii="Montserrat" w:eastAsia="Times New Roman" w:hAnsi="Montserrat" w:cs="Times New Roman"/>
          <w:sz w:val="22"/>
          <w:szCs w:val="22"/>
          <w:lang w:eastAsia="es-MX"/>
        </w:rPr>
      </w:pPr>
    </w:p>
    <w:p w14:paraId="171A2B70" w14:textId="77777777" w:rsidR="00407A96" w:rsidRPr="00653722" w:rsidRDefault="00407A96" w:rsidP="00645EC4">
      <w:pPr>
        <w:jc w:val="both"/>
        <w:rPr>
          <w:rFonts w:ascii="Montserrat" w:eastAsia="Times New Roman" w:hAnsi="Montserrat" w:cs="Times New Roman"/>
          <w:sz w:val="22"/>
          <w:szCs w:val="22"/>
          <w:lang w:eastAsia="es-MX"/>
        </w:rPr>
      </w:pPr>
    </w:p>
    <w:p w14:paraId="62013337" w14:textId="77777777" w:rsidR="00407A96" w:rsidRPr="00653722" w:rsidRDefault="00407A96" w:rsidP="00645EC4">
      <w:pPr>
        <w:jc w:val="both"/>
        <w:rPr>
          <w:rFonts w:ascii="Montserrat" w:eastAsia="Times New Roman" w:hAnsi="Montserrat" w:cs="Times New Roman"/>
          <w:b/>
          <w:sz w:val="22"/>
          <w:szCs w:val="22"/>
          <w:lang w:eastAsia="es-MX"/>
        </w:rPr>
      </w:pPr>
      <w:r w:rsidRPr="00653722">
        <w:rPr>
          <w:rFonts w:ascii="Montserrat" w:eastAsia="Times New Roman" w:hAnsi="Montserrat" w:cs="Times New Roman"/>
          <w:b/>
          <w:sz w:val="22"/>
          <w:szCs w:val="22"/>
          <w:lang w:eastAsia="es-MX"/>
        </w:rPr>
        <w:t>Sociedad Civil:</w:t>
      </w:r>
    </w:p>
    <w:p w14:paraId="6316A26A"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Libre Acceso, A.C.</w:t>
      </w:r>
    </w:p>
    <w:p w14:paraId="7661A9C0"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ORGANIZACIÓN CAN LAH, S.C.</w:t>
      </w:r>
    </w:p>
    <w:p w14:paraId="1BBA2483"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Fundación OWEN, I.A.P.</w:t>
      </w:r>
    </w:p>
    <w:p w14:paraId="4F176F82"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OSC Trisomía 21 México, A. C.</w:t>
      </w:r>
    </w:p>
    <w:p w14:paraId="511DB7BA"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Lenguas de Señas Mexicanas (LSM).</w:t>
      </w:r>
    </w:p>
    <w:p w14:paraId="7C1E2AD1" w14:textId="77777777" w:rsidR="00407A96" w:rsidRPr="00653722" w:rsidRDefault="00407A96" w:rsidP="00E31990">
      <w:pPr>
        <w:pStyle w:val="Prrafodelista"/>
        <w:numPr>
          <w:ilvl w:val="0"/>
          <w:numId w:val="8"/>
        </w:numPr>
        <w:jc w:val="both"/>
        <w:rPr>
          <w:rFonts w:ascii="Montserrat" w:eastAsia="Times New Roman" w:hAnsi="Montserrat" w:cs="Times New Roman"/>
          <w:sz w:val="22"/>
          <w:szCs w:val="22"/>
          <w:lang w:eastAsia="es-MX"/>
        </w:rPr>
      </w:pPr>
      <w:r w:rsidRPr="00653722">
        <w:rPr>
          <w:rFonts w:ascii="Montserrat" w:eastAsia="Times New Roman" w:hAnsi="Montserrat" w:cs="Times New Roman"/>
          <w:sz w:val="22"/>
          <w:szCs w:val="22"/>
          <w:lang w:eastAsia="es-MX"/>
        </w:rPr>
        <w:t>FavoreSER para CreSER.</w:t>
      </w:r>
    </w:p>
    <w:p w14:paraId="1D8DACB8" w14:textId="77777777" w:rsidR="00407A96" w:rsidRPr="00C911FE" w:rsidRDefault="00407A96" w:rsidP="00645EC4">
      <w:pPr>
        <w:jc w:val="both"/>
        <w:rPr>
          <w:rFonts w:ascii="Montserrat" w:eastAsia="Times New Roman" w:hAnsi="Montserrat" w:cs="Calibri"/>
          <w:color w:val="000000"/>
          <w:sz w:val="22"/>
          <w:szCs w:val="22"/>
        </w:rPr>
      </w:pPr>
    </w:p>
    <w:p w14:paraId="57FA858E" w14:textId="675C4F6C" w:rsidR="00C911FE" w:rsidRPr="00C911FE" w:rsidRDefault="00003A4F" w:rsidP="00645EC4">
      <w:pPr>
        <w:jc w:val="both"/>
        <w:rPr>
          <w:rFonts w:ascii="Montserrat" w:eastAsia="Times New Roman" w:hAnsi="Montserrat" w:cs="Calibri"/>
          <w:color w:val="000000"/>
          <w:sz w:val="22"/>
          <w:szCs w:val="22"/>
        </w:rPr>
      </w:pPr>
      <w:r w:rsidRPr="00653722">
        <w:rPr>
          <w:rFonts w:ascii="Montserrat" w:eastAsia="Times New Roman" w:hAnsi="Montserrat" w:cs="Calibri"/>
          <w:color w:val="000000"/>
          <w:sz w:val="22"/>
          <w:szCs w:val="22"/>
        </w:rPr>
        <w:t>Por otra parte, se informa que</w:t>
      </w:r>
      <w:r w:rsidR="00C911FE" w:rsidRPr="00653722">
        <w:rPr>
          <w:rFonts w:ascii="Montserrat" w:eastAsia="Times New Roman" w:hAnsi="Montserrat" w:cs="Calibri"/>
          <w:color w:val="000000"/>
          <w:sz w:val="22"/>
          <w:szCs w:val="22"/>
        </w:rPr>
        <w:t xml:space="preserve"> el Estado mexicano, </w:t>
      </w:r>
      <w:r w:rsidR="00C911FE" w:rsidRPr="00C911FE">
        <w:rPr>
          <w:rFonts w:ascii="Montserrat" w:eastAsia="Times New Roman" w:hAnsi="Montserrat" w:cs="Calibri"/>
          <w:color w:val="000000"/>
          <w:sz w:val="22"/>
          <w:szCs w:val="22"/>
        </w:rPr>
        <w:t>implementó el Plan Rector en Materia de Accesibilidad para Personas con Discapacidad del Poder Judicial de la Federación, el cual busca que la totalidad de los inmuebles de la institución dispongan de los espacios físicos y demás elementos que respondan a los requerimientos internacionales para las personas con cualquier clase de discapacidad.  Lo anterior incluye la instalación de módulos de atención para personas con discapacidad, rampas de acceso, guía podotáctil, directorios en sistema braille, incorporación de infraestructura para hacer accesibles salas de juicios orales, entre otros.</w:t>
      </w:r>
    </w:p>
    <w:p w14:paraId="40E28143" w14:textId="77777777" w:rsidR="00C911FE" w:rsidRPr="00C911FE" w:rsidRDefault="00C911FE" w:rsidP="00645EC4">
      <w:pPr>
        <w:ind w:left="708"/>
        <w:jc w:val="both"/>
        <w:rPr>
          <w:rFonts w:ascii="Montserrat" w:eastAsia="Times New Roman" w:hAnsi="Montserrat" w:cs="Calibri"/>
          <w:color w:val="000000"/>
          <w:sz w:val="22"/>
          <w:szCs w:val="22"/>
        </w:rPr>
      </w:pPr>
      <w:r w:rsidRPr="00C911FE">
        <w:rPr>
          <w:rFonts w:ascii="Montserrat" w:eastAsia="Times New Roman" w:hAnsi="Montserrat" w:cs="Calibri"/>
          <w:color w:val="000000"/>
          <w:sz w:val="22"/>
          <w:szCs w:val="22"/>
        </w:rPr>
        <w:t> </w:t>
      </w:r>
    </w:p>
    <w:p w14:paraId="4C85B7AA" w14:textId="112159DD" w:rsidR="00C911FE" w:rsidRPr="00C911FE" w:rsidRDefault="00C911FE" w:rsidP="00645EC4">
      <w:pPr>
        <w:jc w:val="both"/>
        <w:rPr>
          <w:rFonts w:ascii="Montserrat" w:eastAsia="Times New Roman" w:hAnsi="Montserrat" w:cs="Calibri"/>
          <w:color w:val="000000"/>
          <w:sz w:val="22"/>
          <w:szCs w:val="22"/>
        </w:rPr>
      </w:pPr>
      <w:r w:rsidRPr="00C911FE">
        <w:rPr>
          <w:rFonts w:ascii="Montserrat" w:eastAsia="Times New Roman" w:hAnsi="Montserrat" w:cs="Calibri"/>
          <w:color w:val="000000"/>
          <w:sz w:val="22"/>
          <w:szCs w:val="22"/>
        </w:rPr>
        <w:t xml:space="preserve">Asimismo, en relación con la accesibilidad física, </w:t>
      </w:r>
      <w:r w:rsidRPr="00653722">
        <w:rPr>
          <w:rFonts w:ascii="Montserrat" w:eastAsia="Times New Roman" w:hAnsi="Montserrat" w:cs="Calibri"/>
          <w:color w:val="000000"/>
          <w:sz w:val="22"/>
          <w:szCs w:val="22"/>
        </w:rPr>
        <w:t xml:space="preserve">se </w:t>
      </w:r>
      <w:r w:rsidRPr="00C911FE">
        <w:rPr>
          <w:rFonts w:ascii="Montserrat" w:eastAsia="Times New Roman" w:hAnsi="Montserrat" w:cs="Calibri"/>
          <w:color w:val="000000"/>
          <w:sz w:val="22"/>
          <w:szCs w:val="22"/>
        </w:rPr>
        <w:t xml:space="preserve">destaca el Proyecto de “Acuerdo General de Administración por el que se establece la Política de Inclusión y las Medidas Generales para la Protección de los Derechos Humanos de las Personas con Discapacidad en la Suprema Corte de Justicia </w:t>
      </w:r>
      <w:r w:rsidRPr="00C911FE">
        <w:rPr>
          <w:rFonts w:ascii="Montserrat" w:eastAsia="Times New Roman" w:hAnsi="Montserrat" w:cs="Calibri"/>
          <w:color w:val="000000"/>
          <w:sz w:val="22"/>
          <w:szCs w:val="22"/>
        </w:rPr>
        <w:lastRenderedPageBreak/>
        <w:t>de la Nación”. Dicho proyecto de acuerdo prevé la adopción de medidas progresivas para volver accesible la infraestructura y realizar modificaciones físicas. Lo anterior, deberá ser consultado con las personas con discapacidad que laboran en la S</w:t>
      </w:r>
      <w:r w:rsidRPr="00653722">
        <w:rPr>
          <w:rFonts w:ascii="Montserrat" w:eastAsia="Times New Roman" w:hAnsi="Montserrat" w:cs="Calibri"/>
          <w:color w:val="000000"/>
          <w:sz w:val="22"/>
          <w:szCs w:val="22"/>
        </w:rPr>
        <w:t xml:space="preserve">uprema </w:t>
      </w:r>
      <w:r w:rsidRPr="00C911FE">
        <w:rPr>
          <w:rFonts w:ascii="Montserrat" w:eastAsia="Times New Roman" w:hAnsi="Montserrat" w:cs="Calibri"/>
          <w:color w:val="000000"/>
          <w:sz w:val="22"/>
          <w:szCs w:val="22"/>
        </w:rPr>
        <w:t>C</w:t>
      </w:r>
      <w:r w:rsidRPr="00653722">
        <w:rPr>
          <w:rFonts w:ascii="Montserrat" w:eastAsia="Times New Roman" w:hAnsi="Montserrat" w:cs="Calibri"/>
          <w:color w:val="000000"/>
          <w:sz w:val="22"/>
          <w:szCs w:val="22"/>
        </w:rPr>
        <w:t xml:space="preserve">orte de </w:t>
      </w:r>
      <w:r w:rsidRPr="00C911FE">
        <w:rPr>
          <w:rFonts w:ascii="Montserrat" w:eastAsia="Times New Roman" w:hAnsi="Montserrat" w:cs="Calibri"/>
          <w:color w:val="000000"/>
          <w:sz w:val="22"/>
          <w:szCs w:val="22"/>
        </w:rPr>
        <w:t>J</w:t>
      </w:r>
      <w:r w:rsidRPr="00653722">
        <w:rPr>
          <w:rFonts w:ascii="Montserrat" w:eastAsia="Times New Roman" w:hAnsi="Montserrat" w:cs="Calibri"/>
          <w:color w:val="000000"/>
          <w:sz w:val="22"/>
          <w:szCs w:val="22"/>
        </w:rPr>
        <w:t xml:space="preserve">usticia de la </w:t>
      </w:r>
      <w:r w:rsidRPr="00C911FE">
        <w:rPr>
          <w:rFonts w:ascii="Montserrat" w:eastAsia="Times New Roman" w:hAnsi="Montserrat" w:cs="Calibri"/>
          <w:color w:val="000000"/>
          <w:sz w:val="22"/>
          <w:szCs w:val="22"/>
        </w:rPr>
        <w:t>N</w:t>
      </w:r>
      <w:r w:rsidRPr="00653722">
        <w:rPr>
          <w:rFonts w:ascii="Montserrat" w:eastAsia="Times New Roman" w:hAnsi="Montserrat" w:cs="Calibri"/>
          <w:color w:val="000000"/>
          <w:sz w:val="22"/>
          <w:szCs w:val="22"/>
        </w:rPr>
        <w:t>ación</w:t>
      </w:r>
      <w:r w:rsidRPr="00C911FE">
        <w:rPr>
          <w:rFonts w:ascii="Montserrat" w:eastAsia="Times New Roman" w:hAnsi="Montserrat" w:cs="Calibri"/>
          <w:color w:val="000000"/>
          <w:sz w:val="22"/>
          <w:szCs w:val="22"/>
        </w:rPr>
        <w:t xml:space="preserve"> y ser puesto a consideración del Comité de Accesibilidad, al resultar un asunto de trascendencia.</w:t>
      </w:r>
    </w:p>
    <w:p w14:paraId="40E3C3CF" w14:textId="77777777" w:rsidR="00C911FE" w:rsidRPr="00C911FE" w:rsidRDefault="00C911FE" w:rsidP="00645EC4">
      <w:pPr>
        <w:ind w:left="708"/>
        <w:jc w:val="both"/>
        <w:rPr>
          <w:rFonts w:ascii="Montserrat" w:eastAsia="Times New Roman" w:hAnsi="Montserrat" w:cs="Calibri"/>
          <w:color w:val="000000"/>
          <w:sz w:val="22"/>
          <w:szCs w:val="22"/>
        </w:rPr>
      </w:pPr>
      <w:r w:rsidRPr="00C911FE">
        <w:rPr>
          <w:rFonts w:ascii="Montserrat" w:eastAsia="Times New Roman" w:hAnsi="Montserrat" w:cs="Calibri"/>
          <w:color w:val="000000"/>
          <w:sz w:val="22"/>
          <w:szCs w:val="22"/>
        </w:rPr>
        <w:t> </w:t>
      </w:r>
    </w:p>
    <w:p w14:paraId="7CDBA7E0" w14:textId="614A367D" w:rsidR="00C911FE" w:rsidRPr="00C911FE" w:rsidRDefault="00C911FE" w:rsidP="00645EC4">
      <w:pPr>
        <w:jc w:val="both"/>
        <w:rPr>
          <w:rFonts w:ascii="Montserrat" w:eastAsia="Times New Roman" w:hAnsi="Montserrat" w:cs="Calibri"/>
          <w:color w:val="000000"/>
          <w:sz w:val="22"/>
          <w:szCs w:val="22"/>
        </w:rPr>
      </w:pPr>
      <w:r w:rsidRPr="00C911FE">
        <w:rPr>
          <w:rFonts w:ascii="Montserrat" w:eastAsia="Times New Roman" w:hAnsi="Montserrat" w:cs="Calibri"/>
          <w:color w:val="000000"/>
          <w:sz w:val="22"/>
          <w:szCs w:val="22"/>
        </w:rPr>
        <w:t>Por otro lado, en su jurisprudencia, la S</w:t>
      </w:r>
      <w:r w:rsidRPr="00653722">
        <w:rPr>
          <w:rFonts w:ascii="Montserrat" w:eastAsia="Times New Roman" w:hAnsi="Montserrat" w:cs="Calibri"/>
          <w:color w:val="000000"/>
          <w:sz w:val="22"/>
          <w:szCs w:val="22"/>
        </w:rPr>
        <w:t xml:space="preserve">uprema </w:t>
      </w:r>
      <w:r w:rsidRPr="00C911FE">
        <w:rPr>
          <w:rFonts w:ascii="Montserrat" w:eastAsia="Times New Roman" w:hAnsi="Montserrat" w:cs="Calibri"/>
          <w:color w:val="000000"/>
          <w:sz w:val="22"/>
          <w:szCs w:val="22"/>
        </w:rPr>
        <w:t>C</w:t>
      </w:r>
      <w:r w:rsidRPr="00653722">
        <w:rPr>
          <w:rFonts w:ascii="Montserrat" w:eastAsia="Times New Roman" w:hAnsi="Montserrat" w:cs="Calibri"/>
          <w:color w:val="000000"/>
          <w:sz w:val="22"/>
          <w:szCs w:val="22"/>
        </w:rPr>
        <w:t xml:space="preserve">orte de </w:t>
      </w:r>
      <w:r w:rsidRPr="00C911FE">
        <w:rPr>
          <w:rFonts w:ascii="Montserrat" w:eastAsia="Times New Roman" w:hAnsi="Montserrat" w:cs="Calibri"/>
          <w:color w:val="000000"/>
          <w:sz w:val="22"/>
          <w:szCs w:val="22"/>
        </w:rPr>
        <w:t>J</w:t>
      </w:r>
      <w:r w:rsidRPr="00653722">
        <w:rPr>
          <w:rFonts w:ascii="Montserrat" w:eastAsia="Times New Roman" w:hAnsi="Montserrat" w:cs="Calibri"/>
          <w:color w:val="000000"/>
          <w:sz w:val="22"/>
          <w:szCs w:val="22"/>
        </w:rPr>
        <w:t xml:space="preserve">usticia de la </w:t>
      </w:r>
      <w:r w:rsidRPr="00C911FE">
        <w:rPr>
          <w:rFonts w:ascii="Montserrat" w:eastAsia="Times New Roman" w:hAnsi="Montserrat" w:cs="Calibri"/>
          <w:color w:val="000000"/>
          <w:sz w:val="22"/>
          <w:szCs w:val="22"/>
        </w:rPr>
        <w:t>N</w:t>
      </w:r>
      <w:r w:rsidRPr="00653722">
        <w:rPr>
          <w:rFonts w:ascii="Montserrat" w:eastAsia="Times New Roman" w:hAnsi="Montserrat" w:cs="Calibri"/>
          <w:color w:val="000000"/>
          <w:sz w:val="22"/>
          <w:szCs w:val="22"/>
        </w:rPr>
        <w:t>ación</w:t>
      </w:r>
      <w:r w:rsidRPr="00C911FE">
        <w:rPr>
          <w:rFonts w:ascii="Montserrat" w:eastAsia="Times New Roman" w:hAnsi="Montserrat" w:cs="Calibri"/>
          <w:color w:val="000000"/>
          <w:sz w:val="22"/>
          <w:szCs w:val="22"/>
        </w:rPr>
        <w:t xml:space="preserve"> ha destacado la accesibilidad física como un presupuesto para que las personas con discapacidad puedan tener una vida independiente y ser incluidas en la comunidad. En esa línea, </w:t>
      </w:r>
      <w:r w:rsidRPr="00653722">
        <w:rPr>
          <w:rFonts w:ascii="Montserrat" w:eastAsia="Times New Roman" w:hAnsi="Montserrat" w:cs="Calibri"/>
          <w:color w:val="000000"/>
          <w:sz w:val="22"/>
          <w:szCs w:val="22"/>
        </w:rPr>
        <w:t>se</w:t>
      </w:r>
      <w:r w:rsidRPr="00C911FE">
        <w:rPr>
          <w:rFonts w:ascii="Montserrat" w:eastAsia="Times New Roman" w:hAnsi="Montserrat" w:cs="Calibri"/>
          <w:color w:val="000000"/>
          <w:sz w:val="22"/>
          <w:szCs w:val="22"/>
        </w:rPr>
        <w:t xml:space="preserve"> ha indicado que la suspensión de servicios en vivienda impide a las personas con discapacidad interactuar con la mayor independencia posible, pues su impacto es mayor al que tiene sobre personas sin discapacidad, por lo que debe ponderarse la afectación que generaría y, en todo caso, no suspenderlo (Amparo Directo en Revisión 989/2014).</w:t>
      </w:r>
    </w:p>
    <w:p w14:paraId="11C427C0" w14:textId="77777777" w:rsidR="00C911FE" w:rsidRPr="00C911FE" w:rsidRDefault="00C911FE" w:rsidP="00645EC4">
      <w:pPr>
        <w:jc w:val="both"/>
        <w:rPr>
          <w:rFonts w:ascii="Montserrat" w:eastAsia="Times New Roman" w:hAnsi="Montserrat" w:cs="Calibri"/>
          <w:color w:val="000000"/>
          <w:sz w:val="22"/>
          <w:szCs w:val="22"/>
        </w:rPr>
      </w:pPr>
      <w:r w:rsidRPr="00C911FE">
        <w:rPr>
          <w:rFonts w:ascii="Montserrat" w:eastAsia="Times New Roman" w:hAnsi="Montserrat" w:cs="Calibri"/>
          <w:color w:val="000000"/>
          <w:sz w:val="22"/>
          <w:szCs w:val="22"/>
        </w:rPr>
        <w:t> </w:t>
      </w:r>
    </w:p>
    <w:p w14:paraId="7276BCD3" w14:textId="6F43798A" w:rsidR="00085180" w:rsidRDefault="00085180" w:rsidP="00645EC4">
      <w:pPr>
        <w:jc w:val="both"/>
        <w:rPr>
          <w:rFonts w:ascii="Montserrat" w:hAnsi="Montserrat"/>
        </w:rPr>
      </w:pPr>
    </w:p>
    <w:p w14:paraId="0A9AA224" w14:textId="522E66D5" w:rsidR="003F7940" w:rsidRDefault="003F7940" w:rsidP="00645EC4">
      <w:pPr>
        <w:jc w:val="both"/>
        <w:rPr>
          <w:rFonts w:ascii="Montserrat" w:hAnsi="Montserrat"/>
          <w:b/>
          <w:bCs/>
        </w:rPr>
      </w:pPr>
      <w:r w:rsidRPr="003F7940">
        <w:rPr>
          <w:rFonts w:ascii="Montserrat" w:hAnsi="Montserrat"/>
          <w:b/>
          <w:bCs/>
        </w:rPr>
        <w:t>Artículo 13. Acceso a la justicia</w:t>
      </w:r>
    </w:p>
    <w:p w14:paraId="592BDCCF" w14:textId="02C2CC77" w:rsidR="003F7940" w:rsidRDefault="003F7940" w:rsidP="00645EC4">
      <w:pPr>
        <w:jc w:val="both"/>
        <w:rPr>
          <w:rFonts w:ascii="Montserrat" w:hAnsi="Montserrat"/>
          <w:b/>
          <w:bCs/>
        </w:rPr>
      </w:pPr>
    </w:p>
    <w:p w14:paraId="491AF650" w14:textId="101A30E4" w:rsidR="003536F5" w:rsidRPr="003536F5" w:rsidRDefault="003536F5" w:rsidP="00645EC4">
      <w:pPr>
        <w:pStyle w:val="x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xml:space="preserve">Atendiendo al Código Nacional de Procedimientos Penales, la Fiscalía Especializada en Delitos de Violencia Contra las Mujeres y Trata de Personas </w:t>
      </w:r>
      <w:r w:rsidR="000A6C0C">
        <w:rPr>
          <w:rFonts w:ascii="Montserrat" w:hAnsi="Montserrat"/>
          <w:color w:val="000000"/>
          <w:sz w:val="22"/>
          <w:szCs w:val="22"/>
        </w:rPr>
        <w:t xml:space="preserve">(FEVIMTRA) </w:t>
      </w:r>
      <w:r w:rsidRPr="003536F5">
        <w:rPr>
          <w:rFonts w:ascii="Montserrat" w:hAnsi="Montserrat"/>
          <w:color w:val="000000"/>
          <w:sz w:val="22"/>
          <w:szCs w:val="22"/>
        </w:rPr>
        <w:t>ha llevado a cabo las siguientes medidas para garantizar el derecho humano de acceso a la justicia para personas con discapacidad bajo los principios de igualdad y no discriminación:</w:t>
      </w:r>
      <w:r w:rsidRPr="003536F5">
        <w:rPr>
          <w:rStyle w:val="apple-converted-space"/>
          <w:rFonts w:ascii="Montserrat" w:hAnsi="Montserrat"/>
          <w:color w:val="000000"/>
          <w:sz w:val="22"/>
          <w:szCs w:val="22"/>
        </w:rPr>
        <w:t> </w:t>
      </w:r>
    </w:p>
    <w:p w14:paraId="2A6839A0" w14:textId="77777777" w:rsidR="003536F5" w:rsidRPr="003536F5" w:rsidRDefault="003536F5" w:rsidP="00645EC4">
      <w:pPr>
        <w:pStyle w:val="xwordsection1"/>
        <w:spacing w:before="0" w:beforeAutospacing="0" w:after="0" w:afterAutospacing="0"/>
        <w:ind w:left="1080"/>
        <w:jc w:val="both"/>
        <w:rPr>
          <w:rFonts w:ascii="Montserrat" w:hAnsi="Montserrat"/>
          <w:color w:val="000000"/>
          <w:sz w:val="22"/>
          <w:szCs w:val="22"/>
        </w:rPr>
      </w:pPr>
      <w:r w:rsidRPr="003536F5">
        <w:rPr>
          <w:rFonts w:ascii="Montserrat" w:hAnsi="Montserrat"/>
          <w:b/>
          <w:bCs/>
          <w:color w:val="000000"/>
          <w:sz w:val="22"/>
          <w:szCs w:val="22"/>
        </w:rPr>
        <w:t> </w:t>
      </w:r>
    </w:p>
    <w:p w14:paraId="7B776B70" w14:textId="77777777" w:rsidR="003536F5" w:rsidRPr="003536F5" w:rsidRDefault="003536F5" w:rsidP="00E31990">
      <w:pPr>
        <w:pStyle w:val="xwordsection1"/>
        <w:numPr>
          <w:ilvl w:val="0"/>
          <w:numId w:val="21"/>
        </w:numPr>
        <w:spacing w:before="0" w:beforeAutospacing="0" w:after="0" w:afterAutospacing="0"/>
        <w:ind w:left="1420"/>
        <w:jc w:val="both"/>
        <w:rPr>
          <w:rFonts w:ascii="Montserrat" w:hAnsi="Montserrat"/>
          <w:color w:val="000000"/>
          <w:sz w:val="22"/>
          <w:szCs w:val="22"/>
        </w:rPr>
      </w:pPr>
      <w:r w:rsidRPr="003536F5">
        <w:rPr>
          <w:rFonts w:ascii="Montserrat" w:hAnsi="Montserrat"/>
          <w:color w:val="000000"/>
          <w:sz w:val="22"/>
          <w:szCs w:val="22"/>
        </w:rPr>
        <w:t>Todas las personas de la Fiscalía Especializada que intervienen en el procedimiento penal velan por que las personas con discapacidad sean atendidas a fin de garantizar la igualdad sobre la base de la equidad en el ejercicio de sus derechos. En el caso específico, se prevén ajustes razonables al procedimiento cuando la discapacidad lo requiera.</w:t>
      </w:r>
    </w:p>
    <w:p w14:paraId="2F61B05C" w14:textId="77777777" w:rsidR="003536F5" w:rsidRPr="003536F5" w:rsidRDefault="003536F5" w:rsidP="00645EC4">
      <w:pPr>
        <w:pStyle w:val="xwordsection1"/>
        <w:spacing w:before="0" w:beforeAutospacing="0" w:after="0" w:afterAutospacing="0"/>
        <w:ind w:left="1080" w:firstLine="60"/>
        <w:jc w:val="both"/>
        <w:rPr>
          <w:rFonts w:ascii="Montserrat" w:hAnsi="Montserrat"/>
          <w:color w:val="000000"/>
          <w:sz w:val="22"/>
          <w:szCs w:val="22"/>
        </w:rPr>
      </w:pPr>
    </w:p>
    <w:p w14:paraId="51B778E3" w14:textId="77777777" w:rsidR="003536F5" w:rsidRPr="003536F5" w:rsidRDefault="003536F5" w:rsidP="00E31990">
      <w:pPr>
        <w:pStyle w:val="xwordsection1"/>
        <w:numPr>
          <w:ilvl w:val="0"/>
          <w:numId w:val="21"/>
        </w:numPr>
        <w:spacing w:before="0" w:beforeAutospacing="0" w:after="0" w:afterAutospacing="0"/>
        <w:ind w:left="1420"/>
        <w:jc w:val="both"/>
        <w:rPr>
          <w:rFonts w:ascii="Montserrat" w:hAnsi="Montserrat"/>
          <w:color w:val="000000"/>
          <w:sz w:val="22"/>
          <w:szCs w:val="22"/>
        </w:rPr>
      </w:pPr>
      <w:r w:rsidRPr="003536F5">
        <w:rPr>
          <w:rFonts w:ascii="Montserrat" w:hAnsi="Montserrat"/>
          <w:color w:val="000000"/>
          <w:sz w:val="22"/>
          <w:szCs w:val="22"/>
        </w:rPr>
        <w:t>Cuando a solicitud fundada de la persona con discapacidad, o a juicio de las autoridades de la Fiscalía Especializada que sean competentes, sea necesario adoptar otras medidas para salvaguardar su derecho a ser debidamente asistida, la persona con discapacidad podrá recibir asistencia en materia de estenografía proyectada, por un intérprete de lengua de señas o a través de cualquier otro medio que permita un entendimiento cabal de todas y cada una de las actuaciones, o cualquier otro medio que, según el caso, garantice que tal comprensión exista.</w:t>
      </w:r>
    </w:p>
    <w:p w14:paraId="06A5708A" w14:textId="77777777" w:rsidR="003536F5" w:rsidRPr="003536F5" w:rsidRDefault="003536F5" w:rsidP="00645EC4">
      <w:pPr>
        <w:pStyle w:val="xwordsection1"/>
        <w:spacing w:before="0" w:beforeAutospacing="0" w:after="0" w:afterAutospacing="0"/>
        <w:ind w:left="360" w:firstLine="60"/>
        <w:jc w:val="both"/>
        <w:rPr>
          <w:rFonts w:ascii="Montserrat" w:hAnsi="Montserrat"/>
          <w:color w:val="000000"/>
          <w:sz w:val="22"/>
          <w:szCs w:val="22"/>
        </w:rPr>
      </w:pPr>
    </w:p>
    <w:p w14:paraId="13DB09F8" w14:textId="77777777" w:rsidR="003536F5" w:rsidRPr="003536F5" w:rsidRDefault="003536F5" w:rsidP="00E31990">
      <w:pPr>
        <w:pStyle w:val="xwordsection1"/>
        <w:numPr>
          <w:ilvl w:val="0"/>
          <w:numId w:val="21"/>
        </w:numPr>
        <w:spacing w:before="0" w:beforeAutospacing="0" w:after="0" w:afterAutospacing="0"/>
        <w:ind w:left="1420"/>
        <w:jc w:val="both"/>
        <w:rPr>
          <w:rFonts w:ascii="Montserrat" w:hAnsi="Montserrat"/>
          <w:color w:val="000000"/>
          <w:sz w:val="22"/>
          <w:szCs w:val="22"/>
        </w:rPr>
      </w:pPr>
      <w:r w:rsidRPr="003536F5">
        <w:rPr>
          <w:rFonts w:ascii="Montserrat" w:hAnsi="Montserrat"/>
          <w:color w:val="000000"/>
          <w:sz w:val="22"/>
          <w:szCs w:val="22"/>
        </w:rPr>
        <w:t>Cuando la persona imputada tenga a su cuidado menores de edad, personas con discapacidad, o adultos mayores que dependan de ésta, y no haya otra persona que pueda ejercer ese cuidado, el Ministerio Público canaliza a instituciones de asistencia social que correspondan, a efecto de recibir la protección.</w:t>
      </w:r>
    </w:p>
    <w:p w14:paraId="551A2C89" w14:textId="77777777" w:rsidR="003536F5" w:rsidRPr="003536F5" w:rsidRDefault="003536F5" w:rsidP="00645EC4">
      <w:pPr>
        <w:pStyle w:val="xmsolistparagraph"/>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682B5B82" w14:textId="77777777" w:rsidR="003536F5" w:rsidRPr="003536F5" w:rsidRDefault="003536F5" w:rsidP="00645EC4">
      <w:pPr>
        <w:pStyle w:val="xmsolistparagraph"/>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lastRenderedPageBreak/>
        <w:t>De manera concreta,</w:t>
      </w:r>
      <w:r w:rsidRPr="003536F5">
        <w:rPr>
          <w:rStyle w:val="apple-converted-space"/>
          <w:rFonts w:ascii="Montserrat" w:hAnsi="Montserrat"/>
          <w:color w:val="000000"/>
          <w:sz w:val="22"/>
          <w:szCs w:val="22"/>
        </w:rPr>
        <w:t> </w:t>
      </w:r>
      <w:r w:rsidRPr="003536F5">
        <w:rPr>
          <w:rFonts w:ascii="Montserrat" w:hAnsi="Montserrat"/>
          <w:color w:val="000000"/>
          <w:sz w:val="22"/>
          <w:szCs w:val="22"/>
        </w:rPr>
        <w:t>del primero de enero de 2019 al 04 de febrero de 2022, la FEVIMTRA cuenta con registro de ocho delitos en agravio de víctimas que presentan alguna discapacidad. Derivada de la obligación de las personas operadoras de justicia de realizar modificaciones o adecuaciones en todos los procedimientos judiciales para que las personas con discapacidad participen efectivamente a lo largo de todas las etapas y desempeñen cualquier función, se señala que se realizaron los siguientes ajustes razonables desde las Unidades de Investigación y Litigación de esta Fiscalía Especializada:</w:t>
      </w:r>
      <w:r w:rsidRPr="003536F5">
        <w:rPr>
          <w:rStyle w:val="apple-converted-space"/>
          <w:rFonts w:ascii="Montserrat" w:hAnsi="Montserrat"/>
          <w:color w:val="000000"/>
          <w:sz w:val="22"/>
          <w:szCs w:val="22"/>
        </w:rPr>
        <w:t> </w:t>
      </w:r>
    </w:p>
    <w:p w14:paraId="62627EF7" w14:textId="77777777" w:rsidR="003536F5" w:rsidRPr="003536F5" w:rsidRDefault="003536F5" w:rsidP="00645EC4">
      <w:pPr>
        <w:pStyle w:val="xwordsection1"/>
        <w:spacing w:before="0" w:beforeAutospacing="0" w:after="0" w:afterAutospacing="0"/>
        <w:ind w:left="1080"/>
        <w:jc w:val="both"/>
        <w:rPr>
          <w:rFonts w:ascii="Montserrat" w:hAnsi="Montserrat"/>
          <w:color w:val="000000"/>
          <w:sz w:val="22"/>
          <w:szCs w:val="22"/>
        </w:rPr>
      </w:pPr>
      <w:r w:rsidRPr="003536F5">
        <w:rPr>
          <w:rFonts w:ascii="Montserrat" w:hAnsi="Montserrat"/>
          <w:color w:val="000000"/>
          <w:sz w:val="22"/>
          <w:szCs w:val="22"/>
        </w:rPr>
        <w:t> </w:t>
      </w:r>
    </w:p>
    <w:p w14:paraId="77ADA36B" w14:textId="77777777" w:rsidR="003536F5" w:rsidRPr="003536F5" w:rsidRDefault="003536F5" w:rsidP="00E31990">
      <w:pPr>
        <w:pStyle w:val="xwordsection1"/>
        <w:numPr>
          <w:ilvl w:val="0"/>
          <w:numId w:val="20"/>
        </w:numPr>
        <w:spacing w:before="0" w:beforeAutospacing="0" w:after="0" w:afterAutospacing="0"/>
        <w:ind w:left="1340"/>
        <w:jc w:val="both"/>
        <w:rPr>
          <w:rFonts w:ascii="Montserrat" w:hAnsi="Montserrat"/>
          <w:color w:val="000000"/>
          <w:sz w:val="22"/>
          <w:szCs w:val="22"/>
        </w:rPr>
      </w:pPr>
      <w:r w:rsidRPr="003536F5">
        <w:rPr>
          <w:rFonts w:ascii="Montserrat" w:hAnsi="Montserrat"/>
          <w:color w:val="000000"/>
          <w:sz w:val="22"/>
          <w:szCs w:val="22"/>
        </w:rPr>
        <w:t>Al recabar la entrevista ministerial o en la práctica de cualquier diligencia en donde tenga que intervenir la persona con discapacidad, se permite se encuentre acompañada por la persona con quien tiene confianza la víctima, (mama, padre, hermana, entre otros) incluso puede ser que, por conducto de aquellos, se obtenga su entrevista.</w:t>
      </w:r>
    </w:p>
    <w:p w14:paraId="5B6329F8" w14:textId="77777777" w:rsidR="003536F5" w:rsidRPr="003536F5" w:rsidRDefault="003536F5" w:rsidP="00645EC4">
      <w:pPr>
        <w:pStyle w:val="xwordsection1"/>
        <w:spacing w:before="0" w:beforeAutospacing="0" w:after="0" w:afterAutospacing="0"/>
        <w:ind w:left="1080" w:firstLine="60"/>
        <w:jc w:val="both"/>
        <w:rPr>
          <w:rFonts w:ascii="Montserrat" w:hAnsi="Montserrat"/>
          <w:color w:val="000000"/>
          <w:sz w:val="22"/>
          <w:szCs w:val="22"/>
        </w:rPr>
      </w:pPr>
    </w:p>
    <w:p w14:paraId="064DF0BB" w14:textId="77777777" w:rsidR="003536F5" w:rsidRPr="003536F5" w:rsidRDefault="003536F5" w:rsidP="00E31990">
      <w:pPr>
        <w:pStyle w:val="xwordsection1"/>
        <w:numPr>
          <w:ilvl w:val="0"/>
          <w:numId w:val="20"/>
        </w:numPr>
        <w:spacing w:before="0" w:beforeAutospacing="0" w:after="0" w:afterAutospacing="0"/>
        <w:ind w:left="1340"/>
        <w:jc w:val="both"/>
        <w:rPr>
          <w:rFonts w:ascii="Montserrat" w:hAnsi="Montserrat"/>
          <w:color w:val="000000"/>
          <w:sz w:val="22"/>
          <w:szCs w:val="22"/>
        </w:rPr>
      </w:pPr>
      <w:r w:rsidRPr="003536F5">
        <w:rPr>
          <w:rFonts w:ascii="Montserrat" w:hAnsi="Montserrat"/>
          <w:color w:val="000000"/>
          <w:sz w:val="22"/>
          <w:szCs w:val="22"/>
        </w:rPr>
        <w:t>Se asignan peritos especializados para que asistan a las víctimas.</w:t>
      </w:r>
    </w:p>
    <w:p w14:paraId="7718DD0B" w14:textId="77777777" w:rsidR="003536F5" w:rsidRPr="003536F5" w:rsidRDefault="003536F5" w:rsidP="00645EC4">
      <w:pPr>
        <w:pStyle w:val="xwordsection1"/>
        <w:spacing w:before="0" w:beforeAutospacing="0" w:after="0" w:afterAutospacing="0"/>
        <w:ind w:left="360" w:firstLine="60"/>
        <w:jc w:val="both"/>
        <w:rPr>
          <w:rFonts w:ascii="Montserrat" w:hAnsi="Montserrat"/>
          <w:color w:val="000000"/>
          <w:sz w:val="22"/>
          <w:szCs w:val="22"/>
        </w:rPr>
      </w:pPr>
    </w:p>
    <w:p w14:paraId="0FE4E829" w14:textId="77777777" w:rsidR="003536F5" w:rsidRPr="003536F5" w:rsidRDefault="003536F5" w:rsidP="00E31990">
      <w:pPr>
        <w:pStyle w:val="xwordsection1"/>
        <w:numPr>
          <w:ilvl w:val="0"/>
          <w:numId w:val="20"/>
        </w:numPr>
        <w:spacing w:before="0" w:beforeAutospacing="0" w:after="0" w:afterAutospacing="0"/>
        <w:ind w:left="1340"/>
        <w:jc w:val="both"/>
        <w:rPr>
          <w:rFonts w:ascii="Montserrat" w:hAnsi="Montserrat"/>
          <w:color w:val="000000"/>
          <w:sz w:val="22"/>
          <w:szCs w:val="22"/>
        </w:rPr>
      </w:pPr>
      <w:r w:rsidRPr="003536F5">
        <w:rPr>
          <w:rFonts w:ascii="Montserrat" w:hAnsi="Montserrat"/>
          <w:color w:val="000000"/>
          <w:sz w:val="22"/>
          <w:szCs w:val="22"/>
        </w:rPr>
        <w:t>La FEVIMTRA, solicita a la Comisión Ejecutiva de Atención a Víctimas, que por su conducto, se les brinde atención especializada.</w:t>
      </w:r>
    </w:p>
    <w:p w14:paraId="5BAB156E" w14:textId="77777777" w:rsidR="003536F5" w:rsidRPr="003536F5" w:rsidRDefault="003536F5" w:rsidP="00645EC4">
      <w:pPr>
        <w:pStyle w:val="xwordsection1"/>
        <w:spacing w:before="0" w:beforeAutospacing="0" w:after="0" w:afterAutospacing="0"/>
        <w:ind w:left="1080"/>
        <w:jc w:val="both"/>
        <w:rPr>
          <w:rFonts w:ascii="Montserrat" w:hAnsi="Montserrat"/>
          <w:color w:val="000000"/>
          <w:sz w:val="22"/>
          <w:szCs w:val="22"/>
        </w:rPr>
      </w:pPr>
      <w:r w:rsidRPr="003536F5">
        <w:rPr>
          <w:rFonts w:ascii="Montserrat" w:hAnsi="Montserrat"/>
          <w:color w:val="000000"/>
          <w:sz w:val="22"/>
          <w:szCs w:val="22"/>
        </w:rPr>
        <w:t> </w:t>
      </w:r>
    </w:p>
    <w:p w14:paraId="43CFB66D" w14:textId="5BF45506" w:rsidR="003536F5" w:rsidRPr="003536F5" w:rsidRDefault="003536F5" w:rsidP="004136E3">
      <w:pPr>
        <w:pStyle w:val="x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Como puede verse el carácter individualizado de los ajustes es esencial. Aunque se habla de las personas con discapacidad como un colectivo, cada discapacidad tiene implicaciones y expresiones distintas, e incluso dos personas que viven con una misma discapacidad, por ejemplo, el diagnóstico de un trastorno bipolar, podrán requerir ajustes y apoyos distintos.  </w:t>
      </w:r>
    </w:p>
    <w:p w14:paraId="129657DB" w14:textId="77777777" w:rsidR="003536F5" w:rsidRPr="003536F5" w:rsidRDefault="003536F5" w:rsidP="00645EC4">
      <w:pPr>
        <w:pStyle w:val="x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7D5BCAF8" w14:textId="1FCC0F7C" w:rsidR="003536F5" w:rsidRPr="003536F5" w:rsidRDefault="003536F5" w:rsidP="004136E3">
      <w:pPr>
        <w:pStyle w:val="x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xml:space="preserve">Por </w:t>
      </w:r>
      <w:r w:rsidR="004136E3">
        <w:rPr>
          <w:rFonts w:ascii="Montserrat" w:hAnsi="Montserrat"/>
          <w:color w:val="000000"/>
          <w:sz w:val="22"/>
          <w:szCs w:val="22"/>
        </w:rPr>
        <w:t xml:space="preserve">otra </w:t>
      </w:r>
      <w:r w:rsidRPr="003536F5">
        <w:rPr>
          <w:rFonts w:ascii="Montserrat" w:hAnsi="Montserrat"/>
          <w:color w:val="000000"/>
          <w:sz w:val="22"/>
          <w:szCs w:val="22"/>
        </w:rPr>
        <w:t>parte, el artículo 10 “Principio de igualdad ante la ley” del Código Nacional de Procedimientos Penales (CNPP) prevé que: “Todas las personas que intervengan en el procedimiento penal recibirán el mismo trato y tendrán las mismas oportunidades para sostener la acusación o la defensa. No se admitirá discriminación motivada por […] discapacidad […] o cualquier otra que atente contra la dignidad humana y tenga por objeto anular o menoscabar los derechos y las libertades de las personas. Las autoridades velarán por que las personas en las condiciones o circunstancias señaladas en el párrafo anterior, sean atendidas a fin de garantizar la igualdad sobre la base de la equidad en el ejercicio de sus derechos. En el caso de las personas con discapacidad, deberán preverse ajustes razonables al procedimiento cuando se requiera.”</w:t>
      </w:r>
    </w:p>
    <w:p w14:paraId="4586876D"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550639D6"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De igual manera, en el artículo 109, fracción XII, del CNPP se establece como derecho de la víctima o persona ofendida: “En caso de tener alguna discapacidad, a que se realicen los ajustes al procedimiento penal que sean necesarios para salvaguardar sus derechos;”. Por su parte, los artículos 5 y 7, fracción XXII, de la Ley General de Víctimas (LGV) reafirman el principio de igualdad y no discriminación; mientras que los artículos 5, 28 y 45 de la LGV reconocen la necesidad de un enfoque diferencial y especializado para las personas en condición de discapacidad con carácter de víctimas, y el artículo 5 de la LGV obliga a las autoridades a ofrecer garantías especiales y medidas de protección a las víctimas en condición de discapacidad.</w:t>
      </w:r>
    </w:p>
    <w:p w14:paraId="6AE5AD64"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0839CFB1"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lastRenderedPageBreak/>
        <w:t>En materia de accesibilidad, en los artículos 45 y 84 del CNPP se prevén obligaciones de las autoridades del Estado mexicano en materia de traducción, interpretación y asistencia para dar accesibilidad a las personas con discapacidad que participan en procesos penales con carácter de víctimas o imputadas. Asimismo, los artículos 7, fracción XXXI, y 168 de la LGV refrendan el derecho de las víctimas a solicitar la asistencia de un intérprete o traductor lingüístico cuando tenga discapacidad auditiva, verbal o visual; y el artículo 170 de la LGV obliga a las entidades federativas a contar con intérpretes y traductores con estos fines.</w:t>
      </w:r>
    </w:p>
    <w:p w14:paraId="2CE15E3E"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5CE9390D"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En materia de mecanismos de protección</w:t>
      </w:r>
      <w:r w:rsidRPr="003536F5">
        <w:rPr>
          <w:rStyle w:val="apple-converted-space"/>
          <w:rFonts w:ascii="Montserrat" w:hAnsi="Montserrat"/>
          <w:color w:val="000000"/>
          <w:sz w:val="22"/>
          <w:szCs w:val="22"/>
        </w:rPr>
        <w:t> </w:t>
      </w:r>
      <w:r w:rsidRPr="003536F5">
        <w:rPr>
          <w:rFonts w:ascii="Montserrat" w:hAnsi="Montserrat"/>
          <w:color w:val="000000"/>
          <w:sz w:val="22"/>
          <w:szCs w:val="22"/>
        </w:rPr>
        <w:t>a personas en condición de discapacidad víctimas de violencia familiar, puede ser aplicable el artículo 113, fracción XVI, del CNPP, que prevé que las personas imputadas tienen derecho: “A solicitar desde el momento de su detención, asistencia social para los menores de edad o personas con discapacidad cuyo cuidado personal tenga a su cargo;”, y que en su tercer párrafo determina que: “Cuando el imputado tenga a su cuidado menores de edad, personas con discapacidad, o adultos mayores que dependan de él, y no haya otra persona que pueda ejercer ese cuidado, el Ministerio Público deberá canalizarlos a instituciones de asistencia social que correspondan, a efecto de recibir la protección.”</w:t>
      </w:r>
      <w:r w:rsidRPr="003536F5">
        <w:rPr>
          <w:rStyle w:val="apple-converted-space"/>
          <w:rFonts w:ascii="Montserrat" w:hAnsi="Montserrat"/>
          <w:color w:val="000000"/>
          <w:sz w:val="22"/>
          <w:szCs w:val="22"/>
        </w:rPr>
        <w:t> </w:t>
      </w:r>
    </w:p>
    <w:p w14:paraId="7A3EA154" w14:textId="77777777" w:rsidR="003536F5" w:rsidRPr="003536F5" w:rsidRDefault="003536F5" w:rsidP="00645EC4">
      <w:pPr>
        <w:pStyle w:val="wordsection1"/>
        <w:spacing w:before="0" w:beforeAutospacing="0" w:after="0" w:afterAutospacing="0"/>
        <w:jc w:val="both"/>
        <w:rPr>
          <w:rFonts w:ascii="Montserrat" w:hAnsi="Montserrat"/>
          <w:color w:val="000000"/>
          <w:sz w:val="22"/>
          <w:szCs w:val="22"/>
        </w:rPr>
      </w:pPr>
      <w:r w:rsidRPr="003536F5">
        <w:rPr>
          <w:rFonts w:ascii="Montserrat" w:hAnsi="Montserrat"/>
          <w:color w:val="000000"/>
          <w:sz w:val="22"/>
          <w:szCs w:val="22"/>
        </w:rPr>
        <w:t> </w:t>
      </w:r>
    </w:p>
    <w:p w14:paraId="51F461B5" w14:textId="1C360D5D" w:rsidR="003F7940" w:rsidRDefault="00C87859" w:rsidP="00645EC4">
      <w:pPr>
        <w:pStyle w:val="wordsection1"/>
        <w:spacing w:before="0" w:beforeAutospacing="0" w:after="0" w:afterAutospacing="0"/>
        <w:jc w:val="both"/>
        <w:rPr>
          <w:rFonts w:ascii="Montserrat" w:hAnsi="Montserrat"/>
          <w:color w:val="000000"/>
          <w:sz w:val="22"/>
          <w:szCs w:val="22"/>
        </w:rPr>
      </w:pPr>
      <w:r>
        <w:rPr>
          <w:rFonts w:ascii="Montserrat" w:hAnsi="Montserrat"/>
          <w:color w:val="000000"/>
          <w:sz w:val="22"/>
          <w:szCs w:val="22"/>
        </w:rPr>
        <w:t>E</w:t>
      </w:r>
      <w:r w:rsidR="003536F5" w:rsidRPr="003536F5">
        <w:rPr>
          <w:rFonts w:ascii="Montserrat" w:hAnsi="Montserrat"/>
          <w:color w:val="000000"/>
          <w:sz w:val="22"/>
          <w:szCs w:val="22"/>
        </w:rPr>
        <w:t>n torno a la pregunta sobre si se han aprobado mecanismos, protocolos, lineamientos u otros instrumentos normativos para la investigación de delitos en los que la víctima o presunta víctima presente alguna condición de discapacidad, ni para la atención de las víctimas que presenten estas circunstancias, me permito manifestarle que de una consulta a la Secretaría Técnica de la Conferencia Nacional de Procuración de Justicia ésta instó urgentemente a las instituciones de procuración de justicia de las entidades federativas para conocer si cuentan con mecanismos, protocolos o lineamientos de aplicación estatal para la investigación de homicidios en los que la víctima presente alguna condición o circunstancia de discapacidad, cuya respuesta se remitirá una vez que se cuente con ellas.</w:t>
      </w:r>
    </w:p>
    <w:p w14:paraId="2CA1DADB" w14:textId="5855CC17" w:rsidR="00C87859" w:rsidRPr="00C87859" w:rsidRDefault="00C87859" w:rsidP="00C87859">
      <w:pPr>
        <w:pStyle w:val="wordsection1"/>
        <w:spacing w:before="0" w:beforeAutospacing="0" w:after="0" w:afterAutospacing="0"/>
        <w:jc w:val="both"/>
        <w:rPr>
          <w:rFonts w:ascii="Montserrat" w:hAnsi="Montserrat"/>
          <w:color w:val="000000"/>
          <w:sz w:val="18"/>
          <w:szCs w:val="18"/>
        </w:rPr>
      </w:pPr>
    </w:p>
    <w:p w14:paraId="1D0B48FB" w14:textId="7788AB2C" w:rsidR="00C87859" w:rsidRPr="00C87859" w:rsidRDefault="00C87859" w:rsidP="00C87859">
      <w:pPr>
        <w:jc w:val="both"/>
        <w:rPr>
          <w:rFonts w:ascii="Montserrat" w:hAnsi="Montserrat"/>
          <w:sz w:val="22"/>
          <w:szCs w:val="22"/>
        </w:rPr>
      </w:pPr>
      <w:r w:rsidRPr="00C87859">
        <w:rPr>
          <w:rFonts w:ascii="Montserrat" w:hAnsi="Montserrat"/>
          <w:sz w:val="22"/>
          <w:szCs w:val="22"/>
        </w:rPr>
        <w:t xml:space="preserve">Finalmente, durante los comentarios finales del proceso de sustentación, el miembro del Comité Floyd Morris manifestó una profunda preocupación por el </w:t>
      </w:r>
      <w:r w:rsidRPr="00C87859">
        <w:rPr>
          <w:rFonts w:ascii="Montserrat" w:hAnsi="Montserrat"/>
          <w:i/>
          <w:iCs/>
          <w:sz w:val="22"/>
          <w:szCs w:val="22"/>
        </w:rPr>
        <w:t>enfoque indolente</w:t>
      </w:r>
      <w:r w:rsidRPr="00C87859">
        <w:rPr>
          <w:rFonts w:ascii="Montserrat" w:hAnsi="Montserrat"/>
          <w:sz w:val="22"/>
          <w:szCs w:val="22"/>
        </w:rPr>
        <w:t xml:space="preserve"> de algunas sentencias del sistema judicial en lo que respecta a las personas con discapacidad. Señaló que el más notorio es el caso de 2019 con la sentencia de la Suprema Corte de Justicia de la Nación (SCJN) sobre capacidad jurídica. Asimismo, indicó que para resolver las cuestiones que aquejan a las personas con discapacidad en México se debe hacer un esfuerzo audaz en aras de erradicar el conflicto existente entre el enfoque de derechos humanos y los enfoques médicos y de bienestar que están sumamente arraigados en la sociedad.</w:t>
      </w:r>
      <w:r>
        <w:rPr>
          <w:rFonts w:ascii="Montserrat" w:hAnsi="Montserrat"/>
          <w:sz w:val="22"/>
          <w:szCs w:val="22"/>
        </w:rPr>
        <w:t xml:space="preserve"> </w:t>
      </w:r>
      <w:r w:rsidRPr="00C87859">
        <w:rPr>
          <w:rFonts w:ascii="Montserrat" w:hAnsi="Montserrat"/>
          <w:sz w:val="22"/>
          <w:szCs w:val="22"/>
        </w:rPr>
        <w:t xml:space="preserve">En virtud de tales señalamientos, se estima pertinente aclarar el sentido de lo resuelto en 2019 por la SCJN en relación con la capacidad jurídica y el régimen de interdicción. </w:t>
      </w:r>
    </w:p>
    <w:p w14:paraId="5708B24B" w14:textId="77777777" w:rsidR="00C87859" w:rsidRPr="00C87859" w:rsidRDefault="00C87859" w:rsidP="00C87859">
      <w:pPr>
        <w:jc w:val="both"/>
        <w:rPr>
          <w:rFonts w:ascii="Montserrat" w:hAnsi="Montserrat"/>
          <w:sz w:val="22"/>
          <w:szCs w:val="22"/>
        </w:rPr>
      </w:pPr>
    </w:p>
    <w:p w14:paraId="54FB83AC" w14:textId="3C740A95" w:rsidR="00C87859" w:rsidRDefault="00C87859" w:rsidP="00C87859">
      <w:pPr>
        <w:jc w:val="both"/>
        <w:rPr>
          <w:rFonts w:ascii="Montserrat" w:hAnsi="Montserrat"/>
          <w:sz w:val="22"/>
          <w:szCs w:val="22"/>
        </w:rPr>
      </w:pPr>
      <w:r w:rsidRPr="00C87859">
        <w:rPr>
          <w:rFonts w:ascii="Montserrat" w:hAnsi="Montserrat"/>
          <w:sz w:val="22"/>
          <w:szCs w:val="22"/>
        </w:rPr>
        <w:t xml:space="preserve">El 13 de marzo de 2019, la SCJN dictó sentencia en el Amparo en Revisión 1368/2015. En tal asunto, se declaró inconstitucional el régimen de interdicción debido a que desconoce la capacidad jurídica de las personas con discapacidad. Al respecto, la SCJN señaló que la interdicción parte de una premisa de sustitución de voluntad, paternalista y asistencialista que no reconoce derechos humanos. </w:t>
      </w:r>
    </w:p>
    <w:p w14:paraId="4AC6B9A4" w14:textId="77777777" w:rsidR="00C87859" w:rsidRPr="00C87859" w:rsidRDefault="00C87859" w:rsidP="00C87859">
      <w:pPr>
        <w:jc w:val="both"/>
        <w:rPr>
          <w:rFonts w:ascii="Montserrat" w:hAnsi="Montserrat"/>
          <w:sz w:val="22"/>
          <w:szCs w:val="22"/>
        </w:rPr>
      </w:pPr>
    </w:p>
    <w:p w14:paraId="4FF74A0E" w14:textId="03ACDAF0" w:rsidR="00C87859" w:rsidRPr="00C87859" w:rsidRDefault="00C87859" w:rsidP="00C87859">
      <w:pPr>
        <w:jc w:val="both"/>
        <w:rPr>
          <w:rFonts w:ascii="Montserrat" w:hAnsi="Montserrat"/>
          <w:sz w:val="22"/>
          <w:szCs w:val="22"/>
        </w:rPr>
      </w:pPr>
      <w:r w:rsidRPr="00C87859">
        <w:rPr>
          <w:rFonts w:ascii="Montserrat" w:hAnsi="Montserrat"/>
          <w:sz w:val="22"/>
          <w:szCs w:val="22"/>
        </w:rPr>
        <w:t xml:space="preserve">Asimismo, la SCJN hizo notar que la interdicción es contraria al modelo social de la discapacidad, ya que la declaración de ese estado se basa en el dictamen de un médico que hace las deficiencias que supuestamente justifican la privación de la capacidad jurídica. La SCJN señaló que tal perspectiva es inaceptable pues, se centra en la deficiencia de la persona sin considerar las barreras del entorno. </w:t>
      </w:r>
    </w:p>
    <w:p w14:paraId="1957EE0D" w14:textId="77777777" w:rsidR="00C87859" w:rsidRPr="00C87859" w:rsidRDefault="00C87859" w:rsidP="00C87859">
      <w:pPr>
        <w:jc w:val="both"/>
        <w:rPr>
          <w:rFonts w:ascii="Montserrat" w:hAnsi="Montserrat"/>
          <w:sz w:val="22"/>
          <w:szCs w:val="22"/>
        </w:rPr>
      </w:pPr>
    </w:p>
    <w:p w14:paraId="5CE0DC7E" w14:textId="5D54196D" w:rsidR="00C87859" w:rsidRPr="00C87859" w:rsidRDefault="00C87859" w:rsidP="00C87859">
      <w:pPr>
        <w:jc w:val="both"/>
        <w:rPr>
          <w:rFonts w:ascii="Montserrat" w:hAnsi="Montserrat"/>
          <w:sz w:val="22"/>
          <w:szCs w:val="22"/>
        </w:rPr>
      </w:pPr>
      <w:r w:rsidRPr="00C87859">
        <w:rPr>
          <w:rFonts w:ascii="Montserrat" w:hAnsi="Montserrat"/>
          <w:sz w:val="22"/>
          <w:szCs w:val="22"/>
        </w:rPr>
        <w:t>De ahí que la SCJN haya estimado que la interdicción es una restricción desproporcionada a la capacidad jurídica y representa una injerencia indebida incompatible con la CDPD. Al respecto, la SCJN ha tomado en cuenta que el artículo 12 de la CDPD no permite negar la capacidad jurídica basándose en la deficiencia, esto es, de modo discriminatorio, sino que exige se proporcione el apoyo necesario para su ejercicio. Por ende, la inconstitucionalidad de la interdicción declarada por la SCJN se debe a que esa figura representa el más claro ejemplo del modelo de sustitución de la voluntad y niega como premisa general que todas las personas tienen derecho a la capacidad jurídica.</w:t>
      </w:r>
    </w:p>
    <w:p w14:paraId="7E6046FB" w14:textId="77777777" w:rsidR="00C87859" w:rsidRPr="00C87859" w:rsidRDefault="00C87859" w:rsidP="00C87859">
      <w:pPr>
        <w:jc w:val="both"/>
        <w:rPr>
          <w:rFonts w:ascii="Montserrat" w:hAnsi="Montserrat"/>
          <w:sz w:val="22"/>
          <w:szCs w:val="22"/>
        </w:rPr>
      </w:pPr>
    </w:p>
    <w:p w14:paraId="3977ACB5" w14:textId="4E9009F6" w:rsidR="00C87859" w:rsidRPr="00C87859" w:rsidRDefault="00C87859" w:rsidP="00C87859">
      <w:pPr>
        <w:jc w:val="both"/>
        <w:rPr>
          <w:rFonts w:ascii="Montserrat" w:hAnsi="Montserrat"/>
          <w:sz w:val="22"/>
          <w:szCs w:val="22"/>
        </w:rPr>
      </w:pPr>
      <w:r w:rsidRPr="00C87859">
        <w:rPr>
          <w:rFonts w:ascii="Montserrat" w:hAnsi="Montserrat"/>
          <w:sz w:val="22"/>
          <w:szCs w:val="22"/>
        </w:rPr>
        <w:t>Asimismo, la SCJN señaló que la interdicción no respeta el derecho a los apoyos y salvaguardias que la persona requiere para ejercer su capacidad jurídica. Lo anterior, dijo la SCJN, tiene repercusión en el ejercicio de todos los otros derechos de las personas con discapacidad, debido a que hay una estrecha relación entre el disfrute de éstos y el reconocimiento de la capacidad jurídica de la persona.</w:t>
      </w:r>
    </w:p>
    <w:p w14:paraId="06DB0919" w14:textId="77777777" w:rsidR="00C87859" w:rsidRPr="00C87859" w:rsidRDefault="00C87859" w:rsidP="00C87859">
      <w:pPr>
        <w:jc w:val="both"/>
        <w:rPr>
          <w:rFonts w:ascii="Montserrat" w:hAnsi="Montserrat"/>
          <w:sz w:val="22"/>
          <w:szCs w:val="22"/>
        </w:rPr>
      </w:pPr>
    </w:p>
    <w:p w14:paraId="355D30B6" w14:textId="7D3597F8" w:rsidR="00C87859" w:rsidRPr="00C87859" w:rsidRDefault="00C87859" w:rsidP="00C87859">
      <w:pPr>
        <w:jc w:val="both"/>
        <w:rPr>
          <w:rFonts w:ascii="Montserrat" w:hAnsi="Montserrat"/>
          <w:sz w:val="22"/>
          <w:szCs w:val="22"/>
        </w:rPr>
      </w:pPr>
      <w:r w:rsidRPr="00C87859">
        <w:rPr>
          <w:rFonts w:ascii="Montserrat" w:hAnsi="Montserrat"/>
          <w:sz w:val="22"/>
          <w:szCs w:val="22"/>
        </w:rPr>
        <w:t>Tales consideraciones dictadas en la sentencia del Amparo en Revisión 1368/2015 ponen en evidencia que la SCJN ha adoptado el enfoque de derechos humanos que deriva de la Convención de Derechos Humanos de las Personas con Discapacidad y, en la misma medida, ha reprobado el modelo médico que aborda la discapacidad como un padecimiento o enfermedad. Para mayor detalle, se remite la versión pública de la sentencia dictada en dicho asunto (Anexo 1).</w:t>
      </w:r>
    </w:p>
    <w:p w14:paraId="0C14102A" w14:textId="77777777" w:rsidR="00C87859" w:rsidRPr="00C87859" w:rsidRDefault="00C87859" w:rsidP="00C87859">
      <w:pPr>
        <w:jc w:val="both"/>
        <w:rPr>
          <w:rFonts w:ascii="Montserrat" w:hAnsi="Montserrat"/>
          <w:sz w:val="22"/>
          <w:szCs w:val="22"/>
        </w:rPr>
      </w:pPr>
    </w:p>
    <w:p w14:paraId="53227774" w14:textId="78BCD387" w:rsidR="00C87859" w:rsidRPr="00C87859" w:rsidRDefault="00C87859" w:rsidP="00C87859">
      <w:pPr>
        <w:jc w:val="both"/>
        <w:rPr>
          <w:rFonts w:ascii="Montserrat" w:hAnsi="Montserrat"/>
          <w:sz w:val="22"/>
          <w:szCs w:val="22"/>
        </w:rPr>
      </w:pPr>
      <w:r w:rsidRPr="00C87859">
        <w:rPr>
          <w:rFonts w:ascii="Montserrat" w:hAnsi="Montserrat"/>
          <w:sz w:val="22"/>
          <w:szCs w:val="22"/>
        </w:rPr>
        <w:t>Por otro lado, es importante hacer notar que las consideraciones del referido Amparo en Revisión 1368/2015, en relación con la inconstitucionalidad del estado de interdicción, han sido reiteradas posteriormente en diversos asuntos, entre ellos, el Amparo Directo en Revisión 44/2018</w:t>
      </w:r>
      <w:r w:rsidRPr="00C87859">
        <w:rPr>
          <w:rStyle w:val="Refdenotaalpie"/>
          <w:rFonts w:ascii="Montserrat" w:hAnsi="Montserrat"/>
          <w:sz w:val="22"/>
          <w:szCs w:val="22"/>
        </w:rPr>
        <w:footnoteReference w:id="10"/>
      </w:r>
      <w:r w:rsidRPr="00C87859">
        <w:rPr>
          <w:rFonts w:ascii="Montserrat" w:hAnsi="Montserrat"/>
          <w:sz w:val="22"/>
          <w:szCs w:val="22"/>
        </w:rPr>
        <w:t>, el Amparo Directo en Revisión 8389/2018</w:t>
      </w:r>
      <w:r w:rsidRPr="00C87859">
        <w:rPr>
          <w:rStyle w:val="Refdenotaalpie"/>
          <w:rFonts w:ascii="Montserrat" w:hAnsi="Montserrat"/>
          <w:sz w:val="22"/>
          <w:szCs w:val="22"/>
        </w:rPr>
        <w:footnoteReference w:id="11"/>
      </w:r>
      <w:r w:rsidRPr="00C87859">
        <w:rPr>
          <w:rFonts w:ascii="Montserrat" w:hAnsi="Montserrat"/>
          <w:sz w:val="22"/>
          <w:szCs w:val="22"/>
        </w:rPr>
        <w:t>, el Amparo en Revisión 702/2108,</w:t>
      </w:r>
      <w:r w:rsidRPr="00C87859">
        <w:rPr>
          <w:rStyle w:val="Refdenotaalpie"/>
          <w:rFonts w:ascii="Montserrat" w:hAnsi="Montserrat"/>
          <w:sz w:val="22"/>
          <w:szCs w:val="22"/>
        </w:rPr>
        <w:footnoteReference w:id="12"/>
      </w:r>
      <w:r w:rsidRPr="00C87859">
        <w:rPr>
          <w:rFonts w:ascii="Montserrat" w:hAnsi="Montserrat"/>
          <w:sz w:val="22"/>
          <w:szCs w:val="22"/>
        </w:rPr>
        <w:t xml:space="preserve"> el Amparo en Revisión 1082/2019</w:t>
      </w:r>
      <w:r w:rsidRPr="00C87859">
        <w:rPr>
          <w:rStyle w:val="Refdenotaalpie"/>
          <w:rFonts w:ascii="Montserrat" w:hAnsi="Montserrat"/>
          <w:sz w:val="22"/>
          <w:szCs w:val="22"/>
        </w:rPr>
        <w:footnoteReference w:id="13"/>
      </w:r>
      <w:r w:rsidRPr="00C87859">
        <w:rPr>
          <w:rFonts w:ascii="Montserrat" w:hAnsi="Montserrat"/>
          <w:sz w:val="22"/>
          <w:szCs w:val="22"/>
        </w:rPr>
        <w:t xml:space="preserve"> y el Amparo Directo 4/2021</w:t>
      </w:r>
      <w:r w:rsidRPr="00C87859">
        <w:rPr>
          <w:rStyle w:val="Refdenotaalpie"/>
          <w:rFonts w:ascii="Montserrat" w:hAnsi="Montserrat"/>
          <w:sz w:val="22"/>
          <w:szCs w:val="22"/>
        </w:rPr>
        <w:footnoteReference w:id="14"/>
      </w:r>
      <w:r w:rsidRPr="00C87859">
        <w:rPr>
          <w:rFonts w:ascii="Montserrat" w:hAnsi="Montserrat"/>
          <w:sz w:val="22"/>
          <w:szCs w:val="22"/>
        </w:rPr>
        <w:t xml:space="preserve">. </w:t>
      </w:r>
    </w:p>
    <w:p w14:paraId="7F0BCBB0" w14:textId="77777777" w:rsidR="00C87859" w:rsidRPr="00C87859" w:rsidRDefault="00C87859" w:rsidP="00C87859">
      <w:pPr>
        <w:jc w:val="both"/>
        <w:rPr>
          <w:rFonts w:ascii="Montserrat" w:hAnsi="Montserrat"/>
          <w:sz w:val="22"/>
          <w:szCs w:val="22"/>
        </w:rPr>
      </w:pPr>
    </w:p>
    <w:p w14:paraId="6C4D85F7" w14:textId="029223A4" w:rsidR="00C87859" w:rsidRPr="00C87859" w:rsidRDefault="00C87859" w:rsidP="00C87859">
      <w:pPr>
        <w:jc w:val="both"/>
        <w:rPr>
          <w:rFonts w:ascii="Montserrat" w:hAnsi="Montserrat"/>
          <w:sz w:val="22"/>
          <w:szCs w:val="22"/>
        </w:rPr>
      </w:pPr>
      <w:r w:rsidRPr="00C87859">
        <w:rPr>
          <w:rFonts w:ascii="Montserrat" w:hAnsi="Montserrat"/>
          <w:sz w:val="22"/>
          <w:szCs w:val="22"/>
        </w:rPr>
        <w:t>La última de dichas resoluciones fue aprobada por unanimidad de votos, de modo que, de conformidad con la regulación sobre el sistema de precedentes judiciales vigente a partir de mayo de 2021, lo decidido por la SCJN en relación con la inconstitucionalidad del régimen de interdicción es vinculante y debe ser aplicado por todos los órganos jurisdiccionales que conozcan de un asunto que involucre la aplicación de las normas que regulen la interdicción.</w:t>
      </w:r>
    </w:p>
    <w:p w14:paraId="3B6DF211" w14:textId="77777777" w:rsidR="00C87859" w:rsidRPr="00C87859" w:rsidRDefault="00C87859" w:rsidP="00C87859">
      <w:pPr>
        <w:jc w:val="both"/>
        <w:rPr>
          <w:rFonts w:ascii="Montserrat" w:hAnsi="Montserrat"/>
          <w:sz w:val="22"/>
          <w:szCs w:val="22"/>
        </w:rPr>
      </w:pPr>
    </w:p>
    <w:p w14:paraId="751932FD" w14:textId="77777777" w:rsidR="00C87859" w:rsidRPr="00C87859" w:rsidRDefault="00C87859" w:rsidP="00C87859">
      <w:pPr>
        <w:jc w:val="both"/>
        <w:rPr>
          <w:rFonts w:ascii="Montserrat" w:hAnsi="Montserrat"/>
          <w:sz w:val="22"/>
          <w:szCs w:val="22"/>
        </w:rPr>
      </w:pPr>
      <w:r w:rsidRPr="00C87859">
        <w:rPr>
          <w:rFonts w:ascii="Montserrat" w:hAnsi="Montserrat"/>
          <w:sz w:val="22"/>
          <w:szCs w:val="22"/>
        </w:rPr>
        <w:t>En estos términos, lo resuelto por la SCJN da lugar a que en la impartición de justicia se reconozca plenamente la capacidad jurídica de las personas con discapacidad.</w:t>
      </w:r>
    </w:p>
    <w:p w14:paraId="6E836199" w14:textId="6E07DFE7" w:rsidR="00C87859" w:rsidRPr="003536F5" w:rsidRDefault="00C87859" w:rsidP="00645EC4">
      <w:pPr>
        <w:pStyle w:val="wordsection1"/>
        <w:spacing w:before="0" w:beforeAutospacing="0" w:after="0" w:afterAutospacing="0"/>
        <w:jc w:val="both"/>
        <w:rPr>
          <w:rFonts w:ascii="Montserrat" w:hAnsi="Montserrat"/>
          <w:color w:val="000000"/>
          <w:sz w:val="22"/>
          <w:szCs w:val="22"/>
        </w:rPr>
      </w:pPr>
    </w:p>
    <w:p w14:paraId="0CE54255" w14:textId="77777777" w:rsidR="003F7940" w:rsidRDefault="003F7940" w:rsidP="00645EC4">
      <w:pPr>
        <w:jc w:val="both"/>
        <w:rPr>
          <w:rFonts w:ascii="Montserrat" w:hAnsi="Montserrat"/>
        </w:rPr>
      </w:pPr>
    </w:p>
    <w:p w14:paraId="1E2DDA63" w14:textId="6A2049D2" w:rsidR="002B386F" w:rsidRDefault="002B386F" w:rsidP="00645EC4">
      <w:pPr>
        <w:jc w:val="both"/>
        <w:rPr>
          <w:rFonts w:ascii="Montserrat" w:hAnsi="Montserrat"/>
          <w:b/>
          <w:bCs/>
          <w:color w:val="000000" w:themeColor="text1"/>
        </w:rPr>
      </w:pPr>
      <w:r w:rsidRPr="00E211F1">
        <w:rPr>
          <w:rFonts w:ascii="Montserrat" w:hAnsi="Montserrat"/>
          <w:b/>
          <w:bCs/>
          <w:color w:val="000000" w:themeColor="text1"/>
        </w:rPr>
        <w:t>Artículo 15. Protección contra la tortura y otros tratos o penas crueles, inhumanos o degradantes</w:t>
      </w:r>
    </w:p>
    <w:p w14:paraId="73BCDA1F" w14:textId="77777777" w:rsidR="002B386F" w:rsidRPr="00E211F1" w:rsidRDefault="002B386F" w:rsidP="00645EC4">
      <w:pPr>
        <w:jc w:val="both"/>
        <w:rPr>
          <w:rFonts w:ascii="Montserrat" w:hAnsi="Montserrat"/>
          <w:b/>
          <w:bCs/>
          <w:color w:val="000000" w:themeColor="text1"/>
        </w:rPr>
      </w:pPr>
    </w:p>
    <w:p w14:paraId="49BCE21C" w14:textId="50BAA210" w:rsidR="002B386F" w:rsidRPr="00FF1DB4" w:rsidRDefault="002B386F" w:rsidP="00645EC4">
      <w:pPr>
        <w:jc w:val="both"/>
        <w:rPr>
          <w:rFonts w:ascii="Montserrat" w:eastAsia="Times New Roman" w:hAnsi="Montserrat" w:cstheme="minorHAnsi"/>
          <w:sz w:val="22"/>
          <w:szCs w:val="22"/>
          <w:lang w:eastAsia="es-MX"/>
        </w:rPr>
      </w:pPr>
      <w:r>
        <w:rPr>
          <w:rFonts w:ascii="Montserrat" w:hAnsi="Montserrat"/>
          <w:color w:val="000000" w:themeColor="text1"/>
          <w:sz w:val="22"/>
          <w:szCs w:val="22"/>
        </w:rPr>
        <w:t xml:space="preserve">Sobre el </w:t>
      </w:r>
      <w:r w:rsidRPr="006E1030">
        <w:rPr>
          <w:rFonts w:ascii="Montserrat" w:hAnsi="Montserrat"/>
          <w:color w:val="000000" w:themeColor="text1"/>
          <w:sz w:val="22"/>
          <w:szCs w:val="22"/>
        </w:rPr>
        <w:t xml:space="preserve">Informe </w:t>
      </w:r>
      <w:r w:rsidR="00010316">
        <w:rPr>
          <w:rFonts w:ascii="Montserrat" w:hAnsi="Montserrat"/>
          <w:color w:val="000000" w:themeColor="text1"/>
          <w:sz w:val="22"/>
          <w:szCs w:val="22"/>
        </w:rPr>
        <w:t xml:space="preserve">titulado </w:t>
      </w:r>
      <w:r w:rsidRPr="006E1030">
        <w:rPr>
          <w:rFonts w:ascii="Montserrat" w:hAnsi="Montserrat"/>
          <w:color w:val="000000" w:themeColor="text1"/>
          <w:sz w:val="22"/>
          <w:szCs w:val="22"/>
        </w:rPr>
        <w:t xml:space="preserve">“Crímenes </w:t>
      </w:r>
      <w:r>
        <w:rPr>
          <w:rFonts w:ascii="Montserrat" w:hAnsi="Montserrat"/>
          <w:color w:val="000000" w:themeColor="text1"/>
          <w:sz w:val="22"/>
          <w:szCs w:val="22"/>
        </w:rPr>
        <w:t>de</w:t>
      </w:r>
      <w:r w:rsidRPr="006E1030">
        <w:rPr>
          <w:rFonts w:ascii="Montserrat" w:hAnsi="Montserrat"/>
          <w:color w:val="000000" w:themeColor="text1"/>
          <w:sz w:val="22"/>
          <w:szCs w:val="22"/>
        </w:rPr>
        <w:t xml:space="preserve"> Lesa </w:t>
      </w:r>
      <w:r w:rsidRPr="00CF684D">
        <w:rPr>
          <w:rFonts w:ascii="Montserrat" w:hAnsi="Montserrat"/>
          <w:color w:val="000000" w:themeColor="text1"/>
          <w:sz w:val="22"/>
          <w:szCs w:val="22"/>
        </w:rPr>
        <w:t xml:space="preserve">Humanidad Décadas de Violencia y Abuso en las Instituciones para Niñas, Niños, Adolescentes y Adultos con Discapacidad”, </w:t>
      </w:r>
      <w:r w:rsidR="00A22794">
        <w:rPr>
          <w:rFonts w:ascii="Montserrat" w:hAnsi="Montserrat"/>
          <w:color w:val="000000" w:themeColor="text1"/>
          <w:sz w:val="22"/>
          <w:szCs w:val="22"/>
        </w:rPr>
        <w:t>presentado en noviembre de 2020</w:t>
      </w:r>
      <w:r w:rsidR="00010316">
        <w:rPr>
          <w:rFonts w:ascii="Montserrat" w:hAnsi="Montserrat"/>
          <w:color w:val="000000" w:themeColor="text1"/>
          <w:sz w:val="22"/>
          <w:szCs w:val="22"/>
        </w:rPr>
        <w:t xml:space="preserve"> por </w:t>
      </w:r>
      <w:r w:rsidR="00010316" w:rsidRPr="006E1030">
        <w:rPr>
          <w:rFonts w:ascii="Montserrat" w:hAnsi="Montserrat"/>
          <w:color w:val="000000" w:themeColor="text1"/>
          <w:sz w:val="22"/>
          <w:szCs w:val="22"/>
        </w:rPr>
        <w:t>Disability Rights International</w:t>
      </w:r>
      <w:r w:rsidR="00010316">
        <w:rPr>
          <w:rFonts w:ascii="Montserrat" w:hAnsi="Montserrat"/>
          <w:color w:val="000000" w:themeColor="text1"/>
          <w:sz w:val="22"/>
          <w:szCs w:val="22"/>
        </w:rPr>
        <w:t xml:space="preserve"> (DRI)</w:t>
      </w:r>
      <w:r w:rsidR="00A22794">
        <w:rPr>
          <w:rFonts w:ascii="Montserrat" w:hAnsi="Montserrat"/>
          <w:color w:val="000000" w:themeColor="text1"/>
          <w:sz w:val="22"/>
          <w:szCs w:val="22"/>
        </w:rPr>
        <w:t xml:space="preserve">, </w:t>
      </w:r>
      <w:r w:rsidRPr="00CF684D">
        <w:rPr>
          <w:rFonts w:ascii="Montserrat" w:hAnsi="Montserrat"/>
          <w:color w:val="000000" w:themeColor="text1"/>
          <w:sz w:val="22"/>
          <w:szCs w:val="22"/>
        </w:rPr>
        <w:t xml:space="preserve">se informa que </w:t>
      </w:r>
      <w:r w:rsidR="00A22794">
        <w:rPr>
          <w:rFonts w:ascii="Montserrat" w:hAnsi="Montserrat"/>
          <w:color w:val="000000" w:themeColor="text1"/>
          <w:sz w:val="22"/>
          <w:szCs w:val="22"/>
        </w:rPr>
        <w:t>a</w:t>
      </w:r>
      <w:r w:rsidRPr="009C0698">
        <w:rPr>
          <w:rFonts w:ascii="Montserrat" w:eastAsia="Times New Roman" w:hAnsi="Montserrat" w:cstheme="minorHAnsi"/>
          <w:sz w:val="22"/>
          <w:szCs w:val="22"/>
          <w:lang w:eastAsia="es-MX"/>
        </w:rPr>
        <w:t xml:space="preserve">l de carácter público, el Consejo Nacional para Prevenir la Discriminación (CONAPRED) tuvo conocimiento de éste, por lo que, ante los hechos narrados que podrían constituirse en la comisión de presuntas conductas discriminatorias y, derivado de su atribución prevista en el artículo 20, fracción XLIV de la Ley Federal para Prevenir y Eliminar la Discriminación (LFPED), </w:t>
      </w:r>
      <w:r w:rsidRPr="00FF1DB4">
        <w:rPr>
          <w:rFonts w:ascii="Montserrat" w:eastAsia="Times New Roman" w:hAnsi="Montserrat" w:cstheme="minorHAnsi"/>
          <w:sz w:val="22"/>
          <w:szCs w:val="22"/>
          <w:lang w:eastAsia="es-MX"/>
        </w:rPr>
        <w:t>inició una queja de oficio en contra de 4 instituciones de la Administración Pública Federal, vinculadas directamente con los acontecimientos descritos por DRI.</w:t>
      </w:r>
    </w:p>
    <w:p w14:paraId="6E3B2FC0" w14:textId="77777777" w:rsidR="002B386F" w:rsidRPr="00FF1DB4" w:rsidRDefault="002B386F" w:rsidP="00645EC4">
      <w:pPr>
        <w:pStyle w:val="Prrafodelista"/>
        <w:ind w:left="360"/>
        <w:jc w:val="both"/>
        <w:rPr>
          <w:rFonts w:ascii="Montserrat" w:eastAsia="Times New Roman" w:hAnsi="Montserrat" w:cstheme="minorHAnsi"/>
          <w:sz w:val="22"/>
          <w:szCs w:val="22"/>
          <w:lang w:eastAsia="es-MX"/>
        </w:rPr>
      </w:pPr>
    </w:p>
    <w:p w14:paraId="14277CB7" w14:textId="5AEE83A9" w:rsidR="002B386F" w:rsidRPr="00A22794" w:rsidRDefault="002B386F" w:rsidP="00A22794">
      <w:pPr>
        <w:jc w:val="both"/>
        <w:rPr>
          <w:rFonts w:ascii="Montserrat" w:eastAsia="Times New Roman" w:hAnsi="Montserrat" w:cstheme="minorHAnsi"/>
          <w:sz w:val="22"/>
          <w:szCs w:val="22"/>
          <w:lang w:eastAsia="es-MX"/>
        </w:rPr>
      </w:pPr>
      <w:r w:rsidRPr="00FF1DB4">
        <w:rPr>
          <w:rFonts w:ascii="Montserrat" w:eastAsia="Times New Roman" w:hAnsi="Montserrat" w:cstheme="minorHAnsi"/>
          <w:sz w:val="22"/>
          <w:szCs w:val="22"/>
          <w:lang w:eastAsia="es-MX"/>
        </w:rPr>
        <w:t xml:space="preserve">Lo anterior, con la finalidad de activar el mecanismo de protección del derecho a la igualdad y no discriminación con el que cuenta el </w:t>
      </w:r>
      <w:r w:rsidR="00A22794">
        <w:rPr>
          <w:rFonts w:ascii="Montserrat" w:eastAsia="Times New Roman" w:hAnsi="Montserrat" w:cstheme="minorHAnsi"/>
          <w:sz w:val="22"/>
          <w:szCs w:val="22"/>
          <w:lang w:eastAsia="es-MX"/>
        </w:rPr>
        <w:t>CONAPRED</w:t>
      </w:r>
      <w:r w:rsidRPr="00FF1DB4">
        <w:rPr>
          <w:rFonts w:ascii="Montserrat" w:eastAsia="Times New Roman" w:hAnsi="Montserrat" w:cstheme="minorHAnsi"/>
          <w:sz w:val="22"/>
          <w:szCs w:val="22"/>
          <w:lang w:eastAsia="es-MX"/>
        </w:rPr>
        <w:t>, a favor de las personas con discapacidad involucradas en el Informe de DRI, e investigar los presuntos actos de discriminación relacionados con los hechos denunciados.</w:t>
      </w:r>
    </w:p>
    <w:p w14:paraId="1CFA5B18" w14:textId="77777777" w:rsidR="002B386F" w:rsidRDefault="002B386F" w:rsidP="00645EC4">
      <w:pPr>
        <w:jc w:val="both"/>
        <w:rPr>
          <w:rFonts w:ascii="Montserrat" w:hAnsi="Montserrat"/>
          <w:color w:val="000000" w:themeColor="text1"/>
          <w:sz w:val="22"/>
          <w:szCs w:val="22"/>
        </w:rPr>
      </w:pPr>
    </w:p>
    <w:p w14:paraId="4B85787E" w14:textId="77777777" w:rsidR="002B386F" w:rsidRDefault="002B386F" w:rsidP="00645EC4">
      <w:pPr>
        <w:pStyle w:val="NormalWeb"/>
        <w:spacing w:before="0" w:beforeAutospacing="0" w:after="0" w:afterAutospacing="0"/>
      </w:pPr>
      <w:r>
        <w:rPr>
          <w:rFonts w:ascii="Montserrat" w:hAnsi="Montserrat"/>
          <w:color w:val="000000" w:themeColor="text1"/>
          <w:sz w:val="22"/>
          <w:szCs w:val="22"/>
        </w:rPr>
        <w:t xml:space="preserve">En cuanto </w:t>
      </w:r>
      <w:r>
        <w:rPr>
          <w:rFonts w:ascii="Montserrat" w:hAnsi="Montserrat"/>
          <w:sz w:val="22"/>
          <w:szCs w:val="22"/>
        </w:rPr>
        <w:t xml:space="preserve">a la información respecto al Dictamen 32/2015 a favor de Arturo Medina Vela, se considera importante precisar la siguiente información: </w:t>
      </w:r>
    </w:p>
    <w:p w14:paraId="5A6C4C45" w14:textId="77777777" w:rsidR="002B386F" w:rsidRPr="00857C2F" w:rsidRDefault="002B386F" w:rsidP="00E31990">
      <w:pPr>
        <w:pStyle w:val="NormalWeb"/>
        <w:numPr>
          <w:ilvl w:val="0"/>
          <w:numId w:val="18"/>
        </w:numPr>
        <w:spacing w:before="0" w:beforeAutospacing="0" w:after="0" w:afterAutospacing="0"/>
        <w:jc w:val="both"/>
      </w:pPr>
      <w:r w:rsidRPr="00AD6113">
        <w:rPr>
          <w:rFonts w:ascii="Montserrat" w:hAnsi="Montserrat"/>
          <w:sz w:val="22"/>
          <w:szCs w:val="22"/>
          <w:u w:val="single"/>
        </w:rPr>
        <w:t>Arturo Medina Vela, no tiene descendencia.</w:t>
      </w:r>
      <w:r>
        <w:rPr>
          <w:rFonts w:ascii="Montserrat" w:hAnsi="Montserrat"/>
          <w:sz w:val="22"/>
          <w:szCs w:val="22"/>
        </w:rPr>
        <w:t xml:space="preserve"> Lo anterior toda vez que erróneamente se señaló que el nombre de Judith Medina Vela correspondía a su hija, cuando en realidad, se trata de su madre. </w:t>
      </w:r>
    </w:p>
    <w:p w14:paraId="07B6CC62" w14:textId="77777777" w:rsidR="002B386F" w:rsidRDefault="002B386F" w:rsidP="00645EC4">
      <w:pPr>
        <w:pStyle w:val="NormalWeb"/>
        <w:spacing w:before="0" w:beforeAutospacing="0" w:after="0" w:afterAutospacing="0"/>
        <w:ind w:left="720"/>
        <w:jc w:val="both"/>
      </w:pPr>
    </w:p>
    <w:p w14:paraId="0ACB92DD" w14:textId="77777777" w:rsidR="002B386F" w:rsidRDefault="002B386F" w:rsidP="00E31990">
      <w:pPr>
        <w:pStyle w:val="NormalWeb"/>
        <w:numPr>
          <w:ilvl w:val="0"/>
          <w:numId w:val="18"/>
        </w:numPr>
        <w:spacing w:before="0" w:beforeAutospacing="0" w:after="0" w:afterAutospacing="0"/>
        <w:jc w:val="both"/>
        <w:rPr>
          <w:rFonts w:ascii="Montserrat" w:hAnsi="Montserrat"/>
          <w:sz w:val="22"/>
          <w:szCs w:val="22"/>
        </w:rPr>
      </w:pPr>
      <w:r w:rsidRPr="00AD6113">
        <w:rPr>
          <w:rFonts w:ascii="Montserrat" w:hAnsi="Montserrat"/>
          <w:sz w:val="22"/>
          <w:szCs w:val="22"/>
          <w:u w:val="single"/>
        </w:rPr>
        <w:t xml:space="preserve">El Estado mexicano no llevó a cabo reembolso de costas judiciales. </w:t>
      </w:r>
      <w:r>
        <w:rPr>
          <w:rFonts w:ascii="Montserrat" w:hAnsi="Montserrat"/>
          <w:sz w:val="22"/>
          <w:szCs w:val="22"/>
        </w:rPr>
        <w:t xml:space="preserve">Si bien el Comité en su resolución señala la obligación del Estado mexicano para incluir este rubro dentro del proceso de reparación efectiva, es importante manifestar que, el 21 de enero de 2022 la Representación del caso, a cargo de la organización Documenta —análisis y acción para la justicia social A.C.— manifestó no tener interés en realizar la solicitud para obtener dicho beneficio ya que su misión y visión era el privilegiar los pagos a favor de su representado. </w:t>
      </w:r>
    </w:p>
    <w:p w14:paraId="3ECDD1CC" w14:textId="77777777" w:rsidR="002B386F" w:rsidRPr="00857C2F" w:rsidRDefault="002B386F" w:rsidP="00645EC4">
      <w:pPr>
        <w:pStyle w:val="NormalWeb"/>
        <w:spacing w:before="0" w:beforeAutospacing="0" w:after="0" w:afterAutospacing="0"/>
        <w:ind w:left="720"/>
        <w:jc w:val="both"/>
        <w:rPr>
          <w:rFonts w:ascii="Montserrat" w:hAnsi="Montserrat"/>
          <w:sz w:val="22"/>
          <w:szCs w:val="22"/>
        </w:rPr>
      </w:pPr>
    </w:p>
    <w:p w14:paraId="78F64AB5" w14:textId="654A612C" w:rsidR="002B386F" w:rsidRDefault="002B386F" w:rsidP="00E31990">
      <w:pPr>
        <w:pStyle w:val="NormalWeb"/>
        <w:numPr>
          <w:ilvl w:val="0"/>
          <w:numId w:val="18"/>
        </w:numPr>
        <w:spacing w:before="0" w:beforeAutospacing="0" w:after="0" w:afterAutospacing="0"/>
        <w:jc w:val="both"/>
        <w:rPr>
          <w:rFonts w:ascii="Montserrat" w:hAnsi="Montserrat"/>
          <w:sz w:val="22"/>
          <w:szCs w:val="22"/>
        </w:rPr>
      </w:pPr>
      <w:r w:rsidRPr="00AD6113">
        <w:rPr>
          <w:rFonts w:ascii="Montserrat" w:hAnsi="Montserrat"/>
          <w:sz w:val="22"/>
          <w:szCs w:val="22"/>
          <w:u w:val="single"/>
        </w:rPr>
        <w:t>El pago de medidas de indemnización fue cubierto a través del Fideicomiso 10233 para el cumplimiento de obligaciones en materia de derechos humanos de la Secretaría de Gobernación.</w:t>
      </w:r>
      <w:r>
        <w:rPr>
          <w:rFonts w:ascii="Montserrat" w:hAnsi="Montserrat"/>
          <w:b/>
          <w:bCs/>
          <w:sz w:val="22"/>
          <w:szCs w:val="22"/>
        </w:rPr>
        <w:t xml:space="preserve"> </w:t>
      </w:r>
      <w:r>
        <w:rPr>
          <w:rFonts w:ascii="Montserrat" w:hAnsi="Montserrat"/>
          <w:sz w:val="22"/>
          <w:szCs w:val="22"/>
        </w:rPr>
        <w:t xml:space="preserve">Reconociendo el rezago en el cumplimiento de las obligaciones internacionales del Estado mexicano para con el proceso de reparación integral a favor de Arturo Medina Vela, el Subsecretario de Derechos Humanos, Población y Migración, Alejandro Encinas Rodríguez, asumió el compromiso de cubrir dicho concepto. </w:t>
      </w:r>
      <w:r w:rsidRPr="00F010E8">
        <w:rPr>
          <w:rFonts w:ascii="Montserrat" w:hAnsi="Montserrat"/>
          <w:sz w:val="22"/>
          <w:szCs w:val="22"/>
        </w:rPr>
        <w:t xml:space="preserve">Adicionalmente, de forma paralela, la Coordinación para la Atención de Asuntos Internacionales de Derechos </w:t>
      </w:r>
      <w:r w:rsidRPr="00F010E8">
        <w:rPr>
          <w:rFonts w:ascii="Montserrat" w:hAnsi="Montserrat"/>
          <w:sz w:val="22"/>
          <w:szCs w:val="22"/>
        </w:rPr>
        <w:lastRenderedPageBreak/>
        <w:t>Humanos solicitó la intervención de las Comisiones Ejecutivas de Atención a Víctimas (Federal y de la CDMX) para desarrollar una ruta de atención médica a favor de Arturo Medina Vela</w:t>
      </w:r>
      <w:r>
        <w:rPr>
          <w:rFonts w:ascii="Montserrat" w:hAnsi="Montserrat"/>
          <w:sz w:val="22"/>
          <w:szCs w:val="22"/>
        </w:rPr>
        <w:t>.</w:t>
      </w:r>
    </w:p>
    <w:p w14:paraId="0F8C0E74" w14:textId="77777777" w:rsidR="006C566B" w:rsidRDefault="006C566B" w:rsidP="00645EC4">
      <w:pPr>
        <w:jc w:val="both"/>
        <w:rPr>
          <w:rFonts w:ascii="Montserrat" w:hAnsi="Montserrat"/>
          <w:b/>
          <w:bCs/>
          <w:color w:val="000000" w:themeColor="text1"/>
        </w:rPr>
      </w:pPr>
    </w:p>
    <w:p w14:paraId="02BB1602" w14:textId="21BA964A" w:rsidR="00AA0E7B" w:rsidRPr="00AA0E7B" w:rsidRDefault="00AA0E7B" w:rsidP="00645EC4">
      <w:pPr>
        <w:jc w:val="both"/>
        <w:rPr>
          <w:rFonts w:ascii="Montserrat" w:hAnsi="Montserrat"/>
          <w:color w:val="000000" w:themeColor="text1"/>
        </w:rPr>
      </w:pPr>
      <w:r w:rsidRPr="00AA0E7B">
        <w:rPr>
          <w:rFonts w:ascii="Montserrat" w:hAnsi="Montserrat"/>
          <w:color w:val="000000" w:themeColor="text1"/>
        </w:rPr>
        <w:t>De igual forma, en México, el artículo 11 de la Ley General para Prevenir, Investigar y Sancionar la Tortura y otros Tratos o Penas Crueles, Inhumanos o Degradantes estipula que: “Las contravenciones a las disposiciones que prevé esta Ley cometidas por Servidores Públicos, serán sancionadas en términos de la legislación aplicable en materia de responsabilidad administrativa, civil, penal y, en su caso, política.”</w:t>
      </w:r>
    </w:p>
    <w:p w14:paraId="5E480851" w14:textId="77777777" w:rsidR="00AA0E7B" w:rsidRPr="00AA0E7B" w:rsidRDefault="00AA0E7B" w:rsidP="00EE0982">
      <w:pPr>
        <w:jc w:val="both"/>
        <w:rPr>
          <w:rFonts w:ascii="Montserrat" w:hAnsi="Montserrat"/>
          <w:color w:val="000000" w:themeColor="text1"/>
        </w:rPr>
      </w:pPr>
      <w:r w:rsidRPr="00AA0E7B">
        <w:rPr>
          <w:rFonts w:ascii="Montserrat" w:hAnsi="Montserrat"/>
          <w:color w:val="000000" w:themeColor="text1"/>
        </w:rPr>
        <w:t xml:space="preserve"> </w:t>
      </w:r>
    </w:p>
    <w:p w14:paraId="79CD9A72" w14:textId="0E245267" w:rsidR="006C566B" w:rsidRPr="00AA0E7B" w:rsidRDefault="00AA0E7B" w:rsidP="00EE0982">
      <w:pPr>
        <w:jc w:val="both"/>
        <w:rPr>
          <w:rFonts w:ascii="Montserrat" w:hAnsi="Montserrat"/>
          <w:color w:val="000000" w:themeColor="text1"/>
        </w:rPr>
      </w:pPr>
      <w:r w:rsidRPr="00AA0E7B">
        <w:rPr>
          <w:rFonts w:ascii="Montserrat" w:hAnsi="Montserrat"/>
          <w:color w:val="000000" w:themeColor="text1"/>
        </w:rPr>
        <w:t>En tal sentido, la Secretaría de la Función Pública y sus Órganos Internos de Control en las instituciones públicas federales, inclusive hospitales y centros penitenciarios, pueden recibir denuncias anónimas, protegidas y confidenciales, e iniciar investigaciones por la presunta responsabilidad de personas servidoras públicas de la Administración Pública Federal que cometan faltas en términos de la Ley General de Responsabilidades Administrativas, las cuales pueden derivar en la imposición de sanciones administrativas como 1) amonestación pública o privada; 2) suspensión del empleo cargo o comisión; 3) destitución, e 4) inhabilitación para desempeñarse en el servicio público. Lo anterior, sin menoscabo de las investigaciones por delitos y sanciones que las autoridades penales pudieran imponer.</w:t>
      </w:r>
    </w:p>
    <w:p w14:paraId="2279F1C4" w14:textId="6FEE2DAA" w:rsidR="00AA0E7B" w:rsidRDefault="00AA0E7B" w:rsidP="00645EC4">
      <w:pPr>
        <w:jc w:val="both"/>
        <w:rPr>
          <w:rFonts w:ascii="Montserrat" w:hAnsi="Montserrat"/>
          <w:b/>
          <w:bCs/>
          <w:color w:val="000000" w:themeColor="text1"/>
        </w:rPr>
      </w:pPr>
    </w:p>
    <w:p w14:paraId="1F5ACBD8" w14:textId="77777777" w:rsidR="00EE0982" w:rsidRDefault="00EE0982" w:rsidP="00645EC4">
      <w:pPr>
        <w:jc w:val="both"/>
        <w:rPr>
          <w:rFonts w:ascii="Montserrat" w:hAnsi="Montserrat"/>
          <w:b/>
          <w:bCs/>
          <w:color w:val="000000" w:themeColor="text1"/>
        </w:rPr>
      </w:pPr>
    </w:p>
    <w:p w14:paraId="5FAB06DE" w14:textId="77777777" w:rsidR="006C566B" w:rsidRDefault="006C566B" w:rsidP="00645EC4">
      <w:pPr>
        <w:jc w:val="both"/>
        <w:rPr>
          <w:rFonts w:ascii="Montserrat" w:hAnsi="Montserrat"/>
          <w:b/>
          <w:bCs/>
          <w:color w:val="000000" w:themeColor="text1"/>
        </w:rPr>
      </w:pPr>
      <w:r w:rsidRPr="00E211F1">
        <w:rPr>
          <w:rFonts w:ascii="Montserrat" w:hAnsi="Montserrat"/>
          <w:b/>
          <w:bCs/>
          <w:color w:val="000000" w:themeColor="text1"/>
        </w:rPr>
        <w:t xml:space="preserve">Artículo </w:t>
      </w:r>
      <w:r>
        <w:rPr>
          <w:rFonts w:ascii="Montserrat" w:hAnsi="Montserrat"/>
          <w:b/>
          <w:bCs/>
          <w:color w:val="000000" w:themeColor="text1"/>
        </w:rPr>
        <w:t>17.</w:t>
      </w:r>
      <w:r w:rsidRPr="006C566B">
        <w:t xml:space="preserve"> </w:t>
      </w:r>
      <w:r w:rsidRPr="006C566B">
        <w:rPr>
          <w:rFonts w:ascii="Montserrat" w:hAnsi="Montserrat"/>
          <w:b/>
          <w:bCs/>
          <w:color w:val="000000" w:themeColor="text1"/>
        </w:rPr>
        <w:t>Protección de la integridad personal</w:t>
      </w:r>
    </w:p>
    <w:p w14:paraId="3F334B70" w14:textId="77777777" w:rsidR="006C566B" w:rsidRDefault="006C566B" w:rsidP="00645EC4">
      <w:pPr>
        <w:jc w:val="both"/>
        <w:rPr>
          <w:rFonts w:ascii="Montserrat" w:hAnsi="Montserrat"/>
          <w:b/>
          <w:bCs/>
          <w:color w:val="000000" w:themeColor="text1"/>
        </w:rPr>
      </w:pPr>
    </w:p>
    <w:p w14:paraId="2DE1EAE5" w14:textId="77777777" w:rsidR="006C566B" w:rsidRPr="006C566B" w:rsidRDefault="006C566B" w:rsidP="00645EC4">
      <w:pPr>
        <w:jc w:val="both"/>
        <w:rPr>
          <w:rFonts w:ascii="Montserrat" w:hAnsi="Montserrat"/>
          <w:color w:val="000000" w:themeColor="text1"/>
          <w:sz w:val="22"/>
          <w:szCs w:val="22"/>
        </w:rPr>
      </w:pPr>
      <w:r w:rsidRPr="006C566B">
        <w:rPr>
          <w:rFonts w:ascii="Montserrat" w:hAnsi="Montserrat"/>
          <w:color w:val="000000" w:themeColor="text1"/>
          <w:sz w:val="22"/>
          <w:szCs w:val="22"/>
        </w:rPr>
        <w:t>A través del Programa para el Bienestar Integral de los Pueblos Indígenas (PROBIPI) se brinda apoyos a las Casas de la Mujer Indígena y Afromexicana, que son espacios en los que mujeres indígenas y/o afromexicanas brindan atención a otras mujeres indígenas y afromexicanas, con pertinencia cultural, perspectiva de género y derechos humanos en las vertientes de derechos de las mujeres, prevención de violencia contra las mujeres, derechos sexuales y reproductivos. Por lo anterior, la operación de las Casas está orientada al desarrollo de acciones de asesoría, orientación, canalización y acompañamiento de casos, e impartición de pláticas y talleres de capacitación en las temáticas referidas. A la fecha, existen 35 Casas de la Mujer Indígena y Afromexicana.</w:t>
      </w:r>
    </w:p>
    <w:p w14:paraId="5EC9FF34" w14:textId="77777777" w:rsidR="006C566B" w:rsidRDefault="006C566B" w:rsidP="00645EC4">
      <w:pPr>
        <w:jc w:val="both"/>
        <w:rPr>
          <w:rFonts w:ascii="Montserrat" w:hAnsi="Montserrat"/>
          <w:b/>
          <w:bCs/>
          <w:color w:val="000000" w:themeColor="text1"/>
        </w:rPr>
      </w:pPr>
    </w:p>
    <w:p w14:paraId="5063E809" w14:textId="77777777" w:rsidR="006C566B" w:rsidRDefault="006C566B" w:rsidP="00645EC4">
      <w:pPr>
        <w:jc w:val="both"/>
        <w:rPr>
          <w:rFonts w:ascii="Montserrat" w:hAnsi="Montserrat"/>
          <w:b/>
          <w:bCs/>
          <w:color w:val="000000" w:themeColor="text1"/>
        </w:rPr>
      </w:pPr>
    </w:p>
    <w:p w14:paraId="0099529F" w14:textId="06504496" w:rsidR="00D56758" w:rsidRDefault="00D56758" w:rsidP="00645EC4">
      <w:pPr>
        <w:jc w:val="both"/>
        <w:rPr>
          <w:rFonts w:ascii="Montserrat" w:hAnsi="Montserrat"/>
          <w:b/>
          <w:bCs/>
          <w:color w:val="000000" w:themeColor="text1"/>
        </w:rPr>
      </w:pPr>
      <w:r w:rsidRPr="00E211F1">
        <w:rPr>
          <w:rFonts w:ascii="Montserrat" w:hAnsi="Montserrat"/>
          <w:b/>
          <w:bCs/>
          <w:color w:val="000000" w:themeColor="text1"/>
        </w:rPr>
        <w:t xml:space="preserve">Artículo </w:t>
      </w:r>
      <w:r>
        <w:rPr>
          <w:rFonts w:ascii="Montserrat" w:hAnsi="Montserrat"/>
          <w:b/>
          <w:bCs/>
          <w:color w:val="000000" w:themeColor="text1"/>
        </w:rPr>
        <w:t xml:space="preserve">19. </w:t>
      </w:r>
      <w:r w:rsidR="00C31B9C" w:rsidRPr="00C31B9C">
        <w:rPr>
          <w:rFonts w:ascii="Montserrat" w:hAnsi="Montserrat"/>
          <w:b/>
          <w:bCs/>
          <w:color w:val="000000" w:themeColor="text1"/>
        </w:rPr>
        <w:t>Derecho a vivir de forma independiente y a ser incluido</w:t>
      </w:r>
      <w:r w:rsidR="00C31B9C">
        <w:rPr>
          <w:rFonts w:ascii="Montserrat" w:hAnsi="Montserrat"/>
          <w:b/>
          <w:bCs/>
          <w:color w:val="000000" w:themeColor="text1"/>
        </w:rPr>
        <w:t xml:space="preserve"> </w:t>
      </w:r>
      <w:r w:rsidR="00C31B9C" w:rsidRPr="00C31B9C">
        <w:rPr>
          <w:rFonts w:ascii="Montserrat" w:hAnsi="Montserrat"/>
          <w:b/>
          <w:bCs/>
          <w:color w:val="000000" w:themeColor="text1"/>
        </w:rPr>
        <w:t>en la comunidad</w:t>
      </w:r>
    </w:p>
    <w:p w14:paraId="13BA34B9" w14:textId="69855002" w:rsidR="00C31B9C" w:rsidRPr="00C31B9C" w:rsidRDefault="00C31B9C" w:rsidP="00645EC4">
      <w:pPr>
        <w:jc w:val="both"/>
        <w:rPr>
          <w:rFonts w:ascii="Montserrat" w:hAnsi="Montserrat"/>
          <w:b/>
          <w:bCs/>
          <w:color w:val="000000" w:themeColor="text1"/>
        </w:rPr>
      </w:pPr>
    </w:p>
    <w:p w14:paraId="063CF6C5" w14:textId="29AF2F82" w:rsidR="00C31B9C" w:rsidRPr="00C31B9C" w:rsidRDefault="00C31B9C" w:rsidP="00645EC4">
      <w:pPr>
        <w:jc w:val="both"/>
        <w:rPr>
          <w:rFonts w:ascii="Montserrat" w:hAnsi="Montserrat"/>
          <w:color w:val="000000"/>
          <w:sz w:val="22"/>
          <w:szCs w:val="22"/>
          <w:shd w:val="clear" w:color="auto" w:fill="FFFF00"/>
        </w:rPr>
      </w:pPr>
      <w:r w:rsidRPr="00C31B9C">
        <w:rPr>
          <w:rFonts w:ascii="Montserrat" w:hAnsi="Montserrat"/>
          <w:color w:val="000000"/>
          <w:sz w:val="22"/>
          <w:szCs w:val="22"/>
        </w:rPr>
        <w:t>El pasado 3 de julio del presente año se publicó en el diario Oficial de la Federación, el Programa Sectorial de Turismo 2020-2024</w:t>
      </w:r>
      <w:r>
        <w:rPr>
          <w:rFonts w:ascii="Montserrat" w:hAnsi="Montserrat"/>
          <w:color w:val="000000"/>
          <w:sz w:val="22"/>
          <w:szCs w:val="22"/>
        </w:rPr>
        <w:t xml:space="preserve"> (</w:t>
      </w:r>
      <w:r w:rsidRPr="00C31B9C">
        <w:rPr>
          <w:rFonts w:ascii="Montserrat" w:hAnsi="Montserrat"/>
          <w:color w:val="000000"/>
          <w:sz w:val="22"/>
          <w:szCs w:val="22"/>
        </w:rPr>
        <w:t>PROSECTUR). En dicho programa, para atender el Objetivo Prioritario 1</w:t>
      </w:r>
      <w:r w:rsidRPr="00C31B9C">
        <w:rPr>
          <w:rFonts w:ascii="Montserrat" w:hAnsi="Montserrat"/>
          <w:i/>
          <w:iCs/>
          <w:color w:val="000000"/>
          <w:sz w:val="22"/>
          <w:szCs w:val="22"/>
        </w:rPr>
        <w:t xml:space="preserve">, “Garantizar un enfoque social y de respeto de los derechos humanos  en la actividad turística del país”, por primera vez se incluyó al turismo accesible como un factor preponderante, dentro de la Estrategia prioritaria 1.2 “Fortalecer el turismo accesible para </w:t>
      </w:r>
      <w:r w:rsidRPr="00C31B9C">
        <w:rPr>
          <w:rFonts w:ascii="Montserrat" w:hAnsi="Montserrat"/>
          <w:i/>
          <w:iCs/>
          <w:color w:val="000000"/>
          <w:sz w:val="22"/>
          <w:szCs w:val="22"/>
        </w:rPr>
        <w:lastRenderedPageBreak/>
        <w:t>contribuir al bienestar de la población con mayor vulnerabilidad”,</w:t>
      </w:r>
      <w:r w:rsidRPr="00C31B9C">
        <w:rPr>
          <w:rFonts w:ascii="Montserrat" w:hAnsi="Montserrat"/>
          <w:color w:val="000000"/>
          <w:sz w:val="22"/>
          <w:szCs w:val="22"/>
        </w:rPr>
        <w:t> y de la cual se desprenden las siguientes acciones puntuales a realizar por parte de la Secretaría:</w:t>
      </w:r>
    </w:p>
    <w:p w14:paraId="6BD3A820" w14:textId="77777777" w:rsidR="00C31B9C" w:rsidRPr="00C31B9C" w:rsidRDefault="00C31B9C" w:rsidP="00645EC4">
      <w:pPr>
        <w:ind w:left="720"/>
        <w:jc w:val="both"/>
        <w:rPr>
          <w:rFonts w:ascii="Montserrat" w:hAnsi="Montserrat"/>
          <w:color w:val="000000"/>
          <w:sz w:val="22"/>
          <w:szCs w:val="22"/>
        </w:rPr>
      </w:pPr>
      <w:r w:rsidRPr="00C31B9C">
        <w:rPr>
          <w:rFonts w:ascii="Montserrat" w:hAnsi="Montserrat"/>
          <w:color w:val="000000"/>
          <w:sz w:val="22"/>
          <w:szCs w:val="22"/>
        </w:rPr>
        <w:t>1.2.1 Impulsar la participación de las personas con discapacidad, adultos mayores y personas con movilidad reducida, en la planeación de la política nacional turística para asegurar el turismo accesible en los destinos turísticos del país.</w:t>
      </w:r>
    </w:p>
    <w:p w14:paraId="31E5B52F" w14:textId="77777777" w:rsidR="00C31B9C" w:rsidRPr="00C31B9C" w:rsidRDefault="00C31B9C" w:rsidP="00645EC4">
      <w:pPr>
        <w:ind w:left="720"/>
        <w:jc w:val="both"/>
        <w:rPr>
          <w:rFonts w:ascii="Montserrat" w:hAnsi="Montserrat"/>
          <w:color w:val="000000"/>
          <w:sz w:val="22"/>
          <w:szCs w:val="22"/>
        </w:rPr>
      </w:pPr>
      <w:r w:rsidRPr="00C31B9C">
        <w:rPr>
          <w:rFonts w:ascii="Montserrat" w:hAnsi="Montserrat"/>
          <w:color w:val="000000"/>
          <w:sz w:val="22"/>
          <w:szCs w:val="22"/>
        </w:rPr>
        <w:t>1.2.2 Diseñar e implementar instrumentos de política en materia de accesibilidad para los productos y servicios turísticos del país.</w:t>
      </w:r>
    </w:p>
    <w:p w14:paraId="546492BB" w14:textId="77777777" w:rsidR="00C31B9C" w:rsidRPr="00C31B9C" w:rsidRDefault="00C31B9C" w:rsidP="00645EC4">
      <w:pPr>
        <w:ind w:left="720"/>
        <w:jc w:val="both"/>
        <w:rPr>
          <w:rFonts w:ascii="Montserrat" w:hAnsi="Montserrat"/>
          <w:color w:val="000000"/>
          <w:sz w:val="22"/>
          <w:szCs w:val="22"/>
        </w:rPr>
      </w:pPr>
      <w:r w:rsidRPr="00C31B9C">
        <w:rPr>
          <w:rFonts w:ascii="Montserrat" w:hAnsi="Montserrat"/>
          <w:color w:val="000000"/>
          <w:sz w:val="22"/>
          <w:szCs w:val="22"/>
        </w:rPr>
        <w:t>1.2.3 Elaborar un catálogo de productos y servicios turísticos accesibles, para mejorar la inclusión al turismo.</w:t>
      </w:r>
    </w:p>
    <w:p w14:paraId="315DF4CA" w14:textId="77777777" w:rsidR="00C31B9C" w:rsidRPr="00C31B9C" w:rsidRDefault="00C31B9C" w:rsidP="00645EC4">
      <w:pPr>
        <w:ind w:left="720"/>
        <w:jc w:val="both"/>
        <w:rPr>
          <w:rFonts w:ascii="Montserrat" w:hAnsi="Montserrat"/>
          <w:color w:val="000000"/>
          <w:sz w:val="22"/>
          <w:szCs w:val="22"/>
        </w:rPr>
      </w:pPr>
      <w:r w:rsidRPr="00C31B9C">
        <w:rPr>
          <w:rFonts w:ascii="Montserrat" w:hAnsi="Montserrat"/>
          <w:color w:val="000000"/>
          <w:sz w:val="22"/>
          <w:szCs w:val="22"/>
        </w:rPr>
        <w:t>1.2.4 Capacitar al sector turístico en materia de derechos humanos, discriminación, accesibilidad y diseño universal para fortalecer sus capacidades en materia de turismo accesible.</w:t>
      </w:r>
    </w:p>
    <w:p w14:paraId="7C84AF96" w14:textId="77777777" w:rsidR="00C31B9C" w:rsidRPr="00C31B9C" w:rsidRDefault="00C31B9C" w:rsidP="00645EC4">
      <w:pPr>
        <w:ind w:left="720"/>
        <w:jc w:val="both"/>
        <w:rPr>
          <w:rFonts w:ascii="Montserrat" w:hAnsi="Montserrat"/>
          <w:color w:val="000000"/>
          <w:sz w:val="22"/>
          <w:szCs w:val="22"/>
        </w:rPr>
      </w:pPr>
      <w:r w:rsidRPr="00C31B9C">
        <w:rPr>
          <w:rFonts w:ascii="Montserrat" w:hAnsi="Montserrat"/>
          <w:color w:val="000000"/>
          <w:sz w:val="22"/>
          <w:szCs w:val="22"/>
        </w:rPr>
        <w:t>1.2.5 Orientar y asesorar en la elaboración del diseño y ejecución de proyectos turísticos accesibles con el propósito de contribuir al desarrollo regional y al fortalecimiento de las comunidades con vocación turística.</w:t>
      </w:r>
    </w:p>
    <w:p w14:paraId="09511544" w14:textId="77777777" w:rsidR="00C31B9C" w:rsidRPr="00C31B9C" w:rsidRDefault="00C31B9C" w:rsidP="00645EC4">
      <w:pPr>
        <w:ind w:left="-300"/>
        <w:jc w:val="both"/>
        <w:rPr>
          <w:rFonts w:ascii="Montserrat" w:hAnsi="Montserrat"/>
          <w:color w:val="000000"/>
          <w:sz w:val="22"/>
          <w:szCs w:val="22"/>
        </w:rPr>
      </w:pPr>
    </w:p>
    <w:p w14:paraId="06A98A47"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Durante el 2021, la Dirección General de Planeación de esta Secretaría, inició un proceso de gestión y trabajo administrativo para conformar la alineación de los planes estatales de turismo a la Política Nacional Turística, tomando en cuenta el contexto particular de cada una de las entidades y en específico, de las 15 entidades federativas de nueva administración.</w:t>
      </w:r>
    </w:p>
    <w:p w14:paraId="312A7E97" w14:textId="77777777" w:rsidR="00C31B9C" w:rsidRPr="00C31B9C" w:rsidRDefault="00C31B9C" w:rsidP="00645EC4">
      <w:pPr>
        <w:jc w:val="both"/>
        <w:rPr>
          <w:rFonts w:ascii="Montserrat" w:hAnsi="Montserrat"/>
          <w:color w:val="000000"/>
          <w:sz w:val="22"/>
          <w:szCs w:val="22"/>
        </w:rPr>
      </w:pPr>
    </w:p>
    <w:p w14:paraId="4647348E"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Sin embargo, es necesario señalar que la SECTUR no cuenta con delegaciones estatales, ni facultad normativa directa a nivel local, por lo que corresponde directamente tanto a los estados como a los municipios, el realizar las actividades que consideren necesarias para el desarrollo del turismo, de conformidad a sus facultades de autonomía y soberanía señaladas en los artículos 40, 115 y 122 de la Constitución Política de los Estados Unidos Mexicanos.</w:t>
      </w:r>
    </w:p>
    <w:p w14:paraId="34B8134A" w14:textId="77777777" w:rsidR="00C31B9C" w:rsidRPr="00C31B9C" w:rsidRDefault="00C31B9C" w:rsidP="00645EC4">
      <w:pPr>
        <w:jc w:val="both"/>
        <w:rPr>
          <w:rFonts w:ascii="Montserrat" w:hAnsi="Montserrat"/>
          <w:color w:val="000000"/>
          <w:sz w:val="22"/>
          <w:szCs w:val="22"/>
        </w:rPr>
      </w:pPr>
    </w:p>
    <w:p w14:paraId="14C8C059"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En febrero de 2015, y con base en atribuciones conferidas en el anterior Reglamento Interior de la Secretaría, esta Dirección General conformó el Grupo de Trabajo Intersectorial de Accesibilidad Universal en el Sector Turismo, (retomado en 2020 como el Grupo Intersectorial de Accesibilidad en el Sector Turístico), integrado por distintas áreas de la Secretaría y en donde participaron el Consejo Nacional para el Desarrollo y la Inclusión de las Personas con Discapacidad (CONADIS) y la Comisión Nacional de Derechos Humanos (CNDH). El Objetivo general del referido grupo fue promover la transversalidad de la política de desarrollo de las personas con discapacidad en el sector turístico, con base en el impulso del Turismo Accesible como una alternativa de producto que garantice la recreación y el respeto a los derechos humanos de este segmento poblacional. (Se adjuntan acciones realizadas por año en caso de requerirse).</w:t>
      </w:r>
    </w:p>
    <w:p w14:paraId="7487CE3A" w14:textId="77777777" w:rsidR="00C31B9C" w:rsidRPr="00C31B9C" w:rsidRDefault="00C31B9C" w:rsidP="00645EC4">
      <w:pPr>
        <w:jc w:val="both"/>
        <w:rPr>
          <w:rFonts w:ascii="Montserrat" w:hAnsi="Montserrat"/>
          <w:color w:val="000000"/>
          <w:sz w:val="22"/>
          <w:szCs w:val="22"/>
        </w:rPr>
      </w:pPr>
    </w:p>
    <w:p w14:paraId="18FF743E" w14:textId="40BE53C3"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 xml:space="preserve">La SECTUR promueve y opera a nivel nacional el Sello Turismo Incluyente, otorgado a aquellas empresas turísticas que no solamente tienen conocimientos en materia de atención a personas con discapacidad, sino que también cuentan con las instalaciones exteriores e interiores, señalética y servicios de información adecuadas para brindar un servicio de calidad a este </w:t>
      </w:r>
      <w:r w:rsidRPr="00C31B9C">
        <w:rPr>
          <w:rFonts w:ascii="Montserrat" w:hAnsi="Montserrat"/>
          <w:color w:val="000000"/>
          <w:sz w:val="22"/>
          <w:szCs w:val="22"/>
        </w:rPr>
        <w:lastRenderedPageBreak/>
        <w:t>segmento de mercado, con el fin de impulsar y fortalecer el turismo accesible para contribuir al bienestar de la población con mayor vulnerabilidad, mejorando la calidad de los productos y servicios turísticos del país.</w:t>
      </w:r>
    </w:p>
    <w:p w14:paraId="60A028E5" w14:textId="77777777" w:rsidR="00C31B9C" w:rsidRPr="00C31B9C" w:rsidRDefault="00C31B9C" w:rsidP="00645EC4">
      <w:pPr>
        <w:jc w:val="both"/>
        <w:rPr>
          <w:rFonts w:ascii="Montserrat" w:hAnsi="Montserrat"/>
          <w:color w:val="000000"/>
          <w:sz w:val="22"/>
          <w:szCs w:val="22"/>
        </w:rPr>
      </w:pPr>
    </w:p>
    <w:p w14:paraId="1B1B3B07"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 xml:space="preserve">En 2021 se implementó  el proyecto Turismo Social con Perspectiva de Género y Enfoque de Derechos Humanos, </w:t>
      </w:r>
      <w:r w:rsidRPr="00C31B9C">
        <w:rPr>
          <w:rFonts w:ascii="Montserrat" w:hAnsi="Montserrat"/>
          <w:color w:val="000000" w:themeColor="text1"/>
          <w:sz w:val="22"/>
          <w:szCs w:val="22"/>
        </w:rPr>
        <w:t xml:space="preserve">reconocido como “Sonrisas Por México”, que se coordinó </w:t>
      </w:r>
      <w:r w:rsidRPr="00C31B9C">
        <w:rPr>
          <w:rFonts w:ascii="Montserrat" w:hAnsi="Montserrat"/>
          <w:color w:val="000000"/>
          <w:sz w:val="22"/>
          <w:szCs w:val="22"/>
        </w:rPr>
        <w:t>como prueba piloto en la Ciudad de México, a través de una alianza con la Secretaría de Turismo del Gobierno de la Ciudad de México y el entonces Instituto Nacional de Desarrollo Social (INDESOL). </w:t>
      </w:r>
    </w:p>
    <w:p w14:paraId="7EB44079" w14:textId="77777777" w:rsidR="00C31B9C" w:rsidRPr="00C31B9C" w:rsidRDefault="00C31B9C" w:rsidP="00645EC4">
      <w:pPr>
        <w:jc w:val="both"/>
        <w:rPr>
          <w:rFonts w:ascii="Montserrat" w:hAnsi="Montserrat"/>
          <w:color w:val="000000"/>
          <w:sz w:val="22"/>
          <w:szCs w:val="22"/>
        </w:rPr>
      </w:pPr>
    </w:p>
    <w:p w14:paraId="641A665A"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“SONRISAS POR MÉXICO”, se concibió como un nuevo modelo turístico con rostro social, incluyente y de respeto irrestricto de los derechos humanos, que posibilitara que más mexicanos y mexicanas, principalmente aquellas personas que viven condiciones de vulnerabilidad, sin importar su edad ni condición tuvieran acceso a actividades turísticas y recreativas sin costo en la CDMX, pero que a la vez, a través de la organización de actividades lúdico recreativas recibieran información con enfoque de género, para prevenir la violencia contra las mujeres, la discriminación y garantizar el respeto a sus  derechos humanos.</w:t>
      </w:r>
    </w:p>
    <w:p w14:paraId="63D58966" w14:textId="77777777" w:rsidR="00C31B9C" w:rsidRPr="00C31B9C" w:rsidRDefault="00C31B9C" w:rsidP="00645EC4">
      <w:pPr>
        <w:jc w:val="both"/>
        <w:rPr>
          <w:rFonts w:ascii="Montserrat" w:hAnsi="Montserrat"/>
          <w:color w:val="000000"/>
          <w:sz w:val="22"/>
          <w:szCs w:val="22"/>
        </w:rPr>
      </w:pPr>
    </w:p>
    <w:p w14:paraId="1204EDD1"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Se realizaron 329 viajes o recorridos a sitios de interés recreativo abiertos, durante y en los recorridos y con el apoyo de expertos en temas de igualdad, derechos humanos, no violencia ni discriminación del entonces Instituto nacional de desarrollo social INDESOL, se coordinaron juegos o actividades lúdico recreativas tradicionales como lotería, serpientes y escaleras y memorama, que contenían esos temas para sensibilizar a las y los asistentes sobre diversas problemáticas, las y los participantes recibieron kits alimenticios durante las actividades. Participaron en los viajes 10,830 personas, de las cuales 89 (58 mujeres y 31 hombres) registraron tener algún tipo de discapacidad.</w:t>
      </w:r>
    </w:p>
    <w:p w14:paraId="622423A5" w14:textId="77777777" w:rsidR="00C31B9C" w:rsidRPr="00C31B9C" w:rsidRDefault="00C31B9C" w:rsidP="00645EC4">
      <w:pPr>
        <w:jc w:val="both"/>
        <w:rPr>
          <w:rFonts w:ascii="Montserrat" w:hAnsi="Montserrat"/>
          <w:color w:val="000000"/>
          <w:sz w:val="22"/>
          <w:szCs w:val="22"/>
        </w:rPr>
      </w:pPr>
    </w:p>
    <w:p w14:paraId="1F785E0A"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De igual forma, en el marco del Tianguis Turístico México 2021 en Mérida, Yucatán, se dio apoyo al Turismo Inclusivo, con la presencia de un stand en el recinto ferial Siglo XXI, un desfile posterior al corte de listón con trajes típicos, donde voluntarios con diversos tipos de discapacidad participaron, de igual forma se homenajeo a personas con discapacidad en la ceremonia de inauguración y en el evento de comida de capitanes.</w:t>
      </w:r>
    </w:p>
    <w:p w14:paraId="67BC6B17" w14:textId="77777777" w:rsidR="00C31B9C" w:rsidRPr="00C31B9C" w:rsidRDefault="00C31B9C" w:rsidP="00645EC4">
      <w:pPr>
        <w:jc w:val="both"/>
        <w:rPr>
          <w:rFonts w:ascii="Montserrat" w:hAnsi="Montserrat"/>
          <w:color w:val="000000"/>
          <w:sz w:val="22"/>
          <w:szCs w:val="22"/>
        </w:rPr>
      </w:pPr>
      <w:r w:rsidRPr="00C31B9C">
        <w:rPr>
          <w:rFonts w:ascii="Montserrat" w:hAnsi="Montserrat"/>
          <w:color w:val="000000"/>
          <w:sz w:val="22"/>
          <w:szCs w:val="22"/>
        </w:rPr>
        <w:t>En lo que respecta al Tianguis Turístico que se llevará a cabo en la ciudad de Acapulco, Guerrero del 22 al 25 de mayo del presente año, se tiene considerado llevar a cabo las mismas actividades para apoyar y difundir el Turismo Incluyente y accesible.</w:t>
      </w:r>
    </w:p>
    <w:p w14:paraId="426539CE" w14:textId="77777777" w:rsidR="00C31B9C" w:rsidRPr="00C31B9C" w:rsidRDefault="00C31B9C" w:rsidP="00645EC4">
      <w:pPr>
        <w:shd w:val="clear" w:color="auto" w:fill="FFFFFF"/>
        <w:jc w:val="both"/>
        <w:rPr>
          <w:rFonts w:ascii="Montserrat" w:hAnsi="Montserrat"/>
          <w:b/>
          <w:bCs/>
          <w:color w:val="000000"/>
          <w:sz w:val="22"/>
          <w:szCs w:val="22"/>
        </w:rPr>
      </w:pPr>
    </w:p>
    <w:p w14:paraId="4067759E" w14:textId="77777777" w:rsidR="00C31B9C" w:rsidRPr="00C31B9C" w:rsidRDefault="00C31B9C" w:rsidP="00645EC4">
      <w:pPr>
        <w:shd w:val="clear" w:color="auto" w:fill="FFFFFF"/>
        <w:jc w:val="both"/>
        <w:rPr>
          <w:rFonts w:ascii="Montserrat" w:hAnsi="Montserrat"/>
          <w:color w:val="000000"/>
          <w:sz w:val="22"/>
          <w:szCs w:val="22"/>
        </w:rPr>
      </w:pPr>
      <w:r w:rsidRPr="00C31B9C">
        <w:rPr>
          <w:rFonts w:ascii="Montserrat" w:hAnsi="Montserrat"/>
          <w:color w:val="000000"/>
          <w:sz w:val="22"/>
          <w:szCs w:val="22"/>
        </w:rPr>
        <w:t>Finalmente, se informa que durante 2022 se realizarán las siguientes acciones:</w:t>
      </w:r>
    </w:p>
    <w:p w14:paraId="5C1809CF" w14:textId="77777777" w:rsidR="00C31B9C" w:rsidRPr="00C31B9C" w:rsidRDefault="00C31B9C" w:rsidP="00E31990">
      <w:pPr>
        <w:pStyle w:val="Prrafodelista"/>
        <w:numPr>
          <w:ilvl w:val="0"/>
          <w:numId w:val="19"/>
        </w:numPr>
        <w:shd w:val="clear" w:color="auto" w:fill="FFFFFF"/>
        <w:jc w:val="both"/>
        <w:rPr>
          <w:rFonts w:ascii="Montserrat" w:hAnsi="Montserrat"/>
          <w:color w:val="000000"/>
          <w:sz w:val="22"/>
          <w:szCs w:val="22"/>
        </w:rPr>
      </w:pPr>
      <w:r w:rsidRPr="00C31B9C">
        <w:rPr>
          <w:rFonts w:ascii="Montserrat" w:hAnsi="Montserrat"/>
          <w:color w:val="000000"/>
          <w:sz w:val="22"/>
          <w:szCs w:val="22"/>
        </w:rPr>
        <w:t>Se actualizará a actores del sector turístico a través de cursos y seminarios de actualización, profesionalización y especialización en materia de Turismo Accesible.</w:t>
      </w:r>
    </w:p>
    <w:p w14:paraId="213D3B1E" w14:textId="77777777" w:rsidR="00C31B9C" w:rsidRPr="00C31B9C" w:rsidRDefault="00C31B9C" w:rsidP="00E31990">
      <w:pPr>
        <w:pStyle w:val="Prrafodelista"/>
        <w:numPr>
          <w:ilvl w:val="0"/>
          <w:numId w:val="19"/>
        </w:numPr>
        <w:shd w:val="clear" w:color="auto" w:fill="FFFFFF"/>
        <w:jc w:val="both"/>
        <w:rPr>
          <w:rFonts w:ascii="Montserrat" w:hAnsi="Montserrat"/>
          <w:color w:val="000000"/>
          <w:sz w:val="22"/>
          <w:szCs w:val="22"/>
        </w:rPr>
      </w:pPr>
      <w:r w:rsidRPr="00C31B9C">
        <w:rPr>
          <w:rFonts w:ascii="Montserrat" w:hAnsi="Montserrat"/>
          <w:color w:val="000000"/>
          <w:sz w:val="22"/>
          <w:szCs w:val="22"/>
        </w:rPr>
        <w:t>Se incluirá en el diseño de la infraestructura y servicios de los Centros de Atención Visitantes de las Zonas Arqueológicas, la planeación y proyección de elementos técnicos de accesibilidad y/o diseño universal.</w:t>
      </w:r>
    </w:p>
    <w:p w14:paraId="4511BD79" w14:textId="77777777" w:rsidR="00C31B9C" w:rsidRPr="00C31B9C" w:rsidRDefault="00C31B9C" w:rsidP="00E31990">
      <w:pPr>
        <w:pStyle w:val="Prrafodelista"/>
        <w:numPr>
          <w:ilvl w:val="0"/>
          <w:numId w:val="19"/>
        </w:numPr>
        <w:shd w:val="clear" w:color="auto" w:fill="FFFFFF"/>
        <w:jc w:val="both"/>
        <w:rPr>
          <w:rFonts w:ascii="Montserrat" w:hAnsi="Montserrat"/>
          <w:color w:val="000000"/>
          <w:sz w:val="22"/>
          <w:szCs w:val="22"/>
        </w:rPr>
      </w:pPr>
      <w:r w:rsidRPr="00C31B9C">
        <w:rPr>
          <w:rFonts w:ascii="Montserrat" w:hAnsi="Montserrat"/>
          <w:color w:val="000000"/>
          <w:sz w:val="22"/>
          <w:szCs w:val="22"/>
        </w:rPr>
        <w:t xml:space="preserve">Se promoverán acciones que permitan sentar las bases normativas en materia de accesibilidad, así como impulsar aquellas que tengan por objeto brindar y facilitar información a toda persona de cualquier </w:t>
      </w:r>
      <w:r w:rsidRPr="00C31B9C">
        <w:rPr>
          <w:rFonts w:ascii="Montserrat" w:hAnsi="Montserrat"/>
          <w:color w:val="000000"/>
          <w:sz w:val="22"/>
          <w:szCs w:val="22"/>
        </w:rPr>
        <w:lastRenderedPageBreak/>
        <w:t>condición, para que la misma tenga acceso a los servicios turísticos sin distinción alguna.</w:t>
      </w:r>
    </w:p>
    <w:p w14:paraId="3A5B3C69" w14:textId="3DA3A6FB" w:rsidR="00C31B9C" w:rsidRPr="00C31B9C" w:rsidRDefault="00C31B9C" w:rsidP="00E31990">
      <w:pPr>
        <w:pStyle w:val="Prrafodelista"/>
        <w:numPr>
          <w:ilvl w:val="0"/>
          <w:numId w:val="19"/>
        </w:numPr>
        <w:shd w:val="clear" w:color="auto" w:fill="FFFFFF"/>
        <w:jc w:val="both"/>
        <w:rPr>
          <w:rFonts w:ascii="Montserrat" w:hAnsi="Montserrat"/>
          <w:color w:val="000000"/>
          <w:sz w:val="22"/>
          <w:szCs w:val="22"/>
        </w:rPr>
      </w:pPr>
      <w:r w:rsidRPr="00C31B9C">
        <w:rPr>
          <w:rFonts w:ascii="Montserrat" w:hAnsi="Montserrat"/>
          <w:color w:val="000000"/>
          <w:sz w:val="22"/>
          <w:szCs w:val="22"/>
        </w:rPr>
        <w:t>Se elaborará el Catálogo Nacional de Productos de Turismo Accesible con el propósito de conocer la oferta turística para las personas con discapacidad.</w:t>
      </w:r>
    </w:p>
    <w:p w14:paraId="4AA7B093" w14:textId="03CEF51E" w:rsidR="002B386F" w:rsidRDefault="002B386F" w:rsidP="00645EC4">
      <w:pPr>
        <w:jc w:val="both"/>
        <w:rPr>
          <w:rFonts w:ascii="Montserrat" w:hAnsi="Montserrat"/>
        </w:rPr>
      </w:pPr>
    </w:p>
    <w:p w14:paraId="1993C7A3" w14:textId="77777777" w:rsidR="00F20C53" w:rsidRDefault="00F20C53" w:rsidP="00645EC4">
      <w:pPr>
        <w:jc w:val="both"/>
        <w:rPr>
          <w:rFonts w:ascii="Montserrat" w:hAnsi="Montserrat"/>
          <w:b/>
          <w:bCs/>
          <w:color w:val="000000" w:themeColor="text1"/>
        </w:rPr>
      </w:pPr>
      <w:r w:rsidRPr="00E211F1">
        <w:rPr>
          <w:rFonts w:ascii="Montserrat" w:hAnsi="Montserrat"/>
          <w:b/>
          <w:bCs/>
          <w:color w:val="000000" w:themeColor="text1"/>
        </w:rPr>
        <w:t xml:space="preserve">Artículo </w:t>
      </w:r>
      <w:r>
        <w:rPr>
          <w:rFonts w:ascii="Montserrat" w:hAnsi="Montserrat"/>
          <w:b/>
          <w:bCs/>
          <w:color w:val="000000" w:themeColor="text1"/>
        </w:rPr>
        <w:t xml:space="preserve">23. </w:t>
      </w:r>
      <w:r w:rsidRPr="00F20C53">
        <w:rPr>
          <w:rFonts w:ascii="Montserrat" w:hAnsi="Montserrat"/>
          <w:b/>
          <w:bCs/>
          <w:color w:val="000000" w:themeColor="text1"/>
        </w:rPr>
        <w:t>Respeto del hogar y de la familia</w:t>
      </w:r>
    </w:p>
    <w:p w14:paraId="2410FA10" w14:textId="77777777" w:rsidR="00F20C53" w:rsidRDefault="00F20C53" w:rsidP="00645EC4">
      <w:pPr>
        <w:jc w:val="both"/>
        <w:rPr>
          <w:rFonts w:ascii="Montserrat" w:hAnsi="Montserrat"/>
          <w:b/>
          <w:bCs/>
          <w:color w:val="000000" w:themeColor="text1"/>
        </w:rPr>
      </w:pPr>
    </w:p>
    <w:p w14:paraId="31828237" w14:textId="6B759EDD" w:rsidR="00535C58" w:rsidRPr="00023A18" w:rsidRDefault="00535C58" w:rsidP="00645EC4">
      <w:pPr>
        <w:jc w:val="both"/>
        <w:rPr>
          <w:rFonts w:ascii="Montserrat" w:hAnsi="Montserrat"/>
          <w:b/>
          <w:sz w:val="22"/>
          <w:szCs w:val="22"/>
        </w:rPr>
      </w:pPr>
      <w:r w:rsidRPr="00023A18">
        <w:rPr>
          <w:rFonts w:ascii="Montserrat" w:hAnsi="Montserrat"/>
          <w:sz w:val="22"/>
          <w:szCs w:val="22"/>
        </w:rPr>
        <w:t>Se cuenta con la Estrategia Nacional para la Prevención del Embarazo en Adolescente (ENAPEA) que mediante una visión integral e inclusiva con perspectiva de género, interculturalidad y de derechos humanos aborda el embarazo adolescente, a fin de que, mediante acciones interinstitucionales coordinadas con políticas y planes nacionales, estatales y municipales, se enfrente tanto las condiciones que lo motivan, sus determinantes económicos, sociales y culturales, como sus causas subyacentes y así se disminuya el embarazo en adolescentes, pero sobre todo se elimine el embarazo en niñas.</w:t>
      </w:r>
    </w:p>
    <w:p w14:paraId="1A5C6F5C" w14:textId="77777777" w:rsidR="00535C58" w:rsidRPr="00023A18" w:rsidRDefault="00535C58" w:rsidP="00645EC4">
      <w:pPr>
        <w:jc w:val="both"/>
        <w:rPr>
          <w:rFonts w:ascii="Montserrat" w:hAnsi="Montserrat"/>
          <w:b/>
          <w:sz w:val="22"/>
          <w:szCs w:val="22"/>
        </w:rPr>
      </w:pPr>
    </w:p>
    <w:p w14:paraId="76CA545D"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La ENAPEA  contempla objetivos específicos que plantean, entre otras cosas: promover el desarrollo humano y las oportunidades de las y los adolescentes; crear un entorno que favorezca decisiones libres y acertadas sobre su proyecto de vida y el ejercicio de su sexualidad; promover sus derechos sexuales y reproductivos, incrementar la oferta y la calidad de la información y los servicios de salud sexual y reproductiva, así como una educación integral en sexualidad en todos los niveles educativos, de gestión pública o privada. Un componente de primera importancia para el éxito de la Estrategia es focalizar acciones intensivas en los municipios que presentan las mayores tasas de embarazo adolescente.</w:t>
      </w:r>
    </w:p>
    <w:p w14:paraId="4B137290" w14:textId="77777777" w:rsidR="00535C58" w:rsidRPr="00023A18" w:rsidRDefault="00535C58" w:rsidP="00645EC4">
      <w:pPr>
        <w:jc w:val="both"/>
        <w:rPr>
          <w:rFonts w:ascii="Montserrat" w:hAnsi="Montserrat"/>
          <w:sz w:val="22"/>
          <w:szCs w:val="22"/>
        </w:rPr>
      </w:pPr>
    </w:p>
    <w:p w14:paraId="441EE50A"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La Estrategia se instrumenta con criterios de intersectorialidad, de derechos humanos, de perspectiva de género y corresponsabilidad, y se acompaña de una sólida investigación y evaluación que posibilita la correcta rendición de cuentas. Las metas que persigue son: lograr que en el 2030 se reduzca a la mitad la actual tasa de fecundidad entre las adolescentes mexicanas de 15 a 19 años de edad, y erradicar el embarazo en niñas menores de 15 años.</w:t>
      </w:r>
    </w:p>
    <w:p w14:paraId="70458B98" w14:textId="77777777" w:rsidR="00535C58" w:rsidRPr="00023A18" w:rsidRDefault="00535C58" w:rsidP="00645EC4">
      <w:pPr>
        <w:jc w:val="both"/>
        <w:rPr>
          <w:rFonts w:ascii="Montserrat" w:hAnsi="Montserrat"/>
          <w:sz w:val="22"/>
          <w:szCs w:val="22"/>
        </w:rPr>
      </w:pPr>
    </w:p>
    <w:p w14:paraId="370933B1"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Entre las líneas de acción intersectorial destacan: asegurar que las y los adolescentes finalicen la educación obligatoria; generar oportunidades laborales para la población joven; mantener campañas de comunicación masiva que posicionen mensajes claros sobre la salud sexual y reproductiva de las y los adolescentes; fortalecer la prevención y la atención de la violencia y el abuso sexual contra niñas, niños y adolescentes; asegurarles la prestación de servicios de salud; garantizar procesos de formación y capacitación a las y los educadores, al profesorado, al personal de salud, a padres y madres de familia, y a líderes de la comunidad, y desde luego fortalecer el liderazgo juvenil.</w:t>
      </w:r>
    </w:p>
    <w:p w14:paraId="7710CF4F" w14:textId="77777777" w:rsidR="00535C58" w:rsidRPr="00023A18" w:rsidRDefault="00535C58" w:rsidP="00645EC4">
      <w:pPr>
        <w:jc w:val="both"/>
        <w:rPr>
          <w:rFonts w:ascii="Montserrat" w:hAnsi="Montserrat"/>
          <w:sz w:val="22"/>
          <w:szCs w:val="22"/>
        </w:rPr>
      </w:pPr>
    </w:p>
    <w:p w14:paraId="5AEE0AE0"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A través de los Componentes Prioritarios de la ENAPEA (I. Educación Integral en Sexualidad y psicosocial II. Marco normativo, cultural y estructural III. Servicios de salud amigables IV. Identificación y atención oportuna e integral de la violencia sexual contra Niñas, Niños y Adolescentes (NNA), así como con sus Ejes Rectores Transversales (1. Perspectiva de género 2. Perspectiva de </w:t>
      </w:r>
      <w:r w:rsidRPr="00023A18">
        <w:rPr>
          <w:rFonts w:ascii="Montserrat" w:hAnsi="Montserrat"/>
          <w:sz w:val="22"/>
          <w:szCs w:val="22"/>
        </w:rPr>
        <w:lastRenderedPageBreak/>
        <w:t>niñez, adolescencias y juventudes 3. Curso de vida 4. Ciudadanía y Derechos sexuales y reproductivos 5. Pertinencia cultural) el Estado Mexicano atiende a las niñas, niños y adolescentes incluyendo de comunidades indígenas, afrodescendientes, personas con alguna discapacidad o en situación de vulnerabilidad, impulsando la igualdad de derechos y el acceso a una vida digna, con bienestar y desarrollo pleno para todas y todos.</w:t>
      </w:r>
    </w:p>
    <w:p w14:paraId="792412E8" w14:textId="77777777" w:rsidR="00535C58" w:rsidRPr="00023A18" w:rsidRDefault="00535C58" w:rsidP="00645EC4">
      <w:pPr>
        <w:jc w:val="both"/>
        <w:rPr>
          <w:rFonts w:ascii="Montserrat" w:hAnsi="Montserrat"/>
          <w:sz w:val="22"/>
          <w:szCs w:val="22"/>
        </w:rPr>
      </w:pPr>
    </w:p>
    <w:p w14:paraId="77F63ED2" w14:textId="77777777" w:rsidR="00535C58" w:rsidRPr="00023A18" w:rsidRDefault="00535C58" w:rsidP="00645EC4">
      <w:pPr>
        <w:jc w:val="both"/>
        <w:rPr>
          <w:rFonts w:ascii="Montserrat" w:hAnsi="Montserrat" w:cstheme="minorHAnsi"/>
          <w:sz w:val="22"/>
          <w:szCs w:val="22"/>
        </w:rPr>
      </w:pPr>
      <w:r w:rsidRPr="00023A18">
        <w:rPr>
          <w:rFonts w:ascii="Montserrat" w:hAnsi="Montserrat"/>
          <w:sz w:val="22"/>
          <w:szCs w:val="22"/>
        </w:rPr>
        <w:t xml:space="preserve">En ese sentido es muy importante mencionar que en el marco de la ENAPEA, durante el Encuentro Nacional de Grupos estatales de Prevención del Embarazo en Adolescentes (ENGEPEAS) 2021 se realizó una sesión denominada: </w:t>
      </w:r>
      <w:r w:rsidRPr="00023A18">
        <w:rPr>
          <w:rFonts w:ascii="Montserrat" w:eastAsia="Montserrat" w:hAnsi="Montserrat" w:cs="Calibri"/>
          <w:sz w:val="22"/>
          <w:szCs w:val="22"/>
        </w:rPr>
        <w:t xml:space="preserve">“Áreas de oportunidad para la implementación de la ENAPEA en poblaciones en condiciones de vulnerabilidad”, en la cual se abordó la importancia de la promoción de los derechos humanos y sobre todo los sexuales y reproductivos, por lo que se destacó la relevancia de la Cartilla de derechos sexuales y reproductivos de las personas con discapacidad, en esta sesión se hizo énfasis en la importancia de la ENAPEA para promover los derechos sexuales y reproductivos como: </w:t>
      </w:r>
      <w:r w:rsidRPr="00023A18">
        <w:rPr>
          <w:rFonts w:ascii="Montserrat" w:hAnsi="Montserrat" w:cstheme="minorHAnsi"/>
          <w:sz w:val="22"/>
          <w:szCs w:val="22"/>
        </w:rPr>
        <w:t xml:space="preserve">manifestar la identidad sexual, la expresión e identidad de género, la orientación y preferencia sexual de forma libre y autónoma. </w:t>
      </w:r>
    </w:p>
    <w:p w14:paraId="3CD4F7E6" w14:textId="77777777" w:rsidR="00535C58" w:rsidRPr="00023A18" w:rsidRDefault="00535C58" w:rsidP="00645EC4">
      <w:pPr>
        <w:jc w:val="both"/>
        <w:rPr>
          <w:rFonts w:ascii="Montserrat" w:hAnsi="Montserrat" w:cstheme="minorHAnsi"/>
          <w:sz w:val="22"/>
          <w:szCs w:val="22"/>
        </w:rPr>
      </w:pPr>
    </w:p>
    <w:p w14:paraId="513704E6" w14:textId="77777777" w:rsidR="00535C58" w:rsidRPr="00023A18" w:rsidRDefault="00535C58" w:rsidP="00645EC4">
      <w:pPr>
        <w:jc w:val="both"/>
        <w:rPr>
          <w:rFonts w:ascii="Montserrat" w:hAnsi="Montserrat" w:cstheme="minorHAnsi"/>
          <w:sz w:val="22"/>
          <w:szCs w:val="22"/>
        </w:rPr>
      </w:pPr>
      <w:r w:rsidRPr="00023A18">
        <w:rPr>
          <w:rFonts w:ascii="Montserrat" w:hAnsi="Montserrat" w:cstheme="minorHAnsi"/>
          <w:sz w:val="22"/>
          <w:szCs w:val="22"/>
        </w:rPr>
        <w:t>Para lo cual en la sesión se abordó la importancia de considerar:</w:t>
      </w:r>
    </w:p>
    <w:p w14:paraId="46C3DD4C" w14:textId="77777777" w:rsidR="00535C58" w:rsidRPr="00023A18" w:rsidRDefault="00535C58" w:rsidP="00645EC4">
      <w:pPr>
        <w:jc w:val="both"/>
        <w:rPr>
          <w:rFonts w:ascii="Montserrat" w:hAnsi="Montserrat" w:cstheme="minorHAnsi"/>
          <w:sz w:val="22"/>
          <w:szCs w:val="22"/>
        </w:rPr>
      </w:pPr>
    </w:p>
    <w:p w14:paraId="630D7C1B" w14:textId="77777777" w:rsidR="00535C58" w:rsidRPr="00023A18" w:rsidRDefault="00535C58" w:rsidP="00E31990">
      <w:pPr>
        <w:pStyle w:val="Prrafodelista"/>
        <w:numPr>
          <w:ilvl w:val="0"/>
          <w:numId w:val="28"/>
        </w:numPr>
        <w:ind w:left="1134" w:hanging="425"/>
        <w:jc w:val="both"/>
        <w:rPr>
          <w:rFonts w:ascii="Montserrat" w:hAnsi="Montserrat" w:cstheme="minorHAnsi"/>
          <w:sz w:val="22"/>
          <w:szCs w:val="22"/>
        </w:rPr>
      </w:pPr>
      <w:r w:rsidRPr="00023A18">
        <w:rPr>
          <w:rFonts w:ascii="Montserrat" w:hAnsi="Montserrat" w:cstheme="minorHAnsi"/>
          <w:sz w:val="22"/>
          <w:szCs w:val="22"/>
        </w:rPr>
        <w:t>Derecho a la educación integral de la sexualidad en lenguas, lenguajes y con recursos acordes a las necesidades de las personas con discapacidad y sus familias.</w:t>
      </w:r>
    </w:p>
    <w:p w14:paraId="175F0D4D" w14:textId="77777777" w:rsidR="00535C58" w:rsidRPr="00023A18" w:rsidRDefault="00535C58" w:rsidP="00E31990">
      <w:pPr>
        <w:pStyle w:val="Prrafodelista"/>
        <w:numPr>
          <w:ilvl w:val="0"/>
          <w:numId w:val="28"/>
        </w:numPr>
        <w:ind w:left="1134" w:hanging="425"/>
        <w:jc w:val="both"/>
        <w:rPr>
          <w:rFonts w:ascii="Montserrat" w:hAnsi="Montserrat" w:cstheme="minorHAnsi"/>
          <w:sz w:val="22"/>
          <w:szCs w:val="22"/>
        </w:rPr>
      </w:pPr>
      <w:r w:rsidRPr="00023A18">
        <w:rPr>
          <w:rFonts w:ascii="Montserrat" w:hAnsi="Montserrat" w:cstheme="minorHAnsi"/>
          <w:sz w:val="22"/>
          <w:szCs w:val="22"/>
        </w:rPr>
        <w:t>Derecho a la información científica sobre sexualidad, en lenguas, sistemas, formato y tecnologías acordes a los requerimientos de las personas con discapacidad.</w:t>
      </w:r>
    </w:p>
    <w:p w14:paraId="348DEF42" w14:textId="77777777" w:rsidR="00535C58" w:rsidRPr="00023A18" w:rsidRDefault="00535C58" w:rsidP="00E31990">
      <w:pPr>
        <w:pStyle w:val="Prrafodelista"/>
        <w:numPr>
          <w:ilvl w:val="0"/>
          <w:numId w:val="28"/>
        </w:numPr>
        <w:ind w:left="1134" w:hanging="425"/>
        <w:jc w:val="both"/>
        <w:rPr>
          <w:rFonts w:ascii="Montserrat" w:hAnsi="Montserrat" w:cstheme="minorHAnsi"/>
          <w:sz w:val="22"/>
          <w:szCs w:val="22"/>
        </w:rPr>
      </w:pPr>
      <w:r w:rsidRPr="00023A18">
        <w:rPr>
          <w:rFonts w:ascii="Montserrat" w:hAnsi="Montserrat" w:cstheme="minorHAnsi"/>
          <w:sz w:val="22"/>
          <w:szCs w:val="22"/>
        </w:rPr>
        <w:t>Derecho al respeto de la intimidad y la privacidad sexual.</w:t>
      </w:r>
    </w:p>
    <w:p w14:paraId="442077DD" w14:textId="77777777" w:rsidR="00535C58" w:rsidRPr="00023A18" w:rsidRDefault="00535C58" w:rsidP="00E31990">
      <w:pPr>
        <w:pStyle w:val="Prrafodelista"/>
        <w:numPr>
          <w:ilvl w:val="0"/>
          <w:numId w:val="28"/>
        </w:numPr>
        <w:ind w:left="1134" w:hanging="425"/>
        <w:jc w:val="both"/>
        <w:rPr>
          <w:rFonts w:ascii="Montserrat" w:hAnsi="Montserrat" w:cstheme="minorHAnsi"/>
          <w:sz w:val="22"/>
          <w:szCs w:val="22"/>
        </w:rPr>
      </w:pPr>
      <w:r w:rsidRPr="00023A18">
        <w:rPr>
          <w:rFonts w:ascii="Montserrat" w:hAnsi="Montserrat" w:cstheme="minorHAnsi"/>
          <w:sz w:val="22"/>
          <w:szCs w:val="22"/>
        </w:rPr>
        <w:t>Derecho al ejercicio libre, placentero e informado de la sexualidad.</w:t>
      </w:r>
    </w:p>
    <w:p w14:paraId="2CA33EAA" w14:textId="77777777" w:rsidR="00535C58" w:rsidRPr="00023A18" w:rsidRDefault="00535C58" w:rsidP="00645EC4">
      <w:pPr>
        <w:jc w:val="both"/>
        <w:rPr>
          <w:rFonts w:ascii="Montserrat" w:hAnsi="Montserrat" w:cstheme="minorHAnsi"/>
          <w:sz w:val="22"/>
          <w:szCs w:val="22"/>
        </w:rPr>
      </w:pPr>
    </w:p>
    <w:p w14:paraId="0DA7D062" w14:textId="63FCB5BC"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Además, la </w:t>
      </w:r>
      <w:r w:rsidRPr="00DD6B62">
        <w:rPr>
          <w:rFonts w:ascii="Montserrat" w:hAnsi="Montserrat"/>
          <w:sz w:val="22"/>
          <w:szCs w:val="22"/>
        </w:rPr>
        <w:t>Cartilla de Derechos Sexuales y Reproductivos de las Personas con Discapacidad</w:t>
      </w:r>
      <w:r w:rsidRPr="00023A18">
        <w:rPr>
          <w:rFonts w:ascii="Montserrat" w:hAnsi="Montserrat"/>
          <w:sz w:val="22"/>
          <w:szCs w:val="22"/>
        </w:rPr>
        <w:t xml:space="preserve"> es uno de los documentos base recomendado para el personal de la Comunidad Educativa para trabajar con las y los estudiantes. La Cartilla pretende contribuir a potencializar el pleno goce de los derechos humanos de mujeres y hombres con discapacidad, y coadyuvar a la igualdad desde una perspectiva de género.</w:t>
      </w:r>
    </w:p>
    <w:p w14:paraId="79F20428" w14:textId="77777777" w:rsidR="00535C58" w:rsidRPr="00023A18" w:rsidRDefault="00535C58" w:rsidP="00645EC4">
      <w:pPr>
        <w:jc w:val="both"/>
        <w:rPr>
          <w:rFonts w:ascii="Montserrat" w:hAnsi="Montserrat"/>
          <w:sz w:val="22"/>
          <w:szCs w:val="22"/>
        </w:rPr>
      </w:pPr>
    </w:p>
    <w:p w14:paraId="54967A73"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En ese mismo tenor, mediante la campaña de comunicación social y de los materiales de la ENAPEA ¡Yo Decido! 2020 y 2021, las y los adolescentes destacaron la relevancia de la inclusión en los personajes, motivo por el que se muestran en la campaña personajes de poblaciones indígenas, de afrodescendientes, personas con discapacidad y adolescentes de las demás poblaciones que integran nuestro país, a fin de que se vean incluidas y representadas todas y todos, lo cual también ha repercutido en el fortalecimiento de los derechos sexuales y reproductivos de las y los adolescentes con discapacidad.</w:t>
      </w:r>
    </w:p>
    <w:p w14:paraId="0F17B707" w14:textId="77777777" w:rsidR="00535C58" w:rsidRPr="00023A18" w:rsidRDefault="00535C58" w:rsidP="00645EC4">
      <w:pPr>
        <w:jc w:val="both"/>
        <w:rPr>
          <w:rFonts w:ascii="Montserrat" w:hAnsi="Montserrat"/>
          <w:sz w:val="22"/>
          <w:szCs w:val="22"/>
        </w:rPr>
      </w:pPr>
    </w:p>
    <w:p w14:paraId="1BD53C38"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De igual manera, con el fin de reforzar las capacidades institucionales de atención y prevención de los servidores públicos en el país, se llevó a cabo la sesión temática “Situación de las niñas y adolescentes con discapacidad, indígenas y afromexicanas”, en el Encuentro Nacional de Grupos Estatales </w:t>
      </w:r>
      <w:r w:rsidRPr="00023A18">
        <w:rPr>
          <w:rFonts w:ascii="Montserrat" w:hAnsi="Montserrat"/>
          <w:sz w:val="22"/>
          <w:szCs w:val="22"/>
        </w:rPr>
        <w:lastRenderedPageBreak/>
        <w:t>para la Prevención del Embarazo en Adolescentes (GEPEA) 2020, organismos que llevan directamente a la población adolescente de los municipios y localidades, los componentes y acciones de la ENAPEA.</w:t>
      </w:r>
    </w:p>
    <w:p w14:paraId="5E73FE6B" w14:textId="77777777" w:rsidR="00535C58" w:rsidRPr="00023A18" w:rsidRDefault="00535C58" w:rsidP="00645EC4">
      <w:pPr>
        <w:jc w:val="both"/>
        <w:rPr>
          <w:rFonts w:ascii="Montserrat" w:hAnsi="Montserrat"/>
          <w:sz w:val="22"/>
          <w:szCs w:val="22"/>
        </w:rPr>
      </w:pPr>
    </w:p>
    <w:p w14:paraId="22F4330D" w14:textId="799FA56B"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Asimismo, se elaboró el libro “Situación de los derechos sexuales y reproductivos, República Mexicana, 2018”, el cual tiene como finalidad ofrecer información actualizada a los tomadores de decisiones para el establecimiento de acciones que incidan en los factores asociados al rezago del ejercicio de los derechos sexuales y reproductivos y con ello, cerrar las brechas existentes entre los diversos grupos poblacionales y diversas condiciones socioculturales incluidas la escolaridad, el lugar de residencia, condición de habla indígena o de discapacidad. </w:t>
      </w:r>
    </w:p>
    <w:p w14:paraId="0D574DF2" w14:textId="77777777" w:rsidR="00535C58" w:rsidRPr="00023A18" w:rsidRDefault="00535C58" w:rsidP="00645EC4">
      <w:pPr>
        <w:jc w:val="both"/>
        <w:rPr>
          <w:rFonts w:ascii="Montserrat" w:hAnsi="Montserrat"/>
          <w:sz w:val="22"/>
          <w:szCs w:val="22"/>
        </w:rPr>
      </w:pPr>
    </w:p>
    <w:p w14:paraId="6955F6AE" w14:textId="77777777" w:rsidR="00535C58" w:rsidRPr="00023A18" w:rsidRDefault="00535C58" w:rsidP="00645EC4">
      <w:pPr>
        <w:jc w:val="both"/>
        <w:rPr>
          <w:rFonts w:ascii="Montserrat" w:hAnsi="Montserrat"/>
          <w:sz w:val="22"/>
          <w:szCs w:val="22"/>
        </w:rPr>
      </w:pPr>
      <w:r w:rsidRPr="00023A18">
        <w:rPr>
          <w:rFonts w:ascii="Montserrat" w:hAnsi="Montserrat"/>
          <w:sz w:val="22"/>
          <w:szCs w:val="22"/>
        </w:rPr>
        <w:t>Lo cual ha sido recogido desde la coordinación de la ENAPEA para promover los derechos sexuales y reproductivos de todas y todos los adolescentes, especialmente las poblaciones más vulnerables como población indígena, afrodescendientes, con discapacidad y en situación de pobreza.</w:t>
      </w:r>
    </w:p>
    <w:p w14:paraId="21E57324" w14:textId="77777777" w:rsidR="00535C58" w:rsidRPr="00023A18" w:rsidRDefault="00535C58" w:rsidP="00645EC4">
      <w:pPr>
        <w:jc w:val="both"/>
        <w:rPr>
          <w:rFonts w:ascii="Montserrat" w:hAnsi="Montserrat"/>
          <w:sz w:val="22"/>
          <w:szCs w:val="22"/>
        </w:rPr>
      </w:pPr>
    </w:p>
    <w:p w14:paraId="7E7C7755" w14:textId="6C005E6F"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Es importante resaltar que en el Micrositio de la ENAPEA se encuentran todos los materiales alusivos a ésta, las minutas del Grupo Interinstitucional para la Prevención del Embarazo en Adolescentes (GIPEA), los informes anuales, las minutas de los cinco grupos de trabajo, materiales de la campaña y demás documentos relativos a la Estrategia, los cuales se pueden consultar en el siguiente vinculo: </w:t>
      </w:r>
      <w:r w:rsidR="00023A18" w:rsidRPr="00023A18">
        <w:rPr>
          <w:rFonts w:ascii="Montserrat" w:hAnsi="Montserrat"/>
          <w:sz w:val="22"/>
          <w:szCs w:val="22"/>
        </w:rPr>
        <w:t xml:space="preserve"> </w:t>
      </w:r>
      <w:hyperlink r:id="rId8" w:history="1">
        <w:r w:rsidR="00023A18" w:rsidRPr="00023A18">
          <w:rPr>
            <w:rStyle w:val="Hipervnculo"/>
            <w:rFonts w:ascii="Montserrat" w:hAnsi="Montserrat"/>
            <w:sz w:val="22"/>
            <w:szCs w:val="22"/>
          </w:rPr>
          <w:t>https://enapea.segob.gob.mx/es/ENAPEA/Que_es_la_ENAPEA</w:t>
        </w:r>
      </w:hyperlink>
      <w:r w:rsidR="00023A18" w:rsidRPr="00023A18">
        <w:rPr>
          <w:rFonts w:ascii="Montserrat" w:hAnsi="Montserrat"/>
          <w:sz w:val="22"/>
          <w:szCs w:val="22"/>
        </w:rPr>
        <w:t xml:space="preserve"> </w:t>
      </w:r>
    </w:p>
    <w:p w14:paraId="07FAE5CD" w14:textId="77777777" w:rsidR="00535C58" w:rsidRPr="00023A18" w:rsidRDefault="00535C58" w:rsidP="00645EC4">
      <w:pPr>
        <w:jc w:val="both"/>
        <w:rPr>
          <w:rFonts w:ascii="Montserrat" w:hAnsi="Montserrat"/>
          <w:sz w:val="22"/>
          <w:szCs w:val="22"/>
        </w:rPr>
      </w:pPr>
    </w:p>
    <w:p w14:paraId="3F4EAEEE" w14:textId="4A508C15" w:rsidR="00535C58" w:rsidRPr="00023A18" w:rsidRDefault="00535C58" w:rsidP="00645EC4">
      <w:pPr>
        <w:jc w:val="both"/>
        <w:rPr>
          <w:rFonts w:ascii="Montserrat" w:hAnsi="Montserrat"/>
          <w:sz w:val="22"/>
          <w:szCs w:val="22"/>
        </w:rPr>
      </w:pPr>
      <w:r w:rsidRPr="00023A18">
        <w:rPr>
          <w:rFonts w:ascii="Montserrat" w:hAnsi="Montserrat"/>
          <w:sz w:val="22"/>
          <w:szCs w:val="22"/>
        </w:rPr>
        <w:t xml:space="preserve">Para finalizar, es importante comentar que la ENAPEA arrancó en México en 2015 y hoy en día continúa con solidez como una política de Estado, intersectorial, coordinada por el Consejo Nacional de Población y el Instituto Nacional de las Mujeres, como Secretariado Técnico, y en la que participan 22 instituciones del Estado; Organismos de Naciones Unidas, como el UNFPA, organizaciones de la sociedad civil y personas investigadoras de la academia. </w:t>
      </w:r>
    </w:p>
    <w:p w14:paraId="285F7B4B" w14:textId="555E773B" w:rsidR="00F20C53" w:rsidRPr="00E211F1" w:rsidRDefault="00F20C53" w:rsidP="00645EC4">
      <w:pPr>
        <w:jc w:val="both"/>
        <w:rPr>
          <w:rFonts w:ascii="Montserrat" w:hAnsi="Montserrat"/>
          <w:b/>
          <w:bCs/>
          <w:color w:val="000000" w:themeColor="text1"/>
        </w:rPr>
      </w:pPr>
      <w:r>
        <w:rPr>
          <w:rFonts w:ascii="Montserrat" w:hAnsi="Montserrat"/>
          <w:b/>
          <w:bCs/>
          <w:color w:val="000000" w:themeColor="text1"/>
        </w:rPr>
        <w:t xml:space="preserve"> </w:t>
      </w:r>
    </w:p>
    <w:p w14:paraId="359E2D4E" w14:textId="77777777" w:rsidR="006C566B" w:rsidRDefault="006C566B" w:rsidP="00645EC4">
      <w:pPr>
        <w:jc w:val="both"/>
        <w:rPr>
          <w:rFonts w:ascii="Montserrat" w:hAnsi="Montserrat"/>
        </w:rPr>
      </w:pPr>
    </w:p>
    <w:p w14:paraId="403D97C7" w14:textId="136E62B3" w:rsidR="001B1B65" w:rsidRPr="00E211F1" w:rsidRDefault="001B1B65" w:rsidP="00645EC4">
      <w:pPr>
        <w:jc w:val="both"/>
        <w:rPr>
          <w:rFonts w:ascii="Montserrat" w:hAnsi="Montserrat"/>
          <w:b/>
          <w:bCs/>
          <w:color w:val="000000" w:themeColor="text1"/>
        </w:rPr>
      </w:pPr>
      <w:r w:rsidRPr="00E211F1">
        <w:rPr>
          <w:rFonts w:ascii="Montserrat" w:hAnsi="Montserrat"/>
          <w:b/>
          <w:bCs/>
          <w:color w:val="000000" w:themeColor="text1"/>
        </w:rPr>
        <w:t xml:space="preserve">Artículo </w:t>
      </w:r>
      <w:r>
        <w:rPr>
          <w:rFonts w:ascii="Montserrat" w:hAnsi="Montserrat"/>
          <w:b/>
          <w:bCs/>
          <w:color w:val="000000" w:themeColor="text1"/>
        </w:rPr>
        <w:t>24. Educación</w:t>
      </w:r>
    </w:p>
    <w:p w14:paraId="64640F3A" w14:textId="6DA906AC" w:rsidR="002F484D" w:rsidRDefault="002F484D" w:rsidP="00645EC4">
      <w:pPr>
        <w:jc w:val="both"/>
        <w:rPr>
          <w:rFonts w:ascii="Montserrat" w:hAnsi="Montserrat"/>
          <w:color w:val="000000" w:themeColor="text1"/>
          <w:sz w:val="22"/>
          <w:szCs w:val="22"/>
        </w:rPr>
      </w:pPr>
    </w:p>
    <w:p w14:paraId="16FE531A" w14:textId="77777777" w:rsidR="002F484D" w:rsidRPr="002F484D" w:rsidRDefault="002F484D" w:rsidP="00645EC4">
      <w:pPr>
        <w:contextualSpacing/>
        <w:jc w:val="both"/>
        <w:rPr>
          <w:rFonts w:ascii="Montserrat" w:hAnsi="Montserrat" w:cs="Arial"/>
          <w:sz w:val="22"/>
          <w:szCs w:val="22"/>
        </w:rPr>
      </w:pPr>
      <w:r w:rsidRPr="002F484D">
        <w:rPr>
          <w:rFonts w:ascii="Montserrat" w:hAnsi="Montserrat" w:cs="Arial"/>
          <w:sz w:val="22"/>
          <w:szCs w:val="22"/>
        </w:rPr>
        <w:t>Por su parte, el Plan Nacional de Desarrollo 2019-2024 afirma que las intervenciones destinadas a reducir la pobreza y la marginación priorizarán a los sectores que históricamente se han encontrado en desventaja (entre ellos: niñas, niños y adolescentes), reconociendo que, para garantizar la igualdad sustantiva de las personas en distintos grupos o regiones, las intervenciones deben ser diferenciadas. Por lo que contar con información que dé cuenta de estas problemáticas permitirá apoyar en el fortalecimiento, elaboración, diseño e implementación de estrategias prioritarias y acciones puntuales que contribuyan a garantizar el acceso de Niñas, Niños y Adolescentes al ejercicio de sus derechos.</w:t>
      </w:r>
    </w:p>
    <w:p w14:paraId="35C6C0BF" w14:textId="77777777" w:rsidR="002F484D" w:rsidRPr="002F484D" w:rsidRDefault="002F484D" w:rsidP="00645EC4">
      <w:pPr>
        <w:contextualSpacing/>
        <w:rPr>
          <w:rFonts w:ascii="Montserrat" w:hAnsi="Montserrat" w:cs="Arial"/>
          <w:sz w:val="22"/>
          <w:szCs w:val="22"/>
        </w:rPr>
      </w:pPr>
    </w:p>
    <w:p w14:paraId="54AD05F8" w14:textId="2BF61AB5" w:rsidR="002F484D" w:rsidRPr="002F484D" w:rsidRDefault="002F484D" w:rsidP="00645EC4">
      <w:pPr>
        <w:contextualSpacing/>
        <w:jc w:val="both"/>
        <w:rPr>
          <w:rFonts w:ascii="Montserrat" w:hAnsi="Montserrat" w:cs="Arial"/>
          <w:sz w:val="22"/>
          <w:szCs w:val="22"/>
        </w:rPr>
      </w:pPr>
      <w:r w:rsidRPr="002F484D">
        <w:rPr>
          <w:rFonts w:ascii="Montserrat" w:hAnsi="Montserrat" w:cs="Arial"/>
          <w:sz w:val="22"/>
          <w:szCs w:val="22"/>
        </w:rPr>
        <w:t xml:space="preserve">Al respecto, el CONEVAL ha creado información referente a población en situación de pobreza para este grupo de población. Asimismo, a realizado un </w:t>
      </w:r>
      <w:r w:rsidRPr="002F484D">
        <w:rPr>
          <w:rFonts w:ascii="Montserrat" w:hAnsi="Montserrat" w:cs="Arial"/>
          <w:sz w:val="22"/>
          <w:szCs w:val="22"/>
        </w:rPr>
        <w:lastRenderedPageBreak/>
        <w:t>esfuerzo para generar información que dé cuenta del acceso efectivo al derecho a la educación, así como de la desigualdad</w:t>
      </w:r>
      <w:r w:rsidRPr="002F484D">
        <w:rPr>
          <w:rStyle w:val="Refdenotaalpie"/>
          <w:rFonts w:ascii="Montserrat" w:hAnsi="Montserrat" w:cs="Arial"/>
          <w:sz w:val="22"/>
          <w:szCs w:val="22"/>
        </w:rPr>
        <w:footnoteReference w:id="15"/>
      </w:r>
      <w:r w:rsidRPr="002F484D">
        <w:rPr>
          <w:rFonts w:ascii="Montserrat" w:hAnsi="Montserrat" w:cs="Arial"/>
          <w:sz w:val="22"/>
          <w:szCs w:val="22"/>
        </w:rPr>
        <w:t>, como los siguientes:</w:t>
      </w:r>
    </w:p>
    <w:p w14:paraId="0CCACD72" w14:textId="75396FFD" w:rsidR="002F484D" w:rsidRPr="0027080E" w:rsidRDefault="002F484D" w:rsidP="00E31990">
      <w:pPr>
        <w:pStyle w:val="Prrafodelista"/>
        <w:numPr>
          <w:ilvl w:val="0"/>
          <w:numId w:val="16"/>
        </w:numPr>
        <w:rPr>
          <w:rFonts w:ascii="Montserrat" w:hAnsi="Montserrat" w:cs="Arial"/>
          <w:sz w:val="22"/>
          <w:szCs w:val="22"/>
        </w:rPr>
      </w:pPr>
      <w:r w:rsidRPr="0027080E">
        <w:rPr>
          <w:rFonts w:ascii="Montserrat" w:hAnsi="Montserrat" w:cs="Arial"/>
          <w:sz w:val="22"/>
          <w:szCs w:val="22"/>
        </w:rPr>
        <w:t>Brecha en el porcentaje de población con rezago educativo según tipo de discapacidad</w:t>
      </w:r>
    </w:p>
    <w:p w14:paraId="5B38336D" w14:textId="22CC6215" w:rsidR="002F484D" w:rsidRPr="0027080E" w:rsidRDefault="002F484D" w:rsidP="00E31990">
      <w:pPr>
        <w:pStyle w:val="Prrafodelista"/>
        <w:numPr>
          <w:ilvl w:val="0"/>
          <w:numId w:val="16"/>
        </w:numPr>
        <w:rPr>
          <w:rFonts w:ascii="Montserrat" w:hAnsi="Montserrat" w:cs="Arial"/>
          <w:sz w:val="22"/>
          <w:szCs w:val="22"/>
        </w:rPr>
      </w:pPr>
      <w:r w:rsidRPr="0027080E">
        <w:rPr>
          <w:rFonts w:ascii="Montserrat" w:hAnsi="Montserrat" w:cs="Arial"/>
          <w:sz w:val="22"/>
          <w:szCs w:val="22"/>
        </w:rPr>
        <w:t>Brecha en el porcentaje de población con rezago educativo según origen de la discapacidad</w:t>
      </w:r>
    </w:p>
    <w:p w14:paraId="1619D276" w14:textId="422B7341" w:rsidR="002F484D" w:rsidRPr="0027080E" w:rsidRDefault="002F484D" w:rsidP="00E31990">
      <w:pPr>
        <w:pStyle w:val="Prrafodelista"/>
        <w:numPr>
          <w:ilvl w:val="0"/>
          <w:numId w:val="16"/>
        </w:numPr>
        <w:rPr>
          <w:rFonts w:ascii="Montserrat" w:hAnsi="Montserrat" w:cs="Arial"/>
          <w:sz w:val="22"/>
          <w:szCs w:val="22"/>
        </w:rPr>
      </w:pPr>
      <w:r w:rsidRPr="0027080E">
        <w:rPr>
          <w:rFonts w:ascii="Montserrat" w:hAnsi="Montserrat" w:cs="Arial"/>
          <w:sz w:val="22"/>
          <w:szCs w:val="22"/>
        </w:rPr>
        <w:t>Brecha en el porcentaje de población de 3 a 25 años que asiste a la escuela según condición de discapacidad</w:t>
      </w:r>
    </w:p>
    <w:p w14:paraId="77ABC7FD" w14:textId="6F26BAD4" w:rsidR="002F484D" w:rsidRPr="0027080E" w:rsidRDefault="002F484D" w:rsidP="00E31990">
      <w:pPr>
        <w:pStyle w:val="Prrafodelista"/>
        <w:numPr>
          <w:ilvl w:val="0"/>
          <w:numId w:val="16"/>
        </w:numPr>
        <w:rPr>
          <w:rFonts w:ascii="Montserrat" w:hAnsi="Montserrat" w:cs="Arial"/>
          <w:sz w:val="22"/>
          <w:szCs w:val="22"/>
        </w:rPr>
      </w:pPr>
      <w:r w:rsidRPr="0027080E">
        <w:rPr>
          <w:rFonts w:ascii="Montserrat" w:hAnsi="Montserrat" w:cs="Arial"/>
          <w:sz w:val="22"/>
          <w:szCs w:val="22"/>
        </w:rPr>
        <w:t>Brecha en el porcentaje de población de 3 a 18 años con acceso oportuno a la escuela según condición de discapacidad</w:t>
      </w:r>
    </w:p>
    <w:p w14:paraId="14242DEC" w14:textId="77777777" w:rsidR="002F484D" w:rsidRPr="002F484D" w:rsidRDefault="002F484D" w:rsidP="00645EC4">
      <w:pPr>
        <w:contextualSpacing/>
        <w:rPr>
          <w:rFonts w:ascii="Montserrat" w:hAnsi="Montserrat" w:cs="Arial"/>
          <w:sz w:val="22"/>
          <w:szCs w:val="22"/>
        </w:rPr>
      </w:pPr>
    </w:p>
    <w:p w14:paraId="4B0277B2" w14:textId="77777777" w:rsidR="002F484D" w:rsidRPr="002F484D" w:rsidRDefault="002F484D" w:rsidP="00645EC4">
      <w:pPr>
        <w:contextualSpacing/>
        <w:jc w:val="both"/>
        <w:rPr>
          <w:rFonts w:ascii="Montserrat" w:hAnsi="Montserrat" w:cs="Arial"/>
          <w:sz w:val="22"/>
          <w:szCs w:val="22"/>
        </w:rPr>
      </w:pPr>
      <w:r w:rsidRPr="002F484D">
        <w:rPr>
          <w:rFonts w:ascii="Montserrat" w:hAnsi="Montserrat" w:cs="Arial"/>
          <w:sz w:val="22"/>
          <w:szCs w:val="22"/>
        </w:rPr>
        <w:t>En estos es posible observar, por ejemplo, que la brecha de acceso oportuno a la escuela entre 2010 y 2018, con respecto a la población sin discapacidad, ha disminuido de 23.4 puntos porcentuales a 9.5 pp y que para 2020 se encontraba en 11.6 pp, con un acceso oportuno del 74.4% de la población con discapacidad entre 3 y 18 años de edad.</w:t>
      </w:r>
    </w:p>
    <w:p w14:paraId="0871F630" w14:textId="77777777" w:rsidR="002F484D" w:rsidRPr="007749B2" w:rsidRDefault="002F484D" w:rsidP="00645EC4">
      <w:pPr>
        <w:jc w:val="both"/>
        <w:rPr>
          <w:rFonts w:ascii="Montserrat" w:eastAsia="Cambria" w:hAnsi="Montserrat" w:cs="Times New Roman"/>
          <w:color w:val="000000" w:themeColor="text1"/>
          <w:sz w:val="22"/>
          <w:szCs w:val="22"/>
        </w:rPr>
      </w:pPr>
    </w:p>
    <w:p w14:paraId="7E3804C0" w14:textId="02F16252" w:rsidR="007749B2" w:rsidRPr="007749B2" w:rsidRDefault="007749B2" w:rsidP="00645EC4">
      <w:pPr>
        <w:pStyle w:val="Sinespaciado"/>
        <w:spacing w:before="0" w:beforeAutospacing="0" w:after="0" w:afterAutospacing="0"/>
        <w:jc w:val="both"/>
        <w:rPr>
          <w:color w:val="000000"/>
          <w:sz w:val="22"/>
          <w:szCs w:val="22"/>
        </w:rPr>
      </w:pPr>
      <w:r w:rsidRPr="007749B2">
        <w:rPr>
          <w:rFonts w:ascii="Montserrat" w:hAnsi="Montserrat"/>
          <w:color w:val="000000" w:themeColor="text1"/>
          <w:sz w:val="22"/>
          <w:szCs w:val="22"/>
        </w:rPr>
        <w:t xml:space="preserve">En cuanto a las </w:t>
      </w:r>
      <w:r w:rsidRPr="007749B2">
        <w:rPr>
          <w:rFonts w:ascii="Montserrat" w:hAnsi="Montserrat"/>
          <w:color w:val="000000"/>
          <w:sz w:val="22"/>
          <w:szCs w:val="22"/>
        </w:rPr>
        <w:t>acciones para la accesibilidad en planes de estudio de educación artística para Personas con discapacidad.  </w:t>
      </w:r>
    </w:p>
    <w:p w14:paraId="461B3F92" w14:textId="77777777" w:rsidR="007749B2" w:rsidRPr="007749B2" w:rsidRDefault="007749B2" w:rsidP="00645EC4">
      <w:pPr>
        <w:jc w:val="both"/>
        <w:rPr>
          <w:rFonts w:ascii="Times New Roman" w:eastAsia="Times New Roman" w:hAnsi="Times New Roman" w:cs="Times New Roman"/>
          <w:color w:val="000000"/>
          <w:sz w:val="22"/>
          <w:szCs w:val="22"/>
        </w:rPr>
      </w:pPr>
      <w:r w:rsidRPr="007749B2">
        <w:rPr>
          <w:rFonts w:ascii="Montserrat" w:eastAsia="Times New Roman" w:hAnsi="Montserrat" w:cs="Times New Roman"/>
          <w:color w:val="000000"/>
          <w:sz w:val="22"/>
          <w:szCs w:val="22"/>
        </w:rPr>
        <w:t> </w:t>
      </w:r>
    </w:p>
    <w:p w14:paraId="1E62ADC4" w14:textId="03010325" w:rsidR="007749B2" w:rsidRPr="00AA0E7B" w:rsidRDefault="007749B2" w:rsidP="00E31990">
      <w:pPr>
        <w:numPr>
          <w:ilvl w:val="0"/>
          <w:numId w:val="17"/>
        </w:numPr>
        <w:jc w:val="both"/>
        <w:rPr>
          <w:rFonts w:ascii="Times New Roman" w:eastAsia="Times New Roman" w:hAnsi="Times New Roman" w:cs="Times New Roman"/>
          <w:color w:val="000000"/>
          <w:sz w:val="22"/>
          <w:szCs w:val="22"/>
        </w:rPr>
      </w:pPr>
      <w:r w:rsidRPr="007749B2">
        <w:rPr>
          <w:rFonts w:ascii="Montserrat" w:eastAsia="Times New Roman" w:hAnsi="Montserrat" w:cs="Times New Roman"/>
          <w:color w:val="000000"/>
          <w:sz w:val="22"/>
          <w:szCs w:val="22"/>
        </w:rPr>
        <w:t xml:space="preserve">Las políticas en las Escuelas </w:t>
      </w:r>
      <w:r w:rsidRPr="00AA0E7B">
        <w:rPr>
          <w:rFonts w:ascii="Montserrat" w:eastAsia="Times New Roman" w:hAnsi="Montserrat" w:cs="Times New Roman"/>
          <w:color w:val="000000"/>
          <w:sz w:val="22"/>
          <w:szCs w:val="22"/>
        </w:rPr>
        <w:t>del Instituto Nacional de Bellas Artes y Literatura (INBAL), consideran la atención a las personas con alguna discapacidad, manteniendo la inclusión en sus programas académicos de acuerdo a las especificidades de cada una de las Escuelas.  </w:t>
      </w:r>
      <w:r w:rsidRPr="00AA0E7B">
        <w:rPr>
          <w:rFonts w:ascii="Calibri" w:eastAsia="Times New Roman" w:hAnsi="Calibri" w:cs="Calibri"/>
          <w:color w:val="000000"/>
          <w:sz w:val="22"/>
          <w:szCs w:val="22"/>
        </w:rPr>
        <w:br/>
      </w:r>
    </w:p>
    <w:p w14:paraId="4AB0F6FE" w14:textId="77777777" w:rsidR="007749B2" w:rsidRPr="007749B2" w:rsidRDefault="007749B2" w:rsidP="00E31990">
      <w:pPr>
        <w:numPr>
          <w:ilvl w:val="0"/>
          <w:numId w:val="17"/>
        </w:numPr>
        <w:jc w:val="both"/>
        <w:rPr>
          <w:rFonts w:ascii="Times New Roman" w:eastAsia="Times New Roman" w:hAnsi="Times New Roman" w:cs="Times New Roman"/>
          <w:color w:val="000000"/>
          <w:sz w:val="22"/>
          <w:szCs w:val="22"/>
        </w:rPr>
      </w:pPr>
      <w:r w:rsidRPr="00AA0E7B">
        <w:rPr>
          <w:rFonts w:ascii="Montserrat" w:eastAsia="Times New Roman" w:hAnsi="Montserrat" w:cs="Times New Roman"/>
          <w:color w:val="000000"/>
          <w:sz w:val="22"/>
          <w:szCs w:val="22"/>
        </w:rPr>
        <w:t>El INBAL reportó la reciente creación de una maestría para la formación de artistas que realicen proyectos con personas con discapacidad, adscrita a la Escuela Nacional de Danza Nellie y Gloria Campobello, titulada Maestría en Proyectos Inclusivos en Artes. Es importante mencionar que el programa se encuentra aún</w:t>
      </w:r>
      <w:r w:rsidRPr="007749B2">
        <w:rPr>
          <w:rFonts w:ascii="Montserrat" w:eastAsia="Times New Roman" w:hAnsi="Montserrat" w:cs="Times New Roman"/>
          <w:color w:val="000000"/>
          <w:sz w:val="22"/>
          <w:szCs w:val="22"/>
        </w:rPr>
        <w:t xml:space="preserve"> en revisión por parte de la Dirección de Asuntos Académicos. </w:t>
      </w:r>
    </w:p>
    <w:p w14:paraId="79D6F105" w14:textId="770EC020" w:rsidR="00FC7064" w:rsidRDefault="00FC7064" w:rsidP="00CD29AA">
      <w:pPr>
        <w:jc w:val="both"/>
        <w:rPr>
          <w:rFonts w:ascii="Montserrat" w:hAnsi="Montserrat"/>
          <w:color w:val="000000" w:themeColor="text1"/>
          <w:sz w:val="22"/>
          <w:szCs w:val="22"/>
        </w:rPr>
      </w:pPr>
    </w:p>
    <w:p w14:paraId="30E3DD8D" w14:textId="70288635" w:rsidR="00FC7064" w:rsidRPr="00935B3C" w:rsidRDefault="00FC7064" w:rsidP="00CD29AA">
      <w:pPr>
        <w:jc w:val="both"/>
        <w:rPr>
          <w:rFonts w:ascii="Montserrat" w:hAnsi="Montserrat"/>
          <w:sz w:val="22"/>
          <w:szCs w:val="22"/>
        </w:rPr>
      </w:pPr>
      <w:r w:rsidRPr="00935B3C">
        <w:rPr>
          <w:rFonts w:ascii="Montserrat" w:hAnsi="Montserrat"/>
          <w:sz w:val="22"/>
          <w:szCs w:val="22"/>
        </w:rPr>
        <w:t>E</w:t>
      </w:r>
      <w:r>
        <w:rPr>
          <w:rFonts w:ascii="Montserrat" w:hAnsi="Montserrat"/>
          <w:sz w:val="22"/>
          <w:szCs w:val="22"/>
        </w:rPr>
        <w:t xml:space="preserve">n cuanto a la </w:t>
      </w:r>
      <w:r w:rsidRPr="00FC7064">
        <w:rPr>
          <w:rFonts w:ascii="Montserrat" w:hAnsi="Montserrat"/>
          <w:sz w:val="22"/>
          <w:szCs w:val="22"/>
        </w:rPr>
        <w:t>armoniza</w:t>
      </w:r>
      <w:r>
        <w:rPr>
          <w:rFonts w:ascii="Montserrat" w:hAnsi="Montserrat"/>
          <w:sz w:val="22"/>
          <w:szCs w:val="22"/>
        </w:rPr>
        <w:t>ción de la</w:t>
      </w:r>
      <w:r w:rsidRPr="00FC7064">
        <w:rPr>
          <w:rFonts w:ascii="Montserrat" w:hAnsi="Montserrat"/>
          <w:sz w:val="22"/>
          <w:szCs w:val="22"/>
        </w:rPr>
        <w:t xml:space="preserve"> legislación nacional sobre educación en línea</w:t>
      </w:r>
      <w:r>
        <w:rPr>
          <w:rFonts w:ascii="Montserrat" w:hAnsi="Montserrat"/>
          <w:sz w:val="22"/>
          <w:szCs w:val="22"/>
        </w:rPr>
        <w:t>, e</w:t>
      </w:r>
      <w:r w:rsidRPr="00935B3C">
        <w:rPr>
          <w:rFonts w:ascii="Montserrat" w:hAnsi="Montserrat"/>
          <w:sz w:val="22"/>
          <w:szCs w:val="22"/>
        </w:rPr>
        <w:t>l Artículo 3º de la Constitución Política de los Estados Unidos Mexicanos</w:t>
      </w:r>
      <w:r>
        <w:rPr>
          <w:rFonts w:ascii="Montserrat" w:hAnsi="Montserrat"/>
          <w:sz w:val="22"/>
          <w:szCs w:val="22"/>
        </w:rPr>
        <w:t xml:space="preserve"> establece l</w:t>
      </w:r>
      <w:r w:rsidRPr="00935B3C">
        <w:rPr>
          <w:rFonts w:ascii="Montserrat" w:hAnsi="Montserrat"/>
          <w:sz w:val="22"/>
          <w:szCs w:val="22"/>
        </w:rPr>
        <w:t>a educación inicial, preescolar, primaria y secundaria, conforman la educación básica; ésta y la media superior serán obligatorias, la educación superior lo será en términos de la fracción X del presente artículo. La educación inicial es un derecho de la niñez y será responsabilidad del Estado concientizar sobre su importancia. Asimismo... “corresponde al Estado la rectoría de la educación, la impartida por éste, además de obligatoria, será universal, inclusiva, pública, gratuita y laica” ... “El Estado priorizará el interés superior de niñas, niños, adolescentes y jóvenes en el acceso, permanencia y participación en los servicios educativos” ...</w:t>
      </w:r>
    </w:p>
    <w:p w14:paraId="05231F63" w14:textId="77777777" w:rsidR="00FC7064" w:rsidRDefault="00FC7064" w:rsidP="00CD29AA">
      <w:pPr>
        <w:jc w:val="both"/>
        <w:rPr>
          <w:rFonts w:ascii="Montserrat" w:hAnsi="Montserrat"/>
          <w:sz w:val="22"/>
          <w:szCs w:val="22"/>
        </w:rPr>
      </w:pPr>
    </w:p>
    <w:p w14:paraId="01E049CF" w14:textId="47E2D6BD" w:rsidR="00FC7064" w:rsidRPr="00935B3C" w:rsidRDefault="00FC7064" w:rsidP="00CD29AA">
      <w:pPr>
        <w:jc w:val="both"/>
        <w:rPr>
          <w:rFonts w:ascii="Montserrat" w:hAnsi="Montserrat"/>
          <w:sz w:val="22"/>
          <w:szCs w:val="22"/>
        </w:rPr>
      </w:pPr>
      <w:r w:rsidRPr="00935B3C">
        <w:rPr>
          <w:rFonts w:ascii="Montserrat" w:hAnsi="Montserrat"/>
          <w:sz w:val="22"/>
          <w:szCs w:val="22"/>
        </w:rPr>
        <w:t xml:space="preserve">Por lo tanto, “Los planteles educativos constituyen un espacio fundamental para el proceso de enseñanza aprendizaje. El Estado garantizará que los materiales didácticos, la infraestructura educativa, su mantenimiento y las condiciones del entorno, sean idóneos y contribuyan a los fines de la educación”. De esta manera, la Ley General de Educación </w:t>
      </w:r>
      <w:r w:rsidR="00837CA5">
        <w:rPr>
          <w:rFonts w:ascii="Montserrat" w:hAnsi="Montserrat"/>
          <w:sz w:val="22"/>
          <w:szCs w:val="22"/>
        </w:rPr>
        <w:t xml:space="preserve">(LGE) </w:t>
      </w:r>
      <w:r w:rsidRPr="00935B3C">
        <w:rPr>
          <w:rFonts w:ascii="Montserrat" w:hAnsi="Montserrat"/>
          <w:sz w:val="22"/>
          <w:szCs w:val="22"/>
        </w:rPr>
        <w:t xml:space="preserve">a su vez </w:t>
      </w:r>
      <w:r w:rsidRPr="00935B3C">
        <w:rPr>
          <w:rFonts w:ascii="Montserrat" w:hAnsi="Montserrat"/>
          <w:sz w:val="22"/>
          <w:szCs w:val="22"/>
        </w:rPr>
        <w:lastRenderedPageBreak/>
        <w:t>menciona, en el Artículo 7, “corresponde al Estado la rectoría de la educación; la impartida por éste, además de obligatoria, será:</w:t>
      </w:r>
    </w:p>
    <w:p w14:paraId="147C2E05" w14:textId="77777777" w:rsidR="00FC7064" w:rsidRPr="00935B3C" w:rsidRDefault="00FC7064" w:rsidP="00CD29AA">
      <w:pPr>
        <w:ind w:left="708"/>
        <w:jc w:val="both"/>
        <w:rPr>
          <w:rFonts w:ascii="Montserrat" w:hAnsi="Montserrat"/>
          <w:sz w:val="22"/>
          <w:szCs w:val="22"/>
        </w:rPr>
      </w:pPr>
      <w:r w:rsidRPr="00935B3C">
        <w:rPr>
          <w:rFonts w:ascii="Montserrat" w:hAnsi="Montserrat"/>
          <w:sz w:val="22"/>
          <w:szCs w:val="22"/>
        </w:rPr>
        <w:t xml:space="preserve">I. </w:t>
      </w:r>
      <w:r w:rsidRPr="004C2F5E">
        <w:rPr>
          <w:rFonts w:ascii="Montserrat" w:hAnsi="Montserrat"/>
          <w:sz w:val="22"/>
          <w:szCs w:val="22"/>
          <w:u w:val="single"/>
        </w:rPr>
        <w:t>Universal,</w:t>
      </w:r>
      <w:r w:rsidRPr="00935B3C">
        <w:rPr>
          <w:rFonts w:ascii="Montserrat" w:hAnsi="Montserrat"/>
          <w:sz w:val="22"/>
          <w:szCs w:val="22"/>
        </w:rPr>
        <w:t xml:space="preserve"> al ser un derecho humano que corresponde a todas las personas por igual, por lo que:</w:t>
      </w:r>
    </w:p>
    <w:p w14:paraId="7AFE228C" w14:textId="77777777" w:rsidR="00FC7064" w:rsidRPr="00935B3C" w:rsidRDefault="00FC7064" w:rsidP="00CD29AA">
      <w:pPr>
        <w:ind w:left="708"/>
        <w:jc w:val="both"/>
        <w:rPr>
          <w:rFonts w:ascii="Montserrat" w:hAnsi="Montserrat"/>
          <w:sz w:val="22"/>
          <w:szCs w:val="22"/>
        </w:rPr>
      </w:pPr>
      <w:r w:rsidRPr="00935B3C">
        <w:rPr>
          <w:rFonts w:ascii="Montserrat" w:hAnsi="Montserrat"/>
          <w:sz w:val="22"/>
          <w:szCs w:val="22"/>
        </w:rPr>
        <w:t>a) Extenderá sus beneficios sin discriminación alguna, de conformidad con lo dispuesto en el artículo 1o. de la Constitución Política de los Estados Unidos Mexicanos, y b) Tendrá especial énfasis en el estudio de la realidad y las culturas nacionales;</w:t>
      </w:r>
    </w:p>
    <w:p w14:paraId="02805690" w14:textId="77777777" w:rsidR="00FC7064" w:rsidRPr="00935B3C" w:rsidRDefault="00FC7064" w:rsidP="00CD29AA">
      <w:pPr>
        <w:ind w:left="708"/>
        <w:jc w:val="both"/>
        <w:rPr>
          <w:rFonts w:ascii="Montserrat" w:hAnsi="Montserrat"/>
          <w:sz w:val="22"/>
          <w:szCs w:val="22"/>
        </w:rPr>
      </w:pPr>
      <w:r w:rsidRPr="00935B3C">
        <w:rPr>
          <w:rFonts w:ascii="Montserrat" w:hAnsi="Montserrat"/>
          <w:sz w:val="22"/>
          <w:szCs w:val="22"/>
        </w:rPr>
        <w:t xml:space="preserve">II. </w:t>
      </w:r>
      <w:r w:rsidRPr="004C2F5E">
        <w:rPr>
          <w:rFonts w:ascii="Montserrat" w:hAnsi="Montserrat"/>
          <w:sz w:val="22"/>
          <w:szCs w:val="22"/>
          <w:u w:val="single"/>
        </w:rPr>
        <w:t>Inclusiva</w:t>
      </w:r>
      <w:r w:rsidRPr="00935B3C">
        <w:rPr>
          <w:rFonts w:ascii="Montserrat" w:hAnsi="Montserrat"/>
          <w:sz w:val="22"/>
          <w:szCs w:val="22"/>
        </w:rPr>
        <w:t xml:space="preserve">, eliminando toda forma de discriminación y exclusión, así como las demás condiciones estructurales que se convierten en barreras al aprendizaje y la participación, por lo que: a) Atenderá las capacidades, circunstancias, necesidades, estilos y ritmos de aprendizaje de los educandos; b) Eliminará las distintas barreras al aprendizaje y a la participación que enfrentan cada uno de los educandos, para lo cual las autoridades educativas, en el ámbito de su competencia, adoptarán medidas en favor de la accesibilidad y los ajustes razonables; c) Proveerá de los recursos técnicos-pedagógicos y materiales necesarios para los servicios educativos, y d) Establecerá la educación especial disponible para todos los tipos, niveles, modalidades y opciones educativas, la cual se proporcionará en condiciones necesarias, a partir de la  decisión y previa valoración por parte de los educandos, madres y padres de familia o tutores, personal docente y, en su caso, por una condición de salud; </w:t>
      </w:r>
    </w:p>
    <w:p w14:paraId="108595FA" w14:textId="77777777" w:rsidR="00FC7064" w:rsidRPr="00935B3C" w:rsidRDefault="00FC7064" w:rsidP="00CD29AA">
      <w:pPr>
        <w:ind w:left="708"/>
        <w:jc w:val="both"/>
        <w:rPr>
          <w:rFonts w:ascii="Montserrat" w:hAnsi="Montserrat"/>
          <w:sz w:val="22"/>
          <w:szCs w:val="22"/>
        </w:rPr>
      </w:pPr>
      <w:r w:rsidRPr="00935B3C">
        <w:rPr>
          <w:rFonts w:ascii="Montserrat" w:hAnsi="Montserrat"/>
          <w:sz w:val="22"/>
          <w:szCs w:val="22"/>
        </w:rPr>
        <w:t xml:space="preserve"> III. </w:t>
      </w:r>
      <w:r w:rsidRPr="004C2F5E">
        <w:rPr>
          <w:rFonts w:ascii="Montserrat" w:hAnsi="Montserrat"/>
          <w:sz w:val="22"/>
          <w:szCs w:val="22"/>
          <w:u w:val="single"/>
        </w:rPr>
        <w:t>Pública</w:t>
      </w:r>
      <w:r w:rsidRPr="00935B3C">
        <w:rPr>
          <w:rFonts w:ascii="Montserrat" w:hAnsi="Montserrat"/>
          <w:sz w:val="22"/>
          <w:szCs w:val="22"/>
        </w:rPr>
        <w:t xml:space="preserve">, al ser impartida y administrada por el Estado, por lo que: Asegurará que el proceso educativo responda al interés social y a las finalidades de orden público para el beneficio de la Nación, y b) Vigilará que, la educación impartida por particulares cumpla con las normas de orden público que rigen al proceso educativo y al Sistema Educativo Nacional que se determinen en esta Ley y demás disposiciones aplicables; IV. Gratuita, al ser un servicio público garantizado por el Estado, por lo que:  a) Se prohíbe el pago de cualquier contraprestación que impida o condicione la prestación de este servicio en la educación que imparta el Estado; b) No se podrá condicionar la inscripción, el acceso a los planteles, la aplicación de evaluaciones o exámenes, la entrega de documentación a los educandos al pago de contraprestación alguna, ni afectar en cualquier sentido la igualdad en el trato a los educandos [..] Las donaciones o aportaciones voluntarias destinadas a dicha educación en ningún caso se entenderán como contraprestación del servicio educativo. Las autoridades educativas, en el ámbito de su competencia, definirán los mecanismos para su regulación, destino, aplicación, transparencia y vigilancia, además tendrán la facultad de apoyarse en instituciones que se determinen para tal fin, y V. Laica, al mantenerse por completo ajena a cualquier doctrina religiosa. </w:t>
      </w:r>
    </w:p>
    <w:p w14:paraId="239169B7" w14:textId="77777777" w:rsidR="00FC7064" w:rsidRDefault="00FC7064" w:rsidP="00CD29AA">
      <w:pPr>
        <w:jc w:val="both"/>
        <w:rPr>
          <w:rFonts w:ascii="Montserrat" w:hAnsi="Montserrat"/>
          <w:sz w:val="22"/>
          <w:szCs w:val="22"/>
        </w:rPr>
      </w:pPr>
    </w:p>
    <w:p w14:paraId="6FD74C1F" w14:textId="2F77D775" w:rsidR="00FC7064" w:rsidRDefault="00FC7064" w:rsidP="00CD29AA">
      <w:pPr>
        <w:jc w:val="both"/>
        <w:rPr>
          <w:rFonts w:ascii="Montserrat" w:hAnsi="Montserrat"/>
          <w:sz w:val="22"/>
          <w:szCs w:val="22"/>
        </w:rPr>
      </w:pPr>
      <w:r w:rsidRPr="00935B3C">
        <w:rPr>
          <w:rFonts w:ascii="Montserrat" w:hAnsi="Montserrat"/>
          <w:sz w:val="22"/>
          <w:szCs w:val="22"/>
        </w:rPr>
        <w:t xml:space="preserve">Así como el artículo 170, que establece que “Son infracciones de quienes prestan servicios educativos: V. Expulsar, segregar o negarse a prestar el servicio educativo a personas con discapacidad o que presenten problemas de aprendizaje; obligar a los educandos a someterse a tratamientos médicos para condicionar su aceptación o permanencia en el plantel, o bien, presionar de cualquier manera a sus madres y padres de familia o tutores para que se </w:t>
      </w:r>
      <w:r w:rsidRPr="00935B3C">
        <w:rPr>
          <w:rFonts w:ascii="Montserrat" w:hAnsi="Montserrat"/>
          <w:sz w:val="22"/>
          <w:szCs w:val="22"/>
        </w:rPr>
        <w:lastRenderedPageBreak/>
        <w:t xml:space="preserve">los realicen, salvo causa debidamente justificada a juicio de las autoridades educativas”. </w:t>
      </w:r>
    </w:p>
    <w:p w14:paraId="7FD7F8EC" w14:textId="77777777" w:rsidR="00FC7064" w:rsidRPr="00935B3C" w:rsidRDefault="00FC7064" w:rsidP="00CD29AA">
      <w:pPr>
        <w:jc w:val="both"/>
        <w:rPr>
          <w:rFonts w:ascii="Montserrat" w:hAnsi="Montserrat"/>
          <w:sz w:val="22"/>
          <w:szCs w:val="22"/>
        </w:rPr>
      </w:pPr>
    </w:p>
    <w:p w14:paraId="319029DD" w14:textId="265334D2" w:rsidR="00FC7064" w:rsidRDefault="00FC7064" w:rsidP="00CD29AA">
      <w:pPr>
        <w:jc w:val="both"/>
        <w:rPr>
          <w:rFonts w:ascii="Montserrat" w:hAnsi="Montserrat"/>
          <w:sz w:val="22"/>
          <w:szCs w:val="22"/>
        </w:rPr>
      </w:pPr>
      <w:r w:rsidRPr="00935B3C">
        <w:rPr>
          <w:rFonts w:ascii="Montserrat" w:hAnsi="Montserrat"/>
          <w:sz w:val="22"/>
          <w:szCs w:val="22"/>
        </w:rPr>
        <w:t>En la Ley General para la Inclusión de las personas con discapacidad. (últimas reformas publicadas en el DOF el 12-07 – 2018. Se menciona: Capítulo III Educación, Artículo 12, fracción III. Establecer mecanismos a fin de que las niñas y los niños con discapacidad gocen del derecho a la admisión gratuita y obligatoria, así como a la atención especializada, en los centros de desarrollo infantil, guarderías públicas y en guarderías privadas mediante convenios de servicios. Las niñas y niños con discapacidad no podrán ser condicionados en su integración a la educación inicial o preescolar; y en la fracción IV. Incorporar a los docentes y personal asignado que intervengan directamente en la integración educativa de personas con discapacidad, al Sistema Nacional de formación, actualización, capacitación y superación profesional para maestros de educación básica</w:t>
      </w:r>
      <w:r w:rsidR="00F7346D">
        <w:rPr>
          <w:rFonts w:ascii="Montserrat" w:hAnsi="Montserrat"/>
          <w:sz w:val="22"/>
          <w:szCs w:val="22"/>
        </w:rPr>
        <w:t>.</w:t>
      </w:r>
    </w:p>
    <w:p w14:paraId="611E2B90" w14:textId="78FAEE09" w:rsidR="00F7346D" w:rsidRDefault="00F7346D" w:rsidP="00CD29AA">
      <w:pPr>
        <w:jc w:val="both"/>
        <w:rPr>
          <w:rFonts w:ascii="Montserrat" w:hAnsi="Montserrat"/>
          <w:sz w:val="22"/>
          <w:szCs w:val="22"/>
        </w:rPr>
      </w:pPr>
    </w:p>
    <w:p w14:paraId="0663FF64" w14:textId="7AB64B44" w:rsidR="00F7346D" w:rsidRDefault="00F7346D" w:rsidP="00CD29AA">
      <w:pPr>
        <w:jc w:val="both"/>
        <w:rPr>
          <w:rFonts w:ascii="Montserrat" w:hAnsi="Montserrat"/>
          <w:sz w:val="22"/>
          <w:szCs w:val="22"/>
        </w:rPr>
      </w:pPr>
      <w:r>
        <w:rPr>
          <w:rFonts w:ascii="Montserrat" w:hAnsi="Montserrat"/>
          <w:sz w:val="22"/>
          <w:szCs w:val="22"/>
        </w:rPr>
        <w:t xml:space="preserve">Por otra parte, entre las </w:t>
      </w:r>
      <w:r w:rsidRPr="00F7346D">
        <w:rPr>
          <w:rFonts w:ascii="Montserrat" w:hAnsi="Montserrat"/>
          <w:sz w:val="22"/>
          <w:szCs w:val="22"/>
        </w:rPr>
        <w:t>medidas</w:t>
      </w:r>
      <w:r>
        <w:rPr>
          <w:rFonts w:ascii="Montserrat" w:hAnsi="Montserrat"/>
          <w:sz w:val="22"/>
          <w:szCs w:val="22"/>
        </w:rPr>
        <w:t xml:space="preserve"> que</w:t>
      </w:r>
      <w:r w:rsidRPr="00F7346D">
        <w:rPr>
          <w:rFonts w:ascii="Montserrat" w:hAnsi="Montserrat"/>
          <w:sz w:val="22"/>
          <w:szCs w:val="22"/>
        </w:rPr>
        <w:t xml:space="preserve"> se han aplicado para garantizar que todas las personas con discapacidad queden incluidas en el sistema de educación</w:t>
      </w:r>
      <w:r>
        <w:rPr>
          <w:rFonts w:ascii="Montserrat" w:hAnsi="Montserrat"/>
          <w:sz w:val="22"/>
          <w:szCs w:val="22"/>
        </w:rPr>
        <w:t xml:space="preserve">, se destaca lo contemplado en el </w:t>
      </w:r>
      <w:r w:rsidRPr="00935B3C">
        <w:rPr>
          <w:rFonts w:ascii="Montserrat" w:hAnsi="Montserrat"/>
          <w:sz w:val="22"/>
          <w:szCs w:val="22"/>
        </w:rPr>
        <w:t xml:space="preserve">capítulo X de la </w:t>
      </w:r>
      <w:r>
        <w:rPr>
          <w:rFonts w:ascii="Montserrat" w:hAnsi="Montserrat"/>
          <w:sz w:val="22"/>
          <w:szCs w:val="22"/>
        </w:rPr>
        <w:t>LGE que</w:t>
      </w:r>
      <w:r w:rsidRPr="00935B3C">
        <w:rPr>
          <w:rFonts w:ascii="Montserrat" w:hAnsi="Montserrat"/>
          <w:sz w:val="22"/>
          <w:szCs w:val="22"/>
        </w:rPr>
        <w:t xml:space="preserve"> establece que “el educando será prioridad en el sistema educativo nacional</w:t>
      </w:r>
      <w:r>
        <w:rPr>
          <w:rFonts w:ascii="Montserrat" w:hAnsi="Montserrat"/>
          <w:sz w:val="22"/>
          <w:szCs w:val="22"/>
        </w:rPr>
        <w:t xml:space="preserve"> y</w:t>
      </w:r>
      <w:r w:rsidRPr="00935B3C">
        <w:rPr>
          <w:rFonts w:ascii="Montserrat" w:hAnsi="Montserrat"/>
          <w:sz w:val="22"/>
          <w:szCs w:val="22"/>
        </w:rPr>
        <w:t xml:space="preserve"> en el Articulo 83 refiere que “La formación para el trabajo deberá estar enfocada en la adquisición de conocimientos, habilidades, destrezas y actitudes, que permitan a la persona desempeñar una actividad productiva, mediante alguna ocupación o algún oficio calificado. Se realizará poniendo especial atención a las personas con discapacidad con el fin de desarrollar capacidades para su inclusión laboral”.</w:t>
      </w:r>
    </w:p>
    <w:p w14:paraId="3E725B73" w14:textId="77777777" w:rsidR="00F7346D" w:rsidRPr="00935B3C" w:rsidRDefault="00F7346D" w:rsidP="00CD29AA">
      <w:pPr>
        <w:jc w:val="both"/>
        <w:rPr>
          <w:rFonts w:ascii="Montserrat" w:hAnsi="Montserrat"/>
          <w:sz w:val="22"/>
          <w:szCs w:val="22"/>
        </w:rPr>
      </w:pPr>
    </w:p>
    <w:p w14:paraId="4549458B" w14:textId="11FE57F0" w:rsidR="00F7346D" w:rsidRPr="00935B3C" w:rsidRDefault="00F7346D" w:rsidP="00CD29AA">
      <w:pPr>
        <w:jc w:val="both"/>
        <w:rPr>
          <w:rFonts w:ascii="Montserrat" w:hAnsi="Montserrat"/>
          <w:sz w:val="22"/>
          <w:szCs w:val="22"/>
        </w:rPr>
      </w:pPr>
      <w:r w:rsidRPr="00F7346D">
        <w:rPr>
          <w:rFonts w:ascii="Montserrat" w:hAnsi="Montserrat"/>
          <w:sz w:val="22"/>
          <w:szCs w:val="22"/>
        </w:rPr>
        <w:t>La Ley General para la Inclusión de las personas con discapacidad</w:t>
      </w:r>
      <w:r>
        <w:rPr>
          <w:rFonts w:ascii="Montserrat" w:hAnsi="Montserrat"/>
          <w:sz w:val="22"/>
          <w:szCs w:val="22"/>
        </w:rPr>
        <w:t xml:space="preserve"> menciona </w:t>
      </w:r>
      <w:r w:rsidRPr="00935B3C">
        <w:rPr>
          <w:rFonts w:ascii="Montserrat" w:hAnsi="Montserrat"/>
          <w:sz w:val="22"/>
          <w:szCs w:val="22"/>
        </w:rPr>
        <w:t>en su Capítulo III Educación Artículo 12</w:t>
      </w:r>
      <w:r>
        <w:rPr>
          <w:rFonts w:ascii="Montserrat" w:hAnsi="Montserrat"/>
          <w:sz w:val="22"/>
          <w:szCs w:val="22"/>
        </w:rPr>
        <w:t xml:space="preserve"> que</w:t>
      </w:r>
      <w:r w:rsidRPr="00935B3C">
        <w:rPr>
          <w:rFonts w:ascii="Montserrat" w:hAnsi="Montserrat"/>
          <w:sz w:val="22"/>
          <w:szCs w:val="22"/>
        </w:rPr>
        <w:t xml:space="preserve"> </w:t>
      </w:r>
      <w:r>
        <w:rPr>
          <w:rFonts w:ascii="Montserrat" w:hAnsi="Montserrat"/>
          <w:sz w:val="22"/>
          <w:szCs w:val="22"/>
        </w:rPr>
        <w:t>l</w:t>
      </w:r>
      <w:r w:rsidRPr="00935B3C">
        <w:rPr>
          <w:rFonts w:ascii="Montserrat" w:hAnsi="Montserrat"/>
          <w:sz w:val="22"/>
          <w:szCs w:val="22"/>
        </w:rPr>
        <w:t>a Secretaría de Educación Pública promoverá el derecho a la educación de las personas con discapacidad, prohibiendo cualquier discriminación en planteles, centros educativos, guarderías o del personal docente o administrativo del Sistema Educativo Nacional. Para tales efectos, realizará las siguientes acciones</w:t>
      </w:r>
      <w:r w:rsidR="00CB37C8">
        <w:rPr>
          <w:rFonts w:ascii="Montserrat" w:hAnsi="Montserrat"/>
          <w:sz w:val="22"/>
          <w:szCs w:val="22"/>
        </w:rPr>
        <w:t>, entre otras</w:t>
      </w:r>
      <w:r w:rsidRPr="00935B3C">
        <w:rPr>
          <w:rFonts w:ascii="Montserrat" w:hAnsi="Montserrat"/>
          <w:sz w:val="22"/>
          <w:szCs w:val="22"/>
        </w:rPr>
        <w:t xml:space="preserve">:  </w:t>
      </w:r>
    </w:p>
    <w:p w14:paraId="6BF16C20" w14:textId="77777777" w:rsidR="00CB37C8" w:rsidRDefault="00F7346D" w:rsidP="00CD29AA">
      <w:pPr>
        <w:ind w:left="708"/>
        <w:jc w:val="both"/>
        <w:rPr>
          <w:rFonts w:ascii="Montserrat" w:hAnsi="Montserrat"/>
          <w:sz w:val="22"/>
          <w:szCs w:val="22"/>
        </w:rPr>
      </w:pPr>
      <w:r w:rsidRPr="00935B3C">
        <w:rPr>
          <w:rFonts w:ascii="Montserrat" w:hAnsi="Montserrat"/>
          <w:sz w:val="22"/>
          <w:szCs w:val="22"/>
        </w:rPr>
        <w:t xml:space="preserve">II. Impulsar la inclusión de las personas con discapacidad en todos los niveles del Sistema Educativo Nacional, desarrollando y aplicando normas y reglamentos que eviten su discriminación y las condiciones de accesibilidad en, </w:t>
      </w:r>
    </w:p>
    <w:p w14:paraId="22C7C787" w14:textId="77777777" w:rsidR="00CB37C8" w:rsidRDefault="00F7346D" w:rsidP="00CD29AA">
      <w:pPr>
        <w:ind w:left="708"/>
        <w:jc w:val="both"/>
        <w:rPr>
          <w:rFonts w:ascii="Montserrat" w:hAnsi="Montserrat"/>
          <w:sz w:val="22"/>
          <w:szCs w:val="22"/>
        </w:rPr>
      </w:pPr>
      <w:r w:rsidRPr="00935B3C">
        <w:rPr>
          <w:rFonts w:ascii="Montserrat" w:hAnsi="Montserrat"/>
          <w:sz w:val="22"/>
          <w:szCs w:val="22"/>
        </w:rPr>
        <w:t xml:space="preserve">III. Establecer mecanismos a fin de que las niñas y los niños con discapacidad gocen del derecho a la admisión gratuita y obligatoria, así como a la atención especializada, en los centros de desarrollo infantil, guarderías públicas y en guarderías privadas mediante convenios de servicios. Las niñas y niños con discapacidad no podrán ser condicionados en su integración a la educación inicial o preescolar; </w:t>
      </w:r>
    </w:p>
    <w:p w14:paraId="2247F16D" w14:textId="77777777" w:rsidR="00CB37C8" w:rsidRDefault="00F7346D" w:rsidP="00CD29AA">
      <w:pPr>
        <w:ind w:left="708"/>
        <w:jc w:val="both"/>
        <w:rPr>
          <w:rFonts w:ascii="Montserrat" w:hAnsi="Montserrat"/>
          <w:sz w:val="22"/>
          <w:szCs w:val="22"/>
        </w:rPr>
      </w:pPr>
      <w:r w:rsidRPr="00935B3C">
        <w:rPr>
          <w:rFonts w:ascii="Montserrat" w:hAnsi="Montserrat"/>
          <w:sz w:val="22"/>
          <w:szCs w:val="22"/>
        </w:rPr>
        <w:t xml:space="preserve">VII. Incluir la enseñanza del Sistema de Escritura Braille y la Lengua de Señas Mexicana en la educación pública y privada, fomentando la producción y distribución de libros de texto gratuitos en Sistema de Escritura Braille, macrotipos y textos audibles que complementen los conocimientos de los alumnos con discapacidad; </w:t>
      </w:r>
    </w:p>
    <w:p w14:paraId="1CED6AF6" w14:textId="77777777" w:rsidR="00CB37C8" w:rsidRDefault="00F7346D" w:rsidP="00CD29AA">
      <w:pPr>
        <w:ind w:left="708"/>
        <w:jc w:val="both"/>
        <w:rPr>
          <w:rFonts w:ascii="Montserrat" w:hAnsi="Montserrat"/>
          <w:sz w:val="22"/>
          <w:szCs w:val="22"/>
        </w:rPr>
      </w:pPr>
      <w:r w:rsidRPr="00935B3C">
        <w:rPr>
          <w:rFonts w:ascii="Montserrat" w:hAnsi="Montserrat"/>
          <w:sz w:val="22"/>
          <w:szCs w:val="22"/>
        </w:rPr>
        <w:t xml:space="preserve">VIII.  Establecer un programa nacional de becas educativas y becas de capacitación para personas con discapacidad en todos los niveles del Sistema Educativo Nacional; </w:t>
      </w:r>
    </w:p>
    <w:p w14:paraId="6D74C067" w14:textId="77777777" w:rsidR="00CB37C8" w:rsidRDefault="00F7346D" w:rsidP="00CD29AA">
      <w:pPr>
        <w:ind w:left="708"/>
        <w:jc w:val="both"/>
        <w:rPr>
          <w:rFonts w:ascii="Montserrat" w:hAnsi="Montserrat"/>
          <w:sz w:val="22"/>
          <w:szCs w:val="22"/>
        </w:rPr>
      </w:pPr>
      <w:r w:rsidRPr="00935B3C">
        <w:rPr>
          <w:rFonts w:ascii="Montserrat" w:hAnsi="Montserrat"/>
          <w:sz w:val="22"/>
          <w:szCs w:val="22"/>
        </w:rPr>
        <w:lastRenderedPageBreak/>
        <w:t xml:space="preserve">IX. Diseñar e implementar programas de formación y certificación de intérpretes, estenógrafos del español y demás personal especializado en la difusión y uso conjunto del español y la Lengua de Señas Mexicana; </w:t>
      </w:r>
    </w:p>
    <w:p w14:paraId="26FDC865" w14:textId="5B2D21C1" w:rsidR="00F7346D" w:rsidRPr="00935B3C" w:rsidRDefault="00F7346D" w:rsidP="00CD29AA">
      <w:pPr>
        <w:ind w:left="708"/>
        <w:jc w:val="both"/>
        <w:rPr>
          <w:rFonts w:ascii="Montserrat" w:hAnsi="Montserrat"/>
          <w:sz w:val="22"/>
          <w:szCs w:val="22"/>
        </w:rPr>
      </w:pPr>
      <w:r w:rsidRPr="00935B3C">
        <w:rPr>
          <w:rFonts w:ascii="Montserrat" w:hAnsi="Montserrat"/>
          <w:sz w:val="22"/>
          <w:szCs w:val="22"/>
        </w:rPr>
        <w:t>X. Impulsar toda forma de comunicación escrita que facilite al sordo hablante, al sordo señante o semilingüe, el desarrollo y uso de la lengua en forma escrita; XI. Impulsar programas de investigación, preservación y desarrollo de la Lengua de Señas Mexicana, de las personas con discapacidad auditiva y de las formas de comunicación de las personas con discapacidad visual;</w:t>
      </w:r>
    </w:p>
    <w:p w14:paraId="2F5A1734" w14:textId="77777777" w:rsidR="00F7346D" w:rsidRPr="00935B3C" w:rsidRDefault="00F7346D" w:rsidP="00FC7064">
      <w:pPr>
        <w:spacing w:line="276" w:lineRule="auto"/>
        <w:jc w:val="both"/>
        <w:rPr>
          <w:rFonts w:ascii="Montserrat" w:eastAsia="Times New Roman" w:hAnsi="Montserrat" w:cs="Times New Roman"/>
          <w:color w:val="000000" w:themeColor="text1"/>
          <w:sz w:val="22"/>
          <w:szCs w:val="22"/>
        </w:rPr>
      </w:pPr>
    </w:p>
    <w:p w14:paraId="28B1E071" w14:textId="6454F211" w:rsidR="00CD29AA" w:rsidRDefault="00CD29AA" w:rsidP="00CD29AA">
      <w:pPr>
        <w:jc w:val="both"/>
        <w:rPr>
          <w:rFonts w:ascii="Montserrat" w:hAnsi="Montserrat"/>
          <w:sz w:val="22"/>
          <w:szCs w:val="22"/>
        </w:rPr>
      </w:pPr>
      <w:r>
        <w:rPr>
          <w:rFonts w:ascii="Montserrat" w:hAnsi="Montserrat"/>
          <w:sz w:val="22"/>
          <w:szCs w:val="22"/>
        </w:rPr>
        <w:t xml:space="preserve">Por otro lado, </w:t>
      </w:r>
      <w:r w:rsidR="00E943D7">
        <w:rPr>
          <w:rFonts w:ascii="Montserrat" w:hAnsi="Montserrat"/>
          <w:sz w:val="22"/>
          <w:szCs w:val="22"/>
        </w:rPr>
        <w:t xml:space="preserve"> </w:t>
      </w:r>
      <w:r>
        <w:rPr>
          <w:rFonts w:ascii="Montserrat" w:hAnsi="Montserrat"/>
          <w:sz w:val="22"/>
          <w:szCs w:val="22"/>
        </w:rPr>
        <w:t>e</w:t>
      </w:r>
      <w:r w:rsidRPr="00935B3C">
        <w:rPr>
          <w:rFonts w:ascii="Montserrat" w:hAnsi="Montserrat"/>
          <w:sz w:val="22"/>
          <w:szCs w:val="22"/>
        </w:rPr>
        <w:t>n los pueblos y comunidades indígenas se impartirá educación plurilingüe e intercultural basada en el respeto, promoción y preservación del patrimonio histórico y cultural;  Por su parte, la Ley General de Educación, en su artículo 14 “Para el cumplimiento de los fines y criterios de la educación conforme a lo dispuesto en este Capítulo, la Secretaría promoverá un Acuerdo Educativo Nacional que considerará las siguientes acciones: […] V. Promover la participación de pueblos y comunidades indígenas en la construcción de los modelos educativos para reconocer la composición pluricultural de la Nación.</w:t>
      </w:r>
    </w:p>
    <w:p w14:paraId="3152A483" w14:textId="77777777" w:rsidR="00CD29AA" w:rsidRPr="00935B3C" w:rsidRDefault="00CD29AA" w:rsidP="00CD29AA">
      <w:pPr>
        <w:jc w:val="both"/>
        <w:rPr>
          <w:rFonts w:ascii="Montserrat" w:hAnsi="Montserrat"/>
          <w:sz w:val="22"/>
          <w:szCs w:val="22"/>
        </w:rPr>
      </w:pPr>
    </w:p>
    <w:p w14:paraId="4AFC2AC3" w14:textId="201949AC" w:rsidR="00CD29AA" w:rsidRDefault="00CD29AA" w:rsidP="00CD29AA">
      <w:pPr>
        <w:jc w:val="both"/>
        <w:rPr>
          <w:rFonts w:ascii="Montserrat" w:hAnsi="Montserrat"/>
          <w:sz w:val="22"/>
          <w:szCs w:val="22"/>
        </w:rPr>
      </w:pPr>
      <w:r w:rsidRPr="00935B3C">
        <w:rPr>
          <w:rFonts w:ascii="Montserrat" w:hAnsi="Montserrat"/>
          <w:sz w:val="22"/>
          <w:szCs w:val="22"/>
        </w:rPr>
        <w:t xml:space="preserve">Así como, el Artículo 30. Los contenidos de los planes y programas de estudio de la educación que impartan el Estado, sus organismos descentralizados y los particulares con autorización o con reconocimiento de validez oficial de estudios, de acuerdo con el tipo y nivel educativo, serán, entre otros, los siguientes: […] V. El conocimiento y, en su caso, el aprendizaje de lenguas indígenas de nuestro país, la importancia de la pluralidad lingüística de la Nación y el respeto a los derechos lingüísticos de los pueblos indígenas; Y el Artículo 48 que habla sobre “La obligatoriedad de la educación superior corresponde al Estado, el cual la garantizará para todas las personas que cumplan con los requisitos solicitados por las instituciones respectivas” […] “En el ámbito de su competencia, las autoridades educativas federal, de las entidades federativas y de los municipios concurrirán para garantizar la gratuidad de la educación en este tipo educativo de manera gradual, comenzando con el nivel de licenciatura y, progresivamente, con los demás niveles de este tipo educativo, en los términos que establezca la ley de la materia, priorizando la inclusión de los pueblos indígenas y los grupos sociales más desfavorecidos para proporcionar la prestación de este servicio educativo en todo el territorio nacional”. </w:t>
      </w:r>
    </w:p>
    <w:p w14:paraId="052C0F99" w14:textId="065F1855" w:rsidR="00CD29AA" w:rsidRDefault="00CD29AA" w:rsidP="00CD29AA">
      <w:pPr>
        <w:jc w:val="both"/>
        <w:rPr>
          <w:rFonts w:ascii="Montserrat" w:hAnsi="Montserrat"/>
          <w:sz w:val="22"/>
          <w:szCs w:val="22"/>
        </w:rPr>
      </w:pPr>
    </w:p>
    <w:p w14:paraId="24C8BBAD" w14:textId="61D23108" w:rsidR="00CD29AA" w:rsidRDefault="00E943D7" w:rsidP="00E943D7">
      <w:pPr>
        <w:tabs>
          <w:tab w:val="left" w:pos="2385"/>
        </w:tabs>
        <w:jc w:val="both"/>
        <w:rPr>
          <w:rFonts w:ascii="Montserrat" w:hAnsi="Montserrat"/>
          <w:sz w:val="22"/>
          <w:szCs w:val="22"/>
        </w:rPr>
      </w:pPr>
      <w:r>
        <w:rPr>
          <w:rFonts w:ascii="Montserrat" w:hAnsi="Montserrat"/>
          <w:sz w:val="22"/>
          <w:szCs w:val="22"/>
        </w:rPr>
        <w:t>Asimismo, el Estado mexicano reconoce la brecha de desigualdad que existe en la atención de población indígena con discapacidad y tiene la convicción de implementar estrategias para la detección y extender la atención de esta población durante todo su trayecto educativo. En ese sentido, compartimos la información con la que se cuenta actualmente. Por lo que e</w:t>
      </w:r>
      <w:r w:rsidR="00CD29AA" w:rsidRPr="00CD29AA">
        <w:rPr>
          <w:rFonts w:ascii="Montserrat" w:hAnsi="Montserrat"/>
          <w:sz w:val="22"/>
          <w:szCs w:val="22"/>
        </w:rPr>
        <w:t>n relación con la participación de la Dirección General de Educación Indígena Intercultural y Bilingüe (DGEII y B) en la Estrategia Nacional de Educación Inclusiva, esta Dirección se integró a las mesas de trabajo desde los inicios de su construcción, aportando datos e información sobre la atención educativa a población indígena y particularmente de niñas y niños indígenas con discapacidad.</w:t>
      </w:r>
    </w:p>
    <w:p w14:paraId="14EB04BE" w14:textId="77777777" w:rsidR="00CD29AA" w:rsidRPr="00CD29AA" w:rsidRDefault="00CD29AA" w:rsidP="00CD29AA">
      <w:pPr>
        <w:jc w:val="both"/>
        <w:rPr>
          <w:rFonts w:ascii="Montserrat" w:hAnsi="Montserrat"/>
          <w:sz w:val="22"/>
          <w:szCs w:val="22"/>
        </w:rPr>
      </w:pPr>
    </w:p>
    <w:p w14:paraId="09352DC1" w14:textId="67F67F4C" w:rsidR="00CD29AA" w:rsidRDefault="00CD29AA" w:rsidP="00CD29AA">
      <w:pPr>
        <w:jc w:val="both"/>
        <w:rPr>
          <w:rFonts w:ascii="Montserrat" w:hAnsi="Montserrat"/>
          <w:sz w:val="22"/>
          <w:szCs w:val="22"/>
        </w:rPr>
      </w:pPr>
      <w:r w:rsidRPr="00CD29AA">
        <w:rPr>
          <w:rFonts w:ascii="Montserrat" w:hAnsi="Montserrat"/>
          <w:sz w:val="22"/>
          <w:szCs w:val="22"/>
        </w:rPr>
        <w:lastRenderedPageBreak/>
        <w:t xml:space="preserve">Principalmente se puso sobre la mesa, la dificultad de acceso a los servicios de educación especial, ya que menos del 1% de las escuelas primarias de Educación Indígena cuenta con los servicios de USAER, se ha expuesto que, aunado a lo anterior, por la lejanía de las comunidades y/o por la falta de recursos de las familias para desplazarse a los lugares en los que pueden encontrar servicios especializados, un número importante de alumnos indígenas con discapacidad quedan sin esa atención. Se propusieron algunas alternativas, por ejemplo, que educación especial se viera fortalecida para contar servicios específicos para atender a escuelas y a población indígena. </w:t>
      </w:r>
      <w:r>
        <w:rPr>
          <w:rFonts w:ascii="Montserrat" w:hAnsi="Montserrat"/>
          <w:sz w:val="22"/>
          <w:szCs w:val="22"/>
        </w:rPr>
        <w:t xml:space="preserve"> </w:t>
      </w:r>
      <w:r w:rsidRPr="00CD29AA">
        <w:rPr>
          <w:rFonts w:ascii="Montserrat" w:hAnsi="Montserrat"/>
          <w:sz w:val="22"/>
          <w:szCs w:val="22"/>
        </w:rPr>
        <w:t>Actualmente se participa en la operación y seguimiento de la Estrategia y se revisan temas de acuerdo a la solicitud del coordinador de la estrategia.</w:t>
      </w:r>
    </w:p>
    <w:p w14:paraId="767E6D42" w14:textId="6B327755" w:rsidR="00CD29AA" w:rsidRDefault="00CD29AA" w:rsidP="00CD29AA">
      <w:pPr>
        <w:jc w:val="both"/>
        <w:rPr>
          <w:rFonts w:ascii="Montserrat" w:hAnsi="Montserrat"/>
          <w:sz w:val="22"/>
          <w:szCs w:val="22"/>
        </w:rPr>
      </w:pPr>
    </w:p>
    <w:p w14:paraId="078036A9" w14:textId="77777777" w:rsidR="00D15318" w:rsidRDefault="00CD29AA" w:rsidP="00CD29AA">
      <w:pPr>
        <w:jc w:val="both"/>
        <w:rPr>
          <w:rFonts w:ascii="Montserrat" w:hAnsi="Montserrat"/>
          <w:sz w:val="22"/>
          <w:szCs w:val="22"/>
        </w:rPr>
      </w:pPr>
      <w:r w:rsidRPr="00935B3C">
        <w:rPr>
          <w:rFonts w:ascii="Montserrat" w:hAnsi="Montserrat"/>
          <w:sz w:val="22"/>
          <w:szCs w:val="22"/>
        </w:rPr>
        <w:t>Se ha dado asesoría a figuras educativas y acompañamiento a entidades federativas con temas y estrategias didácticas especializadas en la atención a alumnos con discapacidad; para ese propósito se llevaron a cabo 43 acciones con 36 escuelas visitadas, 14 entidades atendidas, 3 720 personas beneficiadas, entre figuras educativas, niñas, niños y público en general, como se muestra en el siguiente gráfico</w:t>
      </w:r>
      <w:r>
        <w:rPr>
          <w:rFonts w:ascii="Montserrat" w:hAnsi="Montserrat"/>
          <w:sz w:val="22"/>
          <w:szCs w:val="22"/>
        </w:rPr>
        <w:t xml:space="preserve"> (Ver Anexo 1).</w:t>
      </w:r>
    </w:p>
    <w:p w14:paraId="6FFB0CBF" w14:textId="77777777" w:rsidR="00D15318" w:rsidRDefault="00D15318" w:rsidP="00CD29AA">
      <w:pPr>
        <w:jc w:val="both"/>
        <w:rPr>
          <w:rFonts w:ascii="Montserrat" w:hAnsi="Montserrat"/>
          <w:sz w:val="22"/>
          <w:szCs w:val="22"/>
        </w:rPr>
      </w:pPr>
    </w:p>
    <w:p w14:paraId="0A18E98C" w14:textId="7B74B912" w:rsidR="00CD29AA" w:rsidRDefault="00D15318" w:rsidP="00CD29AA">
      <w:pPr>
        <w:jc w:val="both"/>
        <w:rPr>
          <w:rFonts w:ascii="Montserrat" w:hAnsi="Montserrat"/>
          <w:sz w:val="22"/>
          <w:szCs w:val="22"/>
        </w:rPr>
      </w:pPr>
      <w:r w:rsidRPr="00D15318">
        <w:rPr>
          <w:rFonts w:ascii="Montserrat" w:hAnsi="Montserrat"/>
          <w:sz w:val="22"/>
          <w:szCs w:val="22"/>
        </w:rPr>
        <w:t>Además, se atiende a la solicitud de los estados para abordar temas relacionados con educación especial indígena. En dichos talleres, asesorías y visitas a escuelas se promueve el uso de la Lengua de Señas Mexicana, del sistema de escritura Braille y de sistemas aumentativos y alternativos de comunicación</w:t>
      </w:r>
      <w:r>
        <w:rPr>
          <w:rFonts w:ascii="Montserrat" w:hAnsi="Montserrat"/>
          <w:sz w:val="22"/>
          <w:szCs w:val="22"/>
        </w:rPr>
        <w:t xml:space="preserve"> (Ver Anexo 1)</w:t>
      </w:r>
      <w:r w:rsidRPr="00D15318">
        <w:rPr>
          <w:rFonts w:ascii="Montserrat" w:hAnsi="Montserrat"/>
          <w:sz w:val="22"/>
          <w:szCs w:val="22"/>
        </w:rPr>
        <w:t xml:space="preserve">. </w:t>
      </w:r>
      <w:r w:rsidR="00CD29AA">
        <w:rPr>
          <w:rFonts w:ascii="Montserrat" w:hAnsi="Montserrat"/>
          <w:sz w:val="22"/>
          <w:szCs w:val="22"/>
        </w:rPr>
        <w:t xml:space="preserve"> </w:t>
      </w:r>
    </w:p>
    <w:p w14:paraId="47ECEB1D" w14:textId="61EDEEF8" w:rsidR="00F568EF" w:rsidRDefault="00F568EF" w:rsidP="00CD29AA">
      <w:pPr>
        <w:jc w:val="both"/>
        <w:rPr>
          <w:rFonts w:ascii="Montserrat" w:hAnsi="Montserrat"/>
          <w:sz w:val="22"/>
          <w:szCs w:val="22"/>
        </w:rPr>
      </w:pPr>
    </w:p>
    <w:p w14:paraId="7FF5888A" w14:textId="15746651" w:rsidR="002530A5" w:rsidRDefault="002530A5" w:rsidP="002530A5">
      <w:pPr>
        <w:jc w:val="both"/>
        <w:rPr>
          <w:rFonts w:ascii="Montserrat" w:hAnsi="Montserrat"/>
          <w:sz w:val="22"/>
          <w:szCs w:val="22"/>
        </w:rPr>
      </w:pPr>
      <w:r w:rsidRPr="002530A5">
        <w:rPr>
          <w:rFonts w:ascii="Montserrat" w:hAnsi="Montserrat"/>
          <w:sz w:val="22"/>
          <w:szCs w:val="22"/>
        </w:rPr>
        <w:t xml:space="preserve">De 10 308 centros de Educación Primaria Indígena, 575 cuentan con infraestructura adaptada para atender a población con discapacidad y 255 escuelas cuentan con materiales adaptados. </w:t>
      </w:r>
      <w:r>
        <w:rPr>
          <w:rFonts w:ascii="Montserrat" w:hAnsi="Montserrat"/>
          <w:sz w:val="22"/>
          <w:szCs w:val="22"/>
        </w:rPr>
        <w:t>Además, s</w:t>
      </w:r>
      <w:r w:rsidRPr="002530A5">
        <w:rPr>
          <w:rFonts w:ascii="Montserrat" w:hAnsi="Montserrat"/>
          <w:sz w:val="22"/>
          <w:szCs w:val="22"/>
        </w:rPr>
        <w:t>e han desarrollado materiales que benefician a 24 entidades de la República mexicana, entre los cuales destacan la serie “Educación pertinente e inclusiva. La discapacidad en educación Indígena” la serie Juegos didácticos y los Marcos curriculares de la “Educación Inicial Indígena. Un campo de la diversidad” El desarrollo de estos ha beneficiado a 40 509 docentes de inicial, preescolar y primaria y a 11 272 alumnos de educación indígena que enfrentan barreras para el aprendizaje y la participación por presentar discapacidad, aptitudes sobresalientes y otras condiciones, estos ofrecen herramientas teóricas y metodológicas que les permita a docentes y otras figuras educativas, actualizar, profundizar y fortalecer sus conocimientos y experiencias en la labor educativa que realizan cotidianamente, al analizar y comprender los principios de la educación inclusiva y los conceptos básicos de las discapacidades, así como sus implicaciones en la práctica.</w:t>
      </w:r>
    </w:p>
    <w:p w14:paraId="2D85E773" w14:textId="050CFF32" w:rsidR="006615E0" w:rsidRDefault="006615E0" w:rsidP="002530A5">
      <w:pPr>
        <w:jc w:val="both"/>
        <w:rPr>
          <w:rFonts w:ascii="Montserrat" w:hAnsi="Montserrat"/>
          <w:sz w:val="22"/>
          <w:szCs w:val="22"/>
        </w:rPr>
      </w:pPr>
    </w:p>
    <w:p w14:paraId="5EA6E187" w14:textId="2D95851E" w:rsidR="006615E0" w:rsidRDefault="006615E0" w:rsidP="002530A5">
      <w:pPr>
        <w:jc w:val="both"/>
        <w:rPr>
          <w:rFonts w:ascii="Montserrat" w:hAnsi="Montserrat"/>
          <w:sz w:val="22"/>
          <w:szCs w:val="22"/>
        </w:rPr>
      </w:pPr>
      <w:r>
        <w:rPr>
          <w:rFonts w:ascii="Montserrat" w:hAnsi="Montserrat"/>
          <w:sz w:val="22"/>
          <w:szCs w:val="22"/>
        </w:rPr>
        <w:t xml:space="preserve">Se encuentran en desarrollo los siguientes materiales: </w:t>
      </w:r>
      <w:r w:rsidRPr="006615E0">
        <w:rPr>
          <w:rFonts w:ascii="Montserrat" w:hAnsi="Montserrat"/>
          <w:sz w:val="22"/>
          <w:szCs w:val="22"/>
        </w:rPr>
        <w:t>Orientaciones y estrategias para la Atención a la Diversidad Étnica, Cultural y Lingüística en primarias generales de contextos urbanos y los Lineamientos para la Atención escolar de la primera infancia indígena, afrodescendiente y migrante que aportarán a docentes y otras figuras educativas información y orientaciones para la atención de alumnas y alumnos con discpacidad, aptitudes sobresalientes y otras condiciones.</w:t>
      </w:r>
    </w:p>
    <w:p w14:paraId="5C20A371" w14:textId="6B2B1431" w:rsidR="00305A2E" w:rsidRDefault="00305A2E" w:rsidP="002530A5">
      <w:pPr>
        <w:jc w:val="both"/>
        <w:rPr>
          <w:rFonts w:ascii="Montserrat" w:hAnsi="Montserrat"/>
          <w:sz w:val="22"/>
          <w:szCs w:val="22"/>
        </w:rPr>
      </w:pPr>
    </w:p>
    <w:p w14:paraId="4C0B5B4A" w14:textId="79DDC5FA" w:rsidR="00A92755" w:rsidRDefault="00305A2E" w:rsidP="002530A5">
      <w:pPr>
        <w:jc w:val="both"/>
        <w:rPr>
          <w:rFonts w:ascii="Montserrat" w:hAnsi="Montserrat"/>
          <w:sz w:val="22"/>
          <w:szCs w:val="22"/>
        </w:rPr>
      </w:pPr>
      <w:r w:rsidRPr="00305A2E">
        <w:rPr>
          <w:rFonts w:ascii="Montserrat" w:hAnsi="Montserrat"/>
          <w:sz w:val="22"/>
          <w:szCs w:val="22"/>
        </w:rPr>
        <w:t xml:space="preserve">Por su parte, el Consejo Nacional de Fomento Educativo (CONAFE) en el ciclo escolar 2021-2022, atiende a niñas, niños y adolescentes con discapacidad en </w:t>
      </w:r>
      <w:r w:rsidRPr="00305A2E">
        <w:rPr>
          <w:rFonts w:ascii="Montserrat" w:hAnsi="Montserrat"/>
          <w:sz w:val="22"/>
          <w:szCs w:val="22"/>
        </w:rPr>
        <w:lastRenderedPageBreak/>
        <w:t>los servicios educativos de los niveles de preescolar, primaria y secundaria comunitaria indígena y migrante</w:t>
      </w:r>
      <w:r>
        <w:rPr>
          <w:rFonts w:ascii="Montserrat" w:hAnsi="Montserrat"/>
          <w:sz w:val="22"/>
          <w:szCs w:val="22"/>
        </w:rPr>
        <w:t xml:space="preserve"> (Ver Anexo </w:t>
      </w:r>
      <w:r w:rsidR="00A92755">
        <w:rPr>
          <w:rFonts w:ascii="Montserrat" w:hAnsi="Montserrat"/>
          <w:sz w:val="22"/>
          <w:szCs w:val="22"/>
        </w:rPr>
        <w:t>2</w:t>
      </w:r>
      <w:r>
        <w:rPr>
          <w:rFonts w:ascii="Montserrat" w:hAnsi="Montserrat"/>
          <w:sz w:val="22"/>
          <w:szCs w:val="22"/>
        </w:rPr>
        <w:t>).</w:t>
      </w:r>
    </w:p>
    <w:p w14:paraId="7BC53730" w14:textId="77777777" w:rsidR="00A92755" w:rsidRDefault="00A92755" w:rsidP="002530A5">
      <w:pPr>
        <w:jc w:val="both"/>
        <w:rPr>
          <w:rFonts w:ascii="Montserrat" w:hAnsi="Montserrat"/>
          <w:sz w:val="22"/>
          <w:szCs w:val="22"/>
        </w:rPr>
      </w:pPr>
    </w:p>
    <w:p w14:paraId="3F7F9D27" w14:textId="34D86AC7" w:rsidR="00A92755" w:rsidRDefault="00A92755" w:rsidP="00A92755">
      <w:pPr>
        <w:jc w:val="both"/>
        <w:rPr>
          <w:rFonts w:ascii="Montserrat" w:hAnsi="Montserrat"/>
          <w:sz w:val="22"/>
          <w:szCs w:val="22"/>
        </w:rPr>
      </w:pPr>
      <w:r>
        <w:rPr>
          <w:rFonts w:ascii="Montserrat" w:hAnsi="Montserrat"/>
          <w:sz w:val="22"/>
          <w:szCs w:val="22"/>
        </w:rPr>
        <w:t>Por otra parte, e</w:t>
      </w:r>
      <w:r w:rsidRPr="00A92755">
        <w:rPr>
          <w:rFonts w:ascii="Montserrat" w:hAnsi="Montserrat"/>
          <w:sz w:val="22"/>
          <w:szCs w:val="22"/>
        </w:rPr>
        <w:t>l Instituto Nacional para la Educación de Adultos, en su modalidad no escolarizada atiende a población indígena con discapacidad de 15 años y más, a través de una vertiente denominada Modelo Educación para la Vida y el Trabajo (MEVyT) Indígena Bilingüe, la cual propone la alfabetización en lengua materna y el aprendizaje del español como segunda lengua. Se cuenta con una oferta educativa para 64 etnias/lengua, distribuidas en 17 estados de la República (Chihuahua, Durango, Nayarit, San Luis Potosí, Guerrero, Michoacán, Hidalgo, Puebla, Veracruz, Oaxaca, Chiapas, Tabasco, Yucatán, Quintana Roo, Campeche, Querétaro y Estado de México). Para los niveles de primaria y secundaria todavía no se cuenta con el MEVyT Indígena Bilingüe, pero se espera hacerlo en el futuro.</w:t>
      </w:r>
    </w:p>
    <w:p w14:paraId="6D85237D" w14:textId="77777777" w:rsidR="00A92755" w:rsidRPr="00A92755" w:rsidRDefault="00A92755" w:rsidP="00A92755">
      <w:pPr>
        <w:jc w:val="both"/>
        <w:rPr>
          <w:rFonts w:ascii="Montserrat" w:hAnsi="Montserrat"/>
          <w:sz w:val="22"/>
          <w:szCs w:val="22"/>
        </w:rPr>
      </w:pPr>
    </w:p>
    <w:p w14:paraId="6EB29C73" w14:textId="037DB63B" w:rsidR="00305A2E" w:rsidRDefault="00A92755" w:rsidP="00A92755">
      <w:pPr>
        <w:jc w:val="both"/>
        <w:rPr>
          <w:rFonts w:ascii="Montserrat" w:hAnsi="Montserrat"/>
          <w:sz w:val="22"/>
          <w:szCs w:val="22"/>
        </w:rPr>
      </w:pPr>
      <w:r w:rsidRPr="00A92755">
        <w:rPr>
          <w:rFonts w:ascii="Montserrat" w:hAnsi="Montserrat"/>
          <w:sz w:val="22"/>
          <w:szCs w:val="22"/>
        </w:rPr>
        <w:t>Al 31 de diciembre de 2021, el INEA registró 175 personas indígenas con discapacidad: 109 se encontraban en proceso de alfabetización, de las cuales, 65 eran mujeres; en primaria se registraron 47, de las cuales 23 eran mujeres y en secundaria se registraron 19, de las cuales 12 eran mujeres. Al finalizar el mismo año, 13 mujeres indígenas con discapacidad concluyeron su proceso de alfabetización, 5 concluyeron primaria y 1 más concluyó secundaria</w:t>
      </w:r>
      <w:r w:rsidR="00305A2E" w:rsidRPr="00305A2E">
        <w:rPr>
          <w:rFonts w:ascii="Montserrat" w:hAnsi="Montserrat"/>
          <w:sz w:val="22"/>
          <w:szCs w:val="22"/>
        </w:rPr>
        <w:t xml:space="preserve"> </w:t>
      </w:r>
      <w:r>
        <w:rPr>
          <w:rFonts w:ascii="Montserrat" w:hAnsi="Montserrat"/>
          <w:sz w:val="22"/>
          <w:szCs w:val="22"/>
        </w:rPr>
        <w:t>(Ver Anexo 2).</w:t>
      </w:r>
    </w:p>
    <w:p w14:paraId="3D015AB1" w14:textId="77777777" w:rsidR="00936782" w:rsidRDefault="00936782" w:rsidP="00936782">
      <w:pPr>
        <w:jc w:val="both"/>
        <w:rPr>
          <w:rFonts w:ascii="Montserrat" w:hAnsi="Montserrat"/>
          <w:sz w:val="22"/>
          <w:szCs w:val="22"/>
        </w:rPr>
      </w:pPr>
    </w:p>
    <w:p w14:paraId="52DE9254" w14:textId="77BA67F9" w:rsidR="00936782" w:rsidRDefault="00936782" w:rsidP="00936782">
      <w:pPr>
        <w:jc w:val="both"/>
        <w:rPr>
          <w:rFonts w:ascii="Montserrat" w:hAnsi="Montserrat"/>
          <w:sz w:val="22"/>
          <w:szCs w:val="22"/>
        </w:rPr>
      </w:pPr>
      <w:r>
        <w:rPr>
          <w:rFonts w:ascii="Montserrat" w:hAnsi="Montserrat"/>
          <w:sz w:val="22"/>
          <w:szCs w:val="22"/>
        </w:rPr>
        <w:t>Finalmente, se informa que e</w:t>
      </w:r>
      <w:r w:rsidRPr="00936782">
        <w:rPr>
          <w:rFonts w:ascii="Montserrat" w:hAnsi="Montserrat"/>
          <w:sz w:val="22"/>
          <w:szCs w:val="22"/>
        </w:rPr>
        <w:t>n México, los programas de educación sexual se incluyen dentro del currículo y los programas de estudio de la Educación Básica y se trabaja en conjunto con programas transversales relacionados con el tema, abarcando a toda la población en general.</w:t>
      </w:r>
    </w:p>
    <w:p w14:paraId="4533C33A" w14:textId="77777777" w:rsidR="00D123F7" w:rsidRPr="00936782" w:rsidRDefault="00D123F7" w:rsidP="00936782">
      <w:pPr>
        <w:jc w:val="both"/>
        <w:rPr>
          <w:rFonts w:ascii="Montserrat" w:hAnsi="Montserrat"/>
          <w:sz w:val="22"/>
          <w:szCs w:val="22"/>
        </w:rPr>
      </w:pPr>
    </w:p>
    <w:p w14:paraId="3FA090D5" w14:textId="6DD56701" w:rsidR="00936782" w:rsidRDefault="00936782" w:rsidP="00936782">
      <w:pPr>
        <w:jc w:val="both"/>
        <w:rPr>
          <w:rFonts w:ascii="Montserrat" w:hAnsi="Montserrat"/>
          <w:sz w:val="22"/>
          <w:szCs w:val="22"/>
        </w:rPr>
      </w:pPr>
      <w:r w:rsidRPr="00936782">
        <w:rPr>
          <w:rFonts w:ascii="Montserrat" w:hAnsi="Montserrat"/>
          <w:sz w:val="22"/>
          <w:szCs w:val="22"/>
        </w:rPr>
        <w:t>Los programas de la asignatura de Formación Cívica y Ética, así como Cívica y Ética en Diálogo para primaria, además de estar basados en el currículo nacional, se enmarcan en el enfoque de los derechos humanos y la igualdad de género, por lo cual se corresponden con los temas de educación integral en sexualidad en tanto que se orientan a la formación de niñas, niños y adolescentes para el conocimiento y ejercicio de sus derechos, de la importancia de la atención de sus necesidades para asegurar el bienestar, el cuidado y valor de su dignidad e integridad, así como promueven relaciones basadas en el respeto a la dignidad, en el aprecio y reconocimiento de la diversidad y se promueven valores como: el respeto, la inclusión y la igualdad, entre otros.</w:t>
      </w:r>
    </w:p>
    <w:p w14:paraId="2EDD7086" w14:textId="77777777" w:rsidR="00D123F7" w:rsidRPr="00936782" w:rsidRDefault="00D123F7" w:rsidP="00936782">
      <w:pPr>
        <w:jc w:val="both"/>
        <w:rPr>
          <w:rFonts w:ascii="Montserrat" w:hAnsi="Montserrat"/>
          <w:sz w:val="22"/>
          <w:szCs w:val="22"/>
        </w:rPr>
      </w:pPr>
    </w:p>
    <w:p w14:paraId="1092E486" w14:textId="36EF2A24" w:rsidR="00936782" w:rsidRDefault="00936782" w:rsidP="00936782">
      <w:pPr>
        <w:jc w:val="both"/>
        <w:rPr>
          <w:rFonts w:ascii="Montserrat" w:hAnsi="Montserrat"/>
          <w:sz w:val="22"/>
          <w:szCs w:val="22"/>
        </w:rPr>
      </w:pPr>
      <w:r w:rsidRPr="00936782">
        <w:rPr>
          <w:rFonts w:ascii="Montserrat" w:hAnsi="Montserrat"/>
          <w:sz w:val="22"/>
          <w:szCs w:val="22"/>
        </w:rPr>
        <w:t xml:space="preserve">Además, se han desarrollado programas que promueven el empoderamiento de las niñas, a partir de los cuales se busca contribuir a la reducción de la brecha de género prevaleciente en el país. Todos los programas son revisados desde el enfoque de género y han abordado directa o indirectamente temas de educación sexual y género, conforme al currículo y la etapa de desarrollo a la que van dirigidos. Como ejemplo se adjunta una revisión de los énfasis de los programas de Cívica y Ética en Diálogo, donde señalamos en amarillo los programas que tocan directamente temas de género y en particular de equidad para las mujeres. </w:t>
      </w:r>
    </w:p>
    <w:p w14:paraId="1030886A" w14:textId="77777777" w:rsidR="00D123F7" w:rsidRPr="00936782" w:rsidRDefault="00D123F7" w:rsidP="00936782">
      <w:pPr>
        <w:jc w:val="both"/>
        <w:rPr>
          <w:rFonts w:ascii="Montserrat" w:hAnsi="Montserrat"/>
          <w:sz w:val="22"/>
          <w:szCs w:val="22"/>
        </w:rPr>
      </w:pPr>
    </w:p>
    <w:p w14:paraId="6292278E" w14:textId="24DDD3DF" w:rsidR="00936782" w:rsidRDefault="00936782" w:rsidP="00936782">
      <w:pPr>
        <w:jc w:val="both"/>
        <w:rPr>
          <w:rFonts w:ascii="Montserrat" w:hAnsi="Montserrat"/>
          <w:sz w:val="22"/>
          <w:szCs w:val="22"/>
        </w:rPr>
      </w:pPr>
      <w:r w:rsidRPr="00936782">
        <w:rPr>
          <w:rFonts w:ascii="Montserrat" w:hAnsi="Montserrat"/>
          <w:sz w:val="22"/>
          <w:szCs w:val="22"/>
        </w:rPr>
        <w:t xml:space="preserve">En el Instituto Nacional para la Educación de los Adultos, al 31 de diciembre del 2021, se registraron 439 personas educandas con alguna discapacidad </w:t>
      </w:r>
      <w:r w:rsidRPr="00936782">
        <w:rPr>
          <w:rFonts w:ascii="Montserrat" w:hAnsi="Montserrat"/>
          <w:sz w:val="22"/>
          <w:szCs w:val="22"/>
        </w:rPr>
        <w:lastRenderedPageBreak/>
        <w:t>cursando módulos del Modelo Educación para la Vidad y el Trabajo (MEVyT), relacionados con la educación sexual como: “Embarazo un proyecto de vida”, “Hágalo por su salud sexual y su reproducción”, “La educación de nuestros hijos e hijas”, “Ser joven” y “Sexualidad juvenil”; por grupos de edad la atención se distribuyó de la siguiente manera: de 15 a 29 años (125 personas), de 30 a 59 años (126 personas) y de 60 años y más (188 personas)</w:t>
      </w:r>
      <w:r w:rsidR="00D123F7">
        <w:rPr>
          <w:rFonts w:ascii="Montserrat" w:hAnsi="Montserrat"/>
          <w:sz w:val="22"/>
          <w:szCs w:val="22"/>
        </w:rPr>
        <w:t xml:space="preserve"> (Ver Anexo 2)</w:t>
      </w:r>
      <w:r w:rsidRPr="00936782">
        <w:rPr>
          <w:rFonts w:ascii="Montserrat" w:hAnsi="Montserrat"/>
          <w:sz w:val="22"/>
          <w:szCs w:val="22"/>
        </w:rPr>
        <w:t>.</w:t>
      </w:r>
    </w:p>
    <w:p w14:paraId="6D15CC01" w14:textId="784032D4" w:rsidR="00A460C0" w:rsidRDefault="00A460C0" w:rsidP="00936782">
      <w:pPr>
        <w:jc w:val="both"/>
        <w:rPr>
          <w:rFonts w:ascii="Montserrat" w:hAnsi="Montserrat"/>
          <w:sz w:val="22"/>
          <w:szCs w:val="22"/>
        </w:rPr>
      </w:pPr>
    </w:p>
    <w:p w14:paraId="51EAE195" w14:textId="4423B146" w:rsidR="00A460C0" w:rsidRPr="00935B3C" w:rsidRDefault="00A460C0" w:rsidP="00936782">
      <w:pPr>
        <w:jc w:val="both"/>
        <w:rPr>
          <w:rFonts w:ascii="Montserrat" w:hAnsi="Montserrat"/>
          <w:sz w:val="22"/>
          <w:szCs w:val="22"/>
        </w:rPr>
      </w:pPr>
      <w:r w:rsidRPr="00A460C0">
        <w:rPr>
          <w:rFonts w:ascii="Montserrat" w:hAnsi="Montserrat"/>
          <w:sz w:val="22"/>
          <w:szCs w:val="22"/>
        </w:rPr>
        <w:t>Para este 2022 se estableció como meta el diseño de un material sobre los derechos sexuales y reproductivos de las personas con discapacidad, considerando criterios de accesibilidad universal, con la finalidad de distribuirse entre toda la población institucional.</w:t>
      </w:r>
    </w:p>
    <w:p w14:paraId="2292C6AF" w14:textId="77777777" w:rsidR="00FC7064" w:rsidRDefault="00FC7064" w:rsidP="00645EC4">
      <w:pPr>
        <w:jc w:val="both"/>
        <w:rPr>
          <w:rFonts w:ascii="Montserrat" w:hAnsi="Montserrat"/>
          <w:color w:val="000000" w:themeColor="text1"/>
          <w:sz w:val="22"/>
          <w:szCs w:val="22"/>
        </w:rPr>
      </w:pPr>
    </w:p>
    <w:p w14:paraId="2950D8F3" w14:textId="4533A7E8" w:rsidR="004C3F35" w:rsidRDefault="004C3F35" w:rsidP="00645EC4">
      <w:pPr>
        <w:jc w:val="both"/>
        <w:rPr>
          <w:rFonts w:ascii="Montserrat" w:hAnsi="Montserrat"/>
          <w:b/>
          <w:bCs/>
          <w:color w:val="000000" w:themeColor="text1"/>
        </w:rPr>
      </w:pPr>
      <w:r w:rsidRPr="004C3F35">
        <w:rPr>
          <w:rFonts w:ascii="Montserrat" w:hAnsi="Montserrat"/>
          <w:b/>
          <w:bCs/>
          <w:color w:val="000000" w:themeColor="text1"/>
        </w:rPr>
        <w:t>Artículo 25. Salud</w:t>
      </w:r>
    </w:p>
    <w:p w14:paraId="69BD5B07" w14:textId="77777777" w:rsidR="000F3CE7" w:rsidRDefault="000F3CE7" w:rsidP="00645EC4">
      <w:pPr>
        <w:jc w:val="both"/>
        <w:rPr>
          <w:rFonts w:ascii="Montserrat" w:hAnsi="Montserrat"/>
          <w:b/>
          <w:bCs/>
          <w:color w:val="000000" w:themeColor="text1"/>
        </w:rPr>
      </w:pPr>
    </w:p>
    <w:p w14:paraId="6643A385" w14:textId="2059FD07" w:rsidR="008E413F" w:rsidRDefault="008E413F" w:rsidP="00645EC4">
      <w:pPr>
        <w:jc w:val="both"/>
        <w:rPr>
          <w:rFonts w:ascii="Montserrat" w:hAnsi="Montserrat"/>
          <w:sz w:val="22"/>
          <w:szCs w:val="22"/>
        </w:rPr>
      </w:pPr>
      <w:r w:rsidRPr="008E413F">
        <w:rPr>
          <w:rFonts w:ascii="Montserrat" w:hAnsi="Montserrat"/>
          <w:sz w:val="22"/>
          <w:szCs w:val="22"/>
        </w:rPr>
        <w:t xml:space="preserve">En relación con las medidas para garantizar la vacunación de personas con discapacidad, el Gobierno Mexicano dentro de las estrategias sanitarias implementadas para la contención y mitigación de COVID-19, inicio la vacunación a la población el 24 de diciembre de 2020, de forma escalonada y a grupos prioritarios, conforme a la disponibilidad de vacunas, a fin de garantizar el bien común, la distribución justa y equitativa. </w:t>
      </w:r>
    </w:p>
    <w:p w14:paraId="374CB515" w14:textId="77777777" w:rsidR="000F3CE7" w:rsidRPr="008E413F" w:rsidRDefault="000F3CE7" w:rsidP="00645EC4">
      <w:pPr>
        <w:jc w:val="both"/>
        <w:rPr>
          <w:rFonts w:ascii="Montserrat" w:hAnsi="Montserrat"/>
          <w:sz w:val="22"/>
          <w:szCs w:val="22"/>
        </w:rPr>
      </w:pPr>
    </w:p>
    <w:p w14:paraId="4BE5146F" w14:textId="14CBC1AB" w:rsidR="008E413F" w:rsidRDefault="008E413F" w:rsidP="00645EC4">
      <w:pPr>
        <w:jc w:val="both"/>
        <w:rPr>
          <w:rFonts w:ascii="Montserrat" w:hAnsi="Montserrat"/>
          <w:sz w:val="22"/>
          <w:szCs w:val="22"/>
        </w:rPr>
      </w:pPr>
      <w:r w:rsidRPr="008E413F">
        <w:rPr>
          <w:rFonts w:ascii="Montserrat" w:hAnsi="Montserrat"/>
          <w:sz w:val="22"/>
          <w:szCs w:val="22"/>
        </w:rPr>
        <w:t>Al cierre de 2021, se habían aplicado 148.9 millones contra el COVID-19, que corresponde a 81.9 millones personas: de los cuales 72.8 millones de personas con esquema completo (89%); y 9 millones de personas con el primer biológico (11%). Este logro ha sido posible por un gran esfuerzo y compromiso de participación intersectorial.</w:t>
      </w:r>
    </w:p>
    <w:p w14:paraId="67D18B32" w14:textId="77777777" w:rsidR="000F3CE7" w:rsidRPr="008E413F" w:rsidRDefault="000F3CE7" w:rsidP="00645EC4">
      <w:pPr>
        <w:jc w:val="both"/>
        <w:rPr>
          <w:rFonts w:ascii="Montserrat" w:hAnsi="Montserrat"/>
          <w:sz w:val="22"/>
          <w:szCs w:val="22"/>
        </w:rPr>
      </w:pPr>
    </w:p>
    <w:p w14:paraId="2E4DCE7A" w14:textId="77777777" w:rsidR="008E413F" w:rsidRPr="008E413F" w:rsidRDefault="008E413F" w:rsidP="00645EC4">
      <w:pPr>
        <w:jc w:val="both"/>
        <w:rPr>
          <w:rFonts w:ascii="Montserrat" w:hAnsi="Montserrat"/>
          <w:sz w:val="22"/>
          <w:szCs w:val="22"/>
        </w:rPr>
      </w:pPr>
      <w:r w:rsidRPr="008E413F">
        <w:rPr>
          <w:rFonts w:ascii="Montserrat" w:hAnsi="Montserrat"/>
          <w:sz w:val="22"/>
          <w:szCs w:val="22"/>
        </w:rPr>
        <w:t>Para apoyar este proceso en el sitio “coronavirus.gob.mx”, se cuenta con secciones especiales sobre la vacunación, personas con discapacidad y salud mental, que contienen:</w:t>
      </w:r>
    </w:p>
    <w:p w14:paraId="79F6E43A" w14:textId="77777777" w:rsidR="008E413F" w:rsidRPr="008E413F" w:rsidRDefault="008E413F" w:rsidP="00E31990">
      <w:pPr>
        <w:pStyle w:val="Prrafodelista"/>
        <w:numPr>
          <w:ilvl w:val="0"/>
          <w:numId w:val="25"/>
        </w:numPr>
        <w:jc w:val="both"/>
        <w:rPr>
          <w:rFonts w:ascii="Montserrat" w:hAnsi="Montserrat"/>
          <w:sz w:val="22"/>
          <w:szCs w:val="22"/>
        </w:rPr>
      </w:pPr>
      <w:r w:rsidRPr="008E413F">
        <w:rPr>
          <w:rFonts w:ascii="Montserrat" w:hAnsi="Montserrat"/>
          <w:sz w:val="22"/>
          <w:szCs w:val="22"/>
        </w:rPr>
        <w:t>Documentos de consulta como la Guía para la protección de la salud de las personas con discapacidad en el contexto de COVID-19, Guías para personas con discapacidad visual, auditiva y psicosocial, entre otros.</w:t>
      </w:r>
    </w:p>
    <w:p w14:paraId="0F9E70F8" w14:textId="77777777" w:rsidR="008E413F" w:rsidRPr="008E413F" w:rsidRDefault="008E413F" w:rsidP="00E31990">
      <w:pPr>
        <w:pStyle w:val="Prrafodelista"/>
        <w:numPr>
          <w:ilvl w:val="0"/>
          <w:numId w:val="25"/>
        </w:numPr>
        <w:jc w:val="both"/>
        <w:rPr>
          <w:rFonts w:ascii="Montserrat" w:hAnsi="Montserrat"/>
          <w:sz w:val="22"/>
          <w:szCs w:val="22"/>
        </w:rPr>
      </w:pPr>
      <w:r w:rsidRPr="008E413F">
        <w:rPr>
          <w:rFonts w:ascii="Montserrat" w:hAnsi="Montserrat"/>
          <w:sz w:val="22"/>
          <w:szCs w:val="22"/>
        </w:rPr>
        <w:t>El registro para la vacunación y la obtención de certificado digital de vacunación.</w:t>
      </w:r>
    </w:p>
    <w:p w14:paraId="4C60A326" w14:textId="77777777" w:rsidR="008E413F" w:rsidRPr="008E413F" w:rsidRDefault="008E413F" w:rsidP="00E31990">
      <w:pPr>
        <w:pStyle w:val="Prrafodelista"/>
        <w:numPr>
          <w:ilvl w:val="0"/>
          <w:numId w:val="25"/>
        </w:numPr>
        <w:jc w:val="both"/>
        <w:rPr>
          <w:rFonts w:ascii="Montserrat" w:hAnsi="Montserrat"/>
          <w:sz w:val="22"/>
          <w:szCs w:val="22"/>
        </w:rPr>
      </w:pPr>
      <w:r w:rsidRPr="008E413F">
        <w:rPr>
          <w:rFonts w:ascii="Montserrat" w:hAnsi="Montserrat"/>
          <w:sz w:val="22"/>
          <w:szCs w:val="22"/>
        </w:rPr>
        <w:t>Material audio-visual sobre Telerehabilitación sobre psicología familiar, terapia respiratoria.</w:t>
      </w:r>
    </w:p>
    <w:p w14:paraId="325FC677" w14:textId="77777777" w:rsidR="008E413F" w:rsidRPr="008E413F" w:rsidRDefault="008E413F" w:rsidP="00E31990">
      <w:pPr>
        <w:pStyle w:val="Prrafodelista"/>
        <w:numPr>
          <w:ilvl w:val="0"/>
          <w:numId w:val="25"/>
        </w:numPr>
        <w:jc w:val="both"/>
        <w:rPr>
          <w:rFonts w:ascii="Montserrat" w:hAnsi="Montserrat"/>
          <w:sz w:val="22"/>
          <w:szCs w:val="22"/>
        </w:rPr>
      </w:pPr>
      <w:r w:rsidRPr="008E413F">
        <w:rPr>
          <w:rFonts w:ascii="Montserrat" w:hAnsi="Montserrat"/>
          <w:sz w:val="22"/>
          <w:szCs w:val="22"/>
        </w:rPr>
        <w:t>Recomendaciones para población en general y personal de salud.</w:t>
      </w:r>
    </w:p>
    <w:p w14:paraId="1F4D9F05" w14:textId="77777777" w:rsidR="008E413F" w:rsidRPr="008E413F" w:rsidRDefault="008E413F" w:rsidP="00E31990">
      <w:pPr>
        <w:pStyle w:val="Prrafodelista"/>
        <w:numPr>
          <w:ilvl w:val="0"/>
          <w:numId w:val="25"/>
        </w:numPr>
        <w:jc w:val="both"/>
        <w:rPr>
          <w:rFonts w:ascii="Montserrat" w:hAnsi="Montserrat"/>
          <w:sz w:val="22"/>
          <w:szCs w:val="22"/>
        </w:rPr>
      </w:pPr>
      <w:r w:rsidRPr="008E413F">
        <w:rPr>
          <w:rFonts w:ascii="Montserrat" w:hAnsi="Montserrat"/>
          <w:sz w:val="22"/>
          <w:szCs w:val="22"/>
        </w:rPr>
        <w:t xml:space="preserve">Líneas telefónicas de apoyo emocional, como la Línea de la Vida, unidad de inteligencia emocional, instituciones psiquiátricas, entre otras. </w:t>
      </w:r>
    </w:p>
    <w:p w14:paraId="0F49729B" w14:textId="77777777" w:rsidR="000F3CE7" w:rsidRDefault="000F3CE7" w:rsidP="00645EC4">
      <w:pPr>
        <w:jc w:val="both"/>
        <w:rPr>
          <w:rFonts w:ascii="Montserrat" w:hAnsi="Montserrat"/>
          <w:sz w:val="22"/>
          <w:szCs w:val="22"/>
        </w:rPr>
      </w:pPr>
    </w:p>
    <w:p w14:paraId="7FDA49D8" w14:textId="0A2A2E93" w:rsidR="008E413F" w:rsidRPr="008E413F" w:rsidRDefault="008E413F" w:rsidP="00645EC4">
      <w:pPr>
        <w:jc w:val="both"/>
        <w:rPr>
          <w:rFonts w:ascii="Montserrat" w:hAnsi="Montserrat"/>
          <w:sz w:val="22"/>
          <w:szCs w:val="22"/>
        </w:rPr>
      </w:pPr>
      <w:r w:rsidRPr="008E413F">
        <w:rPr>
          <w:rFonts w:ascii="Montserrat" w:hAnsi="Montserrat"/>
          <w:sz w:val="22"/>
          <w:szCs w:val="22"/>
        </w:rPr>
        <w:t>Asimismo, se utilizaron diversos medios de comunicación masiva y redes sociales para mantener informada a la población sobre las fechas y centros de vacunación en todo el país.</w:t>
      </w:r>
    </w:p>
    <w:p w14:paraId="6432C130" w14:textId="77777777" w:rsidR="000F3CE7" w:rsidRDefault="000F3CE7" w:rsidP="00645EC4">
      <w:pPr>
        <w:jc w:val="both"/>
        <w:rPr>
          <w:rFonts w:ascii="Montserrat" w:hAnsi="Montserrat"/>
          <w:sz w:val="22"/>
          <w:szCs w:val="22"/>
        </w:rPr>
      </w:pPr>
    </w:p>
    <w:p w14:paraId="744FEB29" w14:textId="64E12A55" w:rsidR="008E413F" w:rsidRPr="008E413F" w:rsidRDefault="008E413F" w:rsidP="00645EC4">
      <w:pPr>
        <w:jc w:val="both"/>
        <w:rPr>
          <w:rFonts w:ascii="Montserrat" w:hAnsi="Montserrat"/>
          <w:sz w:val="22"/>
          <w:szCs w:val="22"/>
        </w:rPr>
      </w:pPr>
      <w:r w:rsidRPr="008E413F">
        <w:rPr>
          <w:rFonts w:ascii="Montserrat" w:hAnsi="Montserrat"/>
          <w:sz w:val="22"/>
          <w:szCs w:val="22"/>
        </w:rPr>
        <w:t>En el objeto de mantener informada a la población en general y grupos prioritarios, sobre la Pandemia COVI</w:t>
      </w:r>
      <w:r w:rsidR="000F3CE7">
        <w:rPr>
          <w:rFonts w:ascii="Montserrat" w:hAnsi="Montserrat"/>
          <w:sz w:val="22"/>
          <w:szCs w:val="22"/>
        </w:rPr>
        <w:t>D</w:t>
      </w:r>
      <w:r w:rsidRPr="008E413F">
        <w:rPr>
          <w:rFonts w:ascii="Montserrat" w:hAnsi="Montserrat"/>
          <w:sz w:val="22"/>
          <w:szCs w:val="22"/>
        </w:rPr>
        <w:t>-19, se han presentado 451 conferencias accesibles de prensa que incluye el lenguaje de señas, entre el 29 de febrero de 2020 y el 11 de junio de 2021.</w:t>
      </w:r>
    </w:p>
    <w:p w14:paraId="1406CE06" w14:textId="77777777" w:rsidR="000F3CE7" w:rsidRDefault="000F3CE7" w:rsidP="00645EC4">
      <w:pPr>
        <w:jc w:val="both"/>
        <w:rPr>
          <w:rFonts w:ascii="Montserrat" w:hAnsi="Montserrat"/>
          <w:sz w:val="22"/>
          <w:szCs w:val="22"/>
        </w:rPr>
      </w:pPr>
    </w:p>
    <w:p w14:paraId="1E1C9B8F" w14:textId="2504B3B6" w:rsidR="001436E8" w:rsidRDefault="000F3CE7" w:rsidP="00645EC4">
      <w:pPr>
        <w:jc w:val="both"/>
        <w:rPr>
          <w:rFonts w:ascii="Montserrat" w:hAnsi="Montserrat"/>
          <w:sz w:val="22"/>
          <w:szCs w:val="22"/>
        </w:rPr>
      </w:pPr>
      <w:r>
        <w:rPr>
          <w:rFonts w:ascii="Montserrat" w:hAnsi="Montserrat"/>
          <w:sz w:val="22"/>
          <w:szCs w:val="22"/>
        </w:rPr>
        <w:t>Por ptra parte, P</w:t>
      </w:r>
      <w:r w:rsidR="001436E8" w:rsidRPr="001436E8">
        <w:rPr>
          <w:rFonts w:ascii="Montserrat" w:hAnsi="Montserrat"/>
          <w:sz w:val="22"/>
          <w:szCs w:val="22"/>
        </w:rPr>
        <w:t xml:space="preserve">ara garantizar la disponibilidad y la accesibilidad a servicios de planificación familiar y salud reproductiva, el Estado Mexicano reconoce </w:t>
      </w:r>
      <w:r w:rsidR="001436E8" w:rsidRPr="001436E8">
        <w:rPr>
          <w:rFonts w:ascii="Montserrat" w:hAnsi="Montserrat"/>
          <w:sz w:val="22"/>
          <w:szCs w:val="22"/>
        </w:rPr>
        <w:lastRenderedPageBreak/>
        <w:t>que los derechos sexuales y reproductivos son prerrogativas de las personas en diversos artículos constitucionales, principalmente en el tercero se reconoce el derecho a la educación sexual y reproductiva, integral, laica, basada en la ciencia y con perspectiva de género; y el cuarto contempla el derecho a decidir de manera libre, responsable e informada sobre el número y espaciamiento de los hijos(as).</w:t>
      </w:r>
    </w:p>
    <w:p w14:paraId="406F0431" w14:textId="77777777" w:rsidR="000F3CE7" w:rsidRPr="001436E8" w:rsidRDefault="000F3CE7" w:rsidP="00645EC4">
      <w:pPr>
        <w:jc w:val="both"/>
        <w:rPr>
          <w:rFonts w:ascii="Montserrat" w:hAnsi="Montserrat"/>
          <w:sz w:val="22"/>
          <w:szCs w:val="22"/>
        </w:rPr>
      </w:pPr>
    </w:p>
    <w:p w14:paraId="70730A13" w14:textId="74367F10" w:rsidR="001436E8" w:rsidRPr="001436E8" w:rsidRDefault="001436E8" w:rsidP="00645EC4">
      <w:pPr>
        <w:jc w:val="both"/>
        <w:rPr>
          <w:rFonts w:ascii="Montserrat" w:hAnsi="Montserrat"/>
          <w:sz w:val="22"/>
          <w:szCs w:val="22"/>
        </w:rPr>
      </w:pPr>
      <w:r w:rsidRPr="001436E8">
        <w:rPr>
          <w:rFonts w:ascii="Montserrat" w:hAnsi="Montserrat"/>
          <w:sz w:val="22"/>
          <w:szCs w:val="22"/>
        </w:rPr>
        <w:t>En la Ley General de Salud se considera materia de salubridad general a la planificación familiar y establece como uno de los servicios básicos que comprende y delimita la competencia coordinada con el Consejo Nacional de Población</w:t>
      </w:r>
      <w:r w:rsidRPr="001436E8">
        <w:rPr>
          <w:rStyle w:val="Refdenotaalpie"/>
          <w:rFonts w:ascii="Montserrat" w:hAnsi="Montserrat"/>
          <w:sz w:val="22"/>
          <w:szCs w:val="22"/>
        </w:rPr>
        <w:footnoteReference w:id="16"/>
      </w:r>
      <w:r w:rsidRPr="001436E8">
        <w:rPr>
          <w:rFonts w:ascii="Montserrat" w:hAnsi="Montserrat"/>
          <w:sz w:val="22"/>
          <w:szCs w:val="22"/>
        </w:rPr>
        <w:t>.</w:t>
      </w:r>
      <w:r w:rsidR="000F3CE7">
        <w:rPr>
          <w:rFonts w:ascii="Montserrat" w:hAnsi="Montserrat"/>
          <w:sz w:val="22"/>
          <w:szCs w:val="22"/>
        </w:rPr>
        <w:t xml:space="preserve"> Por su parte, l</w:t>
      </w:r>
      <w:r w:rsidRPr="001436E8">
        <w:rPr>
          <w:rFonts w:ascii="Montserrat" w:hAnsi="Montserrat"/>
          <w:sz w:val="22"/>
          <w:szCs w:val="22"/>
        </w:rPr>
        <w:t>a Ley General de Inclusión de las Personas con Discapacidad</w:t>
      </w:r>
      <w:r w:rsidRPr="001436E8">
        <w:rPr>
          <w:rStyle w:val="Refdenotaalpie"/>
          <w:rFonts w:ascii="Montserrat" w:hAnsi="Montserrat"/>
          <w:sz w:val="22"/>
          <w:szCs w:val="22"/>
        </w:rPr>
        <w:footnoteReference w:id="17"/>
      </w:r>
      <w:r w:rsidRPr="001436E8">
        <w:rPr>
          <w:rFonts w:ascii="Montserrat" w:hAnsi="Montserrat"/>
          <w:sz w:val="22"/>
          <w:szCs w:val="22"/>
        </w:rPr>
        <w:t xml:space="preserve"> se establece que se deben crear programas de orientación, educación, y rehabilitación sexual y reproductiva para las personas con discapacidad y sus familias, y que personas con discapacidad gozarán de todos los derechos que establece el orden jurídico mexicano, sin distinción alguna.</w:t>
      </w:r>
    </w:p>
    <w:p w14:paraId="08567C4F" w14:textId="68A64CD1" w:rsidR="001436E8" w:rsidRDefault="001436E8" w:rsidP="00645EC4">
      <w:pPr>
        <w:jc w:val="both"/>
        <w:rPr>
          <w:rFonts w:ascii="Montserrat" w:hAnsi="Montserrat"/>
          <w:sz w:val="22"/>
          <w:szCs w:val="22"/>
        </w:rPr>
      </w:pPr>
      <w:r w:rsidRPr="001436E8">
        <w:rPr>
          <w:rFonts w:ascii="Montserrat" w:hAnsi="Montserrat"/>
          <w:sz w:val="22"/>
          <w:szCs w:val="22"/>
        </w:rPr>
        <w:t xml:space="preserve">En el Programa de Acción Específico de Salud Sexual y Reproductiva 2020-2024, está construido desde una visión de salud pública, perspectiva de género, enfoque de derechos humanos, que enfatiza la necesidad de garantizar todas las estrategias y acciones puntuales a diversos grupos de población, integrando adecuaciones o actividades específicas que favorezcan la disponibilidad y accesibilidad para grupos específicos. </w:t>
      </w:r>
    </w:p>
    <w:p w14:paraId="4EDDD434" w14:textId="77777777" w:rsidR="00631DE4" w:rsidRPr="001436E8" w:rsidRDefault="00631DE4" w:rsidP="00645EC4">
      <w:pPr>
        <w:jc w:val="both"/>
        <w:rPr>
          <w:rFonts w:ascii="Montserrat" w:hAnsi="Montserrat"/>
          <w:sz w:val="22"/>
          <w:szCs w:val="22"/>
        </w:rPr>
      </w:pPr>
    </w:p>
    <w:p w14:paraId="78EB8A7C" w14:textId="77777777" w:rsidR="001436E8" w:rsidRPr="001436E8" w:rsidRDefault="001436E8" w:rsidP="00645EC4">
      <w:pPr>
        <w:jc w:val="both"/>
        <w:rPr>
          <w:rFonts w:ascii="Montserrat" w:hAnsi="Montserrat"/>
          <w:sz w:val="22"/>
          <w:szCs w:val="22"/>
        </w:rPr>
      </w:pPr>
      <w:r w:rsidRPr="001436E8">
        <w:rPr>
          <w:rFonts w:ascii="Montserrat" w:hAnsi="Montserrat"/>
          <w:sz w:val="22"/>
          <w:szCs w:val="22"/>
        </w:rPr>
        <w:t>En alineación a ese programa con el Programa de Igualdad de Género en Salud, entre las acciones para garantizar el acceso a información y servicios de atención a la salud sexual y reproductiva de personas con discapacidad destacan las siguientes:</w:t>
      </w:r>
    </w:p>
    <w:p w14:paraId="7F2CA231"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Promoción de derechos sexuales y reproductivos a través de campañas de prevención y promoción de la salud, utilizando como eje las acciones enmarcadas en la Cartilla de los Derechos Sexuales y los Derechos Reproductivos de las Personas con Discapacidad</w:t>
      </w:r>
      <w:r w:rsidRPr="001436E8">
        <w:rPr>
          <w:rStyle w:val="Refdenotaalpie"/>
          <w:rFonts w:ascii="Montserrat" w:hAnsi="Montserrat"/>
          <w:sz w:val="22"/>
          <w:szCs w:val="22"/>
        </w:rPr>
        <w:footnoteReference w:id="18"/>
      </w:r>
      <w:r w:rsidRPr="001436E8">
        <w:rPr>
          <w:rFonts w:ascii="Montserrat" w:hAnsi="Montserrat"/>
          <w:sz w:val="22"/>
          <w:szCs w:val="22"/>
        </w:rPr>
        <w:t>.</w:t>
      </w:r>
    </w:p>
    <w:p w14:paraId="6E572869"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 xml:space="preserve">Capacitación a personal de salud para la consejería y orientación en salud sexual y reproductiva, atención a víctimas de violencia sexual y aborto seguro, y acceso a métodos de anticoncepción. </w:t>
      </w:r>
    </w:p>
    <w:p w14:paraId="20B632AA"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Capacitación en consejería anticonceptiva para la atención integral de personas con discapacidad, enfatizando en la importancia de asegurar el consentimiento informado para el uso de un método anticonceptivo.</w:t>
      </w:r>
    </w:p>
    <w:p w14:paraId="08C27A9A"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Herramientas de detección temprana de la discapacidad, mediante la aplicación del tamiz metabólico y auditivo.</w:t>
      </w:r>
    </w:p>
    <w:p w14:paraId="27E62D6E"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Compras consolidadas para garantizar métodos anticonceptivos incluyendo los de emergencia.</w:t>
      </w:r>
    </w:p>
    <w:p w14:paraId="44699360"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Capacitación en modalidad virtual con el taller: “Atención a la Discapacidad con perspectiva de género, inclusión y pertinencia cultural”, a profesionales (2020)</w:t>
      </w:r>
    </w:p>
    <w:p w14:paraId="2147AF7B" w14:textId="77777777" w:rsidR="001436E8" w:rsidRPr="001436E8" w:rsidRDefault="001436E8" w:rsidP="00E31990">
      <w:pPr>
        <w:pStyle w:val="Prrafodelista"/>
        <w:numPr>
          <w:ilvl w:val="0"/>
          <w:numId w:val="26"/>
        </w:numPr>
        <w:jc w:val="both"/>
        <w:rPr>
          <w:rFonts w:ascii="Montserrat" w:hAnsi="Montserrat"/>
          <w:sz w:val="22"/>
          <w:szCs w:val="22"/>
        </w:rPr>
      </w:pPr>
      <w:r w:rsidRPr="001436E8">
        <w:rPr>
          <w:rFonts w:ascii="Montserrat" w:hAnsi="Montserrat"/>
          <w:sz w:val="22"/>
          <w:szCs w:val="22"/>
        </w:rPr>
        <w:t>Publicación del Lineamiento Técnico para la Atención del Aborto Seguro en México (2021).</w:t>
      </w:r>
    </w:p>
    <w:p w14:paraId="5F56C39D" w14:textId="77777777" w:rsidR="00631DE4" w:rsidRDefault="00631DE4" w:rsidP="00645EC4">
      <w:pPr>
        <w:jc w:val="both"/>
        <w:rPr>
          <w:rFonts w:ascii="Montserrat" w:hAnsi="Montserrat"/>
          <w:sz w:val="22"/>
          <w:szCs w:val="22"/>
        </w:rPr>
      </w:pPr>
    </w:p>
    <w:p w14:paraId="5623C0D9" w14:textId="2F22A669" w:rsidR="001436E8" w:rsidRPr="001436E8" w:rsidRDefault="001436E8" w:rsidP="00645EC4">
      <w:pPr>
        <w:jc w:val="both"/>
        <w:rPr>
          <w:rFonts w:ascii="Montserrat" w:hAnsi="Montserrat"/>
          <w:sz w:val="22"/>
          <w:szCs w:val="22"/>
        </w:rPr>
      </w:pPr>
      <w:r w:rsidRPr="001436E8">
        <w:rPr>
          <w:rFonts w:ascii="Montserrat" w:hAnsi="Montserrat"/>
          <w:sz w:val="22"/>
          <w:szCs w:val="22"/>
        </w:rPr>
        <w:lastRenderedPageBreak/>
        <w:t>La Secretaria de Educación Pública incluye en la currícula y programas de estudio el tema de educación sexual, asimismo en el Modelo de Educación para la Vida y el Trabajo para las personas jóvenes y adultas, incluyendo a las personas con discapacidad.</w:t>
      </w:r>
    </w:p>
    <w:p w14:paraId="458FE8F7" w14:textId="77777777" w:rsidR="00631DE4" w:rsidRDefault="00631DE4" w:rsidP="00645EC4">
      <w:pPr>
        <w:jc w:val="both"/>
        <w:rPr>
          <w:rFonts w:ascii="Montserrat" w:hAnsi="Montserrat"/>
          <w:sz w:val="22"/>
          <w:szCs w:val="22"/>
        </w:rPr>
      </w:pPr>
    </w:p>
    <w:p w14:paraId="34AA2364" w14:textId="1E9B4417" w:rsidR="001436E8" w:rsidRPr="001436E8" w:rsidRDefault="001436E8" w:rsidP="00645EC4">
      <w:pPr>
        <w:jc w:val="both"/>
        <w:rPr>
          <w:rFonts w:ascii="Montserrat" w:hAnsi="Montserrat"/>
          <w:sz w:val="22"/>
          <w:szCs w:val="22"/>
        </w:rPr>
      </w:pPr>
      <w:r w:rsidRPr="001436E8">
        <w:rPr>
          <w:rFonts w:ascii="Montserrat" w:hAnsi="Montserrat"/>
          <w:sz w:val="22"/>
          <w:szCs w:val="22"/>
        </w:rPr>
        <w:t>El marco de la Agenda 2030, “Los Objetivos de Desarrollo Sostenible” (ODS), el Consejo Nacional de Población publicó la Situación de los Derechos Sexuales y Reproductivos (CONAPO, 2018</w:t>
      </w:r>
      <w:r w:rsidRPr="001436E8">
        <w:rPr>
          <w:rStyle w:val="Refdenotaalpie"/>
          <w:rFonts w:ascii="Montserrat" w:hAnsi="Montserrat"/>
          <w:sz w:val="22"/>
          <w:szCs w:val="22"/>
        </w:rPr>
        <w:footnoteReference w:id="19"/>
      </w:r>
      <w:r w:rsidRPr="001436E8">
        <w:rPr>
          <w:rFonts w:ascii="Montserrat" w:hAnsi="Montserrat"/>
          <w:sz w:val="22"/>
          <w:szCs w:val="22"/>
        </w:rPr>
        <w:t>), a partir de la Encuesta Nacional sobre la Dinámica Demográfica (ENADID) 2014 y 2018, y la Encuesta Nacional de Discriminación (ENADIS) 2017, de la que se puede destacar:</w:t>
      </w:r>
    </w:p>
    <w:p w14:paraId="7E1C9601"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 decidir de forma libre, autónoma e informada sobre nuestro cuerpo y nuestra sexualidad. Las mujeres entre 25 y 34 años tuvieron su primera relación sexual en promedio a los 17.5 años y el 40.2% de las mujeres en edad fértil utiliza método anticonceptivo en su primera relación sexual.</w:t>
      </w:r>
    </w:p>
    <w:p w14:paraId="29B3AD09"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 decidir de manera libre e informada sobre nuestra vida reproductiva. Panearon el embarazo el 61.6% de las mujeres en edad fértil, en 18.4% no lo planearon y 20% no fue deseado.</w:t>
      </w:r>
    </w:p>
    <w:p w14:paraId="6D01F1BB"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 contar con información y acceso a servicios de salud sexual. El 89.2% de las mujeres en edad fértil recibieron información sobre métodos anticonceptivos a través de diversos medios de comunicación.</w:t>
      </w:r>
    </w:p>
    <w:p w14:paraId="7EA38D5D"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al acceso efectivo a una amplia gama de métodos anticonceptivos modernos. La prevalencia de uso de métodos anticonceptivos en mujeres en edad fértil es de 72% en mujeres sexualmente activas; en 70.9% con discapacidad, 72.1% con limitación y 69.4% sin discapacidad.</w:t>
      </w:r>
    </w:p>
    <w:p w14:paraId="6373217E"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 la igualdad de participación entre mujeres y hombres en la práctica de la salud sexual y reproductiva. Mujeres en edad fértil sexualmente activas usuarias de métodos anticonceptivos con participación masculino: en 14.5% con discapacidad, 16.1% con limitación y 17% sin discapacidad.</w:t>
      </w:r>
    </w:p>
    <w:p w14:paraId="52D8D097" w14:textId="77777777" w:rsidR="001436E8" w:rsidRPr="001436E8" w:rsidRDefault="001436E8" w:rsidP="00E31990">
      <w:pPr>
        <w:pStyle w:val="Prrafodelista"/>
        <w:numPr>
          <w:ilvl w:val="0"/>
          <w:numId w:val="27"/>
        </w:numPr>
        <w:jc w:val="both"/>
        <w:rPr>
          <w:rFonts w:ascii="Montserrat" w:hAnsi="Montserrat"/>
          <w:sz w:val="22"/>
          <w:szCs w:val="22"/>
        </w:rPr>
      </w:pPr>
      <w:r w:rsidRPr="001436E8">
        <w:rPr>
          <w:rFonts w:ascii="Montserrat" w:hAnsi="Montserrat"/>
          <w:sz w:val="22"/>
          <w:szCs w:val="22"/>
        </w:rPr>
        <w:t>Derecho a los servicios de salud pre y post natales. El 88.5% de las mujeres embarazadas acudieron a atención prenatal durante el primer trimestre, con un promedio de 9.4 revisiones médicas, y el 95.9% de los partos fueron atendidos por médico. Asimismo, el 54.5% de las mujeres adoptaron voluntariamente un método anticonceptivo postparto.</w:t>
      </w:r>
    </w:p>
    <w:p w14:paraId="5A136406" w14:textId="77777777" w:rsidR="00631DE4" w:rsidRDefault="00631DE4" w:rsidP="00645EC4">
      <w:pPr>
        <w:jc w:val="both"/>
        <w:rPr>
          <w:rFonts w:ascii="Montserrat" w:hAnsi="Montserrat"/>
          <w:sz w:val="22"/>
          <w:szCs w:val="22"/>
        </w:rPr>
      </w:pPr>
    </w:p>
    <w:p w14:paraId="62C70752" w14:textId="6BB33470" w:rsidR="001436E8" w:rsidRPr="001436E8" w:rsidRDefault="001436E8" w:rsidP="00645EC4">
      <w:pPr>
        <w:jc w:val="both"/>
        <w:rPr>
          <w:rFonts w:ascii="Montserrat" w:hAnsi="Montserrat"/>
          <w:sz w:val="22"/>
          <w:szCs w:val="22"/>
        </w:rPr>
      </w:pPr>
      <w:r w:rsidRPr="001436E8">
        <w:rPr>
          <w:rFonts w:ascii="Montserrat" w:hAnsi="Montserrat"/>
          <w:sz w:val="22"/>
          <w:szCs w:val="22"/>
        </w:rPr>
        <w:t xml:space="preserve">La </w:t>
      </w:r>
      <w:r w:rsidR="00A54346">
        <w:rPr>
          <w:rFonts w:ascii="Montserrat" w:hAnsi="Montserrat"/>
          <w:sz w:val="22"/>
          <w:szCs w:val="22"/>
        </w:rPr>
        <w:t>SCJN</w:t>
      </w:r>
      <w:r w:rsidRPr="001436E8">
        <w:rPr>
          <w:rFonts w:ascii="Montserrat" w:hAnsi="Montserrat"/>
          <w:sz w:val="22"/>
          <w:szCs w:val="22"/>
        </w:rPr>
        <w:t xml:space="preserve"> se ha pronunciado en diversas ocasiones sobre los derechos sexuales y reproductivos de las mujeres y, especialmente, sobre la interrupción legal del embarazo. En tales precedentes no se ha analizado el caso específico de mujeres con discapacidad. Sin embargo, los criterios establecidos son sumamente relevantes pues el acceso a los servicios de salud sexual y reproductiva es un tema que atañe a todas las mujeres, entre ellas, las que tengan una condición de discapacidad. Así, se ha enfatizado que el Estado tiene la obligación de garantizar el acceso de las mujeres a los servicios de salud que requieren, especialmente a aquellas que se encuentran en una situación de vulnerabilidad. </w:t>
      </w:r>
    </w:p>
    <w:p w14:paraId="2BF7D64C" w14:textId="77777777" w:rsidR="00631DE4" w:rsidRDefault="00631DE4" w:rsidP="00645EC4">
      <w:pPr>
        <w:jc w:val="both"/>
        <w:rPr>
          <w:rFonts w:ascii="Montserrat" w:hAnsi="Montserrat"/>
          <w:sz w:val="22"/>
          <w:szCs w:val="22"/>
        </w:rPr>
      </w:pPr>
    </w:p>
    <w:p w14:paraId="782D6E16" w14:textId="162C305C" w:rsidR="004C3F35" w:rsidRDefault="001436E8" w:rsidP="00645EC4">
      <w:pPr>
        <w:jc w:val="both"/>
        <w:rPr>
          <w:rFonts w:ascii="Montserrat" w:hAnsi="Montserrat"/>
          <w:sz w:val="22"/>
          <w:szCs w:val="22"/>
        </w:rPr>
      </w:pPr>
      <w:r w:rsidRPr="001436E8">
        <w:rPr>
          <w:rFonts w:ascii="Montserrat" w:hAnsi="Montserrat"/>
          <w:sz w:val="22"/>
          <w:szCs w:val="22"/>
        </w:rPr>
        <w:lastRenderedPageBreak/>
        <w:t>El Gobierno Mexicano está comprometido a promover, respetar, proteger y garantizar los derechos humanos y libertades fundamentales de la población, “para no dejar a nadie atrás y no dejar a nadie fuera”.</w:t>
      </w:r>
    </w:p>
    <w:p w14:paraId="3848033A" w14:textId="77777777" w:rsidR="00C8205F" w:rsidRPr="001436E8" w:rsidRDefault="00C8205F" w:rsidP="00645EC4">
      <w:pPr>
        <w:jc w:val="both"/>
        <w:rPr>
          <w:rFonts w:ascii="Montserrat" w:hAnsi="Montserrat"/>
          <w:sz w:val="22"/>
          <w:szCs w:val="22"/>
        </w:rPr>
      </w:pPr>
    </w:p>
    <w:p w14:paraId="2D702772" w14:textId="77777777" w:rsidR="004C3F35" w:rsidRPr="004C3F35" w:rsidRDefault="004C3F35" w:rsidP="00645EC4">
      <w:pPr>
        <w:jc w:val="both"/>
        <w:rPr>
          <w:rFonts w:ascii="Montserrat" w:hAnsi="Montserrat"/>
          <w:b/>
          <w:bCs/>
          <w:color w:val="000000" w:themeColor="text1"/>
        </w:rPr>
      </w:pPr>
    </w:p>
    <w:p w14:paraId="71CC0B38" w14:textId="1CB9CC86" w:rsidR="00EF65A8" w:rsidRPr="00EF65A8" w:rsidRDefault="00EF65A8" w:rsidP="00645EC4">
      <w:pPr>
        <w:jc w:val="both"/>
        <w:rPr>
          <w:rFonts w:ascii="Montserrat" w:hAnsi="Montserrat"/>
          <w:b/>
          <w:bCs/>
          <w:color w:val="000000" w:themeColor="text1"/>
        </w:rPr>
      </w:pPr>
      <w:r w:rsidRPr="00EF65A8">
        <w:rPr>
          <w:rFonts w:ascii="Montserrat" w:hAnsi="Montserrat"/>
          <w:b/>
          <w:bCs/>
          <w:color w:val="000000" w:themeColor="text1"/>
        </w:rPr>
        <w:t>Artículo 29. Participación en la vida política y pública</w:t>
      </w:r>
    </w:p>
    <w:p w14:paraId="1EE7EA3A" w14:textId="131150CF" w:rsidR="00EF65A8" w:rsidRDefault="00EF65A8" w:rsidP="00645EC4">
      <w:pPr>
        <w:jc w:val="both"/>
        <w:rPr>
          <w:rFonts w:ascii="Montserrat" w:hAnsi="Montserrat"/>
          <w:color w:val="000000" w:themeColor="text1"/>
          <w:sz w:val="22"/>
          <w:szCs w:val="22"/>
        </w:rPr>
      </w:pPr>
    </w:p>
    <w:p w14:paraId="1A55D03F" w14:textId="1511EA2D" w:rsidR="00EF65A8" w:rsidRDefault="000542F1" w:rsidP="00645EC4">
      <w:pPr>
        <w:jc w:val="both"/>
        <w:rPr>
          <w:rFonts w:ascii="Montserrat" w:hAnsi="Montserrat"/>
          <w:color w:val="000000" w:themeColor="text1"/>
          <w:sz w:val="22"/>
          <w:szCs w:val="22"/>
        </w:rPr>
      </w:pPr>
      <w:r w:rsidRPr="000542F1">
        <w:rPr>
          <w:rFonts w:ascii="Montserrat" w:hAnsi="Montserrat"/>
          <w:color w:val="000000" w:themeColor="text1"/>
          <w:sz w:val="22"/>
          <w:szCs w:val="22"/>
        </w:rPr>
        <w:t>De acuerdo con información de noviembre de 2021, la Cámara de Diputados cuenta con una plantilla de 5,747 personas trabajadoras, de las que se estima que un 1% vive con una discapacidad. De 54 personas con discapacidad que trabajan en la cámara, 17 son mujeres y 37 son hombres. Es preciso mencionar que debido a las actividades cotidianas y extraordinarias del Palacio Legislativo de San Lázaro, se registran las visitas constantes de personas con discapacidad, adultas mayores y embarazadas. Asimismo, hay en la LXV Legislatura aproximadamente cinco diputadas y diputados con discapacidad.</w:t>
      </w:r>
    </w:p>
    <w:p w14:paraId="6B516ECD" w14:textId="2E149FFE" w:rsidR="00A730C7" w:rsidRDefault="00A730C7" w:rsidP="00645EC4">
      <w:pPr>
        <w:jc w:val="both"/>
        <w:rPr>
          <w:rFonts w:ascii="Montserrat" w:hAnsi="Montserrat"/>
          <w:color w:val="000000" w:themeColor="text1"/>
          <w:sz w:val="22"/>
          <w:szCs w:val="22"/>
        </w:rPr>
      </w:pPr>
    </w:p>
    <w:p w14:paraId="5E7F6A45" w14:textId="09DF1D64" w:rsidR="00A730C7" w:rsidRPr="00A730C7" w:rsidRDefault="00A730C7" w:rsidP="00645EC4">
      <w:pPr>
        <w:shd w:val="clear" w:color="auto" w:fill="FFFFFF"/>
        <w:jc w:val="both"/>
        <w:rPr>
          <w:rFonts w:ascii="Montserrat" w:eastAsia="Times New Roman" w:hAnsi="Montserrat" w:cs="Calibri"/>
          <w:color w:val="000000"/>
          <w:sz w:val="22"/>
          <w:szCs w:val="22"/>
          <w:bdr w:val="none" w:sz="0" w:space="0" w:color="auto" w:frame="1"/>
          <w:shd w:val="clear" w:color="auto" w:fill="FFFFFF"/>
          <w:lang w:eastAsia="es-MX"/>
        </w:rPr>
      </w:pPr>
      <w:r>
        <w:rPr>
          <w:rFonts w:ascii="Montserrat" w:hAnsi="Montserrat"/>
          <w:color w:val="000000" w:themeColor="text1"/>
          <w:sz w:val="22"/>
          <w:szCs w:val="22"/>
        </w:rPr>
        <w:t>Por su parte, en la Cámara de Senadores</w:t>
      </w:r>
      <w:r w:rsidRPr="00A730C7">
        <w:rPr>
          <w:rFonts w:ascii="Montserrat" w:eastAsia="Times New Roman" w:hAnsi="Montserrat" w:cs="Calibri"/>
          <w:color w:val="000000"/>
          <w:sz w:val="22"/>
          <w:szCs w:val="22"/>
          <w:bdr w:val="none" w:sz="0" w:space="0" w:color="auto" w:frame="1"/>
          <w:shd w:val="clear" w:color="auto" w:fill="FFFFFF"/>
          <w:lang w:eastAsia="es-MX"/>
        </w:rPr>
        <w:t xml:space="preserve"> se llevan a cabo acciones conducentes a concretar la igualdad </w:t>
      </w:r>
      <w:r>
        <w:rPr>
          <w:rFonts w:ascii="Montserrat" w:eastAsia="Times New Roman" w:hAnsi="Montserrat" w:cs="Calibri"/>
          <w:color w:val="000000"/>
          <w:sz w:val="22"/>
          <w:szCs w:val="22"/>
          <w:bdr w:val="none" w:sz="0" w:space="0" w:color="auto" w:frame="1"/>
          <w:shd w:val="clear" w:color="auto" w:fill="FFFFFF"/>
          <w:lang w:eastAsia="es-MX"/>
        </w:rPr>
        <w:t>y no discriminación</w:t>
      </w:r>
      <w:r w:rsidRPr="00A730C7">
        <w:rPr>
          <w:rFonts w:ascii="Montserrat" w:eastAsia="Times New Roman" w:hAnsi="Montserrat" w:cs="Calibri"/>
          <w:color w:val="000000"/>
          <w:sz w:val="22"/>
          <w:szCs w:val="22"/>
          <w:bdr w:val="none" w:sz="0" w:space="0" w:color="auto" w:frame="1"/>
          <w:shd w:val="clear" w:color="auto" w:fill="FFFFFF"/>
          <w:lang w:eastAsia="es-MX"/>
        </w:rPr>
        <w:t xml:space="preserve"> en el Senado de la República, así como acciones tendientes al sostenimiento de la certificación, derivada de la Norma Mexicana para la Igualdad Laboral y No Discriminación (NMX-025-R-SCFI-2015</w:t>
      </w:r>
      <w:r w:rsidRPr="00A730C7">
        <w:rPr>
          <w:rStyle w:val="Refdenotaalpie"/>
          <w:rFonts w:ascii="Montserrat" w:eastAsia="Times New Roman" w:hAnsi="Montserrat" w:cs="Calibri"/>
          <w:color w:val="000000"/>
          <w:sz w:val="22"/>
          <w:szCs w:val="22"/>
          <w:bdr w:val="none" w:sz="0" w:space="0" w:color="auto" w:frame="1"/>
          <w:shd w:val="clear" w:color="auto" w:fill="FFFFFF"/>
          <w:lang w:eastAsia="es-MX"/>
        </w:rPr>
        <w:footnoteReference w:id="20"/>
      </w:r>
      <w:r w:rsidRPr="00A730C7">
        <w:rPr>
          <w:rFonts w:ascii="Montserrat" w:eastAsia="Times New Roman" w:hAnsi="Montserrat" w:cs="Calibri"/>
          <w:color w:val="000000"/>
          <w:sz w:val="22"/>
          <w:szCs w:val="22"/>
          <w:bdr w:val="none" w:sz="0" w:space="0" w:color="auto" w:frame="1"/>
          <w:shd w:val="clear" w:color="auto" w:fill="FFFFFF"/>
          <w:lang w:eastAsia="es-MX"/>
        </w:rPr>
        <w:t>).</w:t>
      </w:r>
      <w:r>
        <w:rPr>
          <w:rFonts w:ascii="Montserrat" w:eastAsia="Times New Roman" w:hAnsi="Montserrat" w:cs="Calibri"/>
          <w:color w:val="000000"/>
          <w:sz w:val="22"/>
          <w:szCs w:val="22"/>
          <w:bdr w:val="none" w:sz="0" w:space="0" w:color="auto" w:frame="1"/>
          <w:shd w:val="clear" w:color="auto" w:fill="FFFFFF"/>
          <w:lang w:eastAsia="es-MX"/>
        </w:rPr>
        <w:t xml:space="preserve"> </w:t>
      </w:r>
      <w:r w:rsidRPr="00A730C7">
        <w:rPr>
          <w:rFonts w:ascii="Montserrat" w:eastAsia="Times New Roman" w:hAnsi="Montserrat" w:cs="Calibri"/>
          <w:color w:val="000000"/>
          <w:sz w:val="22"/>
          <w:szCs w:val="22"/>
          <w:bdr w:val="none" w:sz="0" w:space="0" w:color="auto" w:frame="1"/>
          <w:shd w:val="clear" w:color="auto" w:fill="FFFFFF"/>
          <w:lang w:eastAsia="es-MX"/>
        </w:rPr>
        <w:t>En materia de inclusión de personas con discapacidad, se han impulsado las siguientes acciones:</w:t>
      </w:r>
    </w:p>
    <w:p w14:paraId="591CB527"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Política de Igualdad laboral y no Discriminación que integra la medida “5. Otorgar espacios y herramientas de trabajo adecuadas y accesibles para todas las personas que trabajan en el Senado de la República, o bien se encuentren presentes en la Institución.”</w:t>
      </w:r>
    </w:p>
    <w:p w14:paraId="3D5E7C13"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Plan de Accesibilidad y Ajustes razonables del Senado de la República</w:t>
      </w:r>
    </w:p>
    <w:p w14:paraId="6CCAB5BF"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Plan de Intervención y Acciones para la atención de Mujeres Embarazadas, Personas Adultas Mayores y personas con discapacidad en casos de emergencias.</w:t>
      </w:r>
    </w:p>
    <w:p w14:paraId="37AB6037"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Documento “Análisis normativo para la accesibilidad en la difusión de la información, comunicaciones y desarrollo de contenidos”.</w:t>
      </w:r>
    </w:p>
    <w:p w14:paraId="4496F353"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2 Cursos “Toma de conciencia e inclusión”, impartidos con la colaboración del Instituto para las Personas con Discapacidad de la Ciudad de México, al personal del Senado de la República con una participación de 53 personas, 40 mujeres y 13 hombres.</w:t>
      </w:r>
    </w:p>
    <w:p w14:paraId="6E018CB8"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1 Curso Lengua de Señas Mexicana impartido con la colaboración del Instituto para las Personas con Discapacidad de la Ciudad de México, al personal del Senado de la República con una participación de 96 personas, 66 mujeres y 30 hombres.</w:t>
      </w:r>
    </w:p>
    <w:p w14:paraId="4C805951"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En colaboración con la Dirección de Protección civil, se encuentra en proceso de sistematización “Encuesta para identificar las personas con discapacidad que laboran en la Institución, considerando sexo, edad, discapacidad, ubicación.” Con la consulta a todas las áreas.</w:t>
      </w:r>
    </w:p>
    <w:p w14:paraId="72EF569C" w14:textId="77777777" w:rsidR="00A730C7" w:rsidRPr="00A730C7" w:rsidRDefault="00A730C7" w:rsidP="00E31990">
      <w:pPr>
        <w:pStyle w:val="Prrafodelista"/>
        <w:numPr>
          <w:ilvl w:val="0"/>
          <w:numId w:val="24"/>
        </w:numPr>
        <w:shd w:val="clear" w:color="auto" w:fill="FFFFFF"/>
        <w:jc w:val="both"/>
        <w:rPr>
          <w:rFonts w:ascii="Montserrat" w:eastAsia="Times New Roman" w:hAnsi="Montserrat" w:cs="Calibri"/>
          <w:color w:val="000000"/>
          <w:sz w:val="22"/>
          <w:szCs w:val="22"/>
          <w:bdr w:val="none" w:sz="0" w:space="0" w:color="auto" w:frame="1"/>
          <w:shd w:val="clear" w:color="auto" w:fill="FFFFFF"/>
        </w:rPr>
      </w:pPr>
      <w:r w:rsidRPr="00A730C7">
        <w:rPr>
          <w:rFonts w:ascii="Montserrat" w:eastAsia="Times New Roman" w:hAnsi="Montserrat" w:cs="Calibri"/>
          <w:color w:val="000000"/>
          <w:sz w:val="22"/>
          <w:szCs w:val="22"/>
          <w:bdr w:val="none" w:sz="0" w:space="0" w:color="auto" w:frame="1"/>
          <w:shd w:val="clear" w:color="auto" w:fill="FFFFFF"/>
        </w:rPr>
        <w:t>Infografías sobre la atención a personas con discapacidad.</w:t>
      </w:r>
    </w:p>
    <w:p w14:paraId="3377B96D" w14:textId="0136B4E9" w:rsidR="00EF65A8" w:rsidRDefault="00EF65A8" w:rsidP="00645EC4">
      <w:pPr>
        <w:jc w:val="both"/>
        <w:rPr>
          <w:rFonts w:ascii="Montserrat" w:hAnsi="Montserrat"/>
          <w:color w:val="000000" w:themeColor="text1"/>
          <w:sz w:val="22"/>
          <w:szCs w:val="22"/>
        </w:rPr>
      </w:pPr>
    </w:p>
    <w:p w14:paraId="45917AF7" w14:textId="0C9D9927" w:rsidR="00B37EC4" w:rsidRDefault="00B37EC4" w:rsidP="00645EC4">
      <w:pPr>
        <w:jc w:val="both"/>
        <w:rPr>
          <w:rFonts w:ascii="Montserrat" w:hAnsi="Montserrat"/>
          <w:b/>
          <w:bCs/>
          <w:color w:val="000000" w:themeColor="text1"/>
        </w:rPr>
      </w:pPr>
    </w:p>
    <w:p w14:paraId="15092524" w14:textId="2C5F29E2" w:rsidR="00FC5F45" w:rsidRDefault="00FC5F45" w:rsidP="00FC5F45">
      <w:pPr>
        <w:jc w:val="both"/>
        <w:rPr>
          <w:rFonts w:ascii="Montserrat" w:hAnsi="Montserrat"/>
          <w:b/>
          <w:bCs/>
          <w:color w:val="000000" w:themeColor="text1"/>
        </w:rPr>
      </w:pPr>
      <w:r w:rsidRPr="00FC5F45">
        <w:rPr>
          <w:rFonts w:ascii="Montserrat" w:hAnsi="Montserrat"/>
          <w:b/>
          <w:bCs/>
          <w:color w:val="000000" w:themeColor="text1"/>
        </w:rPr>
        <w:t>Artículo 28</w:t>
      </w:r>
      <w:r>
        <w:rPr>
          <w:rFonts w:ascii="Montserrat" w:hAnsi="Montserrat"/>
          <w:b/>
          <w:bCs/>
          <w:color w:val="000000" w:themeColor="text1"/>
        </w:rPr>
        <w:t xml:space="preserve">. </w:t>
      </w:r>
      <w:r w:rsidRPr="00FC5F45">
        <w:rPr>
          <w:rFonts w:ascii="Montserrat" w:hAnsi="Montserrat"/>
          <w:b/>
          <w:bCs/>
          <w:color w:val="000000" w:themeColor="text1"/>
        </w:rPr>
        <w:t>Nivel de vida adecuado y protección social</w:t>
      </w:r>
    </w:p>
    <w:p w14:paraId="59D6893C" w14:textId="165B9D3D" w:rsidR="00FC5F45" w:rsidRDefault="00FC5F45" w:rsidP="00FC5F45">
      <w:pPr>
        <w:jc w:val="both"/>
        <w:rPr>
          <w:rFonts w:ascii="Montserrat" w:hAnsi="Montserrat"/>
          <w:b/>
          <w:bCs/>
          <w:color w:val="000000" w:themeColor="text1"/>
        </w:rPr>
      </w:pPr>
    </w:p>
    <w:p w14:paraId="09BF34BC" w14:textId="6EEECEA0"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Ante el problema de salud pública de la contaminación por agroquímicos, el Gobierno Mexicano expidió el DECRETO por el que se establecen las acciones que deberán realizar las dependencias y entidades que integran la Administración Pública Federal, en el ámbito de sus competencias, para sustituir gradualmente el uso, adquisición, distribución, promoción e importación de la sustancia química denominada glifosato y de los agroquímicos utilizados en nuestro país que lo contienen como ingrediente activo, por alternativas sostenibles y culturalmente adecuadas, que permitan mantener la producción y resulten seguras para la salud humana, la diversidad biocultural del país y el ambiente (DOF: 31-12-2020)</w:t>
      </w:r>
      <w:r w:rsidRPr="00FC5F45">
        <w:rPr>
          <w:rStyle w:val="Refdenotaalpie"/>
          <w:rFonts w:ascii="Montserrat" w:hAnsi="Montserrat"/>
          <w:color w:val="000000" w:themeColor="text1"/>
          <w:sz w:val="22"/>
          <w:szCs w:val="22"/>
        </w:rPr>
        <w:footnoteReference w:id="21"/>
      </w:r>
      <w:r w:rsidRPr="00FC5F45">
        <w:rPr>
          <w:rFonts w:ascii="Montserrat" w:hAnsi="Montserrat"/>
          <w:color w:val="000000" w:themeColor="text1"/>
          <w:sz w:val="22"/>
          <w:szCs w:val="22"/>
        </w:rPr>
        <w:t>, En la entrada en vigor del presente Decreto y hasta el 31 de enero de 2024, se establece un periodo de transición para lograr la sustitución total del glifosato en el país.</w:t>
      </w:r>
    </w:p>
    <w:p w14:paraId="312E680F" w14:textId="77777777" w:rsidR="00FC5F45" w:rsidRDefault="00FC5F45" w:rsidP="00FC5F45">
      <w:pPr>
        <w:jc w:val="both"/>
        <w:rPr>
          <w:rFonts w:ascii="Montserrat" w:hAnsi="Montserrat"/>
          <w:color w:val="000000" w:themeColor="text1"/>
          <w:sz w:val="22"/>
          <w:szCs w:val="22"/>
        </w:rPr>
      </w:pPr>
    </w:p>
    <w:p w14:paraId="0756C80C" w14:textId="4044F9C2"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Las acciones previstas en el Decreto en comento, se determinan que:</w:t>
      </w:r>
    </w:p>
    <w:p w14:paraId="27452D3B"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Las Dependencias y Entidades de gobierno, a partir de la entrada en vigor del presente Decreto, se abstengan de adquirir, utilizar, distribuir, promover e importar glifosato o agroquímicos que lo contengan como ingrediente activo, en el marco de programas públicos o de cualquier otra actividad del gobierno.</w:t>
      </w:r>
    </w:p>
    <w:p w14:paraId="23E5051B"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Las Secretarías de Agricultura y Desarrollo Rural y de Medio Ambiente y Recursos Naturales promoverán e implementarán alternativas sostenibles y culturalmente adecuadas al uso del glifosato, ya sea con otros agroquímicos de baja toxicidad, con productos biológicos u orgánicos, con prácticas agroecológicas o con uso intensivo de mano de obra, que resulten seguras para la salud humana, la diversidad biocultural del país y el ambiente.</w:t>
      </w:r>
    </w:p>
    <w:p w14:paraId="24019A07"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 xml:space="preserve">El Consejo Nacional de Ciencia y Tecnología, coordinará, articulará, promoverá y apoyará las investigaciones científicas, desarrollos tecnológicos e innovaciones que le permitan sustentar y proponer alternativas al glifosato. </w:t>
      </w:r>
    </w:p>
    <w:p w14:paraId="6C7EC160"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El Consejo Nacional de Ciencia y Tecnología emitirá recomendaciones anuales para las autoridades competentes que les permitan sustentar, en su caso, la cantidad de glifosato que autorizarán a los particulares para su importación.</w:t>
      </w:r>
    </w:p>
    <w:p w14:paraId="55CD80FA"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Las Secretarías de Medio Ambiente y Recursos Naturales, de Salud, y de Agricultura y Desarrollo Rural, así como el Consejo Nacional de Ciencia y Tecnología, a más tardar en el primer semestre del año 2023, promoverán las reformas de los ordenamientos jurídicos aplicables para evitar el uso de glifosato como sustancia activa de agroquímicos y de maíz genéticamente modificado en México.</w:t>
      </w:r>
    </w:p>
    <w:p w14:paraId="47D9CF76" w14:textId="77777777" w:rsidR="00FC5F45" w:rsidRPr="00FC5F45" w:rsidRDefault="00FC5F45" w:rsidP="00E31990">
      <w:pPr>
        <w:pStyle w:val="Prrafodelista"/>
        <w:numPr>
          <w:ilvl w:val="0"/>
          <w:numId w:val="30"/>
        </w:numPr>
        <w:jc w:val="both"/>
        <w:rPr>
          <w:rFonts w:ascii="Montserrat" w:hAnsi="Montserrat"/>
          <w:color w:val="000000" w:themeColor="text1"/>
          <w:sz w:val="22"/>
          <w:szCs w:val="22"/>
        </w:rPr>
      </w:pPr>
      <w:r w:rsidRPr="00FC5F45">
        <w:rPr>
          <w:rFonts w:ascii="Montserrat" w:hAnsi="Montserrat"/>
          <w:color w:val="000000" w:themeColor="text1"/>
          <w:sz w:val="22"/>
          <w:szCs w:val="22"/>
        </w:rPr>
        <w:t xml:space="preserve">Las autoridades en materia de bioseguridad, de conformidad con la normativa aplicable, revocarán y se abstendrán de otorgar permisos de liberación al ambiente de semillas de maíz genéticamente modificado, con el objeto de contribuir a la seguridad y a la soberanía alimentarias y como medida especial de protección al maíz nativo, la milpa, la </w:t>
      </w:r>
      <w:r w:rsidRPr="00FC5F45">
        <w:rPr>
          <w:rFonts w:ascii="Montserrat" w:hAnsi="Montserrat"/>
          <w:color w:val="000000" w:themeColor="text1"/>
          <w:sz w:val="22"/>
          <w:szCs w:val="22"/>
        </w:rPr>
        <w:lastRenderedPageBreak/>
        <w:t>riqueza biocultural, las comunidades campesinas, el patrimonio gastronómico y la salud de las mexicanas y los mexicanos.</w:t>
      </w:r>
    </w:p>
    <w:p w14:paraId="2647FCA2" w14:textId="77777777" w:rsidR="00FC5F45" w:rsidRDefault="00FC5F45" w:rsidP="00FC5F45">
      <w:pPr>
        <w:jc w:val="both"/>
        <w:rPr>
          <w:rFonts w:ascii="Montserrat" w:hAnsi="Montserrat"/>
          <w:color w:val="000000" w:themeColor="text1"/>
          <w:sz w:val="22"/>
          <w:szCs w:val="22"/>
        </w:rPr>
      </w:pPr>
    </w:p>
    <w:p w14:paraId="09F8B724" w14:textId="5C5AE675"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Como antecedente en el British Medical Journal (BMJ), se publicó una investigación poblacional en California, Estados Unidos, realizada por la Universidad de California, en la cual se demostró que la exposición precoz a agrotóxicos, como Glifosato o Clorpirifos, aumenta el riesgo de autismo y déficits del desarrollo intelectual en niños</w:t>
      </w:r>
      <w:r w:rsidRPr="00FC5F45">
        <w:rPr>
          <w:rStyle w:val="Refdenotaalpie"/>
          <w:rFonts w:ascii="Montserrat" w:hAnsi="Montserrat"/>
          <w:color w:val="000000" w:themeColor="text1"/>
          <w:sz w:val="22"/>
          <w:szCs w:val="22"/>
        </w:rPr>
        <w:footnoteReference w:id="22"/>
      </w:r>
      <w:r w:rsidRPr="00FC5F45">
        <w:rPr>
          <w:rFonts w:ascii="Montserrat" w:hAnsi="Montserrat"/>
          <w:color w:val="000000" w:themeColor="text1"/>
          <w:sz w:val="22"/>
          <w:szCs w:val="22"/>
        </w:rPr>
        <w:t>. Se cuenta con miles de sustancias que pueden afectar el desarrollo de los embriones humanos, entre las semanas 19 y 30, pero en realidad en todo el período de gestación los bebés en el vientre materno son vulnerables a la exposición a esas sustancias en pequeñas cantidades. Muchas de ellas son filtradas por la barrera placentaria, pero algunas, aun en pequeñas cantidades, es factible que produzcan alteraciones y daños en la configuración cerebral incipiente.</w:t>
      </w:r>
    </w:p>
    <w:p w14:paraId="2F85100A" w14:textId="77777777" w:rsidR="00FC5F45" w:rsidRDefault="00FC5F45" w:rsidP="00FC5F45">
      <w:pPr>
        <w:jc w:val="both"/>
        <w:rPr>
          <w:rFonts w:ascii="Montserrat" w:hAnsi="Montserrat"/>
          <w:color w:val="000000" w:themeColor="text1"/>
          <w:sz w:val="22"/>
          <w:szCs w:val="22"/>
        </w:rPr>
      </w:pPr>
    </w:p>
    <w:p w14:paraId="25968851" w14:textId="32B39C6F"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El trabajo realizado en el seno de la Universidad de Chicago tomó una gran muestra con 100 millones de registros médicos de estadounidenses, en el cual se establece una importante correlación entre las malformaciones genitales y Autismo y discapacidad intelectual como consecuencia de la exposición a factores ambientales, entre los cuales los pesticidas ocupan un lugar preponderante.</w:t>
      </w:r>
    </w:p>
    <w:p w14:paraId="08CCE710" w14:textId="77777777" w:rsidR="00FC5F45" w:rsidRDefault="00FC5F45" w:rsidP="00FC5F45">
      <w:pPr>
        <w:jc w:val="both"/>
        <w:rPr>
          <w:rFonts w:ascii="Montserrat" w:hAnsi="Montserrat"/>
          <w:color w:val="000000" w:themeColor="text1"/>
          <w:sz w:val="22"/>
          <w:szCs w:val="22"/>
        </w:rPr>
      </w:pPr>
    </w:p>
    <w:p w14:paraId="1AF853A9" w14:textId="1EC50E93"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Los resultados de la evaluación en 2,100 condados norteamericanos llegaron a conclusiones para tener en cuenta: se constató que cada aumento de apenas el 1% de las pequeñas alteraciones genitales (sobre todo en varones) implica una correspondencia de casi tres veces más Autismo y poco menos del doble de problemas intelectuales que la media de los EE.UU. A su vez, el mencionado estudio constató que las tasas de Autismo eran muchísimo más altas en aquellos Estados, como California, que tienen una producción mayoritariamente agrícola.</w:t>
      </w:r>
    </w:p>
    <w:p w14:paraId="33241A2C" w14:textId="77777777" w:rsidR="00FC5F45" w:rsidRDefault="00FC5F45" w:rsidP="00FC5F45">
      <w:pPr>
        <w:jc w:val="both"/>
        <w:rPr>
          <w:rFonts w:ascii="Montserrat" w:hAnsi="Montserrat"/>
          <w:color w:val="000000" w:themeColor="text1"/>
          <w:sz w:val="22"/>
          <w:szCs w:val="22"/>
        </w:rPr>
      </w:pPr>
    </w:p>
    <w:p w14:paraId="43AE31C4" w14:textId="37C8F321"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 xml:space="preserve">La Autoridad Alimentaria Europea emitió un comunicado según el cual se alertó acerca de que los pesticidas pueden afectar negativamente el desarrollo de las neuronas y las estructuras cerebrales en los bebés por nacer. </w:t>
      </w:r>
    </w:p>
    <w:p w14:paraId="0CB80EF6" w14:textId="77777777"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También el grupo GAPS, que se ocupa sobre temas de alimentación y su relación con distintas enfermedades y síndromes mentales, realizó una reunión que se llevó a cabo en Londres el 8 y el 9 de febrero pasado, tras la cual difundió sus conclusiones respecto del glifosato, las que se resumen en los siguientes puntos en lo referente al Autismo y otras problemáticas:</w:t>
      </w:r>
    </w:p>
    <w:p w14:paraId="0C22B648" w14:textId="77777777" w:rsidR="00FC5F45" w:rsidRPr="00FC5F45" w:rsidRDefault="00FC5F45" w:rsidP="00E31990">
      <w:pPr>
        <w:pStyle w:val="Prrafodelista"/>
        <w:numPr>
          <w:ilvl w:val="0"/>
          <w:numId w:val="31"/>
        </w:numPr>
        <w:jc w:val="both"/>
        <w:rPr>
          <w:rFonts w:ascii="Montserrat" w:hAnsi="Montserrat"/>
          <w:color w:val="000000" w:themeColor="text1"/>
          <w:sz w:val="22"/>
          <w:szCs w:val="22"/>
        </w:rPr>
      </w:pPr>
      <w:r w:rsidRPr="00FC5F45">
        <w:rPr>
          <w:rFonts w:ascii="Montserrat" w:hAnsi="Montserrat"/>
          <w:color w:val="000000" w:themeColor="text1"/>
          <w:sz w:val="22"/>
          <w:szCs w:val="22"/>
        </w:rPr>
        <w:t>El glifosato se convierte en un químico tóxico, el P-cresol, en el intestino de los autistas, muchos marcadores biológicos del autismo pueden ser explicados por el uso del glifosato.</w:t>
      </w:r>
    </w:p>
    <w:p w14:paraId="2AB7A380" w14:textId="77777777" w:rsidR="00FC5F45" w:rsidRPr="00FC5F45" w:rsidRDefault="00FC5F45" w:rsidP="00E31990">
      <w:pPr>
        <w:pStyle w:val="Prrafodelista"/>
        <w:numPr>
          <w:ilvl w:val="0"/>
          <w:numId w:val="31"/>
        </w:numPr>
        <w:jc w:val="both"/>
        <w:rPr>
          <w:rFonts w:ascii="Montserrat" w:hAnsi="Montserrat"/>
          <w:color w:val="000000" w:themeColor="text1"/>
          <w:sz w:val="22"/>
          <w:szCs w:val="22"/>
        </w:rPr>
      </w:pPr>
      <w:r w:rsidRPr="00FC5F45">
        <w:rPr>
          <w:rFonts w:ascii="Montserrat" w:hAnsi="Montserrat"/>
          <w:color w:val="000000" w:themeColor="text1"/>
          <w:sz w:val="22"/>
          <w:szCs w:val="22"/>
        </w:rPr>
        <w:t>El glifosato disminuye los niveles de serotonina y dopamina en los seres humanos, causando depresión y otros problemas mentales.</w:t>
      </w:r>
    </w:p>
    <w:p w14:paraId="062E629E" w14:textId="77777777" w:rsidR="00FC5F45" w:rsidRDefault="00FC5F45" w:rsidP="00FC5F45">
      <w:pPr>
        <w:jc w:val="both"/>
        <w:rPr>
          <w:rFonts w:ascii="Montserrat" w:hAnsi="Montserrat"/>
          <w:color w:val="000000" w:themeColor="text1"/>
          <w:sz w:val="22"/>
          <w:szCs w:val="22"/>
        </w:rPr>
      </w:pPr>
    </w:p>
    <w:p w14:paraId="620839F1" w14:textId="0B0CD404"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 xml:space="preserve">La Organización Mundial de la Salud reconoce que el consumo de alimentos transgénicos y agroquímicos ha elevado los índices de enfermedades degenerativas del sistema inmunológico como diabetes, hipertensión, obesidad, cáncer, e incluso son causantes de abortos espontáneos, malformaciones genéticas, enfermedades de la piel, respiratorias y </w:t>
      </w:r>
      <w:r w:rsidRPr="00FC5F45">
        <w:rPr>
          <w:rFonts w:ascii="Montserrat" w:hAnsi="Montserrat"/>
          <w:color w:val="000000" w:themeColor="text1"/>
          <w:sz w:val="22"/>
          <w:szCs w:val="22"/>
        </w:rPr>
        <w:lastRenderedPageBreak/>
        <w:t>neurológicas, autismo y enfermedad celiaca</w:t>
      </w:r>
      <w:r w:rsidRPr="00FC5F45">
        <w:rPr>
          <w:rStyle w:val="Refdenotaalpie"/>
          <w:rFonts w:ascii="Montserrat" w:hAnsi="Montserrat"/>
          <w:color w:val="000000" w:themeColor="text1"/>
          <w:sz w:val="22"/>
          <w:szCs w:val="22"/>
        </w:rPr>
        <w:footnoteReference w:id="23"/>
      </w:r>
      <w:r w:rsidRPr="00FC5F45">
        <w:rPr>
          <w:rFonts w:ascii="Montserrat" w:hAnsi="Montserrat"/>
          <w:color w:val="000000" w:themeColor="text1"/>
          <w:sz w:val="22"/>
          <w:szCs w:val="22"/>
        </w:rPr>
        <w:t>. Hasta la fecha se desconoce la causa de este espectro, sin embargo se tiene conocimiento sobre los posibles factores que hacen probable su presencia: factor genético, ambiental, bioquímico o debido a una enfermedad médica.</w:t>
      </w:r>
    </w:p>
    <w:p w14:paraId="70A3C796" w14:textId="77777777"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En un estudio realizado en México se estimó que 1 de cada 300 niños tenían diagnóstico de Autismo en México, con una probabilidad de 115 mil niños con Autismo en el país</w:t>
      </w:r>
      <w:r w:rsidRPr="00FC5F45">
        <w:rPr>
          <w:rStyle w:val="Refdenotaalpie"/>
          <w:rFonts w:ascii="Montserrat" w:hAnsi="Montserrat"/>
          <w:color w:val="000000" w:themeColor="text1"/>
          <w:sz w:val="22"/>
          <w:szCs w:val="22"/>
        </w:rPr>
        <w:footnoteReference w:id="24"/>
      </w:r>
      <w:r w:rsidRPr="00FC5F45">
        <w:rPr>
          <w:rFonts w:ascii="Montserrat" w:hAnsi="Montserrat"/>
          <w:color w:val="000000" w:themeColor="text1"/>
          <w:sz w:val="22"/>
          <w:szCs w:val="22"/>
        </w:rPr>
        <w:t xml:space="preserve">. </w:t>
      </w:r>
    </w:p>
    <w:p w14:paraId="126D6BF1" w14:textId="77777777" w:rsidR="00FC5F45" w:rsidRDefault="00FC5F45" w:rsidP="00FC5F45">
      <w:pPr>
        <w:jc w:val="both"/>
        <w:rPr>
          <w:rFonts w:ascii="Montserrat" w:hAnsi="Montserrat"/>
          <w:color w:val="000000" w:themeColor="text1"/>
          <w:sz w:val="22"/>
          <w:szCs w:val="22"/>
        </w:rPr>
      </w:pPr>
    </w:p>
    <w:p w14:paraId="562CBB0E" w14:textId="3C89ED9D"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El Gobierno Mexicano expidió la Ley General para la Atención y Protección a Personas con la Condición del Espectro Autista, con el objeto de impulsar la plena integración e inclusión a la sociedad de las personas con la condición del espectro autista, mediante la protección de sus derechos y necesidades fundamentales que les son reconocidos en la Constitución Política de los Estados Unidos Mexicanos y en los tratados internacionales, sin perjuicio de los derechos tutelados por otras leyes u ordenamientos.</w:t>
      </w:r>
      <w:r w:rsidRPr="00FC5F45">
        <w:rPr>
          <w:rStyle w:val="Refdenotaalpie"/>
          <w:rFonts w:ascii="Montserrat" w:hAnsi="Montserrat"/>
          <w:color w:val="000000" w:themeColor="text1"/>
          <w:sz w:val="22"/>
          <w:szCs w:val="22"/>
        </w:rPr>
        <w:footnoteReference w:id="25"/>
      </w:r>
    </w:p>
    <w:p w14:paraId="4FBAAE16" w14:textId="77777777" w:rsidR="00FC5F45" w:rsidRDefault="00FC5F45" w:rsidP="00FC5F45">
      <w:pPr>
        <w:jc w:val="both"/>
        <w:rPr>
          <w:rFonts w:ascii="Montserrat" w:hAnsi="Montserrat"/>
          <w:color w:val="000000" w:themeColor="text1"/>
          <w:sz w:val="22"/>
          <w:szCs w:val="22"/>
        </w:rPr>
      </w:pPr>
    </w:p>
    <w:p w14:paraId="0D10E1C7" w14:textId="0AD2B01B" w:rsidR="00FC5F45" w:rsidRPr="00FC5F45" w:rsidRDefault="00FC5F45" w:rsidP="00FC5F45">
      <w:pPr>
        <w:jc w:val="both"/>
        <w:rPr>
          <w:rFonts w:ascii="Montserrat" w:hAnsi="Montserrat"/>
          <w:color w:val="000000" w:themeColor="text1"/>
          <w:sz w:val="22"/>
          <w:szCs w:val="22"/>
        </w:rPr>
      </w:pPr>
      <w:r w:rsidRPr="00FC5F45">
        <w:rPr>
          <w:rFonts w:ascii="Montserrat" w:hAnsi="Montserrat"/>
          <w:color w:val="000000" w:themeColor="text1"/>
          <w:sz w:val="22"/>
          <w:szCs w:val="22"/>
        </w:rPr>
        <w:t>En México se cuenta con servicios públicos de salud mental y cursos de formación sobre la atención del Espectro Autista, asimismo, se dispone de una Guía Clínica de Trastornos Generalizados del Desarrollo, con base en un estudio realizado en México, se plantea una prevalencia global de 0.87% (95% CI 0.62, 1.1%)</w:t>
      </w:r>
      <w:r w:rsidRPr="00FC5F45">
        <w:rPr>
          <w:rStyle w:val="Refdenotaalpie"/>
          <w:rFonts w:ascii="Montserrat" w:hAnsi="Montserrat"/>
          <w:color w:val="000000" w:themeColor="text1"/>
          <w:sz w:val="22"/>
          <w:szCs w:val="22"/>
        </w:rPr>
        <w:footnoteReference w:id="26"/>
      </w:r>
      <w:r w:rsidRPr="00FC5F45">
        <w:rPr>
          <w:rFonts w:ascii="Montserrat" w:hAnsi="Montserrat"/>
          <w:color w:val="000000" w:themeColor="text1"/>
          <w:sz w:val="22"/>
          <w:szCs w:val="22"/>
        </w:rPr>
        <w:t xml:space="preserve">. </w:t>
      </w:r>
      <w:r w:rsidRPr="00FC5F45">
        <w:rPr>
          <w:rStyle w:val="Refdenotaalpie"/>
          <w:rFonts w:ascii="Montserrat" w:hAnsi="Montserrat"/>
          <w:color w:val="000000" w:themeColor="text1"/>
          <w:sz w:val="22"/>
          <w:szCs w:val="22"/>
        </w:rPr>
        <w:footnoteReference w:id="27"/>
      </w:r>
    </w:p>
    <w:p w14:paraId="12E173F1" w14:textId="77777777" w:rsidR="00FC5F45" w:rsidRDefault="00FC5F45" w:rsidP="00FC5F45">
      <w:pPr>
        <w:jc w:val="both"/>
        <w:rPr>
          <w:rFonts w:ascii="Montserrat" w:hAnsi="Montserrat"/>
          <w:color w:val="000000" w:themeColor="text1"/>
          <w:sz w:val="22"/>
          <w:szCs w:val="22"/>
        </w:rPr>
      </w:pPr>
    </w:p>
    <w:p w14:paraId="010FE885" w14:textId="5A57F46E" w:rsidR="00C8205F" w:rsidRPr="00C8205F" w:rsidRDefault="00FC5F45" w:rsidP="00C8205F">
      <w:pPr>
        <w:jc w:val="both"/>
        <w:rPr>
          <w:rFonts w:ascii="Montserrat" w:hAnsi="Montserrat"/>
          <w:color w:val="000000" w:themeColor="text1"/>
          <w:sz w:val="22"/>
          <w:szCs w:val="22"/>
        </w:rPr>
      </w:pPr>
      <w:r w:rsidRPr="00FC5F45">
        <w:rPr>
          <w:rFonts w:ascii="Montserrat" w:hAnsi="Montserrat"/>
          <w:color w:val="000000" w:themeColor="text1"/>
          <w:sz w:val="22"/>
          <w:szCs w:val="22"/>
        </w:rPr>
        <w:t>En el marco del Programa de Acción Específico de Salud Mental y Adicciones 2020-2022, se plante como una acción puntual el “Promover, asesorar y apoyar al personal de salud del primer nivel de atención en la Guía de Intervención para los trastornos mentales, neurológicos y por uso de sustancias mhGAP para reducir la brecha de atención en salud mental y adicciones. Dentro de las prioridades de esta Guía de Intervención se encuentra el Trastorno del Desarrollo, que es un término amplio que cubre trastornos tales como la discapacidad intelectual y retraso mental, así como los trastornos generalizados del desarrollo, incluyendo el autismo</w:t>
      </w:r>
      <w:r w:rsidRPr="00FC5F45">
        <w:rPr>
          <w:rStyle w:val="Refdenotaalpie"/>
          <w:rFonts w:ascii="Montserrat" w:hAnsi="Montserrat"/>
          <w:color w:val="000000" w:themeColor="text1"/>
          <w:sz w:val="22"/>
          <w:szCs w:val="22"/>
        </w:rPr>
        <w:footnoteReference w:id="28"/>
      </w:r>
      <w:r w:rsidRPr="00FC5F45">
        <w:rPr>
          <w:rFonts w:ascii="Montserrat" w:hAnsi="Montserrat"/>
          <w:color w:val="000000" w:themeColor="text1"/>
          <w:sz w:val="22"/>
          <w:szCs w:val="22"/>
        </w:rPr>
        <w:t>.</w:t>
      </w:r>
      <w:r>
        <w:rPr>
          <w:rFonts w:ascii="Montserrat" w:hAnsi="Montserrat"/>
          <w:color w:val="000000" w:themeColor="text1"/>
          <w:sz w:val="22"/>
          <w:szCs w:val="22"/>
        </w:rPr>
        <w:t xml:space="preserve"> </w:t>
      </w:r>
      <w:r w:rsidRPr="00FC5F45">
        <w:rPr>
          <w:rFonts w:ascii="Montserrat" w:hAnsi="Montserrat"/>
          <w:color w:val="000000" w:themeColor="text1"/>
          <w:sz w:val="22"/>
          <w:szCs w:val="22"/>
        </w:rPr>
        <w:t>En ese contexto se ha realizado un gran esfuerzo de capacitación a personal de salud del primer nivel de atención en todo el país.</w:t>
      </w:r>
    </w:p>
    <w:p w14:paraId="31122468" w14:textId="61E29490" w:rsidR="00FC5F45" w:rsidRDefault="00FC5F45" w:rsidP="00FC5F45">
      <w:pPr>
        <w:jc w:val="both"/>
        <w:rPr>
          <w:rFonts w:ascii="Montserrat" w:hAnsi="Montserrat"/>
          <w:b/>
          <w:bCs/>
          <w:color w:val="000000" w:themeColor="text1"/>
        </w:rPr>
      </w:pPr>
    </w:p>
    <w:p w14:paraId="4C6A3500" w14:textId="77777777" w:rsidR="00A5156B" w:rsidRDefault="00A5156B" w:rsidP="00FC5F45">
      <w:pPr>
        <w:jc w:val="both"/>
        <w:rPr>
          <w:rFonts w:ascii="Montserrat" w:hAnsi="Montserrat"/>
          <w:b/>
          <w:bCs/>
          <w:color w:val="000000" w:themeColor="text1"/>
        </w:rPr>
      </w:pPr>
    </w:p>
    <w:p w14:paraId="2AC701E6" w14:textId="792736E9" w:rsidR="00B37EC4" w:rsidRDefault="00B37EC4" w:rsidP="00645EC4">
      <w:pPr>
        <w:jc w:val="both"/>
        <w:rPr>
          <w:rFonts w:ascii="Montserrat" w:hAnsi="Montserrat"/>
          <w:b/>
          <w:bCs/>
          <w:color w:val="000000" w:themeColor="text1"/>
        </w:rPr>
      </w:pPr>
      <w:r w:rsidRPr="00B37EC4">
        <w:rPr>
          <w:rFonts w:ascii="Montserrat" w:hAnsi="Montserrat"/>
          <w:b/>
          <w:bCs/>
          <w:color w:val="000000" w:themeColor="text1"/>
        </w:rPr>
        <w:t>Artículo 30. Participación en la vida cultural, las actividades recreativas, el esparcimiento y el deporte</w:t>
      </w:r>
    </w:p>
    <w:p w14:paraId="70727909" w14:textId="729A39CA" w:rsidR="00B37EC4" w:rsidRDefault="00B37EC4" w:rsidP="00645EC4">
      <w:pPr>
        <w:jc w:val="both"/>
        <w:rPr>
          <w:rFonts w:ascii="Montserrat" w:hAnsi="Montserrat"/>
          <w:b/>
          <w:bCs/>
          <w:color w:val="000000" w:themeColor="text1"/>
        </w:rPr>
      </w:pPr>
    </w:p>
    <w:p w14:paraId="4F93E601" w14:textId="4A9C34C5" w:rsidR="00B37EC4" w:rsidRPr="00B37EC4" w:rsidRDefault="00B37EC4" w:rsidP="00645EC4">
      <w:pPr>
        <w:ind w:right="4" w:firstLine="19"/>
        <w:jc w:val="both"/>
        <w:rPr>
          <w:rFonts w:ascii="Montserrat" w:hAnsi="Montserrat"/>
          <w:sz w:val="22"/>
          <w:szCs w:val="22"/>
        </w:rPr>
      </w:pPr>
      <w:r w:rsidRPr="00B37EC4">
        <w:rPr>
          <w:rFonts w:ascii="Montserrat" w:hAnsi="Montserrat"/>
          <w:sz w:val="22"/>
          <w:szCs w:val="22"/>
        </w:rPr>
        <w:lastRenderedPageBreak/>
        <w:t xml:space="preserve">El Instituto Nacional de Antropología e Historialas cuenta con diversas acciones, proyectos y programas específicos en los Planes de Estudios y Escuelas en materia de accesibilidad para personas con discapacidad: </w:t>
      </w:r>
    </w:p>
    <w:p w14:paraId="24E5F99B" w14:textId="27A08D75" w:rsidR="00B37EC4" w:rsidRDefault="00B37EC4" w:rsidP="00E31990">
      <w:pPr>
        <w:pStyle w:val="Prrafodelista"/>
        <w:numPr>
          <w:ilvl w:val="0"/>
          <w:numId w:val="29"/>
        </w:numPr>
        <w:ind w:right="4"/>
        <w:jc w:val="both"/>
        <w:rPr>
          <w:rFonts w:ascii="Montserrat" w:hAnsi="Montserrat"/>
          <w:sz w:val="22"/>
          <w:szCs w:val="22"/>
        </w:rPr>
      </w:pPr>
      <w:r w:rsidRPr="00B37EC4">
        <w:rPr>
          <w:rFonts w:ascii="Montserrat" w:hAnsi="Montserrat"/>
          <w:sz w:val="22"/>
          <w:szCs w:val="22"/>
        </w:rPr>
        <w:t>SEMINARIOS, CONGRESOS, TALLERES, EVENTOS ACADÉMICOS Y DIFUSIÓN</w:t>
      </w:r>
      <w:r>
        <w:rPr>
          <w:rFonts w:ascii="Montserrat" w:hAnsi="Montserrat"/>
          <w:sz w:val="22"/>
          <w:szCs w:val="22"/>
        </w:rPr>
        <w:t xml:space="preserve">. </w:t>
      </w:r>
      <w:r w:rsidRPr="00B37EC4">
        <w:rPr>
          <w:rFonts w:ascii="Montserrat" w:hAnsi="Montserrat"/>
          <w:sz w:val="22"/>
          <w:szCs w:val="22"/>
        </w:rPr>
        <w:t>Se oordina la mesa de formación y capacitación del Programa Ibermuseos; en 2021 se llevó a cabo un curso sobre accesibilidad en museos para personas con discapacidad. Este curso atendió a más de 70 profesionales de museos a nivel Iberoamérica con el objetivo de generar museos incluyentes (Se adjunta programa del curso diseñado entre la Unidad Técnica de Ibermuseos y la ENCRyM).</w:t>
      </w:r>
    </w:p>
    <w:p w14:paraId="555F9A71" w14:textId="77777777" w:rsidR="00B37EC4" w:rsidRPr="00B37EC4" w:rsidRDefault="00B37EC4" w:rsidP="00645EC4">
      <w:pPr>
        <w:pStyle w:val="Prrafodelista"/>
        <w:ind w:right="4"/>
        <w:jc w:val="both"/>
        <w:rPr>
          <w:rFonts w:ascii="Montserrat" w:hAnsi="Montserrat"/>
          <w:sz w:val="22"/>
          <w:szCs w:val="22"/>
        </w:rPr>
      </w:pPr>
    </w:p>
    <w:p w14:paraId="25A56CAD" w14:textId="1DDFBAF1" w:rsidR="00B37EC4" w:rsidRPr="00B37EC4" w:rsidRDefault="00B37EC4" w:rsidP="00E31990">
      <w:pPr>
        <w:pStyle w:val="Prrafodelista"/>
        <w:numPr>
          <w:ilvl w:val="0"/>
          <w:numId w:val="29"/>
        </w:numPr>
        <w:jc w:val="both"/>
        <w:rPr>
          <w:rFonts w:ascii="Montserrat" w:hAnsi="Montserrat"/>
          <w:sz w:val="22"/>
          <w:szCs w:val="22"/>
        </w:rPr>
      </w:pPr>
      <w:r w:rsidRPr="00B37EC4">
        <w:rPr>
          <w:rFonts w:ascii="Montserrat" w:hAnsi="Montserrat"/>
          <w:sz w:val="22"/>
          <w:szCs w:val="22"/>
        </w:rPr>
        <w:t>CAPACITACIÓN y APOYO PARA ESTUDIANTES, DOCENTES Y ADMINISTRATIVOS</w:t>
      </w:r>
    </w:p>
    <w:p w14:paraId="5646F99F" w14:textId="77777777" w:rsidR="00B37EC4" w:rsidRPr="00B37EC4" w:rsidRDefault="00B37EC4" w:rsidP="00645EC4">
      <w:pPr>
        <w:ind w:left="724" w:right="4"/>
        <w:jc w:val="both"/>
        <w:rPr>
          <w:rFonts w:ascii="Montserrat" w:hAnsi="Montserrat"/>
          <w:sz w:val="22"/>
          <w:szCs w:val="22"/>
        </w:rPr>
      </w:pPr>
      <w:r w:rsidRPr="00B37EC4">
        <w:rPr>
          <w:rFonts w:ascii="Montserrat" w:hAnsi="Montserrat"/>
          <w:sz w:val="22"/>
          <w:szCs w:val="22"/>
        </w:rPr>
        <w:t xml:space="preserve">En cuando a la formación académica en las diferentes especialidades que se imparten en las Escuelas de este Instituto, es importante mencionar que el diseño de clases a distancia en el contexto de pandemia mundial ha permitido que estudiantes y docentes que presentan algún tipo de discapacidad física continúen con las actividades académicas en su modalidad virtual en el marco de los planes de estudio </w:t>
      </w:r>
      <w:r w:rsidRPr="00B37EC4">
        <w:rPr>
          <w:rFonts w:ascii="Montserrat" w:hAnsi="Montserrat"/>
          <w:noProof/>
          <w:sz w:val="22"/>
          <w:szCs w:val="22"/>
        </w:rPr>
        <w:drawing>
          <wp:inline distT="0" distB="0" distL="0" distR="0" wp14:anchorId="570F7F16" wp14:editId="088B6349">
            <wp:extent cx="6094" cy="6097"/>
            <wp:effectExtent l="0" t="0" r="0" b="0"/>
            <wp:docPr id="1783" name="Picture 1783"/>
            <wp:cNvGraphicFramePr/>
            <a:graphic xmlns:a="http://schemas.openxmlformats.org/drawingml/2006/main">
              <a:graphicData uri="http://schemas.openxmlformats.org/drawingml/2006/picture">
                <pic:pic xmlns:pic="http://schemas.openxmlformats.org/drawingml/2006/picture">
                  <pic:nvPicPr>
                    <pic:cNvPr id="1783" name="Picture 1783"/>
                    <pic:cNvPicPr/>
                  </pic:nvPicPr>
                  <pic:blipFill>
                    <a:blip r:embed="rId9"/>
                    <a:stretch>
                      <a:fillRect/>
                    </a:stretch>
                  </pic:blipFill>
                  <pic:spPr>
                    <a:xfrm>
                      <a:off x="0" y="0"/>
                      <a:ext cx="6094" cy="6097"/>
                    </a:xfrm>
                    <a:prstGeom prst="rect">
                      <a:avLst/>
                    </a:prstGeom>
                  </pic:spPr>
                </pic:pic>
              </a:graphicData>
            </a:graphic>
          </wp:inline>
        </w:drawing>
      </w:r>
      <w:r w:rsidRPr="00B37EC4">
        <w:rPr>
          <w:rFonts w:ascii="Montserrat" w:hAnsi="Montserrat"/>
          <w:sz w:val="22"/>
          <w:szCs w:val="22"/>
        </w:rPr>
        <w:t>de las diferentes licenciaturas y los posgrados.</w:t>
      </w:r>
    </w:p>
    <w:p w14:paraId="7BE31B41" w14:textId="3E5003E5" w:rsidR="00B37EC4" w:rsidRPr="00B37EC4" w:rsidRDefault="00B37EC4" w:rsidP="00645EC4">
      <w:pPr>
        <w:pStyle w:val="Ttulo1"/>
        <w:spacing w:line="240" w:lineRule="auto"/>
        <w:ind w:left="490"/>
        <w:jc w:val="both"/>
        <w:rPr>
          <w:rFonts w:ascii="Montserrat" w:hAnsi="Montserrat"/>
          <w:sz w:val="22"/>
          <w:szCs w:val="22"/>
        </w:rPr>
      </w:pPr>
    </w:p>
    <w:p w14:paraId="67A7E080" w14:textId="4F7AF132" w:rsidR="00B37EC4" w:rsidRPr="00B37EC4" w:rsidRDefault="00B37EC4" w:rsidP="00645EC4">
      <w:pPr>
        <w:ind w:left="729" w:right="4" w:firstLine="10"/>
        <w:jc w:val="both"/>
        <w:rPr>
          <w:rFonts w:ascii="Montserrat" w:hAnsi="Montserrat"/>
          <w:sz w:val="22"/>
          <w:szCs w:val="22"/>
        </w:rPr>
      </w:pPr>
      <w:r w:rsidRPr="00B37EC4">
        <w:rPr>
          <w:rFonts w:ascii="Montserrat" w:hAnsi="Montserrat"/>
          <w:sz w:val="22"/>
          <w:szCs w:val="22"/>
        </w:rPr>
        <w:t>El personal de la División de Licenciaturas de la ENAH continuó con la actualización y capacitación por medio de los cursos de sensibilización que imparte el Consejo Nacional para Prevenir la Discriminación (CONAPRED).</w:t>
      </w:r>
      <w:r>
        <w:rPr>
          <w:rFonts w:ascii="Montserrat" w:hAnsi="Montserrat"/>
          <w:sz w:val="22"/>
          <w:szCs w:val="22"/>
        </w:rPr>
        <w:t xml:space="preserve"> </w:t>
      </w:r>
      <w:r w:rsidRPr="00B37EC4">
        <w:rPr>
          <w:rFonts w:ascii="Montserrat" w:hAnsi="Montserrat"/>
          <w:sz w:val="22"/>
          <w:szCs w:val="22"/>
        </w:rPr>
        <w:t>30 funcionarios y servidores públicos de la ENAH participaron en el Taller: "Lenguaje Incluyente" del CONAPRED, el cual se llevó a cabo el día 08 de diciembre de 2021 (Se anexa cartel del evento).</w:t>
      </w:r>
    </w:p>
    <w:p w14:paraId="5258711D" w14:textId="77777777" w:rsidR="00B37EC4" w:rsidRDefault="00B37EC4" w:rsidP="00645EC4">
      <w:pPr>
        <w:ind w:left="724" w:right="4"/>
        <w:jc w:val="both"/>
        <w:rPr>
          <w:rFonts w:ascii="Montserrat" w:hAnsi="Montserrat"/>
          <w:sz w:val="22"/>
          <w:szCs w:val="22"/>
        </w:rPr>
      </w:pPr>
    </w:p>
    <w:p w14:paraId="2E5C84BD" w14:textId="345C41E3" w:rsidR="00B37EC4" w:rsidRPr="00B37EC4" w:rsidRDefault="00B37EC4" w:rsidP="00645EC4">
      <w:pPr>
        <w:ind w:left="724" w:right="4"/>
        <w:jc w:val="both"/>
        <w:rPr>
          <w:rFonts w:ascii="Montserrat" w:hAnsi="Montserrat"/>
          <w:sz w:val="22"/>
          <w:szCs w:val="22"/>
        </w:rPr>
      </w:pPr>
      <w:r w:rsidRPr="00B37EC4">
        <w:rPr>
          <w:rFonts w:ascii="Montserrat" w:hAnsi="Montserrat"/>
          <w:noProof/>
          <w:sz w:val="22"/>
          <w:szCs w:val="22"/>
        </w:rPr>
        <w:drawing>
          <wp:anchor distT="0" distB="0" distL="114300" distR="114300" simplePos="0" relativeHeight="251660288" behindDoc="0" locked="0" layoutInCell="1" allowOverlap="0" wp14:anchorId="7A95F009" wp14:editId="65269575">
            <wp:simplePos x="0" y="0"/>
            <wp:positionH relativeFrom="page">
              <wp:posOffset>6910541</wp:posOffset>
            </wp:positionH>
            <wp:positionV relativeFrom="page">
              <wp:posOffset>5858813</wp:posOffset>
            </wp:positionV>
            <wp:extent cx="6094" cy="6097"/>
            <wp:effectExtent l="0" t="0" r="0" b="0"/>
            <wp:wrapSquare wrapText="bothSides"/>
            <wp:docPr id="4055" name="Picture 4055"/>
            <wp:cNvGraphicFramePr/>
            <a:graphic xmlns:a="http://schemas.openxmlformats.org/drawingml/2006/main">
              <a:graphicData uri="http://schemas.openxmlformats.org/drawingml/2006/picture">
                <pic:pic xmlns:pic="http://schemas.openxmlformats.org/drawingml/2006/picture">
                  <pic:nvPicPr>
                    <pic:cNvPr id="4055" name="Picture 4055"/>
                    <pic:cNvPicPr/>
                  </pic:nvPicPr>
                  <pic:blipFill>
                    <a:blip r:embed="rId10"/>
                    <a:stretch>
                      <a:fillRect/>
                    </a:stretch>
                  </pic:blipFill>
                  <pic:spPr>
                    <a:xfrm>
                      <a:off x="0" y="0"/>
                      <a:ext cx="6094" cy="6097"/>
                    </a:xfrm>
                    <a:prstGeom prst="rect">
                      <a:avLst/>
                    </a:prstGeom>
                  </pic:spPr>
                </pic:pic>
              </a:graphicData>
            </a:graphic>
          </wp:anchor>
        </w:drawing>
      </w:r>
      <w:r w:rsidRPr="00B37EC4">
        <w:rPr>
          <w:rFonts w:ascii="Montserrat" w:hAnsi="Montserrat"/>
          <w:sz w:val="22"/>
          <w:szCs w:val="22"/>
        </w:rPr>
        <w:t>Por otra parte, este Instituto se apega a los lineamientos y protocolos institucionales en la materia tanto de la Secretaría de la Función Pública (SFP), CONAPRED y Comisión Nacional de Derechos Humanos (CNDH); se difunden infografías y convocatorias por los rnedios electrónicos institucionales dirigidos a todo el personal en sus diferentes Unidades Administrativas, de tal forma que directivos, mandos medios, técnicos especializados, eventuales, investigadores y docentes participan anualmente en los cursos de capacitación que promueven dichas instituciones.</w:t>
      </w:r>
    </w:p>
    <w:p w14:paraId="401FB1FC" w14:textId="77777777" w:rsidR="00B37EC4" w:rsidRDefault="00B37EC4" w:rsidP="00645EC4">
      <w:pPr>
        <w:ind w:left="724" w:right="4"/>
        <w:jc w:val="both"/>
        <w:rPr>
          <w:rFonts w:ascii="Montserrat" w:hAnsi="Montserrat"/>
          <w:sz w:val="22"/>
          <w:szCs w:val="22"/>
        </w:rPr>
      </w:pPr>
    </w:p>
    <w:p w14:paraId="2E5D1244" w14:textId="723EC4E9" w:rsidR="00B37EC4" w:rsidRDefault="00B37EC4" w:rsidP="00645EC4">
      <w:pPr>
        <w:ind w:left="724" w:right="4"/>
        <w:jc w:val="both"/>
        <w:rPr>
          <w:rFonts w:ascii="Montserrat" w:hAnsi="Montserrat"/>
          <w:sz w:val="22"/>
          <w:szCs w:val="22"/>
        </w:rPr>
      </w:pPr>
      <w:r w:rsidRPr="00B37EC4">
        <w:rPr>
          <w:rFonts w:ascii="Montserrat" w:hAnsi="Montserrat"/>
          <w:sz w:val="22"/>
          <w:szCs w:val="22"/>
        </w:rPr>
        <w:t>A Io largo de 2022 se llevará a cabo el ciclo de conferencias "Inclusión de personas con discapacidad al patrimonio cultural", compuesto por 12 sesiones que podrán seguirse por el canal 1-NAH-IYen YouTube, un día jueves de cada mes.</w:t>
      </w:r>
    </w:p>
    <w:p w14:paraId="6D1516FA" w14:textId="77777777" w:rsidR="00DE0393" w:rsidRPr="00B37EC4" w:rsidRDefault="00DE0393" w:rsidP="00DE0393">
      <w:pPr>
        <w:ind w:right="4"/>
        <w:jc w:val="both"/>
        <w:rPr>
          <w:rFonts w:ascii="Montserrat" w:hAnsi="Montserrat"/>
          <w:sz w:val="22"/>
          <w:szCs w:val="22"/>
        </w:rPr>
      </w:pPr>
    </w:p>
    <w:p w14:paraId="439278BE" w14:textId="0DB89B72" w:rsidR="00B37EC4" w:rsidRPr="00B37EC4" w:rsidRDefault="00B37EC4" w:rsidP="00E31990">
      <w:pPr>
        <w:pStyle w:val="Prrafodelista"/>
        <w:numPr>
          <w:ilvl w:val="0"/>
          <w:numId w:val="29"/>
        </w:numPr>
        <w:ind w:right="4"/>
        <w:jc w:val="both"/>
        <w:rPr>
          <w:rFonts w:ascii="Montserrat" w:hAnsi="Montserrat"/>
          <w:sz w:val="22"/>
          <w:szCs w:val="22"/>
        </w:rPr>
      </w:pPr>
      <w:r w:rsidRPr="00B37EC4">
        <w:rPr>
          <w:rFonts w:ascii="Montserrat" w:hAnsi="Montserrat"/>
          <w:sz w:val="22"/>
          <w:szCs w:val="22"/>
        </w:rPr>
        <w:t>INFRAESTRUCTURA EN LAS ESCUELAS</w:t>
      </w:r>
    </w:p>
    <w:p w14:paraId="652EFA25" w14:textId="3A83D8F1" w:rsidR="00B37EC4" w:rsidRDefault="00B37EC4" w:rsidP="00645EC4">
      <w:pPr>
        <w:ind w:left="724" w:right="4"/>
        <w:jc w:val="both"/>
        <w:rPr>
          <w:rFonts w:ascii="Montserrat" w:hAnsi="Montserrat"/>
          <w:sz w:val="22"/>
          <w:szCs w:val="22"/>
        </w:rPr>
      </w:pPr>
      <w:r w:rsidRPr="00B37EC4">
        <w:rPr>
          <w:rFonts w:ascii="Montserrat" w:hAnsi="Montserrat"/>
          <w:sz w:val="22"/>
          <w:szCs w:val="22"/>
        </w:rPr>
        <w:t>Las Escuelas de este Instituto han aplicado intervenciones en sus instalaciones para garantizar la accesibilidad a estudiantes, docentes, personal administrativo y visitantes en general a los diferentes espacios educativos, proporcionando los apoyos necesarios en la materia.</w:t>
      </w:r>
    </w:p>
    <w:p w14:paraId="6F265DDB" w14:textId="77777777" w:rsidR="00B37EC4" w:rsidRPr="00B37EC4" w:rsidRDefault="00B37EC4" w:rsidP="00645EC4">
      <w:pPr>
        <w:ind w:left="724" w:right="4"/>
        <w:jc w:val="both"/>
        <w:rPr>
          <w:rFonts w:ascii="Montserrat" w:hAnsi="Montserrat"/>
          <w:sz w:val="22"/>
          <w:szCs w:val="22"/>
        </w:rPr>
      </w:pPr>
    </w:p>
    <w:p w14:paraId="563F5793" w14:textId="77777777" w:rsidR="00B37EC4" w:rsidRPr="00B37EC4" w:rsidRDefault="00B37EC4" w:rsidP="00645EC4">
      <w:pPr>
        <w:ind w:left="724" w:right="4"/>
        <w:jc w:val="both"/>
        <w:rPr>
          <w:rFonts w:ascii="Montserrat" w:hAnsi="Montserrat"/>
          <w:sz w:val="22"/>
          <w:szCs w:val="22"/>
        </w:rPr>
      </w:pPr>
      <w:r w:rsidRPr="00B37EC4">
        <w:rPr>
          <w:rFonts w:ascii="Montserrat" w:hAnsi="Montserrat"/>
          <w:sz w:val="22"/>
          <w:szCs w:val="22"/>
        </w:rPr>
        <w:t xml:space="preserve">Se han realizado los diagnósticos de accesibilidad y análisis de riesgos en los plantéales educativos y se continúa con las gestiones </w:t>
      </w:r>
      <w:r w:rsidRPr="00B37EC4">
        <w:rPr>
          <w:rFonts w:ascii="Montserrat" w:hAnsi="Montserrat"/>
          <w:sz w:val="22"/>
          <w:szCs w:val="22"/>
        </w:rPr>
        <w:lastRenderedPageBreak/>
        <w:t>institucionales con el fin de lograr el mejoramiento de los inmuebles, así como los entornos inmediatos, como una necesidad apremiante para la atención de los aspectos de accesibilidad en los proyectos de obra del INAH para el presente año.</w:t>
      </w:r>
    </w:p>
    <w:p w14:paraId="21A7ED66" w14:textId="77777777" w:rsidR="00B37EC4" w:rsidRPr="00B37EC4" w:rsidRDefault="00B37EC4" w:rsidP="00645EC4">
      <w:pPr>
        <w:jc w:val="both"/>
        <w:rPr>
          <w:rFonts w:ascii="Montserrat" w:hAnsi="Montserrat"/>
          <w:b/>
          <w:bCs/>
          <w:color w:val="000000" w:themeColor="text1"/>
        </w:rPr>
      </w:pPr>
    </w:p>
    <w:p w14:paraId="25828AB9" w14:textId="5D1F6A3B" w:rsidR="00B37EC4" w:rsidRDefault="00B37EC4" w:rsidP="00645EC4">
      <w:pPr>
        <w:jc w:val="both"/>
        <w:rPr>
          <w:rFonts w:ascii="Montserrat" w:hAnsi="Montserrat"/>
          <w:color w:val="000000" w:themeColor="text1"/>
          <w:sz w:val="22"/>
          <w:szCs w:val="22"/>
        </w:rPr>
      </w:pPr>
    </w:p>
    <w:p w14:paraId="193B4B8D" w14:textId="77777777" w:rsidR="00DE0393" w:rsidRDefault="00DE0393" w:rsidP="00645EC4">
      <w:pPr>
        <w:jc w:val="both"/>
        <w:rPr>
          <w:rFonts w:ascii="Montserrat" w:hAnsi="Montserrat"/>
          <w:color w:val="000000" w:themeColor="text1"/>
          <w:sz w:val="22"/>
          <w:szCs w:val="22"/>
        </w:rPr>
      </w:pPr>
    </w:p>
    <w:p w14:paraId="54BEFAA7" w14:textId="77777777" w:rsidR="00CC15E2" w:rsidRDefault="00CC15E2" w:rsidP="00645EC4">
      <w:pPr>
        <w:jc w:val="both"/>
        <w:rPr>
          <w:rFonts w:ascii="Montserrat" w:hAnsi="Montserrat"/>
          <w:b/>
          <w:bCs/>
          <w:lang w:val="es-ES"/>
        </w:rPr>
      </w:pPr>
      <w:r w:rsidRPr="003E27B1">
        <w:rPr>
          <w:rFonts w:ascii="Montserrat" w:hAnsi="Montserrat"/>
          <w:b/>
          <w:bCs/>
          <w:lang w:val="es-ES"/>
        </w:rPr>
        <w:t>Artículo 31. Recopilación de datos y estadísticas</w:t>
      </w:r>
    </w:p>
    <w:p w14:paraId="3DA2CD42" w14:textId="77777777" w:rsidR="00CC15E2" w:rsidRPr="003E27B1" w:rsidRDefault="00CC15E2" w:rsidP="00645EC4">
      <w:pPr>
        <w:jc w:val="both"/>
        <w:rPr>
          <w:rFonts w:ascii="Montserrat" w:hAnsi="Montserrat"/>
          <w:b/>
          <w:bCs/>
          <w:lang w:val="es-ES"/>
        </w:rPr>
      </w:pPr>
    </w:p>
    <w:p w14:paraId="29A928BB" w14:textId="77777777" w:rsidR="00CC15E2" w:rsidRPr="003D39C9" w:rsidRDefault="00CC15E2" w:rsidP="00645EC4">
      <w:pPr>
        <w:contextualSpacing/>
        <w:jc w:val="both"/>
        <w:rPr>
          <w:rFonts w:ascii="Montserrat" w:eastAsia="Cambria" w:hAnsi="Montserrat" w:cs="Arial"/>
          <w:color w:val="000000" w:themeColor="text1"/>
          <w:sz w:val="22"/>
          <w:szCs w:val="22"/>
        </w:rPr>
      </w:pPr>
      <w:r w:rsidRPr="00653722">
        <w:rPr>
          <w:rFonts w:ascii="Montserrat" w:hAnsi="Montserrat"/>
          <w:sz w:val="22"/>
          <w:szCs w:val="22"/>
        </w:rPr>
        <w:t xml:space="preserve">En cuanto a las preocupaciones del Comité relativas a la recopilación de </w:t>
      </w:r>
      <w:r w:rsidRPr="003D39C9">
        <w:rPr>
          <w:rFonts w:ascii="Montserrat" w:hAnsi="Montserrat"/>
          <w:color w:val="000000" w:themeColor="text1"/>
          <w:sz w:val="22"/>
          <w:szCs w:val="22"/>
        </w:rPr>
        <w:t xml:space="preserve">información estadística sobre violencia contra las mujeres con discapacidad, </w:t>
      </w:r>
      <w:r w:rsidRPr="003D39C9">
        <w:rPr>
          <w:rFonts w:ascii="Montserrat" w:eastAsia="Cambria" w:hAnsi="Montserrat" w:cs="Arial"/>
          <w:color w:val="000000" w:themeColor="text1"/>
          <w:sz w:val="22"/>
          <w:szCs w:val="22"/>
        </w:rPr>
        <w:t>se hace de su conocimiento que se cuenta con la Encuesta Nacional sobre la Dinámica de las Relaciones en los Hogares (ENDIREH), levantada por el Instituto Nacional de Estadística y Geografía, la cual tiene cobertura a nivel nacional y por entidad federativa, e incluye la variable de la edad, tipo y ámbito de violencia; además de escolaridad, condición de habla de lengua indígena, ocupación, tamaño de localidad de residencia, situación conyugal, entre otras.</w:t>
      </w:r>
    </w:p>
    <w:p w14:paraId="598C59E9" w14:textId="77777777" w:rsidR="00CC15E2" w:rsidRPr="003D39C9" w:rsidRDefault="00CC15E2" w:rsidP="00645EC4">
      <w:pPr>
        <w:contextualSpacing/>
        <w:jc w:val="both"/>
        <w:rPr>
          <w:rFonts w:ascii="Montserrat" w:eastAsia="Cambria" w:hAnsi="Montserrat" w:cs="Arial"/>
          <w:color w:val="000000" w:themeColor="text1"/>
          <w:sz w:val="22"/>
          <w:szCs w:val="22"/>
        </w:rPr>
      </w:pPr>
    </w:p>
    <w:p w14:paraId="78622086" w14:textId="77777777" w:rsidR="00CC15E2" w:rsidRPr="003D39C9" w:rsidRDefault="00CC15E2" w:rsidP="00645EC4">
      <w:pPr>
        <w:contextualSpacing/>
        <w:jc w:val="both"/>
        <w:rPr>
          <w:rFonts w:ascii="Montserrat" w:eastAsia="Cambria" w:hAnsi="Montserrat" w:cs="Arial"/>
          <w:color w:val="000000" w:themeColor="text1"/>
          <w:sz w:val="22"/>
          <w:szCs w:val="22"/>
        </w:rPr>
      </w:pPr>
      <w:r>
        <w:rPr>
          <w:rFonts w:ascii="Montserrat" w:eastAsia="Cambria" w:hAnsi="Montserrat" w:cs="Arial"/>
          <w:color w:val="000000" w:themeColor="text1"/>
          <w:sz w:val="22"/>
          <w:szCs w:val="22"/>
        </w:rPr>
        <w:t>Di</w:t>
      </w:r>
      <w:r w:rsidRPr="003D39C9">
        <w:rPr>
          <w:rFonts w:ascii="Montserrat" w:eastAsia="Cambria" w:hAnsi="Montserrat" w:cs="Arial"/>
          <w:color w:val="000000" w:themeColor="text1"/>
          <w:sz w:val="22"/>
          <w:szCs w:val="22"/>
        </w:rPr>
        <w:t>cha encuesta es la principal herramienta para la medición de la violencia contra las mujeres en el país</w:t>
      </w:r>
      <w:r>
        <w:rPr>
          <w:rFonts w:ascii="Montserrat" w:eastAsia="Cambria" w:hAnsi="Montserrat" w:cs="Arial"/>
          <w:color w:val="000000" w:themeColor="text1"/>
          <w:sz w:val="22"/>
          <w:szCs w:val="22"/>
        </w:rPr>
        <w:t xml:space="preserve"> y cuenta con una</w:t>
      </w:r>
      <w:r w:rsidRPr="003D39C9">
        <w:rPr>
          <w:rFonts w:ascii="Montserrat" w:eastAsia="Cambria" w:hAnsi="Montserrat" w:cs="Arial"/>
          <w:color w:val="000000" w:themeColor="text1"/>
          <w:sz w:val="22"/>
          <w:szCs w:val="22"/>
        </w:rPr>
        <w:t xml:space="preserve"> sección para mujeres mayores de 60 años en que se pregunta si la entrevistada “¿Tiene alguna enfermedad, limitación física o discapacidad que le impide desplazarse sola?”. Además, a partir de 2016, la encuesta tiene el carácter de Información de Interés Nacional, por lo que se levantará quinquenalmente y será de uso obligatorio para las instituciones del Estado mexicano. Cabe señalar que la encuesta cuenta con ediciones en 2003, 2006, 2011 y 2016. </w:t>
      </w:r>
    </w:p>
    <w:p w14:paraId="6786AF8F" w14:textId="77777777" w:rsidR="00CC15E2" w:rsidRPr="00653722" w:rsidRDefault="00CC15E2" w:rsidP="00645EC4">
      <w:pPr>
        <w:contextualSpacing/>
        <w:jc w:val="both"/>
        <w:rPr>
          <w:rFonts w:ascii="Montserrat" w:eastAsia="Cambria" w:hAnsi="Montserrat" w:cs="Arial"/>
          <w:bCs/>
          <w:color w:val="44546A" w:themeColor="text2"/>
          <w:sz w:val="22"/>
          <w:szCs w:val="22"/>
        </w:rPr>
      </w:pPr>
    </w:p>
    <w:p w14:paraId="3509FCF5" w14:textId="77777777" w:rsidR="00CC15E2" w:rsidRPr="003D39C9" w:rsidRDefault="00CC15E2" w:rsidP="00645EC4">
      <w:pPr>
        <w:jc w:val="both"/>
        <w:rPr>
          <w:rFonts w:ascii="Montserrat" w:eastAsia="Cambria" w:hAnsi="Montserrat" w:cs="Arial"/>
          <w:color w:val="000000" w:themeColor="text1"/>
          <w:sz w:val="22"/>
          <w:szCs w:val="22"/>
        </w:rPr>
      </w:pPr>
      <w:r>
        <w:rPr>
          <w:rFonts w:ascii="Montserrat" w:eastAsia="Cambria" w:hAnsi="Montserrat" w:cs="Arial"/>
          <w:color w:val="000000" w:themeColor="text1"/>
          <w:sz w:val="22"/>
          <w:szCs w:val="22"/>
        </w:rPr>
        <w:t>Asimismo</w:t>
      </w:r>
      <w:r w:rsidRPr="003D39C9">
        <w:rPr>
          <w:rFonts w:ascii="Montserrat" w:eastAsia="Cambria" w:hAnsi="Montserrat" w:cs="Arial"/>
          <w:color w:val="000000" w:themeColor="text1"/>
          <w:sz w:val="22"/>
          <w:szCs w:val="22"/>
        </w:rPr>
        <w:t xml:space="preserve">, un aspecto relevante de la encuesta es que pone en evidencia las consecuencias de la violencia contra las mujeres, que puede estar generando discapacidades permanentes importantes. Entre las que han experimentado violencia física y/o sexual, 35.8% presentó daños físicos derivados de la violencia que han vivido, principalmente moretones, hemorragias e incluso que han estado hospitalizadas o ha habido necesidad de ser operadas, por esta razón, además de las consecuencias emocionales y/o psicológicas de la violencia. Para el 64.3% la violencia física y/o sexual ejercida por su pareja, le ha dejado consecuencias emocionales, a la mayoría tristeza o depresión; a la mitad angustia o miedo y para un tercio de ellas problemas alimenticios. </w:t>
      </w:r>
    </w:p>
    <w:p w14:paraId="5B3A0E15" w14:textId="77777777" w:rsidR="00CC15E2" w:rsidRPr="003D39C9" w:rsidRDefault="00CC15E2" w:rsidP="00645EC4">
      <w:pPr>
        <w:jc w:val="both"/>
        <w:rPr>
          <w:rFonts w:ascii="Montserrat" w:eastAsia="Cambria" w:hAnsi="Montserrat" w:cs="Arial"/>
          <w:color w:val="000000" w:themeColor="text1"/>
          <w:sz w:val="22"/>
          <w:szCs w:val="22"/>
        </w:rPr>
      </w:pPr>
    </w:p>
    <w:p w14:paraId="5D3B159E" w14:textId="77777777" w:rsidR="00CC15E2" w:rsidRPr="003D39C9" w:rsidRDefault="00CC15E2" w:rsidP="00645EC4">
      <w:pPr>
        <w:jc w:val="both"/>
        <w:rPr>
          <w:rFonts w:ascii="Montserrat" w:eastAsia="Cambria" w:hAnsi="Montserrat" w:cs="Arial"/>
          <w:color w:val="000000" w:themeColor="text1"/>
          <w:sz w:val="22"/>
          <w:szCs w:val="22"/>
          <w:shd w:val="clear" w:color="auto" w:fill="FFFFFF"/>
        </w:rPr>
      </w:pPr>
      <w:r w:rsidRPr="003D39C9">
        <w:rPr>
          <w:rFonts w:ascii="Montserrat" w:eastAsia="Cambria" w:hAnsi="Montserrat" w:cs="Arial"/>
          <w:color w:val="000000" w:themeColor="text1"/>
          <w:sz w:val="22"/>
          <w:szCs w:val="22"/>
          <w:shd w:val="clear" w:color="auto" w:fill="FFFFFF"/>
        </w:rPr>
        <w:t>La información está disponible en:</w:t>
      </w:r>
    </w:p>
    <w:p w14:paraId="3EB92E02" w14:textId="77777777" w:rsidR="00CC15E2" w:rsidRPr="003D39C9" w:rsidRDefault="00770B34" w:rsidP="00E31990">
      <w:pPr>
        <w:pStyle w:val="Prrafodelista"/>
        <w:numPr>
          <w:ilvl w:val="0"/>
          <w:numId w:val="13"/>
        </w:numPr>
        <w:jc w:val="both"/>
        <w:rPr>
          <w:rFonts w:ascii="Montserrat" w:hAnsi="Montserrat" w:cs="Arial"/>
          <w:sz w:val="22"/>
          <w:szCs w:val="22"/>
        </w:rPr>
      </w:pPr>
      <w:hyperlink r:id="rId11" w:history="1">
        <w:r w:rsidR="00CC15E2" w:rsidRPr="003D39C9">
          <w:rPr>
            <w:rStyle w:val="Hipervnculo"/>
            <w:rFonts w:ascii="Montserrat" w:hAnsi="Montserrat" w:cs="Arial"/>
            <w:sz w:val="22"/>
            <w:szCs w:val="22"/>
          </w:rPr>
          <w:t>https://www.inegi.org.mx/programas/endireh/2016/</w:t>
        </w:r>
      </w:hyperlink>
      <w:r w:rsidR="00CC15E2" w:rsidRPr="003D39C9">
        <w:rPr>
          <w:rFonts w:ascii="Montserrat" w:hAnsi="Montserrat" w:cs="Arial"/>
          <w:sz w:val="22"/>
          <w:szCs w:val="22"/>
        </w:rPr>
        <w:t xml:space="preserve"> </w:t>
      </w:r>
    </w:p>
    <w:p w14:paraId="6126D3DF" w14:textId="77777777" w:rsidR="00CC15E2" w:rsidRPr="003D39C9" w:rsidRDefault="00770B34" w:rsidP="00E31990">
      <w:pPr>
        <w:pStyle w:val="Prrafodelista"/>
        <w:numPr>
          <w:ilvl w:val="0"/>
          <w:numId w:val="13"/>
        </w:numPr>
        <w:rPr>
          <w:rFonts w:ascii="Montserrat" w:hAnsi="Montserrat"/>
          <w:sz w:val="22"/>
          <w:szCs w:val="22"/>
        </w:rPr>
      </w:pPr>
      <w:hyperlink r:id="rId12" w:anchor="Tabulados" w:history="1">
        <w:r w:rsidR="00CC15E2" w:rsidRPr="003D39C9">
          <w:rPr>
            <w:rStyle w:val="Hipervnculo"/>
            <w:rFonts w:ascii="Montserrat" w:hAnsi="Montserrat"/>
            <w:sz w:val="22"/>
            <w:szCs w:val="22"/>
          </w:rPr>
          <w:t>https://www.inegi.org.mx/programas/endireh/2016/#Tabulados</w:t>
        </w:r>
      </w:hyperlink>
    </w:p>
    <w:p w14:paraId="299B075A" w14:textId="77777777" w:rsidR="00CC15E2" w:rsidRPr="003D39C9" w:rsidRDefault="00770B34" w:rsidP="00E31990">
      <w:pPr>
        <w:pStyle w:val="Prrafodelista"/>
        <w:numPr>
          <w:ilvl w:val="0"/>
          <w:numId w:val="13"/>
        </w:numPr>
        <w:rPr>
          <w:rFonts w:ascii="Montserrat" w:hAnsi="Montserrat"/>
          <w:sz w:val="22"/>
          <w:szCs w:val="22"/>
        </w:rPr>
      </w:pPr>
      <w:hyperlink r:id="rId13" w:anchor="Microdatos" w:history="1">
        <w:r w:rsidR="00CC15E2" w:rsidRPr="003D39C9">
          <w:rPr>
            <w:rStyle w:val="Hipervnculo"/>
            <w:rFonts w:ascii="Montserrat" w:hAnsi="Montserrat"/>
            <w:sz w:val="22"/>
            <w:szCs w:val="22"/>
          </w:rPr>
          <w:t>https://www.inegi.org.mx/programas/endireh/2016/#Microdatos</w:t>
        </w:r>
      </w:hyperlink>
    </w:p>
    <w:p w14:paraId="3B75CC68" w14:textId="77777777" w:rsidR="00CC15E2" w:rsidRPr="00653722" w:rsidRDefault="00CC15E2" w:rsidP="00645EC4">
      <w:pPr>
        <w:jc w:val="both"/>
        <w:rPr>
          <w:rFonts w:ascii="Montserrat" w:eastAsia="Cambria" w:hAnsi="Montserrat" w:cs="Arial"/>
          <w:color w:val="44546A" w:themeColor="text2"/>
          <w:sz w:val="22"/>
          <w:szCs w:val="22"/>
        </w:rPr>
      </w:pPr>
    </w:p>
    <w:p w14:paraId="312F7AEA" w14:textId="77777777" w:rsidR="00CC15E2" w:rsidRDefault="00CC15E2" w:rsidP="00645EC4">
      <w:pPr>
        <w:jc w:val="both"/>
        <w:rPr>
          <w:rFonts w:ascii="Montserrat" w:eastAsia="Cambria" w:hAnsi="Montserrat" w:cs="Arial"/>
          <w:color w:val="44546A" w:themeColor="text2"/>
          <w:sz w:val="22"/>
          <w:szCs w:val="22"/>
        </w:rPr>
      </w:pPr>
    </w:p>
    <w:p w14:paraId="058B2147" w14:textId="77777777" w:rsidR="00CC15E2" w:rsidRPr="00185E66" w:rsidRDefault="00CC15E2" w:rsidP="00645EC4">
      <w:pPr>
        <w:jc w:val="both"/>
        <w:rPr>
          <w:rFonts w:ascii="Montserrat" w:eastAsia="Cambria" w:hAnsi="Montserrat" w:cs="Arial"/>
          <w:color w:val="000000" w:themeColor="text1"/>
          <w:sz w:val="22"/>
          <w:szCs w:val="22"/>
          <w:shd w:val="clear" w:color="auto" w:fill="FFFFFF"/>
        </w:rPr>
      </w:pPr>
      <w:r w:rsidRPr="00185E66">
        <w:rPr>
          <w:rFonts w:ascii="Montserrat" w:eastAsia="Cambria" w:hAnsi="Montserrat" w:cs="Arial"/>
          <w:color w:val="000000" w:themeColor="text1"/>
          <w:sz w:val="22"/>
          <w:szCs w:val="22"/>
        </w:rPr>
        <w:t xml:space="preserve">Aunque los datos que reporta la ENDIREH 2016 contribuyen al fortalecimiento de marcos normativos y visibilizan las diferentes formas de violencia contra las mujeres, se reconoce que se requieren adecuaciones para tener información </w:t>
      </w:r>
      <w:r w:rsidRPr="00185E66">
        <w:rPr>
          <w:rFonts w:ascii="Montserrat" w:eastAsia="Cambria" w:hAnsi="Montserrat" w:cs="Arial"/>
          <w:color w:val="000000" w:themeColor="text1"/>
          <w:sz w:val="22"/>
          <w:szCs w:val="22"/>
          <w:shd w:val="clear" w:color="auto" w:fill="FFFFFF"/>
        </w:rPr>
        <w:t xml:space="preserve">a nivel regional y municipal; datos de la violencia en un contexto de separación o divorcio, migrantes e indígenas; información sobre </w:t>
      </w:r>
      <w:r w:rsidRPr="00185E66">
        <w:rPr>
          <w:rFonts w:ascii="Montserrat" w:eastAsia="Cambria" w:hAnsi="Montserrat" w:cs="Arial"/>
          <w:color w:val="000000" w:themeColor="text1"/>
          <w:sz w:val="22"/>
          <w:szCs w:val="22"/>
          <w:shd w:val="clear" w:color="auto" w:fill="FFFFFF"/>
        </w:rPr>
        <w:lastRenderedPageBreak/>
        <w:t xml:space="preserve">los agresores; el costo de la violencia, y las cifras de violencia que sufren las mujeres con discapacidad, sus expresiones y tipos de agresores. </w:t>
      </w:r>
    </w:p>
    <w:p w14:paraId="45885219" w14:textId="77777777" w:rsidR="00CC15E2" w:rsidRPr="00653722" w:rsidRDefault="00CC15E2" w:rsidP="00645EC4">
      <w:pPr>
        <w:contextualSpacing/>
        <w:jc w:val="both"/>
        <w:rPr>
          <w:rFonts w:eastAsia="Cambria" w:cs="Arial"/>
          <w:bCs/>
          <w:color w:val="44546A" w:themeColor="text2"/>
          <w:sz w:val="22"/>
          <w:szCs w:val="22"/>
        </w:rPr>
      </w:pPr>
    </w:p>
    <w:p w14:paraId="19C2507E" w14:textId="77777777" w:rsidR="00CC15E2" w:rsidRPr="00185E66" w:rsidRDefault="00CC15E2" w:rsidP="00645EC4">
      <w:pPr>
        <w:contextualSpacing/>
        <w:jc w:val="both"/>
        <w:rPr>
          <w:rFonts w:ascii="Montserrat" w:eastAsia="Cambria" w:hAnsi="Montserrat" w:cs="Arial"/>
          <w:bCs/>
          <w:color w:val="000000" w:themeColor="text1"/>
          <w:sz w:val="22"/>
          <w:szCs w:val="22"/>
        </w:rPr>
      </w:pPr>
      <w:r w:rsidRPr="00185E66">
        <w:rPr>
          <w:rFonts w:ascii="Montserrat" w:eastAsia="Cambria" w:hAnsi="Montserrat" w:cs="Arial"/>
          <w:bCs/>
          <w:color w:val="000000" w:themeColor="text1"/>
          <w:sz w:val="22"/>
          <w:szCs w:val="22"/>
        </w:rPr>
        <w:t xml:space="preserve">Por otra parte, también se recopila información sobre Derechos Humanos a través del Censo Nacional de los Derechos Humanos Federal y el Censo Nacional de los Derechos Humanos Estatal, de manera anual desde 2017. El objetivo central de estos programas estadísticos es generar información estadística y geográfica sobre la Comisión Nacional de los Derechos Humanos y de los Organismos de Protección de Derechos Humanos en cada entidad federativa, en materia de gestión y desempeño (vinculado a la protección de derechos humanos), para que esta sirva a los procesos de diseño, implementación, monitoreo y evaluación de políticas públicas. </w:t>
      </w:r>
    </w:p>
    <w:p w14:paraId="4E96A938" w14:textId="77777777" w:rsidR="00CC15E2" w:rsidRPr="00185E66" w:rsidRDefault="00CC15E2" w:rsidP="00645EC4">
      <w:pPr>
        <w:contextualSpacing/>
        <w:jc w:val="both"/>
        <w:rPr>
          <w:rFonts w:ascii="Montserrat" w:eastAsia="Cambria" w:hAnsi="Montserrat" w:cs="Arial"/>
          <w:bCs/>
          <w:color w:val="000000" w:themeColor="text1"/>
          <w:sz w:val="22"/>
          <w:szCs w:val="22"/>
        </w:rPr>
      </w:pPr>
    </w:p>
    <w:p w14:paraId="04E6B312" w14:textId="77777777" w:rsidR="00CC15E2" w:rsidRPr="00185E66" w:rsidRDefault="00CC15E2" w:rsidP="00645EC4">
      <w:pPr>
        <w:contextualSpacing/>
        <w:jc w:val="both"/>
        <w:rPr>
          <w:rFonts w:ascii="Montserrat" w:eastAsia="Cambria" w:hAnsi="Montserrat" w:cs="Arial"/>
          <w:bCs/>
          <w:color w:val="000000" w:themeColor="text1"/>
          <w:sz w:val="22"/>
          <w:szCs w:val="22"/>
        </w:rPr>
      </w:pPr>
      <w:r w:rsidRPr="00185E66">
        <w:rPr>
          <w:rFonts w:ascii="Montserrat" w:eastAsia="Cambria" w:hAnsi="Montserrat" w:cs="Arial"/>
          <w:bCs/>
          <w:color w:val="000000" w:themeColor="text1"/>
          <w:sz w:val="22"/>
          <w:szCs w:val="22"/>
        </w:rPr>
        <w:t>Entre los objetivos específicos, se encuentra el de generar información sobre las solicitudes de queja recibidas por la Comisión y de los Organismos y conocer a la población afectada relacionada con las mismas. Entre las acciones presuntamente violatorias de derechos humanos, en ambos censos, se pueden contabilizar acciones contra personas con discapacidad (como tipo de acción).</w:t>
      </w:r>
    </w:p>
    <w:p w14:paraId="21707855" w14:textId="77777777" w:rsidR="00CC15E2" w:rsidRPr="00185E66" w:rsidRDefault="00CC15E2" w:rsidP="00645EC4">
      <w:pPr>
        <w:contextualSpacing/>
        <w:jc w:val="both"/>
        <w:rPr>
          <w:rFonts w:ascii="Montserrat" w:eastAsia="Cambria" w:hAnsi="Montserrat" w:cs="Arial"/>
          <w:bCs/>
          <w:color w:val="000000" w:themeColor="text1"/>
          <w:sz w:val="22"/>
          <w:szCs w:val="22"/>
        </w:rPr>
      </w:pPr>
    </w:p>
    <w:p w14:paraId="72C51098" w14:textId="77777777" w:rsidR="00CC15E2" w:rsidRPr="00185E66" w:rsidRDefault="00CC15E2" w:rsidP="00645EC4">
      <w:pPr>
        <w:contextualSpacing/>
        <w:jc w:val="both"/>
        <w:rPr>
          <w:rFonts w:ascii="Montserrat" w:eastAsia="Cambria" w:hAnsi="Montserrat" w:cs="Arial"/>
          <w:bCs/>
          <w:color w:val="000000" w:themeColor="text1"/>
          <w:sz w:val="22"/>
          <w:szCs w:val="22"/>
        </w:rPr>
      </w:pPr>
      <w:r w:rsidRPr="00185E66">
        <w:rPr>
          <w:rFonts w:ascii="Montserrat" w:eastAsia="Cambria" w:hAnsi="Montserrat" w:cs="Arial"/>
          <w:bCs/>
          <w:color w:val="000000" w:themeColor="text1"/>
          <w:sz w:val="22"/>
          <w:szCs w:val="22"/>
        </w:rPr>
        <w:t>En este sentido, específicamente sobre las estadísticas en materia de violencia contra las mujeres, así como aquellos relacionados con la población con alguna discapacidad, se recopila la siguiente información sobre el ejercicio de la función en materia de Protección de Derechos Humanos: solicitudes de queja, ingresos, calificación de los expedientes de queja, conclusiones, existencia al cierre del año, seguimiento, exploración específica de presuntos hechos violatorios seleccionados y atención inmediata. La información se encuentra disponible en:</w:t>
      </w:r>
    </w:p>
    <w:p w14:paraId="0D1A8E82" w14:textId="77777777" w:rsidR="00CC15E2" w:rsidRPr="00653722" w:rsidRDefault="00CC15E2" w:rsidP="00645EC4">
      <w:pPr>
        <w:contextualSpacing/>
        <w:jc w:val="both"/>
        <w:rPr>
          <w:rFonts w:eastAsia="Cambria" w:cs="Arial"/>
          <w:bCs/>
          <w:color w:val="44546A" w:themeColor="text2"/>
          <w:sz w:val="22"/>
          <w:szCs w:val="22"/>
        </w:rPr>
      </w:pPr>
    </w:p>
    <w:p w14:paraId="4ED9CB4C" w14:textId="77777777" w:rsidR="00CC15E2" w:rsidRPr="006A66F6" w:rsidRDefault="00CC15E2" w:rsidP="00E31990">
      <w:pPr>
        <w:pStyle w:val="Prrafodelista"/>
        <w:numPr>
          <w:ilvl w:val="0"/>
          <w:numId w:val="10"/>
        </w:numPr>
        <w:rPr>
          <w:rFonts w:ascii="Montserrat" w:hAnsi="Montserrat" w:cstheme="minorHAnsi"/>
          <w:b/>
          <w:color w:val="44546A" w:themeColor="text2"/>
          <w:sz w:val="22"/>
          <w:szCs w:val="22"/>
          <w:shd w:val="clear" w:color="auto" w:fill="FFFFFF"/>
        </w:rPr>
      </w:pPr>
      <w:r w:rsidRPr="00E02EEA">
        <w:rPr>
          <w:rFonts w:ascii="Montserrat" w:hAnsi="Montserrat" w:cstheme="minorHAnsi"/>
          <w:bCs/>
          <w:color w:val="000000" w:themeColor="text1"/>
          <w:sz w:val="22"/>
          <w:szCs w:val="22"/>
          <w:shd w:val="clear" w:color="auto" w:fill="FFFFFF"/>
        </w:rPr>
        <w:t xml:space="preserve">Censo Nacional de Derechos Humanos Federal 2021 </w:t>
      </w:r>
      <w:hyperlink r:id="rId14" w:anchor="Tabulados" w:history="1">
        <w:r w:rsidRPr="006A66F6">
          <w:rPr>
            <w:rStyle w:val="Hipervnculo"/>
            <w:rFonts w:ascii="Montserrat" w:hAnsi="Montserrat"/>
            <w:sz w:val="22"/>
            <w:szCs w:val="22"/>
          </w:rPr>
          <w:t>https://www.inegi.org.mx/programas/cndhf/2021/#Tabulados</w:t>
        </w:r>
      </w:hyperlink>
    </w:p>
    <w:p w14:paraId="1458F3AF" w14:textId="77777777" w:rsidR="00CC15E2" w:rsidRPr="006A66F6" w:rsidRDefault="00CC15E2" w:rsidP="00E31990">
      <w:pPr>
        <w:pStyle w:val="Prrafodelista"/>
        <w:numPr>
          <w:ilvl w:val="0"/>
          <w:numId w:val="10"/>
        </w:numPr>
        <w:rPr>
          <w:rFonts w:ascii="Montserrat" w:hAnsi="Montserrat"/>
          <w:sz w:val="22"/>
          <w:szCs w:val="22"/>
        </w:rPr>
      </w:pPr>
      <w:r w:rsidRPr="00E02EEA">
        <w:rPr>
          <w:rFonts w:ascii="Montserrat" w:hAnsi="Montserrat" w:cstheme="minorHAnsi"/>
          <w:bCs/>
          <w:color w:val="000000" w:themeColor="text1"/>
          <w:sz w:val="22"/>
          <w:szCs w:val="22"/>
          <w:shd w:val="clear" w:color="auto" w:fill="FFFFFF"/>
        </w:rPr>
        <w:t xml:space="preserve">Censo Nacional de Derechos Humanos Estatal 2021 </w:t>
      </w:r>
      <w:hyperlink r:id="rId15" w:anchor="Tabulados" w:history="1">
        <w:r w:rsidRPr="006A66F6">
          <w:rPr>
            <w:rStyle w:val="Hipervnculo"/>
            <w:rFonts w:ascii="Montserrat" w:hAnsi="Montserrat"/>
            <w:sz w:val="22"/>
            <w:szCs w:val="22"/>
          </w:rPr>
          <w:t>https://www.inegi.org.mx/programas/cndhe/2021/#Tabulados</w:t>
        </w:r>
      </w:hyperlink>
    </w:p>
    <w:p w14:paraId="33894895" w14:textId="77777777" w:rsidR="00CC15E2" w:rsidRPr="00653722" w:rsidRDefault="00CC15E2" w:rsidP="00645EC4">
      <w:pPr>
        <w:contextualSpacing/>
        <w:jc w:val="both"/>
        <w:rPr>
          <w:rFonts w:eastAsia="Cambria" w:cs="Arial"/>
          <w:bCs/>
          <w:color w:val="44546A" w:themeColor="text2"/>
          <w:sz w:val="22"/>
          <w:szCs w:val="22"/>
        </w:rPr>
      </w:pPr>
    </w:p>
    <w:p w14:paraId="34B244F6" w14:textId="77777777" w:rsidR="00CC15E2" w:rsidRPr="00B36078" w:rsidRDefault="00CC15E2" w:rsidP="00645EC4">
      <w:pPr>
        <w:jc w:val="both"/>
        <w:rPr>
          <w:rFonts w:ascii="Montserrat" w:eastAsia="Montserrat" w:hAnsi="Montserrat" w:cs="Arial"/>
          <w:bCs/>
          <w:color w:val="000000" w:themeColor="text1"/>
          <w:sz w:val="22"/>
          <w:szCs w:val="22"/>
          <w:lang w:eastAsia="es-MX"/>
        </w:rPr>
      </w:pPr>
      <w:bookmarkStart w:id="0" w:name="_Hlk98417789"/>
      <w:r w:rsidRPr="00B36078">
        <w:rPr>
          <w:rFonts w:ascii="Montserrat" w:hAnsi="Montserrat"/>
          <w:bCs/>
          <w:color w:val="000000" w:themeColor="text1"/>
          <w:sz w:val="22"/>
          <w:szCs w:val="22"/>
        </w:rPr>
        <w:t>De igual forma, en el</w:t>
      </w:r>
      <w:bookmarkEnd w:id="0"/>
      <w:r w:rsidRPr="00B36078">
        <w:rPr>
          <w:rFonts w:ascii="Montserrat" w:eastAsia="Montserrat" w:hAnsi="Montserrat" w:cs="Arial"/>
          <w:bCs/>
          <w:color w:val="000000" w:themeColor="text1"/>
          <w:sz w:val="22"/>
          <w:szCs w:val="22"/>
          <w:lang w:eastAsia="es-MX"/>
        </w:rPr>
        <w:t xml:space="preserve"> Censo de Población y Vivienda 2020, cuyo objetivo fundamental es producir información sobre la dimensión, estructura y distribución espacial de la población, así como de sus principales características socioeconómicas y culturales, se incluyó la pregunta de discapacidad, con la cual fue posible identificar a la población según su condición de discapacidad o limitación, así como el tipo y grado; además, por medio del Cuestionario Ampliado se indaga sobre la causa de la discapacidad o limitación, el tipo y grado. </w:t>
      </w:r>
    </w:p>
    <w:p w14:paraId="360C5A20" w14:textId="77777777" w:rsidR="00CC15E2" w:rsidRPr="00B36078" w:rsidRDefault="00CC15E2" w:rsidP="00645EC4">
      <w:pPr>
        <w:jc w:val="both"/>
        <w:rPr>
          <w:rFonts w:ascii="Montserrat" w:eastAsia="Montserrat" w:hAnsi="Montserrat" w:cs="Arial"/>
          <w:bCs/>
          <w:color w:val="000000" w:themeColor="text1"/>
          <w:sz w:val="22"/>
          <w:szCs w:val="22"/>
          <w:lang w:eastAsia="es-MX"/>
        </w:rPr>
      </w:pPr>
    </w:p>
    <w:p w14:paraId="12EA3F6A" w14:textId="77777777" w:rsidR="00CC15E2" w:rsidRPr="00B36078" w:rsidRDefault="00CC15E2" w:rsidP="00645EC4">
      <w:pPr>
        <w:jc w:val="both"/>
        <w:rPr>
          <w:rFonts w:ascii="Montserrat" w:eastAsia="Montserrat" w:hAnsi="Montserrat" w:cs="Arial"/>
          <w:bCs/>
          <w:color w:val="000000" w:themeColor="text1"/>
          <w:sz w:val="22"/>
          <w:szCs w:val="22"/>
          <w:lang w:eastAsia="es-MX"/>
        </w:rPr>
      </w:pPr>
      <w:r w:rsidRPr="00B36078">
        <w:rPr>
          <w:rFonts w:ascii="Montserrat" w:eastAsia="Montserrat" w:hAnsi="Montserrat" w:cs="Arial"/>
          <w:bCs/>
          <w:color w:val="000000" w:themeColor="text1"/>
          <w:sz w:val="22"/>
          <w:szCs w:val="22"/>
          <w:lang w:eastAsia="es-MX"/>
        </w:rPr>
        <w:t xml:space="preserve">Este proyecto estadístico proporciona información sobre las características demográficas y socioeconómicas de las niñas y mujeres con discapacidad, tales como edad, lugar de nacimiento, entidad federativa y municipio de residencia en 2015, condición de afiliación a servicios de salud, condición de alfabetismo, condición de asistencia escolar, nivel de escolaridad, condición de habla indígena, autoadscripción afromexicana o afrodescendiente, condición de actividad económica, situación conyugal y fecundidad, lo que permite generar indicadores que dan cuenta de la discriminación interseccional, de tal manera que sean de utilidad para el diseño, </w:t>
      </w:r>
      <w:r w:rsidRPr="00B36078">
        <w:rPr>
          <w:rFonts w:ascii="Montserrat" w:eastAsia="Montserrat" w:hAnsi="Montserrat" w:cs="Arial"/>
          <w:bCs/>
          <w:color w:val="000000" w:themeColor="text1"/>
          <w:sz w:val="22"/>
          <w:szCs w:val="22"/>
          <w:lang w:eastAsia="es-MX"/>
        </w:rPr>
        <w:lastRenderedPageBreak/>
        <w:t>implementación y evaluación de políticas públicas que coadyuven a promover</w:t>
      </w:r>
      <w:r w:rsidRPr="00B36078" w:rsidDel="0024784E">
        <w:rPr>
          <w:rFonts w:ascii="Montserrat" w:eastAsia="Montserrat" w:hAnsi="Montserrat" w:cs="Arial"/>
          <w:bCs/>
          <w:color w:val="000000" w:themeColor="text1"/>
          <w:sz w:val="22"/>
          <w:szCs w:val="22"/>
          <w:lang w:eastAsia="es-MX"/>
        </w:rPr>
        <w:t xml:space="preserve"> </w:t>
      </w:r>
      <w:r w:rsidRPr="00B36078">
        <w:rPr>
          <w:rFonts w:ascii="Montserrat" w:eastAsia="Montserrat" w:hAnsi="Montserrat" w:cs="Arial"/>
          <w:bCs/>
          <w:color w:val="000000" w:themeColor="text1"/>
          <w:sz w:val="22"/>
          <w:szCs w:val="22"/>
          <w:lang w:eastAsia="es-MX"/>
        </w:rPr>
        <w:t>la inclusión y no discriminación.</w:t>
      </w:r>
    </w:p>
    <w:p w14:paraId="3F8F8B6B" w14:textId="77777777" w:rsidR="00CC15E2" w:rsidRDefault="00CC15E2" w:rsidP="00645EC4">
      <w:pPr>
        <w:jc w:val="both"/>
        <w:rPr>
          <w:rFonts w:ascii="Montserrat" w:hAnsi="Montserrat" w:cs="Arial"/>
          <w:bCs/>
          <w:color w:val="000000" w:themeColor="text1"/>
          <w:sz w:val="22"/>
          <w:szCs w:val="22"/>
        </w:rPr>
      </w:pPr>
    </w:p>
    <w:p w14:paraId="00E44D69" w14:textId="77777777" w:rsidR="00CC15E2" w:rsidRPr="00B36078" w:rsidRDefault="00CC15E2" w:rsidP="00645EC4">
      <w:pPr>
        <w:jc w:val="both"/>
        <w:rPr>
          <w:rFonts w:ascii="Montserrat" w:hAnsi="Montserrat" w:cs="Arial"/>
          <w:bCs/>
          <w:color w:val="000000" w:themeColor="text1"/>
          <w:sz w:val="22"/>
          <w:szCs w:val="22"/>
        </w:rPr>
      </w:pPr>
      <w:r>
        <w:rPr>
          <w:rFonts w:ascii="Montserrat" w:hAnsi="Montserrat" w:cs="Arial"/>
          <w:bCs/>
          <w:color w:val="000000" w:themeColor="text1"/>
          <w:sz w:val="22"/>
          <w:szCs w:val="22"/>
        </w:rPr>
        <w:t xml:space="preserve">Destaca </w:t>
      </w:r>
      <w:r w:rsidRPr="00B36078">
        <w:rPr>
          <w:rFonts w:ascii="Montserrat" w:hAnsi="Montserrat" w:cs="Arial"/>
          <w:bCs/>
          <w:color w:val="000000" w:themeColor="text1"/>
          <w:sz w:val="22"/>
          <w:szCs w:val="22"/>
        </w:rPr>
        <w:t>el Cuestionario de Alojamientos de Asistencia Social (CAAS), —proyecto asociado al Censo 2020</w:t>
      </w:r>
      <w:r>
        <w:rPr>
          <w:rFonts w:ascii="Montserrat" w:hAnsi="Montserrat" w:cs="Arial"/>
          <w:bCs/>
          <w:color w:val="000000" w:themeColor="text1"/>
          <w:sz w:val="22"/>
          <w:szCs w:val="22"/>
        </w:rPr>
        <w:t xml:space="preserve"> </w:t>
      </w:r>
      <w:r w:rsidRPr="00B36078">
        <w:rPr>
          <w:rFonts w:ascii="Montserrat" w:hAnsi="Montserrat" w:cs="Arial"/>
          <w:bCs/>
          <w:color w:val="000000" w:themeColor="text1"/>
          <w:sz w:val="22"/>
          <w:szCs w:val="22"/>
        </w:rPr>
        <w:t xml:space="preserve">— </w:t>
      </w:r>
      <w:r>
        <w:rPr>
          <w:rFonts w:ascii="Montserrat" w:hAnsi="Montserrat" w:cs="Arial"/>
          <w:bCs/>
          <w:color w:val="000000" w:themeColor="text1"/>
          <w:sz w:val="22"/>
          <w:szCs w:val="22"/>
        </w:rPr>
        <w:t>el cual</w:t>
      </w:r>
      <w:r w:rsidRPr="00B36078">
        <w:rPr>
          <w:rFonts w:ascii="Montserrat" w:hAnsi="Montserrat" w:cs="Arial"/>
          <w:bCs/>
          <w:color w:val="000000" w:themeColor="text1"/>
          <w:sz w:val="22"/>
          <w:szCs w:val="22"/>
        </w:rPr>
        <w:t xml:space="preserve"> captó información sobre refugios para mujeres, sus hijas e hijos en situación de violencia, a partir del cual puede obtenerse el número de personas usuarias residentes con discapacidad, su grado y causa; mientras que para los trabajadores de este también se identifica la condición de discapacidad. Además, del establecimiento se puede conocer qué tipo de servicio presta a esta población, por ejemplo, servicios educativos, terapia física, apoyo jurídico, etcétera, en complemento de otras características estructurales del mismo.</w:t>
      </w:r>
    </w:p>
    <w:p w14:paraId="517A57D6" w14:textId="77777777" w:rsidR="00CC15E2" w:rsidRPr="00B36078" w:rsidRDefault="00CC15E2" w:rsidP="00645EC4">
      <w:pPr>
        <w:jc w:val="both"/>
        <w:rPr>
          <w:rFonts w:ascii="Montserrat" w:hAnsi="Montserrat" w:cs="Arial"/>
          <w:bCs/>
          <w:color w:val="000000" w:themeColor="text1"/>
          <w:sz w:val="22"/>
          <w:szCs w:val="22"/>
        </w:rPr>
      </w:pPr>
    </w:p>
    <w:p w14:paraId="5D888A67" w14:textId="77777777" w:rsidR="00CC15E2" w:rsidRPr="00B36078" w:rsidRDefault="00CC15E2" w:rsidP="00645EC4">
      <w:pPr>
        <w:jc w:val="both"/>
        <w:rPr>
          <w:rFonts w:ascii="Montserrat" w:hAnsi="Montserrat" w:cs="Arial"/>
          <w:bCs/>
          <w:color w:val="000000" w:themeColor="text1"/>
          <w:sz w:val="22"/>
          <w:szCs w:val="22"/>
        </w:rPr>
      </w:pPr>
      <w:r w:rsidRPr="00B36078">
        <w:rPr>
          <w:rFonts w:ascii="Montserrat" w:eastAsia="Montserrat" w:hAnsi="Montserrat" w:cs="Arial"/>
          <w:bCs/>
          <w:color w:val="000000" w:themeColor="text1"/>
          <w:sz w:val="22"/>
          <w:szCs w:val="22"/>
          <w:lang w:eastAsia="es-MX"/>
        </w:rPr>
        <w:t xml:space="preserve">Derivado de este conjunto de temas que se abordan en el Censo 2020, es posible generar indicadores para comprender la situación de las mujeres y las niñas con discapacidad y así contribuir al análisis de la discriminación interseccional; ya que se provee de información que permite dar cuenta de las brechas existentes entre las mujeres y niñas con discapacidad, </w:t>
      </w:r>
      <w:r w:rsidRPr="00B36078">
        <w:rPr>
          <w:rFonts w:ascii="Montserrat" w:hAnsi="Montserrat" w:cs="Arial"/>
          <w:bCs/>
          <w:color w:val="000000" w:themeColor="text1"/>
          <w:sz w:val="22"/>
          <w:szCs w:val="22"/>
        </w:rPr>
        <w:t>respecto a los hombres con discapacidad o población sin discapacidad, en el ámbito demográfico y socioeconómico.</w:t>
      </w:r>
    </w:p>
    <w:p w14:paraId="5A3278AB" w14:textId="77777777" w:rsidR="00CC15E2" w:rsidRDefault="00CC15E2" w:rsidP="00645EC4">
      <w:pPr>
        <w:jc w:val="both"/>
        <w:rPr>
          <w:rFonts w:cs="Arial"/>
          <w:color w:val="44546A" w:themeColor="text2"/>
          <w:sz w:val="22"/>
          <w:szCs w:val="22"/>
        </w:rPr>
      </w:pPr>
    </w:p>
    <w:p w14:paraId="5D4C1D7F" w14:textId="77777777" w:rsidR="00CC15E2" w:rsidRPr="00FB5064" w:rsidRDefault="00CC15E2" w:rsidP="00645EC4">
      <w:pPr>
        <w:jc w:val="both"/>
        <w:rPr>
          <w:rFonts w:ascii="Montserrat" w:hAnsi="Montserrat" w:cs="Arial"/>
          <w:color w:val="000000" w:themeColor="text1"/>
          <w:sz w:val="22"/>
          <w:szCs w:val="22"/>
        </w:rPr>
      </w:pPr>
      <w:r w:rsidRPr="00FB5064">
        <w:rPr>
          <w:rFonts w:ascii="Montserrat" w:hAnsi="Montserrat" w:cs="Arial"/>
          <w:color w:val="000000" w:themeColor="text1"/>
          <w:sz w:val="22"/>
          <w:szCs w:val="22"/>
        </w:rPr>
        <w:t xml:space="preserve">Algunos indicadores de mujeres y niñas se puntualizan a continuación: </w:t>
      </w:r>
    </w:p>
    <w:p w14:paraId="4C14881F" w14:textId="77777777" w:rsidR="00CC15E2" w:rsidRPr="00FB5064" w:rsidRDefault="00CC15E2" w:rsidP="00E31990">
      <w:pPr>
        <w:numPr>
          <w:ilvl w:val="0"/>
          <w:numId w:val="9"/>
        </w:numPr>
        <w:ind w:left="426"/>
        <w:jc w:val="both"/>
        <w:rPr>
          <w:rFonts w:ascii="Montserrat" w:eastAsia="Montserrat" w:hAnsi="Montserrat" w:cs="Arial"/>
          <w:color w:val="000000" w:themeColor="text1"/>
          <w:sz w:val="22"/>
          <w:szCs w:val="22"/>
          <w:lang w:eastAsia="es-MX"/>
        </w:rPr>
      </w:pPr>
      <w:r w:rsidRPr="00FB5064">
        <w:rPr>
          <w:rFonts w:ascii="Montserrat" w:eastAsia="Montserrat" w:hAnsi="Montserrat" w:cs="Arial"/>
          <w:color w:val="000000" w:themeColor="text1"/>
          <w:sz w:val="22"/>
          <w:szCs w:val="22"/>
          <w:lang w:eastAsia="es-MX"/>
        </w:rPr>
        <w:t>En el Censo 2020, se registró que en México hay 3.2 millones de mujeres con discapacidad.</w:t>
      </w:r>
    </w:p>
    <w:p w14:paraId="4AB6F82F" w14:textId="77777777" w:rsidR="00CC15E2" w:rsidRPr="00FB5064" w:rsidRDefault="00CC15E2" w:rsidP="00E31990">
      <w:pPr>
        <w:numPr>
          <w:ilvl w:val="0"/>
          <w:numId w:val="9"/>
        </w:numPr>
        <w:ind w:left="426"/>
        <w:jc w:val="both"/>
        <w:rPr>
          <w:rFonts w:ascii="Montserrat" w:hAnsi="Montserrat" w:cs="Arial"/>
          <w:color w:val="000000" w:themeColor="text1"/>
          <w:sz w:val="22"/>
          <w:szCs w:val="22"/>
        </w:rPr>
      </w:pPr>
      <w:r w:rsidRPr="00FB5064">
        <w:rPr>
          <w:rFonts w:ascii="Montserrat" w:eastAsia="Montserrat" w:hAnsi="Montserrat" w:cs="Arial"/>
          <w:color w:val="000000" w:themeColor="text1"/>
          <w:sz w:val="22"/>
          <w:szCs w:val="22"/>
          <w:lang w:eastAsia="es-MX"/>
        </w:rPr>
        <w:t>El 22.2% de las mujeres de 15 años y más con discapacidad son analfabetas, en tanto que los hombres con esta condición representan el 17.8 %, lo que refleja la necesidad de intervención para cerrar esta brecha. Respecto a la población de 6 a 14 años de edad con discapacidad que asiste a la escuela, existe una ligera diferencia entre hombres y mujeres, ya que registran el 80.3% y 80.8%, respectivamente. Sin embargo, entre la población con discapacidad y la población sin limitación, discapacidad o algún problema o condición mental, se observa una brecha más amplia, ya que se registra una diferencia de poco más de 13 puntos porcentuales para ambos sexos.</w:t>
      </w:r>
    </w:p>
    <w:p w14:paraId="685C04A1" w14:textId="77777777" w:rsidR="00CC15E2" w:rsidRPr="00FB5064" w:rsidRDefault="00CC15E2" w:rsidP="00E31990">
      <w:pPr>
        <w:numPr>
          <w:ilvl w:val="0"/>
          <w:numId w:val="9"/>
        </w:numPr>
        <w:ind w:left="426"/>
        <w:jc w:val="both"/>
        <w:rPr>
          <w:rFonts w:ascii="Montserrat" w:eastAsia="Montserrat" w:hAnsi="Montserrat" w:cs="Arial"/>
          <w:color w:val="000000" w:themeColor="text1"/>
          <w:sz w:val="22"/>
          <w:szCs w:val="22"/>
          <w:lang w:eastAsia="es-MX"/>
        </w:rPr>
      </w:pPr>
      <w:r w:rsidRPr="00FB5064">
        <w:rPr>
          <w:rFonts w:ascii="Montserrat" w:eastAsia="Montserrat" w:hAnsi="Montserrat" w:cs="Arial"/>
          <w:color w:val="000000" w:themeColor="text1"/>
          <w:sz w:val="22"/>
          <w:szCs w:val="22"/>
          <w:lang w:eastAsia="es-MX"/>
        </w:rPr>
        <w:t>El grado promedio de escolaridad registrado por la población de 15 años y más de edad con discapacidad es de 8.4 para los hombres y 8.0 paralas mujeres; en tanto que, para la población sin limitación, discapacidad o algún problema o condición mental es de 10.0 y 10.5, respectivamente; las diferencias observadas en este indicador reflejan la necesidad de intervención del sector educativo para prevenir la discriminación en este ámbito.</w:t>
      </w:r>
    </w:p>
    <w:p w14:paraId="2D2A815C" w14:textId="77777777" w:rsidR="00CC15E2" w:rsidRPr="00FB5064" w:rsidRDefault="00CC15E2" w:rsidP="00E31990">
      <w:pPr>
        <w:numPr>
          <w:ilvl w:val="0"/>
          <w:numId w:val="9"/>
        </w:numPr>
        <w:ind w:left="426"/>
        <w:jc w:val="both"/>
        <w:rPr>
          <w:rFonts w:ascii="Montserrat" w:eastAsia="Montserrat" w:hAnsi="Montserrat" w:cs="Arial"/>
          <w:color w:val="000000" w:themeColor="text1"/>
          <w:sz w:val="22"/>
          <w:szCs w:val="22"/>
          <w:lang w:eastAsia="es-MX"/>
        </w:rPr>
      </w:pPr>
      <w:r w:rsidRPr="00FB5064">
        <w:rPr>
          <w:rFonts w:ascii="Montserrat" w:eastAsia="Montserrat" w:hAnsi="Montserrat" w:cs="Arial"/>
          <w:color w:val="000000" w:themeColor="text1"/>
          <w:sz w:val="22"/>
          <w:szCs w:val="22"/>
          <w:lang w:eastAsia="es-MX"/>
        </w:rPr>
        <w:t xml:space="preserve">El 41.8 por ciento de las mujeres de 15 a 24 años con discapacidad asiste a la escuela, frente al 34.7% de los hombres. Cabe destacar que los hombres y mujeres sin limitación, discapacidad o algún problema o condición mental superan con 9.1 y 3.9 puntos porcentuales, a la población con discapacidad, respectivamente.  </w:t>
      </w:r>
    </w:p>
    <w:p w14:paraId="52B17D56" w14:textId="77777777" w:rsidR="00CC15E2" w:rsidRPr="00FB5064" w:rsidRDefault="00CC15E2" w:rsidP="00E31990">
      <w:pPr>
        <w:numPr>
          <w:ilvl w:val="0"/>
          <w:numId w:val="9"/>
        </w:numPr>
        <w:ind w:left="426"/>
        <w:jc w:val="both"/>
        <w:rPr>
          <w:rFonts w:ascii="Montserrat" w:eastAsia="Montserrat" w:hAnsi="Montserrat" w:cs="Arial"/>
          <w:color w:val="000000" w:themeColor="text1"/>
          <w:sz w:val="22"/>
          <w:szCs w:val="22"/>
          <w:lang w:eastAsia="es-MX"/>
        </w:rPr>
      </w:pPr>
      <w:r w:rsidRPr="00FB5064">
        <w:rPr>
          <w:rFonts w:ascii="Montserrat" w:eastAsia="Montserrat" w:hAnsi="Montserrat" w:cs="Arial"/>
          <w:color w:val="000000" w:themeColor="text1"/>
          <w:sz w:val="22"/>
          <w:szCs w:val="22"/>
          <w:lang w:eastAsia="es-MX"/>
        </w:rPr>
        <w:t xml:space="preserve">En el caso de la población con discapacidad, el 74.5% de los hombres y el 77.5% de las mujeres, cuentan con afiliación a algún servicio de salud; en tanto que la población sin limitación, discapacidad o algún problema o condición mental registra 71.7 para hombres y 74.7 para mujeres, el dato refleja que, si bien la población con discapacidad está afiliada a algún </w:t>
      </w:r>
      <w:r w:rsidRPr="00FB5064">
        <w:rPr>
          <w:rFonts w:ascii="Montserrat" w:eastAsia="Montserrat" w:hAnsi="Montserrat" w:cs="Arial"/>
          <w:color w:val="000000" w:themeColor="text1"/>
          <w:sz w:val="22"/>
          <w:szCs w:val="22"/>
          <w:lang w:eastAsia="es-MX"/>
        </w:rPr>
        <w:lastRenderedPageBreak/>
        <w:t>servicio de salud, aún es necesaria la atención para este grupo de la población por parte del sector Salud.</w:t>
      </w:r>
    </w:p>
    <w:p w14:paraId="7E22410D" w14:textId="77777777" w:rsidR="00CC15E2" w:rsidRPr="00FB5064" w:rsidRDefault="00CC15E2" w:rsidP="00E31990">
      <w:pPr>
        <w:numPr>
          <w:ilvl w:val="0"/>
          <w:numId w:val="9"/>
        </w:numPr>
        <w:ind w:left="426"/>
        <w:jc w:val="both"/>
        <w:rPr>
          <w:rFonts w:ascii="Montserrat" w:eastAsia="Montserrat" w:hAnsi="Montserrat" w:cs="Arial"/>
          <w:color w:val="000000" w:themeColor="text1"/>
          <w:sz w:val="22"/>
          <w:szCs w:val="22"/>
          <w:lang w:eastAsia="es-MX"/>
        </w:rPr>
      </w:pPr>
      <w:r w:rsidRPr="00FB5064">
        <w:rPr>
          <w:rFonts w:ascii="Montserrat" w:eastAsia="Montserrat" w:hAnsi="Montserrat" w:cs="Arial"/>
          <w:color w:val="000000" w:themeColor="text1"/>
          <w:sz w:val="22"/>
          <w:szCs w:val="22"/>
          <w:lang w:eastAsia="es-MX"/>
        </w:rPr>
        <w:t xml:space="preserve">En el ámbito laboral, se observa una brecha entre hombres y mujeres de 12 años y más con discapacidad, pues la tasa de participación económica es de 45.0% y 27.3%, respectivamente, es decir, una diferencia de 17.7 puntos porcentuales. Sin embargo, esta desigualdad se acentúa al comparar con la población sin limitación, discapacidad o algún problema o condición mental, ya que se registra una diferencia de 33.4 puntos porcentuales entre los hombres de ambos grupos y 23.9 puntos porcentuales entre las mujeres. </w:t>
      </w:r>
    </w:p>
    <w:p w14:paraId="032696BF" w14:textId="77777777" w:rsidR="00CC15E2" w:rsidRPr="00FB5064" w:rsidRDefault="00CC15E2" w:rsidP="00645EC4">
      <w:pPr>
        <w:rPr>
          <w:rFonts w:ascii="Montserrat" w:hAnsi="Montserrat" w:cs="Arial"/>
          <w:color w:val="000000" w:themeColor="text1"/>
          <w:sz w:val="22"/>
          <w:szCs w:val="22"/>
        </w:rPr>
      </w:pPr>
    </w:p>
    <w:p w14:paraId="7A71DD26" w14:textId="77777777" w:rsidR="00CC15E2" w:rsidRPr="00FB5064" w:rsidRDefault="00CC15E2" w:rsidP="00645EC4">
      <w:pPr>
        <w:jc w:val="both"/>
        <w:rPr>
          <w:rFonts w:ascii="Montserrat" w:hAnsi="Montserrat" w:cs="Arial"/>
          <w:color w:val="000000" w:themeColor="text1"/>
          <w:sz w:val="22"/>
          <w:szCs w:val="22"/>
        </w:rPr>
      </w:pPr>
      <w:r w:rsidRPr="00FB5064">
        <w:rPr>
          <w:rFonts w:ascii="Montserrat" w:hAnsi="Montserrat" w:cs="Arial"/>
          <w:color w:val="000000" w:themeColor="text1"/>
          <w:sz w:val="22"/>
          <w:szCs w:val="22"/>
        </w:rPr>
        <w:t>La información del Censo de Población y Vivienda 2020, puede consultarse en:</w:t>
      </w:r>
    </w:p>
    <w:p w14:paraId="7D3DEABF" w14:textId="77777777" w:rsidR="00CC15E2" w:rsidRPr="00644596" w:rsidRDefault="00770B34" w:rsidP="00E31990">
      <w:pPr>
        <w:pStyle w:val="Prrafodelista"/>
        <w:numPr>
          <w:ilvl w:val="0"/>
          <w:numId w:val="15"/>
        </w:numPr>
        <w:jc w:val="both"/>
        <w:rPr>
          <w:rFonts w:ascii="Montserrat" w:eastAsia="Calibri" w:hAnsi="Montserrat" w:cs="Arial"/>
          <w:color w:val="44546A" w:themeColor="text2"/>
          <w:sz w:val="22"/>
          <w:szCs w:val="22"/>
          <w:lang w:eastAsia="es-MX"/>
        </w:rPr>
      </w:pPr>
      <w:hyperlink r:id="rId16" w:history="1">
        <w:r w:rsidR="00CC15E2" w:rsidRPr="00644596">
          <w:rPr>
            <w:rStyle w:val="Hipervnculo"/>
            <w:rFonts w:ascii="Montserrat" w:eastAsia="Calibri" w:hAnsi="Montserrat" w:cs="Arial"/>
            <w:sz w:val="22"/>
            <w:szCs w:val="22"/>
            <w:lang w:eastAsia="es-MX"/>
          </w:rPr>
          <w:t>https://www.inegi.org.mx/programas/ccpv/2020/</w:t>
        </w:r>
      </w:hyperlink>
      <w:r w:rsidR="00CC15E2" w:rsidRPr="00644596">
        <w:rPr>
          <w:rFonts w:ascii="Montserrat" w:eastAsia="Calibri" w:hAnsi="Montserrat" w:cs="Arial"/>
          <w:color w:val="44546A" w:themeColor="text2"/>
          <w:sz w:val="22"/>
          <w:szCs w:val="22"/>
          <w:lang w:eastAsia="es-MX"/>
        </w:rPr>
        <w:t xml:space="preserve"> </w:t>
      </w:r>
    </w:p>
    <w:p w14:paraId="4B63A08A" w14:textId="77777777" w:rsidR="00CC15E2" w:rsidRPr="00644596" w:rsidRDefault="00770B34" w:rsidP="00E31990">
      <w:pPr>
        <w:pStyle w:val="Prrafodelista"/>
        <w:numPr>
          <w:ilvl w:val="0"/>
          <w:numId w:val="15"/>
        </w:numPr>
        <w:rPr>
          <w:rFonts w:ascii="Montserrat" w:hAnsi="Montserrat"/>
          <w:sz w:val="22"/>
          <w:szCs w:val="22"/>
        </w:rPr>
      </w:pPr>
      <w:hyperlink r:id="rId17" w:anchor="Tabulados" w:history="1">
        <w:r w:rsidR="00CC15E2" w:rsidRPr="00644596">
          <w:rPr>
            <w:rStyle w:val="Hipervnculo"/>
            <w:rFonts w:ascii="Montserrat" w:hAnsi="Montserrat"/>
            <w:sz w:val="22"/>
            <w:szCs w:val="22"/>
          </w:rPr>
          <w:t>https://www.inegi.org.mx/programas/ccpv/2020/#Tabulados</w:t>
        </w:r>
      </w:hyperlink>
    </w:p>
    <w:p w14:paraId="4812B16A" w14:textId="77777777" w:rsidR="00CC15E2" w:rsidRPr="00644596" w:rsidRDefault="00770B34" w:rsidP="00E31990">
      <w:pPr>
        <w:pStyle w:val="Prrafodelista"/>
        <w:numPr>
          <w:ilvl w:val="0"/>
          <w:numId w:val="15"/>
        </w:numPr>
        <w:rPr>
          <w:rFonts w:ascii="Montserrat" w:hAnsi="Montserrat"/>
          <w:sz w:val="22"/>
          <w:szCs w:val="22"/>
        </w:rPr>
      </w:pPr>
      <w:hyperlink r:id="rId18" w:anchor="Microdatos" w:history="1">
        <w:r w:rsidR="00CC15E2" w:rsidRPr="00644596">
          <w:rPr>
            <w:rStyle w:val="Hipervnculo"/>
            <w:rFonts w:ascii="Montserrat" w:hAnsi="Montserrat"/>
            <w:sz w:val="22"/>
            <w:szCs w:val="22"/>
          </w:rPr>
          <w:t>https://www.inegi.org.mx/programas/ccpv/2020/#Microdatos</w:t>
        </w:r>
      </w:hyperlink>
    </w:p>
    <w:p w14:paraId="102CFCD6" w14:textId="77777777" w:rsidR="00CC15E2" w:rsidRPr="00653722" w:rsidRDefault="00CC15E2" w:rsidP="00645EC4">
      <w:pPr>
        <w:rPr>
          <w:rFonts w:cs="Arial"/>
          <w:color w:val="44546A" w:themeColor="text2"/>
          <w:sz w:val="22"/>
          <w:szCs w:val="22"/>
        </w:rPr>
      </w:pPr>
    </w:p>
    <w:p w14:paraId="28EC629A" w14:textId="77777777" w:rsidR="00CC15E2" w:rsidRPr="00B36078" w:rsidRDefault="00CC15E2" w:rsidP="00645EC4">
      <w:pPr>
        <w:jc w:val="both"/>
        <w:rPr>
          <w:rFonts w:ascii="Montserrat" w:hAnsi="Montserrat" w:cs="Arial"/>
          <w:color w:val="000000" w:themeColor="text1"/>
          <w:sz w:val="22"/>
          <w:szCs w:val="22"/>
        </w:rPr>
      </w:pPr>
      <w:r w:rsidRPr="00B36078">
        <w:rPr>
          <w:rFonts w:ascii="Montserrat" w:hAnsi="Montserrat" w:cs="Arial"/>
          <w:color w:val="000000" w:themeColor="text1"/>
          <w:sz w:val="22"/>
          <w:szCs w:val="22"/>
        </w:rPr>
        <w:t xml:space="preserve">Finalmente, México también cuenta con la Encuesta Nacional sobre Discriminación (ENADIS) 2017, la cual ofrece una de las mejores descripciones, en los ámbitos nacional y estatal, de las brechas de desigualdad que afectan a las personas con discapacidad y de las prácticas, actitudes y prejuicios que las sustentan. Su diseño innovador a nivel mundial incorpora elementos centrales de la discriminación como fenómeno estructural, así como la dimensión de interseccionalidad, lo cual permite mostrar por primera vez cómo aumentan la discriminación y sus efectos conforme se es parte de dos o más grupos discriminados. Los resultados de la encuesta muestran que las personas con discapacidad y quienes son hablantes de lengua indígena son los grupos con las mayores brechas de desigualdad en prácticamente todos los ámbitos analizados (salud, educación, seguridad social, trabajo, etc.). Entre las personas con discapacidad se presentan una mayor prevalencia de analfabetismo; menor asistencia escolar; menor participación en actividades profesionales, puestos directivos y en trabajos con contrato y prestaciones médicas. Asimismo, al ser discriminadas, la percepción de las personas con discapacidad, debido a las desigualdades y la negación de sus derechos, se ve agravada cuando estas personas forman parte de otras poblaciones históricamente discriminadas, como mujeres, indígenas, afrodescendientes o migrantes. </w:t>
      </w:r>
    </w:p>
    <w:p w14:paraId="0F8F8504" w14:textId="77777777" w:rsidR="00CC15E2" w:rsidRDefault="00CC15E2" w:rsidP="00645EC4">
      <w:pPr>
        <w:jc w:val="both"/>
        <w:rPr>
          <w:rFonts w:cs="Arial"/>
          <w:color w:val="44546A" w:themeColor="text2"/>
          <w:sz w:val="22"/>
          <w:szCs w:val="22"/>
        </w:rPr>
      </w:pPr>
    </w:p>
    <w:p w14:paraId="0FEEA07B" w14:textId="77777777" w:rsidR="00CC15E2" w:rsidRPr="00653D31" w:rsidRDefault="00CC15E2" w:rsidP="00645EC4">
      <w:pPr>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 xml:space="preserve">Para ilustrar lo anterior, la Encuesta Nacional sobre Discriminación revela a través de los siguientes datos las brechas de desigualdad y la situación que prevalece sobre las personas con discapacidad: </w:t>
      </w:r>
    </w:p>
    <w:p w14:paraId="508F40BC"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 xml:space="preserve">El 48.1% de las personas con discapacidad perciben que sus derechos se respetan poco o nada; </w:t>
      </w:r>
    </w:p>
    <w:p w14:paraId="22B35307"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A pesar de los cambios tangibles en los niveles de analfabetismo, esta carencia sigue afectando de manera desproporcional a algunos grupos que enfrentan barreras en el acceso al sistema educativo. En este sentido, mientras que el 3% de la población total de personas entre 15 y 59 años en el país no sabe leer ni escribir, el analfabetismo alcanza 20.9% en las personas con discapacidad;</w:t>
      </w:r>
    </w:p>
    <w:p w14:paraId="5484E824"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 xml:space="preserve">Las brechas en la asistencia escolar se incrementan en las edades correspondientes a los niveles medio superior y superior, sin contar con el rezago acumulado. Mientras que 46.1% del total de la población entre 15 y 24 años asiste a la escuela, de nuevo, entre las personas con </w:t>
      </w:r>
      <w:r w:rsidRPr="00653D31">
        <w:rPr>
          <w:rFonts w:ascii="Montserrat" w:hAnsi="Montserrat" w:cs="Arial"/>
          <w:color w:val="000000" w:themeColor="text1"/>
          <w:sz w:val="22"/>
          <w:szCs w:val="22"/>
        </w:rPr>
        <w:lastRenderedPageBreak/>
        <w:t xml:space="preserve">discapacidad y hablantes de lengua indígena se registra la menor asistencia escolar, con menos del 30 por ciento. </w:t>
      </w:r>
    </w:p>
    <w:p w14:paraId="09CA9A8D"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 xml:space="preserve">Las personas con discapacidad enfrentan grandes obstáculos para incorporarse al mercado de trabajo. La participación de la Población Económicamente Activa (PEA) de los hombres pertenecientes a grupos discriminados, con excepción de los hombres con discapacidad, es siempre mayor al promedio nacional de hombres entre 15 y 59 años. </w:t>
      </w:r>
    </w:p>
    <w:p w14:paraId="3C97D529"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 xml:space="preserve">La carencia de un contrato formal y de acceso a prestaciones médicas también afecta desproporcionadamente a las personas indígenas y con discapacidad. Las personas con discapacidad presentan porcentajes significativamente menores en el acceso a un contrato de trabajo; en el caso de las personas con discapacidad, 24.9% cuenta con un contrato. </w:t>
      </w:r>
    </w:p>
    <w:p w14:paraId="27D959BE" w14:textId="77777777" w:rsidR="00CC15E2" w:rsidRPr="00653D31" w:rsidRDefault="00CC15E2" w:rsidP="00E31990">
      <w:pPr>
        <w:pStyle w:val="Prrafodelista"/>
        <w:numPr>
          <w:ilvl w:val="0"/>
          <w:numId w:val="9"/>
        </w:numPr>
        <w:ind w:left="426"/>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Las prestaciones laborales en materia de salud presentan una tendencia similar y, de nuevo, las personas con discapacidad registran porcentajes más bajos de acceso.</w:t>
      </w:r>
    </w:p>
    <w:p w14:paraId="58548B50" w14:textId="77777777" w:rsidR="00CC15E2" w:rsidRDefault="00CC15E2" w:rsidP="00645EC4">
      <w:pPr>
        <w:jc w:val="both"/>
        <w:rPr>
          <w:rFonts w:ascii="Montserrat" w:hAnsi="Montserrat" w:cs="Arial"/>
          <w:color w:val="000000" w:themeColor="text1"/>
          <w:sz w:val="22"/>
          <w:szCs w:val="22"/>
        </w:rPr>
      </w:pPr>
    </w:p>
    <w:p w14:paraId="3E716C3B" w14:textId="77777777" w:rsidR="00CC15E2" w:rsidRPr="00653D31" w:rsidRDefault="00CC15E2" w:rsidP="00645EC4">
      <w:pPr>
        <w:jc w:val="both"/>
        <w:rPr>
          <w:rFonts w:ascii="Montserrat" w:hAnsi="Montserrat" w:cs="Arial"/>
          <w:color w:val="000000" w:themeColor="text1"/>
          <w:sz w:val="22"/>
          <w:szCs w:val="22"/>
        </w:rPr>
      </w:pPr>
      <w:r w:rsidRPr="00653D31">
        <w:rPr>
          <w:rFonts w:ascii="Montserrat" w:hAnsi="Montserrat" w:cs="Arial"/>
          <w:color w:val="000000" w:themeColor="text1"/>
          <w:sz w:val="22"/>
          <w:szCs w:val="22"/>
        </w:rPr>
        <w:t>Sus resultados pueden consultarse en:</w:t>
      </w:r>
    </w:p>
    <w:p w14:paraId="2051EA0E" w14:textId="77777777" w:rsidR="00CC15E2" w:rsidRPr="00653D31" w:rsidRDefault="00770B34" w:rsidP="00E31990">
      <w:pPr>
        <w:pStyle w:val="Prrafodelista"/>
        <w:numPr>
          <w:ilvl w:val="0"/>
          <w:numId w:val="14"/>
        </w:numPr>
        <w:jc w:val="both"/>
        <w:rPr>
          <w:rFonts w:ascii="Montserrat" w:hAnsi="Montserrat"/>
          <w:sz w:val="22"/>
          <w:szCs w:val="22"/>
        </w:rPr>
      </w:pPr>
      <w:hyperlink r:id="rId19" w:anchor="Tabulados" w:history="1">
        <w:r w:rsidR="00CC15E2" w:rsidRPr="00653D31">
          <w:rPr>
            <w:rStyle w:val="Hipervnculo"/>
            <w:rFonts w:ascii="Montserrat" w:hAnsi="Montserrat"/>
            <w:sz w:val="22"/>
            <w:szCs w:val="22"/>
          </w:rPr>
          <w:t>https://www.inegi.org.mx/programas/enadis/2017/#Tabulados</w:t>
        </w:r>
      </w:hyperlink>
    </w:p>
    <w:p w14:paraId="018CCDAB" w14:textId="77777777" w:rsidR="00CC15E2" w:rsidRPr="00653D31" w:rsidRDefault="00770B34" w:rsidP="00E31990">
      <w:pPr>
        <w:pStyle w:val="Prrafodelista"/>
        <w:numPr>
          <w:ilvl w:val="0"/>
          <w:numId w:val="14"/>
        </w:numPr>
        <w:jc w:val="both"/>
        <w:rPr>
          <w:rFonts w:ascii="Montserrat" w:hAnsi="Montserrat"/>
          <w:sz w:val="22"/>
          <w:szCs w:val="22"/>
        </w:rPr>
      </w:pPr>
      <w:hyperlink r:id="rId20" w:anchor="Microdatos" w:history="1">
        <w:r w:rsidR="00CC15E2" w:rsidRPr="00653D31">
          <w:rPr>
            <w:rStyle w:val="Hipervnculo"/>
            <w:rFonts w:ascii="Montserrat" w:hAnsi="Montserrat"/>
            <w:sz w:val="22"/>
            <w:szCs w:val="22"/>
          </w:rPr>
          <w:t>https://www.inegi.org.mx/programas/enadis/2017/#Microdatos</w:t>
        </w:r>
      </w:hyperlink>
    </w:p>
    <w:p w14:paraId="04754F16" w14:textId="4C346866" w:rsidR="00AD6113" w:rsidRDefault="00AD6113" w:rsidP="00645EC4">
      <w:pPr>
        <w:jc w:val="both"/>
        <w:rPr>
          <w:rFonts w:ascii="Montserrat" w:hAnsi="Montserrat"/>
          <w:color w:val="000000" w:themeColor="text1"/>
          <w:sz w:val="22"/>
          <w:szCs w:val="22"/>
        </w:rPr>
      </w:pPr>
    </w:p>
    <w:p w14:paraId="08D3DDDF" w14:textId="77777777" w:rsidR="006D3E1D" w:rsidRDefault="006D3E1D" w:rsidP="000F3525">
      <w:pPr>
        <w:jc w:val="both"/>
        <w:rPr>
          <w:rFonts w:ascii="Montserrat" w:hAnsi="Montserrat"/>
          <w:b/>
          <w:bCs/>
          <w:lang w:val="es-ES"/>
        </w:rPr>
      </w:pPr>
    </w:p>
    <w:p w14:paraId="5B0DE834" w14:textId="25F37B74" w:rsidR="000F3525" w:rsidRDefault="000F3525" w:rsidP="000F3525">
      <w:pPr>
        <w:jc w:val="both"/>
        <w:rPr>
          <w:rFonts w:ascii="Montserrat" w:hAnsi="Montserrat"/>
          <w:b/>
          <w:bCs/>
          <w:lang w:val="es-ES"/>
        </w:rPr>
      </w:pPr>
      <w:r w:rsidRPr="003E27B1">
        <w:rPr>
          <w:rFonts w:ascii="Montserrat" w:hAnsi="Montserrat"/>
          <w:b/>
          <w:bCs/>
          <w:lang w:val="es-ES"/>
        </w:rPr>
        <w:t>Artículo 3</w:t>
      </w:r>
      <w:r w:rsidR="00C8205F">
        <w:rPr>
          <w:rFonts w:ascii="Montserrat" w:hAnsi="Montserrat"/>
          <w:b/>
          <w:bCs/>
          <w:lang w:val="es-ES"/>
        </w:rPr>
        <w:t>2</w:t>
      </w:r>
      <w:r w:rsidRPr="003E27B1">
        <w:rPr>
          <w:rFonts w:ascii="Montserrat" w:hAnsi="Montserrat"/>
          <w:b/>
          <w:bCs/>
          <w:lang w:val="es-ES"/>
        </w:rPr>
        <w:t xml:space="preserve">. </w:t>
      </w:r>
      <w:r w:rsidRPr="000F3525">
        <w:rPr>
          <w:rFonts w:ascii="Montserrat" w:hAnsi="Montserrat"/>
          <w:b/>
          <w:bCs/>
          <w:lang w:val="es-ES"/>
        </w:rPr>
        <w:t>Cooperación internacional</w:t>
      </w:r>
    </w:p>
    <w:p w14:paraId="6D8D3A98" w14:textId="5E0DDE11" w:rsidR="000F3525" w:rsidRDefault="000F3525" w:rsidP="000F3525">
      <w:pPr>
        <w:jc w:val="both"/>
        <w:rPr>
          <w:rFonts w:ascii="Montserrat" w:hAnsi="Montserrat"/>
          <w:b/>
          <w:bCs/>
          <w:lang w:val="es-ES"/>
        </w:rPr>
      </w:pPr>
    </w:p>
    <w:p w14:paraId="061B7041" w14:textId="269DE5AF" w:rsidR="000F3525" w:rsidRPr="000F3525" w:rsidRDefault="000F3525" w:rsidP="000F3525">
      <w:pPr>
        <w:jc w:val="both"/>
        <w:rPr>
          <w:rFonts w:ascii="Montserrat" w:eastAsia="Times New Roman" w:hAnsi="Montserrat" w:cs="Times New Roman"/>
          <w:bCs/>
          <w:color w:val="000000" w:themeColor="text1"/>
          <w:sz w:val="22"/>
          <w:szCs w:val="22"/>
          <w:lang w:eastAsia="es-MX"/>
        </w:rPr>
      </w:pPr>
      <w:r w:rsidRPr="000F3525">
        <w:rPr>
          <w:rFonts w:ascii="Montserrat" w:hAnsi="Montserrat"/>
          <w:bCs/>
          <w:color w:val="000000" w:themeColor="text1"/>
          <w:sz w:val="22"/>
          <w:szCs w:val="22"/>
          <w:lang w:val="es-ES"/>
        </w:rPr>
        <w:t>En cuanto a las acciones realizadas en el marco de la Agenda 2030 en materia de discapacidad, destaca lo siguiente</w:t>
      </w:r>
      <w:r>
        <w:rPr>
          <w:rFonts w:ascii="Montserrat" w:hAnsi="Montserrat"/>
          <w:bCs/>
          <w:color w:val="000000" w:themeColor="text1"/>
          <w:sz w:val="22"/>
          <w:szCs w:val="22"/>
          <w:lang w:val="es-ES"/>
        </w:rPr>
        <w:t xml:space="preserve"> que </w:t>
      </w:r>
      <w:r w:rsidRPr="000F3525">
        <w:rPr>
          <w:rFonts w:ascii="Montserrat" w:eastAsia="Times New Roman" w:hAnsi="Montserrat" w:cs="Times New Roman"/>
          <w:bCs/>
          <w:color w:val="000000" w:themeColor="text1"/>
          <w:sz w:val="22"/>
          <w:szCs w:val="22"/>
          <w:lang w:eastAsia="es-MX"/>
        </w:rPr>
        <w:t>el Secretariado Ejecutivo del Consejo Nacional de la Agenda 2030 para el Desarrollo Sostenible (SECN A2030)</w:t>
      </w:r>
      <w:r>
        <w:rPr>
          <w:rFonts w:ascii="Montserrat" w:eastAsia="Times New Roman" w:hAnsi="Montserrat" w:cs="Times New Roman"/>
          <w:bCs/>
          <w:color w:val="000000" w:themeColor="text1"/>
          <w:sz w:val="22"/>
          <w:szCs w:val="22"/>
          <w:lang w:eastAsia="es-MX"/>
        </w:rPr>
        <w:t xml:space="preserve"> participa</w:t>
      </w:r>
      <w:r w:rsidRPr="000F3525">
        <w:rPr>
          <w:rFonts w:ascii="Montserrat" w:eastAsia="Times New Roman" w:hAnsi="Montserrat" w:cs="Times New Roman"/>
          <w:bCs/>
          <w:color w:val="000000" w:themeColor="text1"/>
          <w:sz w:val="22"/>
          <w:szCs w:val="22"/>
          <w:lang w:eastAsia="es-MX"/>
        </w:rPr>
        <w:t xml:space="preserve"> en el Sistema Nacional de Protección Integral de Niñas, Niños y Adolescentes (SIPINNA), órgano creado para dar seguimiento a la instrumentalización y cumplimiento de la Ley General de los Derechos de Niños, Niñas y Adolescentes, que en su artículo 13º fracción X contempla el Derecho a la inclusión de niñas, niños y adolescentes con discapacidad. </w:t>
      </w:r>
    </w:p>
    <w:p w14:paraId="65AE1D31" w14:textId="77777777" w:rsidR="000F3525" w:rsidRPr="000F3525" w:rsidRDefault="000F3525" w:rsidP="000F3525">
      <w:pPr>
        <w:pStyle w:val="Prrafodelista"/>
        <w:jc w:val="both"/>
        <w:rPr>
          <w:rFonts w:ascii="Montserrat" w:eastAsia="Times New Roman" w:hAnsi="Montserrat" w:cs="Times New Roman"/>
          <w:bCs/>
          <w:color w:val="000000" w:themeColor="text1"/>
          <w:sz w:val="22"/>
          <w:szCs w:val="22"/>
          <w:lang w:eastAsia="es-MX"/>
        </w:rPr>
      </w:pPr>
    </w:p>
    <w:p w14:paraId="63A2C7C0" w14:textId="2EFCD090" w:rsidR="000F3525" w:rsidRPr="000F3525" w:rsidRDefault="000F3525" w:rsidP="000F3525">
      <w:pPr>
        <w:jc w:val="both"/>
        <w:rPr>
          <w:rFonts w:ascii="Montserrat" w:eastAsia="Times New Roman" w:hAnsi="Montserrat" w:cs="Times New Roman"/>
          <w:bCs/>
          <w:color w:val="000000" w:themeColor="text1"/>
          <w:sz w:val="22"/>
          <w:szCs w:val="22"/>
          <w:lang w:eastAsia="es-MX"/>
        </w:rPr>
      </w:pPr>
      <w:r>
        <w:rPr>
          <w:rFonts w:ascii="Montserrat" w:eastAsia="Times New Roman" w:hAnsi="Montserrat" w:cs="Times New Roman"/>
          <w:bCs/>
          <w:color w:val="000000" w:themeColor="text1"/>
          <w:sz w:val="22"/>
          <w:szCs w:val="22"/>
          <w:lang w:eastAsia="es-MX"/>
        </w:rPr>
        <w:t>Además, se ha i</w:t>
      </w:r>
      <w:r w:rsidRPr="000F3525">
        <w:rPr>
          <w:rFonts w:ascii="Montserrat" w:eastAsia="Times New Roman" w:hAnsi="Montserrat" w:cs="Times New Roman"/>
          <w:bCs/>
          <w:color w:val="000000" w:themeColor="text1"/>
          <w:sz w:val="22"/>
          <w:szCs w:val="22"/>
          <w:lang w:eastAsia="es-MX"/>
        </w:rPr>
        <w:t>ncorpora</w:t>
      </w:r>
      <w:r>
        <w:rPr>
          <w:rFonts w:ascii="Montserrat" w:eastAsia="Times New Roman" w:hAnsi="Montserrat" w:cs="Times New Roman"/>
          <w:bCs/>
          <w:color w:val="000000" w:themeColor="text1"/>
          <w:sz w:val="22"/>
          <w:szCs w:val="22"/>
          <w:lang w:eastAsia="es-MX"/>
        </w:rPr>
        <w:t>do</w:t>
      </w:r>
      <w:r w:rsidRPr="000F3525">
        <w:rPr>
          <w:rFonts w:ascii="Montserrat" w:eastAsia="Times New Roman" w:hAnsi="Montserrat" w:cs="Times New Roman"/>
          <w:bCs/>
          <w:color w:val="000000" w:themeColor="text1"/>
          <w:sz w:val="22"/>
          <w:szCs w:val="22"/>
          <w:lang w:eastAsia="es-MX"/>
        </w:rPr>
        <w:t xml:space="preserve"> de una visión transversal de reducción de desigualdades y atención a grupos poblacionales prioritarios tales como las personas con discapacidad a través de la incorporación del CONAPRED como institución que participa de manera permanente en los trabajos del Consejo Nacional de la Agenda 2030.</w:t>
      </w:r>
    </w:p>
    <w:p w14:paraId="3267D12F" w14:textId="2AFC7A6A" w:rsidR="001307FD" w:rsidRDefault="001307FD" w:rsidP="001307FD">
      <w:pPr>
        <w:jc w:val="both"/>
        <w:rPr>
          <w:rFonts w:ascii="Montserrat" w:eastAsia="Times New Roman" w:hAnsi="Montserrat" w:cs="Times New Roman"/>
          <w:bCs/>
          <w:color w:val="000000" w:themeColor="text1"/>
          <w:sz w:val="22"/>
          <w:szCs w:val="22"/>
          <w:lang w:eastAsia="es-MX"/>
        </w:rPr>
      </w:pPr>
    </w:p>
    <w:p w14:paraId="16B0037B" w14:textId="4068AD33" w:rsidR="000F3525" w:rsidRPr="000F3525" w:rsidRDefault="001307FD" w:rsidP="001307FD">
      <w:pPr>
        <w:jc w:val="both"/>
        <w:rPr>
          <w:rFonts w:ascii="Montserrat" w:eastAsia="Times New Roman" w:hAnsi="Montserrat" w:cs="Times New Roman"/>
          <w:bCs/>
          <w:color w:val="000000" w:themeColor="text1"/>
          <w:sz w:val="22"/>
          <w:szCs w:val="22"/>
          <w:lang w:eastAsia="es-MX"/>
        </w:rPr>
      </w:pPr>
      <w:r>
        <w:rPr>
          <w:rFonts w:ascii="Montserrat" w:eastAsia="Times New Roman" w:hAnsi="Montserrat" w:cs="Times New Roman"/>
          <w:bCs/>
          <w:color w:val="000000" w:themeColor="text1"/>
          <w:sz w:val="22"/>
          <w:szCs w:val="22"/>
          <w:lang w:eastAsia="es-MX"/>
        </w:rPr>
        <w:t>Por su parte, el</w:t>
      </w:r>
      <w:r w:rsidR="000F3525" w:rsidRPr="000F3525">
        <w:rPr>
          <w:rFonts w:ascii="Montserrat" w:eastAsia="Times New Roman" w:hAnsi="Montserrat" w:cs="Times New Roman"/>
          <w:bCs/>
          <w:color w:val="000000" w:themeColor="text1"/>
          <w:sz w:val="22"/>
          <w:szCs w:val="22"/>
          <w:lang w:eastAsia="es-MX"/>
        </w:rPr>
        <w:t xml:space="preserve"> Consejo Nacional de la Agenda 2030 </w:t>
      </w:r>
      <w:r>
        <w:rPr>
          <w:rFonts w:ascii="Montserrat" w:eastAsia="Times New Roman" w:hAnsi="Montserrat" w:cs="Times New Roman"/>
          <w:bCs/>
          <w:color w:val="000000" w:themeColor="text1"/>
          <w:sz w:val="22"/>
          <w:szCs w:val="22"/>
          <w:lang w:eastAsia="es-MX"/>
        </w:rPr>
        <w:t>está i</w:t>
      </w:r>
      <w:r w:rsidR="000F3525" w:rsidRPr="000F3525">
        <w:rPr>
          <w:rFonts w:ascii="Montserrat" w:eastAsia="Times New Roman" w:hAnsi="Montserrat" w:cs="Times New Roman"/>
          <w:bCs/>
          <w:color w:val="000000" w:themeColor="text1"/>
          <w:sz w:val="22"/>
          <w:szCs w:val="22"/>
          <w:lang w:eastAsia="es-MX"/>
        </w:rPr>
        <w:t>ntegrado por 19 secretarías de estado, siete instituciones no sectorizadas y dos órganos autónomos, entre las cuales está la CONAPRED y CONADIS que se encarga a nivel nacional de la atención al tema de discriminación y de personas con discapacidad</w:t>
      </w:r>
      <w:r>
        <w:rPr>
          <w:rFonts w:ascii="Montserrat" w:eastAsia="Times New Roman" w:hAnsi="Montserrat" w:cs="Times New Roman"/>
          <w:bCs/>
          <w:color w:val="000000" w:themeColor="text1"/>
          <w:sz w:val="22"/>
          <w:szCs w:val="22"/>
          <w:lang w:eastAsia="es-MX"/>
        </w:rPr>
        <w:t>.</w:t>
      </w:r>
    </w:p>
    <w:p w14:paraId="79823CC1" w14:textId="77777777" w:rsidR="000F3525" w:rsidRPr="000F3525" w:rsidRDefault="000F3525" w:rsidP="000F3525">
      <w:pPr>
        <w:pStyle w:val="Prrafodelista"/>
        <w:jc w:val="both"/>
        <w:rPr>
          <w:rFonts w:ascii="Montserrat" w:eastAsia="Times New Roman" w:hAnsi="Montserrat" w:cs="Times New Roman"/>
          <w:bCs/>
          <w:color w:val="000000" w:themeColor="text1"/>
          <w:sz w:val="22"/>
          <w:szCs w:val="22"/>
          <w:lang w:eastAsia="es-MX"/>
        </w:rPr>
      </w:pPr>
    </w:p>
    <w:p w14:paraId="550D0DF6" w14:textId="1EAD7F84" w:rsidR="000F3525" w:rsidRDefault="001307FD" w:rsidP="000F3525">
      <w:pPr>
        <w:jc w:val="both"/>
        <w:rPr>
          <w:rFonts w:ascii="Montserrat" w:eastAsia="Times New Roman" w:hAnsi="Montserrat" w:cs="Times New Roman"/>
          <w:bCs/>
          <w:color w:val="000000" w:themeColor="text1"/>
          <w:sz w:val="22"/>
          <w:szCs w:val="22"/>
          <w:lang w:eastAsia="es-MX"/>
        </w:rPr>
      </w:pPr>
      <w:r>
        <w:rPr>
          <w:rFonts w:ascii="Montserrat" w:eastAsia="Times New Roman" w:hAnsi="Montserrat" w:cs="Times New Roman"/>
          <w:bCs/>
          <w:color w:val="000000" w:themeColor="text1"/>
          <w:sz w:val="22"/>
          <w:szCs w:val="22"/>
          <w:lang w:eastAsia="es-MX"/>
        </w:rPr>
        <w:t xml:space="preserve">Finalmente, se informa que en </w:t>
      </w:r>
      <w:r w:rsidR="000F3525" w:rsidRPr="000F3525">
        <w:rPr>
          <w:rFonts w:ascii="Montserrat" w:eastAsia="Times New Roman" w:hAnsi="Montserrat" w:cs="Times New Roman"/>
          <w:bCs/>
          <w:color w:val="000000" w:themeColor="text1"/>
          <w:sz w:val="22"/>
          <w:szCs w:val="22"/>
          <w:lang w:eastAsia="es-MX"/>
        </w:rPr>
        <w:t>lo referente a la Meta 4.a Construir y adecuar instalaciones eduactivas que tengan en cuenta las necesidades de los niños y las personas con discapacidad, durante el periodo 2019-2020, la proporción de escuelas con infraestructura adaptada para personas con discapacidad en los niveles primaria, secundaria y</w:t>
      </w:r>
      <w:r>
        <w:rPr>
          <w:rFonts w:ascii="Montserrat" w:eastAsia="Times New Roman" w:hAnsi="Montserrat" w:cs="Times New Roman"/>
          <w:bCs/>
          <w:color w:val="000000" w:themeColor="text1"/>
          <w:sz w:val="22"/>
          <w:szCs w:val="22"/>
          <w:lang w:eastAsia="es-MX"/>
        </w:rPr>
        <w:t xml:space="preserve"> </w:t>
      </w:r>
      <w:r w:rsidRPr="001307FD">
        <w:rPr>
          <w:rFonts w:ascii="Montserrat" w:eastAsia="Times New Roman" w:hAnsi="Montserrat" w:cs="Times New Roman"/>
          <w:bCs/>
          <w:color w:val="000000" w:themeColor="text1"/>
          <w:sz w:val="22"/>
          <w:szCs w:val="22"/>
          <w:lang w:eastAsia="es-MX"/>
        </w:rPr>
        <w:t>secundaria y media superior incrementó, en tanto que la generación de materiales adaptados para personas con discapacidad aún presenta desafíos.</w:t>
      </w:r>
    </w:p>
    <w:p w14:paraId="0101A33A" w14:textId="36DFAB5B" w:rsidR="005C2038" w:rsidRDefault="005C2038" w:rsidP="000F3525">
      <w:pPr>
        <w:jc w:val="both"/>
        <w:rPr>
          <w:rFonts w:ascii="Montserrat" w:eastAsia="Times New Roman" w:hAnsi="Montserrat" w:cs="Times New Roman"/>
          <w:bCs/>
          <w:color w:val="000000" w:themeColor="text1"/>
          <w:sz w:val="22"/>
          <w:szCs w:val="22"/>
          <w:lang w:eastAsia="es-MX"/>
        </w:rPr>
      </w:pPr>
    </w:p>
    <w:p w14:paraId="60808212" w14:textId="77777777" w:rsidR="000F3525" w:rsidRDefault="000F3525" w:rsidP="00645EC4">
      <w:pPr>
        <w:jc w:val="both"/>
        <w:rPr>
          <w:rFonts w:ascii="Montserrat" w:hAnsi="Montserrat"/>
          <w:b/>
          <w:bCs/>
          <w:lang w:val="es-ES"/>
        </w:rPr>
      </w:pPr>
    </w:p>
    <w:p w14:paraId="3D7B5AB8" w14:textId="2C0CE52F" w:rsidR="002B386F" w:rsidRDefault="002B386F" w:rsidP="00645EC4">
      <w:pPr>
        <w:jc w:val="both"/>
        <w:rPr>
          <w:rFonts w:ascii="Montserrat" w:hAnsi="Montserrat"/>
          <w:b/>
          <w:bCs/>
          <w:lang w:val="es-ES"/>
        </w:rPr>
      </w:pPr>
      <w:r w:rsidRPr="003E27B1">
        <w:rPr>
          <w:rFonts w:ascii="Montserrat" w:hAnsi="Montserrat"/>
          <w:b/>
          <w:bCs/>
          <w:lang w:val="es-ES"/>
        </w:rPr>
        <w:t>Artículo 33. Aplicación y seguimiento nacionales</w:t>
      </w:r>
    </w:p>
    <w:p w14:paraId="40542427" w14:textId="77777777" w:rsidR="002B386F" w:rsidRDefault="002B386F" w:rsidP="00645EC4">
      <w:pPr>
        <w:jc w:val="both"/>
        <w:rPr>
          <w:rFonts w:ascii="Montserrat" w:hAnsi="Montserrat"/>
          <w:sz w:val="22"/>
          <w:szCs w:val="22"/>
          <w:lang w:val="es-ES"/>
        </w:rPr>
      </w:pPr>
    </w:p>
    <w:p w14:paraId="76FBC7CD" w14:textId="77777777" w:rsidR="002B386F" w:rsidRPr="00653722" w:rsidRDefault="002B386F" w:rsidP="00645EC4">
      <w:pPr>
        <w:jc w:val="both"/>
        <w:rPr>
          <w:rFonts w:ascii="Montserrat" w:hAnsi="Montserrat" w:cs="Arial"/>
          <w:bCs/>
          <w:sz w:val="22"/>
          <w:szCs w:val="22"/>
          <w:lang w:val="es-ES_tradnl" w:eastAsia="es-ES"/>
        </w:rPr>
      </w:pPr>
      <w:r w:rsidRPr="00653722">
        <w:rPr>
          <w:rFonts w:ascii="Montserrat" w:hAnsi="Montserrat"/>
          <w:sz w:val="22"/>
          <w:szCs w:val="22"/>
          <w:lang w:val="es-ES"/>
        </w:rPr>
        <w:t xml:space="preserve">Sobre los </w:t>
      </w:r>
      <w:r w:rsidRPr="00653722">
        <w:rPr>
          <w:rFonts w:ascii="Montserrat" w:hAnsi="Montserrat"/>
          <w:sz w:val="22"/>
          <w:szCs w:val="22"/>
        </w:rPr>
        <w:t xml:space="preserve">mecanismos existentes para asegurar la aplicación eficaz de la Convención sobre los Derechos de las Personas con Discapacidad, </w:t>
      </w:r>
      <w:bookmarkStart w:id="1" w:name="_Hlk98400514"/>
      <w:r w:rsidRPr="00653722">
        <w:rPr>
          <w:rFonts w:ascii="Montserrat" w:hAnsi="Montserrat"/>
          <w:sz w:val="22"/>
          <w:szCs w:val="22"/>
        </w:rPr>
        <w:t>el Estado mexicano cuenta con una política nacional antidiscriminatoria que instrumenta a través de, entre otras herramientas de política pública, del</w:t>
      </w:r>
      <w:r w:rsidRPr="00653722">
        <w:rPr>
          <w:rFonts w:ascii="Montserrat" w:hAnsi="Montserrat" w:cs="Arial"/>
          <w:bCs/>
          <w:sz w:val="22"/>
          <w:szCs w:val="22"/>
          <w:lang w:val="es-ES_tradnl" w:eastAsia="es-ES"/>
        </w:rPr>
        <w:t xml:space="preserve"> Programa Nacional para la Igualdad y No Discriminación 2021- 2024 (PRONAIND), de carácter intersectorial y de cumplimiento obligatorio, que fue publicado en el Diario Oficial de la Federación (DOF) el 14 de diciembre de 2021</w:t>
      </w:r>
      <w:r w:rsidRPr="00653722">
        <w:rPr>
          <w:rFonts w:ascii="Montserrat" w:hAnsi="Montserrat" w:cs="Arial"/>
          <w:bCs/>
          <w:sz w:val="22"/>
          <w:szCs w:val="22"/>
          <w:vertAlign w:val="superscript"/>
          <w:lang w:val="es-ES_tradnl" w:eastAsia="es-ES"/>
        </w:rPr>
        <w:footnoteReference w:id="29"/>
      </w:r>
      <w:r w:rsidRPr="00653722">
        <w:rPr>
          <w:rFonts w:ascii="Montserrat" w:hAnsi="Montserrat" w:cs="Arial"/>
          <w:bCs/>
          <w:sz w:val="22"/>
          <w:szCs w:val="22"/>
          <w:lang w:val="es-ES_tradnl" w:eastAsia="es-ES"/>
        </w:rPr>
        <w:t xml:space="preserve"> en estricto apego al Plan Nacional de Desarrollo 2019-2024 (PND).</w:t>
      </w:r>
    </w:p>
    <w:p w14:paraId="342D094C" w14:textId="77777777" w:rsidR="002B386F" w:rsidRPr="00653722" w:rsidRDefault="002B386F" w:rsidP="00645EC4">
      <w:pPr>
        <w:jc w:val="both"/>
        <w:rPr>
          <w:rFonts w:ascii="Montserrat" w:hAnsi="Montserrat"/>
          <w:bCs/>
          <w:sz w:val="22"/>
          <w:szCs w:val="22"/>
        </w:rPr>
      </w:pPr>
    </w:p>
    <w:p w14:paraId="3ECA6BF8" w14:textId="77777777" w:rsidR="002B386F" w:rsidRPr="00653722" w:rsidRDefault="002B386F" w:rsidP="00645EC4">
      <w:pPr>
        <w:jc w:val="both"/>
        <w:rPr>
          <w:rFonts w:ascii="Montserrat" w:hAnsi="Montserrat" w:cs="Montserrat"/>
          <w:color w:val="000000"/>
          <w:sz w:val="22"/>
          <w:szCs w:val="22"/>
        </w:rPr>
      </w:pPr>
      <w:r w:rsidRPr="00653722">
        <w:rPr>
          <w:rFonts w:ascii="Montserrat" w:hAnsi="Montserrat"/>
          <w:bCs/>
          <w:sz w:val="22"/>
          <w:szCs w:val="22"/>
        </w:rPr>
        <w:t xml:space="preserve">El PRONAIND fue diseñado considerando las obligaciones de derechos humanos, incluyendo las relativas a los derechos de las personas con discapacidad, y establecen un modelo de intervención que se basa en la transversalidad del derecho a la igualdad y no discriminación para contrarrestar las prácticas discriminatorias y promover la igualdad sustantiva, </w:t>
      </w:r>
      <w:r w:rsidRPr="00653722">
        <w:rPr>
          <w:rFonts w:ascii="Montserrat" w:hAnsi="Montserrat" w:cs="Montserrat"/>
          <w:color w:val="000000"/>
          <w:sz w:val="22"/>
          <w:szCs w:val="22"/>
        </w:rPr>
        <w:t xml:space="preserve">en ámbitos estratégicos de la vida social, como el de la salud, educativo, laboral, la seguridad social, ciudadana y la justicia, a partir de esfuerzos articulados entre las instancias públicas y fomentando la colaboración con otros poderes y órdenes de gobierno, atendiendo las obligaciones del Estado mexicano en la materia. </w:t>
      </w:r>
    </w:p>
    <w:p w14:paraId="769CEE3E" w14:textId="77777777" w:rsidR="002B386F" w:rsidRPr="00653722" w:rsidRDefault="002B386F" w:rsidP="00645EC4">
      <w:pPr>
        <w:jc w:val="both"/>
        <w:rPr>
          <w:rFonts w:ascii="Montserrat" w:hAnsi="Montserrat" w:cs="Montserrat"/>
          <w:color w:val="000000"/>
          <w:sz w:val="22"/>
          <w:szCs w:val="22"/>
        </w:rPr>
      </w:pPr>
    </w:p>
    <w:p w14:paraId="7D6CC8F7" w14:textId="77777777" w:rsidR="002B386F" w:rsidRPr="00653722" w:rsidRDefault="002B386F" w:rsidP="00645EC4">
      <w:pPr>
        <w:jc w:val="both"/>
        <w:rPr>
          <w:rFonts w:ascii="Montserrat" w:hAnsi="Montserrat"/>
          <w:color w:val="000000" w:themeColor="text1"/>
          <w:sz w:val="22"/>
          <w:szCs w:val="22"/>
          <w:lang w:val="es-ES"/>
        </w:rPr>
      </w:pPr>
      <w:r w:rsidRPr="00653722">
        <w:rPr>
          <w:rFonts w:ascii="Montserrat" w:hAnsi="Montserrat"/>
          <w:bCs/>
          <w:sz w:val="22"/>
          <w:szCs w:val="22"/>
        </w:rPr>
        <w:t xml:space="preserve">El Programa tiene seis objetivos que buscan la intervención articulada e </w:t>
      </w:r>
      <w:r w:rsidRPr="00653722">
        <w:rPr>
          <w:rFonts w:ascii="Montserrat" w:hAnsi="Montserrat"/>
          <w:bCs/>
          <w:color w:val="000000" w:themeColor="text1"/>
          <w:sz w:val="22"/>
          <w:szCs w:val="22"/>
        </w:rPr>
        <w:t>integral, desde las atribuciones del gobierno federal, para desmontar distintas prácticas discriminatorias institucionalizadas. P</w:t>
      </w:r>
      <w:r w:rsidRPr="00653722">
        <w:rPr>
          <w:rFonts w:ascii="Montserrat" w:hAnsi="Montserrat"/>
          <w:color w:val="000000" w:themeColor="text1"/>
          <w:sz w:val="22"/>
          <w:szCs w:val="22"/>
          <w:lang w:val="es-ES"/>
        </w:rPr>
        <w:t>revé 29 estrategias y 69 acciones puntuales que a través de un modelo de intervención en donde la coordinación interinstitucional es fundamental, con entidades y dependencias, órdenes de gobierno y poderes del Estado para i) armonizar la normativa que tiene efectos discriminatorios; ii) lograr que los mecanismos de vigilancia de las normas también garanticen que no se discriminará en lo formal y en lo sustantivo; iii) desarrollar herramientas de política pública útiles para que las autoridades cumplan con sus obligaciones de igualdad y no discriminación ante la sociedad; iv) ampliar el conocimiento y la información sobre las causas y efectos de la discriminación en la población para facilitar a las instituciones públicas el cumplimiento de dichas obligaciones y v) desplegar acciones informativas, de educación y comunicación dirigidas a la toma de conciencia sobre el derecho a la igualdad y no discriminación.</w:t>
      </w:r>
    </w:p>
    <w:p w14:paraId="5166A317" w14:textId="77777777" w:rsidR="002B386F" w:rsidRDefault="002B386F" w:rsidP="00645EC4">
      <w:pPr>
        <w:jc w:val="both"/>
        <w:rPr>
          <w:rFonts w:ascii="Montserrat" w:hAnsi="Montserrat"/>
          <w:color w:val="000000" w:themeColor="text1"/>
          <w:sz w:val="22"/>
          <w:szCs w:val="22"/>
        </w:rPr>
      </w:pPr>
    </w:p>
    <w:p w14:paraId="698B90D4" w14:textId="77777777" w:rsidR="002B386F" w:rsidRPr="00653722" w:rsidRDefault="002B386F" w:rsidP="00645EC4">
      <w:pPr>
        <w:jc w:val="both"/>
        <w:rPr>
          <w:rFonts w:ascii="Montserrat" w:hAnsi="Montserrat"/>
          <w:color w:val="000000" w:themeColor="text1"/>
          <w:sz w:val="22"/>
          <w:szCs w:val="22"/>
        </w:rPr>
      </w:pPr>
      <w:r>
        <w:rPr>
          <w:rFonts w:ascii="Montserrat" w:hAnsi="Montserrat"/>
          <w:color w:val="000000" w:themeColor="text1"/>
          <w:sz w:val="22"/>
          <w:szCs w:val="22"/>
        </w:rPr>
        <w:t xml:space="preserve">Además, incluye </w:t>
      </w:r>
      <w:r w:rsidRPr="00653722">
        <w:rPr>
          <w:rFonts w:ascii="Montserrat" w:hAnsi="Montserrat"/>
          <w:color w:val="000000" w:themeColor="text1"/>
          <w:sz w:val="22"/>
          <w:szCs w:val="22"/>
        </w:rPr>
        <w:t xml:space="preserve">acciones puntuales transversales orientadas a combatir prácticas discriminatorias que afectan a grupos históricamente discriminados, incluidas las personas con discapacidad, así como acciones dirigidas explícitamente a personas con discapacidad entre otros grupos. Destacan las siguientes acciones puntuales: </w:t>
      </w:r>
    </w:p>
    <w:p w14:paraId="2A400F4D" w14:textId="77777777" w:rsidR="002B386F" w:rsidRPr="00653722" w:rsidRDefault="002B386F" w:rsidP="00E31990">
      <w:pPr>
        <w:pStyle w:val="Prrafodelista"/>
        <w:numPr>
          <w:ilvl w:val="0"/>
          <w:numId w:val="11"/>
        </w:numPr>
        <w:jc w:val="both"/>
        <w:rPr>
          <w:rFonts w:ascii="Montserrat" w:hAnsi="Montserrat"/>
          <w:sz w:val="22"/>
          <w:szCs w:val="22"/>
        </w:rPr>
      </w:pPr>
      <w:r w:rsidRPr="00653722">
        <w:rPr>
          <w:rFonts w:ascii="Montserrat" w:hAnsi="Montserrat"/>
          <w:sz w:val="22"/>
          <w:szCs w:val="22"/>
        </w:rPr>
        <w:t>Promover, en el ámbito de sus competencias, la eliminación de elementos discriminatorios del marco normativo y la armonización conforme al derecho a la igualdad y no discriminación en materia de salud.</w:t>
      </w:r>
    </w:p>
    <w:p w14:paraId="7697C13B" w14:textId="77777777" w:rsidR="002B386F" w:rsidRPr="00653722" w:rsidRDefault="002B386F" w:rsidP="00E31990">
      <w:pPr>
        <w:pStyle w:val="Prrafodelista"/>
        <w:numPr>
          <w:ilvl w:val="0"/>
          <w:numId w:val="11"/>
        </w:numPr>
        <w:jc w:val="both"/>
        <w:rPr>
          <w:rFonts w:ascii="Montserrat" w:hAnsi="Montserrat"/>
          <w:sz w:val="22"/>
          <w:szCs w:val="22"/>
        </w:rPr>
      </w:pPr>
      <w:r w:rsidRPr="00653722">
        <w:rPr>
          <w:rFonts w:ascii="Montserrat" w:hAnsi="Montserrat"/>
          <w:sz w:val="22"/>
          <w:szCs w:val="22"/>
        </w:rPr>
        <w:t>Promover el desarrollo de acciones y modelos para la atención a la salud de grupos históricamente discriminados.</w:t>
      </w:r>
    </w:p>
    <w:p w14:paraId="36DCE07B" w14:textId="77777777" w:rsidR="002B386F" w:rsidRPr="007408BF" w:rsidRDefault="002B386F" w:rsidP="00E31990">
      <w:pPr>
        <w:pStyle w:val="Prrafodelista"/>
        <w:numPr>
          <w:ilvl w:val="0"/>
          <w:numId w:val="11"/>
        </w:numPr>
        <w:jc w:val="both"/>
        <w:rPr>
          <w:rFonts w:ascii="Montserrat" w:hAnsi="Montserrat"/>
          <w:sz w:val="22"/>
          <w:szCs w:val="22"/>
        </w:rPr>
      </w:pPr>
      <w:r w:rsidRPr="00653722">
        <w:rPr>
          <w:rFonts w:ascii="Montserrat" w:hAnsi="Montserrat"/>
          <w:sz w:val="22"/>
          <w:szCs w:val="22"/>
        </w:rPr>
        <w:lastRenderedPageBreak/>
        <w:t xml:space="preserve">Desarrollar estrategias </w:t>
      </w:r>
      <w:r w:rsidRPr="007408BF">
        <w:rPr>
          <w:rFonts w:ascii="Montserrat" w:hAnsi="Montserrat"/>
          <w:sz w:val="22"/>
          <w:szCs w:val="22"/>
        </w:rPr>
        <w:t>de comunicación, y materiales accesibles y con pertinencia cultural, que contribuyan a combatir los estigmas y la discriminación relacionada con el uso de drogas, el VIH, la discapacidad, la movilidad humana, la diversidad sexual y de género, la edad, la pertinencia étnica.</w:t>
      </w:r>
    </w:p>
    <w:p w14:paraId="529CA5D3"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en el ámbito de sus competencias, la eliminación de elementos discriminatorios del marco normativo y la armonización conforme al derecho a la igualdad y no discriminación en materia educativa.</w:t>
      </w:r>
    </w:p>
    <w:p w14:paraId="5E927301"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Aplicar los criterios antidiscriminatorios en los procesos de supervisión y verificación de la normatividad educativa y de las medidas de inclusión.</w:t>
      </w:r>
    </w:p>
    <w:p w14:paraId="3352E806"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Fortalecer los mecanismos de denuncia y sanción del acoso escolar, con especial atención en el relacionado con la condición socioeconómica, de discapacidad, migratoria, origen étnico, origen nacional, lengua indígena, prácticas culturales, apariencia física, orientación sexual, identidad y expresión de género.</w:t>
      </w:r>
    </w:p>
    <w:p w14:paraId="0E9BEEEC"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 xml:space="preserve">Promover medidas de inclusión, nivelación y acciones afirmativas para garantizar el acceso, permanencia, evaluación del aprendizaje, progresión escolar y egreso sin discriminación, con énfasis en personas con discapacidad […]. </w:t>
      </w:r>
    </w:p>
    <w:p w14:paraId="0F2984D1"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Fortalecer la accesibilidad en la infraestructura, comunicaciones, información e implementación de ajustes razonables en los centros y servicios educativos, con la finalidad de incluir a todas las personas, especialmente a personas con discapacidad, personas indígenas, mujeres adolescentes embarazadas y a quienes viven en lugares lejanos a los centros escolares.</w:t>
      </w:r>
    </w:p>
    <w:p w14:paraId="46D8F86D"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Implementar modelos para la prevención y atención del acoso escolar motivado por condición socioeconómica, discapacidad, condición migratoria, origen étnico y nacional, lengua indígena, apariencia física, orientación sexual e identidad y expresión de género.</w:t>
      </w:r>
    </w:p>
    <w:p w14:paraId="0CBF57C6"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Reconocer y visibilizar las buenas prácticas de educación inclusiva, igualdad y no discriminación, llevadas a cabo por los centros educativos públicos y privados.</w:t>
      </w:r>
    </w:p>
    <w:p w14:paraId="2397092B"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el fortalecimiento del marco normativo conforme al derecho a la igualdad y no discriminación, en materia laboral y de administración de recursos humanos en la Administración Pública Federal (APF), para que los procesos de contratación, promoción y separación se orienten de acuerdo con los criterios antidiscriminatorios.</w:t>
      </w:r>
    </w:p>
    <w:p w14:paraId="74477FF9"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Impulsar la adecuación del marco normativo para incluir diferentes modalidades de trabajo y de administración de recursos humanos en la APF, que faciliten tanto la conciliación de la vida laboral con la personal, como la corresponsabilidad en el trabajo de cuidado y en el hogar.</w:t>
      </w:r>
    </w:p>
    <w:p w14:paraId="76056CFD"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Generar y promover propuestas sobre modalidades de trabajo y de la administración de recursos humanos en la APF, que permitan la conciliación de la vida laboral, familiar y personal, y la corresponsabilidad en el trabajo de cuidado y del hogar.</w:t>
      </w:r>
    </w:p>
    <w:p w14:paraId="493317BA"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Generar modelos, manuales e instrumentos para los centros de trabajo públicos y privados que faciliten la inclusión laboral y la construcción de entornos laborales sin discriminación.</w:t>
      </w:r>
    </w:p>
    <w:p w14:paraId="4822111D"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 xml:space="preserve">Promover en las entidades y dependencias de la APF la adopción de medidas de inclusión y de nivelación para garantizar la igualdad de condiciones en el acceso y condiciones de trabajo sin discriminación, </w:t>
      </w:r>
      <w:r w:rsidRPr="007408BF">
        <w:rPr>
          <w:rFonts w:ascii="Montserrat" w:hAnsi="Montserrat"/>
          <w:sz w:val="22"/>
          <w:szCs w:val="22"/>
        </w:rPr>
        <w:lastRenderedPageBreak/>
        <w:t>especialmente para quienes enfrentan sistemáticamente las prácticas discriminatorias en este ámbito.</w:t>
      </w:r>
    </w:p>
    <w:p w14:paraId="5DF75781"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Desarrollar estrategias de comunicación y materiales accesibles y con enfoque diferenciado para concientizar sobre la discriminación en el trabajo y la desigualdad salarial, la importancia de la conciliación de la vida laboral y personal la corresponsabilidad en los trabajos en el hogar, así como los mecanismos de protección ante actos de discriminación.</w:t>
      </w:r>
    </w:p>
    <w:p w14:paraId="74E4E520"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en el ámbito de sus competencias, la eliminación de elementos discriminatorios del marco normativo y la armonización conforme al derecho a la igualdad y no discriminación en materia de seguridad social, asistencia y protección social.</w:t>
      </w:r>
    </w:p>
    <w:p w14:paraId="0C36E0BC"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la inclusión de los criterios antidiscriminatorios en los procesos de supervisión y verificación de los servicios de seguridad y asistencia social.</w:t>
      </w:r>
    </w:p>
    <w:p w14:paraId="30583330"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modelos de prestación de cuidados, de seguridad y asistencia social a niñas, niños y adolescentes, personas mayores y personas con discapacidad en situación de dependencia, con enfoque antidiscriminatorio</w:t>
      </w:r>
    </w:p>
    <w:p w14:paraId="42B07654"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el acceso efectivo de niñas y niños a los centros de atención infantil sin discriminación, especialmente para niñas y niños con discapacidad y migrantes.</w:t>
      </w:r>
    </w:p>
    <w:p w14:paraId="06B84FB5"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Desarrollar estrategias de comunicación y materiales accesibles y con enfoque diferenciado que contribuyan a concientizar y prevenir la discriminación en los servicios de seguridad social, cuidados y protección social.</w:t>
      </w:r>
    </w:p>
    <w:p w14:paraId="67D68867"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la capacitación del personal que labora en trabajos de cuidados, para que, en el desempeño de sus funciones, incorporen el marco antidiscriminatorio.</w:t>
      </w:r>
    </w:p>
    <w:p w14:paraId="2C3BB35B"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Generar medidas de igualdad en la APF que cierren brechas discriminatorias en beneficio de los derechos humanos de los grupos sociales discriminados.</w:t>
      </w:r>
    </w:p>
    <w:p w14:paraId="095C7F08" w14:textId="77777777" w:rsidR="002B386F" w:rsidRPr="007408BF"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Promover una estrategia progresiva para asegurar la accesibilidad de la información pública sobre trámites, servicios y programas públicos.</w:t>
      </w:r>
    </w:p>
    <w:p w14:paraId="3C8208A2" w14:textId="77777777" w:rsidR="002B386F" w:rsidRPr="00653722" w:rsidRDefault="002B386F" w:rsidP="00E31990">
      <w:pPr>
        <w:pStyle w:val="Prrafodelista"/>
        <w:numPr>
          <w:ilvl w:val="0"/>
          <w:numId w:val="11"/>
        </w:numPr>
        <w:jc w:val="both"/>
        <w:rPr>
          <w:rFonts w:ascii="Montserrat" w:hAnsi="Montserrat"/>
          <w:sz w:val="22"/>
          <w:szCs w:val="22"/>
        </w:rPr>
      </w:pPr>
      <w:r w:rsidRPr="007408BF">
        <w:rPr>
          <w:rFonts w:ascii="Montserrat" w:hAnsi="Montserrat"/>
          <w:sz w:val="22"/>
          <w:szCs w:val="22"/>
        </w:rPr>
        <w:t>Impulsar el uso de las lenguas indígenas y la Lengua de Señas Mexicana</w:t>
      </w:r>
      <w:r w:rsidRPr="00653722">
        <w:rPr>
          <w:rFonts w:ascii="Montserrat" w:hAnsi="Montserrat"/>
          <w:sz w:val="22"/>
          <w:szCs w:val="22"/>
        </w:rPr>
        <w:t xml:space="preserve"> en los medios de comunicación, incluidos la radio, los servicios de telefonía e internet, entre otros; así como en la publicidad y actividades, bienes y servicios culturales y deportivos.</w:t>
      </w:r>
    </w:p>
    <w:p w14:paraId="63920791" w14:textId="77777777" w:rsidR="002B386F" w:rsidRPr="00653722" w:rsidRDefault="002B386F" w:rsidP="00E31990">
      <w:pPr>
        <w:pStyle w:val="Prrafodelista"/>
        <w:numPr>
          <w:ilvl w:val="0"/>
          <w:numId w:val="11"/>
        </w:numPr>
        <w:jc w:val="both"/>
        <w:rPr>
          <w:rFonts w:ascii="Montserrat" w:hAnsi="Montserrat"/>
          <w:sz w:val="22"/>
          <w:szCs w:val="22"/>
        </w:rPr>
      </w:pPr>
      <w:r w:rsidRPr="00653722">
        <w:rPr>
          <w:rFonts w:ascii="Montserrat" w:hAnsi="Montserrat"/>
          <w:sz w:val="22"/>
          <w:szCs w:val="22"/>
        </w:rPr>
        <w:t xml:space="preserve">Impulsar campañas accesibles y otros materiales comunicativos con enfoque diferenciado para prevenir y combatir la xenofobia, la misoginia, la homo-lesbo-transfobia, el racismo, el clasismo, la intolerancia religiosa y otras formas de discriminación. </w:t>
      </w:r>
    </w:p>
    <w:p w14:paraId="743921E9" w14:textId="77777777" w:rsidR="002B386F" w:rsidRPr="00653722" w:rsidRDefault="002B386F" w:rsidP="00645EC4">
      <w:pPr>
        <w:jc w:val="both"/>
        <w:rPr>
          <w:rFonts w:ascii="Montserrat" w:hAnsi="Montserrat"/>
          <w:sz w:val="22"/>
          <w:szCs w:val="22"/>
        </w:rPr>
      </w:pPr>
    </w:p>
    <w:p w14:paraId="4ED6D87C" w14:textId="77777777" w:rsidR="002B386F" w:rsidRPr="00653722" w:rsidRDefault="002B386F" w:rsidP="00645EC4">
      <w:pPr>
        <w:jc w:val="both"/>
        <w:rPr>
          <w:rFonts w:ascii="Montserrat" w:hAnsi="Montserrat"/>
          <w:bCs/>
          <w:sz w:val="22"/>
          <w:szCs w:val="22"/>
        </w:rPr>
      </w:pPr>
      <w:r w:rsidRPr="00653722">
        <w:rPr>
          <w:rFonts w:ascii="Montserrat" w:hAnsi="Montserrat"/>
          <w:sz w:val="22"/>
          <w:szCs w:val="22"/>
        </w:rPr>
        <w:t xml:space="preserve">La instrumentación de este Programa inició hace unas semanas, y se ha avanzado en el establecimiento de una </w:t>
      </w:r>
      <w:bookmarkEnd w:id="1"/>
      <w:r w:rsidRPr="00653722">
        <w:rPr>
          <w:rFonts w:ascii="Montserrat" w:hAnsi="Montserrat"/>
          <w:bCs/>
          <w:sz w:val="22"/>
          <w:szCs w:val="22"/>
        </w:rPr>
        <w:t>una agenda de trabajo con las dependencias y entidades responsables de su instrumentación.</w:t>
      </w:r>
    </w:p>
    <w:p w14:paraId="233BFC2B" w14:textId="77777777" w:rsidR="002B386F" w:rsidRPr="00653722" w:rsidRDefault="002B386F" w:rsidP="00645EC4">
      <w:pPr>
        <w:rPr>
          <w:rFonts w:ascii="Montserrat" w:hAnsi="Montserrat"/>
          <w:sz w:val="22"/>
          <w:szCs w:val="22"/>
        </w:rPr>
      </w:pPr>
    </w:p>
    <w:p w14:paraId="4F45BF68" w14:textId="744C9DAC" w:rsidR="002B386F" w:rsidRPr="00653722" w:rsidRDefault="002B386F" w:rsidP="00645EC4">
      <w:pPr>
        <w:jc w:val="both"/>
        <w:rPr>
          <w:rFonts w:ascii="Montserrat" w:eastAsia="Times New Roman" w:hAnsi="Montserrat" w:cstheme="minorHAnsi"/>
          <w:sz w:val="22"/>
          <w:szCs w:val="22"/>
          <w:lang w:eastAsia="es-MX"/>
        </w:rPr>
      </w:pPr>
      <w:r w:rsidRPr="00653722">
        <w:rPr>
          <w:rFonts w:ascii="Montserrat" w:hAnsi="Montserrat"/>
          <w:sz w:val="22"/>
          <w:szCs w:val="22"/>
        </w:rPr>
        <w:t xml:space="preserve">De igual forma, se cuenta con el </w:t>
      </w:r>
      <w:r w:rsidRPr="00653722">
        <w:rPr>
          <w:rFonts w:ascii="Montserrat" w:eastAsia="Times New Roman" w:hAnsi="Montserrat" w:cstheme="minorHAnsi"/>
          <w:sz w:val="22"/>
          <w:szCs w:val="22"/>
          <w:lang w:eastAsia="es-MX"/>
        </w:rPr>
        <w:t xml:space="preserve">Mecanismo de Defensa del Derecho a la Igualdad y No Discriminación, </w:t>
      </w:r>
      <w:r w:rsidRPr="00653722">
        <w:rPr>
          <w:rFonts w:ascii="Montserrat" w:hAnsi="Montserrat"/>
          <w:sz w:val="22"/>
          <w:szCs w:val="22"/>
        </w:rPr>
        <w:t xml:space="preserve">procedimiento de queja ante el CONAPRED, el cual </w:t>
      </w:r>
      <w:r w:rsidRPr="00653722">
        <w:rPr>
          <w:rFonts w:ascii="Montserrat" w:eastAsia="Times New Roman" w:hAnsi="Montserrat" w:cstheme="minorHAnsi"/>
          <w:sz w:val="22"/>
          <w:szCs w:val="22"/>
          <w:lang w:eastAsia="es-MX"/>
        </w:rPr>
        <w:t xml:space="preserve"> se constituye en la única herramienta del Estado mexicano, por lo que al ámbito administrativo se refiere, para proteger, respetar y garantizar el derecho a la igualdad y no discriminación, tal como lo dispone el artículo 1 de la Constitución Política de los Estados Unidos Mexicanos; siendo el </w:t>
      </w:r>
      <w:r w:rsidRPr="00653722">
        <w:rPr>
          <w:rFonts w:ascii="Montserrat" w:eastAsia="Times New Roman" w:hAnsi="Montserrat" w:cstheme="minorHAnsi"/>
          <w:sz w:val="22"/>
          <w:szCs w:val="22"/>
          <w:lang w:eastAsia="es-MX"/>
        </w:rPr>
        <w:lastRenderedPageBreak/>
        <w:t xml:space="preserve">CONAPRED, el único responsable de su tramitación, sin que exista alguna otra institución que cuente con un mecanismo semejante para la defensa y garantía de este derecho. </w:t>
      </w:r>
    </w:p>
    <w:p w14:paraId="41CCE50E" w14:textId="77777777" w:rsidR="002B386F" w:rsidRPr="00653722" w:rsidRDefault="002B386F" w:rsidP="00645EC4">
      <w:pPr>
        <w:jc w:val="both"/>
        <w:rPr>
          <w:rFonts w:ascii="Montserrat" w:eastAsia="Times New Roman" w:hAnsi="Montserrat" w:cstheme="minorHAnsi"/>
          <w:sz w:val="22"/>
          <w:szCs w:val="22"/>
          <w:lang w:eastAsia="es-MX"/>
        </w:rPr>
      </w:pPr>
    </w:p>
    <w:p w14:paraId="6C7C0F9E" w14:textId="77777777" w:rsidR="002B386F" w:rsidRPr="0046636A" w:rsidRDefault="002B386F" w:rsidP="00645EC4">
      <w:p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El Procedimiento de Queja se convierte en un mecanismo de defensa único e innovador</w:t>
      </w:r>
      <w:r w:rsidRPr="0046636A">
        <w:rPr>
          <w:rFonts w:ascii="Montserrat" w:hAnsi="Montserrat"/>
          <w:color w:val="000000" w:themeColor="text1"/>
          <w:sz w:val="22"/>
          <w:szCs w:val="22"/>
          <w:vertAlign w:val="superscript"/>
        </w:rPr>
        <w:footnoteReference w:id="30"/>
      </w:r>
      <w:r w:rsidRPr="0046636A">
        <w:rPr>
          <w:rFonts w:ascii="Montserrat" w:eastAsia="Times New Roman" w:hAnsi="Montserrat" w:cstheme="minorHAnsi"/>
          <w:sz w:val="22"/>
          <w:szCs w:val="22"/>
          <w:lang w:eastAsia="es-MX"/>
        </w:rPr>
        <w:t xml:space="preserve"> toda vez que se encarga de investigar las presuntas conductas discriminatorias que cometan tanto particulares como personas servidoras públicas del ámbito federal.  Por lo que su actuación va más allá de los mecanismos nacionales de defensa de derechos humanos, que solo tienen competencia respecto de las autoridades o personas servidoras públicas, y no así de las personas particulares o privadas. </w:t>
      </w:r>
    </w:p>
    <w:p w14:paraId="6E700FD0" w14:textId="77777777" w:rsidR="002B386F" w:rsidRPr="00653722" w:rsidRDefault="002B386F" w:rsidP="00645EC4">
      <w:pPr>
        <w:pStyle w:val="Prrafodelista"/>
        <w:ind w:left="1440"/>
        <w:jc w:val="both"/>
        <w:rPr>
          <w:rFonts w:ascii="Montserrat" w:eastAsia="Times New Roman" w:hAnsi="Montserrat" w:cstheme="minorHAnsi"/>
          <w:sz w:val="22"/>
          <w:szCs w:val="22"/>
          <w:lang w:eastAsia="es-MX"/>
        </w:rPr>
      </w:pPr>
    </w:p>
    <w:p w14:paraId="5C1BA2A9" w14:textId="77777777" w:rsidR="002B386F" w:rsidRPr="00B831A7" w:rsidRDefault="002B386F" w:rsidP="00645EC4">
      <w:pPr>
        <w:jc w:val="both"/>
        <w:rPr>
          <w:rFonts w:ascii="Montserrat" w:eastAsia="Times New Roman" w:hAnsi="Montserrat" w:cstheme="minorHAnsi"/>
          <w:sz w:val="22"/>
          <w:szCs w:val="22"/>
          <w:lang w:eastAsia="es-MX"/>
        </w:rPr>
      </w:pPr>
      <w:r w:rsidRPr="00653722">
        <w:rPr>
          <w:rFonts w:ascii="Montserrat" w:eastAsia="Times New Roman" w:hAnsi="Montserrat" w:cstheme="minorHAnsi"/>
          <w:sz w:val="22"/>
          <w:szCs w:val="22"/>
          <w:lang w:eastAsia="es-MX"/>
        </w:rPr>
        <w:t>Además de que, una vez concluida la etapa de investigación y comprobadas las conductas o prácticas d</w:t>
      </w:r>
      <w:r w:rsidRPr="00B831A7">
        <w:rPr>
          <w:rFonts w:ascii="Montserrat" w:eastAsia="Times New Roman" w:hAnsi="Montserrat" w:cstheme="minorHAnsi"/>
          <w:sz w:val="22"/>
          <w:szCs w:val="22"/>
          <w:lang w:eastAsia="es-MX"/>
        </w:rPr>
        <w:t>iscriminatorias, emite resoluciones vinculantes y reparatorias. Vinculantes tanto para las autoridades como para las personas particulares o privadas a diferencia de las resoluciones de los mecanismos nacionales de defensa de derechos humanos que resultan en meras recomendaciones respecto de las cuales no puede exigirse su ejecución, y/o apelarse en otras instancias, como sí sucede con las resoluciones emitidas por el Conapred dentro del procedimiento de queja</w:t>
      </w:r>
      <w:r>
        <w:rPr>
          <w:rFonts w:ascii="Montserrat" w:eastAsia="Times New Roman" w:hAnsi="Montserrat" w:cstheme="minorHAnsi"/>
          <w:sz w:val="22"/>
          <w:szCs w:val="22"/>
          <w:lang w:eastAsia="es-MX"/>
        </w:rPr>
        <w:t>. Y, r</w:t>
      </w:r>
      <w:r w:rsidRPr="00B831A7">
        <w:rPr>
          <w:rFonts w:ascii="Montserrat" w:eastAsia="Times New Roman" w:hAnsi="Montserrat" w:cstheme="minorHAnsi"/>
          <w:sz w:val="22"/>
          <w:szCs w:val="22"/>
          <w:lang w:eastAsia="es-MX"/>
        </w:rPr>
        <w:t xml:space="preserve">eparatorias, toda vez que su finalidad radica, en combatir la discriminación estructural presente en las instituciones, en las leyes, en la sociedad, en las actuaciones de la vida cotidiana, al adoptar acciones encaminadas no solo a restituir el derecho que ha sido violentado o denegado por la práctica discriminatoria, sino también, a garantizar la no repetición de esos actos de discriminación. Con el propósito de que, la o las personas particulares, autoridades o instituciones públicas responsables de cometerlos, tomen conciencia de la existencia de esas conductas y del daño que ocasionan, principalmente para el logro del desarrollo cultural, social y democrático del país. </w:t>
      </w:r>
    </w:p>
    <w:p w14:paraId="2B3C103A" w14:textId="77777777" w:rsidR="002B386F" w:rsidRPr="00653722" w:rsidRDefault="002B386F" w:rsidP="00645EC4">
      <w:pPr>
        <w:jc w:val="both"/>
        <w:rPr>
          <w:rFonts w:ascii="Montserrat" w:eastAsia="Times New Roman" w:hAnsi="Montserrat" w:cstheme="minorHAnsi"/>
          <w:sz w:val="22"/>
          <w:szCs w:val="22"/>
          <w:lang w:eastAsia="es-MX"/>
        </w:rPr>
      </w:pPr>
    </w:p>
    <w:p w14:paraId="3A474AF3" w14:textId="77777777" w:rsidR="002B386F" w:rsidRPr="00653722" w:rsidRDefault="002B386F" w:rsidP="00645EC4">
      <w:pPr>
        <w:jc w:val="both"/>
        <w:rPr>
          <w:rFonts w:ascii="Montserrat" w:eastAsia="Times New Roman" w:hAnsi="Montserrat" w:cstheme="minorHAnsi"/>
          <w:sz w:val="22"/>
          <w:szCs w:val="22"/>
          <w:lang w:eastAsia="es-MX"/>
        </w:rPr>
      </w:pPr>
      <w:r w:rsidRPr="00653722">
        <w:rPr>
          <w:rFonts w:ascii="Montserrat" w:eastAsia="Times New Roman" w:hAnsi="Montserrat" w:cstheme="minorHAnsi"/>
          <w:sz w:val="22"/>
          <w:szCs w:val="22"/>
          <w:lang w:eastAsia="es-MX"/>
        </w:rPr>
        <w:t xml:space="preserve">Características que, entre otros elementos, permiten que este Mecanismo o Procedimiento de Queja realmente se constituya en un recurso judicial efectivo para la defensa del derecho a la igualdad y no discriminación. En particular, para la defensa de la discriminación que enfrentan las personas con discapacidad, entre otros, por </w:t>
      </w:r>
      <w:r w:rsidRPr="00653722">
        <w:rPr>
          <w:rFonts w:ascii="Montserrat" w:eastAsia="Times New Roman" w:hAnsi="Montserrat" w:cstheme="minorHAnsi"/>
          <w:i/>
          <w:iCs/>
          <w:sz w:val="22"/>
          <w:szCs w:val="22"/>
          <w:lang w:eastAsia="es-MX"/>
        </w:rPr>
        <w:t>motivos de discapacidad</w:t>
      </w:r>
      <w:r w:rsidRPr="00653722">
        <w:rPr>
          <w:rFonts w:ascii="Montserrat" w:eastAsia="Times New Roman" w:hAnsi="Montserrat" w:cstheme="minorHAnsi"/>
          <w:sz w:val="22"/>
          <w:szCs w:val="22"/>
          <w:lang w:eastAsia="es-MX"/>
        </w:rPr>
        <w:t>, como lo prevé el artículo 2 de la Convención sobre los Derechos de las Personas con Discapacidad y que incluye la denegación de ajustes razonables (conducta discriminatoria reconocida de esa forma en el artículo 20, fracción XXII Ter de la LFPED)</w:t>
      </w:r>
    </w:p>
    <w:p w14:paraId="5C1329DD" w14:textId="77777777" w:rsidR="002B386F" w:rsidRPr="00653722" w:rsidRDefault="002B386F" w:rsidP="00645EC4">
      <w:pPr>
        <w:jc w:val="both"/>
        <w:rPr>
          <w:rFonts w:ascii="Montserrat" w:eastAsia="Times New Roman" w:hAnsi="Montserrat" w:cstheme="minorHAnsi"/>
          <w:sz w:val="22"/>
          <w:szCs w:val="22"/>
          <w:lang w:eastAsia="es-MX"/>
        </w:rPr>
      </w:pPr>
    </w:p>
    <w:p w14:paraId="6639D81A" w14:textId="77777777" w:rsidR="002B386F" w:rsidRPr="007A7104" w:rsidRDefault="002B386F" w:rsidP="00645EC4">
      <w:pPr>
        <w:jc w:val="both"/>
        <w:rPr>
          <w:rFonts w:ascii="Montserrat" w:eastAsia="Times New Roman" w:hAnsi="Montserrat" w:cstheme="minorHAnsi"/>
          <w:sz w:val="22"/>
          <w:szCs w:val="22"/>
          <w:lang w:eastAsia="es-MX"/>
        </w:rPr>
      </w:pPr>
      <w:r w:rsidRPr="007A7104">
        <w:rPr>
          <w:rFonts w:ascii="Montserrat" w:eastAsia="Times New Roman" w:hAnsi="Montserrat" w:cstheme="minorHAnsi"/>
          <w:sz w:val="22"/>
          <w:szCs w:val="22"/>
          <w:lang w:eastAsia="es-MX"/>
        </w:rPr>
        <w:t xml:space="preserve">Asimismo, toda vez que, además de enfocarse a la resolución práctica del caso en concreto – mediante la imposición de las medidas de reparación – el Procedimiento de Queja se fundamenta en una serie de principios como el pro persona, buena fe o suplencia de la queja (artículo 48 bis de la LFPED) a partir de los cuales se promueve y garantiza una igualdad jurídica entre ambas partes, sobre todo, a partir del reconocimiento de que en la mayoría </w:t>
      </w:r>
      <w:r w:rsidRPr="007A7104">
        <w:rPr>
          <w:rFonts w:ascii="Montserrat" w:eastAsia="Times New Roman" w:hAnsi="Montserrat" w:cstheme="minorHAnsi"/>
          <w:sz w:val="22"/>
          <w:szCs w:val="22"/>
          <w:lang w:eastAsia="es-MX"/>
        </w:rPr>
        <w:lastRenderedPageBreak/>
        <w:t xml:space="preserve">de las ocasiones, las personas presuntamente discriminadas -como lo pueden ser las personas con discapacidad-, se encuentran en una situación de asimetría y desventaja económica, jurídica y social, entre otras,  respecto de su contraparte (es decir, la acusada de cometer el acto o práctica discriminatoria). Lo anterior, tal como este Consejo lo ha podido evidenciar con su práctica de más de 15 años de experiencia en la defensa del derecho a la igualdad y no discriminación. </w:t>
      </w:r>
    </w:p>
    <w:p w14:paraId="54244EF6" w14:textId="77777777" w:rsidR="002B386F" w:rsidRPr="00653722" w:rsidRDefault="002B386F" w:rsidP="00645EC4">
      <w:pPr>
        <w:jc w:val="both"/>
        <w:rPr>
          <w:rFonts w:ascii="Montserrat" w:eastAsia="Times New Roman" w:hAnsi="Montserrat" w:cstheme="minorHAnsi"/>
          <w:sz w:val="22"/>
          <w:szCs w:val="22"/>
          <w:lang w:eastAsia="es-MX"/>
        </w:rPr>
      </w:pPr>
      <w:r w:rsidRPr="00653722">
        <w:rPr>
          <w:rFonts w:ascii="Montserrat" w:eastAsia="Times New Roman" w:hAnsi="Montserrat" w:cstheme="minorHAnsi"/>
          <w:sz w:val="22"/>
          <w:szCs w:val="22"/>
          <w:lang w:eastAsia="es-MX"/>
        </w:rPr>
        <w:t xml:space="preserve"> </w:t>
      </w:r>
    </w:p>
    <w:p w14:paraId="0FF61454" w14:textId="77777777" w:rsidR="002B386F" w:rsidRPr="0046636A" w:rsidRDefault="002B386F" w:rsidP="00645EC4">
      <w:p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 xml:space="preserve">Por lo tanto, con fundamento en aquellos principios es que en el Procedimiento de Queja existen una serie de disposiciones/actuaciones tendientes a promover y garantizar entre las partes una igualdad sustantiva por lo que al derecho de acceso a la justicia se refiere -derecho intrínsecamente relacionado con la defensa del derecho a la igualdad y no discriminación- que, entre otras finalidades, se enfocan a: </w:t>
      </w:r>
    </w:p>
    <w:p w14:paraId="6E768FA3" w14:textId="77777777" w:rsidR="002B386F" w:rsidRPr="0046636A" w:rsidRDefault="002B386F" w:rsidP="00645EC4">
      <w:pPr>
        <w:pStyle w:val="Prrafodelista"/>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 xml:space="preserve"> </w:t>
      </w:r>
    </w:p>
    <w:p w14:paraId="55715819" w14:textId="77777777" w:rsidR="002B386F" w:rsidRPr="0046636A" w:rsidRDefault="002B386F" w:rsidP="00E31990">
      <w:pPr>
        <w:pStyle w:val="Prrafodelista"/>
        <w:numPr>
          <w:ilvl w:val="0"/>
          <w:numId w:val="12"/>
        </w:num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Revertir la carga probatoria hacia la persona que presuntamente ha cometido el acto discriminatorio, precisamente por la sospecha que recae sobre las categorías protegidas contra la discriminación (entre ellas, la discapacidad), con la finalidad de que acredite que la diferencia de trato que se alega ha cometido, fundamentada en alguna de esas categorías, resulta justificada, razonable y proporcional.</w:t>
      </w:r>
    </w:p>
    <w:p w14:paraId="784DA8E5" w14:textId="77777777" w:rsidR="002B386F" w:rsidRPr="0046636A" w:rsidRDefault="002B386F" w:rsidP="00E31990">
      <w:pPr>
        <w:pStyle w:val="Prrafodelista"/>
        <w:numPr>
          <w:ilvl w:val="0"/>
          <w:numId w:val="12"/>
        </w:num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 xml:space="preserve">Adoptar ajustes al procedimiento, durante su tramitación y en la adopción de las resoluciones por disposición, con la finalidad de aplicar un enfoque diferenciado y especializado en función de los diversos grupos en situación de discriminación, considerando sus necesidades más apremiantes en cuanto a su derecho de acceso a la justicia (por lo que respecta al procedimiento), y aquellas relacionadas con el derecho violentado (en cuanto a la resolución por disposición).   </w:t>
      </w:r>
    </w:p>
    <w:p w14:paraId="56555605" w14:textId="77777777" w:rsidR="002B386F" w:rsidRPr="0046636A" w:rsidRDefault="002B386F" w:rsidP="00E31990">
      <w:pPr>
        <w:pStyle w:val="Prrafodelista"/>
        <w:numPr>
          <w:ilvl w:val="0"/>
          <w:numId w:val="12"/>
        </w:num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 xml:space="preserve">Suplir la deficiencia de la queja a favor de la persona presuntamente discriminada, con la finalidad de facilitar la identificación de los elementos que integran la definición de discriminación conforme a lo establecido en la LFPED, así como las circunstancias de modo, tiempo y lugar de los hechos que se denuncian. </w:t>
      </w:r>
    </w:p>
    <w:p w14:paraId="22D1EF56" w14:textId="77777777" w:rsidR="002B386F" w:rsidRPr="0046636A" w:rsidRDefault="002B386F" w:rsidP="00645EC4">
      <w:pPr>
        <w:pStyle w:val="Prrafodelista"/>
        <w:ind w:left="1440"/>
        <w:jc w:val="both"/>
        <w:rPr>
          <w:rFonts w:ascii="Montserrat" w:eastAsia="Times New Roman" w:hAnsi="Montserrat" w:cstheme="minorHAnsi"/>
          <w:sz w:val="22"/>
          <w:szCs w:val="22"/>
          <w:lang w:eastAsia="es-MX"/>
        </w:rPr>
      </w:pPr>
    </w:p>
    <w:p w14:paraId="6AD770D5" w14:textId="77777777" w:rsidR="002B386F" w:rsidRPr="0046636A" w:rsidRDefault="002B386F" w:rsidP="00645EC4">
      <w:pPr>
        <w:jc w:val="both"/>
        <w:rPr>
          <w:rFonts w:ascii="Montserrat" w:eastAsia="Times New Roman" w:hAnsi="Montserrat" w:cstheme="minorHAnsi"/>
          <w:sz w:val="22"/>
          <w:szCs w:val="22"/>
          <w:lang w:eastAsia="es-MX"/>
        </w:rPr>
      </w:pPr>
      <w:r w:rsidRPr="0046636A">
        <w:rPr>
          <w:rFonts w:ascii="Montserrat" w:eastAsia="Times New Roman" w:hAnsi="Montserrat" w:cstheme="minorHAnsi"/>
          <w:sz w:val="22"/>
          <w:szCs w:val="22"/>
          <w:lang w:eastAsia="es-MX"/>
        </w:rPr>
        <w:t xml:space="preserve">De esta manera es como el Procedimiento de Queja adquiere un carácter de mecanismo no solo reparador, sino también preventivo al ser la </w:t>
      </w:r>
      <w:r w:rsidRPr="0046636A">
        <w:rPr>
          <w:rFonts w:ascii="Montserrat" w:eastAsia="Times New Roman" w:hAnsi="Montserrat" w:cstheme="minorHAnsi"/>
          <w:i/>
          <w:iCs/>
          <w:sz w:val="22"/>
          <w:szCs w:val="22"/>
          <w:lang w:eastAsia="es-MX"/>
        </w:rPr>
        <w:t xml:space="preserve">última ratio </w:t>
      </w:r>
      <w:r w:rsidRPr="0046636A">
        <w:rPr>
          <w:rFonts w:ascii="Montserrat" w:eastAsia="Times New Roman" w:hAnsi="Montserrat" w:cstheme="minorHAnsi"/>
          <w:sz w:val="22"/>
          <w:szCs w:val="22"/>
          <w:lang w:eastAsia="es-MX"/>
        </w:rPr>
        <w:t xml:space="preserve">para disuadir la comisión de conductas discriminatorias y, con ello, disminuir la posibilidad de que asuntos de este tipo lleguen al Poder Judicial, rebasado por la atención de otros temas estructurales; y por su capacidad para atacar y combatir el problema público de la discriminación estructural, al imponer medidas reparadoras y de no repetición que, además de solucionar el caso en concreto, establecen la adopción de acciones para que, en lo futuro, no vuelvan a cometerse las prácticas o actos discriminatorios como la instrumentación de políticas públicas en determinado tema por parte de las diferentes instancias que conforman la Administración Pública Federal (APF); la elaboración de lineamientos o protocolos en conjunto con las dependencias y entidades de la APF para prevenir conductas discriminatorias; o bien, el estudio de normativa vigente con la finalidad de recomendar su </w:t>
      </w:r>
      <w:r w:rsidRPr="0046636A">
        <w:rPr>
          <w:rFonts w:ascii="Montserrat" w:eastAsia="Times New Roman" w:hAnsi="Montserrat" w:cstheme="minorHAnsi"/>
          <w:sz w:val="22"/>
          <w:szCs w:val="22"/>
          <w:lang w:eastAsia="es-MX"/>
        </w:rPr>
        <w:lastRenderedPageBreak/>
        <w:t>reforma, considerando la existencia de disposiciones que podrían resultar discriminatorias.</w:t>
      </w:r>
    </w:p>
    <w:p w14:paraId="1195DE3C" w14:textId="77777777" w:rsidR="002B386F" w:rsidRPr="002F484D" w:rsidRDefault="002B386F" w:rsidP="00645EC4">
      <w:pPr>
        <w:jc w:val="both"/>
        <w:rPr>
          <w:rFonts w:ascii="Montserrat" w:hAnsi="Montserrat"/>
          <w:color w:val="000000" w:themeColor="text1"/>
          <w:sz w:val="22"/>
          <w:szCs w:val="22"/>
        </w:rPr>
      </w:pPr>
    </w:p>
    <w:sectPr w:rsidR="002B386F" w:rsidRPr="002F484D">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9A05" w14:textId="77777777" w:rsidR="00770B34" w:rsidRDefault="00770B34" w:rsidP="00084273">
      <w:r>
        <w:separator/>
      </w:r>
    </w:p>
  </w:endnote>
  <w:endnote w:type="continuationSeparator" w:id="0">
    <w:p w14:paraId="72778C3E" w14:textId="77777777" w:rsidR="00770B34" w:rsidRDefault="00770B34" w:rsidP="0008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tserrat">
    <w:panose1 w:val="00000500000000000000"/>
    <w:charset w:val="4D"/>
    <w:family w:val="auto"/>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u Gothic Light">
    <w:altName w:val="游ゴシック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BE45A" w14:textId="77777777" w:rsidR="00F76952" w:rsidRPr="00F76952" w:rsidRDefault="00F76952" w:rsidP="00F76952">
    <w:pPr>
      <w:pStyle w:val="Piedepgina"/>
      <w:jc w:val="right"/>
      <w:rPr>
        <w:rFonts w:ascii="Montserrat" w:hAnsi="Montserrat"/>
        <w:b/>
        <w:bCs/>
        <w:color w:val="000000" w:themeColor="text1"/>
        <w:sz w:val="20"/>
        <w:szCs w:val="20"/>
      </w:rPr>
    </w:pPr>
    <w:r w:rsidRPr="00F76952">
      <w:rPr>
        <w:rFonts w:ascii="Montserrat" w:hAnsi="Montserrat"/>
        <w:b/>
        <w:bCs/>
        <w:color w:val="000000" w:themeColor="text1"/>
        <w:sz w:val="20"/>
        <w:szCs w:val="20"/>
      </w:rPr>
      <w:t xml:space="preserve">Página </w:t>
    </w:r>
    <w:r w:rsidRPr="00F76952">
      <w:rPr>
        <w:rFonts w:ascii="Montserrat" w:hAnsi="Montserrat"/>
        <w:b/>
        <w:bCs/>
        <w:color w:val="000000" w:themeColor="text1"/>
        <w:sz w:val="20"/>
        <w:szCs w:val="20"/>
      </w:rPr>
      <w:fldChar w:fldCharType="begin"/>
    </w:r>
    <w:r w:rsidRPr="00F76952">
      <w:rPr>
        <w:rFonts w:ascii="Montserrat" w:hAnsi="Montserrat"/>
        <w:b/>
        <w:bCs/>
        <w:color w:val="000000" w:themeColor="text1"/>
        <w:sz w:val="20"/>
        <w:szCs w:val="20"/>
      </w:rPr>
      <w:instrText>PAGE  \* Arabic  \* MERGEFORMAT</w:instrText>
    </w:r>
    <w:r w:rsidRPr="00F76952">
      <w:rPr>
        <w:rFonts w:ascii="Montserrat" w:hAnsi="Montserrat"/>
        <w:b/>
        <w:bCs/>
        <w:color w:val="000000" w:themeColor="text1"/>
        <w:sz w:val="20"/>
        <w:szCs w:val="20"/>
      </w:rPr>
      <w:fldChar w:fldCharType="separate"/>
    </w:r>
    <w:r w:rsidRPr="00F76952">
      <w:rPr>
        <w:rFonts w:ascii="Montserrat" w:hAnsi="Montserrat"/>
        <w:b/>
        <w:bCs/>
        <w:color w:val="000000" w:themeColor="text1"/>
        <w:sz w:val="20"/>
        <w:szCs w:val="20"/>
      </w:rPr>
      <w:t>2</w:t>
    </w:r>
    <w:r w:rsidRPr="00F76952">
      <w:rPr>
        <w:rFonts w:ascii="Montserrat" w:hAnsi="Montserrat"/>
        <w:b/>
        <w:bCs/>
        <w:color w:val="000000" w:themeColor="text1"/>
        <w:sz w:val="20"/>
        <w:szCs w:val="20"/>
      </w:rPr>
      <w:fldChar w:fldCharType="end"/>
    </w:r>
    <w:r w:rsidRPr="00F76952">
      <w:rPr>
        <w:rFonts w:ascii="Montserrat" w:hAnsi="Montserrat"/>
        <w:b/>
        <w:bCs/>
        <w:color w:val="000000" w:themeColor="text1"/>
        <w:sz w:val="20"/>
        <w:szCs w:val="20"/>
      </w:rPr>
      <w:t xml:space="preserve"> de </w:t>
    </w:r>
    <w:r w:rsidRPr="00F76952">
      <w:rPr>
        <w:rFonts w:ascii="Montserrat" w:hAnsi="Montserrat"/>
        <w:b/>
        <w:bCs/>
        <w:color w:val="000000" w:themeColor="text1"/>
        <w:sz w:val="20"/>
        <w:szCs w:val="20"/>
      </w:rPr>
      <w:fldChar w:fldCharType="begin"/>
    </w:r>
    <w:r w:rsidRPr="00F76952">
      <w:rPr>
        <w:rFonts w:ascii="Montserrat" w:hAnsi="Montserrat"/>
        <w:b/>
        <w:bCs/>
        <w:color w:val="000000" w:themeColor="text1"/>
        <w:sz w:val="20"/>
        <w:szCs w:val="20"/>
      </w:rPr>
      <w:instrText>NUMPAGES  \* Arabic  \* MERGEFORMAT</w:instrText>
    </w:r>
    <w:r w:rsidRPr="00F76952">
      <w:rPr>
        <w:rFonts w:ascii="Montserrat" w:hAnsi="Montserrat"/>
        <w:b/>
        <w:bCs/>
        <w:color w:val="000000" w:themeColor="text1"/>
        <w:sz w:val="20"/>
        <w:szCs w:val="20"/>
      </w:rPr>
      <w:fldChar w:fldCharType="separate"/>
    </w:r>
    <w:r w:rsidRPr="00F76952">
      <w:rPr>
        <w:rFonts w:ascii="Montserrat" w:hAnsi="Montserrat"/>
        <w:b/>
        <w:bCs/>
        <w:color w:val="000000" w:themeColor="text1"/>
        <w:sz w:val="20"/>
        <w:szCs w:val="20"/>
      </w:rPr>
      <w:t>2</w:t>
    </w:r>
    <w:r w:rsidRPr="00F76952">
      <w:rPr>
        <w:rFonts w:ascii="Montserrat" w:hAnsi="Montserrat"/>
        <w:b/>
        <w:bCs/>
        <w:color w:val="000000" w:themeColor="text1"/>
        <w:sz w:val="20"/>
        <w:szCs w:val="20"/>
      </w:rPr>
      <w:fldChar w:fldCharType="end"/>
    </w:r>
  </w:p>
  <w:p w14:paraId="203DAA93" w14:textId="77777777" w:rsidR="00F76952" w:rsidRDefault="00F769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5F1AE" w14:textId="77777777" w:rsidR="00770B34" w:rsidRDefault="00770B34" w:rsidP="00084273">
      <w:r>
        <w:separator/>
      </w:r>
    </w:p>
  </w:footnote>
  <w:footnote w:type="continuationSeparator" w:id="0">
    <w:p w14:paraId="013506C4" w14:textId="77777777" w:rsidR="00770B34" w:rsidRDefault="00770B34" w:rsidP="00084273">
      <w:r>
        <w:continuationSeparator/>
      </w:r>
    </w:p>
  </w:footnote>
  <w:footnote w:id="1">
    <w:p w14:paraId="45B288A6" w14:textId="77777777" w:rsidR="00546F73" w:rsidRPr="008071BF" w:rsidRDefault="00546F73" w:rsidP="008071BF">
      <w:pPr>
        <w:pStyle w:val="Textonotapie"/>
        <w:jc w:val="both"/>
        <w:rPr>
          <w:rFonts w:ascii="Montserrat" w:hAnsi="Montserrat" w:cs="Times New Roman"/>
          <w:sz w:val="18"/>
          <w:szCs w:val="18"/>
        </w:rPr>
      </w:pPr>
      <w:r w:rsidRPr="008071BF">
        <w:rPr>
          <w:rStyle w:val="Refdenotaalpie"/>
          <w:rFonts w:ascii="Montserrat" w:hAnsi="Montserrat" w:cs="Times New Roman"/>
          <w:sz w:val="18"/>
          <w:szCs w:val="18"/>
        </w:rPr>
        <w:footnoteRef/>
      </w:r>
      <w:r w:rsidRPr="008071BF">
        <w:rPr>
          <w:rFonts w:ascii="Montserrat" w:hAnsi="Montserrat" w:cs="Times New Roman"/>
          <w:sz w:val="18"/>
          <w:szCs w:val="18"/>
        </w:rPr>
        <w:t xml:space="preserve"> Acuerdo por el que se emiten las Reglas de Operación del Programa de Fortalecimiento a la Transversalidad de la Perspectiva de Género para el ejercicio fiscal 2021, publicadas en el Diario Oficial de la Federación el 26 de diciembre de 2020.</w:t>
      </w:r>
    </w:p>
  </w:footnote>
  <w:footnote w:id="2">
    <w:p w14:paraId="6D311448" w14:textId="77777777" w:rsidR="00546F73" w:rsidRPr="008071BF" w:rsidRDefault="00546F73" w:rsidP="008071BF">
      <w:pPr>
        <w:pStyle w:val="Textonotapie"/>
        <w:jc w:val="both"/>
        <w:rPr>
          <w:rFonts w:ascii="Montserrat" w:hAnsi="Montserrat" w:cs="Times New Roman"/>
          <w:sz w:val="18"/>
          <w:szCs w:val="18"/>
        </w:rPr>
      </w:pPr>
      <w:r w:rsidRPr="008071BF">
        <w:rPr>
          <w:rStyle w:val="Refdenotaalpie"/>
          <w:rFonts w:ascii="Montserrat" w:hAnsi="Montserrat" w:cs="Times New Roman"/>
          <w:sz w:val="18"/>
          <w:szCs w:val="18"/>
        </w:rPr>
        <w:footnoteRef/>
      </w:r>
      <w:r w:rsidRPr="008071BF">
        <w:rPr>
          <w:rFonts w:ascii="Montserrat" w:hAnsi="Montserrat" w:cs="Times New Roman"/>
          <w:sz w:val="18"/>
          <w:szCs w:val="18"/>
        </w:rPr>
        <w:t xml:space="preserve"> Considera las personas con discapacidad reportadas como atendidas en 28 entidades federativas, las entidades que no reportaron información fueron: Colima, Michoacán y Tamaulipas, así como Nuevo León que no participó en el PFTPG para el ejercicio fiscal 2021.</w:t>
      </w:r>
    </w:p>
  </w:footnote>
  <w:footnote w:id="3">
    <w:p w14:paraId="0EE3EF0B" w14:textId="77777777" w:rsidR="00546F73" w:rsidRPr="008071BF" w:rsidRDefault="00546F73" w:rsidP="008071BF">
      <w:pPr>
        <w:pStyle w:val="Textonotapie"/>
        <w:jc w:val="both"/>
        <w:rPr>
          <w:rFonts w:ascii="Montserrat" w:hAnsi="Montserrat"/>
          <w:sz w:val="18"/>
          <w:szCs w:val="18"/>
        </w:rPr>
      </w:pPr>
      <w:r w:rsidRPr="008071BF">
        <w:rPr>
          <w:rStyle w:val="Refdenotaalpie"/>
          <w:rFonts w:ascii="Montserrat" w:hAnsi="Montserrat" w:cs="Times New Roman"/>
          <w:sz w:val="18"/>
          <w:szCs w:val="18"/>
        </w:rPr>
        <w:footnoteRef/>
      </w:r>
      <w:r w:rsidRPr="008071BF">
        <w:rPr>
          <w:rFonts w:ascii="Montserrat" w:hAnsi="Montserrat" w:cs="Times New Roman"/>
          <w:sz w:val="18"/>
          <w:szCs w:val="18"/>
        </w:rPr>
        <w:t xml:space="preserve"> Se refiere a personas que no se identifican con una categorización sexual binaria.</w:t>
      </w:r>
    </w:p>
  </w:footnote>
  <w:footnote w:id="4">
    <w:p w14:paraId="613668FB"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1" w:history="1">
        <w:r w:rsidRPr="008071BF">
          <w:rPr>
            <w:rStyle w:val="Hipervnculo"/>
            <w:rFonts w:ascii="Montserrat" w:hAnsi="Montserrat"/>
            <w:sz w:val="18"/>
            <w:szCs w:val="18"/>
          </w:rPr>
          <w:t>https://www.gob.mx/cms/uploads/attachment/file/164222/02ProtocoloAtencionCJM.pdf</w:t>
        </w:r>
      </w:hyperlink>
    </w:p>
  </w:footnote>
  <w:footnote w:id="5">
    <w:p w14:paraId="7F663FB2"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2" w:history="1">
        <w:r w:rsidRPr="008071BF">
          <w:rPr>
            <w:rStyle w:val="Hipervnculo"/>
            <w:rFonts w:ascii="Montserrat" w:hAnsi="Montserrat"/>
            <w:sz w:val="18"/>
            <w:szCs w:val="18"/>
          </w:rPr>
          <w:t>https://www.gob.mx/cms/uploads/attachment/file/63354/cjmlineamientos.pdf</w:t>
        </w:r>
      </w:hyperlink>
    </w:p>
  </w:footnote>
  <w:footnote w:id="6">
    <w:p w14:paraId="10A679B1"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3" w:history="1">
        <w:r w:rsidRPr="008071BF">
          <w:rPr>
            <w:rStyle w:val="Hipervnculo"/>
            <w:rFonts w:ascii="Montserrat" w:hAnsi="Montserrat"/>
            <w:sz w:val="18"/>
            <w:szCs w:val="18"/>
          </w:rPr>
          <w:t>https://www.gob.mx/cms/uploads/attachment/file/139384/3._lineamientosCJMVF21mar2013.pdf</w:t>
        </w:r>
      </w:hyperlink>
    </w:p>
  </w:footnote>
  <w:footnote w:id="7">
    <w:p w14:paraId="5D972FAD"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4" w:history="1">
        <w:r w:rsidRPr="008071BF">
          <w:rPr>
            <w:rStyle w:val="Hipervnculo"/>
            <w:rFonts w:ascii="Montserrat" w:hAnsi="Montserrat"/>
            <w:sz w:val="18"/>
            <w:szCs w:val="18"/>
          </w:rPr>
          <w:t>https://www.gob.mx/cms/uploads/attachment/file/140764/2._Lineamientos_Arquitectonicos_CJM-1.pdf</w:t>
        </w:r>
      </w:hyperlink>
    </w:p>
  </w:footnote>
  <w:footnote w:id="8">
    <w:p w14:paraId="0C0CD86B"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5" w:history="1">
        <w:r w:rsidRPr="008071BF">
          <w:rPr>
            <w:rStyle w:val="Hipervnculo"/>
            <w:rFonts w:ascii="Montserrat" w:hAnsi="Montserrat"/>
            <w:sz w:val="18"/>
            <w:szCs w:val="18"/>
          </w:rPr>
          <w:t>https://www.gob.mx/cms/uploads/attachment/file/696155/Directorio_Cjm_2022.pdf</w:t>
        </w:r>
      </w:hyperlink>
    </w:p>
  </w:footnote>
  <w:footnote w:id="9">
    <w:p w14:paraId="63D728CE" w14:textId="77777777" w:rsidR="004A0D55" w:rsidRPr="008071BF" w:rsidRDefault="004A0D5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hyperlink r:id="rId6" w:history="1">
        <w:r w:rsidRPr="008071BF">
          <w:rPr>
            <w:rStyle w:val="Hipervnculo"/>
            <w:rFonts w:ascii="Montserrat" w:hAnsi="Montserrat"/>
            <w:sz w:val="18"/>
            <w:szCs w:val="18"/>
          </w:rPr>
          <w:t>https://www.gob.mx/cms/uploads/attachment/file/226938/Lineamientos_arquitect_nicos_Refugios_para_mujeres_sus_hijas_e_hijos_RED-2017-1.pdf</w:t>
        </w:r>
      </w:hyperlink>
    </w:p>
  </w:footnote>
  <w:footnote w:id="10">
    <w:p w14:paraId="62C6013B" w14:textId="77777777" w:rsidR="00C87859" w:rsidRPr="008071BF" w:rsidRDefault="00C87859"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Resuelto el 13 de marzo de 2019.</w:t>
      </w:r>
    </w:p>
  </w:footnote>
  <w:footnote w:id="11">
    <w:p w14:paraId="612A0EDF" w14:textId="77777777" w:rsidR="00C87859" w:rsidRPr="008071BF" w:rsidRDefault="00C87859"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Resuelto el 8 de mayo de 2019.</w:t>
      </w:r>
    </w:p>
  </w:footnote>
  <w:footnote w:id="12">
    <w:p w14:paraId="25896412" w14:textId="77777777" w:rsidR="00C87859" w:rsidRPr="008071BF" w:rsidRDefault="00C87859"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Resuelto el 11 de septiembre de 2019.</w:t>
      </w:r>
    </w:p>
  </w:footnote>
  <w:footnote w:id="13">
    <w:p w14:paraId="22D0BEF6" w14:textId="77777777" w:rsidR="00C87859" w:rsidRPr="008071BF" w:rsidRDefault="00C87859"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Resuelto el 20 de mayo de 2020.</w:t>
      </w:r>
    </w:p>
  </w:footnote>
  <w:footnote w:id="14">
    <w:p w14:paraId="3D3AB497" w14:textId="77777777" w:rsidR="00C87859" w:rsidRPr="008071BF" w:rsidRDefault="00C87859"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Resuelto el 16 de junio de 2021.</w:t>
      </w:r>
    </w:p>
  </w:footnote>
  <w:footnote w:id="15">
    <w:p w14:paraId="38B6D403" w14:textId="77777777" w:rsidR="002F484D" w:rsidRPr="008071BF" w:rsidRDefault="002F484D"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Información disponible en https://www.coneval.org.mx/Medicion/Paginas/Sistema-de-informacion-de-derechos-sociales.aspx</w:t>
      </w:r>
    </w:p>
  </w:footnote>
  <w:footnote w:id="16">
    <w:p w14:paraId="696EBF8D" w14:textId="77777777" w:rsidR="001436E8" w:rsidRPr="008071BF" w:rsidRDefault="001436E8"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http://www.diputados.gob.mx/LeyesBiblio/pdf/LGS.pdf</w:t>
      </w:r>
    </w:p>
  </w:footnote>
  <w:footnote w:id="17">
    <w:p w14:paraId="58B767F3" w14:textId="77777777" w:rsidR="001436E8" w:rsidRPr="008071BF" w:rsidRDefault="001436E8"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http://www.diputados.gob.mx/LeyesBiblio/pdf/LGIPD_120718.pdf?msclkid=7710193ca7c011ecb3f90506dcf4e646</w:t>
      </w:r>
    </w:p>
  </w:footnote>
  <w:footnote w:id="18">
    <w:p w14:paraId="0F1BCC6B" w14:textId="77777777" w:rsidR="001436E8" w:rsidRPr="008071BF" w:rsidRDefault="001436E8"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https://www.gob.mx/cms/uploads/attachment/file/455637/cartilla_dsdrpd_folleto.pdf</w:t>
      </w:r>
    </w:p>
  </w:footnote>
  <w:footnote w:id="19">
    <w:p w14:paraId="387DD101" w14:textId="77777777" w:rsidR="001436E8" w:rsidRPr="008071BF" w:rsidRDefault="001436E8"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https://www.gob.mx/cms/uploads/attachment/file/628825/Resumen_ejecutivo_Derechos_sexuales_version_digital_con_ISBN_y_ano_de_edicion.pdf</w:t>
      </w:r>
    </w:p>
  </w:footnote>
  <w:footnote w:id="20">
    <w:p w14:paraId="742855EC" w14:textId="77777777" w:rsidR="00A730C7" w:rsidRPr="008071BF" w:rsidRDefault="00A730C7"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Norma Mexicana para la Igualdad Laboral y no Discriminación, https://www.gob.mx/inmujeres/acciones-y-programas/norma-mexicana-nmx-r-025-scfi-2015-en-igualdad-laboral-y-no-discriminacion</w:t>
      </w:r>
    </w:p>
  </w:footnote>
  <w:footnote w:id="21">
    <w:p w14:paraId="74E16D72" w14:textId="77777777"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http://dof.gob.mx/nota_detalle.php?codigo=5609365&amp;fecha=31%2f12%2f2020&amp;msclkid=8e3eb55fa94411ec87670c2654f48ebf</w:t>
      </w:r>
    </w:p>
  </w:footnote>
  <w:footnote w:id="22">
    <w:p w14:paraId="0730A39B" w14:textId="77777777"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https://www.bmj.com/content/364/bmj.l962</w:t>
      </w:r>
    </w:p>
  </w:footnote>
  <w:footnote w:id="23">
    <w:p w14:paraId="70012814" w14:textId="77777777"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https://www.gob.mx/semarnat/articulos/es-tiempo-de-frenar-o-de-plaguicidas-de-alta-peligrosidad-que-contaminan-agua-suelos-y-aire?msclkid=a9b30050a94611ec876f3388c10a0521</w:t>
      </w:r>
    </w:p>
  </w:footnote>
  <w:footnote w:id="24">
    <w:p w14:paraId="776B7EFF" w14:textId="364BF23E"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7" w:history="1">
        <w:r w:rsidR="00DE0393" w:rsidRPr="00D3707A">
          <w:rPr>
            <w:rStyle w:val="Hipervnculo"/>
            <w:rFonts w:ascii="Montserrat" w:hAnsi="Montserrat"/>
            <w:sz w:val="18"/>
            <w:szCs w:val="18"/>
          </w:rPr>
          <w:t>https://www.gob.mx/cms/uploads/attachment/file/10543/sem12.pdf?msclkid=c7af4dc2a94e11ec953a2faae620d773</w:t>
        </w:r>
      </w:hyperlink>
      <w:r w:rsidR="00DE0393">
        <w:rPr>
          <w:rFonts w:ascii="Montserrat" w:hAnsi="Montserrat"/>
          <w:sz w:val="18"/>
          <w:szCs w:val="18"/>
        </w:rPr>
        <w:t xml:space="preserve"> </w:t>
      </w:r>
    </w:p>
  </w:footnote>
  <w:footnote w:id="25">
    <w:p w14:paraId="71F40707" w14:textId="38FF2195"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8" w:history="1">
        <w:r w:rsidR="00DE0393" w:rsidRPr="00D3707A">
          <w:rPr>
            <w:rStyle w:val="Hipervnculo"/>
            <w:rFonts w:ascii="Montserrat" w:hAnsi="Montserrat"/>
            <w:sz w:val="18"/>
            <w:szCs w:val="18"/>
          </w:rPr>
          <w:t>http://www.diputados.gob.mx/LeyesBiblio/pdf/LGAPPCEA_270516.pdf?msclkid=fbaec4a9a94611ec90b6432d98d3d366</w:t>
        </w:r>
      </w:hyperlink>
      <w:r w:rsidR="00DE0393">
        <w:rPr>
          <w:rFonts w:ascii="Montserrat" w:hAnsi="Montserrat"/>
          <w:sz w:val="18"/>
          <w:szCs w:val="18"/>
        </w:rPr>
        <w:t xml:space="preserve"> </w:t>
      </w:r>
    </w:p>
  </w:footnote>
  <w:footnote w:id="26">
    <w:p w14:paraId="39BE8444" w14:textId="2A36C859"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9" w:history="1">
        <w:r w:rsidR="00DE0393" w:rsidRPr="00D3707A">
          <w:rPr>
            <w:rStyle w:val="Hipervnculo"/>
            <w:rFonts w:ascii="Montserrat" w:hAnsi="Montserrat"/>
            <w:sz w:val="18"/>
            <w:szCs w:val="18"/>
          </w:rPr>
          <w:t>https://www.gob.mx/cms/uploads/attachment/file/452956/8._Trastornos_Generalizados_del_Desarrollo.pdf</w:t>
        </w:r>
      </w:hyperlink>
      <w:r w:rsidR="00DE0393">
        <w:rPr>
          <w:rFonts w:ascii="Montserrat" w:hAnsi="Montserrat"/>
          <w:sz w:val="18"/>
          <w:szCs w:val="18"/>
        </w:rPr>
        <w:t xml:space="preserve"> </w:t>
      </w:r>
    </w:p>
  </w:footnote>
  <w:footnote w:id="27">
    <w:p w14:paraId="5CE4EDC2" w14:textId="70166FE9"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10" w:history="1">
        <w:r w:rsidR="00DE0393" w:rsidRPr="00D3707A">
          <w:rPr>
            <w:rStyle w:val="Hipervnculo"/>
            <w:rFonts w:ascii="Montserrat" w:hAnsi="Montserrat"/>
            <w:sz w:val="18"/>
            <w:szCs w:val="18"/>
          </w:rPr>
          <w:t>https://pubmed.ncbi.nlm.nih.gov/26797939/</w:t>
        </w:r>
      </w:hyperlink>
      <w:r w:rsidR="00DE0393">
        <w:rPr>
          <w:rFonts w:ascii="Montserrat" w:hAnsi="Montserrat"/>
          <w:sz w:val="18"/>
          <w:szCs w:val="18"/>
        </w:rPr>
        <w:t xml:space="preserve"> </w:t>
      </w:r>
    </w:p>
  </w:footnote>
  <w:footnote w:id="28">
    <w:p w14:paraId="55820923" w14:textId="57FF2517" w:rsidR="00FC5F45" w:rsidRPr="008071BF" w:rsidRDefault="00FC5F45"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w:t>
      </w:r>
      <w:hyperlink r:id="rId11" w:history="1">
        <w:r w:rsidR="00DE0393" w:rsidRPr="00D3707A">
          <w:rPr>
            <w:rStyle w:val="Hipervnculo"/>
            <w:rFonts w:ascii="Montserrat" w:hAnsi="Montserrat"/>
            <w:sz w:val="18"/>
            <w:szCs w:val="18"/>
          </w:rPr>
          <w:t>https://iris.paho.org/handle/10665.2/34071?msclkid=b212d9dca94811ecbce9febe7522d4e5</w:t>
        </w:r>
      </w:hyperlink>
      <w:r w:rsidR="00DE0393">
        <w:rPr>
          <w:rFonts w:ascii="Montserrat" w:hAnsi="Montserrat"/>
          <w:sz w:val="18"/>
          <w:szCs w:val="18"/>
        </w:rPr>
        <w:t xml:space="preserve"> </w:t>
      </w:r>
    </w:p>
  </w:footnote>
  <w:footnote w:id="29">
    <w:p w14:paraId="66109D3A" w14:textId="77777777" w:rsidR="002B386F" w:rsidRPr="008071BF" w:rsidRDefault="002B386F" w:rsidP="008071BF">
      <w:pPr>
        <w:pStyle w:val="Textonotapie"/>
        <w:jc w:val="both"/>
        <w:rPr>
          <w:rFonts w:ascii="Montserrat" w:eastAsiaTheme="minorEastAsia" w:hAnsi="Montserrat"/>
          <w:sz w:val="18"/>
          <w:szCs w:val="18"/>
          <w:lang w:eastAsia="es-ES"/>
        </w:rPr>
      </w:pPr>
      <w:r w:rsidRPr="008071BF">
        <w:rPr>
          <w:rStyle w:val="Refdenotaalpie"/>
          <w:rFonts w:ascii="Montserrat" w:hAnsi="Montserrat"/>
          <w:sz w:val="18"/>
          <w:szCs w:val="18"/>
        </w:rPr>
        <w:footnoteRef/>
      </w:r>
      <w:r w:rsidRPr="008071BF">
        <w:rPr>
          <w:rFonts w:ascii="Montserrat" w:hAnsi="Montserrat"/>
          <w:sz w:val="18"/>
          <w:szCs w:val="18"/>
        </w:rPr>
        <w:t xml:space="preserve"> </w:t>
      </w:r>
      <w:r w:rsidRPr="008071BF">
        <w:rPr>
          <w:rFonts w:ascii="Montserrat" w:hAnsi="Montserrat"/>
          <w:sz w:val="18"/>
          <w:szCs w:val="18"/>
        </w:rPr>
        <w:t xml:space="preserve">Ver: </w:t>
      </w:r>
      <w:hyperlink r:id="rId12" w:history="1">
        <w:r w:rsidRPr="008071BF">
          <w:rPr>
            <w:rStyle w:val="Hipervnculo"/>
            <w:rFonts w:ascii="Montserrat" w:hAnsi="Montserrat"/>
            <w:sz w:val="18"/>
            <w:szCs w:val="18"/>
          </w:rPr>
          <w:t>https://dof.gob.mx/nota_detalle.php?codigo=5638256&amp;fecha=14/12/2021</w:t>
        </w:r>
      </w:hyperlink>
      <w:r w:rsidRPr="008071BF">
        <w:rPr>
          <w:rFonts w:ascii="Montserrat" w:hAnsi="Montserrat"/>
          <w:sz w:val="18"/>
          <w:szCs w:val="18"/>
        </w:rPr>
        <w:t xml:space="preserve"> </w:t>
      </w:r>
    </w:p>
  </w:footnote>
  <w:footnote w:id="30">
    <w:p w14:paraId="266CB208" w14:textId="77777777" w:rsidR="002B386F" w:rsidRPr="008071BF" w:rsidRDefault="002B386F" w:rsidP="008071BF">
      <w:pPr>
        <w:pStyle w:val="Textonotapie"/>
        <w:jc w:val="both"/>
        <w:rPr>
          <w:rFonts w:ascii="Montserrat" w:hAnsi="Montserrat"/>
          <w:sz w:val="18"/>
          <w:szCs w:val="18"/>
        </w:rPr>
      </w:pPr>
      <w:r w:rsidRPr="008071BF">
        <w:rPr>
          <w:rStyle w:val="Refdenotaalpie"/>
          <w:rFonts w:ascii="Montserrat" w:hAnsi="Montserrat"/>
          <w:sz w:val="18"/>
          <w:szCs w:val="18"/>
        </w:rPr>
        <w:footnoteRef/>
      </w:r>
      <w:r w:rsidRPr="008071BF">
        <w:rPr>
          <w:rFonts w:ascii="Montserrat" w:hAnsi="Montserrat"/>
          <w:sz w:val="18"/>
          <w:szCs w:val="18"/>
        </w:rPr>
        <w:t xml:space="preserve"> Grupo de Trabajo sobre la cuestión de los derechos humanos y las empresas transnacionales y otras empresas, Punto 81 y Recomendación 108 inciso t), Informe del Grupo de Trabajo sobre la cuestión de los derechos humanos y las empresas transnacionales y otras empresas acerca de su misión a México, Documento A/HRC/35/32/Add.2, 27 de abril de 2017. Disponible en </w:t>
      </w:r>
      <w:hyperlink r:id="rId13" w:history="1">
        <w:r w:rsidRPr="008071BF">
          <w:rPr>
            <w:rStyle w:val="Hipervnculo"/>
            <w:rFonts w:ascii="Montserrat" w:hAnsi="Montserrat"/>
            <w:sz w:val="18"/>
            <w:szCs w:val="18"/>
          </w:rPr>
          <w:t>http://www.hchr.org.mx/images/doc_pub/G1710193.pdf</w:t>
        </w:r>
      </w:hyperlink>
      <w:r w:rsidRPr="008071BF">
        <w:rPr>
          <w:rFonts w:ascii="Montserrat" w:hAnsi="Montserrat"/>
          <w:sz w:val="18"/>
          <w:szCs w:val="18"/>
        </w:rPr>
        <w:t xml:space="preserve">. </w:t>
      </w:r>
    </w:p>
    <w:p w14:paraId="32F6AF54" w14:textId="77777777" w:rsidR="002B386F" w:rsidRPr="006C2233" w:rsidRDefault="002B386F" w:rsidP="002B386F">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40B4" w14:textId="6275582C" w:rsidR="00831D57" w:rsidRDefault="00831D57">
    <w:pPr>
      <w:pStyle w:val="Encabezado"/>
    </w:pPr>
    <w:r w:rsidRPr="00EA0E65">
      <w:rPr>
        <w:rFonts w:ascii="Montserrat" w:hAnsi="Montserrat"/>
        <w:noProof/>
        <w:bdr w:val="none" w:sz="0" w:space="0" w:color="auto" w:frame="1"/>
      </w:rPr>
      <w:drawing>
        <wp:anchor distT="0" distB="0" distL="114300" distR="114300" simplePos="0" relativeHeight="251659264" behindDoc="0" locked="0" layoutInCell="1" allowOverlap="1" wp14:anchorId="4AC46FD1" wp14:editId="0716DD6B">
          <wp:simplePos x="0" y="0"/>
          <wp:positionH relativeFrom="margin">
            <wp:posOffset>0</wp:posOffset>
          </wp:positionH>
          <wp:positionV relativeFrom="margin">
            <wp:posOffset>-565060</wp:posOffset>
          </wp:positionV>
          <wp:extent cx="3269459" cy="457200"/>
          <wp:effectExtent l="0" t="0" r="0" b="0"/>
          <wp:wrapSquare wrapText="bothSides"/>
          <wp:docPr id="13" name="Imagen 13" descr="D:\Users\gguzmang\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gguzmang\Desktop\logo.jpg"/>
                  <pic:cNvPicPr>
                    <a:picLocks noChangeAspect="1" noChangeArrowheads="1"/>
                  </pic:cNvPicPr>
                </pic:nvPicPr>
                <pic:blipFill rotWithShape="1">
                  <a:blip r:embed="rId1">
                    <a:extLst>
                      <a:ext uri="{28A0092B-C50C-407E-A947-70E740481C1C}">
                        <a14:useLocalDpi xmlns:a14="http://schemas.microsoft.com/office/drawing/2010/main" val="0"/>
                      </a:ext>
                    </a:extLst>
                  </a:blip>
                  <a:srcRect t="15120" r="34522" b="25718"/>
                  <a:stretch/>
                </pic:blipFill>
                <pic:spPr bwMode="auto">
                  <a:xfrm>
                    <a:off x="0" y="0"/>
                    <a:ext cx="3269459" cy="457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1E8"/>
    <w:multiLevelType w:val="hybridMultilevel"/>
    <w:tmpl w:val="CDAE12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856093C"/>
    <w:multiLevelType w:val="multilevel"/>
    <w:tmpl w:val="B2A4CDB0"/>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3F2C8A"/>
    <w:multiLevelType w:val="hybridMultilevel"/>
    <w:tmpl w:val="DDB037D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C907198"/>
    <w:multiLevelType w:val="hybridMultilevel"/>
    <w:tmpl w:val="E488CE14"/>
    <w:lvl w:ilvl="0" w:tplc="040A0001">
      <w:start w:val="1"/>
      <w:numFmt w:val="bullet"/>
      <w:lvlText w:val=""/>
      <w:lvlJc w:val="left"/>
      <w:pPr>
        <w:ind w:left="720" w:hanging="360"/>
      </w:pPr>
      <w:rPr>
        <w:rFonts w:ascii="Symbol" w:hAnsi="Symbol" w:hint="default"/>
      </w:rPr>
    </w:lvl>
    <w:lvl w:ilvl="1" w:tplc="D1FAF594">
      <w:start w:val="2"/>
      <w:numFmt w:val="bullet"/>
      <w:lvlText w:val="•"/>
      <w:lvlJc w:val="left"/>
      <w:pPr>
        <w:ind w:left="1800" w:hanging="720"/>
      </w:pPr>
      <w:rPr>
        <w:rFonts w:ascii="Times New Roman" w:eastAsia="Times New Roman" w:hAnsi="Times New Roman" w:cs="Times New Roman"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CFB07E9"/>
    <w:multiLevelType w:val="hybridMultilevel"/>
    <w:tmpl w:val="66BA4C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EFD1782"/>
    <w:multiLevelType w:val="hybridMultilevel"/>
    <w:tmpl w:val="35F68CE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F122B3D"/>
    <w:multiLevelType w:val="hybridMultilevel"/>
    <w:tmpl w:val="F7B230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2A4258E"/>
    <w:multiLevelType w:val="hybridMultilevel"/>
    <w:tmpl w:val="E6807E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65E1D60"/>
    <w:multiLevelType w:val="multilevel"/>
    <w:tmpl w:val="65D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E362C0"/>
    <w:multiLevelType w:val="multilevel"/>
    <w:tmpl w:val="C25827AC"/>
    <w:lvl w:ilvl="0">
      <w:start w:val="1"/>
      <w:numFmt w:val="decimal"/>
      <w:lvlText w:val="%1."/>
      <w:lvlJc w:val="left"/>
      <w:pPr>
        <w:tabs>
          <w:tab w:val="num" w:pos="720"/>
        </w:tabs>
        <w:ind w:left="720" w:hanging="360"/>
      </w:pPr>
      <w:rPr>
        <w:rFonts w:ascii="Montserrat" w:hAnsi="Montserrat"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A845CF"/>
    <w:multiLevelType w:val="hybridMultilevel"/>
    <w:tmpl w:val="99E68A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EE54D61"/>
    <w:multiLevelType w:val="hybridMultilevel"/>
    <w:tmpl w:val="C5DE546A"/>
    <w:lvl w:ilvl="0" w:tplc="0E30B644">
      <w:numFmt w:val="bullet"/>
      <w:lvlText w:val=""/>
      <w:lvlJc w:val="left"/>
      <w:pPr>
        <w:ind w:left="720" w:hanging="360"/>
      </w:pPr>
      <w:rPr>
        <w:rFonts w:ascii="Symbol" w:eastAsia="Times New Roman" w:hAnsi="Symbol" w:cs="Calibr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1641772"/>
    <w:multiLevelType w:val="hybridMultilevel"/>
    <w:tmpl w:val="4AB2F5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28B4D18"/>
    <w:multiLevelType w:val="hybridMultilevel"/>
    <w:tmpl w:val="8AC418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61D2C75"/>
    <w:multiLevelType w:val="hybridMultilevel"/>
    <w:tmpl w:val="A0DA646E"/>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39372C91"/>
    <w:multiLevelType w:val="hybridMultilevel"/>
    <w:tmpl w:val="D2C0D158"/>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3DB17F3F"/>
    <w:multiLevelType w:val="hybridMultilevel"/>
    <w:tmpl w:val="F4447FF4"/>
    <w:lvl w:ilvl="0" w:tplc="0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182C47"/>
    <w:multiLevelType w:val="hybridMultilevel"/>
    <w:tmpl w:val="C4C67F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2562008"/>
    <w:multiLevelType w:val="hybridMultilevel"/>
    <w:tmpl w:val="F82AEA0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BF3771E"/>
    <w:multiLevelType w:val="hybridMultilevel"/>
    <w:tmpl w:val="9650ED80"/>
    <w:lvl w:ilvl="0" w:tplc="A6E4F72A">
      <w:start w:val="1"/>
      <w:numFmt w:val="decimal"/>
      <w:lvlText w:val="%1."/>
      <w:lvlJc w:val="left"/>
      <w:pPr>
        <w:ind w:left="2140" w:hanging="700"/>
      </w:pPr>
      <w:rPr>
        <w:rFonts w:hint="default"/>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0" w15:restartNumberingAfterBreak="0">
    <w:nsid w:val="500A5C99"/>
    <w:multiLevelType w:val="hybridMultilevel"/>
    <w:tmpl w:val="4986E71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1" w15:restartNumberingAfterBreak="0">
    <w:nsid w:val="510F68F9"/>
    <w:multiLevelType w:val="hybridMultilevel"/>
    <w:tmpl w:val="93B60F98"/>
    <w:lvl w:ilvl="0" w:tplc="C07CCBF8">
      <w:start w:val="1"/>
      <w:numFmt w:val="decimal"/>
      <w:lvlText w:val="%1."/>
      <w:lvlJc w:val="left"/>
      <w:pPr>
        <w:ind w:left="2060" w:hanging="620"/>
      </w:pPr>
      <w:rPr>
        <w:rFonts w:hint="default"/>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2" w15:restartNumberingAfterBreak="0">
    <w:nsid w:val="585E557C"/>
    <w:multiLevelType w:val="hybridMultilevel"/>
    <w:tmpl w:val="608E847E"/>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5C190178"/>
    <w:multiLevelType w:val="hybridMultilevel"/>
    <w:tmpl w:val="090C6CA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D972AFD"/>
    <w:multiLevelType w:val="hybridMultilevel"/>
    <w:tmpl w:val="A19E9198"/>
    <w:lvl w:ilvl="0" w:tplc="FCE80128">
      <w:start w:val="1"/>
      <w:numFmt w:val="bullet"/>
      <w:lvlText w:val=""/>
      <w:lvlJc w:val="left"/>
      <w:pPr>
        <w:ind w:left="1428" w:hanging="360"/>
      </w:pPr>
      <w:rPr>
        <w:rFonts w:ascii="Symbol" w:hAnsi="Symbol" w:hint="default"/>
        <w:color w:val="000000" w:themeColor="text1"/>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5" w15:restartNumberingAfterBreak="0">
    <w:nsid w:val="5DE434D3"/>
    <w:multiLevelType w:val="hybridMultilevel"/>
    <w:tmpl w:val="99500610"/>
    <w:lvl w:ilvl="0" w:tplc="0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0B67404"/>
    <w:multiLevelType w:val="hybridMultilevel"/>
    <w:tmpl w:val="33CA46BE"/>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69A938CB"/>
    <w:multiLevelType w:val="hybridMultilevel"/>
    <w:tmpl w:val="13E81F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A97721B"/>
    <w:multiLevelType w:val="hybridMultilevel"/>
    <w:tmpl w:val="6BC6F410"/>
    <w:lvl w:ilvl="0" w:tplc="9F483790">
      <w:start w:val="1"/>
      <w:numFmt w:val="lowerLetter"/>
      <w:lvlText w:val="%1."/>
      <w:lvlJc w:val="left"/>
      <w:pPr>
        <w:ind w:left="1440" w:hanging="360"/>
      </w:pPr>
      <w:rPr>
        <w:b/>
        <w:bCs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B122CD"/>
    <w:multiLevelType w:val="hybridMultilevel"/>
    <w:tmpl w:val="BBCE7462"/>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74A10552"/>
    <w:multiLevelType w:val="hybridMultilevel"/>
    <w:tmpl w:val="798EAA40"/>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7"/>
  </w:num>
  <w:num w:numId="4">
    <w:abstractNumId w:val="4"/>
  </w:num>
  <w:num w:numId="5">
    <w:abstractNumId w:val="17"/>
  </w:num>
  <w:num w:numId="6">
    <w:abstractNumId w:val="23"/>
  </w:num>
  <w:num w:numId="7">
    <w:abstractNumId w:val="10"/>
  </w:num>
  <w:num w:numId="8">
    <w:abstractNumId w:val="5"/>
  </w:num>
  <w:num w:numId="9">
    <w:abstractNumId w:val="13"/>
  </w:num>
  <w:num w:numId="10">
    <w:abstractNumId w:val="24"/>
  </w:num>
  <w:num w:numId="11">
    <w:abstractNumId w:val="22"/>
  </w:num>
  <w:num w:numId="12">
    <w:abstractNumId w:val="28"/>
  </w:num>
  <w:num w:numId="13">
    <w:abstractNumId w:val="0"/>
  </w:num>
  <w:num w:numId="14">
    <w:abstractNumId w:val="2"/>
  </w:num>
  <w:num w:numId="15">
    <w:abstractNumId w:val="18"/>
  </w:num>
  <w:num w:numId="16">
    <w:abstractNumId w:val="12"/>
  </w:num>
  <w:num w:numId="17">
    <w:abstractNumId w:val="8"/>
  </w:num>
  <w:num w:numId="18">
    <w:abstractNumId w:val="9"/>
  </w:num>
  <w:num w:numId="19">
    <w:abstractNumId w:val="3"/>
  </w:num>
  <w:num w:numId="20">
    <w:abstractNumId w:val="21"/>
  </w:num>
  <w:num w:numId="21">
    <w:abstractNumId w:val="19"/>
  </w:num>
  <w:num w:numId="22">
    <w:abstractNumId w:val="27"/>
  </w:num>
  <w:num w:numId="23">
    <w:abstractNumId w:val="20"/>
  </w:num>
  <w:num w:numId="24">
    <w:abstractNumId w:val="11"/>
  </w:num>
  <w:num w:numId="25">
    <w:abstractNumId w:val="26"/>
  </w:num>
  <w:num w:numId="26">
    <w:abstractNumId w:val="29"/>
  </w:num>
  <w:num w:numId="27">
    <w:abstractNumId w:val="25"/>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30"/>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D0B"/>
    <w:rsid w:val="00003A4F"/>
    <w:rsid w:val="00010316"/>
    <w:rsid w:val="00023A18"/>
    <w:rsid w:val="000542F1"/>
    <w:rsid w:val="00084273"/>
    <w:rsid w:val="00085180"/>
    <w:rsid w:val="000A6C0C"/>
    <w:rsid w:val="000C4800"/>
    <w:rsid w:val="000E3108"/>
    <w:rsid w:val="000F0842"/>
    <w:rsid w:val="000F3525"/>
    <w:rsid w:val="000F3CE7"/>
    <w:rsid w:val="001307FD"/>
    <w:rsid w:val="001436E8"/>
    <w:rsid w:val="00183B5C"/>
    <w:rsid w:val="00185DFC"/>
    <w:rsid w:val="00185E66"/>
    <w:rsid w:val="0019231F"/>
    <w:rsid w:val="001A7688"/>
    <w:rsid w:val="001B1B65"/>
    <w:rsid w:val="001E1E86"/>
    <w:rsid w:val="001E41D3"/>
    <w:rsid w:val="001E6437"/>
    <w:rsid w:val="002175C9"/>
    <w:rsid w:val="002530A5"/>
    <w:rsid w:val="0027080E"/>
    <w:rsid w:val="002837A4"/>
    <w:rsid w:val="002B386F"/>
    <w:rsid w:val="002B7ED4"/>
    <w:rsid w:val="002C126C"/>
    <w:rsid w:val="002F484D"/>
    <w:rsid w:val="00305A2E"/>
    <w:rsid w:val="003238C1"/>
    <w:rsid w:val="003276DF"/>
    <w:rsid w:val="003536F5"/>
    <w:rsid w:val="003A1961"/>
    <w:rsid w:val="003C129E"/>
    <w:rsid w:val="003D39C9"/>
    <w:rsid w:val="003E27B1"/>
    <w:rsid w:val="003F7940"/>
    <w:rsid w:val="00405462"/>
    <w:rsid w:val="00407A96"/>
    <w:rsid w:val="004136E3"/>
    <w:rsid w:val="00443676"/>
    <w:rsid w:val="0046636A"/>
    <w:rsid w:val="00483B92"/>
    <w:rsid w:val="004A0D55"/>
    <w:rsid w:val="004C2F5E"/>
    <w:rsid w:val="004C3F35"/>
    <w:rsid w:val="004C7BFB"/>
    <w:rsid w:val="004D39C9"/>
    <w:rsid w:val="004D7164"/>
    <w:rsid w:val="004E254B"/>
    <w:rsid w:val="00535C58"/>
    <w:rsid w:val="00545202"/>
    <w:rsid w:val="00546F73"/>
    <w:rsid w:val="0057795D"/>
    <w:rsid w:val="005B169D"/>
    <w:rsid w:val="005C2038"/>
    <w:rsid w:val="005F387E"/>
    <w:rsid w:val="00631DE4"/>
    <w:rsid w:val="00640805"/>
    <w:rsid w:val="00644596"/>
    <w:rsid w:val="00645EC4"/>
    <w:rsid w:val="00653722"/>
    <w:rsid w:val="00653D31"/>
    <w:rsid w:val="006615E0"/>
    <w:rsid w:val="0067584D"/>
    <w:rsid w:val="006804C4"/>
    <w:rsid w:val="006A66F6"/>
    <w:rsid w:val="006C566B"/>
    <w:rsid w:val="006D3E1D"/>
    <w:rsid w:val="006E1030"/>
    <w:rsid w:val="007408BF"/>
    <w:rsid w:val="00770B34"/>
    <w:rsid w:val="007749B2"/>
    <w:rsid w:val="007815D5"/>
    <w:rsid w:val="007A7104"/>
    <w:rsid w:val="007D22AC"/>
    <w:rsid w:val="008071BF"/>
    <w:rsid w:val="00810514"/>
    <w:rsid w:val="00831D57"/>
    <w:rsid w:val="00837CA5"/>
    <w:rsid w:val="00842934"/>
    <w:rsid w:val="00857C2F"/>
    <w:rsid w:val="008602FB"/>
    <w:rsid w:val="00872EC3"/>
    <w:rsid w:val="00884B40"/>
    <w:rsid w:val="00892EC4"/>
    <w:rsid w:val="0089730C"/>
    <w:rsid w:val="008E413F"/>
    <w:rsid w:val="008F2E80"/>
    <w:rsid w:val="00922258"/>
    <w:rsid w:val="00936782"/>
    <w:rsid w:val="00971D0B"/>
    <w:rsid w:val="0098182D"/>
    <w:rsid w:val="009C0698"/>
    <w:rsid w:val="009D0BB6"/>
    <w:rsid w:val="009F2827"/>
    <w:rsid w:val="009F7873"/>
    <w:rsid w:val="00A22794"/>
    <w:rsid w:val="00A43BD9"/>
    <w:rsid w:val="00A460C0"/>
    <w:rsid w:val="00A5156B"/>
    <w:rsid w:val="00A54346"/>
    <w:rsid w:val="00A703F0"/>
    <w:rsid w:val="00A730C7"/>
    <w:rsid w:val="00A73EE9"/>
    <w:rsid w:val="00A92755"/>
    <w:rsid w:val="00AA0E7B"/>
    <w:rsid w:val="00AA2419"/>
    <w:rsid w:val="00AA52EA"/>
    <w:rsid w:val="00AA6DD2"/>
    <w:rsid w:val="00AD1D71"/>
    <w:rsid w:val="00AD6113"/>
    <w:rsid w:val="00AF3C9C"/>
    <w:rsid w:val="00B12B06"/>
    <w:rsid w:val="00B215D9"/>
    <w:rsid w:val="00B36078"/>
    <w:rsid w:val="00B37EC4"/>
    <w:rsid w:val="00B43E6F"/>
    <w:rsid w:val="00B457EC"/>
    <w:rsid w:val="00B478B5"/>
    <w:rsid w:val="00B831A7"/>
    <w:rsid w:val="00BD12C7"/>
    <w:rsid w:val="00BE0A57"/>
    <w:rsid w:val="00C31B9C"/>
    <w:rsid w:val="00C66A64"/>
    <w:rsid w:val="00C816A5"/>
    <w:rsid w:val="00C8205F"/>
    <w:rsid w:val="00C87859"/>
    <w:rsid w:val="00C911FE"/>
    <w:rsid w:val="00CB37C8"/>
    <w:rsid w:val="00CC15E2"/>
    <w:rsid w:val="00CD29AA"/>
    <w:rsid w:val="00CF50EC"/>
    <w:rsid w:val="00CF684D"/>
    <w:rsid w:val="00D123F7"/>
    <w:rsid w:val="00D15318"/>
    <w:rsid w:val="00D22A8C"/>
    <w:rsid w:val="00D52F6D"/>
    <w:rsid w:val="00D56758"/>
    <w:rsid w:val="00DB7223"/>
    <w:rsid w:val="00DC69E8"/>
    <w:rsid w:val="00DC7040"/>
    <w:rsid w:val="00DD6B62"/>
    <w:rsid w:val="00DE0393"/>
    <w:rsid w:val="00E02EEA"/>
    <w:rsid w:val="00E10193"/>
    <w:rsid w:val="00E16643"/>
    <w:rsid w:val="00E211F1"/>
    <w:rsid w:val="00E233D9"/>
    <w:rsid w:val="00E31990"/>
    <w:rsid w:val="00E943D7"/>
    <w:rsid w:val="00EC3B01"/>
    <w:rsid w:val="00EE0982"/>
    <w:rsid w:val="00EF5A8F"/>
    <w:rsid w:val="00EF65A8"/>
    <w:rsid w:val="00F010E8"/>
    <w:rsid w:val="00F20C53"/>
    <w:rsid w:val="00F470F3"/>
    <w:rsid w:val="00F568EF"/>
    <w:rsid w:val="00F67544"/>
    <w:rsid w:val="00F7346D"/>
    <w:rsid w:val="00F76952"/>
    <w:rsid w:val="00F84F08"/>
    <w:rsid w:val="00F96287"/>
    <w:rsid w:val="00FB5064"/>
    <w:rsid w:val="00FC5F45"/>
    <w:rsid w:val="00FC7064"/>
    <w:rsid w:val="00FF1DB4"/>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B8DC1A0"/>
  <w15:chartTrackingRefBased/>
  <w15:docId w15:val="{DD5E00D7-CA0B-2349-A85C-B17BE927D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MX"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B37EC4"/>
    <w:pPr>
      <w:keepNext/>
      <w:keepLines/>
      <w:spacing w:line="259" w:lineRule="auto"/>
      <w:ind w:left="-297" w:hanging="10"/>
      <w:outlineLvl w:val="0"/>
    </w:pPr>
    <w:rPr>
      <w:rFonts w:ascii="Courier New" w:eastAsia="Courier New" w:hAnsi="Courier New" w:cs="Courier New"/>
      <w:color w:val="000000"/>
      <w:sz w:val="5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xwordsection1">
    <w:name w:val="x_xwordsection1"/>
    <w:basedOn w:val="Normal"/>
    <w:rsid w:val="00407A96"/>
    <w:rPr>
      <w:rFonts w:ascii="Calibri" w:eastAsiaTheme="minorHAnsi" w:hAnsi="Calibri" w:cs="Calibri"/>
      <w:sz w:val="22"/>
      <w:szCs w:val="22"/>
      <w:lang w:eastAsia="es-MX"/>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Figuras,DH1,b1"/>
    <w:basedOn w:val="Normal"/>
    <w:link w:val="PrrafodelistaCar"/>
    <w:uiPriority w:val="34"/>
    <w:qFormat/>
    <w:rsid w:val="00003A4F"/>
    <w:pPr>
      <w:ind w:left="720"/>
      <w:contextualSpacing/>
    </w:pPr>
  </w:style>
  <w:style w:type="character" w:styleId="Hipervnculo">
    <w:name w:val="Hyperlink"/>
    <w:basedOn w:val="Fuentedeprrafopredeter"/>
    <w:uiPriority w:val="99"/>
    <w:unhideWhenUsed/>
    <w:rsid w:val="00B12B06"/>
    <w:rPr>
      <w:color w:val="0563C1" w:themeColor="hyperlink"/>
      <w:u w:val="single"/>
    </w:rPr>
  </w:style>
  <w:style w:type="character" w:styleId="Mencinsinresolver">
    <w:name w:val="Unresolved Mention"/>
    <w:basedOn w:val="Fuentedeprrafopredeter"/>
    <w:uiPriority w:val="99"/>
    <w:semiHidden/>
    <w:unhideWhenUsed/>
    <w:rsid w:val="004E254B"/>
    <w:rPr>
      <w:color w:val="605E5C"/>
      <w:shd w:val="clear" w:color="auto" w:fill="E1DFDD"/>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084273"/>
  </w:style>
  <w:style w:type="paragraph" w:styleId="Textonotapie">
    <w:name w:val="footnote text"/>
    <w:aliases w:val="nota,pie,independiente,Letrero,margen,5_G,single space,ft,Footnote Text Char1,Footnote Text Char Char,Footnote Text Char1 Char Char,Footnote Text Char Char Char Char,Footnote Text Char,Footnote Text Char1 Char,Footnote Text Char Char Char"/>
    <w:basedOn w:val="Normal"/>
    <w:link w:val="TextonotapieCar"/>
    <w:uiPriority w:val="99"/>
    <w:unhideWhenUsed/>
    <w:qFormat/>
    <w:rsid w:val="00084273"/>
    <w:rPr>
      <w:rFonts w:eastAsiaTheme="minorHAnsi"/>
      <w:sz w:val="20"/>
      <w:szCs w:val="20"/>
      <w:lang w:eastAsia="en-US"/>
    </w:rPr>
  </w:style>
  <w:style w:type="character" w:customStyle="1" w:styleId="TextonotapieCar">
    <w:name w:val="Texto nota pie Car"/>
    <w:aliases w:val="nota Car,pie Car,independiente Car,Letrero Car,margen Car,5_G Car,single space Car,ft Car,Footnote Text Char1 Car,Footnote Text Char Char Car,Footnote Text Char1 Char Char Car,Footnote Text Char Char Char Char Car"/>
    <w:basedOn w:val="Fuentedeprrafopredeter"/>
    <w:link w:val="Textonotapie"/>
    <w:uiPriority w:val="99"/>
    <w:rsid w:val="00084273"/>
    <w:rPr>
      <w:rFonts w:eastAsiaTheme="minorHAnsi"/>
      <w:sz w:val="20"/>
      <w:szCs w:val="20"/>
      <w:lang w:eastAsia="en-US"/>
    </w:rPr>
  </w:style>
  <w:style w:type="character" w:styleId="Refdenotaalpie">
    <w:name w:val="footnote reference"/>
    <w:aliases w:val="4_G,16 Point,Superscript 6 Point,Texto de nota al pie,Appel note de bas de page,Footnotes refss,f,Texto nota al pie,Footnote number,referencia nota al pie,BVI fnr,Footnote Reference Char3,Footnote Reference Char1 Char,Footnote symbol"/>
    <w:basedOn w:val="Fuentedeprrafopredeter"/>
    <w:link w:val="BVIfnrCar1CarCarCarCar"/>
    <w:uiPriority w:val="99"/>
    <w:unhideWhenUsed/>
    <w:qFormat/>
    <w:rsid w:val="00084273"/>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084273"/>
    <w:pPr>
      <w:spacing w:before="200" w:after="160" w:line="240" w:lineRule="exact"/>
    </w:pPr>
    <w:rPr>
      <w:vertAlign w:val="superscript"/>
    </w:rPr>
  </w:style>
  <w:style w:type="paragraph" w:styleId="Sinespaciado">
    <w:name w:val="No Spacing"/>
    <w:basedOn w:val="Normal"/>
    <w:uiPriority w:val="1"/>
    <w:qFormat/>
    <w:rsid w:val="007749B2"/>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uentedeprrafopredeter"/>
    <w:rsid w:val="007749B2"/>
  </w:style>
  <w:style w:type="table" w:styleId="Tablaconcuadrcula">
    <w:name w:val="Table Grid"/>
    <w:basedOn w:val="Tablanormal"/>
    <w:uiPriority w:val="39"/>
    <w:rsid w:val="00C66A64"/>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66A64"/>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7C2F"/>
    <w:pPr>
      <w:spacing w:before="100" w:beforeAutospacing="1" w:after="100" w:afterAutospacing="1"/>
    </w:pPr>
    <w:rPr>
      <w:rFonts w:ascii="Times New Roman" w:eastAsia="Times New Roman" w:hAnsi="Times New Roman" w:cs="Times New Roman"/>
    </w:rPr>
  </w:style>
  <w:style w:type="paragraph" w:customStyle="1" w:styleId="xmsonormal">
    <w:name w:val="x_msonormal"/>
    <w:basedOn w:val="Normal"/>
    <w:rsid w:val="008602FB"/>
    <w:pPr>
      <w:spacing w:before="100" w:beforeAutospacing="1" w:after="100" w:afterAutospacing="1"/>
    </w:pPr>
    <w:rPr>
      <w:rFonts w:ascii="Times New Roman" w:eastAsia="Times New Roman" w:hAnsi="Times New Roman" w:cs="Times New Roman"/>
    </w:rPr>
  </w:style>
  <w:style w:type="paragraph" w:customStyle="1" w:styleId="xmsolistparagraph">
    <w:name w:val="xmsolistparagraph"/>
    <w:basedOn w:val="Normal"/>
    <w:rsid w:val="003536F5"/>
    <w:pPr>
      <w:spacing w:before="100" w:beforeAutospacing="1" w:after="100" w:afterAutospacing="1"/>
    </w:pPr>
    <w:rPr>
      <w:rFonts w:ascii="Times New Roman" w:eastAsia="Times New Roman" w:hAnsi="Times New Roman" w:cs="Times New Roman"/>
    </w:rPr>
  </w:style>
  <w:style w:type="paragraph" w:customStyle="1" w:styleId="xwordsection1">
    <w:name w:val="xwordsection1"/>
    <w:basedOn w:val="Normal"/>
    <w:rsid w:val="003536F5"/>
    <w:pPr>
      <w:spacing w:before="100" w:beforeAutospacing="1" w:after="100" w:afterAutospacing="1"/>
    </w:pPr>
    <w:rPr>
      <w:rFonts w:ascii="Times New Roman" w:eastAsia="Times New Roman" w:hAnsi="Times New Roman" w:cs="Times New Roman"/>
    </w:rPr>
  </w:style>
  <w:style w:type="paragraph" w:customStyle="1" w:styleId="wordsection1">
    <w:name w:val="wordsection1"/>
    <w:basedOn w:val="Normal"/>
    <w:rsid w:val="003536F5"/>
    <w:pPr>
      <w:spacing w:before="100" w:beforeAutospacing="1" w:after="100" w:afterAutospacing="1"/>
    </w:pPr>
    <w:rPr>
      <w:rFonts w:ascii="Times New Roman" w:eastAsia="Times New Roman" w:hAnsi="Times New Roman" w:cs="Times New Roman"/>
    </w:rPr>
  </w:style>
  <w:style w:type="paragraph" w:customStyle="1" w:styleId="Default">
    <w:name w:val="Default"/>
    <w:rsid w:val="00F96287"/>
    <w:pPr>
      <w:autoSpaceDE w:val="0"/>
      <w:autoSpaceDN w:val="0"/>
      <w:adjustRightInd w:val="0"/>
    </w:pPr>
    <w:rPr>
      <w:rFonts w:ascii="Montserrat" w:eastAsiaTheme="minorHAnsi" w:hAnsi="Montserrat" w:cs="Montserrat"/>
      <w:color w:val="000000"/>
      <w:lang w:eastAsia="en-US"/>
    </w:rPr>
  </w:style>
  <w:style w:type="character" w:customStyle="1" w:styleId="Ttulo1Car">
    <w:name w:val="Título 1 Car"/>
    <w:basedOn w:val="Fuentedeprrafopredeter"/>
    <w:link w:val="Ttulo1"/>
    <w:uiPriority w:val="9"/>
    <w:rsid w:val="00B37EC4"/>
    <w:rPr>
      <w:rFonts w:ascii="Courier New" w:eastAsia="Courier New" w:hAnsi="Courier New" w:cs="Courier New"/>
      <w:color w:val="000000"/>
      <w:sz w:val="56"/>
    </w:rPr>
  </w:style>
  <w:style w:type="paragraph" w:styleId="Encabezado">
    <w:name w:val="header"/>
    <w:basedOn w:val="Normal"/>
    <w:link w:val="EncabezadoCar"/>
    <w:uiPriority w:val="99"/>
    <w:unhideWhenUsed/>
    <w:rsid w:val="00F76952"/>
    <w:pPr>
      <w:tabs>
        <w:tab w:val="center" w:pos="4252"/>
        <w:tab w:val="right" w:pos="8504"/>
      </w:tabs>
    </w:pPr>
  </w:style>
  <w:style w:type="character" w:customStyle="1" w:styleId="EncabezadoCar">
    <w:name w:val="Encabezado Car"/>
    <w:basedOn w:val="Fuentedeprrafopredeter"/>
    <w:link w:val="Encabezado"/>
    <w:uiPriority w:val="99"/>
    <w:rsid w:val="00F76952"/>
  </w:style>
  <w:style w:type="paragraph" w:styleId="Piedepgina">
    <w:name w:val="footer"/>
    <w:basedOn w:val="Normal"/>
    <w:link w:val="PiedepginaCar"/>
    <w:uiPriority w:val="99"/>
    <w:unhideWhenUsed/>
    <w:rsid w:val="00F76952"/>
    <w:pPr>
      <w:tabs>
        <w:tab w:val="center" w:pos="4252"/>
        <w:tab w:val="right" w:pos="8504"/>
      </w:tabs>
    </w:pPr>
  </w:style>
  <w:style w:type="character" w:customStyle="1" w:styleId="PiedepginaCar">
    <w:name w:val="Pie de página Car"/>
    <w:basedOn w:val="Fuentedeprrafopredeter"/>
    <w:link w:val="Piedepgina"/>
    <w:uiPriority w:val="99"/>
    <w:rsid w:val="00F76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8025">
      <w:bodyDiv w:val="1"/>
      <w:marLeft w:val="0"/>
      <w:marRight w:val="0"/>
      <w:marTop w:val="0"/>
      <w:marBottom w:val="0"/>
      <w:divBdr>
        <w:top w:val="none" w:sz="0" w:space="0" w:color="auto"/>
        <w:left w:val="none" w:sz="0" w:space="0" w:color="auto"/>
        <w:bottom w:val="none" w:sz="0" w:space="0" w:color="auto"/>
        <w:right w:val="none" w:sz="0" w:space="0" w:color="auto"/>
      </w:divBdr>
    </w:div>
    <w:div w:id="129977689">
      <w:bodyDiv w:val="1"/>
      <w:marLeft w:val="0"/>
      <w:marRight w:val="0"/>
      <w:marTop w:val="0"/>
      <w:marBottom w:val="0"/>
      <w:divBdr>
        <w:top w:val="none" w:sz="0" w:space="0" w:color="auto"/>
        <w:left w:val="none" w:sz="0" w:space="0" w:color="auto"/>
        <w:bottom w:val="none" w:sz="0" w:space="0" w:color="auto"/>
        <w:right w:val="none" w:sz="0" w:space="0" w:color="auto"/>
      </w:divBdr>
    </w:div>
    <w:div w:id="345181048">
      <w:bodyDiv w:val="1"/>
      <w:marLeft w:val="0"/>
      <w:marRight w:val="0"/>
      <w:marTop w:val="0"/>
      <w:marBottom w:val="0"/>
      <w:divBdr>
        <w:top w:val="none" w:sz="0" w:space="0" w:color="auto"/>
        <w:left w:val="none" w:sz="0" w:space="0" w:color="auto"/>
        <w:bottom w:val="none" w:sz="0" w:space="0" w:color="auto"/>
        <w:right w:val="none" w:sz="0" w:space="0" w:color="auto"/>
      </w:divBdr>
      <w:divsChild>
        <w:div w:id="200171207">
          <w:marLeft w:val="0"/>
          <w:marRight w:val="0"/>
          <w:marTop w:val="0"/>
          <w:marBottom w:val="0"/>
          <w:divBdr>
            <w:top w:val="none" w:sz="0" w:space="0" w:color="auto"/>
            <w:left w:val="none" w:sz="0" w:space="0" w:color="auto"/>
            <w:bottom w:val="none" w:sz="0" w:space="0" w:color="auto"/>
            <w:right w:val="none" w:sz="0" w:space="0" w:color="auto"/>
          </w:divBdr>
          <w:divsChild>
            <w:div w:id="1379892053">
              <w:marLeft w:val="0"/>
              <w:marRight w:val="0"/>
              <w:marTop w:val="0"/>
              <w:marBottom w:val="0"/>
              <w:divBdr>
                <w:top w:val="none" w:sz="0" w:space="0" w:color="auto"/>
                <w:left w:val="none" w:sz="0" w:space="0" w:color="auto"/>
                <w:bottom w:val="none" w:sz="0" w:space="0" w:color="auto"/>
                <w:right w:val="none" w:sz="0" w:space="0" w:color="auto"/>
              </w:divBdr>
              <w:divsChild>
                <w:div w:id="39400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94901">
      <w:bodyDiv w:val="1"/>
      <w:marLeft w:val="0"/>
      <w:marRight w:val="0"/>
      <w:marTop w:val="0"/>
      <w:marBottom w:val="0"/>
      <w:divBdr>
        <w:top w:val="none" w:sz="0" w:space="0" w:color="auto"/>
        <w:left w:val="none" w:sz="0" w:space="0" w:color="auto"/>
        <w:bottom w:val="none" w:sz="0" w:space="0" w:color="auto"/>
        <w:right w:val="none" w:sz="0" w:space="0" w:color="auto"/>
      </w:divBdr>
      <w:divsChild>
        <w:div w:id="1216893276">
          <w:marLeft w:val="0"/>
          <w:marRight w:val="0"/>
          <w:marTop w:val="0"/>
          <w:marBottom w:val="0"/>
          <w:divBdr>
            <w:top w:val="none" w:sz="0" w:space="0" w:color="auto"/>
            <w:left w:val="none" w:sz="0" w:space="0" w:color="auto"/>
            <w:bottom w:val="none" w:sz="0" w:space="0" w:color="auto"/>
            <w:right w:val="none" w:sz="0" w:space="0" w:color="auto"/>
          </w:divBdr>
          <w:divsChild>
            <w:div w:id="553201686">
              <w:marLeft w:val="0"/>
              <w:marRight w:val="0"/>
              <w:marTop w:val="0"/>
              <w:marBottom w:val="0"/>
              <w:divBdr>
                <w:top w:val="none" w:sz="0" w:space="0" w:color="auto"/>
                <w:left w:val="none" w:sz="0" w:space="0" w:color="auto"/>
                <w:bottom w:val="none" w:sz="0" w:space="0" w:color="auto"/>
                <w:right w:val="none" w:sz="0" w:space="0" w:color="auto"/>
              </w:divBdr>
              <w:divsChild>
                <w:div w:id="723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12583">
      <w:bodyDiv w:val="1"/>
      <w:marLeft w:val="0"/>
      <w:marRight w:val="0"/>
      <w:marTop w:val="0"/>
      <w:marBottom w:val="0"/>
      <w:divBdr>
        <w:top w:val="none" w:sz="0" w:space="0" w:color="auto"/>
        <w:left w:val="none" w:sz="0" w:space="0" w:color="auto"/>
        <w:bottom w:val="none" w:sz="0" w:space="0" w:color="auto"/>
        <w:right w:val="none" w:sz="0" w:space="0" w:color="auto"/>
      </w:divBdr>
    </w:div>
    <w:div w:id="1730810527">
      <w:bodyDiv w:val="1"/>
      <w:marLeft w:val="0"/>
      <w:marRight w:val="0"/>
      <w:marTop w:val="0"/>
      <w:marBottom w:val="0"/>
      <w:divBdr>
        <w:top w:val="none" w:sz="0" w:space="0" w:color="auto"/>
        <w:left w:val="none" w:sz="0" w:space="0" w:color="auto"/>
        <w:bottom w:val="none" w:sz="0" w:space="0" w:color="auto"/>
        <w:right w:val="none" w:sz="0" w:space="0" w:color="auto"/>
      </w:divBdr>
    </w:div>
    <w:div w:id="175547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apea.segob.gob.mx/es/ENAPEA/Que_es_la_ENAPEA" TargetMode="External"/><Relationship Id="rId13" Type="http://schemas.openxmlformats.org/officeDocument/2006/relationships/hyperlink" Target="https://www.inegi.org.mx/programas/endireh/2016/" TargetMode="External"/><Relationship Id="rId18" Type="http://schemas.openxmlformats.org/officeDocument/2006/relationships/hyperlink" Target="https://www.inegi.org.mx/programas/ccpv/2020/"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gob.mx/sectur" TargetMode="External"/><Relationship Id="rId12" Type="http://schemas.openxmlformats.org/officeDocument/2006/relationships/hyperlink" Target="https://www.inegi.org.mx/programas/endireh/2016/" TargetMode="External"/><Relationship Id="rId17" Type="http://schemas.openxmlformats.org/officeDocument/2006/relationships/hyperlink" Target="https://www.inegi.org.mx/programas/ccpv/2020/"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inegi.org.mx/programas/ccpv/2020/" TargetMode="External"/><Relationship Id="rId20" Type="http://schemas.openxmlformats.org/officeDocument/2006/relationships/hyperlink" Target="https://www.inegi.org.mx/programas/enadis/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egi.org.mx/programas/endireh/201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egi.org.mx/programas/cndhe/2021/"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www.inegi.org.mx/programas/enadis/2017/" TargetMode="Externa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hyperlink" Target="https://www.inegi.org.mx/programas/cndhf/2021/" TargetMode="External"/><Relationship Id="rId22" Type="http://schemas.openxmlformats.org/officeDocument/2006/relationships/footer" Target="foot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diputados.gob.mx/LeyesBiblio/pdf/LGAPPCEA_270516.pdf?msclkid=fbaec4a9a94611ec90b6432d98d3d366" TargetMode="External"/><Relationship Id="rId13" Type="http://schemas.openxmlformats.org/officeDocument/2006/relationships/hyperlink" Target="http://www.hchr.org.mx/images/doc_pub/G1710193.pdf" TargetMode="External"/><Relationship Id="rId3" Type="http://schemas.openxmlformats.org/officeDocument/2006/relationships/hyperlink" Target="https://www.gob.mx/cms/uploads/attachment/file/139384/3._lineamientosCJMVF21mar2013.pdf" TargetMode="External"/><Relationship Id="rId7" Type="http://schemas.openxmlformats.org/officeDocument/2006/relationships/hyperlink" Target="https://www.gob.mx/cms/uploads/attachment/file/10543/sem12.pdf?msclkid=c7af4dc2a94e11ec953a2faae620d773" TargetMode="External"/><Relationship Id="rId12" Type="http://schemas.openxmlformats.org/officeDocument/2006/relationships/hyperlink" Target="https://dof.gob.mx/nota_detalle.php?codigo=5638256&amp;fecha=14/12/2021" TargetMode="External"/><Relationship Id="rId2" Type="http://schemas.openxmlformats.org/officeDocument/2006/relationships/hyperlink" Target="https://www.gob.mx/cms/uploads/attachment/file/63354/cjmlineamientos.pdf" TargetMode="External"/><Relationship Id="rId1" Type="http://schemas.openxmlformats.org/officeDocument/2006/relationships/hyperlink" Target="https://www.gob.mx/cms/uploads/attachment/file/164222/02ProtocoloAtencionCJM.pdf" TargetMode="External"/><Relationship Id="rId6" Type="http://schemas.openxmlformats.org/officeDocument/2006/relationships/hyperlink" Target="https://www.gob.mx/cms/uploads/attachment/file/226938/Lineamientos_arquitect_nicos_Refugios_para_mujeres_sus_hijas_e_hijos_RED-2017-1.pdf" TargetMode="External"/><Relationship Id="rId11" Type="http://schemas.openxmlformats.org/officeDocument/2006/relationships/hyperlink" Target="https://iris.paho.org/handle/10665.2/34071?msclkid=b212d9dca94811ecbce9febe7522d4e5" TargetMode="External"/><Relationship Id="rId5" Type="http://schemas.openxmlformats.org/officeDocument/2006/relationships/hyperlink" Target="https://www.gob.mx/cms/uploads/attachment/file/696155/Directorio_Cjm_2022.pdf" TargetMode="External"/><Relationship Id="rId10" Type="http://schemas.openxmlformats.org/officeDocument/2006/relationships/hyperlink" Target="https://pubmed.ncbi.nlm.nih.gov/26797939/" TargetMode="External"/><Relationship Id="rId4" Type="http://schemas.openxmlformats.org/officeDocument/2006/relationships/hyperlink" Target="https://www.gob.mx/cms/uploads/attachment/file/140764/2._Lineamientos_Arquitectonicos_CJM-1.pdf" TargetMode="External"/><Relationship Id="rId9" Type="http://schemas.openxmlformats.org/officeDocument/2006/relationships/hyperlink" Target="https://www.gob.mx/cms/uploads/attachment/file/452956/8._Trastornos_Generalizados_del_Desarroll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05929-AB01-4BDD-A8E7-B4ECD49143B9}"/>
</file>

<file path=customXml/itemProps2.xml><?xml version="1.0" encoding="utf-8"?>
<ds:datastoreItem xmlns:ds="http://schemas.openxmlformats.org/officeDocument/2006/customXml" ds:itemID="{EF86EE46-933E-44B5-B029-307CEAE2B5CC}"/>
</file>

<file path=customXml/itemProps3.xml><?xml version="1.0" encoding="utf-8"?>
<ds:datastoreItem xmlns:ds="http://schemas.openxmlformats.org/officeDocument/2006/customXml" ds:itemID="{63859882-E8B8-4E82-B568-7842356A832B}"/>
</file>

<file path=docProps/app.xml><?xml version="1.0" encoding="utf-8"?>
<Properties xmlns="http://schemas.openxmlformats.org/officeDocument/2006/extended-properties" xmlns:vt="http://schemas.openxmlformats.org/officeDocument/2006/docPropsVTypes">
  <Template>Normal.dotm</Template>
  <TotalTime>175</TotalTime>
  <Pages>45</Pages>
  <Words>20037</Words>
  <Characters>110207</Characters>
  <Application>Microsoft Office Word</Application>
  <DocSecurity>0</DocSecurity>
  <Lines>918</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Alcazar Ylizaliturri, Jessica</dc:creator>
  <cp:keywords/>
  <dc:description/>
  <cp:lastModifiedBy>Alcazar Ylizaliturri, Jessica</cp:lastModifiedBy>
  <cp:revision>173</cp:revision>
  <dcterms:created xsi:type="dcterms:W3CDTF">2022-03-17T22:13:00Z</dcterms:created>
  <dcterms:modified xsi:type="dcterms:W3CDTF">2022-03-22T00:05:00Z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