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E1F96" w14:textId="3D1EBC3D" w:rsidR="00333E06" w:rsidRDefault="00333E06"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558A1B13" wp14:editId="193EAFBA">
            <wp:simplePos x="0" y="0"/>
            <wp:positionH relativeFrom="column">
              <wp:posOffset>3475404</wp:posOffset>
            </wp:positionH>
            <wp:positionV relativeFrom="paragraph">
              <wp:posOffset>-6203</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7A36F3">
        <w:rPr>
          <w:rFonts w:asciiTheme="majorHAnsi" w:hAnsiTheme="majorHAnsi" w:cstheme="majorHAnsi"/>
          <w:b/>
          <w:sz w:val="34"/>
          <w:szCs w:val="34"/>
        </w:rPr>
        <w:t>B</w:t>
      </w:r>
      <w:r w:rsidR="00BE37BF" w:rsidRPr="007A36F3">
        <w:rPr>
          <w:rFonts w:asciiTheme="majorHAnsi" w:hAnsiTheme="majorHAnsi" w:cstheme="majorHAnsi"/>
          <w:b/>
          <w:sz w:val="34"/>
          <w:szCs w:val="34"/>
        </w:rPr>
        <w:t>riefing on</w:t>
      </w:r>
      <w:r w:rsidR="00E4774B" w:rsidRPr="007A36F3">
        <w:rPr>
          <w:rFonts w:asciiTheme="majorHAnsi" w:hAnsiTheme="majorHAnsi" w:cstheme="majorHAnsi"/>
          <w:b/>
          <w:sz w:val="34"/>
          <w:szCs w:val="34"/>
        </w:rPr>
        <w:t xml:space="preserve"> </w:t>
      </w:r>
      <w:r w:rsidR="00F90AAF">
        <w:rPr>
          <w:rFonts w:asciiTheme="majorHAnsi" w:hAnsiTheme="majorHAnsi" w:cstheme="majorHAnsi"/>
          <w:b/>
          <w:sz w:val="34"/>
          <w:szCs w:val="34"/>
          <w:u w:val="single"/>
        </w:rPr>
        <w:t>Belgium</w:t>
      </w:r>
      <w:r w:rsidR="001E1F2A" w:rsidRPr="00BE46D6">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 xml:space="preserve">for the Committee on the Rights of Persons with Disabilities, </w:t>
      </w:r>
      <w:r>
        <w:rPr>
          <w:rFonts w:asciiTheme="majorHAnsi" w:hAnsiTheme="majorHAnsi" w:cstheme="majorHAnsi"/>
          <w:b/>
          <w:sz w:val="34"/>
          <w:szCs w:val="34"/>
        </w:rPr>
        <w:t>2</w:t>
      </w:r>
      <w:r w:rsidR="00F90AAF">
        <w:rPr>
          <w:rFonts w:asciiTheme="majorHAnsi" w:hAnsiTheme="majorHAnsi" w:cstheme="majorHAnsi"/>
          <w:b/>
          <w:sz w:val="34"/>
          <w:szCs w:val="34"/>
        </w:rPr>
        <w:t>1</w:t>
      </w:r>
      <w:r w:rsidR="00F90AAF" w:rsidRPr="00F90AAF">
        <w:rPr>
          <w:rFonts w:asciiTheme="majorHAnsi" w:hAnsiTheme="majorHAnsi" w:cstheme="majorHAnsi"/>
          <w:b/>
          <w:sz w:val="34"/>
          <w:szCs w:val="34"/>
          <w:vertAlign w:val="superscript"/>
        </w:rPr>
        <w:t>st</w:t>
      </w:r>
      <w:r w:rsidR="00F90AAF">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session</w:t>
      </w:r>
      <w:r w:rsidR="007F7529" w:rsidRPr="007A36F3">
        <w:rPr>
          <w:rFonts w:asciiTheme="majorHAnsi" w:hAnsiTheme="majorHAnsi" w:cstheme="majorHAnsi"/>
          <w:b/>
          <w:sz w:val="34"/>
          <w:szCs w:val="34"/>
        </w:rPr>
        <w:t>,</w:t>
      </w:r>
      <w:r w:rsidR="00BE37BF" w:rsidRPr="007A36F3">
        <w:rPr>
          <w:rFonts w:asciiTheme="majorHAnsi" w:hAnsiTheme="majorHAnsi" w:cstheme="majorHAnsi"/>
          <w:b/>
          <w:sz w:val="34"/>
          <w:szCs w:val="34"/>
        </w:rPr>
        <w:t xml:space="preserve"> </w:t>
      </w:r>
      <w:r w:rsidR="00F90AAF">
        <w:rPr>
          <w:rFonts w:asciiTheme="majorHAnsi" w:hAnsiTheme="majorHAnsi" w:cstheme="majorHAnsi"/>
          <w:b/>
          <w:sz w:val="34"/>
          <w:szCs w:val="34"/>
        </w:rPr>
        <w:t>March</w:t>
      </w:r>
      <w:r w:rsidR="00E4774B" w:rsidRPr="007A36F3">
        <w:rPr>
          <w:rFonts w:asciiTheme="majorHAnsi" w:hAnsiTheme="majorHAnsi" w:cstheme="majorHAnsi"/>
          <w:b/>
          <w:sz w:val="34"/>
          <w:szCs w:val="34"/>
        </w:rPr>
        <w:t>/</w:t>
      </w:r>
      <w:r w:rsidR="00F90AAF">
        <w:rPr>
          <w:rFonts w:asciiTheme="majorHAnsi" w:hAnsiTheme="majorHAnsi" w:cstheme="majorHAnsi"/>
          <w:b/>
          <w:sz w:val="34"/>
          <w:szCs w:val="34"/>
        </w:rPr>
        <w:t>April</w:t>
      </w:r>
      <w:r w:rsidR="00A53A7A" w:rsidRPr="007A36F3">
        <w:rPr>
          <w:rFonts w:asciiTheme="majorHAnsi" w:hAnsiTheme="majorHAnsi" w:cstheme="majorHAnsi"/>
          <w:b/>
          <w:sz w:val="34"/>
          <w:szCs w:val="34"/>
        </w:rPr>
        <w:t xml:space="preserve"> 201</w:t>
      </w:r>
      <w:r w:rsidR="00F90AAF">
        <w:rPr>
          <w:rFonts w:asciiTheme="majorHAnsi" w:hAnsiTheme="majorHAnsi" w:cstheme="majorHAnsi"/>
          <w:b/>
          <w:sz w:val="34"/>
          <w:szCs w:val="34"/>
        </w:rPr>
        <w:t>9</w:t>
      </w:r>
    </w:p>
    <w:p w14:paraId="4508A740" w14:textId="070C096F" w:rsidR="00767639" w:rsidRDefault="00767639" w:rsidP="007F7529">
      <w:pPr>
        <w:spacing w:after="120"/>
        <w:rPr>
          <w:rFonts w:asciiTheme="majorHAnsi" w:hAnsiTheme="majorHAnsi" w:cstheme="majorHAnsi"/>
        </w:rPr>
      </w:pPr>
      <w:r w:rsidRPr="007A36F3">
        <w:rPr>
          <w:rFonts w:asciiTheme="majorHAnsi" w:hAnsiTheme="majorHAnsi" w:cstheme="majorHAnsi"/>
        </w:rPr>
        <w:t xml:space="preserve">From </w:t>
      </w:r>
      <w:r w:rsidR="00A53A7A" w:rsidRPr="007A36F3">
        <w:rPr>
          <w:rFonts w:asciiTheme="majorHAnsi" w:hAnsiTheme="majorHAnsi" w:cstheme="majorHAnsi"/>
        </w:rPr>
        <w:t>the</w:t>
      </w:r>
      <w:r w:rsidR="005B5315" w:rsidRPr="007A36F3">
        <w:rPr>
          <w:rFonts w:asciiTheme="majorHAnsi" w:hAnsiTheme="majorHAnsi" w:cstheme="majorHAnsi"/>
        </w:rPr>
        <w:t xml:space="preserve"> </w:t>
      </w:r>
      <w:r w:rsidRPr="007A36F3">
        <w:rPr>
          <w:rFonts w:asciiTheme="majorHAnsi" w:hAnsiTheme="majorHAnsi" w:cstheme="majorHAnsi"/>
        </w:rPr>
        <w:t>Global Initiative</w:t>
      </w:r>
      <w:r w:rsidR="00633745" w:rsidRPr="007A36F3">
        <w:rPr>
          <w:rFonts w:asciiTheme="majorHAnsi" w:hAnsiTheme="majorHAnsi" w:cstheme="majorHAnsi"/>
        </w:rPr>
        <w:t xml:space="preserve"> to End All Corporal Punishment </w:t>
      </w:r>
      <w:r w:rsidR="00333E06">
        <w:rPr>
          <w:rFonts w:asciiTheme="majorHAnsi" w:hAnsiTheme="majorHAnsi" w:cstheme="majorHAnsi"/>
        </w:rPr>
        <w:t>o</w:t>
      </w:r>
      <w:r w:rsidR="00633745" w:rsidRPr="007A36F3">
        <w:rPr>
          <w:rFonts w:asciiTheme="majorHAnsi" w:hAnsiTheme="majorHAnsi" w:cstheme="majorHAnsi"/>
        </w:rPr>
        <w:t>f Children</w:t>
      </w:r>
      <w:r w:rsidR="004A1897" w:rsidRPr="007A36F3">
        <w:rPr>
          <w:rFonts w:asciiTheme="majorHAnsi" w:hAnsiTheme="majorHAnsi" w:cstheme="majorHAnsi"/>
        </w:rPr>
        <w:t xml:space="preserve">, </w:t>
      </w:r>
      <w:r w:rsidR="002450CB">
        <w:rPr>
          <w:rFonts w:asciiTheme="majorHAnsi" w:hAnsiTheme="majorHAnsi" w:cstheme="majorHAnsi"/>
        </w:rPr>
        <w:t>February</w:t>
      </w:r>
      <w:r w:rsidR="004A1897" w:rsidRPr="007A36F3">
        <w:rPr>
          <w:rFonts w:asciiTheme="majorHAnsi" w:hAnsiTheme="majorHAnsi" w:cstheme="majorHAnsi"/>
        </w:rPr>
        <w:t xml:space="preserve"> 201</w:t>
      </w:r>
      <w:r w:rsidR="00F90AAF">
        <w:rPr>
          <w:rFonts w:asciiTheme="majorHAnsi" w:hAnsiTheme="majorHAnsi" w:cstheme="majorHAnsi"/>
        </w:rPr>
        <w:t>9</w:t>
      </w:r>
      <w:r w:rsidR="00633745" w:rsidRPr="007A36F3">
        <w:rPr>
          <w:rFonts w:asciiTheme="majorHAnsi" w:hAnsiTheme="majorHAnsi" w:cstheme="majorHAnsi"/>
        </w:rPr>
        <w:t xml:space="preserve"> </w:t>
      </w:r>
      <w:r w:rsidR="00BE37BF" w:rsidRPr="007A36F3">
        <w:rPr>
          <w:rFonts w:asciiTheme="majorHAnsi" w:hAnsiTheme="majorHAnsi" w:cstheme="majorHAnsi"/>
        </w:rPr>
        <w:br/>
      </w:r>
    </w:p>
    <w:p w14:paraId="71FAB266" w14:textId="77777777" w:rsidR="00333E06" w:rsidRPr="007A36F3" w:rsidRDefault="00333E06" w:rsidP="007F7529">
      <w:pPr>
        <w:spacing w:after="120"/>
        <w:rPr>
          <w:rFonts w:asciiTheme="majorHAnsi" w:hAnsiTheme="majorHAnsi" w:cstheme="majorHAnsi"/>
        </w:rPr>
      </w:pPr>
    </w:p>
    <w:p w14:paraId="78052E85" w14:textId="33415951" w:rsidR="004D7A67"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(a) </w:t>
      </w:r>
      <w:r w:rsidR="00716B5D" w:rsidRPr="007A36F3">
        <w:rPr>
          <w:rFonts w:asciiTheme="majorHAnsi" w:hAnsiTheme="majorHAnsi" w:cstheme="majorHAnsi"/>
          <w:b/>
          <w:sz w:val="26"/>
          <w:szCs w:val="26"/>
        </w:rPr>
        <w:t>About the Global Initiative</w:t>
      </w:r>
      <w:r w:rsidR="00106569" w:rsidRPr="007A36F3">
        <w:rPr>
          <w:rFonts w:asciiTheme="majorHAnsi" w:hAnsiTheme="majorHAnsi" w:cstheme="majorHAnsi"/>
          <w:b/>
          <w:sz w:val="26"/>
          <w:szCs w:val="26"/>
        </w:rPr>
        <w:t xml:space="preserve"> to End All Corporal Punishment of Children</w:t>
      </w:r>
    </w:p>
    <w:p w14:paraId="3190CD76" w14:textId="78DB8F29" w:rsidR="00716B5D" w:rsidRPr="007A36F3" w:rsidRDefault="00833827" w:rsidP="00716B5D">
      <w:pPr>
        <w:spacing w:after="120"/>
        <w:rPr>
          <w:rFonts w:asciiTheme="majorHAnsi" w:hAnsiTheme="majorHAnsi" w:cstheme="majorHAnsi"/>
        </w:rPr>
      </w:pPr>
      <w:r w:rsidRPr="007A36F3">
        <w:rPr>
          <w:rFonts w:asciiTheme="majorHAnsi" w:hAnsiTheme="majorHAnsi" w:cstheme="majorHAnsi"/>
        </w:rPr>
        <w:t xml:space="preserve">1. </w:t>
      </w:r>
      <w:r w:rsidR="00716B5D" w:rsidRPr="007A36F3">
        <w:rPr>
          <w:rFonts w:asciiTheme="majorHAnsi" w:hAnsiTheme="majorHAnsi" w:cstheme="majorHAnsi"/>
        </w:rPr>
        <w:t>The Global Initiative (</w:t>
      </w:r>
      <w:hyperlink r:id="rId13" w:history="1">
        <w:r w:rsidR="00716B5D" w:rsidRPr="006C5ECF">
          <w:rPr>
            <w:rStyle w:val="Hyperlink"/>
            <w:rFonts w:asciiTheme="majorHAnsi" w:hAnsiTheme="majorHAnsi" w:cstheme="majorHAnsi"/>
            <w:color w:val="0096A3"/>
          </w:rPr>
          <w:t>www.endcorporalpunishment.org</w:t>
        </w:r>
        <w:r w:rsidR="00716B5D" w:rsidRPr="006C5ECF">
          <w:rPr>
            <w:rStyle w:val="Hyperlink"/>
            <w:rFonts w:asciiTheme="majorHAnsi" w:hAnsiTheme="majorHAnsi" w:cstheme="majorHAnsi"/>
            <w:color w:val="auto"/>
            <w:u w:val="none"/>
          </w:rPr>
          <w:t>)</w:t>
        </w:r>
      </w:hyperlink>
      <w:r w:rsidR="00716B5D" w:rsidRPr="007A36F3">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7A36F3">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7A36F3" w:rsidRDefault="00716B5D" w:rsidP="00716B5D">
      <w:pPr>
        <w:spacing w:after="120"/>
        <w:rPr>
          <w:rFonts w:asciiTheme="majorHAnsi" w:hAnsiTheme="majorHAnsi" w:cstheme="majorHAnsi"/>
        </w:rPr>
      </w:pPr>
    </w:p>
    <w:p w14:paraId="02EFC191" w14:textId="49D05158" w:rsidR="00142366"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(b) </w:t>
      </w:r>
      <w:r w:rsidR="00106569" w:rsidRPr="007A36F3">
        <w:rPr>
          <w:rFonts w:asciiTheme="majorHAnsi" w:hAnsiTheme="majorHAnsi" w:cstheme="majorHAnsi"/>
          <w:b/>
          <w:sz w:val="26"/>
          <w:szCs w:val="26"/>
        </w:rPr>
        <w:t>S</w:t>
      </w:r>
      <w:r w:rsidRPr="007A36F3">
        <w:rPr>
          <w:rFonts w:asciiTheme="majorHAnsi" w:hAnsiTheme="majorHAnsi" w:cstheme="majorHAnsi"/>
          <w:b/>
          <w:sz w:val="26"/>
          <w:szCs w:val="26"/>
        </w:rPr>
        <w:t>ummary</w:t>
      </w:r>
    </w:p>
    <w:p w14:paraId="5915D402" w14:textId="613D5425" w:rsidR="00F00EFD" w:rsidRPr="00E819CB" w:rsidRDefault="00826CD2" w:rsidP="00F00EFD">
      <w:pPr>
        <w:spacing w:after="120"/>
        <w:rPr>
          <w:rFonts w:asciiTheme="majorHAnsi" w:hAnsiTheme="majorHAnsi" w:cstheme="majorHAnsi"/>
          <w:b/>
        </w:rPr>
      </w:pPr>
      <w:r w:rsidRPr="00C575FA">
        <w:rPr>
          <w:rFonts w:asciiTheme="majorHAnsi" w:hAnsiTheme="majorHAnsi" w:cstheme="majorHAnsi"/>
        </w:rPr>
        <w:lastRenderedPageBreak/>
        <w:t>2</w:t>
      </w:r>
      <w:r w:rsidR="00F00EFD" w:rsidRPr="00C575FA">
        <w:rPr>
          <w:rFonts w:asciiTheme="majorHAnsi" w:hAnsiTheme="majorHAnsi" w:cstheme="majorHAnsi"/>
        </w:rPr>
        <w:t xml:space="preserve">. </w:t>
      </w:r>
      <w:r w:rsidRPr="00C575FA">
        <w:rPr>
          <w:rFonts w:asciiTheme="majorHAnsi" w:hAnsiTheme="majorHAnsi" w:cstheme="majorHAnsi"/>
        </w:rPr>
        <w:t>C</w:t>
      </w:r>
      <w:r w:rsidR="00F00EFD" w:rsidRPr="00C575FA">
        <w:rPr>
          <w:rFonts w:asciiTheme="majorHAnsi" w:hAnsiTheme="majorHAnsi" w:cstheme="majorHAnsi"/>
        </w:rPr>
        <w:t xml:space="preserve">orporal punishment of children in </w:t>
      </w:r>
      <w:r w:rsidR="003615D5">
        <w:rPr>
          <w:rFonts w:asciiTheme="majorHAnsi" w:hAnsiTheme="majorHAnsi" w:cstheme="majorHAnsi"/>
        </w:rPr>
        <w:t>Belgium</w:t>
      </w:r>
      <w:r w:rsidR="00F00EFD" w:rsidRPr="00C575FA">
        <w:rPr>
          <w:rFonts w:asciiTheme="majorHAnsi" w:hAnsiTheme="majorHAnsi" w:cstheme="majorHAnsi"/>
        </w:rPr>
        <w:t xml:space="preserve"> is not yet prohibited in the home</w:t>
      </w:r>
      <w:r w:rsidR="00C575FA" w:rsidRPr="00C575FA">
        <w:rPr>
          <w:rFonts w:asciiTheme="majorHAnsi" w:hAnsiTheme="majorHAnsi" w:cstheme="majorHAnsi"/>
        </w:rPr>
        <w:t xml:space="preserve"> and in</w:t>
      </w:r>
      <w:r w:rsidR="00F00EFD" w:rsidRPr="00C575FA">
        <w:rPr>
          <w:rFonts w:asciiTheme="majorHAnsi" w:hAnsiTheme="majorHAnsi" w:cstheme="majorHAnsi"/>
        </w:rPr>
        <w:t xml:space="preserve"> alternative care and day care</w:t>
      </w:r>
      <w:r w:rsidR="00CD12D5" w:rsidRPr="00C575FA">
        <w:rPr>
          <w:rFonts w:asciiTheme="majorHAnsi" w:hAnsiTheme="majorHAnsi" w:cstheme="majorHAnsi"/>
        </w:rPr>
        <w:t xml:space="preserve"> settings,</w:t>
      </w:r>
      <w:r w:rsidR="00F00EFD" w:rsidRPr="00C575FA">
        <w:rPr>
          <w:rFonts w:asciiTheme="majorHAnsi" w:hAnsiTheme="majorHAnsi" w:cstheme="majorHAnsi"/>
        </w:rPr>
        <w:t xml:space="preserve"> in violation of the fundamental right of all children to protection from corporal punishment and other cruel or degrading forms of punishment. It is unlawful </w:t>
      </w:r>
      <w:r w:rsidR="001F0335" w:rsidRPr="00C575FA">
        <w:rPr>
          <w:rFonts w:asciiTheme="majorHAnsi" w:hAnsiTheme="majorHAnsi" w:cstheme="majorHAnsi"/>
        </w:rPr>
        <w:t xml:space="preserve">in </w:t>
      </w:r>
      <w:r w:rsidR="00C575FA" w:rsidRPr="00C575FA">
        <w:rPr>
          <w:rFonts w:asciiTheme="majorHAnsi" w:hAnsiTheme="majorHAnsi" w:cstheme="majorHAnsi"/>
        </w:rPr>
        <w:t xml:space="preserve">schools and in </w:t>
      </w:r>
      <w:r w:rsidR="001F0335" w:rsidRPr="00C575FA">
        <w:rPr>
          <w:rFonts w:asciiTheme="majorHAnsi" w:hAnsiTheme="majorHAnsi" w:cstheme="majorHAnsi"/>
        </w:rPr>
        <w:t>the penal system</w:t>
      </w:r>
      <w:r w:rsidR="00CD12D5" w:rsidRPr="00C575FA">
        <w:rPr>
          <w:rFonts w:asciiTheme="majorHAnsi" w:hAnsiTheme="majorHAnsi" w:cstheme="majorHAnsi"/>
        </w:rPr>
        <w:t>.</w:t>
      </w:r>
      <w:r w:rsidR="001F0335">
        <w:rPr>
          <w:rFonts w:asciiTheme="majorHAnsi" w:hAnsiTheme="majorHAnsi" w:cstheme="majorHAnsi"/>
        </w:rPr>
        <w:t xml:space="preserve"> </w:t>
      </w:r>
    </w:p>
    <w:p w14:paraId="79D69036" w14:textId="0106BE1F" w:rsidR="004D7A67" w:rsidRPr="007A36F3" w:rsidRDefault="00826CD2" w:rsidP="007A21C3">
      <w:pPr>
        <w:spacing w:after="120"/>
        <w:rPr>
          <w:rFonts w:asciiTheme="majorHAnsi" w:hAnsiTheme="majorHAnsi" w:cstheme="majorHAnsi"/>
        </w:rPr>
      </w:pPr>
      <w:r w:rsidRPr="007A36F3">
        <w:rPr>
          <w:rFonts w:asciiTheme="majorHAnsi" w:hAnsiTheme="majorHAnsi" w:cstheme="majorHAnsi"/>
        </w:rPr>
        <w:t>3</w:t>
      </w:r>
      <w:r w:rsidR="00833827" w:rsidRPr="007A36F3">
        <w:rPr>
          <w:rFonts w:asciiTheme="majorHAnsi" w:hAnsiTheme="majorHAnsi" w:cstheme="majorHAnsi"/>
        </w:rPr>
        <w:t xml:space="preserve">. </w:t>
      </w:r>
      <w:r w:rsidR="00181FAC" w:rsidRPr="007A36F3">
        <w:rPr>
          <w:rFonts w:asciiTheme="majorHAnsi" w:hAnsiTheme="majorHAnsi" w:cstheme="majorHAnsi"/>
        </w:rPr>
        <w:t xml:space="preserve">With reference to </w:t>
      </w:r>
      <w:r w:rsidR="00181FAC" w:rsidRPr="007A36F3">
        <w:rPr>
          <w:rFonts w:asciiTheme="majorHAnsi" w:hAnsiTheme="majorHAnsi" w:cstheme="majorHAnsi"/>
          <w:b/>
        </w:rPr>
        <w:t>articles 7, 15, 16 and 17</w:t>
      </w:r>
      <w:r w:rsidR="00181FAC" w:rsidRPr="007A36F3">
        <w:rPr>
          <w:rFonts w:asciiTheme="majorHAnsi" w:hAnsiTheme="majorHAnsi" w:cstheme="majorHAnsi"/>
        </w:rPr>
        <w:t xml:space="preserve"> of the Convention on the Rights of Persons with Disabilities, and i</w:t>
      </w:r>
      <w:r w:rsidR="004D7A67" w:rsidRPr="007A36F3">
        <w:rPr>
          <w:rFonts w:asciiTheme="majorHAnsi" w:hAnsiTheme="majorHAnsi" w:cstheme="majorHAnsi"/>
        </w:rPr>
        <w:t>n light of the particular vulnerability of children with disabilities to</w:t>
      </w:r>
      <w:r w:rsidR="00181FAC" w:rsidRPr="007A36F3">
        <w:rPr>
          <w:rFonts w:asciiTheme="majorHAnsi" w:hAnsiTheme="majorHAnsi" w:cstheme="majorHAnsi"/>
        </w:rPr>
        <w:t xml:space="preserve"> corporal punishment by adults, </w:t>
      </w:r>
      <w:r w:rsidR="004D7A67" w:rsidRPr="007A36F3">
        <w:rPr>
          <w:rFonts w:asciiTheme="majorHAnsi" w:hAnsiTheme="majorHAnsi" w:cstheme="majorHAnsi"/>
        </w:rPr>
        <w:t>the jurisp</w:t>
      </w:r>
      <w:r w:rsidR="00181FAC" w:rsidRPr="007A36F3">
        <w:rPr>
          <w:rFonts w:asciiTheme="majorHAnsi" w:hAnsiTheme="majorHAnsi" w:cstheme="majorHAnsi"/>
        </w:rPr>
        <w:t>rudence of the UN treaty bodies</w:t>
      </w:r>
      <w:r w:rsidR="00E4774B" w:rsidRPr="007A36F3">
        <w:rPr>
          <w:rFonts w:asciiTheme="majorHAnsi" w:hAnsiTheme="majorHAnsi" w:cstheme="majorHAnsi"/>
        </w:rPr>
        <w:t>,</w:t>
      </w:r>
      <w:r w:rsidR="004D7A67" w:rsidRPr="007A36F3">
        <w:rPr>
          <w:rFonts w:asciiTheme="majorHAnsi" w:hAnsiTheme="majorHAnsi" w:cstheme="majorHAnsi"/>
        </w:rPr>
        <w:t xml:space="preserve"> the </w:t>
      </w:r>
      <w:r w:rsidR="00106569" w:rsidRPr="007A36F3">
        <w:rPr>
          <w:rFonts w:asciiTheme="majorHAnsi" w:hAnsiTheme="majorHAnsi" w:cstheme="majorHAnsi"/>
        </w:rPr>
        <w:t>emphasis on</w:t>
      </w:r>
      <w:r w:rsidR="004D7A67" w:rsidRPr="007A36F3">
        <w:rPr>
          <w:rFonts w:asciiTheme="majorHAnsi" w:hAnsiTheme="majorHAnsi" w:cstheme="majorHAnsi"/>
        </w:rPr>
        <w:t xml:space="preserve"> eradicating this form of violence given by the UN Secretary General’s Study on Violence against Children</w:t>
      </w:r>
      <w:r w:rsidR="00E4774B" w:rsidRPr="007A36F3">
        <w:rPr>
          <w:rFonts w:asciiTheme="majorHAnsi" w:hAnsiTheme="majorHAnsi" w:cstheme="majorHAnsi"/>
        </w:rPr>
        <w:t xml:space="preserve"> and </w:t>
      </w:r>
      <w:r w:rsidR="00106569" w:rsidRPr="007A36F3">
        <w:rPr>
          <w:rFonts w:asciiTheme="majorHAnsi" w:hAnsiTheme="majorHAnsi" w:cstheme="majorHAnsi"/>
        </w:rPr>
        <w:t xml:space="preserve">the importance of the issue to achieving target 16.2 on ending violence against children in the 2030 Sustainable Development Goals, </w:t>
      </w:r>
      <w:r w:rsidR="004D7A67" w:rsidRPr="007A36F3">
        <w:rPr>
          <w:rFonts w:asciiTheme="majorHAnsi" w:hAnsiTheme="majorHAnsi" w:cstheme="majorHAnsi"/>
        </w:rPr>
        <w:t>w</w:t>
      </w:r>
      <w:r w:rsidR="004D7A67" w:rsidRPr="007A36F3">
        <w:rPr>
          <w:rFonts w:asciiTheme="majorHAnsi" w:hAnsiTheme="majorHAnsi" w:cstheme="majorHAnsi"/>
          <w:iCs/>
        </w:rPr>
        <w:t>e hope the Committee on the Rights of Persons with Disabilities will:</w:t>
      </w:r>
    </w:p>
    <w:p w14:paraId="7B48E400" w14:textId="30153BEB" w:rsidR="007F7529" w:rsidRPr="00466A97" w:rsidRDefault="007F7529" w:rsidP="00C575FA">
      <w:pPr>
        <w:numPr>
          <w:ilvl w:val="0"/>
          <w:numId w:val="6"/>
        </w:numPr>
        <w:spacing w:after="120"/>
        <w:rPr>
          <w:rFonts w:asciiTheme="majorHAnsi" w:hAnsiTheme="majorHAnsi" w:cstheme="majorHAnsi"/>
          <w:iCs/>
        </w:rPr>
      </w:pPr>
      <w:r w:rsidRPr="007A36F3">
        <w:rPr>
          <w:rFonts w:asciiTheme="majorHAnsi" w:hAnsiTheme="majorHAnsi" w:cstheme="majorHAnsi"/>
          <w:iCs/>
        </w:rPr>
        <w:t>include the issue of cor</w:t>
      </w:r>
      <w:r w:rsidRPr="00466A97">
        <w:rPr>
          <w:rFonts w:asciiTheme="majorHAnsi" w:hAnsiTheme="majorHAnsi" w:cstheme="majorHAnsi"/>
          <w:iCs/>
        </w:rPr>
        <w:t>poral punishment in its List of Issues</w:t>
      </w:r>
      <w:r w:rsidR="00636AA7" w:rsidRPr="00466A97">
        <w:rPr>
          <w:rFonts w:asciiTheme="majorHAnsi" w:hAnsiTheme="majorHAnsi" w:cstheme="majorHAnsi"/>
          <w:iCs/>
        </w:rPr>
        <w:t xml:space="preserve"> Prior to Reporting</w:t>
      </w:r>
      <w:r w:rsidRPr="00466A97">
        <w:rPr>
          <w:rFonts w:asciiTheme="majorHAnsi" w:hAnsiTheme="majorHAnsi" w:cstheme="majorHAnsi"/>
          <w:iCs/>
        </w:rPr>
        <w:t xml:space="preserve"> for </w:t>
      </w:r>
      <w:r w:rsidR="002A0EFD">
        <w:rPr>
          <w:rFonts w:asciiTheme="majorHAnsi" w:hAnsiTheme="majorHAnsi" w:cstheme="majorHAnsi"/>
          <w:iCs/>
        </w:rPr>
        <w:t>Belgium</w:t>
      </w:r>
      <w:r w:rsidRPr="00466A97">
        <w:rPr>
          <w:rFonts w:asciiTheme="majorHAnsi" w:hAnsiTheme="majorHAnsi" w:cstheme="majorHAnsi"/>
          <w:iCs/>
        </w:rPr>
        <w:t>, in particular asking</w:t>
      </w:r>
      <w:r w:rsidR="00DC20AE" w:rsidRPr="00466A97">
        <w:rPr>
          <w:rFonts w:asciiTheme="majorHAnsi" w:hAnsiTheme="majorHAnsi" w:cstheme="majorHAnsi"/>
          <w:iCs/>
        </w:rPr>
        <w:t>:</w:t>
      </w:r>
      <w:r w:rsidRPr="00466A97">
        <w:rPr>
          <w:rFonts w:asciiTheme="majorHAnsi" w:hAnsiTheme="majorHAnsi" w:cstheme="majorHAnsi"/>
          <w:iCs/>
        </w:rPr>
        <w:t xml:space="preserve"> </w:t>
      </w:r>
      <w:r w:rsidR="00DC20AE" w:rsidRPr="00466A97">
        <w:rPr>
          <w:rFonts w:asciiTheme="majorHAnsi" w:hAnsiTheme="majorHAnsi" w:cstheme="majorHAnsi"/>
          <w:iCs/>
        </w:rPr>
        <w:t>“</w:t>
      </w:r>
      <w:r w:rsidR="00C575FA">
        <w:rPr>
          <w:rFonts w:asciiTheme="majorHAnsi" w:hAnsiTheme="majorHAnsi" w:cstheme="majorHAnsi"/>
          <w:b/>
          <w:iCs/>
        </w:rPr>
        <w:t xml:space="preserve">what steps </w:t>
      </w:r>
      <w:r w:rsidR="00365B72">
        <w:rPr>
          <w:rFonts w:asciiTheme="majorHAnsi" w:hAnsiTheme="majorHAnsi" w:cstheme="majorHAnsi"/>
          <w:b/>
          <w:iCs/>
        </w:rPr>
        <w:t>are</w:t>
      </w:r>
      <w:r w:rsidR="00C575FA">
        <w:rPr>
          <w:rFonts w:asciiTheme="majorHAnsi" w:hAnsiTheme="majorHAnsi" w:cstheme="majorHAnsi"/>
          <w:b/>
          <w:iCs/>
        </w:rPr>
        <w:t xml:space="preserve"> being taken to </w:t>
      </w:r>
      <w:r w:rsidR="002A0EFD">
        <w:rPr>
          <w:rFonts w:asciiTheme="majorHAnsi" w:hAnsiTheme="majorHAnsi" w:cstheme="majorHAnsi"/>
          <w:b/>
          <w:iCs/>
        </w:rPr>
        <w:t>enact legislation prohibiting all corporal punishment of children with disabilities, including in homes and institutions?</w:t>
      </w:r>
      <w:r w:rsidR="00C575FA">
        <w:rPr>
          <w:rFonts w:asciiTheme="majorHAnsi" w:hAnsiTheme="majorHAnsi" w:cstheme="majorHAnsi"/>
          <w:b/>
          <w:iCs/>
        </w:rPr>
        <w:t>”</w:t>
      </w:r>
    </w:p>
    <w:p w14:paraId="2E512E2A" w14:textId="27258AFA" w:rsidR="00106569" w:rsidRPr="007A36F3" w:rsidRDefault="00E4774B" w:rsidP="008D7C17">
      <w:pPr>
        <w:numPr>
          <w:ilvl w:val="0"/>
          <w:numId w:val="6"/>
        </w:numPr>
        <w:spacing w:after="120"/>
        <w:rPr>
          <w:rFonts w:asciiTheme="majorHAnsi" w:hAnsiTheme="majorHAnsi" w:cstheme="majorHAnsi"/>
          <w:b/>
          <w:sz w:val="26"/>
          <w:szCs w:val="26"/>
        </w:rPr>
      </w:pPr>
      <w:r w:rsidRPr="00466A97">
        <w:rPr>
          <w:rFonts w:asciiTheme="majorHAnsi" w:hAnsiTheme="majorHAnsi" w:cstheme="majorHAnsi"/>
          <w:iCs/>
        </w:rPr>
        <w:t xml:space="preserve">recommend to the Government of </w:t>
      </w:r>
      <w:r w:rsidR="002A0EFD">
        <w:rPr>
          <w:rFonts w:asciiTheme="majorHAnsi" w:hAnsiTheme="majorHAnsi" w:cstheme="majorHAnsi"/>
          <w:iCs/>
        </w:rPr>
        <w:t>Belgium</w:t>
      </w:r>
      <w:r w:rsidR="007F7529" w:rsidRPr="00466A97">
        <w:rPr>
          <w:rFonts w:asciiTheme="majorHAnsi" w:hAnsiTheme="majorHAnsi" w:cstheme="majorHAnsi"/>
          <w:iCs/>
        </w:rPr>
        <w:t xml:space="preserve">, in the Committee’s concluding observations on the </w:t>
      </w:r>
      <w:r w:rsidR="00734138">
        <w:rPr>
          <w:rFonts w:asciiTheme="majorHAnsi" w:hAnsiTheme="majorHAnsi" w:cstheme="majorHAnsi"/>
          <w:iCs/>
        </w:rPr>
        <w:t>second/</w:t>
      </w:r>
      <w:r w:rsidR="00826CD2" w:rsidRPr="00466A97">
        <w:rPr>
          <w:rFonts w:asciiTheme="majorHAnsi" w:hAnsiTheme="majorHAnsi" w:cstheme="majorHAnsi"/>
          <w:iCs/>
        </w:rPr>
        <w:t>third</w:t>
      </w:r>
      <w:r w:rsidR="00833827" w:rsidRPr="00466A97">
        <w:rPr>
          <w:rFonts w:asciiTheme="majorHAnsi" w:hAnsiTheme="majorHAnsi" w:cstheme="majorHAnsi"/>
          <w:iCs/>
        </w:rPr>
        <w:t xml:space="preserve"> report, that </w:t>
      </w:r>
      <w:r w:rsidR="00DC20AE" w:rsidRPr="00466A97">
        <w:rPr>
          <w:rFonts w:asciiTheme="majorHAnsi" w:hAnsiTheme="majorHAnsi" w:cstheme="majorHAnsi"/>
          <w:iCs/>
        </w:rPr>
        <w:t>“</w:t>
      </w:r>
      <w:r w:rsidR="00833827" w:rsidRPr="00466A97">
        <w:rPr>
          <w:rFonts w:asciiTheme="majorHAnsi" w:hAnsiTheme="majorHAnsi" w:cstheme="majorHAnsi"/>
          <w:b/>
          <w:iCs/>
        </w:rPr>
        <w:t>legislation</w:t>
      </w:r>
      <w:r w:rsidR="00460F41" w:rsidRPr="00466A97">
        <w:rPr>
          <w:rFonts w:asciiTheme="majorHAnsi" w:hAnsiTheme="majorHAnsi" w:cstheme="majorHAnsi"/>
          <w:b/>
          <w:iCs/>
        </w:rPr>
        <w:t xml:space="preserve"> </w:t>
      </w:r>
      <w:r w:rsidR="00833827" w:rsidRPr="00466A97">
        <w:rPr>
          <w:rFonts w:asciiTheme="majorHAnsi" w:hAnsiTheme="majorHAnsi" w:cstheme="majorHAnsi"/>
          <w:b/>
        </w:rPr>
        <w:t xml:space="preserve">is enacted to explicitly prohibit </w:t>
      </w:r>
      <w:r w:rsidR="001F0335">
        <w:rPr>
          <w:rFonts w:asciiTheme="majorHAnsi" w:hAnsiTheme="majorHAnsi" w:cstheme="majorHAnsi"/>
          <w:b/>
        </w:rPr>
        <w:t xml:space="preserve">all </w:t>
      </w:r>
      <w:r w:rsidR="00833827" w:rsidRPr="00466A97">
        <w:rPr>
          <w:rFonts w:asciiTheme="majorHAnsi" w:hAnsiTheme="majorHAnsi" w:cstheme="majorHAnsi"/>
          <w:b/>
        </w:rPr>
        <w:t>corporal punishment of children in all settings</w:t>
      </w:r>
      <w:r w:rsidR="001F0335">
        <w:rPr>
          <w:rFonts w:asciiTheme="majorHAnsi" w:hAnsiTheme="majorHAnsi" w:cstheme="majorHAnsi"/>
          <w:b/>
        </w:rPr>
        <w:t>, including th</w:t>
      </w:r>
      <w:r w:rsidR="00833827" w:rsidRPr="00466A97">
        <w:rPr>
          <w:rFonts w:asciiTheme="majorHAnsi" w:hAnsiTheme="majorHAnsi" w:cstheme="majorHAnsi"/>
          <w:b/>
        </w:rPr>
        <w:t>e</w:t>
      </w:r>
      <w:r w:rsidR="00A938DF">
        <w:rPr>
          <w:rFonts w:asciiTheme="majorHAnsi" w:hAnsiTheme="majorHAnsi" w:cstheme="majorHAnsi"/>
          <w:b/>
        </w:rPr>
        <w:t xml:space="preserve"> home</w:t>
      </w:r>
      <w:r w:rsidR="002A0EFD">
        <w:rPr>
          <w:rFonts w:asciiTheme="majorHAnsi" w:hAnsiTheme="majorHAnsi" w:cstheme="majorHAnsi"/>
          <w:b/>
        </w:rPr>
        <w:t xml:space="preserve"> and throughout the territory</w:t>
      </w:r>
      <w:r w:rsidR="001F0335">
        <w:rPr>
          <w:rFonts w:asciiTheme="majorHAnsi" w:hAnsiTheme="majorHAnsi" w:cstheme="majorHAnsi"/>
          <w:b/>
        </w:rPr>
        <w:t>,</w:t>
      </w:r>
      <w:r w:rsidR="00833827" w:rsidRPr="00466A97">
        <w:rPr>
          <w:rFonts w:asciiTheme="majorHAnsi" w:hAnsiTheme="majorHAnsi" w:cstheme="majorHAnsi"/>
          <w:b/>
        </w:rPr>
        <w:t xml:space="preserve"> and that measures are put in place to ensure the law is properly implemented</w:t>
      </w:r>
      <w:r w:rsidR="00DC20AE" w:rsidRPr="00466A97">
        <w:rPr>
          <w:rFonts w:asciiTheme="majorHAnsi" w:hAnsiTheme="majorHAnsi" w:cstheme="majorHAnsi"/>
        </w:rPr>
        <w:t>”</w:t>
      </w:r>
      <w:r w:rsidR="00833827" w:rsidRPr="00466A97">
        <w:rPr>
          <w:rFonts w:asciiTheme="majorHAnsi" w:hAnsiTheme="majorHAnsi" w:cstheme="majorHAnsi"/>
        </w:rPr>
        <w:t>.</w:t>
      </w:r>
      <w:r w:rsidR="00106569" w:rsidRPr="007A36F3">
        <w:rPr>
          <w:rFonts w:asciiTheme="majorHAnsi" w:hAnsiTheme="majorHAnsi" w:cstheme="majorHAnsi"/>
          <w:b/>
          <w:sz w:val="26"/>
          <w:szCs w:val="26"/>
        </w:rPr>
        <w:br w:type="page"/>
      </w:r>
    </w:p>
    <w:p w14:paraId="1983D09B" w14:textId="28BE79BE"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lastRenderedPageBreak/>
        <w:t>(c) Detailed briefing</w:t>
      </w:r>
    </w:p>
    <w:p w14:paraId="69A1F232" w14:textId="5815296A"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t>The right of children with disabilities not to be subjected to corporal punishment</w:t>
      </w:r>
    </w:p>
    <w:p w14:paraId="6370E703" w14:textId="532DDE26" w:rsidR="007F7529" w:rsidRPr="007A36F3" w:rsidRDefault="00460197" w:rsidP="00E511FD">
      <w:pPr>
        <w:spacing w:after="120"/>
        <w:rPr>
          <w:rFonts w:asciiTheme="majorHAnsi" w:hAnsiTheme="majorHAnsi" w:cstheme="majorHAnsi"/>
        </w:rPr>
      </w:pPr>
      <w:r>
        <w:rPr>
          <w:rFonts w:asciiTheme="majorHAnsi" w:hAnsiTheme="majorHAnsi" w:cstheme="majorHAnsi"/>
        </w:rPr>
        <w:t>4</w:t>
      </w:r>
      <w:r w:rsidR="00E511FD" w:rsidRPr="007A36F3">
        <w:rPr>
          <w:rFonts w:asciiTheme="majorHAnsi" w:hAnsiTheme="majorHAnsi" w:cstheme="majorHAnsi"/>
        </w:rPr>
        <w:t xml:space="preserve">. </w:t>
      </w:r>
      <w:r w:rsidR="007F7529" w:rsidRPr="007A36F3">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2B83774B" w:rsidR="007F7529" w:rsidRPr="007A36F3" w:rsidRDefault="00460197" w:rsidP="00E511FD">
      <w:pPr>
        <w:spacing w:after="120"/>
        <w:rPr>
          <w:rFonts w:asciiTheme="majorHAnsi" w:hAnsiTheme="majorHAnsi" w:cstheme="majorHAnsi"/>
        </w:rPr>
      </w:pPr>
      <w:r>
        <w:rPr>
          <w:rFonts w:asciiTheme="majorHAnsi" w:hAnsiTheme="majorHAnsi" w:cstheme="majorHAnsi"/>
        </w:rPr>
        <w:t>5</w:t>
      </w:r>
      <w:r w:rsidR="00E511FD" w:rsidRPr="007A36F3">
        <w:rPr>
          <w:rFonts w:asciiTheme="majorHAnsi" w:hAnsiTheme="majorHAnsi" w:cstheme="majorHAnsi"/>
        </w:rPr>
        <w:t xml:space="preserve">. </w:t>
      </w:r>
      <w:r w:rsidR="007F7529" w:rsidRPr="007A36F3">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7A36F3">
        <w:rPr>
          <w:rStyle w:val="FootnoteReference"/>
          <w:rFonts w:asciiTheme="majorHAnsi" w:hAnsiTheme="majorHAnsi" w:cstheme="majorHAnsi"/>
        </w:rPr>
        <w:footnoteReference w:id="1"/>
      </w:r>
      <w:r w:rsidR="007F7529" w:rsidRPr="007A36F3">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w:t>
      </w:r>
      <w:r w:rsidR="007F7529" w:rsidRPr="007A36F3">
        <w:rPr>
          <w:rFonts w:asciiTheme="majorHAnsi" w:hAnsiTheme="majorHAnsi" w:cstheme="majorHAnsi"/>
        </w:rPr>
        <w:lastRenderedPageBreak/>
        <w:t xml:space="preserve">prohibition. It also means that corporal punishment – at least to some degree – is not readily perceived as </w:t>
      </w:r>
      <w:r w:rsidR="00BC6C90" w:rsidRPr="007A36F3">
        <w:rPr>
          <w:rFonts w:asciiTheme="majorHAnsi" w:hAnsiTheme="majorHAnsi" w:cstheme="majorHAnsi"/>
        </w:rPr>
        <w:t>violence</w:t>
      </w:r>
      <w:r w:rsidR="007F7529" w:rsidRPr="007A36F3">
        <w:rPr>
          <w:rFonts w:asciiTheme="majorHAnsi" w:hAnsiTheme="majorHAnsi" w:cstheme="majorHAnsi"/>
        </w:rPr>
        <w:t xml:space="preserve"> in the same way as, for example, sexual and other socially unacceptable forms of </w:t>
      </w:r>
      <w:r w:rsidR="00E511FD" w:rsidRPr="007A36F3">
        <w:rPr>
          <w:rFonts w:asciiTheme="majorHAnsi" w:hAnsiTheme="majorHAnsi" w:cstheme="majorHAnsi"/>
        </w:rPr>
        <w:t>violence.</w:t>
      </w:r>
    </w:p>
    <w:p w14:paraId="111ED3CA" w14:textId="29B3171B" w:rsidR="005B31F1" w:rsidRPr="007A36F3" w:rsidRDefault="00460197" w:rsidP="00E511FD">
      <w:pPr>
        <w:spacing w:after="120"/>
        <w:rPr>
          <w:rFonts w:asciiTheme="majorHAnsi" w:hAnsiTheme="majorHAnsi" w:cstheme="majorHAnsi"/>
        </w:rPr>
      </w:pPr>
      <w:r>
        <w:rPr>
          <w:rFonts w:asciiTheme="majorHAnsi" w:hAnsiTheme="majorHAnsi" w:cstheme="majorHAnsi"/>
        </w:rPr>
        <w:t>6</w:t>
      </w:r>
      <w:r w:rsidR="00E511FD" w:rsidRPr="007A36F3">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00833827" w:rsidRPr="007A36F3">
        <w:rPr>
          <w:rFonts w:asciiTheme="majorHAnsi" w:hAnsiTheme="majorHAnsi" w:cstheme="majorHAnsi"/>
        </w:rPr>
        <w:t>legislation</w:t>
      </w:r>
      <w:r w:rsidR="00E511FD" w:rsidRPr="007A36F3">
        <w:rPr>
          <w:rFonts w:asciiTheme="majorHAnsi" w:hAnsiTheme="majorHAnsi" w:cstheme="majorHAnsi"/>
        </w:rPr>
        <w:t xml:space="preserve"> prohibiting it in all settings including the home is critical. </w:t>
      </w:r>
    </w:p>
    <w:p w14:paraId="7CCE9FC2" w14:textId="77777777" w:rsidR="007F7529" w:rsidRPr="007A36F3" w:rsidRDefault="007F7529" w:rsidP="007F7529">
      <w:pPr>
        <w:autoSpaceDE w:val="0"/>
        <w:autoSpaceDN w:val="0"/>
        <w:adjustRightInd w:val="0"/>
        <w:spacing w:after="120"/>
        <w:rPr>
          <w:rFonts w:asciiTheme="majorHAnsi" w:hAnsiTheme="majorHAnsi" w:cstheme="majorHAnsi"/>
          <w:b/>
          <w:sz w:val="26"/>
          <w:szCs w:val="26"/>
        </w:rPr>
      </w:pPr>
    </w:p>
    <w:p w14:paraId="1DD3CA84" w14:textId="7FA55A33" w:rsidR="007F7529" w:rsidRPr="007A36F3" w:rsidRDefault="00683188" w:rsidP="007F7529">
      <w:pPr>
        <w:pStyle w:val="Heading2"/>
        <w:spacing w:after="120"/>
        <w:rPr>
          <w:rFonts w:asciiTheme="majorHAnsi" w:hAnsiTheme="majorHAnsi" w:cstheme="majorHAnsi"/>
          <w:sz w:val="26"/>
          <w:szCs w:val="26"/>
          <w:lang w:val="en-GB"/>
        </w:rPr>
      </w:pPr>
      <w:r w:rsidRPr="007A36F3">
        <w:rPr>
          <w:rFonts w:asciiTheme="majorHAnsi" w:hAnsiTheme="majorHAnsi" w:cstheme="majorHAnsi"/>
          <w:sz w:val="26"/>
          <w:szCs w:val="26"/>
        </w:rPr>
        <w:t>The l</w:t>
      </w:r>
      <w:r w:rsidR="007F7529" w:rsidRPr="007A36F3">
        <w:rPr>
          <w:rFonts w:asciiTheme="majorHAnsi" w:hAnsiTheme="majorHAnsi" w:cstheme="majorHAnsi"/>
          <w:sz w:val="26"/>
          <w:szCs w:val="26"/>
        </w:rPr>
        <w:t xml:space="preserve">egality of corporal punishment of children with disabilities in </w:t>
      </w:r>
      <w:r w:rsidR="003615D5">
        <w:rPr>
          <w:rFonts w:asciiTheme="majorHAnsi" w:hAnsiTheme="majorHAnsi" w:cstheme="majorHAnsi"/>
          <w:sz w:val="26"/>
          <w:szCs w:val="26"/>
          <w:lang w:val="en-GB"/>
        </w:rPr>
        <w:t>Belgium</w:t>
      </w:r>
    </w:p>
    <w:p w14:paraId="2BE45A5A" w14:textId="476FD420" w:rsidR="00E2216C" w:rsidRPr="007A36F3" w:rsidRDefault="00460197" w:rsidP="00BC6C90">
      <w:pPr>
        <w:autoSpaceDE w:val="0"/>
        <w:autoSpaceDN w:val="0"/>
        <w:adjustRightInd w:val="0"/>
        <w:spacing w:after="120"/>
        <w:rPr>
          <w:rFonts w:asciiTheme="majorHAnsi" w:hAnsiTheme="majorHAnsi" w:cstheme="majorHAnsi"/>
        </w:rPr>
      </w:pPr>
      <w:r>
        <w:rPr>
          <w:rFonts w:asciiTheme="majorHAnsi" w:hAnsiTheme="majorHAnsi" w:cstheme="majorHAnsi"/>
        </w:rPr>
        <w:t>7</w:t>
      </w:r>
      <w:r w:rsidR="00BC6C90" w:rsidRPr="007A36F3">
        <w:rPr>
          <w:rFonts w:asciiTheme="majorHAnsi" w:hAnsiTheme="majorHAnsi" w:cstheme="majorHAnsi"/>
        </w:rPr>
        <w:t xml:space="preserve">. </w:t>
      </w:r>
      <w:r w:rsidR="007F7529" w:rsidRPr="007A36F3">
        <w:rPr>
          <w:rFonts w:asciiTheme="majorHAnsi" w:hAnsiTheme="majorHAnsi" w:cstheme="majorHAnsi"/>
        </w:rPr>
        <w:t xml:space="preserve">Corporal punishment of children is unlawful </w:t>
      </w:r>
      <w:r w:rsidR="001F0335">
        <w:rPr>
          <w:rFonts w:asciiTheme="majorHAnsi" w:hAnsiTheme="majorHAnsi" w:cstheme="majorHAnsi"/>
        </w:rPr>
        <w:t>in</w:t>
      </w:r>
      <w:r w:rsidR="00C575FA">
        <w:rPr>
          <w:rFonts w:asciiTheme="majorHAnsi" w:hAnsiTheme="majorHAnsi" w:cstheme="majorHAnsi"/>
        </w:rPr>
        <w:t xml:space="preserve"> </w:t>
      </w:r>
      <w:r w:rsidR="003615D5" w:rsidRPr="003615D5">
        <w:rPr>
          <w:rFonts w:asciiTheme="majorHAnsi" w:hAnsiTheme="majorHAnsi" w:cstheme="majorHAnsi"/>
        </w:rPr>
        <w:t xml:space="preserve">institutional care settings in the Flemish Community, </w:t>
      </w:r>
      <w:r w:rsidR="00350AB7">
        <w:rPr>
          <w:rFonts w:asciiTheme="majorHAnsi" w:hAnsiTheme="majorHAnsi" w:cstheme="majorHAnsi"/>
        </w:rPr>
        <w:t xml:space="preserve">and </w:t>
      </w:r>
      <w:r w:rsidR="003615D5" w:rsidRPr="003615D5">
        <w:rPr>
          <w:rFonts w:asciiTheme="majorHAnsi" w:hAnsiTheme="majorHAnsi" w:cstheme="majorHAnsi"/>
        </w:rPr>
        <w:t>in schools and the penal system</w:t>
      </w:r>
      <w:r w:rsidR="006C5ECF">
        <w:rPr>
          <w:rFonts w:asciiTheme="majorHAnsi" w:hAnsiTheme="majorHAnsi" w:cstheme="majorHAnsi"/>
        </w:rPr>
        <w:t xml:space="preserve"> in the whole of Belgium</w:t>
      </w:r>
      <w:r w:rsidR="001F0335">
        <w:rPr>
          <w:rFonts w:asciiTheme="majorHAnsi" w:hAnsiTheme="majorHAnsi" w:cstheme="majorHAnsi"/>
        </w:rPr>
        <w:t>,</w:t>
      </w:r>
      <w:r w:rsidR="008730E0" w:rsidRPr="007A36F3">
        <w:rPr>
          <w:rFonts w:asciiTheme="majorHAnsi" w:hAnsiTheme="majorHAnsi" w:cstheme="majorHAnsi"/>
        </w:rPr>
        <w:t xml:space="preserve"> but children with disabilities may lawfully be subject</w:t>
      </w:r>
      <w:r w:rsidR="00833827" w:rsidRPr="007A36F3">
        <w:rPr>
          <w:rFonts w:asciiTheme="majorHAnsi" w:hAnsiTheme="majorHAnsi" w:cstheme="majorHAnsi"/>
        </w:rPr>
        <w:t>ed</w:t>
      </w:r>
      <w:r w:rsidR="008730E0" w:rsidRPr="007A36F3">
        <w:rPr>
          <w:rFonts w:asciiTheme="majorHAnsi" w:hAnsiTheme="majorHAnsi" w:cstheme="majorHAnsi"/>
        </w:rPr>
        <w:t xml:space="preserve"> to p</w:t>
      </w:r>
      <w:r w:rsidR="003615D5">
        <w:rPr>
          <w:rFonts w:asciiTheme="majorHAnsi" w:hAnsiTheme="majorHAnsi" w:cstheme="majorHAnsi"/>
        </w:rPr>
        <w:t xml:space="preserve">hysical punishment in the home </w:t>
      </w:r>
      <w:r w:rsidR="003615D5" w:rsidRPr="003615D5">
        <w:rPr>
          <w:rFonts w:asciiTheme="majorHAnsi" w:hAnsiTheme="majorHAnsi" w:cstheme="majorHAnsi"/>
        </w:rPr>
        <w:t>and in most alternative and day care settings.</w:t>
      </w:r>
    </w:p>
    <w:p w14:paraId="2A4F5D0E" w14:textId="33851C66" w:rsidR="003615D5" w:rsidRPr="003615D5" w:rsidRDefault="00460197" w:rsidP="003615D5">
      <w:pPr>
        <w:autoSpaceDE w:val="0"/>
        <w:autoSpaceDN w:val="0"/>
        <w:adjustRightInd w:val="0"/>
        <w:spacing w:after="120"/>
        <w:rPr>
          <w:rFonts w:asciiTheme="majorHAnsi" w:hAnsiTheme="majorHAnsi" w:cstheme="majorHAnsi"/>
        </w:rPr>
      </w:pPr>
      <w:r>
        <w:rPr>
          <w:rFonts w:asciiTheme="majorHAnsi" w:hAnsiTheme="majorHAnsi" w:cstheme="majorHAnsi"/>
        </w:rPr>
        <w:t>8</w:t>
      </w:r>
      <w:r w:rsidR="00620321" w:rsidRPr="007A36F3">
        <w:rPr>
          <w:rFonts w:asciiTheme="majorHAnsi" w:hAnsiTheme="majorHAnsi" w:cstheme="majorHAnsi"/>
        </w:rPr>
        <w:t xml:space="preserve">. </w:t>
      </w:r>
      <w:r w:rsidR="00620321" w:rsidRPr="007A36F3">
        <w:rPr>
          <w:rFonts w:asciiTheme="majorHAnsi" w:hAnsiTheme="majorHAnsi" w:cstheme="majorHAnsi"/>
          <w:i/>
        </w:rPr>
        <w:t>Corporal punishment is lawful in the home</w:t>
      </w:r>
      <w:r w:rsidR="001E380B" w:rsidRPr="001E380B">
        <w:rPr>
          <w:rFonts w:asciiTheme="majorHAnsi" w:hAnsiTheme="majorHAnsi" w:cstheme="majorHAnsi"/>
        </w:rPr>
        <w:t>.</w:t>
      </w:r>
      <w:r w:rsidR="003615D5" w:rsidRPr="003615D5">
        <w:rPr>
          <w:rFonts w:asciiTheme="majorHAnsi" w:hAnsiTheme="majorHAnsi" w:cstheme="majorHAnsi"/>
        </w:rPr>
        <w:t xml:space="preserve"> The Civil Code states that the parent-child relationship should be one of “mutual respect” (art. 371), but this is not interpreted as prohibiting parental corporal punishment. A Constitutional amendment in 2000 (art. 22bis) provides for the protection of the child’s moral, physical and sexual integrity but does not explicitly prohibit all corporal punishment. Provisions against violence and abuse in the Penal Code as amended by the Law Concerning the Penal Protection of Minors 2000 are not interpreted as prohibiting all corporal punishment in childrearing. </w:t>
      </w:r>
    </w:p>
    <w:p w14:paraId="1368CDC2" w14:textId="21931087" w:rsidR="009A6507" w:rsidRDefault="009A6507" w:rsidP="003615D5">
      <w:pPr>
        <w:autoSpaceDE w:val="0"/>
        <w:autoSpaceDN w:val="0"/>
        <w:adjustRightInd w:val="0"/>
        <w:spacing w:after="120"/>
        <w:rPr>
          <w:rFonts w:asciiTheme="majorHAnsi" w:hAnsiTheme="majorHAnsi" w:cstheme="majorHAnsi"/>
        </w:rPr>
      </w:pPr>
      <w:r>
        <w:rPr>
          <w:rFonts w:asciiTheme="majorHAnsi" w:hAnsiTheme="majorHAnsi" w:cstheme="majorHAnsi"/>
        </w:rPr>
        <w:lastRenderedPageBreak/>
        <w:t xml:space="preserve">9. </w:t>
      </w:r>
      <w:r w:rsidR="003615D5" w:rsidRPr="003615D5">
        <w:rPr>
          <w:rFonts w:asciiTheme="majorHAnsi" w:hAnsiTheme="majorHAnsi" w:cstheme="majorHAnsi"/>
        </w:rPr>
        <w:t>Following a complaint against Belgium brought in 2003 by the World Organisation Against Torture under the Collective Complaints procedure of the European Social Charter, the European Committee of Social Rights concluded that Belgium was in violation of article 17 of the Charter because there is no explicit prohibition in law of corporal punishment of children by parents and other carers (including non-institutional childcare facilities and arrangements).</w:t>
      </w:r>
      <w:r w:rsidR="003615D5" w:rsidRPr="003615D5">
        <w:rPr>
          <w:rFonts w:asciiTheme="majorHAnsi" w:hAnsiTheme="majorHAnsi" w:cstheme="majorHAnsi"/>
          <w:vertAlign w:val="superscript"/>
        </w:rPr>
        <w:footnoteReference w:id="2"/>
      </w:r>
      <w:r w:rsidR="003615D5" w:rsidRPr="003615D5">
        <w:rPr>
          <w:rFonts w:asciiTheme="majorHAnsi" w:hAnsiTheme="majorHAnsi" w:cstheme="majorHAnsi"/>
        </w:rPr>
        <w:t xml:space="preserve"> In the following years, a number of legislative proposals were introduced to amend the Civil Code to prohibit all corporal punishment</w:t>
      </w:r>
      <w:r w:rsidR="003615D5" w:rsidRPr="003615D5">
        <w:rPr>
          <w:rFonts w:asciiTheme="majorHAnsi" w:hAnsiTheme="majorHAnsi" w:cstheme="majorHAnsi"/>
          <w:vertAlign w:val="superscript"/>
        </w:rPr>
        <w:footnoteReference w:id="3"/>
      </w:r>
      <w:r w:rsidR="003615D5" w:rsidRPr="003615D5">
        <w:rPr>
          <w:rFonts w:asciiTheme="majorHAnsi" w:hAnsiTheme="majorHAnsi" w:cstheme="majorHAnsi"/>
        </w:rPr>
        <w:t xml:space="preserve"> but these were never discussed in Parliament.</w:t>
      </w:r>
      <w:r>
        <w:rPr>
          <w:rFonts w:asciiTheme="majorHAnsi" w:hAnsiTheme="majorHAnsi" w:cstheme="majorHAnsi"/>
        </w:rPr>
        <w:t xml:space="preserve"> </w:t>
      </w:r>
      <w:r w:rsidR="003615D5" w:rsidRPr="003615D5">
        <w:rPr>
          <w:rFonts w:asciiTheme="majorHAnsi" w:hAnsiTheme="majorHAnsi" w:cstheme="majorHAnsi"/>
        </w:rPr>
        <w:t>In 2011, the Government rejected the recommendation to prohibit corporal punishment by law in all settings made during the Universal Periodic Review of Belgium, stating that while corporal punishment is not a specific offence, a number of provisions in criminal law are applicable to such acts.</w:t>
      </w:r>
      <w:r w:rsidR="003615D5" w:rsidRPr="003615D5">
        <w:rPr>
          <w:rFonts w:asciiTheme="majorHAnsi" w:hAnsiTheme="majorHAnsi" w:cstheme="majorHAnsi"/>
          <w:vertAlign w:val="superscript"/>
        </w:rPr>
        <w:footnoteReference w:id="4"/>
      </w:r>
      <w:r w:rsidR="003615D5" w:rsidRPr="003615D5">
        <w:rPr>
          <w:rFonts w:asciiTheme="majorHAnsi" w:hAnsiTheme="majorHAnsi" w:cstheme="majorHAnsi"/>
        </w:rPr>
        <w:t xml:space="preserve"> In reporting to the Committee Against Torture in 2012, the Government similarly indicated that existing law offers adequate protection to children from corporal punishment but also confirmed that corporal punishment is “not an offence as such”.</w:t>
      </w:r>
      <w:r w:rsidR="003615D5" w:rsidRPr="003615D5">
        <w:rPr>
          <w:rFonts w:asciiTheme="majorHAnsi" w:hAnsiTheme="majorHAnsi" w:cstheme="majorHAnsi"/>
          <w:vertAlign w:val="superscript"/>
        </w:rPr>
        <w:footnoteReference w:id="5"/>
      </w:r>
      <w:r w:rsidR="003615D5" w:rsidRPr="003615D5">
        <w:rPr>
          <w:rFonts w:asciiTheme="majorHAnsi" w:hAnsiTheme="majorHAnsi" w:cstheme="majorHAnsi"/>
        </w:rPr>
        <w:t xml:space="preserve"> The report draws attention to a circular of 21 October 2008 which reminds prosecution services that “depending on the circumstances, cor</w:t>
      </w:r>
      <w:r w:rsidR="003615D5" w:rsidRPr="003615D5">
        <w:rPr>
          <w:rFonts w:asciiTheme="majorHAnsi" w:hAnsiTheme="majorHAnsi" w:cstheme="majorHAnsi"/>
        </w:rPr>
        <w:lastRenderedPageBreak/>
        <w:t>poral punishment of children is liable to be treated as punishable assault and/or degrading treatment”.</w:t>
      </w:r>
      <w:r w:rsidR="003615D5" w:rsidRPr="003615D5">
        <w:rPr>
          <w:rFonts w:asciiTheme="majorHAnsi" w:hAnsiTheme="majorHAnsi" w:cstheme="majorHAnsi"/>
          <w:vertAlign w:val="superscript"/>
        </w:rPr>
        <w:footnoteReference w:id="6"/>
      </w:r>
      <w:r w:rsidR="003615D5" w:rsidRPr="003615D5">
        <w:rPr>
          <w:rFonts w:asciiTheme="majorHAnsi" w:hAnsiTheme="majorHAnsi" w:cstheme="majorHAnsi"/>
        </w:rPr>
        <w:t xml:space="preserve"> Again, in 2013, in response to a question by the Committee on Economic, Social and Cultural Rights about prohibition, the Government asserted that existing legislation adequately protects children from corporal punishment.</w:t>
      </w:r>
      <w:r w:rsidR="003615D5" w:rsidRPr="003615D5">
        <w:rPr>
          <w:rFonts w:asciiTheme="majorHAnsi" w:hAnsiTheme="majorHAnsi" w:cstheme="majorHAnsi"/>
          <w:vertAlign w:val="superscript"/>
        </w:rPr>
        <w:footnoteReference w:id="7"/>
      </w:r>
      <w:r>
        <w:rPr>
          <w:rFonts w:asciiTheme="majorHAnsi" w:hAnsiTheme="majorHAnsi" w:cstheme="majorHAnsi"/>
        </w:rPr>
        <w:t xml:space="preserve"> </w:t>
      </w:r>
    </w:p>
    <w:p w14:paraId="4B01747B" w14:textId="6F53B3C0" w:rsidR="003615D5" w:rsidRPr="003615D5" w:rsidRDefault="0082206B" w:rsidP="003615D5">
      <w:pPr>
        <w:autoSpaceDE w:val="0"/>
        <w:autoSpaceDN w:val="0"/>
        <w:adjustRightInd w:val="0"/>
        <w:spacing w:after="120"/>
        <w:rPr>
          <w:rFonts w:asciiTheme="majorHAnsi" w:hAnsiTheme="majorHAnsi" w:cstheme="majorHAnsi"/>
        </w:rPr>
      </w:pPr>
      <w:r>
        <w:rPr>
          <w:rFonts w:asciiTheme="majorHAnsi" w:hAnsiTheme="majorHAnsi" w:cstheme="majorHAnsi"/>
        </w:rPr>
        <w:t>10</w:t>
      </w:r>
      <w:r w:rsidR="009A6507">
        <w:rPr>
          <w:rFonts w:asciiTheme="majorHAnsi" w:hAnsiTheme="majorHAnsi" w:cstheme="majorHAnsi"/>
        </w:rPr>
        <w:t>. A</w:t>
      </w:r>
      <w:r w:rsidR="003615D5" w:rsidRPr="003615D5">
        <w:rPr>
          <w:rFonts w:asciiTheme="majorHAnsi" w:hAnsiTheme="majorHAnsi" w:cstheme="majorHAnsi"/>
        </w:rPr>
        <w:t xml:space="preserve"> second collective complaint – submitted by the Association for the Protection of All Children (APPROACH) Ltd – was registered by the European Committee of Social Rights</w:t>
      </w:r>
      <w:r w:rsidR="009A6507">
        <w:rPr>
          <w:rFonts w:asciiTheme="majorHAnsi" w:hAnsiTheme="majorHAnsi" w:cstheme="majorHAnsi"/>
        </w:rPr>
        <w:t xml:space="preserve"> in 2013</w:t>
      </w:r>
      <w:r w:rsidR="003615D5" w:rsidRPr="003615D5">
        <w:rPr>
          <w:rFonts w:asciiTheme="majorHAnsi" w:hAnsiTheme="majorHAnsi" w:cstheme="majorHAnsi"/>
        </w:rPr>
        <w:t>.</w:t>
      </w:r>
      <w:r w:rsidR="003615D5" w:rsidRPr="003615D5">
        <w:rPr>
          <w:rFonts w:asciiTheme="majorHAnsi" w:hAnsiTheme="majorHAnsi" w:cstheme="majorHAnsi"/>
          <w:vertAlign w:val="superscript"/>
        </w:rPr>
        <w:footnoteReference w:id="8"/>
      </w:r>
      <w:r w:rsidR="003615D5" w:rsidRPr="003615D5">
        <w:rPr>
          <w:rFonts w:asciiTheme="majorHAnsi" w:hAnsiTheme="majorHAnsi" w:cstheme="majorHAnsi"/>
        </w:rPr>
        <w:t xml:space="preserve"> The Committee concluded </w:t>
      </w:r>
      <w:r w:rsidR="009A6507">
        <w:rPr>
          <w:rFonts w:asciiTheme="majorHAnsi" w:hAnsiTheme="majorHAnsi" w:cstheme="majorHAnsi"/>
        </w:rPr>
        <w:t xml:space="preserve">in 2015 </w:t>
      </w:r>
      <w:r w:rsidR="003615D5" w:rsidRPr="003615D5">
        <w:rPr>
          <w:rFonts w:asciiTheme="majorHAnsi" w:hAnsiTheme="majorHAnsi" w:cstheme="majorHAnsi"/>
        </w:rPr>
        <w:t>that the situation in Belgium is in violation of the Charter because there is “no adequate and effective prohibition [of corporal punishment] in law”.</w:t>
      </w:r>
      <w:r w:rsidR="003615D5" w:rsidRPr="003615D5">
        <w:rPr>
          <w:rFonts w:asciiTheme="majorHAnsi" w:hAnsiTheme="majorHAnsi" w:cstheme="majorHAnsi"/>
          <w:vertAlign w:val="superscript"/>
        </w:rPr>
        <w:footnoteReference w:id="9"/>
      </w:r>
      <w:r w:rsidR="009A6507">
        <w:rPr>
          <w:rFonts w:asciiTheme="majorHAnsi" w:hAnsiTheme="majorHAnsi" w:cstheme="majorHAnsi"/>
        </w:rPr>
        <w:t xml:space="preserve"> </w:t>
      </w:r>
      <w:r w:rsidR="003615D5" w:rsidRPr="003615D5">
        <w:rPr>
          <w:rFonts w:asciiTheme="majorHAnsi" w:hAnsiTheme="majorHAnsi" w:cstheme="majorHAnsi"/>
        </w:rPr>
        <w:t>In responding to recommendations to prohibit corporal punishment made during the Universal Periodic Review of Belgium in 2016, the Government accepted one recommendation to prohibit corporal punishment in all settings including the home but delayed its response to another similar recommendation.</w:t>
      </w:r>
      <w:r w:rsidR="003615D5" w:rsidRPr="003615D5">
        <w:rPr>
          <w:rFonts w:asciiTheme="majorHAnsi" w:hAnsiTheme="majorHAnsi" w:cstheme="majorHAnsi"/>
          <w:vertAlign w:val="superscript"/>
        </w:rPr>
        <w:footnoteReference w:id="10"/>
      </w:r>
      <w:r w:rsidR="003615D5" w:rsidRPr="003615D5">
        <w:rPr>
          <w:rFonts w:asciiTheme="majorHAnsi" w:hAnsiTheme="majorHAnsi" w:cstheme="majorHAnsi"/>
        </w:rPr>
        <w:t xml:space="preserve"> Subsequently, in apparent contradiction to earlier remarks on the issue, the Government stated that it could not commit to implementing the recommendation to introduce a law prohibiting corporal punishment in all settings, that </w:t>
      </w:r>
      <w:r w:rsidR="003615D5" w:rsidRPr="003615D5">
        <w:rPr>
          <w:rFonts w:asciiTheme="majorHAnsi" w:hAnsiTheme="majorHAnsi" w:cstheme="majorHAnsi"/>
        </w:rPr>
        <w:lastRenderedPageBreak/>
        <w:t>the current legal framework already punishes violence towards children, and that a study is under way to determine whether adjustments to the framework are necessary or desirable.</w:t>
      </w:r>
      <w:r w:rsidR="003615D5" w:rsidRPr="003615D5">
        <w:rPr>
          <w:rFonts w:asciiTheme="majorHAnsi" w:hAnsiTheme="majorHAnsi" w:cstheme="majorHAnsi"/>
          <w:vertAlign w:val="superscript"/>
        </w:rPr>
        <w:footnoteReference w:id="11"/>
      </w:r>
    </w:p>
    <w:p w14:paraId="11DE7FA2" w14:textId="08B5F841" w:rsidR="003615D5" w:rsidRPr="003615D5" w:rsidRDefault="009A6507" w:rsidP="003615D5">
      <w:pPr>
        <w:autoSpaceDE w:val="0"/>
        <w:autoSpaceDN w:val="0"/>
        <w:adjustRightInd w:val="0"/>
        <w:spacing w:after="120"/>
        <w:rPr>
          <w:rFonts w:asciiTheme="majorHAnsi" w:hAnsiTheme="majorHAnsi" w:cstheme="majorHAnsi"/>
        </w:rPr>
      </w:pPr>
      <w:r>
        <w:rPr>
          <w:rFonts w:asciiTheme="majorHAnsi" w:hAnsiTheme="majorHAnsi" w:cstheme="majorHAnsi"/>
        </w:rPr>
        <w:t>1</w:t>
      </w:r>
      <w:r w:rsidR="0082206B">
        <w:rPr>
          <w:rFonts w:asciiTheme="majorHAnsi" w:hAnsiTheme="majorHAnsi" w:cstheme="majorHAnsi"/>
        </w:rPr>
        <w:t>1</w:t>
      </w:r>
      <w:r>
        <w:rPr>
          <w:rFonts w:asciiTheme="majorHAnsi" w:hAnsiTheme="majorHAnsi" w:cstheme="majorHAnsi"/>
        </w:rPr>
        <w:t xml:space="preserve">. </w:t>
      </w:r>
      <w:r w:rsidR="003615D5" w:rsidRPr="003615D5">
        <w:rPr>
          <w:rFonts w:asciiTheme="majorHAnsi" w:hAnsiTheme="majorHAnsi" w:cstheme="majorHAnsi"/>
        </w:rPr>
        <w:t xml:space="preserve">A Bill was introduced in April 2016 to amend the Civil Code, adding a new article 371/1 (unofficial translation): “Children have a right to care, safety and a good education. They must be treated with due respect to their person and their individuality and cannot be subjected to degrading treatment or any other form of physical or psychological violence.” Although the Bill does not use the term “corporal punishment”, its explanatory memorandum refers to Belgium’s obligation to explicitly prohibit all forms of corporal punishment and in particular to the multiple recommendations received from UN treaty bodies and the European Committee of Social Rights. It also states that this provision would be intended to apply to parents but also all others caring for a child. As at </w:t>
      </w:r>
      <w:r>
        <w:rPr>
          <w:rFonts w:asciiTheme="majorHAnsi" w:hAnsiTheme="majorHAnsi" w:cstheme="majorHAnsi"/>
        </w:rPr>
        <w:t>January</w:t>
      </w:r>
      <w:r w:rsidR="003615D5" w:rsidRPr="003615D5">
        <w:rPr>
          <w:rFonts w:asciiTheme="majorHAnsi" w:hAnsiTheme="majorHAnsi" w:cstheme="majorHAnsi"/>
        </w:rPr>
        <w:t xml:space="preserve"> 201</w:t>
      </w:r>
      <w:r>
        <w:rPr>
          <w:rFonts w:asciiTheme="majorHAnsi" w:hAnsiTheme="majorHAnsi" w:cstheme="majorHAnsi"/>
        </w:rPr>
        <w:t>9</w:t>
      </w:r>
      <w:r w:rsidR="003615D5" w:rsidRPr="003615D5">
        <w:rPr>
          <w:rFonts w:asciiTheme="majorHAnsi" w:hAnsiTheme="majorHAnsi" w:cstheme="majorHAnsi"/>
        </w:rPr>
        <w:t>, the Bill had not yet been discussed in Parliament.</w:t>
      </w:r>
      <w:r w:rsidR="003615D5" w:rsidRPr="003615D5">
        <w:rPr>
          <w:rFonts w:asciiTheme="majorHAnsi" w:hAnsiTheme="majorHAnsi" w:cstheme="majorHAnsi"/>
          <w:vertAlign w:val="superscript"/>
        </w:rPr>
        <w:footnoteReference w:id="12"/>
      </w:r>
      <w:r w:rsidR="003615D5" w:rsidRPr="003615D5">
        <w:rPr>
          <w:rFonts w:asciiTheme="majorHAnsi" w:hAnsiTheme="majorHAnsi" w:cstheme="majorHAnsi"/>
        </w:rPr>
        <w:t xml:space="preserve"> </w:t>
      </w:r>
    </w:p>
    <w:p w14:paraId="1FD32160" w14:textId="104502D6" w:rsidR="003615D5" w:rsidRPr="003615D5" w:rsidRDefault="009A6507" w:rsidP="003615D5">
      <w:pPr>
        <w:autoSpaceDE w:val="0"/>
        <w:autoSpaceDN w:val="0"/>
        <w:adjustRightInd w:val="0"/>
        <w:spacing w:after="120"/>
        <w:rPr>
          <w:rFonts w:asciiTheme="majorHAnsi" w:hAnsiTheme="majorHAnsi" w:cstheme="majorHAnsi"/>
        </w:rPr>
      </w:pPr>
      <w:r>
        <w:rPr>
          <w:rFonts w:asciiTheme="majorHAnsi" w:hAnsiTheme="majorHAnsi" w:cstheme="majorHAnsi"/>
        </w:rPr>
        <w:t>1</w:t>
      </w:r>
      <w:r w:rsidR="0082206B">
        <w:rPr>
          <w:rFonts w:asciiTheme="majorHAnsi" w:hAnsiTheme="majorHAnsi" w:cstheme="majorHAnsi"/>
        </w:rPr>
        <w:t>2</w:t>
      </w:r>
      <w:r>
        <w:rPr>
          <w:rFonts w:asciiTheme="majorHAnsi" w:hAnsiTheme="majorHAnsi" w:cstheme="majorHAnsi"/>
        </w:rPr>
        <w:t xml:space="preserve">. </w:t>
      </w:r>
      <w:r w:rsidR="003615D5" w:rsidRPr="003615D5">
        <w:rPr>
          <w:rFonts w:asciiTheme="majorHAnsi" w:hAnsiTheme="majorHAnsi" w:cstheme="majorHAnsi"/>
        </w:rPr>
        <w:t xml:space="preserve">Belgium declared in November 2018 that domestic legislation already applied to corporal punishment of children, including in the family setting, but stated that discussions were underway to bring national civil legislation in conformity with article 17 of the European Social </w:t>
      </w:r>
      <w:r w:rsidR="003615D5" w:rsidRPr="003615D5">
        <w:rPr>
          <w:rFonts w:asciiTheme="majorHAnsi" w:hAnsiTheme="majorHAnsi" w:cstheme="majorHAnsi"/>
        </w:rPr>
        <w:lastRenderedPageBreak/>
        <w:t>Charter. The Government further stated that it considered violent discipline as unacceptable and that a ban would apply to all with parental authority as well as guardians and those caring for a child.</w:t>
      </w:r>
      <w:r w:rsidR="003615D5" w:rsidRPr="003615D5">
        <w:rPr>
          <w:rFonts w:asciiTheme="majorHAnsi" w:hAnsiTheme="majorHAnsi" w:cstheme="majorHAnsi"/>
          <w:vertAlign w:val="superscript"/>
        </w:rPr>
        <w:footnoteReference w:id="13"/>
      </w:r>
    </w:p>
    <w:p w14:paraId="4CC051F8" w14:textId="160292BB" w:rsidR="003615D5" w:rsidRPr="003615D5" w:rsidRDefault="009A6507" w:rsidP="003615D5">
      <w:pPr>
        <w:autoSpaceDE w:val="0"/>
        <w:autoSpaceDN w:val="0"/>
        <w:adjustRightInd w:val="0"/>
        <w:spacing w:after="120"/>
        <w:rPr>
          <w:rFonts w:asciiTheme="majorHAnsi" w:hAnsiTheme="majorHAnsi" w:cstheme="majorHAnsi"/>
        </w:rPr>
      </w:pPr>
      <w:r>
        <w:rPr>
          <w:rFonts w:asciiTheme="majorHAnsi" w:hAnsiTheme="majorHAnsi" w:cstheme="majorHAnsi"/>
        </w:rPr>
        <w:t>1</w:t>
      </w:r>
      <w:r w:rsidR="0082206B">
        <w:rPr>
          <w:rFonts w:asciiTheme="majorHAnsi" w:hAnsiTheme="majorHAnsi" w:cstheme="majorHAnsi"/>
        </w:rPr>
        <w:t>3</w:t>
      </w:r>
      <w:r w:rsidR="00620321" w:rsidRPr="007A36F3">
        <w:rPr>
          <w:rFonts w:asciiTheme="majorHAnsi" w:hAnsiTheme="majorHAnsi" w:cstheme="majorHAnsi"/>
        </w:rPr>
        <w:t xml:space="preserve">. </w:t>
      </w:r>
      <w:r w:rsidR="00620321" w:rsidRPr="007A36F3">
        <w:rPr>
          <w:rFonts w:asciiTheme="majorHAnsi" w:hAnsiTheme="majorHAnsi" w:cstheme="majorHAnsi"/>
          <w:i/>
        </w:rPr>
        <w:t xml:space="preserve">Corporal punishment </w:t>
      </w:r>
      <w:r w:rsidR="003615D5" w:rsidRPr="009A6507">
        <w:rPr>
          <w:rFonts w:asciiTheme="majorHAnsi" w:hAnsiTheme="majorHAnsi" w:cstheme="majorHAnsi"/>
          <w:i/>
        </w:rPr>
        <w:t>is prohibited in some but not all alternative care settings</w:t>
      </w:r>
      <w:r w:rsidR="003615D5" w:rsidRPr="003615D5">
        <w:rPr>
          <w:rFonts w:asciiTheme="majorHAnsi" w:hAnsiTheme="majorHAnsi" w:cstheme="majorHAnsi"/>
        </w:rPr>
        <w:t>.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 the German-speaking Community. This was confirmed in relation to the French Community by the Government in 2018.</w:t>
      </w:r>
      <w:r w:rsidR="003615D5" w:rsidRPr="003615D5">
        <w:rPr>
          <w:rFonts w:asciiTheme="majorHAnsi" w:hAnsiTheme="majorHAnsi" w:cstheme="majorHAnsi"/>
          <w:vertAlign w:val="superscript"/>
        </w:rPr>
        <w:footnoteReference w:id="14"/>
      </w:r>
    </w:p>
    <w:p w14:paraId="6DA92FDF" w14:textId="4B941EA7" w:rsidR="003615D5" w:rsidRPr="003615D5" w:rsidRDefault="00460197" w:rsidP="003615D5">
      <w:pPr>
        <w:spacing w:after="120"/>
        <w:rPr>
          <w:rFonts w:asciiTheme="majorHAnsi" w:hAnsiTheme="majorHAnsi" w:cstheme="majorHAnsi"/>
          <w:b/>
        </w:rPr>
      </w:pPr>
      <w:r>
        <w:rPr>
          <w:rFonts w:asciiTheme="majorHAnsi" w:hAnsiTheme="majorHAnsi" w:cstheme="majorHAnsi"/>
        </w:rPr>
        <w:t>1</w:t>
      </w:r>
      <w:r w:rsidR="0082206B">
        <w:rPr>
          <w:rFonts w:asciiTheme="majorHAnsi" w:hAnsiTheme="majorHAnsi" w:cstheme="majorHAnsi"/>
        </w:rPr>
        <w:t>4</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lawful in early childhood care and in day care for older children, including</w:t>
      </w:r>
      <w:r w:rsidR="009A6507">
        <w:rPr>
          <w:rFonts w:asciiTheme="majorHAnsi" w:hAnsiTheme="majorHAnsi" w:cstheme="majorHAnsi"/>
          <w:i/>
        </w:rPr>
        <w:t xml:space="preserve"> for children with disabilities</w:t>
      </w:r>
      <w:r w:rsidR="009A6507" w:rsidRPr="009A6507">
        <w:rPr>
          <w:rFonts w:asciiTheme="majorHAnsi" w:hAnsiTheme="majorHAnsi" w:cstheme="majorHAnsi"/>
        </w:rPr>
        <w:t>, as t</w:t>
      </w:r>
      <w:r w:rsidR="003615D5" w:rsidRPr="009A6507">
        <w:rPr>
          <w:rFonts w:asciiTheme="majorHAnsi" w:hAnsiTheme="majorHAnsi" w:cstheme="majorHAnsi"/>
        </w:rPr>
        <w:t>here</w:t>
      </w:r>
      <w:r w:rsidR="003615D5" w:rsidRPr="003615D5">
        <w:rPr>
          <w:rFonts w:asciiTheme="majorHAnsi" w:hAnsiTheme="majorHAnsi" w:cstheme="majorHAnsi"/>
        </w:rPr>
        <w:t xml:space="preserve"> is no explicit prohibition of corporal punishment in </w:t>
      </w:r>
      <w:r w:rsidR="009A6507">
        <w:rPr>
          <w:rFonts w:asciiTheme="majorHAnsi" w:hAnsiTheme="majorHAnsi" w:cstheme="majorHAnsi"/>
        </w:rPr>
        <w:t>place</w:t>
      </w:r>
      <w:r w:rsidR="003615D5" w:rsidRPr="003615D5">
        <w:rPr>
          <w:rFonts w:asciiTheme="majorHAnsi" w:hAnsiTheme="majorHAnsi" w:cstheme="majorHAnsi"/>
        </w:rPr>
        <w:t>.</w:t>
      </w:r>
    </w:p>
    <w:p w14:paraId="13FFBE94" w14:textId="3739700A" w:rsidR="003615D5" w:rsidRPr="003615D5" w:rsidRDefault="00D63AA6" w:rsidP="003615D5">
      <w:pPr>
        <w:spacing w:after="120"/>
        <w:rPr>
          <w:rFonts w:asciiTheme="majorHAnsi" w:hAnsiTheme="majorHAnsi" w:cstheme="majorHAnsi"/>
        </w:rPr>
      </w:pPr>
      <w:r w:rsidRPr="007A36F3">
        <w:rPr>
          <w:rFonts w:asciiTheme="majorHAnsi" w:hAnsiTheme="majorHAnsi" w:cstheme="majorHAnsi"/>
        </w:rPr>
        <w:t>1</w:t>
      </w:r>
      <w:r w:rsidR="0082206B">
        <w:rPr>
          <w:rFonts w:asciiTheme="majorHAnsi" w:hAnsiTheme="majorHAnsi" w:cstheme="majorHAnsi"/>
        </w:rPr>
        <w:t>5</w:t>
      </w:r>
      <w:r w:rsidRPr="007A36F3">
        <w:rPr>
          <w:rFonts w:asciiTheme="majorHAnsi" w:hAnsiTheme="majorHAnsi" w:cstheme="majorHAnsi"/>
        </w:rPr>
        <w:t xml:space="preserve">. </w:t>
      </w:r>
      <w:bookmarkStart w:id="1" w:name="OLE_LINK44"/>
      <w:bookmarkStart w:id="2" w:name="OLE_LINK45"/>
      <w:r w:rsidRPr="007A36F3">
        <w:rPr>
          <w:rFonts w:asciiTheme="majorHAnsi" w:hAnsiTheme="majorHAnsi" w:cstheme="majorHAnsi"/>
          <w:i/>
        </w:rPr>
        <w:t>Corporal punishment is</w:t>
      </w:r>
      <w:r w:rsidR="00731AC1">
        <w:rPr>
          <w:rFonts w:asciiTheme="majorHAnsi" w:hAnsiTheme="majorHAnsi" w:cstheme="majorHAnsi"/>
          <w:i/>
        </w:rPr>
        <w:t xml:space="preserve"> considered un</w:t>
      </w:r>
      <w:r w:rsidR="0091549C" w:rsidRPr="007A36F3">
        <w:rPr>
          <w:rFonts w:asciiTheme="majorHAnsi" w:hAnsiTheme="majorHAnsi" w:cstheme="majorHAnsi"/>
          <w:i/>
        </w:rPr>
        <w:t>lawful</w:t>
      </w:r>
      <w:r w:rsidRPr="007A36F3">
        <w:rPr>
          <w:rFonts w:asciiTheme="majorHAnsi" w:hAnsiTheme="majorHAnsi" w:cstheme="majorHAnsi"/>
          <w:i/>
        </w:rPr>
        <w:t xml:space="preserve"> in schools</w:t>
      </w:r>
      <w:bookmarkEnd w:id="1"/>
      <w:bookmarkEnd w:id="2"/>
      <w:r w:rsidR="001E380B" w:rsidRPr="001E380B">
        <w:rPr>
          <w:rFonts w:asciiTheme="majorHAnsi" w:hAnsiTheme="majorHAnsi" w:cstheme="majorHAnsi"/>
        </w:rPr>
        <w:t xml:space="preserve"> </w:t>
      </w:r>
      <w:r w:rsidR="003615D5" w:rsidRPr="003615D5">
        <w:rPr>
          <w:rFonts w:asciiTheme="majorHAnsi" w:hAnsiTheme="majorHAnsi" w:cstheme="majorHAnsi"/>
        </w:rPr>
        <w:t xml:space="preserve">under case law relating to provisions against assault in the Criminal Code, but there is no explicit prohibition in legislation. </w:t>
      </w:r>
    </w:p>
    <w:p w14:paraId="01A8C318" w14:textId="548C6928" w:rsidR="003615D5" w:rsidRPr="003615D5" w:rsidRDefault="00D63AA6" w:rsidP="003615D5">
      <w:pPr>
        <w:spacing w:after="120"/>
        <w:rPr>
          <w:rFonts w:asciiTheme="majorHAnsi" w:hAnsiTheme="majorHAnsi" w:cstheme="majorHAnsi"/>
        </w:rPr>
      </w:pPr>
      <w:r w:rsidRPr="007A36F3">
        <w:rPr>
          <w:rFonts w:asciiTheme="majorHAnsi" w:hAnsiTheme="majorHAnsi" w:cstheme="majorHAnsi"/>
        </w:rPr>
        <w:t>1</w:t>
      </w:r>
      <w:r w:rsidR="0082206B">
        <w:rPr>
          <w:rFonts w:asciiTheme="majorHAnsi" w:hAnsiTheme="majorHAnsi" w:cstheme="majorHAnsi"/>
        </w:rPr>
        <w:t>6</w:t>
      </w:r>
      <w:r w:rsidRPr="007A36F3">
        <w:rPr>
          <w:rFonts w:asciiTheme="majorHAnsi" w:hAnsiTheme="majorHAnsi" w:cstheme="majorHAnsi"/>
        </w:rPr>
        <w:t xml:space="preserve">. </w:t>
      </w:r>
      <w:r w:rsidRPr="007A36F3">
        <w:rPr>
          <w:rFonts w:asciiTheme="majorHAnsi" w:hAnsiTheme="majorHAnsi" w:cstheme="majorHAnsi"/>
          <w:i/>
        </w:rPr>
        <w:t>Corporal punishment is unlawful as a disciplinary measure in penal institutions</w:t>
      </w:r>
      <w:r w:rsidR="009A6507">
        <w:rPr>
          <w:rFonts w:asciiTheme="majorHAnsi" w:hAnsiTheme="majorHAnsi" w:cstheme="majorHAnsi"/>
        </w:rPr>
        <w:t xml:space="preserve">. </w:t>
      </w:r>
      <w:r w:rsidR="003615D5" w:rsidRPr="003615D5">
        <w:rPr>
          <w:rFonts w:asciiTheme="majorHAnsi" w:hAnsiTheme="majorHAnsi" w:cstheme="majorHAnsi"/>
        </w:rPr>
        <w:t>The Act concerning the principles of the administration of prison establishments and the legal status of detainees 2005 does not include corporal punishment among its provisions for disciplinary re</w:t>
      </w:r>
      <w:r w:rsidR="003615D5" w:rsidRPr="003615D5">
        <w:rPr>
          <w:rFonts w:asciiTheme="majorHAnsi" w:hAnsiTheme="majorHAnsi" w:cstheme="majorHAnsi"/>
        </w:rPr>
        <w:lastRenderedPageBreak/>
        <w:t>gimes. A federal Bill amending legislation on youth protection and addressing juvenile justice was adopted in 2006 but we have no details of its provisions. The Government reported to the UPR in 2015 that a law of 5 May 2014 had reformed the regime applicable to internees:</w:t>
      </w:r>
      <w:r w:rsidR="003615D5" w:rsidRPr="003615D5">
        <w:rPr>
          <w:rFonts w:asciiTheme="majorHAnsi" w:hAnsiTheme="majorHAnsi" w:cstheme="majorHAnsi"/>
          <w:vertAlign w:val="superscript"/>
        </w:rPr>
        <w:footnoteReference w:id="15"/>
      </w:r>
      <w:r w:rsidR="003615D5" w:rsidRPr="003615D5">
        <w:rPr>
          <w:rFonts w:asciiTheme="majorHAnsi" w:hAnsiTheme="majorHAnsi" w:cstheme="majorHAnsi"/>
        </w:rPr>
        <w:t xml:space="preserve"> we have yet to see the full text of this law.</w:t>
      </w:r>
    </w:p>
    <w:p w14:paraId="7A6E1746" w14:textId="6DD09A07" w:rsidR="001E380B" w:rsidRPr="001E380B" w:rsidRDefault="00460197" w:rsidP="003615D5">
      <w:pPr>
        <w:spacing w:after="120"/>
        <w:rPr>
          <w:rFonts w:asciiTheme="majorHAnsi" w:hAnsiTheme="majorHAnsi" w:cstheme="majorHAnsi"/>
        </w:rPr>
      </w:pPr>
      <w:r>
        <w:rPr>
          <w:rFonts w:asciiTheme="majorHAnsi" w:hAnsiTheme="majorHAnsi" w:cstheme="majorHAnsi"/>
        </w:rPr>
        <w:t>1</w:t>
      </w:r>
      <w:r w:rsidR="0082206B">
        <w:rPr>
          <w:rFonts w:asciiTheme="majorHAnsi" w:hAnsiTheme="majorHAnsi" w:cstheme="majorHAnsi"/>
        </w:rPr>
        <w:t>7</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unlawful as a sentence for crime.</w:t>
      </w:r>
      <w:r w:rsidR="003615D5" w:rsidRPr="003615D5">
        <w:rPr>
          <w:rFonts w:asciiTheme="majorHAnsi" w:hAnsiTheme="majorHAnsi" w:cstheme="majorHAnsi"/>
        </w:rPr>
        <w:t xml:space="preserve"> It is not a permitted punishment under the Criminal Code. </w:t>
      </w:r>
    </w:p>
    <w:p w14:paraId="6E5A48E6" w14:textId="48D04EDC" w:rsidR="00844B60" w:rsidRPr="00E206B3" w:rsidRDefault="00844B60" w:rsidP="00E206B3">
      <w:pPr>
        <w:spacing w:after="120"/>
        <w:rPr>
          <w:rFonts w:asciiTheme="majorHAnsi" w:hAnsiTheme="majorHAnsi" w:cstheme="majorHAnsi"/>
        </w:rPr>
      </w:pPr>
    </w:p>
    <w:p w14:paraId="0632C366" w14:textId="1F0A26DD" w:rsidR="007F7529" w:rsidRPr="007A36F3" w:rsidRDefault="007F7529" w:rsidP="007F7529">
      <w:pPr>
        <w:pStyle w:val="Heading2"/>
        <w:spacing w:after="120"/>
        <w:rPr>
          <w:rFonts w:asciiTheme="majorHAnsi" w:hAnsiTheme="majorHAnsi" w:cstheme="majorHAnsi"/>
          <w:b w:val="0"/>
          <w:sz w:val="26"/>
          <w:szCs w:val="26"/>
        </w:rPr>
      </w:pPr>
      <w:r w:rsidRPr="007A36F3">
        <w:rPr>
          <w:rFonts w:asciiTheme="majorHAnsi" w:hAnsiTheme="majorHAnsi" w:cstheme="majorHAnsi"/>
          <w:sz w:val="26"/>
          <w:szCs w:val="26"/>
        </w:rPr>
        <w:t>Recommendations by human rights treaty monitoring bodies</w:t>
      </w:r>
      <w:r w:rsidR="008730E0" w:rsidRPr="007A36F3">
        <w:rPr>
          <w:rFonts w:asciiTheme="majorHAnsi" w:hAnsiTheme="majorHAnsi" w:cstheme="majorHAnsi"/>
          <w:sz w:val="26"/>
          <w:szCs w:val="26"/>
        </w:rPr>
        <w:t xml:space="preserve"> and during the UPR</w:t>
      </w:r>
    </w:p>
    <w:p w14:paraId="6DA96D4D" w14:textId="190DE8B4" w:rsidR="003615D5" w:rsidRDefault="0082206B" w:rsidP="00333E06">
      <w:pPr>
        <w:spacing w:after="120"/>
        <w:rPr>
          <w:rFonts w:asciiTheme="majorHAnsi" w:hAnsiTheme="majorHAnsi" w:cstheme="majorHAnsi"/>
          <w:bCs/>
        </w:rPr>
      </w:pPr>
      <w:r>
        <w:rPr>
          <w:rFonts w:asciiTheme="majorHAnsi" w:hAnsiTheme="majorHAnsi" w:cstheme="majorHAnsi"/>
        </w:rPr>
        <w:t>18</w:t>
      </w:r>
      <w:r w:rsidR="007A36F3">
        <w:rPr>
          <w:rFonts w:asciiTheme="majorHAnsi" w:hAnsiTheme="majorHAnsi" w:cstheme="majorHAnsi"/>
        </w:rPr>
        <w:t>.</w:t>
      </w:r>
      <w:r w:rsidR="007A36F3" w:rsidRPr="007A36F3">
        <w:rPr>
          <w:rFonts w:asciiTheme="majorHAnsi" w:hAnsiTheme="majorHAnsi" w:cstheme="majorHAnsi"/>
        </w:rPr>
        <w:t xml:space="preserve"> </w:t>
      </w:r>
      <w:r w:rsidR="00333E06" w:rsidRPr="00333E06">
        <w:rPr>
          <w:rFonts w:asciiTheme="majorHAnsi" w:hAnsiTheme="majorHAnsi" w:cstheme="majorHAnsi"/>
          <w:bCs/>
        </w:rPr>
        <w:t xml:space="preserve">The </w:t>
      </w:r>
      <w:r w:rsidR="00333E06" w:rsidRPr="001E380B">
        <w:rPr>
          <w:rFonts w:asciiTheme="majorHAnsi" w:hAnsiTheme="majorHAnsi" w:cstheme="majorHAnsi"/>
          <w:bCs/>
          <w:i/>
        </w:rPr>
        <w:t>Committee on the Rights of the Child</w:t>
      </w:r>
      <w:r w:rsidR="00333E06" w:rsidRPr="00333E06">
        <w:rPr>
          <w:rFonts w:asciiTheme="majorHAnsi" w:hAnsiTheme="majorHAnsi" w:cstheme="majorHAnsi"/>
          <w:bCs/>
        </w:rPr>
        <w:t xml:space="preserve"> </w:t>
      </w:r>
      <w:r w:rsidR="003615D5" w:rsidRPr="003615D5">
        <w:rPr>
          <w:rFonts w:asciiTheme="majorHAnsi" w:hAnsiTheme="majorHAnsi" w:cstheme="majorHAnsi"/>
          <w:bCs/>
        </w:rPr>
        <w:t xml:space="preserve">has recommended prohibition of corporal punishment of children in the family and other settings in Belgium on </w:t>
      </w:r>
      <w:r w:rsidR="002450CB">
        <w:rPr>
          <w:rFonts w:asciiTheme="majorHAnsi" w:hAnsiTheme="majorHAnsi" w:cstheme="majorHAnsi"/>
          <w:bCs/>
        </w:rPr>
        <w:t>four</w:t>
      </w:r>
      <w:r w:rsidR="003615D5" w:rsidRPr="003615D5">
        <w:rPr>
          <w:rFonts w:asciiTheme="majorHAnsi" w:hAnsiTheme="majorHAnsi" w:cstheme="majorHAnsi"/>
          <w:bCs/>
        </w:rPr>
        <w:t xml:space="preserve"> occasions – following examination of the state party’s initial report in 1995,</w:t>
      </w:r>
      <w:r w:rsidR="003615D5" w:rsidRPr="003615D5">
        <w:rPr>
          <w:rFonts w:asciiTheme="majorHAnsi" w:hAnsiTheme="majorHAnsi" w:cstheme="majorHAnsi"/>
          <w:bCs/>
          <w:vertAlign w:val="superscript"/>
        </w:rPr>
        <w:footnoteReference w:id="16"/>
      </w:r>
      <w:r w:rsidR="003615D5" w:rsidRPr="003615D5">
        <w:rPr>
          <w:rFonts w:asciiTheme="majorHAnsi" w:hAnsiTheme="majorHAnsi" w:cstheme="majorHAnsi"/>
          <w:bCs/>
        </w:rPr>
        <w:t xml:space="preserve"> the second report in 2002</w:t>
      </w:r>
      <w:r w:rsidR="002450CB">
        <w:rPr>
          <w:rFonts w:asciiTheme="majorHAnsi" w:hAnsiTheme="majorHAnsi" w:cstheme="majorHAnsi"/>
          <w:bCs/>
        </w:rPr>
        <w:t>,</w:t>
      </w:r>
      <w:r w:rsidR="003615D5" w:rsidRPr="003615D5">
        <w:rPr>
          <w:rFonts w:asciiTheme="majorHAnsi" w:hAnsiTheme="majorHAnsi" w:cstheme="majorHAnsi"/>
          <w:bCs/>
          <w:vertAlign w:val="superscript"/>
        </w:rPr>
        <w:footnoteReference w:id="17"/>
      </w:r>
      <w:r w:rsidR="003615D5" w:rsidRPr="003615D5">
        <w:rPr>
          <w:rFonts w:asciiTheme="majorHAnsi" w:hAnsiTheme="majorHAnsi" w:cstheme="majorHAnsi"/>
          <w:bCs/>
        </w:rPr>
        <w:t xml:space="preserve"> </w:t>
      </w:r>
      <w:r w:rsidR="002450CB">
        <w:rPr>
          <w:rFonts w:asciiTheme="majorHAnsi" w:hAnsiTheme="majorHAnsi" w:cstheme="majorHAnsi"/>
          <w:bCs/>
        </w:rPr>
        <w:t>the third/fourth report in 2010</w:t>
      </w:r>
      <w:r w:rsidR="003615D5" w:rsidRPr="003615D5">
        <w:rPr>
          <w:rFonts w:asciiTheme="majorHAnsi" w:hAnsiTheme="majorHAnsi" w:cstheme="majorHAnsi"/>
          <w:bCs/>
          <w:vertAlign w:val="superscript"/>
        </w:rPr>
        <w:footnoteReference w:id="18"/>
      </w:r>
      <w:r w:rsidR="002450CB">
        <w:rPr>
          <w:rFonts w:asciiTheme="majorHAnsi" w:hAnsiTheme="majorHAnsi" w:cstheme="majorHAnsi"/>
          <w:bCs/>
        </w:rPr>
        <w:t xml:space="preserve"> and most recently the fifth/sixth report in 2019.</w:t>
      </w:r>
      <w:r w:rsidR="002450CB">
        <w:rPr>
          <w:rStyle w:val="FootnoteReference"/>
          <w:rFonts w:asciiTheme="majorHAnsi" w:hAnsiTheme="majorHAnsi" w:cstheme="majorHAnsi"/>
          <w:bCs/>
        </w:rPr>
        <w:footnoteReference w:id="19"/>
      </w:r>
    </w:p>
    <w:p w14:paraId="49446B3B" w14:textId="162D75A9" w:rsidR="00333E06" w:rsidRDefault="0082206B" w:rsidP="00333E06">
      <w:pPr>
        <w:spacing w:after="120"/>
        <w:rPr>
          <w:rFonts w:asciiTheme="majorHAnsi" w:hAnsiTheme="majorHAnsi" w:cstheme="majorHAnsi"/>
        </w:rPr>
      </w:pPr>
      <w:r>
        <w:rPr>
          <w:rFonts w:asciiTheme="majorHAnsi" w:hAnsiTheme="majorHAnsi" w:cstheme="majorHAnsi"/>
        </w:rPr>
        <w:t>19</w:t>
      </w:r>
      <w:r w:rsidR="007A36F3">
        <w:rPr>
          <w:rFonts w:asciiTheme="majorHAnsi" w:hAnsiTheme="majorHAnsi" w:cstheme="majorHAnsi"/>
        </w:rPr>
        <w:t xml:space="preserve">. </w:t>
      </w:r>
      <w:r w:rsidR="003615D5" w:rsidRPr="003615D5">
        <w:rPr>
          <w:rFonts w:asciiTheme="majorHAnsi" w:hAnsiTheme="majorHAnsi" w:cstheme="majorHAnsi"/>
          <w:bCs/>
        </w:rPr>
        <w:t xml:space="preserve">The </w:t>
      </w:r>
      <w:r w:rsidR="003615D5" w:rsidRPr="003615D5">
        <w:rPr>
          <w:rFonts w:asciiTheme="majorHAnsi" w:hAnsiTheme="majorHAnsi" w:cstheme="majorHAnsi"/>
          <w:bCs/>
          <w:i/>
        </w:rPr>
        <w:t>Committee Against Torture</w:t>
      </w:r>
      <w:r w:rsidR="003615D5" w:rsidRPr="003615D5">
        <w:rPr>
          <w:rFonts w:asciiTheme="majorHAnsi" w:hAnsiTheme="majorHAnsi" w:cstheme="majorHAnsi"/>
          <w:bCs/>
        </w:rPr>
        <w:t xml:space="preserve"> has twice recommended to Belgium that the law be reformed to prohibit corporal punishment of children in </w:t>
      </w:r>
      <w:r w:rsidR="003615D5" w:rsidRPr="003615D5">
        <w:rPr>
          <w:rFonts w:asciiTheme="majorHAnsi" w:hAnsiTheme="majorHAnsi" w:cstheme="majorHAnsi"/>
          <w:bCs/>
        </w:rPr>
        <w:lastRenderedPageBreak/>
        <w:t>the family – in its concluding observations on the second state party report in 2009</w:t>
      </w:r>
      <w:r w:rsidR="003615D5" w:rsidRPr="003615D5">
        <w:rPr>
          <w:rFonts w:asciiTheme="majorHAnsi" w:hAnsiTheme="majorHAnsi" w:cstheme="majorHAnsi"/>
          <w:bCs/>
          <w:vertAlign w:val="superscript"/>
        </w:rPr>
        <w:footnoteReference w:id="20"/>
      </w:r>
      <w:r w:rsidR="003615D5" w:rsidRPr="003615D5">
        <w:rPr>
          <w:rFonts w:asciiTheme="majorHAnsi" w:hAnsiTheme="majorHAnsi" w:cstheme="majorHAnsi"/>
          <w:bCs/>
        </w:rPr>
        <w:t xml:space="preserve"> and on the third report in 2014.</w:t>
      </w:r>
      <w:r w:rsidR="003615D5" w:rsidRPr="003615D5">
        <w:rPr>
          <w:rFonts w:asciiTheme="majorHAnsi" w:hAnsiTheme="majorHAnsi" w:cstheme="majorHAnsi"/>
          <w:bCs/>
          <w:vertAlign w:val="superscript"/>
        </w:rPr>
        <w:footnoteReference w:id="21"/>
      </w:r>
      <w:r w:rsidR="003615D5" w:rsidRPr="003615D5">
        <w:rPr>
          <w:rFonts w:asciiTheme="majorHAnsi" w:hAnsiTheme="majorHAnsi" w:cstheme="majorHAnsi"/>
          <w:bCs/>
        </w:rPr>
        <w:t xml:space="preserve"> In 2014, the Committee also recommended prohibition in non-institutional childcare settings.</w:t>
      </w:r>
      <w:r w:rsidR="003615D5" w:rsidRPr="003615D5">
        <w:rPr>
          <w:rFonts w:asciiTheme="majorHAnsi" w:hAnsiTheme="majorHAnsi" w:cstheme="majorHAnsi"/>
          <w:bCs/>
          <w:vertAlign w:val="superscript"/>
        </w:rPr>
        <w:footnoteReference w:id="22"/>
      </w:r>
    </w:p>
    <w:p w14:paraId="5F728D2E" w14:textId="72E24B5A" w:rsidR="007A36F3" w:rsidRDefault="009A6507" w:rsidP="007A36F3">
      <w:pPr>
        <w:spacing w:after="120"/>
        <w:rPr>
          <w:rFonts w:asciiTheme="majorHAnsi" w:hAnsiTheme="majorHAnsi" w:cstheme="majorHAnsi"/>
          <w:bCs/>
        </w:rPr>
      </w:pPr>
      <w:r>
        <w:rPr>
          <w:rFonts w:asciiTheme="majorHAnsi" w:hAnsiTheme="majorHAnsi" w:cstheme="majorHAnsi"/>
          <w:bCs/>
        </w:rPr>
        <w:t>2</w:t>
      </w:r>
      <w:r w:rsidR="0082206B">
        <w:rPr>
          <w:rFonts w:asciiTheme="majorHAnsi" w:hAnsiTheme="majorHAnsi" w:cstheme="majorHAnsi"/>
          <w:bCs/>
        </w:rPr>
        <w:t>0</w:t>
      </w:r>
      <w:r w:rsidR="003615D5">
        <w:rPr>
          <w:rFonts w:asciiTheme="majorHAnsi" w:hAnsiTheme="majorHAnsi" w:cstheme="majorHAnsi"/>
          <w:bCs/>
        </w:rPr>
        <w:t xml:space="preserve">. </w:t>
      </w:r>
      <w:r w:rsidR="003615D5" w:rsidRPr="003615D5">
        <w:rPr>
          <w:rFonts w:asciiTheme="majorHAnsi" w:hAnsiTheme="majorHAnsi" w:cstheme="majorHAnsi"/>
          <w:bCs/>
        </w:rPr>
        <w:t xml:space="preserve">In 2007, the </w:t>
      </w:r>
      <w:r w:rsidR="003615D5" w:rsidRPr="003615D5">
        <w:rPr>
          <w:rFonts w:asciiTheme="majorHAnsi" w:hAnsiTheme="majorHAnsi" w:cstheme="majorHAnsi"/>
          <w:bCs/>
          <w:i/>
        </w:rPr>
        <w:t>Committee on Economic, Social and Cultural Rights</w:t>
      </w:r>
      <w:r w:rsidR="003615D5" w:rsidRPr="003615D5">
        <w:rPr>
          <w:rFonts w:asciiTheme="majorHAnsi" w:hAnsiTheme="majorHAnsi" w:cstheme="majorHAnsi"/>
          <w:bCs/>
        </w:rPr>
        <w:t xml:space="preserve"> recommended prohibition of corporal punishment of children in the family in Belgium.</w:t>
      </w:r>
      <w:r w:rsidR="003615D5" w:rsidRPr="003615D5">
        <w:rPr>
          <w:rFonts w:asciiTheme="majorHAnsi" w:hAnsiTheme="majorHAnsi" w:cstheme="majorHAnsi"/>
          <w:bCs/>
          <w:vertAlign w:val="superscript"/>
        </w:rPr>
        <w:footnoteReference w:id="23"/>
      </w:r>
      <w:r w:rsidR="003615D5" w:rsidRPr="003615D5">
        <w:rPr>
          <w:rFonts w:asciiTheme="majorHAnsi" w:hAnsiTheme="majorHAnsi" w:cstheme="majorHAnsi"/>
          <w:bCs/>
        </w:rPr>
        <w:t xml:space="preserve"> The Committee reiterated its recommendation in 2013.</w:t>
      </w:r>
      <w:r w:rsidR="003615D5" w:rsidRPr="003615D5">
        <w:rPr>
          <w:rFonts w:asciiTheme="majorHAnsi" w:hAnsiTheme="majorHAnsi" w:cstheme="majorHAnsi"/>
          <w:bCs/>
          <w:vertAlign w:val="superscript"/>
        </w:rPr>
        <w:footnoteReference w:id="24"/>
      </w:r>
    </w:p>
    <w:p w14:paraId="6840A5DA" w14:textId="2AECB1B4" w:rsidR="003615D5" w:rsidRPr="003615D5" w:rsidRDefault="009A6507" w:rsidP="003615D5">
      <w:pPr>
        <w:spacing w:after="120"/>
        <w:rPr>
          <w:rFonts w:asciiTheme="majorHAnsi" w:hAnsiTheme="majorHAnsi" w:cstheme="majorHAnsi"/>
          <w:bCs/>
        </w:rPr>
      </w:pPr>
      <w:r>
        <w:rPr>
          <w:rFonts w:asciiTheme="majorHAnsi" w:hAnsiTheme="majorHAnsi" w:cstheme="majorHAnsi"/>
          <w:bCs/>
        </w:rPr>
        <w:t>2</w:t>
      </w:r>
      <w:r w:rsidR="0082206B">
        <w:rPr>
          <w:rFonts w:asciiTheme="majorHAnsi" w:hAnsiTheme="majorHAnsi" w:cstheme="majorHAnsi"/>
          <w:bCs/>
        </w:rPr>
        <w:t>1</w:t>
      </w:r>
      <w:r w:rsidR="003615D5">
        <w:rPr>
          <w:rFonts w:asciiTheme="majorHAnsi" w:hAnsiTheme="majorHAnsi" w:cstheme="majorHAnsi"/>
          <w:bCs/>
        </w:rPr>
        <w:t xml:space="preserve">. </w:t>
      </w:r>
      <w:r w:rsidR="003615D5" w:rsidRPr="003615D5">
        <w:rPr>
          <w:rFonts w:asciiTheme="majorHAnsi" w:hAnsiTheme="majorHAnsi" w:cstheme="majorHAnsi"/>
          <w:bCs/>
        </w:rPr>
        <w:t xml:space="preserve">In its systematic monitoring of implementation of the European Social Charter and Revised Charter, the </w:t>
      </w:r>
      <w:r w:rsidR="003615D5" w:rsidRPr="003615D5">
        <w:rPr>
          <w:rFonts w:asciiTheme="majorHAnsi" w:hAnsiTheme="majorHAnsi" w:cstheme="majorHAnsi"/>
          <w:bCs/>
          <w:i/>
        </w:rPr>
        <w:t>European Committee of Social Rights</w:t>
      </w:r>
      <w:r w:rsidR="003615D5" w:rsidRPr="003615D5">
        <w:rPr>
          <w:rFonts w:asciiTheme="majorHAnsi" w:hAnsiTheme="majorHAnsi" w:cstheme="majorHAnsi"/>
          <w:bCs/>
        </w:rPr>
        <w:t xml:space="preserve"> has three times found the situation in Belgium to be not in conformity with article 17 of the Revised Charter because all corporal punishment, including in the home, is not prohibited.</w:t>
      </w:r>
      <w:r w:rsidR="003615D5" w:rsidRPr="003615D5">
        <w:rPr>
          <w:rFonts w:asciiTheme="majorHAnsi" w:hAnsiTheme="majorHAnsi" w:cstheme="majorHAnsi"/>
          <w:bCs/>
          <w:vertAlign w:val="superscript"/>
        </w:rPr>
        <w:footnoteReference w:id="25"/>
      </w:r>
      <w:r w:rsidR="003615D5" w:rsidRPr="003615D5">
        <w:rPr>
          <w:rFonts w:asciiTheme="majorHAnsi" w:hAnsiTheme="majorHAnsi" w:cstheme="majorHAnsi"/>
          <w:bCs/>
        </w:rPr>
        <w:t xml:space="preserve"> In addition, following a collective complaint against Belgium brought in 2003 by the World Organisation Against Torture, the Committee concluded that Belgium was in violation of article 17 of the Charter because there is no explicit prohibition in law of corporal punishment of children by parents and </w:t>
      </w:r>
      <w:r w:rsidR="003615D5" w:rsidRPr="003615D5">
        <w:rPr>
          <w:rFonts w:asciiTheme="majorHAnsi" w:hAnsiTheme="majorHAnsi" w:cstheme="majorHAnsi"/>
          <w:bCs/>
        </w:rPr>
        <w:lastRenderedPageBreak/>
        <w:t>other carers (including non-institutional childcare facilities and arrangements).</w:t>
      </w:r>
      <w:r w:rsidR="003615D5" w:rsidRPr="003615D5">
        <w:rPr>
          <w:rFonts w:asciiTheme="majorHAnsi" w:hAnsiTheme="majorHAnsi" w:cstheme="majorHAnsi"/>
          <w:bCs/>
          <w:vertAlign w:val="superscript"/>
        </w:rPr>
        <w:footnoteReference w:id="26"/>
      </w:r>
      <w:r w:rsidR="003615D5" w:rsidRPr="003615D5">
        <w:rPr>
          <w:rFonts w:asciiTheme="majorHAnsi" w:hAnsiTheme="majorHAnsi" w:cstheme="majorHAnsi"/>
          <w:bCs/>
        </w:rPr>
        <w:t xml:space="preserve"> A second collective complaint on the issue was submitted in 2013, by the Association for the Protection of All Children (APPROACH) Ltd. The complaint was declared admissible on 2 July 2013; the Committee published its decision on 29 May 2015. The Committee concluded that the situation in Belgium is in violation of the Charter because there is “no adequate and effective prohibition [of corporal punishment] in law”.</w:t>
      </w:r>
      <w:r w:rsidR="003615D5" w:rsidRPr="003615D5">
        <w:rPr>
          <w:rFonts w:asciiTheme="majorHAnsi" w:hAnsiTheme="majorHAnsi" w:cstheme="majorHAnsi"/>
          <w:vertAlign w:val="superscript"/>
        </w:rPr>
        <w:footnoteReference w:id="27"/>
      </w:r>
    </w:p>
    <w:p w14:paraId="6B6D9505" w14:textId="0E5E0786" w:rsidR="003615D5" w:rsidRPr="003615D5" w:rsidRDefault="003615D5" w:rsidP="003615D5">
      <w:pPr>
        <w:spacing w:after="120"/>
        <w:rPr>
          <w:rFonts w:asciiTheme="majorHAnsi" w:hAnsiTheme="majorHAnsi" w:cstheme="majorHAnsi"/>
          <w:bCs/>
          <w:i/>
        </w:rPr>
      </w:pPr>
      <w:r>
        <w:rPr>
          <w:rFonts w:asciiTheme="majorHAnsi" w:hAnsiTheme="majorHAnsi" w:cstheme="majorHAnsi"/>
          <w:bCs/>
        </w:rPr>
        <w:t>2</w:t>
      </w:r>
      <w:r w:rsidR="0082206B">
        <w:rPr>
          <w:rFonts w:asciiTheme="majorHAnsi" w:hAnsiTheme="majorHAnsi" w:cstheme="majorHAnsi"/>
          <w:bCs/>
        </w:rPr>
        <w:t>2</w:t>
      </w:r>
      <w:r>
        <w:rPr>
          <w:rFonts w:asciiTheme="majorHAnsi" w:hAnsiTheme="majorHAnsi" w:cstheme="majorHAnsi"/>
          <w:bCs/>
        </w:rPr>
        <w:t xml:space="preserve">. </w:t>
      </w:r>
      <w:r w:rsidRPr="003615D5">
        <w:rPr>
          <w:rFonts w:asciiTheme="majorHAnsi" w:hAnsiTheme="majorHAnsi" w:cstheme="majorHAnsi"/>
          <w:bCs/>
        </w:rPr>
        <w:t xml:space="preserve">During the </w:t>
      </w:r>
      <w:r w:rsidRPr="003615D5">
        <w:rPr>
          <w:rFonts w:asciiTheme="majorHAnsi" w:hAnsiTheme="majorHAnsi" w:cstheme="majorHAnsi"/>
          <w:bCs/>
          <w:i/>
        </w:rPr>
        <w:t>Universal Periodic Review</w:t>
      </w:r>
      <w:r w:rsidRPr="003615D5">
        <w:rPr>
          <w:rFonts w:asciiTheme="majorHAnsi" w:hAnsiTheme="majorHAnsi" w:cstheme="majorHAnsi"/>
          <w:bCs/>
        </w:rPr>
        <w:t xml:space="preserve"> of Belgium in 2011, the Government rejected a recommendation to prohibit all corporal punishment.</w:t>
      </w:r>
      <w:r w:rsidRPr="003615D5">
        <w:rPr>
          <w:rFonts w:asciiTheme="majorHAnsi" w:hAnsiTheme="majorHAnsi" w:cstheme="majorHAnsi"/>
          <w:bCs/>
          <w:vertAlign w:val="superscript"/>
        </w:rPr>
        <w:footnoteReference w:id="28"/>
      </w:r>
      <w:r w:rsidRPr="003615D5">
        <w:rPr>
          <w:rFonts w:asciiTheme="majorHAnsi" w:hAnsiTheme="majorHAnsi" w:cstheme="majorHAnsi"/>
          <w:bCs/>
        </w:rPr>
        <w:t xml:space="preserve"> Recommendations to prohibit were again made at the UPR in 2016: the Government accepted one of these</w:t>
      </w:r>
      <w:r w:rsidRPr="003615D5">
        <w:rPr>
          <w:rFonts w:asciiTheme="majorHAnsi" w:hAnsiTheme="majorHAnsi" w:cstheme="majorHAnsi"/>
          <w:bCs/>
          <w:vertAlign w:val="superscript"/>
        </w:rPr>
        <w:footnoteReference w:id="29"/>
      </w:r>
      <w:r w:rsidRPr="003615D5">
        <w:rPr>
          <w:rFonts w:asciiTheme="majorHAnsi" w:hAnsiTheme="majorHAnsi" w:cstheme="majorHAnsi"/>
          <w:bCs/>
        </w:rPr>
        <w:t xml:space="preserve"> but subsequently stated that it could not commit to implementing the second recommendation to introduce a law prohibiting corporal punishment in all settings.</w:t>
      </w:r>
      <w:r w:rsidRPr="003615D5">
        <w:rPr>
          <w:rFonts w:asciiTheme="majorHAnsi" w:hAnsiTheme="majorHAnsi" w:cstheme="majorHAnsi"/>
          <w:bCs/>
          <w:vertAlign w:val="superscript"/>
        </w:rPr>
        <w:footnoteReference w:id="30"/>
      </w:r>
    </w:p>
    <w:p w14:paraId="747E10EF" w14:textId="77777777" w:rsidR="003615D5" w:rsidRPr="007A36F3" w:rsidRDefault="003615D5" w:rsidP="007A36F3">
      <w:pPr>
        <w:spacing w:after="120"/>
        <w:rPr>
          <w:rFonts w:asciiTheme="majorHAnsi" w:hAnsiTheme="majorHAnsi" w:cstheme="majorHAnsi"/>
        </w:rPr>
      </w:pPr>
    </w:p>
    <w:p w14:paraId="0061CBA6" w14:textId="063A09E4" w:rsidR="00BC6C90" w:rsidRPr="007A36F3" w:rsidRDefault="00BC6C90" w:rsidP="007A36F3">
      <w:pPr>
        <w:spacing w:after="120"/>
        <w:rPr>
          <w:rFonts w:asciiTheme="majorHAnsi" w:hAnsiTheme="majorHAnsi" w:cstheme="majorHAnsi"/>
          <w:b/>
        </w:rPr>
      </w:pPr>
    </w:p>
    <w:p w14:paraId="73A734C1" w14:textId="77777777" w:rsidR="009C24BF" w:rsidRPr="007A36F3" w:rsidRDefault="00482BF9" w:rsidP="007A21C3">
      <w:pPr>
        <w:rPr>
          <w:rFonts w:asciiTheme="majorHAnsi" w:hAnsiTheme="majorHAnsi" w:cstheme="majorHAnsi"/>
          <w:i/>
          <w:iCs/>
        </w:rPr>
      </w:pPr>
      <w:r w:rsidRPr="007A36F3">
        <w:rPr>
          <w:rFonts w:asciiTheme="majorHAnsi" w:hAnsiTheme="majorHAnsi" w:cstheme="majorHAnsi"/>
          <w:i/>
          <w:iCs/>
        </w:rPr>
        <w:lastRenderedPageBreak/>
        <w:t>B</w:t>
      </w:r>
      <w:r w:rsidR="009C24BF" w:rsidRPr="007A36F3">
        <w:rPr>
          <w:rFonts w:asciiTheme="majorHAnsi" w:hAnsiTheme="majorHAnsi" w:cstheme="majorHAnsi"/>
          <w:i/>
          <w:iCs/>
        </w:rPr>
        <w:t>riefing prepared by the Global Initiative to End All Corporal Punishment of Children</w:t>
      </w:r>
    </w:p>
    <w:p w14:paraId="3B3EA53F" w14:textId="7DF29336" w:rsidR="008D6D66" w:rsidRPr="007A36F3" w:rsidRDefault="00AE7852" w:rsidP="007A21C3">
      <w:pPr>
        <w:rPr>
          <w:rFonts w:asciiTheme="majorHAnsi" w:hAnsiTheme="majorHAnsi" w:cstheme="majorHAnsi"/>
          <w:i/>
          <w:iCs/>
        </w:rPr>
      </w:pPr>
      <w:hyperlink r:id="rId14" w:history="1">
        <w:r w:rsidR="009C24BF" w:rsidRPr="006B418B">
          <w:rPr>
            <w:rStyle w:val="Hyperlink"/>
            <w:rFonts w:asciiTheme="majorHAnsi" w:eastAsia="Calibri" w:hAnsiTheme="majorHAnsi" w:cstheme="majorHAnsi"/>
            <w:bCs/>
            <w:i/>
            <w:color w:val="0096A3"/>
          </w:rPr>
          <w:t>www.endcorporalpunishment.org</w:t>
        </w:r>
      </w:hyperlink>
      <w:r w:rsidR="009C24BF" w:rsidRPr="007A36F3">
        <w:rPr>
          <w:rFonts w:asciiTheme="majorHAnsi" w:hAnsiTheme="majorHAnsi" w:cstheme="majorHAnsi"/>
          <w:i/>
          <w:iCs/>
        </w:rPr>
        <w:t xml:space="preserve">; </w:t>
      </w:r>
      <w:hyperlink r:id="rId15" w:history="1">
        <w:r w:rsidR="009C24BF" w:rsidRPr="006B418B">
          <w:rPr>
            <w:rStyle w:val="Hyperlink"/>
            <w:rFonts w:asciiTheme="majorHAnsi" w:eastAsia="Calibri" w:hAnsiTheme="majorHAnsi" w:cstheme="majorHAnsi"/>
            <w:bCs/>
            <w:i/>
            <w:color w:val="0096A3"/>
          </w:rPr>
          <w:t>info@endcorporalpunishment.org</w:t>
        </w:r>
      </w:hyperlink>
    </w:p>
    <w:sectPr w:rsidR="008D6D66" w:rsidRPr="007A36F3"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E5E99" w14:textId="77777777" w:rsidR="00E20D92" w:rsidRDefault="00E20D92">
      <w:r>
        <w:separator/>
      </w:r>
    </w:p>
  </w:endnote>
  <w:endnote w:type="continuationSeparator" w:id="0">
    <w:p w14:paraId="13A4B765" w14:textId="77777777" w:rsidR="00E20D92" w:rsidRDefault="00E20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DEC18B0" w:rsidR="00986253" w:rsidRPr="004A1897" w:rsidRDefault="00986253">
    <w:pPr>
      <w:pStyle w:val="Footer"/>
      <w:jc w:val="center"/>
      <w:rPr>
        <w:rFonts w:asciiTheme="majorHAnsi" w:hAnsiTheme="majorHAnsi"/>
      </w:rPr>
    </w:pPr>
    <w:r w:rsidRPr="004A1897">
      <w:rPr>
        <w:rFonts w:asciiTheme="majorHAnsi" w:hAnsiTheme="majorHAnsi"/>
      </w:rPr>
      <w:fldChar w:fldCharType="begin"/>
    </w:r>
    <w:r w:rsidRPr="004A1897">
      <w:rPr>
        <w:rFonts w:asciiTheme="majorHAnsi" w:hAnsiTheme="majorHAnsi"/>
      </w:rPr>
      <w:instrText xml:space="preserve"> PAGE   \* MERGEFORMAT </w:instrText>
    </w:r>
    <w:r w:rsidRPr="004A1897">
      <w:rPr>
        <w:rFonts w:asciiTheme="majorHAnsi" w:hAnsiTheme="majorHAnsi"/>
      </w:rPr>
      <w:fldChar w:fldCharType="separate"/>
    </w:r>
    <w:r w:rsidR="00AE7852">
      <w:rPr>
        <w:rFonts w:asciiTheme="majorHAnsi" w:hAnsiTheme="majorHAnsi"/>
        <w:noProof/>
      </w:rPr>
      <w:t>1</w:t>
    </w:r>
    <w:r w:rsidRPr="004A1897">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00663" w14:textId="77777777" w:rsidR="00E20D92" w:rsidRDefault="00E20D92">
      <w:r>
        <w:separator/>
      </w:r>
    </w:p>
  </w:footnote>
  <w:footnote w:type="continuationSeparator" w:id="0">
    <w:p w14:paraId="6A2A3ACC" w14:textId="77777777" w:rsidR="00E20D92" w:rsidRDefault="00E20D92">
      <w:r>
        <w:continuationSeparator/>
      </w:r>
    </w:p>
  </w:footnote>
  <w:footnote w:id="1">
    <w:p w14:paraId="7306DD3C" w14:textId="3EA8A1D4" w:rsidR="007F7529" w:rsidRPr="002450CB" w:rsidRDefault="007F7529" w:rsidP="007F7529">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Pinheiro, P. S. (2006), </w:t>
      </w:r>
      <w:r w:rsidRPr="002450CB">
        <w:rPr>
          <w:rFonts w:asciiTheme="majorHAnsi" w:hAnsiTheme="majorHAnsi" w:cstheme="majorHAnsi"/>
          <w:i/>
        </w:rPr>
        <w:t>World Report on Violence against Children</w:t>
      </w:r>
      <w:r w:rsidRPr="002450CB">
        <w:rPr>
          <w:rFonts w:asciiTheme="majorHAnsi" w:hAnsiTheme="majorHAnsi" w:cstheme="majorHAnsi"/>
        </w:rPr>
        <w:t>, Geneva: United Nations. See also Krug E. G. et al (eds) (2002),</w:t>
      </w:r>
      <w:r w:rsidRPr="002450CB">
        <w:rPr>
          <w:rFonts w:asciiTheme="majorHAnsi" w:hAnsiTheme="majorHAnsi" w:cstheme="majorHAnsi"/>
          <w:i/>
          <w:iCs/>
        </w:rPr>
        <w:t xml:space="preserve"> World Report on Violence and Health, </w:t>
      </w:r>
      <w:r w:rsidRPr="002450CB">
        <w:rPr>
          <w:rFonts w:asciiTheme="majorHAnsi" w:hAnsiTheme="majorHAnsi" w:cstheme="majorHAnsi"/>
        </w:rPr>
        <w:t>Geneva: World Health Organisation</w:t>
      </w:r>
    </w:p>
  </w:footnote>
  <w:footnote w:id="2">
    <w:p w14:paraId="01B42A35"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Resolution ResChS(2005)10, Collective complaint No. 21/2003 by the World Organisation against Torture (OMCT) against Belgium, adopted by the Council of Ministers on 8 June 2005</w:t>
      </w:r>
    </w:p>
  </w:footnote>
  <w:footnote w:id="3">
    <w:p w14:paraId="77C3EDEB"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20 August 2003 proposal by Sabine de Béthune, 17 February 2007 proposal by Clitilde Nyssens and Christian Brotcorne, 16 January 2007 proposal by Magda Raemaekers and 14 July 2008 proposal by Christian Brotcorne</w:t>
      </w:r>
    </w:p>
  </w:footnote>
  <w:footnote w:id="4">
    <w:p w14:paraId="328B5932"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11 July 2011, A/HRC/18/3, Report of the working group, paras. 63 and 103(10)</w:t>
      </w:r>
    </w:p>
  </w:footnote>
  <w:footnote w:id="5">
    <w:p w14:paraId="26E99148"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19 November 2012, CAT/C/BEL/3, Third state party report, para. 152</w:t>
      </w:r>
    </w:p>
  </w:footnote>
  <w:footnote w:id="6">
    <w:p w14:paraId="697740E2"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19 November 2012, CAT/C/BEL/3, Third state party report, para. 152</w:t>
      </w:r>
    </w:p>
  </w:footnote>
  <w:footnote w:id="7">
    <w:p w14:paraId="1F01141E" w14:textId="77777777"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28 October 2013, E/C.12/BEL/Q/4/Add.1, Reply to list of issues, para. 147</w:t>
      </w:r>
    </w:p>
  </w:footnote>
  <w:footnote w:id="8">
    <w:p w14:paraId="076D799A"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Collective complaint No. 98/2013, </w:t>
      </w:r>
      <w:r w:rsidRPr="002450CB">
        <w:rPr>
          <w:rFonts w:asciiTheme="majorHAnsi" w:hAnsiTheme="majorHAnsi" w:cstheme="majorHAnsi"/>
          <w:i/>
        </w:rPr>
        <w:t>Association for the Protection of All Children (APPROACH) Ltd v Belgium</w:t>
      </w:r>
    </w:p>
  </w:footnote>
  <w:footnote w:id="9">
    <w:p w14:paraId="0DDEACFD"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hAnsiTheme="majorHAnsi" w:cstheme="majorHAnsi"/>
          <w:lang w:val="en-US"/>
        </w:rPr>
        <w:t xml:space="preserve">Collective Complaint No. 98/2013, </w:t>
      </w:r>
      <w:r w:rsidRPr="002450CB">
        <w:rPr>
          <w:rFonts w:asciiTheme="majorHAnsi" w:hAnsiTheme="majorHAnsi" w:cstheme="majorHAnsi"/>
          <w:i/>
          <w:lang w:val="en-US"/>
        </w:rPr>
        <w:t>Association for the Protection of All Children (Approach) v Belgium</w:t>
      </w:r>
      <w:r w:rsidRPr="002450CB">
        <w:rPr>
          <w:rFonts w:asciiTheme="majorHAnsi" w:hAnsiTheme="majorHAnsi" w:cstheme="majorHAnsi"/>
          <w:lang w:val="en-US"/>
        </w:rPr>
        <w:t>, Decision on the Merits, Adoption 20 January 2015, Notification 28 January 2015, Publication 29 May 2015</w:t>
      </w:r>
    </w:p>
  </w:footnote>
  <w:footnote w:id="10">
    <w:p w14:paraId="329F278C" w14:textId="77777777"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eastAsia="Calibri" w:hAnsiTheme="majorHAnsi" w:cstheme="majorHAnsi"/>
          <w:lang w:val="en-US"/>
        </w:rPr>
        <w:t>3 February 2016, A/HRC/WG.6/24/L.6, Draft report of the working group, paras. 139 (15) and 140(30)</w:t>
      </w:r>
    </w:p>
  </w:footnote>
  <w:footnote w:id="11">
    <w:p w14:paraId="1EBD0432" w14:textId="77777777"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eastAsia="Calibri" w:hAnsiTheme="majorHAnsi" w:cstheme="majorHAnsi"/>
          <w:lang w:val="en-US"/>
        </w:rPr>
        <w:t>1 June 2016, A/HRC/32/8/Add.1, Report of the working group: Addendum, paras. 6 and 10</w:t>
      </w:r>
    </w:p>
  </w:footnote>
  <w:footnote w:id="12">
    <w:p w14:paraId="5456BFF0" w14:textId="020028F5"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See </w:t>
      </w:r>
      <w:hyperlink r:id="rId1" w:history="1">
        <w:r w:rsidRPr="002450CB">
          <w:rPr>
            <w:rStyle w:val="Hyperlink"/>
            <w:rFonts w:asciiTheme="majorHAnsi" w:hAnsiTheme="majorHAnsi" w:cstheme="majorHAnsi"/>
          </w:rPr>
          <w:t>http://www.dekamer.be/kvvcr/showpage.cfm?section=flwb&amp;language=fr&amp;cfm=/site/wwwcfm/flwb/flwbn.cfm?dossierID=1778&amp;legislat=54&amp;inst=K</w:t>
        </w:r>
      </w:hyperlink>
      <w:r w:rsidRPr="002450CB">
        <w:rPr>
          <w:rFonts w:asciiTheme="majorHAnsi" w:hAnsiTheme="majorHAnsi" w:cstheme="majorHAnsi"/>
        </w:rPr>
        <w:t xml:space="preserve">, accessed </w:t>
      </w:r>
      <w:r w:rsidR="009A6507" w:rsidRPr="002450CB">
        <w:rPr>
          <w:rFonts w:asciiTheme="majorHAnsi" w:hAnsiTheme="majorHAnsi" w:cstheme="majorHAnsi"/>
        </w:rPr>
        <w:t>8 January</w:t>
      </w:r>
      <w:r w:rsidRPr="002450CB">
        <w:rPr>
          <w:rFonts w:asciiTheme="majorHAnsi" w:hAnsiTheme="majorHAnsi" w:cstheme="majorHAnsi"/>
        </w:rPr>
        <w:t xml:space="preserve"> 201</w:t>
      </w:r>
      <w:r w:rsidR="009A6507" w:rsidRPr="002450CB">
        <w:rPr>
          <w:rFonts w:asciiTheme="majorHAnsi" w:hAnsiTheme="majorHAnsi" w:cstheme="majorHAnsi"/>
        </w:rPr>
        <w:t>9</w:t>
      </w:r>
    </w:p>
  </w:footnote>
  <w:footnote w:id="13">
    <w:p w14:paraId="020DDE44" w14:textId="77777777"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19 November 2018, CRC/C/BEL/Q/5-6/Add.1, Reply to list of issues, paras. 15 and 16</w:t>
      </w:r>
    </w:p>
  </w:footnote>
  <w:footnote w:id="14">
    <w:p w14:paraId="09158804" w14:textId="77777777"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19 November 2018, CRC/C/BEL/Q/5-6/Add.1, Reply to list of issues, para. 19</w:t>
      </w:r>
    </w:p>
  </w:footnote>
  <w:footnote w:id="15">
    <w:p w14:paraId="42512A63" w14:textId="77777777" w:rsidR="003615D5" w:rsidRPr="002450CB" w:rsidRDefault="003615D5" w:rsidP="003615D5">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eastAsia="Calibri" w:hAnsiTheme="majorHAnsi" w:cstheme="majorHAnsi"/>
          <w:lang w:val="en-US"/>
        </w:rPr>
        <w:t>9 November 2015, A/HRC/WG.6/24/BEL/1, National report to the UPR, para. 13</w:t>
      </w:r>
    </w:p>
  </w:footnote>
  <w:footnote w:id="16">
    <w:p w14:paraId="16CC40A7"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hAnsiTheme="majorHAnsi" w:cstheme="majorHAnsi"/>
          <w:iCs/>
          <w:lang w:val="pt-PT"/>
        </w:rPr>
        <w:t xml:space="preserve">20 June 1995, CRC/C/15/Add.38, Concluding observations on initial report, para. </w:t>
      </w:r>
      <w:r w:rsidRPr="002450CB">
        <w:rPr>
          <w:rFonts w:asciiTheme="majorHAnsi" w:hAnsiTheme="majorHAnsi" w:cstheme="majorHAnsi"/>
          <w:iCs/>
        </w:rPr>
        <w:t>15</w:t>
      </w:r>
    </w:p>
  </w:footnote>
  <w:footnote w:id="17">
    <w:p w14:paraId="34D90BE7"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hAnsiTheme="majorHAnsi" w:cstheme="majorHAnsi"/>
          <w:iCs/>
        </w:rPr>
        <w:t>13 June 2002, CRC/C/15/Add.178, Concluding observations on second report, paras. 23 and 24</w:t>
      </w:r>
    </w:p>
  </w:footnote>
  <w:footnote w:id="18">
    <w:p w14:paraId="05AA7078"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18 June 2010, CRC/C/BEL/CO/3-4, Concluding observations on third/fourth report, paras. 7, 8, 39 and 40</w:t>
      </w:r>
    </w:p>
  </w:footnote>
  <w:footnote w:id="19">
    <w:p w14:paraId="45A509FF" w14:textId="4A50BA7C" w:rsidR="002450CB" w:rsidRPr="002450CB" w:rsidRDefault="002450CB">
      <w:pPr>
        <w:pStyle w:val="FootnoteText"/>
        <w:rPr>
          <w:rFonts w:asciiTheme="majorHAnsi" w:hAnsiTheme="majorHAnsi" w:cstheme="majorHAnsi"/>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 February 2019, CRC/C/BEL/CO/5-6 Advance unedited version, Concluding observations on fifth/sixth report, para. 22</w:t>
      </w:r>
    </w:p>
  </w:footnote>
  <w:footnote w:id="20">
    <w:p w14:paraId="7B9927D2"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eastAsia="Calibri" w:hAnsiTheme="majorHAnsi" w:cstheme="majorHAnsi"/>
        </w:rPr>
        <w:t>19 January 2009, CAT/C/BEL/CO/2, Concluding observations on second report, para. 24</w:t>
      </w:r>
    </w:p>
  </w:footnote>
  <w:footnote w:id="21">
    <w:p w14:paraId="3D99994D"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eastAsia="Calibri" w:hAnsiTheme="majorHAnsi" w:cstheme="majorHAnsi"/>
          <w:color w:val="000000"/>
          <w:lang w:val="en-US"/>
        </w:rPr>
        <w:t>3 January 2014, CAT /C/BEL/CO/3, Concluding observations on third report, para. 27</w:t>
      </w:r>
    </w:p>
  </w:footnote>
  <w:footnote w:id="22">
    <w:p w14:paraId="489AFC1C"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w:t>
      </w:r>
      <w:r w:rsidRPr="002450CB">
        <w:rPr>
          <w:rFonts w:asciiTheme="majorHAnsi" w:hAnsiTheme="majorHAnsi" w:cstheme="majorHAnsi"/>
          <w:lang w:val="en-US"/>
        </w:rPr>
        <w:t>ibid.</w:t>
      </w:r>
    </w:p>
  </w:footnote>
  <w:footnote w:id="23">
    <w:p w14:paraId="35AF8966"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3 December 2007, E/C.12/BEL/CO/3, Concluding observations on third report, paras. 19 and 33</w:t>
      </w:r>
    </w:p>
  </w:footnote>
  <w:footnote w:id="24">
    <w:p w14:paraId="2A36D829"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23 December 2013, E/C.12/BEL/CO/4 Draft, Concluding observations on fourth report, para. 17</w:t>
      </w:r>
    </w:p>
  </w:footnote>
  <w:footnote w:id="25">
    <w:p w14:paraId="13278120"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July 2005, Conclusions XVII-2 ; 2007, Conclusions XVIII-1, vol.1 ; January 2012, Conclusions 2011</w:t>
      </w:r>
    </w:p>
  </w:footnote>
  <w:footnote w:id="26">
    <w:p w14:paraId="6D9175CC"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Resolution ResChS(2005)10, Collective complaint No. 21/2003 by the World Organisation against Torture (OMCT) against Belgium, adopted by the Council of Ministers on 8 June 2005</w:t>
      </w:r>
    </w:p>
  </w:footnote>
  <w:footnote w:id="27">
    <w:p w14:paraId="006116C3" w14:textId="77777777" w:rsidR="003615D5" w:rsidRPr="002450CB" w:rsidRDefault="003615D5" w:rsidP="003615D5">
      <w:pPr>
        <w:pStyle w:val="FootnoteText"/>
        <w:rPr>
          <w:rFonts w:asciiTheme="majorHAnsi" w:hAnsiTheme="majorHAnsi" w:cstheme="majorHAnsi"/>
          <w:color w:val="000000" w:themeColor="text1"/>
          <w:lang w:val="en-US"/>
        </w:rPr>
      </w:pPr>
      <w:r w:rsidRPr="002450CB">
        <w:rPr>
          <w:rStyle w:val="FootnoteReference"/>
          <w:rFonts w:asciiTheme="majorHAnsi" w:hAnsiTheme="majorHAnsi" w:cstheme="majorHAnsi"/>
          <w:color w:val="000000" w:themeColor="text1"/>
        </w:rPr>
        <w:footnoteRef/>
      </w:r>
      <w:r w:rsidRPr="002450CB">
        <w:rPr>
          <w:rFonts w:asciiTheme="majorHAnsi" w:hAnsiTheme="majorHAnsi" w:cstheme="majorHAnsi"/>
          <w:color w:val="000000" w:themeColor="text1"/>
        </w:rPr>
        <w:t xml:space="preserve"> </w:t>
      </w:r>
      <w:r w:rsidRPr="002450CB">
        <w:rPr>
          <w:rFonts w:asciiTheme="majorHAnsi" w:hAnsiTheme="majorHAnsi" w:cstheme="majorHAnsi"/>
          <w:color w:val="000000" w:themeColor="text1"/>
          <w:lang w:val="en-US"/>
        </w:rPr>
        <w:t xml:space="preserve">Collective Complaint No. 98/2013, </w:t>
      </w:r>
      <w:r w:rsidRPr="002450CB">
        <w:rPr>
          <w:rFonts w:asciiTheme="majorHAnsi" w:hAnsiTheme="majorHAnsi" w:cstheme="majorHAnsi"/>
          <w:i/>
          <w:color w:val="000000" w:themeColor="text1"/>
          <w:lang w:val="en-US"/>
        </w:rPr>
        <w:t>Association for the Protection of All Children (Approach) v Belgium</w:t>
      </w:r>
      <w:r w:rsidRPr="002450CB">
        <w:rPr>
          <w:rFonts w:asciiTheme="majorHAnsi" w:hAnsiTheme="majorHAnsi" w:cstheme="majorHAnsi"/>
          <w:color w:val="000000" w:themeColor="text1"/>
          <w:lang w:val="en-US"/>
        </w:rPr>
        <w:t>, Decision on the Merits, Adoption 20 January 2015, Notification 28 January 2015, Publication 29 May 2015</w:t>
      </w:r>
    </w:p>
  </w:footnote>
  <w:footnote w:id="28">
    <w:p w14:paraId="65FAE331" w14:textId="77777777" w:rsidR="003615D5" w:rsidRPr="002450CB" w:rsidRDefault="003615D5" w:rsidP="003615D5">
      <w:pPr>
        <w:pStyle w:val="FootnoteText"/>
        <w:rPr>
          <w:rFonts w:asciiTheme="majorHAnsi" w:hAnsiTheme="majorHAnsi" w:cstheme="majorHAnsi"/>
          <w:lang w:val="en-US"/>
        </w:rPr>
      </w:pPr>
      <w:r w:rsidRPr="002450CB">
        <w:rPr>
          <w:rStyle w:val="FootnoteReference"/>
          <w:rFonts w:asciiTheme="majorHAnsi" w:hAnsiTheme="majorHAnsi" w:cstheme="majorHAnsi"/>
        </w:rPr>
        <w:footnoteRef/>
      </w:r>
      <w:r w:rsidRPr="002450CB">
        <w:rPr>
          <w:rFonts w:asciiTheme="majorHAnsi" w:hAnsiTheme="majorHAnsi" w:cstheme="majorHAnsi"/>
        </w:rPr>
        <w:t xml:space="preserve"> 11 July 2011, A/HRC/18/3, Report of the working group, para. 103(10)</w:t>
      </w:r>
    </w:p>
  </w:footnote>
  <w:footnote w:id="29">
    <w:p w14:paraId="64EAAABC" w14:textId="77777777" w:rsidR="003615D5" w:rsidRPr="002450CB" w:rsidRDefault="003615D5" w:rsidP="003615D5">
      <w:pPr>
        <w:pStyle w:val="FootnoteText"/>
        <w:rPr>
          <w:rFonts w:asciiTheme="majorHAnsi" w:hAnsiTheme="majorHAnsi" w:cstheme="majorHAnsi"/>
          <w:color w:val="000000" w:themeColor="text1"/>
        </w:rPr>
      </w:pPr>
      <w:r w:rsidRPr="002450CB">
        <w:rPr>
          <w:rStyle w:val="FootnoteReference"/>
          <w:rFonts w:asciiTheme="majorHAnsi" w:hAnsiTheme="majorHAnsi" w:cstheme="majorHAnsi"/>
          <w:color w:val="000000" w:themeColor="text1"/>
        </w:rPr>
        <w:footnoteRef/>
      </w:r>
      <w:r w:rsidRPr="002450CB">
        <w:rPr>
          <w:rFonts w:asciiTheme="majorHAnsi" w:hAnsiTheme="majorHAnsi" w:cstheme="majorHAnsi"/>
          <w:color w:val="000000" w:themeColor="text1"/>
        </w:rPr>
        <w:t xml:space="preserve"> </w:t>
      </w:r>
      <w:r w:rsidRPr="002450CB">
        <w:rPr>
          <w:rFonts w:asciiTheme="majorHAnsi" w:eastAsia="Calibri" w:hAnsiTheme="majorHAnsi" w:cstheme="majorHAnsi"/>
          <w:color w:val="000000" w:themeColor="text1"/>
          <w:lang w:val="en-US"/>
        </w:rPr>
        <w:t>3 February 2016, A/HRC/WG.6/24/L.6, Draft report of the working group, paras. 139 (15) and 140(30)</w:t>
      </w:r>
    </w:p>
  </w:footnote>
  <w:footnote w:id="30">
    <w:p w14:paraId="19A4E9A2" w14:textId="77777777" w:rsidR="003615D5" w:rsidRPr="002450CB" w:rsidRDefault="003615D5" w:rsidP="003615D5">
      <w:pPr>
        <w:pStyle w:val="FootnoteText"/>
        <w:rPr>
          <w:rFonts w:asciiTheme="majorHAnsi" w:hAnsiTheme="majorHAnsi" w:cstheme="majorHAnsi"/>
          <w:color w:val="000000" w:themeColor="text1"/>
        </w:rPr>
      </w:pPr>
      <w:r w:rsidRPr="002450CB">
        <w:rPr>
          <w:rStyle w:val="FootnoteReference"/>
          <w:rFonts w:asciiTheme="majorHAnsi" w:hAnsiTheme="majorHAnsi" w:cstheme="majorHAnsi"/>
          <w:color w:val="000000" w:themeColor="text1"/>
        </w:rPr>
        <w:footnoteRef/>
      </w:r>
      <w:r w:rsidRPr="002450CB">
        <w:rPr>
          <w:rFonts w:asciiTheme="majorHAnsi" w:hAnsiTheme="majorHAnsi" w:cstheme="majorHAnsi"/>
          <w:color w:val="000000" w:themeColor="text1"/>
        </w:rPr>
        <w:t xml:space="preserve"> </w:t>
      </w:r>
      <w:r w:rsidRPr="002450CB">
        <w:rPr>
          <w:rFonts w:asciiTheme="majorHAnsi" w:eastAsia="Calibri" w:hAnsiTheme="majorHAnsi" w:cstheme="majorHAnsi"/>
          <w:color w:val="000000" w:themeColor="text1"/>
          <w:lang w:val="en-US"/>
        </w:rPr>
        <w:t>1 June 2016, A/HRC/32/8/Add.1, Report of the working group: Addendum, paras. 6 and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C4EBD"/>
    <w:rsid w:val="000D7F80"/>
    <w:rsid w:val="000E558E"/>
    <w:rsid w:val="00106569"/>
    <w:rsid w:val="0014131F"/>
    <w:rsid w:val="00142366"/>
    <w:rsid w:val="00142C1B"/>
    <w:rsid w:val="00143759"/>
    <w:rsid w:val="00147F85"/>
    <w:rsid w:val="00150855"/>
    <w:rsid w:val="00162F5A"/>
    <w:rsid w:val="00181FAC"/>
    <w:rsid w:val="001847FF"/>
    <w:rsid w:val="00186788"/>
    <w:rsid w:val="001919DD"/>
    <w:rsid w:val="001C55D9"/>
    <w:rsid w:val="001D1655"/>
    <w:rsid w:val="001D56D4"/>
    <w:rsid w:val="001E140B"/>
    <w:rsid w:val="001E1F2A"/>
    <w:rsid w:val="001E2769"/>
    <w:rsid w:val="001E380B"/>
    <w:rsid w:val="001F0335"/>
    <w:rsid w:val="001F68F0"/>
    <w:rsid w:val="00205A1A"/>
    <w:rsid w:val="00215035"/>
    <w:rsid w:val="002230EE"/>
    <w:rsid w:val="00224BD1"/>
    <w:rsid w:val="00237875"/>
    <w:rsid w:val="00242520"/>
    <w:rsid w:val="002450CB"/>
    <w:rsid w:val="00250C7D"/>
    <w:rsid w:val="00251489"/>
    <w:rsid w:val="002638C7"/>
    <w:rsid w:val="00264AF9"/>
    <w:rsid w:val="00272F68"/>
    <w:rsid w:val="002748BD"/>
    <w:rsid w:val="00285A47"/>
    <w:rsid w:val="00291C4B"/>
    <w:rsid w:val="002A01E3"/>
    <w:rsid w:val="002A06FC"/>
    <w:rsid w:val="002A0EFD"/>
    <w:rsid w:val="002A3229"/>
    <w:rsid w:val="002A7206"/>
    <w:rsid w:val="002D6FD4"/>
    <w:rsid w:val="002E09C9"/>
    <w:rsid w:val="002E4E5B"/>
    <w:rsid w:val="002E61CE"/>
    <w:rsid w:val="00306C1D"/>
    <w:rsid w:val="00307A90"/>
    <w:rsid w:val="00315F04"/>
    <w:rsid w:val="00316151"/>
    <w:rsid w:val="003161D2"/>
    <w:rsid w:val="00316918"/>
    <w:rsid w:val="00322E14"/>
    <w:rsid w:val="00327C1C"/>
    <w:rsid w:val="00333E06"/>
    <w:rsid w:val="00350AB7"/>
    <w:rsid w:val="00353CF1"/>
    <w:rsid w:val="00353EF8"/>
    <w:rsid w:val="00361051"/>
    <w:rsid w:val="003615D5"/>
    <w:rsid w:val="0036194C"/>
    <w:rsid w:val="003653BB"/>
    <w:rsid w:val="00365B72"/>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197"/>
    <w:rsid w:val="00460F41"/>
    <w:rsid w:val="00463C10"/>
    <w:rsid w:val="00466A97"/>
    <w:rsid w:val="004737EE"/>
    <w:rsid w:val="0048230E"/>
    <w:rsid w:val="00482BF9"/>
    <w:rsid w:val="00490379"/>
    <w:rsid w:val="004A1897"/>
    <w:rsid w:val="004B3464"/>
    <w:rsid w:val="004B5EB3"/>
    <w:rsid w:val="004C3E11"/>
    <w:rsid w:val="004D0FF8"/>
    <w:rsid w:val="004D3159"/>
    <w:rsid w:val="004D4BCC"/>
    <w:rsid w:val="004D68EA"/>
    <w:rsid w:val="004D6E6F"/>
    <w:rsid w:val="004D7A67"/>
    <w:rsid w:val="004E431B"/>
    <w:rsid w:val="004E691B"/>
    <w:rsid w:val="004F1D03"/>
    <w:rsid w:val="004F1D22"/>
    <w:rsid w:val="004F5801"/>
    <w:rsid w:val="004F70CD"/>
    <w:rsid w:val="004F7D9E"/>
    <w:rsid w:val="005006B7"/>
    <w:rsid w:val="00514929"/>
    <w:rsid w:val="00520D79"/>
    <w:rsid w:val="005223A5"/>
    <w:rsid w:val="00535831"/>
    <w:rsid w:val="00543B9A"/>
    <w:rsid w:val="0055414A"/>
    <w:rsid w:val="00581B3E"/>
    <w:rsid w:val="00581D48"/>
    <w:rsid w:val="0059593D"/>
    <w:rsid w:val="00597780"/>
    <w:rsid w:val="005A212D"/>
    <w:rsid w:val="005A66D2"/>
    <w:rsid w:val="005A7272"/>
    <w:rsid w:val="005B31F1"/>
    <w:rsid w:val="005B5315"/>
    <w:rsid w:val="005C28E4"/>
    <w:rsid w:val="005C2EDC"/>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36AA7"/>
    <w:rsid w:val="006460B8"/>
    <w:rsid w:val="00655F1A"/>
    <w:rsid w:val="00681915"/>
    <w:rsid w:val="00683188"/>
    <w:rsid w:val="00683622"/>
    <w:rsid w:val="006969BA"/>
    <w:rsid w:val="00697EC0"/>
    <w:rsid w:val="006A33B2"/>
    <w:rsid w:val="006B237E"/>
    <w:rsid w:val="006B418B"/>
    <w:rsid w:val="006B76CE"/>
    <w:rsid w:val="006C5E89"/>
    <w:rsid w:val="006C5ECF"/>
    <w:rsid w:val="006C6EBB"/>
    <w:rsid w:val="006E3A2C"/>
    <w:rsid w:val="0070646C"/>
    <w:rsid w:val="007109A9"/>
    <w:rsid w:val="00716B5D"/>
    <w:rsid w:val="0072294E"/>
    <w:rsid w:val="00731AC1"/>
    <w:rsid w:val="00734138"/>
    <w:rsid w:val="00751244"/>
    <w:rsid w:val="007604D4"/>
    <w:rsid w:val="00765EBD"/>
    <w:rsid w:val="00766D98"/>
    <w:rsid w:val="00767639"/>
    <w:rsid w:val="00785749"/>
    <w:rsid w:val="00790028"/>
    <w:rsid w:val="007915BB"/>
    <w:rsid w:val="00797BE0"/>
    <w:rsid w:val="00797CC8"/>
    <w:rsid w:val="007A21C3"/>
    <w:rsid w:val="007A36F3"/>
    <w:rsid w:val="007B15F5"/>
    <w:rsid w:val="007B398A"/>
    <w:rsid w:val="007B4603"/>
    <w:rsid w:val="007B540F"/>
    <w:rsid w:val="007C22B7"/>
    <w:rsid w:val="007C397C"/>
    <w:rsid w:val="007D2F31"/>
    <w:rsid w:val="007F25EE"/>
    <w:rsid w:val="007F5F26"/>
    <w:rsid w:val="007F709A"/>
    <w:rsid w:val="007F7529"/>
    <w:rsid w:val="007F791E"/>
    <w:rsid w:val="0082206B"/>
    <w:rsid w:val="00825FA5"/>
    <w:rsid w:val="00826CD2"/>
    <w:rsid w:val="008331E5"/>
    <w:rsid w:val="00833827"/>
    <w:rsid w:val="0084473A"/>
    <w:rsid w:val="00844B60"/>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09C8"/>
    <w:rsid w:val="00902C77"/>
    <w:rsid w:val="00911447"/>
    <w:rsid w:val="0091549C"/>
    <w:rsid w:val="00921E92"/>
    <w:rsid w:val="00923377"/>
    <w:rsid w:val="009242B2"/>
    <w:rsid w:val="0093241B"/>
    <w:rsid w:val="00934BE6"/>
    <w:rsid w:val="00937F66"/>
    <w:rsid w:val="0094061F"/>
    <w:rsid w:val="00955525"/>
    <w:rsid w:val="00963DD6"/>
    <w:rsid w:val="0098296F"/>
    <w:rsid w:val="00986253"/>
    <w:rsid w:val="00990A46"/>
    <w:rsid w:val="00994D13"/>
    <w:rsid w:val="009A2C6E"/>
    <w:rsid w:val="009A2D05"/>
    <w:rsid w:val="009A464A"/>
    <w:rsid w:val="009A6507"/>
    <w:rsid w:val="009C24BF"/>
    <w:rsid w:val="009C25E9"/>
    <w:rsid w:val="009C5F51"/>
    <w:rsid w:val="009C687E"/>
    <w:rsid w:val="009D0985"/>
    <w:rsid w:val="009D6E71"/>
    <w:rsid w:val="009E0C08"/>
    <w:rsid w:val="009E2C0A"/>
    <w:rsid w:val="009E395D"/>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938DF"/>
    <w:rsid w:val="00AA6CB9"/>
    <w:rsid w:val="00AA6FA5"/>
    <w:rsid w:val="00AB131E"/>
    <w:rsid w:val="00AB1753"/>
    <w:rsid w:val="00AC46B1"/>
    <w:rsid w:val="00AD2590"/>
    <w:rsid w:val="00AE7852"/>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5D35"/>
    <w:rsid w:val="00BC68F4"/>
    <w:rsid w:val="00BC6C90"/>
    <w:rsid w:val="00BD259A"/>
    <w:rsid w:val="00BE37BF"/>
    <w:rsid w:val="00BE46D6"/>
    <w:rsid w:val="00BF1402"/>
    <w:rsid w:val="00C004A4"/>
    <w:rsid w:val="00C17385"/>
    <w:rsid w:val="00C237B1"/>
    <w:rsid w:val="00C252DE"/>
    <w:rsid w:val="00C278E1"/>
    <w:rsid w:val="00C37622"/>
    <w:rsid w:val="00C47C88"/>
    <w:rsid w:val="00C518E3"/>
    <w:rsid w:val="00C575FA"/>
    <w:rsid w:val="00C63547"/>
    <w:rsid w:val="00C64EA1"/>
    <w:rsid w:val="00C82792"/>
    <w:rsid w:val="00C91BB2"/>
    <w:rsid w:val="00C96E68"/>
    <w:rsid w:val="00C973D3"/>
    <w:rsid w:val="00C97A90"/>
    <w:rsid w:val="00C97C42"/>
    <w:rsid w:val="00CC09E1"/>
    <w:rsid w:val="00CD12D5"/>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359A"/>
    <w:rsid w:val="00DC20AE"/>
    <w:rsid w:val="00DC4309"/>
    <w:rsid w:val="00DE4FD8"/>
    <w:rsid w:val="00DF2A6A"/>
    <w:rsid w:val="00DF6FBF"/>
    <w:rsid w:val="00DF749A"/>
    <w:rsid w:val="00E120C8"/>
    <w:rsid w:val="00E206B3"/>
    <w:rsid w:val="00E20D92"/>
    <w:rsid w:val="00E218F1"/>
    <w:rsid w:val="00E2216C"/>
    <w:rsid w:val="00E262BB"/>
    <w:rsid w:val="00E33299"/>
    <w:rsid w:val="00E348D1"/>
    <w:rsid w:val="00E37399"/>
    <w:rsid w:val="00E408E2"/>
    <w:rsid w:val="00E439B3"/>
    <w:rsid w:val="00E4774B"/>
    <w:rsid w:val="00E511FD"/>
    <w:rsid w:val="00E745E0"/>
    <w:rsid w:val="00E74E94"/>
    <w:rsid w:val="00E819CB"/>
    <w:rsid w:val="00E90F1D"/>
    <w:rsid w:val="00E91687"/>
    <w:rsid w:val="00E97452"/>
    <w:rsid w:val="00EA3676"/>
    <w:rsid w:val="00EB16D4"/>
    <w:rsid w:val="00EC3476"/>
    <w:rsid w:val="00ED3374"/>
    <w:rsid w:val="00EE5770"/>
    <w:rsid w:val="00EF577B"/>
    <w:rsid w:val="00EF6D99"/>
    <w:rsid w:val="00F00EFD"/>
    <w:rsid w:val="00F03CDA"/>
    <w:rsid w:val="00F238AE"/>
    <w:rsid w:val="00F27919"/>
    <w:rsid w:val="00F325F7"/>
    <w:rsid w:val="00F401E2"/>
    <w:rsid w:val="00F51705"/>
    <w:rsid w:val="00F63112"/>
    <w:rsid w:val="00F7085F"/>
    <w:rsid w:val="00F70EFA"/>
    <w:rsid w:val="00F72865"/>
    <w:rsid w:val="00F8476D"/>
    <w:rsid w:val="00F85174"/>
    <w:rsid w:val="00F90AAF"/>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60577262">
      <w:bodyDiv w:val="1"/>
      <w:marLeft w:val="0"/>
      <w:marRight w:val="0"/>
      <w:marTop w:val="0"/>
      <w:marBottom w:val="0"/>
      <w:divBdr>
        <w:top w:val="none" w:sz="0" w:space="0" w:color="auto"/>
        <w:left w:val="none" w:sz="0" w:space="0" w:color="auto"/>
        <w:bottom w:val="none" w:sz="0" w:space="0" w:color="auto"/>
        <w:right w:val="none" w:sz="0" w:space="0" w:color="auto"/>
      </w:divBdr>
    </w:div>
    <w:div w:id="104301900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dekamer.be/kvvcr/showpage.cfm?section=flwb&amp;language=fr&amp;cfm=/site/wwwcfm/flwb/flwbn.cfm?dossierID=1778&amp;legislat=54&amp;inst=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527D1-71F8-455B-B6D9-EFEB835EF6CB}"/>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66FFF51E-E19C-43AE-BA0D-5E8480B7B1C2}"/>
</file>

<file path=customXml/itemProps5.xml><?xml version="1.0" encoding="utf-8"?>
<ds:datastoreItem xmlns:ds="http://schemas.openxmlformats.org/officeDocument/2006/customXml" ds:itemID="{5DFC5ED7-F2F4-4326-909F-1A28DF84C944}"/>
</file>

<file path=docProps/app.xml><?xml version="1.0" encoding="utf-8"?>
<Properties xmlns="http://schemas.openxmlformats.org/officeDocument/2006/extended-properties" xmlns:vt="http://schemas.openxmlformats.org/officeDocument/2006/docPropsVTypes">
  <Template>Normal.dotm</Template>
  <TotalTime>1</TotalTime>
  <Pages>5</Pages>
  <Words>2137</Words>
  <Characters>12183</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14292</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2019-02-11T13:22:00Z</dcterms:created>
  <dcterms:modified xsi:type="dcterms:W3CDTF">2019-02-11T13:22:00Z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