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9BC" w:rsidRDefault="00311CE0" w:rsidP="003919BC">
      <w:pPr>
        <w:pStyle w:val="H1G"/>
        <w:jc w:val="right"/>
        <w:rPr>
          <w:w w:val="103"/>
        </w:rPr>
      </w:pPr>
      <w:r>
        <w:rPr>
          <w:lang w:val="en-US"/>
        </w:rPr>
        <w:tab/>
      </w:r>
      <w:r>
        <w:rPr>
          <w:lang w:val="en-US"/>
        </w:rPr>
        <w:tab/>
      </w:r>
      <w:r w:rsidR="003919BC" w:rsidRPr="00BE35D1">
        <w:rPr>
          <w:rFonts w:eastAsia="Times New Roman Bold"/>
          <w:szCs w:val="28"/>
          <w:u w:color="000000"/>
          <w:bdr w:val="nil"/>
          <w:lang w:eastAsia="zh-CN"/>
        </w:rPr>
        <w:tab/>
      </w:r>
      <w:r w:rsidR="003919BC" w:rsidRPr="00BE35D1">
        <w:rPr>
          <w:rFonts w:eastAsia="Times New Roman Bold"/>
          <w:szCs w:val="28"/>
          <w:u w:color="000000"/>
          <w:bdr w:val="nil"/>
          <w:lang w:eastAsia="zh-CN"/>
        </w:rPr>
        <w:tab/>
      </w:r>
      <w:r w:rsidR="003919BC">
        <w:rPr>
          <w:w w:val="103"/>
        </w:rPr>
        <w:t>[INFORMAL DOCUMENT]</w:t>
      </w:r>
    </w:p>
    <w:p w:rsidR="003919BC" w:rsidRPr="00BA3042" w:rsidRDefault="003919BC" w:rsidP="003919BC">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Pr="00BA3042">
        <w:rPr>
          <w:bCs/>
          <w:spacing w:val="-2"/>
          <w:w w:val="103"/>
          <w:kern w:val="14"/>
          <w:sz w:val="20"/>
          <w:lang w:val="en-US"/>
        </w:rPr>
        <w:t>S</w:t>
      </w:r>
      <w:r>
        <w:rPr>
          <w:bCs/>
          <w:spacing w:val="-2"/>
          <w:w w:val="103"/>
          <w:kern w:val="14"/>
          <w:sz w:val="20"/>
          <w:lang w:val="en-US"/>
        </w:rPr>
        <w:t xml:space="preserve">eventy-fourth </w:t>
      </w:r>
      <w:r w:rsidRPr="00BA3042">
        <w:rPr>
          <w:bCs/>
          <w:spacing w:val="-2"/>
          <w:w w:val="103"/>
          <w:kern w:val="14"/>
          <w:sz w:val="20"/>
          <w:lang w:val="en-US"/>
        </w:rPr>
        <w:t>session</w:t>
      </w:r>
      <w:r w:rsidRPr="00BA3042">
        <w:rPr>
          <w:bCs/>
          <w:spacing w:val="-2"/>
          <w:w w:val="103"/>
          <w:kern w:val="14"/>
          <w:sz w:val="20"/>
          <w:lang w:val="en-US"/>
        </w:rPr>
        <w:br/>
      </w:r>
      <w:r w:rsidRPr="00BA3042">
        <w:rPr>
          <w:w w:val="103"/>
          <w:sz w:val="20"/>
          <w:lang w:val="en-US"/>
        </w:rPr>
        <w:t>(</w:t>
      </w:r>
      <w:r>
        <w:rPr>
          <w:w w:val="103"/>
          <w:sz w:val="20"/>
          <w:lang w:val="en-US"/>
        </w:rPr>
        <w:t>21 October</w:t>
      </w:r>
      <w:r w:rsidRPr="00BA3042">
        <w:rPr>
          <w:w w:val="103"/>
          <w:sz w:val="20"/>
          <w:lang w:val="en-US"/>
        </w:rPr>
        <w:t xml:space="preserve"> – </w:t>
      </w:r>
      <w:r>
        <w:rPr>
          <w:w w:val="103"/>
          <w:sz w:val="20"/>
          <w:lang w:val="en-US"/>
        </w:rPr>
        <w:t>8 November 2019</w:t>
      </w:r>
      <w:r w:rsidRPr="00BA3042">
        <w:rPr>
          <w:w w:val="103"/>
          <w:sz w:val="20"/>
          <w:lang w:val="en-US"/>
        </w:rPr>
        <w:t>)</w:t>
      </w:r>
    </w:p>
    <w:p w:rsidR="003919BC" w:rsidRDefault="00DA27E1" w:rsidP="003919BC">
      <w:pPr>
        <w:pStyle w:val="H1G"/>
        <w:rPr>
          <w:w w:val="103"/>
          <w:lang w:val="en-US"/>
        </w:rPr>
      </w:pPr>
      <w:r>
        <w:rPr>
          <w:w w:val="103"/>
          <w:lang w:val="en-US"/>
        </w:rPr>
        <w:tab/>
      </w:r>
      <w:r>
        <w:rPr>
          <w:w w:val="103"/>
          <w:lang w:val="en-US"/>
        </w:rPr>
        <w:tab/>
        <w:t>Annex 3</w:t>
      </w:r>
      <w:bookmarkStart w:id="0" w:name="_GoBack"/>
      <w:bookmarkEnd w:id="0"/>
    </w:p>
    <w:p w:rsidR="00311CE0" w:rsidRDefault="003919BC" w:rsidP="00311CE0">
      <w:pPr>
        <w:pStyle w:val="HChG"/>
        <w:rPr>
          <w:lang w:val="en-US"/>
        </w:rPr>
      </w:pPr>
      <w:r>
        <w:rPr>
          <w:lang w:val="en-US"/>
        </w:rPr>
        <w:tab/>
      </w:r>
      <w:r>
        <w:rPr>
          <w:lang w:val="en-US"/>
        </w:rPr>
        <w:tab/>
      </w:r>
      <w:r w:rsidR="00311CE0" w:rsidRPr="00311CE0">
        <w:rPr>
          <w:lang w:val="en-US"/>
        </w:rPr>
        <w:t>Assessment of the follow-up procedure</w:t>
      </w:r>
    </w:p>
    <w:p w:rsidR="00311CE0" w:rsidRDefault="00311CE0" w:rsidP="00311CE0">
      <w:pPr>
        <w:pStyle w:val="H1G"/>
        <w:rPr>
          <w:lang w:val="en-US"/>
        </w:rPr>
      </w:pPr>
      <w:r>
        <w:rPr>
          <w:lang w:val="en-US"/>
        </w:rPr>
        <w:tab/>
      </w:r>
      <w:r>
        <w:rPr>
          <w:lang w:val="en-US"/>
        </w:rPr>
        <w:tab/>
      </w:r>
      <w:r w:rsidRPr="00311CE0">
        <w:rPr>
          <w:lang w:val="en-US"/>
        </w:rPr>
        <w:t xml:space="preserve">Assessment of the follow-up procedure under </w:t>
      </w:r>
      <w:r>
        <w:rPr>
          <w:lang w:val="en-US"/>
        </w:rPr>
        <w:t>a</w:t>
      </w:r>
      <w:r w:rsidRPr="00311CE0">
        <w:rPr>
          <w:lang w:val="en-US"/>
        </w:rPr>
        <w:t>rticle 18 of the</w:t>
      </w:r>
      <w:r>
        <w:rPr>
          <w:lang w:val="en-US"/>
        </w:rPr>
        <w:t xml:space="preserve"> </w:t>
      </w:r>
      <w:r w:rsidRPr="00311CE0">
        <w:rPr>
          <w:lang w:val="en-US"/>
        </w:rPr>
        <w:t xml:space="preserve">Convention </w:t>
      </w:r>
    </w:p>
    <w:p w:rsidR="00311CE0" w:rsidRDefault="00311CE0" w:rsidP="00311CE0">
      <w:pPr>
        <w:pStyle w:val="SingleTxtG"/>
        <w:rPr>
          <w:lang w:val="en-US"/>
        </w:rPr>
      </w:pPr>
      <w:r w:rsidRPr="00311CE0">
        <w:rPr>
          <w:lang w:val="en-US"/>
        </w:rPr>
        <w:t>1.</w:t>
      </w:r>
      <w:r w:rsidRPr="00311CE0">
        <w:rPr>
          <w:lang w:val="en-US"/>
        </w:rPr>
        <w:tab/>
        <w:t xml:space="preserve">At its forty-first session, held in July 2008, the Committee decided to introduce a follow-up procedure whereby State parties are requested to follow-up on recommendations identified by the Committee as follow-up items. The request, based on article 18, paragraph 1 (b), of the Convention, would call on States parties to provide such information to the Committee </w:t>
      </w:r>
      <w:r w:rsidRPr="00311CE0">
        <w:rPr>
          <w:lang w:val="en-US"/>
        </w:rPr>
        <w:lastRenderedPageBreak/>
        <w:t>within one or two years, depending on the urgency of the situation.</w:t>
      </w:r>
    </w:p>
    <w:p w:rsidR="00311CE0" w:rsidRDefault="00311CE0" w:rsidP="00311CE0">
      <w:pPr>
        <w:pStyle w:val="SingleTxtG"/>
        <w:rPr>
          <w:bCs/>
          <w:lang w:val="en-US"/>
        </w:rPr>
      </w:pPr>
      <w:r w:rsidRPr="00311CE0">
        <w:rPr>
          <w:bCs/>
          <w:lang w:val="en-US"/>
        </w:rPr>
        <w:t>2.</w:t>
      </w:r>
      <w:r w:rsidRPr="00311CE0">
        <w:rPr>
          <w:bCs/>
          <w:lang w:val="en-US"/>
        </w:rPr>
        <w:tab/>
        <w:t>The Committee assessed the experience of its follow-up procedure at its fiftieth session in October 2011, at its fifty-sixth session in October 2013 and at its sixty-fifth session in November 2016. It decided</w:t>
      </w:r>
      <w:r w:rsidRPr="00311CE0">
        <w:rPr>
          <w:bCs/>
        </w:rPr>
        <w:t xml:space="preserve"> that the follow-up procedure in relation to the implementation of Concluding Observations should continue and </w:t>
      </w:r>
      <w:r w:rsidRPr="00311CE0">
        <w:rPr>
          <w:bCs/>
          <w:lang w:val="en-US"/>
        </w:rPr>
        <w:t xml:space="preserve">that another assessment should be made in October-November 2019. </w:t>
      </w:r>
    </w:p>
    <w:p w:rsidR="00311CE0" w:rsidRPr="00311CE0" w:rsidRDefault="00311CE0" w:rsidP="00311CE0">
      <w:pPr>
        <w:pStyle w:val="SingleTxtG"/>
        <w:rPr>
          <w:b/>
          <w:bCs/>
          <w:lang w:val="en-US"/>
        </w:rPr>
      </w:pPr>
      <w:r w:rsidRPr="00311CE0">
        <w:rPr>
          <w:b/>
          <w:bCs/>
          <w:lang w:val="en-US"/>
        </w:rPr>
        <w:t xml:space="preserve">The following assessment covers the period from the sixty-fifth session (November 2016) until the end of the seventy-third session (July 2019): </w:t>
      </w:r>
    </w:p>
    <w:p w:rsidR="00311CE0" w:rsidRPr="00311CE0" w:rsidRDefault="00311CE0" w:rsidP="00311CE0">
      <w:pPr>
        <w:pStyle w:val="H23G"/>
        <w:rPr>
          <w:lang w:val="en-US"/>
        </w:rPr>
      </w:pPr>
      <w:r>
        <w:rPr>
          <w:lang w:val="en-US"/>
        </w:rPr>
        <w:tab/>
      </w:r>
      <w:r w:rsidR="00A118DD">
        <w:rPr>
          <w:lang w:val="en-US"/>
        </w:rPr>
        <w:t>A</w:t>
      </w:r>
      <w:r w:rsidRPr="00311CE0">
        <w:rPr>
          <w:lang w:val="en-US"/>
        </w:rPr>
        <w:t>.</w:t>
      </w:r>
      <w:r w:rsidRPr="00311CE0">
        <w:rPr>
          <w:lang w:val="en-US"/>
        </w:rPr>
        <w:tab/>
        <w:t xml:space="preserve">Submission of </w:t>
      </w:r>
      <w:r w:rsidR="00F14E7D" w:rsidRPr="00311CE0">
        <w:rPr>
          <w:lang w:val="en-US"/>
        </w:rPr>
        <w:t>follow-up reports</w:t>
      </w:r>
    </w:p>
    <w:p w:rsidR="00311CE0" w:rsidRPr="00311CE0" w:rsidRDefault="00A118DD" w:rsidP="00A118DD">
      <w:pPr>
        <w:pStyle w:val="SingleTxtG"/>
        <w:rPr>
          <w:b/>
          <w:lang w:val="en-US"/>
        </w:rPr>
      </w:pPr>
      <w:r>
        <w:rPr>
          <w:lang w:val="en-US"/>
        </w:rPr>
        <w:t>3.</w:t>
      </w:r>
      <w:r>
        <w:rPr>
          <w:lang w:val="en-US"/>
        </w:rPr>
        <w:tab/>
      </w:r>
      <w:r w:rsidR="00311CE0" w:rsidRPr="00311CE0">
        <w:rPr>
          <w:lang w:val="en-US"/>
        </w:rPr>
        <w:t>79 follow-up reports have been requested between the fifty-ninth and sixty-seventh session, which were due between the sixty-fifth and seventy-fourth session, respectively;</w:t>
      </w:r>
    </w:p>
    <w:p w:rsidR="00311CE0" w:rsidRPr="00311CE0" w:rsidRDefault="00311CE0" w:rsidP="00311CE0">
      <w:pPr>
        <w:pStyle w:val="Bullet1G"/>
        <w:rPr>
          <w:b/>
          <w:lang w:val="en-US"/>
        </w:rPr>
      </w:pPr>
      <w:r w:rsidRPr="00311CE0">
        <w:rPr>
          <w:lang w:val="en-US"/>
        </w:rPr>
        <w:t>44 of the 79 requested follow-up reports (56% (-21%</w:t>
      </w:r>
      <w:r>
        <w:rPr>
          <w:rStyle w:val="FootnoteReference"/>
          <w:lang w:val="en-US"/>
        </w:rPr>
        <w:footnoteReference w:id="2"/>
      </w:r>
      <w:r w:rsidRPr="00311CE0">
        <w:rPr>
          <w:lang w:val="en-US"/>
        </w:rPr>
        <w:t>)) have been received;</w:t>
      </w:r>
    </w:p>
    <w:p w:rsidR="00311CE0" w:rsidRPr="00311CE0" w:rsidRDefault="00311CE0" w:rsidP="00311CE0">
      <w:pPr>
        <w:pStyle w:val="Bullet1G"/>
        <w:rPr>
          <w:b/>
          <w:lang w:val="en-US"/>
        </w:rPr>
      </w:pPr>
      <w:r w:rsidRPr="00311CE0">
        <w:rPr>
          <w:lang w:val="en-US"/>
        </w:rPr>
        <w:t xml:space="preserve">The Committee has not requested additional follow-up reports following its </w:t>
      </w:r>
      <w:r w:rsidRPr="00311CE0">
        <w:rPr>
          <w:lang w:val="en-US"/>
        </w:rPr>
        <w:lastRenderedPageBreak/>
        <w:t>assessment of a follow-up report;</w:t>
      </w:r>
    </w:p>
    <w:p w:rsidR="00311CE0" w:rsidRPr="00311CE0" w:rsidRDefault="00311CE0" w:rsidP="00311CE0">
      <w:pPr>
        <w:pStyle w:val="Bullet1G"/>
        <w:rPr>
          <w:b/>
          <w:lang w:val="en-US"/>
        </w:rPr>
      </w:pPr>
      <w:r w:rsidRPr="00311CE0">
        <w:rPr>
          <w:lang w:val="en-US"/>
        </w:rPr>
        <w:t>NGOs sent alternative follow-up information in relation to 13 of the 44 (29% (+2%)) reports received under the follow-up procedure; National Human Rights Institutions (NHRIs) or Ombudspersons submitted alternative follow-up information in relation to 2 reports (4.5% (-2.5%)); United Nations county teams (UNCT) submitted alternative follow-up information in relation to 7 reports (15% (+14%));</w:t>
      </w:r>
    </w:p>
    <w:p w:rsidR="00311CE0" w:rsidRPr="00311CE0" w:rsidRDefault="00311CE0" w:rsidP="00311CE0">
      <w:pPr>
        <w:pStyle w:val="Bullet1G"/>
        <w:rPr>
          <w:b/>
          <w:lang w:val="en-US"/>
        </w:rPr>
      </w:pPr>
      <w:r w:rsidRPr="00311CE0">
        <w:rPr>
          <w:lang w:val="en-US"/>
        </w:rPr>
        <w:t>Out of the 44 follow-up reports received, 2 (4.5% (+1.5%)) were received ahead of time, 13 (29% (+8%)) were received on time, 16 (36% (+4%)) were received with less than a 6-month delay, 9 (20% (-7%)) with a 6-month to one-year delay, and 3 (7% (-4%)) with a one-year to two-year delay, 1 (2% (-2%)) with a two-year to three-year delay;</w:t>
      </w:r>
    </w:p>
    <w:p w:rsidR="00311CE0" w:rsidRPr="00311CE0" w:rsidRDefault="00311CE0" w:rsidP="00311CE0">
      <w:pPr>
        <w:pStyle w:val="Bullet1G"/>
        <w:rPr>
          <w:b/>
          <w:lang w:val="en-US"/>
        </w:rPr>
      </w:pPr>
      <w:r w:rsidRPr="00311CE0">
        <w:rPr>
          <w:lang w:val="en-US"/>
        </w:rPr>
        <w:t>The Committee examined 44 of the 44 (100% (+10%)) follow-up reports received to assess whether the recommendations had been implemented.</w:t>
      </w:r>
    </w:p>
    <w:p w:rsidR="00311CE0" w:rsidRPr="00311CE0" w:rsidRDefault="00311CE0" w:rsidP="00311CE0">
      <w:pPr>
        <w:pStyle w:val="H23G"/>
        <w:rPr>
          <w:lang w:val="en-US"/>
        </w:rPr>
      </w:pPr>
      <w:r>
        <w:rPr>
          <w:lang w:val="en-US"/>
        </w:rPr>
        <w:lastRenderedPageBreak/>
        <w:tab/>
      </w:r>
      <w:r w:rsidR="00A118DD">
        <w:rPr>
          <w:lang w:val="en-US"/>
        </w:rPr>
        <w:t>B</w:t>
      </w:r>
      <w:r w:rsidRPr="00311CE0">
        <w:rPr>
          <w:lang w:val="en-US"/>
        </w:rPr>
        <w:t>.</w:t>
      </w:r>
      <w:r w:rsidRPr="00311CE0">
        <w:rPr>
          <w:lang w:val="en-US"/>
        </w:rPr>
        <w:tab/>
        <w:t xml:space="preserve">Status of </w:t>
      </w:r>
      <w:r w:rsidR="00F14E7D" w:rsidRPr="00311CE0">
        <w:rPr>
          <w:lang w:val="en-US"/>
        </w:rPr>
        <w:t>implementation of recommendations</w:t>
      </w:r>
    </w:p>
    <w:p w:rsidR="00311CE0" w:rsidRPr="00311CE0" w:rsidRDefault="00A118DD" w:rsidP="00311CE0">
      <w:pPr>
        <w:pStyle w:val="SingleTxtG"/>
        <w:rPr>
          <w:bCs/>
        </w:rPr>
      </w:pPr>
      <w:r>
        <w:rPr>
          <w:bCs/>
        </w:rPr>
        <w:t>4</w:t>
      </w:r>
      <w:r w:rsidR="00311CE0" w:rsidRPr="00311CE0">
        <w:rPr>
          <w:bCs/>
        </w:rPr>
        <w:t>.</w:t>
      </w:r>
      <w:r w:rsidR="00311CE0" w:rsidRPr="00311CE0">
        <w:rPr>
          <w:bCs/>
        </w:rPr>
        <w:tab/>
        <w:t>As regards the level of implementation of its recommendations, the Committee considered that:</w:t>
      </w:r>
    </w:p>
    <w:p w:rsidR="00311CE0" w:rsidRPr="00311CE0" w:rsidRDefault="00311CE0" w:rsidP="00311CE0">
      <w:pPr>
        <w:pStyle w:val="Bullet1G"/>
        <w:rPr>
          <w:lang w:val="en-US"/>
        </w:rPr>
      </w:pPr>
      <w:r w:rsidRPr="00311CE0">
        <w:rPr>
          <w:lang w:val="en-US"/>
        </w:rPr>
        <w:t xml:space="preserve">6 % (-12%) of the recommendations identified as follow-up items had been implemented; </w:t>
      </w:r>
    </w:p>
    <w:p w:rsidR="00311CE0" w:rsidRPr="00311CE0" w:rsidRDefault="00311CE0" w:rsidP="00311CE0">
      <w:pPr>
        <w:pStyle w:val="Bullet1G"/>
        <w:rPr>
          <w:lang w:val="en-US"/>
        </w:rPr>
      </w:pPr>
      <w:r w:rsidRPr="00311CE0">
        <w:rPr>
          <w:lang w:val="en-US"/>
        </w:rPr>
        <w:t xml:space="preserve">10 % (N/A) had been substantially implemented; </w:t>
      </w:r>
    </w:p>
    <w:p w:rsidR="00311CE0" w:rsidRPr="00311CE0" w:rsidRDefault="00311CE0" w:rsidP="00311CE0">
      <w:pPr>
        <w:pStyle w:val="Bullet1G"/>
        <w:rPr>
          <w:lang w:val="en-US"/>
        </w:rPr>
      </w:pPr>
      <w:r w:rsidRPr="00311CE0">
        <w:rPr>
          <w:lang w:val="en-US"/>
        </w:rPr>
        <w:t xml:space="preserve">47 % (+10%) had been partially implemented; </w:t>
      </w:r>
    </w:p>
    <w:p w:rsidR="00311CE0" w:rsidRPr="00311CE0" w:rsidRDefault="00311CE0" w:rsidP="00311CE0">
      <w:pPr>
        <w:pStyle w:val="Bullet1G"/>
        <w:rPr>
          <w:lang w:val="en-US"/>
        </w:rPr>
      </w:pPr>
      <w:r w:rsidRPr="00311CE0">
        <w:rPr>
          <w:lang w:val="en-US"/>
        </w:rPr>
        <w:t xml:space="preserve">22 % (-4%) had not been implemented; </w:t>
      </w:r>
    </w:p>
    <w:p w:rsidR="00311CE0" w:rsidRPr="00311CE0" w:rsidRDefault="00311CE0" w:rsidP="00311CE0">
      <w:pPr>
        <w:pStyle w:val="Bullet1G"/>
        <w:rPr>
          <w:lang w:val="en-US"/>
        </w:rPr>
      </w:pPr>
      <w:r w:rsidRPr="00311CE0">
        <w:rPr>
          <w:lang w:val="en-US"/>
        </w:rPr>
        <w:t>In 11% (-9%) of the cases, the Committee considered that it had not received sufficient information to make an assessment and;</w:t>
      </w:r>
    </w:p>
    <w:p w:rsidR="00311CE0" w:rsidRPr="00311CE0" w:rsidRDefault="00311CE0" w:rsidP="00311CE0">
      <w:pPr>
        <w:pStyle w:val="Bullet1G"/>
        <w:rPr>
          <w:lang w:val="en-US"/>
        </w:rPr>
      </w:pPr>
      <w:r w:rsidRPr="00311CE0">
        <w:rPr>
          <w:lang w:val="en-US"/>
        </w:rPr>
        <w:t>In 4 % (N/A) of the cases, the Committee considered that State party had failed to cooperate with the Committee in respect of the recommendation.</w:t>
      </w:r>
    </w:p>
    <w:p w:rsidR="00311CE0" w:rsidRDefault="00A118DD" w:rsidP="00311CE0">
      <w:pPr>
        <w:pStyle w:val="SingleTxtG"/>
        <w:rPr>
          <w:bCs/>
        </w:rPr>
      </w:pPr>
      <w:r>
        <w:rPr>
          <w:bCs/>
        </w:rPr>
        <w:t>5</w:t>
      </w:r>
      <w:r w:rsidR="00311CE0" w:rsidRPr="00311CE0">
        <w:rPr>
          <w:bCs/>
        </w:rPr>
        <w:t>.</w:t>
      </w:r>
      <w:r w:rsidR="00311CE0" w:rsidRPr="00311CE0">
        <w:rPr>
          <w:bCs/>
        </w:rPr>
        <w:tab/>
        <w:t xml:space="preserve">These figures show that more State parties have taken at least some measures to implement follow-up recommendations, if compared to the previous assessment period. The </w:t>
      </w:r>
      <w:r w:rsidR="00311CE0" w:rsidRPr="00311CE0">
        <w:rPr>
          <w:bCs/>
        </w:rPr>
        <w:lastRenderedPageBreak/>
        <w:t xml:space="preserve">introduction of a new category, “substantially implemented”, could be one explanation for that reduced the percentage of “implemented” recommendations. </w:t>
      </w:r>
    </w:p>
    <w:p w:rsidR="00311CE0" w:rsidRPr="00311CE0" w:rsidRDefault="00A118DD" w:rsidP="00311CE0">
      <w:pPr>
        <w:pStyle w:val="SingleTxtG"/>
        <w:rPr>
          <w:bCs/>
        </w:rPr>
      </w:pPr>
      <w:r>
        <w:rPr>
          <w:bCs/>
        </w:rPr>
        <w:t>6</w:t>
      </w:r>
      <w:r w:rsidR="00311CE0" w:rsidRPr="00311CE0">
        <w:rPr>
          <w:bCs/>
        </w:rPr>
        <w:t>.</w:t>
      </w:r>
      <w:r w:rsidR="00311CE0" w:rsidRPr="00311CE0">
        <w:rPr>
          <w:bCs/>
        </w:rPr>
        <w:tab/>
        <w:t xml:space="preserve">The </w:t>
      </w:r>
      <w:r w:rsidR="00311CE0" w:rsidRPr="00311CE0">
        <w:rPr>
          <w:bCs/>
          <w:lang w:val="en-US"/>
        </w:rPr>
        <w:t>issues</w:t>
      </w:r>
      <w:r w:rsidR="00311CE0" w:rsidRPr="00311CE0">
        <w:rPr>
          <w:bCs/>
        </w:rPr>
        <w:t xml:space="preserve"> identified by the Committee as follow-up items are:</w:t>
      </w:r>
    </w:p>
    <w:p w:rsidR="00311CE0" w:rsidRPr="00311CE0" w:rsidRDefault="00311CE0" w:rsidP="00311CE0">
      <w:pPr>
        <w:pStyle w:val="Bullet1G"/>
        <w:rPr>
          <w:lang w:val="en-US"/>
        </w:rPr>
      </w:pPr>
      <w:r>
        <w:rPr>
          <w:lang w:val="en-US"/>
        </w:rPr>
        <w:t>V</w:t>
      </w:r>
      <w:r w:rsidRPr="00311CE0">
        <w:rPr>
          <w:lang w:val="en-US"/>
        </w:rPr>
        <w:t>iolence against women: 36.2%</w:t>
      </w:r>
    </w:p>
    <w:p w:rsidR="00311CE0" w:rsidRPr="00311CE0" w:rsidRDefault="00311CE0" w:rsidP="00311CE0">
      <w:pPr>
        <w:pStyle w:val="Bullet1G"/>
        <w:rPr>
          <w:lang w:val="en-US"/>
        </w:rPr>
      </w:pPr>
      <w:r>
        <w:t>N</w:t>
      </w:r>
      <w:r w:rsidRPr="00311CE0">
        <w:t>ational machinery for the advancement of women:</w:t>
      </w:r>
      <w:r w:rsidRPr="00311CE0">
        <w:rPr>
          <w:lang w:val="en-US"/>
        </w:rPr>
        <w:t xml:space="preserve"> 10.7%</w:t>
      </w:r>
    </w:p>
    <w:p w:rsidR="00311CE0" w:rsidRPr="00311CE0" w:rsidRDefault="00311CE0" w:rsidP="00311CE0">
      <w:pPr>
        <w:pStyle w:val="Bullet1G"/>
        <w:rPr>
          <w:lang w:val="en-US"/>
        </w:rPr>
      </w:pPr>
      <w:r>
        <w:rPr>
          <w:lang w:val="en-US"/>
        </w:rPr>
        <w:t>L</w:t>
      </w:r>
      <w:r w:rsidRPr="00311CE0">
        <w:rPr>
          <w:lang w:val="en-US"/>
        </w:rPr>
        <w:t>egal aid and access to justice: 7.4%</w:t>
      </w:r>
    </w:p>
    <w:p w:rsidR="00311CE0" w:rsidRPr="00311CE0" w:rsidRDefault="00311CE0" w:rsidP="00311CE0">
      <w:pPr>
        <w:pStyle w:val="Bullet1G"/>
        <w:rPr>
          <w:lang w:val="en-US"/>
        </w:rPr>
      </w:pPr>
      <w:r>
        <w:rPr>
          <w:lang w:val="en-US"/>
        </w:rPr>
        <w:t>H</w:t>
      </w:r>
      <w:r w:rsidRPr="00311CE0">
        <w:rPr>
          <w:lang w:val="en-US"/>
        </w:rPr>
        <w:t>ealth: 7.4%</w:t>
      </w:r>
    </w:p>
    <w:p w:rsidR="00311CE0" w:rsidRPr="00311CE0" w:rsidRDefault="00311CE0" w:rsidP="00311CE0">
      <w:pPr>
        <w:pStyle w:val="Bullet1G"/>
        <w:rPr>
          <w:lang w:val="en-US"/>
        </w:rPr>
      </w:pPr>
      <w:r>
        <w:rPr>
          <w:lang w:val="en-US"/>
        </w:rPr>
        <w:t>P</w:t>
      </w:r>
      <w:r w:rsidRPr="00311CE0">
        <w:rPr>
          <w:lang w:val="en-US"/>
        </w:rPr>
        <w:t>articipation in political and public life: 6.7%</w:t>
      </w:r>
    </w:p>
    <w:p w:rsidR="00311CE0" w:rsidRPr="00311CE0" w:rsidRDefault="00311CE0" w:rsidP="00311CE0">
      <w:pPr>
        <w:pStyle w:val="Bullet1G"/>
        <w:rPr>
          <w:lang w:val="en-US"/>
        </w:rPr>
      </w:pPr>
      <w:r>
        <w:rPr>
          <w:lang w:val="en-US"/>
        </w:rPr>
        <w:t>C</w:t>
      </w:r>
      <w:r w:rsidRPr="00311CE0">
        <w:rPr>
          <w:lang w:val="en-US"/>
        </w:rPr>
        <w:t>onstitutional and legislative framework (or discriminatory laws): 4.7%</w:t>
      </w:r>
    </w:p>
    <w:p w:rsidR="00311CE0" w:rsidRPr="00311CE0" w:rsidRDefault="00311CE0" w:rsidP="00311CE0">
      <w:pPr>
        <w:pStyle w:val="Bullet1G"/>
        <w:rPr>
          <w:lang w:val="en-US"/>
        </w:rPr>
      </w:pPr>
      <w:r>
        <w:t>S</w:t>
      </w:r>
      <w:r w:rsidRPr="00311CE0">
        <w:t>tereotypes and harmful practices: 4.7%</w:t>
      </w:r>
    </w:p>
    <w:p w:rsidR="00311CE0" w:rsidRPr="00311CE0" w:rsidRDefault="00311CE0" w:rsidP="00311CE0">
      <w:pPr>
        <w:pStyle w:val="Bullet1G"/>
        <w:rPr>
          <w:lang w:val="en-US"/>
        </w:rPr>
      </w:pPr>
      <w:r>
        <w:rPr>
          <w:lang w:val="en-US"/>
        </w:rPr>
        <w:t>A</w:t>
      </w:r>
      <w:r w:rsidRPr="00311CE0">
        <w:rPr>
          <w:lang w:val="en-US"/>
        </w:rPr>
        <w:t>sylum seeking and refugee women: 4.0%</w:t>
      </w:r>
    </w:p>
    <w:p w:rsidR="00311CE0" w:rsidRPr="00311CE0" w:rsidRDefault="00311CE0" w:rsidP="00311CE0">
      <w:pPr>
        <w:pStyle w:val="Bullet1G"/>
        <w:rPr>
          <w:lang w:val="en-US"/>
        </w:rPr>
      </w:pPr>
      <w:r>
        <w:rPr>
          <w:lang w:val="en-US"/>
        </w:rPr>
        <w:t>E</w:t>
      </w:r>
      <w:r w:rsidRPr="00311CE0">
        <w:rPr>
          <w:lang w:val="en-US"/>
        </w:rPr>
        <w:t>ducation: 3.3%</w:t>
      </w:r>
    </w:p>
    <w:p w:rsidR="00311CE0" w:rsidRPr="00311CE0" w:rsidRDefault="00311CE0" w:rsidP="00311CE0">
      <w:pPr>
        <w:pStyle w:val="Bullet1G"/>
        <w:rPr>
          <w:lang w:val="en-US"/>
        </w:rPr>
      </w:pPr>
      <w:r>
        <w:t>E</w:t>
      </w:r>
      <w:r w:rsidRPr="00311CE0">
        <w:t>mployment: 3.3%</w:t>
      </w:r>
    </w:p>
    <w:p w:rsidR="00311CE0" w:rsidRPr="00311CE0" w:rsidRDefault="00311CE0" w:rsidP="00311CE0">
      <w:pPr>
        <w:pStyle w:val="Bullet1G"/>
        <w:rPr>
          <w:lang w:val="en-US"/>
        </w:rPr>
      </w:pPr>
      <w:r>
        <w:t>D</w:t>
      </w:r>
      <w:r w:rsidRPr="00311CE0">
        <w:t>efinition of equality and non-discrimination: 2.7%</w:t>
      </w:r>
    </w:p>
    <w:p w:rsidR="00311CE0" w:rsidRPr="00311CE0" w:rsidRDefault="00311CE0" w:rsidP="00311CE0">
      <w:pPr>
        <w:pStyle w:val="Bullet1G"/>
        <w:rPr>
          <w:lang w:val="en-US"/>
        </w:rPr>
      </w:pPr>
      <w:r>
        <w:t>M</w:t>
      </w:r>
      <w:r w:rsidRPr="00311CE0">
        <w:t>arriage and family relations: 2.0%</w:t>
      </w:r>
    </w:p>
    <w:p w:rsidR="00311CE0" w:rsidRPr="00311CE0" w:rsidRDefault="00311CE0" w:rsidP="00311CE0">
      <w:pPr>
        <w:pStyle w:val="Bullet1G"/>
        <w:rPr>
          <w:lang w:val="en-US"/>
        </w:rPr>
      </w:pPr>
      <w:r>
        <w:lastRenderedPageBreak/>
        <w:t>R</w:t>
      </w:r>
      <w:r w:rsidRPr="00311CE0">
        <w:t>eservations: 1.3%</w:t>
      </w:r>
    </w:p>
    <w:p w:rsidR="00311CE0" w:rsidRPr="00311CE0" w:rsidRDefault="00311CE0" w:rsidP="00311CE0">
      <w:pPr>
        <w:pStyle w:val="Bullet1G"/>
        <w:rPr>
          <w:lang w:val="en-US"/>
        </w:rPr>
      </w:pPr>
      <w:r>
        <w:t>T</w:t>
      </w:r>
      <w:r w:rsidRPr="00311CE0">
        <w:t xml:space="preserve">rafficking and exploitation of prostitution: 1.3% </w:t>
      </w:r>
    </w:p>
    <w:p w:rsidR="00311CE0" w:rsidRPr="00311CE0" w:rsidRDefault="00311CE0" w:rsidP="00311CE0">
      <w:pPr>
        <w:pStyle w:val="Bullet1G"/>
        <w:rPr>
          <w:lang w:val="en-US"/>
        </w:rPr>
      </w:pPr>
      <w:r>
        <w:t>W</w:t>
      </w:r>
      <w:r w:rsidRPr="00311CE0">
        <w:t xml:space="preserve">omen in conflict or post-conflict situation: 1.3% </w:t>
      </w:r>
    </w:p>
    <w:p w:rsidR="00311CE0" w:rsidRPr="00311CE0" w:rsidRDefault="00311CE0" w:rsidP="00311CE0">
      <w:pPr>
        <w:pStyle w:val="Bullet1G"/>
        <w:rPr>
          <w:lang w:val="en-US"/>
        </w:rPr>
      </w:pPr>
      <w:r>
        <w:rPr>
          <w:lang w:val="en-US"/>
        </w:rPr>
        <w:t>D</w:t>
      </w:r>
      <w:r w:rsidRPr="00311CE0">
        <w:rPr>
          <w:lang w:val="en-US"/>
        </w:rPr>
        <w:t xml:space="preserve">isadvantaged groups of women:1.3% </w:t>
      </w:r>
    </w:p>
    <w:p w:rsidR="00311CE0" w:rsidRPr="00311CE0" w:rsidRDefault="00311CE0" w:rsidP="00311CE0">
      <w:pPr>
        <w:pStyle w:val="Bullet1G"/>
        <w:rPr>
          <w:lang w:val="en-US"/>
        </w:rPr>
      </w:pPr>
      <w:r>
        <w:rPr>
          <w:lang w:val="en-US"/>
        </w:rPr>
        <w:t>N</w:t>
      </w:r>
      <w:r w:rsidRPr="00311CE0">
        <w:rPr>
          <w:lang w:val="en-US"/>
        </w:rPr>
        <w:t xml:space="preserve">ationality: 0.7% </w:t>
      </w:r>
    </w:p>
    <w:p w:rsidR="00311CE0" w:rsidRDefault="00311CE0" w:rsidP="00311CE0">
      <w:pPr>
        <w:pStyle w:val="Bullet1G"/>
        <w:rPr>
          <w:lang w:val="en-US"/>
        </w:rPr>
      </w:pPr>
      <w:r>
        <w:rPr>
          <w:lang w:val="en-US"/>
        </w:rPr>
        <w:t>D</w:t>
      </w:r>
      <w:r w:rsidRPr="00311CE0">
        <w:rPr>
          <w:lang w:val="en-US"/>
        </w:rPr>
        <w:t xml:space="preserve">isaster risk reduction and climate change: 0.7% </w:t>
      </w:r>
    </w:p>
    <w:p w:rsidR="00311CE0" w:rsidRDefault="00A118DD" w:rsidP="00311CE0">
      <w:pPr>
        <w:pStyle w:val="SingleTxtG"/>
        <w:rPr>
          <w:bCs/>
          <w:lang w:val="en-US"/>
        </w:rPr>
      </w:pPr>
      <w:r>
        <w:rPr>
          <w:bCs/>
          <w:lang w:val="en-US"/>
        </w:rPr>
        <w:t>7</w:t>
      </w:r>
      <w:r w:rsidR="00311CE0" w:rsidRPr="00311CE0">
        <w:rPr>
          <w:bCs/>
          <w:lang w:val="en-US"/>
        </w:rPr>
        <w:t>.</w:t>
      </w:r>
      <w:r w:rsidR="00311CE0" w:rsidRPr="00311CE0">
        <w:rPr>
          <w:bCs/>
          <w:lang w:val="en-US"/>
        </w:rPr>
        <w:tab/>
        <w:t>The most frequently selected item remains the same: violence against women. In addition, during the assessment period, the Committee has frequently selected recommendations concerning national machinery, access to justice and health. It should also be noted that the Committee for the first time included recommendations related to climate change during this period. On the other hand, the Committee could have also addressed other range of issues, such as innovation and technology, intellectual property, infrastructure, procurement, trade, illicit arms, and small and light weapons and in the context of developing new reporting guidelines consider paying closer attention to these and other emerging issues.</w:t>
      </w:r>
    </w:p>
    <w:p w:rsidR="00311CE0" w:rsidRPr="00311CE0" w:rsidRDefault="00A118DD" w:rsidP="00311CE0">
      <w:pPr>
        <w:pStyle w:val="SingleTxtG"/>
        <w:rPr>
          <w:bCs/>
          <w:lang w:val="en-US"/>
        </w:rPr>
      </w:pPr>
      <w:r>
        <w:rPr>
          <w:bCs/>
          <w:lang w:val="en-US"/>
        </w:rPr>
        <w:t>8</w:t>
      </w:r>
      <w:r w:rsidR="00311CE0" w:rsidRPr="00311CE0">
        <w:rPr>
          <w:bCs/>
          <w:lang w:val="en-US"/>
        </w:rPr>
        <w:t>.</w:t>
      </w:r>
      <w:r w:rsidR="00311CE0" w:rsidRPr="00311CE0">
        <w:rPr>
          <w:bCs/>
          <w:lang w:val="en-US"/>
        </w:rPr>
        <w:tab/>
        <w:t xml:space="preserve">The workload of the follow-up procedure is still significant. On </w:t>
      </w:r>
      <w:r w:rsidR="00311CE0" w:rsidRPr="00311CE0">
        <w:rPr>
          <w:bCs/>
          <w:lang w:val="en-US"/>
        </w:rPr>
        <w:lastRenderedPageBreak/>
        <w:t>average, 8 follow-up reports were assessed per session, in addition to pending reminders and invitations for a meeting. The number of assessments per session has increased, 7 follow-up reports were assessed on average per session between the fifty-eighth and the sixty-fourth sessions, and 5 between the forty-eighth and the fifty-seventh sessions. Therefore, the Committee took the following decisions at the 70</w:t>
      </w:r>
      <w:r w:rsidR="00311CE0" w:rsidRPr="00311CE0">
        <w:rPr>
          <w:bCs/>
          <w:vertAlign w:val="superscript"/>
          <w:lang w:val="en-US"/>
        </w:rPr>
        <w:t>th</w:t>
      </w:r>
      <w:r w:rsidR="00311CE0" w:rsidRPr="00311CE0">
        <w:rPr>
          <w:bCs/>
          <w:lang w:val="en-US"/>
        </w:rPr>
        <w:t xml:space="preserve"> session in July 2018:</w:t>
      </w:r>
    </w:p>
    <w:p w:rsidR="00311CE0" w:rsidRPr="00311CE0" w:rsidRDefault="00311CE0" w:rsidP="00311CE0">
      <w:pPr>
        <w:pStyle w:val="Bullet1G"/>
        <w:rPr>
          <w:lang w:val="en-US"/>
        </w:rPr>
      </w:pPr>
      <w:r w:rsidRPr="00311CE0">
        <w:rPr>
          <w:lang w:val="en-US"/>
        </w:rPr>
        <w:t>Discontinue the preparation of summaries and inclusion of follow-up information received from State parties as well as from other sources in its follow-up letters to the States parties concerned;</w:t>
      </w:r>
    </w:p>
    <w:p w:rsidR="00311CE0" w:rsidRPr="00311CE0" w:rsidRDefault="00311CE0" w:rsidP="00311CE0">
      <w:pPr>
        <w:pStyle w:val="Bullet1G"/>
        <w:rPr>
          <w:lang w:val="en-US"/>
        </w:rPr>
      </w:pPr>
      <w:r w:rsidRPr="00311CE0">
        <w:rPr>
          <w:lang w:val="en-US"/>
        </w:rPr>
        <w:t>Limit the number of reminders and invitations to follow-up meetings sent to State parties with overdue follow-up reports to one reminder and one invitation.</w:t>
      </w:r>
    </w:p>
    <w:p w:rsidR="00311CE0" w:rsidRDefault="00A118DD" w:rsidP="00311CE0">
      <w:pPr>
        <w:pStyle w:val="SingleTxtG"/>
        <w:rPr>
          <w:bCs/>
        </w:rPr>
      </w:pPr>
      <w:r>
        <w:rPr>
          <w:bCs/>
        </w:rPr>
        <w:t>9</w:t>
      </w:r>
      <w:r w:rsidR="00311CE0" w:rsidRPr="00311CE0">
        <w:rPr>
          <w:bCs/>
        </w:rPr>
        <w:t>.</w:t>
      </w:r>
      <w:r w:rsidR="00311CE0" w:rsidRPr="00311CE0">
        <w:rPr>
          <w:bCs/>
        </w:rPr>
        <w:tab/>
      </w:r>
      <w:r w:rsidR="00311CE0" w:rsidRPr="00311CE0">
        <w:rPr>
          <w:bCs/>
          <w:lang w:val="en-US"/>
        </w:rPr>
        <w:t>The Rapporteur</w:t>
      </w:r>
      <w:r w:rsidR="00311CE0" w:rsidRPr="00311CE0">
        <w:rPr>
          <w:bCs/>
        </w:rPr>
        <w:t xml:space="preserve"> on follow-up also proposes to prepare draft follow-up assessments in the form of a letter to further reduce the workload.</w:t>
      </w:r>
    </w:p>
    <w:p w:rsidR="00311CE0" w:rsidRDefault="00A118DD" w:rsidP="00A118DD">
      <w:pPr>
        <w:pStyle w:val="H23G"/>
      </w:pPr>
      <w:r>
        <w:lastRenderedPageBreak/>
        <w:tab/>
      </w:r>
      <w:r w:rsidRPr="00A118DD">
        <w:rPr>
          <w:lang w:val="en-US"/>
        </w:rPr>
        <w:t>C</w:t>
      </w:r>
      <w:r>
        <w:t>.</w:t>
      </w:r>
      <w:r>
        <w:tab/>
      </w:r>
      <w:r w:rsidR="00311CE0" w:rsidRPr="00311CE0">
        <w:t>Recommendations</w:t>
      </w:r>
    </w:p>
    <w:p w:rsidR="00311CE0" w:rsidRPr="00311CE0" w:rsidRDefault="00A118DD" w:rsidP="00311CE0">
      <w:pPr>
        <w:pStyle w:val="SingleTxtG"/>
        <w:rPr>
          <w:bCs/>
        </w:rPr>
      </w:pPr>
      <w:r>
        <w:rPr>
          <w:bCs/>
        </w:rPr>
        <w:t>10</w:t>
      </w:r>
      <w:r w:rsidR="00311CE0" w:rsidRPr="00311CE0">
        <w:rPr>
          <w:bCs/>
        </w:rPr>
        <w:t>.</w:t>
      </w:r>
      <w:r w:rsidR="00311CE0" w:rsidRPr="00311CE0">
        <w:rPr>
          <w:bCs/>
        </w:rPr>
        <w:tab/>
        <w:t xml:space="preserve">The </w:t>
      </w:r>
      <w:r w:rsidR="00311CE0" w:rsidRPr="00311CE0">
        <w:rPr>
          <w:bCs/>
          <w:lang w:val="en-US"/>
        </w:rPr>
        <w:t>following</w:t>
      </w:r>
      <w:r w:rsidR="00311CE0" w:rsidRPr="00311CE0">
        <w:rPr>
          <w:bCs/>
        </w:rPr>
        <w:t xml:space="preserve"> recommendations of the previous assessment should be retained:</w:t>
      </w:r>
    </w:p>
    <w:p w:rsidR="00311CE0" w:rsidRPr="00311CE0" w:rsidRDefault="00311CE0" w:rsidP="00311CE0">
      <w:pPr>
        <w:pStyle w:val="Bullet1G"/>
        <w:rPr>
          <w:lang w:val="en-US"/>
        </w:rPr>
      </w:pPr>
      <w:r w:rsidRPr="00311CE0">
        <w:rPr>
          <w:lang w:val="en-US"/>
        </w:rPr>
        <w:t>The follow-up procedure under article 18 of the Convention in relation to the implementation of concluding observations should be continued;</w:t>
      </w:r>
    </w:p>
    <w:p w:rsidR="00311CE0" w:rsidRPr="00311CE0" w:rsidRDefault="00311CE0" w:rsidP="00311CE0">
      <w:pPr>
        <w:pStyle w:val="Bullet1G"/>
        <w:rPr>
          <w:lang w:val="en-US"/>
        </w:rPr>
      </w:pPr>
      <w:r w:rsidRPr="00311CE0">
        <w:rPr>
          <w:lang w:val="en-US"/>
        </w:rPr>
        <w:t xml:space="preserve">The two-year mandate of the Rapporteur on follow-up and the alternate Rapporteur should be retained. The recommendation from the last assessment that the alternate Rapporteur is encouraged to take over the role of Rapporteur on follow-up at the end of her/his mandate, in order to ensure the continuity and consistency of the assessments made by the Committee should be also retained; </w:t>
      </w:r>
    </w:p>
    <w:p w:rsidR="00311CE0" w:rsidRPr="00311CE0" w:rsidRDefault="00311CE0" w:rsidP="00311CE0">
      <w:pPr>
        <w:pStyle w:val="Bullet1G"/>
        <w:rPr>
          <w:lang w:val="en-US"/>
        </w:rPr>
      </w:pPr>
      <w:r w:rsidRPr="00311CE0">
        <w:t>T</w:t>
      </w:r>
      <w:r w:rsidRPr="00311CE0">
        <w:rPr>
          <w:lang w:val="en-US"/>
        </w:rPr>
        <w:t xml:space="preserve">he current practice that the Country Rapporteur who led the constructive dialogue assist in the assessment of the State party’s follow-up report should be retained, and she/he should share the preliminary assessment electronically with the Rapporteur on follow-up, the alternate Rapporteur and the Secretariat; all Committee </w:t>
      </w:r>
      <w:r w:rsidRPr="00311CE0">
        <w:rPr>
          <w:lang w:val="en-US"/>
        </w:rPr>
        <w:lastRenderedPageBreak/>
        <w:t>members are encouraged to parti</w:t>
      </w:r>
      <w:r>
        <w:rPr>
          <w:lang w:val="en-US"/>
        </w:rPr>
        <w:t>cipate in follow-up assessments;</w:t>
      </w:r>
    </w:p>
    <w:p w:rsidR="00311CE0" w:rsidRPr="00311CE0" w:rsidRDefault="00311CE0" w:rsidP="00311CE0">
      <w:pPr>
        <w:pStyle w:val="Bullet1G"/>
        <w:rPr>
          <w:lang w:val="en-US"/>
        </w:rPr>
      </w:pPr>
      <w:r w:rsidRPr="00311CE0">
        <w:t>The</w:t>
      </w:r>
      <w:r w:rsidRPr="00311CE0">
        <w:rPr>
          <w:lang w:val="en-US"/>
        </w:rPr>
        <w:t xml:space="preserve"> Committee should retain the methodology for follow-up, which uses the categories “implemented”, “substantially implemented”, “partially implemented”, “not implemented” and “lack of sufficient information” in the assessment of the follow-up reports. In addition, the Committee should retain the criteria concerning the quality of the information provided by State parties, which has been introduced since the last assessment in 2016, using following categories: “satisfactory”, “partially satisfactory”, “unsatisfactory” and “no response”; </w:t>
      </w:r>
    </w:p>
    <w:p w:rsidR="00311CE0" w:rsidRPr="00311CE0" w:rsidRDefault="00311CE0" w:rsidP="00311CE0">
      <w:pPr>
        <w:pStyle w:val="Bullet1G"/>
        <w:rPr>
          <w:lang w:val="en-US"/>
        </w:rPr>
      </w:pPr>
      <w:r w:rsidRPr="00311CE0">
        <w:t>The</w:t>
      </w:r>
      <w:r w:rsidRPr="00311CE0">
        <w:rPr>
          <w:lang w:val="en-US"/>
        </w:rPr>
        <w:t xml:space="preserve"> Committee should retain the guidelines for States parties, NGOs and NHRIs regarding the submission of follow-up reports and information, and should ensure that the word limits are duly respected; </w:t>
      </w:r>
    </w:p>
    <w:p w:rsidR="00311CE0" w:rsidRPr="00311CE0" w:rsidRDefault="00311CE0" w:rsidP="00311CE0">
      <w:pPr>
        <w:pStyle w:val="Bullet1G"/>
        <w:rPr>
          <w:lang w:val="en-US"/>
        </w:rPr>
      </w:pPr>
      <w:r w:rsidRPr="00311CE0">
        <w:t>The</w:t>
      </w:r>
      <w:r w:rsidRPr="00311CE0">
        <w:rPr>
          <w:lang w:val="en-US"/>
        </w:rPr>
        <w:t xml:space="preserve"> Committee should retain a specific follow-up approach to be applied for States parties in conflict or post-conflict situations;</w:t>
      </w:r>
    </w:p>
    <w:p w:rsidR="00311CE0" w:rsidRPr="00311CE0" w:rsidRDefault="00311CE0" w:rsidP="00311CE0">
      <w:pPr>
        <w:pStyle w:val="Bullet1G"/>
        <w:rPr>
          <w:lang w:val="en-US"/>
        </w:rPr>
      </w:pPr>
      <w:r w:rsidRPr="00311CE0">
        <w:rPr>
          <w:lang w:val="en-US"/>
        </w:rPr>
        <w:lastRenderedPageBreak/>
        <w:t xml:space="preserve">In </w:t>
      </w:r>
      <w:r w:rsidRPr="00311CE0">
        <w:t>addition</w:t>
      </w:r>
      <w:r w:rsidRPr="00311CE0">
        <w:rPr>
          <w:lang w:val="en-US"/>
        </w:rPr>
        <w:t xml:space="preserve"> to retaining a separate agenda item on follow-up for each session, sufficient capacity should be allocated to ensure timely completion of the assessments and adequate support to the Rapporteur on follow-up and alternate Rapporteur both during sessions and inter-sessionally;</w:t>
      </w:r>
    </w:p>
    <w:p w:rsidR="00311CE0" w:rsidRPr="00311CE0" w:rsidRDefault="00311CE0" w:rsidP="00311CE0">
      <w:pPr>
        <w:pStyle w:val="Bullet1G"/>
        <w:rPr>
          <w:lang w:val="en-US"/>
        </w:rPr>
      </w:pPr>
      <w:r w:rsidRPr="00311CE0">
        <w:rPr>
          <w:lang w:val="en-US"/>
        </w:rPr>
        <w:t>The Committee should align a common procedure for follow-up to concluding observations for treaty bodies, which includes possible elements of the procedure adopted in the Report of the Chairs of the human rights treaty bodies on their 30</w:t>
      </w:r>
      <w:r w:rsidRPr="00311CE0">
        <w:rPr>
          <w:vertAlign w:val="superscript"/>
          <w:lang w:val="en-US"/>
        </w:rPr>
        <w:t>th</w:t>
      </w:r>
      <w:r w:rsidRPr="00311CE0">
        <w:rPr>
          <w:lang w:val="en-US"/>
        </w:rPr>
        <w:t xml:space="preserve"> meeting (</w:t>
      </w:r>
      <w:hyperlink r:id="rId7" w:history="1">
        <w:r w:rsidRPr="00311CE0">
          <w:rPr>
            <w:rStyle w:val="Hyperlink"/>
            <w:bCs/>
            <w:lang w:val="en-US"/>
          </w:rPr>
          <w:t>A/73/140</w:t>
        </w:r>
      </w:hyperlink>
      <w:r>
        <w:rPr>
          <w:lang w:val="en-US"/>
        </w:rPr>
        <w:t>, Annex II, Part A);</w:t>
      </w:r>
    </w:p>
    <w:p w:rsidR="00311CE0" w:rsidRDefault="00311CE0" w:rsidP="00311CE0">
      <w:pPr>
        <w:pStyle w:val="Bullet1G"/>
      </w:pPr>
      <w:r w:rsidRPr="00311CE0">
        <w:rPr>
          <w:lang w:val="en-US"/>
        </w:rPr>
        <w:t>The next evaluation of the follow-up procedure should be carried out and tabled at the eighty-third session in October-November 2022.</w:t>
      </w:r>
    </w:p>
    <w:p w:rsidR="00E61D3D" w:rsidRPr="00311CE0" w:rsidRDefault="00311CE0" w:rsidP="00311CE0">
      <w:pPr>
        <w:spacing w:before="240"/>
        <w:ind w:left="1134" w:right="1134"/>
        <w:jc w:val="center"/>
        <w:rPr>
          <w:u w:val="single"/>
        </w:rPr>
      </w:pPr>
      <w:r>
        <w:rPr>
          <w:u w:val="single"/>
        </w:rPr>
        <w:tab/>
      </w:r>
      <w:r>
        <w:rPr>
          <w:u w:val="single"/>
        </w:rPr>
        <w:tab/>
      </w:r>
      <w:r>
        <w:rPr>
          <w:u w:val="single"/>
        </w:rPr>
        <w:tab/>
      </w:r>
    </w:p>
    <w:sectPr w:rsidR="00E61D3D" w:rsidRPr="00311CE0" w:rsidSect="00311CE0">
      <w:footerReference w:type="first" r:id="rId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CE0" w:rsidRDefault="00311CE0"/>
  </w:endnote>
  <w:endnote w:type="continuationSeparator" w:id="0">
    <w:p w:rsidR="00311CE0" w:rsidRDefault="00311CE0"/>
  </w:endnote>
  <w:endnote w:type="continuationNotice" w:id="1">
    <w:p w:rsidR="00311CE0" w:rsidRDefault="00311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130" w:rsidRPr="009B4A1B" w:rsidRDefault="008D10AB" w:rsidP="009B4A1B">
    <w:pPr>
      <w:pStyle w:val="Foote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CE0" w:rsidRPr="000B175B" w:rsidRDefault="00311CE0" w:rsidP="000B175B">
      <w:pPr>
        <w:tabs>
          <w:tab w:val="right" w:pos="2155"/>
        </w:tabs>
        <w:spacing w:after="80"/>
        <w:ind w:left="680"/>
        <w:rPr>
          <w:u w:val="single"/>
        </w:rPr>
      </w:pPr>
      <w:r>
        <w:rPr>
          <w:u w:val="single"/>
        </w:rPr>
        <w:tab/>
      </w:r>
    </w:p>
  </w:footnote>
  <w:footnote w:type="continuationSeparator" w:id="0">
    <w:p w:rsidR="00311CE0" w:rsidRPr="00FC68B7" w:rsidRDefault="00311CE0" w:rsidP="00FC68B7">
      <w:pPr>
        <w:tabs>
          <w:tab w:val="left" w:pos="2155"/>
        </w:tabs>
        <w:spacing w:after="80"/>
        <w:ind w:left="680"/>
        <w:rPr>
          <w:u w:val="single"/>
        </w:rPr>
      </w:pPr>
      <w:r>
        <w:rPr>
          <w:u w:val="single"/>
        </w:rPr>
        <w:tab/>
      </w:r>
    </w:p>
  </w:footnote>
  <w:footnote w:type="continuationNotice" w:id="1">
    <w:p w:rsidR="00311CE0" w:rsidRDefault="00311CE0"/>
  </w:footnote>
  <w:footnote w:id="2">
    <w:p w:rsidR="00311CE0" w:rsidRPr="00311CE0" w:rsidRDefault="00311CE0" w:rsidP="00311CE0">
      <w:pPr>
        <w:pStyle w:val="FootnoteText"/>
        <w:widowControl w:val="0"/>
        <w:tabs>
          <w:tab w:val="clear" w:pos="1021"/>
          <w:tab w:val="right" w:pos="1020"/>
        </w:tabs>
      </w:pPr>
      <w:r>
        <w:tab/>
      </w:r>
      <w:r>
        <w:rPr>
          <w:rStyle w:val="FootnoteReference"/>
        </w:rPr>
        <w:footnoteRef/>
      </w:r>
      <w:r>
        <w:tab/>
        <w:t>Since the last assessment of follow-up procedure in November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BFszOVcx7MfjQV946pq07l7ucz89WhZSog4XlGjgOISVkOJs++VwT3wkCq4BNamIdMzetyG4GAh4wkh9/8Vx6g==" w:salt="eJnStRHWhUC2dr0L4XvWU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CE0"/>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453A"/>
    <w:rsid w:val="001C6663"/>
    <w:rsid w:val="001C7895"/>
    <w:rsid w:val="001D26DF"/>
    <w:rsid w:val="001D2F63"/>
    <w:rsid w:val="001E5AA0"/>
    <w:rsid w:val="00202DA8"/>
    <w:rsid w:val="00211E0B"/>
    <w:rsid w:val="002B0464"/>
    <w:rsid w:val="002B6071"/>
    <w:rsid w:val="002C6D5C"/>
    <w:rsid w:val="002F175C"/>
    <w:rsid w:val="00311CE0"/>
    <w:rsid w:val="003229D8"/>
    <w:rsid w:val="003305AB"/>
    <w:rsid w:val="00352709"/>
    <w:rsid w:val="00371178"/>
    <w:rsid w:val="003919BC"/>
    <w:rsid w:val="003A4810"/>
    <w:rsid w:val="003A6810"/>
    <w:rsid w:val="003C2CC4"/>
    <w:rsid w:val="003D4B23"/>
    <w:rsid w:val="00405DDC"/>
    <w:rsid w:val="00410C89"/>
    <w:rsid w:val="004325CB"/>
    <w:rsid w:val="0045495B"/>
    <w:rsid w:val="00490E1A"/>
    <w:rsid w:val="004D25E4"/>
    <w:rsid w:val="00517B36"/>
    <w:rsid w:val="005420F2"/>
    <w:rsid w:val="005B3DB3"/>
    <w:rsid w:val="005B5E1E"/>
    <w:rsid w:val="005C6A79"/>
    <w:rsid w:val="006001EE"/>
    <w:rsid w:val="00611FC4"/>
    <w:rsid w:val="006176FB"/>
    <w:rsid w:val="00640B26"/>
    <w:rsid w:val="006B4BDB"/>
    <w:rsid w:val="006E564B"/>
    <w:rsid w:val="0072632A"/>
    <w:rsid w:val="007B112D"/>
    <w:rsid w:val="007B6BA5"/>
    <w:rsid w:val="007C3390"/>
    <w:rsid w:val="007C4F4B"/>
    <w:rsid w:val="007E61A6"/>
    <w:rsid w:val="007F6462"/>
    <w:rsid w:val="007F6611"/>
    <w:rsid w:val="008242D7"/>
    <w:rsid w:val="00832D01"/>
    <w:rsid w:val="00860B80"/>
    <w:rsid w:val="008979B1"/>
    <w:rsid w:val="008A6B25"/>
    <w:rsid w:val="008A6C4F"/>
    <w:rsid w:val="008B2335"/>
    <w:rsid w:val="008D10AB"/>
    <w:rsid w:val="008E0548"/>
    <w:rsid w:val="009223CA"/>
    <w:rsid w:val="009369F6"/>
    <w:rsid w:val="00940F93"/>
    <w:rsid w:val="009603EF"/>
    <w:rsid w:val="00994B9F"/>
    <w:rsid w:val="009B4A1B"/>
    <w:rsid w:val="009C0EE8"/>
    <w:rsid w:val="009C14AA"/>
    <w:rsid w:val="00A01489"/>
    <w:rsid w:val="00A118DD"/>
    <w:rsid w:val="00A21AD8"/>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8C6"/>
    <w:rsid w:val="00DA27E1"/>
    <w:rsid w:val="00DA3C1C"/>
    <w:rsid w:val="00DE0130"/>
    <w:rsid w:val="00E109FB"/>
    <w:rsid w:val="00E20A6E"/>
    <w:rsid w:val="00E56873"/>
    <w:rsid w:val="00E61D3D"/>
    <w:rsid w:val="00E63389"/>
    <w:rsid w:val="00E71BC8"/>
    <w:rsid w:val="00E7260F"/>
    <w:rsid w:val="00E96630"/>
    <w:rsid w:val="00ED32A3"/>
    <w:rsid w:val="00ED616A"/>
    <w:rsid w:val="00ED7A2A"/>
    <w:rsid w:val="00EF1D7F"/>
    <w:rsid w:val="00F14E7D"/>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529CDD"/>
  <w15:docId w15:val="{1C6ADE14-0966-43C7-8FBB-B8E5097C9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27787">
      <w:bodyDiv w:val="1"/>
      <w:marLeft w:val="0"/>
      <w:marRight w:val="0"/>
      <w:marTop w:val="0"/>
      <w:marBottom w:val="0"/>
      <w:divBdr>
        <w:top w:val="none" w:sz="0" w:space="0" w:color="auto"/>
        <w:left w:val="none" w:sz="0" w:space="0" w:color="auto"/>
        <w:bottom w:val="none" w:sz="0" w:space="0" w:color="auto"/>
        <w:right w:val="none" w:sz="0" w:space="0" w:color="auto"/>
      </w:divBdr>
    </w:div>
    <w:div w:id="316496215">
      <w:bodyDiv w:val="1"/>
      <w:marLeft w:val="0"/>
      <w:marRight w:val="0"/>
      <w:marTop w:val="0"/>
      <w:marBottom w:val="0"/>
      <w:divBdr>
        <w:top w:val="none" w:sz="0" w:space="0" w:color="auto"/>
        <w:left w:val="none" w:sz="0" w:space="0" w:color="auto"/>
        <w:bottom w:val="none" w:sz="0" w:space="0" w:color="auto"/>
        <w:right w:val="none" w:sz="0" w:space="0" w:color="auto"/>
      </w:divBdr>
    </w:div>
    <w:div w:id="32979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documents-dds-ny.un.org/doc/UNDOC/GEN/N18/219/83/pdf/N1821983.pdf?OpenElemen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C74566-4AE6-4807-AF62-F983B4E8411D}"/>
</file>

<file path=customXml/itemProps2.xml><?xml version="1.0" encoding="utf-8"?>
<ds:datastoreItem xmlns:ds="http://schemas.openxmlformats.org/officeDocument/2006/customXml" ds:itemID="{C0B39CEE-40D5-4CB3-B68A-1DD090FACF5F}"/>
</file>

<file path=customXml/itemProps3.xml><?xml version="1.0" encoding="utf-8"?>
<ds:datastoreItem xmlns:ds="http://schemas.openxmlformats.org/officeDocument/2006/customXml" ds:itemID="{4A9AEB54-372A-46A4-BB73-4810301E5716}"/>
</file>

<file path=docProps/app.xml><?xml version="1.0" encoding="utf-8"?>
<Properties xmlns="http://schemas.openxmlformats.org/officeDocument/2006/extended-properties" xmlns:vt="http://schemas.openxmlformats.org/officeDocument/2006/docPropsVTypes">
  <Template>CEDAW_E.dotm</Template>
  <TotalTime>18</TotalTime>
  <Pages>3</Pages>
  <Words>1287</Words>
  <Characters>7337</Characters>
  <Application>Microsoft Office Word</Application>
  <DocSecurity>8</DocSecurity>
  <Lines>61</Lines>
  <Paragraphs>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United Nations</vt:lpstr>
    </vt:vector>
  </TitlesOfParts>
  <Company>CSD</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Irene del Pilar Sandoval</dc:creator>
  <cp:lastModifiedBy>Irene del Pilar Sandoval</cp:lastModifiedBy>
  <cp:revision>4</cp:revision>
  <cp:lastPrinted>2008-01-29T13:17:00Z</cp:lastPrinted>
  <dcterms:created xsi:type="dcterms:W3CDTF">2019-11-08T17:44:00Z</dcterms:created>
  <dcterms:modified xsi:type="dcterms:W3CDTF">2019-11-17T19:12:00Z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