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77C18" w14:textId="77777777" w:rsidR="00C8128E" w:rsidRDefault="00BB4ADC">
      <w:pPr>
        <w:spacing w:line="240" w:lineRule="auto"/>
        <w:jc w:val="center"/>
        <w:rPr>
          <w:b/>
        </w:rPr>
      </w:pPr>
      <w:r>
        <w:rPr>
          <w:b/>
        </w:rPr>
        <w:t>CONTRIBUTION TO THE LIST OF ISSUES TO BE COMPILED BY THE COMMITTEE ON THE CONVENTION ON THE ELIMINATION OF DISCRIMINATION AGAINST ALL WOMEN (CEDAW)</w:t>
      </w:r>
    </w:p>
    <w:p w14:paraId="1A90720C" w14:textId="77777777" w:rsidR="00C8128E" w:rsidRDefault="00C8128E">
      <w:pPr>
        <w:spacing w:line="240" w:lineRule="auto"/>
      </w:pPr>
    </w:p>
    <w:p w14:paraId="3273FB38" w14:textId="77777777" w:rsidR="00C8128E" w:rsidRDefault="00C8128E">
      <w:pPr>
        <w:spacing w:line="240" w:lineRule="auto"/>
        <w:jc w:val="center"/>
      </w:pPr>
    </w:p>
    <w:p w14:paraId="26796A6A" w14:textId="77777777" w:rsidR="00C8128E" w:rsidRDefault="00BB4ADC">
      <w:pPr>
        <w:spacing w:line="240" w:lineRule="auto"/>
        <w:jc w:val="center"/>
      </w:pPr>
      <w:r>
        <w:t xml:space="preserve">STATE PARTY: </w:t>
      </w:r>
    </w:p>
    <w:p w14:paraId="1AF41A89" w14:textId="77777777" w:rsidR="00C8128E" w:rsidRDefault="00BB4ADC">
      <w:pPr>
        <w:spacing w:line="240" w:lineRule="auto"/>
        <w:jc w:val="center"/>
      </w:pPr>
      <w:r>
        <w:t>MALAYSIA</w:t>
      </w:r>
    </w:p>
    <w:p w14:paraId="21AAABD3" w14:textId="77777777" w:rsidR="00C8128E" w:rsidRDefault="00C8128E">
      <w:pPr>
        <w:spacing w:line="240" w:lineRule="auto"/>
        <w:jc w:val="center"/>
      </w:pPr>
    </w:p>
    <w:p w14:paraId="2B8E7E04" w14:textId="77777777" w:rsidR="00C8128E" w:rsidRDefault="00BB4ADC">
      <w:pPr>
        <w:spacing w:line="240" w:lineRule="auto"/>
        <w:jc w:val="center"/>
        <w:rPr>
          <w:i/>
        </w:rPr>
      </w:pPr>
      <w:r>
        <w:rPr>
          <w:i/>
        </w:rPr>
        <w:t xml:space="preserve">Lesbian, bisexual, queer, transgender and intersex (LBQTI) women </w:t>
      </w:r>
    </w:p>
    <w:p w14:paraId="14853A6B" w14:textId="77777777" w:rsidR="00C8128E" w:rsidRDefault="00BB4ADC">
      <w:pPr>
        <w:spacing w:line="240" w:lineRule="auto"/>
        <w:jc w:val="both"/>
      </w:pPr>
      <w:r>
        <w:t xml:space="preserve"> </w:t>
      </w:r>
    </w:p>
    <w:p w14:paraId="561EE1FA" w14:textId="77777777" w:rsidR="00C8128E" w:rsidRDefault="00BB4ADC">
      <w:pPr>
        <w:spacing w:line="240" w:lineRule="auto"/>
        <w:jc w:val="both"/>
      </w:pPr>
      <w:r>
        <w:t xml:space="preserve"> </w:t>
      </w:r>
    </w:p>
    <w:p w14:paraId="79D01C1E" w14:textId="77777777" w:rsidR="00C8128E" w:rsidRDefault="00BB4ADC">
      <w:pPr>
        <w:spacing w:line="240" w:lineRule="auto"/>
        <w:jc w:val="center"/>
      </w:pPr>
      <w:r>
        <w:t>JANUARY 2023</w:t>
      </w:r>
    </w:p>
    <w:p w14:paraId="3FD3A51B" w14:textId="77777777" w:rsidR="00C8128E" w:rsidRDefault="00C8128E">
      <w:pPr>
        <w:spacing w:line="240" w:lineRule="auto"/>
        <w:jc w:val="center"/>
        <w:rPr>
          <w:sz w:val="28"/>
          <w:szCs w:val="28"/>
        </w:rPr>
      </w:pPr>
    </w:p>
    <w:p w14:paraId="17A32D84" w14:textId="6A15F0F9" w:rsidR="008B56ED" w:rsidRDefault="00BB4ADC" w:rsidP="008B56ED">
      <w:pPr>
        <w:spacing w:line="240" w:lineRule="auto"/>
        <w:jc w:val="center"/>
      </w:pPr>
      <w:r>
        <w:t xml:space="preserve">by </w:t>
      </w:r>
    </w:p>
    <w:p w14:paraId="6CBFDEE7" w14:textId="2CBE609A" w:rsidR="00C8128E" w:rsidRDefault="00BB4ADC">
      <w:pPr>
        <w:spacing w:line="240" w:lineRule="auto"/>
        <w:jc w:val="center"/>
      </w:pPr>
      <w:r>
        <w:t xml:space="preserve">Justice for Sisters, Legal Dignity, </w:t>
      </w:r>
      <w:proofErr w:type="spellStart"/>
      <w:r>
        <w:t>Jejaka</w:t>
      </w:r>
      <w:proofErr w:type="spellEnd"/>
      <w:r>
        <w:t>, PLUHO, Queer Lapis</w:t>
      </w:r>
      <w:r w:rsidR="008B56ED">
        <w:rPr>
          <w:vertAlign w:val="superscript"/>
        </w:rPr>
        <w:t xml:space="preserve"> </w:t>
      </w:r>
      <w:r>
        <w:t xml:space="preserve">&amp; </w:t>
      </w:r>
      <w:proofErr w:type="spellStart"/>
      <w:r>
        <w:t>Kemban</w:t>
      </w:r>
      <w:proofErr w:type="spellEnd"/>
      <w:r>
        <w:t xml:space="preserve"> </w:t>
      </w:r>
      <w:proofErr w:type="spellStart"/>
      <w:r>
        <w:t>Kolektif</w:t>
      </w:r>
      <w:proofErr w:type="spellEnd"/>
    </w:p>
    <w:p w14:paraId="17D73CC8" w14:textId="77777777" w:rsidR="00C8128E" w:rsidRDefault="00C8128E">
      <w:pPr>
        <w:spacing w:line="240" w:lineRule="auto"/>
        <w:rPr>
          <w:b/>
        </w:rPr>
      </w:pPr>
    </w:p>
    <w:p w14:paraId="374377AF" w14:textId="77777777" w:rsidR="00C8128E" w:rsidRDefault="00BB4ADC">
      <w:pPr>
        <w:spacing w:line="240" w:lineRule="auto"/>
        <w:jc w:val="center"/>
        <w:rPr>
          <w:b/>
        </w:rPr>
      </w:pPr>
      <w:r>
        <w:rPr>
          <w:noProof/>
        </w:rPr>
        <w:drawing>
          <wp:anchor distT="114300" distB="114300" distL="114300" distR="114300" simplePos="0" relativeHeight="251658240" behindDoc="0" locked="0" layoutInCell="1" hidden="0" allowOverlap="1" wp14:anchorId="041B0F0A" wp14:editId="1D1CA6DC">
            <wp:simplePos x="0" y="0"/>
            <wp:positionH relativeFrom="column">
              <wp:posOffset>4486275</wp:posOffset>
            </wp:positionH>
            <wp:positionV relativeFrom="paragraph">
              <wp:posOffset>185738</wp:posOffset>
            </wp:positionV>
            <wp:extent cx="1257300" cy="900619"/>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257300" cy="900619"/>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6F3A108C" wp14:editId="2199C7C4">
            <wp:simplePos x="0" y="0"/>
            <wp:positionH relativeFrom="column">
              <wp:posOffset>381000</wp:posOffset>
            </wp:positionH>
            <wp:positionV relativeFrom="paragraph">
              <wp:posOffset>228600</wp:posOffset>
            </wp:positionV>
            <wp:extent cx="1258691" cy="820973"/>
            <wp:effectExtent l="0" t="0" r="0" b="0"/>
            <wp:wrapSquare wrapText="bothSides" distT="114300" distB="114300" distL="114300" distR="11430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1258691" cy="820973"/>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23917C40" wp14:editId="1F58791F">
            <wp:simplePos x="0" y="0"/>
            <wp:positionH relativeFrom="column">
              <wp:posOffset>2152650</wp:posOffset>
            </wp:positionH>
            <wp:positionV relativeFrom="paragraph">
              <wp:posOffset>228600</wp:posOffset>
            </wp:positionV>
            <wp:extent cx="1692734" cy="815020"/>
            <wp:effectExtent l="0" t="0" r="0" b="0"/>
            <wp:wrapSquare wrapText="bothSides" distT="114300" distB="11430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692734" cy="815020"/>
                    </a:xfrm>
                    <a:prstGeom prst="rect">
                      <a:avLst/>
                    </a:prstGeom>
                    <a:ln/>
                  </pic:spPr>
                </pic:pic>
              </a:graphicData>
            </a:graphic>
          </wp:anchor>
        </w:drawing>
      </w:r>
    </w:p>
    <w:p w14:paraId="325342CD" w14:textId="77777777" w:rsidR="00C8128E" w:rsidRDefault="00C8128E">
      <w:pPr>
        <w:spacing w:line="240" w:lineRule="auto"/>
        <w:rPr>
          <w:b/>
        </w:rPr>
      </w:pPr>
    </w:p>
    <w:p w14:paraId="3F367E3A" w14:textId="77777777" w:rsidR="00C8128E" w:rsidRDefault="00C8128E">
      <w:pPr>
        <w:spacing w:line="240" w:lineRule="auto"/>
        <w:jc w:val="center"/>
        <w:rPr>
          <w:b/>
        </w:rPr>
      </w:pPr>
    </w:p>
    <w:p w14:paraId="2895430D" w14:textId="77777777" w:rsidR="00C8128E" w:rsidRDefault="00C8128E">
      <w:pPr>
        <w:spacing w:line="240" w:lineRule="auto"/>
        <w:rPr>
          <w:rFonts w:ascii="Calibri" w:eastAsia="Calibri" w:hAnsi="Calibri" w:cs="Calibri"/>
          <w:b/>
          <w:sz w:val="28"/>
          <w:szCs w:val="28"/>
        </w:rPr>
      </w:pPr>
    </w:p>
    <w:p w14:paraId="013A043F" w14:textId="77777777" w:rsidR="00C8128E" w:rsidRDefault="00C8128E">
      <w:pPr>
        <w:spacing w:line="240" w:lineRule="auto"/>
        <w:rPr>
          <w:b/>
        </w:rPr>
      </w:pPr>
    </w:p>
    <w:p w14:paraId="29C1930B" w14:textId="77777777" w:rsidR="00C8128E" w:rsidRDefault="00C8128E">
      <w:pPr>
        <w:spacing w:line="240" w:lineRule="auto"/>
        <w:rPr>
          <w:b/>
        </w:rPr>
      </w:pPr>
    </w:p>
    <w:p w14:paraId="0232E2A5" w14:textId="77777777" w:rsidR="00C8128E" w:rsidRDefault="00BB4ADC">
      <w:pPr>
        <w:spacing w:line="240" w:lineRule="auto"/>
        <w:rPr>
          <w:b/>
        </w:rPr>
      </w:pPr>
      <w:r>
        <w:rPr>
          <w:noProof/>
        </w:rPr>
        <w:drawing>
          <wp:anchor distT="114300" distB="114300" distL="114300" distR="114300" simplePos="0" relativeHeight="251661312" behindDoc="0" locked="0" layoutInCell="1" hidden="0" allowOverlap="1" wp14:anchorId="202B53E2" wp14:editId="393DD2BA">
            <wp:simplePos x="0" y="0"/>
            <wp:positionH relativeFrom="column">
              <wp:posOffset>3848100</wp:posOffset>
            </wp:positionH>
            <wp:positionV relativeFrom="paragraph">
              <wp:posOffset>246366</wp:posOffset>
            </wp:positionV>
            <wp:extent cx="2362158" cy="962775"/>
            <wp:effectExtent l="0" t="0" r="0" b="0"/>
            <wp:wrapSquare wrapText="bothSides" distT="114300" distB="11430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r="-6192" b="-17552"/>
                    <a:stretch>
                      <a:fillRect/>
                    </a:stretch>
                  </pic:blipFill>
                  <pic:spPr>
                    <a:xfrm>
                      <a:off x="0" y="0"/>
                      <a:ext cx="2362158" cy="962775"/>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13CA0A4E" wp14:editId="48FA18EB">
            <wp:simplePos x="0" y="0"/>
            <wp:positionH relativeFrom="column">
              <wp:posOffset>2390775</wp:posOffset>
            </wp:positionH>
            <wp:positionV relativeFrom="paragraph">
              <wp:posOffset>155879</wp:posOffset>
            </wp:positionV>
            <wp:extent cx="957263" cy="1341219"/>
            <wp:effectExtent l="0" t="0" r="0" b="0"/>
            <wp:wrapSquare wrapText="bothSides" distT="114300" distB="11430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957263" cy="1341219"/>
                    </a:xfrm>
                    <a:prstGeom prst="rect">
                      <a:avLst/>
                    </a:prstGeom>
                    <a:ln/>
                  </pic:spPr>
                </pic:pic>
              </a:graphicData>
            </a:graphic>
          </wp:anchor>
        </w:drawing>
      </w:r>
    </w:p>
    <w:p w14:paraId="752D8428" w14:textId="77777777" w:rsidR="00C8128E" w:rsidRDefault="00BB4ADC">
      <w:pPr>
        <w:spacing w:line="240" w:lineRule="auto"/>
        <w:rPr>
          <w:b/>
        </w:rPr>
      </w:pPr>
      <w:r>
        <w:rPr>
          <w:noProof/>
        </w:rPr>
        <w:drawing>
          <wp:anchor distT="0" distB="0" distL="0" distR="0" simplePos="0" relativeHeight="251663360" behindDoc="0" locked="0" layoutInCell="1" hidden="0" allowOverlap="1" wp14:anchorId="3D9ACD42" wp14:editId="76C1274D">
            <wp:simplePos x="0" y="0"/>
            <wp:positionH relativeFrom="column">
              <wp:posOffset>476250</wp:posOffset>
            </wp:positionH>
            <wp:positionV relativeFrom="paragraph">
              <wp:posOffset>132066</wp:posOffset>
            </wp:positionV>
            <wp:extent cx="1062038" cy="1062038"/>
            <wp:effectExtent l="0" t="0" r="0" b="0"/>
            <wp:wrapSquare wrapText="bothSides" distT="0" distB="0" distL="0" distR="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1062038" cy="1062038"/>
                    </a:xfrm>
                    <a:prstGeom prst="rect">
                      <a:avLst/>
                    </a:prstGeom>
                    <a:ln/>
                  </pic:spPr>
                </pic:pic>
              </a:graphicData>
            </a:graphic>
          </wp:anchor>
        </w:drawing>
      </w:r>
    </w:p>
    <w:p w14:paraId="6E33DB2B" w14:textId="77777777" w:rsidR="00C8128E" w:rsidRDefault="00C8128E">
      <w:pPr>
        <w:spacing w:line="240" w:lineRule="auto"/>
        <w:rPr>
          <w:b/>
        </w:rPr>
      </w:pPr>
    </w:p>
    <w:p w14:paraId="566BF7AE" w14:textId="77777777" w:rsidR="00C8128E" w:rsidRDefault="00C8128E">
      <w:pPr>
        <w:spacing w:line="240" w:lineRule="auto"/>
        <w:rPr>
          <w:b/>
        </w:rPr>
      </w:pPr>
    </w:p>
    <w:p w14:paraId="0709C02E" w14:textId="77777777" w:rsidR="00C8128E" w:rsidRDefault="00C8128E">
      <w:pPr>
        <w:spacing w:line="240" w:lineRule="auto"/>
        <w:rPr>
          <w:sz w:val="20"/>
          <w:szCs w:val="20"/>
        </w:rPr>
      </w:pPr>
    </w:p>
    <w:p w14:paraId="1C1E62C1" w14:textId="77777777" w:rsidR="00C8128E" w:rsidRDefault="00C8128E">
      <w:pPr>
        <w:spacing w:line="240" w:lineRule="auto"/>
        <w:rPr>
          <w:sz w:val="20"/>
          <w:szCs w:val="20"/>
        </w:rPr>
      </w:pPr>
    </w:p>
    <w:p w14:paraId="54BF48E0" w14:textId="77777777" w:rsidR="00C8128E" w:rsidRDefault="00C8128E">
      <w:pPr>
        <w:spacing w:line="240" w:lineRule="auto"/>
        <w:rPr>
          <w:sz w:val="20"/>
          <w:szCs w:val="20"/>
        </w:rPr>
      </w:pPr>
    </w:p>
    <w:p w14:paraId="495B8D25" w14:textId="77777777" w:rsidR="00C8128E" w:rsidRDefault="00C8128E">
      <w:pPr>
        <w:spacing w:line="240" w:lineRule="auto"/>
        <w:rPr>
          <w:sz w:val="20"/>
          <w:szCs w:val="20"/>
        </w:rPr>
      </w:pPr>
    </w:p>
    <w:p w14:paraId="5842A120" w14:textId="77777777" w:rsidR="00C8128E" w:rsidRDefault="00C8128E">
      <w:pPr>
        <w:spacing w:line="240" w:lineRule="auto"/>
        <w:rPr>
          <w:sz w:val="20"/>
          <w:szCs w:val="20"/>
        </w:rPr>
      </w:pPr>
    </w:p>
    <w:p w14:paraId="0F2C3CEB" w14:textId="77777777" w:rsidR="00C8128E" w:rsidRDefault="00C8128E">
      <w:pPr>
        <w:spacing w:line="240" w:lineRule="auto"/>
        <w:rPr>
          <w:sz w:val="20"/>
          <w:szCs w:val="20"/>
        </w:rPr>
      </w:pPr>
    </w:p>
    <w:p w14:paraId="2F29B340" w14:textId="77777777" w:rsidR="00C8128E" w:rsidRDefault="00C8128E">
      <w:pPr>
        <w:spacing w:line="240" w:lineRule="auto"/>
        <w:rPr>
          <w:i/>
          <w:sz w:val="20"/>
          <w:szCs w:val="20"/>
        </w:rPr>
      </w:pPr>
    </w:p>
    <w:p w14:paraId="6DCE7AB6" w14:textId="77777777" w:rsidR="00C8128E" w:rsidRDefault="00C8128E">
      <w:pPr>
        <w:spacing w:line="240" w:lineRule="auto"/>
        <w:rPr>
          <w:i/>
          <w:sz w:val="20"/>
          <w:szCs w:val="20"/>
        </w:rPr>
      </w:pPr>
    </w:p>
    <w:p w14:paraId="01AB2596" w14:textId="77777777" w:rsidR="008B56ED" w:rsidRDefault="008B56ED">
      <w:pPr>
        <w:spacing w:line="240" w:lineRule="auto"/>
        <w:jc w:val="center"/>
        <w:rPr>
          <w:i/>
          <w:sz w:val="20"/>
          <w:szCs w:val="20"/>
        </w:rPr>
      </w:pPr>
    </w:p>
    <w:p w14:paraId="76BF8617" w14:textId="77777777" w:rsidR="008B56ED" w:rsidRDefault="008B56ED">
      <w:pPr>
        <w:spacing w:line="240" w:lineRule="auto"/>
        <w:jc w:val="center"/>
        <w:rPr>
          <w:i/>
          <w:sz w:val="20"/>
          <w:szCs w:val="20"/>
        </w:rPr>
      </w:pPr>
    </w:p>
    <w:p w14:paraId="7B089A48" w14:textId="77777777" w:rsidR="008B56ED" w:rsidRDefault="008B56ED">
      <w:pPr>
        <w:spacing w:line="240" w:lineRule="auto"/>
        <w:jc w:val="center"/>
        <w:rPr>
          <w:i/>
          <w:sz w:val="20"/>
          <w:szCs w:val="20"/>
        </w:rPr>
      </w:pPr>
    </w:p>
    <w:p w14:paraId="509330C2" w14:textId="77777777" w:rsidR="008B56ED" w:rsidRDefault="008B56ED">
      <w:pPr>
        <w:spacing w:line="240" w:lineRule="auto"/>
        <w:jc w:val="center"/>
        <w:rPr>
          <w:i/>
          <w:sz w:val="20"/>
          <w:szCs w:val="20"/>
        </w:rPr>
      </w:pPr>
    </w:p>
    <w:p w14:paraId="6F680C16" w14:textId="77777777" w:rsidR="008B56ED" w:rsidRDefault="008B56ED">
      <w:pPr>
        <w:spacing w:line="240" w:lineRule="auto"/>
        <w:jc w:val="center"/>
        <w:rPr>
          <w:i/>
          <w:sz w:val="20"/>
          <w:szCs w:val="20"/>
        </w:rPr>
      </w:pPr>
    </w:p>
    <w:p w14:paraId="1984AFF3" w14:textId="77777777" w:rsidR="008B56ED" w:rsidRDefault="008B56ED">
      <w:pPr>
        <w:spacing w:line="240" w:lineRule="auto"/>
        <w:jc w:val="center"/>
        <w:rPr>
          <w:i/>
          <w:sz w:val="20"/>
          <w:szCs w:val="20"/>
        </w:rPr>
      </w:pPr>
    </w:p>
    <w:p w14:paraId="5830B0F2" w14:textId="77777777" w:rsidR="008B56ED" w:rsidRDefault="008B56ED">
      <w:pPr>
        <w:spacing w:line="240" w:lineRule="auto"/>
        <w:jc w:val="center"/>
        <w:rPr>
          <w:i/>
          <w:sz w:val="20"/>
          <w:szCs w:val="20"/>
        </w:rPr>
      </w:pPr>
    </w:p>
    <w:p w14:paraId="46AA5496" w14:textId="77777777" w:rsidR="008B56ED" w:rsidRDefault="008B56ED">
      <w:pPr>
        <w:spacing w:line="240" w:lineRule="auto"/>
        <w:jc w:val="center"/>
        <w:rPr>
          <w:i/>
          <w:sz w:val="20"/>
          <w:szCs w:val="20"/>
        </w:rPr>
      </w:pPr>
    </w:p>
    <w:p w14:paraId="1E159BD2" w14:textId="77777777" w:rsidR="008B56ED" w:rsidRDefault="008B56ED">
      <w:pPr>
        <w:spacing w:line="240" w:lineRule="auto"/>
        <w:jc w:val="center"/>
        <w:rPr>
          <w:i/>
          <w:sz w:val="20"/>
          <w:szCs w:val="20"/>
        </w:rPr>
      </w:pPr>
    </w:p>
    <w:p w14:paraId="4067DE17" w14:textId="77777777" w:rsidR="008B56ED" w:rsidRDefault="008B56ED">
      <w:pPr>
        <w:spacing w:line="240" w:lineRule="auto"/>
        <w:jc w:val="center"/>
        <w:rPr>
          <w:i/>
          <w:sz w:val="20"/>
          <w:szCs w:val="20"/>
        </w:rPr>
      </w:pPr>
    </w:p>
    <w:p w14:paraId="3DCF58EE" w14:textId="77777777" w:rsidR="008B56ED" w:rsidRDefault="008B56ED">
      <w:pPr>
        <w:spacing w:line="240" w:lineRule="auto"/>
        <w:jc w:val="center"/>
        <w:rPr>
          <w:i/>
          <w:sz w:val="20"/>
          <w:szCs w:val="20"/>
        </w:rPr>
      </w:pPr>
    </w:p>
    <w:p w14:paraId="747317DD" w14:textId="77777777" w:rsidR="008B56ED" w:rsidRDefault="008B56ED">
      <w:pPr>
        <w:spacing w:line="240" w:lineRule="auto"/>
        <w:jc w:val="center"/>
        <w:rPr>
          <w:i/>
          <w:sz w:val="20"/>
          <w:szCs w:val="20"/>
        </w:rPr>
      </w:pPr>
    </w:p>
    <w:p w14:paraId="620009EA" w14:textId="77777777" w:rsidR="008B56ED" w:rsidRDefault="008B56ED">
      <w:pPr>
        <w:spacing w:line="240" w:lineRule="auto"/>
        <w:jc w:val="center"/>
        <w:rPr>
          <w:i/>
          <w:sz w:val="20"/>
          <w:szCs w:val="20"/>
        </w:rPr>
      </w:pPr>
    </w:p>
    <w:p w14:paraId="4B89C0A3" w14:textId="77777777" w:rsidR="008B56ED" w:rsidRDefault="008B56ED">
      <w:pPr>
        <w:spacing w:line="240" w:lineRule="auto"/>
        <w:jc w:val="center"/>
        <w:rPr>
          <w:i/>
          <w:sz w:val="20"/>
          <w:szCs w:val="20"/>
        </w:rPr>
      </w:pPr>
    </w:p>
    <w:p w14:paraId="424AB2EA" w14:textId="77777777" w:rsidR="008B56ED" w:rsidRDefault="008B56ED">
      <w:pPr>
        <w:spacing w:line="240" w:lineRule="auto"/>
        <w:jc w:val="center"/>
        <w:rPr>
          <w:i/>
          <w:sz w:val="20"/>
          <w:szCs w:val="20"/>
        </w:rPr>
      </w:pPr>
    </w:p>
    <w:p w14:paraId="25467781" w14:textId="2984BE14" w:rsidR="00C8128E" w:rsidRDefault="00BB4ADC">
      <w:pPr>
        <w:spacing w:line="240" w:lineRule="auto"/>
        <w:jc w:val="center"/>
        <w:rPr>
          <w:i/>
          <w:sz w:val="20"/>
          <w:szCs w:val="20"/>
        </w:rPr>
      </w:pPr>
      <w:r>
        <w:rPr>
          <w:i/>
          <w:sz w:val="20"/>
          <w:szCs w:val="20"/>
        </w:rPr>
        <w:t xml:space="preserve">For more information, please kindly contact </w:t>
      </w:r>
      <w:proofErr w:type="spellStart"/>
      <w:r>
        <w:rPr>
          <w:i/>
          <w:sz w:val="20"/>
          <w:szCs w:val="20"/>
        </w:rPr>
        <w:t>thilaga</w:t>
      </w:r>
      <w:proofErr w:type="spellEnd"/>
      <w:r>
        <w:rPr>
          <w:i/>
          <w:sz w:val="20"/>
          <w:szCs w:val="20"/>
        </w:rPr>
        <w:t xml:space="preserve"> </w:t>
      </w:r>
      <w:proofErr w:type="spellStart"/>
      <w:r>
        <w:rPr>
          <w:i/>
          <w:sz w:val="20"/>
          <w:szCs w:val="20"/>
        </w:rPr>
        <w:t>sulathireh</w:t>
      </w:r>
      <w:proofErr w:type="spellEnd"/>
      <w:r>
        <w:rPr>
          <w:i/>
          <w:sz w:val="20"/>
          <w:szCs w:val="20"/>
        </w:rPr>
        <w:t xml:space="preserve"> at </w:t>
      </w:r>
      <w:hyperlink r:id="rId13">
        <w:r>
          <w:rPr>
            <w:i/>
            <w:color w:val="1155CC"/>
            <w:sz w:val="20"/>
            <w:szCs w:val="20"/>
            <w:u w:val="single"/>
          </w:rPr>
          <w:t>justiceforsisters@protonmail.com</w:t>
        </w:r>
      </w:hyperlink>
    </w:p>
    <w:p w14:paraId="1B634C2F" w14:textId="77777777" w:rsidR="00C8128E" w:rsidRDefault="00BB4ADC">
      <w:pPr>
        <w:spacing w:line="240" w:lineRule="auto"/>
        <w:rPr>
          <w:b/>
        </w:rPr>
      </w:pPr>
      <w:r>
        <w:br w:type="page"/>
      </w:r>
    </w:p>
    <w:p w14:paraId="4B6E6304" w14:textId="77777777" w:rsidR="00C8128E" w:rsidRDefault="00BB4ADC">
      <w:pPr>
        <w:spacing w:line="240" w:lineRule="auto"/>
        <w:rPr>
          <w:b/>
          <w:sz w:val="20"/>
          <w:szCs w:val="20"/>
        </w:rPr>
      </w:pPr>
      <w:r>
        <w:rPr>
          <w:b/>
          <w:sz w:val="20"/>
          <w:szCs w:val="20"/>
        </w:rPr>
        <w:lastRenderedPageBreak/>
        <w:t xml:space="preserve">Table of contents </w:t>
      </w:r>
    </w:p>
    <w:p w14:paraId="64D97647" w14:textId="77777777" w:rsidR="00C8128E" w:rsidRDefault="00C8128E">
      <w:pPr>
        <w:spacing w:line="240" w:lineRule="auto"/>
        <w:rPr>
          <w:b/>
          <w:sz w:val="20"/>
          <w:szCs w:val="20"/>
        </w:rPr>
      </w:pPr>
    </w:p>
    <w:p w14:paraId="059B7C3B" w14:textId="77777777" w:rsidR="00C8128E" w:rsidRDefault="00C8128E">
      <w:pPr>
        <w:spacing w:line="240" w:lineRule="auto"/>
        <w:rPr>
          <w:b/>
          <w:sz w:val="20"/>
          <w:szCs w:val="20"/>
        </w:rPr>
      </w:pPr>
    </w:p>
    <w:tbl>
      <w:tblPr>
        <w:tblStyle w:val="1"/>
        <w:tblW w:w="89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05"/>
        <w:gridCol w:w="1980"/>
      </w:tblGrid>
      <w:tr w:rsidR="00C8128E" w14:paraId="0AFEDDF9" w14:textId="77777777">
        <w:tc>
          <w:tcPr>
            <w:tcW w:w="7005" w:type="dxa"/>
            <w:tcBorders>
              <w:top w:val="dotted" w:sz="8" w:space="0" w:color="000000"/>
              <w:left w:val="dotted" w:sz="8" w:space="0" w:color="000000"/>
              <w:bottom w:val="dotted" w:sz="8" w:space="0" w:color="000000"/>
              <w:right w:val="dotted" w:sz="8" w:space="0" w:color="000000"/>
            </w:tcBorders>
            <w:shd w:val="clear" w:color="auto" w:fill="CCCCCC"/>
            <w:tcMar>
              <w:top w:w="100" w:type="dxa"/>
              <w:left w:w="100" w:type="dxa"/>
              <w:bottom w:w="100" w:type="dxa"/>
              <w:right w:w="100" w:type="dxa"/>
            </w:tcMar>
          </w:tcPr>
          <w:p w14:paraId="38F98F44" w14:textId="77777777" w:rsidR="00C8128E" w:rsidRDefault="00BB4ADC">
            <w:pPr>
              <w:widowControl w:val="0"/>
              <w:pBdr>
                <w:top w:val="nil"/>
                <w:left w:val="nil"/>
                <w:bottom w:val="nil"/>
                <w:right w:val="nil"/>
                <w:between w:val="nil"/>
              </w:pBdr>
              <w:spacing w:line="240" w:lineRule="auto"/>
              <w:rPr>
                <w:b/>
                <w:sz w:val="20"/>
                <w:szCs w:val="20"/>
              </w:rPr>
            </w:pPr>
            <w:r>
              <w:rPr>
                <w:b/>
                <w:sz w:val="20"/>
                <w:szCs w:val="20"/>
              </w:rPr>
              <w:t xml:space="preserve">Item </w:t>
            </w:r>
          </w:p>
        </w:tc>
        <w:tc>
          <w:tcPr>
            <w:tcW w:w="1980" w:type="dxa"/>
            <w:tcBorders>
              <w:top w:val="dotted" w:sz="8" w:space="0" w:color="000000"/>
              <w:left w:val="dotted" w:sz="8" w:space="0" w:color="000000"/>
              <w:bottom w:val="dotted" w:sz="8" w:space="0" w:color="000000"/>
              <w:right w:val="dotted" w:sz="8" w:space="0" w:color="000000"/>
            </w:tcBorders>
            <w:shd w:val="clear" w:color="auto" w:fill="CCCCCC"/>
            <w:tcMar>
              <w:top w:w="100" w:type="dxa"/>
              <w:left w:w="100" w:type="dxa"/>
              <w:bottom w:w="100" w:type="dxa"/>
              <w:right w:w="100" w:type="dxa"/>
            </w:tcMar>
          </w:tcPr>
          <w:p w14:paraId="58FA0782" w14:textId="77777777" w:rsidR="00C8128E" w:rsidRDefault="00BB4ADC">
            <w:pPr>
              <w:widowControl w:val="0"/>
              <w:pBdr>
                <w:top w:val="nil"/>
                <w:left w:val="nil"/>
                <w:bottom w:val="nil"/>
                <w:right w:val="nil"/>
                <w:between w:val="nil"/>
              </w:pBdr>
              <w:spacing w:line="240" w:lineRule="auto"/>
              <w:jc w:val="center"/>
              <w:rPr>
                <w:b/>
                <w:sz w:val="20"/>
                <w:szCs w:val="20"/>
              </w:rPr>
            </w:pPr>
            <w:r>
              <w:rPr>
                <w:b/>
                <w:sz w:val="20"/>
                <w:szCs w:val="20"/>
              </w:rPr>
              <w:t xml:space="preserve">Page </w:t>
            </w:r>
          </w:p>
        </w:tc>
      </w:tr>
      <w:tr w:rsidR="00C8128E" w14:paraId="49DF1E54"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6E964177" w14:textId="77777777" w:rsidR="00C8128E" w:rsidRDefault="00BB4ADC">
            <w:pPr>
              <w:spacing w:line="240" w:lineRule="auto"/>
              <w:rPr>
                <w:sz w:val="20"/>
                <w:szCs w:val="20"/>
              </w:rPr>
            </w:pPr>
            <w:r>
              <w:rPr>
                <w:sz w:val="20"/>
                <w:szCs w:val="20"/>
              </w:rPr>
              <w:t xml:space="preserve">Executive summary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155A7249" w14:textId="77777777" w:rsidR="00C8128E" w:rsidRDefault="00BB4ADC">
            <w:pPr>
              <w:widowControl w:val="0"/>
              <w:pBdr>
                <w:top w:val="nil"/>
                <w:left w:val="nil"/>
                <w:bottom w:val="nil"/>
                <w:right w:val="nil"/>
                <w:between w:val="nil"/>
              </w:pBdr>
              <w:spacing w:line="240" w:lineRule="auto"/>
              <w:jc w:val="center"/>
              <w:rPr>
                <w:sz w:val="20"/>
                <w:szCs w:val="20"/>
              </w:rPr>
            </w:pPr>
            <w:r>
              <w:rPr>
                <w:sz w:val="20"/>
                <w:szCs w:val="20"/>
              </w:rPr>
              <w:t>3</w:t>
            </w:r>
          </w:p>
        </w:tc>
      </w:tr>
      <w:tr w:rsidR="00C8128E" w14:paraId="56A105C8"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0F9B651E" w14:textId="77777777" w:rsidR="00C8128E" w:rsidRDefault="00BB4ADC">
            <w:pPr>
              <w:spacing w:line="240" w:lineRule="auto"/>
              <w:rPr>
                <w:sz w:val="20"/>
                <w:szCs w:val="20"/>
              </w:rPr>
            </w:pPr>
            <w:r>
              <w:rPr>
                <w:sz w:val="20"/>
                <w:szCs w:val="20"/>
              </w:rPr>
              <w:t xml:space="preserve">Article 1: Definition of discrimination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5782F941" w14:textId="77777777" w:rsidR="00C8128E" w:rsidRDefault="00BB4ADC">
            <w:pPr>
              <w:widowControl w:val="0"/>
              <w:pBdr>
                <w:top w:val="nil"/>
                <w:left w:val="nil"/>
                <w:bottom w:val="nil"/>
                <w:right w:val="nil"/>
                <w:between w:val="nil"/>
              </w:pBdr>
              <w:spacing w:line="240" w:lineRule="auto"/>
              <w:jc w:val="center"/>
              <w:rPr>
                <w:sz w:val="20"/>
                <w:szCs w:val="20"/>
              </w:rPr>
            </w:pPr>
            <w:r>
              <w:rPr>
                <w:sz w:val="20"/>
                <w:szCs w:val="20"/>
              </w:rPr>
              <w:t>4</w:t>
            </w:r>
          </w:p>
        </w:tc>
      </w:tr>
      <w:tr w:rsidR="00C8128E" w14:paraId="672137D1"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7A67BB52" w14:textId="77777777" w:rsidR="00C8128E" w:rsidRDefault="00BB4ADC">
            <w:pPr>
              <w:spacing w:line="240" w:lineRule="auto"/>
              <w:rPr>
                <w:sz w:val="20"/>
                <w:szCs w:val="20"/>
              </w:rPr>
            </w:pPr>
            <w:r>
              <w:rPr>
                <w:sz w:val="20"/>
                <w:szCs w:val="20"/>
              </w:rPr>
              <w:t xml:space="preserve">Article 2, 3 &amp; 15: Equality &amp; Non-discrimination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788A27AE" w14:textId="02D16FC3" w:rsidR="00C8128E" w:rsidRDefault="00270725">
            <w:pPr>
              <w:widowControl w:val="0"/>
              <w:pBdr>
                <w:top w:val="nil"/>
                <w:left w:val="nil"/>
                <w:bottom w:val="nil"/>
                <w:right w:val="nil"/>
                <w:between w:val="nil"/>
              </w:pBdr>
              <w:spacing w:line="240" w:lineRule="auto"/>
              <w:jc w:val="center"/>
              <w:rPr>
                <w:sz w:val="20"/>
                <w:szCs w:val="20"/>
              </w:rPr>
            </w:pPr>
            <w:r>
              <w:rPr>
                <w:sz w:val="20"/>
                <w:szCs w:val="20"/>
              </w:rPr>
              <w:t>5</w:t>
            </w:r>
          </w:p>
        </w:tc>
      </w:tr>
      <w:tr w:rsidR="00C8128E" w14:paraId="07FF1BB9"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006745A4" w14:textId="77777777" w:rsidR="00C8128E" w:rsidRDefault="00BB4ADC">
            <w:pPr>
              <w:spacing w:line="240" w:lineRule="auto"/>
              <w:ind w:left="720"/>
              <w:rPr>
                <w:sz w:val="20"/>
                <w:szCs w:val="20"/>
              </w:rPr>
            </w:pPr>
            <w:r>
              <w:rPr>
                <w:i/>
                <w:sz w:val="20"/>
                <w:szCs w:val="20"/>
              </w:rPr>
              <w:t>Favourable legal developments on criminalization</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14E74998" w14:textId="77777777" w:rsidR="00C8128E" w:rsidRDefault="00BB4ADC">
            <w:pPr>
              <w:widowControl w:val="0"/>
              <w:pBdr>
                <w:top w:val="nil"/>
                <w:left w:val="nil"/>
                <w:bottom w:val="nil"/>
                <w:right w:val="nil"/>
                <w:between w:val="nil"/>
              </w:pBdr>
              <w:spacing w:line="240" w:lineRule="auto"/>
              <w:jc w:val="center"/>
              <w:rPr>
                <w:sz w:val="20"/>
                <w:szCs w:val="20"/>
              </w:rPr>
            </w:pPr>
            <w:r>
              <w:rPr>
                <w:sz w:val="20"/>
                <w:szCs w:val="20"/>
              </w:rPr>
              <w:t>5</w:t>
            </w:r>
          </w:p>
        </w:tc>
      </w:tr>
      <w:tr w:rsidR="00C8128E" w14:paraId="385C4677"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60D73F55" w14:textId="77777777" w:rsidR="00C8128E" w:rsidRDefault="00BB4ADC">
            <w:pPr>
              <w:spacing w:line="240" w:lineRule="auto"/>
              <w:ind w:left="720"/>
              <w:rPr>
                <w:i/>
                <w:sz w:val="20"/>
                <w:szCs w:val="20"/>
              </w:rPr>
            </w:pPr>
            <w:r>
              <w:rPr>
                <w:i/>
                <w:sz w:val="20"/>
                <w:szCs w:val="20"/>
              </w:rPr>
              <w:t xml:space="preserve">Criminalisation of LBT women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3CA59BF1" w14:textId="77777777" w:rsidR="00C8128E" w:rsidRDefault="00BB4ADC">
            <w:pPr>
              <w:widowControl w:val="0"/>
              <w:pBdr>
                <w:top w:val="nil"/>
                <w:left w:val="nil"/>
                <w:bottom w:val="nil"/>
                <w:right w:val="nil"/>
                <w:between w:val="nil"/>
              </w:pBdr>
              <w:spacing w:line="240" w:lineRule="auto"/>
              <w:jc w:val="center"/>
              <w:rPr>
                <w:sz w:val="20"/>
                <w:szCs w:val="20"/>
              </w:rPr>
            </w:pPr>
            <w:r>
              <w:rPr>
                <w:sz w:val="20"/>
                <w:szCs w:val="20"/>
              </w:rPr>
              <w:t>6</w:t>
            </w:r>
          </w:p>
        </w:tc>
      </w:tr>
      <w:tr w:rsidR="00C8128E" w14:paraId="3EB10BC2"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47081BDF" w14:textId="77777777" w:rsidR="00C8128E" w:rsidRDefault="00BB4ADC">
            <w:pPr>
              <w:spacing w:line="240" w:lineRule="auto"/>
              <w:ind w:left="720"/>
              <w:rPr>
                <w:i/>
                <w:sz w:val="20"/>
                <w:szCs w:val="20"/>
              </w:rPr>
            </w:pPr>
            <w:r>
              <w:rPr>
                <w:i/>
                <w:sz w:val="20"/>
                <w:szCs w:val="20"/>
              </w:rPr>
              <w:t>Legal gender recognition</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1D220F48" w14:textId="77777777" w:rsidR="00C8128E" w:rsidRDefault="00BB4ADC">
            <w:pPr>
              <w:widowControl w:val="0"/>
              <w:pBdr>
                <w:top w:val="nil"/>
                <w:left w:val="nil"/>
                <w:bottom w:val="nil"/>
                <w:right w:val="nil"/>
                <w:between w:val="nil"/>
              </w:pBdr>
              <w:spacing w:line="240" w:lineRule="auto"/>
              <w:jc w:val="center"/>
              <w:rPr>
                <w:sz w:val="20"/>
                <w:szCs w:val="20"/>
              </w:rPr>
            </w:pPr>
            <w:r>
              <w:rPr>
                <w:sz w:val="20"/>
                <w:szCs w:val="20"/>
              </w:rPr>
              <w:t>7</w:t>
            </w:r>
          </w:p>
        </w:tc>
      </w:tr>
      <w:tr w:rsidR="00C8128E" w14:paraId="630FE82A"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291CD9B6" w14:textId="77777777" w:rsidR="00C8128E" w:rsidRDefault="00BB4ADC">
            <w:pPr>
              <w:spacing w:line="240" w:lineRule="auto"/>
              <w:ind w:left="720"/>
              <w:rPr>
                <w:i/>
                <w:sz w:val="20"/>
                <w:szCs w:val="20"/>
              </w:rPr>
            </w:pPr>
            <w:r>
              <w:rPr>
                <w:i/>
                <w:sz w:val="20"/>
                <w:szCs w:val="20"/>
              </w:rPr>
              <w:t xml:space="preserve">State-funded anti-LGBT activities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52D8D27D" w14:textId="77777777" w:rsidR="00C8128E" w:rsidRDefault="00BB4ADC">
            <w:pPr>
              <w:widowControl w:val="0"/>
              <w:pBdr>
                <w:top w:val="nil"/>
                <w:left w:val="nil"/>
                <w:bottom w:val="nil"/>
                <w:right w:val="nil"/>
                <w:between w:val="nil"/>
              </w:pBdr>
              <w:spacing w:line="240" w:lineRule="auto"/>
              <w:jc w:val="center"/>
              <w:rPr>
                <w:sz w:val="20"/>
                <w:szCs w:val="20"/>
              </w:rPr>
            </w:pPr>
            <w:r>
              <w:rPr>
                <w:sz w:val="20"/>
                <w:szCs w:val="20"/>
              </w:rPr>
              <w:t>8</w:t>
            </w:r>
          </w:p>
        </w:tc>
      </w:tr>
      <w:tr w:rsidR="00C8128E" w14:paraId="361FDFFB"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744A7C87" w14:textId="77777777" w:rsidR="00C8128E" w:rsidRDefault="00BB4ADC">
            <w:pPr>
              <w:spacing w:line="240" w:lineRule="auto"/>
              <w:rPr>
                <w:sz w:val="20"/>
                <w:szCs w:val="20"/>
              </w:rPr>
            </w:pPr>
            <w:r>
              <w:rPr>
                <w:sz w:val="20"/>
                <w:szCs w:val="20"/>
              </w:rPr>
              <w:t xml:space="preserve">Article 5: Stereotypes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68984F1C" w14:textId="2E49D325" w:rsidR="00C8128E" w:rsidRDefault="00270725">
            <w:pPr>
              <w:widowControl w:val="0"/>
              <w:pBdr>
                <w:top w:val="nil"/>
                <w:left w:val="nil"/>
                <w:bottom w:val="nil"/>
                <w:right w:val="nil"/>
                <w:between w:val="nil"/>
              </w:pBdr>
              <w:spacing w:line="240" w:lineRule="auto"/>
              <w:jc w:val="center"/>
              <w:rPr>
                <w:sz w:val="20"/>
                <w:szCs w:val="20"/>
              </w:rPr>
            </w:pPr>
            <w:r>
              <w:rPr>
                <w:sz w:val="20"/>
                <w:szCs w:val="20"/>
              </w:rPr>
              <w:t>10</w:t>
            </w:r>
          </w:p>
        </w:tc>
      </w:tr>
      <w:tr w:rsidR="00C8128E" w14:paraId="70A927F3"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7FE06EDB" w14:textId="77777777" w:rsidR="00C8128E" w:rsidRDefault="00BB4ADC">
            <w:pPr>
              <w:spacing w:line="240" w:lineRule="auto"/>
              <w:rPr>
                <w:i/>
                <w:sz w:val="20"/>
                <w:szCs w:val="20"/>
              </w:rPr>
            </w:pPr>
            <w:r>
              <w:rPr>
                <w:sz w:val="20"/>
                <w:szCs w:val="20"/>
              </w:rPr>
              <w:t>Article 7: Political and public life</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6009BD1F" w14:textId="6E2F1E1B"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1</w:t>
            </w:r>
          </w:p>
        </w:tc>
      </w:tr>
      <w:tr w:rsidR="00C8128E" w14:paraId="6FA4B3B3"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246E7F61" w14:textId="77777777" w:rsidR="00C8128E" w:rsidRDefault="00BB4ADC">
            <w:pPr>
              <w:spacing w:line="240" w:lineRule="auto"/>
              <w:ind w:left="720"/>
              <w:rPr>
                <w:i/>
                <w:sz w:val="20"/>
                <w:szCs w:val="20"/>
              </w:rPr>
            </w:pPr>
            <w:r>
              <w:rPr>
                <w:i/>
                <w:sz w:val="20"/>
                <w:szCs w:val="20"/>
              </w:rPr>
              <w:t xml:space="preserve">Right to vote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3E196782" w14:textId="7C6EFF8D"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1</w:t>
            </w:r>
          </w:p>
        </w:tc>
      </w:tr>
      <w:tr w:rsidR="00C8128E" w14:paraId="34487259"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1C8ED330" w14:textId="77777777" w:rsidR="00C8128E" w:rsidRDefault="00BB4ADC">
            <w:pPr>
              <w:spacing w:line="240" w:lineRule="auto"/>
              <w:ind w:left="720"/>
              <w:rPr>
                <w:sz w:val="20"/>
                <w:szCs w:val="20"/>
              </w:rPr>
            </w:pPr>
            <w:r>
              <w:rPr>
                <w:i/>
                <w:sz w:val="20"/>
                <w:szCs w:val="20"/>
              </w:rPr>
              <w:t xml:space="preserve">Barriers to public and political participation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2E48A757" w14:textId="24EEFD10"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1</w:t>
            </w:r>
          </w:p>
        </w:tc>
      </w:tr>
      <w:tr w:rsidR="00C8128E" w14:paraId="760D97C9"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5A578D95" w14:textId="77777777" w:rsidR="00C8128E" w:rsidRDefault="00BB4ADC">
            <w:pPr>
              <w:spacing w:line="240" w:lineRule="auto"/>
              <w:ind w:left="720"/>
              <w:rPr>
                <w:sz w:val="20"/>
                <w:szCs w:val="20"/>
              </w:rPr>
            </w:pPr>
            <w:r>
              <w:rPr>
                <w:i/>
                <w:sz w:val="20"/>
                <w:szCs w:val="20"/>
              </w:rPr>
              <w:t xml:space="preserve">Freedom of assembly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6BDF7161" w14:textId="7E90C328"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2</w:t>
            </w:r>
          </w:p>
        </w:tc>
      </w:tr>
      <w:tr w:rsidR="00C8128E" w14:paraId="36C36139"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0284FC79" w14:textId="77777777" w:rsidR="00C8128E" w:rsidRDefault="00BB4ADC">
            <w:pPr>
              <w:spacing w:line="240" w:lineRule="auto"/>
              <w:rPr>
                <w:sz w:val="20"/>
                <w:szCs w:val="20"/>
              </w:rPr>
            </w:pPr>
            <w:r>
              <w:rPr>
                <w:sz w:val="20"/>
                <w:szCs w:val="20"/>
              </w:rPr>
              <w:t xml:space="preserve">Article 10: Education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42D66A93" w14:textId="33F41EA3"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3</w:t>
            </w:r>
          </w:p>
        </w:tc>
      </w:tr>
      <w:tr w:rsidR="00C8128E" w14:paraId="270522C6"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00758DB2" w14:textId="77777777" w:rsidR="00C8128E" w:rsidRDefault="00BB4ADC">
            <w:pPr>
              <w:spacing w:line="240" w:lineRule="auto"/>
              <w:rPr>
                <w:sz w:val="20"/>
                <w:szCs w:val="20"/>
              </w:rPr>
            </w:pPr>
            <w:r>
              <w:rPr>
                <w:sz w:val="20"/>
                <w:szCs w:val="20"/>
              </w:rPr>
              <w:t xml:space="preserve">Article 11: Employment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38C98BCE" w14:textId="6663413E"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4</w:t>
            </w:r>
          </w:p>
        </w:tc>
      </w:tr>
      <w:tr w:rsidR="00C8128E" w14:paraId="7C475AAD"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0B13C912" w14:textId="77777777" w:rsidR="00C8128E" w:rsidRDefault="00BB4ADC">
            <w:pPr>
              <w:spacing w:line="240" w:lineRule="auto"/>
              <w:ind w:left="720"/>
              <w:rPr>
                <w:sz w:val="20"/>
                <w:szCs w:val="20"/>
              </w:rPr>
            </w:pPr>
            <w:r>
              <w:rPr>
                <w:i/>
                <w:sz w:val="20"/>
                <w:szCs w:val="20"/>
              </w:rPr>
              <w:t xml:space="preserve">Pre-employment discrimination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1115616D" w14:textId="138E461A"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4</w:t>
            </w:r>
          </w:p>
        </w:tc>
      </w:tr>
      <w:tr w:rsidR="00C8128E" w14:paraId="22F6799B"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586E9502" w14:textId="77777777" w:rsidR="00C8128E" w:rsidRDefault="00BB4ADC">
            <w:pPr>
              <w:spacing w:line="240" w:lineRule="auto"/>
              <w:ind w:left="720"/>
              <w:rPr>
                <w:i/>
                <w:sz w:val="20"/>
                <w:szCs w:val="20"/>
              </w:rPr>
            </w:pPr>
            <w:r>
              <w:rPr>
                <w:i/>
                <w:sz w:val="20"/>
                <w:szCs w:val="20"/>
              </w:rPr>
              <w:t xml:space="preserve">Employment discrimination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255758CD" w14:textId="6912948C"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5</w:t>
            </w:r>
          </w:p>
        </w:tc>
      </w:tr>
      <w:tr w:rsidR="00C8128E" w14:paraId="018291F3"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64A3ED92" w14:textId="77777777" w:rsidR="00C8128E" w:rsidRDefault="00BB4ADC">
            <w:pPr>
              <w:spacing w:line="240" w:lineRule="auto"/>
              <w:rPr>
                <w:sz w:val="20"/>
                <w:szCs w:val="20"/>
              </w:rPr>
            </w:pPr>
            <w:r>
              <w:rPr>
                <w:sz w:val="20"/>
                <w:szCs w:val="20"/>
              </w:rPr>
              <w:t xml:space="preserve">Article 12: Health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7FDDF811" w14:textId="69AD2D50"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6</w:t>
            </w:r>
          </w:p>
        </w:tc>
      </w:tr>
      <w:tr w:rsidR="00C8128E" w14:paraId="390A9D02"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0925CECE" w14:textId="77777777" w:rsidR="00C8128E" w:rsidRDefault="00BB4ADC">
            <w:pPr>
              <w:spacing w:line="240" w:lineRule="auto"/>
              <w:rPr>
                <w:sz w:val="20"/>
                <w:szCs w:val="20"/>
              </w:rPr>
            </w:pPr>
            <w:r>
              <w:rPr>
                <w:sz w:val="20"/>
                <w:szCs w:val="20"/>
              </w:rPr>
              <w:t xml:space="preserve">General Recommendation 19: Violence against Women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0A7B58CE" w14:textId="7E9A915A" w:rsidR="00C8128E" w:rsidRDefault="00BB4ADC">
            <w:pPr>
              <w:widowControl w:val="0"/>
              <w:pBdr>
                <w:top w:val="nil"/>
                <w:left w:val="nil"/>
                <w:bottom w:val="nil"/>
                <w:right w:val="nil"/>
                <w:between w:val="nil"/>
              </w:pBdr>
              <w:spacing w:line="240" w:lineRule="auto"/>
              <w:jc w:val="center"/>
              <w:rPr>
                <w:sz w:val="20"/>
                <w:szCs w:val="20"/>
              </w:rPr>
            </w:pPr>
            <w:r>
              <w:rPr>
                <w:sz w:val="20"/>
                <w:szCs w:val="20"/>
              </w:rPr>
              <w:t>1</w:t>
            </w:r>
            <w:r w:rsidR="00270725">
              <w:rPr>
                <w:sz w:val="20"/>
                <w:szCs w:val="20"/>
              </w:rPr>
              <w:t>7</w:t>
            </w:r>
          </w:p>
        </w:tc>
      </w:tr>
      <w:tr w:rsidR="00C8128E" w14:paraId="663F29D1" w14:textId="77777777">
        <w:tc>
          <w:tcPr>
            <w:tcW w:w="700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67362077" w14:textId="77777777" w:rsidR="00C8128E" w:rsidRDefault="00BB4ADC">
            <w:pPr>
              <w:spacing w:line="240" w:lineRule="auto"/>
              <w:rPr>
                <w:sz w:val="20"/>
                <w:szCs w:val="20"/>
              </w:rPr>
            </w:pPr>
            <w:r>
              <w:rPr>
                <w:sz w:val="20"/>
                <w:szCs w:val="20"/>
              </w:rPr>
              <w:t xml:space="preserve">General Recommendation 33: Access to Justice </w:t>
            </w:r>
          </w:p>
        </w:tc>
        <w:tc>
          <w:tcPr>
            <w:tcW w:w="198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tcPr>
          <w:p w14:paraId="2288695F" w14:textId="1FF07BBF" w:rsidR="00C8128E" w:rsidRDefault="00270725">
            <w:pPr>
              <w:widowControl w:val="0"/>
              <w:pBdr>
                <w:top w:val="nil"/>
                <w:left w:val="nil"/>
                <w:bottom w:val="nil"/>
                <w:right w:val="nil"/>
                <w:between w:val="nil"/>
              </w:pBdr>
              <w:spacing w:line="240" w:lineRule="auto"/>
              <w:jc w:val="center"/>
              <w:rPr>
                <w:sz w:val="20"/>
                <w:szCs w:val="20"/>
              </w:rPr>
            </w:pPr>
            <w:r>
              <w:rPr>
                <w:sz w:val="20"/>
                <w:szCs w:val="20"/>
              </w:rPr>
              <w:t>18</w:t>
            </w:r>
          </w:p>
        </w:tc>
      </w:tr>
    </w:tbl>
    <w:p w14:paraId="20341BA2" w14:textId="77777777" w:rsidR="00C8128E" w:rsidRDefault="00BB4ADC">
      <w:pPr>
        <w:spacing w:line="240" w:lineRule="auto"/>
        <w:rPr>
          <w:b/>
        </w:rPr>
      </w:pPr>
      <w:r>
        <w:br w:type="page"/>
      </w:r>
    </w:p>
    <w:p w14:paraId="0A14CE20" w14:textId="77777777" w:rsidR="00C8128E" w:rsidRDefault="00BB4ADC">
      <w:pPr>
        <w:spacing w:line="240" w:lineRule="auto"/>
        <w:rPr>
          <w:b/>
        </w:rPr>
      </w:pPr>
      <w:r>
        <w:rPr>
          <w:b/>
        </w:rPr>
        <w:lastRenderedPageBreak/>
        <w:t xml:space="preserve">Executive summary </w:t>
      </w:r>
    </w:p>
    <w:p w14:paraId="5B3464E9" w14:textId="65981749" w:rsidR="00C8128E" w:rsidRDefault="00BB4ADC">
      <w:pPr>
        <w:spacing w:line="240" w:lineRule="auto"/>
        <w:rPr>
          <w:sz w:val="20"/>
          <w:szCs w:val="20"/>
        </w:rPr>
      </w:pPr>
      <w:r>
        <w:rPr>
          <w:sz w:val="20"/>
          <w:szCs w:val="20"/>
        </w:rPr>
        <w:t>Lesbian, bisexual, queer, and trans (LBQT)</w:t>
      </w:r>
      <w:r>
        <w:rPr>
          <w:sz w:val="20"/>
          <w:szCs w:val="20"/>
          <w:vertAlign w:val="superscript"/>
        </w:rPr>
        <w:footnoteReference w:id="1"/>
      </w:r>
      <w:r>
        <w:rPr>
          <w:sz w:val="20"/>
          <w:szCs w:val="20"/>
        </w:rPr>
        <w:t xml:space="preserve"> women in Malaysia face widening inequalities due to increasing criminalisation</w:t>
      </w:r>
      <w:r w:rsidR="008B56ED">
        <w:rPr>
          <w:sz w:val="20"/>
          <w:szCs w:val="20"/>
        </w:rPr>
        <w:t xml:space="preserve">, </w:t>
      </w:r>
      <w:r>
        <w:rPr>
          <w:sz w:val="20"/>
          <w:szCs w:val="20"/>
        </w:rPr>
        <w:t xml:space="preserve">state-funded rehabilitation or conversion practices, and discrimination. While intersex women are seemingly accepted by state religious institutions, they are heavily pathologized in state health guidelines. </w:t>
      </w:r>
    </w:p>
    <w:p w14:paraId="04101CD5" w14:textId="77777777" w:rsidR="00C8128E" w:rsidRDefault="00C8128E">
      <w:pPr>
        <w:spacing w:line="240" w:lineRule="auto"/>
        <w:rPr>
          <w:sz w:val="20"/>
          <w:szCs w:val="20"/>
        </w:rPr>
      </w:pPr>
    </w:p>
    <w:p w14:paraId="792ED737" w14:textId="4AA00403" w:rsidR="00C8128E" w:rsidRDefault="00D45FB3">
      <w:pPr>
        <w:spacing w:line="240" w:lineRule="auto"/>
        <w:rPr>
          <w:sz w:val="20"/>
          <w:szCs w:val="20"/>
        </w:rPr>
      </w:pPr>
      <w:r>
        <w:rPr>
          <w:sz w:val="20"/>
          <w:szCs w:val="20"/>
        </w:rPr>
        <w:t>T</w:t>
      </w:r>
      <w:r w:rsidR="00BB4ADC">
        <w:rPr>
          <w:sz w:val="20"/>
          <w:szCs w:val="20"/>
        </w:rPr>
        <w:t>he state, namely the Prime Minister’s Department (Religious Affairs) and JAKIM</w:t>
      </w:r>
      <w:r w:rsidR="00BB4ADC">
        <w:rPr>
          <w:sz w:val="20"/>
          <w:szCs w:val="20"/>
          <w:vertAlign w:val="superscript"/>
        </w:rPr>
        <w:footnoteReference w:id="2"/>
      </w:r>
      <w:r w:rsidR="00BB4ADC">
        <w:rPr>
          <w:sz w:val="20"/>
          <w:szCs w:val="20"/>
        </w:rPr>
        <w:t xml:space="preserve"> is instrumental in the increasing hostility against LGBT people. In the last 5 years, 8 new anti-LGBT state </w:t>
      </w:r>
      <w:r w:rsidR="00BB4ADC">
        <w:rPr>
          <w:i/>
          <w:sz w:val="20"/>
          <w:szCs w:val="20"/>
        </w:rPr>
        <w:t>syariah</w:t>
      </w:r>
      <w:r w:rsidR="00BB4ADC">
        <w:rPr>
          <w:sz w:val="20"/>
          <w:szCs w:val="20"/>
        </w:rPr>
        <w:t xml:space="preserve"> laws have been introduced along with several amendments to existing anti-LGBT laws. The state-rehabilitation programmes </w:t>
      </w:r>
      <w:r>
        <w:rPr>
          <w:sz w:val="20"/>
          <w:szCs w:val="20"/>
        </w:rPr>
        <w:t>were</w:t>
      </w:r>
      <w:r w:rsidR="00BB4ADC">
        <w:rPr>
          <w:sz w:val="20"/>
          <w:szCs w:val="20"/>
        </w:rPr>
        <w:t xml:space="preserve"> expanded to regional activities. At least 5 LGBT people were subjected to judicial caning. Of which, 2 are women. LGBT </w:t>
      </w:r>
      <w:r w:rsidR="00623B66">
        <w:rPr>
          <w:sz w:val="20"/>
          <w:szCs w:val="20"/>
        </w:rPr>
        <w:t>contents</w:t>
      </w:r>
      <w:r w:rsidR="00BB4ADC">
        <w:rPr>
          <w:sz w:val="20"/>
          <w:szCs w:val="20"/>
        </w:rPr>
        <w:t xml:space="preserve"> </w:t>
      </w:r>
      <w:r>
        <w:rPr>
          <w:sz w:val="20"/>
          <w:szCs w:val="20"/>
        </w:rPr>
        <w:t>w</w:t>
      </w:r>
      <w:r w:rsidR="00623B66">
        <w:rPr>
          <w:sz w:val="20"/>
          <w:szCs w:val="20"/>
        </w:rPr>
        <w:t>ere banned or</w:t>
      </w:r>
      <w:r w:rsidR="00BB4ADC">
        <w:rPr>
          <w:sz w:val="20"/>
          <w:szCs w:val="20"/>
        </w:rPr>
        <w:t xml:space="preserve"> subjected to investigations.</w:t>
      </w:r>
    </w:p>
    <w:p w14:paraId="15034FE5" w14:textId="77777777" w:rsidR="00C8128E" w:rsidRDefault="00C8128E">
      <w:pPr>
        <w:spacing w:line="240" w:lineRule="auto"/>
        <w:rPr>
          <w:sz w:val="20"/>
          <w:szCs w:val="20"/>
        </w:rPr>
      </w:pPr>
    </w:p>
    <w:p w14:paraId="3B1CC1DC" w14:textId="61B2DF4F" w:rsidR="00C8128E" w:rsidRDefault="00BB4ADC">
      <w:pPr>
        <w:spacing w:line="240" w:lineRule="auto"/>
        <w:rPr>
          <w:sz w:val="20"/>
          <w:szCs w:val="20"/>
        </w:rPr>
      </w:pPr>
      <w:r>
        <w:rPr>
          <w:sz w:val="20"/>
          <w:szCs w:val="20"/>
        </w:rPr>
        <w:t>While the Malaysian Courts have made favourable decisions, state agencies</w:t>
      </w:r>
      <w:r>
        <w:rPr>
          <w:sz w:val="20"/>
          <w:szCs w:val="20"/>
          <w:vertAlign w:val="superscript"/>
        </w:rPr>
        <w:footnoteReference w:id="3"/>
      </w:r>
      <w:r w:rsidR="00352435">
        <w:rPr>
          <w:sz w:val="20"/>
          <w:szCs w:val="20"/>
          <w:vertAlign w:val="superscript"/>
        </w:rPr>
        <w:t xml:space="preserve"> </w:t>
      </w:r>
      <w:r>
        <w:rPr>
          <w:sz w:val="20"/>
          <w:szCs w:val="20"/>
        </w:rPr>
        <w:t xml:space="preserve">have appealed them, resulting in </w:t>
      </w:r>
      <w:r w:rsidR="00400D79">
        <w:rPr>
          <w:sz w:val="20"/>
          <w:szCs w:val="20"/>
        </w:rPr>
        <w:t>the</w:t>
      </w:r>
      <w:r w:rsidR="00352435">
        <w:rPr>
          <w:sz w:val="20"/>
          <w:szCs w:val="20"/>
        </w:rPr>
        <w:t xml:space="preserve"> decisions being</w:t>
      </w:r>
      <w:r>
        <w:rPr>
          <w:sz w:val="20"/>
          <w:szCs w:val="20"/>
        </w:rPr>
        <w:t xml:space="preserve"> overturn</w:t>
      </w:r>
      <w:r w:rsidR="00352435">
        <w:rPr>
          <w:sz w:val="20"/>
          <w:szCs w:val="20"/>
        </w:rPr>
        <w:t>ed</w:t>
      </w:r>
      <w:r>
        <w:rPr>
          <w:sz w:val="20"/>
          <w:szCs w:val="20"/>
        </w:rPr>
        <w:t xml:space="preserve">. In the Federal Court decision, which </w:t>
      </w:r>
      <w:r w:rsidR="00996D25">
        <w:rPr>
          <w:sz w:val="20"/>
          <w:szCs w:val="20"/>
        </w:rPr>
        <w:t xml:space="preserve">found </w:t>
      </w:r>
      <w:r>
        <w:rPr>
          <w:sz w:val="20"/>
          <w:szCs w:val="20"/>
        </w:rPr>
        <w:t xml:space="preserve">Selangor’s Section 28 </w:t>
      </w:r>
      <w:r w:rsidR="00996D25">
        <w:rPr>
          <w:sz w:val="20"/>
          <w:szCs w:val="20"/>
        </w:rPr>
        <w:t>(</w:t>
      </w:r>
      <w:r>
        <w:rPr>
          <w:sz w:val="20"/>
          <w:szCs w:val="20"/>
        </w:rPr>
        <w:t>sex against the order of nature</w:t>
      </w:r>
      <w:r w:rsidR="00996D25">
        <w:rPr>
          <w:sz w:val="20"/>
          <w:szCs w:val="20"/>
        </w:rPr>
        <w:t>)</w:t>
      </w:r>
      <w:r>
        <w:rPr>
          <w:sz w:val="20"/>
          <w:szCs w:val="20"/>
        </w:rPr>
        <w:t xml:space="preserve"> unconstitutional, the state does not have an appeal avenue. The court’s decision has yet to be integrated into state legislative processes. </w:t>
      </w:r>
      <w:r w:rsidR="00D45FB3">
        <w:rPr>
          <w:sz w:val="20"/>
          <w:szCs w:val="20"/>
        </w:rPr>
        <w:t>Instead</w:t>
      </w:r>
      <w:r>
        <w:rPr>
          <w:sz w:val="20"/>
          <w:szCs w:val="20"/>
        </w:rPr>
        <w:t>, new anti-LGBT in</w:t>
      </w:r>
      <w:r w:rsidR="00D45FB3">
        <w:rPr>
          <w:sz w:val="20"/>
          <w:szCs w:val="20"/>
        </w:rPr>
        <w:t>consistent with</w:t>
      </w:r>
      <w:r>
        <w:rPr>
          <w:sz w:val="20"/>
          <w:szCs w:val="20"/>
        </w:rPr>
        <w:t xml:space="preserve"> the decision have been introduced. </w:t>
      </w:r>
    </w:p>
    <w:p w14:paraId="5945DB34" w14:textId="77777777" w:rsidR="00C8128E" w:rsidRDefault="00C8128E">
      <w:pPr>
        <w:spacing w:line="240" w:lineRule="auto"/>
        <w:rPr>
          <w:sz w:val="20"/>
          <w:szCs w:val="20"/>
        </w:rPr>
      </w:pPr>
    </w:p>
    <w:p w14:paraId="67F74243" w14:textId="279C1B96" w:rsidR="00C8128E" w:rsidRDefault="00BB4ADC">
      <w:pPr>
        <w:spacing w:line="240" w:lineRule="auto"/>
        <w:rPr>
          <w:sz w:val="20"/>
          <w:szCs w:val="20"/>
        </w:rPr>
      </w:pPr>
      <w:r>
        <w:rPr>
          <w:sz w:val="20"/>
          <w:szCs w:val="20"/>
        </w:rPr>
        <w:t>Yet, the state report notes</w:t>
      </w:r>
      <w:r w:rsidR="001163F1">
        <w:rPr>
          <w:sz w:val="20"/>
          <w:szCs w:val="20"/>
        </w:rPr>
        <w:t xml:space="preserve"> </w:t>
      </w:r>
      <w:r>
        <w:rPr>
          <w:sz w:val="20"/>
          <w:szCs w:val="20"/>
        </w:rPr>
        <w:t>“113. Malaysia maintains the principle of gender equality and non-discrimination against women as articulated in the Federal Constitution and as reported in the previous periodic reports”</w:t>
      </w:r>
    </w:p>
    <w:p w14:paraId="13B60585" w14:textId="77777777" w:rsidR="00C8128E" w:rsidRDefault="00C8128E">
      <w:pPr>
        <w:spacing w:line="240" w:lineRule="auto"/>
        <w:rPr>
          <w:sz w:val="20"/>
          <w:szCs w:val="20"/>
        </w:rPr>
      </w:pPr>
    </w:p>
    <w:p w14:paraId="48FE787D" w14:textId="1C420CCE" w:rsidR="00C8128E" w:rsidRDefault="00BB4ADC">
      <w:pPr>
        <w:spacing w:line="240" w:lineRule="auto"/>
        <w:rPr>
          <w:sz w:val="20"/>
          <w:szCs w:val="20"/>
        </w:rPr>
      </w:pPr>
      <w:r>
        <w:rPr>
          <w:sz w:val="20"/>
          <w:szCs w:val="20"/>
        </w:rPr>
        <w:t xml:space="preserve">In the 2018 CEDAW review, Malaysia received the following concluding observations, all of which have not been implemented. </w:t>
      </w:r>
    </w:p>
    <w:p w14:paraId="65611D96" w14:textId="77777777" w:rsidR="00C8128E" w:rsidRDefault="00C8128E">
      <w:pPr>
        <w:widowControl w:val="0"/>
        <w:spacing w:line="240" w:lineRule="auto"/>
        <w:rPr>
          <w:sz w:val="20"/>
          <w:szCs w:val="20"/>
        </w:rPr>
      </w:pPr>
    </w:p>
    <w:p w14:paraId="59B8FCF3" w14:textId="77777777" w:rsidR="00C8128E" w:rsidRDefault="00BB4ADC">
      <w:pPr>
        <w:widowControl w:val="0"/>
        <w:spacing w:line="240" w:lineRule="auto"/>
        <w:ind w:right="720"/>
        <w:rPr>
          <w:sz w:val="20"/>
          <w:szCs w:val="20"/>
        </w:rPr>
      </w:pPr>
      <w:r>
        <w:rPr>
          <w:sz w:val="20"/>
          <w:szCs w:val="20"/>
        </w:rPr>
        <w:t>36 (e) Adopt anti-bullying policies based on alternative strategies, such as counselling services and positive discipline, and undertake awareness-raising measures to foster equal rights for lesbian, bisexual, transgender and intersex students.</w:t>
      </w:r>
    </w:p>
    <w:p w14:paraId="28CCE0FA" w14:textId="77777777" w:rsidR="00C8128E" w:rsidRDefault="00C8128E">
      <w:pPr>
        <w:spacing w:line="240" w:lineRule="auto"/>
        <w:ind w:left="720" w:right="720"/>
        <w:rPr>
          <w:sz w:val="20"/>
          <w:szCs w:val="20"/>
        </w:rPr>
      </w:pPr>
    </w:p>
    <w:p w14:paraId="56DFA379" w14:textId="5C64A395" w:rsidR="00C8128E" w:rsidRDefault="00BB4ADC">
      <w:pPr>
        <w:widowControl w:val="0"/>
        <w:spacing w:line="240" w:lineRule="auto"/>
        <w:ind w:right="720"/>
        <w:rPr>
          <w:sz w:val="20"/>
          <w:szCs w:val="20"/>
        </w:rPr>
      </w:pPr>
      <w:r>
        <w:rPr>
          <w:sz w:val="20"/>
          <w:szCs w:val="20"/>
        </w:rPr>
        <w:t xml:space="preserve">48. The State party undertake awareness-raising measures to eliminate discrimination and negative stereotypes against lesbian, bisexual and transgender </w:t>
      </w:r>
      <w:r w:rsidR="001D1AA3">
        <w:rPr>
          <w:sz w:val="20"/>
          <w:szCs w:val="20"/>
        </w:rPr>
        <w:t>women,</w:t>
      </w:r>
      <w:r>
        <w:rPr>
          <w:sz w:val="20"/>
          <w:szCs w:val="20"/>
        </w:rPr>
        <w:t xml:space="preserve"> and intersex persons. </w:t>
      </w:r>
    </w:p>
    <w:p w14:paraId="5C8F2BD4" w14:textId="77777777" w:rsidR="00C8128E" w:rsidRDefault="00C8128E">
      <w:pPr>
        <w:widowControl w:val="0"/>
        <w:spacing w:line="240" w:lineRule="auto"/>
        <w:ind w:left="720" w:right="720"/>
        <w:rPr>
          <w:sz w:val="20"/>
          <w:szCs w:val="20"/>
        </w:rPr>
      </w:pPr>
    </w:p>
    <w:p w14:paraId="7B9139CE" w14:textId="2D5C2923" w:rsidR="00C8128E" w:rsidRDefault="00BB4ADC">
      <w:pPr>
        <w:widowControl w:val="0"/>
        <w:spacing w:line="240" w:lineRule="auto"/>
        <w:ind w:left="720" w:right="720"/>
        <w:rPr>
          <w:sz w:val="20"/>
          <w:szCs w:val="20"/>
        </w:rPr>
      </w:pPr>
      <w:r>
        <w:rPr>
          <w:sz w:val="20"/>
          <w:szCs w:val="20"/>
        </w:rPr>
        <w:t xml:space="preserve">(a) Amend all laws that discriminate against lesbian, bisexual and transgender </w:t>
      </w:r>
      <w:r w:rsidR="001D1AA3">
        <w:rPr>
          <w:sz w:val="20"/>
          <w:szCs w:val="20"/>
        </w:rPr>
        <w:t>women,</w:t>
      </w:r>
      <w:r>
        <w:rPr>
          <w:sz w:val="20"/>
          <w:szCs w:val="20"/>
        </w:rPr>
        <w:t xml:space="preserve"> and intersex persons, including the provisions of the Penal Code and Syariah laws that criminalise same-sex relations between women and cross-dressing;</w:t>
      </w:r>
      <w:r>
        <w:rPr>
          <w:sz w:val="20"/>
          <w:szCs w:val="20"/>
        </w:rPr>
        <w:br/>
      </w:r>
    </w:p>
    <w:p w14:paraId="0D639338" w14:textId="493DFF33" w:rsidR="00C8128E" w:rsidRDefault="00BB4ADC">
      <w:pPr>
        <w:widowControl w:val="0"/>
        <w:spacing w:line="240" w:lineRule="auto"/>
        <w:ind w:left="720" w:right="720"/>
        <w:rPr>
          <w:sz w:val="20"/>
          <w:szCs w:val="20"/>
        </w:rPr>
      </w:pPr>
      <w:r>
        <w:rPr>
          <w:sz w:val="20"/>
          <w:szCs w:val="20"/>
        </w:rPr>
        <w:t xml:space="preserve">(b) Apply a policy of zero tolerance </w:t>
      </w:r>
      <w:proofErr w:type="gramStart"/>
      <w:r>
        <w:rPr>
          <w:sz w:val="20"/>
          <w:szCs w:val="20"/>
        </w:rPr>
        <w:t>with regard to</w:t>
      </w:r>
      <w:proofErr w:type="gramEnd"/>
      <w:r>
        <w:rPr>
          <w:sz w:val="20"/>
          <w:szCs w:val="20"/>
        </w:rPr>
        <w:t xml:space="preserve"> discrimination and violence against lesbian, bisexual and transgender women and intersex persons, including by prosecuting and adequately punishing </w:t>
      </w:r>
      <w:r w:rsidR="001D1AA3">
        <w:rPr>
          <w:sz w:val="20"/>
          <w:szCs w:val="20"/>
        </w:rPr>
        <w:t>perpetrators:</w:t>
      </w:r>
      <w:r>
        <w:rPr>
          <w:sz w:val="20"/>
          <w:szCs w:val="20"/>
        </w:rPr>
        <w:br/>
      </w:r>
    </w:p>
    <w:p w14:paraId="401376BA" w14:textId="53A8B23F" w:rsidR="00C8128E" w:rsidRDefault="00BB4ADC">
      <w:pPr>
        <w:widowControl w:val="0"/>
        <w:spacing w:line="240" w:lineRule="auto"/>
        <w:ind w:left="720" w:right="720"/>
        <w:rPr>
          <w:b/>
        </w:rPr>
      </w:pPr>
      <w:r>
        <w:rPr>
          <w:sz w:val="20"/>
          <w:szCs w:val="20"/>
        </w:rPr>
        <w:t xml:space="preserve">(c) Expedite measures to discontinue all policies and activities aimed at “correcting” or “rehabilitating” lesbian, bisexual and transgender </w:t>
      </w:r>
      <w:r w:rsidR="001D1AA3">
        <w:rPr>
          <w:sz w:val="20"/>
          <w:szCs w:val="20"/>
        </w:rPr>
        <w:t>women,</w:t>
      </w:r>
      <w:r>
        <w:rPr>
          <w:sz w:val="20"/>
          <w:szCs w:val="20"/>
        </w:rPr>
        <w:t xml:space="preserve"> and intersex persons.</w:t>
      </w:r>
      <w:r>
        <w:br w:type="page"/>
      </w:r>
    </w:p>
    <w:p w14:paraId="45BE9DEE" w14:textId="77777777" w:rsidR="00C8128E" w:rsidRDefault="00BB4ADC">
      <w:pPr>
        <w:spacing w:line="240" w:lineRule="auto"/>
        <w:rPr>
          <w:b/>
        </w:rPr>
      </w:pPr>
      <w:r>
        <w:rPr>
          <w:b/>
        </w:rPr>
        <w:lastRenderedPageBreak/>
        <w:t xml:space="preserve">Article 1: Definition of discrimination </w:t>
      </w:r>
    </w:p>
    <w:p w14:paraId="3CBD7D91" w14:textId="77777777" w:rsidR="00C8128E" w:rsidRPr="001163F1" w:rsidRDefault="00BB4ADC">
      <w:pPr>
        <w:spacing w:line="240" w:lineRule="auto"/>
        <w:rPr>
          <w:color w:val="000000" w:themeColor="text1"/>
          <w:sz w:val="20"/>
          <w:szCs w:val="20"/>
        </w:rPr>
      </w:pPr>
      <w:r w:rsidRPr="001163F1">
        <w:rPr>
          <w:color w:val="000000" w:themeColor="text1"/>
          <w:sz w:val="20"/>
          <w:szCs w:val="20"/>
        </w:rPr>
        <w:t xml:space="preserve">1.1 Sex and gender are used interchangeably, as they are not clearly defined in laws and the Federal Constitution. The narrow and binary definition of women is underscored by a lack of understanding of sex, gender, and intersectionality; patriarchal religious interpretations; and the criminalisation and </w:t>
      </w:r>
      <w:proofErr w:type="spellStart"/>
      <w:r w:rsidRPr="001163F1">
        <w:rPr>
          <w:color w:val="000000" w:themeColor="text1"/>
          <w:sz w:val="20"/>
          <w:szCs w:val="20"/>
        </w:rPr>
        <w:t>pathologisation</w:t>
      </w:r>
      <w:proofErr w:type="spellEnd"/>
      <w:r w:rsidRPr="001163F1">
        <w:rPr>
          <w:color w:val="000000" w:themeColor="text1"/>
          <w:sz w:val="20"/>
          <w:szCs w:val="20"/>
        </w:rPr>
        <w:t xml:space="preserve"> of LGBT people. This forms the state’s gender ideology. </w:t>
      </w:r>
    </w:p>
    <w:p w14:paraId="4C86EFCD" w14:textId="77777777" w:rsidR="00C8128E" w:rsidRDefault="00C8128E">
      <w:pPr>
        <w:spacing w:line="240" w:lineRule="auto"/>
        <w:rPr>
          <w:sz w:val="20"/>
          <w:szCs w:val="20"/>
        </w:rPr>
      </w:pPr>
    </w:p>
    <w:p w14:paraId="6FAA7A4A" w14:textId="77777777" w:rsidR="00C8128E" w:rsidRDefault="00BB4ADC">
      <w:pPr>
        <w:spacing w:line="240" w:lineRule="auto"/>
        <w:rPr>
          <w:sz w:val="20"/>
          <w:szCs w:val="20"/>
        </w:rPr>
      </w:pPr>
      <w:r>
        <w:rPr>
          <w:sz w:val="20"/>
          <w:szCs w:val="20"/>
        </w:rPr>
        <w:t xml:space="preserve">1.2 The 2017 </w:t>
      </w:r>
      <w:r>
        <w:rPr>
          <w:b/>
          <w:i/>
          <w:sz w:val="20"/>
          <w:szCs w:val="20"/>
        </w:rPr>
        <w:t>Guideline on the Management of Problems Related to Gender and Health</w:t>
      </w:r>
      <w:r>
        <w:rPr>
          <w:sz w:val="20"/>
          <w:szCs w:val="20"/>
        </w:rPr>
        <w:t xml:space="preserve"> notes “in the context of the Constitution and Malaysian laws sex or gender refers to biological status male or female, which includes physical traits such as chromosome, sex, gonad, sex hormones, internal reproductive structure and external genitalia.”</w:t>
      </w:r>
      <w:r>
        <w:rPr>
          <w:sz w:val="20"/>
          <w:szCs w:val="20"/>
          <w:vertAlign w:val="superscript"/>
        </w:rPr>
        <w:footnoteReference w:id="4"/>
      </w:r>
      <w:r>
        <w:rPr>
          <w:sz w:val="20"/>
          <w:szCs w:val="20"/>
        </w:rPr>
        <w:t xml:space="preserve"> Further, the guideline medicalises and </w:t>
      </w:r>
      <w:proofErr w:type="spellStart"/>
      <w:r>
        <w:rPr>
          <w:sz w:val="20"/>
          <w:szCs w:val="20"/>
        </w:rPr>
        <w:t>pathologises</w:t>
      </w:r>
      <w:proofErr w:type="spellEnd"/>
      <w:r>
        <w:rPr>
          <w:sz w:val="20"/>
          <w:szCs w:val="20"/>
        </w:rPr>
        <w:t xml:space="preserve"> LGBT people as having ‘gender confusion’ due to sexual violence, lack of love, absent parents, among other widely debunked pseudo-scientific myths. </w:t>
      </w:r>
    </w:p>
    <w:p w14:paraId="7A225B85" w14:textId="77777777" w:rsidR="00C8128E" w:rsidRDefault="00C8128E">
      <w:pPr>
        <w:spacing w:line="240" w:lineRule="auto"/>
        <w:rPr>
          <w:sz w:val="20"/>
          <w:szCs w:val="20"/>
        </w:rPr>
      </w:pPr>
    </w:p>
    <w:p w14:paraId="131DFA3A" w14:textId="0888A6C6" w:rsidR="00C8128E" w:rsidRDefault="00BB4ADC">
      <w:pPr>
        <w:spacing w:line="240" w:lineRule="auto"/>
        <w:rPr>
          <w:sz w:val="20"/>
          <w:szCs w:val="20"/>
        </w:rPr>
      </w:pPr>
      <w:r>
        <w:rPr>
          <w:sz w:val="20"/>
          <w:szCs w:val="20"/>
        </w:rPr>
        <w:t xml:space="preserve">1.3 The Prime Minister’s Department (Religious Affairs) and JAKIM, which oversees </w:t>
      </w:r>
      <w:r w:rsidR="00AD18C0">
        <w:rPr>
          <w:sz w:val="20"/>
          <w:szCs w:val="20"/>
        </w:rPr>
        <w:t>most</w:t>
      </w:r>
      <w:r>
        <w:rPr>
          <w:sz w:val="20"/>
          <w:szCs w:val="20"/>
        </w:rPr>
        <w:t xml:space="preserve"> </w:t>
      </w:r>
      <w:r w:rsidR="00AD18C0">
        <w:rPr>
          <w:sz w:val="20"/>
          <w:szCs w:val="20"/>
        </w:rPr>
        <w:t xml:space="preserve">of the </w:t>
      </w:r>
      <w:r>
        <w:rPr>
          <w:sz w:val="20"/>
          <w:szCs w:val="20"/>
        </w:rPr>
        <w:t>LGBT-related programmes, adopts an ‘acceptance with exception’ approach in relation to LGBT persons. JAKIM does not agree with LGBT acts; however, it believes LGBT persons have a right to be guided and advised to the right path.</w:t>
      </w:r>
      <w:r>
        <w:rPr>
          <w:sz w:val="20"/>
          <w:szCs w:val="20"/>
          <w:vertAlign w:val="superscript"/>
        </w:rPr>
        <w:footnoteReference w:id="5"/>
      </w:r>
      <w:r>
        <w:rPr>
          <w:sz w:val="20"/>
          <w:szCs w:val="20"/>
        </w:rPr>
        <w:t xml:space="preserve"> To that end, JAKIM promotes and has introduced various forms of </w:t>
      </w:r>
      <w:r w:rsidR="00623B66">
        <w:rPr>
          <w:sz w:val="20"/>
          <w:szCs w:val="20"/>
        </w:rPr>
        <w:t xml:space="preserve">LGBT </w:t>
      </w:r>
      <w:r>
        <w:rPr>
          <w:sz w:val="20"/>
          <w:szCs w:val="20"/>
        </w:rPr>
        <w:t>rehabilitation practices, including camps; Islamic psycho-spiritual treatment;</w:t>
      </w:r>
      <w:r>
        <w:rPr>
          <w:sz w:val="20"/>
          <w:szCs w:val="20"/>
          <w:vertAlign w:val="superscript"/>
        </w:rPr>
        <w:footnoteReference w:id="6"/>
      </w:r>
      <w:r>
        <w:rPr>
          <w:sz w:val="20"/>
          <w:szCs w:val="20"/>
        </w:rPr>
        <w:t xml:space="preserve"> and using religious guilt, shame, and peer-pressure to ‘rehabilitate’ or ‘return LGBT people to the right path’, among others. </w:t>
      </w:r>
    </w:p>
    <w:p w14:paraId="00152EC2" w14:textId="77777777" w:rsidR="00C8128E" w:rsidRDefault="00C8128E">
      <w:pPr>
        <w:spacing w:line="240" w:lineRule="auto"/>
        <w:rPr>
          <w:sz w:val="20"/>
          <w:szCs w:val="20"/>
        </w:rPr>
      </w:pPr>
    </w:p>
    <w:p w14:paraId="47AF77FB" w14:textId="77777777" w:rsidR="00C8128E" w:rsidRDefault="00BB4ADC">
      <w:pPr>
        <w:spacing w:line="240" w:lineRule="auto"/>
        <w:rPr>
          <w:b/>
          <w:i/>
          <w:sz w:val="20"/>
          <w:szCs w:val="20"/>
        </w:rPr>
      </w:pPr>
      <w:r>
        <w:rPr>
          <w:b/>
          <w:i/>
          <w:sz w:val="20"/>
          <w:szCs w:val="20"/>
        </w:rPr>
        <w:t>Critical questions</w:t>
      </w:r>
    </w:p>
    <w:p w14:paraId="319AB82B" w14:textId="77777777" w:rsidR="00C8128E" w:rsidRDefault="00C8128E">
      <w:pPr>
        <w:spacing w:line="240" w:lineRule="auto"/>
        <w:rPr>
          <w:sz w:val="20"/>
          <w:szCs w:val="20"/>
        </w:rPr>
      </w:pPr>
    </w:p>
    <w:p w14:paraId="179824E3" w14:textId="38AAFE37" w:rsidR="00C8128E" w:rsidRDefault="00BB4ADC">
      <w:pPr>
        <w:spacing w:line="240" w:lineRule="auto"/>
        <w:rPr>
          <w:sz w:val="20"/>
          <w:szCs w:val="20"/>
        </w:rPr>
      </w:pPr>
      <w:r>
        <w:rPr>
          <w:sz w:val="20"/>
          <w:szCs w:val="20"/>
        </w:rPr>
        <w:t xml:space="preserve">Q1. How does the State plan to integrate an intersectional lens, as recommended in General Recommendation 28, in </w:t>
      </w:r>
      <w:r w:rsidR="00AD18C0">
        <w:rPr>
          <w:sz w:val="20"/>
          <w:szCs w:val="20"/>
        </w:rPr>
        <w:t>defining and addressing</w:t>
      </w:r>
      <w:r>
        <w:rPr>
          <w:sz w:val="20"/>
          <w:szCs w:val="20"/>
        </w:rPr>
        <w:t xml:space="preserve"> discrimination?</w:t>
      </w:r>
    </w:p>
    <w:p w14:paraId="42CBD515" w14:textId="77777777" w:rsidR="00C8128E" w:rsidRDefault="00C8128E">
      <w:pPr>
        <w:spacing w:line="240" w:lineRule="auto"/>
        <w:rPr>
          <w:b/>
        </w:rPr>
      </w:pPr>
    </w:p>
    <w:p w14:paraId="20BA5E72" w14:textId="4845FDC6" w:rsidR="00C8128E" w:rsidRDefault="00BB4ADC">
      <w:pPr>
        <w:spacing w:line="240" w:lineRule="auto"/>
        <w:rPr>
          <w:sz w:val="20"/>
          <w:szCs w:val="20"/>
        </w:rPr>
      </w:pPr>
      <w:r>
        <w:rPr>
          <w:sz w:val="20"/>
          <w:szCs w:val="20"/>
        </w:rPr>
        <w:t>Q2. How does the state plan to ensure an evidence and rights-based approach in relation to LBT</w:t>
      </w:r>
      <w:r w:rsidR="005C5CE7">
        <w:rPr>
          <w:sz w:val="20"/>
          <w:szCs w:val="20"/>
        </w:rPr>
        <w:t xml:space="preserve">I </w:t>
      </w:r>
      <w:r>
        <w:rPr>
          <w:sz w:val="20"/>
          <w:szCs w:val="20"/>
        </w:rPr>
        <w:t xml:space="preserve">persons? </w:t>
      </w:r>
      <w:r w:rsidR="005C5CE7">
        <w:rPr>
          <w:sz w:val="20"/>
          <w:szCs w:val="20"/>
        </w:rPr>
        <w:t>For example,</w:t>
      </w:r>
      <w:r>
        <w:rPr>
          <w:sz w:val="20"/>
          <w:szCs w:val="20"/>
        </w:rPr>
        <w:t xml:space="preserve"> </w:t>
      </w:r>
      <w:r w:rsidR="00623B66">
        <w:rPr>
          <w:sz w:val="20"/>
          <w:szCs w:val="20"/>
        </w:rPr>
        <w:t xml:space="preserve">by </w:t>
      </w:r>
      <w:r>
        <w:rPr>
          <w:sz w:val="20"/>
          <w:szCs w:val="20"/>
        </w:rPr>
        <w:t>adopt</w:t>
      </w:r>
      <w:r w:rsidR="005C5CE7">
        <w:rPr>
          <w:sz w:val="20"/>
          <w:szCs w:val="20"/>
        </w:rPr>
        <w:t>ing</w:t>
      </w:r>
      <w:r>
        <w:rPr>
          <w:sz w:val="20"/>
          <w:szCs w:val="20"/>
        </w:rPr>
        <w:t xml:space="preserve"> scientific medical evidence as well as non-patriarchal and inclusive religious interpretation</w:t>
      </w:r>
      <w:r w:rsidR="005C5CE7">
        <w:rPr>
          <w:sz w:val="20"/>
          <w:szCs w:val="20"/>
        </w:rPr>
        <w:t>s</w:t>
      </w:r>
      <w:r>
        <w:rPr>
          <w:sz w:val="20"/>
          <w:szCs w:val="20"/>
        </w:rPr>
        <w:t xml:space="preserve"> </w:t>
      </w:r>
      <w:r w:rsidR="005C5CE7">
        <w:rPr>
          <w:sz w:val="20"/>
          <w:szCs w:val="20"/>
        </w:rPr>
        <w:t>on</w:t>
      </w:r>
      <w:r>
        <w:rPr>
          <w:sz w:val="20"/>
          <w:szCs w:val="20"/>
        </w:rPr>
        <w:t xml:space="preserve"> sexual orientation, gender identity, gender expression and sex characteristics (SOGIESC) or engag</w:t>
      </w:r>
      <w:r w:rsidR="005C5CE7">
        <w:rPr>
          <w:sz w:val="20"/>
          <w:szCs w:val="20"/>
        </w:rPr>
        <w:t>ing</w:t>
      </w:r>
      <w:r>
        <w:rPr>
          <w:sz w:val="20"/>
          <w:szCs w:val="20"/>
        </w:rPr>
        <w:t xml:space="preserve"> inclusive religious actors? </w:t>
      </w:r>
    </w:p>
    <w:p w14:paraId="28C610C2" w14:textId="77777777" w:rsidR="00C8128E" w:rsidRDefault="00BB4ADC">
      <w:pPr>
        <w:spacing w:line="240" w:lineRule="auto"/>
        <w:rPr>
          <w:b/>
        </w:rPr>
      </w:pPr>
      <w:r>
        <w:br w:type="page"/>
      </w:r>
    </w:p>
    <w:p w14:paraId="517DB80B" w14:textId="77777777" w:rsidR="00C8128E" w:rsidRDefault="00BB4ADC">
      <w:pPr>
        <w:spacing w:line="240" w:lineRule="auto"/>
        <w:rPr>
          <w:b/>
        </w:rPr>
      </w:pPr>
      <w:r>
        <w:rPr>
          <w:b/>
        </w:rPr>
        <w:lastRenderedPageBreak/>
        <w:t xml:space="preserve">Article 2, 3 &amp; 15: Equality &amp; Non-discrimination </w:t>
      </w:r>
    </w:p>
    <w:p w14:paraId="5F0A6878" w14:textId="77777777" w:rsidR="00C8128E" w:rsidRDefault="00C8128E">
      <w:pPr>
        <w:spacing w:line="240" w:lineRule="auto"/>
        <w:rPr>
          <w:i/>
          <w:sz w:val="20"/>
          <w:szCs w:val="20"/>
        </w:rPr>
      </w:pPr>
    </w:p>
    <w:p w14:paraId="2D56A1B5" w14:textId="77777777" w:rsidR="00C8128E" w:rsidRDefault="00BB4ADC">
      <w:pPr>
        <w:spacing w:line="240" w:lineRule="auto"/>
        <w:rPr>
          <w:i/>
          <w:sz w:val="20"/>
          <w:szCs w:val="20"/>
        </w:rPr>
      </w:pPr>
      <w:r>
        <w:rPr>
          <w:i/>
          <w:sz w:val="20"/>
          <w:szCs w:val="20"/>
        </w:rPr>
        <w:t>Favourable legal developments on criminalization</w:t>
      </w:r>
    </w:p>
    <w:p w14:paraId="6F86559F" w14:textId="77777777" w:rsidR="00C8128E" w:rsidRDefault="00C8128E">
      <w:pPr>
        <w:spacing w:line="240" w:lineRule="auto"/>
        <w:rPr>
          <w:i/>
          <w:sz w:val="20"/>
          <w:szCs w:val="20"/>
        </w:rPr>
      </w:pPr>
    </w:p>
    <w:p w14:paraId="0F8FAFCC" w14:textId="329D0177" w:rsidR="00C8128E" w:rsidRDefault="00BB4ADC">
      <w:pPr>
        <w:spacing w:line="240" w:lineRule="auto"/>
        <w:rPr>
          <w:i/>
          <w:sz w:val="20"/>
          <w:szCs w:val="20"/>
        </w:rPr>
      </w:pPr>
      <w:r>
        <w:rPr>
          <w:sz w:val="20"/>
          <w:szCs w:val="20"/>
        </w:rPr>
        <w:t xml:space="preserve">2.1 In the </w:t>
      </w:r>
      <w:r w:rsidR="005C5CE7">
        <w:rPr>
          <w:sz w:val="20"/>
          <w:szCs w:val="20"/>
        </w:rPr>
        <w:t xml:space="preserve">2020 constitutional review of </w:t>
      </w:r>
      <w:r>
        <w:rPr>
          <w:sz w:val="20"/>
          <w:szCs w:val="20"/>
        </w:rPr>
        <w:t>Section 28 of the Selangor Syariah Criminal Offences, which criminalises sex against the order of nature, the Federal Court found the state law unconstitutional</w:t>
      </w:r>
      <w:r w:rsidR="005C5CE7">
        <w:rPr>
          <w:sz w:val="20"/>
          <w:szCs w:val="20"/>
        </w:rPr>
        <w:t xml:space="preserve"> due inconsistencies with the</w:t>
      </w:r>
      <w:r>
        <w:rPr>
          <w:sz w:val="20"/>
          <w:szCs w:val="20"/>
        </w:rPr>
        <w:t xml:space="preserve"> Federal and state governments’ legislative jurisdiction</w:t>
      </w:r>
      <w:r w:rsidR="005C5CE7">
        <w:rPr>
          <w:sz w:val="20"/>
          <w:szCs w:val="20"/>
        </w:rPr>
        <w:t>s</w:t>
      </w:r>
      <w:r>
        <w:rPr>
          <w:sz w:val="20"/>
          <w:szCs w:val="20"/>
        </w:rPr>
        <w:t>, as outlined in the Federal</w:t>
      </w:r>
      <w:r w:rsidR="005C5CE7">
        <w:rPr>
          <w:sz w:val="20"/>
          <w:szCs w:val="20"/>
        </w:rPr>
        <w:t xml:space="preserve"> and </w:t>
      </w:r>
      <w:r>
        <w:rPr>
          <w:sz w:val="20"/>
          <w:szCs w:val="20"/>
        </w:rPr>
        <w:t>State lists</w:t>
      </w:r>
      <w:r w:rsidR="0050391B">
        <w:rPr>
          <w:sz w:val="20"/>
          <w:szCs w:val="20"/>
        </w:rPr>
        <w:t xml:space="preserve"> of the Constitution. </w:t>
      </w:r>
      <w:r>
        <w:rPr>
          <w:sz w:val="20"/>
          <w:szCs w:val="20"/>
        </w:rPr>
        <w:br/>
      </w:r>
      <w:r>
        <w:rPr>
          <w:sz w:val="20"/>
          <w:szCs w:val="20"/>
        </w:rPr>
        <w:br/>
        <w:t>The State List, while allow</w:t>
      </w:r>
      <w:r w:rsidR="0050391B">
        <w:rPr>
          <w:sz w:val="20"/>
          <w:szCs w:val="20"/>
        </w:rPr>
        <w:t>s</w:t>
      </w:r>
      <w:r>
        <w:rPr>
          <w:sz w:val="20"/>
          <w:szCs w:val="20"/>
        </w:rPr>
        <w:t xml:space="preserve"> states to enact laws </w:t>
      </w:r>
      <w:r w:rsidR="0050391B">
        <w:rPr>
          <w:sz w:val="20"/>
          <w:szCs w:val="20"/>
        </w:rPr>
        <w:t>on</w:t>
      </w:r>
      <w:r>
        <w:rPr>
          <w:sz w:val="20"/>
          <w:szCs w:val="20"/>
        </w:rPr>
        <w:t xml:space="preserve"> ‘precepts of Islam,’ </w:t>
      </w:r>
      <w:r w:rsidR="0050391B">
        <w:rPr>
          <w:sz w:val="20"/>
          <w:szCs w:val="20"/>
        </w:rPr>
        <w:t xml:space="preserve">they are </w:t>
      </w:r>
      <w:r>
        <w:rPr>
          <w:sz w:val="20"/>
          <w:szCs w:val="20"/>
        </w:rPr>
        <w:t xml:space="preserve">bound by the preclusion clause, which stipulates that states cannot enact laws on </w:t>
      </w:r>
      <w:r>
        <w:rPr>
          <w:color w:val="212529"/>
          <w:sz w:val="20"/>
          <w:szCs w:val="20"/>
          <w:highlight w:val="white"/>
        </w:rPr>
        <w:t xml:space="preserve">matters included under the Federal List. The Federal Court noted </w:t>
      </w:r>
      <w:r>
        <w:rPr>
          <w:i/>
          <w:color w:val="212529"/>
          <w:sz w:val="20"/>
          <w:szCs w:val="20"/>
          <w:highlight w:val="white"/>
        </w:rPr>
        <w:t>“</w:t>
      </w:r>
      <w:r>
        <w:rPr>
          <w:i/>
          <w:sz w:val="20"/>
          <w:szCs w:val="20"/>
        </w:rPr>
        <w:t>… it can be postulated that having regard to the preclusion clause in item 1 of the State List, when the two Legislatures (Federal and State) legislate a law concerning the subject-matter of criminal law, and the two laws touch on the same matter, the said laws cannot co-exist even if the said law is said to be against the precepts of Islam.”</w:t>
      </w:r>
    </w:p>
    <w:p w14:paraId="1657E27B" w14:textId="77777777" w:rsidR="00C8128E" w:rsidRDefault="00C8128E">
      <w:pPr>
        <w:spacing w:line="240" w:lineRule="auto"/>
        <w:rPr>
          <w:sz w:val="20"/>
          <w:szCs w:val="20"/>
        </w:rPr>
      </w:pPr>
    </w:p>
    <w:p w14:paraId="44983318" w14:textId="3E09DDB3" w:rsidR="00C8128E" w:rsidRDefault="00BB4ADC">
      <w:pPr>
        <w:spacing w:line="240" w:lineRule="auto"/>
        <w:rPr>
          <w:sz w:val="20"/>
          <w:szCs w:val="20"/>
        </w:rPr>
      </w:pPr>
      <w:r>
        <w:rPr>
          <w:sz w:val="20"/>
          <w:szCs w:val="20"/>
        </w:rPr>
        <w:t>2.2 In 201</w:t>
      </w:r>
      <w:r w:rsidR="0050391B">
        <w:rPr>
          <w:sz w:val="20"/>
          <w:szCs w:val="20"/>
        </w:rPr>
        <w:t>4</w:t>
      </w:r>
      <w:r>
        <w:rPr>
          <w:sz w:val="20"/>
          <w:szCs w:val="20"/>
        </w:rPr>
        <w:t>, the Court of Appeal declared Negeri Sembilan’s Section 66</w:t>
      </w:r>
      <w:r>
        <w:rPr>
          <w:sz w:val="20"/>
          <w:szCs w:val="20"/>
          <w:vertAlign w:val="superscript"/>
        </w:rPr>
        <w:footnoteReference w:id="7"/>
      </w:r>
      <w:r>
        <w:rPr>
          <w:sz w:val="20"/>
          <w:szCs w:val="20"/>
        </w:rPr>
        <w:t xml:space="preserve"> unconstitutional on the grounds that it violated Articles 5, 8, 9, and 10 of the Federal Constitution.</w:t>
      </w:r>
      <w:r>
        <w:rPr>
          <w:sz w:val="20"/>
          <w:szCs w:val="20"/>
          <w:vertAlign w:val="superscript"/>
        </w:rPr>
        <w:footnoteReference w:id="8"/>
      </w:r>
      <w:r>
        <w:rPr>
          <w:sz w:val="20"/>
          <w:szCs w:val="20"/>
        </w:rPr>
        <w:t xml:space="preserve"> However, in 2015, the Federal Court set aside the decision</w:t>
      </w:r>
      <w:r w:rsidR="0050391B">
        <w:rPr>
          <w:sz w:val="20"/>
          <w:szCs w:val="20"/>
        </w:rPr>
        <w:t>s</w:t>
      </w:r>
      <w:r>
        <w:rPr>
          <w:sz w:val="20"/>
          <w:szCs w:val="20"/>
        </w:rPr>
        <w:t xml:space="preserve"> by the High Court and Court of Appeal citing procedural error</w:t>
      </w:r>
      <w:r w:rsidR="0050391B">
        <w:rPr>
          <w:sz w:val="20"/>
          <w:szCs w:val="20"/>
        </w:rPr>
        <w:t xml:space="preserve"> by the applicants in filing of their </w:t>
      </w:r>
      <w:r>
        <w:rPr>
          <w:sz w:val="20"/>
          <w:szCs w:val="20"/>
        </w:rPr>
        <w:t>petition</w:t>
      </w:r>
      <w:r w:rsidR="0050391B">
        <w:rPr>
          <w:sz w:val="20"/>
          <w:szCs w:val="20"/>
        </w:rPr>
        <w:t xml:space="preserve"> to the High Court instead of the Federal Court</w:t>
      </w:r>
      <w:r>
        <w:rPr>
          <w:sz w:val="20"/>
          <w:szCs w:val="20"/>
        </w:rPr>
        <w:t xml:space="preserve">. However, in 2019, in the case of </w:t>
      </w:r>
      <w:r>
        <w:rPr>
          <w:i/>
          <w:sz w:val="20"/>
          <w:szCs w:val="20"/>
        </w:rPr>
        <w:t xml:space="preserve">Alma </w:t>
      </w:r>
      <w:proofErr w:type="spellStart"/>
      <w:r>
        <w:rPr>
          <w:i/>
          <w:sz w:val="20"/>
          <w:szCs w:val="20"/>
        </w:rPr>
        <w:t>Nudo</w:t>
      </w:r>
      <w:proofErr w:type="spellEnd"/>
      <w:r>
        <w:rPr>
          <w:i/>
          <w:sz w:val="20"/>
          <w:szCs w:val="20"/>
        </w:rPr>
        <w:t xml:space="preserve"> </w:t>
      </w:r>
      <w:proofErr w:type="spellStart"/>
      <w:r>
        <w:rPr>
          <w:i/>
          <w:sz w:val="20"/>
          <w:szCs w:val="20"/>
        </w:rPr>
        <w:t>Atenza</w:t>
      </w:r>
      <w:proofErr w:type="spellEnd"/>
      <w:r>
        <w:rPr>
          <w:i/>
          <w:sz w:val="20"/>
          <w:szCs w:val="20"/>
        </w:rPr>
        <w:t xml:space="preserve"> vs PP &amp; Another Appeal</w:t>
      </w:r>
      <w:r>
        <w:rPr>
          <w:sz w:val="20"/>
          <w:szCs w:val="20"/>
        </w:rPr>
        <w:t>,</w:t>
      </w:r>
      <w:r>
        <w:rPr>
          <w:sz w:val="20"/>
          <w:szCs w:val="20"/>
          <w:vertAlign w:val="superscript"/>
        </w:rPr>
        <w:footnoteReference w:id="9"/>
      </w:r>
      <w:r>
        <w:rPr>
          <w:sz w:val="20"/>
          <w:szCs w:val="20"/>
        </w:rPr>
        <w:t xml:space="preserve"> the Federal Court opined that the filing procedure was indeed correct. Subsequently, the applicants filed another petition to review the decision based on the </w:t>
      </w:r>
      <w:r>
        <w:rPr>
          <w:i/>
          <w:sz w:val="20"/>
          <w:szCs w:val="20"/>
        </w:rPr>
        <w:t xml:space="preserve">Alma </w:t>
      </w:r>
      <w:proofErr w:type="spellStart"/>
      <w:r>
        <w:rPr>
          <w:i/>
          <w:sz w:val="20"/>
          <w:szCs w:val="20"/>
        </w:rPr>
        <w:t>Nudo</w:t>
      </w:r>
      <w:proofErr w:type="spellEnd"/>
      <w:r>
        <w:rPr>
          <w:sz w:val="20"/>
          <w:szCs w:val="20"/>
        </w:rPr>
        <w:t xml:space="preserve"> decision, albeit unsuccessfully. Nonetheless, the merits of the Court of Appeal decision still stand. </w:t>
      </w:r>
    </w:p>
    <w:p w14:paraId="1DECF238" w14:textId="77777777" w:rsidR="00C8128E" w:rsidRDefault="00C8128E">
      <w:pPr>
        <w:spacing w:line="240" w:lineRule="auto"/>
        <w:rPr>
          <w:sz w:val="20"/>
          <w:szCs w:val="20"/>
        </w:rPr>
      </w:pPr>
    </w:p>
    <w:p w14:paraId="2615014C" w14:textId="5D52BBFB" w:rsidR="00C8128E" w:rsidRDefault="001D1AA3">
      <w:pPr>
        <w:spacing w:line="240" w:lineRule="auto"/>
        <w:rPr>
          <w:i/>
          <w:sz w:val="20"/>
          <w:szCs w:val="20"/>
        </w:rPr>
      </w:pPr>
      <w:r>
        <w:rPr>
          <w:sz w:val="20"/>
          <w:szCs w:val="20"/>
        </w:rPr>
        <w:t xml:space="preserve">2.3 The legal challenge resulted in reduced official arrests and a change </w:t>
      </w:r>
      <w:r w:rsidR="0050391B">
        <w:rPr>
          <w:sz w:val="20"/>
          <w:szCs w:val="20"/>
        </w:rPr>
        <w:t xml:space="preserve">of </w:t>
      </w:r>
      <w:r>
        <w:rPr>
          <w:sz w:val="20"/>
          <w:szCs w:val="20"/>
        </w:rPr>
        <w:t>laws</w:t>
      </w:r>
      <w:r w:rsidR="0050391B">
        <w:rPr>
          <w:sz w:val="20"/>
          <w:szCs w:val="20"/>
        </w:rPr>
        <w:t xml:space="preserve"> used in </w:t>
      </w:r>
      <w:r>
        <w:rPr>
          <w:sz w:val="20"/>
          <w:szCs w:val="20"/>
        </w:rPr>
        <w:t xml:space="preserve">trans women related cases. Nonetheless, surveillance, raids, harassment, and intimidation of </w:t>
      </w:r>
      <w:r w:rsidR="00A27169">
        <w:rPr>
          <w:sz w:val="20"/>
          <w:szCs w:val="20"/>
        </w:rPr>
        <w:t>LBT</w:t>
      </w:r>
      <w:r>
        <w:rPr>
          <w:sz w:val="20"/>
          <w:szCs w:val="20"/>
        </w:rPr>
        <w:t xml:space="preserve"> women continues. Trans women in service and other visible employment sectors are more vulnerable to harassment and arbitrary arrests by state actors.</w:t>
      </w:r>
      <w:r>
        <w:rPr>
          <w:sz w:val="20"/>
          <w:szCs w:val="20"/>
          <w:vertAlign w:val="superscript"/>
        </w:rPr>
        <w:footnoteReference w:id="10"/>
      </w:r>
      <w:r>
        <w:rPr>
          <w:sz w:val="20"/>
          <w:szCs w:val="20"/>
        </w:rPr>
        <w:t xml:space="preserve"> Gendered, broad, and vague laws—e.g., insulting Islam,</w:t>
      </w:r>
      <w:r>
        <w:rPr>
          <w:sz w:val="20"/>
          <w:szCs w:val="20"/>
          <w:vertAlign w:val="superscript"/>
        </w:rPr>
        <w:footnoteReference w:id="11"/>
      </w:r>
      <w:r>
        <w:rPr>
          <w:sz w:val="20"/>
          <w:szCs w:val="20"/>
        </w:rPr>
        <w:t xml:space="preserve"> encouraging vice,</w:t>
      </w:r>
      <w:r>
        <w:rPr>
          <w:sz w:val="20"/>
          <w:szCs w:val="20"/>
          <w:vertAlign w:val="superscript"/>
        </w:rPr>
        <w:footnoteReference w:id="12"/>
      </w:r>
      <w:r>
        <w:rPr>
          <w:sz w:val="20"/>
          <w:szCs w:val="20"/>
        </w:rPr>
        <w:t xml:space="preserve"> and failure to perform Friday prayers,</w:t>
      </w:r>
      <w:r>
        <w:rPr>
          <w:sz w:val="20"/>
          <w:szCs w:val="20"/>
          <w:vertAlign w:val="superscript"/>
        </w:rPr>
        <w:footnoteReference w:id="13"/>
      </w:r>
      <w:r>
        <w:rPr>
          <w:sz w:val="20"/>
          <w:szCs w:val="20"/>
        </w:rPr>
        <w:t xml:space="preserve"> under the state </w:t>
      </w:r>
      <w:r>
        <w:rPr>
          <w:i/>
          <w:sz w:val="20"/>
          <w:szCs w:val="20"/>
        </w:rPr>
        <w:t>syariah</w:t>
      </w:r>
      <w:r>
        <w:rPr>
          <w:sz w:val="20"/>
          <w:szCs w:val="20"/>
        </w:rPr>
        <w:t xml:space="preserve"> criminal laws—have been used </w:t>
      </w:r>
      <w:r w:rsidR="00A27169">
        <w:rPr>
          <w:sz w:val="20"/>
          <w:szCs w:val="20"/>
        </w:rPr>
        <w:t xml:space="preserve">instead </w:t>
      </w:r>
      <w:r>
        <w:rPr>
          <w:sz w:val="20"/>
          <w:szCs w:val="20"/>
        </w:rPr>
        <w:t xml:space="preserve">against trans women to reinforce gender binary constructs. </w:t>
      </w:r>
    </w:p>
    <w:p w14:paraId="0EDF87DF" w14:textId="77777777" w:rsidR="00C8128E" w:rsidRDefault="00C8128E">
      <w:pPr>
        <w:spacing w:line="240" w:lineRule="auto"/>
        <w:rPr>
          <w:i/>
          <w:sz w:val="20"/>
          <w:szCs w:val="20"/>
        </w:rPr>
      </w:pPr>
    </w:p>
    <w:p w14:paraId="306C1F86" w14:textId="292D8498" w:rsidR="00C8128E" w:rsidRDefault="00BB4ADC">
      <w:pPr>
        <w:spacing w:line="240" w:lineRule="auto"/>
        <w:rPr>
          <w:sz w:val="20"/>
          <w:szCs w:val="20"/>
        </w:rPr>
      </w:pPr>
      <w:r>
        <w:rPr>
          <w:sz w:val="20"/>
          <w:szCs w:val="20"/>
        </w:rPr>
        <w:t>2.4. Despite the</w:t>
      </w:r>
      <w:r w:rsidR="00A27169">
        <w:rPr>
          <w:sz w:val="20"/>
          <w:szCs w:val="20"/>
        </w:rPr>
        <w:t xml:space="preserve"> </w:t>
      </w:r>
      <w:r>
        <w:rPr>
          <w:sz w:val="20"/>
          <w:szCs w:val="20"/>
        </w:rPr>
        <w:t xml:space="preserve">favourable legal developments, court decisions have yet to be integrated into LGBT and/or </w:t>
      </w:r>
      <w:r>
        <w:rPr>
          <w:i/>
          <w:sz w:val="20"/>
          <w:szCs w:val="20"/>
        </w:rPr>
        <w:t xml:space="preserve">syariah </w:t>
      </w:r>
      <w:r>
        <w:rPr>
          <w:sz w:val="20"/>
          <w:szCs w:val="20"/>
        </w:rPr>
        <w:t xml:space="preserve">legal reforms. </w:t>
      </w:r>
      <w:r w:rsidR="00A27169">
        <w:rPr>
          <w:sz w:val="20"/>
          <w:szCs w:val="20"/>
        </w:rPr>
        <w:t>Instead</w:t>
      </w:r>
      <w:r>
        <w:rPr>
          <w:sz w:val="20"/>
          <w:szCs w:val="20"/>
        </w:rPr>
        <w:t>, state governments have introduce</w:t>
      </w:r>
      <w:r w:rsidR="00A27169">
        <w:rPr>
          <w:sz w:val="20"/>
          <w:szCs w:val="20"/>
        </w:rPr>
        <w:t>d</w:t>
      </w:r>
      <w:r>
        <w:rPr>
          <w:sz w:val="20"/>
          <w:szCs w:val="20"/>
        </w:rPr>
        <w:t xml:space="preserve"> new anti-LGBT state </w:t>
      </w:r>
      <w:r>
        <w:rPr>
          <w:i/>
          <w:sz w:val="20"/>
          <w:szCs w:val="20"/>
        </w:rPr>
        <w:t>syariah</w:t>
      </w:r>
      <w:r>
        <w:rPr>
          <w:sz w:val="20"/>
          <w:szCs w:val="20"/>
        </w:rPr>
        <w:t xml:space="preserve"> laws or harsher amendments to existing anti-LGBT laws. Following the Federal Court decision on Section </w:t>
      </w:r>
      <w:r>
        <w:rPr>
          <w:sz w:val="20"/>
          <w:szCs w:val="20"/>
        </w:rPr>
        <w:lastRenderedPageBreak/>
        <w:t xml:space="preserve">66, the Negeri Sembilan state assembly amended Section 66 by adding ‘immoral </w:t>
      </w:r>
      <w:r w:rsidR="001D1AA3">
        <w:rPr>
          <w:sz w:val="20"/>
          <w:szCs w:val="20"/>
        </w:rPr>
        <w:t xml:space="preserve">purposes’ </w:t>
      </w:r>
      <w:r w:rsidR="00A27169">
        <w:rPr>
          <w:sz w:val="20"/>
          <w:szCs w:val="20"/>
        </w:rPr>
        <w:t xml:space="preserve">to wears a woman's attire </w:t>
      </w:r>
      <w:r w:rsidR="001D1AA3">
        <w:rPr>
          <w:sz w:val="20"/>
          <w:szCs w:val="20"/>
        </w:rPr>
        <w:t>and</w:t>
      </w:r>
      <w:r>
        <w:rPr>
          <w:sz w:val="20"/>
          <w:szCs w:val="20"/>
        </w:rPr>
        <w:t xml:space="preserve"> increased its punishment. It also introduced Section 66A, which criminalizes a female person posing as a man. </w:t>
      </w:r>
      <w:r>
        <w:rPr>
          <w:sz w:val="20"/>
          <w:szCs w:val="20"/>
        </w:rPr>
        <w:br/>
      </w:r>
      <w:r>
        <w:rPr>
          <w:sz w:val="20"/>
          <w:szCs w:val="20"/>
        </w:rPr>
        <w:br/>
        <w:t xml:space="preserve">Kelantan’s new </w:t>
      </w:r>
      <w:r>
        <w:rPr>
          <w:i/>
          <w:sz w:val="20"/>
          <w:szCs w:val="20"/>
        </w:rPr>
        <w:t xml:space="preserve">syariah </w:t>
      </w:r>
      <w:r>
        <w:rPr>
          <w:sz w:val="20"/>
          <w:szCs w:val="20"/>
        </w:rPr>
        <w:t xml:space="preserve">criminal offences enactment, which </w:t>
      </w:r>
      <w:r w:rsidR="00A27169">
        <w:rPr>
          <w:sz w:val="20"/>
          <w:szCs w:val="20"/>
        </w:rPr>
        <w:t>took effect</w:t>
      </w:r>
      <w:r>
        <w:rPr>
          <w:sz w:val="20"/>
          <w:szCs w:val="20"/>
        </w:rPr>
        <w:t xml:space="preserve"> following the</w:t>
      </w:r>
      <w:r w:rsidR="00A27169">
        <w:rPr>
          <w:sz w:val="20"/>
          <w:szCs w:val="20"/>
        </w:rPr>
        <w:t xml:space="preserve"> Section 28</w:t>
      </w:r>
      <w:r>
        <w:rPr>
          <w:sz w:val="20"/>
          <w:szCs w:val="20"/>
        </w:rPr>
        <w:t xml:space="preserve"> Federal Court decision, introduced ‘attempt to </w:t>
      </w:r>
      <w:proofErr w:type="spellStart"/>
      <w:r>
        <w:rPr>
          <w:i/>
          <w:sz w:val="20"/>
          <w:szCs w:val="20"/>
        </w:rPr>
        <w:t>liwat</w:t>
      </w:r>
      <w:proofErr w:type="spellEnd"/>
      <w:r>
        <w:rPr>
          <w:sz w:val="20"/>
          <w:szCs w:val="20"/>
        </w:rPr>
        <w:t xml:space="preserve"> and </w:t>
      </w:r>
      <w:proofErr w:type="spellStart"/>
      <w:r>
        <w:rPr>
          <w:i/>
          <w:sz w:val="20"/>
          <w:szCs w:val="20"/>
        </w:rPr>
        <w:t>musahaqah</w:t>
      </w:r>
      <w:proofErr w:type="spellEnd"/>
      <w:r>
        <w:rPr>
          <w:sz w:val="20"/>
          <w:szCs w:val="20"/>
        </w:rPr>
        <w:t xml:space="preserve">’ and a female person posing as a man. Terengganu introduced similar provisions in 2022. Kelantan also amended the ‘male person posing as a woman section’ to penalize wearing female attire in private and public spheres.  </w:t>
      </w:r>
    </w:p>
    <w:p w14:paraId="3F022348" w14:textId="77777777" w:rsidR="00C8128E" w:rsidRDefault="00C8128E">
      <w:pPr>
        <w:spacing w:line="240" w:lineRule="auto"/>
        <w:rPr>
          <w:i/>
          <w:sz w:val="20"/>
          <w:szCs w:val="20"/>
        </w:rPr>
      </w:pPr>
    </w:p>
    <w:p w14:paraId="5010658F" w14:textId="77777777" w:rsidR="00C8128E" w:rsidRDefault="00BB4ADC">
      <w:pPr>
        <w:spacing w:line="240" w:lineRule="auto"/>
        <w:rPr>
          <w:i/>
          <w:sz w:val="20"/>
          <w:szCs w:val="20"/>
        </w:rPr>
      </w:pPr>
      <w:r>
        <w:rPr>
          <w:i/>
          <w:sz w:val="20"/>
          <w:szCs w:val="20"/>
        </w:rPr>
        <w:t xml:space="preserve">Criminalisation of LBT women </w:t>
      </w:r>
    </w:p>
    <w:p w14:paraId="20150813" w14:textId="77777777" w:rsidR="00C8128E" w:rsidRDefault="00C8128E">
      <w:pPr>
        <w:spacing w:line="240" w:lineRule="auto"/>
        <w:rPr>
          <w:i/>
          <w:sz w:val="20"/>
          <w:szCs w:val="20"/>
        </w:rPr>
      </w:pPr>
    </w:p>
    <w:p w14:paraId="61E394AC" w14:textId="4D051D7E" w:rsidR="00C8128E" w:rsidRDefault="00BB4ADC">
      <w:pPr>
        <w:spacing w:line="240" w:lineRule="auto"/>
        <w:rPr>
          <w:sz w:val="20"/>
          <w:szCs w:val="20"/>
        </w:rPr>
      </w:pPr>
      <w:r>
        <w:rPr>
          <w:sz w:val="20"/>
          <w:szCs w:val="20"/>
        </w:rPr>
        <w:t>2.4 LBT women face increasing criminalisation. Between 2019 and 2022, 8 new anti-LGBT state Syariah laws were introduced in three states,</w:t>
      </w:r>
      <w:r>
        <w:rPr>
          <w:sz w:val="20"/>
          <w:szCs w:val="20"/>
          <w:vertAlign w:val="superscript"/>
        </w:rPr>
        <w:footnoteReference w:id="14"/>
      </w:r>
      <w:r>
        <w:rPr>
          <w:sz w:val="20"/>
          <w:szCs w:val="20"/>
        </w:rPr>
        <w:t xml:space="preserve"> </w:t>
      </w:r>
      <w:r w:rsidR="00C83524">
        <w:rPr>
          <w:sz w:val="20"/>
          <w:szCs w:val="20"/>
        </w:rPr>
        <w:t xml:space="preserve">bringing it to a total of </w:t>
      </w:r>
      <w:r>
        <w:rPr>
          <w:sz w:val="20"/>
          <w:szCs w:val="20"/>
        </w:rPr>
        <w:t>55</w:t>
      </w:r>
      <w:r w:rsidR="00C83524">
        <w:rPr>
          <w:sz w:val="20"/>
          <w:szCs w:val="20"/>
        </w:rPr>
        <w:t xml:space="preserve"> anti-LGBT state syariah laws</w:t>
      </w:r>
      <w:r>
        <w:rPr>
          <w:sz w:val="20"/>
          <w:szCs w:val="20"/>
        </w:rPr>
        <w:t xml:space="preserve">. The new laws include a female person posing as a man (3), attempt to </w:t>
      </w:r>
      <w:proofErr w:type="spellStart"/>
      <w:r>
        <w:rPr>
          <w:i/>
          <w:sz w:val="20"/>
          <w:szCs w:val="20"/>
        </w:rPr>
        <w:t>musahaqah</w:t>
      </w:r>
      <w:proofErr w:type="spellEnd"/>
      <w:r>
        <w:rPr>
          <w:sz w:val="20"/>
          <w:szCs w:val="20"/>
        </w:rPr>
        <w:t xml:space="preserve"> or sexual relations between women (2), attempt to</w:t>
      </w:r>
      <w:r>
        <w:rPr>
          <w:i/>
          <w:sz w:val="20"/>
          <w:szCs w:val="20"/>
        </w:rPr>
        <w:t xml:space="preserve"> </w:t>
      </w:r>
      <w:proofErr w:type="spellStart"/>
      <w:r>
        <w:rPr>
          <w:i/>
          <w:sz w:val="20"/>
          <w:szCs w:val="20"/>
        </w:rPr>
        <w:t>liwat</w:t>
      </w:r>
      <w:proofErr w:type="spellEnd"/>
      <w:r>
        <w:rPr>
          <w:sz w:val="20"/>
          <w:szCs w:val="20"/>
        </w:rPr>
        <w:t xml:space="preserve"> or anal sex or sexual relations between men (2), and changing gender (1). </w:t>
      </w:r>
    </w:p>
    <w:p w14:paraId="72CB672B" w14:textId="77777777" w:rsidR="00C8128E" w:rsidRDefault="00C8128E">
      <w:pPr>
        <w:spacing w:line="240" w:lineRule="auto"/>
        <w:rPr>
          <w:sz w:val="20"/>
          <w:szCs w:val="20"/>
        </w:rPr>
      </w:pPr>
    </w:p>
    <w:p w14:paraId="0041D0EA" w14:textId="77777777" w:rsidR="00C8128E" w:rsidRDefault="00BB4ADC">
      <w:pPr>
        <w:spacing w:line="240" w:lineRule="auto"/>
        <w:rPr>
          <w:sz w:val="20"/>
          <w:szCs w:val="20"/>
        </w:rPr>
      </w:pPr>
      <w:r>
        <w:rPr>
          <w:sz w:val="20"/>
          <w:szCs w:val="20"/>
        </w:rPr>
        <w:t xml:space="preserve">2.5 The following laws, </w:t>
      </w:r>
      <w:r>
        <w:rPr>
          <w:i/>
          <w:sz w:val="20"/>
          <w:szCs w:val="20"/>
        </w:rPr>
        <w:t>fatwa</w:t>
      </w:r>
      <w:r>
        <w:rPr>
          <w:sz w:val="20"/>
          <w:szCs w:val="20"/>
        </w:rPr>
        <w:t xml:space="preserve"> and regulations penalise LGBT people: </w:t>
      </w:r>
    </w:p>
    <w:p w14:paraId="77F850E2" w14:textId="1581C3E4" w:rsidR="00C8128E" w:rsidRDefault="00BB4ADC">
      <w:pPr>
        <w:numPr>
          <w:ilvl w:val="0"/>
          <w:numId w:val="1"/>
        </w:numPr>
        <w:spacing w:line="240" w:lineRule="auto"/>
        <w:rPr>
          <w:sz w:val="20"/>
          <w:szCs w:val="20"/>
        </w:rPr>
      </w:pPr>
      <w:r>
        <w:rPr>
          <w:sz w:val="20"/>
          <w:szCs w:val="20"/>
        </w:rPr>
        <w:t>Sections 377 A &amp; B of the Penal Code that criminalise carnal intercourse between consenting adults of any gender carry mandatory whipping and a maximum 20 years of imprisonment.</w:t>
      </w:r>
      <w:r>
        <w:rPr>
          <w:sz w:val="20"/>
          <w:szCs w:val="20"/>
          <w:vertAlign w:val="superscript"/>
        </w:rPr>
        <w:footnoteReference w:id="15"/>
      </w:r>
      <w:r>
        <w:rPr>
          <w:sz w:val="20"/>
          <w:szCs w:val="20"/>
        </w:rPr>
        <w:t xml:space="preserve"> State actors use Section 377 to </w:t>
      </w:r>
      <w:r w:rsidR="00A27169">
        <w:rPr>
          <w:sz w:val="20"/>
          <w:szCs w:val="20"/>
        </w:rPr>
        <w:t>reinforce</w:t>
      </w:r>
      <w:r>
        <w:rPr>
          <w:sz w:val="20"/>
          <w:szCs w:val="20"/>
        </w:rPr>
        <w:t xml:space="preserve"> the notion that LGBT people are inconsistent with religion, </w:t>
      </w:r>
      <w:r w:rsidR="00A27169">
        <w:rPr>
          <w:sz w:val="20"/>
          <w:szCs w:val="20"/>
        </w:rPr>
        <w:t>law,</w:t>
      </w:r>
      <w:r>
        <w:rPr>
          <w:sz w:val="20"/>
          <w:szCs w:val="20"/>
        </w:rPr>
        <w:t xml:space="preserve"> and culture,</w:t>
      </w:r>
      <w:r>
        <w:rPr>
          <w:sz w:val="20"/>
          <w:szCs w:val="20"/>
          <w:vertAlign w:val="superscript"/>
        </w:rPr>
        <w:footnoteReference w:id="16"/>
      </w:r>
      <w:r>
        <w:rPr>
          <w:sz w:val="20"/>
          <w:szCs w:val="20"/>
        </w:rPr>
        <w:t xml:space="preserve"> despite it being a British colonial legacy. Section 377D, which penalizes gross indecency, has been used in cases of political extortions based on actual or perceived sexual orientation.</w:t>
      </w:r>
      <w:r>
        <w:rPr>
          <w:sz w:val="20"/>
          <w:szCs w:val="20"/>
          <w:vertAlign w:val="superscript"/>
        </w:rPr>
        <w:footnoteReference w:id="17"/>
      </w:r>
      <w:r>
        <w:rPr>
          <w:sz w:val="20"/>
          <w:szCs w:val="20"/>
        </w:rPr>
        <w:t xml:space="preserve"> </w:t>
      </w:r>
      <w:r>
        <w:rPr>
          <w:sz w:val="20"/>
          <w:szCs w:val="20"/>
        </w:rPr>
        <w:br/>
        <w:t xml:space="preserve"> </w:t>
      </w:r>
    </w:p>
    <w:p w14:paraId="0C43F0EE" w14:textId="77777777" w:rsidR="00C8128E" w:rsidRDefault="00BB4ADC">
      <w:pPr>
        <w:numPr>
          <w:ilvl w:val="0"/>
          <w:numId w:val="1"/>
        </w:numPr>
        <w:spacing w:line="240" w:lineRule="auto"/>
        <w:rPr>
          <w:sz w:val="20"/>
          <w:szCs w:val="20"/>
        </w:rPr>
      </w:pPr>
      <w:r>
        <w:rPr>
          <w:sz w:val="20"/>
          <w:szCs w:val="20"/>
        </w:rPr>
        <w:t xml:space="preserve">State Syariah laws criminalise </w:t>
      </w:r>
      <w:proofErr w:type="spellStart"/>
      <w:r>
        <w:rPr>
          <w:i/>
          <w:sz w:val="20"/>
          <w:szCs w:val="20"/>
        </w:rPr>
        <w:t>musahaqah</w:t>
      </w:r>
      <w:proofErr w:type="spellEnd"/>
      <w:r>
        <w:rPr>
          <w:sz w:val="20"/>
          <w:szCs w:val="20"/>
        </w:rPr>
        <w:t xml:space="preserve"> (13 states), attempt of </w:t>
      </w:r>
      <w:proofErr w:type="spellStart"/>
      <w:r>
        <w:rPr>
          <w:i/>
          <w:sz w:val="20"/>
          <w:szCs w:val="20"/>
        </w:rPr>
        <w:t>musahaqah</w:t>
      </w:r>
      <w:proofErr w:type="spellEnd"/>
      <w:r>
        <w:rPr>
          <w:sz w:val="20"/>
          <w:szCs w:val="20"/>
        </w:rPr>
        <w:t xml:space="preserve"> (2), </w:t>
      </w:r>
      <w:proofErr w:type="spellStart"/>
      <w:r>
        <w:rPr>
          <w:i/>
          <w:sz w:val="20"/>
          <w:szCs w:val="20"/>
        </w:rPr>
        <w:t>liwat</w:t>
      </w:r>
      <w:proofErr w:type="spellEnd"/>
      <w:r>
        <w:rPr>
          <w:sz w:val="20"/>
          <w:szCs w:val="20"/>
        </w:rPr>
        <w:t xml:space="preserve"> (11), attempt to </w:t>
      </w:r>
      <w:proofErr w:type="spellStart"/>
      <w:r>
        <w:rPr>
          <w:i/>
          <w:sz w:val="20"/>
          <w:szCs w:val="20"/>
        </w:rPr>
        <w:t>liwat</w:t>
      </w:r>
      <w:proofErr w:type="spellEnd"/>
      <w:r>
        <w:rPr>
          <w:sz w:val="20"/>
          <w:szCs w:val="20"/>
        </w:rPr>
        <w:t xml:space="preserve"> (3), male person posing as a woman (14), female person posing as a man (6), sex against the order of nature (4), sexual relations between persons of the same gender (1), and changing gender (1).   </w:t>
      </w:r>
    </w:p>
    <w:p w14:paraId="257EA1DF" w14:textId="77777777" w:rsidR="00C8128E" w:rsidRDefault="00C8128E">
      <w:pPr>
        <w:spacing w:line="240" w:lineRule="auto"/>
        <w:ind w:left="720"/>
        <w:rPr>
          <w:sz w:val="20"/>
          <w:szCs w:val="20"/>
        </w:rPr>
      </w:pPr>
    </w:p>
    <w:p w14:paraId="06149F76" w14:textId="37111851" w:rsidR="00C8128E" w:rsidRDefault="00BB4ADC">
      <w:pPr>
        <w:numPr>
          <w:ilvl w:val="0"/>
          <w:numId w:val="1"/>
        </w:numPr>
        <w:spacing w:line="240" w:lineRule="auto"/>
        <w:rPr>
          <w:sz w:val="20"/>
          <w:szCs w:val="20"/>
        </w:rPr>
      </w:pPr>
      <w:r>
        <w:rPr>
          <w:sz w:val="20"/>
          <w:szCs w:val="20"/>
        </w:rPr>
        <w:t xml:space="preserve">At least 10 </w:t>
      </w:r>
      <w:r>
        <w:rPr>
          <w:i/>
          <w:sz w:val="20"/>
          <w:szCs w:val="20"/>
        </w:rPr>
        <w:t>fatwas</w:t>
      </w:r>
      <w:r>
        <w:rPr>
          <w:sz w:val="20"/>
          <w:szCs w:val="20"/>
        </w:rPr>
        <w:t xml:space="preserve"> declare trans people as </w:t>
      </w:r>
      <w:r>
        <w:rPr>
          <w:i/>
          <w:sz w:val="20"/>
          <w:szCs w:val="20"/>
        </w:rPr>
        <w:t>haram</w:t>
      </w:r>
      <w:r>
        <w:rPr>
          <w:sz w:val="20"/>
          <w:szCs w:val="20"/>
        </w:rPr>
        <w:t xml:space="preserve"> (illegal), impacting legal gender recognition and availability of trans-specific healthcare for all persons regardless of religion. Other LGBT-related fatwas restrict freedom of </w:t>
      </w:r>
      <w:r w:rsidR="001D1AA3">
        <w:rPr>
          <w:sz w:val="20"/>
          <w:szCs w:val="20"/>
        </w:rPr>
        <w:t>assembly and</w:t>
      </w:r>
      <w:r>
        <w:rPr>
          <w:sz w:val="20"/>
          <w:szCs w:val="20"/>
        </w:rPr>
        <w:t xml:space="preserve"> criminalise support for LGBT people. </w:t>
      </w:r>
      <w:r>
        <w:rPr>
          <w:sz w:val="20"/>
          <w:szCs w:val="20"/>
        </w:rPr>
        <w:br/>
      </w:r>
    </w:p>
    <w:p w14:paraId="6036353A" w14:textId="5A1945A6" w:rsidR="00C8128E" w:rsidRDefault="0071763F">
      <w:pPr>
        <w:numPr>
          <w:ilvl w:val="0"/>
          <w:numId w:val="1"/>
        </w:numPr>
        <w:spacing w:line="240" w:lineRule="auto"/>
        <w:rPr>
          <w:sz w:val="20"/>
          <w:szCs w:val="20"/>
        </w:rPr>
      </w:pPr>
      <w:r>
        <w:rPr>
          <w:sz w:val="20"/>
          <w:szCs w:val="20"/>
        </w:rPr>
        <w:t>In 2021, Perlis introduced a</w:t>
      </w:r>
      <w:r w:rsidR="00BB4ADC">
        <w:rPr>
          <w:sz w:val="20"/>
          <w:szCs w:val="20"/>
        </w:rPr>
        <w:t xml:space="preserve"> g</w:t>
      </w:r>
      <w:r w:rsidR="00BB4ADC">
        <w:rPr>
          <w:sz w:val="20"/>
          <w:szCs w:val="20"/>
          <w:highlight w:val="white"/>
        </w:rPr>
        <w:t xml:space="preserve">uide on interaction with </w:t>
      </w:r>
      <w:proofErr w:type="spellStart"/>
      <w:r w:rsidR="00BB4ADC">
        <w:rPr>
          <w:i/>
          <w:sz w:val="20"/>
          <w:szCs w:val="20"/>
          <w:highlight w:val="white"/>
        </w:rPr>
        <w:t>Mukhannath</w:t>
      </w:r>
      <w:proofErr w:type="spellEnd"/>
      <w:r w:rsidR="00BB4ADC">
        <w:rPr>
          <w:sz w:val="20"/>
          <w:szCs w:val="20"/>
        </w:rPr>
        <w:t xml:space="preserve">, a classical </w:t>
      </w:r>
      <w:r>
        <w:rPr>
          <w:sz w:val="20"/>
          <w:szCs w:val="20"/>
        </w:rPr>
        <w:t xml:space="preserve">Arabic </w:t>
      </w:r>
      <w:r w:rsidR="00BB4ADC">
        <w:rPr>
          <w:sz w:val="20"/>
          <w:szCs w:val="20"/>
        </w:rPr>
        <w:t>umbrella term for trans and gender-diverse people</w:t>
      </w:r>
      <w:r w:rsidR="00BB4ADC">
        <w:rPr>
          <w:sz w:val="20"/>
          <w:szCs w:val="20"/>
          <w:highlight w:val="white"/>
        </w:rPr>
        <w:t xml:space="preserve">. It has no legal effect, but it prohibits, among others, entry into mosques in the state of ‘gender confusion’ and performing </w:t>
      </w:r>
      <w:r w:rsidR="00BB4ADC">
        <w:rPr>
          <w:i/>
          <w:sz w:val="20"/>
          <w:szCs w:val="20"/>
          <w:highlight w:val="white"/>
        </w:rPr>
        <w:t>hajj</w:t>
      </w:r>
      <w:r w:rsidR="00BB4ADC">
        <w:rPr>
          <w:sz w:val="20"/>
          <w:szCs w:val="20"/>
          <w:highlight w:val="white"/>
        </w:rPr>
        <w:t xml:space="preserve"> and </w:t>
      </w:r>
      <w:r w:rsidR="00BB4ADC">
        <w:rPr>
          <w:i/>
          <w:sz w:val="20"/>
          <w:szCs w:val="20"/>
          <w:highlight w:val="white"/>
        </w:rPr>
        <w:t xml:space="preserve">umrah </w:t>
      </w:r>
      <w:r w:rsidR="00BB4ADC">
        <w:rPr>
          <w:sz w:val="20"/>
          <w:szCs w:val="20"/>
          <w:highlight w:val="white"/>
        </w:rPr>
        <w:t xml:space="preserve">(pilgrimage). </w:t>
      </w:r>
      <w:r>
        <w:rPr>
          <w:sz w:val="20"/>
          <w:szCs w:val="20"/>
          <w:highlight w:val="white"/>
        </w:rPr>
        <w:t>It</w:t>
      </w:r>
      <w:r w:rsidR="00BB4ADC">
        <w:rPr>
          <w:sz w:val="20"/>
          <w:szCs w:val="20"/>
          <w:highlight w:val="white"/>
        </w:rPr>
        <w:t xml:space="preserve"> was welcomed by the Penang Mufti and the Deputy Minister of Religious Affairs.</w:t>
      </w:r>
      <w:r w:rsidR="00BB4ADC">
        <w:rPr>
          <w:sz w:val="20"/>
          <w:szCs w:val="20"/>
          <w:highlight w:val="white"/>
          <w:vertAlign w:val="superscript"/>
        </w:rPr>
        <w:footnoteReference w:id="18"/>
      </w:r>
      <w:r w:rsidR="00BB4ADC">
        <w:rPr>
          <w:sz w:val="20"/>
          <w:szCs w:val="20"/>
          <w:highlight w:val="white"/>
        </w:rPr>
        <w:br/>
      </w:r>
    </w:p>
    <w:p w14:paraId="1AA4D73A" w14:textId="77777777" w:rsidR="00C8128E" w:rsidRDefault="00BB4ADC">
      <w:pPr>
        <w:numPr>
          <w:ilvl w:val="0"/>
          <w:numId w:val="1"/>
        </w:numPr>
        <w:spacing w:line="240" w:lineRule="auto"/>
        <w:rPr>
          <w:sz w:val="20"/>
          <w:szCs w:val="20"/>
        </w:rPr>
      </w:pPr>
      <w:r>
        <w:rPr>
          <w:sz w:val="20"/>
          <w:szCs w:val="20"/>
          <w:highlight w:val="white"/>
        </w:rPr>
        <w:t>Film censorship guidelines prohibit the depiction of LGBT people.</w:t>
      </w:r>
      <w:r>
        <w:rPr>
          <w:sz w:val="20"/>
          <w:szCs w:val="20"/>
          <w:highlight w:val="white"/>
          <w:vertAlign w:val="superscript"/>
        </w:rPr>
        <w:footnoteReference w:id="19"/>
      </w:r>
      <w:r>
        <w:rPr>
          <w:sz w:val="20"/>
          <w:szCs w:val="20"/>
          <w:highlight w:val="white"/>
        </w:rPr>
        <w:t xml:space="preserve"> </w:t>
      </w:r>
    </w:p>
    <w:p w14:paraId="40E187CA" w14:textId="77777777" w:rsidR="00C8128E" w:rsidRDefault="00C8128E">
      <w:pPr>
        <w:spacing w:line="240" w:lineRule="auto"/>
        <w:rPr>
          <w:sz w:val="20"/>
          <w:szCs w:val="20"/>
        </w:rPr>
      </w:pPr>
    </w:p>
    <w:p w14:paraId="2723214F" w14:textId="77777777" w:rsidR="00C8128E" w:rsidRDefault="00BB4ADC">
      <w:pPr>
        <w:spacing w:line="240" w:lineRule="auto"/>
        <w:rPr>
          <w:sz w:val="20"/>
          <w:szCs w:val="20"/>
        </w:rPr>
      </w:pPr>
      <w:r>
        <w:rPr>
          <w:sz w:val="20"/>
          <w:szCs w:val="20"/>
        </w:rPr>
        <w:t xml:space="preserve">2.6 Between January and February 2022 alone, 5 </w:t>
      </w:r>
      <w:proofErr w:type="spellStart"/>
      <w:r>
        <w:rPr>
          <w:i/>
          <w:sz w:val="20"/>
          <w:szCs w:val="20"/>
        </w:rPr>
        <w:t>musahaqah</w:t>
      </w:r>
      <w:proofErr w:type="spellEnd"/>
      <w:r>
        <w:rPr>
          <w:sz w:val="20"/>
          <w:szCs w:val="20"/>
        </w:rPr>
        <w:t xml:space="preserve"> cases and an arrest of a trans person were reported in Kelantan. In 2018 and 2019, at least six people were subjected to caning for attempting to </w:t>
      </w:r>
      <w:proofErr w:type="spellStart"/>
      <w:r>
        <w:rPr>
          <w:i/>
          <w:sz w:val="20"/>
          <w:szCs w:val="20"/>
        </w:rPr>
        <w:lastRenderedPageBreak/>
        <w:t>musahaqah</w:t>
      </w:r>
      <w:proofErr w:type="spellEnd"/>
      <w:r>
        <w:rPr>
          <w:sz w:val="20"/>
          <w:szCs w:val="20"/>
        </w:rPr>
        <w:t xml:space="preserve"> in Terengganu</w:t>
      </w:r>
      <w:r>
        <w:rPr>
          <w:sz w:val="20"/>
          <w:szCs w:val="20"/>
          <w:vertAlign w:val="superscript"/>
        </w:rPr>
        <w:footnoteReference w:id="20"/>
      </w:r>
      <w:r>
        <w:rPr>
          <w:sz w:val="20"/>
          <w:szCs w:val="20"/>
        </w:rPr>
        <w:t xml:space="preserve"> and sex against the order of nature in Selangor;</w:t>
      </w:r>
      <w:r>
        <w:rPr>
          <w:sz w:val="20"/>
          <w:szCs w:val="20"/>
          <w:vertAlign w:val="superscript"/>
        </w:rPr>
        <w:footnoteReference w:id="21"/>
      </w:r>
      <w:r>
        <w:rPr>
          <w:sz w:val="20"/>
          <w:szCs w:val="20"/>
        </w:rPr>
        <w:t xml:space="preserve"> two of them were LBQ women. Statistics of arrests and prosecution are not accessible and readily available. </w:t>
      </w:r>
    </w:p>
    <w:p w14:paraId="09C18DC6" w14:textId="77777777" w:rsidR="00C8128E" w:rsidRDefault="00C8128E">
      <w:pPr>
        <w:spacing w:line="240" w:lineRule="auto"/>
        <w:rPr>
          <w:sz w:val="20"/>
          <w:szCs w:val="20"/>
        </w:rPr>
      </w:pPr>
    </w:p>
    <w:p w14:paraId="61688FA3" w14:textId="46C9B137" w:rsidR="00C8128E" w:rsidRDefault="00BB4ADC">
      <w:pPr>
        <w:spacing w:line="240" w:lineRule="auto"/>
        <w:rPr>
          <w:i/>
          <w:sz w:val="20"/>
          <w:szCs w:val="20"/>
        </w:rPr>
      </w:pPr>
      <w:r>
        <w:rPr>
          <w:i/>
          <w:sz w:val="20"/>
          <w:szCs w:val="20"/>
        </w:rPr>
        <w:t>Legal gender recognition</w:t>
      </w:r>
      <w:r w:rsidR="00461734">
        <w:rPr>
          <w:i/>
          <w:sz w:val="20"/>
          <w:szCs w:val="20"/>
        </w:rPr>
        <w:t xml:space="preserve"> (LGR)</w:t>
      </w:r>
    </w:p>
    <w:p w14:paraId="035B4E97" w14:textId="77777777" w:rsidR="00C8128E" w:rsidRDefault="00BB4ADC">
      <w:pPr>
        <w:spacing w:line="240" w:lineRule="auto"/>
        <w:rPr>
          <w:sz w:val="20"/>
          <w:szCs w:val="20"/>
        </w:rPr>
      </w:pPr>
      <w:r>
        <w:rPr>
          <w:i/>
          <w:sz w:val="20"/>
          <w:szCs w:val="20"/>
        </w:rPr>
        <w:t xml:space="preserve"> </w:t>
      </w:r>
    </w:p>
    <w:p w14:paraId="60E29952" w14:textId="76CDC7C6" w:rsidR="00C8128E" w:rsidRDefault="00BB4ADC">
      <w:pPr>
        <w:spacing w:line="240" w:lineRule="auto"/>
        <w:rPr>
          <w:sz w:val="20"/>
          <w:szCs w:val="20"/>
        </w:rPr>
      </w:pPr>
      <w:r>
        <w:rPr>
          <w:sz w:val="20"/>
          <w:szCs w:val="20"/>
        </w:rPr>
        <w:t>2.7 Trans, intersex, and gender-diverse people lack legal gender recognition</w:t>
      </w:r>
      <w:r w:rsidR="00461734">
        <w:rPr>
          <w:sz w:val="20"/>
          <w:szCs w:val="20"/>
        </w:rPr>
        <w:t xml:space="preserve"> (LGR)</w:t>
      </w:r>
      <w:r>
        <w:rPr>
          <w:sz w:val="20"/>
          <w:szCs w:val="20"/>
        </w:rPr>
        <w:t xml:space="preserve"> based on self-determination. </w:t>
      </w:r>
      <w:r w:rsidR="00461734">
        <w:rPr>
          <w:sz w:val="20"/>
          <w:szCs w:val="20"/>
        </w:rPr>
        <w:t>LGR</w:t>
      </w:r>
      <w:r>
        <w:rPr>
          <w:sz w:val="20"/>
          <w:szCs w:val="20"/>
        </w:rPr>
        <w:t xml:space="preserve"> based on medical intervention has been rolled back. In 2017, the National Registration Department won an appeal of a progressive High Court decision allowing a trans man to change gendered details in his identification cards (IC).</w:t>
      </w:r>
      <w:r>
        <w:rPr>
          <w:sz w:val="20"/>
          <w:szCs w:val="20"/>
          <w:vertAlign w:val="superscript"/>
        </w:rPr>
        <w:footnoteReference w:id="22"/>
      </w:r>
      <w:r>
        <w:rPr>
          <w:sz w:val="20"/>
          <w:szCs w:val="20"/>
        </w:rPr>
        <w:t xml:space="preserve"> </w:t>
      </w:r>
    </w:p>
    <w:p w14:paraId="7020CDE8" w14:textId="77777777" w:rsidR="00C8128E" w:rsidRDefault="00C8128E">
      <w:pPr>
        <w:spacing w:line="240" w:lineRule="auto"/>
        <w:rPr>
          <w:sz w:val="20"/>
          <w:szCs w:val="20"/>
        </w:rPr>
      </w:pPr>
    </w:p>
    <w:p w14:paraId="3588256F" w14:textId="78CA450F" w:rsidR="00C8128E" w:rsidRDefault="00BB4ADC">
      <w:pPr>
        <w:spacing w:line="240" w:lineRule="auto"/>
        <w:rPr>
          <w:sz w:val="20"/>
          <w:szCs w:val="20"/>
        </w:rPr>
      </w:pPr>
      <w:r>
        <w:rPr>
          <w:sz w:val="20"/>
          <w:szCs w:val="20"/>
        </w:rPr>
        <w:t xml:space="preserve">2.8 Studies show a causal link between the lack of </w:t>
      </w:r>
      <w:r w:rsidR="00461734">
        <w:rPr>
          <w:sz w:val="20"/>
          <w:szCs w:val="20"/>
        </w:rPr>
        <w:t>LGR</w:t>
      </w:r>
      <w:r>
        <w:rPr>
          <w:sz w:val="20"/>
          <w:szCs w:val="20"/>
        </w:rPr>
        <w:t xml:space="preserve"> and poorer quality of life due to increased discrimination and gender dysphoria.</w:t>
      </w:r>
    </w:p>
    <w:p w14:paraId="4310D962" w14:textId="77777777" w:rsidR="00C8128E" w:rsidRDefault="00C8128E">
      <w:pPr>
        <w:spacing w:line="240" w:lineRule="auto"/>
        <w:rPr>
          <w:sz w:val="20"/>
          <w:szCs w:val="20"/>
        </w:rPr>
      </w:pPr>
    </w:p>
    <w:p w14:paraId="78705812" w14:textId="1069BC2A" w:rsidR="00C8128E" w:rsidRDefault="00BB4ADC">
      <w:pPr>
        <w:numPr>
          <w:ilvl w:val="0"/>
          <w:numId w:val="6"/>
        </w:numPr>
        <w:spacing w:line="240" w:lineRule="auto"/>
        <w:rPr>
          <w:sz w:val="20"/>
          <w:szCs w:val="20"/>
        </w:rPr>
      </w:pPr>
      <w:r>
        <w:rPr>
          <w:sz w:val="20"/>
          <w:szCs w:val="20"/>
        </w:rPr>
        <w:t>An APTN research shows that, in Malaysia, trans applicants were 50%</w:t>
      </w:r>
      <w:r>
        <w:rPr>
          <w:b/>
          <w:sz w:val="20"/>
          <w:szCs w:val="20"/>
        </w:rPr>
        <w:t xml:space="preserve"> less likely than cis applicants to get a positive response from a prospective employer</w:t>
      </w:r>
      <w:r>
        <w:rPr>
          <w:sz w:val="20"/>
          <w:szCs w:val="20"/>
        </w:rPr>
        <w:t xml:space="preserve"> and 32.9% less likely to be invited to an interview.</w:t>
      </w:r>
      <w:r>
        <w:rPr>
          <w:sz w:val="20"/>
          <w:szCs w:val="20"/>
          <w:vertAlign w:val="superscript"/>
        </w:rPr>
        <w:footnoteReference w:id="23"/>
      </w:r>
      <w:r>
        <w:rPr>
          <w:sz w:val="20"/>
          <w:szCs w:val="20"/>
        </w:rPr>
        <w:t xml:space="preserve"> </w:t>
      </w:r>
      <w:r w:rsidR="0071763F">
        <w:rPr>
          <w:sz w:val="20"/>
          <w:szCs w:val="20"/>
        </w:rPr>
        <w:t>S</w:t>
      </w:r>
      <w:r>
        <w:rPr>
          <w:sz w:val="20"/>
          <w:szCs w:val="20"/>
        </w:rPr>
        <w:t>ome employers demand that transgender employees present themselves based on the gender on their IC.</w:t>
      </w:r>
      <w:r>
        <w:rPr>
          <w:sz w:val="20"/>
          <w:szCs w:val="20"/>
          <w:vertAlign w:val="superscript"/>
        </w:rPr>
        <w:footnoteReference w:id="24"/>
      </w:r>
      <w:r>
        <w:rPr>
          <w:sz w:val="20"/>
          <w:szCs w:val="20"/>
        </w:rPr>
        <w:t xml:space="preserve"> </w:t>
      </w:r>
    </w:p>
    <w:p w14:paraId="04F69A72" w14:textId="77777777" w:rsidR="00C8128E" w:rsidRDefault="00C8128E" w:rsidP="00417BA3">
      <w:pPr>
        <w:spacing w:line="240" w:lineRule="auto"/>
        <w:rPr>
          <w:color w:val="333E48"/>
          <w:sz w:val="20"/>
          <w:szCs w:val="20"/>
        </w:rPr>
      </w:pPr>
    </w:p>
    <w:p w14:paraId="038FC77B" w14:textId="2D26067F" w:rsidR="00C8128E" w:rsidRPr="00417BA3" w:rsidRDefault="0071763F">
      <w:pPr>
        <w:numPr>
          <w:ilvl w:val="0"/>
          <w:numId w:val="6"/>
        </w:numPr>
        <w:spacing w:line="240" w:lineRule="auto"/>
        <w:rPr>
          <w:rFonts w:ascii="Roboto" w:eastAsia="Roboto" w:hAnsi="Roboto" w:cs="Roboto"/>
          <w:sz w:val="20"/>
          <w:szCs w:val="20"/>
        </w:rPr>
      </w:pPr>
      <w:r>
        <w:rPr>
          <w:b/>
          <w:sz w:val="20"/>
          <w:szCs w:val="20"/>
        </w:rPr>
        <w:t>Increased</w:t>
      </w:r>
      <w:r w:rsidR="00BB4ADC">
        <w:rPr>
          <w:b/>
          <w:sz w:val="20"/>
          <w:szCs w:val="20"/>
        </w:rPr>
        <w:t xml:space="preserve"> </w:t>
      </w:r>
      <w:r>
        <w:rPr>
          <w:b/>
          <w:sz w:val="20"/>
          <w:szCs w:val="20"/>
        </w:rPr>
        <w:t xml:space="preserve">vulnerability </w:t>
      </w:r>
      <w:r w:rsidR="00BB4ADC">
        <w:rPr>
          <w:b/>
          <w:sz w:val="20"/>
          <w:szCs w:val="20"/>
        </w:rPr>
        <w:t>to doxing,</w:t>
      </w:r>
      <w:r w:rsidR="00BB4ADC">
        <w:rPr>
          <w:sz w:val="20"/>
          <w:szCs w:val="20"/>
        </w:rPr>
        <w:t xml:space="preserve"> especially</w:t>
      </w:r>
      <w:r w:rsidR="00BB4ADC">
        <w:rPr>
          <w:b/>
          <w:sz w:val="20"/>
          <w:szCs w:val="20"/>
        </w:rPr>
        <w:t xml:space="preserve"> </w:t>
      </w:r>
      <w:r w:rsidR="00BB4ADC">
        <w:rPr>
          <w:sz w:val="20"/>
          <w:szCs w:val="20"/>
        </w:rPr>
        <w:t>the dissemination of their legal documents online to ‘out’ them. In 2020, the Mufti of the Federal Territory obtained a trans woman’s details as per her birth certificate without her consent and disclosed it publicly.</w:t>
      </w:r>
      <w:r w:rsidR="00BB4ADC">
        <w:rPr>
          <w:sz w:val="20"/>
          <w:szCs w:val="20"/>
          <w:vertAlign w:val="superscript"/>
        </w:rPr>
        <w:footnoteReference w:id="25"/>
      </w:r>
      <w:r w:rsidR="00BB4ADC">
        <w:rPr>
          <w:sz w:val="20"/>
          <w:szCs w:val="20"/>
        </w:rPr>
        <w:t xml:space="preserve"> </w:t>
      </w:r>
      <w:r>
        <w:rPr>
          <w:sz w:val="20"/>
          <w:szCs w:val="20"/>
        </w:rPr>
        <w:t>Subsequently,</w:t>
      </w:r>
      <w:r w:rsidR="00BB4ADC">
        <w:rPr>
          <w:sz w:val="20"/>
          <w:szCs w:val="20"/>
        </w:rPr>
        <w:t xml:space="preserve"> media outlets misgendered her. While Section 8 of the Personal Data Protection Act 2010 prohibits the sharing of personal data, the state is exempted. </w:t>
      </w:r>
    </w:p>
    <w:p w14:paraId="2F422955" w14:textId="77777777" w:rsidR="00417BA3" w:rsidRDefault="00417BA3" w:rsidP="00417BA3">
      <w:pPr>
        <w:pStyle w:val="ListParagraph"/>
        <w:rPr>
          <w:rFonts w:ascii="Roboto" w:eastAsia="Roboto" w:hAnsi="Roboto" w:cs="Roboto"/>
          <w:sz w:val="20"/>
          <w:szCs w:val="20"/>
        </w:rPr>
      </w:pPr>
    </w:p>
    <w:p w14:paraId="26D407F6" w14:textId="7F8C3367" w:rsidR="00417BA3" w:rsidRPr="00417BA3" w:rsidRDefault="00417BA3" w:rsidP="00417BA3">
      <w:pPr>
        <w:numPr>
          <w:ilvl w:val="0"/>
          <w:numId w:val="6"/>
        </w:numPr>
        <w:spacing w:line="240" w:lineRule="auto"/>
        <w:rPr>
          <w:rFonts w:ascii="Roboto" w:eastAsia="Roboto" w:hAnsi="Roboto" w:cs="Roboto"/>
          <w:sz w:val="20"/>
          <w:szCs w:val="20"/>
        </w:rPr>
      </w:pPr>
      <w:r>
        <w:rPr>
          <w:b/>
          <w:color w:val="333E48"/>
          <w:sz w:val="20"/>
          <w:szCs w:val="20"/>
        </w:rPr>
        <w:t>Humiliating and degrading treatment</w:t>
      </w:r>
      <w:r>
        <w:rPr>
          <w:color w:val="333E48"/>
          <w:sz w:val="20"/>
          <w:szCs w:val="20"/>
        </w:rPr>
        <w:t xml:space="preserve"> during raids and arrests, as trans women are called by name as per IC, forcibly segregated and subjected to procedures based on gender marker on their IC, including </w:t>
      </w:r>
      <w:r>
        <w:rPr>
          <w:sz w:val="20"/>
          <w:szCs w:val="20"/>
        </w:rPr>
        <w:t xml:space="preserve">body searches, inspections, and urine tests. </w:t>
      </w:r>
    </w:p>
    <w:p w14:paraId="3DE478C6" w14:textId="77777777" w:rsidR="00C8128E" w:rsidRDefault="00C8128E">
      <w:pPr>
        <w:spacing w:line="240" w:lineRule="auto"/>
        <w:ind w:left="720"/>
        <w:rPr>
          <w:color w:val="333E48"/>
          <w:sz w:val="20"/>
          <w:szCs w:val="20"/>
        </w:rPr>
      </w:pPr>
    </w:p>
    <w:p w14:paraId="15FEA41F" w14:textId="01B50449" w:rsidR="00C8128E" w:rsidRDefault="00417BA3" w:rsidP="00417BA3">
      <w:pPr>
        <w:numPr>
          <w:ilvl w:val="0"/>
          <w:numId w:val="6"/>
        </w:numPr>
        <w:spacing w:line="240" w:lineRule="auto"/>
        <w:rPr>
          <w:sz w:val="20"/>
          <w:szCs w:val="20"/>
        </w:rPr>
      </w:pPr>
      <w:r w:rsidRPr="00417BA3">
        <w:rPr>
          <w:b/>
          <w:sz w:val="20"/>
          <w:szCs w:val="20"/>
        </w:rPr>
        <w:t xml:space="preserve">Increased vulnerability to </w:t>
      </w:r>
      <w:r w:rsidR="00BB4ADC" w:rsidRPr="00417BA3">
        <w:rPr>
          <w:b/>
          <w:sz w:val="20"/>
          <w:szCs w:val="20"/>
        </w:rPr>
        <w:t xml:space="preserve">sexual violence in prisons and </w:t>
      </w:r>
      <w:r w:rsidR="001D1AA3" w:rsidRPr="00417BA3">
        <w:rPr>
          <w:b/>
          <w:sz w:val="20"/>
          <w:szCs w:val="20"/>
        </w:rPr>
        <w:t>lockups</w:t>
      </w:r>
      <w:r w:rsidR="00BB4ADC" w:rsidRPr="00417BA3">
        <w:rPr>
          <w:b/>
          <w:sz w:val="20"/>
          <w:szCs w:val="20"/>
        </w:rPr>
        <w:t xml:space="preserve"> </w:t>
      </w:r>
      <w:r w:rsidRPr="00417BA3">
        <w:rPr>
          <w:sz w:val="20"/>
          <w:szCs w:val="20"/>
        </w:rPr>
        <w:t>as</w:t>
      </w:r>
      <w:r w:rsidR="00BB4ADC" w:rsidRPr="00417BA3">
        <w:rPr>
          <w:sz w:val="20"/>
          <w:szCs w:val="20"/>
        </w:rPr>
        <w:t xml:space="preserve"> assignment of </w:t>
      </w:r>
      <w:r w:rsidRPr="00417BA3">
        <w:rPr>
          <w:sz w:val="20"/>
          <w:szCs w:val="20"/>
        </w:rPr>
        <w:t>lockups</w:t>
      </w:r>
      <w:r w:rsidR="00BB4ADC" w:rsidRPr="00417BA3">
        <w:rPr>
          <w:sz w:val="20"/>
          <w:szCs w:val="20"/>
        </w:rPr>
        <w:t xml:space="preserve"> and prisons is based on gender markers on </w:t>
      </w:r>
      <w:r w:rsidR="00B2481A">
        <w:rPr>
          <w:sz w:val="20"/>
          <w:szCs w:val="20"/>
        </w:rPr>
        <w:t>IC</w:t>
      </w:r>
      <w:r w:rsidR="00BB4ADC" w:rsidRPr="00417BA3">
        <w:rPr>
          <w:sz w:val="20"/>
          <w:szCs w:val="20"/>
        </w:rPr>
        <w:t xml:space="preserve">. </w:t>
      </w:r>
    </w:p>
    <w:p w14:paraId="532FBC05" w14:textId="77777777" w:rsidR="00417BA3" w:rsidRPr="00417BA3" w:rsidRDefault="00417BA3" w:rsidP="00417BA3">
      <w:pPr>
        <w:spacing w:line="240" w:lineRule="auto"/>
        <w:rPr>
          <w:sz w:val="20"/>
          <w:szCs w:val="20"/>
        </w:rPr>
      </w:pPr>
    </w:p>
    <w:p w14:paraId="64EAF4D4" w14:textId="223ECCF2" w:rsidR="00C8128E" w:rsidRDefault="00BB4ADC">
      <w:pPr>
        <w:spacing w:line="240" w:lineRule="auto"/>
        <w:rPr>
          <w:sz w:val="20"/>
          <w:szCs w:val="20"/>
        </w:rPr>
      </w:pPr>
      <w:r>
        <w:rPr>
          <w:sz w:val="20"/>
          <w:szCs w:val="20"/>
        </w:rPr>
        <w:t xml:space="preserve">2.9 SUHAKAM’s initiative to moot a </w:t>
      </w:r>
      <w:r w:rsidR="00461734">
        <w:rPr>
          <w:sz w:val="20"/>
          <w:szCs w:val="20"/>
        </w:rPr>
        <w:t>LGR</w:t>
      </w:r>
      <w:r>
        <w:rPr>
          <w:sz w:val="20"/>
          <w:szCs w:val="20"/>
        </w:rPr>
        <w:t xml:space="preserve"> feasibility study in 2021 was met with resistance from the then-Minister of Religious Affairs, among other</w:t>
      </w:r>
      <w:r w:rsidR="00623B66">
        <w:rPr>
          <w:sz w:val="20"/>
          <w:szCs w:val="20"/>
        </w:rPr>
        <w:t>s</w:t>
      </w:r>
      <w:r>
        <w:rPr>
          <w:sz w:val="20"/>
          <w:szCs w:val="20"/>
        </w:rPr>
        <w:t>.</w:t>
      </w:r>
      <w:r>
        <w:rPr>
          <w:sz w:val="20"/>
          <w:szCs w:val="20"/>
          <w:vertAlign w:val="superscript"/>
        </w:rPr>
        <w:footnoteReference w:id="26"/>
      </w:r>
      <w:r>
        <w:rPr>
          <w:sz w:val="20"/>
          <w:szCs w:val="20"/>
        </w:rPr>
        <w:t xml:space="preserve"> He stated that trans people are inconsistent with nature, religion, </w:t>
      </w:r>
      <w:r w:rsidR="001D1AA3">
        <w:rPr>
          <w:sz w:val="20"/>
          <w:szCs w:val="20"/>
        </w:rPr>
        <w:t>customs,</w:t>
      </w:r>
      <w:r>
        <w:rPr>
          <w:sz w:val="20"/>
          <w:szCs w:val="20"/>
        </w:rPr>
        <w:t xml:space="preserve"> and culture, and will not be recognised in Malaysia consistent with the Cairo Declaration, which prohibits ‘practices that are against Islamic Syariah.’ </w:t>
      </w:r>
    </w:p>
    <w:p w14:paraId="24BF5DDE" w14:textId="77777777" w:rsidR="00C8128E" w:rsidRDefault="00C8128E">
      <w:pPr>
        <w:spacing w:line="240" w:lineRule="auto"/>
        <w:rPr>
          <w:strike/>
          <w:sz w:val="20"/>
          <w:szCs w:val="20"/>
        </w:rPr>
      </w:pPr>
    </w:p>
    <w:p w14:paraId="7F68FDA6" w14:textId="77777777" w:rsidR="00270725" w:rsidRDefault="00270725">
      <w:pPr>
        <w:spacing w:line="240" w:lineRule="auto"/>
        <w:rPr>
          <w:i/>
          <w:sz w:val="20"/>
          <w:szCs w:val="20"/>
        </w:rPr>
      </w:pPr>
    </w:p>
    <w:p w14:paraId="63609451" w14:textId="77777777" w:rsidR="00270725" w:rsidRDefault="00270725">
      <w:pPr>
        <w:spacing w:line="240" w:lineRule="auto"/>
        <w:rPr>
          <w:i/>
          <w:sz w:val="20"/>
          <w:szCs w:val="20"/>
        </w:rPr>
      </w:pPr>
    </w:p>
    <w:p w14:paraId="5C80DE92" w14:textId="79D7B5A6" w:rsidR="00C8128E" w:rsidRDefault="00BB4ADC">
      <w:pPr>
        <w:spacing w:line="240" w:lineRule="auto"/>
        <w:rPr>
          <w:i/>
          <w:sz w:val="20"/>
          <w:szCs w:val="20"/>
        </w:rPr>
      </w:pPr>
      <w:r>
        <w:rPr>
          <w:i/>
          <w:sz w:val="20"/>
          <w:szCs w:val="20"/>
        </w:rPr>
        <w:lastRenderedPageBreak/>
        <w:t xml:space="preserve">State-funded anti-LGBT activities </w:t>
      </w:r>
    </w:p>
    <w:p w14:paraId="56E76778" w14:textId="77777777" w:rsidR="00C8128E" w:rsidRDefault="00C8128E">
      <w:pPr>
        <w:spacing w:line="240" w:lineRule="auto"/>
        <w:rPr>
          <w:i/>
          <w:sz w:val="20"/>
          <w:szCs w:val="20"/>
        </w:rPr>
      </w:pPr>
    </w:p>
    <w:p w14:paraId="06795E09" w14:textId="6D9B6ED0" w:rsidR="00C8128E" w:rsidRDefault="00BB4ADC">
      <w:pPr>
        <w:spacing w:line="240" w:lineRule="auto"/>
        <w:rPr>
          <w:sz w:val="20"/>
          <w:szCs w:val="20"/>
        </w:rPr>
      </w:pPr>
      <w:r>
        <w:rPr>
          <w:sz w:val="20"/>
          <w:szCs w:val="20"/>
        </w:rPr>
        <w:t xml:space="preserve">2.10 The state’s LGBT rehabilitation efforts consist of: </w:t>
      </w:r>
    </w:p>
    <w:p w14:paraId="791920E9" w14:textId="77777777" w:rsidR="00C8128E" w:rsidRDefault="00BB4ADC">
      <w:pPr>
        <w:spacing w:line="240" w:lineRule="auto"/>
        <w:ind w:firstLine="720"/>
        <w:rPr>
          <w:sz w:val="20"/>
          <w:szCs w:val="20"/>
        </w:rPr>
      </w:pPr>
      <w:r>
        <w:rPr>
          <w:sz w:val="20"/>
          <w:szCs w:val="20"/>
        </w:rPr>
        <w:t>1)</w:t>
      </w:r>
      <w:r>
        <w:rPr>
          <w:b/>
          <w:sz w:val="20"/>
          <w:szCs w:val="20"/>
        </w:rPr>
        <w:t xml:space="preserve"> Establishment of a task force and action plan</w:t>
      </w:r>
      <w:r>
        <w:rPr>
          <w:sz w:val="20"/>
          <w:szCs w:val="20"/>
        </w:rPr>
        <w:t xml:space="preserve"> to address LGBT issues. </w:t>
      </w:r>
    </w:p>
    <w:p w14:paraId="541079D6" w14:textId="77777777" w:rsidR="00C8128E" w:rsidRDefault="00BB4ADC">
      <w:pPr>
        <w:spacing w:line="240" w:lineRule="auto"/>
        <w:ind w:left="720"/>
        <w:rPr>
          <w:sz w:val="20"/>
          <w:szCs w:val="20"/>
        </w:rPr>
      </w:pPr>
      <w:r>
        <w:rPr>
          <w:sz w:val="20"/>
          <w:szCs w:val="20"/>
        </w:rPr>
        <w:t>The JAKIM Social Action Plan (PTSI JAKIM) 2019-2025 aims to address a range of ‘social ills among Muslim societies,</w:t>
      </w:r>
      <w:r>
        <w:rPr>
          <w:sz w:val="20"/>
          <w:szCs w:val="20"/>
          <w:vertAlign w:val="superscript"/>
        </w:rPr>
        <w:footnoteReference w:id="27"/>
      </w:r>
      <w:r>
        <w:rPr>
          <w:sz w:val="20"/>
          <w:szCs w:val="20"/>
        </w:rPr>
        <w:t xml:space="preserve"> including ‘deviant lifestyle.’</w:t>
      </w:r>
      <w:r>
        <w:rPr>
          <w:sz w:val="20"/>
          <w:szCs w:val="20"/>
          <w:vertAlign w:val="superscript"/>
        </w:rPr>
        <w:footnoteReference w:id="28"/>
      </w:r>
      <w:r>
        <w:rPr>
          <w:sz w:val="20"/>
          <w:szCs w:val="20"/>
        </w:rPr>
        <w:t xml:space="preserve"> </w:t>
      </w:r>
      <w:r>
        <w:rPr>
          <w:sz w:val="18"/>
          <w:szCs w:val="18"/>
        </w:rPr>
        <w:t>(</w:t>
      </w:r>
      <w:r>
        <w:rPr>
          <w:sz w:val="20"/>
          <w:szCs w:val="20"/>
        </w:rPr>
        <w:t xml:space="preserve">read LGBT people or issues). </w:t>
      </w:r>
    </w:p>
    <w:p w14:paraId="171EF5DD" w14:textId="77777777" w:rsidR="00C8128E" w:rsidRDefault="00C8128E">
      <w:pPr>
        <w:spacing w:line="240" w:lineRule="auto"/>
        <w:ind w:firstLine="720"/>
        <w:rPr>
          <w:sz w:val="20"/>
          <w:szCs w:val="20"/>
        </w:rPr>
      </w:pPr>
    </w:p>
    <w:p w14:paraId="19CAE113" w14:textId="77777777" w:rsidR="00C8128E" w:rsidRDefault="00BB4ADC">
      <w:pPr>
        <w:spacing w:line="240" w:lineRule="auto"/>
        <w:ind w:left="720"/>
        <w:rPr>
          <w:sz w:val="20"/>
          <w:szCs w:val="20"/>
        </w:rPr>
      </w:pPr>
      <w:r>
        <w:rPr>
          <w:sz w:val="20"/>
          <w:szCs w:val="20"/>
        </w:rPr>
        <w:t xml:space="preserve">2) </w:t>
      </w:r>
      <w:r>
        <w:rPr>
          <w:b/>
          <w:sz w:val="20"/>
          <w:szCs w:val="20"/>
        </w:rPr>
        <w:t xml:space="preserve">Implementation of support and guidance programmes </w:t>
      </w:r>
      <w:r>
        <w:rPr>
          <w:sz w:val="20"/>
          <w:szCs w:val="20"/>
        </w:rPr>
        <w:br/>
        <w:t xml:space="preserve">According to JAKIM, 1,769 people have participated in state-organised rehabilitation activities, through which 12 ex-LGBT groups have been established. Nine activities were held under JAKIM’s ‘treatment and rehabilitation programmes’ on ‘gender confusion’ in 2019, of which five targeted LGBT people, including one in a women’s prison. In 2021, JAKIM organised a Nusantara Religious Camp with LGBT persons from Malaysia, Indonesia, Thailand, and Singapore. </w:t>
      </w:r>
    </w:p>
    <w:p w14:paraId="17295BD0" w14:textId="77777777" w:rsidR="00C8128E" w:rsidRDefault="00C8128E">
      <w:pPr>
        <w:spacing w:line="240" w:lineRule="auto"/>
        <w:ind w:left="720"/>
        <w:rPr>
          <w:sz w:val="20"/>
          <w:szCs w:val="20"/>
        </w:rPr>
      </w:pPr>
    </w:p>
    <w:p w14:paraId="28B40019" w14:textId="77777777" w:rsidR="00C8128E" w:rsidRDefault="00BB4ADC">
      <w:pPr>
        <w:spacing w:line="240" w:lineRule="auto"/>
        <w:ind w:firstLine="720"/>
        <w:rPr>
          <w:b/>
          <w:sz w:val="20"/>
          <w:szCs w:val="20"/>
        </w:rPr>
      </w:pPr>
      <w:r>
        <w:rPr>
          <w:sz w:val="20"/>
          <w:szCs w:val="20"/>
        </w:rPr>
        <w:t xml:space="preserve">3) </w:t>
      </w:r>
      <w:r>
        <w:rPr>
          <w:b/>
          <w:sz w:val="20"/>
          <w:szCs w:val="20"/>
        </w:rPr>
        <w:t xml:space="preserve">Establishment of support services </w:t>
      </w:r>
    </w:p>
    <w:p w14:paraId="1C748824" w14:textId="77777777" w:rsidR="00C8128E" w:rsidRDefault="00BB4ADC">
      <w:pPr>
        <w:spacing w:line="240" w:lineRule="auto"/>
        <w:ind w:left="720"/>
        <w:rPr>
          <w:sz w:val="20"/>
          <w:szCs w:val="20"/>
        </w:rPr>
      </w:pPr>
      <w:r>
        <w:rPr>
          <w:sz w:val="20"/>
          <w:szCs w:val="20"/>
        </w:rPr>
        <w:t xml:space="preserve">JAKIM’s Community Family and Social Services </w:t>
      </w:r>
      <w:proofErr w:type="spellStart"/>
      <w:r>
        <w:rPr>
          <w:sz w:val="20"/>
          <w:szCs w:val="20"/>
        </w:rPr>
        <w:t>Center</w:t>
      </w:r>
      <w:proofErr w:type="spellEnd"/>
      <w:r>
        <w:rPr>
          <w:sz w:val="20"/>
          <w:szCs w:val="20"/>
        </w:rPr>
        <w:t xml:space="preserve"> (PKKSK) provides counselling and Islamic Psychotherapy, including for LGBT persons.</w:t>
      </w:r>
      <w:r>
        <w:rPr>
          <w:sz w:val="20"/>
          <w:szCs w:val="20"/>
          <w:vertAlign w:val="superscript"/>
        </w:rPr>
        <w:footnoteReference w:id="29"/>
      </w:r>
      <w:r>
        <w:rPr>
          <w:sz w:val="20"/>
          <w:szCs w:val="20"/>
        </w:rPr>
        <w:t xml:space="preserve"> </w:t>
      </w:r>
    </w:p>
    <w:p w14:paraId="3D978460" w14:textId="63C8829A" w:rsidR="00C8128E" w:rsidRDefault="00BB4ADC">
      <w:pPr>
        <w:spacing w:line="240" w:lineRule="auto"/>
        <w:ind w:left="720"/>
        <w:rPr>
          <w:sz w:val="20"/>
          <w:szCs w:val="20"/>
        </w:rPr>
      </w:pPr>
      <w:r>
        <w:rPr>
          <w:sz w:val="20"/>
          <w:szCs w:val="20"/>
        </w:rPr>
        <w:br/>
        <w:t xml:space="preserve">4) </w:t>
      </w:r>
      <w:r>
        <w:rPr>
          <w:b/>
          <w:sz w:val="20"/>
          <w:szCs w:val="20"/>
        </w:rPr>
        <w:t>Development of resources</w:t>
      </w:r>
      <w:r>
        <w:rPr>
          <w:sz w:val="20"/>
          <w:szCs w:val="20"/>
        </w:rPr>
        <w:br/>
        <w:t>In 2022, JAKIM launched a rehabilitation manual for lesbian and gay persons (</w:t>
      </w:r>
      <w:r>
        <w:rPr>
          <w:i/>
          <w:sz w:val="20"/>
          <w:szCs w:val="20"/>
        </w:rPr>
        <w:t xml:space="preserve">Manual </w:t>
      </w:r>
      <w:proofErr w:type="spellStart"/>
      <w:r>
        <w:rPr>
          <w:i/>
          <w:sz w:val="20"/>
          <w:szCs w:val="20"/>
        </w:rPr>
        <w:t>Komuniti</w:t>
      </w:r>
      <w:proofErr w:type="spellEnd"/>
      <w:r>
        <w:rPr>
          <w:i/>
          <w:sz w:val="20"/>
          <w:szCs w:val="20"/>
        </w:rPr>
        <w:t xml:space="preserve"> Hijrah Lesbian dan Gay). </w:t>
      </w:r>
      <w:r w:rsidR="00623B66">
        <w:rPr>
          <w:sz w:val="20"/>
          <w:szCs w:val="20"/>
        </w:rPr>
        <w:t>It</w:t>
      </w:r>
      <w:r>
        <w:rPr>
          <w:sz w:val="20"/>
          <w:szCs w:val="20"/>
        </w:rPr>
        <w:t xml:space="preserve"> features </w:t>
      </w:r>
      <w:r w:rsidR="00623B66">
        <w:rPr>
          <w:sz w:val="20"/>
          <w:szCs w:val="20"/>
        </w:rPr>
        <w:t xml:space="preserve">among others, </w:t>
      </w:r>
      <w:r>
        <w:rPr>
          <w:sz w:val="20"/>
          <w:szCs w:val="20"/>
        </w:rPr>
        <w:t xml:space="preserve">understanding your own </w:t>
      </w:r>
      <w:r>
        <w:rPr>
          <w:i/>
          <w:sz w:val="20"/>
          <w:szCs w:val="20"/>
        </w:rPr>
        <w:t>fitrah</w:t>
      </w:r>
      <w:r>
        <w:rPr>
          <w:sz w:val="20"/>
          <w:szCs w:val="20"/>
        </w:rPr>
        <w:t xml:space="preserve"> (nature); an Islamic perspective on lesbian and gay; and Islamic psychotherapy, including prayer and </w:t>
      </w:r>
      <w:proofErr w:type="spellStart"/>
      <w:r>
        <w:rPr>
          <w:i/>
          <w:sz w:val="20"/>
          <w:szCs w:val="20"/>
        </w:rPr>
        <w:t>zikir</w:t>
      </w:r>
      <w:proofErr w:type="spellEnd"/>
      <w:r>
        <w:rPr>
          <w:sz w:val="20"/>
          <w:szCs w:val="20"/>
        </w:rPr>
        <w:t xml:space="preserve"> therapy; to help lesbian and gay persons, especially Muslims, to lead a better life aligned with Islamic principles.</w:t>
      </w:r>
    </w:p>
    <w:p w14:paraId="78BE32A9" w14:textId="77777777" w:rsidR="00C8128E" w:rsidRDefault="00C8128E">
      <w:pPr>
        <w:spacing w:line="240" w:lineRule="auto"/>
        <w:rPr>
          <w:sz w:val="20"/>
          <w:szCs w:val="20"/>
        </w:rPr>
      </w:pPr>
    </w:p>
    <w:p w14:paraId="33AA6ACA" w14:textId="4509305A" w:rsidR="00C8128E" w:rsidRDefault="00BB4ADC">
      <w:pPr>
        <w:spacing w:line="240" w:lineRule="auto"/>
        <w:rPr>
          <w:sz w:val="20"/>
          <w:szCs w:val="20"/>
        </w:rPr>
      </w:pPr>
      <w:r>
        <w:rPr>
          <w:sz w:val="20"/>
          <w:szCs w:val="20"/>
        </w:rPr>
        <w:t>2.11 The state</w:t>
      </w:r>
      <w:r w:rsidR="009D20F5">
        <w:rPr>
          <w:sz w:val="20"/>
          <w:szCs w:val="20"/>
        </w:rPr>
        <w:t xml:space="preserve">’s </w:t>
      </w:r>
      <w:r>
        <w:rPr>
          <w:sz w:val="20"/>
          <w:szCs w:val="20"/>
        </w:rPr>
        <w:t xml:space="preserve">‘Islamic psychospiritual’ approach employs a combination of shame, religious guilt, incentives, pseudo-science, peer pressure, and the </w:t>
      </w:r>
      <w:proofErr w:type="spellStart"/>
      <w:r>
        <w:rPr>
          <w:sz w:val="20"/>
          <w:szCs w:val="20"/>
        </w:rPr>
        <w:t>weaponisation</w:t>
      </w:r>
      <w:proofErr w:type="spellEnd"/>
      <w:r>
        <w:rPr>
          <w:sz w:val="20"/>
          <w:szCs w:val="20"/>
        </w:rPr>
        <w:t xml:space="preserve"> of sex work and HIV to reinforce the notion of sin.</w:t>
      </w:r>
      <w:r>
        <w:rPr>
          <w:sz w:val="20"/>
          <w:szCs w:val="20"/>
          <w:vertAlign w:val="superscript"/>
        </w:rPr>
        <w:footnoteReference w:id="30"/>
      </w:r>
      <w:r>
        <w:rPr>
          <w:sz w:val="20"/>
          <w:szCs w:val="20"/>
        </w:rPr>
        <w:t xml:space="preserve"> </w:t>
      </w:r>
      <w:r>
        <w:rPr>
          <w:sz w:val="20"/>
          <w:szCs w:val="20"/>
          <w:vertAlign w:val="superscript"/>
        </w:rPr>
        <w:footnoteReference w:id="31"/>
      </w:r>
      <w:r>
        <w:rPr>
          <w:sz w:val="20"/>
          <w:szCs w:val="20"/>
        </w:rPr>
        <w:t xml:space="preserve">  Some key manifestations include: </w:t>
      </w:r>
    </w:p>
    <w:p w14:paraId="2BCFA8B7" w14:textId="37545945" w:rsidR="00C8128E" w:rsidRDefault="00BB4ADC">
      <w:pPr>
        <w:numPr>
          <w:ilvl w:val="0"/>
          <w:numId w:val="2"/>
        </w:numPr>
        <w:spacing w:line="240" w:lineRule="auto"/>
        <w:rPr>
          <w:sz w:val="20"/>
          <w:szCs w:val="20"/>
        </w:rPr>
      </w:pPr>
      <w:r>
        <w:rPr>
          <w:sz w:val="20"/>
          <w:szCs w:val="20"/>
        </w:rPr>
        <w:t xml:space="preserve">‘Voluntary’ camps that offer religious and </w:t>
      </w:r>
      <w:r w:rsidR="004157CA">
        <w:rPr>
          <w:sz w:val="20"/>
          <w:szCs w:val="20"/>
        </w:rPr>
        <w:t>HIV awareness</w:t>
      </w:r>
      <w:r>
        <w:rPr>
          <w:sz w:val="20"/>
          <w:szCs w:val="20"/>
        </w:rPr>
        <w:t xml:space="preserve"> </w:t>
      </w:r>
      <w:r w:rsidR="00A714A2">
        <w:rPr>
          <w:sz w:val="20"/>
          <w:szCs w:val="20"/>
        </w:rPr>
        <w:t>together with</w:t>
      </w:r>
      <w:r>
        <w:rPr>
          <w:sz w:val="20"/>
          <w:szCs w:val="20"/>
        </w:rPr>
        <w:t xml:space="preserve"> </w:t>
      </w:r>
      <w:r w:rsidR="00B2481A">
        <w:rPr>
          <w:sz w:val="20"/>
          <w:szCs w:val="20"/>
        </w:rPr>
        <w:t xml:space="preserve">conditional </w:t>
      </w:r>
      <w:r>
        <w:rPr>
          <w:sz w:val="20"/>
          <w:szCs w:val="20"/>
        </w:rPr>
        <w:t>economic support</w:t>
      </w:r>
    </w:p>
    <w:p w14:paraId="58884C72" w14:textId="61C64F63" w:rsidR="00C8128E" w:rsidRDefault="00B2481A">
      <w:pPr>
        <w:numPr>
          <w:ilvl w:val="0"/>
          <w:numId w:val="2"/>
        </w:numPr>
        <w:spacing w:line="240" w:lineRule="auto"/>
        <w:rPr>
          <w:sz w:val="20"/>
          <w:szCs w:val="20"/>
        </w:rPr>
      </w:pPr>
      <w:proofErr w:type="spellStart"/>
      <w:r>
        <w:rPr>
          <w:i/>
          <w:sz w:val="20"/>
          <w:szCs w:val="20"/>
        </w:rPr>
        <w:t>Asnaf</w:t>
      </w:r>
      <w:proofErr w:type="spellEnd"/>
      <w:r>
        <w:rPr>
          <w:sz w:val="20"/>
          <w:szCs w:val="20"/>
        </w:rPr>
        <w:t xml:space="preserve"> </w:t>
      </w:r>
      <w:r w:rsidRPr="00B2481A">
        <w:rPr>
          <w:i/>
          <w:iCs/>
          <w:sz w:val="20"/>
          <w:szCs w:val="20"/>
        </w:rPr>
        <w:t>al-</w:t>
      </w:r>
      <w:proofErr w:type="spellStart"/>
      <w:r w:rsidRPr="00B2481A">
        <w:rPr>
          <w:i/>
          <w:iCs/>
          <w:sz w:val="20"/>
          <w:szCs w:val="20"/>
        </w:rPr>
        <w:t>riqab</w:t>
      </w:r>
      <w:proofErr w:type="spellEnd"/>
      <w:r>
        <w:rPr>
          <w:rStyle w:val="FootnoteReference"/>
          <w:i/>
          <w:iCs/>
          <w:sz w:val="20"/>
          <w:szCs w:val="20"/>
        </w:rPr>
        <w:footnoteReference w:id="32"/>
      </w:r>
      <w:r>
        <w:rPr>
          <w:i/>
          <w:iCs/>
          <w:sz w:val="20"/>
          <w:szCs w:val="20"/>
        </w:rPr>
        <w:t xml:space="preserve"> </w:t>
      </w:r>
      <w:r>
        <w:rPr>
          <w:i/>
          <w:sz w:val="20"/>
          <w:szCs w:val="20"/>
        </w:rPr>
        <w:t>z</w:t>
      </w:r>
      <w:r w:rsidR="00BB4ADC">
        <w:rPr>
          <w:i/>
          <w:sz w:val="20"/>
          <w:szCs w:val="20"/>
        </w:rPr>
        <w:t>akat</w:t>
      </w:r>
      <w:r w:rsidR="00BB4ADC">
        <w:rPr>
          <w:sz w:val="20"/>
          <w:szCs w:val="20"/>
        </w:rPr>
        <w:t xml:space="preserve"> (Islamic alms) supports the cost of rehabilitation, including rental and relocation support to start a new life, medical </w:t>
      </w:r>
      <w:r w:rsidR="00C83524">
        <w:rPr>
          <w:sz w:val="20"/>
          <w:szCs w:val="20"/>
        </w:rPr>
        <w:t>support,</w:t>
      </w:r>
      <w:r w:rsidR="00BB4ADC">
        <w:rPr>
          <w:sz w:val="20"/>
          <w:szCs w:val="20"/>
        </w:rPr>
        <w:t xml:space="preserve"> and start-up funds for businesses.</w:t>
      </w:r>
      <w:r w:rsidR="00BB4ADC">
        <w:rPr>
          <w:sz w:val="20"/>
          <w:szCs w:val="20"/>
          <w:vertAlign w:val="superscript"/>
        </w:rPr>
        <w:footnoteReference w:id="33"/>
      </w:r>
      <w:r w:rsidR="00BB4ADC">
        <w:rPr>
          <w:sz w:val="20"/>
          <w:szCs w:val="20"/>
          <w:vertAlign w:val="superscript"/>
        </w:rPr>
        <w:footnoteReference w:id="34"/>
      </w:r>
      <w:r w:rsidR="00A714A2">
        <w:rPr>
          <w:sz w:val="20"/>
          <w:szCs w:val="20"/>
        </w:rPr>
        <w:t xml:space="preserve"> for LGBT people seeking to ‘change’ themselves. </w:t>
      </w:r>
      <w:r w:rsidR="00BB4ADC">
        <w:rPr>
          <w:sz w:val="20"/>
          <w:szCs w:val="20"/>
        </w:rPr>
        <w:t xml:space="preserve"> In 2019, 497 LGBT people reportedly have ‘returned to the right path’ through the support of the Selangor </w:t>
      </w:r>
      <w:r w:rsidR="00BB4ADC">
        <w:rPr>
          <w:i/>
          <w:sz w:val="20"/>
          <w:szCs w:val="20"/>
        </w:rPr>
        <w:t>Zakat</w:t>
      </w:r>
      <w:r w:rsidR="00BB4ADC">
        <w:rPr>
          <w:sz w:val="20"/>
          <w:szCs w:val="20"/>
        </w:rPr>
        <w:t xml:space="preserve"> funds.</w:t>
      </w:r>
      <w:r w:rsidR="00BB4ADC">
        <w:rPr>
          <w:sz w:val="20"/>
          <w:szCs w:val="20"/>
          <w:vertAlign w:val="superscript"/>
        </w:rPr>
        <w:footnoteReference w:id="35"/>
      </w:r>
    </w:p>
    <w:p w14:paraId="7FE994B1" w14:textId="4B653721" w:rsidR="00C8128E" w:rsidRDefault="004157CA">
      <w:pPr>
        <w:numPr>
          <w:ilvl w:val="0"/>
          <w:numId w:val="2"/>
        </w:numPr>
        <w:spacing w:line="240" w:lineRule="auto"/>
        <w:rPr>
          <w:rFonts w:ascii="Montserrat" w:eastAsia="Montserrat" w:hAnsi="Montserrat" w:cs="Montserrat"/>
          <w:sz w:val="18"/>
          <w:szCs w:val="18"/>
        </w:rPr>
      </w:pPr>
      <w:r>
        <w:rPr>
          <w:sz w:val="20"/>
          <w:szCs w:val="20"/>
        </w:rPr>
        <w:t>A university hospital</w:t>
      </w:r>
      <w:r w:rsidR="00BB4ADC">
        <w:rPr>
          <w:color w:val="222222"/>
          <w:sz w:val="20"/>
          <w:szCs w:val="20"/>
        </w:rPr>
        <w:t xml:space="preserve"> reportedly sponsored medical intervention for 20 trans people to de-transition.</w:t>
      </w:r>
      <w:r w:rsidR="00BB4ADC">
        <w:rPr>
          <w:color w:val="222222"/>
          <w:sz w:val="20"/>
          <w:szCs w:val="20"/>
          <w:vertAlign w:val="superscript"/>
        </w:rPr>
        <w:footnoteReference w:id="36"/>
      </w:r>
      <w:r w:rsidR="00BB4ADC">
        <w:rPr>
          <w:color w:val="222222"/>
          <w:sz w:val="20"/>
          <w:szCs w:val="20"/>
        </w:rPr>
        <w:t xml:space="preserve"> Financial incentives are also provided to discourage them from returning to their ‘old self’. </w:t>
      </w:r>
    </w:p>
    <w:p w14:paraId="3EFA3DFE" w14:textId="77777777" w:rsidR="00C8128E" w:rsidRDefault="00C8128E">
      <w:pPr>
        <w:spacing w:line="240" w:lineRule="auto"/>
        <w:rPr>
          <w:sz w:val="20"/>
          <w:szCs w:val="20"/>
        </w:rPr>
      </w:pPr>
    </w:p>
    <w:p w14:paraId="2128FE22" w14:textId="65A27C83" w:rsidR="00C8128E" w:rsidRDefault="00BB4ADC">
      <w:pPr>
        <w:spacing w:line="240" w:lineRule="auto"/>
        <w:rPr>
          <w:sz w:val="20"/>
          <w:szCs w:val="20"/>
        </w:rPr>
      </w:pPr>
      <w:r>
        <w:rPr>
          <w:sz w:val="20"/>
          <w:szCs w:val="20"/>
        </w:rPr>
        <w:lastRenderedPageBreak/>
        <w:t>2.12 In the absence of state measures to address marginalisation and criminalisation of LBT women</w:t>
      </w:r>
      <w:r w:rsidR="004157CA">
        <w:rPr>
          <w:sz w:val="20"/>
          <w:szCs w:val="20"/>
        </w:rPr>
        <w:t>, some are more inclined to suppress their SOGIE to seek acceptance and survive, including secure employment opportunities.</w:t>
      </w:r>
      <w:r w:rsidR="004157CA">
        <w:rPr>
          <w:sz w:val="20"/>
          <w:szCs w:val="20"/>
          <w:vertAlign w:val="superscript"/>
        </w:rPr>
        <w:footnoteReference w:id="37"/>
      </w:r>
      <w:r w:rsidR="004157CA">
        <w:rPr>
          <w:sz w:val="20"/>
          <w:szCs w:val="20"/>
        </w:rPr>
        <w:t xml:space="preserve"> Elderly, PLHIV</w:t>
      </w:r>
      <w:r w:rsidR="00A714A2">
        <w:rPr>
          <w:sz w:val="20"/>
          <w:szCs w:val="20"/>
        </w:rPr>
        <w:t>, Muslim</w:t>
      </w:r>
      <w:r w:rsidR="004157CA">
        <w:rPr>
          <w:sz w:val="20"/>
          <w:szCs w:val="20"/>
        </w:rPr>
        <w:t xml:space="preserve"> LBT women</w:t>
      </w:r>
      <w:r w:rsidR="00A714A2">
        <w:rPr>
          <w:sz w:val="20"/>
          <w:szCs w:val="20"/>
        </w:rPr>
        <w:t xml:space="preserve">, and those </w:t>
      </w:r>
      <w:r w:rsidR="004157CA">
        <w:rPr>
          <w:sz w:val="20"/>
          <w:szCs w:val="20"/>
        </w:rPr>
        <w:t xml:space="preserve">from lower economic background are vulnerable to </w:t>
      </w:r>
      <w:r w:rsidR="00A714A2">
        <w:rPr>
          <w:sz w:val="20"/>
          <w:szCs w:val="20"/>
        </w:rPr>
        <w:t xml:space="preserve">SOGIE-change efforts through conditional welfare aid that </w:t>
      </w:r>
      <w:r>
        <w:rPr>
          <w:sz w:val="20"/>
          <w:szCs w:val="20"/>
        </w:rPr>
        <w:t>imposes suppression of SOGIE</w:t>
      </w:r>
      <w:r w:rsidR="00A714A2">
        <w:rPr>
          <w:sz w:val="20"/>
          <w:szCs w:val="20"/>
        </w:rPr>
        <w:t xml:space="preserve">. </w:t>
      </w:r>
    </w:p>
    <w:p w14:paraId="3CAA356B" w14:textId="77777777" w:rsidR="00C8128E" w:rsidRDefault="00C8128E">
      <w:pPr>
        <w:spacing w:line="240" w:lineRule="auto"/>
        <w:rPr>
          <w:sz w:val="20"/>
          <w:szCs w:val="20"/>
        </w:rPr>
      </w:pPr>
    </w:p>
    <w:p w14:paraId="68D02641" w14:textId="77777777" w:rsidR="00C8128E" w:rsidRDefault="00BB4ADC">
      <w:pPr>
        <w:spacing w:line="240" w:lineRule="auto"/>
        <w:rPr>
          <w:b/>
          <w:i/>
          <w:sz w:val="20"/>
          <w:szCs w:val="20"/>
        </w:rPr>
      </w:pPr>
      <w:r>
        <w:rPr>
          <w:b/>
          <w:i/>
          <w:sz w:val="20"/>
          <w:szCs w:val="20"/>
        </w:rPr>
        <w:t>Critical questions</w:t>
      </w:r>
    </w:p>
    <w:p w14:paraId="14588A65" w14:textId="77777777" w:rsidR="00C8128E" w:rsidRDefault="00BB4ADC">
      <w:pPr>
        <w:spacing w:line="240" w:lineRule="auto"/>
        <w:rPr>
          <w:sz w:val="20"/>
          <w:szCs w:val="20"/>
        </w:rPr>
      </w:pPr>
      <w:r>
        <w:rPr>
          <w:sz w:val="20"/>
          <w:szCs w:val="20"/>
        </w:rPr>
        <w:t xml:space="preserve"> </w:t>
      </w:r>
    </w:p>
    <w:p w14:paraId="23C2050F" w14:textId="13609032" w:rsidR="00C8128E" w:rsidRDefault="00BB4ADC">
      <w:pPr>
        <w:spacing w:line="240" w:lineRule="auto"/>
        <w:rPr>
          <w:sz w:val="20"/>
          <w:szCs w:val="20"/>
        </w:rPr>
      </w:pPr>
      <w:r>
        <w:rPr>
          <w:sz w:val="20"/>
          <w:szCs w:val="20"/>
        </w:rPr>
        <w:t xml:space="preserve">Q3. What measures has the State taken to implement the CEDAW Committee’s concluding observation 48 (a), (b) and (c)? </w:t>
      </w:r>
    </w:p>
    <w:p w14:paraId="6548C50C" w14:textId="77777777" w:rsidR="00C8128E" w:rsidRDefault="00C8128E">
      <w:pPr>
        <w:spacing w:line="240" w:lineRule="auto"/>
        <w:rPr>
          <w:sz w:val="20"/>
          <w:szCs w:val="20"/>
        </w:rPr>
      </w:pPr>
    </w:p>
    <w:p w14:paraId="33BC4AD5" w14:textId="6FAC2FAF" w:rsidR="00C8128E" w:rsidRDefault="00BB4ADC">
      <w:pPr>
        <w:spacing w:line="240" w:lineRule="auto"/>
        <w:rPr>
          <w:sz w:val="20"/>
          <w:szCs w:val="20"/>
        </w:rPr>
      </w:pPr>
      <w:r>
        <w:rPr>
          <w:sz w:val="20"/>
          <w:szCs w:val="20"/>
        </w:rPr>
        <w:t>Q4. How does the state plan to address resistance to human rights of LBT persons by some state agencies?</w:t>
      </w:r>
      <w:r>
        <w:rPr>
          <w:strike/>
          <w:sz w:val="20"/>
          <w:szCs w:val="20"/>
        </w:rPr>
        <w:t xml:space="preserve"> </w:t>
      </w:r>
    </w:p>
    <w:p w14:paraId="598F8F51" w14:textId="77777777" w:rsidR="00C8128E" w:rsidRDefault="00C8128E">
      <w:pPr>
        <w:spacing w:line="240" w:lineRule="auto"/>
        <w:rPr>
          <w:sz w:val="20"/>
          <w:szCs w:val="20"/>
        </w:rPr>
      </w:pPr>
    </w:p>
    <w:p w14:paraId="7379EA45" w14:textId="2939DE4F" w:rsidR="00C8128E" w:rsidRDefault="00BB4ADC">
      <w:pPr>
        <w:spacing w:line="240" w:lineRule="auto"/>
        <w:rPr>
          <w:sz w:val="20"/>
          <w:szCs w:val="20"/>
        </w:rPr>
      </w:pPr>
      <w:r>
        <w:rPr>
          <w:sz w:val="20"/>
          <w:szCs w:val="20"/>
        </w:rPr>
        <w:t>Q5. How does the state view the role of discriminatory laws and policies in the continuation of discrimination and marginalisation of LBT</w:t>
      </w:r>
      <w:r w:rsidR="00A714A2">
        <w:rPr>
          <w:sz w:val="20"/>
          <w:szCs w:val="20"/>
        </w:rPr>
        <w:t>I</w:t>
      </w:r>
      <w:r>
        <w:rPr>
          <w:sz w:val="20"/>
          <w:szCs w:val="20"/>
        </w:rPr>
        <w:t xml:space="preserve"> women? How does the state plan to use progressive Court decisions to reduce inequalities against LBT persons? </w:t>
      </w:r>
    </w:p>
    <w:p w14:paraId="271D3CB9" w14:textId="77777777" w:rsidR="00C8128E" w:rsidRDefault="00C8128E">
      <w:pPr>
        <w:spacing w:line="240" w:lineRule="auto"/>
        <w:rPr>
          <w:sz w:val="20"/>
          <w:szCs w:val="20"/>
        </w:rPr>
      </w:pPr>
    </w:p>
    <w:p w14:paraId="27AF4F2A" w14:textId="2B74C078" w:rsidR="00C8128E" w:rsidRDefault="00BB4ADC">
      <w:pPr>
        <w:spacing w:line="240" w:lineRule="auto"/>
        <w:rPr>
          <w:sz w:val="20"/>
          <w:szCs w:val="20"/>
        </w:rPr>
      </w:pPr>
      <w:r>
        <w:rPr>
          <w:sz w:val="20"/>
          <w:szCs w:val="20"/>
        </w:rPr>
        <w:t xml:space="preserve">Q6. </w:t>
      </w:r>
      <w:r w:rsidR="00A714A2">
        <w:rPr>
          <w:sz w:val="20"/>
          <w:szCs w:val="20"/>
          <w:highlight w:val="white"/>
        </w:rPr>
        <w:t>When does</w:t>
      </w:r>
      <w:r>
        <w:rPr>
          <w:sz w:val="20"/>
          <w:szCs w:val="20"/>
          <w:highlight w:val="white"/>
        </w:rPr>
        <w:t xml:space="preserve"> State plan to institute legal gender recognition, given the far-reaching impacts of lack of </w:t>
      </w:r>
      <w:r w:rsidR="00461734">
        <w:rPr>
          <w:sz w:val="20"/>
          <w:szCs w:val="20"/>
          <w:highlight w:val="white"/>
        </w:rPr>
        <w:t>LGR</w:t>
      </w:r>
      <w:r>
        <w:rPr>
          <w:sz w:val="20"/>
          <w:szCs w:val="20"/>
          <w:highlight w:val="white"/>
        </w:rPr>
        <w:t xml:space="preserve"> for trans and gender-diverse persons?</w:t>
      </w:r>
    </w:p>
    <w:p w14:paraId="0B7CBC74" w14:textId="77777777" w:rsidR="00C8128E" w:rsidRDefault="00C8128E">
      <w:pPr>
        <w:spacing w:line="240" w:lineRule="auto"/>
        <w:rPr>
          <w:sz w:val="20"/>
          <w:szCs w:val="20"/>
        </w:rPr>
      </w:pPr>
    </w:p>
    <w:p w14:paraId="4B56587A" w14:textId="77777777" w:rsidR="00C8128E" w:rsidRDefault="00C8128E">
      <w:pPr>
        <w:spacing w:line="240" w:lineRule="auto"/>
        <w:rPr>
          <w:sz w:val="20"/>
          <w:szCs w:val="20"/>
        </w:rPr>
      </w:pPr>
    </w:p>
    <w:p w14:paraId="4A8D0BD9" w14:textId="77777777" w:rsidR="00C8128E" w:rsidRDefault="00C8128E">
      <w:pPr>
        <w:spacing w:line="240" w:lineRule="auto"/>
        <w:rPr>
          <w:sz w:val="20"/>
          <w:szCs w:val="20"/>
        </w:rPr>
      </w:pPr>
    </w:p>
    <w:p w14:paraId="200C6145" w14:textId="77777777" w:rsidR="00C8128E" w:rsidRDefault="00C8128E">
      <w:pPr>
        <w:spacing w:line="240" w:lineRule="auto"/>
        <w:rPr>
          <w:sz w:val="20"/>
          <w:szCs w:val="20"/>
        </w:rPr>
      </w:pPr>
    </w:p>
    <w:p w14:paraId="15FC5AF4" w14:textId="77777777" w:rsidR="00C8128E" w:rsidRDefault="00C8128E">
      <w:pPr>
        <w:spacing w:line="240" w:lineRule="auto"/>
        <w:rPr>
          <w:sz w:val="20"/>
          <w:szCs w:val="20"/>
        </w:rPr>
      </w:pPr>
    </w:p>
    <w:p w14:paraId="0D39EFAD" w14:textId="77777777" w:rsidR="00C8128E" w:rsidRDefault="00BB4ADC">
      <w:pPr>
        <w:spacing w:after="240" w:line="240" w:lineRule="auto"/>
        <w:rPr>
          <w:b/>
        </w:rPr>
      </w:pPr>
      <w:r>
        <w:br w:type="page"/>
      </w:r>
    </w:p>
    <w:p w14:paraId="02AC79B2" w14:textId="77777777" w:rsidR="00C8128E" w:rsidRDefault="00BB4ADC">
      <w:pPr>
        <w:spacing w:after="240" w:line="240" w:lineRule="auto"/>
        <w:rPr>
          <w:b/>
        </w:rPr>
      </w:pPr>
      <w:r>
        <w:rPr>
          <w:b/>
        </w:rPr>
        <w:lastRenderedPageBreak/>
        <w:t xml:space="preserve">Article 5: Stereotypes </w:t>
      </w:r>
    </w:p>
    <w:p w14:paraId="2DC55DD5" w14:textId="09AA3393" w:rsidR="00C8128E" w:rsidRDefault="00BB4ADC">
      <w:pPr>
        <w:spacing w:line="240" w:lineRule="auto"/>
        <w:rPr>
          <w:sz w:val="20"/>
          <w:szCs w:val="20"/>
        </w:rPr>
      </w:pPr>
      <w:r>
        <w:rPr>
          <w:sz w:val="20"/>
          <w:szCs w:val="20"/>
        </w:rPr>
        <w:t xml:space="preserve">5.1. The state’s promotion of gender ideology, underscored by the exclusion, criminalisation, and </w:t>
      </w:r>
      <w:proofErr w:type="spellStart"/>
      <w:r>
        <w:rPr>
          <w:sz w:val="20"/>
          <w:szCs w:val="20"/>
        </w:rPr>
        <w:t>pathologisation</w:t>
      </w:r>
      <w:proofErr w:type="spellEnd"/>
      <w:r>
        <w:rPr>
          <w:sz w:val="20"/>
          <w:szCs w:val="20"/>
        </w:rPr>
        <w:t xml:space="preserve"> of LBTI women, has intensified over the past 5 years. JAKIM’s annual publications promote the harmful notion that LGBT people can be </w:t>
      </w:r>
      <w:r w:rsidR="001D1AA3">
        <w:rPr>
          <w:sz w:val="20"/>
          <w:szCs w:val="20"/>
        </w:rPr>
        <w:t>changed,</w:t>
      </w:r>
      <w:r>
        <w:rPr>
          <w:sz w:val="20"/>
          <w:szCs w:val="20"/>
        </w:rPr>
        <w:t xml:space="preserve"> and that LGBT people’s sexual orientation and gender identity are caused by widely debunked harmful myths. In 2022, JAKIM published a rehabilitation manual for lesbian and gay persons. Among others, it promotes Islamic psychotherapy, including prayer and </w:t>
      </w:r>
      <w:proofErr w:type="spellStart"/>
      <w:r>
        <w:rPr>
          <w:i/>
          <w:sz w:val="20"/>
          <w:szCs w:val="20"/>
        </w:rPr>
        <w:t>zikir</w:t>
      </w:r>
      <w:proofErr w:type="spellEnd"/>
      <w:r>
        <w:rPr>
          <w:i/>
          <w:sz w:val="20"/>
          <w:szCs w:val="20"/>
        </w:rPr>
        <w:t xml:space="preserve"> </w:t>
      </w:r>
      <w:r>
        <w:rPr>
          <w:sz w:val="20"/>
          <w:szCs w:val="20"/>
        </w:rPr>
        <w:t xml:space="preserve">therapy, to ‘help’ Muslim lesbian and gay persons lead a better life aligned with Islamic principles. </w:t>
      </w:r>
    </w:p>
    <w:p w14:paraId="07AD88C1" w14:textId="77777777" w:rsidR="00C8128E" w:rsidRDefault="00C8128E">
      <w:pPr>
        <w:spacing w:line="240" w:lineRule="auto"/>
        <w:rPr>
          <w:sz w:val="20"/>
          <w:szCs w:val="20"/>
        </w:rPr>
      </w:pPr>
    </w:p>
    <w:p w14:paraId="27640C76" w14:textId="1F72A6BE" w:rsidR="00C8128E" w:rsidRDefault="00BB4ADC">
      <w:pPr>
        <w:spacing w:line="240" w:lineRule="auto"/>
        <w:rPr>
          <w:sz w:val="20"/>
          <w:szCs w:val="20"/>
        </w:rPr>
      </w:pPr>
      <w:r>
        <w:rPr>
          <w:sz w:val="20"/>
          <w:szCs w:val="20"/>
        </w:rPr>
        <w:t>5.2. LGBT people are perceived and portrayed as ‘sinners</w:t>
      </w:r>
      <w:r w:rsidR="00AD18C0">
        <w:rPr>
          <w:sz w:val="20"/>
          <w:szCs w:val="20"/>
        </w:rPr>
        <w:t>’</w:t>
      </w:r>
      <w:r>
        <w:rPr>
          <w:sz w:val="20"/>
          <w:szCs w:val="20"/>
        </w:rPr>
        <w:t>,</w:t>
      </w:r>
      <w:r w:rsidR="00AD18C0">
        <w:rPr>
          <w:sz w:val="20"/>
          <w:szCs w:val="20"/>
        </w:rPr>
        <w:t xml:space="preserve"> </w:t>
      </w:r>
      <w:r>
        <w:rPr>
          <w:sz w:val="20"/>
          <w:szCs w:val="20"/>
        </w:rPr>
        <w:t xml:space="preserve">including descriptions by some media outlets like </w:t>
      </w:r>
      <w:r>
        <w:rPr>
          <w:i/>
          <w:sz w:val="20"/>
          <w:szCs w:val="20"/>
        </w:rPr>
        <w:t>‘</w:t>
      </w:r>
      <w:proofErr w:type="spellStart"/>
      <w:r>
        <w:rPr>
          <w:i/>
          <w:sz w:val="20"/>
          <w:szCs w:val="20"/>
        </w:rPr>
        <w:t>komuniti</w:t>
      </w:r>
      <w:proofErr w:type="spellEnd"/>
      <w:r>
        <w:rPr>
          <w:i/>
          <w:sz w:val="20"/>
          <w:szCs w:val="20"/>
        </w:rPr>
        <w:t xml:space="preserve"> </w:t>
      </w:r>
      <w:proofErr w:type="spellStart"/>
      <w:r>
        <w:rPr>
          <w:i/>
          <w:sz w:val="20"/>
          <w:szCs w:val="20"/>
        </w:rPr>
        <w:t>songsang</w:t>
      </w:r>
      <w:proofErr w:type="spellEnd"/>
      <w:r>
        <w:rPr>
          <w:sz w:val="20"/>
          <w:szCs w:val="20"/>
        </w:rPr>
        <w:t>’ or ‘deviant community.’</w:t>
      </w:r>
      <w:r>
        <w:rPr>
          <w:sz w:val="20"/>
          <w:szCs w:val="20"/>
          <w:vertAlign w:val="superscript"/>
        </w:rPr>
        <w:footnoteReference w:id="38"/>
      </w:r>
      <w:r>
        <w:rPr>
          <w:sz w:val="20"/>
          <w:szCs w:val="20"/>
        </w:rPr>
        <w:t xml:space="preserve"> </w:t>
      </w:r>
    </w:p>
    <w:p w14:paraId="443ED51F" w14:textId="77777777" w:rsidR="00C8128E" w:rsidRDefault="00C8128E">
      <w:pPr>
        <w:spacing w:line="240" w:lineRule="auto"/>
        <w:rPr>
          <w:sz w:val="20"/>
          <w:szCs w:val="20"/>
        </w:rPr>
      </w:pPr>
    </w:p>
    <w:p w14:paraId="3982E054" w14:textId="142A7381" w:rsidR="00C8128E" w:rsidRDefault="00BB4ADC">
      <w:pPr>
        <w:spacing w:line="240" w:lineRule="auto"/>
        <w:rPr>
          <w:color w:val="111827"/>
          <w:sz w:val="20"/>
          <w:szCs w:val="20"/>
        </w:rPr>
      </w:pPr>
      <w:r>
        <w:rPr>
          <w:sz w:val="20"/>
          <w:szCs w:val="20"/>
        </w:rPr>
        <w:t>5.3. Between 2020 and 2022, at least 3 LGBT-related books</w:t>
      </w:r>
      <w:r>
        <w:rPr>
          <w:sz w:val="20"/>
          <w:szCs w:val="20"/>
          <w:vertAlign w:val="superscript"/>
        </w:rPr>
        <w:footnoteReference w:id="39"/>
      </w:r>
      <w:r>
        <w:rPr>
          <w:sz w:val="20"/>
          <w:szCs w:val="20"/>
        </w:rPr>
        <w:t xml:space="preserve"> have been banned under the Printing Presses and Publications Act for being ’</w:t>
      </w:r>
      <w:r>
        <w:rPr>
          <w:sz w:val="20"/>
          <w:szCs w:val="20"/>
          <w:highlight w:val="white"/>
        </w:rPr>
        <w:t>detrimental to public order, morals and public interest’</w:t>
      </w:r>
      <w:r>
        <w:rPr>
          <w:sz w:val="20"/>
          <w:szCs w:val="20"/>
        </w:rPr>
        <w:t>.</w:t>
      </w:r>
      <w:r>
        <w:rPr>
          <w:sz w:val="20"/>
          <w:szCs w:val="20"/>
          <w:vertAlign w:val="superscript"/>
        </w:rPr>
        <w:footnoteReference w:id="40"/>
      </w:r>
      <w:r>
        <w:rPr>
          <w:sz w:val="20"/>
          <w:szCs w:val="20"/>
        </w:rPr>
        <w:t xml:space="preserve"> </w:t>
      </w:r>
      <w:r w:rsidR="001778D1">
        <w:rPr>
          <w:sz w:val="20"/>
          <w:szCs w:val="20"/>
        </w:rPr>
        <w:t>The same year</w:t>
      </w:r>
      <w:r>
        <w:rPr>
          <w:sz w:val="20"/>
          <w:szCs w:val="20"/>
        </w:rPr>
        <w:t>, the Home Ministry appealed a book ban lifted by the High Court.</w:t>
      </w:r>
      <w:r>
        <w:rPr>
          <w:sz w:val="20"/>
          <w:szCs w:val="20"/>
          <w:vertAlign w:val="superscript"/>
        </w:rPr>
        <w:footnoteReference w:id="41"/>
      </w:r>
      <w:r>
        <w:rPr>
          <w:sz w:val="20"/>
          <w:szCs w:val="20"/>
        </w:rPr>
        <w:t xml:space="preserve"> </w:t>
      </w:r>
      <w:r w:rsidR="00AD18C0">
        <w:rPr>
          <w:sz w:val="20"/>
          <w:szCs w:val="20"/>
        </w:rPr>
        <w:t>The same year</w:t>
      </w:r>
      <w:r>
        <w:rPr>
          <w:sz w:val="20"/>
          <w:szCs w:val="20"/>
        </w:rPr>
        <w:t>, two celebrities</w:t>
      </w:r>
      <w:r>
        <w:rPr>
          <w:sz w:val="20"/>
          <w:szCs w:val="20"/>
          <w:vertAlign w:val="superscript"/>
        </w:rPr>
        <w:footnoteReference w:id="42"/>
      </w:r>
      <w:r>
        <w:rPr>
          <w:sz w:val="20"/>
          <w:szCs w:val="20"/>
        </w:rPr>
        <w:t xml:space="preserve"> were charged under the Communications and Multimedia Act (CMA) for sharing on social media platforms their music videos featuring gender-diverse and drag performers.</w:t>
      </w:r>
      <w:r>
        <w:rPr>
          <w:sz w:val="20"/>
          <w:szCs w:val="20"/>
          <w:vertAlign w:val="superscript"/>
        </w:rPr>
        <w:footnoteReference w:id="43"/>
      </w:r>
      <w:r>
        <w:rPr>
          <w:sz w:val="20"/>
          <w:szCs w:val="20"/>
        </w:rPr>
        <w:t xml:space="preserve"> Meanwhile, 2 films were banned due to LGBT content.</w:t>
      </w:r>
      <w:r>
        <w:rPr>
          <w:sz w:val="20"/>
          <w:szCs w:val="20"/>
          <w:vertAlign w:val="superscript"/>
        </w:rPr>
        <w:footnoteReference w:id="44"/>
      </w:r>
      <w:r>
        <w:rPr>
          <w:sz w:val="20"/>
          <w:szCs w:val="20"/>
        </w:rPr>
        <w:t xml:space="preserve"> The then-Deputy Minister of Communications and Multimedia reportedly said that the Ministry and JAKIM will “</w:t>
      </w:r>
      <w:r>
        <w:rPr>
          <w:color w:val="111827"/>
          <w:sz w:val="20"/>
          <w:szCs w:val="20"/>
        </w:rPr>
        <w:t>prevent the spread of LGBT culture in Malaysia” and take “severe action against individuals found promoting such elements.”</w:t>
      </w:r>
      <w:r>
        <w:rPr>
          <w:color w:val="111827"/>
          <w:sz w:val="20"/>
          <w:szCs w:val="20"/>
          <w:vertAlign w:val="superscript"/>
        </w:rPr>
        <w:footnoteReference w:id="45"/>
      </w:r>
    </w:p>
    <w:p w14:paraId="6CE4B6BA" w14:textId="77777777" w:rsidR="00C8128E" w:rsidRDefault="00C8128E">
      <w:pPr>
        <w:spacing w:line="240" w:lineRule="auto"/>
        <w:rPr>
          <w:sz w:val="20"/>
          <w:szCs w:val="20"/>
        </w:rPr>
      </w:pPr>
    </w:p>
    <w:p w14:paraId="1D42F0F6" w14:textId="77777777" w:rsidR="00C8128E" w:rsidRDefault="00BB4ADC">
      <w:pPr>
        <w:spacing w:line="240" w:lineRule="auto"/>
        <w:rPr>
          <w:b/>
          <w:i/>
          <w:sz w:val="20"/>
          <w:szCs w:val="20"/>
        </w:rPr>
      </w:pPr>
      <w:r>
        <w:rPr>
          <w:b/>
          <w:i/>
          <w:sz w:val="20"/>
          <w:szCs w:val="20"/>
        </w:rPr>
        <w:t xml:space="preserve">Critical questions </w:t>
      </w:r>
    </w:p>
    <w:p w14:paraId="2C22DCB8" w14:textId="77777777" w:rsidR="00C8128E" w:rsidRDefault="00C8128E">
      <w:pPr>
        <w:spacing w:line="240" w:lineRule="auto"/>
        <w:rPr>
          <w:sz w:val="20"/>
          <w:szCs w:val="20"/>
        </w:rPr>
      </w:pPr>
    </w:p>
    <w:p w14:paraId="507A4008" w14:textId="6F58EF29" w:rsidR="00C8128E" w:rsidRDefault="00BB4ADC">
      <w:pPr>
        <w:spacing w:line="240" w:lineRule="auto"/>
        <w:rPr>
          <w:sz w:val="20"/>
          <w:szCs w:val="20"/>
        </w:rPr>
      </w:pPr>
      <w:r>
        <w:rPr>
          <w:sz w:val="20"/>
          <w:szCs w:val="20"/>
        </w:rPr>
        <w:t xml:space="preserve">Q7. Given that LGBT rehabilitation are harmful and unscientific, </w:t>
      </w:r>
      <w:r w:rsidR="001163F1">
        <w:rPr>
          <w:sz w:val="20"/>
          <w:szCs w:val="20"/>
        </w:rPr>
        <w:t>what are the</w:t>
      </w:r>
      <w:r>
        <w:rPr>
          <w:sz w:val="20"/>
          <w:szCs w:val="20"/>
        </w:rPr>
        <w:t xml:space="preserve"> state</w:t>
      </w:r>
      <w:r w:rsidR="001163F1">
        <w:rPr>
          <w:sz w:val="20"/>
          <w:szCs w:val="20"/>
        </w:rPr>
        <w:t>’s</w:t>
      </w:r>
      <w:r>
        <w:rPr>
          <w:sz w:val="20"/>
          <w:szCs w:val="20"/>
        </w:rPr>
        <w:t xml:space="preserve"> plan</w:t>
      </w:r>
      <w:r w:rsidR="001163F1">
        <w:rPr>
          <w:sz w:val="20"/>
          <w:szCs w:val="20"/>
        </w:rPr>
        <w:t>s</w:t>
      </w:r>
      <w:r>
        <w:rPr>
          <w:sz w:val="20"/>
          <w:szCs w:val="20"/>
        </w:rPr>
        <w:t xml:space="preserve"> to adopt an evidence and rights-based approach towards </w:t>
      </w:r>
      <w:r>
        <w:rPr>
          <w:sz w:val="20"/>
          <w:szCs w:val="20"/>
          <w:highlight w:val="white"/>
        </w:rPr>
        <w:t>reducing harmful stereotypes against LBTI women</w:t>
      </w:r>
      <w:r>
        <w:rPr>
          <w:sz w:val="20"/>
          <w:szCs w:val="20"/>
        </w:rPr>
        <w:t xml:space="preserve">? How does the state see the correlation between criminalisation and discrimination with LBTI persons’ so-called or perceived willingness to suppress their </w:t>
      </w:r>
      <w:r w:rsidR="001163F1">
        <w:rPr>
          <w:sz w:val="20"/>
          <w:szCs w:val="20"/>
        </w:rPr>
        <w:t>SOGIE</w:t>
      </w:r>
      <w:r>
        <w:rPr>
          <w:sz w:val="20"/>
          <w:szCs w:val="20"/>
        </w:rPr>
        <w:t>?</w:t>
      </w:r>
    </w:p>
    <w:p w14:paraId="7CF74DCA" w14:textId="77777777" w:rsidR="00C8128E" w:rsidRDefault="00C8128E">
      <w:pPr>
        <w:spacing w:line="240" w:lineRule="auto"/>
        <w:rPr>
          <w:sz w:val="20"/>
          <w:szCs w:val="20"/>
        </w:rPr>
      </w:pPr>
    </w:p>
    <w:p w14:paraId="36704B40" w14:textId="41DBFBFE" w:rsidR="00C8128E" w:rsidRDefault="00BB4ADC">
      <w:pPr>
        <w:spacing w:line="240" w:lineRule="auto"/>
        <w:rPr>
          <w:sz w:val="20"/>
          <w:szCs w:val="20"/>
        </w:rPr>
      </w:pPr>
      <w:r>
        <w:rPr>
          <w:sz w:val="20"/>
          <w:szCs w:val="20"/>
        </w:rPr>
        <w:t xml:space="preserve">Q8. </w:t>
      </w:r>
      <w:r w:rsidR="001163F1">
        <w:rPr>
          <w:sz w:val="20"/>
          <w:szCs w:val="20"/>
        </w:rPr>
        <w:t>What are the</w:t>
      </w:r>
      <w:r>
        <w:rPr>
          <w:sz w:val="20"/>
          <w:szCs w:val="20"/>
        </w:rPr>
        <w:t xml:space="preserve"> state</w:t>
      </w:r>
      <w:r w:rsidR="001163F1">
        <w:rPr>
          <w:sz w:val="20"/>
          <w:szCs w:val="20"/>
        </w:rPr>
        <w:t>’s</w:t>
      </w:r>
      <w:r>
        <w:rPr>
          <w:sz w:val="20"/>
          <w:szCs w:val="20"/>
        </w:rPr>
        <w:t xml:space="preserve"> plan</w:t>
      </w:r>
      <w:r w:rsidR="001163F1">
        <w:rPr>
          <w:sz w:val="20"/>
          <w:szCs w:val="20"/>
        </w:rPr>
        <w:t>s</w:t>
      </w:r>
      <w:r>
        <w:rPr>
          <w:sz w:val="20"/>
          <w:szCs w:val="20"/>
        </w:rPr>
        <w:t xml:space="preserve"> to </w:t>
      </w:r>
      <w:r w:rsidR="001163F1">
        <w:rPr>
          <w:sz w:val="20"/>
          <w:szCs w:val="20"/>
        </w:rPr>
        <w:t>ensure</w:t>
      </w:r>
      <w:r>
        <w:rPr>
          <w:sz w:val="20"/>
          <w:szCs w:val="20"/>
        </w:rPr>
        <w:t xml:space="preserve"> SOGIESC-</w:t>
      </w:r>
      <w:r w:rsidR="001163F1">
        <w:rPr>
          <w:sz w:val="20"/>
          <w:szCs w:val="20"/>
        </w:rPr>
        <w:t xml:space="preserve">affirming </w:t>
      </w:r>
      <w:r>
        <w:rPr>
          <w:sz w:val="20"/>
          <w:szCs w:val="20"/>
        </w:rPr>
        <w:t xml:space="preserve">content and expressions are not prohibited or viewed as a </w:t>
      </w:r>
      <w:r w:rsidR="001163F1">
        <w:rPr>
          <w:sz w:val="20"/>
          <w:szCs w:val="20"/>
        </w:rPr>
        <w:t>‘promotion of LGBT lifestyle’ or threat</w:t>
      </w:r>
      <w:r>
        <w:rPr>
          <w:sz w:val="20"/>
          <w:szCs w:val="20"/>
        </w:rPr>
        <w:t xml:space="preserve">? </w:t>
      </w:r>
    </w:p>
    <w:p w14:paraId="0D039C50" w14:textId="77777777" w:rsidR="00C8128E" w:rsidRDefault="00C8128E">
      <w:pPr>
        <w:spacing w:line="240" w:lineRule="auto"/>
      </w:pPr>
    </w:p>
    <w:p w14:paraId="5E90562B" w14:textId="77777777" w:rsidR="00C8128E" w:rsidRDefault="00BB4ADC">
      <w:pPr>
        <w:spacing w:line="240" w:lineRule="auto"/>
        <w:rPr>
          <w:b/>
        </w:rPr>
      </w:pPr>
      <w:r>
        <w:br w:type="page"/>
      </w:r>
    </w:p>
    <w:p w14:paraId="624696CC" w14:textId="77777777" w:rsidR="00C8128E" w:rsidRDefault="00BB4ADC">
      <w:pPr>
        <w:spacing w:line="240" w:lineRule="auto"/>
        <w:rPr>
          <w:b/>
        </w:rPr>
      </w:pPr>
      <w:r>
        <w:rPr>
          <w:b/>
        </w:rPr>
        <w:lastRenderedPageBreak/>
        <w:t>Article 7: Political and public life</w:t>
      </w:r>
    </w:p>
    <w:p w14:paraId="4913EE85" w14:textId="77777777" w:rsidR="00C8128E" w:rsidRDefault="00C8128E">
      <w:pPr>
        <w:spacing w:line="240" w:lineRule="auto"/>
        <w:rPr>
          <w:i/>
          <w:sz w:val="20"/>
          <w:szCs w:val="20"/>
        </w:rPr>
      </w:pPr>
    </w:p>
    <w:p w14:paraId="1CB23910" w14:textId="77777777" w:rsidR="00C8128E" w:rsidRDefault="00BB4ADC">
      <w:pPr>
        <w:spacing w:line="240" w:lineRule="auto"/>
        <w:rPr>
          <w:i/>
          <w:sz w:val="20"/>
          <w:szCs w:val="20"/>
        </w:rPr>
      </w:pPr>
      <w:r>
        <w:rPr>
          <w:i/>
          <w:sz w:val="20"/>
          <w:szCs w:val="20"/>
        </w:rPr>
        <w:t xml:space="preserve">Right to vote </w:t>
      </w:r>
    </w:p>
    <w:p w14:paraId="7C43DEFE" w14:textId="77777777" w:rsidR="00C8128E" w:rsidRDefault="00C8128E">
      <w:pPr>
        <w:spacing w:line="240" w:lineRule="auto"/>
        <w:rPr>
          <w:i/>
          <w:sz w:val="20"/>
          <w:szCs w:val="20"/>
        </w:rPr>
      </w:pPr>
    </w:p>
    <w:p w14:paraId="52CEC1B7" w14:textId="2023CE65" w:rsidR="00C8128E" w:rsidRDefault="00BB4ADC">
      <w:pPr>
        <w:spacing w:line="240" w:lineRule="auto"/>
        <w:rPr>
          <w:sz w:val="20"/>
          <w:szCs w:val="20"/>
        </w:rPr>
      </w:pPr>
      <w:r>
        <w:rPr>
          <w:sz w:val="20"/>
          <w:szCs w:val="20"/>
        </w:rPr>
        <w:t xml:space="preserve">7.1 The lack of </w:t>
      </w:r>
      <w:r w:rsidR="00461734">
        <w:rPr>
          <w:sz w:val="20"/>
          <w:szCs w:val="20"/>
        </w:rPr>
        <w:t>LGR</w:t>
      </w:r>
      <w:r>
        <w:rPr>
          <w:sz w:val="20"/>
          <w:szCs w:val="20"/>
        </w:rPr>
        <w:t xml:space="preserve"> for trans and gender-diverse people </w:t>
      </w:r>
      <w:r w:rsidR="00A714A2">
        <w:rPr>
          <w:sz w:val="20"/>
          <w:szCs w:val="20"/>
        </w:rPr>
        <w:t>negatively impacts their</w:t>
      </w:r>
      <w:r>
        <w:rPr>
          <w:sz w:val="20"/>
          <w:szCs w:val="20"/>
        </w:rPr>
        <w:t xml:space="preserve"> participat</w:t>
      </w:r>
      <w:r w:rsidR="00A714A2">
        <w:rPr>
          <w:sz w:val="20"/>
          <w:szCs w:val="20"/>
        </w:rPr>
        <w:t>ion</w:t>
      </w:r>
      <w:r>
        <w:rPr>
          <w:sz w:val="20"/>
          <w:szCs w:val="20"/>
        </w:rPr>
        <w:t xml:space="preserve"> in elections and politics.</w:t>
      </w:r>
      <w:r w:rsidR="009404DA">
        <w:rPr>
          <w:sz w:val="20"/>
          <w:szCs w:val="20"/>
        </w:rPr>
        <w:t xml:space="preserve"> They </w:t>
      </w:r>
      <w:r>
        <w:rPr>
          <w:sz w:val="20"/>
          <w:szCs w:val="20"/>
        </w:rPr>
        <w:t>are inevitably subjected to misgendering, being outed, or having their gender identity disclosed to the election officers and others at the polling centre</w:t>
      </w:r>
      <w:r w:rsidR="009404DA">
        <w:rPr>
          <w:sz w:val="20"/>
          <w:szCs w:val="20"/>
        </w:rPr>
        <w:t>, as the electoral rolls reflect name and gender marker IC</w:t>
      </w:r>
      <w:r>
        <w:rPr>
          <w:sz w:val="20"/>
          <w:szCs w:val="20"/>
        </w:rPr>
        <w:t xml:space="preserve">. </w:t>
      </w:r>
    </w:p>
    <w:p w14:paraId="60EA64AB" w14:textId="77777777" w:rsidR="00C8128E" w:rsidRDefault="00C8128E">
      <w:pPr>
        <w:spacing w:line="240" w:lineRule="auto"/>
        <w:rPr>
          <w:sz w:val="20"/>
          <w:szCs w:val="20"/>
        </w:rPr>
      </w:pPr>
    </w:p>
    <w:p w14:paraId="1B24D023" w14:textId="6F4A69DE" w:rsidR="00C8128E" w:rsidRDefault="00BB4ADC">
      <w:pPr>
        <w:spacing w:line="240" w:lineRule="auto"/>
        <w:rPr>
          <w:sz w:val="20"/>
          <w:szCs w:val="20"/>
        </w:rPr>
      </w:pPr>
      <w:r>
        <w:rPr>
          <w:sz w:val="20"/>
          <w:szCs w:val="20"/>
        </w:rPr>
        <w:t>7.2 In the last two elections, those whose appearance differ</w:t>
      </w:r>
      <w:r w:rsidR="008E6BFF">
        <w:rPr>
          <w:sz w:val="20"/>
          <w:szCs w:val="20"/>
        </w:rPr>
        <w:t>s</w:t>
      </w:r>
      <w:r>
        <w:rPr>
          <w:sz w:val="20"/>
          <w:szCs w:val="20"/>
        </w:rPr>
        <w:t xml:space="preserve"> from the photo on their IC, including trans and gender-diverse persons, are required to </w:t>
      </w:r>
      <w:r w:rsidR="00BC692A">
        <w:rPr>
          <w:sz w:val="20"/>
          <w:szCs w:val="20"/>
        </w:rPr>
        <w:t xml:space="preserve">complete </w:t>
      </w:r>
      <w:r>
        <w:rPr>
          <w:sz w:val="20"/>
          <w:szCs w:val="20"/>
        </w:rPr>
        <w:t>Form 11 to verify their identity.</w:t>
      </w:r>
      <w:r>
        <w:rPr>
          <w:sz w:val="20"/>
          <w:szCs w:val="20"/>
          <w:vertAlign w:val="superscript"/>
        </w:rPr>
        <w:footnoteReference w:id="46"/>
      </w:r>
      <w:r>
        <w:rPr>
          <w:sz w:val="20"/>
          <w:szCs w:val="20"/>
        </w:rPr>
        <w:t xml:space="preserve"> </w:t>
      </w:r>
      <w:r w:rsidR="008E6BFF">
        <w:rPr>
          <w:sz w:val="20"/>
          <w:szCs w:val="20"/>
        </w:rPr>
        <w:t>Anecdotal evidence shows</w:t>
      </w:r>
      <w:r>
        <w:rPr>
          <w:sz w:val="20"/>
          <w:szCs w:val="20"/>
        </w:rPr>
        <w:t xml:space="preserve"> Form 11 </w:t>
      </w:r>
      <w:r w:rsidR="00BC692A">
        <w:rPr>
          <w:sz w:val="20"/>
          <w:szCs w:val="20"/>
        </w:rPr>
        <w:t>is not</w:t>
      </w:r>
      <w:r>
        <w:rPr>
          <w:sz w:val="20"/>
          <w:szCs w:val="20"/>
        </w:rPr>
        <w:t xml:space="preserve"> applied consistently for all trans and gender-diverse persons: some reportedly were required to complete Form 11, and some reported microaggressions from election officers.</w:t>
      </w:r>
    </w:p>
    <w:p w14:paraId="6E518449" w14:textId="77777777" w:rsidR="00C8128E" w:rsidRDefault="00C8128E">
      <w:pPr>
        <w:spacing w:line="240" w:lineRule="auto"/>
        <w:rPr>
          <w:sz w:val="20"/>
          <w:szCs w:val="20"/>
        </w:rPr>
      </w:pPr>
    </w:p>
    <w:p w14:paraId="484CDFDA" w14:textId="77777777" w:rsidR="00C8128E" w:rsidRDefault="00BB4ADC">
      <w:pPr>
        <w:spacing w:line="240" w:lineRule="auto"/>
        <w:rPr>
          <w:i/>
          <w:sz w:val="20"/>
          <w:szCs w:val="20"/>
        </w:rPr>
      </w:pPr>
      <w:r>
        <w:rPr>
          <w:i/>
          <w:sz w:val="20"/>
          <w:szCs w:val="20"/>
        </w:rPr>
        <w:t xml:space="preserve">Barriers to public and political participation </w:t>
      </w:r>
    </w:p>
    <w:p w14:paraId="4834876F" w14:textId="5DCD2ECE" w:rsidR="00C8128E" w:rsidRDefault="00BB4ADC">
      <w:pPr>
        <w:spacing w:before="240" w:after="240" w:line="240" w:lineRule="auto"/>
        <w:rPr>
          <w:sz w:val="20"/>
          <w:szCs w:val="20"/>
        </w:rPr>
      </w:pPr>
      <w:r>
        <w:rPr>
          <w:sz w:val="20"/>
          <w:szCs w:val="20"/>
        </w:rPr>
        <w:t>7.3 Election hate speech monitoring found offensive speech related to gender and sexual orientation was 3 times higher than religion- and race-related offensive speech.</w:t>
      </w:r>
      <w:r>
        <w:rPr>
          <w:sz w:val="20"/>
          <w:szCs w:val="20"/>
          <w:vertAlign w:val="superscript"/>
        </w:rPr>
        <w:footnoteReference w:id="47"/>
      </w:r>
      <w:r>
        <w:rPr>
          <w:sz w:val="20"/>
          <w:szCs w:val="20"/>
        </w:rPr>
        <w:t xml:space="preserve"> A survey with 220 LGBT people found 55% and 53% faced increased stress due to media sensationalism and online hate speech, respectively. Meanwhile, 39% experienced discrimination.</w:t>
      </w:r>
      <w:r>
        <w:rPr>
          <w:sz w:val="20"/>
          <w:szCs w:val="20"/>
          <w:vertAlign w:val="superscript"/>
        </w:rPr>
        <w:footnoteReference w:id="48"/>
      </w:r>
      <w:r>
        <w:rPr>
          <w:sz w:val="20"/>
          <w:szCs w:val="20"/>
        </w:rPr>
        <w:t xml:space="preserve"> </w:t>
      </w:r>
    </w:p>
    <w:p w14:paraId="223C93FA" w14:textId="4EC23A7D" w:rsidR="00C8128E" w:rsidRDefault="00BB4ADC">
      <w:pPr>
        <w:spacing w:before="240" w:after="240" w:line="240" w:lineRule="auto"/>
        <w:rPr>
          <w:sz w:val="20"/>
          <w:szCs w:val="20"/>
        </w:rPr>
      </w:pPr>
      <w:r>
        <w:rPr>
          <w:sz w:val="20"/>
          <w:szCs w:val="20"/>
        </w:rPr>
        <w:t xml:space="preserve">7.4 </w:t>
      </w:r>
      <w:r w:rsidR="00BC692A">
        <w:rPr>
          <w:sz w:val="20"/>
          <w:szCs w:val="20"/>
        </w:rPr>
        <w:t>P</w:t>
      </w:r>
      <w:r>
        <w:rPr>
          <w:sz w:val="20"/>
          <w:szCs w:val="20"/>
        </w:rPr>
        <w:t xml:space="preserve">olitical </w:t>
      </w:r>
      <w:proofErr w:type="spellStart"/>
      <w:r>
        <w:rPr>
          <w:sz w:val="20"/>
          <w:szCs w:val="20"/>
        </w:rPr>
        <w:t>LGBTphobia</w:t>
      </w:r>
      <w:proofErr w:type="spellEnd"/>
      <w:r>
        <w:rPr>
          <w:sz w:val="20"/>
          <w:szCs w:val="20"/>
        </w:rPr>
        <w:t xml:space="preserve"> is high,</w:t>
      </w:r>
      <w:r>
        <w:rPr>
          <w:sz w:val="20"/>
          <w:szCs w:val="20"/>
          <w:vertAlign w:val="superscript"/>
        </w:rPr>
        <w:footnoteReference w:id="49"/>
      </w:r>
      <w:r>
        <w:rPr>
          <w:sz w:val="20"/>
          <w:szCs w:val="20"/>
        </w:rPr>
        <w:t xml:space="preserve"> evidenced by outing of politicians based on perceived sexual orientation, leak</w:t>
      </w:r>
      <w:r w:rsidR="00BC692A">
        <w:rPr>
          <w:sz w:val="20"/>
          <w:szCs w:val="20"/>
        </w:rPr>
        <w:t>ed</w:t>
      </w:r>
      <w:r>
        <w:rPr>
          <w:sz w:val="20"/>
          <w:szCs w:val="20"/>
        </w:rPr>
        <w:t xml:space="preserve"> sex videos, name-calling,</w:t>
      </w:r>
      <w:r>
        <w:rPr>
          <w:sz w:val="20"/>
          <w:szCs w:val="20"/>
          <w:vertAlign w:val="superscript"/>
        </w:rPr>
        <w:footnoteReference w:id="50"/>
      </w:r>
      <w:r>
        <w:rPr>
          <w:sz w:val="20"/>
          <w:szCs w:val="20"/>
        </w:rPr>
        <w:t xml:space="preserve"> </w:t>
      </w:r>
      <w:r w:rsidR="008E6BFF">
        <w:rPr>
          <w:sz w:val="20"/>
          <w:szCs w:val="20"/>
        </w:rPr>
        <w:t xml:space="preserve">LGBT </w:t>
      </w:r>
      <w:r w:rsidR="00BC692A">
        <w:rPr>
          <w:sz w:val="20"/>
          <w:szCs w:val="20"/>
        </w:rPr>
        <w:t>scapegoating</w:t>
      </w:r>
      <w:r w:rsidR="008E6BFF">
        <w:rPr>
          <w:sz w:val="20"/>
          <w:szCs w:val="20"/>
        </w:rPr>
        <w:t>,</w:t>
      </w:r>
      <w:r w:rsidR="00BC692A">
        <w:rPr>
          <w:sz w:val="20"/>
          <w:szCs w:val="20"/>
        </w:rPr>
        <w:t xml:space="preserve"> </w:t>
      </w:r>
      <w:r>
        <w:rPr>
          <w:sz w:val="20"/>
          <w:szCs w:val="20"/>
        </w:rPr>
        <w:t>among others</w:t>
      </w:r>
      <w:r w:rsidR="00BC692A">
        <w:rPr>
          <w:sz w:val="20"/>
          <w:szCs w:val="20"/>
        </w:rPr>
        <w:t xml:space="preserve">. While </w:t>
      </w:r>
      <w:r>
        <w:rPr>
          <w:sz w:val="20"/>
          <w:szCs w:val="20"/>
        </w:rPr>
        <w:t>Section 4A of the Election Offences Act prohibits promotion of ill-will or hostility</w:t>
      </w:r>
      <w:r w:rsidR="00BC692A">
        <w:rPr>
          <w:sz w:val="20"/>
          <w:szCs w:val="20"/>
        </w:rPr>
        <w:t>,</w:t>
      </w:r>
      <w:r>
        <w:rPr>
          <w:sz w:val="20"/>
          <w:szCs w:val="20"/>
          <w:vertAlign w:val="superscript"/>
        </w:rPr>
        <w:footnoteReference w:id="51"/>
      </w:r>
      <w:r>
        <w:rPr>
          <w:sz w:val="20"/>
          <w:szCs w:val="20"/>
        </w:rPr>
        <w:t xml:space="preserve"> </w:t>
      </w:r>
      <w:r w:rsidR="008E6BFF">
        <w:rPr>
          <w:sz w:val="20"/>
          <w:szCs w:val="20"/>
        </w:rPr>
        <w:t>it has not been applied against promotion hostility against LGBT persons</w:t>
      </w:r>
      <w:r w:rsidR="00BC692A">
        <w:rPr>
          <w:sz w:val="20"/>
          <w:szCs w:val="20"/>
        </w:rPr>
        <w:t xml:space="preserve">. </w:t>
      </w:r>
      <w:r>
        <w:rPr>
          <w:sz w:val="20"/>
          <w:szCs w:val="20"/>
        </w:rPr>
        <w:t xml:space="preserve">Political parties subjected to </w:t>
      </w:r>
      <w:proofErr w:type="spellStart"/>
      <w:r>
        <w:rPr>
          <w:sz w:val="20"/>
          <w:szCs w:val="20"/>
        </w:rPr>
        <w:t>LGBTphobia</w:t>
      </w:r>
      <w:proofErr w:type="spellEnd"/>
      <w:r>
        <w:rPr>
          <w:sz w:val="20"/>
          <w:szCs w:val="20"/>
        </w:rPr>
        <w:t xml:space="preserve">, aggressively and </w:t>
      </w:r>
      <w:r w:rsidR="00BC692A">
        <w:rPr>
          <w:sz w:val="20"/>
          <w:szCs w:val="20"/>
        </w:rPr>
        <w:t>pre-emptively</w:t>
      </w:r>
      <w:r>
        <w:rPr>
          <w:sz w:val="20"/>
          <w:szCs w:val="20"/>
        </w:rPr>
        <w:t xml:space="preserve"> disassociate themselves from LGBT-related issues, </w:t>
      </w:r>
      <w:r w:rsidR="001778D1">
        <w:rPr>
          <w:sz w:val="20"/>
          <w:szCs w:val="20"/>
        </w:rPr>
        <w:t>exacerbating</w:t>
      </w:r>
      <w:r>
        <w:rPr>
          <w:sz w:val="20"/>
          <w:szCs w:val="20"/>
        </w:rPr>
        <w:t xml:space="preserve"> </w:t>
      </w:r>
      <w:r w:rsidR="00BC692A">
        <w:rPr>
          <w:sz w:val="20"/>
          <w:szCs w:val="20"/>
        </w:rPr>
        <w:t xml:space="preserve">LGBT </w:t>
      </w:r>
      <w:r>
        <w:rPr>
          <w:sz w:val="20"/>
          <w:szCs w:val="20"/>
        </w:rPr>
        <w:t xml:space="preserve">exclusion. </w:t>
      </w:r>
    </w:p>
    <w:p w14:paraId="0905B1D2" w14:textId="4611E489" w:rsidR="00C8128E" w:rsidRDefault="00BB4ADC">
      <w:pPr>
        <w:spacing w:before="240" w:after="240" w:line="240" w:lineRule="auto"/>
        <w:rPr>
          <w:sz w:val="20"/>
          <w:szCs w:val="20"/>
        </w:rPr>
      </w:pPr>
      <w:r>
        <w:rPr>
          <w:sz w:val="20"/>
          <w:szCs w:val="20"/>
        </w:rPr>
        <w:t xml:space="preserve">7.5 LBT human rights defenders </w:t>
      </w:r>
      <w:r w:rsidR="00B46AEE">
        <w:rPr>
          <w:sz w:val="20"/>
          <w:szCs w:val="20"/>
        </w:rPr>
        <w:t xml:space="preserve">(HRD) </w:t>
      </w:r>
      <w:r>
        <w:rPr>
          <w:sz w:val="20"/>
          <w:szCs w:val="20"/>
        </w:rPr>
        <w:t>report increasing apathy</w:t>
      </w:r>
      <w:r w:rsidR="00B46AEE">
        <w:rPr>
          <w:sz w:val="20"/>
          <w:szCs w:val="20"/>
        </w:rPr>
        <w:t xml:space="preserve"> </w:t>
      </w:r>
      <w:r>
        <w:rPr>
          <w:sz w:val="20"/>
          <w:szCs w:val="20"/>
        </w:rPr>
        <w:t xml:space="preserve">and dismissal by government </w:t>
      </w:r>
      <w:r w:rsidR="008E6BFF">
        <w:rPr>
          <w:sz w:val="20"/>
          <w:szCs w:val="20"/>
        </w:rPr>
        <w:t xml:space="preserve">actors </w:t>
      </w:r>
      <w:r>
        <w:rPr>
          <w:sz w:val="20"/>
          <w:szCs w:val="20"/>
        </w:rPr>
        <w:t xml:space="preserve">citing “sensitivity” </w:t>
      </w:r>
      <w:r w:rsidR="00BC692A">
        <w:rPr>
          <w:sz w:val="20"/>
          <w:szCs w:val="20"/>
        </w:rPr>
        <w:t xml:space="preserve">in response to </w:t>
      </w:r>
      <w:r>
        <w:rPr>
          <w:sz w:val="20"/>
          <w:szCs w:val="20"/>
        </w:rPr>
        <w:t>discrimination against L</w:t>
      </w:r>
      <w:r w:rsidR="00BC692A">
        <w:rPr>
          <w:sz w:val="20"/>
          <w:szCs w:val="20"/>
        </w:rPr>
        <w:t>BTI women</w:t>
      </w:r>
      <w:r>
        <w:rPr>
          <w:sz w:val="20"/>
          <w:szCs w:val="20"/>
        </w:rPr>
        <w:t>.</w:t>
      </w:r>
      <w:r>
        <w:rPr>
          <w:sz w:val="20"/>
          <w:szCs w:val="20"/>
          <w:vertAlign w:val="superscript"/>
        </w:rPr>
        <w:footnoteReference w:id="52"/>
      </w:r>
      <w:r>
        <w:rPr>
          <w:sz w:val="20"/>
          <w:szCs w:val="20"/>
        </w:rPr>
        <w:t xml:space="preserve"> </w:t>
      </w:r>
    </w:p>
    <w:p w14:paraId="3A836A28" w14:textId="4E09B063" w:rsidR="00C8128E" w:rsidRDefault="00BB4ADC">
      <w:pPr>
        <w:spacing w:before="240" w:after="240" w:line="240" w:lineRule="auto"/>
        <w:rPr>
          <w:sz w:val="20"/>
          <w:szCs w:val="20"/>
        </w:rPr>
      </w:pPr>
      <w:r>
        <w:rPr>
          <w:sz w:val="20"/>
          <w:szCs w:val="20"/>
        </w:rPr>
        <w:t xml:space="preserve">7.6 State-linked ex-LGBT groups are pitted against LBT </w:t>
      </w:r>
      <w:r w:rsidR="00B46AEE">
        <w:rPr>
          <w:sz w:val="20"/>
          <w:szCs w:val="20"/>
        </w:rPr>
        <w:t xml:space="preserve">HRD </w:t>
      </w:r>
      <w:r>
        <w:rPr>
          <w:sz w:val="20"/>
          <w:szCs w:val="20"/>
        </w:rPr>
        <w:t xml:space="preserve">to reinforce the ‘legitimacy’ and ‘efficacy’ of </w:t>
      </w:r>
      <w:r w:rsidR="00B46AEE">
        <w:rPr>
          <w:sz w:val="20"/>
          <w:szCs w:val="20"/>
        </w:rPr>
        <w:t xml:space="preserve">the state’s </w:t>
      </w:r>
      <w:r>
        <w:rPr>
          <w:sz w:val="20"/>
          <w:szCs w:val="20"/>
        </w:rPr>
        <w:t xml:space="preserve">harmful ‘rehabilitation’ programmes and deter representation of LBTI women in government processes. In 2019, a </w:t>
      </w:r>
      <w:r w:rsidR="00B46AEE">
        <w:rPr>
          <w:sz w:val="20"/>
          <w:szCs w:val="20"/>
        </w:rPr>
        <w:t>trans woman HRD</w:t>
      </w:r>
      <w:r>
        <w:rPr>
          <w:sz w:val="20"/>
          <w:szCs w:val="20"/>
        </w:rPr>
        <w:t xml:space="preserve"> faced public backlash following her appointment as a civil society representative </w:t>
      </w:r>
      <w:r w:rsidR="00B46AEE">
        <w:rPr>
          <w:sz w:val="20"/>
          <w:szCs w:val="20"/>
        </w:rPr>
        <w:t xml:space="preserve">to </w:t>
      </w:r>
      <w:r>
        <w:rPr>
          <w:sz w:val="20"/>
          <w:szCs w:val="20"/>
        </w:rPr>
        <w:t>a</w:t>
      </w:r>
      <w:r w:rsidR="00B46AEE">
        <w:rPr>
          <w:sz w:val="20"/>
          <w:szCs w:val="20"/>
        </w:rPr>
        <w:t xml:space="preserve"> civil society-state HIV </w:t>
      </w:r>
      <w:r>
        <w:rPr>
          <w:sz w:val="20"/>
          <w:szCs w:val="20"/>
        </w:rPr>
        <w:t>oversight mechanism. This included public pressure to review and replace her with an ex-transgender person.</w:t>
      </w:r>
      <w:r>
        <w:rPr>
          <w:sz w:val="20"/>
          <w:szCs w:val="20"/>
          <w:vertAlign w:val="superscript"/>
        </w:rPr>
        <w:footnoteReference w:id="53"/>
      </w:r>
      <w:r>
        <w:rPr>
          <w:sz w:val="20"/>
          <w:szCs w:val="20"/>
        </w:rPr>
        <w:t xml:space="preserve"> </w:t>
      </w:r>
      <w:r>
        <w:rPr>
          <w:sz w:val="20"/>
          <w:szCs w:val="20"/>
          <w:vertAlign w:val="superscript"/>
        </w:rPr>
        <w:footnoteReference w:id="54"/>
      </w:r>
      <w:r w:rsidR="00B46AEE">
        <w:rPr>
          <w:sz w:val="20"/>
          <w:szCs w:val="20"/>
        </w:rPr>
        <w:t xml:space="preserve"> </w:t>
      </w:r>
      <w:r w:rsidR="00A95F29">
        <w:rPr>
          <w:sz w:val="20"/>
          <w:szCs w:val="20"/>
        </w:rPr>
        <w:t>She</w:t>
      </w:r>
      <w:r>
        <w:rPr>
          <w:sz w:val="20"/>
          <w:szCs w:val="20"/>
        </w:rPr>
        <w:t xml:space="preserve"> was subjected to death threats and </w:t>
      </w:r>
      <w:r>
        <w:rPr>
          <w:sz w:val="20"/>
          <w:szCs w:val="20"/>
        </w:rPr>
        <w:lastRenderedPageBreak/>
        <w:t>doxing, where her personal information and pre-transition photos were dis</w:t>
      </w:r>
      <w:r w:rsidR="00B46AEE">
        <w:rPr>
          <w:sz w:val="20"/>
          <w:szCs w:val="20"/>
        </w:rPr>
        <w:t xml:space="preserve">seminated </w:t>
      </w:r>
      <w:r>
        <w:rPr>
          <w:sz w:val="20"/>
          <w:szCs w:val="20"/>
        </w:rPr>
        <w:t>without her consent. While the Ministry of Health maintained her representation, the backlash was not addressed.</w:t>
      </w:r>
      <w:r>
        <w:rPr>
          <w:sz w:val="20"/>
          <w:szCs w:val="20"/>
          <w:vertAlign w:val="superscript"/>
        </w:rPr>
        <w:footnoteReference w:id="55"/>
      </w:r>
      <w:r>
        <w:rPr>
          <w:sz w:val="20"/>
          <w:szCs w:val="20"/>
        </w:rPr>
        <w:t xml:space="preserve"> </w:t>
      </w:r>
    </w:p>
    <w:p w14:paraId="5E8C4218" w14:textId="7B88A106" w:rsidR="00C8128E" w:rsidRDefault="00BB4ADC">
      <w:pPr>
        <w:spacing w:before="240" w:after="240" w:line="240" w:lineRule="auto"/>
        <w:rPr>
          <w:b/>
        </w:rPr>
      </w:pPr>
      <w:r>
        <w:rPr>
          <w:sz w:val="20"/>
          <w:szCs w:val="20"/>
        </w:rPr>
        <w:t xml:space="preserve">7.6 Advocacy efforts and criticism against the state’s LGBT ‘rehabilitation’ and other harmful programmes are met with </w:t>
      </w:r>
      <w:r w:rsidR="00B46AEE">
        <w:rPr>
          <w:sz w:val="20"/>
          <w:szCs w:val="20"/>
        </w:rPr>
        <w:t>punitive measures</w:t>
      </w:r>
      <w:r>
        <w:rPr>
          <w:sz w:val="20"/>
          <w:szCs w:val="20"/>
        </w:rPr>
        <w:t xml:space="preserve">, including police reports </w:t>
      </w:r>
      <w:r w:rsidR="00B46AEE">
        <w:rPr>
          <w:sz w:val="20"/>
          <w:szCs w:val="20"/>
        </w:rPr>
        <w:t xml:space="preserve">against HRD </w:t>
      </w:r>
      <w:r>
        <w:rPr>
          <w:sz w:val="20"/>
          <w:szCs w:val="20"/>
        </w:rPr>
        <w:t>by JAKIM.</w:t>
      </w:r>
      <w:r>
        <w:rPr>
          <w:sz w:val="20"/>
          <w:szCs w:val="20"/>
          <w:vertAlign w:val="superscript"/>
        </w:rPr>
        <w:footnoteReference w:id="56"/>
      </w:r>
      <w:r>
        <w:rPr>
          <w:sz w:val="20"/>
          <w:szCs w:val="20"/>
        </w:rPr>
        <w:t xml:space="preserve"> </w:t>
      </w:r>
    </w:p>
    <w:p w14:paraId="45D06A16" w14:textId="77777777" w:rsidR="00C8128E" w:rsidRDefault="00BB4ADC">
      <w:pPr>
        <w:spacing w:line="240" w:lineRule="auto"/>
        <w:rPr>
          <w:i/>
          <w:sz w:val="20"/>
          <w:szCs w:val="20"/>
        </w:rPr>
      </w:pPr>
      <w:r>
        <w:rPr>
          <w:i/>
          <w:sz w:val="20"/>
          <w:szCs w:val="20"/>
        </w:rPr>
        <w:t xml:space="preserve">Freedom of assembly </w:t>
      </w:r>
    </w:p>
    <w:p w14:paraId="67829FE3" w14:textId="77777777" w:rsidR="00C8128E" w:rsidRDefault="00C8128E">
      <w:pPr>
        <w:spacing w:line="240" w:lineRule="auto"/>
        <w:rPr>
          <w:i/>
          <w:sz w:val="20"/>
          <w:szCs w:val="20"/>
        </w:rPr>
      </w:pPr>
    </w:p>
    <w:p w14:paraId="193CB5C3" w14:textId="7D5AAA65" w:rsidR="00C8128E" w:rsidRDefault="00BB4ADC">
      <w:pPr>
        <w:spacing w:line="240" w:lineRule="auto"/>
        <w:rPr>
          <w:sz w:val="20"/>
          <w:szCs w:val="20"/>
        </w:rPr>
      </w:pPr>
      <w:r>
        <w:rPr>
          <w:sz w:val="20"/>
          <w:szCs w:val="20"/>
        </w:rPr>
        <w:t>7.3. Between 2019 and 2022, at least five LGBT-related events</w:t>
      </w:r>
      <w:r>
        <w:rPr>
          <w:sz w:val="20"/>
          <w:szCs w:val="20"/>
          <w:vertAlign w:val="superscript"/>
        </w:rPr>
        <w:footnoteReference w:id="57"/>
      </w:r>
      <w:r>
        <w:rPr>
          <w:sz w:val="20"/>
          <w:szCs w:val="20"/>
        </w:rPr>
        <w:t xml:space="preserve"> were reportedly intimidated, raided, or disrupted by the police and/or the state Islamic departments. A venue that hosted an LGBT social event was notified by the police to expect raids should they continue to host the event. The Women’s March 2019 organisers were investigated under the Sedition Act and the Peaceful Assembly Act due to LGBT visibility and inclusion; the charges were later dropped. In most of these incidents, trans women were targeted by the police and state Islamic departments, with Muslims being subjected to investigation under state </w:t>
      </w:r>
      <w:r>
        <w:rPr>
          <w:i/>
          <w:sz w:val="20"/>
          <w:szCs w:val="20"/>
        </w:rPr>
        <w:t xml:space="preserve">syariah </w:t>
      </w:r>
      <w:r>
        <w:rPr>
          <w:sz w:val="20"/>
          <w:szCs w:val="20"/>
        </w:rPr>
        <w:t xml:space="preserve">laws. </w:t>
      </w:r>
    </w:p>
    <w:p w14:paraId="4915BBB4" w14:textId="77777777" w:rsidR="00C8128E" w:rsidRDefault="00C8128E">
      <w:pPr>
        <w:spacing w:line="240" w:lineRule="auto"/>
        <w:rPr>
          <w:b/>
        </w:rPr>
      </w:pPr>
    </w:p>
    <w:p w14:paraId="61CEB544" w14:textId="77777777" w:rsidR="00C8128E" w:rsidRDefault="00BB4ADC">
      <w:pPr>
        <w:spacing w:line="240" w:lineRule="auto"/>
        <w:rPr>
          <w:b/>
          <w:i/>
          <w:sz w:val="20"/>
          <w:szCs w:val="20"/>
        </w:rPr>
      </w:pPr>
      <w:r>
        <w:rPr>
          <w:b/>
          <w:i/>
          <w:sz w:val="20"/>
          <w:szCs w:val="20"/>
        </w:rPr>
        <w:t>Critical questions</w:t>
      </w:r>
    </w:p>
    <w:p w14:paraId="520CD97A" w14:textId="77777777" w:rsidR="00C8128E" w:rsidRDefault="00C8128E">
      <w:pPr>
        <w:spacing w:line="240" w:lineRule="auto"/>
        <w:rPr>
          <w:b/>
        </w:rPr>
      </w:pPr>
    </w:p>
    <w:p w14:paraId="52000D1D" w14:textId="757AA040" w:rsidR="00C8128E" w:rsidRDefault="00BB4ADC">
      <w:pPr>
        <w:spacing w:line="240" w:lineRule="auto"/>
        <w:rPr>
          <w:sz w:val="20"/>
          <w:szCs w:val="20"/>
        </w:rPr>
      </w:pPr>
      <w:r>
        <w:rPr>
          <w:sz w:val="20"/>
          <w:szCs w:val="20"/>
        </w:rPr>
        <w:t xml:space="preserve">Q9. </w:t>
      </w:r>
      <w:r w:rsidR="00F86725">
        <w:rPr>
          <w:sz w:val="20"/>
          <w:szCs w:val="20"/>
        </w:rPr>
        <w:t>What are the</w:t>
      </w:r>
      <w:r>
        <w:rPr>
          <w:sz w:val="20"/>
          <w:szCs w:val="20"/>
        </w:rPr>
        <w:t xml:space="preserve"> state</w:t>
      </w:r>
      <w:r w:rsidR="00F86725">
        <w:rPr>
          <w:sz w:val="20"/>
          <w:szCs w:val="20"/>
        </w:rPr>
        <w:t>’s</w:t>
      </w:r>
      <w:r>
        <w:rPr>
          <w:sz w:val="20"/>
          <w:szCs w:val="20"/>
        </w:rPr>
        <w:t xml:space="preserve"> plan</w:t>
      </w:r>
      <w:r w:rsidR="00F86725">
        <w:rPr>
          <w:sz w:val="20"/>
          <w:szCs w:val="20"/>
        </w:rPr>
        <w:t>s</w:t>
      </w:r>
      <w:r>
        <w:rPr>
          <w:sz w:val="20"/>
          <w:szCs w:val="20"/>
        </w:rPr>
        <w:t xml:space="preserve"> to reduce </w:t>
      </w:r>
      <w:proofErr w:type="spellStart"/>
      <w:r>
        <w:rPr>
          <w:sz w:val="20"/>
          <w:szCs w:val="20"/>
        </w:rPr>
        <w:t>LGBTphobia</w:t>
      </w:r>
      <w:proofErr w:type="spellEnd"/>
      <w:r>
        <w:rPr>
          <w:sz w:val="20"/>
          <w:szCs w:val="20"/>
        </w:rPr>
        <w:t xml:space="preserve"> or </w:t>
      </w:r>
      <w:r w:rsidR="00F86725">
        <w:rPr>
          <w:sz w:val="20"/>
          <w:szCs w:val="20"/>
        </w:rPr>
        <w:t>LGBT prejudice</w:t>
      </w:r>
      <w:r>
        <w:rPr>
          <w:sz w:val="20"/>
          <w:szCs w:val="20"/>
        </w:rPr>
        <w:t xml:space="preserve">, particularly during elections? How does it plan to enforce Election Offences Act in relation to hostility towards LBT women? </w:t>
      </w:r>
    </w:p>
    <w:p w14:paraId="6703EBAC" w14:textId="77777777" w:rsidR="00C8128E" w:rsidRDefault="00C8128E">
      <w:pPr>
        <w:spacing w:line="240" w:lineRule="auto"/>
        <w:rPr>
          <w:sz w:val="20"/>
          <w:szCs w:val="20"/>
        </w:rPr>
      </w:pPr>
    </w:p>
    <w:p w14:paraId="1C751308" w14:textId="6427F3D0" w:rsidR="00C8128E" w:rsidRDefault="00BB4ADC">
      <w:pPr>
        <w:spacing w:line="240" w:lineRule="auto"/>
        <w:rPr>
          <w:sz w:val="20"/>
          <w:szCs w:val="20"/>
        </w:rPr>
      </w:pPr>
      <w:r>
        <w:rPr>
          <w:sz w:val="20"/>
          <w:szCs w:val="20"/>
        </w:rPr>
        <w:t xml:space="preserve">Q10. How does the state plan to shift its </w:t>
      </w:r>
      <w:r w:rsidR="00B46AEE">
        <w:rPr>
          <w:sz w:val="20"/>
          <w:szCs w:val="20"/>
        </w:rPr>
        <w:t>punitive</w:t>
      </w:r>
      <w:r>
        <w:rPr>
          <w:sz w:val="20"/>
          <w:szCs w:val="20"/>
        </w:rPr>
        <w:t xml:space="preserve"> approach against LBT human rights defenders, representation, and visibility in line with international human rights law? </w:t>
      </w:r>
    </w:p>
    <w:p w14:paraId="5267E2D0" w14:textId="77777777" w:rsidR="00C8128E" w:rsidRDefault="00C8128E">
      <w:pPr>
        <w:spacing w:line="240" w:lineRule="auto"/>
        <w:rPr>
          <w:sz w:val="20"/>
          <w:szCs w:val="20"/>
        </w:rPr>
      </w:pPr>
    </w:p>
    <w:p w14:paraId="76751549" w14:textId="77777777" w:rsidR="00C8128E" w:rsidRDefault="00BB4ADC">
      <w:pPr>
        <w:spacing w:line="240" w:lineRule="auto"/>
        <w:rPr>
          <w:sz w:val="20"/>
          <w:szCs w:val="20"/>
        </w:rPr>
      </w:pPr>
      <w:r>
        <w:br w:type="page"/>
      </w:r>
    </w:p>
    <w:p w14:paraId="04BE758E" w14:textId="77777777" w:rsidR="00C8128E" w:rsidRDefault="00BB4ADC">
      <w:pPr>
        <w:spacing w:line="240" w:lineRule="auto"/>
        <w:rPr>
          <w:b/>
        </w:rPr>
      </w:pPr>
      <w:r>
        <w:rPr>
          <w:b/>
        </w:rPr>
        <w:lastRenderedPageBreak/>
        <w:t xml:space="preserve">Article 10: Education </w:t>
      </w:r>
    </w:p>
    <w:p w14:paraId="19B06895" w14:textId="77777777" w:rsidR="00C8128E" w:rsidRDefault="00C8128E">
      <w:pPr>
        <w:spacing w:line="240" w:lineRule="auto"/>
        <w:rPr>
          <w:sz w:val="20"/>
          <w:szCs w:val="20"/>
        </w:rPr>
      </w:pPr>
    </w:p>
    <w:p w14:paraId="1FA8E51D" w14:textId="1B29A6CB" w:rsidR="00C8128E" w:rsidRDefault="00BB4ADC">
      <w:pPr>
        <w:spacing w:line="240" w:lineRule="auto"/>
        <w:rPr>
          <w:sz w:val="20"/>
          <w:szCs w:val="20"/>
        </w:rPr>
      </w:pPr>
      <w:r>
        <w:rPr>
          <w:sz w:val="20"/>
          <w:szCs w:val="20"/>
        </w:rPr>
        <w:t xml:space="preserve">10.1 The Ministry of Education’s </w:t>
      </w:r>
      <w:r>
        <w:rPr>
          <w:i/>
          <w:sz w:val="20"/>
          <w:szCs w:val="20"/>
        </w:rPr>
        <w:t>Circular No 7/2003 Power of Teachers to Cane</w:t>
      </w:r>
      <w:r>
        <w:rPr>
          <w:sz w:val="20"/>
          <w:szCs w:val="20"/>
          <w:vertAlign w:val="superscript"/>
        </w:rPr>
        <w:footnoteReference w:id="58"/>
      </w:r>
      <w:r>
        <w:rPr>
          <w:sz w:val="20"/>
          <w:szCs w:val="20"/>
        </w:rPr>
        <w:t xml:space="preserve"> and the Federal Territory Education Department’s discipline rule book for secondary school students impose corporal punishment for homosexuality and ‘gender confusion’</w:t>
      </w:r>
      <w:r w:rsidR="00F86725">
        <w:rPr>
          <w:sz w:val="20"/>
          <w:szCs w:val="20"/>
        </w:rPr>
        <w:t>, so-called serious offences</w:t>
      </w:r>
      <w:r>
        <w:rPr>
          <w:sz w:val="20"/>
          <w:szCs w:val="20"/>
        </w:rPr>
        <w:t xml:space="preserve">. The latter allows stern warning, expulsion, caning, suspension, fine, and being charged in court against students because of their SOGIE. </w:t>
      </w:r>
    </w:p>
    <w:p w14:paraId="2D6A39DE" w14:textId="77777777" w:rsidR="00C8128E" w:rsidRDefault="00C8128E">
      <w:pPr>
        <w:spacing w:line="240" w:lineRule="auto"/>
        <w:rPr>
          <w:sz w:val="20"/>
          <w:szCs w:val="20"/>
        </w:rPr>
      </w:pPr>
    </w:p>
    <w:p w14:paraId="5F3AB331" w14:textId="6D14609A" w:rsidR="00C8128E" w:rsidRDefault="00BB4ADC">
      <w:pPr>
        <w:spacing w:line="240" w:lineRule="auto"/>
        <w:rPr>
          <w:color w:val="333E48"/>
          <w:sz w:val="20"/>
          <w:szCs w:val="20"/>
        </w:rPr>
      </w:pPr>
      <w:r>
        <w:rPr>
          <w:sz w:val="20"/>
          <w:szCs w:val="20"/>
        </w:rPr>
        <w:t xml:space="preserve">10.2 The Form 2 reproductive and sexual health education guidance SOGI as a form of confusion or disorder and </w:t>
      </w:r>
      <w:r w:rsidR="00F86725">
        <w:rPr>
          <w:sz w:val="20"/>
          <w:szCs w:val="20"/>
        </w:rPr>
        <w:t>being</w:t>
      </w:r>
      <w:r>
        <w:rPr>
          <w:sz w:val="20"/>
          <w:szCs w:val="20"/>
        </w:rPr>
        <w:t xml:space="preserve"> inconsistent with religion and culture.</w:t>
      </w:r>
      <w:r>
        <w:rPr>
          <w:sz w:val="20"/>
          <w:szCs w:val="20"/>
          <w:vertAlign w:val="superscript"/>
        </w:rPr>
        <w:footnoteReference w:id="59"/>
      </w:r>
    </w:p>
    <w:p w14:paraId="69F94BD2" w14:textId="77777777" w:rsidR="00C8128E" w:rsidRDefault="00C8128E">
      <w:pPr>
        <w:spacing w:line="240" w:lineRule="auto"/>
        <w:rPr>
          <w:color w:val="333E48"/>
          <w:sz w:val="20"/>
          <w:szCs w:val="20"/>
        </w:rPr>
      </w:pPr>
    </w:p>
    <w:p w14:paraId="1BDE9C25" w14:textId="77777777" w:rsidR="00C8128E" w:rsidRDefault="00BB4ADC">
      <w:pPr>
        <w:spacing w:line="240" w:lineRule="auto"/>
        <w:rPr>
          <w:sz w:val="20"/>
          <w:szCs w:val="20"/>
        </w:rPr>
      </w:pPr>
      <w:r>
        <w:rPr>
          <w:sz w:val="20"/>
          <w:szCs w:val="20"/>
        </w:rPr>
        <w:t>10.3 Research shows LBQ girls and gender-diverse persons face ‘outing’ and microaggressions by peers and teachers; religious interventions to correct their sexual orientation; and religious condemnation of LGBT people in classes. In most cases, they lack support at home and in school.</w:t>
      </w:r>
      <w:r>
        <w:rPr>
          <w:sz w:val="20"/>
          <w:szCs w:val="20"/>
          <w:vertAlign w:val="superscript"/>
        </w:rPr>
        <w:footnoteReference w:id="60"/>
      </w:r>
      <w:r>
        <w:rPr>
          <w:sz w:val="20"/>
          <w:szCs w:val="20"/>
        </w:rPr>
        <w:t xml:space="preserve"> </w:t>
      </w:r>
    </w:p>
    <w:p w14:paraId="4618FDA6" w14:textId="77777777" w:rsidR="00C8128E" w:rsidRDefault="00C8128E">
      <w:pPr>
        <w:spacing w:line="240" w:lineRule="auto"/>
        <w:ind w:left="720"/>
        <w:rPr>
          <w:color w:val="333E48"/>
          <w:sz w:val="20"/>
          <w:szCs w:val="20"/>
        </w:rPr>
      </w:pPr>
    </w:p>
    <w:p w14:paraId="47C7AAB6" w14:textId="77777777" w:rsidR="00C8128E" w:rsidRDefault="00BB4ADC">
      <w:pPr>
        <w:spacing w:line="240" w:lineRule="auto"/>
        <w:rPr>
          <w:sz w:val="20"/>
          <w:szCs w:val="20"/>
        </w:rPr>
      </w:pPr>
      <w:r>
        <w:rPr>
          <w:sz w:val="20"/>
          <w:szCs w:val="20"/>
        </w:rPr>
        <w:t>10.4 A SUHAKAM study with trans people found name-calling, physical violence, and sexual harassment as pervasive forms of discrimination faced by transgender students in school, resulting in stress, depression, loss of interest, and suicidal attempts. It concludes that the educational system lacks any redress mechanism that transgender children trust to discuss the unique challenges they face.</w:t>
      </w:r>
      <w:r>
        <w:rPr>
          <w:sz w:val="20"/>
          <w:szCs w:val="20"/>
          <w:vertAlign w:val="superscript"/>
        </w:rPr>
        <w:footnoteReference w:id="61"/>
      </w:r>
    </w:p>
    <w:p w14:paraId="51ECE70D" w14:textId="77777777" w:rsidR="00C8128E" w:rsidRDefault="00C8128E">
      <w:pPr>
        <w:spacing w:line="240" w:lineRule="auto"/>
        <w:ind w:left="720"/>
        <w:rPr>
          <w:sz w:val="20"/>
          <w:szCs w:val="20"/>
        </w:rPr>
      </w:pPr>
    </w:p>
    <w:p w14:paraId="0868BCE3" w14:textId="77777777" w:rsidR="00C8128E" w:rsidRDefault="00BB4ADC">
      <w:pPr>
        <w:spacing w:after="240" w:line="240" w:lineRule="auto"/>
        <w:rPr>
          <w:b/>
          <w:i/>
          <w:sz w:val="20"/>
          <w:szCs w:val="20"/>
        </w:rPr>
      </w:pPr>
      <w:r>
        <w:rPr>
          <w:b/>
          <w:i/>
          <w:sz w:val="20"/>
          <w:szCs w:val="20"/>
        </w:rPr>
        <w:t>Critical questions</w:t>
      </w:r>
    </w:p>
    <w:p w14:paraId="3522F7CE" w14:textId="77777777" w:rsidR="00C8128E" w:rsidRDefault="00BB4ADC">
      <w:pPr>
        <w:spacing w:after="240" w:line="240" w:lineRule="auto"/>
        <w:rPr>
          <w:sz w:val="20"/>
          <w:szCs w:val="20"/>
        </w:rPr>
      </w:pPr>
      <w:r>
        <w:rPr>
          <w:sz w:val="20"/>
          <w:szCs w:val="20"/>
        </w:rPr>
        <w:t xml:space="preserve">Q11. How does the State plan to implement recommendations in SUHAKAM’s transgender study? </w:t>
      </w:r>
    </w:p>
    <w:p w14:paraId="19895B2D" w14:textId="47F4861C" w:rsidR="00C8128E" w:rsidRDefault="00BB4ADC">
      <w:pPr>
        <w:spacing w:after="240" w:line="240" w:lineRule="auto"/>
        <w:rPr>
          <w:i/>
          <w:sz w:val="20"/>
          <w:szCs w:val="20"/>
        </w:rPr>
      </w:pPr>
      <w:r>
        <w:rPr>
          <w:sz w:val="20"/>
          <w:szCs w:val="20"/>
        </w:rPr>
        <w:t xml:space="preserve">Q12. What is the State’s plan to implement the CO 36 (e)? </w:t>
      </w:r>
    </w:p>
    <w:p w14:paraId="457B8FCF" w14:textId="77777777" w:rsidR="00C8128E" w:rsidRDefault="00C8128E">
      <w:pPr>
        <w:spacing w:line="240" w:lineRule="auto"/>
        <w:rPr>
          <w:b/>
        </w:rPr>
      </w:pPr>
    </w:p>
    <w:p w14:paraId="3048D676" w14:textId="77777777" w:rsidR="00C8128E" w:rsidRDefault="00BB4ADC">
      <w:pPr>
        <w:spacing w:line="240" w:lineRule="auto"/>
        <w:rPr>
          <w:b/>
        </w:rPr>
      </w:pPr>
      <w:r>
        <w:br w:type="page"/>
      </w:r>
    </w:p>
    <w:p w14:paraId="755833AC" w14:textId="77777777" w:rsidR="00C8128E" w:rsidRDefault="00BB4ADC">
      <w:pPr>
        <w:spacing w:line="240" w:lineRule="auto"/>
        <w:rPr>
          <w:b/>
        </w:rPr>
      </w:pPr>
      <w:r>
        <w:rPr>
          <w:b/>
        </w:rPr>
        <w:lastRenderedPageBreak/>
        <w:t xml:space="preserve">Article 11: Employment </w:t>
      </w:r>
    </w:p>
    <w:p w14:paraId="53C34046" w14:textId="77777777" w:rsidR="00C8128E" w:rsidRDefault="00C8128E">
      <w:pPr>
        <w:spacing w:line="240" w:lineRule="auto"/>
        <w:rPr>
          <w:b/>
        </w:rPr>
      </w:pPr>
    </w:p>
    <w:p w14:paraId="6B45ED71" w14:textId="0117D299" w:rsidR="00CD4C0F" w:rsidRDefault="00CD4C0F" w:rsidP="00CD4C0F">
      <w:pPr>
        <w:spacing w:line="240" w:lineRule="auto"/>
        <w:rPr>
          <w:sz w:val="20"/>
          <w:szCs w:val="20"/>
        </w:rPr>
      </w:pPr>
      <w:r>
        <w:rPr>
          <w:color w:val="323232"/>
          <w:sz w:val="20"/>
          <w:szCs w:val="20"/>
        </w:rPr>
        <w:t>11.1 Criminalization and intersecti</w:t>
      </w:r>
      <w:r w:rsidR="009404DA">
        <w:rPr>
          <w:color w:val="323232"/>
          <w:sz w:val="20"/>
          <w:szCs w:val="20"/>
        </w:rPr>
        <w:t xml:space="preserve">onal </w:t>
      </w:r>
      <w:r>
        <w:rPr>
          <w:color w:val="323232"/>
          <w:sz w:val="20"/>
          <w:szCs w:val="20"/>
        </w:rPr>
        <w:t>discrimination limit LBT women’s employment options</w:t>
      </w:r>
      <w:r w:rsidR="009404DA">
        <w:rPr>
          <w:color w:val="323232"/>
          <w:sz w:val="20"/>
          <w:szCs w:val="20"/>
        </w:rPr>
        <w:t xml:space="preserve">, resulting in </w:t>
      </w:r>
      <w:r>
        <w:rPr>
          <w:color w:val="323232"/>
          <w:sz w:val="20"/>
          <w:szCs w:val="20"/>
        </w:rPr>
        <w:t xml:space="preserve">missed opportunities for self-development and growth. </w:t>
      </w:r>
      <w:r>
        <w:rPr>
          <w:sz w:val="20"/>
          <w:szCs w:val="20"/>
        </w:rPr>
        <w:t xml:space="preserve">A queer woman explained that the combination of sexism and </w:t>
      </w:r>
      <w:proofErr w:type="spellStart"/>
      <w:r>
        <w:rPr>
          <w:sz w:val="20"/>
          <w:szCs w:val="20"/>
        </w:rPr>
        <w:t>LGBTphobia</w:t>
      </w:r>
      <w:proofErr w:type="spellEnd"/>
      <w:r>
        <w:rPr>
          <w:sz w:val="20"/>
          <w:szCs w:val="20"/>
        </w:rPr>
        <w:t xml:space="preserve"> limited her employment options. </w:t>
      </w:r>
    </w:p>
    <w:p w14:paraId="74B2F49E" w14:textId="77777777" w:rsidR="00CD4C0F" w:rsidRDefault="00CD4C0F" w:rsidP="00CD4C0F">
      <w:pPr>
        <w:spacing w:before="240" w:after="240" w:line="240" w:lineRule="auto"/>
        <w:ind w:left="720"/>
        <w:rPr>
          <w:i/>
          <w:sz w:val="20"/>
          <w:szCs w:val="20"/>
        </w:rPr>
      </w:pPr>
      <w:r>
        <w:rPr>
          <w:i/>
          <w:sz w:val="20"/>
          <w:szCs w:val="20"/>
        </w:rPr>
        <w:t xml:space="preserve">“At my previous job, they have misogynistic jokes, and I feel like I </w:t>
      </w:r>
      <w:proofErr w:type="gramStart"/>
      <w:r>
        <w:rPr>
          <w:i/>
          <w:sz w:val="20"/>
          <w:szCs w:val="20"/>
        </w:rPr>
        <w:t>have to</w:t>
      </w:r>
      <w:proofErr w:type="gramEnd"/>
      <w:r>
        <w:rPr>
          <w:i/>
          <w:sz w:val="20"/>
          <w:szCs w:val="20"/>
        </w:rPr>
        <w:t xml:space="preserve"> keep it to myself because they are of higher rank than me. … it </w:t>
      </w:r>
      <w:proofErr w:type="gramStart"/>
      <w:r>
        <w:rPr>
          <w:i/>
          <w:sz w:val="20"/>
          <w:szCs w:val="20"/>
        </w:rPr>
        <w:t>actually is</w:t>
      </w:r>
      <w:proofErr w:type="gramEnd"/>
      <w:r>
        <w:rPr>
          <w:i/>
          <w:sz w:val="20"/>
          <w:szCs w:val="20"/>
        </w:rPr>
        <w:t xml:space="preserve"> very difficult. So </w:t>
      </w:r>
      <w:proofErr w:type="spellStart"/>
      <w:r>
        <w:rPr>
          <w:i/>
          <w:sz w:val="20"/>
          <w:szCs w:val="20"/>
        </w:rPr>
        <w:t>ya</w:t>
      </w:r>
      <w:proofErr w:type="spellEnd"/>
      <w:r>
        <w:rPr>
          <w:i/>
          <w:sz w:val="20"/>
          <w:szCs w:val="20"/>
        </w:rPr>
        <w:t xml:space="preserve">, there are two things, one I get anxiety about being queer as a government staff and two trying to be cool about these people passing remarks, you have this locker room </w:t>
      </w:r>
      <w:proofErr w:type="spellStart"/>
      <w:r>
        <w:rPr>
          <w:i/>
          <w:sz w:val="20"/>
          <w:szCs w:val="20"/>
        </w:rPr>
        <w:t>kinda</w:t>
      </w:r>
      <w:proofErr w:type="spellEnd"/>
      <w:r>
        <w:rPr>
          <w:i/>
          <w:sz w:val="20"/>
          <w:szCs w:val="20"/>
        </w:rPr>
        <w:t xml:space="preserve"> thing, it’s </w:t>
      </w:r>
      <w:proofErr w:type="gramStart"/>
      <w:r>
        <w:rPr>
          <w:i/>
          <w:sz w:val="20"/>
          <w:szCs w:val="20"/>
        </w:rPr>
        <w:t>really frustrating</w:t>
      </w:r>
      <w:proofErr w:type="gramEnd"/>
      <w:r>
        <w:rPr>
          <w:i/>
          <w:sz w:val="20"/>
          <w:szCs w:val="20"/>
        </w:rPr>
        <w:t>, and it does affect my choice of jobs in life.”</w:t>
      </w:r>
      <w:r>
        <w:rPr>
          <w:i/>
          <w:sz w:val="20"/>
          <w:szCs w:val="20"/>
          <w:vertAlign w:val="superscript"/>
        </w:rPr>
        <w:footnoteReference w:id="62"/>
      </w:r>
    </w:p>
    <w:p w14:paraId="105F593F" w14:textId="19FE8A81" w:rsidR="00CD4C0F" w:rsidRDefault="00CD4C0F" w:rsidP="00CD4C0F">
      <w:pPr>
        <w:spacing w:before="240" w:after="240" w:line="240" w:lineRule="auto"/>
        <w:rPr>
          <w:color w:val="323232"/>
          <w:sz w:val="20"/>
          <w:szCs w:val="20"/>
        </w:rPr>
      </w:pPr>
      <w:r w:rsidRPr="00C70BD1">
        <w:rPr>
          <w:iCs/>
          <w:sz w:val="20"/>
          <w:szCs w:val="20"/>
        </w:rPr>
        <w:t>11.</w:t>
      </w:r>
      <w:r>
        <w:rPr>
          <w:iCs/>
          <w:sz w:val="20"/>
          <w:szCs w:val="20"/>
        </w:rPr>
        <w:t>2</w:t>
      </w:r>
      <w:r>
        <w:rPr>
          <w:i/>
          <w:sz w:val="20"/>
          <w:szCs w:val="20"/>
        </w:rPr>
        <w:t xml:space="preserve"> </w:t>
      </w:r>
      <w:r>
        <w:rPr>
          <w:color w:val="323232"/>
          <w:sz w:val="20"/>
          <w:szCs w:val="20"/>
        </w:rPr>
        <w:t xml:space="preserve">Consequently, due to economic desperation, LBT women take any </w:t>
      </w:r>
      <w:r w:rsidR="00821CFA">
        <w:rPr>
          <w:color w:val="323232"/>
          <w:sz w:val="20"/>
          <w:szCs w:val="20"/>
        </w:rPr>
        <w:t xml:space="preserve">available </w:t>
      </w:r>
      <w:r>
        <w:rPr>
          <w:color w:val="323232"/>
          <w:sz w:val="20"/>
          <w:szCs w:val="20"/>
        </w:rPr>
        <w:t>job</w:t>
      </w:r>
      <w:r w:rsidR="00821CFA">
        <w:rPr>
          <w:color w:val="323232"/>
          <w:sz w:val="20"/>
          <w:szCs w:val="20"/>
        </w:rPr>
        <w:t>s</w:t>
      </w:r>
      <w:r>
        <w:rPr>
          <w:color w:val="323232"/>
          <w:sz w:val="20"/>
          <w:szCs w:val="20"/>
          <w:vertAlign w:val="superscript"/>
        </w:rPr>
        <w:footnoteReference w:id="63"/>
      </w:r>
      <w:r w:rsidR="00821CFA">
        <w:rPr>
          <w:color w:val="323232"/>
          <w:sz w:val="20"/>
          <w:szCs w:val="20"/>
        </w:rPr>
        <w:t xml:space="preserve"> </w:t>
      </w:r>
      <w:r>
        <w:rPr>
          <w:color w:val="323232"/>
          <w:sz w:val="20"/>
          <w:szCs w:val="20"/>
        </w:rPr>
        <w:t>or</w:t>
      </w:r>
      <w:r w:rsidR="00821CFA">
        <w:rPr>
          <w:color w:val="323232"/>
          <w:sz w:val="20"/>
          <w:szCs w:val="20"/>
        </w:rPr>
        <w:t xml:space="preserve"> are</w:t>
      </w:r>
      <w:r>
        <w:rPr>
          <w:color w:val="323232"/>
          <w:sz w:val="20"/>
          <w:szCs w:val="20"/>
        </w:rPr>
        <w:t xml:space="preserve"> left with sex work as their option, where they face increased vulnerability to arrest due to </w:t>
      </w:r>
      <w:r w:rsidR="00821CFA">
        <w:rPr>
          <w:color w:val="323232"/>
          <w:sz w:val="20"/>
          <w:szCs w:val="20"/>
        </w:rPr>
        <w:t>its</w:t>
      </w:r>
      <w:r>
        <w:rPr>
          <w:color w:val="323232"/>
          <w:sz w:val="20"/>
          <w:szCs w:val="20"/>
        </w:rPr>
        <w:t xml:space="preserve"> criminalisation.</w:t>
      </w:r>
    </w:p>
    <w:p w14:paraId="0485A1C3" w14:textId="77777777" w:rsidR="00C8128E" w:rsidRDefault="00BB4ADC">
      <w:pPr>
        <w:spacing w:line="240" w:lineRule="auto"/>
        <w:rPr>
          <w:i/>
          <w:sz w:val="20"/>
          <w:szCs w:val="20"/>
        </w:rPr>
      </w:pPr>
      <w:r>
        <w:rPr>
          <w:i/>
          <w:sz w:val="20"/>
          <w:szCs w:val="20"/>
        </w:rPr>
        <w:t xml:space="preserve">Pre-employment discrimination </w:t>
      </w:r>
    </w:p>
    <w:p w14:paraId="159B71A3" w14:textId="77777777" w:rsidR="00C8128E" w:rsidRDefault="00C8128E">
      <w:pPr>
        <w:spacing w:line="240" w:lineRule="auto"/>
        <w:rPr>
          <w:i/>
          <w:sz w:val="20"/>
          <w:szCs w:val="20"/>
        </w:rPr>
      </w:pPr>
    </w:p>
    <w:p w14:paraId="07632BBF" w14:textId="5B4136D7" w:rsidR="00C8128E" w:rsidRDefault="00BB4ADC">
      <w:pPr>
        <w:spacing w:line="240" w:lineRule="auto"/>
        <w:rPr>
          <w:sz w:val="20"/>
          <w:szCs w:val="20"/>
        </w:rPr>
      </w:pPr>
      <w:r>
        <w:rPr>
          <w:sz w:val="20"/>
          <w:szCs w:val="20"/>
        </w:rPr>
        <w:t>11.</w:t>
      </w:r>
      <w:r w:rsidR="00CD4C0F">
        <w:rPr>
          <w:sz w:val="20"/>
          <w:szCs w:val="20"/>
        </w:rPr>
        <w:t>2</w:t>
      </w:r>
      <w:r>
        <w:rPr>
          <w:sz w:val="20"/>
          <w:szCs w:val="20"/>
        </w:rPr>
        <w:t xml:space="preserve"> A </w:t>
      </w:r>
      <w:r w:rsidR="00F86725">
        <w:rPr>
          <w:sz w:val="20"/>
          <w:szCs w:val="20"/>
        </w:rPr>
        <w:t xml:space="preserve">study </w:t>
      </w:r>
      <w:r>
        <w:rPr>
          <w:sz w:val="20"/>
          <w:szCs w:val="20"/>
        </w:rPr>
        <w:t xml:space="preserve">shows trans applicants were less likely than cisgender applicants to receive a positive response, which includes being invited to contact the employer, being asked for more information, or being invited to attend an interview. The report shows cisgender applicants were 66.1% more likely to be invited to an interview </w:t>
      </w:r>
      <w:r w:rsidR="00A95F29">
        <w:rPr>
          <w:sz w:val="20"/>
          <w:szCs w:val="20"/>
        </w:rPr>
        <w:t xml:space="preserve">than trans women applicants </w:t>
      </w:r>
      <w:r>
        <w:rPr>
          <w:sz w:val="20"/>
          <w:szCs w:val="20"/>
        </w:rPr>
        <w:t>in Malaysia. The report notes that “the discrimination experienced by trans women was particularly severe” due to the disproportionate rejections that trans women face compared to cisgender women.</w:t>
      </w:r>
      <w:r w:rsidR="00461734" w:rsidRPr="00461734">
        <w:rPr>
          <w:sz w:val="20"/>
          <w:szCs w:val="20"/>
          <w:vertAlign w:val="superscript"/>
        </w:rPr>
        <w:t xml:space="preserve"> </w:t>
      </w:r>
      <w:r w:rsidR="00461734">
        <w:rPr>
          <w:sz w:val="20"/>
          <w:szCs w:val="20"/>
          <w:vertAlign w:val="superscript"/>
        </w:rPr>
        <w:footnoteReference w:id="64"/>
      </w:r>
    </w:p>
    <w:p w14:paraId="0291F457" w14:textId="77777777" w:rsidR="00C8128E" w:rsidRDefault="00C8128E">
      <w:pPr>
        <w:spacing w:line="240" w:lineRule="auto"/>
        <w:rPr>
          <w:sz w:val="20"/>
          <w:szCs w:val="20"/>
        </w:rPr>
      </w:pPr>
    </w:p>
    <w:p w14:paraId="15F242CA" w14:textId="0681B567" w:rsidR="00C8128E" w:rsidRDefault="00BB4ADC">
      <w:pPr>
        <w:spacing w:line="240" w:lineRule="auto"/>
        <w:rPr>
          <w:sz w:val="20"/>
          <w:szCs w:val="20"/>
        </w:rPr>
      </w:pPr>
      <w:r>
        <w:rPr>
          <w:sz w:val="20"/>
          <w:szCs w:val="20"/>
        </w:rPr>
        <w:t>11.</w:t>
      </w:r>
      <w:r w:rsidR="00CD4C0F">
        <w:rPr>
          <w:sz w:val="20"/>
          <w:szCs w:val="20"/>
        </w:rPr>
        <w:t>3</w:t>
      </w:r>
      <w:r>
        <w:rPr>
          <w:sz w:val="20"/>
          <w:szCs w:val="20"/>
        </w:rPr>
        <w:t xml:space="preserve"> The SUHAKAM study also highlights </w:t>
      </w:r>
      <w:r w:rsidR="00A95F29">
        <w:rPr>
          <w:sz w:val="20"/>
          <w:szCs w:val="20"/>
        </w:rPr>
        <w:t>similar trends.</w:t>
      </w:r>
      <w:r>
        <w:rPr>
          <w:sz w:val="20"/>
          <w:szCs w:val="20"/>
        </w:rPr>
        <w:t xml:space="preserve"> 58 of 100 respondents (58%) were denied </w:t>
      </w:r>
      <w:r w:rsidR="00F86725">
        <w:rPr>
          <w:sz w:val="20"/>
          <w:szCs w:val="20"/>
        </w:rPr>
        <w:t>employment or</w:t>
      </w:r>
      <w:r>
        <w:rPr>
          <w:sz w:val="20"/>
          <w:szCs w:val="20"/>
        </w:rPr>
        <w:t xml:space="preserve"> have had their applications rejected. 57</w:t>
      </w:r>
      <w:r w:rsidR="00461734">
        <w:rPr>
          <w:sz w:val="20"/>
          <w:szCs w:val="20"/>
        </w:rPr>
        <w:t xml:space="preserve">% </w:t>
      </w:r>
      <w:r>
        <w:rPr>
          <w:sz w:val="20"/>
          <w:szCs w:val="20"/>
        </w:rPr>
        <w:t xml:space="preserve">said interviewers questioned or made comments regarding their gender identity. This includes cutting their hair, comments about their attire and their gender expression, </w:t>
      </w:r>
      <w:r w:rsidR="00461734">
        <w:rPr>
          <w:sz w:val="20"/>
          <w:szCs w:val="20"/>
        </w:rPr>
        <w:t>negative assumptions about their qualification</w:t>
      </w:r>
      <w:r>
        <w:rPr>
          <w:sz w:val="20"/>
          <w:szCs w:val="20"/>
        </w:rPr>
        <w:t xml:space="preserve">, etc. </w:t>
      </w:r>
    </w:p>
    <w:p w14:paraId="3218EA99" w14:textId="6CDE6D40" w:rsidR="00C8128E" w:rsidRPr="00BB4ADC" w:rsidRDefault="00BB4ADC" w:rsidP="00BB4ADC">
      <w:pPr>
        <w:spacing w:before="240" w:after="240" w:line="240" w:lineRule="auto"/>
        <w:rPr>
          <w:sz w:val="20"/>
          <w:szCs w:val="20"/>
        </w:rPr>
      </w:pPr>
      <w:r>
        <w:rPr>
          <w:sz w:val="20"/>
          <w:szCs w:val="20"/>
        </w:rPr>
        <w:t>11.</w:t>
      </w:r>
      <w:r w:rsidR="00CD4C0F">
        <w:rPr>
          <w:sz w:val="20"/>
          <w:szCs w:val="20"/>
        </w:rPr>
        <w:t>4</w:t>
      </w:r>
      <w:r>
        <w:rPr>
          <w:sz w:val="20"/>
          <w:szCs w:val="20"/>
        </w:rPr>
        <w:t xml:space="preserve"> Reports show that denial of employment intersect with discrimination based on religion, HIV status,</w:t>
      </w:r>
      <w:r>
        <w:rPr>
          <w:color w:val="323232"/>
          <w:sz w:val="20"/>
          <w:szCs w:val="20"/>
          <w:vertAlign w:val="superscript"/>
        </w:rPr>
        <w:footnoteReference w:id="65"/>
      </w:r>
      <w:r>
        <w:rPr>
          <w:sz w:val="20"/>
          <w:szCs w:val="20"/>
        </w:rPr>
        <w:t xml:space="preserve"> among others. A trans woman was denied employment at a Muslim women hair salon on the grounds of religion and gender.</w:t>
      </w:r>
      <w:r w:rsidR="00FD12D9">
        <w:rPr>
          <w:sz w:val="20"/>
          <w:szCs w:val="20"/>
          <w:vertAlign w:val="superscript"/>
        </w:rPr>
        <w:footnoteReference w:id="66"/>
      </w:r>
      <w:r w:rsidR="00FD12D9">
        <w:rPr>
          <w:sz w:val="20"/>
          <w:szCs w:val="20"/>
        </w:rPr>
        <w:t xml:space="preserve"> The</w:t>
      </w:r>
      <w:r>
        <w:rPr>
          <w:sz w:val="20"/>
          <w:szCs w:val="20"/>
        </w:rPr>
        <w:t xml:space="preserve"> ‘women’ only policy </w:t>
      </w:r>
      <w:r w:rsidR="00FD12D9">
        <w:rPr>
          <w:sz w:val="20"/>
          <w:szCs w:val="20"/>
        </w:rPr>
        <w:t xml:space="preserve">often underscored by misunderstanding of </w:t>
      </w:r>
      <w:r>
        <w:rPr>
          <w:sz w:val="20"/>
          <w:szCs w:val="20"/>
        </w:rPr>
        <w:t>trans women’s gender identity</w:t>
      </w:r>
      <w:r w:rsidR="00FD12D9">
        <w:rPr>
          <w:sz w:val="20"/>
          <w:szCs w:val="20"/>
        </w:rPr>
        <w:t>, arbitrary regulation of interactions between any gender, etc.</w:t>
      </w:r>
      <w:r>
        <w:rPr>
          <w:sz w:val="20"/>
          <w:szCs w:val="20"/>
        </w:rPr>
        <w:t xml:space="preserve"> </w:t>
      </w:r>
    </w:p>
    <w:p w14:paraId="00ECC6F4" w14:textId="0242AF5E" w:rsidR="00C8128E" w:rsidRDefault="00BB4ADC">
      <w:pPr>
        <w:spacing w:line="240" w:lineRule="auto"/>
        <w:rPr>
          <w:sz w:val="20"/>
          <w:szCs w:val="20"/>
        </w:rPr>
      </w:pPr>
      <w:r>
        <w:rPr>
          <w:sz w:val="20"/>
          <w:szCs w:val="20"/>
        </w:rPr>
        <w:t>11.</w:t>
      </w:r>
      <w:r w:rsidR="00CD4C0F">
        <w:rPr>
          <w:sz w:val="20"/>
          <w:szCs w:val="20"/>
        </w:rPr>
        <w:t>5</w:t>
      </w:r>
      <w:r>
        <w:rPr>
          <w:sz w:val="20"/>
          <w:szCs w:val="20"/>
        </w:rPr>
        <w:t xml:space="preserve"> </w:t>
      </w:r>
      <w:r w:rsidR="00461734">
        <w:rPr>
          <w:sz w:val="20"/>
          <w:szCs w:val="20"/>
        </w:rPr>
        <w:t>Reports identify the</w:t>
      </w:r>
      <w:r w:rsidR="00A95F29">
        <w:rPr>
          <w:sz w:val="20"/>
          <w:szCs w:val="20"/>
        </w:rPr>
        <w:t xml:space="preserve"> negative</w:t>
      </w:r>
      <w:r w:rsidR="00461734">
        <w:rPr>
          <w:sz w:val="20"/>
          <w:szCs w:val="20"/>
        </w:rPr>
        <w:t xml:space="preserve"> impact of lack of legal gender recognition on employment discrimination</w:t>
      </w:r>
      <w:r>
        <w:rPr>
          <w:sz w:val="20"/>
          <w:szCs w:val="20"/>
        </w:rPr>
        <w:t xml:space="preserve">. </w:t>
      </w:r>
      <w:r w:rsidR="00FD12D9">
        <w:rPr>
          <w:sz w:val="20"/>
          <w:szCs w:val="20"/>
        </w:rPr>
        <w:t>T</w:t>
      </w:r>
      <w:r>
        <w:rPr>
          <w:sz w:val="20"/>
          <w:szCs w:val="20"/>
        </w:rPr>
        <w:t xml:space="preserve">rans women who change their </w:t>
      </w:r>
      <w:r w:rsidR="00FD12D9">
        <w:rPr>
          <w:sz w:val="20"/>
          <w:szCs w:val="20"/>
        </w:rPr>
        <w:t>gender expression</w:t>
      </w:r>
      <w:r>
        <w:rPr>
          <w:sz w:val="20"/>
          <w:szCs w:val="20"/>
        </w:rPr>
        <w:t xml:space="preserve"> to appear masculine-presenting </w:t>
      </w:r>
      <w:r w:rsidR="00FD12D9">
        <w:rPr>
          <w:sz w:val="20"/>
          <w:szCs w:val="20"/>
        </w:rPr>
        <w:t>to secure jobs</w:t>
      </w:r>
      <w:r>
        <w:rPr>
          <w:sz w:val="20"/>
          <w:szCs w:val="20"/>
        </w:rPr>
        <w:t xml:space="preserve"> also face discrimination and rejection for being gender-non-conforming.</w:t>
      </w:r>
      <w:r w:rsidR="00511E2E">
        <w:rPr>
          <w:color w:val="323232"/>
          <w:sz w:val="20"/>
          <w:szCs w:val="20"/>
        </w:rPr>
        <w:t xml:space="preserve"> </w:t>
      </w:r>
      <w:r w:rsidR="001356CE">
        <w:rPr>
          <w:color w:val="323232"/>
          <w:sz w:val="20"/>
          <w:szCs w:val="20"/>
        </w:rPr>
        <w:t xml:space="preserve">Some are </w:t>
      </w:r>
      <w:r w:rsidR="00511E2E">
        <w:rPr>
          <w:color w:val="323232"/>
          <w:sz w:val="20"/>
          <w:szCs w:val="20"/>
        </w:rPr>
        <w:t xml:space="preserve">only allowed to use gendered workplace </w:t>
      </w:r>
      <w:r w:rsidR="001356CE">
        <w:rPr>
          <w:color w:val="323232"/>
          <w:sz w:val="20"/>
          <w:szCs w:val="20"/>
        </w:rPr>
        <w:t xml:space="preserve">spaces </w:t>
      </w:r>
      <w:r w:rsidR="00511E2E">
        <w:rPr>
          <w:color w:val="323232"/>
          <w:sz w:val="20"/>
          <w:szCs w:val="20"/>
        </w:rPr>
        <w:t>as per gender on their IC.</w:t>
      </w:r>
      <w:r w:rsidR="00511E2E">
        <w:rPr>
          <w:color w:val="323232"/>
          <w:sz w:val="20"/>
          <w:szCs w:val="20"/>
          <w:vertAlign w:val="superscript"/>
        </w:rPr>
        <w:footnoteReference w:id="67"/>
      </w:r>
    </w:p>
    <w:p w14:paraId="16992A2D" w14:textId="77777777" w:rsidR="00C8128E" w:rsidRDefault="00C8128E">
      <w:pPr>
        <w:spacing w:line="240" w:lineRule="auto"/>
        <w:rPr>
          <w:b/>
        </w:rPr>
      </w:pPr>
    </w:p>
    <w:p w14:paraId="0CF3C849" w14:textId="77777777" w:rsidR="00C8128E" w:rsidRDefault="00BB4ADC">
      <w:pPr>
        <w:spacing w:line="240" w:lineRule="auto"/>
        <w:rPr>
          <w:i/>
          <w:sz w:val="20"/>
          <w:szCs w:val="20"/>
        </w:rPr>
      </w:pPr>
      <w:r>
        <w:rPr>
          <w:i/>
          <w:sz w:val="20"/>
          <w:szCs w:val="20"/>
        </w:rPr>
        <w:t xml:space="preserve">Employment discrimination </w:t>
      </w:r>
    </w:p>
    <w:p w14:paraId="39EF9C55" w14:textId="63879C1B" w:rsidR="00C8128E" w:rsidRDefault="00BB4ADC">
      <w:pPr>
        <w:spacing w:before="240" w:after="240" w:line="240" w:lineRule="auto"/>
        <w:rPr>
          <w:sz w:val="20"/>
          <w:szCs w:val="20"/>
        </w:rPr>
      </w:pPr>
      <w:r>
        <w:rPr>
          <w:sz w:val="20"/>
          <w:szCs w:val="20"/>
        </w:rPr>
        <w:t>11.</w:t>
      </w:r>
      <w:r w:rsidR="00CD4C0F">
        <w:rPr>
          <w:sz w:val="20"/>
          <w:szCs w:val="20"/>
        </w:rPr>
        <w:t>6</w:t>
      </w:r>
      <w:r>
        <w:rPr>
          <w:sz w:val="20"/>
          <w:szCs w:val="20"/>
        </w:rPr>
        <w:t xml:space="preserve"> The SUHAKAM report cites various forms of</w:t>
      </w:r>
      <w:r w:rsidR="00C70BD1">
        <w:rPr>
          <w:sz w:val="20"/>
          <w:szCs w:val="20"/>
        </w:rPr>
        <w:t xml:space="preserve"> workplace</w:t>
      </w:r>
      <w:r>
        <w:rPr>
          <w:sz w:val="20"/>
          <w:szCs w:val="20"/>
        </w:rPr>
        <w:t xml:space="preserve"> discrimination </w:t>
      </w:r>
      <w:r w:rsidR="00511E2E">
        <w:rPr>
          <w:sz w:val="20"/>
          <w:szCs w:val="20"/>
        </w:rPr>
        <w:t>against trans women</w:t>
      </w:r>
      <w:r>
        <w:rPr>
          <w:sz w:val="20"/>
          <w:szCs w:val="20"/>
        </w:rPr>
        <w:t>, including:</w:t>
      </w:r>
    </w:p>
    <w:p w14:paraId="384D35C2" w14:textId="534E6B76" w:rsidR="00C8128E" w:rsidRDefault="00BB4ADC">
      <w:pPr>
        <w:numPr>
          <w:ilvl w:val="0"/>
          <w:numId w:val="4"/>
        </w:numPr>
        <w:spacing w:before="240" w:line="240" w:lineRule="auto"/>
        <w:rPr>
          <w:sz w:val="20"/>
          <w:szCs w:val="20"/>
        </w:rPr>
      </w:pPr>
      <w:r>
        <w:rPr>
          <w:sz w:val="20"/>
          <w:szCs w:val="20"/>
        </w:rPr>
        <w:t xml:space="preserve">subjected to intrusive questions by their colleagues (53%), </w:t>
      </w:r>
    </w:p>
    <w:p w14:paraId="051414E5" w14:textId="20B48FCB" w:rsidR="00C8128E" w:rsidRDefault="00BB4ADC">
      <w:pPr>
        <w:numPr>
          <w:ilvl w:val="0"/>
          <w:numId w:val="4"/>
        </w:numPr>
        <w:spacing w:line="240" w:lineRule="auto"/>
        <w:rPr>
          <w:sz w:val="20"/>
          <w:szCs w:val="20"/>
        </w:rPr>
      </w:pPr>
      <w:r>
        <w:rPr>
          <w:sz w:val="20"/>
          <w:szCs w:val="20"/>
        </w:rPr>
        <w:t xml:space="preserve">spread of gossip and rumours (51%), </w:t>
      </w:r>
    </w:p>
    <w:p w14:paraId="6E723841" w14:textId="1052E63E" w:rsidR="00C8128E" w:rsidRDefault="00BB4ADC">
      <w:pPr>
        <w:numPr>
          <w:ilvl w:val="0"/>
          <w:numId w:val="4"/>
        </w:numPr>
        <w:spacing w:line="240" w:lineRule="auto"/>
        <w:rPr>
          <w:sz w:val="20"/>
          <w:szCs w:val="20"/>
        </w:rPr>
      </w:pPr>
      <w:r>
        <w:rPr>
          <w:sz w:val="20"/>
          <w:szCs w:val="20"/>
        </w:rPr>
        <w:t xml:space="preserve">name-calling (48%), </w:t>
      </w:r>
    </w:p>
    <w:p w14:paraId="2EE5161E" w14:textId="77777777" w:rsidR="00C8128E" w:rsidRDefault="00BB4ADC">
      <w:pPr>
        <w:numPr>
          <w:ilvl w:val="0"/>
          <w:numId w:val="4"/>
        </w:numPr>
        <w:spacing w:after="240" w:line="240" w:lineRule="auto"/>
        <w:rPr>
          <w:sz w:val="20"/>
          <w:szCs w:val="20"/>
        </w:rPr>
      </w:pPr>
      <w:r>
        <w:rPr>
          <w:sz w:val="20"/>
          <w:szCs w:val="20"/>
        </w:rPr>
        <w:t xml:space="preserve">sexual harassment by colleagues (27%) and customers (25%). </w:t>
      </w:r>
    </w:p>
    <w:p w14:paraId="258E4428" w14:textId="1AB2B60E" w:rsidR="00C8128E" w:rsidRDefault="00BB4ADC" w:rsidP="00511E2E">
      <w:pPr>
        <w:spacing w:line="240" w:lineRule="auto"/>
        <w:rPr>
          <w:sz w:val="20"/>
          <w:szCs w:val="20"/>
        </w:rPr>
      </w:pPr>
      <w:r>
        <w:rPr>
          <w:sz w:val="20"/>
          <w:szCs w:val="20"/>
        </w:rPr>
        <w:lastRenderedPageBreak/>
        <w:t>11.</w:t>
      </w:r>
      <w:r w:rsidR="00CD4C0F">
        <w:rPr>
          <w:sz w:val="20"/>
          <w:szCs w:val="20"/>
        </w:rPr>
        <w:t>7</w:t>
      </w:r>
      <w:r>
        <w:rPr>
          <w:sz w:val="20"/>
          <w:szCs w:val="20"/>
        </w:rPr>
        <w:t xml:space="preserve"> T</w:t>
      </w:r>
      <w:r w:rsidR="00511E2E">
        <w:rPr>
          <w:sz w:val="20"/>
          <w:szCs w:val="20"/>
        </w:rPr>
        <w:t xml:space="preserve">he </w:t>
      </w:r>
      <w:r w:rsidR="0003530F">
        <w:rPr>
          <w:sz w:val="20"/>
          <w:szCs w:val="20"/>
        </w:rPr>
        <w:t xml:space="preserve">report documents the following impact of </w:t>
      </w:r>
      <w:r w:rsidR="00511E2E">
        <w:rPr>
          <w:sz w:val="20"/>
          <w:szCs w:val="20"/>
        </w:rPr>
        <w:t>workplace</w:t>
      </w:r>
      <w:r>
        <w:rPr>
          <w:sz w:val="20"/>
          <w:szCs w:val="20"/>
        </w:rPr>
        <w:t xml:space="preserve"> discrimination: </w:t>
      </w:r>
    </w:p>
    <w:p w14:paraId="5DD98267" w14:textId="2C3A0405" w:rsidR="00C8128E" w:rsidRDefault="00BB4ADC">
      <w:pPr>
        <w:numPr>
          <w:ilvl w:val="0"/>
          <w:numId w:val="8"/>
        </w:numPr>
        <w:spacing w:before="240" w:line="240" w:lineRule="auto"/>
        <w:rPr>
          <w:sz w:val="20"/>
          <w:szCs w:val="20"/>
        </w:rPr>
      </w:pPr>
      <w:r>
        <w:rPr>
          <w:sz w:val="20"/>
          <w:szCs w:val="20"/>
        </w:rPr>
        <w:t>61% felt stress, anxiety, and isolation</w:t>
      </w:r>
    </w:p>
    <w:p w14:paraId="7C6C9B61" w14:textId="012C73A8" w:rsidR="00C8128E" w:rsidRDefault="00BB4ADC">
      <w:pPr>
        <w:numPr>
          <w:ilvl w:val="0"/>
          <w:numId w:val="8"/>
        </w:numPr>
        <w:spacing w:line="240" w:lineRule="auto"/>
        <w:rPr>
          <w:sz w:val="20"/>
          <w:szCs w:val="20"/>
        </w:rPr>
      </w:pPr>
      <w:r>
        <w:rPr>
          <w:sz w:val="20"/>
          <w:szCs w:val="20"/>
        </w:rPr>
        <w:t xml:space="preserve">45% were demotivated </w:t>
      </w:r>
    </w:p>
    <w:p w14:paraId="6D91E301" w14:textId="215DAACE" w:rsidR="00C8128E" w:rsidRDefault="00BB4ADC">
      <w:pPr>
        <w:numPr>
          <w:ilvl w:val="0"/>
          <w:numId w:val="8"/>
        </w:numPr>
        <w:spacing w:line="240" w:lineRule="auto"/>
        <w:rPr>
          <w:sz w:val="20"/>
          <w:szCs w:val="20"/>
        </w:rPr>
      </w:pPr>
      <w:r>
        <w:rPr>
          <w:sz w:val="20"/>
          <w:szCs w:val="20"/>
        </w:rPr>
        <w:t xml:space="preserve">43% experienced depression </w:t>
      </w:r>
    </w:p>
    <w:p w14:paraId="10BE867E" w14:textId="216E7236" w:rsidR="00C8128E" w:rsidRDefault="00BB4ADC">
      <w:pPr>
        <w:numPr>
          <w:ilvl w:val="0"/>
          <w:numId w:val="8"/>
        </w:numPr>
        <w:spacing w:line="240" w:lineRule="auto"/>
        <w:rPr>
          <w:sz w:val="20"/>
          <w:szCs w:val="20"/>
        </w:rPr>
      </w:pPr>
      <w:r>
        <w:rPr>
          <w:sz w:val="20"/>
          <w:szCs w:val="20"/>
        </w:rPr>
        <w:t>15% had suicidal thoughts</w:t>
      </w:r>
    </w:p>
    <w:p w14:paraId="6D4CCA44" w14:textId="414C6E8E" w:rsidR="00C8128E" w:rsidRDefault="00BB4ADC">
      <w:pPr>
        <w:numPr>
          <w:ilvl w:val="0"/>
          <w:numId w:val="8"/>
        </w:numPr>
        <w:spacing w:line="240" w:lineRule="auto"/>
        <w:rPr>
          <w:sz w:val="20"/>
          <w:szCs w:val="20"/>
        </w:rPr>
      </w:pPr>
      <w:r>
        <w:rPr>
          <w:sz w:val="20"/>
          <w:szCs w:val="20"/>
        </w:rPr>
        <w:t>8% had attempted suicide</w:t>
      </w:r>
    </w:p>
    <w:p w14:paraId="35F88306" w14:textId="544BCEC7" w:rsidR="00C8128E" w:rsidRDefault="00BB4ADC">
      <w:pPr>
        <w:numPr>
          <w:ilvl w:val="0"/>
          <w:numId w:val="8"/>
        </w:numPr>
        <w:spacing w:after="240" w:line="240" w:lineRule="auto"/>
        <w:rPr>
          <w:sz w:val="20"/>
          <w:szCs w:val="20"/>
        </w:rPr>
      </w:pPr>
      <w:r>
        <w:rPr>
          <w:sz w:val="20"/>
          <w:szCs w:val="20"/>
        </w:rPr>
        <w:t>37%</w:t>
      </w:r>
      <w:r w:rsidR="009404DA">
        <w:rPr>
          <w:sz w:val="20"/>
          <w:szCs w:val="20"/>
        </w:rPr>
        <w:t xml:space="preserve"> resigned and sought</w:t>
      </w:r>
      <w:r>
        <w:rPr>
          <w:sz w:val="20"/>
          <w:szCs w:val="20"/>
        </w:rPr>
        <w:t xml:space="preserve"> new employment opportunities.  </w:t>
      </w:r>
    </w:p>
    <w:p w14:paraId="4A798C14" w14:textId="77777777" w:rsidR="00C8128E" w:rsidRDefault="00BB4ADC">
      <w:pPr>
        <w:spacing w:line="240" w:lineRule="auto"/>
        <w:rPr>
          <w:b/>
          <w:i/>
          <w:sz w:val="20"/>
          <w:szCs w:val="20"/>
        </w:rPr>
      </w:pPr>
      <w:r>
        <w:rPr>
          <w:b/>
          <w:i/>
          <w:sz w:val="20"/>
          <w:szCs w:val="20"/>
        </w:rPr>
        <w:t xml:space="preserve">Critical question </w:t>
      </w:r>
    </w:p>
    <w:p w14:paraId="33FFC4FE" w14:textId="77777777" w:rsidR="00C8128E" w:rsidRDefault="00C8128E">
      <w:pPr>
        <w:spacing w:line="240" w:lineRule="auto"/>
        <w:rPr>
          <w:sz w:val="20"/>
          <w:szCs w:val="20"/>
        </w:rPr>
      </w:pPr>
    </w:p>
    <w:p w14:paraId="7635030F" w14:textId="6D69F3D1" w:rsidR="00C8128E" w:rsidRDefault="00BB4ADC">
      <w:pPr>
        <w:spacing w:line="240" w:lineRule="auto"/>
        <w:rPr>
          <w:b/>
          <w:i/>
          <w:sz w:val="20"/>
          <w:szCs w:val="20"/>
        </w:rPr>
      </w:pPr>
      <w:r>
        <w:rPr>
          <w:sz w:val="20"/>
          <w:szCs w:val="20"/>
        </w:rPr>
        <w:t>Q13. How does the State plan to address pre-employment and intersecti</w:t>
      </w:r>
      <w:r w:rsidR="00821CFA">
        <w:rPr>
          <w:sz w:val="20"/>
          <w:szCs w:val="20"/>
        </w:rPr>
        <w:t xml:space="preserve">onal </w:t>
      </w:r>
      <w:r>
        <w:rPr>
          <w:sz w:val="20"/>
          <w:szCs w:val="20"/>
        </w:rPr>
        <w:t>workplace</w:t>
      </w:r>
      <w:r w:rsidR="00821CFA">
        <w:rPr>
          <w:sz w:val="20"/>
          <w:szCs w:val="20"/>
        </w:rPr>
        <w:t xml:space="preserve"> discrimination</w:t>
      </w:r>
      <w:r>
        <w:rPr>
          <w:sz w:val="20"/>
          <w:szCs w:val="20"/>
        </w:rPr>
        <w:t xml:space="preserve"> LBT women</w:t>
      </w:r>
      <w:r w:rsidR="00821CFA">
        <w:rPr>
          <w:sz w:val="20"/>
          <w:szCs w:val="20"/>
        </w:rPr>
        <w:t xml:space="preserve"> face</w:t>
      </w:r>
      <w:r>
        <w:rPr>
          <w:sz w:val="20"/>
          <w:szCs w:val="20"/>
        </w:rPr>
        <w:t xml:space="preserve">? </w:t>
      </w:r>
    </w:p>
    <w:p w14:paraId="6AC35EE4" w14:textId="77777777" w:rsidR="00C8128E" w:rsidRDefault="00BB4ADC">
      <w:pPr>
        <w:spacing w:line="240" w:lineRule="auto"/>
        <w:rPr>
          <w:b/>
        </w:rPr>
      </w:pPr>
      <w:r>
        <w:br w:type="page"/>
      </w:r>
    </w:p>
    <w:p w14:paraId="641C4830" w14:textId="77777777" w:rsidR="00C8128E" w:rsidRDefault="00BB4ADC">
      <w:pPr>
        <w:spacing w:line="240" w:lineRule="auto"/>
        <w:rPr>
          <w:b/>
        </w:rPr>
      </w:pPr>
      <w:r>
        <w:rPr>
          <w:b/>
        </w:rPr>
        <w:lastRenderedPageBreak/>
        <w:t xml:space="preserve">Article 12: Health </w:t>
      </w:r>
    </w:p>
    <w:p w14:paraId="2C0A40D7" w14:textId="77777777" w:rsidR="00C8128E" w:rsidRDefault="00C8128E">
      <w:pPr>
        <w:spacing w:line="240" w:lineRule="auto"/>
        <w:rPr>
          <w:sz w:val="20"/>
          <w:szCs w:val="20"/>
        </w:rPr>
      </w:pPr>
    </w:p>
    <w:p w14:paraId="16E968B1" w14:textId="4BF34D40" w:rsidR="00C8128E" w:rsidRDefault="00BB4ADC">
      <w:pPr>
        <w:spacing w:line="240" w:lineRule="auto"/>
        <w:rPr>
          <w:sz w:val="20"/>
          <w:szCs w:val="20"/>
        </w:rPr>
      </w:pPr>
      <w:r>
        <w:rPr>
          <w:sz w:val="20"/>
          <w:szCs w:val="20"/>
        </w:rPr>
        <w:t>12.1 The Ministry of Health’s 2017 guideline to manage ‘gender confusion’ in health clinics</w:t>
      </w:r>
      <w:r>
        <w:rPr>
          <w:sz w:val="20"/>
          <w:szCs w:val="20"/>
          <w:vertAlign w:val="superscript"/>
        </w:rPr>
        <w:footnoteReference w:id="68"/>
      </w:r>
      <w:r>
        <w:rPr>
          <w:sz w:val="20"/>
          <w:szCs w:val="20"/>
        </w:rPr>
        <w:t xml:space="preserve"> recommends </w:t>
      </w:r>
      <w:r w:rsidR="00821CFA">
        <w:rPr>
          <w:sz w:val="20"/>
          <w:szCs w:val="20"/>
        </w:rPr>
        <w:t>medical</w:t>
      </w:r>
      <w:r>
        <w:rPr>
          <w:sz w:val="20"/>
          <w:szCs w:val="20"/>
        </w:rPr>
        <w:t xml:space="preserve"> examinations</w:t>
      </w:r>
      <w:r w:rsidR="00821CFA">
        <w:rPr>
          <w:sz w:val="20"/>
          <w:szCs w:val="20"/>
        </w:rPr>
        <w:t xml:space="preserve">, </w:t>
      </w:r>
      <w:r>
        <w:rPr>
          <w:sz w:val="20"/>
          <w:szCs w:val="20"/>
        </w:rPr>
        <w:t xml:space="preserve">a chromosome test </w:t>
      </w:r>
      <w:r w:rsidR="00821CFA">
        <w:rPr>
          <w:sz w:val="20"/>
          <w:szCs w:val="20"/>
        </w:rPr>
        <w:t xml:space="preserve">and counselling with state agencies, counsellors, and religious institutions, among others </w:t>
      </w:r>
      <w:r>
        <w:rPr>
          <w:sz w:val="20"/>
          <w:szCs w:val="20"/>
        </w:rPr>
        <w:t xml:space="preserve">for </w:t>
      </w:r>
      <w:r w:rsidR="00821CFA">
        <w:rPr>
          <w:sz w:val="20"/>
          <w:szCs w:val="20"/>
        </w:rPr>
        <w:t>those</w:t>
      </w:r>
      <w:r>
        <w:rPr>
          <w:sz w:val="20"/>
          <w:szCs w:val="20"/>
        </w:rPr>
        <w:t xml:space="preserve"> seeking </w:t>
      </w:r>
      <w:r w:rsidR="005C5B6E">
        <w:rPr>
          <w:sz w:val="20"/>
          <w:szCs w:val="20"/>
        </w:rPr>
        <w:t xml:space="preserve">support for </w:t>
      </w:r>
      <w:r>
        <w:rPr>
          <w:sz w:val="20"/>
          <w:szCs w:val="20"/>
        </w:rPr>
        <w:t xml:space="preserve">gender-related issues. Intersex babies are </w:t>
      </w:r>
      <w:r w:rsidR="00821CFA">
        <w:rPr>
          <w:sz w:val="20"/>
          <w:szCs w:val="20"/>
        </w:rPr>
        <w:t xml:space="preserve">medicalized and </w:t>
      </w:r>
      <w:r>
        <w:rPr>
          <w:sz w:val="20"/>
          <w:szCs w:val="20"/>
        </w:rPr>
        <w:t>described as ‘</w:t>
      </w:r>
      <w:proofErr w:type="gramStart"/>
      <w:r w:rsidR="00821CFA">
        <w:rPr>
          <w:sz w:val="20"/>
          <w:szCs w:val="20"/>
        </w:rPr>
        <w:t>ambiguous’</w:t>
      </w:r>
      <w:proofErr w:type="gramEnd"/>
      <w:r>
        <w:rPr>
          <w:sz w:val="20"/>
          <w:szCs w:val="20"/>
        </w:rPr>
        <w:t xml:space="preserve">. </w:t>
      </w:r>
      <w:r w:rsidR="00821CFA">
        <w:rPr>
          <w:sz w:val="20"/>
          <w:szCs w:val="20"/>
        </w:rPr>
        <w:br/>
      </w:r>
      <w:r w:rsidR="00821CFA">
        <w:rPr>
          <w:sz w:val="20"/>
          <w:szCs w:val="20"/>
        </w:rPr>
        <w:br/>
      </w:r>
      <w:r>
        <w:rPr>
          <w:sz w:val="20"/>
          <w:szCs w:val="20"/>
        </w:rPr>
        <w:t>The 2019 Paediatric Protocols recommends gender assignment and sex rearing for intersex babies based on ‘most probable adult gender identity and potential for adult function’ and medical and non-medical measures to reinforce the assigned gender.</w:t>
      </w:r>
      <w:r>
        <w:rPr>
          <w:sz w:val="20"/>
          <w:szCs w:val="20"/>
          <w:vertAlign w:val="superscript"/>
        </w:rPr>
        <w:footnoteReference w:id="69"/>
      </w:r>
      <w:r>
        <w:rPr>
          <w:sz w:val="20"/>
          <w:szCs w:val="20"/>
        </w:rPr>
        <w:t xml:space="preserve"> </w:t>
      </w:r>
      <w:r w:rsidR="00821CFA">
        <w:rPr>
          <w:sz w:val="20"/>
          <w:szCs w:val="20"/>
        </w:rPr>
        <w:t>They</w:t>
      </w:r>
      <w:r>
        <w:rPr>
          <w:sz w:val="20"/>
          <w:szCs w:val="20"/>
        </w:rPr>
        <w:t xml:space="preserve"> unnecessarily medicalise LBTI persons, violate bodily autonomy and integrity, and are not </w:t>
      </w:r>
      <w:r w:rsidR="005C5B6E">
        <w:rPr>
          <w:sz w:val="20"/>
          <w:szCs w:val="20"/>
        </w:rPr>
        <w:t xml:space="preserve">based on </w:t>
      </w:r>
      <w:r>
        <w:rPr>
          <w:sz w:val="20"/>
          <w:szCs w:val="20"/>
        </w:rPr>
        <w:t xml:space="preserve">latest </w:t>
      </w:r>
      <w:r w:rsidR="005C5B6E">
        <w:rPr>
          <w:sz w:val="20"/>
          <w:szCs w:val="20"/>
        </w:rPr>
        <w:t>scientific</w:t>
      </w:r>
      <w:r>
        <w:rPr>
          <w:sz w:val="20"/>
          <w:szCs w:val="20"/>
        </w:rPr>
        <w:t xml:space="preserve"> and human rights standards. </w:t>
      </w:r>
    </w:p>
    <w:p w14:paraId="13620274" w14:textId="77777777" w:rsidR="00C8128E" w:rsidRDefault="00C8128E">
      <w:pPr>
        <w:spacing w:line="240" w:lineRule="auto"/>
        <w:rPr>
          <w:sz w:val="20"/>
          <w:szCs w:val="20"/>
        </w:rPr>
      </w:pPr>
    </w:p>
    <w:p w14:paraId="3204DFCD" w14:textId="6F42FFEA" w:rsidR="00C8128E" w:rsidRDefault="00BB4ADC">
      <w:pPr>
        <w:spacing w:line="240" w:lineRule="auto"/>
        <w:rPr>
          <w:color w:val="222222"/>
          <w:sz w:val="20"/>
          <w:szCs w:val="20"/>
        </w:rPr>
      </w:pPr>
      <w:r>
        <w:rPr>
          <w:sz w:val="20"/>
          <w:szCs w:val="20"/>
        </w:rPr>
        <w:t xml:space="preserve">12.2. </w:t>
      </w:r>
      <w:r w:rsidR="005C5B6E">
        <w:rPr>
          <w:sz w:val="20"/>
          <w:szCs w:val="20"/>
        </w:rPr>
        <w:t>A medical university’s</w:t>
      </w:r>
      <w:r>
        <w:rPr>
          <w:sz w:val="20"/>
          <w:szCs w:val="20"/>
        </w:rPr>
        <w:t xml:space="preserve"> Gender Dysphoria Flagship programme aims to ‘save’ LGBT people.</w:t>
      </w:r>
      <w:r>
        <w:rPr>
          <w:sz w:val="20"/>
          <w:szCs w:val="20"/>
          <w:vertAlign w:val="superscript"/>
        </w:rPr>
        <w:footnoteReference w:id="70"/>
      </w:r>
      <w:r>
        <w:rPr>
          <w:sz w:val="20"/>
          <w:szCs w:val="20"/>
        </w:rPr>
        <w:t xml:space="preserve"> A university-linked hospital </w:t>
      </w:r>
      <w:r>
        <w:rPr>
          <w:color w:val="222222"/>
          <w:sz w:val="20"/>
          <w:szCs w:val="20"/>
        </w:rPr>
        <w:t>has reportedly sponsored medical interventions for 20 trans people to de-transition and provided financial incentives to discourage them from returning to their ‘old self’.</w:t>
      </w:r>
      <w:r>
        <w:rPr>
          <w:color w:val="222222"/>
          <w:sz w:val="20"/>
          <w:szCs w:val="20"/>
          <w:vertAlign w:val="superscript"/>
        </w:rPr>
        <w:footnoteReference w:id="71"/>
      </w:r>
    </w:p>
    <w:p w14:paraId="000A9624" w14:textId="77777777" w:rsidR="00C8128E" w:rsidRDefault="00C8128E">
      <w:pPr>
        <w:spacing w:line="240" w:lineRule="auto"/>
        <w:rPr>
          <w:color w:val="222222"/>
          <w:sz w:val="20"/>
          <w:szCs w:val="20"/>
        </w:rPr>
      </w:pPr>
    </w:p>
    <w:p w14:paraId="312E8E50" w14:textId="0E903E27" w:rsidR="00C8128E" w:rsidRDefault="00BB4ADC">
      <w:pPr>
        <w:spacing w:line="240" w:lineRule="auto"/>
        <w:rPr>
          <w:color w:val="222222"/>
          <w:sz w:val="20"/>
          <w:szCs w:val="20"/>
        </w:rPr>
      </w:pPr>
      <w:r>
        <w:rPr>
          <w:color w:val="222222"/>
          <w:sz w:val="20"/>
          <w:szCs w:val="20"/>
        </w:rPr>
        <w:t xml:space="preserve">12.3 The </w:t>
      </w:r>
      <w:proofErr w:type="spellStart"/>
      <w:r>
        <w:rPr>
          <w:color w:val="222222"/>
          <w:sz w:val="20"/>
          <w:szCs w:val="20"/>
        </w:rPr>
        <w:t>weaponisation</w:t>
      </w:r>
      <w:proofErr w:type="spellEnd"/>
      <w:r>
        <w:rPr>
          <w:color w:val="222222"/>
          <w:sz w:val="20"/>
          <w:szCs w:val="20"/>
        </w:rPr>
        <w:t xml:space="preserve"> of HIV </w:t>
      </w:r>
      <w:r w:rsidR="005C5B6E">
        <w:rPr>
          <w:color w:val="222222"/>
          <w:sz w:val="20"/>
          <w:szCs w:val="20"/>
        </w:rPr>
        <w:t xml:space="preserve">increases discrimination and </w:t>
      </w:r>
      <w:r>
        <w:rPr>
          <w:color w:val="222222"/>
          <w:sz w:val="20"/>
          <w:szCs w:val="20"/>
        </w:rPr>
        <w:t>threaten</w:t>
      </w:r>
      <w:r w:rsidR="005C5B6E">
        <w:rPr>
          <w:color w:val="222222"/>
          <w:sz w:val="20"/>
          <w:szCs w:val="20"/>
        </w:rPr>
        <w:t>s</w:t>
      </w:r>
      <w:r>
        <w:rPr>
          <w:color w:val="222222"/>
          <w:sz w:val="20"/>
          <w:szCs w:val="20"/>
        </w:rPr>
        <w:t xml:space="preserve"> </w:t>
      </w:r>
      <w:r w:rsidR="001356CE">
        <w:rPr>
          <w:color w:val="222222"/>
          <w:sz w:val="20"/>
          <w:szCs w:val="20"/>
        </w:rPr>
        <w:t xml:space="preserve">LBT women’s </w:t>
      </w:r>
      <w:r>
        <w:rPr>
          <w:color w:val="222222"/>
          <w:sz w:val="20"/>
          <w:szCs w:val="20"/>
        </w:rPr>
        <w:t xml:space="preserve">access to healthcare. State actors raise panic by exploiting statistics on the prevalence of HIV among LGBT people, while promoting harmful and counterproductive HIV interventions, such as LGBT rehabilitation and other SOGIE-change efforts. A study shows 42% of </w:t>
      </w:r>
      <w:r>
        <w:rPr>
          <w:sz w:val="20"/>
          <w:szCs w:val="20"/>
        </w:rPr>
        <w:t>436 physicians in Kuala Lumpur showed stigma-related constructs towards transgender people.</w:t>
      </w:r>
      <w:r>
        <w:rPr>
          <w:sz w:val="20"/>
          <w:szCs w:val="20"/>
          <w:vertAlign w:val="superscript"/>
        </w:rPr>
        <w:footnoteReference w:id="72"/>
      </w:r>
    </w:p>
    <w:p w14:paraId="6216657C" w14:textId="77777777" w:rsidR="00C8128E" w:rsidRDefault="00C8128E">
      <w:pPr>
        <w:spacing w:line="240" w:lineRule="auto"/>
        <w:rPr>
          <w:sz w:val="20"/>
          <w:szCs w:val="20"/>
        </w:rPr>
      </w:pPr>
    </w:p>
    <w:p w14:paraId="10402609" w14:textId="77777777" w:rsidR="00C8128E" w:rsidRDefault="00BB4ADC">
      <w:pPr>
        <w:spacing w:after="240" w:line="240" w:lineRule="auto"/>
        <w:rPr>
          <w:b/>
          <w:i/>
          <w:sz w:val="20"/>
          <w:szCs w:val="20"/>
        </w:rPr>
      </w:pPr>
      <w:r>
        <w:rPr>
          <w:b/>
          <w:i/>
          <w:sz w:val="20"/>
          <w:szCs w:val="20"/>
        </w:rPr>
        <w:t>Critical questions</w:t>
      </w:r>
    </w:p>
    <w:p w14:paraId="07FFCE89" w14:textId="77777777" w:rsidR="00C8128E" w:rsidRDefault="00BB4ADC">
      <w:pPr>
        <w:spacing w:line="240" w:lineRule="auto"/>
        <w:rPr>
          <w:sz w:val="20"/>
          <w:szCs w:val="20"/>
        </w:rPr>
      </w:pPr>
      <w:r>
        <w:rPr>
          <w:sz w:val="20"/>
          <w:szCs w:val="20"/>
        </w:rPr>
        <w:t xml:space="preserve">Q14. How does the state plan to adopt a more evidence- and rights-based approach in relation to LBTI women’s health issues? </w:t>
      </w:r>
    </w:p>
    <w:p w14:paraId="7BA31823" w14:textId="77777777" w:rsidR="00C8128E" w:rsidRDefault="00C8128E">
      <w:pPr>
        <w:spacing w:line="240" w:lineRule="auto"/>
        <w:rPr>
          <w:sz w:val="20"/>
          <w:szCs w:val="20"/>
        </w:rPr>
      </w:pPr>
    </w:p>
    <w:p w14:paraId="3AE1E3A9" w14:textId="77777777" w:rsidR="00C8128E" w:rsidRDefault="00BB4ADC">
      <w:pPr>
        <w:spacing w:line="240" w:lineRule="auto"/>
        <w:rPr>
          <w:b/>
        </w:rPr>
      </w:pPr>
      <w:r>
        <w:br w:type="page"/>
      </w:r>
    </w:p>
    <w:p w14:paraId="06E7A86F" w14:textId="77777777" w:rsidR="00C8128E" w:rsidRDefault="00BB4ADC">
      <w:pPr>
        <w:spacing w:line="240" w:lineRule="auto"/>
        <w:rPr>
          <w:b/>
        </w:rPr>
      </w:pPr>
      <w:r>
        <w:rPr>
          <w:b/>
        </w:rPr>
        <w:lastRenderedPageBreak/>
        <w:t xml:space="preserve">General Recommendation 19: Violence against Women </w:t>
      </w:r>
    </w:p>
    <w:p w14:paraId="00355C3B" w14:textId="77777777" w:rsidR="00C8128E" w:rsidRDefault="00C8128E">
      <w:pPr>
        <w:spacing w:line="240" w:lineRule="auto"/>
        <w:rPr>
          <w:sz w:val="20"/>
          <w:szCs w:val="20"/>
        </w:rPr>
      </w:pPr>
    </w:p>
    <w:p w14:paraId="1A1FF5DD" w14:textId="310E275C" w:rsidR="00C8128E" w:rsidRDefault="00BB4ADC">
      <w:pPr>
        <w:spacing w:line="240" w:lineRule="auto"/>
        <w:rPr>
          <w:sz w:val="20"/>
          <w:szCs w:val="20"/>
        </w:rPr>
      </w:pPr>
      <w:r>
        <w:rPr>
          <w:sz w:val="20"/>
          <w:szCs w:val="20"/>
        </w:rPr>
        <w:t xml:space="preserve">GR19.1 </w:t>
      </w:r>
      <w:r w:rsidR="005C5B6E">
        <w:rPr>
          <w:sz w:val="20"/>
          <w:szCs w:val="20"/>
        </w:rPr>
        <w:t xml:space="preserve">LBT women face multiple </w:t>
      </w:r>
      <w:proofErr w:type="spellStart"/>
      <w:r w:rsidR="005C5B6E">
        <w:rPr>
          <w:sz w:val="20"/>
          <w:szCs w:val="20"/>
        </w:rPr>
        <w:t>foms</w:t>
      </w:r>
      <w:proofErr w:type="spellEnd"/>
      <w:r w:rsidR="005C5B6E">
        <w:rPr>
          <w:sz w:val="20"/>
          <w:szCs w:val="20"/>
        </w:rPr>
        <w:t xml:space="preserve"> of</w:t>
      </w:r>
      <w:r>
        <w:rPr>
          <w:sz w:val="20"/>
          <w:szCs w:val="20"/>
        </w:rPr>
        <w:t xml:space="preserve"> discrimination and violence,</w:t>
      </w:r>
      <w:r>
        <w:rPr>
          <w:sz w:val="20"/>
          <w:szCs w:val="20"/>
          <w:vertAlign w:val="superscript"/>
        </w:rPr>
        <w:footnoteReference w:id="73"/>
      </w:r>
      <w:r>
        <w:rPr>
          <w:sz w:val="20"/>
          <w:szCs w:val="20"/>
        </w:rPr>
        <w:t xml:space="preserve"> by state and non-state actors, including family members. </w:t>
      </w:r>
    </w:p>
    <w:p w14:paraId="5727DC21" w14:textId="5E524135" w:rsidR="00C8128E" w:rsidRDefault="00BB4ADC">
      <w:pPr>
        <w:numPr>
          <w:ilvl w:val="0"/>
          <w:numId w:val="3"/>
        </w:numPr>
        <w:spacing w:line="240" w:lineRule="auto"/>
        <w:rPr>
          <w:sz w:val="20"/>
          <w:szCs w:val="20"/>
        </w:rPr>
      </w:pPr>
      <w:r>
        <w:rPr>
          <w:b/>
          <w:sz w:val="20"/>
          <w:szCs w:val="20"/>
        </w:rPr>
        <w:t>Online gender-based violence</w:t>
      </w:r>
      <w:r>
        <w:rPr>
          <w:sz w:val="20"/>
          <w:szCs w:val="20"/>
        </w:rPr>
        <w:t xml:space="preserve">, including doxing, catfishing, and blackmail. Consequently, </w:t>
      </w:r>
      <w:r w:rsidR="00671FCF">
        <w:rPr>
          <w:sz w:val="20"/>
          <w:szCs w:val="20"/>
        </w:rPr>
        <w:t>many opt to</w:t>
      </w:r>
      <w:r>
        <w:rPr>
          <w:sz w:val="20"/>
          <w:szCs w:val="20"/>
        </w:rPr>
        <w:t xml:space="preserve"> self-censor themselves to avoid discrimination.</w:t>
      </w:r>
      <w:r>
        <w:rPr>
          <w:sz w:val="20"/>
          <w:szCs w:val="20"/>
          <w:vertAlign w:val="superscript"/>
        </w:rPr>
        <w:footnoteReference w:id="74"/>
      </w:r>
      <w:r>
        <w:rPr>
          <w:sz w:val="20"/>
          <w:szCs w:val="20"/>
        </w:rPr>
        <w:t xml:space="preserve"> </w:t>
      </w:r>
      <w:r>
        <w:rPr>
          <w:sz w:val="20"/>
          <w:szCs w:val="20"/>
          <w:vertAlign w:val="superscript"/>
        </w:rPr>
        <w:footnoteReference w:id="75"/>
      </w:r>
      <w:r>
        <w:rPr>
          <w:sz w:val="20"/>
          <w:szCs w:val="20"/>
        </w:rPr>
        <w:br/>
      </w:r>
    </w:p>
    <w:p w14:paraId="2F34B2B7" w14:textId="64DB2ADF" w:rsidR="00C8128E" w:rsidRDefault="00671FCF">
      <w:pPr>
        <w:numPr>
          <w:ilvl w:val="0"/>
          <w:numId w:val="3"/>
        </w:numPr>
        <w:spacing w:line="240" w:lineRule="auto"/>
        <w:rPr>
          <w:sz w:val="20"/>
          <w:szCs w:val="20"/>
        </w:rPr>
      </w:pPr>
      <w:r w:rsidRPr="00671FCF">
        <w:rPr>
          <w:bCs/>
          <w:sz w:val="20"/>
          <w:szCs w:val="20"/>
        </w:rPr>
        <w:t>Trans and gender-diverse people, especially sex workers are vulnerable to</w:t>
      </w:r>
      <w:r>
        <w:rPr>
          <w:b/>
          <w:sz w:val="20"/>
          <w:szCs w:val="20"/>
        </w:rPr>
        <w:t xml:space="preserve"> h</w:t>
      </w:r>
      <w:r w:rsidR="00BB4ADC">
        <w:rPr>
          <w:b/>
          <w:sz w:val="20"/>
          <w:szCs w:val="20"/>
        </w:rPr>
        <w:t>ate crimes and murder</w:t>
      </w:r>
      <w:r>
        <w:rPr>
          <w:sz w:val="20"/>
          <w:szCs w:val="20"/>
        </w:rPr>
        <w:t xml:space="preserve">. </w:t>
      </w:r>
      <w:r w:rsidR="00BB4ADC">
        <w:rPr>
          <w:sz w:val="20"/>
          <w:szCs w:val="20"/>
        </w:rPr>
        <w:t xml:space="preserve">The </w:t>
      </w:r>
      <w:proofErr w:type="spellStart"/>
      <w:r w:rsidR="00BB4ADC">
        <w:rPr>
          <w:sz w:val="20"/>
          <w:szCs w:val="20"/>
        </w:rPr>
        <w:t>Suhakam</w:t>
      </w:r>
      <w:proofErr w:type="spellEnd"/>
      <w:r w:rsidR="00BB4ADC">
        <w:rPr>
          <w:sz w:val="20"/>
          <w:szCs w:val="20"/>
        </w:rPr>
        <w:t xml:space="preserve"> study found 28 trans respondents who were sex workers experienced violence from clients/customers, 25 from authorities and 29 from members of the public.</w:t>
      </w:r>
      <w:r w:rsidR="00BB4ADC">
        <w:rPr>
          <w:sz w:val="20"/>
          <w:szCs w:val="20"/>
          <w:vertAlign w:val="superscript"/>
        </w:rPr>
        <w:footnoteReference w:id="76"/>
      </w:r>
      <w:r w:rsidR="00BB4ADC">
        <w:rPr>
          <w:sz w:val="20"/>
          <w:szCs w:val="20"/>
        </w:rPr>
        <w:t xml:space="preserve">  </w:t>
      </w:r>
      <w:r w:rsidR="00BB4ADC">
        <w:rPr>
          <w:sz w:val="20"/>
          <w:szCs w:val="20"/>
        </w:rPr>
        <w:br/>
      </w:r>
    </w:p>
    <w:p w14:paraId="13B8E289" w14:textId="77777777" w:rsidR="00C8128E" w:rsidRDefault="00BB4ADC">
      <w:pPr>
        <w:numPr>
          <w:ilvl w:val="0"/>
          <w:numId w:val="3"/>
        </w:numPr>
        <w:spacing w:line="240" w:lineRule="auto"/>
        <w:rPr>
          <w:sz w:val="20"/>
          <w:szCs w:val="20"/>
        </w:rPr>
      </w:pPr>
      <w:r>
        <w:rPr>
          <w:b/>
          <w:sz w:val="20"/>
          <w:szCs w:val="20"/>
        </w:rPr>
        <w:t>Sexual harassment and violence</w:t>
      </w:r>
      <w:r>
        <w:rPr>
          <w:sz w:val="20"/>
          <w:szCs w:val="20"/>
        </w:rPr>
        <w:t xml:space="preserve"> in public places and transportation;</w:t>
      </w:r>
      <w:r>
        <w:rPr>
          <w:sz w:val="20"/>
          <w:szCs w:val="20"/>
          <w:vertAlign w:val="superscript"/>
        </w:rPr>
        <w:footnoteReference w:id="77"/>
      </w:r>
      <w:r>
        <w:rPr>
          <w:sz w:val="20"/>
          <w:szCs w:val="20"/>
        </w:rPr>
        <w:t xml:space="preserve"> </w:t>
      </w:r>
      <w:r>
        <w:rPr>
          <w:sz w:val="20"/>
          <w:szCs w:val="20"/>
        </w:rPr>
        <w:br/>
      </w:r>
    </w:p>
    <w:p w14:paraId="36D76342" w14:textId="77777777" w:rsidR="00C8128E" w:rsidRDefault="00BB4ADC">
      <w:pPr>
        <w:numPr>
          <w:ilvl w:val="0"/>
          <w:numId w:val="3"/>
        </w:numPr>
        <w:spacing w:line="240" w:lineRule="auto"/>
        <w:rPr>
          <w:sz w:val="20"/>
          <w:szCs w:val="20"/>
        </w:rPr>
      </w:pPr>
      <w:r>
        <w:rPr>
          <w:b/>
          <w:sz w:val="20"/>
          <w:szCs w:val="20"/>
        </w:rPr>
        <w:t>Domestic violence</w:t>
      </w:r>
      <w:r>
        <w:rPr>
          <w:sz w:val="20"/>
          <w:szCs w:val="20"/>
        </w:rPr>
        <w:t>, including surveillance by family members; forced marriages; emotional and financial withdrawal; disownment; forcibly or pressuring LGBTQ family members to SOGIE-change efforts or conversion practices; and violence. In some cases, the violence results in discontinued education, loss of home or shelter, long-term effects on their safety and wellbeing.</w:t>
      </w:r>
      <w:r>
        <w:rPr>
          <w:sz w:val="20"/>
          <w:szCs w:val="20"/>
          <w:vertAlign w:val="superscript"/>
        </w:rPr>
        <w:footnoteReference w:id="78"/>
      </w:r>
    </w:p>
    <w:p w14:paraId="0007AB61" w14:textId="77777777" w:rsidR="00C8128E" w:rsidRDefault="00C8128E">
      <w:pPr>
        <w:spacing w:line="240" w:lineRule="auto"/>
        <w:rPr>
          <w:sz w:val="20"/>
          <w:szCs w:val="20"/>
        </w:rPr>
      </w:pPr>
    </w:p>
    <w:p w14:paraId="414657E5" w14:textId="59A52F23" w:rsidR="00C8128E" w:rsidRDefault="00BB4ADC">
      <w:pPr>
        <w:spacing w:line="240" w:lineRule="auto"/>
        <w:rPr>
          <w:sz w:val="20"/>
          <w:szCs w:val="20"/>
        </w:rPr>
      </w:pPr>
      <w:r>
        <w:rPr>
          <w:sz w:val="20"/>
          <w:szCs w:val="20"/>
        </w:rPr>
        <w:t xml:space="preserve">GR19.2 </w:t>
      </w:r>
      <w:r w:rsidR="00671FCF">
        <w:rPr>
          <w:sz w:val="20"/>
          <w:szCs w:val="20"/>
        </w:rPr>
        <w:t>A report show</w:t>
      </w:r>
      <w:r>
        <w:rPr>
          <w:sz w:val="20"/>
          <w:szCs w:val="20"/>
        </w:rPr>
        <w:t>s</w:t>
      </w:r>
      <w:r w:rsidR="00671FCF">
        <w:rPr>
          <w:sz w:val="20"/>
          <w:szCs w:val="20"/>
        </w:rPr>
        <w:t xml:space="preserve"> </w:t>
      </w:r>
      <w:r>
        <w:rPr>
          <w:sz w:val="20"/>
          <w:szCs w:val="20"/>
        </w:rPr>
        <w:t xml:space="preserve">20% of the respondents noted increased anti-LGBT conversations at home, in family chat groups, or among family members </w:t>
      </w:r>
      <w:r w:rsidR="00671FCF">
        <w:rPr>
          <w:sz w:val="20"/>
          <w:szCs w:val="20"/>
        </w:rPr>
        <w:t>because of</w:t>
      </w:r>
      <w:r>
        <w:rPr>
          <w:sz w:val="20"/>
          <w:szCs w:val="20"/>
        </w:rPr>
        <w:t xml:space="preserve"> increased anti-LGBT narratives.</w:t>
      </w:r>
      <w:r>
        <w:rPr>
          <w:sz w:val="20"/>
          <w:szCs w:val="20"/>
          <w:vertAlign w:val="superscript"/>
        </w:rPr>
        <w:footnoteReference w:id="79"/>
      </w:r>
      <w:r>
        <w:rPr>
          <w:sz w:val="20"/>
          <w:szCs w:val="20"/>
        </w:rPr>
        <w:t xml:space="preserve"> </w:t>
      </w:r>
    </w:p>
    <w:p w14:paraId="42A6B3C0" w14:textId="77777777" w:rsidR="00C8128E" w:rsidRDefault="00C8128E">
      <w:pPr>
        <w:spacing w:line="240" w:lineRule="auto"/>
        <w:rPr>
          <w:sz w:val="20"/>
          <w:szCs w:val="20"/>
        </w:rPr>
      </w:pPr>
    </w:p>
    <w:p w14:paraId="104A9FC6" w14:textId="4CE71F36" w:rsidR="00C8128E" w:rsidRDefault="00BB4ADC">
      <w:pPr>
        <w:spacing w:line="240" w:lineRule="auto"/>
        <w:rPr>
          <w:sz w:val="20"/>
          <w:szCs w:val="20"/>
        </w:rPr>
      </w:pPr>
      <w:r>
        <w:rPr>
          <w:sz w:val="20"/>
          <w:szCs w:val="20"/>
        </w:rPr>
        <w:t>GR19.3 Reports show low access to justice and a causal link with criminalisation. Muslim queer women facing forced marriage and domestic violence by family members are unable to seek redress due to fear of legal repercussions.</w:t>
      </w:r>
      <w:r>
        <w:rPr>
          <w:sz w:val="20"/>
          <w:szCs w:val="20"/>
          <w:vertAlign w:val="superscript"/>
        </w:rPr>
        <w:footnoteReference w:id="80"/>
      </w:r>
    </w:p>
    <w:p w14:paraId="19E02C4C" w14:textId="77777777" w:rsidR="00C8128E" w:rsidRDefault="00C8128E">
      <w:pPr>
        <w:spacing w:line="240" w:lineRule="auto"/>
        <w:rPr>
          <w:sz w:val="20"/>
          <w:szCs w:val="20"/>
        </w:rPr>
      </w:pPr>
    </w:p>
    <w:p w14:paraId="48103062" w14:textId="77777777" w:rsidR="00C8128E" w:rsidRDefault="00BB4ADC">
      <w:pPr>
        <w:spacing w:line="240" w:lineRule="auto"/>
        <w:rPr>
          <w:b/>
          <w:i/>
          <w:sz w:val="20"/>
          <w:szCs w:val="20"/>
        </w:rPr>
      </w:pPr>
      <w:r>
        <w:rPr>
          <w:b/>
          <w:i/>
          <w:sz w:val="20"/>
          <w:szCs w:val="20"/>
        </w:rPr>
        <w:t xml:space="preserve">Critical question </w:t>
      </w:r>
    </w:p>
    <w:p w14:paraId="301CF219" w14:textId="77777777" w:rsidR="00C8128E" w:rsidRDefault="00C8128E">
      <w:pPr>
        <w:spacing w:line="240" w:lineRule="auto"/>
        <w:rPr>
          <w:sz w:val="20"/>
          <w:szCs w:val="20"/>
        </w:rPr>
      </w:pPr>
    </w:p>
    <w:p w14:paraId="61808265" w14:textId="77777777" w:rsidR="00C8128E" w:rsidRDefault="00BB4ADC">
      <w:pPr>
        <w:spacing w:line="240" w:lineRule="auto"/>
        <w:rPr>
          <w:b/>
          <w:i/>
          <w:sz w:val="20"/>
          <w:szCs w:val="20"/>
        </w:rPr>
      </w:pPr>
      <w:r>
        <w:rPr>
          <w:sz w:val="20"/>
          <w:szCs w:val="20"/>
        </w:rPr>
        <w:t xml:space="preserve">Q15. How does the State plan to reduce violence against LBT women and promote redress mechanisms, including the Domestic Violence Act among LBT women? </w:t>
      </w:r>
    </w:p>
    <w:p w14:paraId="1A174A50" w14:textId="77777777" w:rsidR="00C8128E" w:rsidRDefault="00C8128E">
      <w:pPr>
        <w:spacing w:line="240" w:lineRule="auto"/>
        <w:rPr>
          <w:sz w:val="20"/>
          <w:szCs w:val="20"/>
        </w:rPr>
      </w:pPr>
    </w:p>
    <w:p w14:paraId="0A8AAEF1" w14:textId="77777777" w:rsidR="00C8128E" w:rsidRDefault="00BB4ADC">
      <w:pPr>
        <w:spacing w:line="240" w:lineRule="auto"/>
        <w:rPr>
          <w:b/>
        </w:rPr>
      </w:pPr>
      <w:r>
        <w:br w:type="page"/>
      </w:r>
    </w:p>
    <w:p w14:paraId="0565F8CB" w14:textId="77777777" w:rsidR="00C8128E" w:rsidRDefault="00BB4ADC">
      <w:pPr>
        <w:spacing w:line="240" w:lineRule="auto"/>
        <w:rPr>
          <w:b/>
        </w:rPr>
      </w:pPr>
      <w:r>
        <w:rPr>
          <w:b/>
        </w:rPr>
        <w:lastRenderedPageBreak/>
        <w:t xml:space="preserve">General Recommendation 33: Access to Justice </w:t>
      </w:r>
    </w:p>
    <w:p w14:paraId="340641CA" w14:textId="77777777" w:rsidR="00C8128E" w:rsidRDefault="00C8128E">
      <w:pPr>
        <w:spacing w:line="240" w:lineRule="auto"/>
        <w:rPr>
          <w:sz w:val="20"/>
          <w:szCs w:val="20"/>
        </w:rPr>
      </w:pPr>
    </w:p>
    <w:p w14:paraId="6F16A524" w14:textId="77777777" w:rsidR="00C8128E" w:rsidRDefault="00BB4ADC">
      <w:pPr>
        <w:spacing w:line="240" w:lineRule="auto"/>
        <w:rPr>
          <w:i/>
          <w:sz w:val="20"/>
          <w:szCs w:val="20"/>
        </w:rPr>
      </w:pPr>
      <w:r>
        <w:rPr>
          <w:i/>
          <w:sz w:val="20"/>
          <w:szCs w:val="20"/>
        </w:rPr>
        <w:t xml:space="preserve">Access to redress </w:t>
      </w:r>
    </w:p>
    <w:p w14:paraId="52CA5036" w14:textId="77777777" w:rsidR="00C8128E" w:rsidRDefault="00C8128E">
      <w:pPr>
        <w:spacing w:line="240" w:lineRule="auto"/>
        <w:rPr>
          <w:i/>
          <w:sz w:val="20"/>
          <w:szCs w:val="20"/>
        </w:rPr>
      </w:pPr>
    </w:p>
    <w:p w14:paraId="36740474" w14:textId="5865D517" w:rsidR="00C8128E" w:rsidRDefault="00BB4ADC">
      <w:pPr>
        <w:spacing w:line="240" w:lineRule="auto"/>
        <w:rPr>
          <w:sz w:val="20"/>
          <w:szCs w:val="20"/>
        </w:rPr>
      </w:pPr>
      <w:r>
        <w:rPr>
          <w:sz w:val="20"/>
          <w:szCs w:val="20"/>
        </w:rPr>
        <w:t>GR33.1 A survey shows only 17% of 220 respondents stated that they are very comfortable reporting cases of discrimination and violence to government agencies. Meanwhile, 59% were uncomfortable</w:t>
      </w:r>
      <w:r>
        <w:rPr>
          <w:sz w:val="20"/>
          <w:szCs w:val="20"/>
          <w:vertAlign w:val="superscript"/>
        </w:rPr>
        <w:footnoteReference w:id="81"/>
      </w:r>
      <w:r>
        <w:rPr>
          <w:sz w:val="20"/>
          <w:szCs w:val="20"/>
        </w:rPr>
        <w:t xml:space="preserve"> cit</w:t>
      </w:r>
      <w:r w:rsidR="00671FCF">
        <w:rPr>
          <w:sz w:val="20"/>
          <w:szCs w:val="20"/>
        </w:rPr>
        <w:t>ing</w:t>
      </w:r>
      <w:r>
        <w:rPr>
          <w:sz w:val="20"/>
          <w:szCs w:val="20"/>
        </w:rPr>
        <w:t>:</w:t>
      </w:r>
    </w:p>
    <w:p w14:paraId="1BDBB201" w14:textId="43D438F5" w:rsidR="00C8128E" w:rsidRDefault="00BB4ADC">
      <w:pPr>
        <w:numPr>
          <w:ilvl w:val="0"/>
          <w:numId w:val="9"/>
        </w:numPr>
        <w:spacing w:line="240" w:lineRule="auto"/>
        <w:rPr>
          <w:sz w:val="20"/>
          <w:szCs w:val="20"/>
        </w:rPr>
      </w:pPr>
      <w:r>
        <w:rPr>
          <w:sz w:val="20"/>
          <w:szCs w:val="20"/>
        </w:rPr>
        <w:t>Lack of trust that the case would be taken seriously (73%)</w:t>
      </w:r>
    </w:p>
    <w:p w14:paraId="56489E5D" w14:textId="0C57CB0C" w:rsidR="00C8128E" w:rsidRDefault="00BB4ADC">
      <w:pPr>
        <w:numPr>
          <w:ilvl w:val="0"/>
          <w:numId w:val="9"/>
        </w:numPr>
        <w:spacing w:line="240" w:lineRule="auto"/>
        <w:rPr>
          <w:sz w:val="20"/>
          <w:szCs w:val="20"/>
        </w:rPr>
      </w:pPr>
      <w:r>
        <w:rPr>
          <w:sz w:val="20"/>
          <w:szCs w:val="20"/>
        </w:rPr>
        <w:t>Fear of exacerbating the situation, including additional discrimination (34%)</w:t>
      </w:r>
    </w:p>
    <w:p w14:paraId="3AF032FF" w14:textId="0DD1604B" w:rsidR="00C8128E" w:rsidRDefault="00BB4ADC">
      <w:pPr>
        <w:numPr>
          <w:ilvl w:val="0"/>
          <w:numId w:val="9"/>
        </w:numPr>
        <w:spacing w:line="240" w:lineRule="auto"/>
        <w:rPr>
          <w:sz w:val="20"/>
          <w:szCs w:val="20"/>
        </w:rPr>
      </w:pPr>
      <w:r>
        <w:rPr>
          <w:sz w:val="20"/>
          <w:szCs w:val="20"/>
        </w:rPr>
        <w:t>Fear of being outed (28%)</w:t>
      </w:r>
    </w:p>
    <w:p w14:paraId="2BE138FB" w14:textId="1B8F60F9" w:rsidR="00C8128E" w:rsidRDefault="00BB4ADC">
      <w:pPr>
        <w:numPr>
          <w:ilvl w:val="0"/>
          <w:numId w:val="9"/>
        </w:numPr>
        <w:spacing w:line="240" w:lineRule="auto"/>
        <w:rPr>
          <w:sz w:val="20"/>
          <w:szCs w:val="20"/>
        </w:rPr>
      </w:pPr>
      <w:r>
        <w:rPr>
          <w:sz w:val="20"/>
          <w:szCs w:val="20"/>
        </w:rPr>
        <w:t>Lack of knowledge and information on the reporting process (31%)</w:t>
      </w:r>
    </w:p>
    <w:p w14:paraId="7A53AE93" w14:textId="77777777" w:rsidR="00C8128E" w:rsidRDefault="00BB4ADC">
      <w:pPr>
        <w:numPr>
          <w:ilvl w:val="0"/>
          <w:numId w:val="9"/>
        </w:numPr>
        <w:spacing w:line="240" w:lineRule="auto"/>
        <w:rPr>
          <w:sz w:val="20"/>
          <w:szCs w:val="20"/>
        </w:rPr>
      </w:pPr>
      <w:r>
        <w:rPr>
          <w:sz w:val="20"/>
          <w:szCs w:val="20"/>
        </w:rPr>
        <w:t>Fear of media sensationalism (31%).</w:t>
      </w:r>
    </w:p>
    <w:p w14:paraId="775D42D9" w14:textId="77777777" w:rsidR="00C8128E" w:rsidRDefault="00C8128E">
      <w:pPr>
        <w:spacing w:line="240" w:lineRule="auto"/>
        <w:rPr>
          <w:i/>
          <w:sz w:val="20"/>
          <w:szCs w:val="20"/>
        </w:rPr>
      </w:pPr>
    </w:p>
    <w:p w14:paraId="4FDA6C00" w14:textId="77777777" w:rsidR="00C8128E" w:rsidRDefault="00BB4ADC">
      <w:pPr>
        <w:spacing w:line="240" w:lineRule="auto"/>
        <w:rPr>
          <w:i/>
          <w:sz w:val="20"/>
          <w:szCs w:val="20"/>
        </w:rPr>
      </w:pPr>
      <w:r>
        <w:rPr>
          <w:i/>
          <w:sz w:val="20"/>
          <w:szCs w:val="20"/>
        </w:rPr>
        <w:t xml:space="preserve">Discrimination by the police </w:t>
      </w:r>
    </w:p>
    <w:p w14:paraId="096E2EDE" w14:textId="77777777" w:rsidR="00C8128E" w:rsidRDefault="00C8128E">
      <w:pPr>
        <w:spacing w:line="240" w:lineRule="auto"/>
        <w:rPr>
          <w:i/>
          <w:sz w:val="20"/>
          <w:szCs w:val="20"/>
        </w:rPr>
      </w:pPr>
    </w:p>
    <w:p w14:paraId="6308BF95" w14:textId="266444EE" w:rsidR="00C8128E" w:rsidRDefault="00BB4ADC">
      <w:pPr>
        <w:spacing w:line="240" w:lineRule="auto"/>
        <w:rPr>
          <w:sz w:val="20"/>
          <w:szCs w:val="20"/>
        </w:rPr>
      </w:pPr>
      <w:r>
        <w:rPr>
          <w:sz w:val="20"/>
          <w:szCs w:val="20"/>
        </w:rPr>
        <w:t xml:space="preserve">GR33.2. Research shows that trans women experience name-calling and humiliating treatment, microaggressions, victim-blaming, and a lack of urgency in handling their cases when seeking redress from the police. During raids, </w:t>
      </w:r>
      <w:r w:rsidR="001D1AA3">
        <w:rPr>
          <w:sz w:val="20"/>
          <w:szCs w:val="20"/>
        </w:rPr>
        <w:t>arrests,</w:t>
      </w:r>
      <w:r>
        <w:rPr>
          <w:sz w:val="20"/>
          <w:szCs w:val="20"/>
        </w:rPr>
        <w:t xml:space="preserve"> and detention, </w:t>
      </w:r>
      <w:r w:rsidR="00671FCF">
        <w:rPr>
          <w:sz w:val="20"/>
          <w:szCs w:val="20"/>
        </w:rPr>
        <w:t>they</w:t>
      </w:r>
      <w:r>
        <w:rPr>
          <w:sz w:val="20"/>
          <w:szCs w:val="20"/>
        </w:rPr>
        <w:t xml:space="preserve"> are subjected to procedures, treatment, and assignment of facilities based on their gender marker on legal documents, although discretion is made in the context of lock-up and for trans women based on medical transition. </w:t>
      </w:r>
    </w:p>
    <w:p w14:paraId="61AA952A" w14:textId="77777777" w:rsidR="00C8128E" w:rsidRDefault="00C8128E">
      <w:pPr>
        <w:spacing w:line="240" w:lineRule="auto"/>
        <w:rPr>
          <w:sz w:val="20"/>
          <w:szCs w:val="20"/>
        </w:rPr>
      </w:pPr>
    </w:p>
    <w:p w14:paraId="68294485" w14:textId="65006A84" w:rsidR="00C8128E" w:rsidRDefault="00BB4ADC">
      <w:pPr>
        <w:spacing w:line="240" w:lineRule="auto"/>
        <w:rPr>
          <w:color w:val="323232"/>
          <w:sz w:val="20"/>
          <w:szCs w:val="20"/>
        </w:rPr>
      </w:pPr>
      <w:r>
        <w:rPr>
          <w:sz w:val="20"/>
          <w:szCs w:val="20"/>
        </w:rPr>
        <w:t xml:space="preserve">GR33.3 </w:t>
      </w:r>
      <w:r>
        <w:rPr>
          <w:color w:val="323232"/>
          <w:sz w:val="20"/>
          <w:szCs w:val="20"/>
        </w:rPr>
        <w:t xml:space="preserve">Police use non-human rights language and discriminatory terms to describe </w:t>
      </w:r>
      <w:r w:rsidR="00671FCF">
        <w:rPr>
          <w:color w:val="323232"/>
          <w:sz w:val="20"/>
          <w:szCs w:val="20"/>
        </w:rPr>
        <w:t>LBT women</w:t>
      </w:r>
      <w:r>
        <w:rPr>
          <w:color w:val="323232"/>
          <w:sz w:val="20"/>
          <w:szCs w:val="20"/>
        </w:rPr>
        <w:t xml:space="preserve"> when sharing information with the media and the public regarding hate crimes and violence involving trans </w:t>
      </w:r>
      <w:r w:rsidR="00671FCF">
        <w:rPr>
          <w:color w:val="323232"/>
          <w:sz w:val="20"/>
          <w:szCs w:val="20"/>
        </w:rPr>
        <w:t>women</w:t>
      </w:r>
      <w:r>
        <w:rPr>
          <w:color w:val="323232"/>
          <w:sz w:val="20"/>
          <w:szCs w:val="20"/>
        </w:rPr>
        <w:t xml:space="preserve">. </w:t>
      </w:r>
    </w:p>
    <w:p w14:paraId="1236A179" w14:textId="77777777" w:rsidR="00C8128E" w:rsidRDefault="00C8128E">
      <w:pPr>
        <w:spacing w:line="240" w:lineRule="auto"/>
        <w:rPr>
          <w:i/>
          <w:sz w:val="20"/>
          <w:szCs w:val="20"/>
        </w:rPr>
      </w:pPr>
    </w:p>
    <w:p w14:paraId="54DD5BCC" w14:textId="77777777" w:rsidR="00C8128E" w:rsidRDefault="00BB4ADC">
      <w:pPr>
        <w:spacing w:line="240" w:lineRule="auto"/>
        <w:rPr>
          <w:i/>
          <w:sz w:val="20"/>
          <w:szCs w:val="20"/>
        </w:rPr>
      </w:pPr>
      <w:r>
        <w:rPr>
          <w:i/>
          <w:sz w:val="20"/>
          <w:szCs w:val="20"/>
        </w:rPr>
        <w:t xml:space="preserve">Discrimination by the state Islamic departments </w:t>
      </w:r>
    </w:p>
    <w:p w14:paraId="4B178DD4" w14:textId="2C63818A" w:rsidR="00C8128E" w:rsidRDefault="00BB4ADC">
      <w:pPr>
        <w:spacing w:before="240" w:after="240" w:line="240" w:lineRule="auto"/>
        <w:rPr>
          <w:color w:val="323232"/>
          <w:sz w:val="20"/>
          <w:szCs w:val="20"/>
        </w:rPr>
      </w:pPr>
      <w:r>
        <w:rPr>
          <w:color w:val="323232"/>
          <w:sz w:val="20"/>
          <w:szCs w:val="20"/>
        </w:rPr>
        <w:t xml:space="preserve">GR33.4. LBT women experience the following violations during raids, arrests, detention, and prosecution by </w:t>
      </w:r>
      <w:r>
        <w:rPr>
          <w:sz w:val="20"/>
          <w:szCs w:val="20"/>
        </w:rPr>
        <w:t xml:space="preserve">the state Islamic departments, including </w:t>
      </w:r>
    </w:p>
    <w:p w14:paraId="61A8ED5B" w14:textId="77777777" w:rsidR="00C8128E" w:rsidRDefault="00BB4ADC">
      <w:pPr>
        <w:numPr>
          <w:ilvl w:val="0"/>
          <w:numId w:val="7"/>
        </w:numPr>
        <w:spacing w:before="240" w:line="240" w:lineRule="auto"/>
        <w:rPr>
          <w:color w:val="323232"/>
          <w:sz w:val="20"/>
          <w:szCs w:val="20"/>
        </w:rPr>
      </w:pPr>
      <w:r>
        <w:rPr>
          <w:color w:val="323232"/>
          <w:sz w:val="20"/>
          <w:szCs w:val="20"/>
        </w:rPr>
        <w:t>Being subjected to irrelevant and degrading questions during the statement-taking</w:t>
      </w:r>
      <w:r>
        <w:rPr>
          <w:b/>
          <w:color w:val="323232"/>
          <w:sz w:val="20"/>
          <w:szCs w:val="20"/>
        </w:rPr>
        <w:t xml:space="preserve"> </w:t>
      </w:r>
      <w:r>
        <w:rPr>
          <w:color w:val="323232"/>
          <w:sz w:val="20"/>
          <w:szCs w:val="20"/>
        </w:rPr>
        <w:t>process</w:t>
      </w:r>
      <w:r>
        <w:rPr>
          <w:color w:val="323232"/>
          <w:sz w:val="20"/>
          <w:szCs w:val="20"/>
          <w:vertAlign w:val="superscript"/>
        </w:rPr>
        <w:footnoteReference w:id="82"/>
      </w:r>
      <w:r>
        <w:rPr>
          <w:color w:val="323232"/>
          <w:sz w:val="20"/>
          <w:szCs w:val="20"/>
        </w:rPr>
        <w:br/>
      </w:r>
    </w:p>
    <w:p w14:paraId="28A6B91E" w14:textId="77777777" w:rsidR="00C8128E" w:rsidRDefault="00BB4ADC">
      <w:pPr>
        <w:numPr>
          <w:ilvl w:val="0"/>
          <w:numId w:val="7"/>
        </w:numPr>
        <w:spacing w:line="240" w:lineRule="auto"/>
        <w:rPr>
          <w:color w:val="323232"/>
          <w:sz w:val="20"/>
          <w:szCs w:val="20"/>
        </w:rPr>
      </w:pPr>
      <w:r>
        <w:rPr>
          <w:color w:val="323232"/>
          <w:sz w:val="20"/>
          <w:szCs w:val="20"/>
        </w:rPr>
        <w:t>Inclusion of media in raids leading to humiliating and degrading treatment, loss of employment,</w:t>
      </w:r>
      <w:r>
        <w:rPr>
          <w:color w:val="323232"/>
          <w:sz w:val="20"/>
          <w:szCs w:val="20"/>
          <w:vertAlign w:val="superscript"/>
        </w:rPr>
        <w:footnoteReference w:id="83"/>
      </w:r>
      <w:r>
        <w:rPr>
          <w:color w:val="323232"/>
          <w:sz w:val="20"/>
          <w:szCs w:val="20"/>
        </w:rPr>
        <w:t xml:space="preserve"> strain on relationships with family members, and violence by family members, among others</w:t>
      </w:r>
      <w:r>
        <w:rPr>
          <w:color w:val="323232"/>
          <w:sz w:val="20"/>
          <w:szCs w:val="20"/>
        </w:rPr>
        <w:br/>
      </w:r>
    </w:p>
    <w:p w14:paraId="1F186D72" w14:textId="77777777" w:rsidR="00C8128E" w:rsidRDefault="00BB4ADC">
      <w:pPr>
        <w:numPr>
          <w:ilvl w:val="0"/>
          <w:numId w:val="7"/>
        </w:numPr>
        <w:spacing w:line="240" w:lineRule="auto"/>
        <w:rPr>
          <w:color w:val="323232"/>
          <w:sz w:val="20"/>
          <w:szCs w:val="20"/>
        </w:rPr>
      </w:pPr>
      <w:r>
        <w:rPr>
          <w:color w:val="323232"/>
          <w:sz w:val="20"/>
          <w:szCs w:val="20"/>
        </w:rPr>
        <w:t>Unreasonable bail conditions by judges resulting in being forced to serve prison sentence</w:t>
      </w:r>
      <w:r>
        <w:rPr>
          <w:color w:val="323232"/>
          <w:sz w:val="20"/>
          <w:szCs w:val="20"/>
          <w:vertAlign w:val="superscript"/>
        </w:rPr>
        <w:footnoteReference w:id="84"/>
      </w:r>
      <w:r>
        <w:rPr>
          <w:color w:val="323232"/>
          <w:sz w:val="20"/>
          <w:szCs w:val="20"/>
        </w:rPr>
        <w:t xml:space="preserve"> or continued detainment. For example, in some monitored cases, judges have set that only family members</w:t>
      </w:r>
      <w:r>
        <w:rPr>
          <w:color w:val="323232"/>
          <w:sz w:val="20"/>
          <w:szCs w:val="20"/>
          <w:vertAlign w:val="superscript"/>
        </w:rPr>
        <w:footnoteReference w:id="85"/>
      </w:r>
      <w:r>
        <w:rPr>
          <w:color w:val="323232"/>
          <w:sz w:val="20"/>
          <w:szCs w:val="20"/>
        </w:rPr>
        <w:t>, or government officers of a certain grade residing in a specific state can be bailors</w:t>
      </w:r>
      <w:r>
        <w:rPr>
          <w:color w:val="323232"/>
          <w:sz w:val="20"/>
          <w:szCs w:val="20"/>
          <w:vertAlign w:val="superscript"/>
        </w:rPr>
        <w:footnoteReference w:id="86"/>
      </w:r>
      <w:r>
        <w:rPr>
          <w:color w:val="323232"/>
          <w:sz w:val="20"/>
          <w:szCs w:val="20"/>
        </w:rPr>
        <w:t xml:space="preserve"> </w:t>
      </w:r>
      <w:r>
        <w:rPr>
          <w:color w:val="323232"/>
          <w:sz w:val="20"/>
          <w:szCs w:val="20"/>
        </w:rPr>
        <w:br/>
      </w:r>
    </w:p>
    <w:p w14:paraId="072B7513" w14:textId="77777777" w:rsidR="00C8128E" w:rsidRDefault="00BB4ADC">
      <w:pPr>
        <w:numPr>
          <w:ilvl w:val="0"/>
          <w:numId w:val="7"/>
        </w:numPr>
        <w:spacing w:line="240" w:lineRule="auto"/>
        <w:rPr>
          <w:color w:val="323232"/>
          <w:sz w:val="20"/>
          <w:szCs w:val="20"/>
        </w:rPr>
      </w:pPr>
      <w:r>
        <w:rPr>
          <w:color w:val="323232"/>
          <w:sz w:val="20"/>
          <w:szCs w:val="20"/>
        </w:rPr>
        <w:lastRenderedPageBreak/>
        <w:t>Bias by syariah justice actors</w:t>
      </w:r>
      <w:r>
        <w:rPr>
          <w:color w:val="323232"/>
          <w:sz w:val="20"/>
          <w:szCs w:val="20"/>
          <w:vertAlign w:val="superscript"/>
        </w:rPr>
        <w:footnoteReference w:id="87"/>
      </w:r>
      <w:r>
        <w:rPr>
          <w:color w:val="323232"/>
          <w:sz w:val="20"/>
          <w:szCs w:val="20"/>
        </w:rPr>
        <w:t xml:space="preserve"> is high. In the Terengganu caning case, a judge was quoted as saying, “Caning in sharia is not to injure, torture, and punish offenders. Hopefully this punishment will serve as a lesson and reminder to all Muslims and give an idea of how sharia punishment is a punishment in the form of education and not to torture" </w:t>
      </w:r>
      <w:r>
        <w:rPr>
          <w:color w:val="323232"/>
          <w:sz w:val="20"/>
          <w:szCs w:val="20"/>
          <w:vertAlign w:val="superscript"/>
        </w:rPr>
        <w:footnoteReference w:id="88"/>
      </w:r>
      <w:r>
        <w:rPr>
          <w:color w:val="323232"/>
          <w:sz w:val="20"/>
          <w:szCs w:val="20"/>
        </w:rPr>
        <w:t xml:space="preserve"> In the section 28 case, the judge meted out prison sentences as a preventative measure </w:t>
      </w:r>
      <w:r>
        <w:rPr>
          <w:color w:val="323232"/>
          <w:sz w:val="20"/>
          <w:szCs w:val="20"/>
          <w:highlight w:val="white"/>
        </w:rPr>
        <w:t>to rehabilitate and isolate those prosecuted from “others and their environment” (read: other LGBTQ people). The judge also said that as people like them are difficult to control, thus they must be segregated.</w:t>
      </w:r>
      <w:r>
        <w:rPr>
          <w:color w:val="323232"/>
          <w:sz w:val="20"/>
          <w:szCs w:val="20"/>
          <w:highlight w:val="white"/>
          <w:vertAlign w:val="superscript"/>
        </w:rPr>
        <w:footnoteReference w:id="89"/>
      </w:r>
      <w:r>
        <w:rPr>
          <w:color w:val="323232"/>
          <w:sz w:val="20"/>
          <w:szCs w:val="20"/>
          <w:highlight w:val="white"/>
        </w:rPr>
        <w:t xml:space="preserve"> </w:t>
      </w:r>
      <w:r>
        <w:rPr>
          <w:color w:val="323232"/>
          <w:sz w:val="20"/>
          <w:szCs w:val="20"/>
          <w:highlight w:val="white"/>
          <w:vertAlign w:val="superscript"/>
        </w:rPr>
        <w:footnoteReference w:id="90"/>
      </w:r>
      <w:r>
        <w:rPr>
          <w:color w:val="323232"/>
          <w:sz w:val="20"/>
          <w:szCs w:val="20"/>
          <w:highlight w:val="white"/>
        </w:rPr>
        <w:t xml:space="preserve"> Similar bias is found against sex workers.</w:t>
      </w:r>
      <w:r>
        <w:rPr>
          <w:color w:val="323232"/>
          <w:sz w:val="20"/>
          <w:szCs w:val="20"/>
          <w:highlight w:val="white"/>
          <w:vertAlign w:val="superscript"/>
        </w:rPr>
        <w:footnoteReference w:id="91"/>
      </w:r>
      <w:r>
        <w:rPr>
          <w:color w:val="323232"/>
          <w:sz w:val="20"/>
          <w:szCs w:val="20"/>
        </w:rPr>
        <w:br/>
      </w:r>
    </w:p>
    <w:p w14:paraId="29371865" w14:textId="77777777" w:rsidR="00C8128E" w:rsidRDefault="00BB4ADC">
      <w:pPr>
        <w:numPr>
          <w:ilvl w:val="0"/>
          <w:numId w:val="7"/>
        </w:numPr>
        <w:spacing w:after="240" w:line="240" w:lineRule="auto"/>
        <w:rPr>
          <w:color w:val="323232"/>
          <w:sz w:val="20"/>
          <w:szCs w:val="20"/>
        </w:rPr>
      </w:pPr>
      <w:r>
        <w:rPr>
          <w:color w:val="323232"/>
          <w:sz w:val="20"/>
          <w:szCs w:val="20"/>
        </w:rPr>
        <w:t>In several cases monitored by Justice for Sisters in syariah courts Selangor, bureaucracy and inefficiencies have led to victimisation</w:t>
      </w:r>
      <w:r>
        <w:rPr>
          <w:color w:val="323232"/>
          <w:sz w:val="20"/>
          <w:szCs w:val="20"/>
          <w:vertAlign w:val="superscript"/>
        </w:rPr>
        <w:footnoteReference w:id="92"/>
      </w:r>
      <w:r>
        <w:rPr>
          <w:color w:val="323232"/>
          <w:sz w:val="20"/>
          <w:szCs w:val="20"/>
        </w:rPr>
        <w:t xml:space="preserve">. For example, delays in making bail fees due to the distance of the bank from the court have led to unnecessary detention. </w:t>
      </w:r>
    </w:p>
    <w:p w14:paraId="41AFA0E6" w14:textId="77777777" w:rsidR="00C8128E" w:rsidRDefault="00BB4ADC">
      <w:pPr>
        <w:spacing w:line="240" w:lineRule="auto"/>
        <w:rPr>
          <w:i/>
          <w:sz w:val="20"/>
          <w:szCs w:val="20"/>
        </w:rPr>
      </w:pPr>
      <w:r>
        <w:rPr>
          <w:i/>
          <w:sz w:val="20"/>
          <w:szCs w:val="20"/>
        </w:rPr>
        <w:t xml:space="preserve">Access to data </w:t>
      </w:r>
    </w:p>
    <w:p w14:paraId="09BC78F7" w14:textId="77777777" w:rsidR="00C8128E" w:rsidRDefault="00C8128E">
      <w:pPr>
        <w:spacing w:line="240" w:lineRule="auto"/>
        <w:rPr>
          <w:i/>
          <w:sz w:val="20"/>
          <w:szCs w:val="20"/>
        </w:rPr>
      </w:pPr>
    </w:p>
    <w:p w14:paraId="1E79544E" w14:textId="019BECB6" w:rsidR="00C8128E" w:rsidRDefault="00BB4ADC">
      <w:pPr>
        <w:spacing w:line="240" w:lineRule="auto"/>
        <w:rPr>
          <w:sz w:val="20"/>
          <w:szCs w:val="20"/>
        </w:rPr>
      </w:pPr>
      <w:r>
        <w:rPr>
          <w:sz w:val="20"/>
          <w:szCs w:val="20"/>
        </w:rPr>
        <w:t xml:space="preserve">GR33.5. Current data is based on community data gathering, giving rise to two main issues in relation to access to data: </w:t>
      </w:r>
    </w:p>
    <w:p w14:paraId="2FA3ED22" w14:textId="77777777" w:rsidR="00C8128E" w:rsidRDefault="00BB4ADC">
      <w:pPr>
        <w:numPr>
          <w:ilvl w:val="0"/>
          <w:numId w:val="5"/>
        </w:numPr>
        <w:spacing w:line="240" w:lineRule="auto"/>
        <w:rPr>
          <w:sz w:val="20"/>
          <w:szCs w:val="20"/>
        </w:rPr>
      </w:pPr>
      <w:r>
        <w:rPr>
          <w:sz w:val="20"/>
          <w:szCs w:val="20"/>
        </w:rPr>
        <w:t>Lack of access to statistics in relation to cases of arrests, namely under state Syariah criminal offences enactments; and</w:t>
      </w:r>
    </w:p>
    <w:p w14:paraId="3ECCFF0D" w14:textId="77777777" w:rsidR="00C8128E" w:rsidRDefault="00BB4ADC">
      <w:pPr>
        <w:numPr>
          <w:ilvl w:val="0"/>
          <w:numId w:val="5"/>
        </w:numPr>
        <w:spacing w:line="240" w:lineRule="auto"/>
        <w:rPr>
          <w:sz w:val="20"/>
          <w:szCs w:val="20"/>
        </w:rPr>
      </w:pPr>
      <w:r>
        <w:rPr>
          <w:sz w:val="20"/>
          <w:szCs w:val="20"/>
        </w:rPr>
        <w:t xml:space="preserve">Lack of gender-disaggregated data and analysis of crimes against LBTI persons prevents insights into trends of violence and increased vulnerability, as well as development of effective responses to violence against LGBTIQ persons. </w:t>
      </w:r>
    </w:p>
    <w:p w14:paraId="59617D6C" w14:textId="77777777" w:rsidR="00C8128E" w:rsidRDefault="00C8128E">
      <w:pPr>
        <w:spacing w:line="240" w:lineRule="auto"/>
        <w:rPr>
          <w:sz w:val="20"/>
          <w:szCs w:val="20"/>
        </w:rPr>
      </w:pPr>
    </w:p>
    <w:p w14:paraId="0C158110" w14:textId="77777777" w:rsidR="00C8128E" w:rsidRDefault="00C8128E">
      <w:pPr>
        <w:spacing w:line="240" w:lineRule="auto"/>
        <w:rPr>
          <w:sz w:val="20"/>
          <w:szCs w:val="20"/>
        </w:rPr>
      </w:pPr>
    </w:p>
    <w:p w14:paraId="3004FAB6" w14:textId="77777777" w:rsidR="00C8128E" w:rsidRDefault="00BB4ADC">
      <w:pPr>
        <w:spacing w:line="240" w:lineRule="auto"/>
        <w:rPr>
          <w:b/>
          <w:i/>
          <w:sz w:val="20"/>
          <w:szCs w:val="20"/>
        </w:rPr>
      </w:pPr>
      <w:r>
        <w:rPr>
          <w:b/>
          <w:i/>
          <w:sz w:val="20"/>
          <w:szCs w:val="20"/>
        </w:rPr>
        <w:t xml:space="preserve">Critical question </w:t>
      </w:r>
    </w:p>
    <w:p w14:paraId="4A12DEED" w14:textId="77777777" w:rsidR="00C8128E" w:rsidRDefault="00C8128E">
      <w:pPr>
        <w:spacing w:line="240" w:lineRule="auto"/>
        <w:rPr>
          <w:sz w:val="20"/>
          <w:szCs w:val="20"/>
        </w:rPr>
      </w:pPr>
    </w:p>
    <w:p w14:paraId="50FEF686" w14:textId="77777777" w:rsidR="00C8128E" w:rsidRDefault="00BB4ADC">
      <w:pPr>
        <w:spacing w:line="240" w:lineRule="auto"/>
        <w:rPr>
          <w:b/>
          <w:i/>
          <w:sz w:val="20"/>
          <w:szCs w:val="20"/>
        </w:rPr>
      </w:pPr>
      <w:r>
        <w:rPr>
          <w:sz w:val="20"/>
          <w:szCs w:val="20"/>
        </w:rPr>
        <w:t xml:space="preserve">Q16. How does the State plan to reduce discrimination and trust deficit in police to ensure access to justice? Does the State learn from and adopt good practices in the region, for example, by introducing a standard operating procedure in interacting with LBTI persons, sensitisation training, and introduction of LGBTI police desks? </w:t>
      </w:r>
    </w:p>
    <w:p w14:paraId="60445702" w14:textId="77777777" w:rsidR="00C8128E" w:rsidRDefault="00C8128E">
      <w:pPr>
        <w:spacing w:line="240" w:lineRule="auto"/>
        <w:rPr>
          <w:sz w:val="20"/>
          <w:szCs w:val="20"/>
        </w:rPr>
      </w:pPr>
    </w:p>
    <w:p w14:paraId="38CAC9E2" w14:textId="77777777" w:rsidR="00C8128E" w:rsidRDefault="00C8128E">
      <w:pPr>
        <w:spacing w:line="240" w:lineRule="auto"/>
        <w:rPr>
          <w:sz w:val="20"/>
          <w:szCs w:val="20"/>
        </w:rPr>
      </w:pPr>
    </w:p>
    <w:p w14:paraId="56AFBAFE" w14:textId="77777777" w:rsidR="00C8128E" w:rsidRDefault="00C8128E">
      <w:pPr>
        <w:spacing w:after="240" w:line="240" w:lineRule="auto"/>
        <w:rPr>
          <w:sz w:val="20"/>
          <w:szCs w:val="20"/>
        </w:rPr>
      </w:pPr>
    </w:p>
    <w:p w14:paraId="2EA57E96" w14:textId="77777777" w:rsidR="00C8128E" w:rsidRDefault="00C8128E">
      <w:pPr>
        <w:spacing w:line="240" w:lineRule="auto"/>
      </w:pPr>
    </w:p>
    <w:p w14:paraId="1DF611F1" w14:textId="77777777" w:rsidR="00C8128E" w:rsidRDefault="00C8128E">
      <w:pPr>
        <w:spacing w:line="240" w:lineRule="auto"/>
      </w:pPr>
    </w:p>
    <w:sectPr w:rsidR="00C8128E">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8F185" w14:textId="77777777" w:rsidR="00EE7154" w:rsidRDefault="00EE7154">
      <w:pPr>
        <w:spacing w:line="240" w:lineRule="auto"/>
      </w:pPr>
      <w:r>
        <w:separator/>
      </w:r>
    </w:p>
  </w:endnote>
  <w:endnote w:type="continuationSeparator" w:id="0">
    <w:p w14:paraId="17CBD47F" w14:textId="77777777" w:rsidR="00EE7154" w:rsidRDefault="00EE71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Montserrat">
    <w:panose1 w:val="00000500000000000000"/>
    <w:charset w:val="4D"/>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74765" w14:textId="77777777" w:rsidR="00C8128E" w:rsidRDefault="00BB4ADC">
    <w:pPr>
      <w:jc w:val="right"/>
      <w:rPr>
        <w:sz w:val="18"/>
        <w:szCs w:val="18"/>
      </w:rPr>
    </w:pPr>
    <w:r>
      <w:rPr>
        <w:sz w:val="20"/>
        <w:szCs w:val="20"/>
      </w:rPr>
      <w:fldChar w:fldCharType="begin"/>
    </w:r>
    <w:r>
      <w:rPr>
        <w:sz w:val="20"/>
        <w:szCs w:val="20"/>
      </w:rPr>
      <w:instrText>PAGE</w:instrText>
    </w:r>
    <w:r>
      <w:rPr>
        <w:sz w:val="20"/>
        <w:szCs w:val="20"/>
      </w:rPr>
      <w:fldChar w:fldCharType="separate"/>
    </w:r>
    <w:r w:rsidR="001D1AA3">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14CA4" w14:textId="77777777" w:rsidR="00EE7154" w:rsidRDefault="00EE7154">
      <w:pPr>
        <w:spacing w:line="240" w:lineRule="auto"/>
      </w:pPr>
      <w:r>
        <w:separator/>
      </w:r>
    </w:p>
  </w:footnote>
  <w:footnote w:type="continuationSeparator" w:id="0">
    <w:p w14:paraId="603573A5" w14:textId="77777777" w:rsidR="00EE7154" w:rsidRDefault="00EE7154">
      <w:pPr>
        <w:spacing w:line="240" w:lineRule="auto"/>
      </w:pPr>
      <w:r>
        <w:continuationSeparator/>
      </w:r>
    </w:p>
  </w:footnote>
  <w:footnote w:id="1">
    <w:p w14:paraId="182DC854" w14:textId="00487E56" w:rsidR="00C8128E" w:rsidRPr="00307C3B" w:rsidRDefault="00BB4ADC">
      <w:pPr>
        <w:spacing w:line="240" w:lineRule="auto"/>
        <w:rPr>
          <w:sz w:val="18"/>
          <w:szCs w:val="18"/>
        </w:rPr>
      </w:pPr>
      <w:r w:rsidRPr="00307C3B">
        <w:rPr>
          <w:sz w:val="18"/>
          <w:szCs w:val="18"/>
          <w:vertAlign w:val="superscript"/>
        </w:rPr>
        <w:footnoteRef/>
      </w:r>
      <w:r w:rsidRPr="00307C3B">
        <w:rPr>
          <w:sz w:val="18"/>
          <w:szCs w:val="18"/>
        </w:rPr>
        <w:t xml:space="preserve"> In Malaysia’s gender binary context, gendered laws and laws target</w:t>
      </w:r>
      <w:r w:rsidR="00307C3B" w:rsidRPr="00307C3B">
        <w:rPr>
          <w:sz w:val="18"/>
          <w:szCs w:val="18"/>
        </w:rPr>
        <w:t xml:space="preserve">ing </w:t>
      </w:r>
      <w:r w:rsidRPr="00307C3B">
        <w:rPr>
          <w:sz w:val="18"/>
          <w:szCs w:val="18"/>
        </w:rPr>
        <w:t xml:space="preserve">men are applied against trans women, vice versa, thus </w:t>
      </w:r>
      <w:r w:rsidR="00307C3B" w:rsidRPr="00307C3B">
        <w:rPr>
          <w:sz w:val="18"/>
          <w:szCs w:val="18"/>
        </w:rPr>
        <w:t>‘</w:t>
      </w:r>
      <w:r w:rsidRPr="00307C3B">
        <w:rPr>
          <w:sz w:val="18"/>
          <w:szCs w:val="18"/>
        </w:rPr>
        <w:t>LGBT</w:t>
      </w:r>
      <w:r w:rsidR="00307C3B" w:rsidRPr="00307C3B">
        <w:rPr>
          <w:sz w:val="18"/>
          <w:szCs w:val="18"/>
        </w:rPr>
        <w:t>’</w:t>
      </w:r>
      <w:r w:rsidRPr="00307C3B">
        <w:rPr>
          <w:sz w:val="18"/>
          <w:szCs w:val="18"/>
        </w:rPr>
        <w:t xml:space="preserve"> will also be used</w:t>
      </w:r>
      <w:r w:rsidR="00307C3B" w:rsidRPr="00307C3B">
        <w:rPr>
          <w:sz w:val="18"/>
          <w:szCs w:val="18"/>
        </w:rPr>
        <w:t>, where relevant</w:t>
      </w:r>
    </w:p>
  </w:footnote>
  <w:footnote w:id="2">
    <w:p w14:paraId="2F6AF36B" w14:textId="512F4EE1" w:rsidR="00C8128E" w:rsidRPr="00307C3B" w:rsidRDefault="00BB4ADC">
      <w:pPr>
        <w:spacing w:line="240" w:lineRule="auto"/>
        <w:rPr>
          <w:sz w:val="18"/>
          <w:szCs w:val="18"/>
        </w:rPr>
      </w:pPr>
      <w:r w:rsidRPr="00307C3B">
        <w:rPr>
          <w:sz w:val="18"/>
          <w:szCs w:val="18"/>
          <w:vertAlign w:val="superscript"/>
        </w:rPr>
        <w:footnoteRef/>
      </w:r>
      <w:r w:rsidRPr="00307C3B">
        <w:rPr>
          <w:sz w:val="18"/>
          <w:szCs w:val="18"/>
        </w:rPr>
        <w:t xml:space="preserve"> The Department of Islamic Development Malaysia (</w:t>
      </w:r>
      <w:r w:rsidR="00307C3B">
        <w:rPr>
          <w:sz w:val="18"/>
          <w:szCs w:val="18"/>
        </w:rPr>
        <w:t>JAKIM),</w:t>
      </w:r>
      <w:r w:rsidRPr="00307C3B">
        <w:rPr>
          <w:sz w:val="18"/>
          <w:szCs w:val="18"/>
        </w:rPr>
        <w:t xml:space="preserve"> federal agency that administers Islamic affairs. </w:t>
      </w:r>
      <w:hyperlink r:id="rId1">
        <w:r w:rsidRPr="00307C3B">
          <w:rPr>
            <w:color w:val="1155CC"/>
            <w:sz w:val="18"/>
            <w:szCs w:val="18"/>
            <w:u w:val="single"/>
          </w:rPr>
          <w:t>https://www.islam.gov.my/ms/</w:t>
        </w:r>
      </w:hyperlink>
      <w:r w:rsidRPr="00307C3B">
        <w:rPr>
          <w:sz w:val="18"/>
          <w:szCs w:val="18"/>
        </w:rPr>
        <w:t xml:space="preserve"> </w:t>
      </w:r>
    </w:p>
  </w:footnote>
  <w:footnote w:id="3">
    <w:p w14:paraId="35090C7D" w14:textId="33E59A75" w:rsidR="00C8128E" w:rsidRPr="00307C3B" w:rsidRDefault="00BB4ADC">
      <w:pPr>
        <w:spacing w:line="240" w:lineRule="auto"/>
        <w:rPr>
          <w:sz w:val="18"/>
          <w:szCs w:val="18"/>
        </w:rPr>
      </w:pPr>
      <w:r w:rsidRPr="00307C3B">
        <w:rPr>
          <w:sz w:val="18"/>
          <w:szCs w:val="18"/>
          <w:vertAlign w:val="superscript"/>
        </w:rPr>
        <w:footnoteRef/>
      </w:r>
      <w:r w:rsidRPr="00307C3B">
        <w:rPr>
          <w:sz w:val="18"/>
          <w:szCs w:val="18"/>
        </w:rPr>
        <w:t xml:space="preserve"> </w:t>
      </w:r>
      <w:r w:rsidR="00400D79">
        <w:rPr>
          <w:sz w:val="18"/>
          <w:szCs w:val="18"/>
        </w:rPr>
        <w:t xml:space="preserve">1) </w:t>
      </w:r>
      <w:r w:rsidRPr="00307C3B">
        <w:rPr>
          <w:sz w:val="18"/>
          <w:szCs w:val="18"/>
        </w:rPr>
        <w:t xml:space="preserve">The Negeri Sembilan state government appealed the Court of Appeal decision that found </w:t>
      </w:r>
      <w:r w:rsidR="00996D25">
        <w:rPr>
          <w:sz w:val="18"/>
          <w:szCs w:val="18"/>
        </w:rPr>
        <w:t>S</w:t>
      </w:r>
      <w:r w:rsidRPr="00307C3B">
        <w:rPr>
          <w:sz w:val="18"/>
          <w:szCs w:val="18"/>
        </w:rPr>
        <w:t xml:space="preserve">ection 66 (male person posing as a woman) of the state syariah criminal offences enactment unconstitutional. </w:t>
      </w:r>
      <w:r w:rsidR="00400D79">
        <w:rPr>
          <w:sz w:val="18"/>
          <w:szCs w:val="18"/>
        </w:rPr>
        <w:t>2) National Registration Department (NRD) a</w:t>
      </w:r>
      <w:r w:rsidR="00400D79" w:rsidRPr="00307C3B">
        <w:rPr>
          <w:sz w:val="18"/>
          <w:szCs w:val="18"/>
        </w:rPr>
        <w:t xml:space="preserve">ppealed a progressive High Court decision </w:t>
      </w:r>
      <w:r w:rsidR="00400D79">
        <w:rPr>
          <w:sz w:val="18"/>
          <w:szCs w:val="18"/>
        </w:rPr>
        <w:t>allowing</w:t>
      </w:r>
      <w:r w:rsidR="00400D79" w:rsidRPr="00307C3B">
        <w:rPr>
          <w:sz w:val="18"/>
          <w:szCs w:val="18"/>
        </w:rPr>
        <w:t xml:space="preserve"> change </w:t>
      </w:r>
      <w:r w:rsidR="00400D79">
        <w:rPr>
          <w:sz w:val="18"/>
          <w:szCs w:val="18"/>
        </w:rPr>
        <w:t xml:space="preserve">of </w:t>
      </w:r>
      <w:r w:rsidR="00400D79" w:rsidRPr="00307C3B">
        <w:rPr>
          <w:sz w:val="18"/>
          <w:szCs w:val="18"/>
        </w:rPr>
        <w:t xml:space="preserve">gendered details in a trans man’s </w:t>
      </w:r>
      <w:r w:rsidR="00400D79">
        <w:rPr>
          <w:sz w:val="18"/>
          <w:szCs w:val="18"/>
        </w:rPr>
        <w:t>legal documents 3) Home Ministry is c</w:t>
      </w:r>
      <w:r w:rsidR="00400D79" w:rsidRPr="00307C3B">
        <w:rPr>
          <w:sz w:val="18"/>
          <w:szCs w:val="18"/>
        </w:rPr>
        <w:t>urrently appealing its ban on ‘Gay is Okay: A Christian Perspective’ quashed by the Kuala Lumpur High Court</w:t>
      </w:r>
    </w:p>
  </w:footnote>
  <w:footnote w:id="4">
    <w:p w14:paraId="6AB10D13" w14:textId="2E307083"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w:t>
      </w:r>
      <w:r w:rsidR="00352435">
        <w:rPr>
          <w:sz w:val="18"/>
          <w:szCs w:val="18"/>
        </w:rPr>
        <w:t xml:space="preserve">Ministry of Health </w:t>
      </w:r>
      <w:r w:rsidRPr="00352435">
        <w:rPr>
          <w:sz w:val="18"/>
          <w:szCs w:val="18"/>
        </w:rPr>
        <w:t xml:space="preserve">(2017). </w:t>
      </w:r>
      <w:proofErr w:type="spellStart"/>
      <w:r w:rsidRPr="00352435">
        <w:rPr>
          <w:sz w:val="18"/>
          <w:szCs w:val="18"/>
        </w:rPr>
        <w:t>Garispanduan</w:t>
      </w:r>
      <w:proofErr w:type="spellEnd"/>
      <w:r w:rsidRPr="00352435">
        <w:rPr>
          <w:sz w:val="18"/>
          <w:szCs w:val="18"/>
        </w:rPr>
        <w:t xml:space="preserve"> </w:t>
      </w:r>
      <w:proofErr w:type="spellStart"/>
      <w:r w:rsidRPr="00352435">
        <w:rPr>
          <w:sz w:val="18"/>
          <w:szCs w:val="18"/>
        </w:rPr>
        <w:t>Pengendalian</w:t>
      </w:r>
      <w:proofErr w:type="spellEnd"/>
      <w:r w:rsidRPr="00352435">
        <w:rPr>
          <w:sz w:val="18"/>
          <w:szCs w:val="18"/>
        </w:rPr>
        <w:t xml:space="preserve"> </w:t>
      </w:r>
      <w:proofErr w:type="spellStart"/>
      <w:r w:rsidRPr="00352435">
        <w:rPr>
          <w:sz w:val="18"/>
          <w:szCs w:val="18"/>
        </w:rPr>
        <w:t>Masalah</w:t>
      </w:r>
      <w:proofErr w:type="spellEnd"/>
      <w:r w:rsidRPr="00352435">
        <w:rPr>
          <w:sz w:val="18"/>
          <w:szCs w:val="18"/>
        </w:rPr>
        <w:t xml:space="preserve"> Kesihatan Gender di </w:t>
      </w:r>
      <w:proofErr w:type="spellStart"/>
      <w:r w:rsidRPr="00352435">
        <w:rPr>
          <w:sz w:val="18"/>
          <w:szCs w:val="18"/>
        </w:rPr>
        <w:t>Klinik</w:t>
      </w:r>
      <w:proofErr w:type="spellEnd"/>
      <w:r w:rsidRPr="00352435">
        <w:rPr>
          <w:sz w:val="18"/>
          <w:szCs w:val="18"/>
        </w:rPr>
        <w:t xml:space="preserve"> Kesihatan. https://www.researchgate.net/publication/314228943_GARISPANDUAN_PENGENDALIAN_MASALAH_KESIHATAN_GENDER_DI_KLINIK_KESIHATAN</w:t>
      </w:r>
    </w:p>
  </w:footnote>
  <w:footnote w:id="5">
    <w:p w14:paraId="254F7C87" w14:textId="5CAA7BD8"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w:t>
      </w:r>
      <w:proofErr w:type="spellStart"/>
      <w:r w:rsidR="00352435" w:rsidRPr="00352435">
        <w:rPr>
          <w:sz w:val="18"/>
          <w:szCs w:val="18"/>
        </w:rPr>
        <w:t>Harian</w:t>
      </w:r>
      <w:proofErr w:type="spellEnd"/>
      <w:r w:rsidR="00352435" w:rsidRPr="00352435">
        <w:rPr>
          <w:sz w:val="18"/>
          <w:szCs w:val="18"/>
        </w:rPr>
        <w:t xml:space="preserve"> Metro. </w:t>
      </w:r>
      <w:r w:rsidRPr="00352435">
        <w:rPr>
          <w:sz w:val="18"/>
          <w:szCs w:val="18"/>
        </w:rPr>
        <w:t xml:space="preserve">(2021). </w:t>
      </w:r>
      <w:proofErr w:type="spellStart"/>
      <w:r w:rsidRPr="00352435">
        <w:rPr>
          <w:sz w:val="18"/>
          <w:szCs w:val="18"/>
        </w:rPr>
        <w:t>Jakim</w:t>
      </w:r>
      <w:proofErr w:type="spellEnd"/>
      <w:r w:rsidRPr="00352435">
        <w:rPr>
          <w:sz w:val="18"/>
          <w:szCs w:val="18"/>
        </w:rPr>
        <w:t xml:space="preserve"> </w:t>
      </w:r>
      <w:proofErr w:type="spellStart"/>
      <w:r w:rsidRPr="00352435">
        <w:rPr>
          <w:sz w:val="18"/>
          <w:szCs w:val="18"/>
        </w:rPr>
        <w:t>santuni</w:t>
      </w:r>
      <w:proofErr w:type="spellEnd"/>
      <w:r w:rsidRPr="00352435">
        <w:rPr>
          <w:sz w:val="18"/>
          <w:szCs w:val="18"/>
        </w:rPr>
        <w:t xml:space="preserve"> </w:t>
      </w:r>
      <w:proofErr w:type="spellStart"/>
      <w:r w:rsidRPr="00352435">
        <w:rPr>
          <w:sz w:val="18"/>
          <w:szCs w:val="18"/>
        </w:rPr>
        <w:t>golongan</w:t>
      </w:r>
      <w:proofErr w:type="spellEnd"/>
      <w:r w:rsidRPr="00352435">
        <w:rPr>
          <w:sz w:val="18"/>
          <w:szCs w:val="18"/>
        </w:rPr>
        <w:t xml:space="preserve"> LGBT. https://www.hmetro.com.my/utama/2021/05/706415/jakim-santuni-golongan-lgbt</w:t>
      </w:r>
    </w:p>
  </w:footnote>
  <w:footnote w:id="6">
    <w:p w14:paraId="75690CB9" w14:textId="1538D8FE"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Wan </w:t>
      </w:r>
      <w:proofErr w:type="spellStart"/>
      <w:r w:rsidRPr="00352435">
        <w:rPr>
          <w:sz w:val="18"/>
          <w:szCs w:val="18"/>
        </w:rPr>
        <w:t>Yusoff</w:t>
      </w:r>
      <w:proofErr w:type="spellEnd"/>
      <w:r w:rsidRPr="00352435">
        <w:rPr>
          <w:sz w:val="18"/>
          <w:szCs w:val="18"/>
        </w:rPr>
        <w:t>, W.F.Z. et al. (2019). A Literature Review of Psycho-spiritual Therapy Using Al-Quran and Hadith in Recovering Transgender. Proceedings of the 6th International Conference on Quran as Foundation of Civilisation (SWAT 2019), FPQS,</w:t>
      </w:r>
      <w:r w:rsidR="00352435">
        <w:rPr>
          <w:sz w:val="18"/>
          <w:szCs w:val="18"/>
        </w:rPr>
        <w:t xml:space="preserve"> </w:t>
      </w:r>
      <w:proofErr w:type="spellStart"/>
      <w:r w:rsidRPr="00352435">
        <w:rPr>
          <w:sz w:val="18"/>
          <w:szCs w:val="18"/>
        </w:rPr>
        <w:t>Universiti</w:t>
      </w:r>
      <w:proofErr w:type="spellEnd"/>
      <w:r w:rsidRPr="00352435">
        <w:rPr>
          <w:sz w:val="18"/>
          <w:szCs w:val="18"/>
        </w:rPr>
        <w:t xml:space="preserve"> Sains Islam Malaysia, Paper No. BI020. https://oarep.usim.edu.my/jspui/bitstream/123456789/12042/4/4.%20SWAT%20PAPER%20PROCEEDINGS%20A%20Literature%20review%20of%20Psycho%20spiritual%20Therapy%20Using%20Al%20Quran%20and%20Hadith%20in%20Recovering%20Transgender.pdf</w:t>
      </w:r>
    </w:p>
  </w:footnote>
  <w:footnote w:id="7">
    <w:p w14:paraId="3546F3CF" w14:textId="7FA1D302" w:rsidR="00C8128E" w:rsidRPr="0050391B" w:rsidRDefault="00BB4ADC">
      <w:pPr>
        <w:spacing w:line="240" w:lineRule="auto"/>
        <w:rPr>
          <w:sz w:val="18"/>
          <w:szCs w:val="18"/>
        </w:rPr>
      </w:pPr>
      <w:r w:rsidRPr="0050391B">
        <w:rPr>
          <w:sz w:val="18"/>
          <w:szCs w:val="18"/>
          <w:vertAlign w:val="superscript"/>
        </w:rPr>
        <w:footnoteRef/>
      </w:r>
      <w:r w:rsidRPr="0050391B">
        <w:rPr>
          <w:sz w:val="18"/>
          <w:szCs w:val="18"/>
        </w:rPr>
        <w:t xml:space="preserve"> Any male person who, in any public place wears a woman attire and poses as a woman shall be guilty of an offence and shall be liable on conviction to a fine not exceeding one thousand ringgit or to imprisonment for a term not exceeding six months or to both.</w:t>
      </w:r>
      <w:r w:rsidR="00352435">
        <w:rPr>
          <w:sz w:val="18"/>
          <w:szCs w:val="18"/>
        </w:rPr>
        <w:t xml:space="preserve"> </w:t>
      </w:r>
    </w:p>
  </w:footnote>
  <w:footnote w:id="8">
    <w:p w14:paraId="7E040956" w14:textId="77777777" w:rsidR="00C8128E" w:rsidRPr="00C83524" w:rsidRDefault="00BB4ADC">
      <w:pPr>
        <w:spacing w:line="240" w:lineRule="auto"/>
        <w:rPr>
          <w:sz w:val="18"/>
          <w:szCs w:val="18"/>
        </w:rPr>
      </w:pPr>
      <w:r w:rsidRPr="00C83524">
        <w:rPr>
          <w:sz w:val="18"/>
          <w:szCs w:val="18"/>
          <w:vertAlign w:val="superscript"/>
        </w:rPr>
        <w:footnoteRef/>
      </w:r>
      <w:r w:rsidRPr="00C83524">
        <w:rPr>
          <w:sz w:val="18"/>
          <w:szCs w:val="18"/>
        </w:rPr>
        <w:t xml:space="preserve"> Fundamental liberties, equality and non-discrimination, freedom of movement and freedom of expression </w:t>
      </w:r>
    </w:p>
  </w:footnote>
  <w:footnote w:id="9">
    <w:p w14:paraId="7BE730D5" w14:textId="26D8331B" w:rsidR="00C8128E" w:rsidRPr="0050391B" w:rsidRDefault="00BB4ADC">
      <w:pPr>
        <w:spacing w:line="240" w:lineRule="auto"/>
        <w:rPr>
          <w:sz w:val="18"/>
          <w:szCs w:val="18"/>
        </w:rPr>
      </w:pPr>
      <w:r w:rsidRPr="0050391B">
        <w:rPr>
          <w:sz w:val="18"/>
          <w:szCs w:val="18"/>
          <w:vertAlign w:val="superscript"/>
        </w:rPr>
        <w:footnoteRef/>
      </w:r>
      <w:r w:rsidRPr="0050391B">
        <w:rPr>
          <w:sz w:val="18"/>
          <w:szCs w:val="18"/>
        </w:rPr>
        <w:t xml:space="preserve"> </w:t>
      </w:r>
      <w:r w:rsidRPr="0050391B">
        <w:rPr>
          <w:color w:val="222222"/>
          <w:sz w:val="18"/>
          <w:szCs w:val="18"/>
        </w:rPr>
        <w:t xml:space="preserve">"[59] The decision in Titular Roman Catholic Archbishop of Kuala Lumpur (supra) was followed in State Government of Negeri Sembilan &amp; </w:t>
      </w:r>
      <w:proofErr w:type="spellStart"/>
      <w:r w:rsidRPr="0050391B">
        <w:rPr>
          <w:color w:val="222222"/>
          <w:sz w:val="18"/>
          <w:szCs w:val="18"/>
        </w:rPr>
        <w:t>Ors</w:t>
      </w:r>
      <w:proofErr w:type="spellEnd"/>
      <w:r w:rsidRPr="0050391B">
        <w:rPr>
          <w:color w:val="222222"/>
          <w:sz w:val="18"/>
          <w:szCs w:val="18"/>
        </w:rPr>
        <w:t xml:space="preserve"> v. Muhammad </w:t>
      </w:r>
      <w:proofErr w:type="spellStart"/>
      <w:r w:rsidRPr="0050391B">
        <w:rPr>
          <w:color w:val="222222"/>
          <w:sz w:val="18"/>
          <w:szCs w:val="18"/>
        </w:rPr>
        <w:t>Juzaili</w:t>
      </w:r>
      <w:proofErr w:type="spellEnd"/>
      <w:r w:rsidRPr="0050391B">
        <w:rPr>
          <w:color w:val="222222"/>
          <w:sz w:val="18"/>
          <w:szCs w:val="18"/>
        </w:rPr>
        <w:t xml:space="preserve"> </w:t>
      </w:r>
      <w:proofErr w:type="spellStart"/>
      <w:r w:rsidRPr="0050391B">
        <w:rPr>
          <w:color w:val="222222"/>
          <w:sz w:val="18"/>
          <w:szCs w:val="18"/>
        </w:rPr>
        <w:t>Mohd</w:t>
      </w:r>
      <w:proofErr w:type="spellEnd"/>
      <w:r w:rsidRPr="0050391B">
        <w:rPr>
          <w:color w:val="222222"/>
          <w:sz w:val="18"/>
          <w:szCs w:val="18"/>
        </w:rPr>
        <w:t xml:space="preserve"> Khamis &amp; </w:t>
      </w:r>
      <w:proofErr w:type="spellStart"/>
      <w:r w:rsidRPr="0050391B">
        <w:rPr>
          <w:color w:val="222222"/>
          <w:sz w:val="18"/>
          <w:szCs w:val="18"/>
        </w:rPr>
        <w:t>Ors</w:t>
      </w:r>
      <w:proofErr w:type="spellEnd"/>
      <w:r w:rsidRPr="0050391B">
        <w:rPr>
          <w:color w:val="222222"/>
          <w:sz w:val="18"/>
          <w:szCs w:val="18"/>
        </w:rPr>
        <w:t xml:space="preserve"> [2015] 8 CLJ 975; [2015] 6 MLJ 736, where the validity of a State Enactment was challenged on the ground that it offended the fundamental liberties in arts. 5, 8, 9 and 10 of the FC. Similarly, the Federal Court held that the challenge could only be made via the specific procedure provided for under art. 4(3) and (4) of the FC. [60] These two cases suggest that a challenge to the constitutionality or validity of a law on any ground comes within the ambit of art. 4(3) and (4). With respect, we are of the view that the wide interpretation adopted is contrary to the clear wordings of the aforesaid articles and is not supported by any consistent line of authorities. (See: Ah </w:t>
      </w:r>
      <w:proofErr w:type="spellStart"/>
      <w:r w:rsidRPr="0050391B">
        <w:rPr>
          <w:color w:val="222222"/>
          <w:sz w:val="18"/>
          <w:szCs w:val="18"/>
        </w:rPr>
        <w:t>Thian</w:t>
      </w:r>
      <w:proofErr w:type="spellEnd"/>
      <w:r w:rsidRPr="0050391B">
        <w:rPr>
          <w:color w:val="222222"/>
          <w:sz w:val="18"/>
          <w:szCs w:val="18"/>
        </w:rPr>
        <w:t xml:space="preserve"> (supra), Gerald Fernandez v. Attorney-General, Malaysia [1970] 1 LNS 27; </w:t>
      </w:r>
      <w:r w:rsidR="00352435">
        <w:rPr>
          <w:color w:val="222222"/>
          <w:sz w:val="18"/>
          <w:szCs w:val="18"/>
        </w:rPr>
        <w:t>…</w:t>
      </w:r>
      <w:r w:rsidRPr="0050391B">
        <w:rPr>
          <w:color w:val="222222"/>
          <w:sz w:val="18"/>
          <w:szCs w:val="18"/>
        </w:rPr>
        <w:t xml:space="preserve"> </w:t>
      </w:r>
      <w:r w:rsidRPr="0050391B">
        <w:rPr>
          <w:b/>
          <w:color w:val="222222"/>
          <w:sz w:val="18"/>
          <w:szCs w:val="18"/>
        </w:rPr>
        <w:t xml:space="preserve">We are therefore not inclined to follow these two cases. In our view, they were decided </w:t>
      </w:r>
      <w:r w:rsidRPr="0050391B">
        <w:rPr>
          <w:b/>
          <w:i/>
          <w:color w:val="222222"/>
          <w:sz w:val="18"/>
          <w:szCs w:val="18"/>
        </w:rPr>
        <w:t>per incuriam</w:t>
      </w:r>
      <w:r w:rsidRPr="0050391B">
        <w:rPr>
          <w:b/>
          <w:color w:val="222222"/>
          <w:sz w:val="18"/>
          <w:szCs w:val="18"/>
        </w:rPr>
        <w:t>."</w:t>
      </w:r>
    </w:p>
  </w:footnote>
  <w:footnote w:id="10">
    <w:p w14:paraId="6F4960AC" w14:textId="1B71BC34" w:rsidR="00C8128E" w:rsidRPr="0050391B" w:rsidRDefault="00BB4ADC">
      <w:pPr>
        <w:spacing w:line="240" w:lineRule="auto"/>
        <w:rPr>
          <w:sz w:val="18"/>
          <w:szCs w:val="18"/>
        </w:rPr>
      </w:pPr>
      <w:r w:rsidRPr="0050391B">
        <w:rPr>
          <w:sz w:val="18"/>
          <w:szCs w:val="18"/>
          <w:vertAlign w:val="superscript"/>
        </w:rPr>
        <w:footnoteRef/>
      </w:r>
      <w:r w:rsidRPr="0050391B">
        <w:rPr>
          <w:sz w:val="18"/>
          <w:szCs w:val="18"/>
        </w:rPr>
        <w:t xml:space="preserve"> </w:t>
      </w:r>
      <w:r w:rsidRPr="0050391B">
        <w:rPr>
          <w:i/>
          <w:sz w:val="18"/>
          <w:szCs w:val="18"/>
        </w:rPr>
        <w:t xml:space="preserve">Monitoring Report: </w:t>
      </w:r>
      <w:r w:rsidRPr="0050391B">
        <w:rPr>
          <w:sz w:val="18"/>
          <w:szCs w:val="18"/>
        </w:rPr>
        <w:t xml:space="preserve">LGBTIQ+ Rights </w:t>
      </w:r>
      <w:r w:rsidR="00352435" w:rsidRPr="0050391B">
        <w:rPr>
          <w:sz w:val="18"/>
          <w:szCs w:val="18"/>
        </w:rPr>
        <w:t>in</w:t>
      </w:r>
      <w:r w:rsidRPr="0050391B">
        <w:rPr>
          <w:sz w:val="18"/>
          <w:szCs w:val="18"/>
        </w:rPr>
        <w:t xml:space="preserve"> Malaysia</w:t>
      </w:r>
      <w:r w:rsidR="00C83524" w:rsidRPr="0050391B">
        <w:rPr>
          <w:sz w:val="18"/>
          <w:szCs w:val="18"/>
        </w:rPr>
        <w:t xml:space="preserve"> (2020) </w:t>
      </w:r>
      <w:r w:rsidRPr="0050391B">
        <w:rPr>
          <w:sz w:val="18"/>
          <w:szCs w:val="18"/>
        </w:rPr>
        <w:t xml:space="preserve"> </w:t>
      </w:r>
      <w:hyperlink r:id="rId2">
        <w:r w:rsidRPr="0050391B">
          <w:rPr>
            <w:color w:val="1155CC"/>
            <w:sz w:val="18"/>
            <w:szCs w:val="18"/>
            <w:u w:val="single"/>
          </w:rPr>
          <w:t>https://arrow.org.my/wp-content/uploads/2021/01/LGBTIQ-Rights-in-Malaysia-.pdf</w:t>
        </w:r>
      </w:hyperlink>
    </w:p>
  </w:footnote>
  <w:footnote w:id="11">
    <w:p w14:paraId="6D0EAC14" w14:textId="0E58B475" w:rsidR="00C8128E" w:rsidRPr="0050391B" w:rsidRDefault="00BB4ADC">
      <w:pPr>
        <w:spacing w:line="240" w:lineRule="auto"/>
        <w:rPr>
          <w:sz w:val="18"/>
          <w:szCs w:val="18"/>
        </w:rPr>
      </w:pPr>
      <w:r w:rsidRPr="0050391B">
        <w:rPr>
          <w:sz w:val="18"/>
          <w:szCs w:val="18"/>
          <w:vertAlign w:val="superscript"/>
        </w:rPr>
        <w:footnoteRef/>
      </w:r>
      <w:r w:rsidRPr="0050391B">
        <w:rPr>
          <w:sz w:val="18"/>
          <w:szCs w:val="18"/>
        </w:rPr>
        <w:t xml:space="preserve"> </w:t>
      </w:r>
      <w:r w:rsidR="00352435" w:rsidRPr="0050391B">
        <w:rPr>
          <w:sz w:val="18"/>
          <w:szCs w:val="18"/>
        </w:rPr>
        <w:t xml:space="preserve">Malay Mail. </w:t>
      </w:r>
      <w:r w:rsidRPr="0050391B">
        <w:rPr>
          <w:sz w:val="18"/>
          <w:szCs w:val="18"/>
        </w:rPr>
        <w:t xml:space="preserve">(2021). Selangor Islamic enforcers probed for violence against Nur </w:t>
      </w:r>
      <w:proofErr w:type="spellStart"/>
      <w:r w:rsidRPr="0050391B">
        <w:rPr>
          <w:sz w:val="18"/>
          <w:szCs w:val="18"/>
        </w:rPr>
        <w:t>Sajat</w:t>
      </w:r>
      <w:proofErr w:type="spellEnd"/>
      <w:r w:rsidRPr="0050391B">
        <w:rPr>
          <w:sz w:val="18"/>
          <w:szCs w:val="18"/>
        </w:rPr>
        <w:t xml:space="preserve"> in arrest for ‘insulting Islam’. https://www.malaymail.com/news/malaysia/2021/01/13/selangor-islamic-enforcers-probed-for-violence-against-nur-sajat-in-arrest/1940004</w:t>
      </w:r>
    </w:p>
  </w:footnote>
  <w:footnote w:id="12">
    <w:p w14:paraId="66EC765F" w14:textId="07805004" w:rsidR="00C8128E" w:rsidRPr="0050391B" w:rsidRDefault="00BB4ADC">
      <w:pPr>
        <w:spacing w:line="240" w:lineRule="auto"/>
        <w:rPr>
          <w:sz w:val="18"/>
          <w:szCs w:val="18"/>
        </w:rPr>
      </w:pPr>
      <w:r w:rsidRPr="0050391B">
        <w:rPr>
          <w:sz w:val="18"/>
          <w:szCs w:val="18"/>
          <w:vertAlign w:val="superscript"/>
        </w:rPr>
        <w:footnoteRef/>
      </w:r>
      <w:r w:rsidRPr="0050391B">
        <w:rPr>
          <w:sz w:val="18"/>
          <w:szCs w:val="18"/>
        </w:rPr>
        <w:t xml:space="preserve"> </w:t>
      </w:r>
      <w:proofErr w:type="spellStart"/>
      <w:r w:rsidR="00352435" w:rsidRPr="0050391B">
        <w:rPr>
          <w:sz w:val="18"/>
          <w:szCs w:val="18"/>
        </w:rPr>
        <w:t>Harian</w:t>
      </w:r>
      <w:proofErr w:type="spellEnd"/>
      <w:r w:rsidR="00352435" w:rsidRPr="0050391B">
        <w:rPr>
          <w:sz w:val="18"/>
          <w:szCs w:val="18"/>
        </w:rPr>
        <w:t xml:space="preserve"> Metro. </w:t>
      </w:r>
      <w:r w:rsidRPr="0050391B">
        <w:rPr>
          <w:sz w:val="18"/>
          <w:szCs w:val="18"/>
        </w:rPr>
        <w:t xml:space="preserve">(2020). </w:t>
      </w:r>
      <w:proofErr w:type="spellStart"/>
      <w:r w:rsidRPr="0050391B">
        <w:rPr>
          <w:sz w:val="18"/>
          <w:szCs w:val="18"/>
        </w:rPr>
        <w:t>Padah</w:t>
      </w:r>
      <w:proofErr w:type="spellEnd"/>
      <w:r w:rsidRPr="0050391B">
        <w:rPr>
          <w:sz w:val="18"/>
          <w:szCs w:val="18"/>
        </w:rPr>
        <w:t xml:space="preserve"> </w:t>
      </w:r>
      <w:proofErr w:type="spellStart"/>
      <w:r w:rsidRPr="0050391B">
        <w:rPr>
          <w:sz w:val="18"/>
          <w:szCs w:val="18"/>
        </w:rPr>
        <w:t>berlagak</w:t>
      </w:r>
      <w:proofErr w:type="spellEnd"/>
      <w:r w:rsidRPr="0050391B">
        <w:rPr>
          <w:sz w:val="18"/>
          <w:szCs w:val="18"/>
        </w:rPr>
        <w:t xml:space="preserve"> </w:t>
      </w:r>
      <w:proofErr w:type="spellStart"/>
      <w:r w:rsidRPr="0050391B">
        <w:rPr>
          <w:sz w:val="18"/>
          <w:szCs w:val="18"/>
        </w:rPr>
        <w:t>wanita</w:t>
      </w:r>
      <w:proofErr w:type="spellEnd"/>
      <w:r w:rsidRPr="0050391B">
        <w:rPr>
          <w:sz w:val="18"/>
          <w:szCs w:val="18"/>
        </w:rPr>
        <w:t xml:space="preserve"> [METROTV]. https://www.hmetro.com.my/mutakhir/2020/10/635430/padah-berlagak-wanita-metrotv</w:t>
      </w:r>
    </w:p>
  </w:footnote>
  <w:footnote w:id="13">
    <w:p w14:paraId="18860523" w14:textId="2EB3962B" w:rsidR="00C8128E" w:rsidRPr="0050391B" w:rsidRDefault="00BB4ADC">
      <w:pPr>
        <w:spacing w:line="240" w:lineRule="auto"/>
        <w:rPr>
          <w:sz w:val="18"/>
          <w:szCs w:val="18"/>
        </w:rPr>
      </w:pPr>
      <w:r w:rsidRPr="0050391B">
        <w:rPr>
          <w:sz w:val="18"/>
          <w:szCs w:val="18"/>
          <w:vertAlign w:val="superscript"/>
        </w:rPr>
        <w:footnoteRef/>
      </w:r>
      <w:r w:rsidRPr="0050391B">
        <w:rPr>
          <w:sz w:val="18"/>
          <w:szCs w:val="18"/>
        </w:rPr>
        <w:t xml:space="preserve"> </w:t>
      </w:r>
      <w:proofErr w:type="spellStart"/>
      <w:r w:rsidR="00352435" w:rsidRPr="0050391B">
        <w:rPr>
          <w:sz w:val="18"/>
          <w:szCs w:val="18"/>
        </w:rPr>
        <w:t>Harian</w:t>
      </w:r>
      <w:proofErr w:type="spellEnd"/>
      <w:r w:rsidR="00352435" w:rsidRPr="0050391B">
        <w:rPr>
          <w:sz w:val="18"/>
          <w:szCs w:val="18"/>
        </w:rPr>
        <w:t xml:space="preserve"> Metro</w:t>
      </w:r>
      <w:r w:rsidRPr="0050391B">
        <w:rPr>
          <w:sz w:val="18"/>
          <w:szCs w:val="18"/>
        </w:rPr>
        <w:t xml:space="preserve">. (2019). </w:t>
      </w:r>
      <w:proofErr w:type="spellStart"/>
      <w:r w:rsidRPr="0050391B">
        <w:rPr>
          <w:sz w:val="18"/>
          <w:szCs w:val="18"/>
        </w:rPr>
        <w:t>Mak</w:t>
      </w:r>
      <w:proofErr w:type="spellEnd"/>
      <w:r w:rsidRPr="0050391B">
        <w:rPr>
          <w:sz w:val="18"/>
          <w:szCs w:val="18"/>
        </w:rPr>
        <w:t xml:space="preserve"> </w:t>
      </w:r>
      <w:proofErr w:type="spellStart"/>
      <w:r w:rsidRPr="0050391B">
        <w:rPr>
          <w:sz w:val="18"/>
          <w:szCs w:val="18"/>
        </w:rPr>
        <w:t>nyah</w:t>
      </w:r>
      <w:proofErr w:type="spellEnd"/>
      <w:r w:rsidRPr="0050391B">
        <w:rPr>
          <w:sz w:val="18"/>
          <w:szCs w:val="18"/>
        </w:rPr>
        <w:t xml:space="preserve"> </w:t>
      </w:r>
      <w:proofErr w:type="spellStart"/>
      <w:r w:rsidRPr="0050391B">
        <w:rPr>
          <w:sz w:val="18"/>
          <w:szCs w:val="18"/>
        </w:rPr>
        <w:t>tak</w:t>
      </w:r>
      <w:proofErr w:type="spellEnd"/>
      <w:r w:rsidRPr="0050391B">
        <w:rPr>
          <w:sz w:val="18"/>
          <w:szCs w:val="18"/>
        </w:rPr>
        <w:t xml:space="preserve"> </w:t>
      </w:r>
      <w:proofErr w:type="spellStart"/>
      <w:r w:rsidRPr="0050391B">
        <w:rPr>
          <w:sz w:val="18"/>
          <w:szCs w:val="18"/>
        </w:rPr>
        <w:t>solat</w:t>
      </w:r>
      <w:proofErr w:type="spellEnd"/>
      <w:r w:rsidRPr="0050391B">
        <w:rPr>
          <w:sz w:val="18"/>
          <w:szCs w:val="18"/>
        </w:rPr>
        <w:t xml:space="preserve"> Jumaat </w:t>
      </w:r>
      <w:proofErr w:type="spellStart"/>
      <w:r w:rsidRPr="0050391B">
        <w:rPr>
          <w:sz w:val="18"/>
          <w:szCs w:val="18"/>
        </w:rPr>
        <w:t>didenda</w:t>
      </w:r>
      <w:proofErr w:type="spellEnd"/>
      <w:r w:rsidRPr="0050391B">
        <w:rPr>
          <w:sz w:val="18"/>
          <w:szCs w:val="18"/>
        </w:rPr>
        <w:t>. https://www.hmetro.com.my/mutakhir/2019/08/490797/mak-nyah-tak-solat-jumaat-didenda</w:t>
      </w:r>
    </w:p>
  </w:footnote>
  <w:footnote w:id="14">
    <w:p w14:paraId="78A57EC6" w14:textId="1EE9179F" w:rsidR="00C8128E" w:rsidRPr="00A27169" w:rsidRDefault="00BB4ADC">
      <w:pPr>
        <w:spacing w:line="240" w:lineRule="auto"/>
        <w:rPr>
          <w:sz w:val="18"/>
          <w:szCs w:val="18"/>
        </w:rPr>
      </w:pPr>
      <w:r w:rsidRPr="00A27169">
        <w:rPr>
          <w:sz w:val="18"/>
          <w:szCs w:val="18"/>
          <w:vertAlign w:val="superscript"/>
        </w:rPr>
        <w:footnoteRef/>
      </w:r>
      <w:r w:rsidRPr="00A27169">
        <w:rPr>
          <w:sz w:val="18"/>
          <w:szCs w:val="18"/>
        </w:rPr>
        <w:t xml:space="preserve"> Negeri Sembilan</w:t>
      </w:r>
      <w:r w:rsidR="00C83524" w:rsidRPr="00A27169">
        <w:rPr>
          <w:sz w:val="18"/>
          <w:szCs w:val="18"/>
        </w:rPr>
        <w:t>, Kelantan and Terengganu</w:t>
      </w:r>
    </w:p>
  </w:footnote>
  <w:footnote w:id="15">
    <w:p w14:paraId="7FFD74D3" w14:textId="77777777" w:rsidR="00C8128E" w:rsidRPr="00A27169" w:rsidRDefault="00BB4ADC">
      <w:pPr>
        <w:spacing w:line="240" w:lineRule="auto"/>
        <w:rPr>
          <w:sz w:val="18"/>
          <w:szCs w:val="18"/>
        </w:rPr>
      </w:pPr>
      <w:r w:rsidRPr="00A27169">
        <w:rPr>
          <w:sz w:val="18"/>
          <w:szCs w:val="18"/>
          <w:vertAlign w:val="superscript"/>
        </w:rPr>
        <w:footnoteRef/>
      </w:r>
      <w:r w:rsidRPr="00A27169">
        <w:rPr>
          <w:sz w:val="18"/>
          <w:szCs w:val="18"/>
        </w:rPr>
        <w:t xml:space="preserve"> Penal Code Act 574 </w:t>
      </w:r>
      <w:hyperlink r:id="rId3">
        <w:r w:rsidRPr="00A27169">
          <w:rPr>
            <w:color w:val="1155CC"/>
            <w:sz w:val="18"/>
            <w:szCs w:val="18"/>
            <w:u w:val="single"/>
          </w:rPr>
          <w:t>https://www.ilo.org/dyn/natlex/docs/ELECTRONIC/61339/117909/F1085941047/MYS61339%202015.pdf</w:t>
        </w:r>
      </w:hyperlink>
    </w:p>
  </w:footnote>
  <w:footnote w:id="16">
    <w:p w14:paraId="3977CF71" w14:textId="77777777" w:rsidR="00C8128E" w:rsidRPr="00A27169" w:rsidRDefault="00BB4ADC">
      <w:pPr>
        <w:spacing w:line="240" w:lineRule="auto"/>
        <w:rPr>
          <w:color w:val="333333"/>
          <w:sz w:val="18"/>
          <w:szCs w:val="18"/>
        </w:rPr>
      </w:pPr>
      <w:r w:rsidRPr="00A27169">
        <w:rPr>
          <w:sz w:val="18"/>
          <w:szCs w:val="18"/>
          <w:vertAlign w:val="superscript"/>
        </w:rPr>
        <w:footnoteRef/>
      </w:r>
      <w:r w:rsidRPr="00A27169">
        <w:rPr>
          <w:sz w:val="18"/>
          <w:szCs w:val="18"/>
        </w:rPr>
        <w:t xml:space="preserve"> Daud. R (2022) </w:t>
      </w:r>
      <w:r w:rsidRPr="00A27169">
        <w:rPr>
          <w:color w:val="333333"/>
          <w:sz w:val="18"/>
          <w:szCs w:val="18"/>
        </w:rPr>
        <w:t xml:space="preserve">LGBT </w:t>
      </w:r>
      <w:proofErr w:type="spellStart"/>
      <w:r w:rsidRPr="00A27169">
        <w:rPr>
          <w:color w:val="333333"/>
          <w:sz w:val="18"/>
          <w:szCs w:val="18"/>
        </w:rPr>
        <w:t>bertentangan</w:t>
      </w:r>
      <w:proofErr w:type="spellEnd"/>
      <w:r w:rsidRPr="00A27169">
        <w:rPr>
          <w:color w:val="333333"/>
          <w:sz w:val="18"/>
          <w:szCs w:val="18"/>
        </w:rPr>
        <w:t xml:space="preserve"> </w:t>
      </w:r>
      <w:proofErr w:type="spellStart"/>
      <w:r w:rsidRPr="00A27169">
        <w:rPr>
          <w:color w:val="333333"/>
          <w:sz w:val="18"/>
          <w:szCs w:val="18"/>
        </w:rPr>
        <w:t>dengan</w:t>
      </w:r>
      <w:proofErr w:type="spellEnd"/>
      <w:r w:rsidRPr="00A27169">
        <w:rPr>
          <w:color w:val="333333"/>
          <w:sz w:val="18"/>
          <w:szCs w:val="18"/>
        </w:rPr>
        <w:t xml:space="preserve"> </w:t>
      </w:r>
      <w:proofErr w:type="spellStart"/>
      <w:r w:rsidRPr="00A27169">
        <w:rPr>
          <w:color w:val="333333"/>
          <w:sz w:val="18"/>
          <w:szCs w:val="18"/>
        </w:rPr>
        <w:t>budaya</w:t>
      </w:r>
      <w:proofErr w:type="spellEnd"/>
      <w:r w:rsidRPr="00A27169">
        <w:rPr>
          <w:color w:val="333333"/>
          <w:sz w:val="18"/>
          <w:szCs w:val="18"/>
        </w:rPr>
        <w:t xml:space="preserve"> Malaysia, </w:t>
      </w:r>
      <w:proofErr w:type="spellStart"/>
      <w:r w:rsidRPr="00A27169">
        <w:rPr>
          <w:color w:val="333333"/>
          <w:sz w:val="18"/>
          <w:szCs w:val="18"/>
        </w:rPr>
        <w:t>undang-undang</w:t>
      </w:r>
      <w:proofErr w:type="spellEnd"/>
      <w:r w:rsidRPr="00A27169">
        <w:rPr>
          <w:color w:val="333333"/>
          <w:sz w:val="18"/>
          <w:szCs w:val="18"/>
        </w:rPr>
        <w:t xml:space="preserve"> negara - Idris</w:t>
      </w:r>
    </w:p>
    <w:p w14:paraId="445E0794" w14:textId="77777777" w:rsidR="00C8128E" w:rsidRDefault="00000000">
      <w:pPr>
        <w:spacing w:line="240" w:lineRule="auto"/>
        <w:rPr>
          <w:sz w:val="20"/>
          <w:szCs w:val="20"/>
        </w:rPr>
      </w:pPr>
      <w:hyperlink r:id="rId4">
        <w:r w:rsidR="00BB4ADC" w:rsidRPr="00A27169">
          <w:rPr>
            <w:color w:val="1155CC"/>
            <w:sz w:val="18"/>
            <w:szCs w:val="18"/>
            <w:u w:val="single"/>
          </w:rPr>
          <w:t>https://www.astroawani.com/berita-malaysia/lgbt-bertentangan-dengan-budaya-malaysia-undangundang-negara-idris-350982</w:t>
        </w:r>
      </w:hyperlink>
    </w:p>
  </w:footnote>
  <w:footnote w:id="17">
    <w:p w14:paraId="66559753" w14:textId="3A94B1EF" w:rsidR="00C8128E" w:rsidRPr="00A27169" w:rsidRDefault="00BB4ADC">
      <w:pPr>
        <w:spacing w:line="240" w:lineRule="auto"/>
        <w:rPr>
          <w:sz w:val="18"/>
          <w:szCs w:val="18"/>
        </w:rPr>
      </w:pPr>
      <w:r w:rsidRPr="00A27169">
        <w:rPr>
          <w:sz w:val="18"/>
          <w:szCs w:val="18"/>
          <w:vertAlign w:val="superscript"/>
        </w:rPr>
        <w:footnoteRef/>
      </w:r>
      <w:r w:rsidRPr="00A27169">
        <w:rPr>
          <w:sz w:val="18"/>
          <w:szCs w:val="18"/>
        </w:rPr>
        <w:t xml:space="preserve"> </w:t>
      </w:r>
      <w:proofErr w:type="spellStart"/>
      <w:r w:rsidRPr="00A27169">
        <w:rPr>
          <w:sz w:val="18"/>
          <w:szCs w:val="18"/>
        </w:rPr>
        <w:t>Zainul</w:t>
      </w:r>
      <w:proofErr w:type="spellEnd"/>
      <w:r w:rsidRPr="00A27169">
        <w:rPr>
          <w:sz w:val="18"/>
          <w:szCs w:val="18"/>
        </w:rPr>
        <w:t xml:space="preserve">. E. </w:t>
      </w:r>
      <w:r w:rsidRPr="00A27169">
        <w:rPr>
          <w:color w:val="333745"/>
          <w:sz w:val="18"/>
          <w:szCs w:val="18"/>
        </w:rPr>
        <w:t>(2020)</w:t>
      </w:r>
      <w:r w:rsidR="00352435">
        <w:rPr>
          <w:color w:val="333745"/>
          <w:sz w:val="18"/>
          <w:szCs w:val="18"/>
        </w:rPr>
        <w:t xml:space="preserve"> </w:t>
      </w:r>
      <w:r w:rsidRPr="00A27169">
        <w:rPr>
          <w:color w:val="333745"/>
          <w:sz w:val="18"/>
          <w:szCs w:val="18"/>
        </w:rPr>
        <w:t xml:space="preserve">No prosecution — AG </w:t>
      </w:r>
      <w:hyperlink r:id="rId5">
        <w:r w:rsidRPr="00A27169">
          <w:rPr>
            <w:color w:val="1155CC"/>
            <w:sz w:val="18"/>
            <w:szCs w:val="18"/>
            <w:u w:val="single"/>
          </w:rPr>
          <w:t>https://www.theedgemarkets.com/article/no-prosecution-%E2%80%94-ag</w:t>
        </w:r>
      </w:hyperlink>
    </w:p>
  </w:footnote>
  <w:footnote w:id="18">
    <w:p w14:paraId="7C9B2DD4" w14:textId="7C8CF55C" w:rsidR="00C8128E" w:rsidRPr="00A27169" w:rsidRDefault="00BB4ADC">
      <w:pPr>
        <w:spacing w:line="240" w:lineRule="auto"/>
        <w:rPr>
          <w:sz w:val="18"/>
          <w:szCs w:val="18"/>
        </w:rPr>
      </w:pPr>
      <w:r w:rsidRPr="00A27169">
        <w:rPr>
          <w:sz w:val="18"/>
          <w:szCs w:val="18"/>
          <w:vertAlign w:val="superscript"/>
        </w:rPr>
        <w:footnoteRef/>
      </w:r>
      <w:r w:rsidRPr="00A27169">
        <w:rPr>
          <w:sz w:val="18"/>
          <w:szCs w:val="18"/>
        </w:rPr>
        <w:t xml:space="preserve"> The Law of Interacting With </w:t>
      </w:r>
      <w:proofErr w:type="spellStart"/>
      <w:r w:rsidRPr="00A27169">
        <w:rPr>
          <w:sz w:val="18"/>
          <w:szCs w:val="18"/>
        </w:rPr>
        <w:t>Mukhannath</w:t>
      </w:r>
      <w:proofErr w:type="spellEnd"/>
      <w:r w:rsidRPr="00A27169">
        <w:rPr>
          <w:sz w:val="18"/>
          <w:szCs w:val="18"/>
        </w:rPr>
        <w:t xml:space="preserve"> (</w:t>
      </w:r>
      <w:proofErr w:type="spellStart"/>
      <w:r w:rsidRPr="00A27169">
        <w:rPr>
          <w:sz w:val="18"/>
          <w:szCs w:val="18"/>
        </w:rPr>
        <w:t>Pondan</w:t>
      </w:r>
      <w:proofErr w:type="spellEnd"/>
      <w:r w:rsidRPr="00A27169">
        <w:rPr>
          <w:sz w:val="18"/>
          <w:szCs w:val="18"/>
        </w:rPr>
        <w:t xml:space="preserve"> / </w:t>
      </w:r>
      <w:proofErr w:type="spellStart"/>
      <w:r w:rsidRPr="00A27169">
        <w:rPr>
          <w:sz w:val="18"/>
          <w:szCs w:val="18"/>
        </w:rPr>
        <w:t>Mak</w:t>
      </w:r>
      <w:proofErr w:type="spellEnd"/>
      <w:r w:rsidRPr="00A27169">
        <w:rPr>
          <w:sz w:val="18"/>
          <w:szCs w:val="18"/>
        </w:rPr>
        <w:t xml:space="preserve"> </w:t>
      </w:r>
      <w:proofErr w:type="spellStart"/>
      <w:r w:rsidRPr="00A27169">
        <w:rPr>
          <w:sz w:val="18"/>
          <w:szCs w:val="18"/>
        </w:rPr>
        <w:t>Nyah</w:t>
      </w:r>
      <w:proofErr w:type="spellEnd"/>
      <w:r w:rsidRPr="00A27169">
        <w:rPr>
          <w:sz w:val="18"/>
          <w:szCs w:val="18"/>
        </w:rPr>
        <w:t xml:space="preserve"> / Old Man / </w:t>
      </w:r>
      <w:proofErr w:type="spellStart"/>
      <w:r w:rsidRPr="00A27169">
        <w:rPr>
          <w:sz w:val="18"/>
          <w:szCs w:val="18"/>
        </w:rPr>
        <w:t>Pengkid</w:t>
      </w:r>
      <w:proofErr w:type="spellEnd"/>
      <w:r w:rsidRPr="00A27169">
        <w:rPr>
          <w:sz w:val="18"/>
          <w:szCs w:val="18"/>
        </w:rPr>
        <w:t xml:space="preserve"> / Tomboy / Transgender) (2021) </w:t>
      </w:r>
      <w:hyperlink r:id="rId6">
        <w:r w:rsidRPr="00A27169">
          <w:rPr>
            <w:color w:val="1155CC"/>
            <w:sz w:val="18"/>
            <w:szCs w:val="18"/>
            <w:u w:val="single"/>
          </w:rPr>
          <w:t>https://muftiperlis.gov.my/index.php/himpunan-fatwa-negeri/575-hukum-berinteraksi-dengan-mukhannath-pondan-mak-nyah-bapuk-pengkid-tomboi-taransgender</w:t>
        </w:r>
      </w:hyperlink>
    </w:p>
  </w:footnote>
  <w:footnote w:id="19">
    <w:p w14:paraId="683A26AF" w14:textId="0CBC88DE" w:rsidR="00C8128E" w:rsidRPr="00A27169" w:rsidRDefault="00BB4ADC">
      <w:pPr>
        <w:spacing w:line="240" w:lineRule="auto"/>
        <w:rPr>
          <w:sz w:val="18"/>
          <w:szCs w:val="18"/>
        </w:rPr>
      </w:pPr>
      <w:r w:rsidRPr="00A27169">
        <w:rPr>
          <w:sz w:val="18"/>
          <w:szCs w:val="18"/>
          <w:vertAlign w:val="superscript"/>
        </w:rPr>
        <w:footnoteRef/>
      </w:r>
      <w:r w:rsidRPr="00A27169">
        <w:rPr>
          <w:sz w:val="18"/>
          <w:szCs w:val="18"/>
        </w:rPr>
        <w:t xml:space="preserve"> Guidelines on Film Censorship.</w:t>
      </w:r>
      <w:r w:rsidR="00C83524" w:rsidRPr="00A27169">
        <w:rPr>
          <w:sz w:val="18"/>
          <w:szCs w:val="18"/>
        </w:rPr>
        <w:t xml:space="preserve"> (2010). </w:t>
      </w:r>
      <w:hyperlink r:id="rId7">
        <w:r w:rsidRPr="00A27169">
          <w:rPr>
            <w:sz w:val="18"/>
            <w:szCs w:val="18"/>
          </w:rPr>
          <w:t>http://lpf.moha.gov.my/lpf/images/Perundangan/GARIS_PANDUAN_PENAPISAN_FILEM(1).pdf</w:t>
        </w:r>
      </w:hyperlink>
      <w:r w:rsidRPr="00A27169">
        <w:rPr>
          <w:sz w:val="18"/>
          <w:szCs w:val="18"/>
        </w:rPr>
        <w:t xml:space="preserve"> </w:t>
      </w:r>
    </w:p>
  </w:footnote>
  <w:footnote w:id="20">
    <w:p w14:paraId="19EAED68" w14:textId="0A136E07"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w:t>
      </w:r>
      <w:proofErr w:type="spellStart"/>
      <w:r w:rsidRPr="00352435">
        <w:rPr>
          <w:sz w:val="18"/>
          <w:szCs w:val="18"/>
        </w:rPr>
        <w:t>Palansamy</w:t>
      </w:r>
      <w:proofErr w:type="spellEnd"/>
      <w:r w:rsidRPr="00352435">
        <w:rPr>
          <w:sz w:val="18"/>
          <w:szCs w:val="18"/>
        </w:rPr>
        <w:t xml:space="preserve">, Y. (2018). Terengganu duo publicly caned six times over lesbian sex attempt (VIDEO). </w:t>
      </w:r>
      <w:hyperlink r:id="rId8">
        <w:r w:rsidRPr="00352435">
          <w:rPr>
            <w:sz w:val="18"/>
            <w:szCs w:val="18"/>
            <w:u w:val="single"/>
          </w:rPr>
          <w:t>https://www.malaymail.com/news/malaysia/2018/09/03/terengganu-duo-publicly-caned-six-times-over-lesbian-sex-attempt/1668766</w:t>
        </w:r>
      </w:hyperlink>
    </w:p>
  </w:footnote>
  <w:footnote w:id="21">
    <w:p w14:paraId="64A25C7C" w14:textId="23D90AF6"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Amnesty International. (2019). Malaysia: Caning of four men is a terrible warning to LGBTI people, while more await trial. </w:t>
      </w:r>
      <w:hyperlink r:id="rId9">
        <w:r w:rsidRPr="00352435">
          <w:rPr>
            <w:color w:val="1155CC"/>
            <w:sz w:val="18"/>
            <w:szCs w:val="18"/>
            <w:u w:val="single"/>
          </w:rPr>
          <w:t>https://www.amnesty.org/en/latest/press-release/2019/11/malaysia-caning-of-four-men-is-a-terrible-warning-to-lgbti-people-while-more-await-trial</w:t>
        </w:r>
      </w:hyperlink>
      <w:r w:rsidRPr="00352435">
        <w:rPr>
          <w:sz w:val="18"/>
          <w:szCs w:val="18"/>
        </w:rPr>
        <w:t xml:space="preserve"> </w:t>
      </w:r>
    </w:p>
  </w:footnote>
  <w:footnote w:id="22">
    <w:p w14:paraId="43C2F99B" w14:textId="35C0122E"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Jalil, M. A  (2017) </w:t>
      </w:r>
      <w:r w:rsidRPr="00352435">
        <w:rPr>
          <w:color w:val="1A1A1A"/>
          <w:sz w:val="18"/>
          <w:szCs w:val="18"/>
        </w:rPr>
        <w:t xml:space="preserve">NRD wins appeal bid to stop transgender from changing IC details </w:t>
      </w:r>
      <w:hyperlink r:id="rId10">
        <w:r w:rsidRPr="00352435">
          <w:rPr>
            <w:color w:val="1155CC"/>
            <w:sz w:val="18"/>
            <w:szCs w:val="18"/>
            <w:u w:val="single"/>
          </w:rPr>
          <w:t>https://www.malaymail.com/news/malaysia/2017/01/05/nrd-wins-appeal-bid-to-stop-transgender-from-changing-ic-details/1286225</w:t>
        </w:r>
      </w:hyperlink>
    </w:p>
  </w:footnote>
  <w:footnote w:id="23">
    <w:p w14:paraId="29EE931D" w14:textId="39846332"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Denied Work: An audit of employment discrimination </w:t>
      </w:r>
      <w:proofErr w:type="gramStart"/>
      <w:r w:rsidRPr="00352435">
        <w:rPr>
          <w:sz w:val="18"/>
          <w:szCs w:val="18"/>
        </w:rPr>
        <w:t>on the basis of</w:t>
      </w:r>
      <w:proofErr w:type="gramEnd"/>
      <w:r w:rsidRPr="00352435">
        <w:rPr>
          <w:sz w:val="18"/>
          <w:szCs w:val="18"/>
        </w:rPr>
        <w:t xml:space="preserve"> gender identity in Asia. Bangkok: </w:t>
      </w:r>
      <w:r w:rsidR="00352435" w:rsidRPr="00352435">
        <w:rPr>
          <w:sz w:val="18"/>
          <w:szCs w:val="18"/>
        </w:rPr>
        <w:t>APTN</w:t>
      </w:r>
      <w:r w:rsidRPr="00352435">
        <w:rPr>
          <w:sz w:val="18"/>
          <w:szCs w:val="18"/>
        </w:rPr>
        <w:t xml:space="preserve"> and </w:t>
      </w:r>
      <w:r w:rsidR="00352435" w:rsidRPr="00352435">
        <w:rPr>
          <w:sz w:val="18"/>
          <w:szCs w:val="18"/>
        </w:rPr>
        <w:t>UNDP (</w:t>
      </w:r>
      <w:r w:rsidR="00C83524" w:rsidRPr="00352435">
        <w:rPr>
          <w:sz w:val="18"/>
          <w:szCs w:val="18"/>
        </w:rPr>
        <w:t>2018</w:t>
      </w:r>
      <w:r w:rsidR="00352435" w:rsidRPr="00352435">
        <w:rPr>
          <w:sz w:val="18"/>
          <w:szCs w:val="18"/>
        </w:rPr>
        <w:t>)</w:t>
      </w:r>
    </w:p>
  </w:footnote>
  <w:footnote w:id="24">
    <w:p w14:paraId="408E9747" w14:textId="233A634A"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Justice for Sisters. (2021). Freedom of Expression and Transgender Women in Malaysia: A study on the relationship of freedom of expression and gender identity. https://static1.squarespace.com/static/5e2fb70868966a1c84c7e258/t/6156fb9848b86e3bf6013ad3/1633090508281/Empower_JFS_FOEGI_Report.pdf</w:t>
      </w:r>
    </w:p>
  </w:footnote>
  <w:footnote w:id="25">
    <w:p w14:paraId="394E4D2B" w14:textId="4DFA5D58"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'It's Muhammad Sajjad'</w:t>
      </w:r>
      <w:r w:rsidR="00352435">
        <w:rPr>
          <w:sz w:val="18"/>
          <w:szCs w:val="18"/>
        </w:rPr>
        <w:t xml:space="preserve"> (</w:t>
      </w:r>
      <w:r w:rsidRPr="00352435">
        <w:rPr>
          <w:sz w:val="18"/>
          <w:szCs w:val="18"/>
        </w:rPr>
        <w:t>2020</w:t>
      </w:r>
      <w:r w:rsidR="00352435">
        <w:rPr>
          <w:sz w:val="18"/>
          <w:szCs w:val="18"/>
        </w:rPr>
        <w:t>)</w:t>
      </w:r>
      <w:r w:rsidRPr="00352435">
        <w:rPr>
          <w:sz w:val="18"/>
          <w:szCs w:val="18"/>
        </w:rPr>
        <w:t xml:space="preserve"> https://www.nst.com.my/news/nation/2020/02/562688/its-muhammad-sajjad.</w:t>
      </w:r>
    </w:p>
  </w:footnote>
  <w:footnote w:id="26">
    <w:p w14:paraId="0BF34450" w14:textId="627212A0" w:rsidR="00C8128E" w:rsidRPr="00352435" w:rsidRDefault="00BB4ADC">
      <w:pPr>
        <w:spacing w:line="240" w:lineRule="auto"/>
        <w:rPr>
          <w:sz w:val="18"/>
          <w:szCs w:val="18"/>
        </w:rPr>
      </w:pPr>
      <w:r w:rsidRPr="00352435">
        <w:rPr>
          <w:sz w:val="18"/>
          <w:szCs w:val="18"/>
          <w:vertAlign w:val="superscript"/>
        </w:rPr>
        <w:footnoteRef/>
      </w:r>
      <w:r w:rsidRPr="00352435">
        <w:rPr>
          <w:sz w:val="18"/>
          <w:szCs w:val="18"/>
        </w:rPr>
        <w:t xml:space="preserve"> Husain, N.H. and </w:t>
      </w:r>
      <w:proofErr w:type="spellStart"/>
      <w:r w:rsidRPr="00352435">
        <w:rPr>
          <w:sz w:val="18"/>
          <w:szCs w:val="18"/>
        </w:rPr>
        <w:t>Hairom</w:t>
      </w:r>
      <w:proofErr w:type="spellEnd"/>
      <w:r w:rsidRPr="00352435">
        <w:rPr>
          <w:sz w:val="18"/>
          <w:szCs w:val="18"/>
        </w:rPr>
        <w:t xml:space="preserve">, H. (2021). Malaysia </w:t>
      </w:r>
      <w:proofErr w:type="spellStart"/>
      <w:r w:rsidRPr="00352435">
        <w:rPr>
          <w:sz w:val="18"/>
          <w:szCs w:val="18"/>
        </w:rPr>
        <w:t>kekal</w:t>
      </w:r>
      <w:proofErr w:type="spellEnd"/>
      <w:r w:rsidRPr="00352435">
        <w:rPr>
          <w:sz w:val="18"/>
          <w:szCs w:val="18"/>
        </w:rPr>
        <w:t xml:space="preserve"> </w:t>
      </w:r>
      <w:proofErr w:type="spellStart"/>
      <w:r w:rsidRPr="00352435">
        <w:rPr>
          <w:sz w:val="18"/>
          <w:szCs w:val="18"/>
        </w:rPr>
        <w:t>pendirian</w:t>
      </w:r>
      <w:proofErr w:type="spellEnd"/>
      <w:r w:rsidRPr="00352435">
        <w:rPr>
          <w:sz w:val="18"/>
          <w:szCs w:val="18"/>
        </w:rPr>
        <w:t xml:space="preserve"> </w:t>
      </w:r>
      <w:proofErr w:type="spellStart"/>
      <w:r w:rsidRPr="00352435">
        <w:rPr>
          <w:sz w:val="18"/>
          <w:szCs w:val="18"/>
        </w:rPr>
        <w:t>tak</w:t>
      </w:r>
      <w:proofErr w:type="spellEnd"/>
      <w:r w:rsidRPr="00352435">
        <w:rPr>
          <w:sz w:val="18"/>
          <w:szCs w:val="18"/>
        </w:rPr>
        <w:t xml:space="preserve"> </w:t>
      </w:r>
      <w:proofErr w:type="spellStart"/>
      <w:r w:rsidRPr="00352435">
        <w:rPr>
          <w:sz w:val="18"/>
          <w:szCs w:val="18"/>
        </w:rPr>
        <w:t>iktiraf</w:t>
      </w:r>
      <w:proofErr w:type="spellEnd"/>
      <w:r w:rsidRPr="00352435">
        <w:rPr>
          <w:sz w:val="18"/>
          <w:szCs w:val="18"/>
        </w:rPr>
        <w:t xml:space="preserve"> gender </w:t>
      </w:r>
      <w:proofErr w:type="spellStart"/>
      <w:r w:rsidRPr="00352435">
        <w:rPr>
          <w:sz w:val="18"/>
          <w:szCs w:val="18"/>
        </w:rPr>
        <w:t>ketiga</w:t>
      </w:r>
      <w:proofErr w:type="spellEnd"/>
      <w:r w:rsidRPr="00352435">
        <w:rPr>
          <w:sz w:val="18"/>
          <w:szCs w:val="18"/>
        </w:rPr>
        <w:t>. https://www.sinarharian.com.my/article/165716/BERITA/Nasional/Malaysia-kekal-pendirian-tak-iktiraf-gender-ketiga</w:t>
      </w:r>
    </w:p>
  </w:footnote>
  <w:footnote w:id="27">
    <w:p w14:paraId="56DD97BD" w14:textId="01D44CE8"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Notice Of Non-Oral Questions </w:t>
      </w:r>
      <w:r w:rsidR="00C83524" w:rsidRPr="00417BA3">
        <w:rPr>
          <w:sz w:val="18"/>
          <w:szCs w:val="18"/>
        </w:rPr>
        <w:t>of</w:t>
      </w:r>
      <w:r w:rsidRPr="00417BA3">
        <w:rPr>
          <w:sz w:val="18"/>
          <w:szCs w:val="18"/>
        </w:rPr>
        <w:t xml:space="preserve"> The House </w:t>
      </w:r>
      <w:r w:rsidR="00C83524" w:rsidRPr="00417BA3">
        <w:rPr>
          <w:sz w:val="18"/>
          <w:szCs w:val="18"/>
        </w:rPr>
        <w:t>of</w:t>
      </w:r>
      <w:r w:rsidRPr="00417BA3">
        <w:rPr>
          <w:sz w:val="18"/>
          <w:szCs w:val="18"/>
        </w:rPr>
        <w:t xml:space="preserve"> People Third Meeting, Third Term</w:t>
      </w:r>
      <w:r w:rsidR="00417BA3" w:rsidRPr="00417BA3">
        <w:rPr>
          <w:sz w:val="18"/>
          <w:szCs w:val="18"/>
        </w:rPr>
        <w:t xml:space="preserve"> </w:t>
      </w:r>
      <w:r w:rsidRPr="00417BA3">
        <w:rPr>
          <w:sz w:val="18"/>
          <w:szCs w:val="18"/>
        </w:rPr>
        <w:t xml:space="preserve">Fourteenth Parliament (2020) </w:t>
      </w:r>
      <w:hyperlink r:id="rId11">
        <w:r w:rsidRPr="00417BA3">
          <w:rPr>
            <w:color w:val="1155CC"/>
            <w:sz w:val="18"/>
            <w:szCs w:val="18"/>
            <w:u w:val="single"/>
          </w:rPr>
          <w:t>https://pardocs.sinarproject.org/documents/2020-november-december-parliamentary-session/written-replies-soalan-bertulis/20201207-p14m3p2-soalan-bukanlisan-148.pdf</w:t>
        </w:r>
      </w:hyperlink>
    </w:p>
  </w:footnote>
  <w:footnote w:id="28">
    <w:p w14:paraId="0E132181" w14:textId="06F4FC8B"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w:t>
      </w:r>
      <w:proofErr w:type="spellStart"/>
      <w:r w:rsidR="004B09CB" w:rsidRPr="00417BA3">
        <w:rPr>
          <w:sz w:val="18"/>
          <w:szCs w:val="18"/>
        </w:rPr>
        <w:t>Berita</w:t>
      </w:r>
      <w:proofErr w:type="spellEnd"/>
      <w:r w:rsidR="004B09CB" w:rsidRPr="00417BA3">
        <w:rPr>
          <w:sz w:val="18"/>
          <w:szCs w:val="18"/>
        </w:rPr>
        <w:t xml:space="preserve"> </w:t>
      </w:r>
      <w:proofErr w:type="spellStart"/>
      <w:r w:rsidR="004B09CB" w:rsidRPr="00417BA3">
        <w:rPr>
          <w:sz w:val="18"/>
          <w:szCs w:val="18"/>
        </w:rPr>
        <w:t>Harian</w:t>
      </w:r>
      <w:proofErr w:type="spellEnd"/>
      <w:r w:rsidR="004B09CB" w:rsidRPr="00417BA3">
        <w:rPr>
          <w:sz w:val="18"/>
          <w:szCs w:val="18"/>
        </w:rPr>
        <w:t xml:space="preserve">. </w:t>
      </w:r>
      <w:r w:rsidRPr="00417BA3">
        <w:rPr>
          <w:sz w:val="18"/>
          <w:szCs w:val="18"/>
        </w:rPr>
        <w:t xml:space="preserve">(2022). </w:t>
      </w:r>
      <w:proofErr w:type="spellStart"/>
      <w:r w:rsidRPr="00417BA3">
        <w:rPr>
          <w:sz w:val="18"/>
          <w:szCs w:val="18"/>
        </w:rPr>
        <w:t>Isu</w:t>
      </w:r>
      <w:proofErr w:type="spellEnd"/>
      <w:r w:rsidRPr="00417BA3">
        <w:rPr>
          <w:sz w:val="18"/>
          <w:szCs w:val="18"/>
        </w:rPr>
        <w:t xml:space="preserve"> LGBT </w:t>
      </w:r>
      <w:proofErr w:type="spellStart"/>
      <w:r w:rsidRPr="00417BA3">
        <w:rPr>
          <w:sz w:val="18"/>
          <w:szCs w:val="18"/>
        </w:rPr>
        <w:t>kian</w:t>
      </w:r>
      <w:proofErr w:type="spellEnd"/>
      <w:r w:rsidRPr="00417BA3">
        <w:rPr>
          <w:sz w:val="18"/>
          <w:szCs w:val="18"/>
        </w:rPr>
        <w:t xml:space="preserve"> </w:t>
      </w:r>
      <w:proofErr w:type="spellStart"/>
      <w:r w:rsidRPr="00417BA3">
        <w:rPr>
          <w:sz w:val="18"/>
          <w:szCs w:val="18"/>
        </w:rPr>
        <w:t>membimbangkan</w:t>
      </w:r>
      <w:proofErr w:type="spellEnd"/>
      <w:r w:rsidRPr="00417BA3">
        <w:rPr>
          <w:sz w:val="18"/>
          <w:szCs w:val="18"/>
        </w:rPr>
        <w:t xml:space="preserve"> - Idris. https://www.bharian.com.my/berita/nasional/2022/03/932365/isu-lgbt-kian-membimbangkan-idris</w:t>
      </w:r>
    </w:p>
  </w:footnote>
  <w:footnote w:id="29">
    <w:p w14:paraId="01407870" w14:textId="1F7D582B"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Notice Of Non-Oral Questions </w:t>
      </w:r>
      <w:r w:rsidR="00C83524" w:rsidRPr="00417BA3">
        <w:rPr>
          <w:sz w:val="18"/>
          <w:szCs w:val="18"/>
        </w:rPr>
        <w:t>of</w:t>
      </w:r>
      <w:r w:rsidRPr="00417BA3">
        <w:rPr>
          <w:sz w:val="18"/>
          <w:szCs w:val="18"/>
        </w:rPr>
        <w:t xml:space="preserve"> The House </w:t>
      </w:r>
      <w:r w:rsidR="00C83524" w:rsidRPr="00417BA3">
        <w:rPr>
          <w:sz w:val="18"/>
          <w:szCs w:val="18"/>
        </w:rPr>
        <w:t>of</w:t>
      </w:r>
      <w:r w:rsidRPr="00417BA3">
        <w:rPr>
          <w:sz w:val="18"/>
          <w:szCs w:val="18"/>
        </w:rPr>
        <w:t xml:space="preserve"> People Third Meeting, Third Term</w:t>
      </w:r>
      <w:r w:rsidR="00417BA3" w:rsidRPr="00417BA3">
        <w:rPr>
          <w:sz w:val="18"/>
          <w:szCs w:val="18"/>
        </w:rPr>
        <w:t xml:space="preserve"> </w:t>
      </w:r>
      <w:r w:rsidRPr="00417BA3">
        <w:rPr>
          <w:sz w:val="18"/>
          <w:szCs w:val="18"/>
        </w:rPr>
        <w:t xml:space="preserve">Fourteenth Parliament (2020) </w:t>
      </w:r>
    </w:p>
  </w:footnote>
  <w:footnote w:id="30">
    <w:p w14:paraId="21591776" w14:textId="38245AE1"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“I Don’t Want to Change Myself” Anti-LGBT Conversion Practices, Discrimination, and Violence in Malaysia </w:t>
      </w:r>
      <w:r w:rsidR="00C83524" w:rsidRPr="00417BA3">
        <w:rPr>
          <w:sz w:val="18"/>
          <w:szCs w:val="18"/>
        </w:rPr>
        <w:t xml:space="preserve">(2022) </w:t>
      </w:r>
      <w:r w:rsidRPr="00417BA3">
        <w:rPr>
          <w:sz w:val="18"/>
          <w:szCs w:val="18"/>
        </w:rPr>
        <w:t>https://www.hrw.org/report/2022/08/10/i-dont-want-change-myself/anti-lgbt-conversion-practices-discrimination-and</w:t>
      </w:r>
    </w:p>
  </w:footnote>
  <w:footnote w:id="31">
    <w:p w14:paraId="71E5DB3D" w14:textId="4D3B0F1D"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Unpublished report</w:t>
      </w:r>
      <w:r w:rsidR="004B09CB">
        <w:rPr>
          <w:sz w:val="18"/>
          <w:szCs w:val="18"/>
        </w:rPr>
        <w:t>, J</w:t>
      </w:r>
      <w:r w:rsidRPr="00417BA3">
        <w:rPr>
          <w:sz w:val="18"/>
          <w:szCs w:val="18"/>
        </w:rPr>
        <w:t xml:space="preserve">ustice for Sisters </w:t>
      </w:r>
    </w:p>
  </w:footnote>
  <w:footnote w:id="32">
    <w:p w14:paraId="7F5CD773" w14:textId="6F6880D1" w:rsidR="00B2481A" w:rsidRPr="00B2481A" w:rsidRDefault="00B2481A">
      <w:pPr>
        <w:pStyle w:val="FootnoteText"/>
        <w:rPr>
          <w:sz w:val="18"/>
          <w:szCs w:val="18"/>
          <w:lang w:val="en-US"/>
        </w:rPr>
      </w:pPr>
      <w:r w:rsidRPr="00B2481A">
        <w:rPr>
          <w:rStyle w:val="FootnoteReference"/>
          <w:sz w:val="18"/>
          <w:szCs w:val="18"/>
        </w:rPr>
        <w:footnoteRef/>
      </w:r>
      <w:r w:rsidRPr="00B2481A">
        <w:rPr>
          <w:sz w:val="18"/>
          <w:szCs w:val="18"/>
        </w:rPr>
        <w:t xml:space="preserve"> </w:t>
      </w:r>
      <w:r w:rsidR="004B09CB">
        <w:rPr>
          <w:sz w:val="18"/>
          <w:szCs w:val="18"/>
        </w:rPr>
        <w:t>P</w:t>
      </w:r>
      <w:r w:rsidRPr="00B2481A">
        <w:rPr>
          <w:sz w:val="18"/>
          <w:szCs w:val="18"/>
        </w:rPr>
        <w:t>ersons seeking to liberate themselves from the shackles of slavery, lust, or social ills</w:t>
      </w:r>
    </w:p>
  </w:footnote>
  <w:footnote w:id="33">
    <w:p w14:paraId="1A18A28B" w14:textId="77777777"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w:t>
      </w:r>
      <w:proofErr w:type="spellStart"/>
      <w:r w:rsidRPr="00417BA3">
        <w:rPr>
          <w:sz w:val="18"/>
          <w:szCs w:val="18"/>
        </w:rPr>
        <w:t>Mohd</w:t>
      </w:r>
      <w:proofErr w:type="spellEnd"/>
      <w:r w:rsidRPr="00417BA3">
        <w:rPr>
          <w:sz w:val="18"/>
          <w:szCs w:val="18"/>
        </w:rPr>
        <w:t xml:space="preserve"> Zakaria, M. Z. I. (2019). </w:t>
      </w:r>
      <w:proofErr w:type="spellStart"/>
      <w:r w:rsidRPr="00417BA3">
        <w:rPr>
          <w:i/>
          <w:sz w:val="18"/>
          <w:szCs w:val="18"/>
        </w:rPr>
        <w:t>Pemberian</w:t>
      </w:r>
      <w:proofErr w:type="spellEnd"/>
      <w:r w:rsidRPr="00417BA3">
        <w:rPr>
          <w:i/>
          <w:sz w:val="18"/>
          <w:szCs w:val="18"/>
        </w:rPr>
        <w:t xml:space="preserve"> Zakat </w:t>
      </w:r>
      <w:proofErr w:type="spellStart"/>
      <w:r w:rsidRPr="00417BA3">
        <w:rPr>
          <w:i/>
          <w:sz w:val="18"/>
          <w:szCs w:val="18"/>
        </w:rPr>
        <w:t>Terhadap</w:t>
      </w:r>
      <w:proofErr w:type="spellEnd"/>
      <w:r w:rsidRPr="00417BA3">
        <w:rPr>
          <w:i/>
          <w:sz w:val="18"/>
          <w:szCs w:val="18"/>
        </w:rPr>
        <w:t xml:space="preserve"> </w:t>
      </w:r>
      <w:proofErr w:type="spellStart"/>
      <w:r w:rsidRPr="00417BA3">
        <w:rPr>
          <w:i/>
          <w:sz w:val="18"/>
          <w:szCs w:val="18"/>
        </w:rPr>
        <w:t>Golongan</w:t>
      </w:r>
      <w:proofErr w:type="spellEnd"/>
      <w:r w:rsidRPr="00417BA3">
        <w:rPr>
          <w:i/>
          <w:sz w:val="18"/>
          <w:szCs w:val="18"/>
        </w:rPr>
        <w:t xml:space="preserve"> LGBT </w:t>
      </w:r>
      <w:proofErr w:type="spellStart"/>
      <w:r w:rsidRPr="00417BA3">
        <w:rPr>
          <w:i/>
          <w:sz w:val="18"/>
          <w:szCs w:val="18"/>
        </w:rPr>
        <w:t>Menurut</w:t>
      </w:r>
      <w:proofErr w:type="spellEnd"/>
      <w:r w:rsidRPr="00417BA3">
        <w:rPr>
          <w:i/>
          <w:sz w:val="18"/>
          <w:szCs w:val="18"/>
        </w:rPr>
        <w:t xml:space="preserve"> Fatwa Selangor (</w:t>
      </w:r>
      <w:proofErr w:type="spellStart"/>
      <w:r w:rsidRPr="00417BA3">
        <w:rPr>
          <w:i/>
          <w:sz w:val="18"/>
          <w:szCs w:val="18"/>
        </w:rPr>
        <w:t>Analisis</w:t>
      </w:r>
      <w:proofErr w:type="spellEnd"/>
      <w:r w:rsidRPr="00417BA3">
        <w:rPr>
          <w:i/>
          <w:sz w:val="18"/>
          <w:szCs w:val="18"/>
        </w:rPr>
        <w:t xml:space="preserve"> </w:t>
      </w:r>
      <w:proofErr w:type="spellStart"/>
      <w:r w:rsidRPr="00417BA3">
        <w:rPr>
          <w:i/>
          <w:sz w:val="18"/>
          <w:szCs w:val="18"/>
        </w:rPr>
        <w:t>Tinjauan</w:t>
      </w:r>
      <w:proofErr w:type="spellEnd"/>
      <w:r w:rsidRPr="00417BA3">
        <w:rPr>
          <w:i/>
          <w:sz w:val="18"/>
          <w:szCs w:val="18"/>
        </w:rPr>
        <w:t xml:space="preserve"> </w:t>
      </w:r>
      <w:proofErr w:type="spellStart"/>
      <w:r w:rsidRPr="00417BA3">
        <w:rPr>
          <w:i/>
          <w:sz w:val="18"/>
          <w:szCs w:val="18"/>
        </w:rPr>
        <w:t>Maqasid</w:t>
      </w:r>
      <w:proofErr w:type="spellEnd"/>
      <w:r w:rsidRPr="00417BA3">
        <w:rPr>
          <w:i/>
          <w:sz w:val="18"/>
          <w:szCs w:val="18"/>
        </w:rPr>
        <w:t xml:space="preserve"> Syariah)</w:t>
      </w:r>
      <w:r w:rsidRPr="00417BA3">
        <w:rPr>
          <w:sz w:val="18"/>
          <w:szCs w:val="18"/>
        </w:rPr>
        <w:t>.</w:t>
      </w:r>
    </w:p>
  </w:footnote>
  <w:footnote w:id="34">
    <w:p w14:paraId="3E20759A" w14:textId="77777777"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Abd Malik, M. (2018). Zakat </w:t>
      </w:r>
      <w:proofErr w:type="spellStart"/>
      <w:r w:rsidRPr="00417BA3">
        <w:rPr>
          <w:sz w:val="18"/>
          <w:szCs w:val="18"/>
        </w:rPr>
        <w:t>untuk</w:t>
      </w:r>
      <w:proofErr w:type="spellEnd"/>
      <w:r w:rsidRPr="00417BA3">
        <w:rPr>
          <w:sz w:val="18"/>
          <w:szCs w:val="18"/>
        </w:rPr>
        <w:t xml:space="preserve"> LGBT [METROTV]. </w:t>
      </w:r>
      <w:proofErr w:type="spellStart"/>
      <w:r w:rsidRPr="00417BA3">
        <w:rPr>
          <w:i/>
          <w:sz w:val="18"/>
          <w:szCs w:val="18"/>
        </w:rPr>
        <w:t>Harian</w:t>
      </w:r>
      <w:proofErr w:type="spellEnd"/>
      <w:r w:rsidRPr="00417BA3">
        <w:rPr>
          <w:i/>
          <w:sz w:val="18"/>
          <w:szCs w:val="18"/>
        </w:rPr>
        <w:t xml:space="preserve"> Metro</w:t>
      </w:r>
      <w:r w:rsidRPr="00417BA3">
        <w:rPr>
          <w:sz w:val="18"/>
          <w:szCs w:val="18"/>
        </w:rPr>
        <w:t>.</w:t>
      </w:r>
    </w:p>
  </w:footnote>
  <w:footnote w:id="35">
    <w:p w14:paraId="7E4C7D3E" w14:textId="1A4C6303" w:rsidR="00C8128E" w:rsidRPr="00417BA3" w:rsidRDefault="00BB4ADC">
      <w:pPr>
        <w:spacing w:line="240" w:lineRule="auto"/>
        <w:rPr>
          <w:sz w:val="18"/>
          <w:szCs w:val="18"/>
        </w:rPr>
      </w:pPr>
      <w:r w:rsidRPr="00417BA3">
        <w:rPr>
          <w:sz w:val="18"/>
          <w:szCs w:val="18"/>
          <w:vertAlign w:val="superscript"/>
        </w:rPr>
        <w:footnoteRef/>
      </w:r>
      <w:r w:rsidRPr="00417BA3">
        <w:rPr>
          <w:sz w:val="18"/>
          <w:szCs w:val="18"/>
        </w:rPr>
        <w:t xml:space="preserve"> Tahir, M. I. I. (2020). 497 LGBT </w:t>
      </w:r>
      <w:proofErr w:type="spellStart"/>
      <w:r w:rsidRPr="00417BA3">
        <w:rPr>
          <w:sz w:val="18"/>
          <w:szCs w:val="18"/>
        </w:rPr>
        <w:t>insaf</w:t>
      </w:r>
      <w:proofErr w:type="spellEnd"/>
      <w:r w:rsidRPr="00417BA3">
        <w:rPr>
          <w:sz w:val="18"/>
          <w:szCs w:val="18"/>
        </w:rPr>
        <w:t xml:space="preserve"> </w:t>
      </w:r>
      <w:proofErr w:type="spellStart"/>
      <w:r w:rsidRPr="00417BA3">
        <w:rPr>
          <w:sz w:val="18"/>
          <w:szCs w:val="18"/>
        </w:rPr>
        <w:t>dipulihkan</w:t>
      </w:r>
      <w:proofErr w:type="spellEnd"/>
      <w:r w:rsidRPr="00417BA3">
        <w:rPr>
          <w:sz w:val="18"/>
          <w:szCs w:val="18"/>
        </w:rPr>
        <w:t xml:space="preserve"> MAIS. </w:t>
      </w:r>
    </w:p>
  </w:footnote>
  <w:footnote w:id="36">
    <w:p w14:paraId="576DADBB" w14:textId="0DA71886" w:rsidR="00C8128E" w:rsidRDefault="00BB4ADC">
      <w:pPr>
        <w:spacing w:line="240" w:lineRule="auto"/>
        <w:rPr>
          <w:sz w:val="18"/>
          <w:szCs w:val="18"/>
        </w:rPr>
      </w:pPr>
      <w:r>
        <w:rPr>
          <w:vertAlign w:val="superscript"/>
        </w:rPr>
        <w:footnoteRef/>
      </w:r>
      <w:r>
        <w:rPr>
          <w:sz w:val="18"/>
          <w:szCs w:val="18"/>
        </w:rPr>
        <w:t xml:space="preserve"> </w:t>
      </w:r>
      <w:proofErr w:type="spellStart"/>
      <w:r>
        <w:rPr>
          <w:sz w:val="18"/>
          <w:szCs w:val="18"/>
        </w:rPr>
        <w:t>Universiti</w:t>
      </w:r>
      <w:proofErr w:type="spellEnd"/>
      <w:r>
        <w:rPr>
          <w:sz w:val="18"/>
          <w:szCs w:val="18"/>
        </w:rPr>
        <w:t xml:space="preserve"> Sains Malaysia et al. (2022). Promoting Sexual Wellbeing: Conversations on Different Perspectives (e-book). The 16th Congress of Asia-Oceania Federation for Sexology (AOFS). https://designrr.s3.amazonaws.com/nazirah7606_at_gmail.com_154541/nazirah7606gmailcom_EbookAOFSConference20221660808504.pdf</w:t>
      </w:r>
    </w:p>
  </w:footnote>
  <w:footnote w:id="37">
    <w:p w14:paraId="43BC2956" w14:textId="5F7F0143" w:rsidR="004157CA" w:rsidRPr="004B09CB" w:rsidRDefault="004157CA" w:rsidP="004157CA">
      <w:pPr>
        <w:spacing w:line="240" w:lineRule="auto"/>
        <w:rPr>
          <w:sz w:val="18"/>
          <w:szCs w:val="18"/>
        </w:rPr>
      </w:pPr>
      <w:r w:rsidRPr="004B09CB">
        <w:rPr>
          <w:sz w:val="18"/>
          <w:szCs w:val="18"/>
          <w:vertAlign w:val="superscript"/>
        </w:rPr>
        <w:footnoteRef/>
      </w:r>
      <w:r w:rsidRPr="004B09CB">
        <w:rPr>
          <w:sz w:val="18"/>
          <w:szCs w:val="18"/>
        </w:rPr>
        <w:t xml:space="preserve"> Justice for Sisters. (2021). Freedom of Expression and Transgender Women in Malaysia: A study on the relationship of freedom of expression and gender identity.</w:t>
      </w:r>
    </w:p>
  </w:footnote>
  <w:footnote w:id="38">
    <w:p w14:paraId="26FFDF0F" w14:textId="61106BB0" w:rsidR="00C8128E" w:rsidRPr="00A714A2" w:rsidRDefault="00BB4ADC">
      <w:pPr>
        <w:spacing w:line="240" w:lineRule="auto"/>
        <w:rPr>
          <w:color w:val="333333"/>
          <w:sz w:val="18"/>
          <w:szCs w:val="18"/>
        </w:rPr>
      </w:pPr>
      <w:r w:rsidRPr="00AD18C0">
        <w:rPr>
          <w:sz w:val="18"/>
          <w:szCs w:val="18"/>
          <w:vertAlign w:val="superscript"/>
        </w:rPr>
        <w:footnoteRef/>
      </w:r>
      <w:r w:rsidRPr="00AD18C0">
        <w:rPr>
          <w:sz w:val="18"/>
          <w:szCs w:val="18"/>
        </w:rPr>
        <w:t xml:space="preserve"> </w:t>
      </w:r>
      <w:proofErr w:type="spellStart"/>
      <w:r w:rsidRPr="00AD18C0">
        <w:rPr>
          <w:color w:val="333333"/>
          <w:sz w:val="18"/>
          <w:szCs w:val="18"/>
        </w:rPr>
        <w:t>Sinar</w:t>
      </w:r>
      <w:proofErr w:type="spellEnd"/>
      <w:r w:rsidRPr="00AD18C0">
        <w:rPr>
          <w:color w:val="333333"/>
          <w:sz w:val="18"/>
          <w:szCs w:val="18"/>
        </w:rPr>
        <w:t xml:space="preserve"> </w:t>
      </w:r>
      <w:proofErr w:type="spellStart"/>
      <w:r w:rsidRPr="00AD18C0">
        <w:rPr>
          <w:color w:val="333333"/>
          <w:sz w:val="18"/>
          <w:szCs w:val="18"/>
        </w:rPr>
        <w:t>Harian</w:t>
      </w:r>
      <w:proofErr w:type="spellEnd"/>
      <w:r w:rsidRPr="00AD18C0">
        <w:rPr>
          <w:color w:val="333333"/>
          <w:sz w:val="18"/>
          <w:szCs w:val="18"/>
        </w:rPr>
        <w:t xml:space="preserve"> Must Reconsider Its ‘prep Buat </w:t>
      </w:r>
      <w:proofErr w:type="spellStart"/>
      <w:r w:rsidRPr="00AD18C0">
        <w:rPr>
          <w:color w:val="333333"/>
          <w:sz w:val="18"/>
          <w:szCs w:val="18"/>
        </w:rPr>
        <w:t>Komuniti</w:t>
      </w:r>
      <w:proofErr w:type="spellEnd"/>
      <w:r w:rsidRPr="00AD18C0">
        <w:rPr>
          <w:color w:val="333333"/>
          <w:sz w:val="18"/>
          <w:szCs w:val="18"/>
        </w:rPr>
        <w:t xml:space="preserve"> </w:t>
      </w:r>
      <w:proofErr w:type="spellStart"/>
      <w:r w:rsidRPr="00AD18C0">
        <w:rPr>
          <w:color w:val="333333"/>
          <w:sz w:val="18"/>
          <w:szCs w:val="18"/>
        </w:rPr>
        <w:t>Songsang</w:t>
      </w:r>
      <w:proofErr w:type="spellEnd"/>
      <w:r w:rsidRPr="00AD18C0">
        <w:rPr>
          <w:color w:val="333333"/>
          <w:sz w:val="18"/>
          <w:szCs w:val="18"/>
        </w:rPr>
        <w:t xml:space="preserve"> Lega @ </w:t>
      </w:r>
      <w:proofErr w:type="spellStart"/>
      <w:r w:rsidRPr="00AD18C0">
        <w:rPr>
          <w:color w:val="333333"/>
          <w:sz w:val="18"/>
          <w:szCs w:val="18"/>
        </w:rPr>
        <w:t>Bencana</w:t>
      </w:r>
      <w:proofErr w:type="spellEnd"/>
      <w:r w:rsidRPr="00AD18C0">
        <w:rPr>
          <w:color w:val="333333"/>
          <w:sz w:val="18"/>
          <w:szCs w:val="18"/>
        </w:rPr>
        <w:t xml:space="preserve">’? Episode In Order </w:t>
      </w:r>
      <w:r w:rsidR="00C83524" w:rsidRPr="00AD18C0">
        <w:rPr>
          <w:color w:val="333333"/>
          <w:sz w:val="18"/>
          <w:szCs w:val="18"/>
        </w:rPr>
        <w:t>to</w:t>
      </w:r>
      <w:r w:rsidRPr="00AD18C0">
        <w:rPr>
          <w:color w:val="333333"/>
          <w:sz w:val="18"/>
          <w:szCs w:val="18"/>
        </w:rPr>
        <w:t xml:space="preserve"> Prevent Misinformation &amp; Stigma Against LGBT People </w:t>
      </w:r>
      <w:r w:rsidR="00AD18C0" w:rsidRPr="00AD18C0">
        <w:rPr>
          <w:sz w:val="18"/>
          <w:szCs w:val="18"/>
        </w:rPr>
        <w:t>(2022)</w:t>
      </w:r>
      <w:r w:rsidR="00A714A2">
        <w:rPr>
          <w:color w:val="333333"/>
          <w:sz w:val="18"/>
          <w:szCs w:val="18"/>
        </w:rPr>
        <w:t xml:space="preserve"> </w:t>
      </w:r>
      <w:r>
        <w:rPr>
          <w:sz w:val="18"/>
          <w:szCs w:val="18"/>
        </w:rPr>
        <w:t>https://justiceforsisters.wordpress.com/2022/12/16/sinar-harian-must-reconsider-its-prep-buat-komuniti-songsang-lega-bencana-episode-in-order-to-prevent-misinformation-stigma-against-lgbt-people/</w:t>
      </w:r>
    </w:p>
  </w:footnote>
  <w:footnote w:id="39">
    <w:p w14:paraId="411CF76C" w14:textId="57A57CE1" w:rsidR="00C8128E" w:rsidRDefault="00BB4ADC">
      <w:pPr>
        <w:spacing w:line="240" w:lineRule="auto"/>
        <w:rPr>
          <w:color w:val="333333"/>
          <w:sz w:val="18"/>
          <w:szCs w:val="18"/>
        </w:rPr>
      </w:pPr>
      <w:r w:rsidRPr="00A714A2">
        <w:rPr>
          <w:sz w:val="18"/>
          <w:szCs w:val="18"/>
          <w:vertAlign w:val="superscript"/>
        </w:rPr>
        <w:footnoteRef/>
      </w:r>
      <w:r w:rsidRPr="00A714A2">
        <w:rPr>
          <w:sz w:val="18"/>
          <w:szCs w:val="18"/>
        </w:rPr>
        <w:t xml:space="preserve"> </w:t>
      </w:r>
      <w:r w:rsidRPr="00A714A2">
        <w:rPr>
          <w:color w:val="333333"/>
          <w:sz w:val="18"/>
          <w:szCs w:val="18"/>
        </w:rPr>
        <w:t>'Gay Is Okay!' Book By Local</w:t>
      </w:r>
      <w:r>
        <w:rPr>
          <w:color w:val="333333"/>
          <w:sz w:val="18"/>
          <w:szCs w:val="18"/>
        </w:rPr>
        <w:t xml:space="preserve"> Author Is No Longer Banned </w:t>
      </w:r>
      <w:r w:rsidR="004B09CB">
        <w:rPr>
          <w:color w:val="333333"/>
          <w:sz w:val="18"/>
          <w:szCs w:val="18"/>
        </w:rPr>
        <w:t>in</w:t>
      </w:r>
      <w:r>
        <w:rPr>
          <w:color w:val="333333"/>
          <w:sz w:val="18"/>
          <w:szCs w:val="18"/>
        </w:rPr>
        <w:t xml:space="preserve"> Malaysia After Judicial Review</w:t>
      </w:r>
      <w:r w:rsidR="00C83524">
        <w:rPr>
          <w:color w:val="333333"/>
          <w:sz w:val="18"/>
          <w:szCs w:val="18"/>
        </w:rPr>
        <w:t xml:space="preserve"> </w:t>
      </w:r>
      <w:r w:rsidR="00C83524">
        <w:rPr>
          <w:color w:val="1A1A1A"/>
          <w:sz w:val="18"/>
          <w:szCs w:val="18"/>
        </w:rPr>
        <w:t>(</w:t>
      </w:r>
      <w:r w:rsidR="00C83524">
        <w:rPr>
          <w:sz w:val="18"/>
          <w:szCs w:val="18"/>
        </w:rPr>
        <w:t>2022)</w:t>
      </w:r>
    </w:p>
    <w:p w14:paraId="0F4CD430" w14:textId="77777777" w:rsidR="00C8128E" w:rsidRDefault="00000000">
      <w:pPr>
        <w:spacing w:line="240" w:lineRule="auto"/>
        <w:rPr>
          <w:sz w:val="18"/>
          <w:szCs w:val="18"/>
        </w:rPr>
      </w:pPr>
      <w:hyperlink r:id="rId12">
        <w:r w:rsidR="00BB4ADC">
          <w:rPr>
            <w:color w:val="0000FF"/>
            <w:sz w:val="18"/>
            <w:szCs w:val="18"/>
            <w:u w:val="single"/>
          </w:rPr>
          <w:t>https://says.com/my/news/gay-is-okay-book-no-longer-banned-in-malaysia-after-judicial-review</w:t>
        </w:r>
      </w:hyperlink>
    </w:p>
  </w:footnote>
  <w:footnote w:id="40">
    <w:p w14:paraId="4C2C7549" w14:textId="67C2F4C7" w:rsidR="00C8128E" w:rsidRPr="004B09CB" w:rsidRDefault="00BB4ADC">
      <w:pPr>
        <w:spacing w:line="240" w:lineRule="auto"/>
        <w:rPr>
          <w:color w:val="212529"/>
          <w:sz w:val="18"/>
          <w:szCs w:val="18"/>
        </w:rPr>
      </w:pPr>
      <w:r w:rsidRPr="00A714A2">
        <w:rPr>
          <w:sz w:val="18"/>
          <w:szCs w:val="18"/>
          <w:vertAlign w:val="superscript"/>
        </w:rPr>
        <w:footnoteRef/>
      </w:r>
      <w:r w:rsidRPr="00A714A2">
        <w:rPr>
          <w:sz w:val="18"/>
          <w:szCs w:val="18"/>
        </w:rPr>
        <w:t xml:space="preserve"> </w:t>
      </w:r>
      <w:r w:rsidRPr="00A714A2">
        <w:rPr>
          <w:color w:val="212529"/>
          <w:sz w:val="18"/>
          <w:szCs w:val="18"/>
        </w:rPr>
        <w:t>KDN bans 3 publications</w:t>
      </w:r>
      <w:r w:rsidR="00C83524" w:rsidRPr="00A714A2">
        <w:rPr>
          <w:color w:val="212529"/>
          <w:sz w:val="18"/>
          <w:szCs w:val="18"/>
        </w:rPr>
        <w:t xml:space="preserve"> </w:t>
      </w:r>
      <w:r w:rsidR="00C83524" w:rsidRPr="00A714A2">
        <w:rPr>
          <w:color w:val="1A1A1A"/>
          <w:sz w:val="18"/>
          <w:szCs w:val="18"/>
        </w:rPr>
        <w:t>(</w:t>
      </w:r>
      <w:r w:rsidR="00C83524" w:rsidRPr="00A714A2">
        <w:rPr>
          <w:sz w:val="18"/>
          <w:szCs w:val="18"/>
        </w:rPr>
        <w:t>2022)</w:t>
      </w:r>
      <w:r w:rsidR="004B09CB">
        <w:rPr>
          <w:color w:val="212529"/>
          <w:sz w:val="18"/>
          <w:szCs w:val="18"/>
        </w:rPr>
        <w:t xml:space="preserve"> </w:t>
      </w:r>
      <w:r w:rsidRPr="00A714A2">
        <w:rPr>
          <w:sz w:val="18"/>
          <w:szCs w:val="18"/>
        </w:rPr>
        <w:t>https://themalaysianreserve.com/2022/11/08/kdn-bans-three-publications/</w:t>
      </w:r>
    </w:p>
  </w:footnote>
  <w:footnote w:id="41">
    <w:p w14:paraId="65D8E78B" w14:textId="1BC0E081" w:rsidR="00C8128E" w:rsidRPr="00704AF6" w:rsidRDefault="00BB4ADC">
      <w:pPr>
        <w:spacing w:line="240" w:lineRule="auto"/>
        <w:rPr>
          <w:color w:val="1A1A1A"/>
          <w:sz w:val="18"/>
          <w:szCs w:val="18"/>
        </w:rPr>
      </w:pPr>
      <w:r w:rsidRPr="00A714A2">
        <w:rPr>
          <w:sz w:val="18"/>
          <w:szCs w:val="18"/>
          <w:vertAlign w:val="superscript"/>
        </w:rPr>
        <w:footnoteRef/>
      </w:r>
      <w:r w:rsidRPr="00A714A2">
        <w:rPr>
          <w:sz w:val="18"/>
          <w:szCs w:val="18"/>
        </w:rPr>
        <w:t xml:space="preserve"> </w:t>
      </w:r>
      <w:r w:rsidRPr="00A714A2">
        <w:rPr>
          <w:color w:val="1A1A1A"/>
          <w:sz w:val="18"/>
          <w:szCs w:val="18"/>
        </w:rPr>
        <w:t>Court quashes Home Ministry’s ban on ‘Gay Is OK!’ book</w:t>
      </w:r>
      <w:r w:rsidR="00C83524" w:rsidRPr="00A714A2">
        <w:rPr>
          <w:color w:val="1A1A1A"/>
          <w:sz w:val="18"/>
          <w:szCs w:val="18"/>
        </w:rPr>
        <w:t xml:space="preserve"> (</w:t>
      </w:r>
      <w:r w:rsidR="00C83524" w:rsidRPr="00A714A2">
        <w:rPr>
          <w:sz w:val="18"/>
          <w:szCs w:val="18"/>
        </w:rPr>
        <w:t>2022)</w:t>
      </w:r>
      <w:r w:rsidR="00704AF6">
        <w:rPr>
          <w:color w:val="1A1A1A"/>
          <w:sz w:val="18"/>
          <w:szCs w:val="18"/>
        </w:rPr>
        <w:t xml:space="preserve"> </w:t>
      </w:r>
      <w:hyperlink r:id="rId13" w:history="1">
        <w:r w:rsidR="00704AF6" w:rsidRPr="00094B5C">
          <w:rPr>
            <w:rStyle w:val="Hyperlink"/>
            <w:sz w:val="18"/>
            <w:szCs w:val="18"/>
          </w:rPr>
          <w:t>https://www.malaymail.com/news/malaysia/2022/02/22/court-quashes-home-ministrys-ban-on-gay-is-ok-book/2043145</w:t>
        </w:r>
      </w:hyperlink>
    </w:p>
  </w:footnote>
  <w:footnote w:id="42">
    <w:p w14:paraId="69EDFF4F" w14:textId="500AEBA9" w:rsidR="00C8128E" w:rsidRPr="00A714A2" w:rsidRDefault="00BB4ADC">
      <w:pPr>
        <w:spacing w:line="240" w:lineRule="auto"/>
        <w:rPr>
          <w:color w:val="1A1A1A"/>
          <w:sz w:val="18"/>
          <w:szCs w:val="18"/>
        </w:rPr>
      </w:pPr>
      <w:r w:rsidRPr="00A714A2">
        <w:rPr>
          <w:sz w:val="18"/>
          <w:szCs w:val="18"/>
          <w:vertAlign w:val="superscript"/>
        </w:rPr>
        <w:footnoteRef/>
      </w:r>
      <w:r w:rsidRPr="00A714A2">
        <w:rPr>
          <w:sz w:val="18"/>
          <w:szCs w:val="18"/>
        </w:rPr>
        <w:t xml:space="preserve"> </w:t>
      </w:r>
      <w:proofErr w:type="spellStart"/>
      <w:r w:rsidRPr="00A714A2">
        <w:rPr>
          <w:color w:val="1A1A1A"/>
          <w:sz w:val="18"/>
          <w:szCs w:val="18"/>
        </w:rPr>
        <w:t>Aliff</w:t>
      </w:r>
      <w:proofErr w:type="spellEnd"/>
      <w:r w:rsidRPr="00A714A2">
        <w:rPr>
          <w:color w:val="1A1A1A"/>
          <w:sz w:val="18"/>
          <w:szCs w:val="18"/>
        </w:rPr>
        <w:t xml:space="preserve"> </w:t>
      </w:r>
      <w:proofErr w:type="spellStart"/>
      <w:r w:rsidRPr="00A714A2">
        <w:rPr>
          <w:color w:val="1A1A1A"/>
          <w:sz w:val="18"/>
          <w:szCs w:val="18"/>
        </w:rPr>
        <w:t>Syukri</w:t>
      </w:r>
      <w:proofErr w:type="spellEnd"/>
      <w:r w:rsidRPr="00A714A2">
        <w:rPr>
          <w:color w:val="1A1A1A"/>
          <w:sz w:val="18"/>
          <w:szCs w:val="18"/>
        </w:rPr>
        <w:t xml:space="preserve"> claims trial to uploading offensive social media content </w:t>
      </w:r>
      <w:r w:rsidR="00C83524" w:rsidRPr="00A714A2">
        <w:rPr>
          <w:color w:val="1A1A1A"/>
          <w:sz w:val="18"/>
          <w:szCs w:val="18"/>
        </w:rPr>
        <w:t>(</w:t>
      </w:r>
      <w:r w:rsidR="00C83524" w:rsidRPr="00A714A2">
        <w:rPr>
          <w:sz w:val="18"/>
          <w:szCs w:val="18"/>
        </w:rPr>
        <w:t>2022)</w:t>
      </w:r>
      <w:r w:rsidR="00A714A2">
        <w:rPr>
          <w:color w:val="1A1A1A"/>
          <w:sz w:val="18"/>
          <w:szCs w:val="18"/>
        </w:rPr>
        <w:t xml:space="preserve"> </w:t>
      </w:r>
      <w:r w:rsidRPr="00A714A2">
        <w:rPr>
          <w:sz w:val="18"/>
          <w:szCs w:val="18"/>
        </w:rPr>
        <w:t>https://www.malaymail.com/news/malaysia/2022/10/13/aliff-syukri-claims-trial-to-uploading-offensive-social-media-content/33379</w:t>
      </w:r>
    </w:p>
  </w:footnote>
  <w:footnote w:id="43">
    <w:p w14:paraId="6A685A6E" w14:textId="60C8BBCD" w:rsidR="00C8128E" w:rsidRPr="00A714A2" w:rsidRDefault="00BB4ADC">
      <w:pPr>
        <w:spacing w:line="261" w:lineRule="auto"/>
        <w:rPr>
          <w:sz w:val="18"/>
          <w:szCs w:val="18"/>
        </w:rPr>
      </w:pPr>
      <w:r w:rsidRPr="00A714A2">
        <w:rPr>
          <w:sz w:val="18"/>
          <w:szCs w:val="18"/>
          <w:vertAlign w:val="superscript"/>
        </w:rPr>
        <w:footnoteRef/>
      </w:r>
      <w:r w:rsidRPr="00A714A2">
        <w:rPr>
          <w:color w:val="1A1A1A"/>
          <w:sz w:val="18"/>
          <w:szCs w:val="18"/>
        </w:rPr>
        <w:t xml:space="preserve"> Cosmetics tycoon Vida pleads not guilty to uploading offensive video</w:t>
      </w:r>
      <w:r w:rsidR="00A714A2">
        <w:rPr>
          <w:color w:val="1A1A1A"/>
          <w:sz w:val="18"/>
          <w:szCs w:val="18"/>
        </w:rPr>
        <w:t xml:space="preserve"> (</w:t>
      </w:r>
      <w:r w:rsidR="00A714A2" w:rsidRPr="00A714A2">
        <w:rPr>
          <w:sz w:val="18"/>
          <w:szCs w:val="18"/>
        </w:rPr>
        <w:t xml:space="preserve">2022) </w:t>
      </w:r>
      <w:r w:rsidRPr="00A714A2">
        <w:rPr>
          <w:sz w:val="18"/>
          <w:szCs w:val="18"/>
        </w:rPr>
        <w:t>https://www.malaymail.com/news/malaysia/2022/11/08/cosmetics-tycoon-vida-pleads-not-guilty-to-uploading-offensive-video/38277</w:t>
      </w:r>
    </w:p>
  </w:footnote>
  <w:footnote w:id="44">
    <w:p w14:paraId="40621AE8" w14:textId="1A2DEA5C" w:rsidR="00C8128E" w:rsidRPr="00A714A2" w:rsidRDefault="00BB4ADC">
      <w:pPr>
        <w:spacing w:line="240" w:lineRule="auto"/>
        <w:rPr>
          <w:sz w:val="18"/>
          <w:szCs w:val="18"/>
        </w:rPr>
      </w:pPr>
      <w:r w:rsidRPr="00A714A2">
        <w:rPr>
          <w:sz w:val="18"/>
          <w:szCs w:val="18"/>
          <w:vertAlign w:val="superscript"/>
        </w:rPr>
        <w:footnoteRef/>
      </w:r>
      <w:r w:rsidRPr="00A714A2">
        <w:rPr>
          <w:sz w:val="18"/>
          <w:szCs w:val="18"/>
        </w:rPr>
        <w:t xml:space="preserve"> </w:t>
      </w:r>
      <w:proofErr w:type="spellStart"/>
      <w:r w:rsidRPr="00A714A2">
        <w:rPr>
          <w:sz w:val="18"/>
          <w:szCs w:val="18"/>
        </w:rPr>
        <w:t>Rocketman</w:t>
      </w:r>
      <w:proofErr w:type="spellEnd"/>
      <w:r w:rsidRPr="00A714A2">
        <w:rPr>
          <w:sz w:val="18"/>
          <w:szCs w:val="18"/>
        </w:rPr>
        <w:t xml:space="preserve"> was censored</w:t>
      </w:r>
      <w:r w:rsidR="00A714A2">
        <w:rPr>
          <w:sz w:val="18"/>
          <w:szCs w:val="18"/>
        </w:rPr>
        <w:t xml:space="preserve"> in 2019</w:t>
      </w:r>
      <w:r w:rsidRPr="00A714A2">
        <w:rPr>
          <w:sz w:val="18"/>
          <w:szCs w:val="18"/>
        </w:rPr>
        <w:t xml:space="preserve">, Disney’s Thor and Lightyear were banned in 2022 </w:t>
      </w:r>
    </w:p>
  </w:footnote>
  <w:footnote w:id="45">
    <w:p w14:paraId="6DA57FF3" w14:textId="6FE1E2BC" w:rsidR="00C8128E" w:rsidRPr="00A714A2" w:rsidRDefault="00BB4ADC">
      <w:pPr>
        <w:spacing w:line="240" w:lineRule="auto"/>
        <w:rPr>
          <w:sz w:val="18"/>
          <w:szCs w:val="18"/>
        </w:rPr>
      </w:pPr>
      <w:r w:rsidRPr="00A714A2">
        <w:rPr>
          <w:sz w:val="18"/>
          <w:szCs w:val="18"/>
          <w:vertAlign w:val="superscript"/>
        </w:rPr>
        <w:footnoteRef/>
      </w:r>
      <w:r w:rsidRPr="00A714A2">
        <w:rPr>
          <w:sz w:val="18"/>
          <w:szCs w:val="18"/>
        </w:rPr>
        <w:t xml:space="preserve"> Malaysia to ban more LGBT movies</w:t>
      </w:r>
      <w:r w:rsidR="00C83524" w:rsidRPr="00A714A2">
        <w:rPr>
          <w:sz w:val="18"/>
          <w:szCs w:val="18"/>
        </w:rPr>
        <w:t xml:space="preserve"> (2022)</w:t>
      </w:r>
      <w:r w:rsidR="00A714A2">
        <w:rPr>
          <w:sz w:val="18"/>
          <w:szCs w:val="18"/>
        </w:rPr>
        <w:t xml:space="preserve"> </w:t>
      </w:r>
      <w:r w:rsidRPr="00A714A2">
        <w:rPr>
          <w:sz w:val="18"/>
          <w:szCs w:val="18"/>
        </w:rPr>
        <w:t>https://www.thevibes.com/articles/culture/68326/malaysia-to-man-more-lgbt-movies</w:t>
      </w:r>
    </w:p>
  </w:footnote>
  <w:footnote w:id="46">
    <w:p w14:paraId="012A6E50" w14:textId="314BF9DA"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w:t>
      </w:r>
      <w:r w:rsidR="00704AF6" w:rsidRPr="001778D1">
        <w:rPr>
          <w:sz w:val="18"/>
          <w:szCs w:val="18"/>
        </w:rPr>
        <w:t xml:space="preserve">The Star. </w:t>
      </w:r>
      <w:r w:rsidRPr="001778D1">
        <w:rPr>
          <w:sz w:val="18"/>
          <w:szCs w:val="18"/>
        </w:rPr>
        <w:t>(2018). EC: Transgenders can vote too. https://www.thestar.com.my/news/nation/2018/03/31/ec-transgenders-can-vote-too-they-have-to-fill-in-and-sign-a-form-to-confirm-their-identity-before-c</w:t>
      </w:r>
    </w:p>
  </w:footnote>
  <w:footnote w:id="47">
    <w:p w14:paraId="53D6AF3B" w14:textId="77777777"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w:t>
      </w:r>
      <w:proofErr w:type="spellStart"/>
      <w:r w:rsidRPr="001778D1">
        <w:rPr>
          <w:sz w:val="18"/>
          <w:szCs w:val="18"/>
        </w:rPr>
        <w:t>Center</w:t>
      </w:r>
      <w:proofErr w:type="spellEnd"/>
      <w:r w:rsidRPr="001778D1">
        <w:rPr>
          <w:sz w:val="18"/>
          <w:szCs w:val="18"/>
        </w:rPr>
        <w:t xml:space="preserve"> for independent Journalism (CIJ) (2022) </w:t>
      </w:r>
      <w:hyperlink r:id="rId14">
        <w:r w:rsidRPr="001778D1">
          <w:rPr>
            <w:color w:val="1155CC"/>
            <w:sz w:val="18"/>
            <w:szCs w:val="18"/>
            <w:u w:val="single"/>
          </w:rPr>
          <w:t>https://cijmalaysia.net/</w:t>
        </w:r>
      </w:hyperlink>
    </w:p>
  </w:footnote>
  <w:footnote w:id="48">
    <w:p w14:paraId="6E0D3ECD" w14:textId="5A790768" w:rsidR="00C8128E" w:rsidRPr="001778D1" w:rsidRDefault="00BB4ADC">
      <w:pPr>
        <w:spacing w:line="240" w:lineRule="auto"/>
        <w:rPr>
          <w:sz w:val="18"/>
          <w:szCs w:val="18"/>
        </w:rPr>
      </w:pPr>
      <w:r w:rsidRPr="001778D1">
        <w:rPr>
          <w:sz w:val="18"/>
          <w:szCs w:val="18"/>
          <w:vertAlign w:val="superscript"/>
        </w:rPr>
        <w:footnoteRef/>
      </w:r>
      <w:r w:rsidR="00704AF6">
        <w:rPr>
          <w:sz w:val="18"/>
          <w:szCs w:val="18"/>
        </w:rPr>
        <w:t xml:space="preserve"> </w:t>
      </w:r>
      <w:hyperlink r:id="rId15" w:history="1">
        <w:r w:rsidR="00704AF6" w:rsidRPr="00094B5C">
          <w:rPr>
            <w:rStyle w:val="Hyperlink"/>
            <w:sz w:val="18"/>
            <w:szCs w:val="18"/>
          </w:rPr>
          <w:t>https://www.queerlapis.com/wp-content/uploads/2021/12/311221-Survey-findings_Impact-of-Covid-19-and-anti-LGBT-narratives-on-LGBT-persons-in-Malaysia.pdf</w:t>
        </w:r>
      </w:hyperlink>
      <w:r w:rsidRPr="001778D1">
        <w:rPr>
          <w:sz w:val="18"/>
          <w:szCs w:val="18"/>
        </w:rPr>
        <w:t xml:space="preserve">, page 23 – 25 </w:t>
      </w:r>
    </w:p>
  </w:footnote>
  <w:footnote w:id="49">
    <w:p w14:paraId="0D2F3803" w14:textId="192CB0C3"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w:t>
      </w:r>
      <w:r w:rsidRPr="001778D1">
        <w:rPr>
          <w:color w:val="333333"/>
          <w:sz w:val="18"/>
          <w:szCs w:val="18"/>
        </w:rPr>
        <w:t xml:space="preserve">Preliminary Analysis: </w:t>
      </w:r>
      <w:proofErr w:type="spellStart"/>
      <w:r w:rsidRPr="001778D1">
        <w:rPr>
          <w:color w:val="333333"/>
          <w:sz w:val="18"/>
          <w:szCs w:val="18"/>
        </w:rPr>
        <w:t>LGBTphobia</w:t>
      </w:r>
      <w:proofErr w:type="spellEnd"/>
      <w:r w:rsidRPr="001778D1">
        <w:rPr>
          <w:color w:val="333333"/>
          <w:sz w:val="18"/>
          <w:szCs w:val="18"/>
        </w:rPr>
        <w:t xml:space="preserve"> In Malaysia 15th General Elections (GE15) </w:t>
      </w:r>
      <w:r w:rsidR="008B56ED" w:rsidRPr="001778D1">
        <w:rPr>
          <w:sz w:val="18"/>
          <w:szCs w:val="18"/>
        </w:rPr>
        <w:t xml:space="preserve">(2022) </w:t>
      </w:r>
      <w:hyperlink r:id="rId16">
        <w:r w:rsidRPr="001778D1">
          <w:rPr>
            <w:color w:val="1155CC"/>
            <w:sz w:val="18"/>
            <w:szCs w:val="18"/>
            <w:u w:val="single"/>
          </w:rPr>
          <w:t>https://justiceforsisters.wordpress.com/2022/11/19/preliminary-analysis-lgbtphobia-in-malaysia-15th-general-elections-ge15/</w:t>
        </w:r>
      </w:hyperlink>
    </w:p>
  </w:footnote>
  <w:footnote w:id="50">
    <w:p w14:paraId="6784702D" w14:textId="7E68A12E"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w:t>
      </w:r>
      <w:r w:rsidRPr="001778D1">
        <w:rPr>
          <w:color w:val="333333"/>
          <w:sz w:val="18"/>
          <w:szCs w:val="18"/>
        </w:rPr>
        <w:t xml:space="preserve">Apply Standing Orders Towards Offensive Speech Against LGBT People </w:t>
      </w:r>
      <w:r w:rsidR="008B56ED" w:rsidRPr="001778D1">
        <w:rPr>
          <w:sz w:val="18"/>
          <w:szCs w:val="18"/>
        </w:rPr>
        <w:t xml:space="preserve">(2019) </w:t>
      </w:r>
      <w:hyperlink r:id="rId17">
        <w:r w:rsidRPr="001778D1">
          <w:rPr>
            <w:color w:val="1155CC"/>
            <w:sz w:val="18"/>
            <w:szCs w:val="18"/>
            <w:u w:val="single"/>
          </w:rPr>
          <w:t>https://justiceforsisters.wordpress.com/2019/03/19/apply-standing-orders-towards-offensive-speech-against-lgbt-people/</w:t>
        </w:r>
      </w:hyperlink>
    </w:p>
  </w:footnote>
  <w:footnote w:id="51">
    <w:p w14:paraId="5ED06B2D" w14:textId="0EFC5075"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Election Offences Act 1954 </w:t>
      </w:r>
      <w:hyperlink r:id="rId18">
        <w:r w:rsidRPr="001778D1">
          <w:rPr>
            <w:color w:val="1155CC"/>
            <w:sz w:val="18"/>
            <w:szCs w:val="18"/>
            <w:u w:val="single"/>
          </w:rPr>
          <w:t>https://www.parlimen.gov.my/images/webuser/jkuasa/memorandom/BERSIH%202.0/Election%20Offences%20Act%201954.pdf</w:t>
        </w:r>
      </w:hyperlink>
    </w:p>
  </w:footnote>
  <w:footnote w:id="52">
    <w:p w14:paraId="7CAC8EB6" w14:textId="48B17C9B"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w:t>
      </w:r>
      <w:r w:rsidRPr="001778D1">
        <w:rPr>
          <w:i/>
          <w:sz w:val="18"/>
          <w:szCs w:val="18"/>
        </w:rPr>
        <w:t xml:space="preserve">Monitoring Report: </w:t>
      </w:r>
      <w:r w:rsidRPr="001778D1">
        <w:rPr>
          <w:sz w:val="18"/>
          <w:szCs w:val="18"/>
        </w:rPr>
        <w:t xml:space="preserve">LGBTIQ+ Rights </w:t>
      </w:r>
      <w:r w:rsidR="008B56ED" w:rsidRPr="001778D1">
        <w:rPr>
          <w:sz w:val="18"/>
          <w:szCs w:val="18"/>
        </w:rPr>
        <w:t>i</w:t>
      </w:r>
      <w:r w:rsidRPr="001778D1">
        <w:rPr>
          <w:sz w:val="18"/>
          <w:szCs w:val="18"/>
        </w:rPr>
        <w:t>n Malaysia</w:t>
      </w:r>
      <w:r w:rsidR="008B56ED" w:rsidRPr="001778D1">
        <w:rPr>
          <w:sz w:val="18"/>
          <w:szCs w:val="18"/>
        </w:rPr>
        <w:t xml:space="preserve"> (2020</w:t>
      </w:r>
      <w:r w:rsidR="00704AF6">
        <w:rPr>
          <w:sz w:val="18"/>
          <w:szCs w:val="18"/>
        </w:rPr>
        <w:t>)</w:t>
      </w:r>
    </w:p>
  </w:footnote>
  <w:footnote w:id="53">
    <w:p w14:paraId="02EBD581" w14:textId="77777777" w:rsidR="00C8128E" w:rsidRPr="001778D1" w:rsidRDefault="00BB4ADC">
      <w:pPr>
        <w:spacing w:line="240" w:lineRule="auto"/>
        <w:rPr>
          <w:color w:val="333333"/>
          <w:sz w:val="18"/>
          <w:szCs w:val="18"/>
        </w:rPr>
      </w:pPr>
      <w:r w:rsidRPr="001778D1">
        <w:rPr>
          <w:sz w:val="18"/>
          <w:szCs w:val="18"/>
          <w:vertAlign w:val="superscript"/>
        </w:rPr>
        <w:footnoteRef/>
      </w:r>
      <w:r w:rsidRPr="001778D1">
        <w:rPr>
          <w:sz w:val="18"/>
          <w:szCs w:val="18"/>
        </w:rPr>
        <w:t xml:space="preserve"> </w:t>
      </w:r>
      <w:proofErr w:type="spellStart"/>
      <w:r w:rsidRPr="001778D1">
        <w:rPr>
          <w:color w:val="333333"/>
          <w:sz w:val="18"/>
          <w:szCs w:val="18"/>
        </w:rPr>
        <w:t>Pelantikan</w:t>
      </w:r>
      <w:proofErr w:type="spellEnd"/>
      <w:r w:rsidRPr="001778D1">
        <w:rPr>
          <w:color w:val="333333"/>
          <w:sz w:val="18"/>
          <w:szCs w:val="18"/>
        </w:rPr>
        <w:t xml:space="preserve"> ratu transgender </w:t>
      </w:r>
      <w:proofErr w:type="spellStart"/>
      <w:r w:rsidRPr="001778D1">
        <w:rPr>
          <w:color w:val="333333"/>
          <w:sz w:val="18"/>
          <w:szCs w:val="18"/>
        </w:rPr>
        <w:t>dalam</w:t>
      </w:r>
      <w:proofErr w:type="spellEnd"/>
      <w:r w:rsidRPr="001778D1">
        <w:rPr>
          <w:color w:val="333333"/>
          <w:sz w:val="18"/>
          <w:szCs w:val="18"/>
        </w:rPr>
        <w:t xml:space="preserve"> CCM </w:t>
      </w:r>
      <w:proofErr w:type="spellStart"/>
      <w:r w:rsidRPr="001778D1">
        <w:rPr>
          <w:color w:val="333333"/>
          <w:sz w:val="18"/>
          <w:szCs w:val="18"/>
        </w:rPr>
        <w:t>langgar</w:t>
      </w:r>
      <w:proofErr w:type="spellEnd"/>
      <w:r w:rsidRPr="001778D1">
        <w:rPr>
          <w:color w:val="333333"/>
          <w:sz w:val="18"/>
          <w:szCs w:val="18"/>
        </w:rPr>
        <w:t xml:space="preserve"> </w:t>
      </w:r>
      <w:proofErr w:type="spellStart"/>
      <w:r w:rsidRPr="001778D1">
        <w:rPr>
          <w:color w:val="333333"/>
          <w:sz w:val="18"/>
          <w:szCs w:val="18"/>
        </w:rPr>
        <w:t>undang-undang</w:t>
      </w:r>
      <w:proofErr w:type="spellEnd"/>
      <w:r w:rsidRPr="001778D1">
        <w:rPr>
          <w:color w:val="333333"/>
          <w:sz w:val="18"/>
          <w:szCs w:val="18"/>
        </w:rPr>
        <w:t xml:space="preserve"> negara (2019)</w:t>
      </w:r>
    </w:p>
    <w:p w14:paraId="2C6A733B" w14:textId="77777777" w:rsidR="00C8128E" w:rsidRPr="001778D1" w:rsidRDefault="00000000">
      <w:pPr>
        <w:spacing w:line="240" w:lineRule="auto"/>
        <w:rPr>
          <w:sz w:val="18"/>
          <w:szCs w:val="18"/>
        </w:rPr>
      </w:pPr>
      <w:hyperlink r:id="rId19">
        <w:r w:rsidR="00BB4ADC" w:rsidRPr="001778D1">
          <w:rPr>
            <w:color w:val="1155CC"/>
            <w:sz w:val="18"/>
            <w:szCs w:val="18"/>
            <w:u w:val="single"/>
          </w:rPr>
          <w:t>https://azmanamericana.blogspot.com/2019/07/pelantikan-ratu-transgender-dalam-ccm.html</w:t>
        </w:r>
      </w:hyperlink>
    </w:p>
  </w:footnote>
  <w:footnote w:id="54">
    <w:p w14:paraId="0AD36F36" w14:textId="77777777"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w:t>
      </w:r>
      <w:hyperlink r:id="rId20">
        <w:r w:rsidRPr="001778D1">
          <w:rPr>
            <w:color w:val="1155CC"/>
            <w:sz w:val="18"/>
            <w:szCs w:val="18"/>
            <w:u w:val="single"/>
          </w:rPr>
          <w:t>https://bn3.cari.com.my/forum.php?mod=viewthread&amp;tid=1166171</w:t>
        </w:r>
      </w:hyperlink>
    </w:p>
  </w:footnote>
  <w:footnote w:id="55">
    <w:p w14:paraId="6C5E2DC0" w14:textId="03D61C7F"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w:t>
      </w:r>
      <w:r w:rsidRPr="001778D1">
        <w:rPr>
          <w:color w:val="212529"/>
          <w:sz w:val="18"/>
          <w:szCs w:val="18"/>
        </w:rPr>
        <w:t xml:space="preserve">Dr Lee: Rania's appointment follows procedure, CCM has been around since 2009 </w:t>
      </w:r>
      <w:r w:rsidR="008B56ED" w:rsidRPr="001778D1">
        <w:rPr>
          <w:sz w:val="18"/>
          <w:szCs w:val="18"/>
        </w:rPr>
        <w:t xml:space="preserve">(2019) </w:t>
      </w:r>
      <w:hyperlink r:id="rId21">
        <w:r w:rsidRPr="001778D1">
          <w:rPr>
            <w:color w:val="1155CC"/>
            <w:sz w:val="18"/>
            <w:szCs w:val="18"/>
            <w:u w:val="single"/>
          </w:rPr>
          <w:t>https://www.nst.com.my/news/nation/2019/07/502966/dr-lee-ranias-appointment-follows-procedure-ccm-has-been-around-2009</w:t>
        </w:r>
      </w:hyperlink>
    </w:p>
  </w:footnote>
  <w:footnote w:id="56">
    <w:p w14:paraId="740E155C" w14:textId="611F1227" w:rsidR="00C8128E" w:rsidRPr="001778D1" w:rsidRDefault="00BB4ADC">
      <w:pPr>
        <w:spacing w:line="240" w:lineRule="auto"/>
        <w:rPr>
          <w:sz w:val="18"/>
          <w:szCs w:val="18"/>
        </w:rPr>
      </w:pPr>
      <w:r w:rsidRPr="001778D1">
        <w:rPr>
          <w:sz w:val="18"/>
          <w:szCs w:val="18"/>
          <w:vertAlign w:val="superscript"/>
        </w:rPr>
        <w:footnoteRef/>
      </w:r>
      <w:r w:rsidRPr="001778D1">
        <w:rPr>
          <w:sz w:val="18"/>
          <w:szCs w:val="18"/>
        </w:rPr>
        <w:t xml:space="preserve"> JAKIM lodges police report against Twitter account owner regarding </w:t>
      </w:r>
      <w:proofErr w:type="spellStart"/>
      <w:r w:rsidRPr="001778D1">
        <w:rPr>
          <w:sz w:val="18"/>
          <w:szCs w:val="18"/>
        </w:rPr>
        <w:t>Mukhayyam</w:t>
      </w:r>
      <w:proofErr w:type="spellEnd"/>
      <w:r w:rsidRPr="001778D1">
        <w:rPr>
          <w:sz w:val="18"/>
          <w:szCs w:val="18"/>
        </w:rPr>
        <w:t xml:space="preserve"> programme. </w:t>
      </w:r>
      <w:r w:rsidR="008B56ED" w:rsidRPr="001778D1">
        <w:rPr>
          <w:sz w:val="18"/>
          <w:szCs w:val="18"/>
        </w:rPr>
        <w:t xml:space="preserve">(2020) </w:t>
      </w:r>
      <w:hyperlink r:id="rId22">
        <w:r w:rsidRPr="001778D1">
          <w:rPr>
            <w:color w:val="1155CC"/>
            <w:sz w:val="18"/>
            <w:szCs w:val="18"/>
            <w:u w:val="single"/>
          </w:rPr>
          <w:t>https://www.thesundaily.my/local/jakim-lodges-police-report-against-twitter-account-owner-regarding-mukhayyam-programme-BK3286715</w:t>
        </w:r>
      </w:hyperlink>
    </w:p>
  </w:footnote>
  <w:footnote w:id="57">
    <w:p w14:paraId="5B5658F1" w14:textId="40820C6B" w:rsidR="00C8128E" w:rsidRPr="008B56ED" w:rsidRDefault="00BB4ADC">
      <w:pPr>
        <w:spacing w:line="240" w:lineRule="auto"/>
        <w:rPr>
          <w:sz w:val="18"/>
          <w:szCs w:val="18"/>
        </w:rPr>
      </w:pPr>
      <w:r w:rsidRPr="001778D1">
        <w:rPr>
          <w:sz w:val="18"/>
          <w:szCs w:val="18"/>
          <w:vertAlign w:val="superscript"/>
        </w:rPr>
        <w:footnoteRef/>
      </w:r>
      <w:r w:rsidRPr="001778D1">
        <w:rPr>
          <w:sz w:val="18"/>
          <w:szCs w:val="18"/>
        </w:rPr>
        <w:t xml:space="preserve"> 1) An </w:t>
      </w:r>
      <w:hyperlink r:id="rId23">
        <w:r w:rsidRPr="001778D1">
          <w:rPr>
            <w:color w:val="0000FF"/>
            <w:sz w:val="18"/>
            <w:szCs w:val="18"/>
            <w:u w:val="single"/>
          </w:rPr>
          <w:t>LGBT club</w:t>
        </w:r>
      </w:hyperlink>
      <w:r w:rsidRPr="001778D1">
        <w:rPr>
          <w:sz w:val="18"/>
          <w:szCs w:val="18"/>
        </w:rPr>
        <w:t xml:space="preserve"> was raided in 2018, 2) A </w:t>
      </w:r>
      <w:r w:rsidR="00704AF6">
        <w:rPr>
          <w:sz w:val="18"/>
          <w:szCs w:val="18"/>
        </w:rPr>
        <w:t xml:space="preserve">trans women attended </w:t>
      </w:r>
      <w:r w:rsidRPr="001778D1">
        <w:rPr>
          <w:sz w:val="18"/>
          <w:szCs w:val="18"/>
        </w:rPr>
        <w:t>birthday party attended in Kedah was disrupted in 2020, 3) REXKL raid in October 2022, 4) A venue was cautioned by the police of prospective raids should they continue to host LGBT events, 5) An LGBT venue faced surveillance and harassment by police.</w:t>
      </w:r>
      <w:r w:rsidRPr="008B56ED">
        <w:rPr>
          <w:sz w:val="18"/>
          <w:szCs w:val="18"/>
        </w:rPr>
        <w:t xml:space="preserve">  </w:t>
      </w:r>
    </w:p>
  </w:footnote>
  <w:footnote w:id="58">
    <w:p w14:paraId="1A9EEC65" w14:textId="58234CB8" w:rsidR="00C8128E" w:rsidRPr="00511E2E" w:rsidRDefault="00BB4ADC">
      <w:pPr>
        <w:spacing w:line="240" w:lineRule="auto"/>
        <w:rPr>
          <w:sz w:val="18"/>
          <w:szCs w:val="18"/>
        </w:rPr>
      </w:pPr>
      <w:r w:rsidRPr="00511E2E">
        <w:rPr>
          <w:sz w:val="18"/>
          <w:szCs w:val="18"/>
          <w:vertAlign w:val="superscript"/>
        </w:rPr>
        <w:footnoteRef/>
      </w:r>
      <w:r w:rsidRPr="00511E2E">
        <w:rPr>
          <w:sz w:val="18"/>
          <w:szCs w:val="18"/>
        </w:rPr>
        <w:t xml:space="preserve"> Surat </w:t>
      </w:r>
      <w:proofErr w:type="spellStart"/>
      <w:r w:rsidRPr="00511E2E">
        <w:rPr>
          <w:sz w:val="18"/>
          <w:szCs w:val="18"/>
        </w:rPr>
        <w:t>Pekeliling</w:t>
      </w:r>
      <w:proofErr w:type="spellEnd"/>
      <w:r w:rsidRPr="00511E2E">
        <w:rPr>
          <w:sz w:val="18"/>
          <w:szCs w:val="18"/>
        </w:rPr>
        <w:t xml:space="preserve"> </w:t>
      </w:r>
      <w:proofErr w:type="spellStart"/>
      <w:r w:rsidRPr="00511E2E">
        <w:rPr>
          <w:sz w:val="18"/>
          <w:szCs w:val="18"/>
        </w:rPr>
        <w:t>Ikhtisas</w:t>
      </w:r>
      <w:proofErr w:type="spellEnd"/>
      <w:r w:rsidRPr="00511E2E">
        <w:rPr>
          <w:sz w:val="18"/>
          <w:szCs w:val="18"/>
        </w:rPr>
        <w:t xml:space="preserve"> </w:t>
      </w:r>
      <w:proofErr w:type="spellStart"/>
      <w:r w:rsidRPr="00511E2E">
        <w:rPr>
          <w:sz w:val="18"/>
          <w:szCs w:val="18"/>
        </w:rPr>
        <w:t>bil</w:t>
      </w:r>
      <w:proofErr w:type="spellEnd"/>
      <w:r w:rsidRPr="00511E2E">
        <w:rPr>
          <w:sz w:val="18"/>
          <w:szCs w:val="18"/>
        </w:rPr>
        <w:t xml:space="preserve">. 7/2003: Kuasa Guru </w:t>
      </w:r>
      <w:proofErr w:type="spellStart"/>
      <w:r w:rsidRPr="00511E2E">
        <w:rPr>
          <w:sz w:val="18"/>
          <w:szCs w:val="18"/>
        </w:rPr>
        <w:t>Merotan</w:t>
      </w:r>
      <w:proofErr w:type="spellEnd"/>
      <w:r w:rsidRPr="00511E2E">
        <w:rPr>
          <w:sz w:val="18"/>
          <w:szCs w:val="18"/>
        </w:rPr>
        <w:t xml:space="preserve"> Murid. </w:t>
      </w:r>
      <w:hyperlink r:id="rId24">
        <w:r w:rsidRPr="00511E2E">
          <w:rPr>
            <w:sz w:val="18"/>
            <w:szCs w:val="18"/>
          </w:rPr>
          <w:t>https://www.moe.gov.my/pekeliling/1970-surat-pekeliling-ikhtisas-bilangan-7-tahun-2003-kuasa-guru-merotan-murid/file</w:t>
        </w:r>
      </w:hyperlink>
      <w:r w:rsidRPr="00511E2E">
        <w:rPr>
          <w:sz w:val="18"/>
          <w:szCs w:val="18"/>
        </w:rPr>
        <w:t xml:space="preserve"> </w:t>
      </w:r>
    </w:p>
  </w:footnote>
  <w:footnote w:id="59">
    <w:p w14:paraId="5DDFA62C" w14:textId="389C3B13" w:rsidR="00C8128E" w:rsidRPr="00511E2E" w:rsidRDefault="00BB4ADC">
      <w:pPr>
        <w:spacing w:line="240" w:lineRule="auto"/>
        <w:jc w:val="both"/>
        <w:rPr>
          <w:sz w:val="18"/>
          <w:szCs w:val="18"/>
        </w:rPr>
      </w:pPr>
      <w:r w:rsidRPr="00511E2E">
        <w:rPr>
          <w:sz w:val="18"/>
          <w:szCs w:val="18"/>
          <w:vertAlign w:val="superscript"/>
        </w:rPr>
        <w:footnoteRef/>
      </w:r>
      <w:r w:rsidRPr="00511E2E">
        <w:rPr>
          <w:sz w:val="18"/>
          <w:szCs w:val="18"/>
        </w:rPr>
        <w:t xml:space="preserve"> KSSM </w:t>
      </w:r>
      <w:proofErr w:type="spellStart"/>
      <w:r w:rsidRPr="00511E2E">
        <w:rPr>
          <w:sz w:val="18"/>
          <w:szCs w:val="18"/>
        </w:rPr>
        <w:t>Komponen</w:t>
      </w:r>
      <w:proofErr w:type="spellEnd"/>
      <w:r w:rsidRPr="00511E2E">
        <w:rPr>
          <w:sz w:val="18"/>
          <w:szCs w:val="18"/>
        </w:rPr>
        <w:t xml:space="preserve"> Pendidikan </w:t>
      </w:r>
      <w:proofErr w:type="spellStart"/>
      <w:r w:rsidRPr="00511E2E">
        <w:rPr>
          <w:sz w:val="18"/>
          <w:szCs w:val="18"/>
        </w:rPr>
        <w:t>Jasmani</w:t>
      </w:r>
      <w:proofErr w:type="spellEnd"/>
      <w:r w:rsidRPr="00511E2E">
        <w:rPr>
          <w:sz w:val="18"/>
          <w:szCs w:val="18"/>
        </w:rPr>
        <w:t xml:space="preserve"> </w:t>
      </w:r>
      <w:proofErr w:type="spellStart"/>
      <w:r w:rsidRPr="00511E2E">
        <w:rPr>
          <w:sz w:val="18"/>
          <w:szCs w:val="18"/>
        </w:rPr>
        <w:t>Tingkatan</w:t>
      </w:r>
      <w:proofErr w:type="spellEnd"/>
      <w:r w:rsidRPr="00511E2E">
        <w:rPr>
          <w:sz w:val="18"/>
          <w:szCs w:val="18"/>
        </w:rPr>
        <w:t xml:space="preserve"> 2. (2022). </w:t>
      </w:r>
      <w:hyperlink r:id="rId25">
        <w:r w:rsidRPr="00511E2E">
          <w:rPr>
            <w:color w:val="1155CC"/>
            <w:sz w:val="18"/>
            <w:szCs w:val="18"/>
            <w:u w:val="single"/>
          </w:rPr>
          <w:t>https://anyflip.com/pvoey/wgzk/basic/51-100</w:t>
        </w:r>
      </w:hyperlink>
      <w:r w:rsidRPr="00511E2E">
        <w:rPr>
          <w:sz w:val="18"/>
          <w:szCs w:val="18"/>
        </w:rPr>
        <w:t>, pp. 99.</w:t>
      </w:r>
    </w:p>
  </w:footnote>
  <w:footnote w:id="60">
    <w:p w14:paraId="67F6CAC3" w14:textId="1F68C3AF" w:rsidR="00C8128E" w:rsidRPr="00511E2E" w:rsidRDefault="00BB4ADC">
      <w:pPr>
        <w:spacing w:line="240" w:lineRule="auto"/>
        <w:rPr>
          <w:sz w:val="18"/>
          <w:szCs w:val="18"/>
        </w:rPr>
      </w:pPr>
      <w:r w:rsidRPr="00511E2E">
        <w:rPr>
          <w:sz w:val="18"/>
          <w:szCs w:val="18"/>
          <w:vertAlign w:val="superscript"/>
        </w:rPr>
        <w:footnoteRef/>
      </w:r>
      <w:r w:rsidRPr="00511E2E">
        <w:rPr>
          <w:sz w:val="18"/>
          <w:szCs w:val="18"/>
        </w:rPr>
        <w:t xml:space="preserve"> </w:t>
      </w:r>
      <w:r w:rsidRPr="00511E2E">
        <w:rPr>
          <w:color w:val="333E48"/>
          <w:sz w:val="18"/>
          <w:szCs w:val="18"/>
        </w:rPr>
        <w:t xml:space="preserve">Status Report on Child Rights in Malaysia 2019 </w:t>
      </w:r>
      <w:r w:rsidR="00704AF6">
        <w:rPr>
          <w:color w:val="333E48"/>
          <w:sz w:val="18"/>
          <w:szCs w:val="18"/>
        </w:rPr>
        <w:t>(</w:t>
      </w:r>
      <w:r w:rsidRPr="00511E2E">
        <w:rPr>
          <w:color w:val="333E48"/>
          <w:sz w:val="18"/>
          <w:szCs w:val="18"/>
        </w:rPr>
        <w:t>2020</w:t>
      </w:r>
      <w:r w:rsidR="00704AF6">
        <w:rPr>
          <w:color w:val="333E48"/>
          <w:sz w:val="18"/>
          <w:szCs w:val="18"/>
        </w:rPr>
        <w:t>)</w:t>
      </w:r>
      <w:r w:rsidRPr="00511E2E">
        <w:rPr>
          <w:color w:val="333E48"/>
          <w:sz w:val="18"/>
          <w:szCs w:val="18"/>
        </w:rPr>
        <w:t xml:space="preserve"> </w:t>
      </w:r>
      <w:hyperlink r:id="rId26">
        <w:r w:rsidRPr="00511E2E">
          <w:rPr>
            <w:color w:val="1155CC"/>
            <w:sz w:val="18"/>
            <w:szCs w:val="18"/>
            <w:u w:val="single"/>
          </w:rPr>
          <w:t>https://wao.org.my/wp-content/uploads/2020/11/CRCM-STATUS-REPORT-2019-FINAL.pdf</w:t>
        </w:r>
      </w:hyperlink>
      <w:r w:rsidRPr="00511E2E">
        <w:rPr>
          <w:sz w:val="18"/>
          <w:szCs w:val="18"/>
        </w:rPr>
        <w:t>.</w:t>
      </w:r>
    </w:p>
  </w:footnote>
  <w:footnote w:id="61">
    <w:p w14:paraId="01CD8072" w14:textId="1127D536" w:rsidR="00C8128E" w:rsidRDefault="00BB4ADC">
      <w:pPr>
        <w:spacing w:line="240" w:lineRule="auto"/>
        <w:rPr>
          <w:sz w:val="18"/>
          <w:szCs w:val="18"/>
        </w:rPr>
      </w:pPr>
      <w:r w:rsidRPr="00511E2E">
        <w:rPr>
          <w:sz w:val="18"/>
          <w:szCs w:val="18"/>
          <w:vertAlign w:val="superscript"/>
        </w:rPr>
        <w:footnoteRef/>
      </w:r>
      <w:r w:rsidRPr="00511E2E">
        <w:rPr>
          <w:sz w:val="18"/>
          <w:szCs w:val="18"/>
        </w:rPr>
        <w:t xml:space="preserve"> SUHAKAM. (2019). Study on discrimination against transgender persons based in Kuala Lumpur and Selangor. </w:t>
      </w:r>
    </w:p>
  </w:footnote>
  <w:footnote w:id="62">
    <w:p w14:paraId="34EF8580" w14:textId="4C169861" w:rsidR="00CD4C0F" w:rsidRPr="001356CE" w:rsidRDefault="00CD4C0F" w:rsidP="00CD4C0F">
      <w:pPr>
        <w:spacing w:line="240" w:lineRule="auto"/>
        <w:rPr>
          <w:sz w:val="18"/>
          <w:szCs w:val="18"/>
        </w:rPr>
      </w:pPr>
      <w:r w:rsidRPr="001356CE">
        <w:rPr>
          <w:sz w:val="18"/>
          <w:szCs w:val="18"/>
          <w:vertAlign w:val="superscript"/>
        </w:rPr>
        <w:footnoteRef/>
      </w:r>
      <w:r w:rsidRPr="001356CE">
        <w:rPr>
          <w:sz w:val="18"/>
          <w:szCs w:val="18"/>
        </w:rPr>
        <w:t xml:space="preserve"> </w:t>
      </w:r>
      <w:r w:rsidRPr="001356CE">
        <w:rPr>
          <w:i/>
          <w:sz w:val="18"/>
          <w:szCs w:val="18"/>
        </w:rPr>
        <w:t xml:space="preserve">Monitoring Report: </w:t>
      </w:r>
      <w:r w:rsidRPr="001356CE">
        <w:rPr>
          <w:sz w:val="18"/>
          <w:szCs w:val="18"/>
        </w:rPr>
        <w:t xml:space="preserve">LGBTIQ+ Rights </w:t>
      </w:r>
      <w:r w:rsidR="00704AF6" w:rsidRPr="001356CE">
        <w:rPr>
          <w:sz w:val="18"/>
          <w:szCs w:val="18"/>
        </w:rPr>
        <w:t>i</w:t>
      </w:r>
      <w:r w:rsidRPr="001356CE">
        <w:rPr>
          <w:sz w:val="18"/>
          <w:szCs w:val="18"/>
        </w:rPr>
        <w:t xml:space="preserve">n Malaysia </w:t>
      </w:r>
      <w:r w:rsidR="00704AF6" w:rsidRPr="001356CE">
        <w:rPr>
          <w:sz w:val="18"/>
          <w:szCs w:val="18"/>
        </w:rPr>
        <w:t>(2020)</w:t>
      </w:r>
    </w:p>
  </w:footnote>
  <w:footnote w:id="63">
    <w:p w14:paraId="63E16181" w14:textId="77777777" w:rsidR="00CD4C0F" w:rsidRPr="001356CE" w:rsidRDefault="00CD4C0F" w:rsidP="00CD4C0F">
      <w:pPr>
        <w:spacing w:line="240" w:lineRule="auto"/>
        <w:rPr>
          <w:sz w:val="18"/>
          <w:szCs w:val="18"/>
        </w:rPr>
      </w:pPr>
      <w:r w:rsidRPr="001356CE">
        <w:rPr>
          <w:sz w:val="18"/>
          <w:szCs w:val="18"/>
          <w:vertAlign w:val="superscript"/>
        </w:rPr>
        <w:footnoteRef/>
      </w:r>
      <w:r w:rsidRPr="001356CE">
        <w:rPr>
          <w:sz w:val="18"/>
          <w:szCs w:val="18"/>
        </w:rPr>
        <w:t xml:space="preserve"> Justice for Sisters, (2021, July)</w:t>
      </w:r>
    </w:p>
  </w:footnote>
  <w:footnote w:id="64">
    <w:p w14:paraId="7559419C" w14:textId="77777777" w:rsidR="00461734" w:rsidRPr="001356CE" w:rsidRDefault="00461734" w:rsidP="00461734">
      <w:pPr>
        <w:spacing w:line="240" w:lineRule="auto"/>
        <w:rPr>
          <w:sz w:val="18"/>
          <w:szCs w:val="18"/>
        </w:rPr>
      </w:pPr>
      <w:r w:rsidRPr="001356CE">
        <w:rPr>
          <w:sz w:val="18"/>
          <w:szCs w:val="18"/>
          <w:vertAlign w:val="superscript"/>
        </w:rPr>
        <w:footnoteRef/>
      </w:r>
      <w:r w:rsidRPr="001356CE">
        <w:rPr>
          <w:sz w:val="18"/>
          <w:szCs w:val="18"/>
        </w:rPr>
        <w:t xml:space="preserve"> Winter et al, (2018), Denied Work</w:t>
      </w:r>
    </w:p>
  </w:footnote>
  <w:footnote w:id="65">
    <w:p w14:paraId="14523F30" w14:textId="119C925A" w:rsidR="00BB4ADC" w:rsidRPr="001356CE" w:rsidRDefault="00BB4ADC" w:rsidP="00BB4ADC">
      <w:pPr>
        <w:spacing w:line="240" w:lineRule="auto"/>
        <w:rPr>
          <w:sz w:val="18"/>
          <w:szCs w:val="18"/>
        </w:rPr>
      </w:pPr>
      <w:r w:rsidRPr="001356CE">
        <w:rPr>
          <w:sz w:val="18"/>
          <w:szCs w:val="18"/>
          <w:vertAlign w:val="superscript"/>
        </w:rPr>
        <w:footnoteRef/>
      </w:r>
      <w:r w:rsidRPr="001356CE">
        <w:rPr>
          <w:sz w:val="18"/>
          <w:szCs w:val="18"/>
        </w:rPr>
        <w:t xml:space="preserve"> </w:t>
      </w:r>
      <w:r w:rsidR="00511E2E" w:rsidRPr="001356CE">
        <w:rPr>
          <w:i/>
          <w:sz w:val="18"/>
          <w:szCs w:val="18"/>
        </w:rPr>
        <w:t xml:space="preserve">Monitoring Report: </w:t>
      </w:r>
      <w:r w:rsidR="00511E2E" w:rsidRPr="001356CE">
        <w:rPr>
          <w:sz w:val="18"/>
          <w:szCs w:val="18"/>
        </w:rPr>
        <w:t xml:space="preserve">LGBTIQ+ Rights in Malaysia (2020)  </w:t>
      </w:r>
    </w:p>
  </w:footnote>
  <w:footnote w:id="66">
    <w:p w14:paraId="4B5B70CD" w14:textId="60811EA5" w:rsidR="00FD12D9" w:rsidRPr="001356CE" w:rsidRDefault="00FD12D9" w:rsidP="00FD12D9">
      <w:pPr>
        <w:spacing w:line="240" w:lineRule="auto"/>
        <w:rPr>
          <w:sz w:val="18"/>
          <w:szCs w:val="18"/>
        </w:rPr>
      </w:pPr>
      <w:r w:rsidRPr="001356CE">
        <w:rPr>
          <w:sz w:val="18"/>
          <w:szCs w:val="18"/>
          <w:vertAlign w:val="superscript"/>
        </w:rPr>
        <w:footnoteRef/>
      </w:r>
      <w:r w:rsidRPr="001356CE">
        <w:rPr>
          <w:sz w:val="18"/>
          <w:szCs w:val="18"/>
        </w:rPr>
        <w:t xml:space="preserve"> Freedom of Expression and Transgender Women in Malaysia</w:t>
      </w:r>
      <w:r w:rsidR="00704AF6" w:rsidRPr="001356CE">
        <w:rPr>
          <w:sz w:val="18"/>
          <w:szCs w:val="18"/>
        </w:rPr>
        <w:t xml:space="preserve"> (2021)</w:t>
      </w:r>
    </w:p>
  </w:footnote>
  <w:footnote w:id="67">
    <w:p w14:paraId="6DCE0BFD" w14:textId="77777777" w:rsidR="00511E2E" w:rsidRDefault="00511E2E" w:rsidP="00511E2E">
      <w:pPr>
        <w:spacing w:line="240" w:lineRule="auto"/>
        <w:rPr>
          <w:sz w:val="18"/>
          <w:szCs w:val="18"/>
        </w:rPr>
      </w:pPr>
      <w:r w:rsidRPr="001356CE">
        <w:rPr>
          <w:sz w:val="18"/>
          <w:szCs w:val="18"/>
          <w:vertAlign w:val="superscript"/>
        </w:rPr>
        <w:footnoteRef/>
      </w:r>
      <w:r w:rsidRPr="001356CE">
        <w:rPr>
          <w:sz w:val="18"/>
          <w:szCs w:val="18"/>
        </w:rPr>
        <w:t xml:space="preserve"> Ibid.</w:t>
      </w:r>
      <w:r>
        <w:rPr>
          <w:sz w:val="18"/>
          <w:szCs w:val="18"/>
        </w:rPr>
        <w:t xml:space="preserve"> </w:t>
      </w:r>
    </w:p>
  </w:footnote>
  <w:footnote w:id="68">
    <w:p w14:paraId="5743458F" w14:textId="77777777"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http://irep.iium.edu.my/55219/1/BOOK_GENDER IDENTITY DISORDER_LAYOUT_FA2pdf.pdf</w:t>
      </w:r>
    </w:p>
  </w:footnote>
  <w:footnote w:id="69">
    <w:p w14:paraId="4AD06D3E" w14:textId="7E5D24B5"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w:t>
      </w:r>
      <w:r w:rsidR="00704AF6" w:rsidRPr="005C5B6E">
        <w:rPr>
          <w:sz w:val="18"/>
          <w:szCs w:val="18"/>
        </w:rPr>
        <w:t>Paediatric Protocols for</w:t>
      </w:r>
      <w:r w:rsidRPr="005C5B6E">
        <w:rPr>
          <w:sz w:val="18"/>
          <w:szCs w:val="18"/>
        </w:rPr>
        <w:t xml:space="preserve"> Malaysian Hospitals 4th Edition (2019)</w:t>
      </w:r>
    </w:p>
    <w:p w14:paraId="38FBCBC0" w14:textId="28C1186A" w:rsidR="00C8128E" w:rsidRPr="005C5B6E" w:rsidRDefault="00000000">
      <w:pPr>
        <w:spacing w:line="240" w:lineRule="auto"/>
        <w:rPr>
          <w:sz w:val="18"/>
          <w:szCs w:val="18"/>
        </w:rPr>
      </w:pPr>
      <w:hyperlink r:id="rId27">
        <w:r w:rsidR="00BB4ADC" w:rsidRPr="005C5B6E">
          <w:rPr>
            <w:color w:val="0000FF"/>
            <w:sz w:val="18"/>
            <w:szCs w:val="18"/>
            <w:u w:val="single"/>
          </w:rPr>
          <w:t>https://mpaeds.my/wp-content/uploads/2019/09/Paediatric_Protocols_4th_Edition_(MPA%20Version)_2nd_Print_Aug_2019.pdf</w:t>
        </w:r>
      </w:hyperlink>
      <w:r w:rsidR="00BB4ADC" w:rsidRPr="005C5B6E">
        <w:rPr>
          <w:sz w:val="18"/>
          <w:szCs w:val="18"/>
        </w:rPr>
        <w:t>, page 322</w:t>
      </w:r>
      <w:r w:rsidR="00704AF6">
        <w:rPr>
          <w:sz w:val="18"/>
          <w:szCs w:val="18"/>
        </w:rPr>
        <w:t>-</w:t>
      </w:r>
      <w:r w:rsidR="00BB4ADC" w:rsidRPr="005C5B6E">
        <w:rPr>
          <w:sz w:val="18"/>
          <w:szCs w:val="18"/>
        </w:rPr>
        <w:t xml:space="preserve">323 </w:t>
      </w:r>
    </w:p>
  </w:footnote>
  <w:footnote w:id="70">
    <w:p w14:paraId="2EC451A1" w14:textId="77777777"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Yusof, D. (2022) </w:t>
      </w:r>
      <w:r w:rsidRPr="005C5B6E">
        <w:rPr>
          <w:color w:val="222222"/>
          <w:sz w:val="18"/>
          <w:szCs w:val="18"/>
        </w:rPr>
        <w:t xml:space="preserve">KOM to continue with “Gender Dysphoria 2.0” </w:t>
      </w:r>
      <w:hyperlink r:id="rId28">
        <w:r w:rsidRPr="005C5B6E">
          <w:rPr>
            <w:color w:val="1155CC"/>
            <w:sz w:val="18"/>
            <w:szCs w:val="18"/>
            <w:u w:val="single"/>
          </w:rPr>
          <w:t>https://news.iium.edu.my/?p=142015</w:t>
        </w:r>
      </w:hyperlink>
    </w:p>
  </w:footnote>
  <w:footnote w:id="71">
    <w:p w14:paraId="3C7C4EE7" w14:textId="493D4E45"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w:t>
      </w:r>
      <w:proofErr w:type="spellStart"/>
      <w:r w:rsidRPr="005C5B6E">
        <w:rPr>
          <w:sz w:val="18"/>
          <w:szCs w:val="18"/>
        </w:rPr>
        <w:t>Universiti</w:t>
      </w:r>
      <w:proofErr w:type="spellEnd"/>
      <w:r w:rsidRPr="005C5B6E">
        <w:rPr>
          <w:sz w:val="18"/>
          <w:szCs w:val="18"/>
        </w:rPr>
        <w:t xml:space="preserve"> Sains Malaysia et al. (2022)</w:t>
      </w:r>
    </w:p>
  </w:footnote>
  <w:footnote w:id="72">
    <w:p w14:paraId="07EBBD5A" w14:textId="4B8FE633" w:rsidR="00C8128E" w:rsidRDefault="00BB4ADC">
      <w:pPr>
        <w:spacing w:line="240" w:lineRule="auto"/>
        <w:rPr>
          <w:sz w:val="18"/>
          <w:szCs w:val="18"/>
        </w:rPr>
      </w:pPr>
      <w:r w:rsidRPr="005C5B6E">
        <w:rPr>
          <w:sz w:val="18"/>
          <w:szCs w:val="18"/>
          <w:vertAlign w:val="superscript"/>
        </w:rPr>
        <w:footnoteRef/>
      </w:r>
      <w:r w:rsidRPr="005C5B6E">
        <w:rPr>
          <w:sz w:val="18"/>
          <w:szCs w:val="18"/>
        </w:rPr>
        <w:t xml:space="preserve"> Vijay, A. et al., 2018, </w:t>
      </w:r>
      <w:r w:rsidRPr="005C5B6E">
        <w:rPr>
          <w:i/>
          <w:sz w:val="18"/>
          <w:szCs w:val="18"/>
        </w:rPr>
        <w:t>Factors Associated with Medical Doctors’ Intentions to Discriminate Against Transgender Patients in Kuala Lumpur, Malaysia</w:t>
      </w:r>
      <w:r w:rsidRPr="005C5B6E">
        <w:rPr>
          <w:sz w:val="18"/>
          <w:szCs w:val="18"/>
        </w:rPr>
        <w:t>. https://www.ncbi.nlm.nih.gov/pmc/articles/PMC5770086/</w:t>
      </w:r>
      <w:r>
        <w:rPr>
          <w:sz w:val="18"/>
          <w:szCs w:val="18"/>
        </w:rPr>
        <w:t xml:space="preserve"> </w:t>
      </w:r>
    </w:p>
  </w:footnote>
  <w:footnote w:id="73">
    <w:p w14:paraId="79CBD978" w14:textId="66D73B63"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w:t>
      </w:r>
      <w:r w:rsidRPr="005C5B6E">
        <w:rPr>
          <w:i/>
          <w:sz w:val="18"/>
          <w:szCs w:val="18"/>
        </w:rPr>
        <w:t xml:space="preserve">Monitoring Report: </w:t>
      </w:r>
      <w:r w:rsidRPr="005C5B6E">
        <w:rPr>
          <w:sz w:val="18"/>
          <w:szCs w:val="18"/>
        </w:rPr>
        <w:t xml:space="preserve">LGBTIQ+ Rights </w:t>
      </w:r>
      <w:r w:rsidR="00704AF6">
        <w:rPr>
          <w:sz w:val="18"/>
          <w:szCs w:val="18"/>
        </w:rPr>
        <w:t>i</w:t>
      </w:r>
      <w:r w:rsidRPr="005C5B6E">
        <w:rPr>
          <w:sz w:val="18"/>
          <w:szCs w:val="18"/>
        </w:rPr>
        <w:t xml:space="preserve">n Malaysia </w:t>
      </w:r>
      <w:r w:rsidR="00704AF6" w:rsidRPr="005C5B6E">
        <w:rPr>
          <w:sz w:val="18"/>
          <w:szCs w:val="18"/>
        </w:rPr>
        <w:t>(2020)</w:t>
      </w:r>
    </w:p>
  </w:footnote>
  <w:footnote w:id="74">
    <w:p w14:paraId="1C62BE24" w14:textId="6A0E3E32"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Justice for Sisters, (2021)</w:t>
      </w:r>
    </w:p>
  </w:footnote>
  <w:footnote w:id="75">
    <w:p w14:paraId="13253423" w14:textId="069A22CF"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Justice for Sisters, Diversity Malaysia, </w:t>
      </w:r>
      <w:r w:rsidR="008B56ED" w:rsidRPr="005C5B6E">
        <w:rPr>
          <w:sz w:val="18"/>
          <w:szCs w:val="18"/>
        </w:rPr>
        <w:t>et. al</w:t>
      </w:r>
      <w:r w:rsidRPr="005C5B6E">
        <w:rPr>
          <w:sz w:val="18"/>
          <w:szCs w:val="18"/>
        </w:rPr>
        <w:t>. (2021). Survey findings: Impact of Covid-19 &amp; anti-LGBT narratives on LGBTQ+ persons in Malaysia. https://www.queerlapis.com/wp-content/uploads/2021/12/311221-Survey-findings_Impact-of-Covid-19-and-anti-LGBT-narratives-on-LGBT-persons-in-Malaysia.pdf</w:t>
      </w:r>
    </w:p>
  </w:footnote>
  <w:footnote w:id="76">
    <w:p w14:paraId="154DDA04" w14:textId="2F27C8A1"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SUHAKAM. (2019). </w:t>
      </w:r>
    </w:p>
  </w:footnote>
  <w:footnote w:id="77">
    <w:p w14:paraId="66B180E0" w14:textId="1C37EB15"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w:t>
      </w:r>
      <w:r w:rsidR="00704AF6" w:rsidRPr="005C5B6E">
        <w:rPr>
          <w:sz w:val="18"/>
          <w:szCs w:val="18"/>
        </w:rPr>
        <w:t>Justice for Sisters, (2021)</w:t>
      </w:r>
    </w:p>
  </w:footnote>
  <w:footnote w:id="78">
    <w:p w14:paraId="42A9FEC5" w14:textId="157DBF2C" w:rsidR="00C8128E" w:rsidRPr="005C5B6E" w:rsidRDefault="00BB4ADC">
      <w:pPr>
        <w:spacing w:line="240" w:lineRule="auto"/>
        <w:rPr>
          <w:sz w:val="18"/>
          <w:szCs w:val="18"/>
        </w:rPr>
      </w:pPr>
      <w:r w:rsidRPr="005C5B6E">
        <w:rPr>
          <w:sz w:val="18"/>
          <w:szCs w:val="18"/>
          <w:vertAlign w:val="superscript"/>
        </w:rPr>
        <w:footnoteRef/>
      </w:r>
      <w:r w:rsidR="00704AF6">
        <w:rPr>
          <w:sz w:val="18"/>
          <w:szCs w:val="18"/>
        </w:rPr>
        <w:t xml:space="preserve"> </w:t>
      </w:r>
      <w:r w:rsidRPr="005C5B6E">
        <w:rPr>
          <w:i/>
          <w:sz w:val="18"/>
          <w:szCs w:val="18"/>
        </w:rPr>
        <w:t xml:space="preserve">Monitoring Report: </w:t>
      </w:r>
      <w:r w:rsidRPr="005C5B6E">
        <w:rPr>
          <w:sz w:val="18"/>
          <w:szCs w:val="18"/>
        </w:rPr>
        <w:t xml:space="preserve">LGBTIQ+ Rights </w:t>
      </w:r>
      <w:r w:rsidR="00704AF6" w:rsidRPr="005C5B6E">
        <w:rPr>
          <w:sz w:val="18"/>
          <w:szCs w:val="18"/>
        </w:rPr>
        <w:t>in</w:t>
      </w:r>
      <w:r w:rsidRPr="005C5B6E">
        <w:rPr>
          <w:sz w:val="18"/>
          <w:szCs w:val="18"/>
        </w:rPr>
        <w:t xml:space="preserve"> Malaysia </w:t>
      </w:r>
    </w:p>
  </w:footnote>
  <w:footnote w:id="79">
    <w:p w14:paraId="0E9FACE7" w14:textId="22EDD147" w:rsidR="00C8128E" w:rsidRPr="005C5B6E" w:rsidRDefault="00BB4ADC">
      <w:pPr>
        <w:spacing w:line="240" w:lineRule="auto"/>
        <w:rPr>
          <w:sz w:val="18"/>
          <w:szCs w:val="18"/>
        </w:rPr>
      </w:pPr>
      <w:r w:rsidRPr="005C5B6E">
        <w:rPr>
          <w:sz w:val="18"/>
          <w:szCs w:val="18"/>
          <w:vertAlign w:val="superscript"/>
        </w:rPr>
        <w:footnoteRef/>
      </w:r>
      <w:r w:rsidRPr="005C5B6E">
        <w:rPr>
          <w:sz w:val="18"/>
          <w:szCs w:val="18"/>
        </w:rPr>
        <w:t xml:space="preserve"> Justice for Sisters, Diversity Malaysia, </w:t>
      </w:r>
      <w:r w:rsidR="008B56ED" w:rsidRPr="005C5B6E">
        <w:rPr>
          <w:sz w:val="18"/>
          <w:szCs w:val="18"/>
        </w:rPr>
        <w:t>et al</w:t>
      </w:r>
      <w:r w:rsidRPr="005C5B6E">
        <w:rPr>
          <w:sz w:val="18"/>
          <w:szCs w:val="18"/>
        </w:rPr>
        <w:t xml:space="preserve">. (2021, Dec). </w:t>
      </w:r>
    </w:p>
  </w:footnote>
  <w:footnote w:id="80">
    <w:p w14:paraId="1EB8CB86" w14:textId="58C7F896" w:rsidR="00C8128E" w:rsidRDefault="00BB4ADC">
      <w:pPr>
        <w:spacing w:line="240" w:lineRule="auto"/>
        <w:rPr>
          <w:sz w:val="18"/>
          <w:szCs w:val="18"/>
        </w:rPr>
      </w:pPr>
      <w:r w:rsidRPr="005C5B6E">
        <w:rPr>
          <w:sz w:val="18"/>
          <w:szCs w:val="18"/>
          <w:vertAlign w:val="superscript"/>
        </w:rPr>
        <w:footnoteRef/>
      </w:r>
      <w:r w:rsidRPr="005C5B6E">
        <w:rPr>
          <w:sz w:val="18"/>
          <w:szCs w:val="18"/>
        </w:rPr>
        <w:t xml:space="preserve"> </w:t>
      </w:r>
      <w:r w:rsidR="00704AF6" w:rsidRPr="005C5B6E">
        <w:rPr>
          <w:i/>
          <w:sz w:val="18"/>
          <w:szCs w:val="18"/>
        </w:rPr>
        <w:t xml:space="preserve">Monitoring Report: </w:t>
      </w:r>
      <w:r w:rsidR="00704AF6" w:rsidRPr="005C5B6E">
        <w:rPr>
          <w:sz w:val="18"/>
          <w:szCs w:val="18"/>
        </w:rPr>
        <w:t xml:space="preserve">LGBTIQ+ Rights </w:t>
      </w:r>
      <w:r w:rsidR="00704AF6">
        <w:rPr>
          <w:sz w:val="18"/>
          <w:szCs w:val="18"/>
        </w:rPr>
        <w:t>i</w:t>
      </w:r>
      <w:r w:rsidR="00704AF6" w:rsidRPr="005C5B6E">
        <w:rPr>
          <w:sz w:val="18"/>
          <w:szCs w:val="18"/>
        </w:rPr>
        <w:t>n Malaysia</w:t>
      </w:r>
    </w:p>
  </w:footnote>
  <w:footnote w:id="81">
    <w:p w14:paraId="32649099" w14:textId="77777777"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ibid.</w:t>
      </w:r>
    </w:p>
  </w:footnote>
  <w:footnote w:id="82">
    <w:p w14:paraId="570C0AE8" w14:textId="77777777"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w:t>
      </w:r>
      <w:r w:rsidRPr="00671FCF">
        <w:rPr>
          <w:sz w:val="18"/>
          <w:szCs w:val="18"/>
          <w:highlight w:val="white"/>
        </w:rPr>
        <w:t xml:space="preserve">Have you ever had unnatural sex?” Activist slams JAWI for asking ridiculous questions during </w:t>
      </w:r>
      <w:proofErr w:type="spellStart"/>
      <w:r w:rsidRPr="00671FCF">
        <w:rPr>
          <w:sz w:val="18"/>
          <w:szCs w:val="18"/>
          <w:highlight w:val="white"/>
        </w:rPr>
        <w:t>RexKL</w:t>
      </w:r>
      <w:proofErr w:type="spellEnd"/>
      <w:r w:rsidRPr="00671FCF">
        <w:rPr>
          <w:sz w:val="18"/>
          <w:szCs w:val="18"/>
          <w:highlight w:val="white"/>
        </w:rPr>
        <w:t xml:space="preserve"> raid (2022) </w:t>
      </w:r>
      <w:hyperlink r:id="rId29">
        <w:r w:rsidRPr="00671FCF">
          <w:rPr>
            <w:color w:val="1155CC"/>
            <w:sz w:val="18"/>
            <w:szCs w:val="18"/>
            <w:highlight w:val="white"/>
            <w:u w:val="single"/>
          </w:rPr>
          <w:t>https://www.malaysiatrend.com/2022/11/03/have-you-ever-had-unnatural-sex-activist-slams-jawi-for-asking-ridiculous-questions-during-rexkl-raid/</w:t>
        </w:r>
      </w:hyperlink>
    </w:p>
  </w:footnote>
  <w:footnote w:id="83">
    <w:p w14:paraId="040B5182" w14:textId="77777777"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Human Rights Watch (2014)"I’m Scared to Be a Woman" Human Rights Abuses Against Transgender People in Malaysia </w:t>
      </w:r>
      <w:hyperlink r:id="rId30">
        <w:r w:rsidRPr="00671FCF">
          <w:rPr>
            <w:color w:val="1155CC"/>
            <w:sz w:val="18"/>
            <w:szCs w:val="18"/>
            <w:u w:val="single"/>
          </w:rPr>
          <w:t>https://www.hrw.org/report/2014/09/24/im-scared-be-woman/human-rights-abuses-against-transgender-people-malaysia</w:t>
        </w:r>
      </w:hyperlink>
    </w:p>
  </w:footnote>
  <w:footnote w:id="84">
    <w:p w14:paraId="414298EE" w14:textId="77777777" w:rsidR="00C8128E" w:rsidRPr="00671FCF" w:rsidRDefault="00BB4ADC">
      <w:pPr>
        <w:spacing w:line="240" w:lineRule="auto"/>
        <w:rPr>
          <w:sz w:val="18"/>
          <w:szCs w:val="18"/>
          <w:highlight w:val="yellow"/>
        </w:rPr>
      </w:pPr>
      <w:r w:rsidRPr="00671FCF">
        <w:rPr>
          <w:sz w:val="18"/>
          <w:szCs w:val="18"/>
          <w:vertAlign w:val="superscript"/>
        </w:rPr>
        <w:footnoteRef/>
      </w:r>
      <w:r w:rsidRPr="00671FCF">
        <w:rPr>
          <w:sz w:val="18"/>
          <w:szCs w:val="18"/>
        </w:rPr>
        <w:t xml:space="preserve"> </w:t>
      </w:r>
      <w:proofErr w:type="spellStart"/>
      <w:r w:rsidRPr="00671FCF">
        <w:rPr>
          <w:sz w:val="18"/>
          <w:szCs w:val="18"/>
        </w:rPr>
        <w:t>Zurairi</w:t>
      </w:r>
      <w:proofErr w:type="spellEnd"/>
      <w:r w:rsidRPr="00671FCF">
        <w:rPr>
          <w:sz w:val="18"/>
          <w:szCs w:val="18"/>
        </w:rPr>
        <w:t xml:space="preserve"> A. R (2014) </w:t>
      </w:r>
      <w:r w:rsidRPr="00671FCF">
        <w:rPr>
          <w:color w:val="1A1A1A"/>
          <w:sz w:val="18"/>
          <w:szCs w:val="18"/>
        </w:rPr>
        <w:t xml:space="preserve">With shaved heads, Negri Sembilan transgender women opt for jail </w:t>
      </w:r>
      <w:hyperlink r:id="rId31">
        <w:r w:rsidRPr="00671FCF">
          <w:rPr>
            <w:color w:val="1155CC"/>
            <w:sz w:val="18"/>
            <w:szCs w:val="18"/>
            <w:u w:val="single"/>
          </w:rPr>
          <w:t>https://www.malaymail.com/news/malaysia/2014/06/11/with-shaved-heads-negri-sembilan-transgender-women-opt-for-jail/685521</w:t>
        </w:r>
      </w:hyperlink>
    </w:p>
  </w:footnote>
  <w:footnote w:id="85">
    <w:p w14:paraId="32F1BED9" w14:textId="6709989B"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The judge</w:t>
      </w:r>
      <w:r w:rsidR="000456C2">
        <w:rPr>
          <w:sz w:val="18"/>
          <w:szCs w:val="18"/>
        </w:rPr>
        <w:t xml:space="preserve"> allowed</w:t>
      </w:r>
      <w:r w:rsidRPr="00671FCF">
        <w:rPr>
          <w:sz w:val="18"/>
          <w:szCs w:val="18"/>
        </w:rPr>
        <w:t xml:space="preserve"> only family members </w:t>
      </w:r>
      <w:r w:rsidR="000456C2">
        <w:rPr>
          <w:sz w:val="18"/>
          <w:szCs w:val="18"/>
        </w:rPr>
        <w:t>to be</w:t>
      </w:r>
      <w:r w:rsidRPr="00671FCF">
        <w:rPr>
          <w:sz w:val="18"/>
          <w:szCs w:val="18"/>
        </w:rPr>
        <w:t xml:space="preserve"> bailors in the 2014 prosecution of trans women. The same happened in a sex worker case in Terengganu </w:t>
      </w:r>
    </w:p>
  </w:footnote>
  <w:footnote w:id="86">
    <w:p w14:paraId="7F33633E" w14:textId="53C9EDF1"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In Nur </w:t>
      </w:r>
      <w:proofErr w:type="spellStart"/>
      <w:r w:rsidRPr="00671FCF">
        <w:rPr>
          <w:sz w:val="18"/>
          <w:szCs w:val="18"/>
        </w:rPr>
        <w:t>Sajat’s</w:t>
      </w:r>
      <w:proofErr w:type="spellEnd"/>
      <w:r w:rsidRPr="00671FCF">
        <w:rPr>
          <w:sz w:val="18"/>
          <w:szCs w:val="18"/>
        </w:rPr>
        <w:t xml:space="preserve"> insulting </w:t>
      </w:r>
      <w:r w:rsidR="000456C2" w:rsidRPr="00671FCF">
        <w:rPr>
          <w:sz w:val="18"/>
          <w:szCs w:val="18"/>
        </w:rPr>
        <w:t>Islam</w:t>
      </w:r>
      <w:r w:rsidRPr="00671FCF">
        <w:rPr>
          <w:sz w:val="18"/>
          <w:szCs w:val="18"/>
        </w:rPr>
        <w:t xml:space="preserve"> case for wearing women’s attire, only a government employee of a certain grade could be her bailor. The same was imposed in the Section 28 case. Both cases took place in Selangor </w:t>
      </w:r>
    </w:p>
  </w:footnote>
  <w:footnote w:id="87">
    <w:p w14:paraId="71734E9C" w14:textId="41132860"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w:t>
      </w:r>
      <w:proofErr w:type="spellStart"/>
      <w:r w:rsidRPr="00671FCF">
        <w:rPr>
          <w:sz w:val="18"/>
          <w:szCs w:val="18"/>
        </w:rPr>
        <w:t>Lagi</w:t>
      </w:r>
      <w:proofErr w:type="spellEnd"/>
      <w:r w:rsidRPr="00671FCF">
        <w:rPr>
          <w:sz w:val="18"/>
          <w:szCs w:val="18"/>
        </w:rPr>
        <w:t xml:space="preserve"> </w:t>
      </w:r>
      <w:proofErr w:type="spellStart"/>
      <w:r w:rsidRPr="00671FCF">
        <w:rPr>
          <w:sz w:val="18"/>
          <w:szCs w:val="18"/>
        </w:rPr>
        <w:t>Hukuman</w:t>
      </w:r>
      <w:proofErr w:type="spellEnd"/>
      <w:r w:rsidRPr="00671FCF">
        <w:rPr>
          <w:sz w:val="18"/>
          <w:szCs w:val="18"/>
        </w:rPr>
        <w:t xml:space="preserve"> Sebat </w:t>
      </w:r>
      <w:proofErr w:type="spellStart"/>
      <w:r w:rsidRPr="00671FCF">
        <w:rPr>
          <w:sz w:val="18"/>
          <w:szCs w:val="18"/>
        </w:rPr>
        <w:t>Jenayah</w:t>
      </w:r>
      <w:proofErr w:type="spellEnd"/>
      <w:r w:rsidRPr="00671FCF">
        <w:rPr>
          <w:sz w:val="18"/>
          <w:szCs w:val="18"/>
        </w:rPr>
        <w:t xml:space="preserve"> Syariah Terengganu. </w:t>
      </w:r>
      <w:r w:rsidR="008B56ED" w:rsidRPr="00671FCF">
        <w:rPr>
          <w:sz w:val="18"/>
          <w:szCs w:val="18"/>
        </w:rPr>
        <w:t xml:space="preserve">(2018). </w:t>
      </w:r>
      <w:r w:rsidRPr="00671FCF">
        <w:rPr>
          <w:sz w:val="18"/>
          <w:szCs w:val="18"/>
        </w:rPr>
        <w:t>https://www.trdi.my/lagi-hukuman-sebat-jenayah-syariah-terengganu</w:t>
      </w:r>
    </w:p>
  </w:footnote>
  <w:footnote w:id="88">
    <w:p w14:paraId="6F9BB812" w14:textId="39871127"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w:t>
      </w:r>
      <w:r w:rsidRPr="00671FCF">
        <w:rPr>
          <w:color w:val="333333"/>
          <w:sz w:val="18"/>
          <w:szCs w:val="18"/>
        </w:rPr>
        <w:t xml:space="preserve">Kes lesbian: </w:t>
      </w:r>
      <w:proofErr w:type="spellStart"/>
      <w:r w:rsidRPr="00671FCF">
        <w:rPr>
          <w:color w:val="333333"/>
          <w:sz w:val="18"/>
          <w:szCs w:val="18"/>
        </w:rPr>
        <w:t>Jangan</w:t>
      </w:r>
      <w:proofErr w:type="spellEnd"/>
      <w:r w:rsidRPr="00671FCF">
        <w:rPr>
          <w:color w:val="333333"/>
          <w:sz w:val="18"/>
          <w:szCs w:val="18"/>
        </w:rPr>
        <w:t xml:space="preserve"> </w:t>
      </w:r>
      <w:proofErr w:type="spellStart"/>
      <w:r w:rsidRPr="00671FCF">
        <w:rPr>
          <w:color w:val="333333"/>
          <w:sz w:val="18"/>
          <w:szCs w:val="18"/>
        </w:rPr>
        <w:t>hina</w:t>
      </w:r>
      <w:proofErr w:type="spellEnd"/>
      <w:r w:rsidRPr="00671FCF">
        <w:rPr>
          <w:color w:val="333333"/>
          <w:sz w:val="18"/>
          <w:szCs w:val="18"/>
        </w:rPr>
        <w:t xml:space="preserve">, </w:t>
      </w:r>
      <w:proofErr w:type="spellStart"/>
      <w:r w:rsidRPr="00671FCF">
        <w:rPr>
          <w:color w:val="333333"/>
          <w:sz w:val="18"/>
          <w:szCs w:val="18"/>
        </w:rPr>
        <w:t>aibkan</w:t>
      </w:r>
      <w:proofErr w:type="spellEnd"/>
      <w:r w:rsidRPr="00671FCF">
        <w:rPr>
          <w:color w:val="333333"/>
          <w:sz w:val="18"/>
          <w:szCs w:val="18"/>
        </w:rPr>
        <w:t xml:space="preserve"> </w:t>
      </w:r>
      <w:proofErr w:type="spellStart"/>
      <w:r w:rsidRPr="00671FCF">
        <w:rPr>
          <w:color w:val="333333"/>
          <w:sz w:val="18"/>
          <w:szCs w:val="18"/>
        </w:rPr>
        <w:t>pesalah</w:t>
      </w:r>
      <w:proofErr w:type="spellEnd"/>
      <w:r w:rsidRPr="00671FCF">
        <w:rPr>
          <w:color w:val="333333"/>
          <w:sz w:val="18"/>
          <w:szCs w:val="18"/>
        </w:rPr>
        <w:t xml:space="preserve"> - Hakim </w:t>
      </w:r>
      <w:proofErr w:type="spellStart"/>
      <w:r w:rsidRPr="00671FCF">
        <w:rPr>
          <w:color w:val="333333"/>
          <w:sz w:val="18"/>
          <w:szCs w:val="18"/>
        </w:rPr>
        <w:t>Syarie</w:t>
      </w:r>
      <w:proofErr w:type="spellEnd"/>
      <w:r w:rsidR="008B56ED" w:rsidRPr="00671FCF">
        <w:rPr>
          <w:color w:val="333333"/>
          <w:sz w:val="18"/>
          <w:szCs w:val="18"/>
        </w:rPr>
        <w:t xml:space="preserve"> </w:t>
      </w:r>
      <w:r w:rsidR="008B56ED" w:rsidRPr="00671FCF">
        <w:rPr>
          <w:sz w:val="18"/>
          <w:szCs w:val="18"/>
        </w:rPr>
        <w:t xml:space="preserve">(2018). </w:t>
      </w:r>
      <w:r w:rsidRPr="00671FCF">
        <w:rPr>
          <w:color w:val="333333"/>
          <w:sz w:val="18"/>
          <w:szCs w:val="18"/>
        </w:rPr>
        <w:t xml:space="preserve"> </w:t>
      </w:r>
      <w:hyperlink r:id="rId32">
        <w:r w:rsidRPr="00671FCF">
          <w:rPr>
            <w:color w:val="1155CC"/>
            <w:sz w:val="18"/>
            <w:szCs w:val="18"/>
            <w:u w:val="single"/>
          </w:rPr>
          <w:t>https://www.astroawani.com/berita-malaysia/kes-lesbian-jangan-hina-aibkan-pesalah-hakim-syarie-184618</w:t>
        </w:r>
      </w:hyperlink>
    </w:p>
  </w:footnote>
  <w:footnote w:id="89">
    <w:p w14:paraId="43F17F0D" w14:textId="77777777" w:rsidR="00C8128E" w:rsidRPr="00671FCF" w:rsidRDefault="00BB4ADC">
      <w:pPr>
        <w:spacing w:line="240" w:lineRule="auto"/>
        <w:rPr>
          <w:sz w:val="18"/>
          <w:szCs w:val="18"/>
        </w:rPr>
      </w:pPr>
      <w:r w:rsidRPr="00671FCF">
        <w:rPr>
          <w:sz w:val="18"/>
          <w:szCs w:val="18"/>
          <w:vertAlign w:val="superscript"/>
        </w:rPr>
        <w:footnoteRef/>
      </w:r>
      <w:r w:rsidRPr="00671FCF">
        <w:rPr>
          <w:sz w:val="18"/>
          <w:szCs w:val="18"/>
        </w:rPr>
        <w:t xml:space="preserve"> Queer Lapis (2019) </w:t>
      </w:r>
      <w:r w:rsidRPr="00671FCF">
        <w:rPr>
          <w:color w:val="0A0101"/>
          <w:sz w:val="18"/>
          <w:szCs w:val="18"/>
        </w:rPr>
        <w:t xml:space="preserve">Conviction for Attempts of Sex Acts Points to Increasing Hostility Towards LGBTQ Persons In Malaysia </w:t>
      </w:r>
      <w:hyperlink r:id="rId33">
        <w:r w:rsidRPr="00671FCF">
          <w:rPr>
            <w:color w:val="1155CC"/>
            <w:sz w:val="18"/>
            <w:szCs w:val="18"/>
            <w:u w:val="single"/>
          </w:rPr>
          <w:t>https://www.queerlapis.com/conviction-for-attempts-of-sex-acts-points-to-increasing-hostility-towards-lgbtq-persons-in-malaysia/</w:t>
        </w:r>
      </w:hyperlink>
    </w:p>
  </w:footnote>
  <w:footnote w:id="90">
    <w:p w14:paraId="22A400F2" w14:textId="77777777" w:rsidR="00C8128E" w:rsidRPr="00671FCF" w:rsidRDefault="00BB4ADC">
      <w:pPr>
        <w:spacing w:line="240" w:lineRule="auto"/>
        <w:rPr>
          <w:color w:val="0A0101"/>
          <w:sz w:val="18"/>
          <w:szCs w:val="18"/>
        </w:rPr>
      </w:pPr>
      <w:r w:rsidRPr="00671FCF">
        <w:rPr>
          <w:sz w:val="18"/>
          <w:szCs w:val="18"/>
          <w:vertAlign w:val="superscript"/>
        </w:rPr>
        <w:footnoteRef/>
      </w:r>
      <w:r w:rsidRPr="00671FCF">
        <w:rPr>
          <w:sz w:val="18"/>
          <w:szCs w:val="18"/>
        </w:rPr>
        <w:t xml:space="preserve"> Queer Lapis (2019) </w:t>
      </w:r>
      <w:r w:rsidRPr="00671FCF">
        <w:rPr>
          <w:color w:val="0A0101"/>
          <w:sz w:val="18"/>
          <w:szCs w:val="18"/>
        </w:rPr>
        <w:t>11 men charged for attempting sex: what you need to know</w:t>
      </w:r>
    </w:p>
    <w:p w14:paraId="08C51AFC" w14:textId="77777777" w:rsidR="00C8128E" w:rsidRPr="00671FCF" w:rsidRDefault="00000000">
      <w:pPr>
        <w:spacing w:line="240" w:lineRule="auto"/>
        <w:rPr>
          <w:sz w:val="18"/>
          <w:szCs w:val="18"/>
        </w:rPr>
      </w:pPr>
      <w:hyperlink r:id="rId34">
        <w:r w:rsidR="00BB4ADC" w:rsidRPr="00671FCF">
          <w:rPr>
            <w:color w:val="1155CC"/>
            <w:sz w:val="18"/>
            <w:szCs w:val="18"/>
            <w:u w:val="single"/>
          </w:rPr>
          <w:t>https://www.queerlapis.com/11-men-case-intro/</w:t>
        </w:r>
      </w:hyperlink>
    </w:p>
  </w:footnote>
  <w:footnote w:id="91">
    <w:p w14:paraId="0CA8EB93" w14:textId="77777777" w:rsidR="00C8128E" w:rsidRPr="00671FCF" w:rsidRDefault="00BB4ADC">
      <w:pPr>
        <w:spacing w:line="240" w:lineRule="auto"/>
        <w:rPr>
          <w:color w:val="333333"/>
          <w:sz w:val="18"/>
          <w:szCs w:val="18"/>
        </w:rPr>
      </w:pPr>
      <w:r w:rsidRPr="00671FCF">
        <w:rPr>
          <w:sz w:val="18"/>
          <w:szCs w:val="18"/>
          <w:vertAlign w:val="superscript"/>
        </w:rPr>
        <w:footnoteRef/>
      </w:r>
      <w:r w:rsidRPr="00671FCF">
        <w:rPr>
          <w:sz w:val="18"/>
          <w:szCs w:val="18"/>
        </w:rPr>
        <w:t xml:space="preserve"> </w:t>
      </w:r>
      <w:r w:rsidRPr="00671FCF">
        <w:rPr>
          <w:color w:val="333333"/>
          <w:sz w:val="18"/>
          <w:szCs w:val="18"/>
        </w:rPr>
        <w:t>Single mother sentenced to 6 months in prison and 6 strokes of the rotan for doing sex work</w:t>
      </w:r>
    </w:p>
    <w:p w14:paraId="47621874" w14:textId="77777777" w:rsidR="00C8128E" w:rsidRPr="00671FCF" w:rsidRDefault="00BB4ADC">
      <w:pPr>
        <w:spacing w:line="240" w:lineRule="auto"/>
        <w:rPr>
          <w:sz w:val="18"/>
          <w:szCs w:val="18"/>
        </w:rPr>
      </w:pPr>
      <w:r w:rsidRPr="00671FCF">
        <w:rPr>
          <w:color w:val="333333"/>
          <w:sz w:val="18"/>
          <w:szCs w:val="18"/>
        </w:rPr>
        <w:t xml:space="preserve">(2018) </w:t>
      </w:r>
      <w:hyperlink r:id="rId35">
        <w:r w:rsidRPr="00671FCF">
          <w:rPr>
            <w:color w:val="1155CC"/>
            <w:sz w:val="18"/>
            <w:szCs w:val="18"/>
            <w:u w:val="single"/>
          </w:rPr>
          <w:t>https://www.nswp.org/news/single-mother-sentenced-6-months-prison-and-6-strokes-the-rotan-doing-sex-work</w:t>
        </w:r>
      </w:hyperlink>
    </w:p>
  </w:footnote>
  <w:footnote w:id="92">
    <w:p w14:paraId="195100DF" w14:textId="77777777" w:rsidR="00C8128E" w:rsidRPr="00671FCF" w:rsidRDefault="00BB4ADC">
      <w:pPr>
        <w:spacing w:line="240" w:lineRule="auto"/>
        <w:rPr>
          <w:color w:val="0A0101"/>
          <w:sz w:val="18"/>
          <w:szCs w:val="18"/>
        </w:rPr>
      </w:pPr>
      <w:r w:rsidRPr="00671FCF">
        <w:rPr>
          <w:sz w:val="18"/>
          <w:szCs w:val="18"/>
          <w:vertAlign w:val="superscript"/>
        </w:rPr>
        <w:footnoteRef/>
      </w:r>
      <w:r w:rsidRPr="00671FCF">
        <w:rPr>
          <w:sz w:val="18"/>
          <w:szCs w:val="18"/>
        </w:rPr>
        <w:t xml:space="preserve">  Queer Lapis (2019) </w:t>
      </w:r>
      <w:r w:rsidRPr="00671FCF">
        <w:rPr>
          <w:color w:val="0A0101"/>
          <w:sz w:val="18"/>
          <w:szCs w:val="18"/>
        </w:rPr>
        <w:t>11 men charged for attempting sex: what you need to know</w:t>
      </w:r>
    </w:p>
    <w:p w14:paraId="539B1F9C" w14:textId="0DA9D100" w:rsidR="00C8128E" w:rsidRPr="00671FCF" w:rsidRDefault="00C8128E">
      <w:pPr>
        <w:spacing w:line="240" w:lineRule="auto"/>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375D7"/>
    <w:multiLevelType w:val="multilevel"/>
    <w:tmpl w:val="FBFECB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3632C0"/>
    <w:multiLevelType w:val="multilevel"/>
    <w:tmpl w:val="560ED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D66221"/>
    <w:multiLevelType w:val="multilevel"/>
    <w:tmpl w:val="BA5C1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4D404B"/>
    <w:multiLevelType w:val="multilevel"/>
    <w:tmpl w:val="9CDAF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BE2325"/>
    <w:multiLevelType w:val="multilevel"/>
    <w:tmpl w:val="D7D0C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4E184F"/>
    <w:multiLevelType w:val="multilevel"/>
    <w:tmpl w:val="6EDEA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DB90868"/>
    <w:multiLevelType w:val="multilevel"/>
    <w:tmpl w:val="5364AC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751BCB"/>
    <w:multiLevelType w:val="multilevel"/>
    <w:tmpl w:val="F176DA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9C04084"/>
    <w:multiLevelType w:val="multilevel"/>
    <w:tmpl w:val="A0740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7480460">
    <w:abstractNumId w:val="7"/>
  </w:num>
  <w:num w:numId="2" w16cid:durableId="1183864156">
    <w:abstractNumId w:val="8"/>
  </w:num>
  <w:num w:numId="3" w16cid:durableId="786579159">
    <w:abstractNumId w:val="1"/>
  </w:num>
  <w:num w:numId="4" w16cid:durableId="1210259538">
    <w:abstractNumId w:val="4"/>
  </w:num>
  <w:num w:numId="5" w16cid:durableId="1365786876">
    <w:abstractNumId w:val="5"/>
  </w:num>
  <w:num w:numId="6" w16cid:durableId="758873577">
    <w:abstractNumId w:val="2"/>
  </w:num>
  <w:num w:numId="7" w16cid:durableId="927227281">
    <w:abstractNumId w:val="6"/>
  </w:num>
  <w:num w:numId="8" w16cid:durableId="1914117556">
    <w:abstractNumId w:val="3"/>
  </w:num>
  <w:num w:numId="9" w16cid:durableId="420226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28E"/>
    <w:rsid w:val="0003530F"/>
    <w:rsid w:val="000456C2"/>
    <w:rsid w:val="00085E62"/>
    <w:rsid w:val="001163F1"/>
    <w:rsid w:val="001356CE"/>
    <w:rsid w:val="001778D1"/>
    <w:rsid w:val="001C5F93"/>
    <w:rsid w:val="001D1AA3"/>
    <w:rsid w:val="00270725"/>
    <w:rsid w:val="00307C3B"/>
    <w:rsid w:val="00352435"/>
    <w:rsid w:val="003D6B7E"/>
    <w:rsid w:val="00400D79"/>
    <w:rsid w:val="004157CA"/>
    <w:rsid w:val="00417BA3"/>
    <w:rsid w:val="00461734"/>
    <w:rsid w:val="004B0062"/>
    <w:rsid w:val="004B09CB"/>
    <w:rsid w:val="0050391B"/>
    <w:rsid w:val="00511E2E"/>
    <w:rsid w:val="005C5B6E"/>
    <w:rsid w:val="005C5CE7"/>
    <w:rsid w:val="00623B66"/>
    <w:rsid w:val="00671FCF"/>
    <w:rsid w:val="00704AF6"/>
    <w:rsid w:val="0071763F"/>
    <w:rsid w:val="00821CFA"/>
    <w:rsid w:val="008925C2"/>
    <w:rsid w:val="008B56ED"/>
    <w:rsid w:val="008E6BFF"/>
    <w:rsid w:val="009404DA"/>
    <w:rsid w:val="00996D25"/>
    <w:rsid w:val="009D20F5"/>
    <w:rsid w:val="009F55BD"/>
    <w:rsid w:val="00A27169"/>
    <w:rsid w:val="00A714A2"/>
    <w:rsid w:val="00A95F29"/>
    <w:rsid w:val="00AD18C0"/>
    <w:rsid w:val="00B24691"/>
    <w:rsid w:val="00B2481A"/>
    <w:rsid w:val="00B46AEE"/>
    <w:rsid w:val="00B86115"/>
    <w:rsid w:val="00BB4ADC"/>
    <w:rsid w:val="00BC692A"/>
    <w:rsid w:val="00C70BD1"/>
    <w:rsid w:val="00C8128E"/>
    <w:rsid w:val="00C83524"/>
    <w:rsid w:val="00CD4C0F"/>
    <w:rsid w:val="00D45FB3"/>
    <w:rsid w:val="00D902E6"/>
    <w:rsid w:val="00EE7154"/>
    <w:rsid w:val="00F66810"/>
    <w:rsid w:val="00F86725"/>
    <w:rsid w:val="00FD12D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56862F15"/>
  <w15:docId w15:val="{1C9185FB-12C2-DB42-8C62-7BD5D447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17BA3"/>
    <w:pPr>
      <w:ind w:left="720"/>
      <w:contextualSpacing/>
    </w:pPr>
  </w:style>
  <w:style w:type="paragraph" w:styleId="FootnoteText">
    <w:name w:val="footnote text"/>
    <w:basedOn w:val="Normal"/>
    <w:link w:val="FootnoteTextChar"/>
    <w:uiPriority w:val="99"/>
    <w:semiHidden/>
    <w:unhideWhenUsed/>
    <w:rsid w:val="00B2481A"/>
    <w:pPr>
      <w:spacing w:line="240" w:lineRule="auto"/>
    </w:pPr>
    <w:rPr>
      <w:sz w:val="20"/>
      <w:szCs w:val="20"/>
    </w:rPr>
  </w:style>
  <w:style w:type="character" w:customStyle="1" w:styleId="FootnoteTextChar">
    <w:name w:val="Footnote Text Char"/>
    <w:basedOn w:val="DefaultParagraphFont"/>
    <w:link w:val="FootnoteText"/>
    <w:uiPriority w:val="99"/>
    <w:semiHidden/>
    <w:rsid w:val="00B2481A"/>
    <w:rPr>
      <w:sz w:val="20"/>
      <w:szCs w:val="20"/>
    </w:rPr>
  </w:style>
  <w:style w:type="character" w:styleId="FootnoteReference">
    <w:name w:val="footnote reference"/>
    <w:basedOn w:val="DefaultParagraphFont"/>
    <w:uiPriority w:val="99"/>
    <w:semiHidden/>
    <w:unhideWhenUsed/>
    <w:rsid w:val="00B2481A"/>
    <w:rPr>
      <w:vertAlign w:val="superscript"/>
    </w:rPr>
  </w:style>
  <w:style w:type="character" w:styleId="Hyperlink">
    <w:name w:val="Hyperlink"/>
    <w:basedOn w:val="DefaultParagraphFont"/>
    <w:uiPriority w:val="99"/>
    <w:unhideWhenUsed/>
    <w:rsid w:val="00704AF6"/>
    <w:rPr>
      <w:color w:val="0000FF" w:themeColor="hyperlink"/>
      <w:u w:val="single"/>
    </w:rPr>
  </w:style>
  <w:style w:type="character" w:styleId="UnresolvedMention">
    <w:name w:val="Unresolved Mention"/>
    <w:basedOn w:val="DefaultParagraphFont"/>
    <w:uiPriority w:val="99"/>
    <w:semiHidden/>
    <w:unhideWhenUsed/>
    <w:rsid w:val="00704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mailto:justiceforsisters@proton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malaymail.com/news/malaysia/2022/02/22/court-quashes-home-ministrys-ban-on-gay-is-ok-book/2043145" TargetMode="External"/><Relationship Id="rId18" Type="http://schemas.openxmlformats.org/officeDocument/2006/relationships/hyperlink" Target="https://www.parlimen.gov.my/images/webuser/jkuasa/memorandom/BERSIH%202.0/Election%20Offences%20Act%201954.pdf" TargetMode="External"/><Relationship Id="rId26" Type="http://schemas.openxmlformats.org/officeDocument/2006/relationships/hyperlink" Target="https://wao.org.my/wp-content/uploads/2020/11/CRCM-STATUS-REPORT-2019-FINAL.pdf" TargetMode="External"/><Relationship Id="rId3" Type="http://schemas.openxmlformats.org/officeDocument/2006/relationships/hyperlink" Target="https://www.ilo.org/dyn/natlex/docs/ELECTRONIC/61339/117909/F1085941047/MYS61339%202015.pdf" TargetMode="External"/><Relationship Id="rId21" Type="http://schemas.openxmlformats.org/officeDocument/2006/relationships/hyperlink" Target="https://www.nst.com.my/news/nation/2019/07/502966/dr-lee-ranias-appointment-follows-procedure-ccm-has-been-around-2009" TargetMode="External"/><Relationship Id="rId34" Type="http://schemas.openxmlformats.org/officeDocument/2006/relationships/hyperlink" Target="https://www.queerlapis.com/11-men-case-intro/" TargetMode="External"/><Relationship Id="rId7" Type="http://schemas.openxmlformats.org/officeDocument/2006/relationships/hyperlink" Target="http://lpf.moha.gov.my/lpf/images/Perundangan/GARIS_PANDUAN_PENAPISAN_FILEM(1).pdf" TargetMode="External"/><Relationship Id="rId12" Type="http://schemas.openxmlformats.org/officeDocument/2006/relationships/hyperlink" Target="https://says.com/my/news/gay-is-okay-book-no-longer-banned-in-malaysia-after-judicial-review" TargetMode="External"/><Relationship Id="rId17" Type="http://schemas.openxmlformats.org/officeDocument/2006/relationships/hyperlink" Target="https://justiceforsisters.wordpress.com/2019/03/19/apply-standing-orders-towards-offensive-speech-against-lgbt-people/" TargetMode="External"/><Relationship Id="rId25" Type="http://schemas.openxmlformats.org/officeDocument/2006/relationships/hyperlink" Target="https://anyflip.com/pvoey/wgzk/basic/51-100" TargetMode="External"/><Relationship Id="rId33" Type="http://schemas.openxmlformats.org/officeDocument/2006/relationships/hyperlink" Target="https://www.queerlapis.com/conviction-for-attempts-of-sex-acts-points-to-increasing-hostility-towards-lgbtq-persons-in-malaysia/" TargetMode="External"/><Relationship Id="rId2" Type="http://schemas.openxmlformats.org/officeDocument/2006/relationships/hyperlink" Target="https://arrow.org.my/wp-content/uploads/2021/01/LGBTIQ-Rights-in-Malaysia-.pdf" TargetMode="External"/><Relationship Id="rId16" Type="http://schemas.openxmlformats.org/officeDocument/2006/relationships/hyperlink" Target="https://justiceforsisters.wordpress.com/2022/11/19/preliminary-analysis-lgbtphobia-in-malaysia-15th-general-elections-ge15/" TargetMode="External"/><Relationship Id="rId20" Type="http://schemas.openxmlformats.org/officeDocument/2006/relationships/hyperlink" Target="https://bn3.cari.com.my/forum.php?mod=viewthread&amp;tid=1166171" TargetMode="External"/><Relationship Id="rId29" Type="http://schemas.openxmlformats.org/officeDocument/2006/relationships/hyperlink" Target="https://www.malaysiatrend.com/2022/11/03/have-you-ever-had-unnatural-sex-activist-slams-jawi-for-asking-ridiculous-questions-during-rexkl-raid/" TargetMode="External"/><Relationship Id="rId1" Type="http://schemas.openxmlformats.org/officeDocument/2006/relationships/hyperlink" Target="https://www.islam.gov.my/ms/" TargetMode="External"/><Relationship Id="rId6" Type="http://schemas.openxmlformats.org/officeDocument/2006/relationships/hyperlink" Target="https://muftiperlis.gov.my/index.php/himpunan-fatwa-negeri/575-hukum-berinteraksi-dengan-mukhannath-pondan-mak-nyah-bapuk-pengkid-tomboi-taransgender" TargetMode="External"/><Relationship Id="rId11" Type="http://schemas.openxmlformats.org/officeDocument/2006/relationships/hyperlink" Target="https://pardocs.sinarproject.org/documents/2020-november-december-parliamentary-session/written-replies-soalan-bertulis/20201207-p14m3p2-soalan-bukanlisan-148.pdf" TargetMode="External"/><Relationship Id="rId24" Type="http://schemas.openxmlformats.org/officeDocument/2006/relationships/hyperlink" Target="https://www.moe.gov.my/pekeliling/1970-surat-pekeliling-ikhtisas-bilangan-7-tahun-2003-kuasa-guru-merotan-murid/file" TargetMode="External"/><Relationship Id="rId32" Type="http://schemas.openxmlformats.org/officeDocument/2006/relationships/hyperlink" Target="https://www.astroawani.com/berita-malaysia/kes-lesbian-jangan-hina-aibkan-pesalah-hakim-syarie-184618" TargetMode="External"/><Relationship Id="rId5" Type="http://schemas.openxmlformats.org/officeDocument/2006/relationships/hyperlink" Target="https://www.theedgemarkets.com/article/no-prosecution-%E2%80%94-ag" TargetMode="External"/><Relationship Id="rId15" Type="http://schemas.openxmlformats.org/officeDocument/2006/relationships/hyperlink" Target="https://www.queerlapis.com/wp-content/uploads/2021/12/311221-Survey-findings_Impact-of-Covid-19-and-anti-LGBT-narratives-on-LGBT-persons-in-Malaysia.pdf" TargetMode="External"/><Relationship Id="rId23" Type="http://schemas.openxmlformats.org/officeDocument/2006/relationships/hyperlink" Target="https://www.malaymail.com/news/malaysia/2018/09/06/after-blue-boy-ft-ministry-says-public-complaints-welcome-for-more-gay-club/1670012" TargetMode="External"/><Relationship Id="rId28" Type="http://schemas.openxmlformats.org/officeDocument/2006/relationships/hyperlink" Target="https://news.iium.edu.my/?p=142015" TargetMode="External"/><Relationship Id="rId10" Type="http://schemas.openxmlformats.org/officeDocument/2006/relationships/hyperlink" Target="https://www.malaymail.com/news/malaysia/2017/01/05/nrd-wins-appeal-bid-to-stop-transgender-from-changing-ic-details/1286225" TargetMode="External"/><Relationship Id="rId19" Type="http://schemas.openxmlformats.org/officeDocument/2006/relationships/hyperlink" Target="https://azmanamericana.blogspot.com/2019/07/pelantikan-ratu-transgender-dalam-ccm.html" TargetMode="External"/><Relationship Id="rId31" Type="http://schemas.openxmlformats.org/officeDocument/2006/relationships/hyperlink" Target="https://www.malaymail.com/news/malaysia/2014/06/11/with-shaved-heads-negri-sembilan-transgender-women-opt-for-jail/685521" TargetMode="External"/><Relationship Id="rId4" Type="http://schemas.openxmlformats.org/officeDocument/2006/relationships/hyperlink" Target="https://www.astroawani.com/berita-malaysia/lgbt-bertentangan-dengan-budaya-malaysia-undangundang-negara-idris-350982" TargetMode="External"/><Relationship Id="rId9" Type="http://schemas.openxmlformats.org/officeDocument/2006/relationships/hyperlink" Target="https://www.amnesty.org/en/latest/press-release/2019/11/malaysia-caning-of-four-men-is-a-terrible-warning-to-lgbti-people-while-more-await-trial" TargetMode="External"/><Relationship Id="rId14" Type="http://schemas.openxmlformats.org/officeDocument/2006/relationships/hyperlink" Target="https://cijmalaysia.net/" TargetMode="External"/><Relationship Id="rId22" Type="http://schemas.openxmlformats.org/officeDocument/2006/relationships/hyperlink" Target="https://www.thesundaily.my/local/jakim-lodges-police-report-against-twitter-account-owner-regarding-mukhayyam-programme-BK3286715" TargetMode="External"/><Relationship Id="rId27" Type="http://schemas.openxmlformats.org/officeDocument/2006/relationships/hyperlink" Target="https://mpaeds.my/wp-content/uploads/2019/09/Paediatric_Protocols_4th_Edition_(MPA%20Version)_2nd_Print_Aug_2019.pdf" TargetMode="External"/><Relationship Id="rId30" Type="http://schemas.openxmlformats.org/officeDocument/2006/relationships/hyperlink" Target="https://www.hrw.org/report/2014/09/24/im-scared-be-woman/human-rights-abuses-against-transgender-people-malaysia" TargetMode="External"/><Relationship Id="rId35" Type="http://schemas.openxmlformats.org/officeDocument/2006/relationships/hyperlink" Target="https://www.nswp.org/news/single-mother-sentenced-6-months-prison-and-6-strokes-the-rotan-doing-sex-work" TargetMode="External"/><Relationship Id="rId8" Type="http://schemas.openxmlformats.org/officeDocument/2006/relationships/hyperlink" Target="https://www.malaymail.com/news/malaysia/2018/09/03/terengganu-duo-publicly-caned-six-times-over-lesbian-sex-attempt/16687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5200</Words>
  <Characters>29853</Characters>
  <Application>Microsoft Office Word</Application>
  <DocSecurity>0</DocSecurity>
  <Lines>648</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2023-02-07T22:41:00Z</cp:lastPrinted>
  <dcterms:created xsi:type="dcterms:W3CDTF">2023-02-07T22:41:00Z</dcterms:created>
  <dcterms:modified xsi:type="dcterms:W3CDTF">2023-02-07T22:47:00Z</dcterms:modified>
</cp:coreProperties>
</file>