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D654C" w14:textId="5AC3CEFF" w:rsidR="00C902B4" w:rsidRPr="00E163C6" w:rsidRDefault="00C902B4" w:rsidP="00670D34">
      <w:pPr>
        <w:pStyle w:val="ListParagraph"/>
        <w:jc w:val="center"/>
        <w:rPr>
          <w:b/>
          <w:bCs/>
          <w:u w:val="single"/>
        </w:rPr>
      </w:pPr>
      <w:r w:rsidRPr="00E163C6">
        <w:rPr>
          <w:b/>
          <w:bCs/>
          <w:u w:val="single"/>
        </w:rPr>
        <w:t xml:space="preserve">Joint </w:t>
      </w:r>
      <w:r w:rsidR="00A65924" w:rsidRPr="00E163C6">
        <w:rPr>
          <w:b/>
          <w:bCs/>
          <w:u w:val="single"/>
        </w:rPr>
        <w:t xml:space="preserve">Stakeholder </w:t>
      </w:r>
      <w:r w:rsidR="00C46B6D" w:rsidRPr="00E163C6">
        <w:rPr>
          <w:b/>
          <w:bCs/>
          <w:u w:val="single"/>
        </w:rPr>
        <w:t>Submission</w:t>
      </w:r>
      <w:r w:rsidR="00A65924" w:rsidRPr="00E163C6">
        <w:rPr>
          <w:b/>
          <w:bCs/>
          <w:u w:val="single"/>
        </w:rPr>
        <w:t xml:space="preserve"> to the UN Committee </w:t>
      </w:r>
      <w:r w:rsidR="00673D05" w:rsidRPr="00E163C6">
        <w:rPr>
          <w:b/>
          <w:bCs/>
          <w:u w:val="single"/>
        </w:rPr>
        <w:t>on the Rights of Persons with Disabilities</w:t>
      </w:r>
    </w:p>
    <w:p w14:paraId="16D4293D" w14:textId="77777777" w:rsidR="008B21C5" w:rsidRPr="00E163C6" w:rsidRDefault="008B21C5" w:rsidP="00670D34">
      <w:pPr>
        <w:pStyle w:val="ListParagraph"/>
        <w:jc w:val="center"/>
        <w:rPr>
          <w:b/>
          <w:bCs/>
          <w:u w:val="single"/>
        </w:rPr>
      </w:pPr>
    </w:p>
    <w:p w14:paraId="1CE74F75" w14:textId="78C18A20" w:rsidR="008B21C5" w:rsidRPr="00E163C6" w:rsidRDefault="00C46B6D" w:rsidP="00670D34">
      <w:pPr>
        <w:pStyle w:val="ListParagraph"/>
        <w:jc w:val="center"/>
        <w:rPr>
          <w:b/>
          <w:bCs/>
        </w:rPr>
      </w:pPr>
      <w:r w:rsidRPr="00E163C6">
        <w:rPr>
          <w:b/>
          <w:bCs/>
        </w:rPr>
        <w:t xml:space="preserve">Written </w:t>
      </w:r>
      <w:r w:rsidR="00673D05" w:rsidRPr="00E163C6">
        <w:rPr>
          <w:b/>
          <w:bCs/>
        </w:rPr>
        <w:t>Submission</w:t>
      </w:r>
      <w:r w:rsidRPr="00E163C6">
        <w:rPr>
          <w:b/>
          <w:bCs/>
        </w:rPr>
        <w:t xml:space="preserve"> </w:t>
      </w:r>
      <w:r w:rsidR="00673D05" w:rsidRPr="00E163C6">
        <w:rPr>
          <w:b/>
          <w:bCs/>
        </w:rPr>
        <w:t>Related to the Consideration of the Periodic Report of Malawi</w:t>
      </w:r>
    </w:p>
    <w:p w14:paraId="60941177" w14:textId="2B6EEA28" w:rsidR="00FD5498" w:rsidRPr="00E163C6" w:rsidRDefault="00FD5498" w:rsidP="00670D34">
      <w:pPr>
        <w:pStyle w:val="ListParagraph"/>
        <w:jc w:val="center"/>
        <w:rPr>
          <w:b/>
          <w:bCs/>
        </w:rPr>
      </w:pPr>
    </w:p>
    <w:p w14:paraId="5919D7E5" w14:textId="0B452FBF" w:rsidR="00FD5498" w:rsidRPr="00E163C6" w:rsidRDefault="00FD5498" w:rsidP="00670D34">
      <w:pPr>
        <w:pStyle w:val="ListParagraph"/>
        <w:jc w:val="center"/>
        <w:rPr>
          <w:b/>
          <w:bCs/>
        </w:rPr>
      </w:pPr>
      <w:r w:rsidRPr="00E163C6">
        <w:rPr>
          <w:b/>
          <w:bCs/>
        </w:rPr>
        <w:t>(</w:t>
      </w:r>
      <w:r w:rsidR="00673D05" w:rsidRPr="00E163C6">
        <w:rPr>
          <w:b/>
          <w:bCs/>
        </w:rPr>
        <w:t>29th</w:t>
      </w:r>
      <w:r w:rsidR="00262784" w:rsidRPr="00E163C6">
        <w:rPr>
          <w:b/>
          <w:bCs/>
        </w:rPr>
        <w:t xml:space="preserve"> session </w:t>
      </w:r>
      <w:r w:rsidR="00945507" w:rsidRPr="00E163C6">
        <w:rPr>
          <w:b/>
          <w:bCs/>
        </w:rPr>
        <w:t xml:space="preserve">– </w:t>
      </w:r>
      <w:r w:rsidR="00673D05" w:rsidRPr="00E163C6">
        <w:rPr>
          <w:b/>
          <w:bCs/>
        </w:rPr>
        <w:t>14 August - 08 September 2023</w:t>
      </w:r>
      <w:r w:rsidR="00262784" w:rsidRPr="00E163C6">
        <w:rPr>
          <w:b/>
          <w:bCs/>
        </w:rPr>
        <w:t>)</w:t>
      </w:r>
    </w:p>
    <w:p w14:paraId="58FF468B" w14:textId="54423B21" w:rsidR="008B21C5" w:rsidRPr="00E163C6" w:rsidRDefault="008B21C5" w:rsidP="00670D34">
      <w:pPr>
        <w:pStyle w:val="ListParagraph"/>
        <w:jc w:val="center"/>
        <w:rPr>
          <w:b/>
          <w:bCs/>
          <w:u w:val="single"/>
        </w:rPr>
      </w:pPr>
    </w:p>
    <w:p w14:paraId="0BE34BC4" w14:textId="651FA494" w:rsidR="008B21C5" w:rsidRPr="00E163C6" w:rsidRDefault="008B21C5" w:rsidP="00670D34">
      <w:pPr>
        <w:pStyle w:val="ListParagraph"/>
        <w:jc w:val="center"/>
      </w:pPr>
      <w:r w:rsidRPr="00E163C6">
        <w:t>Submitted by:</w:t>
      </w:r>
    </w:p>
    <w:p w14:paraId="51803459" w14:textId="3EDC75FB" w:rsidR="00FD5498" w:rsidRPr="00E163C6" w:rsidRDefault="00FD5498" w:rsidP="00670D34">
      <w:pPr>
        <w:pStyle w:val="ListParagraph"/>
        <w:numPr>
          <w:ilvl w:val="0"/>
          <w:numId w:val="8"/>
        </w:numPr>
        <w:jc w:val="center"/>
      </w:pPr>
      <w:r w:rsidRPr="00E163C6">
        <w:t>Centre for Human Rights Education, Advice and Assistance (CHREAA)</w:t>
      </w:r>
    </w:p>
    <w:p w14:paraId="4E9B7BC2" w14:textId="77777777" w:rsidR="0051374D" w:rsidRPr="00E163C6" w:rsidRDefault="0051374D" w:rsidP="00670D34">
      <w:pPr>
        <w:pStyle w:val="ListParagraph"/>
        <w:numPr>
          <w:ilvl w:val="0"/>
          <w:numId w:val="8"/>
        </w:numPr>
        <w:jc w:val="center"/>
      </w:pPr>
      <w:r w:rsidRPr="00E163C6">
        <w:t>Irish Rule of Law International (IRLI)</w:t>
      </w:r>
    </w:p>
    <w:p w14:paraId="33FBD6DA" w14:textId="77777777" w:rsidR="002B360F" w:rsidRPr="00E163C6" w:rsidRDefault="002B360F" w:rsidP="00670D34">
      <w:pPr>
        <w:pStyle w:val="ListParagraph"/>
        <w:numPr>
          <w:ilvl w:val="0"/>
          <w:numId w:val="8"/>
        </w:numPr>
        <w:jc w:val="center"/>
      </w:pPr>
      <w:r w:rsidRPr="00E163C6">
        <w:t>Reprieve</w:t>
      </w:r>
    </w:p>
    <w:p w14:paraId="3B71E8CC" w14:textId="2F82FF0F" w:rsidR="00673D05" w:rsidRPr="00E163C6" w:rsidRDefault="00673D05" w:rsidP="00670D34">
      <w:pPr>
        <w:pStyle w:val="ListParagraph"/>
        <w:numPr>
          <w:ilvl w:val="0"/>
          <w:numId w:val="8"/>
        </w:numPr>
        <w:jc w:val="center"/>
      </w:pPr>
      <w:r w:rsidRPr="00E163C6">
        <w:t>Southern Africa Litigation Centre (SALC)</w:t>
      </w:r>
    </w:p>
    <w:p w14:paraId="2ED4985E" w14:textId="77777777" w:rsidR="00C902B4" w:rsidRPr="00E163C6" w:rsidRDefault="00C902B4" w:rsidP="00670D34">
      <w:pPr>
        <w:pStyle w:val="ListParagraph"/>
        <w:jc w:val="center"/>
        <w:rPr>
          <w:b/>
          <w:bCs/>
        </w:rPr>
      </w:pPr>
    </w:p>
    <w:p w14:paraId="6C041901" w14:textId="7CAA4CCB" w:rsidR="00C902B4" w:rsidRPr="00E163C6" w:rsidRDefault="00673D05" w:rsidP="00670D34">
      <w:pPr>
        <w:pStyle w:val="ListParagraph"/>
        <w:numPr>
          <w:ilvl w:val="0"/>
          <w:numId w:val="7"/>
        </w:numPr>
        <w:rPr>
          <w:b/>
          <w:bCs/>
        </w:rPr>
      </w:pPr>
      <w:r w:rsidRPr="00E163C6">
        <w:rPr>
          <w:b/>
          <w:bCs/>
        </w:rPr>
        <w:t>Authors</w:t>
      </w:r>
    </w:p>
    <w:p w14:paraId="3670CE1C" w14:textId="56DE83FD" w:rsidR="00D67C23" w:rsidRPr="00E163C6" w:rsidRDefault="00D67C23" w:rsidP="00670D34">
      <w:pPr>
        <w:pStyle w:val="ListParagraph"/>
        <w:numPr>
          <w:ilvl w:val="1"/>
          <w:numId w:val="7"/>
        </w:numPr>
      </w:pPr>
      <w:r w:rsidRPr="00E163C6">
        <w:t>CHREAA was established as a not-for-profit non-governmental organisation dedicated to the promotion and protection of human rights. The establishment of the organisation followed Malawi’s history of oppression and human rights abuse. In the past years CHREAA’s work has focused mainly on key populations. In the past, the organisation documented serious violations of Malawi’s international obligations, including the breach of international standards on the prohibition on torture and other forms of ill-treatment.</w:t>
      </w:r>
    </w:p>
    <w:p w14:paraId="4AC0E3EB" w14:textId="77777777" w:rsidR="0052051C" w:rsidRPr="00E163C6" w:rsidRDefault="0052051C" w:rsidP="00670D34">
      <w:pPr>
        <w:pStyle w:val="ListParagraph"/>
        <w:numPr>
          <w:ilvl w:val="1"/>
          <w:numId w:val="7"/>
        </w:numPr>
      </w:pPr>
      <w:r w:rsidRPr="00E163C6">
        <w:t xml:space="preserve">Irish Rule of Law International (IRLI) is a non-governmental programme and an initiative of the Law Society of Ireland, the Bar of Ireland, the Law Society of Northern </w:t>
      </w:r>
      <w:proofErr w:type="gramStart"/>
      <w:r w:rsidRPr="00E163C6">
        <w:t>Ireland</w:t>
      </w:r>
      <w:proofErr w:type="gramEnd"/>
      <w:r w:rsidRPr="00E163C6">
        <w:t xml:space="preserve"> and the Bar of Northern Ireland, dedicated to promoting the rule of law. It operates access to justice programmes in various countries </w:t>
      </w:r>
      <w:proofErr w:type="gramStart"/>
      <w:r w:rsidRPr="00E163C6">
        <w:t>including:</w:t>
      </w:r>
      <w:proofErr w:type="gramEnd"/>
      <w:r w:rsidRPr="00E163C6">
        <w:t xml:space="preserve"> Malawi, Tanzania, South Africa, Zambia, Myanmar and Vietnam, though Malawi is the only country in which IRLI operates a year-round programme, with in situ personnel. IRLI works towards building capacity within the criminal justice system by seconding its lawyers to the Judiciary, Office of the DPP, the Malawian Police Service and the Legal Aid Bureau.</w:t>
      </w:r>
    </w:p>
    <w:p w14:paraId="1C0AEFAF" w14:textId="59CD9089" w:rsidR="004B0EA2" w:rsidRPr="00E163C6" w:rsidRDefault="004B0EA2" w:rsidP="00670D34">
      <w:pPr>
        <w:pStyle w:val="ListParagraph"/>
        <w:numPr>
          <w:ilvl w:val="1"/>
          <w:numId w:val="7"/>
        </w:numPr>
      </w:pPr>
      <w:r w:rsidRPr="00E163C6">
        <w:t xml:space="preserve">Reprieve is a charitable organization registered in the United Kingdom (No. 1114900) in special consultative status with the United Nations Economic and Social Council (“ECOSOC”) that provides free legal and investigative support to those who have been subjected to state-sponsored human rights abuses. </w:t>
      </w:r>
      <w:r w:rsidR="00E163C6">
        <w:t>Reprieve</w:t>
      </w:r>
      <w:r w:rsidRPr="00E163C6">
        <w:t xml:space="preserve"> clients belong to some of the most vulnerable populations in the world. </w:t>
      </w:r>
      <w:r w:rsidR="00E163C6">
        <w:t>Reprieve</w:t>
      </w:r>
      <w:r w:rsidRPr="00E163C6">
        <w:t xml:space="preserve"> protect</w:t>
      </w:r>
      <w:r w:rsidR="00E163C6">
        <w:t>s</w:t>
      </w:r>
      <w:r w:rsidRPr="00E163C6">
        <w:t xml:space="preserve"> the rights of those facing the death penalty and deliver justice to victims of arbitrary detention, torture, and extrajudicial execution. </w:t>
      </w:r>
    </w:p>
    <w:p w14:paraId="033354A6" w14:textId="6115CA9E" w:rsidR="00C83F23" w:rsidRPr="00E163C6" w:rsidRDefault="00C83F23" w:rsidP="00670D34">
      <w:pPr>
        <w:pStyle w:val="ListParagraph"/>
        <w:numPr>
          <w:ilvl w:val="1"/>
          <w:numId w:val="7"/>
        </w:numPr>
      </w:pPr>
      <w:r w:rsidRPr="00E163C6">
        <w:t>The Southern Africa Litigation Centre (SALC) is a regional human rights organisation that promotes and advances human rights and the rule of law in Southern Africa through strategic litigation, research, capacity strengthening, training and advocacy. SALC conducts its advocacy in partnership with our national partners in the region, including partners in Malawi.</w:t>
      </w:r>
    </w:p>
    <w:p w14:paraId="148983B4" w14:textId="77777777" w:rsidR="00210ABD" w:rsidRPr="00E163C6" w:rsidRDefault="00210ABD" w:rsidP="00670D34">
      <w:pPr>
        <w:pStyle w:val="ListParagraph"/>
        <w:ind w:left="1440"/>
      </w:pPr>
    </w:p>
    <w:p w14:paraId="74403A10" w14:textId="3798E24E" w:rsidR="00C902B4" w:rsidRPr="00E163C6" w:rsidRDefault="00C902B4" w:rsidP="00670D34">
      <w:pPr>
        <w:pStyle w:val="ListParagraph"/>
        <w:numPr>
          <w:ilvl w:val="0"/>
          <w:numId w:val="7"/>
        </w:numPr>
        <w:rPr>
          <w:b/>
          <w:bCs/>
        </w:rPr>
      </w:pPr>
      <w:r w:rsidRPr="00E163C6">
        <w:rPr>
          <w:b/>
          <w:bCs/>
        </w:rPr>
        <w:t>Methodology</w:t>
      </w:r>
    </w:p>
    <w:p w14:paraId="7F2EAB4A" w14:textId="41C8AC64" w:rsidR="00F14055" w:rsidRPr="00E163C6" w:rsidRDefault="00F14055" w:rsidP="00670D34">
      <w:pPr>
        <w:pStyle w:val="ListParagraph"/>
        <w:numPr>
          <w:ilvl w:val="1"/>
          <w:numId w:val="7"/>
        </w:numPr>
      </w:pPr>
      <w:r w:rsidRPr="00E163C6">
        <w:t>The content of this briefing is based on information obtained by CHREAA, IRLI</w:t>
      </w:r>
      <w:r w:rsidR="00A45595" w:rsidRPr="00E163C6">
        <w:t xml:space="preserve">, </w:t>
      </w:r>
      <w:r w:rsidR="002B360F" w:rsidRPr="00E163C6">
        <w:t>Reprieve</w:t>
      </w:r>
      <w:r w:rsidR="00A45595" w:rsidRPr="00E163C6">
        <w:t xml:space="preserve"> and SALC</w:t>
      </w:r>
      <w:r w:rsidR="002B360F" w:rsidRPr="00E163C6">
        <w:t xml:space="preserve"> </w:t>
      </w:r>
      <w:r w:rsidRPr="00E163C6">
        <w:t xml:space="preserve">in the course of their work. The document highlights some of the main areas of human rights concerns of these partner organisations in Malawi in relation to the provisions of the </w:t>
      </w:r>
      <w:r w:rsidR="00BD11F4" w:rsidRPr="00E163C6">
        <w:t xml:space="preserve">UN </w:t>
      </w:r>
      <w:r w:rsidR="00A45595" w:rsidRPr="00E163C6">
        <w:t>Convention on the Rights of Persons with Disabilities (</w:t>
      </w:r>
      <w:r w:rsidR="003F40BB" w:rsidRPr="00E163C6">
        <w:t>CRPD</w:t>
      </w:r>
      <w:r w:rsidR="00A45595" w:rsidRPr="00E163C6">
        <w:t>)</w:t>
      </w:r>
      <w:r w:rsidRPr="00E163C6">
        <w:t xml:space="preserve">. </w:t>
      </w:r>
      <w:proofErr w:type="gramStart"/>
      <w:r w:rsidRPr="00E163C6">
        <w:t>In particular, it</w:t>
      </w:r>
      <w:proofErr w:type="gramEnd"/>
      <w:r w:rsidRPr="00E163C6">
        <w:t xml:space="preserve"> highlights the </w:t>
      </w:r>
      <w:r w:rsidR="00E77453" w:rsidRPr="00E163C6">
        <w:t xml:space="preserve">diminished rights and protections of persons with disabilities in conflict with the law and </w:t>
      </w:r>
      <w:r w:rsidR="00C42A0A" w:rsidRPr="00E163C6">
        <w:t xml:space="preserve">persons with disabilities deprived </w:t>
      </w:r>
      <w:r w:rsidR="00C42A0A" w:rsidRPr="00E163C6">
        <w:lastRenderedPageBreak/>
        <w:t>of their liberty</w:t>
      </w:r>
      <w:r w:rsidR="00DF4969" w:rsidRPr="00E163C6">
        <w:t xml:space="preserve">. </w:t>
      </w:r>
      <w:r w:rsidR="00D26227" w:rsidRPr="00E163C6">
        <w:t>Finally, r</w:t>
      </w:r>
      <w:r w:rsidRPr="00E163C6">
        <w:t xml:space="preserve">ecommendations are made </w:t>
      </w:r>
      <w:r w:rsidR="00D26227" w:rsidRPr="00E163C6">
        <w:t>to</w:t>
      </w:r>
      <w:r w:rsidRPr="00E163C6">
        <w:t xml:space="preserve"> Malawi to </w:t>
      </w:r>
      <w:r w:rsidR="001E34FD" w:rsidRPr="00E163C6">
        <w:t xml:space="preserve">strengthen </w:t>
      </w:r>
      <w:r w:rsidR="00A45595" w:rsidRPr="00E163C6">
        <w:t xml:space="preserve">its commitment to the </w:t>
      </w:r>
      <w:r w:rsidR="003F40BB" w:rsidRPr="00E163C6">
        <w:t>CRPD</w:t>
      </w:r>
      <w:r w:rsidR="00A45595" w:rsidRPr="00E163C6">
        <w:t xml:space="preserve"> </w:t>
      </w:r>
      <w:r w:rsidRPr="00E163C6">
        <w:t xml:space="preserve">and ensure that the country </w:t>
      </w:r>
      <w:r w:rsidR="003F16D3" w:rsidRPr="00E163C6">
        <w:t>complies with</w:t>
      </w:r>
      <w:r w:rsidRPr="00E163C6">
        <w:t xml:space="preserve"> its </w:t>
      </w:r>
      <w:r w:rsidR="00A45595" w:rsidRPr="00E163C6">
        <w:t>international obligations</w:t>
      </w:r>
      <w:r w:rsidRPr="00E163C6">
        <w:t>.</w:t>
      </w:r>
    </w:p>
    <w:p w14:paraId="1D9C27E4" w14:textId="77777777" w:rsidR="00210ABD" w:rsidRPr="00E163C6" w:rsidRDefault="00210ABD" w:rsidP="00670D34">
      <w:pPr>
        <w:pStyle w:val="ListParagraph"/>
        <w:ind w:left="1440"/>
      </w:pPr>
    </w:p>
    <w:p w14:paraId="5F007E02" w14:textId="685C511C" w:rsidR="00C902B4" w:rsidRPr="00E163C6" w:rsidRDefault="00C902B4" w:rsidP="00670D34">
      <w:pPr>
        <w:pStyle w:val="ListParagraph"/>
        <w:numPr>
          <w:ilvl w:val="0"/>
          <w:numId w:val="7"/>
        </w:numPr>
        <w:rPr>
          <w:b/>
          <w:bCs/>
        </w:rPr>
      </w:pPr>
      <w:r w:rsidRPr="00E163C6">
        <w:rPr>
          <w:b/>
          <w:bCs/>
        </w:rPr>
        <w:t>Normative framework</w:t>
      </w:r>
    </w:p>
    <w:p w14:paraId="38A08932" w14:textId="041CFF65" w:rsidR="008762E4" w:rsidRPr="00E163C6" w:rsidRDefault="008762E4" w:rsidP="00670D34">
      <w:pPr>
        <w:pStyle w:val="ListParagraph"/>
        <w:numPr>
          <w:ilvl w:val="1"/>
          <w:numId w:val="7"/>
        </w:numPr>
      </w:pPr>
      <w:r w:rsidRPr="00E163C6">
        <w:t xml:space="preserve">Malawi ratified the </w:t>
      </w:r>
      <w:r w:rsidR="003F40BB" w:rsidRPr="00E163C6">
        <w:t>CRPD</w:t>
      </w:r>
      <w:r w:rsidRPr="00E163C6">
        <w:t xml:space="preserve"> on </w:t>
      </w:r>
      <w:r w:rsidR="00A45595" w:rsidRPr="00E163C6">
        <w:t>27 August 2009</w:t>
      </w:r>
      <w:r w:rsidRPr="00E163C6">
        <w:t>.</w:t>
      </w:r>
      <w:r w:rsidR="00A45595" w:rsidRPr="00E163C6">
        <w:rPr>
          <w:rStyle w:val="FootnoteReference"/>
        </w:rPr>
        <w:footnoteReference w:id="2"/>
      </w:r>
      <w:r w:rsidRPr="00E163C6">
        <w:t xml:space="preserve"> Malawi is a dualist state requiring an act of parliament to give effect to international law</w:t>
      </w:r>
      <w:r w:rsidR="00A45595" w:rsidRPr="00E163C6">
        <w:t>.</w:t>
      </w:r>
    </w:p>
    <w:p w14:paraId="4E76ED64" w14:textId="487B654E" w:rsidR="002A6822" w:rsidRPr="00E163C6" w:rsidRDefault="002A6822" w:rsidP="00670D34">
      <w:pPr>
        <w:pStyle w:val="ListParagraph"/>
        <w:numPr>
          <w:ilvl w:val="1"/>
          <w:numId w:val="7"/>
        </w:numPr>
        <w:jc w:val="both"/>
      </w:pPr>
      <w:r w:rsidRPr="00E163C6">
        <w:t>At the regional level, Malawi is a State party to the African Charter on Human and Peoples’ Right</w:t>
      </w:r>
      <w:r w:rsidR="00E163C6">
        <w:t>s</w:t>
      </w:r>
      <w:r w:rsidRPr="00E163C6">
        <w:t xml:space="preserve"> (ACHPR), </w:t>
      </w:r>
      <w:r w:rsidR="00A45595" w:rsidRPr="00E163C6">
        <w:t>which entitles persons with disabilities “the right to special measures of protection in keeping with their physical or moral needs</w:t>
      </w:r>
      <w:r w:rsidR="00E163C6">
        <w:t>”</w:t>
      </w:r>
      <w:r w:rsidRPr="00E163C6">
        <w:t>.</w:t>
      </w:r>
      <w:r w:rsidR="00A45595" w:rsidRPr="00E163C6">
        <w:rPr>
          <w:rStyle w:val="FootnoteReference"/>
        </w:rPr>
        <w:footnoteReference w:id="3"/>
      </w:r>
    </w:p>
    <w:p w14:paraId="73CA4B74" w14:textId="6CCA8440" w:rsidR="00B01289" w:rsidRPr="00E163C6" w:rsidRDefault="00B01289" w:rsidP="00670D34">
      <w:pPr>
        <w:pStyle w:val="ListParagraph"/>
        <w:numPr>
          <w:ilvl w:val="1"/>
          <w:numId w:val="7"/>
        </w:numPr>
        <w:jc w:val="both"/>
      </w:pPr>
      <w:proofErr w:type="gramStart"/>
      <w:r w:rsidRPr="00E163C6">
        <w:t>Despite ratifying the above instruments, there</w:t>
      </w:r>
      <w:proofErr w:type="gramEnd"/>
      <w:r w:rsidRPr="00E163C6">
        <w:t xml:space="preserve"> are several instances where Malawi has breached its international obligations under the </w:t>
      </w:r>
      <w:r w:rsidR="009733E4" w:rsidRPr="00E163C6">
        <w:t>CRPD</w:t>
      </w:r>
      <w:r w:rsidRPr="00E163C6">
        <w:t>, some of which are highlighted below.</w:t>
      </w:r>
    </w:p>
    <w:p w14:paraId="33E46B39" w14:textId="77777777" w:rsidR="005D6241" w:rsidRPr="00E163C6" w:rsidRDefault="005D6241" w:rsidP="00670D34">
      <w:pPr>
        <w:spacing w:after="0"/>
      </w:pPr>
    </w:p>
    <w:p w14:paraId="26632E83" w14:textId="42029740" w:rsidR="00C902B4" w:rsidRPr="00E163C6" w:rsidRDefault="00C902B4" w:rsidP="00670D34">
      <w:pPr>
        <w:pStyle w:val="ListParagraph"/>
        <w:numPr>
          <w:ilvl w:val="0"/>
          <w:numId w:val="7"/>
        </w:numPr>
        <w:rPr>
          <w:b/>
          <w:bCs/>
        </w:rPr>
      </w:pPr>
      <w:r w:rsidRPr="00E163C6">
        <w:rPr>
          <w:b/>
          <w:bCs/>
        </w:rPr>
        <w:t>Substantive issues</w:t>
      </w:r>
    </w:p>
    <w:p w14:paraId="68643324" w14:textId="77777777" w:rsidR="009763B4" w:rsidRPr="00E163C6" w:rsidRDefault="009763B4" w:rsidP="00670D34">
      <w:pPr>
        <w:spacing w:after="0" w:line="240" w:lineRule="auto"/>
        <w:ind w:left="360"/>
        <w:rPr>
          <w:color w:val="00B050"/>
        </w:rPr>
      </w:pPr>
    </w:p>
    <w:p w14:paraId="5350650F" w14:textId="34805E4B" w:rsidR="009763B4" w:rsidRPr="00E163C6" w:rsidRDefault="00DF4969" w:rsidP="00670D34">
      <w:pPr>
        <w:pStyle w:val="ListParagraph"/>
        <w:numPr>
          <w:ilvl w:val="1"/>
          <w:numId w:val="7"/>
        </w:numPr>
        <w:jc w:val="both"/>
        <w:rPr>
          <w:b/>
          <w:bCs/>
        </w:rPr>
      </w:pPr>
      <w:r w:rsidRPr="00E163C6">
        <w:rPr>
          <w:b/>
          <w:bCs/>
        </w:rPr>
        <w:t>Article 4 – General obligations</w:t>
      </w:r>
    </w:p>
    <w:p w14:paraId="314E819D" w14:textId="024EEDD4" w:rsidR="004714A5" w:rsidRPr="00E163C6" w:rsidRDefault="004C7714" w:rsidP="00670D34">
      <w:pPr>
        <w:pStyle w:val="ListParagraph"/>
        <w:numPr>
          <w:ilvl w:val="2"/>
          <w:numId w:val="7"/>
        </w:numPr>
        <w:rPr>
          <w:rFonts w:cstheme="minorHAnsi"/>
          <w:b/>
          <w:bCs/>
        </w:rPr>
      </w:pPr>
      <w:r w:rsidRPr="00E163C6">
        <w:rPr>
          <w:rFonts w:cstheme="minorHAnsi"/>
          <w:b/>
          <w:bCs/>
        </w:rPr>
        <w:t>Legal Framework</w:t>
      </w:r>
    </w:p>
    <w:p w14:paraId="6B538BB1" w14:textId="692822AD" w:rsidR="00791652" w:rsidRPr="00E163C6" w:rsidRDefault="00DF4969" w:rsidP="00670D34">
      <w:pPr>
        <w:pStyle w:val="ListParagraph"/>
        <w:numPr>
          <w:ilvl w:val="3"/>
          <w:numId w:val="7"/>
        </w:numPr>
        <w:jc w:val="both"/>
        <w:rPr>
          <w:rFonts w:asciiTheme="minorHAnsi" w:hAnsiTheme="minorHAnsi" w:cstheme="minorHAnsi"/>
        </w:rPr>
      </w:pPr>
      <w:r w:rsidRPr="00E163C6">
        <w:rPr>
          <w:rFonts w:cstheme="minorHAnsi"/>
        </w:rPr>
        <w:t xml:space="preserve">The Constitution enshrines Malawi’s commitment “[t]o </w:t>
      </w:r>
      <w:proofErr w:type="gramStart"/>
      <w:r w:rsidRPr="00E163C6">
        <w:rPr>
          <w:rFonts w:cstheme="minorHAnsi"/>
        </w:rPr>
        <w:t>enhance</w:t>
      </w:r>
      <w:proofErr w:type="gramEnd"/>
      <w:r w:rsidRPr="00E163C6">
        <w:rPr>
          <w:rFonts w:cstheme="minorHAnsi"/>
        </w:rPr>
        <w:t xml:space="preserve"> the dignity and quality of life of persons with disabilities by providing— (</w:t>
      </w:r>
      <w:proofErr w:type="spellStart"/>
      <w:r w:rsidRPr="00E163C6">
        <w:rPr>
          <w:rFonts w:cstheme="minorHAnsi"/>
        </w:rPr>
        <w:t>i</w:t>
      </w:r>
      <w:proofErr w:type="spellEnd"/>
      <w:r w:rsidRPr="00E163C6">
        <w:rPr>
          <w:rFonts w:cstheme="minorHAnsi"/>
        </w:rPr>
        <w:t>) adequate and suitable access to public places . . . [and] (iii) the fullest possible participation in all spheres of Malawian society”.</w:t>
      </w:r>
      <w:r w:rsidRPr="00E163C6">
        <w:rPr>
          <w:rStyle w:val="FootnoteReference"/>
          <w:rFonts w:cstheme="minorHAnsi"/>
        </w:rPr>
        <w:footnoteReference w:id="4"/>
      </w:r>
    </w:p>
    <w:p w14:paraId="2E1CE75C" w14:textId="67AA6DD7" w:rsidR="00DF4969" w:rsidRPr="00E163C6" w:rsidRDefault="00DF4969" w:rsidP="00670D34">
      <w:pPr>
        <w:pStyle w:val="ListParagraph"/>
        <w:numPr>
          <w:ilvl w:val="3"/>
          <w:numId w:val="7"/>
        </w:numPr>
        <w:jc w:val="both"/>
        <w:rPr>
          <w:rFonts w:asciiTheme="minorHAnsi" w:hAnsiTheme="minorHAnsi" w:cstheme="minorHAnsi"/>
        </w:rPr>
      </w:pPr>
      <w:r w:rsidRPr="00E163C6">
        <w:rPr>
          <w:rFonts w:cstheme="minorHAnsi"/>
        </w:rPr>
        <w:t>The Disability Act obligates the Government to take appropriate measures to ensure that people with disabilities can access public buildings.</w:t>
      </w:r>
      <w:r w:rsidR="00AD301D">
        <w:rPr>
          <w:rStyle w:val="FootnoteReference"/>
          <w:rFonts w:cstheme="minorHAnsi"/>
        </w:rPr>
        <w:footnoteReference w:id="5"/>
      </w:r>
    </w:p>
    <w:p w14:paraId="5429E2BC" w14:textId="47FA0680" w:rsidR="00462966" w:rsidRPr="00E163C6" w:rsidRDefault="00462966" w:rsidP="00670D34">
      <w:pPr>
        <w:pStyle w:val="ListParagraph"/>
        <w:numPr>
          <w:ilvl w:val="3"/>
          <w:numId w:val="7"/>
        </w:numPr>
        <w:jc w:val="both"/>
        <w:rPr>
          <w:rFonts w:asciiTheme="minorHAnsi" w:hAnsiTheme="minorHAnsi" w:cstheme="minorHAnsi"/>
        </w:rPr>
      </w:pPr>
      <w:r w:rsidRPr="00E163C6">
        <w:rPr>
          <w:rFonts w:cstheme="minorHAnsi"/>
        </w:rPr>
        <w:t>All legislation that concerns courts of law are absent of provisions regarding accessibility, accommodations</w:t>
      </w:r>
      <w:r w:rsidR="00656877" w:rsidRPr="00E163C6">
        <w:rPr>
          <w:rFonts w:cstheme="minorHAnsi"/>
        </w:rPr>
        <w:t xml:space="preserve">, </w:t>
      </w:r>
      <w:proofErr w:type="gramStart"/>
      <w:r w:rsidR="00656877" w:rsidRPr="00E163C6">
        <w:rPr>
          <w:rFonts w:cstheme="minorHAnsi"/>
        </w:rPr>
        <w:t>protection</w:t>
      </w:r>
      <w:proofErr w:type="gramEnd"/>
      <w:r w:rsidR="00656877" w:rsidRPr="00E163C6">
        <w:rPr>
          <w:rFonts w:cstheme="minorHAnsi"/>
        </w:rPr>
        <w:t xml:space="preserve"> or non-discrimination</w:t>
      </w:r>
      <w:r w:rsidRPr="00E163C6">
        <w:rPr>
          <w:rFonts w:cstheme="minorHAnsi"/>
        </w:rPr>
        <w:t xml:space="preserve"> of people with disabilities.</w:t>
      </w:r>
      <w:r w:rsidR="00656877" w:rsidRPr="00E163C6">
        <w:rPr>
          <w:rStyle w:val="FootnoteReference"/>
          <w:rFonts w:asciiTheme="minorHAnsi" w:hAnsiTheme="minorHAnsi" w:cstheme="minorHAnsi"/>
        </w:rPr>
        <w:footnoteReference w:id="6"/>
      </w:r>
    </w:p>
    <w:p w14:paraId="742123EF" w14:textId="5DD83404" w:rsidR="00607988" w:rsidRPr="00E163C6" w:rsidRDefault="00607988" w:rsidP="00670D34">
      <w:pPr>
        <w:pStyle w:val="ListParagraph"/>
        <w:numPr>
          <w:ilvl w:val="3"/>
          <w:numId w:val="7"/>
        </w:numPr>
        <w:jc w:val="both"/>
        <w:rPr>
          <w:rFonts w:asciiTheme="minorHAnsi" w:hAnsiTheme="minorHAnsi" w:cstheme="minorHAnsi"/>
        </w:rPr>
      </w:pPr>
      <w:r w:rsidRPr="00E163C6">
        <w:rPr>
          <w:rFonts w:cstheme="minorHAnsi"/>
        </w:rPr>
        <w:t xml:space="preserve">All legislation that concerns people deprived of their liberty are absent of provisions regarding accessibility, accommodations, </w:t>
      </w:r>
      <w:proofErr w:type="gramStart"/>
      <w:r w:rsidRPr="00E163C6">
        <w:rPr>
          <w:rFonts w:cstheme="minorHAnsi"/>
        </w:rPr>
        <w:t>protection</w:t>
      </w:r>
      <w:proofErr w:type="gramEnd"/>
      <w:r w:rsidRPr="00E163C6">
        <w:rPr>
          <w:rFonts w:cstheme="minorHAnsi"/>
        </w:rPr>
        <w:t xml:space="preserve"> or non-discrimination of people with disabilities.</w:t>
      </w:r>
      <w:r w:rsidRPr="00E163C6">
        <w:rPr>
          <w:rStyle w:val="FootnoteReference"/>
          <w:rFonts w:asciiTheme="minorHAnsi" w:hAnsiTheme="minorHAnsi" w:cstheme="minorHAnsi"/>
        </w:rPr>
        <w:footnoteReference w:id="7"/>
      </w:r>
    </w:p>
    <w:p w14:paraId="0F0E9B5F" w14:textId="5E03F0F5" w:rsidR="00C82305" w:rsidRPr="00E163C6" w:rsidRDefault="003F6DB1" w:rsidP="00670D34">
      <w:pPr>
        <w:pStyle w:val="ListParagraph"/>
        <w:numPr>
          <w:ilvl w:val="2"/>
          <w:numId w:val="7"/>
        </w:numPr>
        <w:rPr>
          <w:rFonts w:cstheme="minorHAnsi"/>
          <w:b/>
          <w:bCs/>
        </w:rPr>
      </w:pPr>
      <w:r w:rsidRPr="00E163C6">
        <w:rPr>
          <w:rFonts w:cstheme="minorHAnsi"/>
          <w:b/>
          <w:bCs/>
        </w:rPr>
        <w:t>Lack of Rights in Criminal Proceedings</w:t>
      </w:r>
    </w:p>
    <w:p w14:paraId="1FCD6562" w14:textId="43C73332" w:rsidR="00145B23" w:rsidRPr="00E163C6" w:rsidRDefault="00E72932" w:rsidP="00670D34">
      <w:pPr>
        <w:pStyle w:val="ListParagraph"/>
        <w:numPr>
          <w:ilvl w:val="3"/>
          <w:numId w:val="7"/>
        </w:numPr>
        <w:rPr>
          <w:rFonts w:cstheme="minorHAnsi"/>
        </w:rPr>
      </w:pPr>
      <w:r w:rsidRPr="00E163C6">
        <w:rPr>
          <w:rFonts w:cstheme="minorHAnsi"/>
        </w:rPr>
        <w:t xml:space="preserve">To date, Malawi has not adopted legislative, </w:t>
      </w:r>
      <w:proofErr w:type="gramStart"/>
      <w:r w:rsidRPr="00E163C6">
        <w:rPr>
          <w:rFonts w:cstheme="minorHAnsi"/>
        </w:rPr>
        <w:t>administrative</w:t>
      </w:r>
      <w:proofErr w:type="gramEnd"/>
      <w:r w:rsidRPr="00E163C6">
        <w:rPr>
          <w:rFonts w:cstheme="minorHAnsi"/>
        </w:rPr>
        <w:t xml:space="preserve"> or other measures to ensure and promote the full realization of all human rights for persons with disabilities </w:t>
      </w:r>
      <w:r w:rsidR="00D0193E" w:rsidRPr="00E163C6">
        <w:rPr>
          <w:rFonts w:cstheme="minorHAnsi"/>
        </w:rPr>
        <w:t>when they are in conflict with the law.</w:t>
      </w:r>
      <w:r w:rsidR="00791652" w:rsidRPr="00E163C6">
        <w:rPr>
          <w:rFonts w:cstheme="minorHAnsi"/>
        </w:rPr>
        <w:t xml:space="preserve"> </w:t>
      </w:r>
    </w:p>
    <w:p w14:paraId="59B6E612" w14:textId="4A5068C0" w:rsidR="00D0193E" w:rsidRPr="00E163C6" w:rsidRDefault="00D0193E" w:rsidP="00670D34">
      <w:pPr>
        <w:pStyle w:val="ListParagraph"/>
        <w:numPr>
          <w:ilvl w:val="3"/>
          <w:numId w:val="7"/>
        </w:numPr>
        <w:rPr>
          <w:rFonts w:cstheme="minorHAnsi"/>
        </w:rPr>
      </w:pPr>
      <w:r w:rsidRPr="00E163C6">
        <w:rPr>
          <w:rFonts w:cstheme="minorHAnsi"/>
        </w:rPr>
        <w:lastRenderedPageBreak/>
        <w:t>There are no administrative rules or guidelines to inform law enforcement actors, courts, prison guards and legal actors</w:t>
      </w:r>
      <w:r w:rsidR="00791652" w:rsidRPr="00E163C6">
        <w:rPr>
          <w:rFonts w:cstheme="minorHAnsi"/>
        </w:rPr>
        <w:t xml:space="preserve">. </w:t>
      </w:r>
    </w:p>
    <w:p w14:paraId="1E490702" w14:textId="0A17BC0B" w:rsidR="009763B4" w:rsidRPr="00E163C6" w:rsidRDefault="00791652" w:rsidP="00D6577B">
      <w:pPr>
        <w:pStyle w:val="ListParagraph"/>
        <w:numPr>
          <w:ilvl w:val="3"/>
          <w:numId w:val="7"/>
        </w:numPr>
        <w:rPr>
          <w:rFonts w:cstheme="minorHAnsi"/>
        </w:rPr>
      </w:pPr>
      <w:r w:rsidRPr="00E163C6">
        <w:rPr>
          <w:rFonts w:cstheme="minorHAnsi"/>
        </w:rPr>
        <w:t>The lack of legislative and administrative enactment of Malawi’s obligations under Article 4 of the CRPD increases the risk that the rights of persons with disabilities will be violated and that they will suffer harm.</w:t>
      </w:r>
    </w:p>
    <w:p w14:paraId="6FB94EF0" w14:textId="1AE24E7A" w:rsidR="00D0193E" w:rsidRPr="00E163C6" w:rsidRDefault="00D0193E" w:rsidP="00670D34">
      <w:pPr>
        <w:pStyle w:val="ListParagraph"/>
        <w:numPr>
          <w:ilvl w:val="1"/>
          <w:numId w:val="7"/>
        </w:numPr>
        <w:jc w:val="both"/>
        <w:rPr>
          <w:b/>
          <w:bCs/>
        </w:rPr>
      </w:pPr>
      <w:r w:rsidRPr="00E163C6">
        <w:rPr>
          <w:b/>
          <w:bCs/>
        </w:rPr>
        <w:t>Article 5 – Equality and non-discrimination</w:t>
      </w:r>
    </w:p>
    <w:p w14:paraId="1F48387D" w14:textId="793F8084" w:rsidR="00C5071F" w:rsidRPr="00E163C6" w:rsidRDefault="004C7714" w:rsidP="00670D34">
      <w:pPr>
        <w:pStyle w:val="ListParagraph"/>
        <w:numPr>
          <w:ilvl w:val="2"/>
          <w:numId w:val="7"/>
        </w:numPr>
        <w:jc w:val="both"/>
        <w:rPr>
          <w:b/>
          <w:bCs/>
        </w:rPr>
      </w:pPr>
      <w:r w:rsidRPr="00E163C6">
        <w:rPr>
          <w:b/>
          <w:bCs/>
        </w:rPr>
        <w:t>Legal Framework</w:t>
      </w:r>
    </w:p>
    <w:p w14:paraId="4EF7A975" w14:textId="2693263D" w:rsidR="00791652" w:rsidRPr="00E163C6" w:rsidRDefault="00791652" w:rsidP="00670D34">
      <w:pPr>
        <w:pStyle w:val="ListParagraph"/>
        <w:numPr>
          <w:ilvl w:val="3"/>
          <w:numId w:val="7"/>
        </w:numPr>
        <w:jc w:val="both"/>
      </w:pPr>
      <w:r w:rsidRPr="00E163C6">
        <w:t>Section 20 of the Constitution provides protection against discrimination on grounds of disability.</w:t>
      </w:r>
    </w:p>
    <w:p w14:paraId="79DF69FE" w14:textId="4CB30B62" w:rsidR="00791652" w:rsidRPr="00E163C6" w:rsidRDefault="00791652" w:rsidP="00670D34">
      <w:pPr>
        <w:pStyle w:val="ListParagraph"/>
        <w:numPr>
          <w:ilvl w:val="3"/>
          <w:numId w:val="7"/>
        </w:numPr>
        <w:jc w:val="both"/>
      </w:pPr>
      <w:r w:rsidRPr="00E163C6">
        <w:t>The Disability Act was adopted in 2012 for the “equalization of opportunities for persons with disabilities”.</w:t>
      </w:r>
      <w:r w:rsidRPr="00E163C6">
        <w:rPr>
          <w:rStyle w:val="FootnoteReference"/>
        </w:rPr>
        <w:footnoteReference w:id="8"/>
      </w:r>
    </w:p>
    <w:p w14:paraId="5B65C8E9" w14:textId="0817F3F2" w:rsidR="00C5071F" w:rsidRPr="00E163C6" w:rsidRDefault="00791652" w:rsidP="00670D34">
      <w:pPr>
        <w:pStyle w:val="ListParagraph"/>
        <w:numPr>
          <w:ilvl w:val="3"/>
          <w:numId w:val="7"/>
        </w:numPr>
        <w:jc w:val="both"/>
      </w:pPr>
      <w:r w:rsidRPr="00E163C6">
        <w:t>Section 42(</w:t>
      </w:r>
      <w:r w:rsidR="00940A7A">
        <w:t>2</w:t>
      </w:r>
      <w:r w:rsidRPr="00E163C6">
        <w:t xml:space="preserve">)(h) of the Constitution ensures the right of a person with a disability </w:t>
      </w:r>
      <w:r w:rsidR="007C05BA" w:rsidRPr="00E163C6">
        <w:t xml:space="preserve">who is detained </w:t>
      </w:r>
      <w:r w:rsidRPr="00E163C6">
        <w:t>“to be held, wherever possible, in separate accommodation”.</w:t>
      </w:r>
    </w:p>
    <w:p w14:paraId="73C47AA2" w14:textId="65B23A96" w:rsidR="00D0193E" w:rsidRPr="00E163C6" w:rsidRDefault="003F6DB1" w:rsidP="00670D34">
      <w:pPr>
        <w:pStyle w:val="ListParagraph"/>
        <w:numPr>
          <w:ilvl w:val="2"/>
          <w:numId w:val="7"/>
        </w:numPr>
        <w:jc w:val="both"/>
        <w:rPr>
          <w:b/>
          <w:bCs/>
        </w:rPr>
      </w:pPr>
      <w:r w:rsidRPr="00E163C6">
        <w:rPr>
          <w:b/>
          <w:bCs/>
        </w:rPr>
        <w:t>Lack of</w:t>
      </w:r>
      <w:r w:rsidR="00791652" w:rsidRPr="00E163C6">
        <w:rPr>
          <w:b/>
          <w:bCs/>
        </w:rPr>
        <w:t xml:space="preserve"> Reasonable Accommodations</w:t>
      </w:r>
    </w:p>
    <w:p w14:paraId="5B76FD7D" w14:textId="6721FB7A" w:rsidR="00791652" w:rsidRPr="00E163C6" w:rsidRDefault="00791652" w:rsidP="00670D34">
      <w:pPr>
        <w:pStyle w:val="ListParagraph"/>
        <w:numPr>
          <w:ilvl w:val="3"/>
          <w:numId w:val="7"/>
        </w:numPr>
        <w:jc w:val="both"/>
      </w:pPr>
      <w:r w:rsidRPr="00E163C6">
        <w:t xml:space="preserve">Despite </w:t>
      </w:r>
      <w:r w:rsidR="007C05BA" w:rsidRPr="00E163C6">
        <w:t xml:space="preserve">the constitutional provision for separate accommodations, persons with disabilities are rarely given separate accommodations in places of custody. </w:t>
      </w:r>
    </w:p>
    <w:p w14:paraId="59B8918A" w14:textId="729F5651" w:rsidR="007C05BA" w:rsidRPr="00E163C6" w:rsidRDefault="007C05BA" w:rsidP="00670D34">
      <w:pPr>
        <w:pStyle w:val="ListParagraph"/>
        <w:numPr>
          <w:ilvl w:val="3"/>
          <w:numId w:val="7"/>
        </w:numPr>
        <w:jc w:val="both"/>
      </w:pPr>
      <w:r w:rsidRPr="00E163C6">
        <w:t>Police and prison officials lack any guidelines in identifying people with disabilities, which precludes their ability to determine what accommodations may be needed.</w:t>
      </w:r>
    </w:p>
    <w:p w14:paraId="40A6FA4A" w14:textId="65BF59C2" w:rsidR="007C05BA" w:rsidRPr="00E163C6" w:rsidRDefault="007C05BA" w:rsidP="00670D34">
      <w:pPr>
        <w:pStyle w:val="ListParagraph"/>
        <w:numPr>
          <w:ilvl w:val="3"/>
          <w:numId w:val="7"/>
        </w:numPr>
        <w:jc w:val="both"/>
      </w:pPr>
      <w:r w:rsidRPr="00E163C6">
        <w:t xml:space="preserve">People with disabilities are regularly housed with the general jail and prison population in severely overcrowded and dilapidated conditions. </w:t>
      </w:r>
      <w:r w:rsidR="00670D34" w:rsidRPr="00E163C6">
        <w:t>The prisons of Malawi remain severely overcrowded with an overall population of about 16,700 people against a prison capacity of 7,322 people.</w:t>
      </w:r>
      <w:r w:rsidR="00670D34" w:rsidRPr="00E163C6">
        <w:rPr>
          <w:rStyle w:val="FootnoteReference"/>
        </w:rPr>
        <w:footnoteReference w:id="9"/>
      </w:r>
      <w:r w:rsidR="00670D34" w:rsidRPr="00E163C6">
        <w:t xml:space="preserve"> Extreme overcrowding and deteriorating infrastructure put persons with disabilities at further risk of abuse, </w:t>
      </w:r>
      <w:proofErr w:type="gramStart"/>
      <w:r w:rsidR="00670D34" w:rsidRPr="00E163C6">
        <w:t>neglect</w:t>
      </w:r>
      <w:proofErr w:type="gramEnd"/>
      <w:r w:rsidR="00670D34" w:rsidRPr="00E163C6">
        <w:t xml:space="preserve"> and cruel and inhuman punishment.</w:t>
      </w:r>
    </w:p>
    <w:p w14:paraId="0465A39E" w14:textId="669A2C57" w:rsidR="00670D34" w:rsidRPr="00E163C6" w:rsidRDefault="00670D34" w:rsidP="00670D34">
      <w:pPr>
        <w:pStyle w:val="ListParagraph"/>
        <w:numPr>
          <w:ilvl w:val="3"/>
          <w:numId w:val="7"/>
        </w:numPr>
        <w:jc w:val="both"/>
      </w:pPr>
      <w:r w:rsidRPr="00E163C6">
        <w:t>For instance, Reprieve knows of at least one person with an intellectual disability in prison who was sexually assaulted by another person in prison. These individuals lived in the same prison section, which was segregated from the rest of the prison. For years, the victimized person had to live side-by-side with their attacker</w:t>
      </w:r>
      <w:r w:rsidR="003E0C1B" w:rsidRPr="00E163C6">
        <w:t>. The victimized person has not received any support or compensation due to the lack of protection afforded to him as a person with a disability in prison.</w:t>
      </w:r>
      <w:r w:rsidR="003E0C1B" w:rsidRPr="00E163C6">
        <w:rPr>
          <w:rStyle w:val="FootnoteReference"/>
        </w:rPr>
        <w:footnoteReference w:id="10"/>
      </w:r>
    </w:p>
    <w:p w14:paraId="614BBBEB" w14:textId="456F6281" w:rsidR="00CD5D07" w:rsidRPr="00E163C6" w:rsidRDefault="003E0C1B" w:rsidP="00CD5D07">
      <w:pPr>
        <w:pStyle w:val="ListParagraph"/>
        <w:numPr>
          <w:ilvl w:val="3"/>
          <w:numId w:val="7"/>
        </w:numPr>
        <w:jc w:val="both"/>
      </w:pPr>
      <w:r w:rsidRPr="00E163C6">
        <w:t xml:space="preserve">At Zomba Central Prison, the only maximum-security prison in Malawi, there is a section for older persons in prison, called the </w:t>
      </w:r>
      <w:proofErr w:type="spellStart"/>
      <w:r w:rsidRPr="00E163C6">
        <w:rPr>
          <w:i/>
          <w:iCs/>
        </w:rPr>
        <w:t>mdala</w:t>
      </w:r>
      <w:proofErr w:type="spellEnd"/>
      <w:r w:rsidRPr="00E163C6">
        <w:rPr>
          <w:i/>
          <w:iCs/>
        </w:rPr>
        <w:t xml:space="preserve"> </w:t>
      </w:r>
      <w:r w:rsidRPr="00E163C6">
        <w:t>sectio</w:t>
      </w:r>
      <w:r w:rsidR="00CD5D07" w:rsidRPr="00E163C6">
        <w:t>n. This section is not set aside for persons with disabilities, and people are moved to this section involuntar</w:t>
      </w:r>
      <w:r w:rsidR="004E00DA">
        <w:t>il</w:t>
      </w:r>
      <w:r w:rsidR="00CD5D07" w:rsidRPr="00E163C6">
        <w:t>y, at the discretion of prison officials. The section is smaller than other prison blocks. People who have been moved to this section have reported slight advantages in sleeping arrangements, since the cells are not as crowded as other cell blocks in Zomba Central Prison.</w:t>
      </w:r>
    </w:p>
    <w:p w14:paraId="2EDACBA5" w14:textId="187E9AC6" w:rsidR="007C5CE9" w:rsidRPr="00E163C6" w:rsidRDefault="00CD5D07" w:rsidP="005D03EC">
      <w:pPr>
        <w:pStyle w:val="ListParagraph"/>
        <w:numPr>
          <w:ilvl w:val="3"/>
          <w:numId w:val="7"/>
        </w:numPr>
        <w:jc w:val="both"/>
      </w:pPr>
      <w:r w:rsidRPr="00E163C6">
        <w:t xml:space="preserve">However, the </w:t>
      </w:r>
      <w:proofErr w:type="spellStart"/>
      <w:r w:rsidRPr="00E163C6">
        <w:rPr>
          <w:i/>
          <w:iCs/>
        </w:rPr>
        <w:t>mdala</w:t>
      </w:r>
      <w:proofErr w:type="spellEnd"/>
      <w:r w:rsidRPr="00E163C6">
        <w:rPr>
          <w:i/>
          <w:iCs/>
        </w:rPr>
        <w:t xml:space="preserve"> </w:t>
      </w:r>
      <w:r w:rsidRPr="00E163C6">
        <w:t xml:space="preserve">section is not a reasonable accommodation where it decreases access to health care. The </w:t>
      </w:r>
      <w:proofErr w:type="spellStart"/>
      <w:r w:rsidRPr="00E163C6">
        <w:rPr>
          <w:i/>
          <w:iCs/>
        </w:rPr>
        <w:t>mdala</w:t>
      </w:r>
      <w:proofErr w:type="spellEnd"/>
      <w:r w:rsidRPr="00E163C6">
        <w:rPr>
          <w:i/>
          <w:iCs/>
        </w:rPr>
        <w:t xml:space="preserve"> </w:t>
      </w:r>
      <w:r w:rsidRPr="00E163C6">
        <w:t xml:space="preserve">section is segregated from the rest of the prison, which is designed to offer some protection to persons with mobility challenges who </w:t>
      </w:r>
      <w:r w:rsidRPr="00E163C6">
        <w:lastRenderedPageBreak/>
        <w:t xml:space="preserve">are at risk of neglect and abuse. This means that people in the section are not able to walk freely into the prison health clinic. Instead, people with health complaints must request care from a prison guard or wait until the weekly visit from the prison health clinic. Requests can sometimes be </w:t>
      </w:r>
      <w:proofErr w:type="gramStart"/>
      <w:r w:rsidRPr="00E163C6">
        <w:t>ignored</w:t>
      </w:r>
      <w:proofErr w:type="gramEnd"/>
      <w:r w:rsidRPr="00E163C6">
        <w:t xml:space="preserve"> or processing delayed so that serious health problems are left unaddressed for numerous days.</w:t>
      </w:r>
      <w:r w:rsidRPr="00E163C6">
        <w:rPr>
          <w:rStyle w:val="FootnoteReference"/>
        </w:rPr>
        <w:footnoteReference w:id="11"/>
      </w:r>
    </w:p>
    <w:p w14:paraId="73419E05" w14:textId="4051A9E0" w:rsidR="007C5CE9" w:rsidRPr="00E163C6" w:rsidRDefault="007C5CE9" w:rsidP="007C5CE9">
      <w:pPr>
        <w:pStyle w:val="ListParagraph"/>
        <w:numPr>
          <w:ilvl w:val="3"/>
          <w:numId w:val="7"/>
        </w:numPr>
        <w:jc w:val="both"/>
      </w:pPr>
      <w:r w:rsidRPr="00E163C6">
        <w:t xml:space="preserve">Without institutionalized protection, training and awareness-building, people with disabilities are at risk of exploitation and abuse by police and prison officials, as well as other people in prison. </w:t>
      </w:r>
      <w:r w:rsidR="004E00DA" w:rsidRPr="00E163C6">
        <w:t>Prison officials do not assist with movement or daily tasks, so persons with disabilities are forced to rely on the support of other people in prison.</w:t>
      </w:r>
      <w:r w:rsidR="004E00DA">
        <w:t xml:space="preserve"> </w:t>
      </w:r>
      <w:r w:rsidRPr="00E163C6">
        <w:t xml:space="preserve">For example, people who cannot get up from the ground after sleeping must wait until other </w:t>
      </w:r>
      <w:r w:rsidR="00C67FB4" w:rsidRPr="00E163C6">
        <w:t>cellmates</w:t>
      </w:r>
      <w:r w:rsidRPr="00E163C6">
        <w:t xml:space="preserve"> wake up </w:t>
      </w:r>
      <w:proofErr w:type="gramStart"/>
      <w:r w:rsidRPr="00E163C6">
        <w:t>in order to</w:t>
      </w:r>
      <w:proofErr w:type="gramEnd"/>
      <w:r w:rsidRPr="00E163C6">
        <w:t xml:space="preserve"> get up properly. </w:t>
      </w:r>
    </w:p>
    <w:p w14:paraId="72B9D0D6" w14:textId="747BB5C3" w:rsidR="00D0193E" w:rsidRPr="00E163C6" w:rsidRDefault="00D0193E" w:rsidP="00670D34">
      <w:pPr>
        <w:pStyle w:val="ListParagraph"/>
        <w:numPr>
          <w:ilvl w:val="1"/>
          <w:numId w:val="7"/>
        </w:numPr>
        <w:jc w:val="both"/>
        <w:rPr>
          <w:b/>
          <w:bCs/>
        </w:rPr>
      </w:pPr>
      <w:r w:rsidRPr="00E163C6">
        <w:rPr>
          <w:b/>
          <w:bCs/>
        </w:rPr>
        <w:t>Article 6 – Women with disabilities</w:t>
      </w:r>
    </w:p>
    <w:p w14:paraId="23369A2B" w14:textId="69574912" w:rsidR="00C67FB4" w:rsidRPr="00E163C6" w:rsidRDefault="004C7714" w:rsidP="00C67FB4">
      <w:pPr>
        <w:pStyle w:val="ListParagraph"/>
        <w:numPr>
          <w:ilvl w:val="2"/>
          <w:numId w:val="7"/>
        </w:numPr>
        <w:jc w:val="both"/>
        <w:rPr>
          <w:b/>
          <w:bCs/>
        </w:rPr>
      </w:pPr>
      <w:r w:rsidRPr="00E163C6">
        <w:rPr>
          <w:b/>
          <w:bCs/>
        </w:rPr>
        <w:t>Legal Framework</w:t>
      </w:r>
    </w:p>
    <w:p w14:paraId="364AE5C6" w14:textId="66E79F0E" w:rsidR="002D1D4D" w:rsidRPr="00E163C6" w:rsidRDefault="002345E5" w:rsidP="002D1D4D">
      <w:pPr>
        <w:pStyle w:val="ListParagraph"/>
        <w:numPr>
          <w:ilvl w:val="3"/>
          <w:numId w:val="7"/>
        </w:numPr>
        <w:jc w:val="both"/>
      </w:pPr>
      <w:r w:rsidRPr="00E163C6">
        <w:t xml:space="preserve">The Constitution </w:t>
      </w:r>
      <w:r w:rsidR="006138B9" w:rsidRPr="00E163C6">
        <w:t xml:space="preserve">accords women </w:t>
      </w:r>
      <w:r w:rsidR="00F426BB" w:rsidRPr="00E163C6">
        <w:t>equal rights and prohibits gender discrimination.</w:t>
      </w:r>
      <w:r w:rsidR="00F426BB" w:rsidRPr="00E163C6">
        <w:rPr>
          <w:rStyle w:val="FootnoteReference"/>
        </w:rPr>
        <w:footnoteReference w:id="12"/>
      </w:r>
      <w:r w:rsidR="000A68B7" w:rsidRPr="00E163C6">
        <w:t xml:space="preserve"> </w:t>
      </w:r>
    </w:p>
    <w:p w14:paraId="16CE7F7E" w14:textId="792A4B88" w:rsidR="00E81029" w:rsidRPr="00E163C6" w:rsidRDefault="00E81029" w:rsidP="002D1D4D">
      <w:pPr>
        <w:pStyle w:val="ListParagraph"/>
        <w:numPr>
          <w:ilvl w:val="3"/>
          <w:numId w:val="7"/>
        </w:numPr>
        <w:jc w:val="both"/>
      </w:pPr>
      <w:r w:rsidRPr="00E163C6">
        <w:t xml:space="preserve">Women, </w:t>
      </w:r>
      <w:proofErr w:type="gramStart"/>
      <w:r w:rsidRPr="00E163C6">
        <w:t>children</w:t>
      </w:r>
      <w:proofErr w:type="gramEnd"/>
      <w:r w:rsidRPr="00E163C6">
        <w:t xml:space="preserve"> and persons with disabilities are given special consideration with regard to the right to development</w:t>
      </w:r>
      <w:r w:rsidR="00B37DC8" w:rsidRPr="00E163C6">
        <w:t>.</w:t>
      </w:r>
      <w:r w:rsidR="00B37DC8" w:rsidRPr="00E163C6">
        <w:rPr>
          <w:rStyle w:val="FootnoteReference"/>
        </w:rPr>
        <w:footnoteReference w:id="13"/>
      </w:r>
    </w:p>
    <w:p w14:paraId="5841C496" w14:textId="4A9F1DC3" w:rsidR="008F3275" w:rsidRPr="00E163C6" w:rsidRDefault="008F3275" w:rsidP="002D1D4D">
      <w:pPr>
        <w:pStyle w:val="ListParagraph"/>
        <w:numPr>
          <w:ilvl w:val="3"/>
          <w:numId w:val="7"/>
        </w:numPr>
        <w:jc w:val="both"/>
      </w:pPr>
      <w:r w:rsidRPr="00E163C6">
        <w:t>Nowhere in the Disability Act or the Handi</w:t>
      </w:r>
      <w:r w:rsidR="00D74901" w:rsidRPr="00E163C6">
        <w:t>capped Persons Act</w:t>
      </w:r>
      <w:r w:rsidR="00311475" w:rsidRPr="00E163C6">
        <w:rPr>
          <w:rStyle w:val="FootnoteReference"/>
        </w:rPr>
        <w:footnoteReference w:id="14"/>
      </w:r>
      <w:r w:rsidR="00D74901" w:rsidRPr="00E163C6">
        <w:t xml:space="preserve"> does it specifically mention </w:t>
      </w:r>
      <w:r w:rsidR="00DD6DA2" w:rsidRPr="00E163C6">
        <w:t>women or girls</w:t>
      </w:r>
      <w:r w:rsidR="00E845EA" w:rsidRPr="00E163C6">
        <w:t>, nor do they recognize that women and girls are subject to multiple</w:t>
      </w:r>
      <w:r w:rsidR="006A138E">
        <w:t xml:space="preserve"> </w:t>
      </w:r>
      <w:r w:rsidR="00E845EA" w:rsidRPr="00E163C6">
        <w:t>discrimination.</w:t>
      </w:r>
      <w:r w:rsidR="00D74901" w:rsidRPr="00E163C6">
        <w:t xml:space="preserve"> </w:t>
      </w:r>
    </w:p>
    <w:p w14:paraId="10BA5F79" w14:textId="5D956E39" w:rsidR="00D0193E" w:rsidRPr="00E163C6" w:rsidRDefault="00C67FB4" w:rsidP="00670D34">
      <w:pPr>
        <w:pStyle w:val="ListParagraph"/>
        <w:numPr>
          <w:ilvl w:val="2"/>
          <w:numId w:val="7"/>
        </w:numPr>
        <w:jc w:val="both"/>
        <w:rPr>
          <w:b/>
          <w:bCs/>
        </w:rPr>
      </w:pPr>
      <w:r w:rsidRPr="00E163C6">
        <w:rPr>
          <w:b/>
          <w:bCs/>
        </w:rPr>
        <w:t>Prison Transfers</w:t>
      </w:r>
    </w:p>
    <w:p w14:paraId="2556738B" w14:textId="49D29547" w:rsidR="00C67FB4" w:rsidRPr="00E163C6" w:rsidRDefault="00C67FB4" w:rsidP="00C67FB4">
      <w:pPr>
        <w:pStyle w:val="ListParagraph"/>
        <w:numPr>
          <w:ilvl w:val="3"/>
          <w:numId w:val="7"/>
        </w:numPr>
        <w:jc w:val="both"/>
      </w:pPr>
      <w:r w:rsidRPr="00E163C6">
        <w:t>During the Covid-19 pandemic, many women in prison were transferred to other prisons, mostly to rural areas</w:t>
      </w:r>
      <w:r w:rsidR="000C6DEF" w:rsidRPr="00E163C6">
        <w:t>, which are harder to reach by family m</w:t>
      </w:r>
      <w:r w:rsidR="0051247F" w:rsidRPr="00E163C6">
        <w:t xml:space="preserve">embers. </w:t>
      </w:r>
      <w:r w:rsidRPr="00E163C6">
        <w:t>During these transfers, women were disproportionately affected.</w:t>
      </w:r>
      <w:r w:rsidR="00472EC6" w:rsidRPr="00E163C6">
        <w:rPr>
          <w:rStyle w:val="FootnoteReference"/>
        </w:rPr>
        <w:footnoteReference w:id="15"/>
      </w:r>
      <w:r w:rsidR="0051247F" w:rsidRPr="00E163C6">
        <w:t xml:space="preserve"> Even though Covid-19 emergency policies </w:t>
      </w:r>
      <w:r w:rsidR="008E1D5E" w:rsidRPr="00E163C6">
        <w:t>are no longer in effect, many women have not been transferred back to their original plac</w:t>
      </w:r>
      <w:r w:rsidR="008D0827" w:rsidRPr="00E163C6">
        <w:t>es of detention, and they have not been given the opportunity to request transfers to a prison closer to their families.</w:t>
      </w:r>
    </w:p>
    <w:p w14:paraId="30223876" w14:textId="48673CA1" w:rsidR="00C67FB4" w:rsidRPr="00E163C6" w:rsidRDefault="00C67FB4" w:rsidP="00C67FB4">
      <w:pPr>
        <w:pStyle w:val="ListParagraph"/>
        <w:numPr>
          <w:ilvl w:val="3"/>
          <w:numId w:val="7"/>
        </w:numPr>
        <w:jc w:val="both"/>
      </w:pPr>
      <w:r w:rsidRPr="00E163C6">
        <w:t>Women with disabilities in prison rely on their family members for food, supplies for hygiene and social support.</w:t>
      </w:r>
      <w:r w:rsidR="00550113" w:rsidRPr="00E163C6">
        <w:t xml:space="preserve"> Family members are no longer able to monitor prison conditions, and women are deprived of material and social support. </w:t>
      </w:r>
    </w:p>
    <w:p w14:paraId="03BF5FCA" w14:textId="13667B50" w:rsidR="00D0193E" w:rsidRPr="00E163C6" w:rsidRDefault="00550113" w:rsidP="00670D34">
      <w:pPr>
        <w:pStyle w:val="ListParagraph"/>
        <w:numPr>
          <w:ilvl w:val="2"/>
          <w:numId w:val="7"/>
        </w:numPr>
        <w:jc w:val="both"/>
        <w:rPr>
          <w:b/>
          <w:bCs/>
        </w:rPr>
      </w:pPr>
      <w:r w:rsidRPr="00E163C6">
        <w:rPr>
          <w:b/>
          <w:bCs/>
        </w:rPr>
        <w:t>Women on Death Row</w:t>
      </w:r>
    </w:p>
    <w:p w14:paraId="09ED9C4C" w14:textId="68C98520" w:rsidR="00550113" w:rsidRPr="00E163C6" w:rsidRDefault="00550113" w:rsidP="00550113">
      <w:pPr>
        <w:pStyle w:val="ListParagraph"/>
        <w:numPr>
          <w:ilvl w:val="3"/>
          <w:numId w:val="7"/>
        </w:numPr>
        <w:jc w:val="both"/>
      </w:pPr>
      <w:r w:rsidRPr="00E163C6">
        <w:t xml:space="preserve">The only woman who was on death row until </w:t>
      </w:r>
      <w:r w:rsidR="006A138E">
        <w:t>2022, when her sentence was commuted to life imprisonment</w:t>
      </w:r>
      <w:r w:rsidRPr="00E163C6">
        <w:t>, was sentenced to death in 2019 for her limited involvement in a missing person and suspected homicide case. In her trial, the court failed to consider her</w:t>
      </w:r>
      <w:r w:rsidR="008C1B1E" w:rsidRPr="00E163C6">
        <w:t xml:space="preserve"> developmental delays and psycho-social disability. Furthermore, her defence lawyer failed to present evidence about the severe domestic violence that she experienced at the hands of her first and second husbands.</w:t>
      </w:r>
      <w:r w:rsidR="008C1B1E" w:rsidRPr="00E163C6">
        <w:rPr>
          <w:rStyle w:val="FootnoteReference"/>
        </w:rPr>
        <w:footnoteReference w:id="16"/>
      </w:r>
      <w:r w:rsidR="008C1B1E" w:rsidRPr="00E163C6">
        <w:t xml:space="preserve"> The abuse, compounded with her intellectual disability, rendered her easy to influence and exploit by the police. </w:t>
      </w:r>
    </w:p>
    <w:p w14:paraId="46BDBF80" w14:textId="4CB7C9E5" w:rsidR="00D0193E" w:rsidRPr="00E163C6" w:rsidRDefault="00D0193E" w:rsidP="00670D34">
      <w:pPr>
        <w:pStyle w:val="ListParagraph"/>
        <w:numPr>
          <w:ilvl w:val="1"/>
          <w:numId w:val="7"/>
        </w:numPr>
        <w:jc w:val="both"/>
        <w:rPr>
          <w:b/>
          <w:bCs/>
        </w:rPr>
      </w:pPr>
      <w:r w:rsidRPr="00E163C6">
        <w:rPr>
          <w:b/>
          <w:bCs/>
        </w:rPr>
        <w:lastRenderedPageBreak/>
        <w:t>Article 8 – Awareness-raising</w:t>
      </w:r>
    </w:p>
    <w:p w14:paraId="796B8BFB" w14:textId="2DE62408" w:rsidR="001379D4" w:rsidRPr="00E163C6" w:rsidRDefault="008C1B1E" w:rsidP="008C1B1E">
      <w:pPr>
        <w:pStyle w:val="ListParagraph"/>
        <w:numPr>
          <w:ilvl w:val="2"/>
          <w:numId w:val="7"/>
        </w:numPr>
        <w:rPr>
          <w:b/>
          <w:bCs/>
        </w:rPr>
      </w:pPr>
      <w:r w:rsidRPr="00E163C6">
        <w:rPr>
          <w:b/>
          <w:bCs/>
        </w:rPr>
        <w:t>Legal Framework</w:t>
      </w:r>
      <w:r w:rsidR="001379D4" w:rsidRPr="00E163C6">
        <w:rPr>
          <w:b/>
          <w:bCs/>
        </w:rPr>
        <w:t xml:space="preserve"> </w:t>
      </w:r>
    </w:p>
    <w:p w14:paraId="69DC5FC8" w14:textId="6B09E9DA" w:rsidR="008C1B1E" w:rsidRPr="00E163C6" w:rsidRDefault="001379D4" w:rsidP="001379D4">
      <w:pPr>
        <w:pStyle w:val="ListParagraph"/>
        <w:numPr>
          <w:ilvl w:val="3"/>
          <w:numId w:val="7"/>
        </w:numPr>
      </w:pPr>
      <w:r w:rsidRPr="00E163C6">
        <w:t>In 2018, the Government of Malawi created a National Action Plan on Persons with Albinism</w:t>
      </w:r>
      <w:r w:rsidRPr="00E163C6">
        <w:rPr>
          <w:rStyle w:val="FootnoteReference"/>
        </w:rPr>
        <w:footnoteReference w:id="17"/>
      </w:r>
      <w:r w:rsidRPr="00E163C6">
        <w:t xml:space="preserve"> (the “National Action Plan”) to improve accountability for acts of cruel, </w:t>
      </w:r>
      <w:proofErr w:type="gramStart"/>
      <w:r w:rsidRPr="00E163C6">
        <w:t>inhuman</w:t>
      </w:r>
      <w:proofErr w:type="gramEnd"/>
      <w:r w:rsidRPr="00E163C6">
        <w:t xml:space="preserve"> or degrading treatment or punishment perpetrated against persons with albinism.</w:t>
      </w:r>
    </w:p>
    <w:p w14:paraId="245F3E2C" w14:textId="7F484AB2" w:rsidR="008C1B1E" w:rsidRPr="00E163C6" w:rsidRDefault="008C1B1E" w:rsidP="008C1B1E">
      <w:pPr>
        <w:pStyle w:val="ListParagraph"/>
        <w:numPr>
          <w:ilvl w:val="2"/>
          <w:numId w:val="7"/>
        </w:numPr>
        <w:rPr>
          <w:b/>
          <w:bCs/>
        </w:rPr>
      </w:pPr>
      <w:r w:rsidRPr="00E163C6">
        <w:rPr>
          <w:b/>
          <w:bCs/>
        </w:rPr>
        <w:t>Attacks on People with Albinism</w:t>
      </w:r>
    </w:p>
    <w:p w14:paraId="780579D4" w14:textId="75D69F9B" w:rsidR="008C1B1E" w:rsidRPr="00E163C6" w:rsidRDefault="008C1B1E" w:rsidP="008C1B1E">
      <w:pPr>
        <w:pStyle w:val="ListParagraph"/>
        <w:numPr>
          <w:ilvl w:val="3"/>
          <w:numId w:val="7"/>
        </w:numPr>
      </w:pPr>
      <w:r w:rsidRPr="00E163C6">
        <w:t xml:space="preserve">Crimes against people with albinism, including kidnapping and murder, have been a serious issue in Malawi for many years. </w:t>
      </w:r>
      <w:r w:rsidR="001379D4" w:rsidRPr="00E163C6">
        <w:t xml:space="preserve">Despite the National Action Plan, </w:t>
      </w:r>
      <w:r w:rsidRPr="00E163C6">
        <w:t>the Government has resorted to heavy-handed police and prosecution tactics, rather than improve awareness on the myths and misconceptions of albinism.</w:t>
      </w:r>
    </w:p>
    <w:p w14:paraId="0D5EA168" w14:textId="5C2B5D40" w:rsidR="005D03EC" w:rsidRPr="00E163C6" w:rsidRDefault="005D03EC" w:rsidP="005D03EC">
      <w:pPr>
        <w:pStyle w:val="ListParagraph"/>
        <w:numPr>
          <w:ilvl w:val="3"/>
          <w:numId w:val="7"/>
        </w:numPr>
      </w:pPr>
      <w:r w:rsidRPr="00E163C6">
        <w:t xml:space="preserve">Between 2019 and 2020, twelve people were sentenced to death in Malawi for crimes involving attacks on people with albinism. These were the first death sentences imposed following a three-year hiatus by the Malawian courts. </w:t>
      </w:r>
    </w:p>
    <w:p w14:paraId="091CD456" w14:textId="77777777" w:rsidR="005D03EC" w:rsidRPr="00E163C6" w:rsidRDefault="005D03EC" w:rsidP="005D03EC">
      <w:pPr>
        <w:pStyle w:val="ListParagraph"/>
        <w:numPr>
          <w:ilvl w:val="3"/>
          <w:numId w:val="7"/>
        </w:numPr>
      </w:pPr>
      <w:r w:rsidRPr="00E163C6">
        <w:t>Perpetrators of attacks on people with albinism should be brought to justice, but there is a well-founded concern amongst rights groups and the albinism community that the use of the death penalty is merely a face-saving mechanism for a government that refuses to address the root causes of these crimes, obstructing true justice for the victims.</w:t>
      </w:r>
    </w:p>
    <w:p w14:paraId="320AAD9A" w14:textId="77777777" w:rsidR="005D03EC" w:rsidRPr="00E163C6" w:rsidRDefault="005D03EC" w:rsidP="005D03EC">
      <w:pPr>
        <w:pStyle w:val="ListParagraph"/>
        <w:numPr>
          <w:ilvl w:val="3"/>
          <w:numId w:val="7"/>
        </w:numPr>
      </w:pPr>
      <w:r w:rsidRPr="00E163C6">
        <w:t>Various stakeholders have also stated that, despite the abovementioned Plan, not much has been achieved to protect and impact the lives of persons with albinism.</w:t>
      </w:r>
      <w:r w:rsidRPr="00E163C6">
        <w:rPr>
          <w:rStyle w:val="FootnoteReference"/>
        </w:rPr>
        <w:footnoteReference w:id="18"/>
      </w:r>
      <w:r w:rsidRPr="00E163C6">
        <w:t xml:space="preserve"> Despite urging from the United Nations to continue implementation of the National Action Plan,</w:t>
      </w:r>
      <w:r w:rsidRPr="00E163C6">
        <w:rPr>
          <w:rStyle w:val="FootnoteReference"/>
        </w:rPr>
        <w:footnoteReference w:id="19"/>
      </w:r>
      <w:r w:rsidRPr="00E163C6">
        <w:t xml:space="preserve"> the Government announced budget cuts in the Plan’s implementation from K400 million to K200 million in June 2022.</w:t>
      </w:r>
      <w:r w:rsidRPr="00E163C6">
        <w:rPr>
          <w:rStyle w:val="FootnoteReference"/>
        </w:rPr>
        <w:footnoteReference w:id="20"/>
      </w:r>
      <w:r w:rsidRPr="00E163C6">
        <w:t xml:space="preserve"> </w:t>
      </w:r>
    </w:p>
    <w:p w14:paraId="5EB2B5ED" w14:textId="68784310" w:rsidR="005D03EC" w:rsidRPr="00E163C6" w:rsidRDefault="005D03EC" w:rsidP="005D03EC">
      <w:pPr>
        <w:pStyle w:val="ListParagraph"/>
        <w:numPr>
          <w:ilvl w:val="3"/>
          <w:numId w:val="7"/>
        </w:numPr>
      </w:pPr>
      <w:r w:rsidRPr="00E163C6">
        <w:t>There is a real risk that those arrested in crimes involving persons with albinism are being assigned blame or deliberately silenced to shield the true perpetrators</w:t>
      </w:r>
      <w:r w:rsidR="006A138E">
        <w:t>.</w:t>
      </w:r>
      <w:r w:rsidRPr="00E163C6">
        <w:rPr>
          <w:rStyle w:val="FootnoteReference"/>
        </w:rPr>
        <w:footnoteReference w:id="21"/>
      </w:r>
      <w:r w:rsidRPr="00E163C6">
        <w:t xml:space="preserve"> </w:t>
      </w:r>
      <w:r w:rsidR="006A138E">
        <w:t>Significant efforts have not been</w:t>
      </w:r>
      <w:r w:rsidRPr="00E163C6">
        <w:t xml:space="preserve"> made to sensitise and educate communities about the real harms faced by people with albinism or debunk the myths that surround this vulnerable group.</w:t>
      </w:r>
      <w:r w:rsidRPr="00E163C6">
        <w:rPr>
          <w:rStyle w:val="FootnoteReference"/>
        </w:rPr>
        <w:footnoteReference w:id="22"/>
      </w:r>
      <w:r w:rsidRPr="00E163C6">
        <w:t xml:space="preserve"> In her 2016 report to the UN Human Rights Council, the Independent Expert on albinism explained that the attacks result from “dangerous myths” that body parts of persons with albinism “will induce wealth, good luck and political success”.</w:t>
      </w:r>
      <w:r w:rsidRPr="00E163C6">
        <w:rPr>
          <w:rStyle w:val="FootnoteReference"/>
        </w:rPr>
        <w:footnoteReference w:id="23"/>
      </w:r>
    </w:p>
    <w:p w14:paraId="67846A2B" w14:textId="7A664A7A" w:rsidR="008C1B1E" w:rsidRPr="00E163C6" w:rsidRDefault="005D03EC" w:rsidP="005D03EC">
      <w:pPr>
        <w:pStyle w:val="ListParagraph"/>
        <w:numPr>
          <w:ilvl w:val="3"/>
          <w:numId w:val="7"/>
        </w:numPr>
      </w:pPr>
      <w:r w:rsidRPr="00E163C6">
        <w:lastRenderedPageBreak/>
        <w:t>The National Action Plan also falls short of protecting people with albinism where it does not ensure accountability for individuals who are involved in trafficking albino body parts. A police spokesperson has denied the existence of a market for body parts of people with albinism and has refused to crackdown on such markets.</w:t>
      </w:r>
      <w:r w:rsidRPr="00E163C6">
        <w:rPr>
          <w:rStyle w:val="FootnoteReference"/>
        </w:rPr>
        <w:footnoteReference w:id="24"/>
      </w:r>
    </w:p>
    <w:p w14:paraId="1F1A51E1" w14:textId="321CD331" w:rsidR="008A0187" w:rsidRPr="00E163C6" w:rsidRDefault="008A0187" w:rsidP="00670D34">
      <w:pPr>
        <w:pStyle w:val="ListParagraph"/>
        <w:numPr>
          <w:ilvl w:val="1"/>
          <w:numId w:val="7"/>
        </w:numPr>
        <w:jc w:val="both"/>
        <w:rPr>
          <w:b/>
          <w:bCs/>
        </w:rPr>
      </w:pPr>
      <w:r w:rsidRPr="00E163C6">
        <w:rPr>
          <w:b/>
          <w:bCs/>
        </w:rPr>
        <w:t>Article 9 – Accessibility</w:t>
      </w:r>
    </w:p>
    <w:p w14:paraId="60B32669" w14:textId="5E608C1B" w:rsidR="005D03EC" w:rsidRPr="00E163C6" w:rsidRDefault="004C7714" w:rsidP="005D03EC">
      <w:pPr>
        <w:pStyle w:val="ListParagraph"/>
        <w:numPr>
          <w:ilvl w:val="2"/>
          <w:numId w:val="7"/>
        </w:numPr>
        <w:jc w:val="both"/>
        <w:rPr>
          <w:b/>
          <w:bCs/>
        </w:rPr>
      </w:pPr>
      <w:r w:rsidRPr="00E163C6">
        <w:rPr>
          <w:b/>
          <w:bCs/>
        </w:rPr>
        <w:t>Legal Framework</w:t>
      </w:r>
    </w:p>
    <w:p w14:paraId="6B3A80EB" w14:textId="1B2CA7F6" w:rsidR="00005E20" w:rsidRPr="00E163C6" w:rsidRDefault="00005E20" w:rsidP="00005E20">
      <w:pPr>
        <w:pStyle w:val="ListParagraph"/>
        <w:numPr>
          <w:ilvl w:val="3"/>
          <w:numId w:val="7"/>
        </w:numPr>
      </w:pPr>
      <w:r w:rsidRPr="00E163C6">
        <w:t xml:space="preserve">Section </w:t>
      </w:r>
      <w:r w:rsidR="007243F0" w:rsidRPr="00E163C6">
        <w:t>8</w:t>
      </w:r>
      <w:r w:rsidR="00D654B3" w:rsidRPr="00E163C6">
        <w:t>(a)</w:t>
      </w:r>
      <w:r w:rsidRPr="00E163C6">
        <w:t xml:space="preserve"> of the Disability Act commits the Government of Malawi to </w:t>
      </w:r>
      <w:r w:rsidR="00D654B3" w:rsidRPr="00E163C6">
        <w:t>ensure that persons with disabilities have access to public facilities.</w:t>
      </w:r>
    </w:p>
    <w:p w14:paraId="79AA615A" w14:textId="583FD90B" w:rsidR="005D03EC" w:rsidRPr="00E163C6" w:rsidRDefault="005D03EC" w:rsidP="005D03EC">
      <w:pPr>
        <w:pStyle w:val="ListParagraph"/>
        <w:numPr>
          <w:ilvl w:val="2"/>
          <w:numId w:val="7"/>
        </w:numPr>
        <w:jc w:val="both"/>
        <w:rPr>
          <w:b/>
          <w:bCs/>
        </w:rPr>
      </w:pPr>
      <w:r w:rsidRPr="00E163C6">
        <w:rPr>
          <w:b/>
          <w:bCs/>
        </w:rPr>
        <w:t>Places of Detention</w:t>
      </w:r>
    </w:p>
    <w:p w14:paraId="477468A4" w14:textId="24ABEF06" w:rsidR="005D03EC" w:rsidRPr="00E163C6" w:rsidRDefault="005D03EC" w:rsidP="005D03EC">
      <w:pPr>
        <w:pStyle w:val="ListParagraph"/>
        <w:numPr>
          <w:ilvl w:val="3"/>
          <w:numId w:val="7"/>
        </w:numPr>
        <w:jc w:val="both"/>
      </w:pPr>
      <w:r w:rsidRPr="00E163C6">
        <w:t xml:space="preserve">In our experience, police stations and jails are not accessible to persons with disabilities. </w:t>
      </w:r>
    </w:p>
    <w:p w14:paraId="4B6B6A6F" w14:textId="3FBCC23D" w:rsidR="005D03EC" w:rsidRPr="00E163C6" w:rsidRDefault="005D03EC" w:rsidP="005D03EC">
      <w:pPr>
        <w:pStyle w:val="ListParagraph"/>
        <w:numPr>
          <w:ilvl w:val="3"/>
          <w:numId w:val="7"/>
        </w:numPr>
        <w:jc w:val="both"/>
      </w:pPr>
      <w:r w:rsidRPr="00E163C6">
        <w:t xml:space="preserve">People in prison are not given reasonable accommodations for mobility challenges. Ramps and elevators are not generally </w:t>
      </w:r>
      <w:proofErr w:type="gramStart"/>
      <w:r w:rsidRPr="00E163C6">
        <w:t>available,</w:t>
      </w:r>
      <w:proofErr w:type="gramEnd"/>
      <w:r w:rsidRPr="00E163C6">
        <w:t xml:space="preserve"> thus many prison areas are inaccessible to people. People are not even afforded walking aides. There are no provisions for people with hearing or vision challenges.</w:t>
      </w:r>
    </w:p>
    <w:p w14:paraId="06970DAF" w14:textId="1D04A9E2" w:rsidR="007018D1" w:rsidRPr="00E163C6" w:rsidRDefault="007018D1" w:rsidP="005D03EC">
      <w:pPr>
        <w:pStyle w:val="ListParagraph"/>
        <w:numPr>
          <w:ilvl w:val="3"/>
          <w:numId w:val="7"/>
        </w:numPr>
        <w:jc w:val="both"/>
      </w:pPr>
      <w:r w:rsidRPr="00E163C6">
        <w:t>Although the Constitution provides that a person with a disability may be held in separate accommodation in places of detention,</w:t>
      </w:r>
      <w:r w:rsidRPr="00E163C6">
        <w:rPr>
          <w:rStyle w:val="FootnoteReference"/>
        </w:rPr>
        <w:footnoteReference w:id="25"/>
      </w:r>
      <w:r w:rsidRPr="00E163C6">
        <w:t xml:space="preserve"> </w:t>
      </w:r>
      <w:r w:rsidR="009A57A3" w:rsidRPr="00E163C6">
        <w:t>it is our experience that prisons and jails do not implement this provision in a</w:t>
      </w:r>
      <w:r w:rsidR="001215EC" w:rsidRPr="00E163C6">
        <w:t xml:space="preserve"> way that meaningfully protects and promotes the rights of persons with disabilities. For example, persons with disabilities or other mobility challenges may be held in the same cell, but there i</w:t>
      </w:r>
      <w:r w:rsidR="00A5558D" w:rsidRPr="00E163C6">
        <w:t xml:space="preserve">s often no segregation between </w:t>
      </w:r>
      <w:proofErr w:type="gramStart"/>
      <w:r w:rsidR="00A5558D" w:rsidRPr="00E163C6">
        <w:t>them</w:t>
      </w:r>
      <w:proofErr w:type="gramEnd"/>
      <w:r w:rsidR="00A5558D" w:rsidRPr="00E163C6">
        <w:t xml:space="preserve"> and other people deprived of their liberty and no special accommodations provided.</w:t>
      </w:r>
      <w:r w:rsidR="00A5558D" w:rsidRPr="00E163C6">
        <w:rPr>
          <w:rStyle w:val="FootnoteReference"/>
        </w:rPr>
        <w:footnoteReference w:id="26"/>
      </w:r>
    </w:p>
    <w:p w14:paraId="360B16D7" w14:textId="0B875997" w:rsidR="008A0187" w:rsidRPr="00E163C6" w:rsidRDefault="008A0187" w:rsidP="00670D34">
      <w:pPr>
        <w:pStyle w:val="ListParagraph"/>
        <w:numPr>
          <w:ilvl w:val="1"/>
          <w:numId w:val="7"/>
        </w:numPr>
        <w:jc w:val="both"/>
        <w:rPr>
          <w:b/>
          <w:bCs/>
        </w:rPr>
      </w:pPr>
      <w:r w:rsidRPr="00E163C6">
        <w:rPr>
          <w:b/>
          <w:bCs/>
        </w:rPr>
        <w:t>Article 10 – Right to life</w:t>
      </w:r>
    </w:p>
    <w:p w14:paraId="15BA3B0E" w14:textId="795F0753" w:rsidR="008A0187" w:rsidRPr="00E163C6" w:rsidRDefault="003F6DB1" w:rsidP="00670D34">
      <w:pPr>
        <w:pStyle w:val="ListParagraph"/>
        <w:numPr>
          <w:ilvl w:val="2"/>
          <w:numId w:val="7"/>
        </w:numPr>
        <w:jc w:val="both"/>
      </w:pPr>
      <w:r w:rsidRPr="00E163C6">
        <w:t>The</w:t>
      </w:r>
      <w:r w:rsidRPr="00E163C6">
        <w:rPr>
          <w:rFonts w:asciiTheme="minorHAnsi" w:hAnsiTheme="minorHAnsi"/>
          <w:color w:val="000000"/>
        </w:rPr>
        <w:t xml:space="preserve"> Constitution of Malawi guarantees everyone the right to life, </w:t>
      </w:r>
      <w:proofErr w:type="gramStart"/>
      <w:r w:rsidRPr="00E163C6">
        <w:rPr>
          <w:rFonts w:asciiTheme="minorHAnsi" w:hAnsiTheme="minorHAnsi"/>
          <w:color w:val="000000"/>
        </w:rPr>
        <w:t>with the exception of</w:t>
      </w:r>
      <w:proofErr w:type="gramEnd"/>
      <w:r w:rsidRPr="00E163C6">
        <w:rPr>
          <w:rFonts w:asciiTheme="minorHAnsi" w:hAnsiTheme="minorHAnsi"/>
          <w:color w:val="000000"/>
        </w:rPr>
        <w:t xml:space="preserve"> the legal application of the death penalty.</w:t>
      </w:r>
      <w:r w:rsidRPr="00E163C6">
        <w:rPr>
          <w:rFonts w:asciiTheme="minorHAnsi" w:hAnsiTheme="minorHAnsi"/>
          <w:color w:val="000000"/>
          <w:vertAlign w:val="superscript"/>
        </w:rPr>
        <w:footnoteReference w:id="27"/>
      </w:r>
      <w:r w:rsidRPr="00E163C6">
        <w:rPr>
          <w:rFonts w:asciiTheme="minorHAnsi" w:hAnsiTheme="minorHAnsi"/>
          <w:color w:val="000000"/>
        </w:rPr>
        <w:t xml:space="preserve"> As noted below in </w:t>
      </w:r>
      <w:r w:rsidR="00A5558D" w:rsidRPr="00E163C6">
        <w:rPr>
          <w:rFonts w:asciiTheme="minorHAnsi" w:hAnsiTheme="minorHAnsi"/>
          <w:color w:val="000000"/>
        </w:rPr>
        <w:t>S</w:t>
      </w:r>
      <w:r w:rsidRPr="00E163C6">
        <w:rPr>
          <w:rFonts w:asciiTheme="minorHAnsi" w:hAnsiTheme="minorHAnsi"/>
          <w:color w:val="000000"/>
        </w:rPr>
        <w:t xml:space="preserve">ection </w:t>
      </w:r>
      <w:proofErr w:type="spellStart"/>
      <w:r w:rsidRPr="00E163C6">
        <w:rPr>
          <w:rFonts w:asciiTheme="minorHAnsi" w:hAnsiTheme="minorHAnsi"/>
          <w:color w:val="000000"/>
        </w:rPr>
        <w:t>i</w:t>
      </w:r>
      <w:proofErr w:type="spellEnd"/>
      <w:r w:rsidRPr="00E163C6">
        <w:rPr>
          <w:rFonts w:asciiTheme="minorHAnsi" w:hAnsiTheme="minorHAnsi"/>
          <w:color w:val="000000"/>
        </w:rPr>
        <w:t xml:space="preserve">, Malawi is in violation of international norms on the right to life where it sentences persons with disabilities to the death penalty. The lack of accommodations and training of legal actors exposes persons with disabilities to an unequal risk of cruel and harsh criminal punishment.  </w:t>
      </w:r>
    </w:p>
    <w:p w14:paraId="672F7CFB" w14:textId="245C2B24" w:rsidR="008A0187" w:rsidRPr="00E163C6" w:rsidRDefault="008A0187" w:rsidP="00670D34">
      <w:pPr>
        <w:pStyle w:val="ListParagraph"/>
        <w:numPr>
          <w:ilvl w:val="1"/>
          <w:numId w:val="7"/>
        </w:numPr>
        <w:jc w:val="both"/>
        <w:rPr>
          <w:b/>
          <w:bCs/>
        </w:rPr>
      </w:pPr>
      <w:r w:rsidRPr="00E163C6">
        <w:rPr>
          <w:b/>
          <w:bCs/>
        </w:rPr>
        <w:t>Article 12 – Equal recognition before the law</w:t>
      </w:r>
    </w:p>
    <w:p w14:paraId="0838B2F2" w14:textId="2AA64B49" w:rsidR="002E7ADF" w:rsidRPr="00E163C6" w:rsidRDefault="00514012" w:rsidP="00670D34">
      <w:pPr>
        <w:pStyle w:val="ListParagraph"/>
        <w:numPr>
          <w:ilvl w:val="2"/>
          <w:numId w:val="7"/>
        </w:numPr>
        <w:jc w:val="both"/>
        <w:rPr>
          <w:b/>
          <w:bCs/>
        </w:rPr>
      </w:pPr>
      <w:r w:rsidRPr="00E163C6">
        <w:rPr>
          <w:b/>
          <w:bCs/>
        </w:rPr>
        <w:t>Legal Framework</w:t>
      </w:r>
    </w:p>
    <w:p w14:paraId="5F2105D9" w14:textId="3210F42A" w:rsidR="00CF6A56" w:rsidRPr="00E163C6" w:rsidRDefault="00CF6A56" w:rsidP="00CF6A56">
      <w:pPr>
        <w:pStyle w:val="ListParagraph"/>
        <w:numPr>
          <w:ilvl w:val="3"/>
          <w:numId w:val="7"/>
        </w:numPr>
        <w:jc w:val="both"/>
      </w:pPr>
      <w:r w:rsidRPr="00E163C6">
        <w:t>The Constitution of Malawi prohibits discrimination on the grounds of disability</w:t>
      </w:r>
      <w:r w:rsidR="00D761A0" w:rsidRPr="00E163C6">
        <w:t xml:space="preserve"> and promotes </w:t>
      </w:r>
      <w:r w:rsidR="00E67795" w:rsidRPr="00E163C6">
        <w:t>the dignity and quality of life of persons with disabilities.</w:t>
      </w:r>
      <w:r w:rsidR="00E67795" w:rsidRPr="00E163C6">
        <w:rPr>
          <w:rStyle w:val="FootnoteReference"/>
        </w:rPr>
        <w:footnoteReference w:id="28"/>
      </w:r>
    </w:p>
    <w:p w14:paraId="46D2B617" w14:textId="75D26BCE" w:rsidR="004C7714" w:rsidRPr="00E163C6" w:rsidRDefault="004C7714" w:rsidP="00CF6A56">
      <w:pPr>
        <w:pStyle w:val="ListParagraph"/>
        <w:numPr>
          <w:ilvl w:val="3"/>
          <w:numId w:val="7"/>
        </w:numPr>
        <w:jc w:val="both"/>
      </w:pPr>
      <w:r w:rsidRPr="00E163C6">
        <w:t xml:space="preserve">The Disability Act </w:t>
      </w:r>
      <w:r w:rsidR="003B52B1" w:rsidRPr="00E163C6">
        <w:t xml:space="preserve">includes provisions on the right of association and representation, the right to participate in political and public life and the right to economic empowerment. However, there is no </w:t>
      </w:r>
      <w:r w:rsidR="00872E92" w:rsidRPr="00E163C6">
        <w:t>comprehensive</w:t>
      </w:r>
      <w:r w:rsidR="00CF1DF1" w:rsidRPr="00E163C6">
        <w:t xml:space="preserve"> </w:t>
      </w:r>
      <w:r w:rsidR="00872E92" w:rsidRPr="00E163C6">
        <w:t>provision</w:t>
      </w:r>
      <w:r w:rsidR="00CF1DF1" w:rsidRPr="00E163C6">
        <w:t xml:space="preserve"> that affirms the right to enjoy legal capacity</w:t>
      </w:r>
      <w:r w:rsidR="00872E92" w:rsidRPr="00E163C6">
        <w:t xml:space="preserve"> on </w:t>
      </w:r>
      <w:r w:rsidR="001771E7" w:rsidRPr="00E163C6">
        <w:t xml:space="preserve">an </w:t>
      </w:r>
      <w:r w:rsidR="00872E92" w:rsidRPr="00E163C6">
        <w:t>equal basis</w:t>
      </w:r>
      <w:r w:rsidR="001771E7" w:rsidRPr="00E163C6">
        <w:t>.</w:t>
      </w:r>
      <w:r w:rsidR="001771E7" w:rsidRPr="00E163C6">
        <w:rPr>
          <w:rStyle w:val="FootnoteReference"/>
        </w:rPr>
        <w:footnoteReference w:id="29"/>
      </w:r>
    </w:p>
    <w:p w14:paraId="4A6FD9E8" w14:textId="19B4068E" w:rsidR="00F074AA" w:rsidRPr="00E163C6" w:rsidRDefault="00F074AA" w:rsidP="00CF6A56">
      <w:pPr>
        <w:pStyle w:val="ListParagraph"/>
        <w:numPr>
          <w:ilvl w:val="3"/>
          <w:numId w:val="7"/>
        </w:numPr>
        <w:jc w:val="both"/>
      </w:pPr>
      <w:r w:rsidRPr="00E163C6">
        <w:lastRenderedPageBreak/>
        <w:t>In fact, a court in a criminal proceeding may initiate an inquiry into a person’s ‘soundness of mind</w:t>
      </w:r>
      <w:r w:rsidR="00E87017" w:rsidRPr="00E163C6">
        <w:t xml:space="preserve">,’ and can deem someone </w:t>
      </w:r>
      <w:r w:rsidR="007F205A" w:rsidRPr="00E163C6">
        <w:t xml:space="preserve">incapable of </w:t>
      </w:r>
      <w:r w:rsidR="006402EA" w:rsidRPr="00E163C6">
        <w:t>making his defence on their sole discretion.</w:t>
      </w:r>
      <w:r w:rsidR="006402EA" w:rsidRPr="00E163C6">
        <w:rPr>
          <w:rStyle w:val="FootnoteReference"/>
        </w:rPr>
        <w:footnoteReference w:id="30"/>
      </w:r>
    </w:p>
    <w:p w14:paraId="1519AEEF" w14:textId="36285754" w:rsidR="00ED220C" w:rsidRPr="00E163C6" w:rsidRDefault="00E77453" w:rsidP="00670D34">
      <w:pPr>
        <w:pStyle w:val="ListParagraph"/>
        <w:numPr>
          <w:ilvl w:val="2"/>
          <w:numId w:val="7"/>
        </w:numPr>
        <w:jc w:val="both"/>
        <w:rPr>
          <w:b/>
          <w:bCs/>
        </w:rPr>
      </w:pPr>
      <w:r w:rsidRPr="00E163C6">
        <w:rPr>
          <w:b/>
          <w:bCs/>
        </w:rPr>
        <w:t>Awareness on</w:t>
      </w:r>
      <w:r w:rsidR="00ED220C" w:rsidRPr="00E163C6">
        <w:rPr>
          <w:b/>
          <w:bCs/>
        </w:rPr>
        <w:t xml:space="preserve"> Consent and Agency</w:t>
      </w:r>
    </w:p>
    <w:p w14:paraId="1D4442F4" w14:textId="7B56F07D" w:rsidR="002A66E4" w:rsidRPr="00E163C6" w:rsidRDefault="002A66E4" w:rsidP="002A66E4">
      <w:pPr>
        <w:pStyle w:val="ListParagraph"/>
        <w:numPr>
          <w:ilvl w:val="3"/>
          <w:numId w:val="7"/>
        </w:numPr>
        <w:jc w:val="both"/>
      </w:pPr>
      <w:r w:rsidRPr="00E163C6">
        <w:t>Most</w:t>
      </w:r>
      <w:r w:rsidR="00ED220C" w:rsidRPr="00E163C6">
        <w:t xml:space="preserve"> legal actors are not receiving training on disabilities and their impact on legal issues</w:t>
      </w:r>
      <w:r w:rsidRPr="00E163C6">
        <w:t>. In one example, a man was arrested for defiling his aunt, a woman with a disability, when she became pregnant. The man, age 19, was his aunt’s caretaker. His aunt was around 25 years old at the time. A disability non-profit organization sought to provide expertise in the case, but the woman’s family rejected their participation. The family, and the police, assumed that because this woman became pregnant, that she was raped by her nephew. Eventually, a Kenyan expert on disability provided expert opinion on the woman’s capability to consent to sexual relations. Law enforcement assumed that the woman must have been raped due to her disability, and it required an expert opinion to bring to light the nuances of consent and the right of the woman to have healthy relationships.</w:t>
      </w:r>
    </w:p>
    <w:p w14:paraId="4D675400" w14:textId="522257E4" w:rsidR="008A0187" w:rsidRPr="00E163C6" w:rsidRDefault="008A0187" w:rsidP="00670D34">
      <w:pPr>
        <w:pStyle w:val="ListParagraph"/>
        <w:numPr>
          <w:ilvl w:val="1"/>
          <w:numId w:val="7"/>
        </w:numPr>
        <w:jc w:val="both"/>
        <w:rPr>
          <w:b/>
          <w:bCs/>
        </w:rPr>
      </w:pPr>
      <w:r w:rsidRPr="00E163C6">
        <w:rPr>
          <w:b/>
          <w:bCs/>
        </w:rPr>
        <w:t>Article 13 – Access to justice</w:t>
      </w:r>
    </w:p>
    <w:p w14:paraId="735375F8" w14:textId="6BF1288A" w:rsidR="002E7ADF" w:rsidRPr="00E163C6" w:rsidRDefault="002E7ADF" w:rsidP="002A66E4">
      <w:pPr>
        <w:pStyle w:val="ListParagraph"/>
        <w:numPr>
          <w:ilvl w:val="2"/>
          <w:numId w:val="7"/>
        </w:numPr>
        <w:jc w:val="both"/>
        <w:rPr>
          <w:b/>
          <w:bCs/>
        </w:rPr>
      </w:pPr>
      <w:r w:rsidRPr="00E163C6">
        <w:rPr>
          <w:b/>
          <w:bCs/>
        </w:rPr>
        <w:t>Legal Framework</w:t>
      </w:r>
    </w:p>
    <w:p w14:paraId="4BA5264D" w14:textId="25DD2EF9" w:rsidR="00E43DC4" w:rsidRPr="00E163C6" w:rsidRDefault="00E43DC4" w:rsidP="00E43DC4">
      <w:pPr>
        <w:pStyle w:val="ListParagraph"/>
        <w:numPr>
          <w:ilvl w:val="3"/>
          <w:numId w:val="7"/>
        </w:numPr>
        <w:jc w:val="both"/>
      </w:pPr>
      <w:r w:rsidRPr="00E163C6">
        <w:t>The Disability Act</w:t>
      </w:r>
      <w:r w:rsidR="000F24A1" w:rsidRPr="00E163C6">
        <w:t xml:space="preserve"> commits the Government to take appropriate measures to ensure that public facilities are accessible and barrier-free.</w:t>
      </w:r>
      <w:r w:rsidR="000F24A1" w:rsidRPr="00E163C6">
        <w:rPr>
          <w:rStyle w:val="FootnoteReference"/>
        </w:rPr>
        <w:footnoteReference w:id="31"/>
      </w:r>
    </w:p>
    <w:p w14:paraId="54DE0083" w14:textId="6824C406" w:rsidR="002A66E4" w:rsidRPr="00E163C6" w:rsidRDefault="00192E02" w:rsidP="002A66E4">
      <w:pPr>
        <w:pStyle w:val="ListParagraph"/>
        <w:numPr>
          <w:ilvl w:val="2"/>
          <w:numId w:val="7"/>
        </w:numPr>
        <w:jc w:val="both"/>
        <w:rPr>
          <w:b/>
          <w:bCs/>
        </w:rPr>
      </w:pPr>
      <w:r w:rsidRPr="00E163C6">
        <w:rPr>
          <w:b/>
          <w:bCs/>
        </w:rPr>
        <w:t xml:space="preserve">Inaccessibility of </w:t>
      </w:r>
      <w:r w:rsidR="002A66E4" w:rsidRPr="00E163C6">
        <w:rPr>
          <w:b/>
          <w:bCs/>
        </w:rPr>
        <w:t xml:space="preserve">Courts </w:t>
      </w:r>
    </w:p>
    <w:p w14:paraId="63C671E9" w14:textId="77777777" w:rsidR="002A66E4" w:rsidRPr="00E163C6" w:rsidRDefault="002A66E4" w:rsidP="002A66E4">
      <w:pPr>
        <w:pStyle w:val="ListParagraph"/>
        <w:numPr>
          <w:ilvl w:val="3"/>
          <w:numId w:val="7"/>
        </w:numPr>
        <w:jc w:val="both"/>
      </w:pPr>
      <w:r w:rsidRPr="00E163C6">
        <w:t xml:space="preserve">Courts are not accessible to persons with disabilities, as are most governmental institutions. The Supreme Court of Appeals, the highest domestic tribunal in Malawi, is a multi-story building that lacks an elevator. </w:t>
      </w:r>
    </w:p>
    <w:p w14:paraId="4F0CED0E" w14:textId="74E740BA" w:rsidR="002A66E4" w:rsidRPr="00E163C6" w:rsidRDefault="002A66E4" w:rsidP="002A66E4">
      <w:pPr>
        <w:pStyle w:val="ListParagraph"/>
        <w:numPr>
          <w:ilvl w:val="3"/>
          <w:numId w:val="7"/>
        </w:numPr>
        <w:jc w:val="both"/>
      </w:pPr>
      <w:r w:rsidRPr="00E163C6">
        <w:t>Governmental institutions take an ad hoc approach to accessibility, which has led to inequality. In at least one case, a person with a wheelchair had to be carried up to the third floor to reach the courtroom. In another instance, the same person had to push himself and his wheelchair down the stairs</w:t>
      </w:r>
      <w:r w:rsidR="006A138E">
        <w:t xml:space="preserve"> of the court building</w:t>
      </w:r>
      <w:r w:rsidRPr="00E163C6">
        <w:t>.</w:t>
      </w:r>
      <w:r w:rsidRPr="00E163C6">
        <w:rPr>
          <w:rStyle w:val="FootnoteReference"/>
        </w:rPr>
        <w:footnoteReference w:id="32"/>
      </w:r>
      <w:r w:rsidRPr="00E163C6">
        <w:t xml:space="preserve"> </w:t>
      </w:r>
    </w:p>
    <w:p w14:paraId="61887632" w14:textId="6AA679F0" w:rsidR="002A66E4" w:rsidRPr="00E163C6" w:rsidRDefault="002A66E4" w:rsidP="002A66E4">
      <w:pPr>
        <w:pStyle w:val="ListParagraph"/>
        <w:numPr>
          <w:ilvl w:val="2"/>
          <w:numId w:val="7"/>
        </w:numPr>
        <w:jc w:val="both"/>
        <w:rPr>
          <w:b/>
          <w:bCs/>
        </w:rPr>
      </w:pPr>
      <w:r w:rsidRPr="00E163C6">
        <w:rPr>
          <w:b/>
          <w:bCs/>
        </w:rPr>
        <w:t xml:space="preserve">Lack of </w:t>
      </w:r>
      <w:r w:rsidR="00E77453" w:rsidRPr="00E163C6">
        <w:rPr>
          <w:b/>
          <w:bCs/>
        </w:rPr>
        <w:t>T</w:t>
      </w:r>
      <w:r w:rsidRPr="00E163C6">
        <w:rPr>
          <w:b/>
          <w:bCs/>
        </w:rPr>
        <w:t>raining</w:t>
      </w:r>
    </w:p>
    <w:p w14:paraId="3DEF2421" w14:textId="6487157C" w:rsidR="002A66E4" w:rsidRPr="00E163C6" w:rsidRDefault="002A66E4" w:rsidP="002A66E4">
      <w:pPr>
        <w:pStyle w:val="ListParagraph"/>
        <w:numPr>
          <w:ilvl w:val="3"/>
          <w:numId w:val="7"/>
        </w:numPr>
        <w:jc w:val="both"/>
      </w:pPr>
      <w:r w:rsidRPr="00E163C6">
        <w:t>Legal institutions have not promoted training and awareness-building of legal professionals on disabilities. In another case, a person using a hearing aid could not fully understand what was happening in his case because he could not hear the state lawyer.</w:t>
      </w:r>
      <w:r w:rsidRPr="00E163C6">
        <w:rPr>
          <w:rStyle w:val="FootnoteReference"/>
        </w:rPr>
        <w:footnoteReference w:id="33"/>
      </w:r>
      <w:r w:rsidRPr="00E163C6">
        <w:t xml:space="preserve"> </w:t>
      </w:r>
      <w:r w:rsidR="00935ACA" w:rsidRPr="00E163C6">
        <w:t>The lack of training and awareness-building of legal professionals inhibits the Government’s ability to ensure meaningful participation of persons with disabilities in the legal system.</w:t>
      </w:r>
    </w:p>
    <w:p w14:paraId="54A95B7A" w14:textId="18F792C5" w:rsidR="00D6577B" w:rsidRPr="00E163C6" w:rsidRDefault="00D6577B" w:rsidP="00D6577B">
      <w:pPr>
        <w:pStyle w:val="ListParagraph"/>
        <w:numPr>
          <w:ilvl w:val="2"/>
          <w:numId w:val="7"/>
        </w:numPr>
        <w:jc w:val="both"/>
        <w:rPr>
          <w:b/>
          <w:bCs/>
        </w:rPr>
      </w:pPr>
      <w:r w:rsidRPr="00E163C6">
        <w:rPr>
          <w:b/>
          <w:bCs/>
        </w:rPr>
        <w:t>Persons with Long-Term Mental Impairments</w:t>
      </w:r>
    </w:p>
    <w:p w14:paraId="2B383149" w14:textId="6B8901B9" w:rsidR="00D6577B" w:rsidRPr="00E163C6" w:rsidRDefault="00D6577B" w:rsidP="00D6577B">
      <w:pPr>
        <w:pStyle w:val="ListParagraph"/>
        <w:numPr>
          <w:ilvl w:val="3"/>
          <w:numId w:val="7"/>
        </w:numPr>
        <w:jc w:val="both"/>
        <w:rPr>
          <w:bCs/>
        </w:rPr>
      </w:pPr>
      <w:r w:rsidRPr="00E163C6">
        <w:rPr>
          <w:bCs/>
        </w:rPr>
        <w:t>The Disability Act encompasses long-term mental impairments within its definition of disabilities.</w:t>
      </w:r>
      <w:r w:rsidRPr="00E163C6">
        <w:rPr>
          <w:rStyle w:val="FootnoteReference"/>
          <w:bCs/>
        </w:rPr>
        <w:footnoteReference w:id="34"/>
      </w:r>
      <w:r w:rsidRPr="00E163C6">
        <w:rPr>
          <w:bCs/>
        </w:rPr>
        <w:t xml:space="preserve"> An issue of significant concern emerging from the prison system is the absence of comprehensive screening for individuals grappling with mental health </w:t>
      </w:r>
      <w:r w:rsidRPr="00E163C6">
        <w:rPr>
          <w:bCs/>
        </w:rPr>
        <w:lastRenderedPageBreak/>
        <w:t>challenges and disabilities. Consequently, these individuals are initially placed in police cells, and after the lapse of 48 hours, they are transferred to prison. Once there, they remain unless legal representation or family members with access to legal assistance intervene. However, even family members might be hesitant to reintegrate them into the community, especially for serious crimes such as homicide, leading to what can be perceived as indefinite detention.</w:t>
      </w:r>
    </w:p>
    <w:p w14:paraId="0BFB7AB3" w14:textId="418466FC" w:rsidR="00D6577B" w:rsidRPr="00E163C6" w:rsidRDefault="00D6577B" w:rsidP="00D6577B">
      <w:pPr>
        <w:pStyle w:val="ListParagraph"/>
        <w:numPr>
          <w:ilvl w:val="3"/>
          <w:numId w:val="7"/>
        </w:numPr>
        <w:jc w:val="both"/>
        <w:rPr>
          <w:bCs/>
        </w:rPr>
      </w:pPr>
      <w:r w:rsidRPr="00E163C6">
        <w:rPr>
          <w:bCs/>
        </w:rPr>
        <w:t xml:space="preserve">An illustrative case from </w:t>
      </w:r>
      <w:proofErr w:type="spellStart"/>
      <w:r w:rsidRPr="00E163C6">
        <w:rPr>
          <w:bCs/>
        </w:rPr>
        <w:t>Chichiri</w:t>
      </w:r>
      <w:proofErr w:type="spellEnd"/>
      <w:r w:rsidRPr="00E163C6">
        <w:rPr>
          <w:bCs/>
        </w:rPr>
        <w:t xml:space="preserve"> Prison, where an individual has been on remand for 13 years, underscores this concern. Irish Rule of Law International (IRLI) has been collaborating with legal aid partners and state advocates to ensure that those suffering from mental health issues in </w:t>
      </w:r>
      <w:proofErr w:type="spellStart"/>
      <w:r w:rsidRPr="00E163C6">
        <w:rPr>
          <w:bCs/>
        </w:rPr>
        <w:t>Chichiri</w:t>
      </w:r>
      <w:proofErr w:type="spellEnd"/>
      <w:r w:rsidRPr="00E163C6">
        <w:rPr>
          <w:bCs/>
        </w:rPr>
        <w:t xml:space="preserve"> Prison receive the necessary intervention. It is essential to hold duty bearers accountable for their failure to adequately screen individuals with mental health concerns either during the arrest phase or before remand into prison. Because some individuals may not initially present with mental health issues during arrest, implementing a screening process</w:t>
      </w:r>
      <w:r w:rsidRPr="00E163C6">
        <w:rPr>
          <w:bCs/>
        </w:rPr>
        <w:softHyphen/>
        <w:t>—ideally involving input from family members—remains crucial. This approach is especially relevant since prison staff lack adequate training in dealing with mental health matters.</w:t>
      </w:r>
    </w:p>
    <w:p w14:paraId="16C75205" w14:textId="573C1F2A" w:rsidR="005B4D43" w:rsidRPr="00E163C6" w:rsidRDefault="005B4D43" w:rsidP="00670D34">
      <w:pPr>
        <w:pStyle w:val="ListParagraph"/>
        <w:numPr>
          <w:ilvl w:val="1"/>
          <w:numId w:val="7"/>
        </w:numPr>
        <w:jc w:val="both"/>
        <w:rPr>
          <w:b/>
          <w:bCs/>
        </w:rPr>
      </w:pPr>
      <w:r w:rsidRPr="00E163C6">
        <w:rPr>
          <w:b/>
          <w:bCs/>
        </w:rPr>
        <w:t>Article 14 – Liberty and security of the person</w:t>
      </w:r>
    </w:p>
    <w:p w14:paraId="27296A4E" w14:textId="797C8940" w:rsidR="009B1657" w:rsidRPr="00E163C6" w:rsidRDefault="004C7714" w:rsidP="00670D34">
      <w:pPr>
        <w:pStyle w:val="ListParagraph"/>
        <w:numPr>
          <w:ilvl w:val="2"/>
          <w:numId w:val="7"/>
        </w:numPr>
        <w:jc w:val="both"/>
        <w:rPr>
          <w:b/>
          <w:bCs/>
        </w:rPr>
      </w:pPr>
      <w:r w:rsidRPr="00E163C6">
        <w:rPr>
          <w:b/>
          <w:bCs/>
        </w:rPr>
        <w:t>Legal Framework</w:t>
      </w:r>
    </w:p>
    <w:p w14:paraId="66C76926" w14:textId="77777777" w:rsidR="009B1657" w:rsidRPr="00E163C6" w:rsidRDefault="009B1657" w:rsidP="009B1657">
      <w:pPr>
        <w:pStyle w:val="ListParagraph"/>
        <w:numPr>
          <w:ilvl w:val="3"/>
          <w:numId w:val="7"/>
        </w:numPr>
        <w:jc w:val="both"/>
        <w:rPr>
          <w:rFonts w:asciiTheme="minorHAnsi" w:hAnsiTheme="minorHAnsi"/>
          <w:color w:val="000000"/>
        </w:rPr>
      </w:pPr>
      <w:r w:rsidRPr="00E163C6">
        <w:t>The</w:t>
      </w:r>
      <w:r w:rsidRPr="00E163C6">
        <w:rPr>
          <w:rFonts w:asciiTheme="minorHAnsi" w:hAnsiTheme="minorHAnsi"/>
          <w:color w:val="000000"/>
        </w:rPr>
        <w:t xml:space="preserve"> Constitution of Malawi guarantees everyone the right to life, </w:t>
      </w:r>
      <w:proofErr w:type="gramStart"/>
      <w:r w:rsidRPr="00E163C6">
        <w:rPr>
          <w:rFonts w:asciiTheme="minorHAnsi" w:hAnsiTheme="minorHAnsi"/>
          <w:color w:val="000000"/>
        </w:rPr>
        <w:t>with the exception of</w:t>
      </w:r>
      <w:proofErr w:type="gramEnd"/>
      <w:r w:rsidRPr="00E163C6">
        <w:rPr>
          <w:rFonts w:asciiTheme="minorHAnsi" w:hAnsiTheme="minorHAnsi"/>
          <w:color w:val="000000"/>
        </w:rPr>
        <w:t xml:space="preserve"> the legal application of the death penalty.</w:t>
      </w:r>
      <w:r w:rsidRPr="00E163C6">
        <w:rPr>
          <w:rFonts w:asciiTheme="minorHAnsi" w:hAnsiTheme="minorHAnsi"/>
          <w:color w:val="000000"/>
          <w:vertAlign w:val="superscript"/>
        </w:rPr>
        <w:footnoteReference w:id="35"/>
      </w:r>
      <w:r w:rsidRPr="00E163C6">
        <w:rPr>
          <w:rFonts w:asciiTheme="minorHAnsi" w:hAnsiTheme="minorHAnsi"/>
          <w:color w:val="000000"/>
        </w:rPr>
        <w:t xml:space="preserve"> The death sentence may be imposed for rape,</w:t>
      </w:r>
      <w:r w:rsidRPr="00E163C6">
        <w:rPr>
          <w:rFonts w:asciiTheme="minorHAnsi" w:hAnsiTheme="minorHAnsi"/>
          <w:color w:val="000000"/>
          <w:vertAlign w:val="superscript"/>
        </w:rPr>
        <w:footnoteReference w:id="36"/>
      </w:r>
      <w:r w:rsidRPr="00E163C6">
        <w:rPr>
          <w:rFonts w:asciiTheme="minorHAnsi" w:hAnsiTheme="minorHAnsi"/>
          <w:color w:val="000000"/>
        </w:rPr>
        <w:t xml:space="preserve"> treason,</w:t>
      </w:r>
      <w:r w:rsidRPr="00E163C6">
        <w:rPr>
          <w:rFonts w:asciiTheme="minorHAnsi" w:hAnsiTheme="minorHAnsi"/>
          <w:color w:val="000000"/>
          <w:vertAlign w:val="superscript"/>
        </w:rPr>
        <w:footnoteReference w:id="37"/>
      </w:r>
      <w:r w:rsidRPr="00E163C6">
        <w:rPr>
          <w:rFonts w:asciiTheme="minorHAnsi" w:hAnsiTheme="minorHAnsi"/>
          <w:color w:val="000000"/>
        </w:rPr>
        <w:t xml:space="preserve"> murder,</w:t>
      </w:r>
      <w:r w:rsidRPr="00E163C6">
        <w:rPr>
          <w:rFonts w:asciiTheme="minorHAnsi" w:hAnsiTheme="minorHAnsi"/>
          <w:color w:val="000000"/>
          <w:vertAlign w:val="superscript"/>
        </w:rPr>
        <w:footnoteReference w:id="38"/>
      </w:r>
      <w:r w:rsidRPr="00E163C6">
        <w:rPr>
          <w:rFonts w:asciiTheme="minorHAnsi" w:hAnsiTheme="minorHAnsi"/>
          <w:color w:val="000000"/>
        </w:rPr>
        <w:t xml:space="preserve"> genocide,</w:t>
      </w:r>
      <w:r w:rsidRPr="00E163C6">
        <w:rPr>
          <w:rFonts w:asciiTheme="minorHAnsi" w:hAnsiTheme="minorHAnsi"/>
          <w:color w:val="000000"/>
          <w:vertAlign w:val="superscript"/>
        </w:rPr>
        <w:footnoteReference w:id="39"/>
      </w:r>
      <w:r w:rsidRPr="00E163C6">
        <w:rPr>
          <w:rFonts w:asciiTheme="minorHAnsi" w:hAnsiTheme="minorHAnsi"/>
          <w:color w:val="000000"/>
        </w:rPr>
        <w:t xml:space="preserve"> aggravated robbery,</w:t>
      </w:r>
      <w:r w:rsidRPr="00E163C6">
        <w:rPr>
          <w:rFonts w:asciiTheme="minorHAnsi" w:hAnsiTheme="minorHAnsi"/>
          <w:color w:val="000000"/>
          <w:vertAlign w:val="superscript"/>
        </w:rPr>
        <w:footnoteReference w:id="40"/>
      </w:r>
      <w:r w:rsidRPr="00E163C6">
        <w:rPr>
          <w:rFonts w:asciiTheme="minorHAnsi" w:hAnsiTheme="minorHAnsi"/>
          <w:color w:val="000000"/>
        </w:rPr>
        <w:t xml:space="preserve"> housebreaking and robbery,</w:t>
      </w:r>
      <w:r w:rsidRPr="00E163C6">
        <w:rPr>
          <w:rFonts w:asciiTheme="minorHAnsi" w:hAnsiTheme="minorHAnsi"/>
          <w:color w:val="000000"/>
          <w:vertAlign w:val="superscript"/>
        </w:rPr>
        <w:footnoteReference w:id="41"/>
      </w:r>
      <w:r w:rsidRPr="00E163C6">
        <w:rPr>
          <w:rFonts w:asciiTheme="minorHAnsi" w:hAnsiTheme="minorHAnsi"/>
          <w:color w:val="000000"/>
        </w:rPr>
        <w:t xml:space="preserve"> though in practice it is only sought in murder cases. </w:t>
      </w:r>
    </w:p>
    <w:p w14:paraId="0B19D54A" w14:textId="77777777" w:rsidR="009B1657" w:rsidRPr="00E163C6" w:rsidRDefault="009B1657" w:rsidP="009B1657">
      <w:pPr>
        <w:pStyle w:val="ListParagraph"/>
        <w:numPr>
          <w:ilvl w:val="3"/>
          <w:numId w:val="7"/>
        </w:numPr>
        <w:jc w:val="both"/>
      </w:pPr>
      <w:r w:rsidRPr="00E163C6">
        <w:rPr>
          <w:rFonts w:asciiTheme="minorHAnsi" w:hAnsiTheme="minorHAnsi"/>
          <w:color w:val="000000"/>
        </w:rPr>
        <w:t>Malawi has not carried out an execution since 1992, but it maintains a death row where people sentenced to death are incarcerated in torturous conditions.</w:t>
      </w:r>
      <w:r w:rsidRPr="00E163C6">
        <w:rPr>
          <w:rStyle w:val="FootnoteReference"/>
          <w:rFonts w:asciiTheme="minorHAnsi" w:hAnsiTheme="minorHAnsi"/>
          <w:color w:val="000000"/>
        </w:rPr>
        <w:footnoteReference w:id="42"/>
      </w:r>
      <w:r w:rsidRPr="00E163C6">
        <w:rPr>
          <w:rFonts w:asciiTheme="minorHAnsi" w:hAnsiTheme="minorHAnsi"/>
          <w:color w:val="000000"/>
        </w:rPr>
        <w:t xml:space="preserve"> Malawi’s use of capital punishment violates international norms on the right to life where it sentences persons with intellectual disabilities to death.</w:t>
      </w:r>
    </w:p>
    <w:p w14:paraId="6481777A" w14:textId="43988AB1" w:rsidR="005B4D43" w:rsidRPr="00E163C6" w:rsidRDefault="002A66E4" w:rsidP="00670D34">
      <w:pPr>
        <w:pStyle w:val="ListParagraph"/>
        <w:numPr>
          <w:ilvl w:val="2"/>
          <w:numId w:val="7"/>
        </w:numPr>
        <w:jc w:val="both"/>
        <w:rPr>
          <w:b/>
          <w:bCs/>
        </w:rPr>
      </w:pPr>
      <w:r w:rsidRPr="00E163C6">
        <w:rPr>
          <w:b/>
          <w:bCs/>
        </w:rPr>
        <w:t xml:space="preserve">Death </w:t>
      </w:r>
      <w:r w:rsidR="009B1657" w:rsidRPr="00E163C6">
        <w:rPr>
          <w:b/>
          <w:bCs/>
        </w:rPr>
        <w:t>Penalty</w:t>
      </w:r>
      <w:r w:rsidR="001E464F" w:rsidRPr="00E163C6">
        <w:rPr>
          <w:b/>
          <w:bCs/>
        </w:rPr>
        <w:t xml:space="preserve"> Inflicted on Persons with Intellectual Disabilities</w:t>
      </w:r>
    </w:p>
    <w:p w14:paraId="276592E5" w14:textId="62D8675B" w:rsidR="002A66E4" w:rsidRPr="00E163C6" w:rsidRDefault="009879CE" w:rsidP="002A66E4">
      <w:pPr>
        <w:pStyle w:val="ListParagraph"/>
        <w:numPr>
          <w:ilvl w:val="3"/>
          <w:numId w:val="7"/>
        </w:numPr>
        <w:jc w:val="both"/>
      </w:pPr>
      <w:r w:rsidRPr="00E163C6">
        <w:t>From independent assessments, we have identified at least three people with intellectual or developmental disabilities who were sentenced to death.</w:t>
      </w:r>
      <w:r w:rsidRPr="00E163C6">
        <w:rPr>
          <w:rStyle w:val="FootnoteReference"/>
        </w:rPr>
        <w:footnoteReference w:id="43"/>
      </w:r>
      <w:r w:rsidRPr="00E163C6">
        <w:t xml:space="preserve"> There were no assessments made by the courts before sentencing regarding any disabilities. Their state-provided trial lawyers did not attempt to introduce evidence of their disabilities. </w:t>
      </w:r>
    </w:p>
    <w:p w14:paraId="501F4108" w14:textId="4CBE7139" w:rsidR="009B1657" w:rsidRPr="00E163C6" w:rsidRDefault="009B1657" w:rsidP="002A66E4">
      <w:pPr>
        <w:pStyle w:val="ListParagraph"/>
        <w:numPr>
          <w:ilvl w:val="3"/>
          <w:numId w:val="7"/>
        </w:numPr>
        <w:jc w:val="both"/>
      </w:pPr>
      <w:r w:rsidRPr="00E163C6">
        <w:t xml:space="preserve">While Malawi has maintained a moratorium since 1992, it is not official. Death warrants may be signed by the President at any time. Oftentimes, people sentenced </w:t>
      </w:r>
      <w:r w:rsidRPr="00E163C6">
        <w:lastRenderedPageBreak/>
        <w:t xml:space="preserve">to death are not aware of the moratorium, and they experience the dread and fear of imminent execution. </w:t>
      </w:r>
    </w:p>
    <w:p w14:paraId="4AE9200E" w14:textId="11B20DBF" w:rsidR="009B1657" w:rsidRPr="00E163C6" w:rsidRDefault="009B1657" w:rsidP="009B1657">
      <w:pPr>
        <w:pStyle w:val="ListParagraph"/>
        <w:numPr>
          <w:ilvl w:val="3"/>
          <w:numId w:val="7"/>
        </w:numPr>
      </w:pPr>
      <w:r w:rsidRPr="00E163C6">
        <w:t xml:space="preserve">Furthermore, many people on death row experience ‘death row phenomenon,’ a term to describe the anxiety, dread, </w:t>
      </w:r>
      <w:proofErr w:type="gramStart"/>
      <w:r w:rsidRPr="00E163C6">
        <w:t>fear</w:t>
      </w:r>
      <w:proofErr w:type="gramEnd"/>
      <w:r w:rsidRPr="00E163C6">
        <w:t xml:space="preserve"> and psychological anguish that may accompany long-term incarceration on death row in deplorable prison conditions. In a state of a de facto moratorium, people on death row are not told of when their execution is due. This failure to inform a death row inmate when his or her execution is anticipated has been held to amount to torture by the Human Rights Committee.</w:t>
      </w:r>
      <w:r w:rsidRPr="00E163C6">
        <w:rPr>
          <w:rStyle w:val="FootnoteReference"/>
        </w:rPr>
        <w:footnoteReference w:id="44"/>
      </w:r>
      <w:r w:rsidRPr="00E163C6">
        <w:t xml:space="preserve">  People on death row have spent years near the gallows—a physical reminder of the uncertainty of looming death. Persons with intellectual disabilities on death row do not receive any support or accommodations, which can exacerbate the effects of ‘death row phenomenon’.</w:t>
      </w:r>
    </w:p>
    <w:p w14:paraId="208276AB" w14:textId="4922FE9C" w:rsidR="009879CE" w:rsidRPr="00E163C6" w:rsidRDefault="00EC57BD" w:rsidP="002A66E4">
      <w:pPr>
        <w:pStyle w:val="ListParagraph"/>
        <w:numPr>
          <w:ilvl w:val="3"/>
          <w:numId w:val="7"/>
        </w:numPr>
        <w:jc w:val="both"/>
      </w:pPr>
      <w:r w:rsidRPr="00E163C6">
        <w:t>Persons with disabilities who</w:t>
      </w:r>
      <w:r w:rsidR="009879CE" w:rsidRPr="00E163C6">
        <w:t xml:space="preserve"> decide to appeal against their sentences</w:t>
      </w:r>
      <w:r w:rsidRPr="00E163C6">
        <w:t xml:space="preserve"> often face challenges in introducing evidence </w:t>
      </w:r>
      <w:r w:rsidR="00214236" w:rsidRPr="00E163C6">
        <w:t xml:space="preserve">proving the existence of their disabilities. </w:t>
      </w:r>
      <w:r w:rsidR="00512609" w:rsidRPr="00E163C6">
        <w:t>The Supreme Court of Appeal has broad discretion over which evidence it decides to receive, as the standard is whether “it thinks it necessary or expedient in the interests of justice”.</w:t>
      </w:r>
      <w:r w:rsidR="00512609" w:rsidRPr="00E163C6">
        <w:rPr>
          <w:rStyle w:val="FootnoteReference"/>
        </w:rPr>
        <w:footnoteReference w:id="45"/>
      </w:r>
      <w:r w:rsidR="00850101" w:rsidRPr="00E163C6">
        <w:t xml:space="preserve"> In our experience, </w:t>
      </w:r>
      <w:r w:rsidR="00462F55" w:rsidRPr="00E163C6">
        <w:t>the judicial standard for admitting new evidence on appeal is unclear</w:t>
      </w:r>
      <w:r w:rsidR="001C497C" w:rsidRPr="00E163C6">
        <w:t xml:space="preserve">, which can </w:t>
      </w:r>
      <w:r w:rsidR="000258C2" w:rsidRPr="00E163C6">
        <w:t xml:space="preserve">lead to confusion and unpredictability. </w:t>
      </w:r>
    </w:p>
    <w:p w14:paraId="75983492" w14:textId="42828566" w:rsidR="002D085D" w:rsidRPr="00E163C6" w:rsidRDefault="002D085D" w:rsidP="00670D34">
      <w:pPr>
        <w:pStyle w:val="ListParagraph"/>
        <w:numPr>
          <w:ilvl w:val="1"/>
          <w:numId w:val="7"/>
        </w:numPr>
        <w:jc w:val="both"/>
        <w:rPr>
          <w:b/>
          <w:bCs/>
        </w:rPr>
      </w:pPr>
      <w:r w:rsidRPr="00E163C6">
        <w:rPr>
          <w:b/>
          <w:bCs/>
        </w:rPr>
        <w:t xml:space="preserve">Article 15 – Freedom from torture or cruel, </w:t>
      </w:r>
      <w:proofErr w:type="gramStart"/>
      <w:r w:rsidRPr="00E163C6">
        <w:rPr>
          <w:b/>
          <w:bCs/>
        </w:rPr>
        <w:t>inhuman</w:t>
      </w:r>
      <w:proofErr w:type="gramEnd"/>
      <w:r w:rsidRPr="00E163C6">
        <w:rPr>
          <w:b/>
          <w:bCs/>
        </w:rPr>
        <w:t xml:space="preserve"> or degrading treatment or punishment</w:t>
      </w:r>
    </w:p>
    <w:p w14:paraId="71A0440A" w14:textId="00A3B639" w:rsidR="002D085D" w:rsidRPr="00E163C6" w:rsidRDefault="004C7714" w:rsidP="002D085D">
      <w:pPr>
        <w:pStyle w:val="ListParagraph"/>
        <w:numPr>
          <w:ilvl w:val="2"/>
          <w:numId w:val="7"/>
        </w:numPr>
        <w:jc w:val="both"/>
        <w:rPr>
          <w:b/>
          <w:bCs/>
        </w:rPr>
      </w:pPr>
      <w:r w:rsidRPr="00E163C6">
        <w:rPr>
          <w:b/>
          <w:bCs/>
        </w:rPr>
        <w:t>Legal Framework</w:t>
      </w:r>
    </w:p>
    <w:p w14:paraId="10ED8BCE" w14:textId="5BE96A18" w:rsidR="00C80D48" w:rsidRPr="00E163C6" w:rsidRDefault="00FB4A80" w:rsidP="004023DE">
      <w:pPr>
        <w:pStyle w:val="ListParagraph"/>
        <w:numPr>
          <w:ilvl w:val="3"/>
          <w:numId w:val="7"/>
        </w:numPr>
        <w:jc w:val="both"/>
      </w:pPr>
      <w:r w:rsidRPr="00E163C6">
        <w:t xml:space="preserve">Prohibition of torture or cruel, </w:t>
      </w:r>
      <w:proofErr w:type="gramStart"/>
      <w:r w:rsidRPr="00E163C6">
        <w:t>inhuman</w:t>
      </w:r>
      <w:proofErr w:type="gramEnd"/>
      <w:r w:rsidRPr="00E163C6">
        <w:t xml:space="preserve"> or degrading treatment or punishment is included in the Constitution as a </w:t>
      </w:r>
      <w:r w:rsidR="008B7311" w:rsidRPr="00E163C6">
        <w:t>non-</w:t>
      </w:r>
      <w:proofErr w:type="spellStart"/>
      <w:r w:rsidR="008B7311" w:rsidRPr="00E163C6">
        <w:t>derogable</w:t>
      </w:r>
      <w:proofErr w:type="spellEnd"/>
      <w:r w:rsidR="008B7311" w:rsidRPr="00E163C6">
        <w:t xml:space="preserve"> human right</w:t>
      </w:r>
      <w:r w:rsidRPr="00E163C6">
        <w:t>.</w:t>
      </w:r>
      <w:r w:rsidR="008B7311" w:rsidRPr="00E163C6">
        <w:rPr>
          <w:rStyle w:val="FootnoteReference"/>
        </w:rPr>
        <w:footnoteReference w:id="46"/>
      </w:r>
    </w:p>
    <w:p w14:paraId="1932AF96" w14:textId="15946EDC" w:rsidR="004023DE" w:rsidRPr="00E163C6" w:rsidRDefault="004023DE" w:rsidP="004023DE">
      <w:pPr>
        <w:pStyle w:val="ListParagraph"/>
        <w:numPr>
          <w:ilvl w:val="3"/>
          <w:numId w:val="7"/>
        </w:numPr>
        <w:jc w:val="both"/>
      </w:pPr>
      <w:r w:rsidRPr="00E163C6">
        <w:t>The Prison</w:t>
      </w:r>
      <w:r w:rsidR="00504B2C">
        <w:t>s</w:t>
      </w:r>
      <w:r w:rsidRPr="00E163C6">
        <w:t xml:space="preserve"> Act allows </w:t>
      </w:r>
      <w:r w:rsidR="00102C00" w:rsidRPr="00E163C6">
        <w:t xml:space="preserve">prison officers to inflict corporal punishment for </w:t>
      </w:r>
      <w:r w:rsidR="00490F45" w:rsidRPr="00E163C6">
        <w:t>certain prison offences.</w:t>
      </w:r>
      <w:r w:rsidR="00490F45" w:rsidRPr="00E163C6">
        <w:rPr>
          <w:rStyle w:val="FootnoteReference"/>
        </w:rPr>
        <w:footnoteReference w:id="47"/>
      </w:r>
      <w:r w:rsidR="00490F45" w:rsidRPr="00E163C6">
        <w:t xml:space="preserve"> </w:t>
      </w:r>
      <w:r w:rsidR="00795900" w:rsidRPr="00E163C6">
        <w:t>The permitted number of strokes is 12, and a cane may be used.</w:t>
      </w:r>
      <w:r w:rsidR="00795900" w:rsidRPr="00E163C6">
        <w:rPr>
          <w:rStyle w:val="FootnoteReference"/>
        </w:rPr>
        <w:footnoteReference w:id="48"/>
      </w:r>
      <w:r w:rsidR="00795900" w:rsidRPr="00E163C6">
        <w:t xml:space="preserve"> </w:t>
      </w:r>
      <w:r w:rsidR="00177450" w:rsidRPr="00E163C6">
        <w:t xml:space="preserve">Prison officers are allowed to </w:t>
      </w:r>
      <w:proofErr w:type="gramStart"/>
      <w:r w:rsidR="00177450" w:rsidRPr="00E163C6">
        <w:t>make a determination</w:t>
      </w:r>
      <w:proofErr w:type="gramEnd"/>
      <w:r w:rsidR="00177450" w:rsidRPr="00E163C6">
        <w:t xml:space="preserve"> that a prison offence has been committed, </w:t>
      </w:r>
      <w:r w:rsidR="00B84BD0" w:rsidRPr="00E163C6">
        <w:t xml:space="preserve">unless it requires confirmation by </w:t>
      </w:r>
      <w:r w:rsidR="00F67CD3" w:rsidRPr="00E163C6">
        <w:t>a court</w:t>
      </w:r>
      <w:r w:rsidR="00B84BD0" w:rsidRPr="00E163C6">
        <w:t>.</w:t>
      </w:r>
      <w:r w:rsidR="00B84BD0" w:rsidRPr="00E163C6">
        <w:rPr>
          <w:rStyle w:val="FootnoteReference"/>
        </w:rPr>
        <w:footnoteReference w:id="49"/>
      </w:r>
    </w:p>
    <w:p w14:paraId="3A995D8C" w14:textId="46BBD9D9" w:rsidR="00F1407C" w:rsidRPr="00E163C6" w:rsidRDefault="00F1407C" w:rsidP="00F1407C">
      <w:pPr>
        <w:pStyle w:val="ListParagraph"/>
        <w:numPr>
          <w:ilvl w:val="2"/>
          <w:numId w:val="7"/>
        </w:numPr>
        <w:jc w:val="both"/>
        <w:rPr>
          <w:b/>
          <w:bCs/>
        </w:rPr>
      </w:pPr>
      <w:r w:rsidRPr="00E163C6">
        <w:rPr>
          <w:b/>
          <w:bCs/>
        </w:rPr>
        <w:t>Corporal Punishment in Prisons</w:t>
      </w:r>
    </w:p>
    <w:p w14:paraId="70E351FD" w14:textId="3B19459C" w:rsidR="00F1407C" w:rsidRPr="00E163C6" w:rsidRDefault="00BC1593" w:rsidP="00F1407C">
      <w:pPr>
        <w:pStyle w:val="ListParagraph"/>
        <w:numPr>
          <w:ilvl w:val="3"/>
          <w:numId w:val="7"/>
        </w:numPr>
        <w:jc w:val="both"/>
      </w:pPr>
      <w:r w:rsidRPr="00E163C6">
        <w:t xml:space="preserve">Corporal punishment is used indiscriminately in prisons. </w:t>
      </w:r>
      <w:r w:rsidR="00135496" w:rsidRPr="00E163C6">
        <w:t xml:space="preserve">Although the Prisons Act specifies that </w:t>
      </w:r>
      <w:r w:rsidR="00CB487C" w:rsidRPr="00E163C6">
        <w:t xml:space="preserve">corporal punishment cannot be used unless </w:t>
      </w:r>
      <w:r w:rsidR="00CA0C6F" w:rsidRPr="00E163C6">
        <w:t xml:space="preserve">a </w:t>
      </w:r>
      <w:r w:rsidR="001C197D" w:rsidRPr="00E163C6">
        <w:t>pris</w:t>
      </w:r>
      <w:r w:rsidR="00B34EA1" w:rsidRPr="00E163C6">
        <w:t>on offense is committed,</w:t>
      </w:r>
      <w:r w:rsidR="00026127" w:rsidRPr="00E163C6">
        <w:rPr>
          <w:rStyle w:val="FootnoteReference"/>
        </w:rPr>
        <w:footnoteReference w:id="50"/>
      </w:r>
      <w:r w:rsidR="00B34EA1" w:rsidRPr="00E163C6">
        <w:t xml:space="preserve"> </w:t>
      </w:r>
      <w:r w:rsidR="00275620" w:rsidRPr="00E163C6">
        <w:t>we have reports t</w:t>
      </w:r>
      <w:r w:rsidR="00B16580" w:rsidRPr="00E163C6">
        <w:t>hat corporal punishm</w:t>
      </w:r>
      <w:r w:rsidR="003B0906" w:rsidRPr="00E163C6">
        <w:t>ent is meted out to an entire prison population, even one just one perso</w:t>
      </w:r>
      <w:r w:rsidR="00C906B4" w:rsidRPr="00E163C6">
        <w:t xml:space="preserve">n is suspected of having committed </w:t>
      </w:r>
      <w:r w:rsidR="00E113A9" w:rsidRPr="00E163C6">
        <w:t>a prison offense.</w:t>
      </w:r>
      <w:r w:rsidR="00F35B7A" w:rsidRPr="00E163C6">
        <w:t xml:space="preserve"> </w:t>
      </w:r>
      <w:r w:rsidR="00631BB3" w:rsidRPr="00E163C6">
        <w:t xml:space="preserve">Prison-wide punishment is often inflicted when a person deprived of liberty </w:t>
      </w:r>
      <w:r w:rsidR="00E518B9" w:rsidRPr="00E163C6">
        <w:t xml:space="preserve">escapes, attempts escape, </w:t>
      </w:r>
      <w:r w:rsidR="004D7774" w:rsidRPr="00E163C6">
        <w:t>or is in possession of contraband</w:t>
      </w:r>
      <w:r w:rsidR="00FF5552" w:rsidRPr="00E163C6">
        <w:t xml:space="preserve"> (usually a cell phone).</w:t>
      </w:r>
      <w:r w:rsidR="00205660" w:rsidRPr="00E163C6">
        <w:rPr>
          <w:rStyle w:val="FootnoteReference"/>
        </w:rPr>
        <w:footnoteReference w:id="51"/>
      </w:r>
      <w:r w:rsidR="00FF5552" w:rsidRPr="00E163C6">
        <w:t xml:space="preserve"> </w:t>
      </w:r>
    </w:p>
    <w:p w14:paraId="63B0E218" w14:textId="430CB426" w:rsidR="00A85E37" w:rsidRPr="00E163C6" w:rsidRDefault="002C42F8" w:rsidP="00F1407C">
      <w:pPr>
        <w:pStyle w:val="ListParagraph"/>
        <w:numPr>
          <w:ilvl w:val="3"/>
          <w:numId w:val="7"/>
        </w:numPr>
        <w:jc w:val="both"/>
      </w:pPr>
      <w:r w:rsidRPr="00E163C6">
        <w:lastRenderedPageBreak/>
        <w:t xml:space="preserve">From our reports, prison-wide punishment is highly </w:t>
      </w:r>
      <w:r w:rsidR="007C2984" w:rsidRPr="00E163C6">
        <w:t xml:space="preserve">systematized, especially in the context of prison-wide searches. During searches, all persons deprived of liberty must strip down </w:t>
      </w:r>
      <w:r w:rsidR="00A566DF" w:rsidRPr="00E163C6">
        <w:t xml:space="preserve">and stand against a wall while their belongings are searched. If contraband is found, everyone in the prison may be subject to beatings by a </w:t>
      </w:r>
      <w:r w:rsidR="00840E7F" w:rsidRPr="00E163C6">
        <w:t>heavy plastic rod. The beating may last for five minutes</w:t>
      </w:r>
      <w:r w:rsidR="00C11F92" w:rsidRPr="00E163C6">
        <w:t>.</w:t>
      </w:r>
      <w:r w:rsidR="00C11F92" w:rsidRPr="00E163C6">
        <w:rPr>
          <w:rStyle w:val="FootnoteReference"/>
        </w:rPr>
        <w:footnoteReference w:id="52"/>
      </w:r>
      <w:r w:rsidR="00CC48E4" w:rsidRPr="00E163C6">
        <w:t xml:space="preserve"> We have found no evidence that persons with disabilities are spared </w:t>
      </w:r>
      <w:r w:rsidR="0091338D" w:rsidRPr="00E163C6">
        <w:t>from this process or punishment.</w:t>
      </w:r>
    </w:p>
    <w:p w14:paraId="6D73CD3E" w14:textId="0798C43D" w:rsidR="00392FB5" w:rsidRPr="00E163C6" w:rsidRDefault="00DE5340" w:rsidP="00F1407C">
      <w:pPr>
        <w:pStyle w:val="ListParagraph"/>
        <w:numPr>
          <w:ilvl w:val="3"/>
          <w:numId w:val="7"/>
        </w:numPr>
        <w:jc w:val="both"/>
      </w:pPr>
      <w:r w:rsidRPr="00E163C6">
        <w:t xml:space="preserve">In practice, </w:t>
      </w:r>
      <w:r w:rsidR="00D95D9F" w:rsidRPr="00E163C6">
        <w:t>older persons</w:t>
      </w:r>
      <w:r w:rsidRPr="00E163C6">
        <w:t xml:space="preserve"> are spared from prison-wide punishment</w:t>
      </w:r>
      <w:r w:rsidR="00EF6ADC" w:rsidRPr="00E163C6">
        <w:t xml:space="preserve">, unless a prison offense is committed within </w:t>
      </w:r>
      <w:r w:rsidR="00D95D9F" w:rsidRPr="00E163C6">
        <w:t>the prison section for older persons</w:t>
      </w:r>
      <w:r w:rsidRPr="00E163C6">
        <w:t>.</w:t>
      </w:r>
      <w:r w:rsidRPr="00E163C6">
        <w:rPr>
          <w:rStyle w:val="FootnoteReference"/>
        </w:rPr>
        <w:footnoteReference w:id="53"/>
      </w:r>
      <w:r w:rsidRPr="00E163C6">
        <w:t xml:space="preserve"> </w:t>
      </w:r>
      <w:r w:rsidR="0017098B" w:rsidRPr="00E163C6">
        <w:t xml:space="preserve">While a medical officer </w:t>
      </w:r>
      <w:proofErr w:type="gramStart"/>
      <w:r w:rsidR="0017098B" w:rsidRPr="00E163C6">
        <w:t xml:space="preserve">is </w:t>
      </w:r>
      <w:r w:rsidR="0093652C" w:rsidRPr="00E163C6">
        <w:t>able to</w:t>
      </w:r>
      <w:proofErr w:type="gramEnd"/>
      <w:r w:rsidR="0093652C" w:rsidRPr="00E163C6">
        <w:t xml:space="preserve"> </w:t>
      </w:r>
      <w:r w:rsidR="00480504" w:rsidRPr="00E163C6">
        <w:t>certify that a person is physically unfit t</w:t>
      </w:r>
      <w:r w:rsidR="00A02BC0" w:rsidRPr="00E163C6">
        <w:t>o withstand corporal punishment,</w:t>
      </w:r>
      <w:r w:rsidR="007E31A8" w:rsidRPr="00E163C6">
        <w:rPr>
          <w:rStyle w:val="FootnoteReference"/>
        </w:rPr>
        <w:footnoteReference w:id="54"/>
      </w:r>
      <w:r w:rsidR="00A02BC0" w:rsidRPr="00E163C6">
        <w:t xml:space="preserve"> we are not aware of any </w:t>
      </w:r>
      <w:r w:rsidR="006F694C" w:rsidRPr="00E163C6">
        <w:t xml:space="preserve">standard or guidelines that </w:t>
      </w:r>
      <w:r w:rsidR="00CE1DB9" w:rsidRPr="00E163C6">
        <w:t>exempts persons with disabilities.</w:t>
      </w:r>
    </w:p>
    <w:p w14:paraId="1408EEC2" w14:textId="1A02B9A2" w:rsidR="005B4D43" w:rsidRPr="00E163C6" w:rsidRDefault="005B4D43" w:rsidP="00670D34">
      <w:pPr>
        <w:pStyle w:val="ListParagraph"/>
        <w:numPr>
          <w:ilvl w:val="1"/>
          <w:numId w:val="7"/>
        </w:numPr>
        <w:jc w:val="both"/>
        <w:rPr>
          <w:b/>
          <w:bCs/>
        </w:rPr>
      </w:pPr>
      <w:r w:rsidRPr="00E163C6">
        <w:rPr>
          <w:b/>
          <w:bCs/>
        </w:rPr>
        <w:t>Article 31 – Statistics and data collection</w:t>
      </w:r>
    </w:p>
    <w:p w14:paraId="685A2229" w14:textId="4A27485C" w:rsidR="0009161D" w:rsidRPr="00E163C6" w:rsidRDefault="0009161D" w:rsidP="007A05CA">
      <w:pPr>
        <w:pStyle w:val="ListParagraph"/>
        <w:numPr>
          <w:ilvl w:val="2"/>
          <w:numId w:val="7"/>
        </w:numPr>
        <w:jc w:val="both"/>
        <w:rPr>
          <w:b/>
          <w:bCs/>
        </w:rPr>
      </w:pPr>
      <w:r w:rsidRPr="00E163C6">
        <w:rPr>
          <w:b/>
          <w:bCs/>
        </w:rPr>
        <w:t>Legal Framework</w:t>
      </w:r>
    </w:p>
    <w:p w14:paraId="5823C474" w14:textId="31334625" w:rsidR="0009161D" w:rsidRPr="00E163C6" w:rsidRDefault="00B64CE9" w:rsidP="0009161D">
      <w:pPr>
        <w:pStyle w:val="ListParagraph"/>
        <w:numPr>
          <w:ilvl w:val="3"/>
          <w:numId w:val="7"/>
        </w:numPr>
        <w:jc w:val="both"/>
      </w:pPr>
      <w:r w:rsidRPr="00E163C6">
        <w:t xml:space="preserve">The Prisons Act states that when a person deprived of liberty is admitted to a prison, </w:t>
      </w:r>
      <w:r w:rsidR="00CF627C" w:rsidRPr="00E163C6">
        <w:t>“such particulars regarding such person” shall be recorded.</w:t>
      </w:r>
      <w:r w:rsidR="00CF627C" w:rsidRPr="00E163C6">
        <w:rPr>
          <w:rStyle w:val="FootnoteReference"/>
        </w:rPr>
        <w:footnoteReference w:id="55"/>
      </w:r>
      <w:r w:rsidR="00CF627C" w:rsidRPr="00E163C6">
        <w:t xml:space="preserve"> </w:t>
      </w:r>
      <w:r w:rsidR="008A1A75">
        <w:t>“</w:t>
      </w:r>
      <w:r w:rsidR="00CF627C" w:rsidRPr="00E163C6">
        <w:t>Such particulars</w:t>
      </w:r>
      <w:r w:rsidR="008A1A75">
        <w:t>”</w:t>
      </w:r>
      <w:r w:rsidR="00CF627C" w:rsidRPr="00E163C6">
        <w:t xml:space="preserve"> is not defined in the Act.</w:t>
      </w:r>
    </w:p>
    <w:p w14:paraId="1CEBDA7A" w14:textId="0B88437F" w:rsidR="003B0D15" w:rsidRPr="00E163C6" w:rsidRDefault="001810A5" w:rsidP="003B0D15">
      <w:pPr>
        <w:pStyle w:val="ListParagraph"/>
        <w:numPr>
          <w:ilvl w:val="2"/>
          <w:numId w:val="7"/>
        </w:numPr>
        <w:jc w:val="both"/>
        <w:rPr>
          <w:b/>
          <w:bCs/>
        </w:rPr>
      </w:pPr>
      <w:r w:rsidRPr="00E163C6">
        <w:rPr>
          <w:b/>
          <w:bCs/>
        </w:rPr>
        <w:t xml:space="preserve">Lack of </w:t>
      </w:r>
      <w:r w:rsidR="005A33C5" w:rsidRPr="00E163C6">
        <w:rPr>
          <w:b/>
          <w:bCs/>
        </w:rPr>
        <w:t>Assessment</w:t>
      </w:r>
      <w:r w:rsidR="0056669B" w:rsidRPr="00E163C6">
        <w:rPr>
          <w:b/>
          <w:bCs/>
        </w:rPr>
        <w:t>s</w:t>
      </w:r>
    </w:p>
    <w:p w14:paraId="1CF14FA1" w14:textId="785ECFE3" w:rsidR="007A05CA" w:rsidRPr="00E163C6" w:rsidRDefault="007A05CA" w:rsidP="001810A5">
      <w:pPr>
        <w:pStyle w:val="ListParagraph"/>
        <w:numPr>
          <w:ilvl w:val="3"/>
          <w:numId w:val="7"/>
        </w:numPr>
        <w:jc w:val="both"/>
      </w:pPr>
      <w:r w:rsidRPr="00E163C6">
        <w:t>People in places of detention are not assessed or asked about disabilities. Although the Malawi Prison Service conducts intake of every person deprived of their liberty, there are no guidelines or procedures regarding reporting of disabilities. Without screening, the risk of rights violations increases where prisons are uninformed of their basic duty to provide reasonable accommodations and improve accessibility.</w:t>
      </w:r>
    </w:p>
    <w:p w14:paraId="1CB5821A" w14:textId="77777777" w:rsidR="009D6BE0" w:rsidRPr="00E163C6" w:rsidRDefault="009D6BE0" w:rsidP="009D6BE0">
      <w:pPr>
        <w:pStyle w:val="ListParagraph"/>
        <w:numPr>
          <w:ilvl w:val="3"/>
          <w:numId w:val="7"/>
        </w:numPr>
        <w:jc w:val="both"/>
      </w:pPr>
      <w:r w:rsidRPr="00E163C6">
        <w:t>Although the Prisons Bill includes provisions for persons “of unsound mind” and “mentally disordered or defective prisoners”, there are no separate provisions for persons with intellectual disabilities. This increases the risk that intellectual disability is conflated with mental illness, and that persons with intellectual disabilities are treated the same way as persons with mental illness, who can be kept in solitary confinement until transfer to a mental hospital.</w:t>
      </w:r>
      <w:r w:rsidRPr="00E163C6">
        <w:rPr>
          <w:rStyle w:val="FootnoteReference"/>
        </w:rPr>
        <w:footnoteReference w:id="56"/>
      </w:r>
    </w:p>
    <w:p w14:paraId="0D25EDBA" w14:textId="71416E06" w:rsidR="00DE7DF1" w:rsidRPr="00E163C6" w:rsidRDefault="00DE7DF1" w:rsidP="001810A5">
      <w:pPr>
        <w:pStyle w:val="ListParagraph"/>
        <w:numPr>
          <w:ilvl w:val="3"/>
          <w:numId w:val="7"/>
        </w:numPr>
        <w:jc w:val="both"/>
      </w:pPr>
      <w:r w:rsidRPr="00E163C6">
        <w:t xml:space="preserve">In practice, each place of detention will keep a register of everyone </w:t>
      </w:r>
      <w:r w:rsidR="00737850" w:rsidRPr="00E163C6">
        <w:t>currently in custody. However, the authors are unaware of any</w:t>
      </w:r>
      <w:r w:rsidR="00C24E09" w:rsidRPr="00E163C6">
        <w:t xml:space="preserve"> nationwide</w:t>
      </w:r>
      <w:r w:rsidR="00737850" w:rsidRPr="00E163C6">
        <w:t xml:space="preserve"> centralised register that captures every person deprived of their liberty</w:t>
      </w:r>
      <w:r w:rsidR="00C24E09" w:rsidRPr="00E163C6">
        <w:t>, let alone one that has information about persons with disabilities.</w:t>
      </w:r>
      <w:r w:rsidR="009D6BE0" w:rsidRPr="00E163C6">
        <w:rPr>
          <w:rStyle w:val="FootnoteReference"/>
        </w:rPr>
        <w:footnoteReference w:id="57"/>
      </w:r>
    </w:p>
    <w:p w14:paraId="73BB9299" w14:textId="77777777" w:rsidR="008C2077" w:rsidRPr="00E163C6" w:rsidRDefault="008C2077" w:rsidP="008C2077">
      <w:pPr>
        <w:pStyle w:val="ListParagraph"/>
        <w:ind w:left="2880"/>
        <w:jc w:val="both"/>
      </w:pPr>
    </w:p>
    <w:p w14:paraId="43E10E39" w14:textId="231B62FE" w:rsidR="008C2077" w:rsidRPr="00E163C6" w:rsidRDefault="008C2077" w:rsidP="008C2077">
      <w:pPr>
        <w:pStyle w:val="ListParagraph"/>
        <w:numPr>
          <w:ilvl w:val="0"/>
          <w:numId w:val="7"/>
        </w:numPr>
        <w:jc w:val="both"/>
        <w:rPr>
          <w:b/>
          <w:bCs/>
        </w:rPr>
      </w:pPr>
      <w:r w:rsidRPr="00E163C6">
        <w:rPr>
          <w:b/>
          <w:bCs/>
        </w:rPr>
        <w:t>Recommendations</w:t>
      </w:r>
    </w:p>
    <w:p w14:paraId="277DDD60" w14:textId="77777777" w:rsidR="00DE3A0B" w:rsidRPr="00E163C6" w:rsidRDefault="00DE3A0B" w:rsidP="00DE3A0B">
      <w:pPr>
        <w:pStyle w:val="ListParagraph"/>
        <w:numPr>
          <w:ilvl w:val="1"/>
          <w:numId w:val="7"/>
        </w:numPr>
        <w:jc w:val="both"/>
      </w:pPr>
      <w:r w:rsidRPr="00E163C6">
        <w:t>We respectfully ask the Committee on the Rights of Persons with Disabilities to take the above into account in its consideration of the periodic report of Malawi.</w:t>
      </w:r>
    </w:p>
    <w:p w14:paraId="22A27289" w14:textId="77777777" w:rsidR="00DE3A0B" w:rsidRPr="00E163C6" w:rsidRDefault="00DE3A0B" w:rsidP="00DE3A0B">
      <w:pPr>
        <w:pStyle w:val="ListParagraph"/>
        <w:numPr>
          <w:ilvl w:val="1"/>
          <w:numId w:val="7"/>
        </w:numPr>
        <w:jc w:val="both"/>
      </w:pPr>
      <w:r w:rsidRPr="00E163C6">
        <w:t>We further ask that the Committee:</w:t>
      </w:r>
    </w:p>
    <w:p w14:paraId="4D10B042" w14:textId="77777777" w:rsidR="00DE3A0B" w:rsidRPr="00E163C6" w:rsidRDefault="00DE3A0B" w:rsidP="00DE3A0B">
      <w:pPr>
        <w:pStyle w:val="ListParagraph"/>
        <w:numPr>
          <w:ilvl w:val="2"/>
          <w:numId w:val="7"/>
        </w:numPr>
        <w:jc w:val="both"/>
      </w:pPr>
      <w:r w:rsidRPr="00E163C6">
        <w:lastRenderedPageBreak/>
        <w:t xml:space="preserve">Urge Malawi to enact legislation or regulations that ensure and promote the rights of persons with disabilities who are in conflict with the </w:t>
      </w:r>
      <w:proofErr w:type="gramStart"/>
      <w:r w:rsidRPr="00E163C6">
        <w:t>law;</w:t>
      </w:r>
      <w:proofErr w:type="gramEnd"/>
    </w:p>
    <w:p w14:paraId="1446C08D" w14:textId="77777777" w:rsidR="00DE3A0B" w:rsidRPr="00E163C6" w:rsidRDefault="00DE3A0B" w:rsidP="00DE3A0B">
      <w:pPr>
        <w:pStyle w:val="ListParagraph"/>
        <w:numPr>
          <w:ilvl w:val="2"/>
          <w:numId w:val="7"/>
        </w:numPr>
        <w:jc w:val="both"/>
      </w:pPr>
      <w:r w:rsidRPr="00E163C6">
        <w:t xml:space="preserve">Urge Malawi to enact legislation or regulations that ensure and promote the rights of persons with disabilities who are deprived of their </w:t>
      </w:r>
      <w:proofErr w:type="gramStart"/>
      <w:r w:rsidRPr="00E163C6">
        <w:t>liberty;</w:t>
      </w:r>
      <w:proofErr w:type="gramEnd"/>
    </w:p>
    <w:p w14:paraId="79559C43" w14:textId="77777777" w:rsidR="00DE3A0B" w:rsidRPr="00E163C6" w:rsidRDefault="00DE3A0B" w:rsidP="00DE3A0B">
      <w:pPr>
        <w:pStyle w:val="ListParagraph"/>
        <w:numPr>
          <w:ilvl w:val="2"/>
          <w:numId w:val="7"/>
        </w:numPr>
        <w:jc w:val="both"/>
      </w:pPr>
      <w:r w:rsidRPr="00E163C6">
        <w:t>Call on Malawi to implement its Constitutional and legislative commitments regarding:</w:t>
      </w:r>
    </w:p>
    <w:p w14:paraId="6458BBA3" w14:textId="7E028D4B" w:rsidR="00DE3A0B" w:rsidRPr="00E163C6" w:rsidRDefault="00DE3A0B" w:rsidP="00DE3A0B">
      <w:pPr>
        <w:pStyle w:val="ListParagraph"/>
        <w:numPr>
          <w:ilvl w:val="3"/>
          <w:numId w:val="7"/>
        </w:numPr>
        <w:jc w:val="both"/>
      </w:pPr>
      <w:r w:rsidRPr="00E163C6">
        <w:t>Protection against discrimination on grounds of disability;</w:t>
      </w:r>
      <w:r w:rsidR="0098337A">
        <w:rPr>
          <w:rStyle w:val="FootnoteReference"/>
        </w:rPr>
        <w:footnoteReference w:id="58"/>
      </w:r>
    </w:p>
    <w:p w14:paraId="3B233B73" w14:textId="1071CB50" w:rsidR="00DE3A0B" w:rsidRPr="00E163C6" w:rsidRDefault="00DE3A0B" w:rsidP="00DE3A0B">
      <w:pPr>
        <w:pStyle w:val="ListParagraph"/>
        <w:numPr>
          <w:ilvl w:val="3"/>
          <w:numId w:val="7"/>
        </w:numPr>
        <w:jc w:val="both"/>
      </w:pPr>
      <w:r w:rsidRPr="00E163C6">
        <w:t>The right of persons with disabilities in detention to be held in separate accommodation;</w:t>
      </w:r>
      <w:r w:rsidR="00940A7A">
        <w:rPr>
          <w:rStyle w:val="FootnoteReference"/>
        </w:rPr>
        <w:footnoteReference w:id="59"/>
      </w:r>
    </w:p>
    <w:p w14:paraId="51AC7F72" w14:textId="5545AAE3" w:rsidR="00DE3A0B" w:rsidRPr="00E163C6" w:rsidRDefault="00DE3A0B" w:rsidP="00DE3A0B">
      <w:pPr>
        <w:pStyle w:val="ListParagraph"/>
        <w:numPr>
          <w:ilvl w:val="3"/>
          <w:numId w:val="7"/>
        </w:numPr>
        <w:jc w:val="both"/>
      </w:pPr>
      <w:r w:rsidRPr="00E163C6">
        <w:t>Accessibility of public facilities, particularly courts of law and places of detention;</w:t>
      </w:r>
      <w:r w:rsidR="00AD301D">
        <w:rPr>
          <w:rStyle w:val="FootnoteReference"/>
        </w:rPr>
        <w:footnoteReference w:id="60"/>
      </w:r>
    </w:p>
    <w:p w14:paraId="61A21BFE" w14:textId="11A1BFAB" w:rsidR="00DE3A0B" w:rsidRPr="00E163C6" w:rsidRDefault="0045289B" w:rsidP="00DE3A0B">
      <w:pPr>
        <w:pStyle w:val="ListParagraph"/>
        <w:numPr>
          <w:ilvl w:val="3"/>
          <w:numId w:val="7"/>
        </w:numPr>
        <w:jc w:val="both"/>
      </w:pPr>
      <w:r>
        <w:t xml:space="preserve">Ensuring accessibility to </w:t>
      </w:r>
      <w:r w:rsidR="00DE3A0B" w:rsidRPr="00E163C6">
        <w:t xml:space="preserve">courts of law </w:t>
      </w:r>
      <w:r>
        <w:t>and legal resources for persons with disabilities</w:t>
      </w:r>
      <w:r w:rsidR="00DE3A0B" w:rsidRPr="00E163C6">
        <w:t>;</w:t>
      </w:r>
      <w:r>
        <w:rPr>
          <w:rStyle w:val="FootnoteReference"/>
        </w:rPr>
        <w:footnoteReference w:id="61"/>
      </w:r>
    </w:p>
    <w:p w14:paraId="2318C87A" w14:textId="77777777" w:rsidR="00DE3A0B" w:rsidRPr="00E163C6" w:rsidRDefault="00DE3A0B" w:rsidP="00DE3A0B">
      <w:pPr>
        <w:pStyle w:val="ListParagraph"/>
        <w:numPr>
          <w:ilvl w:val="2"/>
          <w:numId w:val="7"/>
        </w:numPr>
        <w:jc w:val="both"/>
      </w:pPr>
      <w:r w:rsidRPr="00E163C6">
        <w:t xml:space="preserve">Urge Malawi to formally recognize the right of persons with disabilities to enjoy legal capacity on an equal basis with </w:t>
      </w:r>
      <w:proofErr w:type="gramStart"/>
      <w:r w:rsidRPr="00E163C6">
        <w:t>others;</w:t>
      </w:r>
      <w:proofErr w:type="gramEnd"/>
    </w:p>
    <w:p w14:paraId="08CFA4B3" w14:textId="77777777" w:rsidR="00DE3A0B" w:rsidRPr="00E163C6" w:rsidRDefault="00DE3A0B" w:rsidP="00DE3A0B">
      <w:pPr>
        <w:pStyle w:val="ListParagraph"/>
        <w:numPr>
          <w:ilvl w:val="2"/>
          <w:numId w:val="7"/>
        </w:numPr>
        <w:jc w:val="both"/>
      </w:pPr>
      <w:r w:rsidRPr="00E163C6">
        <w:t xml:space="preserve">Encourage Malawi to recognize that women with disabilities are subject to multiple </w:t>
      </w:r>
      <w:proofErr w:type="gramStart"/>
      <w:r w:rsidRPr="00E163C6">
        <w:t>discrimination;</w:t>
      </w:r>
      <w:proofErr w:type="gramEnd"/>
    </w:p>
    <w:p w14:paraId="20EE193B" w14:textId="1F95F1E1" w:rsidR="00DE3A0B" w:rsidRPr="00E163C6" w:rsidRDefault="00DE3A0B" w:rsidP="00DE3A0B">
      <w:pPr>
        <w:pStyle w:val="ListParagraph"/>
        <w:numPr>
          <w:ilvl w:val="2"/>
          <w:numId w:val="7"/>
        </w:numPr>
        <w:jc w:val="both"/>
      </w:pPr>
      <w:r w:rsidRPr="00E163C6">
        <w:t xml:space="preserve">Call on Malawi to ensure that women with disabilities deprived of their liberty are transferred to places of detention that are nearer to their families, </w:t>
      </w:r>
      <w:r w:rsidR="00592BFF">
        <w:t xml:space="preserve">with their informed </w:t>
      </w:r>
      <w:proofErr w:type="gramStart"/>
      <w:r w:rsidR="00592BFF">
        <w:t>consent</w:t>
      </w:r>
      <w:r w:rsidRPr="00E163C6">
        <w:t>;</w:t>
      </w:r>
      <w:proofErr w:type="gramEnd"/>
    </w:p>
    <w:p w14:paraId="694ABABB" w14:textId="77777777" w:rsidR="00DE3A0B" w:rsidRPr="00E163C6" w:rsidRDefault="00DE3A0B" w:rsidP="00DE3A0B">
      <w:pPr>
        <w:pStyle w:val="ListParagraph"/>
        <w:numPr>
          <w:ilvl w:val="2"/>
          <w:numId w:val="7"/>
        </w:numPr>
        <w:jc w:val="both"/>
      </w:pPr>
      <w:r w:rsidRPr="00E163C6">
        <w:t xml:space="preserve">Urge Malawi to provide trainings and promote awareness-building of disabilities to legal actors, including judges, lawyers, paralegals, staff and police and prison </w:t>
      </w:r>
      <w:proofErr w:type="gramStart"/>
      <w:r w:rsidRPr="00E163C6">
        <w:t>officers;</w:t>
      </w:r>
      <w:proofErr w:type="gramEnd"/>
    </w:p>
    <w:p w14:paraId="72EA9104" w14:textId="77777777" w:rsidR="00DE3A0B" w:rsidRPr="00E163C6" w:rsidRDefault="00DE3A0B" w:rsidP="00DE3A0B">
      <w:pPr>
        <w:pStyle w:val="ListParagraph"/>
        <w:numPr>
          <w:ilvl w:val="2"/>
          <w:numId w:val="7"/>
        </w:numPr>
        <w:jc w:val="both"/>
      </w:pPr>
      <w:r w:rsidRPr="00E163C6">
        <w:t xml:space="preserve">Impress upon Malawi the importance of differentiating between disabilities and mental illnesses in legislation and regulations, as well as the need to ensure that all persons are protected from discrimination and unfair </w:t>
      </w:r>
      <w:proofErr w:type="gramStart"/>
      <w:r w:rsidRPr="00E163C6">
        <w:t>treatment;</w:t>
      </w:r>
      <w:proofErr w:type="gramEnd"/>
    </w:p>
    <w:p w14:paraId="49FEC309" w14:textId="77777777" w:rsidR="00592BFF" w:rsidRDefault="00DE3A0B" w:rsidP="00DE3A0B">
      <w:pPr>
        <w:pStyle w:val="ListParagraph"/>
        <w:numPr>
          <w:ilvl w:val="2"/>
          <w:numId w:val="7"/>
        </w:numPr>
        <w:jc w:val="both"/>
      </w:pPr>
      <w:r w:rsidRPr="00E163C6">
        <w:t xml:space="preserve">Urge Malawi to stop the political use of the death penalty against those who have been convicted of crimes against people with albinism under the guise of deterrence, as the death penalty has not been shown to have any deterrent </w:t>
      </w:r>
      <w:proofErr w:type="gramStart"/>
      <w:r w:rsidRPr="00E163C6">
        <w:t>effect</w:t>
      </w:r>
      <w:r w:rsidR="00592BFF">
        <w:t>;</w:t>
      </w:r>
      <w:proofErr w:type="gramEnd"/>
    </w:p>
    <w:p w14:paraId="2BCA34AD" w14:textId="797FDDA2" w:rsidR="00DE3A0B" w:rsidRPr="00E163C6" w:rsidRDefault="00592BFF" w:rsidP="00DE3A0B">
      <w:pPr>
        <w:pStyle w:val="ListParagraph"/>
        <w:numPr>
          <w:ilvl w:val="2"/>
          <w:numId w:val="7"/>
        </w:numPr>
        <w:jc w:val="both"/>
      </w:pPr>
      <w:r>
        <w:t>Encourage Malawi to</w:t>
      </w:r>
      <w:r w:rsidR="00DE3A0B" w:rsidRPr="00E163C6">
        <w:t xml:space="preserve"> focus all efforts on protecting people with albinism from harm by addressing the root causes of these attacks and to strengthen nationwide campaigns to raise awareness, conduct robust investigations and trials in all cases, increase protection for victims</w:t>
      </w:r>
      <w:r>
        <w:t xml:space="preserve">, </w:t>
      </w:r>
      <w:r w:rsidR="00DE3A0B" w:rsidRPr="00E163C6">
        <w:t>finance and implement all necessary measures</w:t>
      </w:r>
      <w:r>
        <w:t xml:space="preserve"> and</w:t>
      </w:r>
      <w:r w:rsidR="00DE3A0B" w:rsidRPr="00E163C6">
        <w:t xml:space="preserve"> redouble efforts to protect these vulnerable </w:t>
      </w:r>
      <w:proofErr w:type="gramStart"/>
      <w:r>
        <w:t>communities</w:t>
      </w:r>
      <w:r w:rsidR="00DE3A0B" w:rsidRPr="00E163C6">
        <w:t>;</w:t>
      </w:r>
      <w:proofErr w:type="gramEnd"/>
    </w:p>
    <w:p w14:paraId="07538BD2" w14:textId="40B6E4BB" w:rsidR="00DE3A0B" w:rsidRPr="00E163C6" w:rsidRDefault="00DE3A0B" w:rsidP="00DE3A0B">
      <w:pPr>
        <w:pStyle w:val="ListParagraph"/>
        <w:numPr>
          <w:ilvl w:val="2"/>
          <w:numId w:val="7"/>
        </w:numPr>
        <w:jc w:val="both"/>
      </w:pPr>
      <w:r w:rsidRPr="00E163C6">
        <w:t xml:space="preserve">Encourage Malawi to ratify the </w:t>
      </w:r>
      <w:r w:rsidR="008F77C0" w:rsidRPr="008F77C0">
        <w:t>Second Optional Protocol to the International Covenant on Civil and Political Rights, aiming at the abolition of the death penalty</w:t>
      </w:r>
      <w:r w:rsidR="008F77C0">
        <w:t xml:space="preserve"> </w:t>
      </w:r>
      <w:r w:rsidRPr="00E163C6">
        <w:t xml:space="preserve">so that persons with intellectual disabilities are not arbitrarily deprived of the right to </w:t>
      </w:r>
      <w:proofErr w:type="gramStart"/>
      <w:r w:rsidRPr="00E163C6">
        <w:t>life;</w:t>
      </w:r>
      <w:proofErr w:type="gramEnd"/>
    </w:p>
    <w:p w14:paraId="2B27A8E5" w14:textId="77777777" w:rsidR="00DE3A0B" w:rsidRPr="00E163C6" w:rsidRDefault="00DE3A0B" w:rsidP="00DE3A0B">
      <w:pPr>
        <w:pStyle w:val="ListParagraph"/>
        <w:numPr>
          <w:ilvl w:val="2"/>
          <w:numId w:val="7"/>
        </w:numPr>
        <w:jc w:val="both"/>
      </w:pPr>
      <w:r w:rsidRPr="00E163C6">
        <w:t xml:space="preserve">Impress upon Malawi the importance of persons with disabilities to have their sentences meaningfully reviewed by a higher tribunal, with all relevant evidence regarding the existence of their </w:t>
      </w:r>
      <w:proofErr w:type="gramStart"/>
      <w:r w:rsidRPr="00E163C6">
        <w:t>disabilities;</w:t>
      </w:r>
      <w:proofErr w:type="gramEnd"/>
      <w:r w:rsidRPr="00E163C6">
        <w:t xml:space="preserve"> </w:t>
      </w:r>
    </w:p>
    <w:p w14:paraId="2B87161C" w14:textId="77777777" w:rsidR="00DE3A0B" w:rsidRPr="00E163C6" w:rsidRDefault="00DE3A0B" w:rsidP="00DE3A0B">
      <w:pPr>
        <w:pStyle w:val="ListParagraph"/>
        <w:numPr>
          <w:ilvl w:val="2"/>
          <w:numId w:val="7"/>
        </w:numPr>
        <w:jc w:val="both"/>
      </w:pPr>
      <w:r w:rsidRPr="00E163C6">
        <w:t xml:space="preserve">Urge Malawi to cease inflicting corporal punishment that amounts to cruel, inhuman or degrading treatment or </w:t>
      </w:r>
      <w:proofErr w:type="gramStart"/>
      <w:r w:rsidRPr="00E163C6">
        <w:t>punishment;</w:t>
      </w:r>
      <w:proofErr w:type="gramEnd"/>
    </w:p>
    <w:p w14:paraId="7867FD7F" w14:textId="2F7696D0" w:rsidR="00DE3A0B" w:rsidRPr="00E163C6" w:rsidRDefault="00DE3A0B" w:rsidP="00DE3A0B">
      <w:pPr>
        <w:pStyle w:val="ListParagraph"/>
        <w:numPr>
          <w:ilvl w:val="2"/>
          <w:numId w:val="7"/>
        </w:numPr>
        <w:jc w:val="both"/>
      </w:pPr>
      <w:r w:rsidRPr="00E163C6">
        <w:lastRenderedPageBreak/>
        <w:t xml:space="preserve">Call on Malawi to ensure accountability for torture </w:t>
      </w:r>
      <w:r w:rsidR="008F77C0">
        <w:t xml:space="preserve">and other </w:t>
      </w:r>
      <w:r w:rsidR="008F77C0" w:rsidRPr="00E163C6">
        <w:t xml:space="preserve">cruel, </w:t>
      </w:r>
      <w:proofErr w:type="gramStart"/>
      <w:r w:rsidR="008F77C0" w:rsidRPr="00E163C6">
        <w:t>inhuman</w:t>
      </w:r>
      <w:proofErr w:type="gramEnd"/>
      <w:r w:rsidR="008F77C0" w:rsidRPr="00E163C6">
        <w:t xml:space="preserve"> or degrading treatment or punishment</w:t>
      </w:r>
      <w:r w:rsidRPr="00E163C6">
        <w:t>; and</w:t>
      </w:r>
    </w:p>
    <w:p w14:paraId="195A94E1" w14:textId="4D20F6EB" w:rsidR="009F3BE0" w:rsidRDefault="00DE3A0B" w:rsidP="00DE3A0B">
      <w:pPr>
        <w:pStyle w:val="ListParagraph"/>
        <w:numPr>
          <w:ilvl w:val="2"/>
          <w:numId w:val="7"/>
        </w:numPr>
        <w:jc w:val="both"/>
      </w:pPr>
      <w:r w:rsidRPr="00E163C6">
        <w:t>Encourage Malawi to collect appropriate information about persons with disabilities who are deprived of their liberty, so that their rights are protected and promoted.</w:t>
      </w:r>
    </w:p>
    <w:p w14:paraId="468FC1BE" w14:textId="0E555A93" w:rsidR="00A2677C" w:rsidRPr="00E163C6" w:rsidRDefault="00A2677C" w:rsidP="00005393">
      <w:pPr>
        <w:pStyle w:val="ListParagraph"/>
        <w:ind w:left="2160"/>
        <w:jc w:val="both"/>
      </w:pPr>
    </w:p>
    <w:sectPr w:rsidR="00A2677C" w:rsidRPr="00E163C6" w:rsidSect="007C2EA5">
      <w:headerReference w:type="default" r:id="rId8"/>
      <w:footerReference w:type="default" r:id="rId9"/>
      <w:pgSz w:w="12240" w:h="15840" w:code="1"/>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02187" w14:textId="77777777" w:rsidR="00984E4C" w:rsidRDefault="00984E4C" w:rsidP="00C30D13">
      <w:pPr>
        <w:spacing w:after="0" w:line="240" w:lineRule="auto"/>
      </w:pPr>
      <w:r>
        <w:separator/>
      </w:r>
    </w:p>
  </w:endnote>
  <w:endnote w:type="continuationSeparator" w:id="0">
    <w:p w14:paraId="2CA40A5B" w14:textId="77777777" w:rsidR="00984E4C" w:rsidRDefault="00984E4C" w:rsidP="00C30D13">
      <w:pPr>
        <w:spacing w:after="0" w:line="240" w:lineRule="auto"/>
      </w:pPr>
      <w:r>
        <w:continuationSeparator/>
      </w:r>
    </w:p>
  </w:endnote>
  <w:endnote w:type="continuationNotice" w:id="1">
    <w:p w14:paraId="7C2E3FB8" w14:textId="77777777" w:rsidR="00984E4C" w:rsidRDefault="00984E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6669673"/>
      <w:docPartObj>
        <w:docPartGallery w:val="Page Numbers (Bottom of Page)"/>
        <w:docPartUnique/>
      </w:docPartObj>
    </w:sdtPr>
    <w:sdtEndPr>
      <w:rPr>
        <w:noProof/>
        <w:sz w:val="20"/>
        <w:szCs w:val="20"/>
      </w:rPr>
    </w:sdtEndPr>
    <w:sdtContent>
      <w:p w14:paraId="7D9023EC" w14:textId="77777777" w:rsidR="006D7479" w:rsidRDefault="006D7479">
        <w:pPr>
          <w:pStyle w:val="Footer"/>
          <w:jc w:val="center"/>
        </w:pPr>
      </w:p>
      <w:p w14:paraId="7A345C90" w14:textId="401B9782" w:rsidR="00B54509" w:rsidRPr="00473018" w:rsidRDefault="00B54509">
        <w:pPr>
          <w:pStyle w:val="Footer"/>
          <w:jc w:val="center"/>
          <w:rPr>
            <w:sz w:val="20"/>
            <w:szCs w:val="20"/>
          </w:rPr>
        </w:pPr>
        <w:r w:rsidRPr="00473018">
          <w:rPr>
            <w:sz w:val="20"/>
            <w:szCs w:val="20"/>
          </w:rPr>
          <w:fldChar w:fldCharType="begin"/>
        </w:r>
        <w:r w:rsidRPr="00473018">
          <w:rPr>
            <w:sz w:val="20"/>
            <w:szCs w:val="20"/>
          </w:rPr>
          <w:instrText xml:space="preserve"> PAGE   \* MERGEFORMAT </w:instrText>
        </w:r>
        <w:r w:rsidRPr="00473018">
          <w:rPr>
            <w:sz w:val="20"/>
            <w:szCs w:val="20"/>
          </w:rPr>
          <w:fldChar w:fldCharType="separate"/>
        </w:r>
        <w:r w:rsidRPr="00473018">
          <w:rPr>
            <w:noProof/>
            <w:sz w:val="20"/>
            <w:szCs w:val="20"/>
          </w:rPr>
          <w:t>2</w:t>
        </w:r>
        <w:r w:rsidRPr="00473018">
          <w:rPr>
            <w:noProof/>
            <w:sz w:val="20"/>
            <w:szCs w:val="20"/>
          </w:rPr>
          <w:fldChar w:fldCharType="end"/>
        </w:r>
      </w:p>
    </w:sdtContent>
  </w:sdt>
  <w:p w14:paraId="0DCB58DF" w14:textId="5BDCFDF8" w:rsidR="3A1C45A9" w:rsidRDefault="3A1C45A9" w:rsidP="3A1C45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2DD5A" w14:textId="77777777" w:rsidR="00984E4C" w:rsidRDefault="00984E4C" w:rsidP="00C30D13">
      <w:pPr>
        <w:spacing w:after="0" w:line="240" w:lineRule="auto"/>
      </w:pPr>
      <w:r>
        <w:separator/>
      </w:r>
    </w:p>
  </w:footnote>
  <w:footnote w:type="continuationSeparator" w:id="0">
    <w:p w14:paraId="58ECF343" w14:textId="77777777" w:rsidR="00984E4C" w:rsidRDefault="00984E4C" w:rsidP="00C30D13">
      <w:pPr>
        <w:spacing w:after="0" w:line="240" w:lineRule="auto"/>
      </w:pPr>
      <w:r>
        <w:continuationSeparator/>
      </w:r>
    </w:p>
  </w:footnote>
  <w:footnote w:type="continuationNotice" w:id="1">
    <w:p w14:paraId="693AD806" w14:textId="77777777" w:rsidR="00984E4C" w:rsidRDefault="00984E4C">
      <w:pPr>
        <w:spacing w:after="0" w:line="240" w:lineRule="auto"/>
      </w:pPr>
    </w:p>
  </w:footnote>
  <w:footnote w:id="2">
    <w:p w14:paraId="38C2EC4E" w14:textId="15645313" w:rsidR="00A45595" w:rsidRPr="00A45595" w:rsidRDefault="00A45595">
      <w:pPr>
        <w:pStyle w:val="FootnoteText"/>
        <w:rPr>
          <w:lang w:val="en-US"/>
        </w:rPr>
      </w:pPr>
      <w:r>
        <w:rPr>
          <w:rStyle w:val="FootnoteReference"/>
        </w:rPr>
        <w:footnoteRef/>
      </w:r>
      <w:r>
        <w:t xml:space="preserve"> United Nations Human Rights Treaty Bodies, “Ratification Status for Malawi”, </w:t>
      </w:r>
      <w:hyperlink r:id="rId1" w:history="1">
        <w:r w:rsidRPr="00592BFF">
          <w:rPr>
            <w:rStyle w:val="Hyperlink"/>
          </w:rPr>
          <w:t>https://tbinternet.ohchr.org/_layouts/15/TreatyBodyExternal/Treaty.aspx?CountryID=104&amp;Lang=en.</w:t>
        </w:r>
      </w:hyperlink>
    </w:p>
  </w:footnote>
  <w:footnote w:id="3">
    <w:p w14:paraId="03370264" w14:textId="0B17F229" w:rsidR="00A45595" w:rsidRPr="00A45595" w:rsidRDefault="00A45595">
      <w:pPr>
        <w:pStyle w:val="FootnoteText"/>
        <w:rPr>
          <w:lang w:val="en-US"/>
        </w:rPr>
      </w:pPr>
      <w:r>
        <w:rPr>
          <w:rStyle w:val="FootnoteReference"/>
        </w:rPr>
        <w:footnoteRef/>
      </w:r>
      <w:r>
        <w:t xml:space="preserve"> </w:t>
      </w:r>
      <w:r>
        <w:rPr>
          <w:lang w:val="en-US"/>
        </w:rPr>
        <w:t>African [Banjul] Charter on Human and Peoples’ Rights, art. 18(4).</w:t>
      </w:r>
    </w:p>
  </w:footnote>
  <w:footnote w:id="4">
    <w:p w14:paraId="2309E480" w14:textId="692F6AFC" w:rsidR="00DF4969" w:rsidRPr="00DF4969" w:rsidRDefault="00DF4969">
      <w:pPr>
        <w:pStyle w:val="FootnoteText"/>
        <w:rPr>
          <w:lang w:val="en-US"/>
        </w:rPr>
      </w:pPr>
      <w:r>
        <w:rPr>
          <w:rStyle w:val="FootnoteReference"/>
        </w:rPr>
        <w:footnoteRef/>
      </w:r>
      <w:r>
        <w:t xml:space="preserve"> Constitution of Malawi, sec. 13</w:t>
      </w:r>
      <w:r>
        <w:rPr>
          <w:lang w:val="en-US"/>
        </w:rPr>
        <w:t>(g).</w:t>
      </w:r>
    </w:p>
  </w:footnote>
  <w:footnote w:id="5">
    <w:p w14:paraId="1044B224" w14:textId="30A6C4C1" w:rsidR="00AD301D" w:rsidRPr="00AD301D" w:rsidRDefault="00AD301D">
      <w:pPr>
        <w:pStyle w:val="FootnoteText"/>
        <w:rPr>
          <w:lang w:eastAsia="ko-KR"/>
        </w:rPr>
      </w:pPr>
      <w:r>
        <w:rPr>
          <w:rStyle w:val="FootnoteReference"/>
        </w:rPr>
        <w:footnoteRef/>
      </w:r>
      <w:r>
        <w:t xml:space="preserve"> </w:t>
      </w:r>
      <w:r>
        <w:rPr>
          <w:lang w:eastAsia="ko-KR"/>
        </w:rPr>
        <w:t>Disability Act</w:t>
      </w:r>
      <w:r w:rsidR="006D3F9E">
        <w:rPr>
          <w:lang w:eastAsia="ko-KR"/>
        </w:rPr>
        <w:t xml:space="preserve"> </w:t>
      </w:r>
      <w:r w:rsidR="006D3F9E">
        <w:t>(Chapter 33:06)</w:t>
      </w:r>
      <w:r>
        <w:rPr>
          <w:lang w:eastAsia="ko-KR"/>
        </w:rPr>
        <w:t>, sec. 8.</w:t>
      </w:r>
    </w:p>
  </w:footnote>
  <w:footnote w:id="6">
    <w:p w14:paraId="698A36BE" w14:textId="1A6A1474" w:rsidR="00656877" w:rsidRPr="00656877" w:rsidRDefault="00656877">
      <w:pPr>
        <w:pStyle w:val="FootnoteText"/>
      </w:pPr>
      <w:r>
        <w:rPr>
          <w:rStyle w:val="FootnoteReference"/>
        </w:rPr>
        <w:footnoteRef/>
      </w:r>
      <w:r>
        <w:t xml:space="preserve"> </w:t>
      </w:r>
      <w:r w:rsidR="00607988">
        <w:t xml:space="preserve">An exception may be when provisions mention differing treatment of people “of unsound mind”. </w:t>
      </w:r>
      <w:r>
        <w:rPr>
          <w:i/>
          <w:iCs/>
        </w:rPr>
        <w:t xml:space="preserve">See </w:t>
      </w:r>
      <w:r>
        <w:t xml:space="preserve">Supreme Court of Appeal Act (Chapter 3:01); Courts Act (Chapter 3:02); Criminal Procedure and Evidence Code (Act 36 of 1967); Civil Procedure (Suits </w:t>
      </w:r>
      <w:r w:rsidRPr="00656877">
        <w:t>by or against the Government or Public Officers) Act</w:t>
      </w:r>
      <w:r>
        <w:t xml:space="preserve"> (Chapter 6:01).</w:t>
      </w:r>
      <w:r w:rsidR="004E00DA">
        <w:t xml:space="preserve"> However, we are concerned that the use of this language conflates mental illness and disabilities.</w:t>
      </w:r>
    </w:p>
  </w:footnote>
  <w:footnote w:id="7">
    <w:p w14:paraId="082DE585" w14:textId="03BA8106" w:rsidR="00607988" w:rsidRPr="00656877" w:rsidRDefault="00607988" w:rsidP="00607988">
      <w:pPr>
        <w:pStyle w:val="FootnoteText"/>
      </w:pPr>
      <w:r>
        <w:rPr>
          <w:rStyle w:val="FootnoteReference"/>
        </w:rPr>
        <w:footnoteRef/>
      </w:r>
      <w:r>
        <w:t xml:space="preserve"> An exception may be when provisions mention differing treatment of people “of unsound mind”. </w:t>
      </w:r>
      <w:r>
        <w:rPr>
          <w:i/>
          <w:iCs/>
        </w:rPr>
        <w:t xml:space="preserve">See </w:t>
      </w:r>
      <w:r>
        <w:t>Prisons Act (Chapter 9:02); Police Act (Chapter 13:01).</w:t>
      </w:r>
      <w:r w:rsidR="004E00DA" w:rsidRPr="004E00DA">
        <w:t xml:space="preserve"> </w:t>
      </w:r>
      <w:r w:rsidR="004E00DA">
        <w:t>However, we are concerned that the use of this language conflates mental illness and disabilities.</w:t>
      </w:r>
    </w:p>
  </w:footnote>
  <w:footnote w:id="8">
    <w:p w14:paraId="0BC89EB3" w14:textId="65963BCD" w:rsidR="00791652" w:rsidRPr="00791652" w:rsidRDefault="00791652">
      <w:pPr>
        <w:pStyle w:val="FootnoteText"/>
      </w:pPr>
      <w:r>
        <w:rPr>
          <w:rStyle w:val="FootnoteReference"/>
        </w:rPr>
        <w:footnoteRef/>
      </w:r>
      <w:r>
        <w:t xml:space="preserve"> Disability Act (Chapter 33:06), sec. 3(1).</w:t>
      </w:r>
    </w:p>
  </w:footnote>
  <w:footnote w:id="9">
    <w:p w14:paraId="5FAF469F" w14:textId="4BF2861E" w:rsidR="00670D34" w:rsidRPr="00670D34" w:rsidRDefault="00670D34">
      <w:pPr>
        <w:pStyle w:val="FootnoteText"/>
      </w:pPr>
      <w:r>
        <w:rPr>
          <w:rStyle w:val="FootnoteReference"/>
        </w:rPr>
        <w:footnoteRef/>
      </w:r>
      <w:r>
        <w:t xml:space="preserve"> </w:t>
      </w:r>
      <w:r w:rsidRPr="00670D34">
        <w:t xml:space="preserve">Wezzie Gausi, “Prisoners’ Nightmare”, </w:t>
      </w:r>
      <w:r w:rsidRPr="00670D34">
        <w:rPr>
          <w:i/>
          <w:iCs/>
        </w:rPr>
        <w:t>Daily Times</w:t>
      </w:r>
      <w:r w:rsidRPr="00670D34">
        <w:t>, 15 November 2022.</w:t>
      </w:r>
    </w:p>
  </w:footnote>
  <w:footnote w:id="10">
    <w:p w14:paraId="43A3E6CA" w14:textId="42E7741D" w:rsidR="003E0C1B" w:rsidRPr="003E0C1B" w:rsidRDefault="003E0C1B">
      <w:pPr>
        <w:pStyle w:val="FootnoteText"/>
      </w:pPr>
      <w:r>
        <w:rPr>
          <w:rStyle w:val="FootnoteReference"/>
        </w:rPr>
        <w:footnoteRef/>
      </w:r>
      <w:r>
        <w:t xml:space="preserve"> Information on file with Reprieve.</w:t>
      </w:r>
    </w:p>
  </w:footnote>
  <w:footnote w:id="11">
    <w:p w14:paraId="3E083DA7" w14:textId="2AF0E485" w:rsidR="00CD5D07" w:rsidRPr="00CD5D07" w:rsidRDefault="00CD5D07">
      <w:pPr>
        <w:pStyle w:val="FootnoteText"/>
      </w:pPr>
      <w:r>
        <w:rPr>
          <w:rStyle w:val="FootnoteReference"/>
        </w:rPr>
        <w:footnoteRef/>
      </w:r>
      <w:r>
        <w:t xml:space="preserve"> Information on file with Reprieve.</w:t>
      </w:r>
    </w:p>
  </w:footnote>
  <w:footnote w:id="12">
    <w:p w14:paraId="5962365F" w14:textId="6EB9EB5F" w:rsidR="00F426BB" w:rsidRPr="00F426BB" w:rsidRDefault="00F426BB">
      <w:pPr>
        <w:pStyle w:val="FootnoteText"/>
        <w:rPr>
          <w:lang w:eastAsia="ko-KR"/>
        </w:rPr>
      </w:pPr>
      <w:r>
        <w:rPr>
          <w:rStyle w:val="FootnoteReference"/>
        </w:rPr>
        <w:footnoteRef/>
      </w:r>
      <w:r>
        <w:t xml:space="preserve"> </w:t>
      </w:r>
      <w:r>
        <w:rPr>
          <w:lang w:eastAsia="ko-KR"/>
        </w:rPr>
        <w:t>Constitution of Malawi, sec. 24.</w:t>
      </w:r>
    </w:p>
  </w:footnote>
  <w:footnote w:id="13">
    <w:p w14:paraId="66A0AB06" w14:textId="0AA1F65D" w:rsidR="00B37DC8" w:rsidRPr="00B37DC8" w:rsidRDefault="00B37DC8">
      <w:pPr>
        <w:pStyle w:val="FootnoteText"/>
        <w:rPr>
          <w:lang w:eastAsia="ko-KR"/>
        </w:rPr>
      </w:pPr>
      <w:r>
        <w:rPr>
          <w:rStyle w:val="FootnoteReference"/>
        </w:rPr>
        <w:footnoteRef/>
      </w:r>
      <w:r>
        <w:t xml:space="preserve"> </w:t>
      </w:r>
      <w:r>
        <w:rPr>
          <w:lang w:eastAsia="ko-KR"/>
        </w:rPr>
        <w:t>Constitution of Malawi, sec. 30.</w:t>
      </w:r>
    </w:p>
  </w:footnote>
  <w:footnote w:id="14">
    <w:p w14:paraId="343524FA" w14:textId="4A06CF02" w:rsidR="00311475" w:rsidRPr="00311475" w:rsidRDefault="00311475">
      <w:pPr>
        <w:pStyle w:val="FootnoteText"/>
        <w:rPr>
          <w:lang w:eastAsia="ko-KR"/>
        </w:rPr>
      </w:pPr>
      <w:r>
        <w:rPr>
          <w:rStyle w:val="FootnoteReference"/>
        </w:rPr>
        <w:footnoteRef/>
      </w:r>
      <w:r>
        <w:t xml:space="preserve"> Disability Act (Chapter 33:06); </w:t>
      </w:r>
      <w:r>
        <w:rPr>
          <w:lang w:eastAsia="ko-KR"/>
        </w:rPr>
        <w:t>Handicapped Persons Act (Chapter 33:02).</w:t>
      </w:r>
    </w:p>
  </w:footnote>
  <w:footnote w:id="15">
    <w:p w14:paraId="554EBC83" w14:textId="5EE89583" w:rsidR="00472EC6" w:rsidRPr="00472EC6" w:rsidRDefault="00472EC6">
      <w:pPr>
        <w:pStyle w:val="FootnoteText"/>
        <w:rPr>
          <w:lang w:eastAsia="ko-KR"/>
        </w:rPr>
      </w:pPr>
      <w:r>
        <w:rPr>
          <w:rStyle w:val="FootnoteReference"/>
        </w:rPr>
        <w:footnoteRef/>
      </w:r>
      <w:r>
        <w:t xml:space="preserve"> </w:t>
      </w:r>
      <w:r>
        <w:rPr>
          <w:lang w:eastAsia="ko-KR"/>
        </w:rPr>
        <w:t>Information on file with authors.</w:t>
      </w:r>
    </w:p>
  </w:footnote>
  <w:footnote w:id="16">
    <w:p w14:paraId="54EB8FF5" w14:textId="15C62D57" w:rsidR="008C1B1E" w:rsidRPr="008C1B1E" w:rsidRDefault="008C1B1E">
      <w:pPr>
        <w:pStyle w:val="FootnoteText"/>
      </w:pPr>
      <w:r>
        <w:rPr>
          <w:rStyle w:val="FootnoteReference"/>
        </w:rPr>
        <w:footnoteRef/>
      </w:r>
      <w:r>
        <w:t xml:space="preserve"> Information on file with Reprieve.</w:t>
      </w:r>
    </w:p>
  </w:footnote>
  <w:footnote w:id="17">
    <w:p w14:paraId="70C0C513" w14:textId="77777777" w:rsidR="001379D4" w:rsidRPr="00327107" w:rsidRDefault="001379D4" w:rsidP="001379D4">
      <w:pPr>
        <w:pStyle w:val="FootnoteText"/>
        <w:rPr>
          <w:lang w:eastAsia="ko-KR"/>
        </w:rPr>
      </w:pPr>
      <w:r>
        <w:rPr>
          <w:rStyle w:val="FootnoteReference"/>
        </w:rPr>
        <w:footnoteRef/>
      </w:r>
      <w:r>
        <w:t xml:space="preserve"> </w:t>
      </w:r>
      <w:r w:rsidRPr="0056352D">
        <w:rPr>
          <w:rFonts w:cstheme="minorHAnsi"/>
        </w:rPr>
        <w:t xml:space="preserve">Malawi, </w:t>
      </w:r>
      <w:r>
        <w:rPr>
          <w:rFonts w:cstheme="minorHAnsi"/>
        </w:rPr>
        <w:t xml:space="preserve">Government of Malawi, </w:t>
      </w:r>
      <w:r w:rsidRPr="005C2F5D">
        <w:rPr>
          <w:rFonts w:cstheme="minorHAnsi"/>
          <w:i/>
          <w:iCs/>
        </w:rPr>
        <w:t>National Action Plan on Persons with Albinism in Malawi: 2018-2022</w:t>
      </w:r>
      <w:r w:rsidRPr="0056352D">
        <w:rPr>
          <w:rFonts w:cstheme="minorHAnsi"/>
        </w:rPr>
        <w:t>, June 2018.</w:t>
      </w:r>
    </w:p>
  </w:footnote>
  <w:footnote w:id="18">
    <w:p w14:paraId="7E08F44A" w14:textId="07FF4458" w:rsidR="005D03EC" w:rsidRPr="0056352D" w:rsidRDefault="005D03EC" w:rsidP="005D03EC">
      <w:pPr>
        <w:pStyle w:val="FootnoteText"/>
        <w:rPr>
          <w:rFonts w:cstheme="minorHAnsi"/>
        </w:rPr>
      </w:pPr>
      <w:r w:rsidRPr="0056352D">
        <w:rPr>
          <w:rStyle w:val="FootnoteReference"/>
          <w:rFonts w:cstheme="minorHAnsi"/>
        </w:rPr>
        <w:footnoteRef/>
      </w:r>
      <w:r w:rsidRPr="0056352D">
        <w:rPr>
          <w:rFonts w:cstheme="minorHAnsi"/>
        </w:rPr>
        <w:t xml:space="preserve"> George Singini, </w:t>
      </w:r>
      <w:r>
        <w:rPr>
          <w:rFonts w:cstheme="minorHAnsi"/>
        </w:rPr>
        <w:t>“</w:t>
      </w:r>
      <w:r w:rsidRPr="0056352D">
        <w:rPr>
          <w:rFonts w:cstheme="minorHAnsi"/>
        </w:rPr>
        <w:t>Apam not impressed with NAP</w:t>
      </w:r>
      <w:r>
        <w:rPr>
          <w:rFonts w:cstheme="minorHAnsi"/>
        </w:rPr>
        <w:t xml:space="preserve">”, </w:t>
      </w:r>
      <w:r w:rsidRPr="00384BC7">
        <w:rPr>
          <w:rFonts w:cstheme="minorHAnsi"/>
          <w:i/>
          <w:iCs/>
        </w:rPr>
        <w:t>MW Nation</w:t>
      </w:r>
      <w:r>
        <w:rPr>
          <w:rFonts w:cstheme="minorHAnsi"/>
        </w:rPr>
        <w:t xml:space="preserve">, 31 </w:t>
      </w:r>
      <w:r w:rsidRPr="0056352D">
        <w:rPr>
          <w:rFonts w:cstheme="minorHAnsi"/>
        </w:rPr>
        <w:t xml:space="preserve">March </w:t>
      </w:r>
      <w:r>
        <w:rPr>
          <w:rFonts w:cstheme="minorHAnsi"/>
        </w:rPr>
        <w:t>2021</w:t>
      </w:r>
      <w:r w:rsidR="008E069F">
        <w:rPr>
          <w:rFonts w:cstheme="minorHAnsi"/>
        </w:rPr>
        <w:t>,</w:t>
      </w:r>
      <w:r w:rsidRPr="0056352D">
        <w:rPr>
          <w:rFonts w:cstheme="minorHAnsi"/>
        </w:rPr>
        <w:t xml:space="preserve"> </w:t>
      </w:r>
      <w:hyperlink r:id="rId2" w:history="1">
        <w:r w:rsidRPr="008E069F">
          <w:rPr>
            <w:rStyle w:val="Hyperlink"/>
            <w:rFonts w:cstheme="minorHAnsi"/>
          </w:rPr>
          <w:t>https://mwnation.com/apam-not-impressed-with-nap/</w:t>
        </w:r>
      </w:hyperlink>
      <w:r>
        <w:rPr>
          <w:rFonts w:cstheme="minorHAnsi"/>
        </w:rPr>
        <w:t>.</w:t>
      </w:r>
    </w:p>
  </w:footnote>
  <w:footnote w:id="19">
    <w:p w14:paraId="3890A7E7" w14:textId="467863D3" w:rsidR="005D03EC" w:rsidRPr="0056352D" w:rsidRDefault="005D03EC" w:rsidP="005D03EC">
      <w:pPr>
        <w:pStyle w:val="FootnoteText"/>
        <w:rPr>
          <w:rFonts w:cstheme="minorHAnsi"/>
        </w:rPr>
      </w:pPr>
      <w:r w:rsidRPr="0056352D">
        <w:rPr>
          <w:rStyle w:val="FootnoteReference"/>
          <w:rFonts w:cstheme="minorHAnsi"/>
        </w:rPr>
        <w:footnoteRef/>
      </w:r>
      <w:r w:rsidRPr="0056352D">
        <w:rPr>
          <w:rFonts w:cstheme="minorHAnsi"/>
        </w:rPr>
        <w:t xml:space="preserve"> Lameck Masina, </w:t>
      </w:r>
      <w:r>
        <w:rPr>
          <w:rFonts w:cstheme="minorHAnsi"/>
        </w:rPr>
        <w:t>“</w:t>
      </w:r>
      <w:r w:rsidRPr="0056352D">
        <w:rPr>
          <w:rFonts w:cstheme="minorHAnsi"/>
        </w:rPr>
        <w:t>Malawi Struggles to End Attacks on People With Albinism</w:t>
      </w:r>
      <w:r>
        <w:rPr>
          <w:rFonts w:cstheme="minorHAnsi"/>
        </w:rPr>
        <w:t xml:space="preserve">”, </w:t>
      </w:r>
      <w:r w:rsidRPr="00384BC7">
        <w:rPr>
          <w:rFonts w:cstheme="minorHAnsi"/>
          <w:i/>
          <w:iCs/>
        </w:rPr>
        <w:t>VOA</w:t>
      </w:r>
      <w:r>
        <w:rPr>
          <w:rFonts w:cstheme="minorHAnsi"/>
        </w:rPr>
        <w:t xml:space="preserve">, 21 </w:t>
      </w:r>
      <w:r w:rsidRPr="0056352D">
        <w:rPr>
          <w:rFonts w:cstheme="minorHAnsi"/>
        </w:rPr>
        <w:t xml:space="preserve">August </w:t>
      </w:r>
      <w:r>
        <w:rPr>
          <w:rFonts w:cstheme="minorHAnsi"/>
        </w:rPr>
        <w:t>2021</w:t>
      </w:r>
      <w:r w:rsidR="008E069F">
        <w:rPr>
          <w:rFonts w:cstheme="minorHAnsi"/>
        </w:rPr>
        <w:t>,</w:t>
      </w:r>
    </w:p>
    <w:p w14:paraId="20862DD9" w14:textId="347DD7C4" w:rsidR="005D03EC" w:rsidRPr="0056352D" w:rsidRDefault="0011022F" w:rsidP="005D03EC">
      <w:pPr>
        <w:pStyle w:val="FootnoteText"/>
        <w:rPr>
          <w:rFonts w:cstheme="minorHAnsi"/>
        </w:rPr>
      </w:pPr>
      <w:hyperlink r:id="rId3" w:history="1">
        <w:r w:rsidR="005D03EC" w:rsidRPr="008E069F">
          <w:rPr>
            <w:rStyle w:val="Hyperlink"/>
            <w:rFonts w:cstheme="minorHAnsi"/>
          </w:rPr>
          <w:t>https://www.voanews.com/a/africa_malawi-struggles-end-attacks-people-albinism/6209802.html</w:t>
        </w:r>
      </w:hyperlink>
      <w:r w:rsidR="005D03EC" w:rsidRPr="0056352D">
        <w:rPr>
          <w:rFonts w:cstheme="minorHAnsi"/>
        </w:rPr>
        <w:t>.</w:t>
      </w:r>
    </w:p>
  </w:footnote>
  <w:footnote w:id="20">
    <w:p w14:paraId="5699AB02" w14:textId="29851612" w:rsidR="005D03EC" w:rsidRPr="0056352D" w:rsidRDefault="005D03EC" w:rsidP="005D03EC">
      <w:pPr>
        <w:pStyle w:val="FootnoteText"/>
        <w:rPr>
          <w:rFonts w:cstheme="minorHAnsi"/>
        </w:rPr>
      </w:pPr>
      <w:r w:rsidRPr="0056352D">
        <w:rPr>
          <w:rStyle w:val="FootnoteReference"/>
          <w:rFonts w:cstheme="minorHAnsi"/>
        </w:rPr>
        <w:footnoteRef/>
      </w:r>
      <w:r w:rsidRPr="0056352D">
        <w:rPr>
          <w:rFonts w:cstheme="minorHAnsi"/>
        </w:rPr>
        <w:t xml:space="preserve"> Audrey Kapalamula, </w:t>
      </w:r>
      <w:r>
        <w:rPr>
          <w:rFonts w:cstheme="minorHAnsi"/>
        </w:rPr>
        <w:t>“</w:t>
      </w:r>
      <w:r w:rsidRPr="0056352D">
        <w:rPr>
          <w:rFonts w:cstheme="minorHAnsi"/>
        </w:rPr>
        <w:t>Apam bemoans national action plan budget cut</w:t>
      </w:r>
      <w:r>
        <w:rPr>
          <w:rFonts w:cstheme="minorHAnsi"/>
        </w:rPr>
        <w:t xml:space="preserve">”, </w:t>
      </w:r>
      <w:r w:rsidR="00384BC7">
        <w:rPr>
          <w:rFonts w:cstheme="minorHAnsi"/>
          <w:i/>
          <w:iCs/>
        </w:rPr>
        <w:t>Times Malawi</w:t>
      </w:r>
      <w:r w:rsidR="00384BC7" w:rsidRPr="00384BC7">
        <w:rPr>
          <w:rFonts w:cstheme="minorHAnsi"/>
        </w:rPr>
        <w:t>,</w:t>
      </w:r>
      <w:r w:rsidR="00384BC7">
        <w:rPr>
          <w:rFonts w:cstheme="minorHAnsi"/>
          <w:i/>
          <w:iCs/>
        </w:rPr>
        <w:t xml:space="preserve"> </w:t>
      </w:r>
      <w:r>
        <w:rPr>
          <w:rFonts w:cstheme="minorHAnsi"/>
        </w:rPr>
        <w:t>11 June 2021</w:t>
      </w:r>
      <w:r w:rsidR="008E069F">
        <w:rPr>
          <w:rFonts w:cstheme="minorHAnsi"/>
        </w:rPr>
        <w:t>,</w:t>
      </w:r>
      <w:r>
        <w:rPr>
          <w:rFonts w:cstheme="minorHAnsi"/>
        </w:rPr>
        <w:t xml:space="preserve"> </w:t>
      </w:r>
      <w:hyperlink r:id="rId4" w:history="1">
        <w:r w:rsidRPr="008E069F">
          <w:rPr>
            <w:rStyle w:val="Hyperlink"/>
            <w:rFonts w:cstheme="minorHAnsi"/>
          </w:rPr>
          <w:t>https://times.mw/apam-bemoans-national-action-plan-budget-cut/#</w:t>
        </w:r>
      </w:hyperlink>
      <w:r>
        <w:rPr>
          <w:rFonts w:cstheme="minorHAnsi"/>
        </w:rPr>
        <w:t>.</w:t>
      </w:r>
    </w:p>
  </w:footnote>
  <w:footnote w:id="21">
    <w:p w14:paraId="60424903" w14:textId="71222BF1" w:rsidR="005D03EC" w:rsidRPr="0056352D" w:rsidRDefault="005D03EC" w:rsidP="005D03EC">
      <w:pPr>
        <w:pStyle w:val="FootnoteText"/>
        <w:rPr>
          <w:rFonts w:cstheme="minorHAnsi"/>
        </w:rPr>
      </w:pPr>
      <w:r w:rsidRPr="0056352D">
        <w:rPr>
          <w:rStyle w:val="FootnoteReference"/>
          <w:rFonts w:cstheme="minorHAnsi"/>
        </w:rPr>
        <w:footnoteRef/>
      </w:r>
      <w:r w:rsidRPr="0056352D">
        <w:rPr>
          <w:rFonts w:cstheme="minorHAnsi"/>
        </w:rPr>
        <w:t xml:space="preserve"> </w:t>
      </w:r>
      <w:r>
        <w:rPr>
          <w:rFonts w:cstheme="minorHAnsi"/>
        </w:rPr>
        <w:t>Africa Albinism Network, “Action on Albinism Malawi Database</w:t>
      </w:r>
      <w:r w:rsidR="008E069F">
        <w:rPr>
          <w:rFonts w:cstheme="minorHAnsi"/>
        </w:rPr>
        <w:t xml:space="preserve">”, </w:t>
      </w:r>
      <w:hyperlink r:id="rId5" w:history="1">
        <w:r w:rsidR="008E069F" w:rsidRPr="00562185">
          <w:rPr>
            <w:rStyle w:val="Hyperlink"/>
            <w:rFonts w:cstheme="minorHAnsi"/>
          </w:rPr>
          <w:t>https://actiononalbinism.org/page/c6cd5zzky9qtvx7viqtw0o1or</w:t>
        </w:r>
      </w:hyperlink>
      <w:r>
        <w:rPr>
          <w:rFonts w:cstheme="minorHAnsi"/>
        </w:rPr>
        <w:t xml:space="preserve">. </w:t>
      </w:r>
    </w:p>
  </w:footnote>
  <w:footnote w:id="22">
    <w:p w14:paraId="69F7D765" w14:textId="77777777" w:rsidR="005D03EC" w:rsidRPr="0056352D" w:rsidRDefault="005D03EC" w:rsidP="005D03EC">
      <w:pPr>
        <w:pStyle w:val="FootnoteText"/>
        <w:rPr>
          <w:rFonts w:cstheme="minorHAnsi"/>
        </w:rPr>
      </w:pPr>
      <w:r w:rsidRPr="0056352D">
        <w:rPr>
          <w:rStyle w:val="FootnoteReference"/>
          <w:rFonts w:cstheme="minorHAnsi"/>
        </w:rPr>
        <w:footnoteRef/>
      </w:r>
      <w:r w:rsidRPr="0056352D">
        <w:rPr>
          <w:rFonts w:cstheme="minorHAnsi"/>
        </w:rPr>
        <w:t xml:space="preserve"> </w:t>
      </w:r>
      <w:r>
        <w:rPr>
          <w:rFonts w:cstheme="minorHAnsi"/>
        </w:rPr>
        <w:t>Ibid.</w:t>
      </w:r>
    </w:p>
  </w:footnote>
  <w:footnote w:id="23">
    <w:p w14:paraId="640F3FB1" w14:textId="77777777" w:rsidR="005D03EC" w:rsidRPr="0056352D" w:rsidRDefault="005D03EC" w:rsidP="005D03EC">
      <w:pPr>
        <w:pStyle w:val="FootnoteText"/>
        <w:rPr>
          <w:rFonts w:cstheme="minorHAnsi"/>
        </w:rPr>
      </w:pPr>
      <w:r w:rsidRPr="0056352D">
        <w:rPr>
          <w:rStyle w:val="FootnoteReference"/>
          <w:rFonts w:cstheme="minorHAnsi"/>
        </w:rPr>
        <w:footnoteRef/>
      </w:r>
      <w:r w:rsidRPr="0056352D">
        <w:rPr>
          <w:rFonts w:cstheme="minorHAnsi"/>
        </w:rPr>
        <w:t xml:space="preserve"> Human Rights Council, </w:t>
      </w:r>
      <w:r w:rsidRPr="0056352D">
        <w:rPr>
          <w:rFonts w:cstheme="minorHAnsi"/>
          <w:i/>
          <w:iCs/>
        </w:rPr>
        <w:t>Report of the Independent Expert on the enjoyment of human rights by persons with albinism</w:t>
      </w:r>
      <w:r w:rsidRPr="0056352D">
        <w:rPr>
          <w:rFonts w:cstheme="minorHAnsi"/>
        </w:rPr>
        <w:t>, UN Doc A/HRC/31/63 (18 January 2016)</w:t>
      </w:r>
      <w:r>
        <w:rPr>
          <w:rFonts w:cstheme="minorHAnsi"/>
        </w:rPr>
        <w:t>, para. 1</w:t>
      </w:r>
      <w:r w:rsidRPr="0056352D">
        <w:rPr>
          <w:rFonts w:cstheme="minorHAnsi"/>
        </w:rPr>
        <w:t>6.</w:t>
      </w:r>
    </w:p>
  </w:footnote>
  <w:footnote w:id="24">
    <w:p w14:paraId="677A1932" w14:textId="68832E33" w:rsidR="00384BC7" w:rsidRPr="0056352D" w:rsidRDefault="005D03EC" w:rsidP="00384BC7">
      <w:pPr>
        <w:pStyle w:val="FootnoteText"/>
        <w:rPr>
          <w:rFonts w:cstheme="minorHAnsi"/>
        </w:rPr>
      </w:pPr>
      <w:r w:rsidRPr="0056352D">
        <w:rPr>
          <w:rStyle w:val="FootnoteReference"/>
          <w:rFonts w:cstheme="minorHAnsi"/>
        </w:rPr>
        <w:footnoteRef/>
      </w:r>
      <w:r w:rsidRPr="0056352D">
        <w:rPr>
          <w:rFonts w:cstheme="minorHAnsi"/>
        </w:rPr>
        <w:t xml:space="preserve"> </w:t>
      </w:r>
      <w:r w:rsidR="00384BC7" w:rsidRPr="0056352D">
        <w:rPr>
          <w:rFonts w:cstheme="minorHAnsi"/>
        </w:rPr>
        <w:t xml:space="preserve">Lameck Masina, </w:t>
      </w:r>
      <w:r w:rsidR="00384BC7">
        <w:rPr>
          <w:rFonts w:cstheme="minorHAnsi"/>
        </w:rPr>
        <w:t>“</w:t>
      </w:r>
      <w:r w:rsidR="00384BC7" w:rsidRPr="0056352D">
        <w:rPr>
          <w:rFonts w:cstheme="minorHAnsi"/>
        </w:rPr>
        <w:t>Malawi Struggles to End Attacks on People With Albinism</w:t>
      </w:r>
      <w:r w:rsidR="00384BC7">
        <w:rPr>
          <w:rFonts w:cstheme="minorHAnsi"/>
        </w:rPr>
        <w:t xml:space="preserve">”, </w:t>
      </w:r>
      <w:r w:rsidR="00384BC7" w:rsidRPr="00384BC7">
        <w:rPr>
          <w:rFonts w:cstheme="minorHAnsi"/>
          <w:i/>
          <w:iCs/>
        </w:rPr>
        <w:t>VOA</w:t>
      </w:r>
      <w:r w:rsidR="00384BC7">
        <w:rPr>
          <w:rFonts w:cstheme="minorHAnsi"/>
        </w:rPr>
        <w:t xml:space="preserve">, 21 </w:t>
      </w:r>
      <w:r w:rsidR="00384BC7" w:rsidRPr="0056352D">
        <w:rPr>
          <w:rFonts w:cstheme="minorHAnsi"/>
        </w:rPr>
        <w:t xml:space="preserve">August </w:t>
      </w:r>
      <w:r w:rsidR="00384BC7">
        <w:rPr>
          <w:rFonts w:cstheme="minorHAnsi"/>
        </w:rPr>
        <w:t>2021</w:t>
      </w:r>
      <w:r w:rsidR="008E069F">
        <w:rPr>
          <w:rFonts w:cstheme="minorHAnsi"/>
        </w:rPr>
        <w:t>,</w:t>
      </w:r>
    </w:p>
    <w:p w14:paraId="380B48C3" w14:textId="3D8F7996" w:rsidR="005D03EC" w:rsidRPr="0056352D" w:rsidRDefault="0011022F" w:rsidP="005D03EC">
      <w:pPr>
        <w:pStyle w:val="FootnoteText"/>
        <w:rPr>
          <w:rFonts w:cstheme="minorHAnsi"/>
        </w:rPr>
      </w:pPr>
      <w:hyperlink r:id="rId6" w:history="1">
        <w:r w:rsidR="00384BC7" w:rsidRPr="008E069F">
          <w:rPr>
            <w:rStyle w:val="Hyperlink"/>
            <w:rFonts w:cstheme="minorHAnsi"/>
          </w:rPr>
          <w:t>https://www.voanews.com/a/africa_malawi-struggles-end-attacks-people-albinism/6209802.html</w:t>
        </w:r>
      </w:hyperlink>
      <w:r w:rsidR="00384BC7" w:rsidRPr="0056352D">
        <w:rPr>
          <w:rFonts w:cstheme="minorHAnsi"/>
        </w:rPr>
        <w:t>.</w:t>
      </w:r>
    </w:p>
  </w:footnote>
  <w:footnote w:id="25">
    <w:p w14:paraId="21D3BC5B" w14:textId="4135AFB3" w:rsidR="007018D1" w:rsidRDefault="007018D1">
      <w:pPr>
        <w:pStyle w:val="FootnoteText"/>
        <w:rPr>
          <w:lang w:eastAsia="ko-KR"/>
        </w:rPr>
      </w:pPr>
      <w:r>
        <w:rPr>
          <w:rStyle w:val="FootnoteReference"/>
        </w:rPr>
        <w:footnoteRef/>
      </w:r>
      <w:r>
        <w:t xml:space="preserve"> </w:t>
      </w:r>
      <w:r w:rsidR="00D924F4">
        <w:t>Constitution of Malawi, sec. 42(4)(h).</w:t>
      </w:r>
    </w:p>
  </w:footnote>
  <w:footnote w:id="26">
    <w:p w14:paraId="56F610E0" w14:textId="6256F64A" w:rsidR="00A5558D" w:rsidRDefault="00A5558D">
      <w:pPr>
        <w:pStyle w:val="FootnoteText"/>
        <w:rPr>
          <w:lang w:eastAsia="ko-KR"/>
        </w:rPr>
      </w:pPr>
      <w:r>
        <w:rPr>
          <w:rStyle w:val="FootnoteReference"/>
        </w:rPr>
        <w:footnoteRef/>
      </w:r>
      <w:r>
        <w:t xml:space="preserve"> </w:t>
      </w:r>
      <w:r>
        <w:rPr>
          <w:rFonts w:hint="eastAsia"/>
          <w:lang w:eastAsia="ko-KR"/>
        </w:rPr>
        <w:t>I</w:t>
      </w:r>
      <w:r>
        <w:rPr>
          <w:lang w:eastAsia="ko-KR"/>
        </w:rPr>
        <w:t>nformation on file with authors.</w:t>
      </w:r>
    </w:p>
  </w:footnote>
  <w:footnote w:id="27">
    <w:p w14:paraId="55FDC1D0" w14:textId="77777777" w:rsidR="003F6DB1" w:rsidRDefault="003F6DB1" w:rsidP="003F6DB1">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Constitution of Malawi, sec. 16.</w:t>
      </w:r>
    </w:p>
  </w:footnote>
  <w:footnote w:id="28">
    <w:p w14:paraId="4F73AF9F" w14:textId="0DE5A7BD" w:rsidR="00E67795" w:rsidRPr="00E67795" w:rsidRDefault="00E67795">
      <w:pPr>
        <w:pStyle w:val="FootnoteText"/>
        <w:rPr>
          <w:lang w:eastAsia="ko-KR"/>
        </w:rPr>
      </w:pPr>
      <w:r>
        <w:rPr>
          <w:rStyle w:val="FootnoteReference"/>
        </w:rPr>
        <w:footnoteRef/>
      </w:r>
      <w:r>
        <w:t xml:space="preserve"> </w:t>
      </w:r>
      <w:r>
        <w:rPr>
          <w:lang w:eastAsia="ko-KR"/>
        </w:rPr>
        <w:t>Constitution of Malawi, sec</w:t>
      </w:r>
      <w:r w:rsidR="00B64873">
        <w:rPr>
          <w:lang w:eastAsia="ko-KR"/>
        </w:rPr>
        <w:t>s</w:t>
      </w:r>
      <w:r>
        <w:rPr>
          <w:lang w:eastAsia="ko-KR"/>
        </w:rPr>
        <w:t xml:space="preserve">. </w:t>
      </w:r>
      <w:r w:rsidR="00B64873">
        <w:rPr>
          <w:lang w:eastAsia="ko-KR"/>
        </w:rPr>
        <w:t>13</w:t>
      </w:r>
      <w:r>
        <w:rPr>
          <w:lang w:eastAsia="ko-KR"/>
        </w:rPr>
        <w:t>(g)</w:t>
      </w:r>
      <w:r w:rsidR="00B64873">
        <w:rPr>
          <w:lang w:eastAsia="ko-KR"/>
        </w:rPr>
        <w:t>, 20(1)</w:t>
      </w:r>
      <w:r>
        <w:rPr>
          <w:lang w:eastAsia="ko-KR"/>
        </w:rPr>
        <w:t>.</w:t>
      </w:r>
    </w:p>
  </w:footnote>
  <w:footnote w:id="29">
    <w:p w14:paraId="247EB786" w14:textId="7CC9C6A3" w:rsidR="001771E7" w:rsidRPr="001771E7" w:rsidRDefault="001771E7">
      <w:pPr>
        <w:pStyle w:val="FootnoteText"/>
        <w:rPr>
          <w:lang w:eastAsia="ko-KR"/>
        </w:rPr>
      </w:pPr>
      <w:r>
        <w:rPr>
          <w:rStyle w:val="FootnoteReference"/>
        </w:rPr>
        <w:footnoteRef/>
      </w:r>
      <w:r>
        <w:t xml:space="preserve"> </w:t>
      </w:r>
      <w:r>
        <w:rPr>
          <w:i/>
          <w:iCs/>
          <w:lang w:eastAsia="ko-KR"/>
        </w:rPr>
        <w:t xml:space="preserve">See </w:t>
      </w:r>
      <w:r>
        <w:rPr>
          <w:lang w:eastAsia="ko-KR"/>
        </w:rPr>
        <w:t>Disability Act (Chapter 33:06).</w:t>
      </w:r>
    </w:p>
  </w:footnote>
  <w:footnote w:id="30">
    <w:p w14:paraId="2A6C252B" w14:textId="2284D40D" w:rsidR="006402EA" w:rsidRPr="006402EA" w:rsidRDefault="006402EA">
      <w:pPr>
        <w:pStyle w:val="FootnoteText"/>
        <w:rPr>
          <w:lang w:eastAsia="ko-KR"/>
        </w:rPr>
      </w:pPr>
      <w:r>
        <w:rPr>
          <w:rStyle w:val="FootnoteReference"/>
        </w:rPr>
        <w:footnoteRef/>
      </w:r>
      <w:r>
        <w:t xml:space="preserve"> </w:t>
      </w:r>
      <w:r w:rsidR="0057050F">
        <w:rPr>
          <w:lang w:eastAsia="ko-KR"/>
        </w:rPr>
        <w:t>Criminal Procedure and Evidence Code, sec. 133.</w:t>
      </w:r>
    </w:p>
  </w:footnote>
  <w:footnote w:id="31">
    <w:p w14:paraId="315FC59F" w14:textId="3ADDF033" w:rsidR="000F24A1" w:rsidRPr="000F24A1" w:rsidRDefault="000F24A1">
      <w:pPr>
        <w:pStyle w:val="FootnoteText"/>
        <w:rPr>
          <w:lang w:eastAsia="ko-KR"/>
        </w:rPr>
      </w:pPr>
      <w:r>
        <w:rPr>
          <w:rStyle w:val="FootnoteReference"/>
        </w:rPr>
        <w:footnoteRef/>
      </w:r>
      <w:r>
        <w:t xml:space="preserve"> </w:t>
      </w:r>
      <w:r w:rsidR="00B678A4">
        <w:rPr>
          <w:lang w:eastAsia="ko-KR"/>
        </w:rPr>
        <w:t>Disability Act</w:t>
      </w:r>
      <w:r w:rsidR="006D3F9E">
        <w:rPr>
          <w:lang w:eastAsia="ko-KR"/>
        </w:rPr>
        <w:t xml:space="preserve"> </w:t>
      </w:r>
      <w:r w:rsidR="006D3F9E">
        <w:t>(Chapter 33:06)</w:t>
      </w:r>
      <w:r w:rsidR="00B678A4">
        <w:rPr>
          <w:lang w:eastAsia="ko-KR"/>
        </w:rPr>
        <w:t>, sec. 8(a), (d).</w:t>
      </w:r>
    </w:p>
  </w:footnote>
  <w:footnote w:id="32">
    <w:p w14:paraId="1A49CB00" w14:textId="77777777" w:rsidR="002A66E4" w:rsidRPr="00ED220C" w:rsidRDefault="002A66E4" w:rsidP="002A66E4">
      <w:pPr>
        <w:pStyle w:val="FootnoteText"/>
        <w:rPr>
          <w:lang w:val="en-US"/>
        </w:rPr>
      </w:pPr>
      <w:r>
        <w:rPr>
          <w:rStyle w:val="FootnoteReference"/>
        </w:rPr>
        <w:footnoteRef/>
      </w:r>
      <w:r>
        <w:t xml:space="preserve"> </w:t>
      </w:r>
      <w:r>
        <w:rPr>
          <w:lang w:val="en-US"/>
        </w:rPr>
        <w:t>Information on file with SALC.</w:t>
      </w:r>
    </w:p>
  </w:footnote>
  <w:footnote w:id="33">
    <w:p w14:paraId="1BFD7DA5" w14:textId="77777777" w:rsidR="002A66E4" w:rsidRPr="00ED220C" w:rsidRDefault="002A66E4" w:rsidP="002A66E4">
      <w:pPr>
        <w:pStyle w:val="FootnoteText"/>
      </w:pPr>
      <w:r>
        <w:rPr>
          <w:rStyle w:val="FootnoteReference"/>
        </w:rPr>
        <w:footnoteRef/>
      </w:r>
      <w:r>
        <w:t xml:space="preserve"> Information on file with SALC.</w:t>
      </w:r>
    </w:p>
  </w:footnote>
  <w:footnote w:id="34">
    <w:p w14:paraId="0F9CBADF" w14:textId="1F27F885" w:rsidR="00D6577B" w:rsidRDefault="00D6577B">
      <w:pPr>
        <w:pStyle w:val="FootnoteText"/>
        <w:rPr>
          <w:lang w:eastAsia="ko-KR"/>
        </w:rPr>
      </w:pPr>
      <w:r>
        <w:rPr>
          <w:rStyle w:val="FootnoteReference"/>
        </w:rPr>
        <w:footnoteRef/>
      </w:r>
      <w:r>
        <w:t xml:space="preserve"> </w:t>
      </w:r>
      <w:r>
        <w:rPr>
          <w:rFonts w:hint="eastAsia"/>
          <w:lang w:eastAsia="ko-KR"/>
        </w:rPr>
        <w:t>D</w:t>
      </w:r>
      <w:r>
        <w:rPr>
          <w:lang w:eastAsia="ko-KR"/>
        </w:rPr>
        <w:t>isability Act</w:t>
      </w:r>
      <w:r w:rsidR="006D3F9E">
        <w:rPr>
          <w:lang w:eastAsia="ko-KR"/>
        </w:rPr>
        <w:t xml:space="preserve"> </w:t>
      </w:r>
      <w:r w:rsidR="006D3F9E">
        <w:t>(Chapter 33:06)</w:t>
      </w:r>
      <w:r>
        <w:rPr>
          <w:lang w:eastAsia="ko-KR"/>
        </w:rPr>
        <w:t>, sec. 2.</w:t>
      </w:r>
    </w:p>
  </w:footnote>
  <w:footnote w:id="35">
    <w:p w14:paraId="79181C5F" w14:textId="77777777" w:rsidR="009B1657" w:rsidRDefault="009B1657" w:rsidP="009B1657">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Constitution of Malawi, sec. 16.</w:t>
      </w:r>
    </w:p>
  </w:footnote>
  <w:footnote w:id="36">
    <w:p w14:paraId="2D0553F6" w14:textId="77777777" w:rsidR="009B1657" w:rsidRDefault="009B1657" w:rsidP="009B1657">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Penal Code, sec. 133.</w:t>
      </w:r>
    </w:p>
  </w:footnote>
  <w:footnote w:id="37">
    <w:p w14:paraId="4072CA20" w14:textId="1FC7FB4F" w:rsidR="009B1657" w:rsidRDefault="009B1657" w:rsidP="009B1657">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8E069F">
        <w:rPr>
          <w:color w:val="000000"/>
          <w:sz w:val="20"/>
          <w:szCs w:val="20"/>
        </w:rPr>
        <w:t>Penal Code</w:t>
      </w:r>
      <w:r>
        <w:rPr>
          <w:color w:val="000000"/>
          <w:sz w:val="20"/>
          <w:szCs w:val="20"/>
        </w:rPr>
        <w:t>, sec. 38.</w:t>
      </w:r>
    </w:p>
  </w:footnote>
  <w:footnote w:id="38">
    <w:p w14:paraId="0EC10B97" w14:textId="78815A57" w:rsidR="009B1657" w:rsidRDefault="009B1657" w:rsidP="009B1657">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8E069F">
        <w:rPr>
          <w:color w:val="000000"/>
          <w:sz w:val="20"/>
          <w:szCs w:val="20"/>
        </w:rPr>
        <w:t>Penal Code</w:t>
      </w:r>
      <w:r>
        <w:rPr>
          <w:color w:val="000000"/>
          <w:sz w:val="20"/>
          <w:szCs w:val="20"/>
        </w:rPr>
        <w:t>, sec. 210.</w:t>
      </w:r>
    </w:p>
  </w:footnote>
  <w:footnote w:id="39">
    <w:p w14:paraId="1EE64ACB" w14:textId="11526478" w:rsidR="009B1657" w:rsidRDefault="009B1657" w:rsidP="009B1657">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8E069F">
        <w:rPr>
          <w:color w:val="000000"/>
          <w:sz w:val="20"/>
          <w:szCs w:val="20"/>
        </w:rPr>
        <w:t>Penal Code</w:t>
      </w:r>
      <w:r>
        <w:rPr>
          <w:color w:val="000000"/>
          <w:sz w:val="20"/>
          <w:szCs w:val="20"/>
        </w:rPr>
        <w:t>, sec. 217A.</w:t>
      </w:r>
    </w:p>
  </w:footnote>
  <w:footnote w:id="40">
    <w:p w14:paraId="03D0044C" w14:textId="0FB318AF" w:rsidR="009B1657" w:rsidRDefault="009B1657" w:rsidP="009B1657">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8E069F">
        <w:rPr>
          <w:color w:val="000000"/>
          <w:sz w:val="20"/>
          <w:szCs w:val="20"/>
        </w:rPr>
        <w:t>Penal Code</w:t>
      </w:r>
      <w:r>
        <w:rPr>
          <w:color w:val="000000"/>
          <w:sz w:val="20"/>
          <w:szCs w:val="20"/>
        </w:rPr>
        <w:t>, sec. 301(2).</w:t>
      </w:r>
    </w:p>
  </w:footnote>
  <w:footnote w:id="41">
    <w:p w14:paraId="5E419413" w14:textId="357A0117" w:rsidR="009B1657" w:rsidRDefault="009B1657" w:rsidP="009B1657">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8E069F">
        <w:rPr>
          <w:color w:val="000000"/>
          <w:sz w:val="20"/>
          <w:szCs w:val="20"/>
        </w:rPr>
        <w:t>Penal Code</w:t>
      </w:r>
      <w:r>
        <w:rPr>
          <w:color w:val="000000"/>
          <w:sz w:val="20"/>
          <w:szCs w:val="20"/>
        </w:rPr>
        <w:t>, sec. 309(1)-(2).</w:t>
      </w:r>
    </w:p>
  </w:footnote>
  <w:footnote w:id="42">
    <w:p w14:paraId="14DA8D26" w14:textId="77777777" w:rsidR="009B1657" w:rsidRPr="00A80CD2" w:rsidRDefault="009B1657" w:rsidP="009B1657">
      <w:pPr>
        <w:pStyle w:val="FootnoteText"/>
      </w:pPr>
      <w:r>
        <w:rPr>
          <w:rStyle w:val="FootnoteReference"/>
        </w:rPr>
        <w:footnoteRef/>
      </w:r>
      <w:r>
        <w:t xml:space="preserve"> </w:t>
      </w:r>
      <w:r w:rsidRPr="0056352D">
        <w:rPr>
          <w:rFonts w:cstheme="minorHAnsi"/>
        </w:rPr>
        <w:t xml:space="preserve">Inspectorate of Prisons, </w:t>
      </w:r>
      <w:r w:rsidRPr="0056352D">
        <w:rPr>
          <w:rFonts w:cstheme="minorHAnsi"/>
          <w:i/>
          <w:iCs/>
        </w:rPr>
        <w:t xml:space="preserve">The Report of the Inspection of Prisons and Police Cells Conducted by the Malawi Inspectorate of Prisons in </w:t>
      </w:r>
      <w:r>
        <w:rPr>
          <w:rFonts w:cstheme="minorHAnsi"/>
          <w:i/>
          <w:iCs/>
        </w:rPr>
        <w:t xml:space="preserve">February, May, August 2020 and February 2021 </w:t>
      </w:r>
      <w:r w:rsidRPr="0056352D">
        <w:rPr>
          <w:rFonts w:cstheme="minorHAnsi"/>
        </w:rPr>
        <w:t>(</w:t>
      </w:r>
      <w:r>
        <w:rPr>
          <w:rFonts w:cstheme="minorHAnsi"/>
        </w:rPr>
        <w:t>February</w:t>
      </w:r>
      <w:r w:rsidRPr="0056352D">
        <w:rPr>
          <w:rFonts w:cstheme="minorHAnsi"/>
        </w:rPr>
        <w:t xml:space="preserve"> </w:t>
      </w:r>
      <w:r>
        <w:rPr>
          <w:rFonts w:cstheme="minorHAnsi"/>
        </w:rPr>
        <w:t>2021</w:t>
      </w:r>
      <w:r w:rsidRPr="0056352D">
        <w:rPr>
          <w:rFonts w:cstheme="minorHAnsi"/>
        </w:rPr>
        <w:t>)</w:t>
      </w:r>
      <w:r>
        <w:rPr>
          <w:rFonts w:cstheme="minorHAnsi"/>
        </w:rPr>
        <w:t>, pp.</w:t>
      </w:r>
      <w:r w:rsidRPr="0056352D">
        <w:rPr>
          <w:rFonts w:cstheme="minorHAnsi"/>
        </w:rPr>
        <w:t xml:space="preserve"> </w:t>
      </w:r>
      <w:r>
        <w:rPr>
          <w:rFonts w:cstheme="minorHAnsi"/>
        </w:rPr>
        <w:t>49-53.</w:t>
      </w:r>
    </w:p>
  </w:footnote>
  <w:footnote w:id="43">
    <w:p w14:paraId="4D564AC5" w14:textId="7DC6D025" w:rsidR="009879CE" w:rsidRPr="009879CE" w:rsidRDefault="009879CE">
      <w:pPr>
        <w:pStyle w:val="FootnoteText"/>
      </w:pPr>
      <w:r>
        <w:rPr>
          <w:rStyle w:val="FootnoteReference"/>
        </w:rPr>
        <w:footnoteRef/>
      </w:r>
      <w:r>
        <w:t xml:space="preserve"> Information on file with Reprieve.</w:t>
      </w:r>
    </w:p>
  </w:footnote>
  <w:footnote w:id="44">
    <w:p w14:paraId="2481933A" w14:textId="351C0905" w:rsidR="009B1657" w:rsidRPr="009B1657" w:rsidRDefault="009B1657">
      <w:pPr>
        <w:pStyle w:val="FootnoteText"/>
        <w:rPr>
          <w:lang w:val="en-US"/>
        </w:rPr>
      </w:pPr>
      <w:r>
        <w:rPr>
          <w:rStyle w:val="FootnoteReference"/>
        </w:rPr>
        <w:footnoteRef/>
      </w:r>
      <w:r>
        <w:t xml:space="preserve"> </w:t>
      </w:r>
      <w:r w:rsidRPr="009B1657">
        <w:t xml:space="preserve">Human Rights Committee, </w:t>
      </w:r>
      <w:r w:rsidRPr="009B1657">
        <w:rPr>
          <w:i/>
          <w:iCs/>
        </w:rPr>
        <w:t>General comment No. 36 (2018) on article 6 of the International Covenant on Civil and Political Rights, on the right to life</w:t>
      </w:r>
      <w:r w:rsidRPr="009B1657">
        <w:t>, UN Doc CCPR/C/GC/36.</w:t>
      </w:r>
    </w:p>
  </w:footnote>
  <w:footnote w:id="45">
    <w:p w14:paraId="4F9680BC" w14:textId="3BBA7BC9" w:rsidR="00512609" w:rsidRPr="00512609" w:rsidRDefault="00512609">
      <w:pPr>
        <w:pStyle w:val="FootnoteText"/>
      </w:pPr>
      <w:r>
        <w:rPr>
          <w:rStyle w:val="FootnoteReference"/>
        </w:rPr>
        <w:footnoteRef/>
      </w:r>
      <w:r>
        <w:t xml:space="preserve"> Supreme Court of Appeal Act (Chapter 3:01), sec. 16.</w:t>
      </w:r>
    </w:p>
  </w:footnote>
  <w:footnote w:id="46">
    <w:p w14:paraId="2498080B" w14:textId="1415044C" w:rsidR="008B7311" w:rsidRDefault="008B7311">
      <w:pPr>
        <w:pStyle w:val="FootnoteText"/>
        <w:rPr>
          <w:lang w:eastAsia="ko-KR"/>
        </w:rPr>
      </w:pPr>
      <w:r>
        <w:rPr>
          <w:rStyle w:val="FootnoteReference"/>
        </w:rPr>
        <w:footnoteRef/>
      </w:r>
      <w:r>
        <w:t xml:space="preserve"> </w:t>
      </w:r>
      <w:r>
        <w:rPr>
          <w:rFonts w:hint="eastAsia"/>
          <w:lang w:eastAsia="ko-KR"/>
        </w:rPr>
        <w:t>C</w:t>
      </w:r>
      <w:r>
        <w:rPr>
          <w:lang w:eastAsia="ko-KR"/>
        </w:rPr>
        <w:t xml:space="preserve">onstitution of Malawi, secs. 19(3), </w:t>
      </w:r>
      <w:r w:rsidR="001764D8">
        <w:rPr>
          <w:lang w:eastAsia="ko-KR"/>
        </w:rPr>
        <w:t>45(2)</w:t>
      </w:r>
      <w:r w:rsidR="00CD7FA7">
        <w:rPr>
          <w:lang w:eastAsia="ko-KR"/>
        </w:rPr>
        <w:t>(b).</w:t>
      </w:r>
    </w:p>
  </w:footnote>
  <w:footnote w:id="47">
    <w:p w14:paraId="38B2E052" w14:textId="0A4A9ECA" w:rsidR="00490F45" w:rsidRDefault="00490F45">
      <w:pPr>
        <w:pStyle w:val="FootnoteText"/>
        <w:rPr>
          <w:lang w:eastAsia="ko-KR"/>
        </w:rPr>
      </w:pPr>
      <w:r>
        <w:rPr>
          <w:rStyle w:val="FootnoteReference"/>
        </w:rPr>
        <w:footnoteRef/>
      </w:r>
      <w:r>
        <w:t xml:space="preserve"> </w:t>
      </w:r>
      <w:r>
        <w:rPr>
          <w:rFonts w:hint="eastAsia"/>
          <w:lang w:eastAsia="ko-KR"/>
        </w:rPr>
        <w:t>P</w:t>
      </w:r>
      <w:r>
        <w:rPr>
          <w:lang w:eastAsia="ko-KR"/>
        </w:rPr>
        <w:t>rison</w:t>
      </w:r>
      <w:r w:rsidR="00504B2C">
        <w:rPr>
          <w:lang w:eastAsia="ko-KR"/>
        </w:rPr>
        <w:t>s</w:t>
      </w:r>
      <w:r>
        <w:rPr>
          <w:lang w:eastAsia="ko-KR"/>
        </w:rPr>
        <w:t xml:space="preserve"> Act (Chapter 9:02), sec. </w:t>
      </w:r>
      <w:r w:rsidR="00BA0A06">
        <w:rPr>
          <w:lang w:eastAsia="ko-KR"/>
        </w:rPr>
        <w:t>96.</w:t>
      </w:r>
    </w:p>
  </w:footnote>
  <w:footnote w:id="48">
    <w:p w14:paraId="66FDE05B" w14:textId="6BBA5664" w:rsidR="00795900" w:rsidRDefault="00795900">
      <w:pPr>
        <w:pStyle w:val="FootnoteText"/>
        <w:rPr>
          <w:lang w:eastAsia="ko-KR"/>
        </w:rPr>
      </w:pPr>
      <w:r>
        <w:rPr>
          <w:rStyle w:val="FootnoteReference"/>
        </w:rPr>
        <w:footnoteRef/>
      </w:r>
      <w:r>
        <w:t xml:space="preserve"> </w:t>
      </w:r>
      <w:r>
        <w:rPr>
          <w:rFonts w:hint="eastAsia"/>
          <w:lang w:eastAsia="ko-KR"/>
        </w:rPr>
        <w:t>P</w:t>
      </w:r>
      <w:r>
        <w:rPr>
          <w:lang w:eastAsia="ko-KR"/>
        </w:rPr>
        <w:t>rison</w:t>
      </w:r>
      <w:r w:rsidR="00504B2C">
        <w:rPr>
          <w:lang w:eastAsia="ko-KR"/>
        </w:rPr>
        <w:t>s</w:t>
      </w:r>
      <w:r>
        <w:rPr>
          <w:lang w:eastAsia="ko-KR"/>
        </w:rPr>
        <w:t xml:space="preserve"> Act (Chapter 9:02), sec</w:t>
      </w:r>
      <w:r w:rsidR="00C50131">
        <w:rPr>
          <w:lang w:eastAsia="ko-KR"/>
        </w:rPr>
        <w:t>s. 98, 101.</w:t>
      </w:r>
    </w:p>
  </w:footnote>
  <w:footnote w:id="49">
    <w:p w14:paraId="667CAF85" w14:textId="66911E35" w:rsidR="00B84BD0" w:rsidRPr="00B84BD0" w:rsidRDefault="00B84BD0">
      <w:pPr>
        <w:pStyle w:val="FootnoteText"/>
        <w:rPr>
          <w:lang w:eastAsia="ko-KR"/>
        </w:rPr>
      </w:pPr>
      <w:r>
        <w:rPr>
          <w:rStyle w:val="FootnoteReference"/>
        </w:rPr>
        <w:footnoteRef/>
      </w:r>
      <w:r>
        <w:t xml:space="preserve"> </w:t>
      </w:r>
      <w:r>
        <w:rPr>
          <w:lang w:eastAsia="ko-KR"/>
        </w:rPr>
        <w:t>Prison</w:t>
      </w:r>
      <w:r w:rsidR="00504B2C">
        <w:rPr>
          <w:lang w:eastAsia="ko-KR"/>
        </w:rPr>
        <w:t>s</w:t>
      </w:r>
      <w:r>
        <w:rPr>
          <w:lang w:eastAsia="ko-KR"/>
        </w:rPr>
        <w:t xml:space="preserve"> Act (Chapter 9:02), sec. 99</w:t>
      </w:r>
      <w:r w:rsidR="00DF7E11">
        <w:rPr>
          <w:lang w:eastAsia="ko-KR"/>
        </w:rPr>
        <w:t xml:space="preserve"> (“</w:t>
      </w:r>
      <w:r w:rsidR="00DF7E11" w:rsidRPr="00DF7E11">
        <w:rPr>
          <w:lang w:eastAsia="ko-KR"/>
        </w:rPr>
        <w:t>Where any law provides for confirmation of any sentence of corporal punishment awarded by a court, no such sentence shall be carried out until it has been confirmed in accordance with such law</w:t>
      </w:r>
      <w:r w:rsidR="00DF7E11">
        <w:rPr>
          <w:lang w:eastAsia="ko-KR"/>
        </w:rPr>
        <w:t>”.)</w:t>
      </w:r>
    </w:p>
  </w:footnote>
  <w:footnote w:id="50">
    <w:p w14:paraId="7772E214" w14:textId="6840B609" w:rsidR="00026127" w:rsidRPr="00026127" w:rsidRDefault="00026127">
      <w:pPr>
        <w:pStyle w:val="FootnoteText"/>
        <w:rPr>
          <w:lang w:eastAsia="ko-KR"/>
        </w:rPr>
      </w:pPr>
      <w:r>
        <w:rPr>
          <w:rStyle w:val="FootnoteReference"/>
        </w:rPr>
        <w:footnoteRef/>
      </w:r>
      <w:r>
        <w:t xml:space="preserve"> </w:t>
      </w:r>
      <w:r w:rsidR="00597E87">
        <w:rPr>
          <w:lang w:eastAsia="ko-KR"/>
        </w:rPr>
        <w:t>Prison</w:t>
      </w:r>
      <w:r w:rsidR="00504B2C">
        <w:rPr>
          <w:lang w:eastAsia="ko-KR"/>
        </w:rPr>
        <w:t>s</w:t>
      </w:r>
      <w:r w:rsidR="00597E87">
        <w:rPr>
          <w:lang w:eastAsia="ko-KR"/>
        </w:rPr>
        <w:t xml:space="preserve"> Act</w:t>
      </w:r>
      <w:r w:rsidR="00790C20">
        <w:rPr>
          <w:lang w:eastAsia="ko-KR"/>
        </w:rPr>
        <w:t xml:space="preserve"> (Chapter 9:02)</w:t>
      </w:r>
      <w:r w:rsidR="00597E87">
        <w:rPr>
          <w:lang w:eastAsia="ko-KR"/>
        </w:rPr>
        <w:t>, sec. 96</w:t>
      </w:r>
      <w:r w:rsidR="0067664C">
        <w:rPr>
          <w:lang w:eastAsia="ko-KR"/>
        </w:rPr>
        <w:t xml:space="preserve">. </w:t>
      </w:r>
    </w:p>
  </w:footnote>
  <w:footnote w:id="51">
    <w:p w14:paraId="3253470D" w14:textId="0ED34794" w:rsidR="00205660" w:rsidRPr="00205660" w:rsidRDefault="00205660">
      <w:pPr>
        <w:pStyle w:val="FootnoteText"/>
        <w:rPr>
          <w:lang w:eastAsia="ko-KR"/>
        </w:rPr>
      </w:pPr>
      <w:r>
        <w:rPr>
          <w:rStyle w:val="FootnoteReference"/>
        </w:rPr>
        <w:footnoteRef/>
      </w:r>
      <w:r>
        <w:t xml:space="preserve"> </w:t>
      </w:r>
      <w:r>
        <w:rPr>
          <w:lang w:eastAsia="ko-KR"/>
        </w:rPr>
        <w:t>Information on file with Reprieve.</w:t>
      </w:r>
    </w:p>
  </w:footnote>
  <w:footnote w:id="52">
    <w:p w14:paraId="72182C5F" w14:textId="5B0282C7" w:rsidR="00C11F92" w:rsidRDefault="00C11F92">
      <w:pPr>
        <w:pStyle w:val="FootnoteText"/>
        <w:rPr>
          <w:lang w:eastAsia="ko-KR"/>
        </w:rPr>
      </w:pPr>
      <w:r>
        <w:rPr>
          <w:rStyle w:val="FootnoteReference"/>
        </w:rPr>
        <w:footnoteRef/>
      </w:r>
      <w:r>
        <w:t xml:space="preserve"> </w:t>
      </w:r>
      <w:r>
        <w:rPr>
          <w:rFonts w:hint="eastAsia"/>
          <w:lang w:eastAsia="ko-KR"/>
        </w:rPr>
        <w:t>I</w:t>
      </w:r>
      <w:r>
        <w:rPr>
          <w:lang w:eastAsia="ko-KR"/>
        </w:rPr>
        <w:t>nformation on file with Reprieve.</w:t>
      </w:r>
    </w:p>
  </w:footnote>
  <w:footnote w:id="53">
    <w:p w14:paraId="0A77314B" w14:textId="25F2B8F9" w:rsidR="00DE5340" w:rsidRDefault="00DE5340">
      <w:pPr>
        <w:pStyle w:val="FootnoteText"/>
        <w:rPr>
          <w:lang w:eastAsia="ko-KR"/>
        </w:rPr>
      </w:pPr>
      <w:r>
        <w:rPr>
          <w:rStyle w:val="FootnoteReference"/>
        </w:rPr>
        <w:footnoteRef/>
      </w:r>
      <w:r>
        <w:t xml:space="preserve"> </w:t>
      </w:r>
      <w:r>
        <w:rPr>
          <w:rFonts w:hint="eastAsia"/>
          <w:lang w:eastAsia="ko-KR"/>
        </w:rPr>
        <w:t>I</w:t>
      </w:r>
      <w:r>
        <w:rPr>
          <w:lang w:eastAsia="ko-KR"/>
        </w:rPr>
        <w:t>nformation on file with Reprieve.</w:t>
      </w:r>
    </w:p>
  </w:footnote>
  <w:footnote w:id="54">
    <w:p w14:paraId="3A59591A" w14:textId="2488ADEB" w:rsidR="007E31A8" w:rsidRPr="007E31A8" w:rsidRDefault="007E31A8">
      <w:pPr>
        <w:pStyle w:val="FootnoteText"/>
        <w:rPr>
          <w:lang w:eastAsia="ko-KR"/>
        </w:rPr>
      </w:pPr>
      <w:r>
        <w:rPr>
          <w:rStyle w:val="FootnoteReference"/>
        </w:rPr>
        <w:footnoteRef/>
      </w:r>
      <w:r>
        <w:t xml:space="preserve"> </w:t>
      </w:r>
      <w:r>
        <w:rPr>
          <w:lang w:eastAsia="ko-KR"/>
        </w:rPr>
        <w:t>Prison</w:t>
      </w:r>
      <w:r w:rsidR="008E069F">
        <w:rPr>
          <w:lang w:eastAsia="ko-KR"/>
        </w:rPr>
        <w:t>s</w:t>
      </w:r>
      <w:r>
        <w:rPr>
          <w:lang w:eastAsia="ko-KR"/>
        </w:rPr>
        <w:t xml:space="preserve"> Act (Chapter 9:02), sec. </w:t>
      </w:r>
      <w:r w:rsidR="001A0006">
        <w:rPr>
          <w:lang w:eastAsia="ko-KR"/>
        </w:rPr>
        <w:t>101.</w:t>
      </w:r>
    </w:p>
  </w:footnote>
  <w:footnote w:id="55">
    <w:p w14:paraId="06F5A573" w14:textId="3A228B73" w:rsidR="00CF627C" w:rsidRPr="00CF627C" w:rsidRDefault="00CF627C">
      <w:pPr>
        <w:pStyle w:val="FootnoteText"/>
        <w:rPr>
          <w:lang w:eastAsia="ko-KR"/>
        </w:rPr>
      </w:pPr>
      <w:r>
        <w:rPr>
          <w:rStyle w:val="FootnoteReference"/>
        </w:rPr>
        <w:footnoteRef/>
      </w:r>
      <w:r>
        <w:t xml:space="preserve"> </w:t>
      </w:r>
      <w:r>
        <w:rPr>
          <w:lang w:eastAsia="ko-KR"/>
        </w:rPr>
        <w:t xml:space="preserve">Prisons Act (Chapter </w:t>
      </w:r>
      <w:r w:rsidR="008E069F">
        <w:rPr>
          <w:lang w:eastAsia="ko-KR"/>
        </w:rPr>
        <w:t>9:02</w:t>
      </w:r>
      <w:r>
        <w:rPr>
          <w:lang w:eastAsia="ko-KR"/>
        </w:rPr>
        <w:t xml:space="preserve">), sec. </w:t>
      </w:r>
      <w:r w:rsidR="006E491E">
        <w:rPr>
          <w:lang w:eastAsia="ko-KR"/>
        </w:rPr>
        <w:t>61.</w:t>
      </w:r>
    </w:p>
  </w:footnote>
  <w:footnote w:id="56">
    <w:p w14:paraId="7A4CD983" w14:textId="706FF4B1" w:rsidR="009D6BE0" w:rsidRPr="00BD7DA0" w:rsidRDefault="009D6BE0" w:rsidP="009D6BE0">
      <w:pPr>
        <w:pStyle w:val="FootnoteText"/>
      </w:pPr>
      <w:r>
        <w:rPr>
          <w:rStyle w:val="FootnoteReference"/>
        </w:rPr>
        <w:footnoteRef/>
      </w:r>
      <w:r>
        <w:t xml:space="preserve"> </w:t>
      </w:r>
      <w:r>
        <w:rPr>
          <w:i/>
          <w:iCs/>
        </w:rPr>
        <w:t xml:space="preserve">See </w:t>
      </w:r>
      <w:r>
        <w:t xml:space="preserve">Prisons Act (Chapter </w:t>
      </w:r>
      <w:r w:rsidR="008E069F">
        <w:t>9</w:t>
      </w:r>
      <w:r>
        <w:t>:02), sec. 72; information on file with Reprieve.</w:t>
      </w:r>
    </w:p>
  </w:footnote>
  <w:footnote w:id="57">
    <w:p w14:paraId="7626CAB2" w14:textId="40A8C776" w:rsidR="009D6BE0" w:rsidRDefault="009D6BE0">
      <w:pPr>
        <w:pStyle w:val="FootnoteText"/>
        <w:rPr>
          <w:lang w:eastAsia="ko-KR"/>
        </w:rPr>
      </w:pPr>
      <w:r>
        <w:rPr>
          <w:rStyle w:val="FootnoteReference"/>
        </w:rPr>
        <w:footnoteRef/>
      </w:r>
      <w:r>
        <w:t xml:space="preserve"> </w:t>
      </w:r>
      <w:r>
        <w:rPr>
          <w:rFonts w:hint="eastAsia"/>
          <w:lang w:eastAsia="ko-KR"/>
        </w:rPr>
        <w:t>I</w:t>
      </w:r>
      <w:r>
        <w:rPr>
          <w:lang w:eastAsia="ko-KR"/>
        </w:rPr>
        <w:t>nformation on file with authors.</w:t>
      </w:r>
    </w:p>
  </w:footnote>
  <w:footnote w:id="58">
    <w:p w14:paraId="42F374F3" w14:textId="7BEB643F" w:rsidR="0098337A" w:rsidRPr="0098337A" w:rsidRDefault="0098337A">
      <w:pPr>
        <w:pStyle w:val="FootnoteText"/>
        <w:rPr>
          <w:lang w:eastAsia="ko-KR"/>
        </w:rPr>
      </w:pPr>
      <w:r>
        <w:rPr>
          <w:rStyle w:val="FootnoteReference"/>
        </w:rPr>
        <w:footnoteRef/>
      </w:r>
      <w:r>
        <w:t xml:space="preserve"> </w:t>
      </w:r>
      <w:r>
        <w:rPr>
          <w:lang w:eastAsia="ko-KR"/>
        </w:rPr>
        <w:t xml:space="preserve">Pursuant to Section 20 of the Constitution and Part IV (Sections </w:t>
      </w:r>
      <w:r w:rsidR="00940A7A">
        <w:rPr>
          <w:lang w:eastAsia="ko-KR"/>
        </w:rPr>
        <w:t>6-27)</w:t>
      </w:r>
      <w:r>
        <w:rPr>
          <w:lang w:eastAsia="ko-KR"/>
        </w:rPr>
        <w:t xml:space="preserve"> of the Disability Act</w:t>
      </w:r>
      <w:r w:rsidR="00940A7A">
        <w:rPr>
          <w:lang w:eastAsia="ko-KR"/>
        </w:rPr>
        <w:t>.</w:t>
      </w:r>
    </w:p>
  </w:footnote>
  <w:footnote w:id="59">
    <w:p w14:paraId="78916A71" w14:textId="63FC8301" w:rsidR="00940A7A" w:rsidRPr="00940A7A" w:rsidRDefault="00940A7A">
      <w:pPr>
        <w:pStyle w:val="FootnoteText"/>
        <w:rPr>
          <w:lang w:eastAsia="ko-KR"/>
        </w:rPr>
      </w:pPr>
      <w:r>
        <w:rPr>
          <w:rStyle w:val="FootnoteReference"/>
        </w:rPr>
        <w:footnoteRef/>
      </w:r>
      <w:r>
        <w:t xml:space="preserve"> </w:t>
      </w:r>
      <w:r>
        <w:rPr>
          <w:lang w:eastAsia="ko-KR"/>
        </w:rPr>
        <w:t>Pursuant to Section 42(2)(h) of the Constitution.</w:t>
      </w:r>
    </w:p>
  </w:footnote>
  <w:footnote w:id="60">
    <w:p w14:paraId="6CB9B9A1" w14:textId="74FEA26F" w:rsidR="00AD301D" w:rsidRDefault="00AD301D">
      <w:pPr>
        <w:pStyle w:val="FootnoteText"/>
        <w:rPr>
          <w:lang w:eastAsia="ko-KR"/>
        </w:rPr>
      </w:pPr>
      <w:r>
        <w:rPr>
          <w:rStyle w:val="FootnoteReference"/>
        </w:rPr>
        <w:footnoteRef/>
      </w:r>
      <w:r>
        <w:t xml:space="preserve"> </w:t>
      </w:r>
      <w:r>
        <w:rPr>
          <w:rFonts w:hint="eastAsia"/>
          <w:lang w:eastAsia="ko-KR"/>
        </w:rPr>
        <w:t>P</w:t>
      </w:r>
      <w:r>
        <w:rPr>
          <w:lang w:eastAsia="ko-KR"/>
        </w:rPr>
        <w:t>ursuant to Section 13(g) of the Constitution and Section 8 of the Disability Act.</w:t>
      </w:r>
    </w:p>
  </w:footnote>
  <w:footnote w:id="61">
    <w:p w14:paraId="0542CDFA" w14:textId="459970F9" w:rsidR="0045289B" w:rsidRDefault="0045289B">
      <w:pPr>
        <w:pStyle w:val="FootnoteText"/>
        <w:rPr>
          <w:lang w:eastAsia="ko-KR"/>
        </w:rPr>
      </w:pPr>
      <w:r>
        <w:rPr>
          <w:rStyle w:val="FootnoteReference"/>
        </w:rPr>
        <w:footnoteRef/>
      </w:r>
      <w:r>
        <w:t xml:space="preserve"> </w:t>
      </w:r>
      <w:r>
        <w:rPr>
          <w:rFonts w:hint="eastAsia"/>
          <w:lang w:eastAsia="ko-KR"/>
        </w:rPr>
        <w:t>P</w:t>
      </w:r>
      <w:r>
        <w:rPr>
          <w:lang w:eastAsia="ko-KR"/>
        </w:rPr>
        <w:t>ursuant to Sections 13(g) and 20(1) of the Constitution and Sections 8, 9, 17, 18, and 24 of the Disability Act.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114" w:type="pct"/>
      <w:tblLayout w:type="fixed"/>
      <w:tblLook w:val="06A0" w:firstRow="1" w:lastRow="0" w:firstColumn="1" w:lastColumn="0" w:noHBand="1" w:noVBand="1"/>
    </w:tblPr>
    <w:tblGrid>
      <w:gridCol w:w="2305"/>
      <w:gridCol w:w="2869"/>
      <w:gridCol w:w="2582"/>
      <w:gridCol w:w="3022"/>
    </w:tblGrid>
    <w:tr w:rsidR="00673D05" w14:paraId="57D317F7" w14:textId="0C1E4589" w:rsidTr="00673D05">
      <w:tc>
        <w:tcPr>
          <w:tcW w:w="1069" w:type="pct"/>
          <w:vAlign w:val="center"/>
        </w:tcPr>
        <w:p w14:paraId="27F9DDBE" w14:textId="51087414" w:rsidR="00A375DA" w:rsidRDefault="00A375DA" w:rsidP="00CF0688">
          <w:pPr>
            <w:pStyle w:val="Header"/>
            <w:ind w:left="-115"/>
            <w:jc w:val="center"/>
          </w:pPr>
          <w:r>
            <w:rPr>
              <w:noProof/>
            </w:rPr>
            <w:drawing>
              <wp:inline distT="0" distB="0" distL="0" distR="0" wp14:anchorId="4C5A04D2" wp14:editId="2EC1D344">
                <wp:extent cx="906780" cy="924426"/>
                <wp:effectExtent l="0" t="0" r="762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r="10132"/>
                        <a:stretch/>
                      </pic:blipFill>
                      <pic:spPr bwMode="auto">
                        <a:xfrm>
                          <a:off x="0" y="0"/>
                          <a:ext cx="915199" cy="933009"/>
                        </a:xfrm>
                        <a:prstGeom prst="rect">
                          <a:avLst/>
                        </a:prstGeom>
                        <a:ln>
                          <a:noFill/>
                        </a:ln>
                        <a:extLst>
                          <a:ext uri="{53640926-AAD7-44D8-BBD7-CCE9431645EC}">
                            <a14:shadowObscured xmlns:a14="http://schemas.microsoft.com/office/drawing/2010/main"/>
                          </a:ext>
                        </a:extLst>
                      </pic:spPr>
                    </pic:pic>
                  </a:graphicData>
                </a:graphic>
              </wp:inline>
            </w:drawing>
          </w:r>
        </w:p>
      </w:tc>
      <w:tc>
        <w:tcPr>
          <w:tcW w:w="1331" w:type="pct"/>
          <w:vAlign w:val="center"/>
        </w:tcPr>
        <w:p w14:paraId="4E0F6277" w14:textId="29715FC6" w:rsidR="00A375DA" w:rsidRDefault="00673D05" w:rsidP="00CF0688">
          <w:pPr>
            <w:pStyle w:val="Header"/>
            <w:jc w:val="center"/>
          </w:pPr>
          <w:r>
            <w:rPr>
              <w:noProof/>
            </w:rPr>
            <w:drawing>
              <wp:inline distT="0" distB="0" distL="0" distR="0" wp14:anchorId="7D73E95F" wp14:editId="62CCD56D">
                <wp:extent cx="1683744" cy="633826"/>
                <wp:effectExtent l="0" t="0" r="127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83744" cy="633826"/>
                        </a:xfrm>
                        <a:prstGeom prst="rect">
                          <a:avLst/>
                        </a:prstGeom>
                      </pic:spPr>
                    </pic:pic>
                  </a:graphicData>
                </a:graphic>
              </wp:inline>
            </w:drawing>
          </w:r>
        </w:p>
      </w:tc>
      <w:tc>
        <w:tcPr>
          <w:tcW w:w="1198" w:type="pct"/>
          <w:vAlign w:val="center"/>
        </w:tcPr>
        <w:p w14:paraId="34AB2A72" w14:textId="63D0EAE7" w:rsidR="00A375DA" w:rsidRDefault="00673D05" w:rsidP="00CF0688">
          <w:pPr>
            <w:pStyle w:val="Header"/>
            <w:ind w:right="-115"/>
            <w:jc w:val="center"/>
          </w:pPr>
          <w:r>
            <w:rPr>
              <w:noProof/>
            </w:rPr>
            <w:drawing>
              <wp:inline distT="0" distB="0" distL="0" distR="0" wp14:anchorId="60D09255" wp14:editId="3C8AAEBB">
                <wp:extent cx="1158875" cy="619125"/>
                <wp:effectExtent l="0" t="0" r="3175" b="9525"/>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158875" cy="619125"/>
                        </a:xfrm>
                        <a:prstGeom prst="rect">
                          <a:avLst/>
                        </a:prstGeom>
                      </pic:spPr>
                    </pic:pic>
                  </a:graphicData>
                </a:graphic>
              </wp:inline>
            </w:drawing>
          </w:r>
        </w:p>
      </w:tc>
      <w:tc>
        <w:tcPr>
          <w:tcW w:w="1402" w:type="pct"/>
          <w:vAlign w:val="center"/>
        </w:tcPr>
        <w:p w14:paraId="21EBDABC" w14:textId="73F9BB87" w:rsidR="00A375DA" w:rsidRDefault="00673D05" w:rsidP="00CF0688">
          <w:pPr>
            <w:pStyle w:val="Header"/>
            <w:ind w:right="-115"/>
            <w:jc w:val="center"/>
          </w:pPr>
          <w:r>
            <w:rPr>
              <w:noProof/>
            </w:rPr>
            <w:drawing>
              <wp:inline distT="0" distB="0" distL="0" distR="0" wp14:anchorId="4E9C2B72" wp14:editId="4A1A07AB">
                <wp:extent cx="1519555" cy="577850"/>
                <wp:effectExtent l="0" t="0" r="4445" b="0"/>
                <wp:docPr id="1165702242" name="Picture 1165702242" descr="A black and white imag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702242" name="Picture 1" descr="A black and white image of a person&#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519555" cy="577850"/>
                        </a:xfrm>
                        <a:prstGeom prst="rect">
                          <a:avLst/>
                        </a:prstGeom>
                      </pic:spPr>
                    </pic:pic>
                  </a:graphicData>
                </a:graphic>
              </wp:inline>
            </w:drawing>
          </w:r>
        </w:p>
      </w:tc>
    </w:tr>
  </w:tbl>
  <w:p w14:paraId="74E3CBA6" w14:textId="6EE2FB16" w:rsidR="3A1C45A9" w:rsidRDefault="3A1C45A9" w:rsidP="3A1C45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B8240"/>
    <w:multiLevelType w:val="hybridMultilevel"/>
    <w:tmpl w:val="642A09EC"/>
    <w:lvl w:ilvl="0" w:tplc="E444B640">
      <w:start w:val="1"/>
      <w:numFmt w:val="decimal"/>
      <w:lvlText w:val="%1."/>
      <w:lvlJc w:val="left"/>
      <w:pPr>
        <w:ind w:left="720" w:hanging="360"/>
      </w:pPr>
    </w:lvl>
    <w:lvl w:ilvl="1" w:tplc="3E2EDE04">
      <w:start w:val="1"/>
      <w:numFmt w:val="lowerLetter"/>
      <w:lvlText w:val="%2."/>
      <w:lvlJc w:val="left"/>
      <w:pPr>
        <w:ind w:left="1440" w:hanging="360"/>
      </w:pPr>
    </w:lvl>
    <w:lvl w:ilvl="2" w:tplc="D430EB02">
      <w:start w:val="1"/>
      <w:numFmt w:val="lowerRoman"/>
      <w:lvlText w:val="%3."/>
      <w:lvlJc w:val="right"/>
      <w:pPr>
        <w:ind w:left="2160" w:hanging="180"/>
      </w:pPr>
    </w:lvl>
    <w:lvl w:ilvl="3" w:tplc="5600B9E6">
      <w:start w:val="1"/>
      <w:numFmt w:val="decimal"/>
      <w:lvlText w:val="%4."/>
      <w:lvlJc w:val="left"/>
      <w:pPr>
        <w:ind w:left="2880" w:hanging="360"/>
      </w:pPr>
    </w:lvl>
    <w:lvl w:ilvl="4" w:tplc="4B8CCCDE">
      <w:start w:val="1"/>
      <w:numFmt w:val="lowerLetter"/>
      <w:lvlText w:val="%5."/>
      <w:lvlJc w:val="left"/>
      <w:pPr>
        <w:ind w:left="3600" w:hanging="360"/>
      </w:pPr>
    </w:lvl>
    <w:lvl w:ilvl="5" w:tplc="DE749B56">
      <w:start w:val="1"/>
      <w:numFmt w:val="lowerRoman"/>
      <w:lvlText w:val="%6."/>
      <w:lvlJc w:val="right"/>
      <w:pPr>
        <w:ind w:left="4320" w:hanging="180"/>
      </w:pPr>
    </w:lvl>
    <w:lvl w:ilvl="6" w:tplc="9EB4DCD6">
      <w:start w:val="1"/>
      <w:numFmt w:val="decimal"/>
      <w:lvlText w:val="%7."/>
      <w:lvlJc w:val="left"/>
      <w:pPr>
        <w:ind w:left="5040" w:hanging="360"/>
      </w:pPr>
    </w:lvl>
    <w:lvl w:ilvl="7" w:tplc="A9686E8E">
      <w:start w:val="1"/>
      <w:numFmt w:val="lowerLetter"/>
      <w:lvlText w:val="%8."/>
      <w:lvlJc w:val="left"/>
      <w:pPr>
        <w:ind w:left="5760" w:hanging="360"/>
      </w:pPr>
    </w:lvl>
    <w:lvl w:ilvl="8" w:tplc="CF9A063A">
      <w:start w:val="1"/>
      <w:numFmt w:val="lowerRoman"/>
      <w:lvlText w:val="%9."/>
      <w:lvlJc w:val="right"/>
      <w:pPr>
        <w:ind w:left="6480" w:hanging="180"/>
      </w:pPr>
    </w:lvl>
  </w:abstractNum>
  <w:abstractNum w:abstractNumId="1" w15:restartNumberingAfterBreak="0">
    <w:nsid w:val="0B992CD9"/>
    <w:multiLevelType w:val="hybridMultilevel"/>
    <w:tmpl w:val="835A94F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A94C46"/>
    <w:multiLevelType w:val="hybridMultilevel"/>
    <w:tmpl w:val="1800FDF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1E537A"/>
    <w:multiLevelType w:val="multilevel"/>
    <w:tmpl w:val="9FECAB60"/>
    <w:styleLink w:val="Outlines"/>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decimal"/>
      <w:lvlText w:val="(%9)"/>
      <w:lvlJc w:val="left"/>
      <w:pPr>
        <w:ind w:left="3240" w:hanging="360"/>
      </w:pPr>
      <w:rPr>
        <w:rFonts w:hint="default"/>
      </w:rPr>
    </w:lvl>
  </w:abstractNum>
  <w:abstractNum w:abstractNumId="4" w15:restartNumberingAfterBreak="0">
    <w:nsid w:val="37174C0B"/>
    <w:multiLevelType w:val="hybridMultilevel"/>
    <w:tmpl w:val="A9B2A286"/>
    <w:lvl w:ilvl="0" w:tplc="75445454">
      <w:start w:val="1"/>
      <w:numFmt w:val="decimal"/>
      <w:lvlText w:val="%1."/>
      <w:lvlJc w:val="left"/>
      <w:pPr>
        <w:ind w:left="720" w:hanging="360"/>
      </w:pPr>
    </w:lvl>
    <w:lvl w:ilvl="1" w:tplc="A47239BE">
      <w:start w:val="1"/>
      <w:numFmt w:val="lowerLetter"/>
      <w:lvlText w:val="%2."/>
      <w:lvlJc w:val="left"/>
      <w:pPr>
        <w:ind w:left="1440" w:hanging="360"/>
      </w:pPr>
    </w:lvl>
    <w:lvl w:ilvl="2" w:tplc="8CA899BE">
      <w:start w:val="1"/>
      <w:numFmt w:val="lowerRoman"/>
      <w:lvlText w:val="%3."/>
      <w:lvlJc w:val="right"/>
      <w:pPr>
        <w:ind w:left="2160" w:hanging="180"/>
      </w:pPr>
    </w:lvl>
    <w:lvl w:ilvl="3" w:tplc="7C926FCE">
      <w:start w:val="1"/>
      <w:numFmt w:val="decimal"/>
      <w:lvlText w:val="%4."/>
      <w:lvlJc w:val="left"/>
      <w:pPr>
        <w:ind w:left="2880" w:hanging="360"/>
      </w:pPr>
    </w:lvl>
    <w:lvl w:ilvl="4" w:tplc="B096034A">
      <w:start w:val="1"/>
      <w:numFmt w:val="lowerLetter"/>
      <w:lvlText w:val="%5."/>
      <w:lvlJc w:val="left"/>
      <w:pPr>
        <w:ind w:left="3600" w:hanging="360"/>
      </w:pPr>
    </w:lvl>
    <w:lvl w:ilvl="5" w:tplc="895AECA8">
      <w:start w:val="1"/>
      <w:numFmt w:val="lowerRoman"/>
      <w:lvlText w:val="%6."/>
      <w:lvlJc w:val="right"/>
      <w:pPr>
        <w:ind w:left="4320" w:hanging="180"/>
      </w:pPr>
    </w:lvl>
    <w:lvl w:ilvl="6" w:tplc="8C54E32A">
      <w:start w:val="1"/>
      <w:numFmt w:val="decimal"/>
      <w:lvlText w:val="%7."/>
      <w:lvlJc w:val="left"/>
      <w:pPr>
        <w:ind w:left="5040" w:hanging="360"/>
      </w:pPr>
    </w:lvl>
    <w:lvl w:ilvl="7" w:tplc="6FFEFE12">
      <w:start w:val="1"/>
      <w:numFmt w:val="lowerLetter"/>
      <w:lvlText w:val="%8."/>
      <w:lvlJc w:val="left"/>
      <w:pPr>
        <w:ind w:left="5760" w:hanging="360"/>
      </w:pPr>
    </w:lvl>
    <w:lvl w:ilvl="8" w:tplc="B940803E">
      <w:start w:val="1"/>
      <w:numFmt w:val="lowerRoman"/>
      <w:lvlText w:val="%9."/>
      <w:lvlJc w:val="right"/>
      <w:pPr>
        <w:ind w:left="6480" w:hanging="180"/>
      </w:pPr>
    </w:lvl>
  </w:abstractNum>
  <w:abstractNum w:abstractNumId="5" w15:restartNumberingAfterBreak="0">
    <w:nsid w:val="60137E44"/>
    <w:multiLevelType w:val="hybridMultilevel"/>
    <w:tmpl w:val="95928A22"/>
    <w:lvl w:ilvl="0" w:tplc="ECB80A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1820CF3"/>
    <w:multiLevelType w:val="hybridMultilevel"/>
    <w:tmpl w:val="0C3478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364041"/>
    <w:multiLevelType w:val="multilevel"/>
    <w:tmpl w:val="A432975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0E67365"/>
    <w:multiLevelType w:val="hybridMultilevel"/>
    <w:tmpl w:val="6532CE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87958144">
    <w:abstractNumId w:val="4"/>
  </w:num>
  <w:num w:numId="2" w16cid:durableId="8993082">
    <w:abstractNumId w:val="0"/>
  </w:num>
  <w:num w:numId="3" w16cid:durableId="360397564">
    <w:abstractNumId w:val="8"/>
  </w:num>
  <w:num w:numId="4" w16cid:durableId="2143190289">
    <w:abstractNumId w:val="8"/>
  </w:num>
  <w:num w:numId="5" w16cid:durableId="1717241496">
    <w:abstractNumId w:val="1"/>
  </w:num>
  <w:num w:numId="6" w16cid:durableId="17317330">
    <w:abstractNumId w:val="6"/>
  </w:num>
  <w:num w:numId="7" w16cid:durableId="808211136">
    <w:abstractNumId w:val="2"/>
  </w:num>
  <w:num w:numId="8" w16cid:durableId="1302803218">
    <w:abstractNumId w:val="5"/>
  </w:num>
  <w:num w:numId="9" w16cid:durableId="1751583604">
    <w:abstractNumId w:val="3"/>
  </w:num>
  <w:num w:numId="10" w16cid:durableId="4094982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220550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2B4"/>
    <w:rsid w:val="00002273"/>
    <w:rsid w:val="00005393"/>
    <w:rsid w:val="00005DC4"/>
    <w:rsid w:val="00005E20"/>
    <w:rsid w:val="00007D23"/>
    <w:rsid w:val="00007D9B"/>
    <w:rsid w:val="00007F2A"/>
    <w:rsid w:val="0001184D"/>
    <w:rsid w:val="00014C7E"/>
    <w:rsid w:val="00016647"/>
    <w:rsid w:val="000170C4"/>
    <w:rsid w:val="000170DA"/>
    <w:rsid w:val="0001786D"/>
    <w:rsid w:val="000234C1"/>
    <w:rsid w:val="0002386E"/>
    <w:rsid w:val="00023A28"/>
    <w:rsid w:val="000249DE"/>
    <w:rsid w:val="000258C2"/>
    <w:rsid w:val="00025C29"/>
    <w:rsid w:val="00026127"/>
    <w:rsid w:val="0002718A"/>
    <w:rsid w:val="00031506"/>
    <w:rsid w:val="00036942"/>
    <w:rsid w:val="00042E12"/>
    <w:rsid w:val="000430BE"/>
    <w:rsid w:val="00043592"/>
    <w:rsid w:val="0004484C"/>
    <w:rsid w:val="00050095"/>
    <w:rsid w:val="000507B0"/>
    <w:rsid w:val="000517D9"/>
    <w:rsid w:val="00056AD5"/>
    <w:rsid w:val="000575FB"/>
    <w:rsid w:val="000577EF"/>
    <w:rsid w:val="000613EF"/>
    <w:rsid w:val="00062E7E"/>
    <w:rsid w:val="00064313"/>
    <w:rsid w:val="00064D54"/>
    <w:rsid w:val="00067EED"/>
    <w:rsid w:val="00067F02"/>
    <w:rsid w:val="00067FEF"/>
    <w:rsid w:val="000700C0"/>
    <w:rsid w:val="00070C7B"/>
    <w:rsid w:val="00071FA1"/>
    <w:rsid w:val="00072637"/>
    <w:rsid w:val="00073DD5"/>
    <w:rsid w:val="00080551"/>
    <w:rsid w:val="000808E9"/>
    <w:rsid w:val="00082F10"/>
    <w:rsid w:val="00087A99"/>
    <w:rsid w:val="0009161D"/>
    <w:rsid w:val="0009314C"/>
    <w:rsid w:val="00097B0F"/>
    <w:rsid w:val="00097D32"/>
    <w:rsid w:val="000A1881"/>
    <w:rsid w:val="000A3878"/>
    <w:rsid w:val="000A6569"/>
    <w:rsid w:val="000A68B7"/>
    <w:rsid w:val="000A6E9B"/>
    <w:rsid w:val="000A7A36"/>
    <w:rsid w:val="000B0290"/>
    <w:rsid w:val="000B41C7"/>
    <w:rsid w:val="000B6276"/>
    <w:rsid w:val="000C20B2"/>
    <w:rsid w:val="000C2555"/>
    <w:rsid w:val="000C371C"/>
    <w:rsid w:val="000C6DEF"/>
    <w:rsid w:val="000C7552"/>
    <w:rsid w:val="000D0084"/>
    <w:rsid w:val="000D0D6A"/>
    <w:rsid w:val="000D229C"/>
    <w:rsid w:val="000D7A06"/>
    <w:rsid w:val="000E1454"/>
    <w:rsid w:val="000E15B9"/>
    <w:rsid w:val="000E4FEE"/>
    <w:rsid w:val="000E5450"/>
    <w:rsid w:val="000E5EC4"/>
    <w:rsid w:val="000F061F"/>
    <w:rsid w:val="000F17EA"/>
    <w:rsid w:val="000F2084"/>
    <w:rsid w:val="000F24A1"/>
    <w:rsid w:val="000F2AE3"/>
    <w:rsid w:val="000F370E"/>
    <w:rsid w:val="000F3FF6"/>
    <w:rsid w:val="000F7324"/>
    <w:rsid w:val="00102C00"/>
    <w:rsid w:val="00104E4D"/>
    <w:rsid w:val="00105F3F"/>
    <w:rsid w:val="00107549"/>
    <w:rsid w:val="0011022F"/>
    <w:rsid w:val="00111BE3"/>
    <w:rsid w:val="00112A51"/>
    <w:rsid w:val="00113701"/>
    <w:rsid w:val="00120263"/>
    <w:rsid w:val="0012036A"/>
    <w:rsid w:val="001215EC"/>
    <w:rsid w:val="00123B3E"/>
    <w:rsid w:val="0012684A"/>
    <w:rsid w:val="00126BD0"/>
    <w:rsid w:val="001273C6"/>
    <w:rsid w:val="00131019"/>
    <w:rsid w:val="0013247E"/>
    <w:rsid w:val="001331A7"/>
    <w:rsid w:val="00134E9B"/>
    <w:rsid w:val="00135496"/>
    <w:rsid w:val="001379D4"/>
    <w:rsid w:val="00140767"/>
    <w:rsid w:val="00141FE2"/>
    <w:rsid w:val="00142657"/>
    <w:rsid w:val="001437C1"/>
    <w:rsid w:val="00143C3C"/>
    <w:rsid w:val="00145B23"/>
    <w:rsid w:val="0014662C"/>
    <w:rsid w:val="00146E8E"/>
    <w:rsid w:val="00151449"/>
    <w:rsid w:val="001519E1"/>
    <w:rsid w:val="00152480"/>
    <w:rsid w:val="00155540"/>
    <w:rsid w:val="00156FA6"/>
    <w:rsid w:val="001611E3"/>
    <w:rsid w:val="00167318"/>
    <w:rsid w:val="00167C54"/>
    <w:rsid w:val="0017098B"/>
    <w:rsid w:val="0017142D"/>
    <w:rsid w:val="00171C11"/>
    <w:rsid w:val="0017270C"/>
    <w:rsid w:val="00173971"/>
    <w:rsid w:val="00175985"/>
    <w:rsid w:val="001764D8"/>
    <w:rsid w:val="001771E7"/>
    <w:rsid w:val="00177450"/>
    <w:rsid w:val="001777AE"/>
    <w:rsid w:val="00180955"/>
    <w:rsid w:val="00180CCE"/>
    <w:rsid w:val="001810A5"/>
    <w:rsid w:val="001816A7"/>
    <w:rsid w:val="001853C4"/>
    <w:rsid w:val="00185631"/>
    <w:rsid w:val="00186AD2"/>
    <w:rsid w:val="00187677"/>
    <w:rsid w:val="00187CC5"/>
    <w:rsid w:val="00190476"/>
    <w:rsid w:val="001927B2"/>
    <w:rsid w:val="00192E02"/>
    <w:rsid w:val="00192E18"/>
    <w:rsid w:val="001941FF"/>
    <w:rsid w:val="001A0006"/>
    <w:rsid w:val="001A0202"/>
    <w:rsid w:val="001A1046"/>
    <w:rsid w:val="001A1112"/>
    <w:rsid w:val="001A1A33"/>
    <w:rsid w:val="001A2490"/>
    <w:rsid w:val="001A37AC"/>
    <w:rsid w:val="001A4779"/>
    <w:rsid w:val="001A4BD1"/>
    <w:rsid w:val="001A712E"/>
    <w:rsid w:val="001B453B"/>
    <w:rsid w:val="001B61F0"/>
    <w:rsid w:val="001C12D1"/>
    <w:rsid w:val="001C197D"/>
    <w:rsid w:val="001C38B1"/>
    <w:rsid w:val="001C46B5"/>
    <w:rsid w:val="001C497C"/>
    <w:rsid w:val="001C6F19"/>
    <w:rsid w:val="001C791A"/>
    <w:rsid w:val="001D2E05"/>
    <w:rsid w:val="001D3D99"/>
    <w:rsid w:val="001D3F64"/>
    <w:rsid w:val="001D4767"/>
    <w:rsid w:val="001D595D"/>
    <w:rsid w:val="001D6645"/>
    <w:rsid w:val="001E1176"/>
    <w:rsid w:val="001E1302"/>
    <w:rsid w:val="001E1CCF"/>
    <w:rsid w:val="001E34FD"/>
    <w:rsid w:val="001E355D"/>
    <w:rsid w:val="001E464F"/>
    <w:rsid w:val="001E47AD"/>
    <w:rsid w:val="001E5249"/>
    <w:rsid w:val="001E68AA"/>
    <w:rsid w:val="001E708D"/>
    <w:rsid w:val="001F3F02"/>
    <w:rsid w:val="001F44BD"/>
    <w:rsid w:val="001F64EA"/>
    <w:rsid w:val="001F6B01"/>
    <w:rsid w:val="001F7970"/>
    <w:rsid w:val="001F7B06"/>
    <w:rsid w:val="001F7EC7"/>
    <w:rsid w:val="00200B64"/>
    <w:rsid w:val="002016E9"/>
    <w:rsid w:val="0020237F"/>
    <w:rsid w:val="00202FC9"/>
    <w:rsid w:val="002055B9"/>
    <w:rsid w:val="00205660"/>
    <w:rsid w:val="0020577E"/>
    <w:rsid w:val="0021096C"/>
    <w:rsid w:val="00210ABD"/>
    <w:rsid w:val="00210BEA"/>
    <w:rsid w:val="00212EDA"/>
    <w:rsid w:val="0021316B"/>
    <w:rsid w:val="00214236"/>
    <w:rsid w:val="002209B9"/>
    <w:rsid w:val="00225398"/>
    <w:rsid w:val="00225AEF"/>
    <w:rsid w:val="00225D8A"/>
    <w:rsid w:val="00226051"/>
    <w:rsid w:val="00226389"/>
    <w:rsid w:val="002308DE"/>
    <w:rsid w:val="00230FB7"/>
    <w:rsid w:val="00231FB0"/>
    <w:rsid w:val="002337E9"/>
    <w:rsid w:val="002345E5"/>
    <w:rsid w:val="00234C88"/>
    <w:rsid w:val="00234CA2"/>
    <w:rsid w:val="00236893"/>
    <w:rsid w:val="00241ED2"/>
    <w:rsid w:val="002524B3"/>
    <w:rsid w:val="00253650"/>
    <w:rsid w:val="002545DD"/>
    <w:rsid w:val="0025465E"/>
    <w:rsid w:val="00255B11"/>
    <w:rsid w:val="00257FB5"/>
    <w:rsid w:val="00260E2C"/>
    <w:rsid w:val="00262784"/>
    <w:rsid w:val="0026278C"/>
    <w:rsid w:val="00262824"/>
    <w:rsid w:val="00266A9B"/>
    <w:rsid w:val="00267918"/>
    <w:rsid w:val="002742DE"/>
    <w:rsid w:val="00274E19"/>
    <w:rsid w:val="00275620"/>
    <w:rsid w:val="002766B6"/>
    <w:rsid w:val="00276E38"/>
    <w:rsid w:val="0027777F"/>
    <w:rsid w:val="00277D5E"/>
    <w:rsid w:val="00286208"/>
    <w:rsid w:val="0028636C"/>
    <w:rsid w:val="00287202"/>
    <w:rsid w:val="0029032B"/>
    <w:rsid w:val="0029073B"/>
    <w:rsid w:val="00291AFC"/>
    <w:rsid w:val="002937B3"/>
    <w:rsid w:val="002A4653"/>
    <w:rsid w:val="002A5C96"/>
    <w:rsid w:val="002A66E4"/>
    <w:rsid w:val="002A6822"/>
    <w:rsid w:val="002B0227"/>
    <w:rsid w:val="002B21F6"/>
    <w:rsid w:val="002B2A6D"/>
    <w:rsid w:val="002B31C6"/>
    <w:rsid w:val="002B360F"/>
    <w:rsid w:val="002B50AB"/>
    <w:rsid w:val="002B50CC"/>
    <w:rsid w:val="002B5BF5"/>
    <w:rsid w:val="002B7706"/>
    <w:rsid w:val="002C3E33"/>
    <w:rsid w:val="002C42F8"/>
    <w:rsid w:val="002C5870"/>
    <w:rsid w:val="002C7012"/>
    <w:rsid w:val="002D085D"/>
    <w:rsid w:val="002D0D53"/>
    <w:rsid w:val="002D1D4D"/>
    <w:rsid w:val="002D3D85"/>
    <w:rsid w:val="002D56DE"/>
    <w:rsid w:val="002D6FB9"/>
    <w:rsid w:val="002D736B"/>
    <w:rsid w:val="002D7849"/>
    <w:rsid w:val="002E092A"/>
    <w:rsid w:val="002E1413"/>
    <w:rsid w:val="002E1F11"/>
    <w:rsid w:val="002E54A9"/>
    <w:rsid w:val="002E568E"/>
    <w:rsid w:val="002E7771"/>
    <w:rsid w:val="002E7ADF"/>
    <w:rsid w:val="002F3022"/>
    <w:rsid w:val="002F30BC"/>
    <w:rsid w:val="002F6975"/>
    <w:rsid w:val="002F7100"/>
    <w:rsid w:val="00301E81"/>
    <w:rsid w:val="003025F7"/>
    <w:rsid w:val="00303C6B"/>
    <w:rsid w:val="003065C7"/>
    <w:rsid w:val="00307F82"/>
    <w:rsid w:val="00310F03"/>
    <w:rsid w:val="00311475"/>
    <w:rsid w:val="00311A34"/>
    <w:rsid w:val="00312511"/>
    <w:rsid w:val="00317DDC"/>
    <w:rsid w:val="00320E6A"/>
    <w:rsid w:val="00322CDB"/>
    <w:rsid w:val="00324CD6"/>
    <w:rsid w:val="00325D64"/>
    <w:rsid w:val="00327107"/>
    <w:rsid w:val="00327875"/>
    <w:rsid w:val="00327DD3"/>
    <w:rsid w:val="003303C7"/>
    <w:rsid w:val="003316B5"/>
    <w:rsid w:val="0033748C"/>
    <w:rsid w:val="00337EAE"/>
    <w:rsid w:val="003406C7"/>
    <w:rsid w:val="00341AC6"/>
    <w:rsid w:val="003424B4"/>
    <w:rsid w:val="00342C03"/>
    <w:rsid w:val="003435CB"/>
    <w:rsid w:val="003436F8"/>
    <w:rsid w:val="0034423E"/>
    <w:rsid w:val="00344A53"/>
    <w:rsid w:val="00345D4F"/>
    <w:rsid w:val="00346B99"/>
    <w:rsid w:val="00351A5F"/>
    <w:rsid w:val="0035350B"/>
    <w:rsid w:val="003537AB"/>
    <w:rsid w:val="00354D89"/>
    <w:rsid w:val="00357275"/>
    <w:rsid w:val="0035764B"/>
    <w:rsid w:val="00362921"/>
    <w:rsid w:val="00362DD6"/>
    <w:rsid w:val="00363275"/>
    <w:rsid w:val="00365CAD"/>
    <w:rsid w:val="00365FBD"/>
    <w:rsid w:val="00366661"/>
    <w:rsid w:val="00374720"/>
    <w:rsid w:val="00374F0C"/>
    <w:rsid w:val="00375519"/>
    <w:rsid w:val="00376D08"/>
    <w:rsid w:val="00377078"/>
    <w:rsid w:val="00377DE4"/>
    <w:rsid w:val="00381567"/>
    <w:rsid w:val="00381FC0"/>
    <w:rsid w:val="00384066"/>
    <w:rsid w:val="00384BC7"/>
    <w:rsid w:val="0039028B"/>
    <w:rsid w:val="00390936"/>
    <w:rsid w:val="003923D1"/>
    <w:rsid w:val="003928A9"/>
    <w:rsid w:val="00392FB5"/>
    <w:rsid w:val="00393183"/>
    <w:rsid w:val="003946DA"/>
    <w:rsid w:val="0039474A"/>
    <w:rsid w:val="00394823"/>
    <w:rsid w:val="003948C3"/>
    <w:rsid w:val="003952AA"/>
    <w:rsid w:val="00396515"/>
    <w:rsid w:val="003A084B"/>
    <w:rsid w:val="003A087E"/>
    <w:rsid w:val="003A3731"/>
    <w:rsid w:val="003A4D58"/>
    <w:rsid w:val="003A5D6E"/>
    <w:rsid w:val="003A614C"/>
    <w:rsid w:val="003A6FE0"/>
    <w:rsid w:val="003A7E89"/>
    <w:rsid w:val="003B0906"/>
    <w:rsid w:val="003B0D15"/>
    <w:rsid w:val="003B18FF"/>
    <w:rsid w:val="003B24BC"/>
    <w:rsid w:val="003B4F5E"/>
    <w:rsid w:val="003B52B1"/>
    <w:rsid w:val="003B63D3"/>
    <w:rsid w:val="003B6638"/>
    <w:rsid w:val="003B70ED"/>
    <w:rsid w:val="003C6106"/>
    <w:rsid w:val="003D05D8"/>
    <w:rsid w:val="003D2C87"/>
    <w:rsid w:val="003D6249"/>
    <w:rsid w:val="003D62A9"/>
    <w:rsid w:val="003D7CEA"/>
    <w:rsid w:val="003E0824"/>
    <w:rsid w:val="003E0C1B"/>
    <w:rsid w:val="003E73B6"/>
    <w:rsid w:val="003F16D3"/>
    <w:rsid w:val="003F1A14"/>
    <w:rsid w:val="003F1F3A"/>
    <w:rsid w:val="003F2119"/>
    <w:rsid w:val="003F2EA3"/>
    <w:rsid w:val="003F40BB"/>
    <w:rsid w:val="003F4A2A"/>
    <w:rsid w:val="003F5177"/>
    <w:rsid w:val="003F6DB1"/>
    <w:rsid w:val="004008A8"/>
    <w:rsid w:val="004023DE"/>
    <w:rsid w:val="0040259C"/>
    <w:rsid w:val="00402776"/>
    <w:rsid w:val="004064D5"/>
    <w:rsid w:val="00412E65"/>
    <w:rsid w:val="0041348D"/>
    <w:rsid w:val="0041567D"/>
    <w:rsid w:val="004156EF"/>
    <w:rsid w:val="00415960"/>
    <w:rsid w:val="004163C6"/>
    <w:rsid w:val="004177FF"/>
    <w:rsid w:val="00420A3C"/>
    <w:rsid w:val="00421701"/>
    <w:rsid w:val="00422086"/>
    <w:rsid w:val="004239F1"/>
    <w:rsid w:val="00423B3C"/>
    <w:rsid w:val="00423CE4"/>
    <w:rsid w:val="0042562A"/>
    <w:rsid w:val="0042585C"/>
    <w:rsid w:val="00426534"/>
    <w:rsid w:val="0042708D"/>
    <w:rsid w:val="00427D62"/>
    <w:rsid w:val="00427DBC"/>
    <w:rsid w:val="00431F25"/>
    <w:rsid w:val="00432E51"/>
    <w:rsid w:val="00433BC9"/>
    <w:rsid w:val="00437CD3"/>
    <w:rsid w:val="00442763"/>
    <w:rsid w:val="00444D40"/>
    <w:rsid w:val="004464CC"/>
    <w:rsid w:val="004476B9"/>
    <w:rsid w:val="0045289B"/>
    <w:rsid w:val="00456046"/>
    <w:rsid w:val="00456BE7"/>
    <w:rsid w:val="00462966"/>
    <w:rsid w:val="00462F55"/>
    <w:rsid w:val="00466817"/>
    <w:rsid w:val="004700FB"/>
    <w:rsid w:val="004714A5"/>
    <w:rsid w:val="00472189"/>
    <w:rsid w:val="00472EC6"/>
    <w:rsid w:val="00473018"/>
    <w:rsid w:val="004731D3"/>
    <w:rsid w:val="00473582"/>
    <w:rsid w:val="004740E1"/>
    <w:rsid w:val="00474424"/>
    <w:rsid w:val="0047492E"/>
    <w:rsid w:val="004763AC"/>
    <w:rsid w:val="00477A5F"/>
    <w:rsid w:val="00480504"/>
    <w:rsid w:val="004813E0"/>
    <w:rsid w:val="004814E1"/>
    <w:rsid w:val="00482E4B"/>
    <w:rsid w:val="00483D90"/>
    <w:rsid w:val="004844A2"/>
    <w:rsid w:val="0048466C"/>
    <w:rsid w:val="00486591"/>
    <w:rsid w:val="00486BEF"/>
    <w:rsid w:val="00490F45"/>
    <w:rsid w:val="00493BD3"/>
    <w:rsid w:val="00493DF1"/>
    <w:rsid w:val="00494A04"/>
    <w:rsid w:val="004A0949"/>
    <w:rsid w:val="004A1539"/>
    <w:rsid w:val="004A40FF"/>
    <w:rsid w:val="004A54C7"/>
    <w:rsid w:val="004A5533"/>
    <w:rsid w:val="004A5834"/>
    <w:rsid w:val="004B083C"/>
    <w:rsid w:val="004B0983"/>
    <w:rsid w:val="004B0EA2"/>
    <w:rsid w:val="004B42BC"/>
    <w:rsid w:val="004B4C4F"/>
    <w:rsid w:val="004B6F0C"/>
    <w:rsid w:val="004B71FB"/>
    <w:rsid w:val="004C05EF"/>
    <w:rsid w:val="004C24FE"/>
    <w:rsid w:val="004C3262"/>
    <w:rsid w:val="004C7551"/>
    <w:rsid w:val="004C7714"/>
    <w:rsid w:val="004C7B15"/>
    <w:rsid w:val="004D01B2"/>
    <w:rsid w:val="004D1B93"/>
    <w:rsid w:val="004D5D52"/>
    <w:rsid w:val="004D6588"/>
    <w:rsid w:val="004D7774"/>
    <w:rsid w:val="004E00DA"/>
    <w:rsid w:val="004E0460"/>
    <w:rsid w:val="004E0CDE"/>
    <w:rsid w:val="004E17D9"/>
    <w:rsid w:val="004E2565"/>
    <w:rsid w:val="004F2167"/>
    <w:rsid w:val="004F2579"/>
    <w:rsid w:val="004F2B6A"/>
    <w:rsid w:val="004F42C3"/>
    <w:rsid w:val="004F56D3"/>
    <w:rsid w:val="004F5DFF"/>
    <w:rsid w:val="004F5E87"/>
    <w:rsid w:val="004F719D"/>
    <w:rsid w:val="004F7A7F"/>
    <w:rsid w:val="0050193C"/>
    <w:rsid w:val="00501B84"/>
    <w:rsid w:val="00503058"/>
    <w:rsid w:val="005043A4"/>
    <w:rsid w:val="00504B2C"/>
    <w:rsid w:val="00506C6B"/>
    <w:rsid w:val="0051037E"/>
    <w:rsid w:val="005116E3"/>
    <w:rsid w:val="0051179F"/>
    <w:rsid w:val="00511BEE"/>
    <w:rsid w:val="0051247F"/>
    <w:rsid w:val="00512609"/>
    <w:rsid w:val="0051374D"/>
    <w:rsid w:val="00514012"/>
    <w:rsid w:val="005140C6"/>
    <w:rsid w:val="0052051C"/>
    <w:rsid w:val="005236FF"/>
    <w:rsid w:val="00525729"/>
    <w:rsid w:val="0052647B"/>
    <w:rsid w:val="005269B8"/>
    <w:rsid w:val="00531956"/>
    <w:rsid w:val="00531E07"/>
    <w:rsid w:val="005323FA"/>
    <w:rsid w:val="00533DE4"/>
    <w:rsid w:val="00545750"/>
    <w:rsid w:val="0054590C"/>
    <w:rsid w:val="00546CAB"/>
    <w:rsid w:val="00546E78"/>
    <w:rsid w:val="005472B9"/>
    <w:rsid w:val="00547856"/>
    <w:rsid w:val="00550113"/>
    <w:rsid w:val="00551E68"/>
    <w:rsid w:val="00552FFF"/>
    <w:rsid w:val="005534D3"/>
    <w:rsid w:val="0055445C"/>
    <w:rsid w:val="00556B02"/>
    <w:rsid w:val="00561008"/>
    <w:rsid w:val="00561D01"/>
    <w:rsid w:val="0056352D"/>
    <w:rsid w:val="0056481D"/>
    <w:rsid w:val="0056669B"/>
    <w:rsid w:val="0056706D"/>
    <w:rsid w:val="00567220"/>
    <w:rsid w:val="0057050F"/>
    <w:rsid w:val="005718EB"/>
    <w:rsid w:val="00580A1B"/>
    <w:rsid w:val="00581F7F"/>
    <w:rsid w:val="005822E1"/>
    <w:rsid w:val="005823E8"/>
    <w:rsid w:val="005848CE"/>
    <w:rsid w:val="00584C52"/>
    <w:rsid w:val="00586318"/>
    <w:rsid w:val="00592BFF"/>
    <w:rsid w:val="00593D09"/>
    <w:rsid w:val="0059407C"/>
    <w:rsid w:val="0059566B"/>
    <w:rsid w:val="00596F90"/>
    <w:rsid w:val="00597E87"/>
    <w:rsid w:val="005A10F4"/>
    <w:rsid w:val="005A1136"/>
    <w:rsid w:val="005A1B38"/>
    <w:rsid w:val="005A1EF7"/>
    <w:rsid w:val="005A231A"/>
    <w:rsid w:val="005A33C5"/>
    <w:rsid w:val="005A5FD0"/>
    <w:rsid w:val="005B0FCF"/>
    <w:rsid w:val="005B29A2"/>
    <w:rsid w:val="005B4D43"/>
    <w:rsid w:val="005C04D8"/>
    <w:rsid w:val="005C2285"/>
    <w:rsid w:val="005C2F5D"/>
    <w:rsid w:val="005C5D97"/>
    <w:rsid w:val="005C6E24"/>
    <w:rsid w:val="005D03EC"/>
    <w:rsid w:val="005D0E40"/>
    <w:rsid w:val="005D6241"/>
    <w:rsid w:val="005D7F52"/>
    <w:rsid w:val="005D7FBD"/>
    <w:rsid w:val="005E0C24"/>
    <w:rsid w:val="005E33BE"/>
    <w:rsid w:val="005E5332"/>
    <w:rsid w:val="005E5D88"/>
    <w:rsid w:val="005E6D55"/>
    <w:rsid w:val="005E77F8"/>
    <w:rsid w:val="005F178B"/>
    <w:rsid w:val="005F3F9C"/>
    <w:rsid w:val="00603DA8"/>
    <w:rsid w:val="006049ED"/>
    <w:rsid w:val="00605EF3"/>
    <w:rsid w:val="006072E0"/>
    <w:rsid w:val="00607570"/>
    <w:rsid w:val="00607988"/>
    <w:rsid w:val="00610473"/>
    <w:rsid w:val="006138B9"/>
    <w:rsid w:val="006141F8"/>
    <w:rsid w:val="00614EA7"/>
    <w:rsid w:val="00615FCE"/>
    <w:rsid w:val="00617CFE"/>
    <w:rsid w:val="00620044"/>
    <w:rsid w:val="00620F81"/>
    <w:rsid w:val="00621E9F"/>
    <w:rsid w:val="00624CC8"/>
    <w:rsid w:val="006263AE"/>
    <w:rsid w:val="006276D3"/>
    <w:rsid w:val="00627795"/>
    <w:rsid w:val="00631BB3"/>
    <w:rsid w:val="00631EE6"/>
    <w:rsid w:val="00632F80"/>
    <w:rsid w:val="00634320"/>
    <w:rsid w:val="0063453B"/>
    <w:rsid w:val="00635032"/>
    <w:rsid w:val="00636959"/>
    <w:rsid w:val="006402EA"/>
    <w:rsid w:val="00645722"/>
    <w:rsid w:val="0065209E"/>
    <w:rsid w:val="00653F07"/>
    <w:rsid w:val="0065408E"/>
    <w:rsid w:val="00654382"/>
    <w:rsid w:val="00656877"/>
    <w:rsid w:val="006569E4"/>
    <w:rsid w:val="00656F14"/>
    <w:rsid w:val="006632BC"/>
    <w:rsid w:val="00664598"/>
    <w:rsid w:val="00665572"/>
    <w:rsid w:val="00667C20"/>
    <w:rsid w:val="0067019A"/>
    <w:rsid w:val="00670D34"/>
    <w:rsid w:val="00673D05"/>
    <w:rsid w:val="00675027"/>
    <w:rsid w:val="006750EA"/>
    <w:rsid w:val="0067664C"/>
    <w:rsid w:val="006776E3"/>
    <w:rsid w:val="00677940"/>
    <w:rsid w:val="00677B8C"/>
    <w:rsid w:val="00684FCC"/>
    <w:rsid w:val="00687894"/>
    <w:rsid w:val="006909EF"/>
    <w:rsid w:val="00690AEB"/>
    <w:rsid w:val="00693031"/>
    <w:rsid w:val="0069651B"/>
    <w:rsid w:val="0069666C"/>
    <w:rsid w:val="00697615"/>
    <w:rsid w:val="006A0E52"/>
    <w:rsid w:val="006A138E"/>
    <w:rsid w:val="006A63C5"/>
    <w:rsid w:val="006A6720"/>
    <w:rsid w:val="006B235C"/>
    <w:rsid w:val="006B4885"/>
    <w:rsid w:val="006B5F1D"/>
    <w:rsid w:val="006B7869"/>
    <w:rsid w:val="006B78D5"/>
    <w:rsid w:val="006C1E85"/>
    <w:rsid w:val="006C3C57"/>
    <w:rsid w:val="006C4376"/>
    <w:rsid w:val="006C478A"/>
    <w:rsid w:val="006C57C4"/>
    <w:rsid w:val="006D05C5"/>
    <w:rsid w:val="006D3F9E"/>
    <w:rsid w:val="006D4163"/>
    <w:rsid w:val="006D57F0"/>
    <w:rsid w:val="006D5883"/>
    <w:rsid w:val="006D7051"/>
    <w:rsid w:val="006D7479"/>
    <w:rsid w:val="006E1AA9"/>
    <w:rsid w:val="006E2080"/>
    <w:rsid w:val="006E491E"/>
    <w:rsid w:val="006E5A1B"/>
    <w:rsid w:val="006F2209"/>
    <w:rsid w:val="006F2C98"/>
    <w:rsid w:val="006F694C"/>
    <w:rsid w:val="0070059B"/>
    <w:rsid w:val="007018D1"/>
    <w:rsid w:val="00704340"/>
    <w:rsid w:val="00705EF0"/>
    <w:rsid w:val="00706DF6"/>
    <w:rsid w:val="0071091C"/>
    <w:rsid w:val="007116F0"/>
    <w:rsid w:val="007135BE"/>
    <w:rsid w:val="007160D4"/>
    <w:rsid w:val="0071755D"/>
    <w:rsid w:val="00717D60"/>
    <w:rsid w:val="00721520"/>
    <w:rsid w:val="00722084"/>
    <w:rsid w:val="007243F0"/>
    <w:rsid w:val="00724D1F"/>
    <w:rsid w:val="00725782"/>
    <w:rsid w:val="00730952"/>
    <w:rsid w:val="00731DFF"/>
    <w:rsid w:val="00733344"/>
    <w:rsid w:val="0073373A"/>
    <w:rsid w:val="00733D77"/>
    <w:rsid w:val="007350C2"/>
    <w:rsid w:val="0073597B"/>
    <w:rsid w:val="00735D92"/>
    <w:rsid w:val="007377F1"/>
    <w:rsid w:val="00737850"/>
    <w:rsid w:val="00742A56"/>
    <w:rsid w:val="00743852"/>
    <w:rsid w:val="007451C0"/>
    <w:rsid w:val="0074770D"/>
    <w:rsid w:val="00750DB4"/>
    <w:rsid w:val="00751A9D"/>
    <w:rsid w:val="00752428"/>
    <w:rsid w:val="00753255"/>
    <w:rsid w:val="00754154"/>
    <w:rsid w:val="00754348"/>
    <w:rsid w:val="00754A2C"/>
    <w:rsid w:val="00755BF7"/>
    <w:rsid w:val="00755D47"/>
    <w:rsid w:val="0075724E"/>
    <w:rsid w:val="0075760F"/>
    <w:rsid w:val="00760D6F"/>
    <w:rsid w:val="00761C0E"/>
    <w:rsid w:val="007631F7"/>
    <w:rsid w:val="00771162"/>
    <w:rsid w:val="00772EAA"/>
    <w:rsid w:val="00775B2C"/>
    <w:rsid w:val="00780C1D"/>
    <w:rsid w:val="007833F3"/>
    <w:rsid w:val="007856ED"/>
    <w:rsid w:val="0079049B"/>
    <w:rsid w:val="00790C20"/>
    <w:rsid w:val="00791652"/>
    <w:rsid w:val="0079248E"/>
    <w:rsid w:val="00792A80"/>
    <w:rsid w:val="00792C81"/>
    <w:rsid w:val="00795900"/>
    <w:rsid w:val="007959B3"/>
    <w:rsid w:val="0079735A"/>
    <w:rsid w:val="007A05CA"/>
    <w:rsid w:val="007A0C6A"/>
    <w:rsid w:val="007A2D48"/>
    <w:rsid w:val="007A2EC7"/>
    <w:rsid w:val="007A330B"/>
    <w:rsid w:val="007A4FC0"/>
    <w:rsid w:val="007A625B"/>
    <w:rsid w:val="007B18D8"/>
    <w:rsid w:val="007B1E2C"/>
    <w:rsid w:val="007B27DA"/>
    <w:rsid w:val="007B3894"/>
    <w:rsid w:val="007C05BA"/>
    <w:rsid w:val="007C2984"/>
    <w:rsid w:val="007C2EA5"/>
    <w:rsid w:val="007C580D"/>
    <w:rsid w:val="007C5CE9"/>
    <w:rsid w:val="007D06D3"/>
    <w:rsid w:val="007D0DFF"/>
    <w:rsid w:val="007D18FC"/>
    <w:rsid w:val="007D1F3F"/>
    <w:rsid w:val="007D2967"/>
    <w:rsid w:val="007D3AB5"/>
    <w:rsid w:val="007D3E13"/>
    <w:rsid w:val="007D4E3D"/>
    <w:rsid w:val="007E31A8"/>
    <w:rsid w:val="007E3557"/>
    <w:rsid w:val="007F06B5"/>
    <w:rsid w:val="007F15D6"/>
    <w:rsid w:val="007F205A"/>
    <w:rsid w:val="007F44EF"/>
    <w:rsid w:val="007F4FC5"/>
    <w:rsid w:val="007F6E01"/>
    <w:rsid w:val="007F7F0F"/>
    <w:rsid w:val="00800C0D"/>
    <w:rsid w:val="008039A0"/>
    <w:rsid w:val="00805974"/>
    <w:rsid w:val="00811F6F"/>
    <w:rsid w:val="00817C61"/>
    <w:rsid w:val="00821078"/>
    <w:rsid w:val="00823F65"/>
    <w:rsid w:val="008243CB"/>
    <w:rsid w:val="00825398"/>
    <w:rsid w:val="0082582D"/>
    <w:rsid w:val="008270D2"/>
    <w:rsid w:val="008272E3"/>
    <w:rsid w:val="008278CB"/>
    <w:rsid w:val="008313FC"/>
    <w:rsid w:val="008324BC"/>
    <w:rsid w:val="008325D2"/>
    <w:rsid w:val="00834BCF"/>
    <w:rsid w:val="0083668E"/>
    <w:rsid w:val="0083680D"/>
    <w:rsid w:val="008373B0"/>
    <w:rsid w:val="00840E7F"/>
    <w:rsid w:val="008416A7"/>
    <w:rsid w:val="0084213C"/>
    <w:rsid w:val="00844B57"/>
    <w:rsid w:val="00850101"/>
    <w:rsid w:val="00850A05"/>
    <w:rsid w:val="00854422"/>
    <w:rsid w:val="00854992"/>
    <w:rsid w:val="00855D4D"/>
    <w:rsid w:val="00856F5D"/>
    <w:rsid w:val="0085738D"/>
    <w:rsid w:val="008600AB"/>
    <w:rsid w:val="00860769"/>
    <w:rsid w:val="00861042"/>
    <w:rsid w:val="008620FA"/>
    <w:rsid w:val="00864F77"/>
    <w:rsid w:val="00865B8A"/>
    <w:rsid w:val="008672AB"/>
    <w:rsid w:val="0087114E"/>
    <w:rsid w:val="00871670"/>
    <w:rsid w:val="00872E92"/>
    <w:rsid w:val="00874A64"/>
    <w:rsid w:val="00875D5D"/>
    <w:rsid w:val="008762E4"/>
    <w:rsid w:val="008802B7"/>
    <w:rsid w:val="00882E87"/>
    <w:rsid w:val="00885651"/>
    <w:rsid w:val="0089161B"/>
    <w:rsid w:val="00891D33"/>
    <w:rsid w:val="00895518"/>
    <w:rsid w:val="00897A22"/>
    <w:rsid w:val="008A0187"/>
    <w:rsid w:val="008A0886"/>
    <w:rsid w:val="008A1A75"/>
    <w:rsid w:val="008A2334"/>
    <w:rsid w:val="008A2443"/>
    <w:rsid w:val="008A3A78"/>
    <w:rsid w:val="008B13DE"/>
    <w:rsid w:val="008B1FA1"/>
    <w:rsid w:val="008B21C5"/>
    <w:rsid w:val="008B54E1"/>
    <w:rsid w:val="008B5744"/>
    <w:rsid w:val="008B7311"/>
    <w:rsid w:val="008C0310"/>
    <w:rsid w:val="008C1B1E"/>
    <w:rsid w:val="008C1F62"/>
    <w:rsid w:val="008C2077"/>
    <w:rsid w:val="008C31EF"/>
    <w:rsid w:val="008C65C3"/>
    <w:rsid w:val="008C70A4"/>
    <w:rsid w:val="008D0827"/>
    <w:rsid w:val="008D362D"/>
    <w:rsid w:val="008D4FCC"/>
    <w:rsid w:val="008D590D"/>
    <w:rsid w:val="008D60D9"/>
    <w:rsid w:val="008E069F"/>
    <w:rsid w:val="008E0DF4"/>
    <w:rsid w:val="008E0EB7"/>
    <w:rsid w:val="008E1D5E"/>
    <w:rsid w:val="008E2885"/>
    <w:rsid w:val="008E48CB"/>
    <w:rsid w:val="008E6E7F"/>
    <w:rsid w:val="008F1B0A"/>
    <w:rsid w:val="008F1D1D"/>
    <w:rsid w:val="008F26A7"/>
    <w:rsid w:val="008F3275"/>
    <w:rsid w:val="008F77C0"/>
    <w:rsid w:val="00900D71"/>
    <w:rsid w:val="00901412"/>
    <w:rsid w:val="00901414"/>
    <w:rsid w:val="00904969"/>
    <w:rsid w:val="009051E5"/>
    <w:rsid w:val="00905E1B"/>
    <w:rsid w:val="00906491"/>
    <w:rsid w:val="009069A9"/>
    <w:rsid w:val="00907481"/>
    <w:rsid w:val="0091338D"/>
    <w:rsid w:val="00920283"/>
    <w:rsid w:val="00921BB0"/>
    <w:rsid w:val="00924836"/>
    <w:rsid w:val="00926F54"/>
    <w:rsid w:val="00927258"/>
    <w:rsid w:val="0093334E"/>
    <w:rsid w:val="00935460"/>
    <w:rsid w:val="00935ACA"/>
    <w:rsid w:val="0093652C"/>
    <w:rsid w:val="00940A7A"/>
    <w:rsid w:val="0094182D"/>
    <w:rsid w:val="00942976"/>
    <w:rsid w:val="009430A1"/>
    <w:rsid w:val="00943570"/>
    <w:rsid w:val="009439CC"/>
    <w:rsid w:val="009447CA"/>
    <w:rsid w:val="00944D51"/>
    <w:rsid w:val="00944D5B"/>
    <w:rsid w:val="00945127"/>
    <w:rsid w:val="0094538F"/>
    <w:rsid w:val="00945507"/>
    <w:rsid w:val="00945C95"/>
    <w:rsid w:val="009468E3"/>
    <w:rsid w:val="009473B9"/>
    <w:rsid w:val="00950524"/>
    <w:rsid w:val="00952480"/>
    <w:rsid w:val="009530EF"/>
    <w:rsid w:val="00953C71"/>
    <w:rsid w:val="00954487"/>
    <w:rsid w:val="00955488"/>
    <w:rsid w:val="00956EE8"/>
    <w:rsid w:val="00957A5D"/>
    <w:rsid w:val="00960C1F"/>
    <w:rsid w:val="0096365B"/>
    <w:rsid w:val="00963F04"/>
    <w:rsid w:val="00967680"/>
    <w:rsid w:val="00970162"/>
    <w:rsid w:val="00970244"/>
    <w:rsid w:val="0097170C"/>
    <w:rsid w:val="00971740"/>
    <w:rsid w:val="00972A67"/>
    <w:rsid w:val="009733E4"/>
    <w:rsid w:val="009739AF"/>
    <w:rsid w:val="0097532F"/>
    <w:rsid w:val="009763B4"/>
    <w:rsid w:val="00977D31"/>
    <w:rsid w:val="0098337A"/>
    <w:rsid w:val="00983C09"/>
    <w:rsid w:val="009842D0"/>
    <w:rsid w:val="00984E4C"/>
    <w:rsid w:val="00985C97"/>
    <w:rsid w:val="009864F7"/>
    <w:rsid w:val="00986A6C"/>
    <w:rsid w:val="009879CE"/>
    <w:rsid w:val="0099041E"/>
    <w:rsid w:val="00992278"/>
    <w:rsid w:val="0099267E"/>
    <w:rsid w:val="009950D5"/>
    <w:rsid w:val="009952E8"/>
    <w:rsid w:val="00997419"/>
    <w:rsid w:val="009A0AB6"/>
    <w:rsid w:val="009A3C94"/>
    <w:rsid w:val="009A44B7"/>
    <w:rsid w:val="009A5628"/>
    <w:rsid w:val="009A57A3"/>
    <w:rsid w:val="009A720C"/>
    <w:rsid w:val="009B136A"/>
    <w:rsid w:val="009B1657"/>
    <w:rsid w:val="009B34A5"/>
    <w:rsid w:val="009B3987"/>
    <w:rsid w:val="009B3F58"/>
    <w:rsid w:val="009B4607"/>
    <w:rsid w:val="009B725C"/>
    <w:rsid w:val="009B7408"/>
    <w:rsid w:val="009B7BA3"/>
    <w:rsid w:val="009C4898"/>
    <w:rsid w:val="009C5E80"/>
    <w:rsid w:val="009C6208"/>
    <w:rsid w:val="009D1AAA"/>
    <w:rsid w:val="009D3CD4"/>
    <w:rsid w:val="009D43EA"/>
    <w:rsid w:val="009D6BE0"/>
    <w:rsid w:val="009D7515"/>
    <w:rsid w:val="009D7B63"/>
    <w:rsid w:val="009E0124"/>
    <w:rsid w:val="009E13FC"/>
    <w:rsid w:val="009E2CD9"/>
    <w:rsid w:val="009E3817"/>
    <w:rsid w:val="009F07CB"/>
    <w:rsid w:val="009F07D0"/>
    <w:rsid w:val="009F0885"/>
    <w:rsid w:val="009F3BE0"/>
    <w:rsid w:val="00A02BB8"/>
    <w:rsid w:val="00A02BC0"/>
    <w:rsid w:val="00A03147"/>
    <w:rsid w:val="00A0554C"/>
    <w:rsid w:val="00A0682F"/>
    <w:rsid w:val="00A07AFB"/>
    <w:rsid w:val="00A15683"/>
    <w:rsid w:val="00A2502C"/>
    <w:rsid w:val="00A25725"/>
    <w:rsid w:val="00A2677C"/>
    <w:rsid w:val="00A329EF"/>
    <w:rsid w:val="00A345E3"/>
    <w:rsid w:val="00A375DA"/>
    <w:rsid w:val="00A43359"/>
    <w:rsid w:val="00A4413B"/>
    <w:rsid w:val="00A4414F"/>
    <w:rsid w:val="00A45595"/>
    <w:rsid w:val="00A45C20"/>
    <w:rsid w:val="00A461D2"/>
    <w:rsid w:val="00A47479"/>
    <w:rsid w:val="00A47F8E"/>
    <w:rsid w:val="00A50647"/>
    <w:rsid w:val="00A5103A"/>
    <w:rsid w:val="00A524D9"/>
    <w:rsid w:val="00A5558D"/>
    <w:rsid w:val="00A566DF"/>
    <w:rsid w:val="00A5699E"/>
    <w:rsid w:val="00A60070"/>
    <w:rsid w:val="00A60389"/>
    <w:rsid w:val="00A607DF"/>
    <w:rsid w:val="00A60B50"/>
    <w:rsid w:val="00A61CC0"/>
    <w:rsid w:val="00A61F68"/>
    <w:rsid w:val="00A625F2"/>
    <w:rsid w:val="00A649B0"/>
    <w:rsid w:val="00A64A88"/>
    <w:rsid w:val="00A6555F"/>
    <w:rsid w:val="00A65924"/>
    <w:rsid w:val="00A66DD2"/>
    <w:rsid w:val="00A7220B"/>
    <w:rsid w:val="00A74709"/>
    <w:rsid w:val="00A763B4"/>
    <w:rsid w:val="00A80DE0"/>
    <w:rsid w:val="00A823CA"/>
    <w:rsid w:val="00A85E37"/>
    <w:rsid w:val="00A86E3D"/>
    <w:rsid w:val="00A90E8B"/>
    <w:rsid w:val="00AA0997"/>
    <w:rsid w:val="00AA1EB9"/>
    <w:rsid w:val="00AA2BC1"/>
    <w:rsid w:val="00AA450B"/>
    <w:rsid w:val="00AA48F9"/>
    <w:rsid w:val="00AA4E0F"/>
    <w:rsid w:val="00AA7B32"/>
    <w:rsid w:val="00AB314C"/>
    <w:rsid w:val="00AB52A1"/>
    <w:rsid w:val="00AB6622"/>
    <w:rsid w:val="00AB6F3C"/>
    <w:rsid w:val="00AB7515"/>
    <w:rsid w:val="00AC3998"/>
    <w:rsid w:val="00AC6831"/>
    <w:rsid w:val="00AC7014"/>
    <w:rsid w:val="00AC716E"/>
    <w:rsid w:val="00AC7BF0"/>
    <w:rsid w:val="00AD12C4"/>
    <w:rsid w:val="00AD301D"/>
    <w:rsid w:val="00AD364C"/>
    <w:rsid w:val="00AD3901"/>
    <w:rsid w:val="00AD5F1E"/>
    <w:rsid w:val="00AD6B65"/>
    <w:rsid w:val="00AD75C5"/>
    <w:rsid w:val="00AD7C19"/>
    <w:rsid w:val="00AE0A13"/>
    <w:rsid w:val="00AE204B"/>
    <w:rsid w:val="00AE5649"/>
    <w:rsid w:val="00AE683F"/>
    <w:rsid w:val="00AF2BD4"/>
    <w:rsid w:val="00AF3BBA"/>
    <w:rsid w:val="00AF4FD3"/>
    <w:rsid w:val="00AF67FB"/>
    <w:rsid w:val="00B01289"/>
    <w:rsid w:val="00B03C20"/>
    <w:rsid w:val="00B03CB3"/>
    <w:rsid w:val="00B065A8"/>
    <w:rsid w:val="00B07E08"/>
    <w:rsid w:val="00B07F6D"/>
    <w:rsid w:val="00B13A77"/>
    <w:rsid w:val="00B146FE"/>
    <w:rsid w:val="00B16580"/>
    <w:rsid w:val="00B1671F"/>
    <w:rsid w:val="00B16C9B"/>
    <w:rsid w:val="00B17889"/>
    <w:rsid w:val="00B20704"/>
    <w:rsid w:val="00B2391D"/>
    <w:rsid w:val="00B23BD4"/>
    <w:rsid w:val="00B34EA1"/>
    <w:rsid w:val="00B35394"/>
    <w:rsid w:val="00B3684E"/>
    <w:rsid w:val="00B3736B"/>
    <w:rsid w:val="00B37DC8"/>
    <w:rsid w:val="00B41B84"/>
    <w:rsid w:val="00B43874"/>
    <w:rsid w:val="00B44074"/>
    <w:rsid w:val="00B45542"/>
    <w:rsid w:val="00B460B5"/>
    <w:rsid w:val="00B4621F"/>
    <w:rsid w:val="00B4799B"/>
    <w:rsid w:val="00B53804"/>
    <w:rsid w:val="00B54509"/>
    <w:rsid w:val="00B5513C"/>
    <w:rsid w:val="00B568FA"/>
    <w:rsid w:val="00B56A36"/>
    <w:rsid w:val="00B56FEA"/>
    <w:rsid w:val="00B5764B"/>
    <w:rsid w:val="00B609FC"/>
    <w:rsid w:val="00B61354"/>
    <w:rsid w:val="00B62DDC"/>
    <w:rsid w:val="00B62E7B"/>
    <w:rsid w:val="00B64873"/>
    <w:rsid w:val="00B64CE9"/>
    <w:rsid w:val="00B678A4"/>
    <w:rsid w:val="00B70223"/>
    <w:rsid w:val="00B72CD8"/>
    <w:rsid w:val="00B74B69"/>
    <w:rsid w:val="00B84BD0"/>
    <w:rsid w:val="00B865DD"/>
    <w:rsid w:val="00B92FBA"/>
    <w:rsid w:val="00B940ED"/>
    <w:rsid w:val="00B9499F"/>
    <w:rsid w:val="00B96C23"/>
    <w:rsid w:val="00BA0A06"/>
    <w:rsid w:val="00BA1117"/>
    <w:rsid w:val="00BA3F3E"/>
    <w:rsid w:val="00BA417D"/>
    <w:rsid w:val="00BA42B6"/>
    <w:rsid w:val="00BA535D"/>
    <w:rsid w:val="00BA5A61"/>
    <w:rsid w:val="00BA7F7B"/>
    <w:rsid w:val="00BB16D2"/>
    <w:rsid w:val="00BB44BB"/>
    <w:rsid w:val="00BB57BE"/>
    <w:rsid w:val="00BB634E"/>
    <w:rsid w:val="00BC1593"/>
    <w:rsid w:val="00BC1B31"/>
    <w:rsid w:val="00BC52CB"/>
    <w:rsid w:val="00BC538E"/>
    <w:rsid w:val="00BC6816"/>
    <w:rsid w:val="00BC6E5F"/>
    <w:rsid w:val="00BD11F4"/>
    <w:rsid w:val="00BD1D77"/>
    <w:rsid w:val="00BD2942"/>
    <w:rsid w:val="00BD32FF"/>
    <w:rsid w:val="00BD3656"/>
    <w:rsid w:val="00BD4802"/>
    <w:rsid w:val="00BD4A10"/>
    <w:rsid w:val="00BD4C95"/>
    <w:rsid w:val="00BD4FDE"/>
    <w:rsid w:val="00BD6464"/>
    <w:rsid w:val="00BD7DA0"/>
    <w:rsid w:val="00BF0614"/>
    <w:rsid w:val="00BF0BA8"/>
    <w:rsid w:val="00BF2F62"/>
    <w:rsid w:val="00BF4664"/>
    <w:rsid w:val="00BF5776"/>
    <w:rsid w:val="00BF5986"/>
    <w:rsid w:val="00C00AE1"/>
    <w:rsid w:val="00C067E7"/>
    <w:rsid w:val="00C07845"/>
    <w:rsid w:val="00C079BC"/>
    <w:rsid w:val="00C117A8"/>
    <w:rsid w:val="00C11F92"/>
    <w:rsid w:val="00C1225B"/>
    <w:rsid w:val="00C142B3"/>
    <w:rsid w:val="00C14A9C"/>
    <w:rsid w:val="00C167F4"/>
    <w:rsid w:val="00C20082"/>
    <w:rsid w:val="00C20A4A"/>
    <w:rsid w:val="00C24E09"/>
    <w:rsid w:val="00C24F3F"/>
    <w:rsid w:val="00C25B37"/>
    <w:rsid w:val="00C26CB1"/>
    <w:rsid w:val="00C278D7"/>
    <w:rsid w:val="00C304E2"/>
    <w:rsid w:val="00C30D13"/>
    <w:rsid w:val="00C3216A"/>
    <w:rsid w:val="00C34B8D"/>
    <w:rsid w:val="00C356A8"/>
    <w:rsid w:val="00C36686"/>
    <w:rsid w:val="00C37207"/>
    <w:rsid w:val="00C41695"/>
    <w:rsid w:val="00C42A0A"/>
    <w:rsid w:val="00C42BEE"/>
    <w:rsid w:val="00C46B6D"/>
    <w:rsid w:val="00C474B9"/>
    <w:rsid w:val="00C47CDB"/>
    <w:rsid w:val="00C50131"/>
    <w:rsid w:val="00C5071F"/>
    <w:rsid w:val="00C52252"/>
    <w:rsid w:val="00C52B48"/>
    <w:rsid w:val="00C54462"/>
    <w:rsid w:val="00C54C6D"/>
    <w:rsid w:val="00C55AA9"/>
    <w:rsid w:val="00C55AC1"/>
    <w:rsid w:val="00C6038C"/>
    <w:rsid w:val="00C62CBE"/>
    <w:rsid w:val="00C64213"/>
    <w:rsid w:val="00C643C6"/>
    <w:rsid w:val="00C650BA"/>
    <w:rsid w:val="00C654D6"/>
    <w:rsid w:val="00C66025"/>
    <w:rsid w:val="00C675B9"/>
    <w:rsid w:val="00C67FB4"/>
    <w:rsid w:val="00C70CC3"/>
    <w:rsid w:val="00C71271"/>
    <w:rsid w:val="00C712DC"/>
    <w:rsid w:val="00C718D8"/>
    <w:rsid w:val="00C719C4"/>
    <w:rsid w:val="00C7228F"/>
    <w:rsid w:val="00C72DCE"/>
    <w:rsid w:val="00C80D48"/>
    <w:rsid w:val="00C82305"/>
    <w:rsid w:val="00C83F23"/>
    <w:rsid w:val="00C84F7F"/>
    <w:rsid w:val="00C87F6D"/>
    <w:rsid w:val="00C902B4"/>
    <w:rsid w:val="00C906B4"/>
    <w:rsid w:val="00C913EE"/>
    <w:rsid w:val="00C946CF"/>
    <w:rsid w:val="00CA00FC"/>
    <w:rsid w:val="00CA0C6F"/>
    <w:rsid w:val="00CA29F4"/>
    <w:rsid w:val="00CA3202"/>
    <w:rsid w:val="00CA4526"/>
    <w:rsid w:val="00CA48CE"/>
    <w:rsid w:val="00CA783C"/>
    <w:rsid w:val="00CB487C"/>
    <w:rsid w:val="00CB507C"/>
    <w:rsid w:val="00CB5EE0"/>
    <w:rsid w:val="00CB70A2"/>
    <w:rsid w:val="00CC00B0"/>
    <w:rsid w:val="00CC457D"/>
    <w:rsid w:val="00CC48E4"/>
    <w:rsid w:val="00CC515D"/>
    <w:rsid w:val="00CC62CA"/>
    <w:rsid w:val="00CD0140"/>
    <w:rsid w:val="00CD09D4"/>
    <w:rsid w:val="00CD1ED9"/>
    <w:rsid w:val="00CD21DB"/>
    <w:rsid w:val="00CD4534"/>
    <w:rsid w:val="00CD52E7"/>
    <w:rsid w:val="00CD5D07"/>
    <w:rsid w:val="00CD7FA7"/>
    <w:rsid w:val="00CE0B33"/>
    <w:rsid w:val="00CE0D8F"/>
    <w:rsid w:val="00CE1644"/>
    <w:rsid w:val="00CE1DB9"/>
    <w:rsid w:val="00CE2CA1"/>
    <w:rsid w:val="00CE538B"/>
    <w:rsid w:val="00CE78EC"/>
    <w:rsid w:val="00CF0688"/>
    <w:rsid w:val="00CF0878"/>
    <w:rsid w:val="00CF1DF1"/>
    <w:rsid w:val="00CF265A"/>
    <w:rsid w:val="00CF340A"/>
    <w:rsid w:val="00CF5131"/>
    <w:rsid w:val="00CF627C"/>
    <w:rsid w:val="00CF6A56"/>
    <w:rsid w:val="00D0193E"/>
    <w:rsid w:val="00D02923"/>
    <w:rsid w:val="00D02936"/>
    <w:rsid w:val="00D04D88"/>
    <w:rsid w:val="00D10575"/>
    <w:rsid w:val="00D13B99"/>
    <w:rsid w:val="00D14AA1"/>
    <w:rsid w:val="00D1545E"/>
    <w:rsid w:val="00D16A22"/>
    <w:rsid w:val="00D2181A"/>
    <w:rsid w:val="00D234FB"/>
    <w:rsid w:val="00D25935"/>
    <w:rsid w:val="00D26227"/>
    <w:rsid w:val="00D3090C"/>
    <w:rsid w:val="00D33F38"/>
    <w:rsid w:val="00D36BE1"/>
    <w:rsid w:val="00D4158F"/>
    <w:rsid w:val="00D4275C"/>
    <w:rsid w:val="00D42C33"/>
    <w:rsid w:val="00D5209B"/>
    <w:rsid w:val="00D56448"/>
    <w:rsid w:val="00D63174"/>
    <w:rsid w:val="00D63704"/>
    <w:rsid w:val="00D64E94"/>
    <w:rsid w:val="00D654B3"/>
    <w:rsid w:val="00D6577B"/>
    <w:rsid w:val="00D65790"/>
    <w:rsid w:val="00D67C23"/>
    <w:rsid w:val="00D71A4F"/>
    <w:rsid w:val="00D74901"/>
    <w:rsid w:val="00D75F75"/>
    <w:rsid w:val="00D76110"/>
    <w:rsid w:val="00D761A0"/>
    <w:rsid w:val="00D7789C"/>
    <w:rsid w:val="00D82459"/>
    <w:rsid w:val="00D86709"/>
    <w:rsid w:val="00D90224"/>
    <w:rsid w:val="00D91947"/>
    <w:rsid w:val="00D924F4"/>
    <w:rsid w:val="00D9275A"/>
    <w:rsid w:val="00D92A7F"/>
    <w:rsid w:val="00D92FCB"/>
    <w:rsid w:val="00D94559"/>
    <w:rsid w:val="00D95A07"/>
    <w:rsid w:val="00D95D9F"/>
    <w:rsid w:val="00D9697F"/>
    <w:rsid w:val="00DA070C"/>
    <w:rsid w:val="00DA18E7"/>
    <w:rsid w:val="00DA5BA5"/>
    <w:rsid w:val="00DB06CE"/>
    <w:rsid w:val="00DB16B3"/>
    <w:rsid w:val="00DB1F27"/>
    <w:rsid w:val="00DB242C"/>
    <w:rsid w:val="00DB2C60"/>
    <w:rsid w:val="00DB473E"/>
    <w:rsid w:val="00DB5EC9"/>
    <w:rsid w:val="00DB67ED"/>
    <w:rsid w:val="00DB6CE0"/>
    <w:rsid w:val="00DC027E"/>
    <w:rsid w:val="00DC055C"/>
    <w:rsid w:val="00DC3393"/>
    <w:rsid w:val="00DC3549"/>
    <w:rsid w:val="00DD0122"/>
    <w:rsid w:val="00DD0F61"/>
    <w:rsid w:val="00DD6A9C"/>
    <w:rsid w:val="00DD6DA2"/>
    <w:rsid w:val="00DD71CE"/>
    <w:rsid w:val="00DD7D32"/>
    <w:rsid w:val="00DE116C"/>
    <w:rsid w:val="00DE3A0B"/>
    <w:rsid w:val="00DE3CAC"/>
    <w:rsid w:val="00DE3F98"/>
    <w:rsid w:val="00DE5340"/>
    <w:rsid w:val="00DE6ADB"/>
    <w:rsid w:val="00DE7DF1"/>
    <w:rsid w:val="00DF0832"/>
    <w:rsid w:val="00DF245B"/>
    <w:rsid w:val="00DF2AD7"/>
    <w:rsid w:val="00DF4969"/>
    <w:rsid w:val="00DF7E11"/>
    <w:rsid w:val="00E01A6A"/>
    <w:rsid w:val="00E03703"/>
    <w:rsid w:val="00E038A3"/>
    <w:rsid w:val="00E03FFD"/>
    <w:rsid w:val="00E05732"/>
    <w:rsid w:val="00E10025"/>
    <w:rsid w:val="00E113A9"/>
    <w:rsid w:val="00E12764"/>
    <w:rsid w:val="00E1429C"/>
    <w:rsid w:val="00E15896"/>
    <w:rsid w:val="00E15BBC"/>
    <w:rsid w:val="00E163C6"/>
    <w:rsid w:val="00E178C1"/>
    <w:rsid w:val="00E17F5E"/>
    <w:rsid w:val="00E20AA3"/>
    <w:rsid w:val="00E21CD9"/>
    <w:rsid w:val="00E222CA"/>
    <w:rsid w:val="00E22AF2"/>
    <w:rsid w:val="00E22D65"/>
    <w:rsid w:val="00E22E30"/>
    <w:rsid w:val="00E26466"/>
    <w:rsid w:val="00E27177"/>
    <w:rsid w:val="00E33FC4"/>
    <w:rsid w:val="00E34270"/>
    <w:rsid w:val="00E3523E"/>
    <w:rsid w:val="00E367AE"/>
    <w:rsid w:val="00E40270"/>
    <w:rsid w:val="00E41269"/>
    <w:rsid w:val="00E42020"/>
    <w:rsid w:val="00E42064"/>
    <w:rsid w:val="00E43DC4"/>
    <w:rsid w:val="00E44393"/>
    <w:rsid w:val="00E46752"/>
    <w:rsid w:val="00E46764"/>
    <w:rsid w:val="00E5085B"/>
    <w:rsid w:val="00E518B9"/>
    <w:rsid w:val="00E518F2"/>
    <w:rsid w:val="00E5328D"/>
    <w:rsid w:val="00E559DF"/>
    <w:rsid w:val="00E566D5"/>
    <w:rsid w:val="00E57E1B"/>
    <w:rsid w:val="00E600C0"/>
    <w:rsid w:val="00E67795"/>
    <w:rsid w:val="00E708E9"/>
    <w:rsid w:val="00E72932"/>
    <w:rsid w:val="00E73F79"/>
    <w:rsid w:val="00E75B19"/>
    <w:rsid w:val="00E77453"/>
    <w:rsid w:val="00E77B56"/>
    <w:rsid w:val="00E81029"/>
    <w:rsid w:val="00E81121"/>
    <w:rsid w:val="00E81433"/>
    <w:rsid w:val="00E8321E"/>
    <w:rsid w:val="00E83A84"/>
    <w:rsid w:val="00E83C9B"/>
    <w:rsid w:val="00E845EA"/>
    <w:rsid w:val="00E84AB4"/>
    <w:rsid w:val="00E84DAF"/>
    <w:rsid w:val="00E860D2"/>
    <w:rsid w:val="00E8643F"/>
    <w:rsid w:val="00E87017"/>
    <w:rsid w:val="00E92321"/>
    <w:rsid w:val="00E931B4"/>
    <w:rsid w:val="00E93DC7"/>
    <w:rsid w:val="00E95671"/>
    <w:rsid w:val="00E977BC"/>
    <w:rsid w:val="00E97EEE"/>
    <w:rsid w:val="00E97F55"/>
    <w:rsid w:val="00EA0AF5"/>
    <w:rsid w:val="00EA29B7"/>
    <w:rsid w:val="00EB0F27"/>
    <w:rsid w:val="00EB1B61"/>
    <w:rsid w:val="00EB2730"/>
    <w:rsid w:val="00EB6311"/>
    <w:rsid w:val="00EC2387"/>
    <w:rsid w:val="00EC57BD"/>
    <w:rsid w:val="00ED12D6"/>
    <w:rsid w:val="00ED220C"/>
    <w:rsid w:val="00ED2F0C"/>
    <w:rsid w:val="00ED4421"/>
    <w:rsid w:val="00ED454B"/>
    <w:rsid w:val="00ED569B"/>
    <w:rsid w:val="00ED6ADA"/>
    <w:rsid w:val="00ED7B05"/>
    <w:rsid w:val="00EE3145"/>
    <w:rsid w:val="00EE5CF6"/>
    <w:rsid w:val="00EF1271"/>
    <w:rsid w:val="00EF1BDD"/>
    <w:rsid w:val="00EF2DE0"/>
    <w:rsid w:val="00EF5466"/>
    <w:rsid w:val="00EF5B50"/>
    <w:rsid w:val="00EF6ADC"/>
    <w:rsid w:val="00F00841"/>
    <w:rsid w:val="00F00BE7"/>
    <w:rsid w:val="00F070D4"/>
    <w:rsid w:val="00F0744C"/>
    <w:rsid w:val="00F074AA"/>
    <w:rsid w:val="00F11FA7"/>
    <w:rsid w:val="00F1285E"/>
    <w:rsid w:val="00F13458"/>
    <w:rsid w:val="00F14055"/>
    <w:rsid w:val="00F1407C"/>
    <w:rsid w:val="00F15F05"/>
    <w:rsid w:val="00F178AC"/>
    <w:rsid w:val="00F21146"/>
    <w:rsid w:val="00F27D14"/>
    <w:rsid w:val="00F32229"/>
    <w:rsid w:val="00F32DDF"/>
    <w:rsid w:val="00F33A30"/>
    <w:rsid w:val="00F34EFD"/>
    <w:rsid w:val="00F35B7A"/>
    <w:rsid w:val="00F37D4E"/>
    <w:rsid w:val="00F413DA"/>
    <w:rsid w:val="00F41BC2"/>
    <w:rsid w:val="00F426BB"/>
    <w:rsid w:val="00F430DE"/>
    <w:rsid w:val="00F45184"/>
    <w:rsid w:val="00F46091"/>
    <w:rsid w:val="00F50A2C"/>
    <w:rsid w:val="00F53422"/>
    <w:rsid w:val="00F5474E"/>
    <w:rsid w:val="00F565FC"/>
    <w:rsid w:val="00F600AB"/>
    <w:rsid w:val="00F60A12"/>
    <w:rsid w:val="00F67CD3"/>
    <w:rsid w:val="00F70B33"/>
    <w:rsid w:val="00F70C6F"/>
    <w:rsid w:val="00F713F8"/>
    <w:rsid w:val="00F71B19"/>
    <w:rsid w:val="00F74D20"/>
    <w:rsid w:val="00F76728"/>
    <w:rsid w:val="00F80A74"/>
    <w:rsid w:val="00F84071"/>
    <w:rsid w:val="00F86FE6"/>
    <w:rsid w:val="00F90682"/>
    <w:rsid w:val="00F924D7"/>
    <w:rsid w:val="00F9593B"/>
    <w:rsid w:val="00F960E1"/>
    <w:rsid w:val="00F97FB8"/>
    <w:rsid w:val="00FA050F"/>
    <w:rsid w:val="00FA2E00"/>
    <w:rsid w:val="00FA3293"/>
    <w:rsid w:val="00FA45F5"/>
    <w:rsid w:val="00FA5F54"/>
    <w:rsid w:val="00FB2C38"/>
    <w:rsid w:val="00FB3AAB"/>
    <w:rsid w:val="00FB486E"/>
    <w:rsid w:val="00FB4A80"/>
    <w:rsid w:val="00FB52B3"/>
    <w:rsid w:val="00FB5CB6"/>
    <w:rsid w:val="00FB66CC"/>
    <w:rsid w:val="00FB728B"/>
    <w:rsid w:val="00FB7DE5"/>
    <w:rsid w:val="00FC0C87"/>
    <w:rsid w:val="00FC1F75"/>
    <w:rsid w:val="00FC2DA3"/>
    <w:rsid w:val="00FC4CE4"/>
    <w:rsid w:val="00FD2431"/>
    <w:rsid w:val="00FD33A3"/>
    <w:rsid w:val="00FD5136"/>
    <w:rsid w:val="00FD5498"/>
    <w:rsid w:val="00FD6CE5"/>
    <w:rsid w:val="00FE0E02"/>
    <w:rsid w:val="00FE4A4E"/>
    <w:rsid w:val="00FE6064"/>
    <w:rsid w:val="00FF360C"/>
    <w:rsid w:val="00FF5552"/>
    <w:rsid w:val="0169535A"/>
    <w:rsid w:val="016D918C"/>
    <w:rsid w:val="02E31578"/>
    <w:rsid w:val="032BDF21"/>
    <w:rsid w:val="050ECEAD"/>
    <w:rsid w:val="0558C37C"/>
    <w:rsid w:val="058AD1F8"/>
    <w:rsid w:val="059A5C92"/>
    <w:rsid w:val="062F0003"/>
    <w:rsid w:val="064A0F85"/>
    <w:rsid w:val="084FEBD2"/>
    <w:rsid w:val="092BB3E5"/>
    <w:rsid w:val="0A1B37F9"/>
    <w:rsid w:val="0A660868"/>
    <w:rsid w:val="0CEEC7F6"/>
    <w:rsid w:val="0DAF5BD4"/>
    <w:rsid w:val="0E1823DE"/>
    <w:rsid w:val="0F161CA4"/>
    <w:rsid w:val="103501CB"/>
    <w:rsid w:val="106871F4"/>
    <w:rsid w:val="1155F511"/>
    <w:rsid w:val="124F7B20"/>
    <w:rsid w:val="12D2FA9B"/>
    <w:rsid w:val="13D65C8B"/>
    <w:rsid w:val="1449CDD4"/>
    <w:rsid w:val="1479C38D"/>
    <w:rsid w:val="151ADCB5"/>
    <w:rsid w:val="152EC33F"/>
    <w:rsid w:val="15B86DE2"/>
    <w:rsid w:val="16D48F42"/>
    <w:rsid w:val="18193456"/>
    <w:rsid w:val="18AE758E"/>
    <w:rsid w:val="1A1112FD"/>
    <w:rsid w:val="1A1D0DFC"/>
    <w:rsid w:val="1A1FE6AA"/>
    <w:rsid w:val="1A737A84"/>
    <w:rsid w:val="1AF9F2BB"/>
    <w:rsid w:val="1B4F017B"/>
    <w:rsid w:val="1EA617A4"/>
    <w:rsid w:val="1EC1BEFB"/>
    <w:rsid w:val="1F21E11D"/>
    <w:rsid w:val="20DDFC1D"/>
    <w:rsid w:val="2139770F"/>
    <w:rsid w:val="21F15DF2"/>
    <w:rsid w:val="2220B069"/>
    <w:rsid w:val="225981DF"/>
    <w:rsid w:val="22A88991"/>
    <w:rsid w:val="232B09AC"/>
    <w:rsid w:val="244DD653"/>
    <w:rsid w:val="248EF20B"/>
    <w:rsid w:val="255F059A"/>
    <w:rsid w:val="25ADA402"/>
    <w:rsid w:val="26A8E441"/>
    <w:rsid w:val="28FFEE2A"/>
    <w:rsid w:val="291F4F38"/>
    <w:rsid w:val="295BC224"/>
    <w:rsid w:val="2979BA76"/>
    <w:rsid w:val="2CCBF356"/>
    <w:rsid w:val="2FB1DB4B"/>
    <w:rsid w:val="309B493B"/>
    <w:rsid w:val="317112E1"/>
    <w:rsid w:val="317E8DC0"/>
    <w:rsid w:val="31910F04"/>
    <w:rsid w:val="31E4199C"/>
    <w:rsid w:val="31EBDEE9"/>
    <w:rsid w:val="327CEFBE"/>
    <w:rsid w:val="3364FD99"/>
    <w:rsid w:val="34E1E695"/>
    <w:rsid w:val="3544E978"/>
    <w:rsid w:val="3555C4D2"/>
    <w:rsid w:val="35581A9B"/>
    <w:rsid w:val="369D5BAB"/>
    <w:rsid w:val="36A5DFAE"/>
    <w:rsid w:val="376785B3"/>
    <w:rsid w:val="3962EC44"/>
    <w:rsid w:val="3A1C45A9"/>
    <w:rsid w:val="3A8D7B64"/>
    <w:rsid w:val="3BEA9124"/>
    <w:rsid w:val="3C3AF6D6"/>
    <w:rsid w:val="3DD6C737"/>
    <w:rsid w:val="3EF84662"/>
    <w:rsid w:val="3F1FF1A7"/>
    <w:rsid w:val="3FA35129"/>
    <w:rsid w:val="426B5E3A"/>
    <w:rsid w:val="452EE526"/>
    <w:rsid w:val="463FD02F"/>
    <w:rsid w:val="47166EB7"/>
    <w:rsid w:val="47DBA090"/>
    <w:rsid w:val="497770F1"/>
    <w:rsid w:val="4A76A1AC"/>
    <w:rsid w:val="4AC3FE21"/>
    <w:rsid w:val="4AD82494"/>
    <w:rsid w:val="4C0A2832"/>
    <w:rsid w:val="4C218C6D"/>
    <w:rsid w:val="4CB5C4B6"/>
    <w:rsid w:val="4DC25FDB"/>
    <w:rsid w:val="4DFD5B8F"/>
    <w:rsid w:val="4F1CED14"/>
    <w:rsid w:val="52878B38"/>
    <w:rsid w:val="5324D369"/>
    <w:rsid w:val="54D928C5"/>
    <w:rsid w:val="55251C0A"/>
    <w:rsid w:val="5563D0CA"/>
    <w:rsid w:val="55710D06"/>
    <w:rsid w:val="5586F437"/>
    <w:rsid w:val="563CCB9C"/>
    <w:rsid w:val="56A7A394"/>
    <w:rsid w:val="56CFF0FB"/>
    <w:rsid w:val="573BFC57"/>
    <w:rsid w:val="59216DCD"/>
    <w:rsid w:val="59276049"/>
    <w:rsid w:val="59EA482C"/>
    <w:rsid w:val="5D8558FE"/>
    <w:rsid w:val="5DE0915F"/>
    <w:rsid w:val="5E120E52"/>
    <w:rsid w:val="5F773E7F"/>
    <w:rsid w:val="609C5417"/>
    <w:rsid w:val="60D6CEC5"/>
    <w:rsid w:val="60E652A1"/>
    <w:rsid w:val="61A93F67"/>
    <w:rsid w:val="61CCD1F7"/>
    <w:rsid w:val="623EE0E4"/>
    <w:rsid w:val="647A9597"/>
    <w:rsid w:val="64C0AABA"/>
    <w:rsid w:val="650472B9"/>
    <w:rsid w:val="65DB9F3B"/>
    <w:rsid w:val="67A6D47B"/>
    <w:rsid w:val="67C355DC"/>
    <w:rsid w:val="684BBABB"/>
    <w:rsid w:val="68C95A5D"/>
    <w:rsid w:val="69E78B1C"/>
    <w:rsid w:val="6A7A9475"/>
    <w:rsid w:val="6ADE753D"/>
    <w:rsid w:val="6B37EAD7"/>
    <w:rsid w:val="6CE66454"/>
    <w:rsid w:val="71D5944C"/>
    <w:rsid w:val="740190C3"/>
    <w:rsid w:val="7442EF01"/>
    <w:rsid w:val="76248CE9"/>
    <w:rsid w:val="77A3CFE8"/>
    <w:rsid w:val="793FA049"/>
    <w:rsid w:val="7950BB8E"/>
    <w:rsid w:val="79F0975C"/>
    <w:rsid w:val="7A833C0E"/>
    <w:rsid w:val="7A97D593"/>
    <w:rsid w:val="7AB8E7E8"/>
    <w:rsid w:val="7ADB70AA"/>
    <w:rsid w:val="7D6B03F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C58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2B4"/>
    <w:pPr>
      <w:spacing w:after="0" w:line="240" w:lineRule="auto"/>
      <w:ind w:left="720"/>
    </w:pPr>
    <w:rPr>
      <w:rFonts w:ascii="Calibri" w:eastAsia="Calibri" w:hAnsi="Calibri" w:cs="Times New Roman"/>
    </w:rPr>
  </w:style>
  <w:style w:type="paragraph" w:styleId="FootnoteText">
    <w:name w:val="footnote text"/>
    <w:basedOn w:val="Normal"/>
    <w:link w:val="FootnoteTextChar"/>
    <w:uiPriority w:val="99"/>
    <w:unhideWhenUsed/>
    <w:rsid w:val="00C30D13"/>
    <w:pPr>
      <w:spacing w:after="0" w:line="240" w:lineRule="auto"/>
    </w:pPr>
    <w:rPr>
      <w:sz w:val="20"/>
      <w:szCs w:val="20"/>
    </w:rPr>
  </w:style>
  <w:style w:type="character" w:customStyle="1" w:styleId="FootnoteTextChar">
    <w:name w:val="Footnote Text Char"/>
    <w:basedOn w:val="DefaultParagraphFont"/>
    <w:link w:val="FootnoteText"/>
    <w:uiPriority w:val="99"/>
    <w:rsid w:val="00C30D13"/>
    <w:rPr>
      <w:sz w:val="20"/>
      <w:szCs w:val="20"/>
    </w:rPr>
  </w:style>
  <w:style w:type="character" w:styleId="FootnoteReference">
    <w:name w:val="footnote reference"/>
    <w:basedOn w:val="DefaultParagraphFont"/>
    <w:uiPriority w:val="99"/>
    <w:semiHidden/>
    <w:unhideWhenUsed/>
    <w:rsid w:val="00C30D13"/>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B065A8"/>
    <w:rPr>
      <w:sz w:val="16"/>
      <w:szCs w:val="16"/>
    </w:rPr>
  </w:style>
  <w:style w:type="paragraph" w:styleId="CommentText">
    <w:name w:val="annotation text"/>
    <w:basedOn w:val="Normal"/>
    <w:link w:val="CommentTextChar"/>
    <w:uiPriority w:val="99"/>
    <w:unhideWhenUsed/>
    <w:rsid w:val="00B065A8"/>
    <w:pPr>
      <w:spacing w:line="240" w:lineRule="auto"/>
    </w:pPr>
    <w:rPr>
      <w:sz w:val="20"/>
      <w:szCs w:val="20"/>
    </w:rPr>
  </w:style>
  <w:style w:type="character" w:customStyle="1" w:styleId="CommentTextChar">
    <w:name w:val="Comment Text Char"/>
    <w:basedOn w:val="DefaultParagraphFont"/>
    <w:link w:val="CommentText"/>
    <w:uiPriority w:val="99"/>
    <w:rsid w:val="00B065A8"/>
    <w:rPr>
      <w:sz w:val="20"/>
      <w:szCs w:val="20"/>
    </w:rPr>
  </w:style>
  <w:style w:type="paragraph" w:styleId="CommentSubject">
    <w:name w:val="annotation subject"/>
    <w:basedOn w:val="CommentText"/>
    <w:next w:val="CommentText"/>
    <w:link w:val="CommentSubjectChar"/>
    <w:uiPriority w:val="99"/>
    <w:semiHidden/>
    <w:unhideWhenUsed/>
    <w:rsid w:val="00B065A8"/>
    <w:rPr>
      <w:b/>
      <w:bCs/>
    </w:rPr>
  </w:style>
  <w:style w:type="character" w:customStyle="1" w:styleId="CommentSubjectChar">
    <w:name w:val="Comment Subject Char"/>
    <w:basedOn w:val="CommentTextChar"/>
    <w:link w:val="CommentSubject"/>
    <w:uiPriority w:val="99"/>
    <w:semiHidden/>
    <w:rsid w:val="00B065A8"/>
    <w:rPr>
      <w:b/>
      <w:bCs/>
      <w:sz w:val="20"/>
      <w:szCs w:val="20"/>
    </w:rPr>
  </w:style>
  <w:style w:type="character" w:styleId="Hyperlink">
    <w:name w:val="Hyperlink"/>
    <w:basedOn w:val="DefaultParagraphFont"/>
    <w:uiPriority w:val="99"/>
    <w:unhideWhenUsed/>
    <w:rsid w:val="001F3F02"/>
    <w:rPr>
      <w:color w:val="0563C1" w:themeColor="hyperlink"/>
      <w:u w:val="single"/>
    </w:rPr>
  </w:style>
  <w:style w:type="character" w:customStyle="1" w:styleId="fontstyle01">
    <w:name w:val="fontstyle01"/>
    <w:basedOn w:val="DefaultParagraphFont"/>
    <w:rsid w:val="0013247E"/>
    <w:rPr>
      <w:rFonts w:ascii="Calibri" w:hAnsi="Calibri" w:cs="Calibri" w:hint="default"/>
      <w:b w:val="0"/>
      <w:bCs w:val="0"/>
      <w:i w:val="0"/>
      <w:iCs w:val="0"/>
      <w:color w:val="000000"/>
      <w:sz w:val="22"/>
      <w:szCs w:val="22"/>
    </w:rPr>
  </w:style>
  <w:style w:type="numbering" w:customStyle="1" w:styleId="Outlines">
    <w:name w:val="Outlines"/>
    <w:uiPriority w:val="99"/>
    <w:rsid w:val="0075724E"/>
    <w:pPr>
      <w:numPr>
        <w:numId w:val="9"/>
      </w:numPr>
    </w:pPr>
  </w:style>
  <w:style w:type="character" w:styleId="UnresolvedMention">
    <w:name w:val="Unresolved Mention"/>
    <w:basedOn w:val="DefaultParagraphFont"/>
    <w:uiPriority w:val="99"/>
    <w:semiHidden/>
    <w:unhideWhenUsed/>
    <w:rsid w:val="00882E87"/>
    <w:rPr>
      <w:color w:val="605E5C"/>
      <w:shd w:val="clear" w:color="auto" w:fill="E1DFDD"/>
    </w:rPr>
  </w:style>
  <w:style w:type="character" w:styleId="Mention">
    <w:name w:val="Mention"/>
    <w:basedOn w:val="DefaultParagraphFont"/>
    <w:uiPriority w:val="99"/>
    <w:unhideWhenUsed/>
    <w:rsid w:val="000D0D6A"/>
    <w:rPr>
      <w:color w:val="2B579A"/>
      <w:shd w:val="clear" w:color="auto" w:fill="E1DFDD"/>
    </w:rPr>
  </w:style>
  <w:style w:type="character" w:styleId="FollowedHyperlink">
    <w:name w:val="FollowedHyperlink"/>
    <w:basedOn w:val="DefaultParagraphFont"/>
    <w:uiPriority w:val="99"/>
    <w:semiHidden/>
    <w:unhideWhenUsed/>
    <w:rsid w:val="00593D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09755">
      <w:bodyDiv w:val="1"/>
      <w:marLeft w:val="0"/>
      <w:marRight w:val="0"/>
      <w:marTop w:val="0"/>
      <w:marBottom w:val="0"/>
      <w:divBdr>
        <w:top w:val="none" w:sz="0" w:space="0" w:color="auto"/>
        <w:left w:val="none" w:sz="0" w:space="0" w:color="auto"/>
        <w:bottom w:val="none" w:sz="0" w:space="0" w:color="auto"/>
        <w:right w:val="none" w:sz="0" w:space="0" w:color="auto"/>
      </w:divBdr>
    </w:div>
    <w:div w:id="190261177">
      <w:bodyDiv w:val="1"/>
      <w:marLeft w:val="0"/>
      <w:marRight w:val="0"/>
      <w:marTop w:val="0"/>
      <w:marBottom w:val="0"/>
      <w:divBdr>
        <w:top w:val="none" w:sz="0" w:space="0" w:color="auto"/>
        <w:left w:val="none" w:sz="0" w:space="0" w:color="auto"/>
        <w:bottom w:val="none" w:sz="0" w:space="0" w:color="auto"/>
        <w:right w:val="none" w:sz="0" w:space="0" w:color="auto"/>
      </w:divBdr>
    </w:div>
    <w:div w:id="199981328">
      <w:bodyDiv w:val="1"/>
      <w:marLeft w:val="0"/>
      <w:marRight w:val="0"/>
      <w:marTop w:val="0"/>
      <w:marBottom w:val="0"/>
      <w:divBdr>
        <w:top w:val="none" w:sz="0" w:space="0" w:color="auto"/>
        <w:left w:val="none" w:sz="0" w:space="0" w:color="auto"/>
        <w:bottom w:val="none" w:sz="0" w:space="0" w:color="auto"/>
        <w:right w:val="none" w:sz="0" w:space="0" w:color="auto"/>
      </w:divBdr>
    </w:div>
    <w:div w:id="306129958">
      <w:bodyDiv w:val="1"/>
      <w:marLeft w:val="0"/>
      <w:marRight w:val="0"/>
      <w:marTop w:val="0"/>
      <w:marBottom w:val="0"/>
      <w:divBdr>
        <w:top w:val="none" w:sz="0" w:space="0" w:color="auto"/>
        <w:left w:val="none" w:sz="0" w:space="0" w:color="auto"/>
        <w:bottom w:val="none" w:sz="0" w:space="0" w:color="auto"/>
        <w:right w:val="none" w:sz="0" w:space="0" w:color="auto"/>
      </w:divBdr>
    </w:div>
    <w:div w:id="354842678">
      <w:bodyDiv w:val="1"/>
      <w:marLeft w:val="0"/>
      <w:marRight w:val="0"/>
      <w:marTop w:val="0"/>
      <w:marBottom w:val="0"/>
      <w:divBdr>
        <w:top w:val="none" w:sz="0" w:space="0" w:color="auto"/>
        <w:left w:val="none" w:sz="0" w:space="0" w:color="auto"/>
        <w:bottom w:val="none" w:sz="0" w:space="0" w:color="auto"/>
        <w:right w:val="none" w:sz="0" w:space="0" w:color="auto"/>
      </w:divBdr>
    </w:div>
    <w:div w:id="427773310">
      <w:bodyDiv w:val="1"/>
      <w:marLeft w:val="0"/>
      <w:marRight w:val="0"/>
      <w:marTop w:val="0"/>
      <w:marBottom w:val="0"/>
      <w:divBdr>
        <w:top w:val="none" w:sz="0" w:space="0" w:color="auto"/>
        <w:left w:val="none" w:sz="0" w:space="0" w:color="auto"/>
        <w:bottom w:val="none" w:sz="0" w:space="0" w:color="auto"/>
        <w:right w:val="none" w:sz="0" w:space="0" w:color="auto"/>
      </w:divBdr>
    </w:div>
    <w:div w:id="547684742">
      <w:bodyDiv w:val="1"/>
      <w:marLeft w:val="0"/>
      <w:marRight w:val="0"/>
      <w:marTop w:val="0"/>
      <w:marBottom w:val="0"/>
      <w:divBdr>
        <w:top w:val="none" w:sz="0" w:space="0" w:color="auto"/>
        <w:left w:val="none" w:sz="0" w:space="0" w:color="auto"/>
        <w:bottom w:val="none" w:sz="0" w:space="0" w:color="auto"/>
        <w:right w:val="none" w:sz="0" w:space="0" w:color="auto"/>
      </w:divBdr>
    </w:div>
    <w:div w:id="583493422">
      <w:bodyDiv w:val="1"/>
      <w:marLeft w:val="0"/>
      <w:marRight w:val="0"/>
      <w:marTop w:val="0"/>
      <w:marBottom w:val="0"/>
      <w:divBdr>
        <w:top w:val="none" w:sz="0" w:space="0" w:color="auto"/>
        <w:left w:val="none" w:sz="0" w:space="0" w:color="auto"/>
        <w:bottom w:val="none" w:sz="0" w:space="0" w:color="auto"/>
        <w:right w:val="none" w:sz="0" w:space="0" w:color="auto"/>
      </w:divBdr>
    </w:div>
    <w:div w:id="771246256">
      <w:bodyDiv w:val="1"/>
      <w:marLeft w:val="0"/>
      <w:marRight w:val="0"/>
      <w:marTop w:val="0"/>
      <w:marBottom w:val="0"/>
      <w:divBdr>
        <w:top w:val="none" w:sz="0" w:space="0" w:color="auto"/>
        <w:left w:val="none" w:sz="0" w:space="0" w:color="auto"/>
        <w:bottom w:val="none" w:sz="0" w:space="0" w:color="auto"/>
        <w:right w:val="none" w:sz="0" w:space="0" w:color="auto"/>
      </w:divBdr>
    </w:div>
    <w:div w:id="813184980">
      <w:bodyDiv w:val="1"/>
      <w:marLeft w:val="0"/>
      <w:marRight w:val="0"/>
      <w:marTop w:val="0"/>
      <w:marBottom w:val="0"/>
      <w:divBdr>
        <w:top w:val="none" w:sz="0" w:space="0" w:color="auto"/>
        <w:left w:val="none" w:sz="0" w:space="0" w:color="auto"/>
        <w:bottom w:val="none" w:sz="0" w:space="0" w:color="auto"/>
        <w:right w:val="none" w:sz="0" w:space="0" w:color="auto"/>
      </w:divBdr>
    </w:div>
    <w:div w:id="821584866">
      <w:bodyDiv w:val="1"/>
      <w:marLeft w:val="0"/>
      <w:marRight w:val="0"/>
      <w:marTop w:val="0"/>
      <w:marBottom w:val="0"/>
      <w:divBdr>
        <w:top w:val="none" w:sz="0" w:space="0" w:color="auto"/>
        <w:left w:val="none" w:sz="0" w:space="0" w:color="auto"/>
        <w:bottom w:val="none" w:sz="0" w:space="0" w:color="auto"/>
        <w:right w:val="none" w:sz="0" w:space="0" w:color="auto"/>
      </w:divBdr>
    </w:div>
    <w:div w:id="877620411">
      <w:bodyDiv w:val="1"/>
      <w:marLeft w:val="0"/>
      <w:marRight w:val="0"/>
      <w:marTop w:val="0"/>
      <w:marBottom w:val="0"/>
      <w:divBdr>
        <w:top w:val="none" w:sz="0" w:space="0" w:color="auto"/>
        <w:left w:val="none" w:sz="0" w:space="0" w:color="auto"/>
        <w:bottom w:val="none" w:sz="0" w:space="0" w:color="auto"/>
        <w:right w:val="none" w:sz="0" w:space="0" w:color="auto"/>
      </w:divBdr>
    </w:div>
    <w:div w:id="1023753335">
      <w:bodyDiv w:val="1"/>
      <w:marLeft w:val="0"/>
      <w:marRight w:val="0"/>
      <w:marTop w:val="0"/>
      <w:marBottom w:val="0"/>
      <w:divBdr>
        <w:top w:val="none" w:sz="0" w:space="0" w:color="auto"/>
        <w:left w:val="none" w:sz="0" w:space="0" w:color="auto"/>
        <w:bottom w:val="none" w:sz="0" w:space="0" w:color="auto"/>
        <w:right w:val="none" w:sz="0" w:space="0" w:color="auto"/>
      </w:divBdr>
    </w:div>
    <w:div w:id="1108232156">
      <w:bodyDiv w:val="1"/>
      <w:marLeft w:val="0"/>
      <w:marRight w:val="0"/>
      <w:marTop w:val="0"/>
      <w:marBottom w:val="0"/>
      <w:divBdr>
        <w:top w:val="none" w:sz="0" w:space="0" w:color="auto"/>
        <w:left w:val="none" w:sz="0" w:space="0" w:color="auto"/>
        <w:bottom w:val="none" w:sz="0" w:space="0" w:color="auto"/>
        <w:right w:val="none" w:sz="0" w:space="0" w:color="auto"/>
      </w:divBdr>
      <w:divsChild>
        <w:div w:id="1520465101">
          <w:marLeft w:val="0"/>
          <w:marRight w:val="0"/>
          <w:marTop w:val="0"/>
          <w:marBottom w:val="0"/>
          <w:divBdr>
            <w:top w:val="none" w:sz="0" w:space="0" w:color="auto"/>
            <w:left w:val="none" w:sz="0" w:space="0" w:color="auto"/>
            <w:bottom w:val="none" w:sz="0" w:space="0" w:color="auto"/>
            <w:right w:val="none" w:sz="0" w:space="0" w:color="auto"/>
          </w:divBdr>
        </w:div>
        <w:div w:id="345982987">
          <w:marLeft w:val="0"/>
          <w:marRight w:val="0"/>
          <w:marTop w:val="0"/>
          <w:marBottom w:val="0"/>
          <w:divBdr>
            <w:top w:val="none" w:sz="0" w:space="0" w:color="auto"/>
            <w:left w:val="none" w:sz="0" w:space="0" w:color="auto"/>
            <w:bottom w:val="none" w:sz="0" w:space="0" w:color="auto"/>
            <w:right w:val="none" w:sz="0" w:space="0" w:color="auto"/>
          </w:divBdr>
        </w:div>
        <w:div w:id="1581476504">
          <w:marLeft w:val="0"/>
          <w:marRight w:val="0"/>
          <w:marTop w:val="0"/>
          <w:marBottom w:val="0"/>
          <w:divBdr>
            <w:top w:val="none" w:sz="0" w:space="0" w:color="auto"/>
            <w:left w:val="none" w:sz="0" w:space="0" w:color="auto"/>
            <w:bottom w:val="none" w:sz="0" w:space="0" w:color="auto"/>
            <w:right w:val="none" w:sz="0" w:space="0" w:color="auto"/>
          </w:divBdr>
        </w:div>
        <w:div w:id="54160266">
          <w:marLeft w:val="0"/>
          <w:marRight w:val="0"/>
          <w:marTop w:val="0"/>
          <w:marBottom w:val="0"/>
          <w:divBdr>
            <w:top w:val="none" w:sz="0" w:space="0" w:color="auto"/>
            <w:left w:val="none" w:sz="0" w:space="0" w:color="auto"/>
            <w:bottom w:val="none" w:sz="0" w:space="0" w:color="auto"/>
            <w:right w:val="none" w:sz="0" w:space="0" w:color="auto"/>
          </w:divBdr>
        </w:div>
        <w:div w:id="1057823128">
          <w:marLeft w:val="0"/>
          <w:marRight w:val="0"/>
          <w:marTop w:val="0"/>
          <w:marBottom w:val="0"/>
          <w:divBdr>
            <w:top w:val="none" w:sz="0" w:space="0" w:color="auto"/>
            <w:left w:val="none" w:sz="0" w:space="0" w:color="auto"/>
            <w:bottom w:val="none" w:sz="0" w:space="0" w:color="auto"/>
            <w:right w:val="none" w:sz="0" w:space="0" w:color="auto"/>
          </w:divBdr>
        </w:div>
        <w:div w:id="1688824495">
          <w:marLeft w:val="0"/>
          <w:marRight w:val="0"/>
          <w:marTop w:val="0"/>
          <w:marBottom w:val="0"/>
          <w:divBdr>
            <w:top w:val="none" w:sz="0" w:space="0" w:color="auto"/>
            <w:left w:val="none" w:sz="0" w:space="0" w:color="auto"/>
            <w:bottom w:val="none" w:sz="0" w:space="0" w:color="auto"/>
            <w:right w:val="none" w:sz="0" w:space="0" w:color="auto"/>
          </w:divBdr>
        </w:div>
        <w:div w:id="1658654749">
          <w:marLeft w:val="0"/>
          <w:marRight w:val="0"/>
          <w:marTop w:val="0"/>
          <w:marBottom w:val="0"/>
          <w:divBdr>
            <w:top w:val="none" w:sz="0" w:space="0" w:color="auto"/>
            <w:left w:val="none" w:sz="0" w:space="0" w:color="auto"/>
            <w:bottom w:val="none" w:sz="0" w:space="0" w:color="auto"/>
            <w:right w:val="none" w:sz="0" w:space="0" w:color="auto"/>
          </w:divBdr>
        </w:div>
      </w:divsChild>
    </w:div>
    <w:div w:id="1397900888">
      <w:bodyDiv w:val="1"/>
      <w:marLeft w:val="0"/>
      <w:marRight w:val="0"/>
      <w:marTop w:val="0"/>
      <w:marBottom w:val="0"/>
      <w:divBdr>
        <w:top w:val="none" w:sz="0" w:space="0" w:color="auto"/>
        <w:left w:val="none" w:sz="0" w:space="0" w:color="auto"/>
        <w:bottom w:val="none" w:sz="0" w:space="0" w:color="auto"/>
        <w:right w:val="none" w:sz="0" w:space="0" w:color="auto"/>
      </w:divBdr>
    </w:div>
    <w:div w:id="1578854688">
      <w:bodyDiv w:val="1"/>
      <w:marLeft w:val="0"/>
      <w:marRight w:val="0"/>
      <w:marTop w:val="0"/>
      <w:marBottom w:val="0"/>
      <w:divBdr>
        <w:top w:val="none" w:sz="0" w:space="0" w:color="auto"/>
        <w:left w:val="none" w:sz="0" w:space="0" w:color="auto"/>
        <w:bottom w:val="none" w:sz="0" w:space="0" w:color="auto"/>
        <w:right w:val="none" w:sz="0" w:space="0" w:color="auto"/>
      </w:divBdr>
    </w:div>
    <w:div w:id="1627198959">
      <w:bodyDiv w:val="1"/>
      <w:marLeft w:val="0"/>
      <w:marRight w:val="0"/>
      <w:marTop w:val="0"/>
      <w:marBottom w:val="0"/>
      <w:divBdr>
        <w:top w:val="none" w:sz="0" w:space="0" w:color="auto"/>
        <w:left w:val="none" w:sz="0" w:space="0" w:color="auto"/>
        <w:bottom w:val="none" w:sz="0" w:space="0" w:color="auto"/>
        <w:right w:val="none" w:sz="0" w:space="0" w:color="auto"/>
      </w:divBdr>
    </w:div>
    <w:div w:id="1834831960">
      <w:bodyDiv w:val="1"/>
      <w:marLeft w:val="0"/>
      <w:marRight w:val="0"/>
      <w:marTop w:val="0"/>
      <w:marBottom w:val="0"/>
      <w:divBdr>
        <w:top w:val="none" w:sz="0" w:space="0" w:color="auto"/>
        <w:left w:val="none" w:sz="0" w:space="0" w:color="auto"/>
        <w:bottom w:val="none" w:sz="0" w:space="0" w:color="auto"/>
        <w:right w:val="none" w:sz="0" w:space="0" w:color="auto"/>
      </w:divBdr>
    </w:div>
    <w:div w:id="1841577420">
      <w:bodyDiv w:val="1"/>
      <w:marLeft w:val="0"/>
      <w:marRight w:val="0"/>
      <w:marTop w:val="0"/>
      <w:marBottom w:val="0"/>
      <w:divBdr>
        <w:top w:val="none" w:sz="0" w:space="0" w:color="auto"/>
        <w:left w:val="none" w:sz="0" w:space="0" w:color="auto"/>
        <w:bottom w:val="none" w:sz="0" w:space="0" w:color="auto"/>
        <w:right w:val="none" w:sz="0" w:space="0" w:color="auto"/>
      </w:divBdr>
      <w:divsChild>
        <w:div w:id="11345219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7001281">
              <w:marLeft w:val="0"/>
              <w:marRight w:val="0"/>
              <w:marTop w:val="0"/>
              <w:marBottom w:val="0"/>
              <w:divBdr>
                <w:top w:val="none" w:sz="0" w:space="0" w:color="auto"/>
                <w:left w:val="none" w:sz="0" w:space="0" w:color="auto"/>
                <w:bottom w:val="none" w:sz="0" w:space="0" w:color="auto"/>
                <w:right w:val="none" w:sz="0" w:space="0" w:color="auto"/>
              </w:divBdr>
              <w:divsChild>
                <w:div w:id="1619682854">
                  <w:marLeft w:val="0"/>
                  <w:marRight w:val="0"/>
                  <w:marTop w:val="0"/>
                  <w:marBottom w:val="0"/>
                  <w:divBdr>
                    <w:top w:val="none" w:sz="0" w:space="0" w:color="auto"/>
                    <w:left w:val="none" w:sz="0" w:space="0" w:color="auto"/>
                    <w:bottom w:val="none" w:sz="0" w:space="0" w:color="auto"/>
                    <w:right w:val="none" w:sz="0" w:space="0" w:color="auto"/>
                  </w:divBdr>
                  <w:divsChild>
                    <w:div w:id="170367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605755">
      <w:bodyDiv w:val="1"/>
      <w:marLeft w:val="0"/>
      <w:marRight w:val="0"/>
      <w:marTop w:val="0"/>
      <w:marBottom w:val="0"/>
      <w:divBdr>
        <w:top w:val="none" w:sz="0" w:space="0" w:color="auto"/>
        <w:left w:val="none" w:sz="0" w:space="0" w:color="auto"/>
        <w:bottom w:val="none" w:sz="0" w:space="0" w:color="auto"/>
        <w:right w:val="none" w:sz="0" w:space="0" w:color="auto"/>
      </w:divBdr>
    </w:div>
    <w:div w:id="211255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voanews.com/a/africa_malawi-struggles-end-attacks-people-albinism/6209802.html" TargetMode="External"/><Relationship Id="rId2" Type="http://schemas.openxmlformats.org/officeDocument/2006/relationships/hyperlink" Target="https://mwnation.com/apam-not-impressed-with-nap/" TargetMode="External"/><Relationship Id="rId1" Type="http://schemas.openxmlformats.org/officeDocument/2006/relationships/hyperlink" Target="https://tbinternet.ohchr.org/_layouts/15/TreatyBodyExternal/Treaty.aspx?CountryID=104&amp;Lang=en." TargetMode="External"/><Relationship Id="rId6" Type="http://schemas.openxmlformats.org/officeDocument/2006/relationships/hyperlink" Target="https://www.voanews.com/a/africa_malawi-struggles-end-attacks-people-albinism/6209802.html" TargetMode="External"/><Relationship Id="rId5" Type="http://schemas.openxmlformats.org/officeDocument/2006/relationships/hyperlink" Target="https://actiononalbinism.org/page/c6cd5zzky9qtvx7viqtw0o1or" TargetMode="External"/><Relationship Id="rId4" Type="http://schemas.openxmlformats.org/officeDocument/2006/relationships/hyperlink" Target="https://times.mw/apam-bemoans-national-action-plan-budget-cut/%23"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99ADA-C63E-41AD-87CE-3E76C948F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4190</Words>
  <Characters>23887</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2023-08-08T09:01:00Z</dcterms:created>
  <dcterms:modified xsi:type="dcterms:W3CDTF">2023-08-08T09:01:00Z</dcterms:modified>
</cp:coreProperties>
</file>