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2A82F" w14:textId="52B82879" w:rsidR="004F73BD" w:rsidRPr="004F73BD" w:rsidRDefault="004F73BD" w:rsidP="004F73BD">
      <w:pPr>
        <w:spacing w:line="240" w:lineRule="auto"/>
        <w:jc w:val="center"/>
        <w:rPr>
          <w:rFonts w:ascii="Corbel" w:eastAsia="Corbel" w:hAnsi="Corbel" w:cs="Corbel"/>
          <w:b/>
          <w:bCs/>
          <w:color w:val="222222"/>
          <w:sz w:val="56"/>
          <w:szCs w:val="56"/>
          <w:highlight w:val="white"/>
          <w:lang w:val="es-MX"/>
        </w:rPr>
      </w:pPr>
      <w:r w:rsidRPr="004F73BD">
        <w:rPr>
          <w:rFonts w:ascii="Corbel" w:eastAsia="Corbel" w:hAnsi="Corbel" w:cs="Corbel"/>
          <w:b/>
          <w:bCs/>
          <w:color w:val="222222"/>
          <w:sz w:val="56"/>
          <w:szCs w:val="56"/>
          <w:highlight w:val="white"/>
          <w:lang w:val="es-MX"/>
        </w:rPr>
        <w:t>Informe alternativo al del Estado mexicano sobre la situación de las mujeres en movilidad</w:t>
      </w:r>
      <w:r w:rsidRPr="006A0372">
        <w:rPr>
          <w:rFonts w:ascii="Corbel" w:eastAsia="Corbel" w:hAnsi="Corbel" w:cs="Corbel"/>
          <w:b/>
          <w:bCs/>
          <w:color w:val="222222"/>
          <w:sz w:val="56"/>
          <w:szCs w:val="56"/>
          <w:highlight w:val="white"/>
          <w:lang w:val="es-MX"/>
        </w:rPr>
        <w:t xml:space="preserve"> humana</w:t>
      </w:r>
      <w:r w:rsidRPr="004F73BD">
        <w:rPr>
          <w:rFonts w:ascii="Corbel" w:eastAsia="Corbel" w:hAnsi="Corbel" w:cs="Corbel"/>
          <w:b/>
          <w:bCs/>
          <w:color w:val="222222"/>
          <w:sz w:val="56"/>
          <w:szCs w:val="56"/>
          <w:highlight w:val="white"/>
          <w:lang w:val="es-MX"/>
        </w:rPr>
        <w:t xml:space="preserve">, </w:t>
      </w:r>
      <w:r w:rsidRPr="006A0372">
        <w:rPr>
          <w:rFonts w:ascii="Corbel" w:eastAsia="Corbel" w:hAnsi="Corbel" w:cs="Corbel"/>
          <w:b/>
          <w:bCs/>
          <w:color w:val="222222"/>
          <w:sz w:val="56"/>
          <w:szCs w:val="56"/>
          <w:highlight w:val="white"/>
          <w:lang w:val="es-MX"/>
        </w:rPr>
        <w:t xml:space="preserve">CEDAW </w:t>
      </w:r>
      <w:r w:rsidRPr="004F73BD">
        <w:rPr>
          <w:rFonts w:ascii="Corbel" w:eastAsia="Corbel" w:hAnsi="Corbel" w:cs="Corbel"/>
          <w:b/>
          <w:bCs/>
          <w:color w:val="222222"/>
          <w:sz w:val="56"/>
          <w:szCs w:val="56"/>
          <w:highlight w:val="white"/>
          <w:lang w:val="es-MX"/>
        </w:rPr>
        <w:t>202</w:t>
      </w:r>
      <w:r w:rsidRPr="006A0372">
        <w:rPr>
          <w:rFonts w:ascii="Corbel" w:eastAsia="Corbel" w:hAnsi="Corbel" w:cs="Corbel"/>
          <w:b/>
          <w:bCs/>
          <w:color w:val="222222"/>
          <w:sz w:val="56"/>
          <w:szCs w:val="56"/>
          <w:highlight w:val="white"/>
          <w:lang w:val="es-MX"/>
        </w:rPr>
        <w:t>5</w:t>
      </w:r>
    </w:p>
    <w:p w14:paraId="0874CD68" w14:textId="29D89617" w:rsidR="0062340D" w:rsidRPr="006A0372" w:rsidRDefault="004F73BD" w:rsidP="004F73BD">
      <w:pPr>
        <w:spacing w:line="240" w:lineRule="auto"/>
        <w:jc w:val="center"/>
        <w:rPr>
          <w:rFonts w:ascii="Corbel" w:eastAsia="Corbel" w:hAnsi="Corbel" w:cs="Corbel"/>
          <w:color w:val="222222"/>
          <w:highlight w:val="white"/>
          <w:lang w:val="es-MX"/>
        </w:rPr>
      </w:pPr>
      <w:r w:rsidRPr="006A0372">
        <w:rPr>
          <w:rFonts w:ascii="Corbel" w:eastAsia="Corbel" w:hAnsi="Corbel" w:cs="Corbel"/>
          <w:b/>
          <w:bCs/>
          <w:color w:val="222222"/>
          <w:highlight w:val="white"/>
          <w:lang w:val="es-MX"/>
        </w:rPr>
        <w:br/>
      </w:r>
      <w:r w:rsidRPr="006A0372">
        <w:rPr>
          <w:rFonts w:ascii="Corbel" w:eastAsia="Corbel" w:hAnsi="Corbel" w:cs="Corbel"/>
          <w:b/>
          <w:bCs/>
          <w:color w:val="222222"/>
          <w:highlight w:val="white"/>
          <w:lang w:val="es-MX"/>
        </w:rPr>
        <w:br/>
      </w:r>
      <w:r w:rsidRPr="006A0372">
        <w:rPr>
          <w:rFonts w:ascii="Corbel" w:eastAsia="Corbel" w:hAnsi="Corbel" w:cs="Corbel"/>
          <w:b/>
          <w:bCs/>
          <w:color w:val="222222"/>
          <w:highlight w:val="white"/>
          <w:lang w:val="es-MX"/>
        </w:rPr>
        <w:br/>
      </w:r>
      <w:r w:rsidRPr="006A0372">
        <w:rPr>
          <w:rFonts w:ascii="Corbel" w:eastAsia="Corbel" w:hAnsi="Corbel" w:cs="Corbel"/>
          <w:b/>
          <w:bCs/>
          <w:color w:val="222222"/>
          <w:highlight w:val="white"/>
          <w:lang w:val="es-MX"/>
        </w:rPr>
        <w:br/>
      </w:r>
      <w:r w:rsidRPr="006A0372">
        <w:rPr>
          <w:rFonts w:ascii="Corbel" w:eastAsia="Corbel" w:hAnsi="Corbel" w:cs="Corbel"/>
          <w:b/>
          <w:bCs/>
          <w:color w:val="222222"/>
          <w:highlight w:val="white"/>
          <w:lang w:val="es-MX"/>
        </w:rPr>
        <w:br/>
      </w:r>
      <w:r w:rsidRPr="006A0372">
        <w:rPr>
          <w:rFonts w:ascii="Corbel" w:eastAsia="Corbel" w:hAnsi="Corbel" w:cs="Corbel"/>
          <w:color w:val="222222"/>
          <w:highlight w:val="white"/>
          <w:lang w:val="es-MX"/>
        </w:rPr>
        <w:t xml:space="preserve">Elaborado por </w:t>
      </w:r>
      <w:r w:rsidR="003E7C5E" w:rsidRPr="006A0372">
        <w:rPr>
          <w:rFonts w:ascii="Corbel" w:eastAsia="Corbel" w:hAnsi="Corbel" w:cs="Corbel"/>
          <w:color w:val="222222"/>
          <w:highlight w:val="white"/>
          <w:lang w:val="es-MX"/>
        </w:rPr>
        <w:t>el Centro</w:t>
      </w:r>
      <w:r w:rsidRPr="006A0372">
        <w:rPr>
          <w:rFonts w:ascii="Corbel" w:eastAsia="Corbel" w:hAnsi="Corbel" w:cs="Corbel"/>
          <w:color w:val="222222"/>
          <w:highlight w:val="white"/>
          <w:lang w:val="es-MX"/>
        </w:rPr>
        <w:t xml:space="preserve"> de Estudios en Cooperación Internacional y Gestión Pública, A.C</w:t>
      </w:r>
      <w:r w:rsidR="00316849">
        <w:rPr>
          <w:rFonts w:ascii="Corbel" w:eastAsia="Corbel" w:hAnsi="Corbel" w:cs="Corbel"/>
          <w:color w:val="222222"/>
          <w:highlight w:val="white"/>
          <w:lang w:val="es-MX"/>
        </w:rPr>
        <w:t xml:space="preserve"> (CECIG)</w:t>
      </w:r>
      <w:r w:rsidRPr="006A0372">
        <w:rPr>
          <w:rFonts w:ascii="Corbel" w:eastAsia="Corbel" w:hAnsi="Corbel" w:cs="Corbel"/>
          <w:color w:val="222222"/>
          <w:highlight w:val="white"/>
          <w:lang w:val="es-MX"/>
        </w:rPr>
        <w:t xml:space="preserve">, Las </w:t>
      </w:r>
      <w:proofErr w:type="spellStart"/>
      <w:r w:rsidRPr="006A0372">
        <w:rPr>
          <w:rFonts w:ascii="Corbel" w:eastAsia="Corbel" w:hAnsi="Corbel" w:cs="Corbel"/>
          <w:color w:val="222222"/>
          <w:highlight w:val="white"/>
          <w:lang w:val="es-MX"/>
        </w:rPr>
        <w:t>Vanders</w:t>
      </w:r>
      <w:proofErr w:type="spellEnd"/>
      <w:r w:rsidRPr="006A0372">
        <w:rPr>
          <w:rFonts w:ascii="Corbel" w:eastAsia="Corbel" w:hAnsi="Corbel" w:cs="Corbel"/>
          <w:color w:val="222222"/>
          <w:highlight w:val="white"/>
          <w:lang w:val="es-MX"/>
        </w:rPr>
        <w:t>, el Instituto para las Mujeres en la Migración, AC</w:t>
      </w:r>
      <w:r w:rsidR="00316849">
        <w:rPr>
          <w:rFonts w:ascii="Corbel" w:eastAsia="Corbel" w:hAnsi="Corbel" w:cs="Corbel"/>
          <w:color w:val="222222"/>
          <w:highlight w:val="white"/>
          <w:lang w:val="es-MX"/>
        </w:rPr>
        <w:t xml:space="preserve"> (IMUMI)</w:t>
      </w:r>
      <w:r w:rsidRPr="006A0372">
        <w:rPr>
          <w:rFonts w:ascii="Corbel" w:eastAsia="Corbel" w:hAnsi="Corbel" w:cs="Corbel"/>
          <w:color w:val="222222"/>
          <w:highlight w:val="white"/>
          <w:lang w:val="es-MX"/>
        </w:rPr>
        <w:t xml:space="preserve"> y la Red Mesoamericana Mujer, Salud y Migración </w:t>
      </w:r>
    </w:p>
    <w:p w14:paraId="7766FBFA" w14:textId="77777777" w:rsidR="0062340D" w:rsidRPr="006A0372" w:rsidRDefault="0062340D" w:rsidP="00CA2FAC">
      <w:pPr>
        <w:spacing w:line="240" w:lineRule="auto"/>
        <w:jc w:val="center"/>
        <w:rPr>
          <w:rFonts w:ascii="Corbel" w:eastAsia="Corbel" w:hAnsi="Corbel" w:cs="Corbel"/>
          <w:b/>
          <w:bCs/>
          <w:color w:val="222222"/>
          <w:highlight w:val="white"/>
        </w:rPr>
      </w:pPr>
    </w:p>
    <w:p w14:paraId="1C7EE040" w14:textId="4FEDAA99" w:rsidR="003E7C5E" w:rsidRPr="006A0372" w:rsidRDefault="003E7C5E" w:rsidP="00CA2FAC">
      <w:pPr>
        <w:spacing w:line="240" w:lineRule="auto"/>
        <w:jc w:val="center"/>
        <w:rPr>
          <w:rFonts w:ascii="Corbel" w:eastAsia="Corbel" w:hAnsi="Corbel" w:cs="Corbel"/>
          <w:b/>
          <w:bCs/>
          <w:color w:val="222222"/>
          <w:highlight w:val="white"/>
        </w:rPr>
      </w:pPr>
    </w:p>
    <w:p w14:paraId="7009E766" w14:textId="2E5DEDA0" w:rsidR="003E7C5E" w:rsidRPr="006A0372" w:rsidRDefault="00271991" w:rsidP="00CA2FAC">
      <w:pPr>
        <w:spacing w:line="240" w:lineRule="auto"/>
        <w:jc w:val="center"/>
        <w:rPr>
          <w:rFonts w:ascii="Corbel" w:eastAsia="Corbel" w:hAnsi="Corbel" w:cs="Corbel"/>
          <w:b/>
          <w:bCs/>
          <w:color w:val="222222"/>
          <w:highlight w:val="white"/>
        </w:rPr>
      </w:pPr>
      <w:r w:rsidRPr="006A0372">
        <w:rPr>
          <w:rFonts w:ascii="Corbel" w:eastAsia="Corbel" w:hAnsi="Corbel" w:cs="Corbel"/>
          <w:b/>
          <w:bCs/>
          <w:noProof/>
          <w:color w:val="222222"/>
          <w14:ligatures w14:val="standardContextual"/>
        </w:rPr>
        <w:drawing>
          <wp:anchor distT="0" distB="0" distL="114300" distR="114300" simplePos="0" relativeHeight="251658240" behindDoc="0" locked="0" layoutInCell="1" allowOverlap="1" wp14:anchorId="530A71CB" wp14:editId="705FECA0">
            <wp:simplePos x="0" y="0"/>
            <wp:positionH relativeFrom="column">
              <wp:posOffset>3556000</wp:posOffset>
            </wp:positionH>
            <wp:positionV relativeFrom="paragraph">
              <wp:posOffset>1892300</wp:posOffset>
            </wp:positionV>
            <wp:extent cx="1377950" cy="1377950"/>
            <wp:effectExtent l="0" t="0" r="0" b="0"/>
            <wp:wrapSquare wrapText="bothSides"/>
            <wp:docPr id="178599548" name="Imagen 4"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99548" name="Imagen 4" descr="Logotipo&#10;&#10;El contenido generado por IA puede ser incorrec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77950" cy="1377950"/>
                    </a:xfrm>
                    <a:prstGeom prst="rect">
                      <a:avLst/>
                    </a:prstGeom>
                  </pic:spPr>
                </pic:pic>
              </a:graphicData>
            </a:graphic>
            <wp14:sizeRelH relativeFrom="page">
              <wp14:pctWidth>0</wp14:pctWidth>
            </wp14:sizeRelH>
            <wp14:sizeRelV relativeFrom="page">
              <wp14:pctHeight>0</wp14:pctHeight>
            </wp14:sizeRelV>
          </wp:anchor>
        </w:drawing>
      </w:r>
      <w:r w:rsidR="00456110" w:rsidRPr="006A0372">
        <w:rPr>
          <w:rFonts w:ascii="Corbel" w:eastAsia="Corbel" w:hAnsi="Corbel" w:cs="Corbel"/>
          <w:b/>
          <w:bCs/>
          <w:noProof/>
          <w:color w:val="222222"/>
          <w14:ligatures w14:val="standardContextual"/>
        </w:rPr>
        <w:drawing>
          <wp:inline distT="0" distB="0" distL="0" distR="0" wp14:anchorId="43DF10C6" wp14:editId="1293C065">
            <wp:extent cx="2476500" cy="1699457"/>
            <wp:effectExtent l="0" t="0" r="0" b="0"/>
            <wp:docPr id="201014273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142736" name="Imagen 201014273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4169" cy="1704720"/>
                    </a:xfrm>
                    <a:prstGeom prst="rect">
                      <a:avLst/>
                    </a:prstGeom>
                  </pic:spPr>
                </pic:pic>
              </a:graphicData>
            </a:graphic>
          </wp:inline>
        </w:drawing>
      </w:r>
      <w:r w:rsidRPr="006A0372">
        <w:rPr>
          <w:rFonts w:ascii="Corbel" w:eastAsia="Corbel" w:hAnsi="Corbel" w:cs="Corbel"/>
          <w:b/>
          <w:bCs/>
          <w:noProof/>
          <w:color w:val="222222"/>
          <w14:ligatures w14:val="standardContextual"/>
        </w:rPr>
        <w:drawing>
          <wp:inline distT="0" distB="0" distL="0" distR="0" wp14:anchorId="71A58A5E" wp14:editId="565C17E5">
            <wp:extent cx="1708150" cy="1708150"/>
            <wp:effectExtent l="0" t="0" r="6350" b="0"/>
            <wp:docPr id="1110539168"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539168" name="Imagen 1" descr="Texto&#10;&#10;El contenido generado por IA puede ser incorrect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08150" cy="1708150"/>
                    </a:xfrm>
                    <a:prstGeom prst="rect">
                      <a:avLst/>
                    </a:prstGeom>
                  </pic:spPr>
                </pic:pic>
              </a:graphicData>
            </a:graphic>
          </wp:inline>
        </w:drawing>
      </w:r>
      <w:r w:rsidRPr="006A0372">
        <w:rPr>
          <w:rFonts w:ascii="Corbel" w:eastAsia="Corbel" w:hAnsi="Corbel" w:cs="Corbel"/>
          <w:b/>
          <w:bCs/>
          <w:noProof/>
          <w:color w:val="222222"/>
          <w14:ligatures w14:val="standardContextual"/>
        </w:rPr>
        <w:drawing>
          <wp:inline distT="0" distB="0" distL="0" distR="0" wp14:anchorId="343C6BB9" wp14:editId="65751A3E">
            <wp:extent cx="2329572" cy="1107800"/>
            <wp:effectExtent l="0" t="0" r="0" b="0"/>
            <wp:docPr id="624987234" name="Imagen 5"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987234" name="Imagen 5" descr="Imagen que contiene Logotipo&#10;&#10;El contenido generado por IA puede ser incorrecto."/>
                    <pic:cNvPicPr/>
                  </pic:nvPicPr>
                  <pic:blipFill>
                    <a:blip r:embed="rId11">
                      <a:extLst>
                        <a:ext uri="{28A0092B-C50C-407E-A947-70E740481C1C}">
                          <a14:useLocalDpi xmlns:a14="http://schemas.microsoft.com/office/drawing/2010/main" val="0"/>
                        </a:ext>
                      </a:extLst>
                    </a:blip>
                    <a:stretch>
                      <a:fillRect/>
                    </a:stretch>
                  </pic:blipFill>
                  <pic:spPr>
                    <a:xfrm>
                      <a:off x="0" y="0"/>
                      <a:ext cx="2353424" cy="1119143"/>
                    </a:xfrm>
                    <a:prstGeom prst="rect">
                      <a:avLst/>
                    </a:prstGeom>
                  </pic:spPr>
                </pic:pic>
              </a:graphicData>
            </a:graphic>
          </wp:inline>
        </w:drawing>
      </w:r>
    </w:p>
    <w:p w14:paraId="450F15F9" w14:textId="77777777" w:rsidR="003E7C5E" w:rsidRPr="006A0372" w:rsidRDefault="003E7C5E" w:rsidP="00CA2FAC">
      <w:pPr>
        <w:spacing w:line="240" w:lineRule="auto"/>
        <w:jc w:val="center"/>
        <w:rPr>
          <w:rFonts w:ascii="Corbel" w:eastAsia="Corbel" w:hAnsi="Corbel" w:cs="Corbel"/>
          <w:b/>
          <w:bCs/>
          <w:color w:val="222222"/>
          <w:highlight w:val="white"/>
        </w:rPr>
      </w:pPr>
    </w:p>
    <w:p w14:paraId="721A347B" w14:textId="77777777" w:rsidR="003E7C5E" w:rsidRPr="006A0372" w:rsidRDefault="003E7C5E" w:rsidP="00CA2FAC">
      <w:pPr>
        <w:spacing w:line="240" w:lineRule="auto"/>
        <w:jc w:val="center"/>
        <w:rPr>
          <w:rFonts w:ascii="Corbel" w:eastAsia="Corbel" w:hAnsi="Corbel" w:cs="Corbel"/>
          <w:b/>
          <w:bCs/>
          <w:color w:val="222222"/>
          <w:highlight w:val="white"/>
        </w:rPr>
      </w:pPr>
    </w:p>
    <w:p w14:paraId="5963718A" w14:textId="77777777" w:rsidR="003E7C5E" w:rsidRPr="006A0372" w:rsidRDefault="003E7C5E" w:rsidP="00CA2FAC">
      <w:pPr>
        <w:spacing w:line="240" w:lineRule="auto"/>
        <w:jc w:val="center"/>
        <w:rPr>
          <w:rFonts w:ascii="Corbel" w:eastAsia="Corbel" w:hAnsi="Corbel" w:cs="Corbel"/>
          <w:b/>
          <w:bCs/>
          <w:color w:val="222222"/>
          <w:highlight w:val="white"/>
        </w:rPr>
      </w:pPr>
    </w:p>
    <w:p w14:paraId="5C2C809F" w14:textId="77777777" w:rsidR="003E7C5E" w:rsidRPr="006A0372" w:rsidRDefault="003E7C5E" w:rsidP="00CA2FAC">
      <w:pPr>
        <w:spacing w:line="240" w:lineRule="auto"/>
        <w:jc w:val="center"/>
        <w:rPr>
          <w:rFonts w:ascii="Corbel" w:eastAsia="Corbel" w:hAnsi="Corbel" w:cs="Corbel"/>
          <w:b/>
          <w:bCs/>
          <w:color w:val="222222"/>
          <w:highlight w:val="white"/>
        </w:rPr>
      </w:pPr>
    </w:p>
    <w:p w14:paraId="27638744" w14:textId="77777777" w:rsidR="003E7C5E" w:rsidRPr="006A0372" w:rsidRDefault="003E7C5E" w:rsidP="00CA2FAC">
      <w:pPr>
        <w:spacing w:line="240" w:lineRule="auto"/>
        <w:jc w:val="center"/>
        <w:rPr>
          <w:rFonts w:ascii="Corbel" w:eastAsia="Corbel" w:hAnsi="Corbel" w:cs="Corbel"/>
          <w:b/>
          <w:bCs/>
          <w:color w:val="222222"/>
          <w:highlight w:val="white"/>
        </w:rPr>
      </w:pPr>
    </w:p>
    <w:p w14:paraId="7EDD8663" w14:textId="77777777" w:rsidR="003E7C5E" w:rsidRPr="006A0372" w:rsidRDefault="003E7C5E" w:rsidP="00CA2FAC">
      <w:pPr>
        <w:spacing w:line="240" w:lineRule="auto"/>
        <w:jc w:val="center"/>
        <w:rPr>
          <w:rFonts w:ascii="Corbel" w:eastAsia="Corbel" w:hAnsi="Corbel" w:cs="Corbel"/>
          <w:b/>
          <w:bCs/>
          <w:color w:val="222222"/>
          <w:highlight w:val="white"/>
        </w:rPr>
      </w:pPr>
    </w:p>
    <w:p w14:paraId="39CA209B" w14:textId="77777777" w:rsidR="003E7C5E" w:rsidRPr="006A0372" w:rsidRDefault="003E7C5E" w:rsidP="00CA2FAC">
      <w:pPr>
        <w:spacing w:line="240" w:lineRule="auto"/>
        <w:jc w:val="center"/>
        <w:rPr>
          <w:rFonts w:ascii="Corbel" w:eastAsia="Corbel" w:hAnsi="Corbel" w:cs="Corbel"/>
          <w:b/>
          <w:bCs/>
          <w:color w:val="222222"/>
          <w:highlight w:val="white"/>
        </w:rPr>
      </w:pPr>
    </w:p>
    <w:p w14:paraId="4CFCF604" w14:textId="77777777" w:rsidR="003E7C5E" w:rsidRPr="006A0372" w:rsidRDefault="003E7C5E" w:rsidP="00CA2FAC">
      <w:pPr>
        <w:spacing w:line="240" w:lineRule="auto"/>
        <w:jc w:val="center"/>
        <w:rPr>
          <w:rFonts w:ascii="Corbel" w:eastAsia="Corbel" w:hAnsi="Corbel" w:cs="Corbel"/>
          <w:b/>
          <w:bCs/>
          <w:color w:val="222222"/>
          <w:highlight w:val="white"/>
        </w:rPr>
      </w:pPr>
    </w:p>
    <w:p w14:paraId="2F13BBB8" w14:textId="77777777" w:rsidR="003E7C5E" w:rsidRPr="006A0372" w:rsidRDefault="003E7C5E" w:rsidP="00CA2FAC">
      <w:pPr>
        <w:spacing w:line="240" w:lineRule="auto"/>
        <w:jc w:val="center"/>
        <w:rPr>
          <w:rFonts w:ascii="Corbel" w:eastAsia="Corbel" w:hAnsi="Corbel" w:cs="Corbel"/>
          <w:b/>
          <w:bCs/>
          <w:color w:val="222222"/>
          <w:highlight w:val="white"/>
        </w:rPr>
      </w:pPr>
    </w:p>
    <w:p w14:paraId="010CEC8F" w14:textId="77777777" w:rsidR="003E7C5E" w:rsidRPr="006A0372" w:rsidRDefault="003E7C5E" w:rsidP="00CA2FAC">
      <w:pPr>
        <w:spacing w:line="240" w:lineRule="auto"/>
        <w:jc w:val="center"/>
        <w:rPr>
          <w:rFonts w:ascii="Corbel" w:eastAsia="Corbel" w:hAnsi="Corbel" w:cs="Corbel"/>
          <w:b/>
          <w:bCs/>
          <w:color w:val="222222"/>
          <w:highlight w:val="white"/>
        </w:rPr>
      </w:pPr>
    </w:p>
    <w:p w14:paraId="777FDF24" w14:textId="77777777" w:rsidR="003E7C5E" w:rsidRPr="006A0372" w:rsidRDefault="003E7C5E" w:rsidP="00CA2FAC">
      <w:pPr>
        <w:spacing w:line="240" w:lineRule="auto"/>
        <w:jc w:val="center"/>
        <w:rPr>
          <w:rFonts w:ascii="Corbel" w:eastAsia="Corbel" w:hAnsi="Corbel" w:cs="Corbel"/>
          <w:b/>
          <w:bCs/>
          <w:color w:val="222222"/>
          <w:highlight w:val="white"/>
        </w:rPr>
      </w:pPr>
    </w:p>
    <w:p w14:paraId="3E27AD09" w14:textId="1AFDF70C" w:rsidR="00FD1A5B" w:rsidRPr="006A0372" w:rsidRDefault="00FD1A5B" w:rsidP="00FD1A5B">
      <w:pPr>
        <w:spacing w:line="240" w:lineRule="auto"/>
        <w:rPr>
          <w:rFonts w:ascii="Corbel" w:eastAsia="Corbel" w:hAnsi="Corbel" w:cs="Corbel"/>
          <w:b/>
          <w:bCs/>
          <w:color w:val="222222"/>
          <w:highlight w:val="white"/>
        </w:rPr>
      </w:pPr>
    </w:p>
    <w:sdt>
      <w:sdtPr>
        <w:rPr>
          <w:rFonts w:ascii="Corbel" w:eastAsia="Arial" w:hAnsi="Corbel" w:cs="Arial"/>
          <w:color w:val="auto"/>
          <w:sz w:val="22"/>
          <w:szCs w:val="22"/>
          <w:lang w:val="es-ES"/>
        </w:rPr>
        <w:id w:val="-1689820700"/>
        <w:docPartObj>
          <w:docPartGallery w:val="Table of Contents"/>
          <w:docPartUnique/>
        </w:docPartObj>
      </w:sdtPr>
      <w:sdtEndPr>
        <w:rPr>
          <w:b/>
          <w:bCs/>
        </w:rPr>
      </w:sdtEndPr>
      <w:sdtContent>
        <w:p w14:paraId="2DF3F145" w14:textId="1DE74DE6" w:rsidR="00345E25" w:rsidRPr="006A0372" w:rsidRDefault="00345E25">
          <w:pPr>
            <w:pStyle w:val="TtuloTDC"/>
            <w:rPr>
              <w:rFonts w:ascii="Corbel" w:hAnsi="Corbel"/>
              <w:color w:val="auto"/>
            </w:rPr>
          </w:pPr>
          <w:r w:rsidRPr="006A0372">
            <w:rPr>
              <w:rFonts w:ascii="Corbel" w:hAnsi="Corbel"/>
              <w:color w:val="auto"/>
              <w:lang w:val="es-ES"/>
            </w:rPr>
            <w:t>Tabla de contenido</w:t>
          </w:r>
        </w:p>
        <w:p w14:paraId="16EC6E5B" w14:textId="13EFE753" w:rsidR="006A0372" w:rsidRPr="006A0372" w:rsidRDefault="00345E25">
          <w:pPr>
            <w:pStyle w:val="TDC2"/>
            <w:tabs>
              <w:tab w:val="left" w:pos="720"/>
              <w:tab w:val="right" w:leader="dot" w:pos="9019"/>
            </w:tabs>
            <w:rPr>
              <w:rFonts w:ascii="Corbel" w:eastAsiaTheme="minorEastAsia" w:hAnsi="Corbel" w:cstheme="minorBidi"/>
              <w:noProof/>
              <w:kern w:val="2"/>
              <w:sz w:val="24"/>
              <w:szCs w:val="24"/>
              <w:lang w:val="es-MX"/>
              <w14:ligatures w14:val="standardContextual"/>
            </w:rPr>
          </w:pPr>
          <w:r w:rsidRPr="006A0372">
            <w:rPr>
              <w:rFonts w:ascii="Corbel" w:hAnsi="Corbel"/>
            </w:rPr>
            <w:fldChar w:fldCharType="begin"/>
          </w:r>
          <w:r w:rsidRPr="006A0372">
            <w:rPr>
              <w:rFonts w:ascii="Corbel" w:hAnsi="Corbel"/>
            </w:rPr>
            <w:instrText xml:space="preserve"> TOC \o "1-3" \h \z \u </w:instrText>
          </w:r>
          <w:r w:rsidRPr="006A0372">
            <w:rPr>
              <w:rFonts w:ascii="Corbel" w:hAnsi="Corbel"/>
            </w:rPr>
            <w:fldChar w:fldCharType="separate"/>
          </w:r>
          <w:hyperlink w:anchor="_Toc198501176" w:history="1">
            <w:r w:rsidR="006A0372" w:rsidRPr="006A0372">
              <w:rPr>
                <w:rStyle w:val="Hipervnculo"/>
                <w:rFonts w:ascii="Corbel" w:hAnsi="Corbel"/>
                <w:b/>
                <w:bCs/>
                <w:noProof/>
                <w:color w:val="auto"/>
                <w:spacing w:val="5"/>
              </w:rPr>
              <w:t>I.</w:t>
            </w:r>
            <w:r w:rsidR="006A0372" w:rsidRPr="006A0372">
              <w:rPr>
                <w:rFonts w:ascii="Corbel" w:eastAsiaTheme="minorEastAsia" w:hAnsi="Corbel" w:cstheme="minorBidi"/>
                <w:noProof/>
                <w:kern w:val="2"/>
                <w:sz w:val="24"/>
                <w:szCs w:val="24"/>
                <w:lang w:val="es-MX"/>
                <w14:ligatures w14:val="standardContextual"/>
              </w:rPr>
              <w:tab/>
            </w:r>
            <w:r w:rsidR="006A0372" w:rsidRPr="006A0372">
              <w:rPr>
                <w:rStyle w:val="Hipervnculo"/>
                <w:rFonts w:ascii="Corbel" w:hAnsi="Corbel"/>
                <w:b/>
                <w:bCs/>
                <w:noProof/>
                <w:color w:val="auto"/>
                <w:spacing w:val="5"/>
              </w:rPr>
              <w:t>Introducción</w:t>
            </w:r>
            <w:r w:rsidR="006A0372" w:rsidRPr="006A0372">
              <w:rPr>
                <w:rFonts w:ascii="Corbel" w:hAnsi="Corbel"/>
                <w:noProof/>
                <w:webHidden/>
              </w:rPr>
              <w:tab/>
            </w:r>
            <w:r w:rsidR="006A0372" w:rsidRPr="006A0372">
              <w:rPr>
                <w:rFonts w:ascii="Corbel" w:hAnsi="Corbel"/>
                <w:noProof/>
                <w:webHidden/>
              </w:rPr>
              <w:fldChar w:fldCharType="begin"/>
            </w:r>
            <w:r w:rsidR="006A0372" w:rsidRPr="006A0372">
              <w:rPr>
                <w:rFonts w:ascii="Corbel" w:hAnsi="Corbel"/>
                <w:noProof/>
                <w:webHidden/>
              </w:rPr>
              <w:instrText xml:space="preserve"> PAGEREF _Toc198501176 \h </w:instrText>
            </w:r>
            <w:r w:rsidR="006A0372" w:rsidRPr="006A0372">
              <w:rPr>
                <w:rFonts w:ascii="Corbel" w:hAnsi="Corbel"/>
                <w:noProof/>
                <w:webHidden/>
              </w:rPr>
            </w:r>
            <w:r w:rsidR="006A0372" w:rsidRPr="006A0372">
              <w:rPr>
                <w:rFonts w:ascii="Corbel" w:hAnsi="Corbel"/>
                <w:noProof/>
                <w:webHidden/>
              </w:rPr>
              <w:fldChar w:fldCharType="separate"/>
            </w:r>
            <w:r w:rsidR="006A0372" w:rsidRPr="006A0372">
              <w:rPr>
                <w:rFonts w:ascii="Corbel" w:hAnsi="Corbel"/>
                <w:noProof/>
                <w:webHidden/>
              </w:rPr>
              <w:t>2</w:t>
            </w:r>
            <w:r w:rsidR="006A0372" w:rsidRPr="006A0372">
              <w:rPr>
                <w:rFonts w:ascii="Corbel" w:hAnsi="Corbel"/>
                <w:noProof/>
                <w:webHidden/>
              </w:rPr>
              <w:fldChar w:fldCharType="end"/>
            </w:r>
          </w:hyperlink>
        </w:p>
        <w:p w14:paraId="075254A1" w14:textId="3217B43C" w:rsidR="006A0372" w:rsidRPr="006A0372" w:rsidRDefault="006A0372">
          <w:pPr>
            <w:pStyle w:val="TDC2"/>
            <w:tabs>
              <w:tab w:val="left" w:pos="720"/>
              <w:tab w:val="right" w:leader="dot" w:pos="9019"/>
            </w:tabs>
            <w:rPr>
              <w:rFonts w:ascii="Corbel" w:eastAsiaTheme="minorEastAsia" w:hAnsi="Corbel" w:cstheme="minorBidi"/>
              <w:noProof/>
              <w:kern w:val="2"/>
              <w:sz w:val="24"/>
              <w:szCs w:val="24"/>
              <w:lang w:val="es-MX"/>
              <w14:ligatures w14:val="standardContextual"/>
            </w:rPr>
          </w:pPr>
          <w:hyperlink w:anchor="_Toc198501177" w:history="1">
            <w:r w:rsidRPr="006A0372">
              <w:rPr>
                <w:rStyle w:val="Hipervnculo"/>
                <w:rFonts w:ascii="Corbel" w:hAnsi="Corbel"/>
                <w:b/>
                <w:bCs/>
                <w:noProof/>
                <w:color w:val="auto"/>
                <w:spacing w:val="5"/>
              </w:rPr>
              <w:t>II.</w:t>
            </w:r>
            <w:r w:rsidRPr="006A0372">
              <w:rPr>
                <w:rFonts w:ascii="Corbel" w:eastAsiaTheme="minorEastAsia" w:hAnsi="Corbel" w:cstheme="minorBidi"/>
                <w:noProof/>
                <w:kern w:val="2"/>
                <w:sz w:val="24"/>
                <w:szCs w:val="24"/>
                <w:lang w:val="es-MX"/>
                <w14:ligatures w14:val="standardContextual"/>
              </w:rPr>
              <w:tab/>
            </w:r>
            <w:r w:rsidRPr="006A0372">
              <w:rPr>
                <w:rStyle w:val="Hipervnculo"/>
                <w:rFonts w:ascii="Corbel" w:hAnsi="Corbel"/>
                <w:b/>
                <w:bCs/>
                <w:noProof/>
                <w:color w:val="auto"/>
                <w:spacing w:val="5"/>
              </w:rPr>
              <w:t>Panorama de la movilidad humana en México</w:t>
            </w:r>
            <w:r w:rsidRPr="006A0372">
              <w:rPr>
                <w:rFonts w:ascii="Corbel" w:hAnsi="Corbel"/>
                <w:noProof/>
                <w:webHidden/>
              </w:rPr>
              <w:tab/>
            </w:r>
            <w:r w:rsidRPr="006A0372">
              <w:rPr>
                <w:rFonts w:ascii="Corbel" w:hAnsi="Corbel"/>
                <w:noProof/>
                <w:webHidden/>
              </w:rPr>
              <w:fldChar w:fldCharType="begin"/>
            </w:r>
            <w:r w:rsidRPr="006A0372">
              <w:rPr>
                <w:rFonts w:ascii="Corbel" w:hAnsi="Corbel"/>
                <w:noProof/>
                <w:webHidden/>
              </w:rPr>
              <w:instrText xml:space="preserve"> PAGEREF _Toc198501177 \h </w:instrText>
            </w:r>
            <w:r w:rsidRPr="006A0372">
              <w:rPr>
                <w:rFonts w:ascii="Corbel" w:hAnsi="Corbel"/>
                <w:noProof/>
                <w:webHidden/>
              </w:rPr>
            </w:r>
            <w:r w:rsidRPr="006A0372">
              <w:rPr>
                <w:rFonts w:ascii="Corbel" w:hAnsi="Corbel"/>
                <w:noProof/>
                <w:webHidden/>
              </w:rPr>
              <w:fldChar w:fldCharType="separate"/>
            </w:r>
            <w:r w:rsidRPr="006A0372">
              <w:rPr>
                <w:rFonts w:ascii="Corbel" w:hAnsi="Corbel"/>
                <w:noProof/>
                <w:webHidden/>
              </w:rPr>
              <w:t>2</w:t>
            </w:r>
            <w:r w:rsidRPr="006A0372">
              <w:rPr>
                <w:rFonts w:ascii="Corbel" w:hAnsi="Corbel"/>
                <w:noProof/>
                <w:webHidden/>
              </w:rPr>
              <w:fldChar w:fldCharType="end"/>
            </w:r>
          </w:hyperlink>
        </w:p>
        <w:p w14:paraId="7C856779" w14:textId="313DF6EC" w:rsidR="006A0372" w:rsidRPr="006A0372" w:rsidRDefault="006A0372">
          <w:pPr>
            <w:pStyle w:val="TDC2"/>
            <w:tabs>
              <w:tab w:val="left" w:pos="960"/>
              <w:tab w:val="right" w:leader="dot" w:pos="9019"/>
            </w:tabs>
            <w:rPr>
              <w:rFonts w:ascii="Corbel" w:eastAsiaTheme="minorEastAsia" w:hAnsi="Corbel" w:cstheme="minorBidi"/>
              <w:noProof/>
              <w:kern w:val="2"/>
              <w:sz w:val="24"/>
              <w:szCs w:val="24"/>
              <w:lang w:val="es-MX"/>
              <w14:ligatures w14:val="standardContextual"/>
            </w:rPr>
          </w:pPr>
          <w:hyperlink w:anchor="_Toc198501178" w:history="1">
            <w:r w:rsidRPr="006A0372">
              <w:rPr>
                <w:rStyle w:val="Hipervnculo"/>
                <w:rFonts w:ascii="Corbel" w:hAnsi="Corbel"/>
                <w:b/>
                <w:bCs/>
                <w:noProof/>
                <w:color w:val="auto"/>
                <w:spacing w:val="5"/>
              </w:rPr>
              <w:t>III.</w:t>
            </w:r>
            <w:r w:rsidRPr="006A0372">
              <w:rPr>
                <w:rFonts w:ascii="Corbel" w:eastAsiaTheme="minorEastAsia" w:hAnsi="Corbel" w:cstheme="minorBidi"/>
                <w:noProof/>
                <w:kern w:val="2"/>
                <w:sz w:val="24"/>
                <w:szCs w:val="24"/>
                <w:lang w:val="es-MX"/>
                <w14:ligatures w14:val="standardContextual"/>
              </w:rPr>
              <w:tab/>
            </w:r>
            <w:r w:rsidRPr="006A0372">
              <w:rPr>
                <w:rStyle w:val="Hipervnculo"/>
                <w:rFonts w:ascii="Corbel" w:hAnsi="Corbel"/>
                <w:b/>
                <w:bCs/>
                <w:noProof/>
                <w:color w:val="auto"/>
                <w:spacing w:val="5"/>
              </w:rPr>
              <w:t>Vulnerabilidades y riesgos asociados al género en contextos de movilidad humana</w:t>
            </w:r>
            <w:r w:rsidRPr="006A0372">
              <w:rPr>
                <w:rFonts w:ascii="Corbel" w:hAnsi="Corbel"/>
                <w:noProof/>
                <w:webHidden/>
              </w:rPr>
              <w:tab/>
            </w:r>
            <w:r w:rsidRPr="006A0372">
              <w:rPr>
                <w:rFonts w:ascii="Corbel" w:hAnsi="Corbel"/>
                <w:noProof/>
                <w:webHidden/>
              </w:rPr>
              <w:fldChar w:fldCharType="begin"/>
            </w:r>
            <w:r w:rsidRPr="006A0372">
              <w:rPr>
                <w:rFonts w:ascii="Corbel" w:hAnsi="Corbel"/>
                <w:noProof/>
                <w:webHidden/>
              </w:rPr>
              <w:instrText xml:space="preserve"> PAGEREF _Toc198501178 \h </w:instrText>
            </w:r>
            <w:r w:rsidRPr="006A0372">
              <w:rPr>
                <w:rFonts w:ascii="Corbel" w:hAnsi="Corbel"/>
                <w:noProof/>
                <w:webHidden/>
              </w:rPr>
            </w:r>
            <w:r w:rsidRPr="006A0372">
              <w:rPr>
                <w:rFonts w:ascii="Corbel" w:hAnsi="Corbel"/>
                <w:noProof/>
                <w:webHidden/>
              </w:rPr>
              <w:fldChar w:fldCharType="separate"/>
            </w:r>
            <w:r w:rsidRPr="006A0372">
              <w:rPr>
                <w:rFonts w:ascii="Corbel" w:hAnsi="Corbel"/>
                <w:noProof/>
                <w:webHidden/>
              </w:rPr>
              <w:t>3</w:t>
            </w:r>
            <w:r w:rsidRPr="006A0372">
              <w:rPr>
                <w:rFonts w:ascii="Corbel" w:hAnsi="Corbel"/>
                <w:noProof/>
                <w:webHidden/>
              </w:rPr>
              <w:fldChar w:fldCharType="end"/>
            </w:r>
          </w:hyperlink>
        </w:p>
        <w:p w14:paraId="24DF75A2" w14:textId="5370FFA3" w:rsidR="006A0372" w:rsidRPr="006A0372" w:rsidRDefault="006A0372">
          <w:pPr>
            <w:pStyle w:val="TDC3"/>
            <w:tabs>
              <w:tab w:val="right" w:leader="dot" w:pos="9019"/>
            </w:tabs>
            <w:rPr>
              <w:rFonts w:ascii="Corbel" w:hAnsi="Corbel"/>
              <w:noProof/>
            </w:rPr>
          </w:pPr>
          <w:hyperlink w:anchor="_Toc198501179" w:history="1">
            <w:r w:rsidRPr="006A0372">
              <w:rPr>
                <w:rStyle w:val="Hipervnculo"/>
                <w:rFonts w:ascii="Corbel" w:hAnsi="Corbel"/>
                <w:noProof/>
                <w:color w:val="auto"/>
              </w:rPr>
              <w:t>III.I. Violencias basadas en género</w:t>
            </w:r>
            <w:r w:rsidRPr="006A0372">
              <w:rPr>
                <w:rFonts w:ascii="Corbel" w:hAnsi="Corbel"/>
                <w:noProof/>
                <w:webHidden/>
              </w:rPr>
              <w:tab/>
            </w:r>
            <w:r w:rsidRPr="006A0372">
              <w:rPr>
                <w:rFonts w:ascii="Corbel" w:hAnsi="Corbel"/>
                <w:noProof/>
                <w:webHidden/>
              </w:rPr>
              <w:fldChar w:fldCharType="begin"/>
            </w:r>
            <w:r w:rsidRPr="006A0372">
              <w:rPr>
                <w:rFonts w:ascii="Corbel" w:hAnsi="Corbel"/>
                <w:noProof/>
                <w:webHidden/>
              </w:rPr>
              <w:instrText xml:space="preserve"> PAGEREF _Toc198501179 \h </w:instrText>
            </w:r>
            <w:r w:rsidRPr="006A0372">
              <w:rPr>
                <w:rFonts w:ascii="Corbel" w:hAnsi="Corbel"/>
                <w:noProof/>
                <w:webHidden/>
              </w:rPr>
            </w:r>
            <w:r w:rsidRPr="006A0372">
              <w:rPr>
                <w:rFonts w:ascii="Corbel" w:hAnsi="Corbel"/>
                <w:noProof/>
                <w:webHidden/>
              </w:rPr>
              <w:fldChar w:fldCharType="separate"/>
            </w:r>
            <w:r w:rsidRPr="006A0372">
              <w:rPr>
                <w:rFonts w:ascii="Corbel" w:hAnsi="Corbel"/>
                <w:noProof/>
                <w:webHidden/>
              </w:rPr>
              <w:t>3</w:t>
            </w:r>
            <w:r w:rsidRPr="006A0372">
              <w:rPr>
                <w:rFonts w:ascii="Corbel" w:hAnsi="Corbel"/>
                <w:noProof/>
                <w:webHidden/>
              </w:rPr>
              <w:fldChar w:fldCharType="end"/>
            </w:r>
          </w:hyperlink>
        </w:p>
        <w:p w14:paraId="2BB09840" w14:textId="320BF389" w:rsidR="006A0372" w:rsidRPr="006A0372" w:rsidRDefault="006A0372">
          <w:pPr>
            <w:pStyle w:val="TDC3"/>
            <w:tabs>
              <w:tab w:val="right" w:leader="dot" w:pos="9019"/>
            </w:tabs>
            <w:rPr>
              <w:rFonts w:ascii="Corbel" w:hAnsi="Corbel"/>
              <w:noProof/>
            </w:rPr>
          </w:pPr>
          <w:hyperlink w:anchor="_Toc198501180" w:history="1">
            <w:r w:rsidRPr="006A0372">
              <w:rPr>
                <w:rStyle w:val="Hipervnculo"/>
                <w:rFonts w:ascii="Corbel" w:hAnsi="Corbel"/>
                <w:noProof/>
                <w:color w:val="auto"/>
              </w:rPr>
              <w:t>III.II. Derecho al libre tránsito</w:t>
            </w:r>
            <w:r w:rsidRPr="006A0372">
              <w:rPr>
                <w:rFonts w:ascii="Corbel" w:hAnsi="Corbel"/>
                <w:noProof/>
                <w:webHidden/>
              </w:rPr>
              <w:tab/>
            </w:r>
            <w:r w:rsidRPr="006A0372">
              <w:rPr>
                <w:rFonts w:ascii="Corbel" w:hAnsi="Corbel"/>
                <w:noProof/>
                <w:webHidden/>
              </w:rPr>
              <w:fldChar w:fldCharType="begin"/>
            </w:r>
            <w:r w:rsidRPr="006A0372">
              <w:rPr>
                <w:rFonts w:ascii="Corbel" w:hAnsi="Corbel"/>
                <w:noProof/>
                <w:webHidden/>
              </w:rPr>
              <w:instrText xml:space="preserve"> PAGEREF _Toc198501180 \h </w:instrText>
            </w:r>
            <w:r w:rsidRPr="006A0372">
              <w:rPr>
                <w:rFonts w:ascii="Corbel" w:hAnsi="Corbel"/>
                <w:noProof/>
                <w:webHidden/>
              </w:rPr>
            </w:r>
            <w:r w:rsidRPr="006A0372">
              <w:rPr>
                <w:rFonts w:ascii="Corbel" w:hAnsi="Corbel"/>
                <w:noProof/>
                <w:webHidden/>
              </w:rPr>
              <w:fldChar w:fldCharType="separate"/>
            </w:r>
            <w:r w:rsidRPr="006A0372">
              <w:rPr>
                <w:rFonts w:ascii="Corbel" w:hAnsi="Corbel"/>
                <w:noProof/>
                <w:webHidden/>
              </w:rPr>
              <w:t>5</w:t>
            </w:r>
            <w:r w:rsidRPr="006A0372">
              <w:rPr>
                <w:rFonts w:ascii="Corbel" w:hAnsi="Corbel"/>
                <w:noProof/>
                <w:webHidden/>
              </w:rPr>
              <w:fldChar w:fldCharType="end"/>
            </w:r>
          </w:hyperlink>
        </w:p>
        <w:p w14:paraId="30CDA545" w14:textId="4EDB40A9" w:rsidR="006A0372" w:rsidRPr="006A0372" w:rsidRDefault="006A0372">
          <w:pPr>
            <w:pStyle w:val="TDC3"/>
            <w:tabs>
              <w:tab w:val="right" w:leader="dot" w:pos="9019"/>
            </w:tabs>
            <w:rPr>
              <w:rFonts w:ascii="Corbel" w:hAnsi="Corbel"/>
              <w:noProof/>
            </w:rPr>
          </w:pPr>
          <w:hyperlink w:anchor="_Toc198501181" w:history="1">
            <w:r w:rsidRPr="006A0372">
              <w:rPr>
                <w:rStyle w:val="Hipervnculo"/>
                <w:rFonts w:ascii="Corbel" w:hAnsi="Corbel"/>
                <w:noProof/>
                <w:color w:val="auto"/>
              </w:rPr>
              <w:t>III.III. Acceso a una condición jurídica regular</w:t>
            </w:r>
            <w:r w:rsidRPr="006A0372">
              <w:rPr>
                <w:rFonts w:ascii="Corbel" w:hAnsi="Corbel"/>
                <w:noProof/>
                <w:webHidden/>
              </w:rPr>
              <w:tab/>
            </w:r>
            <w:r w:rsidRPr="006A0372">
              <w:rPr>
                <w:rFonts w:ascii="Corbel" w:hAnsi="Corbel"/>
                <w:noProof/>
                <w:webHidden/>
              </w:rPr>
              <w:fldChar w:fldCharType="begin"/>
            </w:r>
            <w:r w:rsidRPr="006A0372">
              <w:rPr>
                <w:rFonts w:ascii="Corbel" w:hAnsi="Corbel"/>
                <w:noProof/>
                <w:webHidden/>
              </w:rPr>
              <w:instrText xml:space="preserve"> PAGEREF _Toc198501181 \h </w:instrText>
            </w:r>
            <w:r w:rsidRPr="006A0372">
              <w:rPr>
                <w:rFonts w:ascii="Corbel" w:hAnsi="Corbel"/>
                <w:noProof/>
                <w:webHidden/>
              </w:rPr>
            </w:r>
            <w:r w:rsidRPr="006A0372">
              <w:rPr>
                <w:rFonts w:ascii="Corbel" w:hAnsi="Corbel"/>
                <w:noProof/>
                <w:webHidden/>
              </w:rPr>
              <w:fldChar w:fldCharType="separate"/>
            </w:r>
            <w:r w:rsidRPr="006A0372">
              <w:rPr>
                <w:rFonts w:ascii="Corbel" w:hAnsi="Corbel"/>
                <w:noProof/>
                <w:webHidden/>
              </w:rPr>
              <w:t>6</w:t>
            </w:r>
            <w:r w:rsidRPr="006A0372">
              <w:rPr>
                <w:rFonts w:ascii="Corbel" w:hAnsi="Corbel"/>
                <w:noProof/>
                <w:webHidden/>
              </w:rPr>
              <w:fldChar w:fldCharType="end"/>
            </w:r>
          </w:hyperlink>
        </w:p>
        <w:p w14:paraId="5C4A0F9F" w14:textId="7F86927F" w:rsidR="006A0372" w:rsidRPr="006A0372" w:rsidRDefault="006A0372">
          <w:pPr>
            <w:pStyle w:val="TDC2"/>
            <w:tabs>
              <w:tab w:val="left" w:pos="960"/>
              <w:tab w:val="right" w:leader="dot" w:pos="9019"/>
            </w:tabs>
            <w:rPr>
              <w:rFonts w:ascii="Corbel" w:eastAsiaTheme="minorEastAsia" w:hAnsi="Corbel" w:cstheme="minorBidi"/>
              <w:noProof/>
              <w:kern w:val="2"/>
              <w:sz w:val="24"/>
              <w:szCs w:val="24"/>
              <w:lang w:val="es-MX"/>
              <w14:ligatures w14:val="standardContextual"/>
            </w:rPr>
          </w:pPr>
          <w:hyperlink w:anchor="_Toc198501182" w:history="1">
            <w:r w:rsidRPr="006A0372">
              <w:rPr>
                <w:rStyle w:val="Hipervnculo"/>
                <w:rFonts w:ascii="Corbel" w:hAnsi="Corbel"/>
                <w:b/>
                <w:bCs/>
                <w:noProof/>
                <w:color w:val="auto"/>
                <w:spacing w:val="5"/>
              </w:rPr>
              <w:t>IV.</w:t>
            </w:r>
            <w:r w:rsidRPr="006A0372">
              <w:rPr>
                <w:rFonts w:ascii="Corbel" w:eastAsiaTheme="minorEastAsia" w:hAnsi="Corbel" w:cstheme="minorBidi"/>
                <w:noProof/>
                <w:kern w:val="2"/>
                <w:sz w:val="24"/>
                <w:szCs w:val="24"/>
                <w:lang w:val="es-MX"/>
                <w14:ligatures w14:val="standardContextual"/>
              </w:rPr>
              <w:tab/>
            </w:r>
            <w:r w:rsidRPr="006A0372">
              <w:rPr>
                <w:rStyle w:val="Hipervnculo"/>
                <w:rFonts w:ascii="Corbel" w:hAnsi="Corbel"/>
                <w:b/>
                <w:bCs/>
                <w:noProof/>
                <w:color w:val="auto"/>
                <w:spacing w:val="5"/>
              </w:rPr>
              <w:t>Derechos sexuales y reproductivos en movilidad humana</w:t>
            </w:r>
            <w:r w:rsidRPr="006A0372">
              <w:rPr>
                <w:rFonts w:ascii="Corbel" w:hAnsi="Corbel"/>
                <w:noProof/>
                <w:webHidden/>
              </w:rPr>
              <w:tab/>
            </w:r>
            <w:r w:rsidRPr="006A0372">
              <w:rPr>
                <w:rFonts w:ascii="Corbel" w:hAnsi="Corbel"/>
                <w:noProof/>
                <w:webHidden/>
              </w:rPr>
              <w:fldChar w:fldCharType="begin"/>
            </w:r>
            <w:r w:rsidRPr="006A0372">
              <w:rPr>
                <w:rFonts w:ascii="Corbel" w:hAnsi="Corbel"/>
                <w:noProof/>
                <w:webHidden/>
              </w:rPr>
              <w:instrText xml:space="preserve"> PAGEREF _Toc198501182 \h </w:instrText>
            </w:r>
            <w:r w:rsidRPr="006A0372">
              <w:rPr>
                <w:rFonts w:ascii="Corbel" w:hAnsi="Corbel"/>
                <w:noProof/>
                <w:webHidden/>
              </w:rPr>
            </w:r>
            <w:r w:rsidRPr="006A0372">
              <w:rPr>
                <w:rFonts w:ascii="Corbel" w:hAnsi="Corbel"/>
                <w:noProof/>
                <w:webHidden/>
              </w:rPr>
              <w:fldChar w:fldCharType="separate"/>
            </w:r>
            <w:r w:rsidRPr="006A0372">
              <w:rPr>
                <w:rFonts w:ascii="Corbel" w:hAnsi="Corbel"/>
                <w:noProof/>
                <w:webHidden/>
              </w:rPr>
              <w:t>7</w:t>
            </w:r>
            <w:r w:rsidRPr="006A0372">
              <w:rPr>
                <w:rFonts w:ascii="Corbel" w:hAnsi="Corbel"/>
                <w:noProof/>
                <w:webHidden/>
              </w:rPr>
              <w:fldChar w:fldCharType="end"/>
            </w:r>
          </w:hyperlink>
        </w:p>
        <w:p w14:paraId="20463283" w14:textId="3380BC96" w:rsidR="006A0372" w:rsidRPr="006A0372" w:rsidRDefault="006A0372">
          <w:pPr>
            <w:pStyle w:val="TDC3"/>
            <w:tabs>
              <w:tab w:val="right" w:leader="dot" w:pos="9019"/>
            </w:tabs>
            <w:rPr>
              <w:rFonts w:ascii="Corbel" w:hAnsi="Corbel"/>
              <w:noProof/>
            </w:rPr>
          </w:pPr>
          <w:hyperlink w:anchor="_Toc198501183" w:history="1">
            <w:r w:rsidRPr="006A0372">
              <w:rPr>
                <w:rStyle w:val="Hipervnculo"/>
                <w:rFonts w:ascii="Corbel" w:hAnsi="Corbel"/>
                <w:noProof/>
                <w:color w:val="auto"/>
              </w:rPr>
              <w:t>IV.I.  Mujeres jornaleras agrícolas migrantes y las barreras para acceder a sus derechos e información sobre salud sexual y reproductiva</w:t>
            </w:r>
            <w:r w:rsidRPr="006A0372">
              <w:rPr>
                <w:rFonts w:ascii="Corbel" w:hAnsi="Corbel"/>
                <w:noProof/>
                <w:webHidden/>
              </w:rPr>
              <w:tab/>
            </w:r>
            <w:r w:rsidRPr="006A0372">
              <w:rPr>
                <w:rFonts w:ascii="Corbel" w:hAnsi="Corbel"/>
                <w:noProof/>
                <w:webHidden/>
              </w:rPr>
              <w:fldChar w:fldCharType="begin"/>
            </w:r>
            <w:r w:rsidRPr="006A0372">
              <w:rPr>
                <w:rFonts w:ascii="Corbel" w:hAnsi="Corbel"/>
                <w:noProof/>
                <w:webHidden/>
              </w:rPr>
              <w:instrText xml:space="preserve"> PAGEREF _Toc198501183 \h </w:instrText>
            </w:r>
            <w:r w:rsidRPr="006A0372">
              <w:rPr>
                <w:rFonts w:ascii="Corbel" w:hAnsi="Corbel"/>
                <w:noProof/>
                <w:webHidden/>
              </w:rPr>
            </w:r>
            <w:r w:rsidRPr="006A0372">
              <w:rPr>
                <w:rFonts w:ascii="Corbel" w:hAnsi="Corbel"/>
                <w:noProof/>
                <w:webHidden/>
              </w:rPr>
              <w:fldChar w:fldCharType="separate"/>
            </w:r>
            <w:r w:rsidRPr="006A0372">
              <w:rPr>
                <w:rFonts w:ascii="Corbel" w:hAnsi="Corbel"/>
                <w:noProof/>
                <w:webHidden/>
              </w:rPr>
              <w:t>9</w:t>
            </w:r>
            <w:r w:rsidRPr="006A0372">
              <w:rPr>
                <w:rFonts w:ascii="Corbel" w:hAnsi="Corbel"/>
                <w:noProof/>
                <w:webHidden/>
              </w:rPr>
              <w:fldChar w:fldCharType="end"/>
            </w:r>
          </w:hyperlink>
        </w:p>
        <w:p w14:paraId="400C86B5" w14:textId="11A3BC64" w:rsidR="006A0372" w:rsidRPr="006A0372" w:rsidRDefault="006A0372">
          <w:pPr>
            <w:pStyle w:val="TDC3"/>
            <w:tabs>
              <w:tab w:val="right" w:leader="dot" w:pos="9019"/>
            </w:tabs>
            <w:rPr>
              <w:rFonts w:ascii="Corbel" w:hAnsi="Corbel"/>
              <w:noProof/>
            </w:rPr>
          </w:pPr>
          <w:hyperlink w:anchor="_Toc198501184" w:history="1">
            <w:r w:rsidRPr="006A0372">
              <w:rPr>
                <w:rStyle w:val="Hipervnculo"/>
                <w:rFonts w:ascii="Corbel" w:hAnsi="Corbel"/>
                <w:noProof/>
                <w:color w:val="auto"/>
              </w:rPr>
              <w:t>IV.II. Acceso a Servicios de Salud Sexual y Reproductiva</w:t>
            </w:r>
            <w:r w:rsidRPr="006A0372">
              <w:rPr>
                <w:rFonts w:ascii="Corbel" w:hAnsi="Corbel"/>
                <w:noProof/>
                <w:webHidden/>
              </w:rPr>
              <w:tab/>
            </w:r>
            <w:r w:rsidRPr="006A0372">
              <w:rPr>
                <w:rFonts w:ascii="Corbel" w:hAnsi="Corbel"/>
                <w:noProof/>
                <w:webHidden/>
              </w:rPr>
              <w:fldChar w:fldCharType="begin"/>
            </w:r>
            <w:r w:rsidRPr="006A0372">
              <w:rPr>
                <w:rFonts w:ascii="Corbel" w:hAnsi="Corbel"/>
                <w:noProof/>
                <w:webHidden/>
              </w:rPr>
              <w:instrText xml:space="preserve"> PAGEREF _Toc198501184 \h </w:instrText>
            </w:r>
            <w:r w:rsidRPr="006A0372">
              <w:rPr>
                <w:rFonts w:ascii="Corbel" w:hAnsi="Corbel"/>
                <w:noProof/>
                <w:webHidden/>
              </w:rPr>
            </w:r>
            <w:r w:rsidRPr="006A0372">
              <w:rPr>
                <w:rFonts w:ascii="Corbel" w:hAnsi="Corbel"/>
                <w:noProof/>
                <w:webHidden/>
              </w:rPr>
              <w:fldChar w:fldCharType="separate"/>
            </w:r>
            <w:r w:rsidRPr="006A0372">
              <w:rPr>
                <w:rFonts w:ascii="Corbel" w:hAnsi="Corbel"/>
                <w:noProof/>
                <w:webHidden/>
              </w:rPr>
              <w:t>10</w:t>
            </w:r>
            <w:r w:rsidRPr="006A0372">
              <w:rPr>
                <w:rFonts w:ascii="Corbel" w:hAnsi="Corbel"/>
                <w:noProof/>
                <w:webHidden/>
              </w:rPr>
              <w:fldChar w:fldCharType="end"/>
            </w:r>
          </w:hyperlink>
        </w:p>
        <w:p w14:paraId="3B98B3A8" w14:textId="66F14E3F" w:rsidR="006A0372" w:rsidRPr="006A0372" w:rsidRDefault="006A0372">
          <w:pPr>
            <w:pStyle w:val="TDC3"/>
            <w:tabs>
              <w:tab w:val="right" w:leader="dot" w:pos="9019"/>
            </w:tabs>
            <w:rPr>
              <w:rFonts w:ascii="Corbel" w:hAnsi="Corbel"/>
              <w:noProof/>
            </w:rPr>
          </w:pPr>
          <w:hyperlink w:anchor="_Toc198501185" w:history="1">
            <w:r w:rsidRPr="006A0372">
              <w:rPr>
                <w:rStyle w:val="Hipervnculo"/>
                <w:rFonts w:ascii="Corbel" w:hAnsi="Corbel"/>
                <w:noProof/>
                <w:color w:val="auto"/>
              </w:rPr>
              <w:t>IV.III. Violencia obstétrica y las barreras para decidir sobre sus cuerpos y sus planes de vida de las mujeres trabajadoras agrícolas migrantes</w:t>
            </w:r>
            <w:r w:rsidRPr="006A0372">
              <w:rPr>
                <w:rFonts w:ascii="Corbel" w:hAnsi="Corbel"/>
                <w:noProof/>
                <w:webHidden/>
              </w:rPr>
              <w:tab/>
            </w:r>
            <w:r w:rsidRPr="006A0372">
              <w:rPr>
                <w:rFonts w:ascii="Corbel" w:hAnsi="Corbel"/>
                <w:noProof/>
                <w:webHidden/>
              </w:rPr>
              <w:fldChar w:fldCharType="begin"/>
            </w:r>
            <w:r w:rsidRPr="006A0372">
              <w:rPr>
                <w:rFonts w:ascii="Corbel" w:hAnsi="Corbel"/>
                <w:noProof/>
                <w:webHidden/>
              </w:rPr>
              <w:instrText xml:space="preserve"> PAGEREF _Toc198501185 \h </w:instrText>
            </w:r>
            <w:r w:rsidRPr="006A0372">
              <w:rPr>
                <w:rFonts w:ascii="Corbel" w:hAnsi="Corbel"/>
                <w:noProof/>
                <w:webHidden/>
              </w:rPr>
            </w:r>
            <w:r w:rsidRPr="006A0372">
              <w:rPr>
                <w:rFonts w:ascii="Corbel" w:hAnsi="Corbel"/>
                <w:noProof/>
                <w:webHidden/>
              </w:rPr>
              <w:fldChar w:fldCharType="separate"/>
            </w:r>
            <w:r w:rsidRPr="006A0372">
              <w:rPr>
                <w:rFonts w:ascii="Corbel" w:hAnsi="Corbel"/>
                <w:noProof/>
                <w:webHidden/>
              </w:rPr>
              <w:t>11</w:t>
            </w:r>
            <w:r w:rsidRPr="006A0372">
              <w:rPr>
                <w:rFonts w:ascii="Corbel" w:hAnsi="Corbel"/>
                <w:noProof/>
                <w:webHidden/>
              </w:rPr>
              <w:fldChar w:fldCharType="end"/>
            </w:r>
          </w:hyperlink>
        </w:p>
        <w:p w14:paraId="6C310F11" w14:textId="2186FD03" w:rsidR="006A0372" w:rsidRPr="006A0372" w:rsidRDefault="006A0372">
          <w:pPr>
            <w:pStyle w:val="TDC2"/>
            <w:tabs>
              <w:tab w:val="left" w:pos="720"/>
              <w:tab w:val="right" w:leader="dot" w:pos="9019"/>
            </w:tabs>
            <w:rPr>
              <w:rFonts w:ascii="Corbel" w:eastAsiaTheme="minorEastAsia" w:hAnsi="Corbel" w:cstheme="minorBidi"/>
              <w:noProof/>
              <w:kern w:val="2"/>
              <w:sz w:val="24"/>
              <w:szCs w:val="24"/>
              <w:lang w:val="es-MX"/>
              <w14:ligatures w14:val="standardContextual"/>
            </w:rPr>
          </w:pPr>
          <w:hyperlink w:anchor="_Toc198501186" w:history="1">
            <w:r w:rsidRPr="006A0372">
              <w:rPr>
                <w:rStyle w:val="Hipervnculo"/>
                <w:rFonts w:ascii="Corbel" w:hAnsi="Corbel"/>
                <w:b/>
                <w:bCs/>
                <w:noProof/>
                <w:color w:val="auto"/>
                <w:spacing w:val="5"/>
              </w:rPr>
              <w:t>V.</w:t>
            </w:r>
            <w:r w:rsidRPr="006A0372">
              <w:rPr>
                <w:rFonts w:ascii="Corbel" w:eastAsiaTheme="minorEastAsia" w:hAnsi="Corbel" w:cstheme="minorBidi"/>
                <w:noProof/>
                <w:kern w:val="2"/>
                <w:sz w:val="24"/>
                <w:szCs w:val="24"/>
                <w:lang w:val="es-MX"/>
                <w14:ligatures w14:val="standardContextual"/>
              </w:rPr>
              <w:tab/>
            </w:r>
            <w:r w:rsidRPr="006A0372">
              <w:rPr>
                <w:rStyle w:val="Hipervnculo"/>
                <w:rFonts w:ascii="Corbel" w:hAnsi="Corbel"/>
                <w:b/>
                <w:bCs/>
                <w:noProof/>
                <w:color w:val="auto"/>
                <w:spacing w:val="5"/>
              </w:rPr>
              <w:t>Menstruación digna para mujeres y personas menstruantes en contextos de movilidad humana</w:t>
            </w:r>
            <w:r w:rsidRPr="006A0372">
              <w:rPr>
                <w:rFonts w:ascii="Corbel" w:hAnsi="Corbel"/>
                <w:noProof/>
                <w:webHidden/>
              </w:rPr>
              <w:tab/>
            </w:r>
            <w:r w:rsidRPr="006A0372">
              <w:rPr>
                <w:rFonts w:ascii="Corbel" w:hAnsi="Corbel"/>
                <w:noProof/>
                <w:webHidden/>
              </w:rPr>
              <w:fldChar w:fldCharType="begin"/>
            </w:r>
            <w:r w:rsidRPr="006A0372">
              <w:rPr>
                <w:rFonts w:ascii="Corbel" w:hAnsi="Corbel"/>
                <w:noProof/>
                <w:webHidden/>
              </w:rPr>
              <w:instrText xml:space="preserve"> PAGEREF _Toc198501186 \h </w:instrText>
            </w:r>
            <w:r w:rsidRPr="006A0372">
              <w:rPr>
                <w:rFonts w:ascii="Corbel" w:hAnsi="Corbel"/>
                <w:noProof/>
                <w:webHidden/>
              </w:rPr>
            </w:r>
            <w:r w:rsidRPr="006A0372">
              <w:rPr>
                <w:rFonts w:ascii="Corbel" w:hAnsi="Corbel"/>
                <w:noProof/>
                <w:webHidden/>
              </w:rPr>
              <w:fldChar w:fldCharType="separate"/>
            </w:r>
            <w:r w:rsidRPr="006A0372">
              <w:rPr>
                <w:rFonts w:ascii="Corbel" w:hAnsi="Corbel"/>
                <w:noProof/>
                <w:webHidden/>
              </w:rPr>
              <w:t>12</w:t>
            </w:r>
            <w:r w:rsidRPr="006A0372">
              <w:rPr>
                <w:rFonts w:ascii="Corbel" w:hAnsi="Corbel"/>
                <w:noProof/>
                <w:webHidden/>
              </w:rPr>
              <w:fldChar w:fldCharType="end"/>
            </w:r>
          </w:hyperlink>
        </w:p>
        <w:p w14:paraId="311BF39E" w14:textId="40B805DB" w:rsidR="006A0372" w:rsidRPr="006A0372" w:rsidRDefault="006A0372">
          <w:pPr>
            <w:pStyle w:val="TDC3"/>
            <w:tabs>
              <w:tab w:val="right" w:leader="dot" w:pos="9019"/>
            </w:tabs>
            <w:rPr>
              <w:rFonts w:ascii="Corbel" w:hAnsi="Corbel"/>
              <w:noProof/>
            </w:rPr>
          </w:pPr>
          <w:hyperlink w:anchor="_Toc198501187" w:history="1">
            <w:r w:rsidRPr="006A0372">
              <w:rPr>
                <w:rStyle w:val="Hipervnculo"/>
                <w:rFonts w:ascii="Corbel" w:hAnsi="Corbel"/>
                <w:noProof/>
                <w:color w:val="auto"/>
              </w:rPr>
              <w:t>V.I. Mujeres trabajadoras agrícolas migrantes y la gestión de su menstruación</w:t>
            </w:r>
            <w:r w:rsidRPr="006A0372">
              <w:rPr>
                <w:rFonts w:ascii="Corbel" w:hAnsi="Corbel"/>
                <w:noProof/>
                <w:webHidden/>
              </w:rPr>
              <w:tab/>
            </w:r>
            <w:r w:rsidRPr="006A0372">
              <w:rPr>
                <w:rFonts w:ascii="Corbel" w:hAnsi="Corbel"/>
                <w:noProof/>
                <w:webHidden/>
              </w:rPr>
              <w:fldChar w:fldCharType="begin"/>
            </w:r>
            <w:r w:rsidRPr="006A0372">
              <w:rPr>
                <w:rFonts w:ascii="Corbel" w:hAnsi="Corbel"/>
                <w:noProof/>
                <w:webHidden/>
              </w:rPr>
              <w:instrText xml:space="preserve"> PAGEREF _Toc198501187 \h </w:instrText>
            </w:r>
            <w:r w:rsidRPr="006A0372">
              <w:rPr>
                <w:rFonts w:ascii="Corbel" w:hAnsi="Corbel"/>
                <w:noProof/>
                <w:webHidden/>
              </w:rPr>
            </w:r>
            <w:r w:rsidRPr="006A0372">
              <w:rPr>
                <w:rFonts w:ascii="Corbel" w:hAnsi="Corbel"/>
                <w:noProof/>
                <w:webHidden/>
              </w:rPr>
              <w:fldChar w:fldCharType="separate"/>
            </w:r>
            <w:r w:rsidRPr="006A0372">
              <w:rPr>
                <w:rFonts w:ascii="Corbel" w:hAnsi="Corbel"/>
                <w:noProof/>
                <w:webHidden/>
              </w:rPr>
              <w:t>13</w:t>
            </w:r>
            <w:r w:rsidRPr="006A0372">
              <w:rPr>
                <w:rFonts w:ascii="Corbel" w:hAnsi="Corbel"/>
                <w:noProof/>
                <w:webHidden/>
              </w:rPr>
              <w:fldChar w:fldCharType="end"/>
            </w:r>
          </w:hyperlink>
        </w:p>
        <w:p w14:paraId="7841E123" w14:textId="1597B5BC" w:rsidR="00345E25" w:rsidRPr="006A0372" w:rsidRDefault="00345E25" w:rsidP="006A0372">
          <w:pPr>
            <w:rPr>
              <w:rFonts w:ascii="Corbel" w:hAnsi="Corbel"/>
              <w:b/>
              <w:bCs/>
              <w:lang w:val="es-ES"/>
            </w:rPr>
          </w:pPr>
          <w:r w:rsidRPr="006A0372">
            <w:rPr>
              <w:rFonts w:ascii="Corbel" w:hAnsi="Corbel"/>
              <w:b/>
              <w:bCs/>
              <w:lang w:val="es-ES"/>
            </w:rPr>
            <w:fldChar w:fldCharType="end"/>
          </w:r>
        </w:p>
      </w:sdtContent>
    </w:sdt>
    <w:p w14:paraId="04E4E301" w14:textId="77777777" w:rsidR="00271991" w:rsidRDefault="00271991" w:rsidP="00B569D0">
      <w:pPr>
        <w:spacing w:line="240" w:lineRule="auto"/>
        <w:ind w:left="708" w:hanging="708"/>
        <w:jc w:val="center"/>
        <w:rPr>
          <w:rFonts w:ascii="Corbel" w:eastAsia="Corbel" w:hAnsi="Corbel" w:cs="Corbel"/>
          <w:b/>
          <w:bCs/>
          <w:color w:val="222222"/>
          <w:highlight w:val="white"/>
        </w:rPr>
      </w:pPr>
    </w:p>
    <w:p w14:paraId="5E4DA77B"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15A4687F"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6716E46D"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11426C08"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3EE186AB"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3C5666D9"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29F78FE3"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788F11C5"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6AFDB08E"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31B31BC3"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2B847F70"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22F774B9"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551204EA"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3725D0AB"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2DB2F8C2"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09636B6B"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5F522D8F"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54866548"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49EE919C"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12B8BFBA"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13248E5A" w14:textId="77777777" w:rsidR="006A0372" w:rsidRDefault="006A0372" w:rsidP="00B569D0">
      <w:pPr>
        <w:spacing w:line="240" w:lineRule="auto"/>
        <w:ind w:left="708" w:hanging="708"/>
        <w:jc w:val="center"/>
        <w:rPr>
          <w:rFonts w:ascii="Corbel" w:eastAsia="Corbel" w:hAnsi="Corbel" w:cs="Corbel"/>
          <w:b/>
          <w:bCs/>
          <w:color w:val="222222"/>
          <w:highlight w:val="white"/>
        </w:rPr>
      </w:pPr>
    </w:p>
    <w:p w14:paraId="0AA9933E" w14:textId="77777777" w:rsidR="006A0372" w:rsidRPr="006A0372" w:rsidRDefault="006A0372" w:rsidP="00B569D0">
      <w:pPr>
        <w:spacing w:line="240" w:lineRule="auto"/>
        <w:ind w:left="708" w:hanging="708"/>
        <w:jc w:val="center"/>
        <w:rPr>
          <w:rFonts w:ascii="Corbel" w:eastAsia="Corbel" w:hAnsi="Corbel" w:cs="Corbel"/>
          <w:b/>
          <w:bCs/>
          <w:color w:val="222222"/>
          <w:highlight w:val="white"/>
        </w:rPr>
      </w:pPr>
    </w:p>
    <w:p w14:paraId="11F230F6" w14:textId="1ADF2780" w:rsidR="00A02B37" w:rsidRPr="006A0372" w:rsidRDefault="00A02B37" w:rsidP="006A0372">
      <w:pPr>
        <w:pStyle w:val="Ttulo2"/>
        <w:numPr>
          <w:ilvl w:val="0"/>
          <w:numId w:val="18"/>
        </w:numPr>
        <w:rPr>
          <w:rStyle w:val="Ttulodellibro"/>
          <w:rFonts w:ascii="Corbel" w:hAnsi="Corbel"/>
          <w:color w:val="auto"/>
          <w:highlight w:val="white"/>
        </w:rPr>
      </w:pPr>
      <w:bookmarkStart w:id="0" w:name="_Toc198501176"/>
      <w:r w:rsidRPr="006A0372">
        <w:rPr>
          <w:rStyle w:val="Ttulodellibro"/>
          <w:rFonts w:ascii="Corbel" w:hAnsi="Corbel"/>
          <w:color w:val="auto"/>
          <w:highlight w:val="white"/>
        </w:rPr>
        <w:lastRenderedPageBreak/>
        <w:t>Introducción</w:t>
      </w:r>
      <w:bookmarkEnd w:id="0"/>
    </w:p>
    <w:p w14:paraId="1A3E1D9F" w14:textId="77777777" w:rsidR="00930711" w:rsidRPr="006A0372" w:rsidRDefault="00930711" w:rsidP="00CA2FAC">
      <w:pPr>
        <w:spacing w:line="240" w:lineRule="auto"/>
        <w:jc w:val="center"/>
        <w:rPr>
          <w:rFonts w:ascii="Corbel" w:eastAsia="Corbel" w:hAnsi="Corbel" w:cs="Corbel"/>
          <w:b/>
          <w:bCs/>
          <w:color w:val="222222"/>
          <w:highlight w:val="white"/>
        </w:rPr>
      </w:pPr>
    </w:p>
    <w:p w14:paraId="134D0E09" w14:textId="3755B0CC" w:rsidR="00A02B37" w:rsidRPr="006A0372" w:rsidRDefault="00A02B37" w:rsidP="00CA2FAC">
      <w:pPr>
        <w:spacing w:line="240" w:lineRule="auto"/>
        <w:jc w:val="both"/>
        <w:rPr>
          <w:rFonts w:ascii="Corbel" w:eastAsia="Corbel" w:hAnsi="Corbel" w:cs="Corbel"/>
          <w:color w:val="222222"/>
          <w:highlight w:val="white"/>
        </w:rPr>
      </w:pPr>
      <w:r w:rsidRPr="006A0372">
        <w:rPr>
          <w:rFonts w:ascii="Corbel" w:eastAsia="Corbel" w:hAnsi="Corbel" w:cs="Corbel"/>
          <w:color w:val="222222"/>
          <w:highlight w:val="white"/>
        </w:rPr>
        <w:t>En el marco de la décima revisión de México ante el Comité para la Eliminación de la Discriminación contra la Mujer (CEDAW), las organizaciones de la sociedad civil firmantes presentan este informe alternativo como un análisis independiente sobre la situación de los derechos humanos de mujeres, niñas y adolescentes en contextos de movilidad humana. Este documento da continuidad y actualiza el contenido del presentado previamente durante la etapa de lista de cuestiones, con el fin de complementar la información oficial, señala omisiones del Estado y propone recomendaciones con enfoque de género, derechos humanos e interseccionalidad.</w:t>
      </w:r>
    </w:p>
    <w:p w14:paraId="75D62381" w14:textId="77777777" w:rsidR="00A02B37" w:rsidRPr="006A0372" w:rsidRDefault="00A02B37" w:rsidP="00CA2FAC">
      <w:pPr>
        <w:spacing w:line="240" w:lineRule="auto"/>
        <w:jc w:val="both"/>
        <w:rPr>
          <w:rFonts w:ascii="Corbel" w:eastAsia="Corbel" w:hAnsi="Corbel" w:cs="Corbel"/>
          <w:color w:val="222222"/>
          <w:highlight w:val="white"/>
        </w:rPr>
      </w:pPr>
    </w:p>
    <w:p w14:paraId="5E505A82" w14:textId="2B0F5A38" w:rsidR="00DF4F87" w:rsidRPr="006A0372" w:rsidRDefault="00AA017B" w:rsidP="006A0372">
      <w:pPr>
        <w:pStyle w:val="Ttulo2"/>
        <w:numPr>
          <w:ilvl w:val="0"/>
          <w:numId w:val="18"/>
        </w:numPr>
        <w:rPr>
          <w:rStyle w:val="Ttulodellibro"/>
          <w:rFonts w:ascii="Corbel" w:hAnsi="Corbel"/>
          <w:color w:val="auto"/>
          <w:highlight w:val="white"/>
        </w:rPr>
      </w:pPr>
      <w:bookmarkStart w:id="1" w:name="_Toc198501177"/>
      <w:r w:rsidRPr="006A0372">
        <w:rPr>
          <w:rStyle w:val="Ttulodellibro"/>
          <w:rFonts w:ascii="Corbel" w:hAnsi="Corbel"/>
          <w:color w:val="auto"/>
          <w:highlight w:val="white"/>
        </w:rPr>
        <w:t>Panorama de la movilidad humana en México</w:t>
      </w:r>
      <w:bookmarkEnd w:id="1"/>
    </w:p>
    <w:p w14:paraId="2A2455DD" w14:textId="77777777" w:rsidR="00AA017B" w:rsidRPr="006A0372" w:rsidRDefault="00AA017B" w:rsidP="00CA2FAC">
      <w:pPr>
        <w:spacing w:line="240" w:lineRule="auto"/>
        <w:jc w:val="both"/>
        <w:rPr>
          <w:rFonts w:ascii="Corbel" w:eastAsia="Corbel" w:hAnsi="Corbel" w:cs="Corbel"/>
          <w:color w:val="222222"/>
          <w:highlight w:val="white"/>
        </w:rPr>
      </w:pPr>
    </w:p>
    <w:p w14:paraId="6047F8AB" w14:textId="40175090" w:rsidR="009E0CA3" w:rsidRPr="006A0372" w:rsidRDefault="009E0CA3" w:rsidP="009E0CA3">
      <w:pPr>
        <w:spacing w:line="240" w:lineRule="auto"/>
        <w:jc w:val="both"/>
        <w:rPr>
          <w:rFonts w:ascii="Corbel" w:eastAsia="Corbel" w:hAnsi="Corbel" w:cs="Corbel"/>
          <w:color w:val="222222"/>
        </w:rPr>
      </w:pPr>
      <w:r w:rsidRPr="006A0372">
        <w:rPr>
          <w:rFonts w:ascii="Corbel" w:eastAsia="Corbel" w:hAnsi="Corbel" w:cs="Corbel"/>
          <w:color w:val="222222"/>
        </w:rPr>
        <w:t xml:space="preserve">La migración y el desplazamiento forzado hacia y dentro de México, impulsados por contextos de violencia, han afectado a cientos de miles de personas, impactando de forma desproporcionada a mujeres, niñas y adolescentes, especialmente aquellas con identidades diversas, como mujeres con discapacidad, indígenas, afrodescendientes o de la diversidad sexo-genérica. Estas poblaciones enfrentan una doble vulnerabilidad: por un lado, la violencia que las obliga a huir de sus lugares de origen, incluida la violencia basada en género, y por otro, las condiciones de violencia estructural y discriminación en los lugares de destino, que restringen gravemente su acceso a derechos. Entre 2017 y 2018, las mujeres representaban el 21% de las </w:t>
      </w:r>
      <w:hyperlink r:id="rId12" w:history="1">
        <w:r w:rsidRPr="00D868B8">
          <w:rPr>
            <w:rStyle w:val="Hipervnculo"/>
            <w:rFonts w:ascii="Corbel" w:eastAsia="Corbel" w:hAnsi="Corbel" w:cs="Corbel"/>
          </w:rPr>
          <w:t>personas en situación migratoria irregular</w:t>
        </w:r>
      </w:hyperlink>
      <w:r w:rsidRPr="006A0372">
        <w:rPr>
          <w:rFonts w:ascii="Corbel" w:eastAsia="Corbel" w:hAnsi="Corbel" w:cs="Corbel"/>
          <w:color w:val="222222"/>
        </w:rPr>
        <w:t>; esta cifra aumentó al 31% entre 2019 y 2024.</w:t>
      </w:r>
      <w:r w:rsidR="0062340D" w:rsidRPr="006A0372">
        <w:rPr>
          <w:rStyle w:val="Refdenotaalpie"/>
          <w:rFonts w:ascii="Corbel" w:eastAsia="Corbel" w:hAnsi="Corbel" w:cs="Corbel"/>
          <w:color w:val="222222"/>
        </w:rPr>
        <w:footnoteReference w:id="1"/>
      </w:r>
      <w:r w:rsidRPr="006A0372">
        <w:rPr>
          <w:rFonts w:ascii="Corbel" w:eastAsia="Corbel" w:hAnsi="Corbel" w:cs="Corbel"/>
          <w:color w:val="222222"/>
        </w:rPr>
        <w:t xml:space="preserve"> En 2023, más de 24 mil mujeres migrantes fueron atendidas en albergues de </w:t>
      </w:r>
      <w:hyperlink r:id="rId13" w:history="1">
        <w:r w:rsidRPr="00D868B8">
          <w:rPr>
            <w:rStyle w:val="Hipervnculo"/>
            <w:rFonts w:ascii="Corbel" w:eastAsia="Corbel" w:hAnsi="Corbel" w:cs="Corbel"/>
          </w:rPr>
          <w:t>REDODEM</w:t>
        </w:r>
      </w:hyperlink>
      <w:r w:rsidRPr="006A0372">
        <w:rPr>
          <w:rFonts w:ascii="Corbel" w:eastAsia="Corbel" w:hAnsi="Corbel" w:cs="Corbel"/>
          <w:color w:val="222222"/>
        </w:rPr>
        <w:t xml:space="preserve">. Además, las mujeres constituyen el 49% de la </w:t>
      </w:r>
      <w:hyperlink r:id="rId14" w:history="1">
        <w:r w:rsidRPr="00D868B8">
          <w:rPr>
            <w:rStyle w:val="Hipervnculo"/>
            <w:rFonts w:ascii="Corbel" w:eastAsia="Corbel" w:hAnsi="Corbel" w:cs="Corbel"/>
          </w:rPr>
          <w:t>población extranjera residente en México</w:t>
        </w:r>
      </w:hyperlink>
      <w:r w:rsidRPr="006A0372">
        <w:rPr>
          <w:rFonts w:ascii="Corbel" w:eastAsia="Corbel" w:hAnsi="Corbel" w:cs="Corbel"/>
          <w:color w:val="222222"/>
        </w:rPr>
        <w:t xml:space="preserve">, representaron el 44% de las </w:t>
      </w:r>
      <w:hyperlink r:id="rId15" w:history="1">
        <w:r w:rsidRPr="00D868B8">
          <w:rPr>
            <w:rStyle w:val="Hipervnculo"/>
            <w:rFonts w:ascii="Corbel" w:eastAsia="Corbel" w:hAnsi="Corbel" w:cs="Corbel"/>
          </w:rPr>
          <w:t>nuevas solicitudes de asilo</w:t>
        </w:r>
      </w:hyperlink>
      <w:r w:rsidRPr="006A0372">
        <w:rPr>
          <w:rFonts w:ascii="Corbel" w:eastAsia="Corbel" w:hAnsi="Corbel" w:cs="Corbel"/>
          <w:color w:val="222222"/>
        </w:rPr>
        <w:t xml:space="preserve"> en 2024y las mujeres constituyeron un 25% de la </w:t>
      </w:r>
      <w:hyperlink r:id="rId16" w:history="1">
        <w:r w:rsidRPr="00D868B8">
          <w:rPr>
            <w:rStyle w:val="Hipervnculo"/>
            <w:rFonts w:ascii="Corbel" w:eastAsia="Corbel" w:hAnsi="Corbel" w:cs="Corbel"/>
          </w:rPr>
          <w:t>población migrante en retorno</w:t>
        </w:r>
      </w:hyperlink>
      <w:r w:rsidRPr="006A0372">
        <w:rPr>
          <w:rFonts w:ascii="Corbel" w:eastAsia="Corbel" w:hAnsi="Corbel" w:cs="Corbel"/>
          <w:color w:val="222222"/>
        </w:rPr>
        <w:t xml:space="preserve"> en 2020. Las </w:t>
      </w:r>
      <w:hyperlink r:id="rId17" w:history="1">
        <w:r w:rsidRPr="00D868B8">
          <w:rPr>
            <w:rStyle w:val="Hipervnculo"/>
            <w:rFonts w:ascii="Corbel" w:eastAsia="Corbel" w:hAnsi="Corbel" w:cs="Corbel"/>
          </w:rPr>
          <w:t>causas</w:t>
        </w:r>
        <w:r w:rsidRPr="00D868B8">
          <w:rPr>
            <w:rStyle w:val="Hipervnculo"/>
            <w:rFonts w:ascii="Corbel" w:eastAsia="Corbel" w:hAnsi="Corbel" w:cs="Corbel"/>
          </w:rPr>
          <w:t xml:space="preserve"> de migración</w:t>
        </w:r>
      </w:hyperlink>
      <w:r w:rsidRPr="006A0372">
        <w:rPr>
          <w:rFonts w:ascii="Corbel" w:eastAsia="Corbel" w:hAnsi="Corbel" w:cs="Corbel"/>
          <w:color w:val="222222"/>
        </w:rPr>
        <w:t xml:space="preserve"> son diversas: el 51.3% de las mujeres migrantes huyen de la violencia generalizada, el 18.5% busca acceso a servicios básicos y un 8.9% escapa de violencia doméstica, mientras que los hombres lo hacen principalmente por motivos económicos.</w:t>
      </w:r>
    </w:p>
    <w:p w14:paraId="441BA2D2" w14:textId="77777777" w:rsidR="009E0CA3" w:rsidRPr="006A0372" w:rsidRDefault="009E0CA3" w:rsidP="009E0CA3">
      <w:pPr>
        <w:spacing w:line="240" w:lineRule="auto"/>
        <w:jc w:val="both"/>
        <w:rPr>
          <w:rFonts w:ascii="Corbel" w:eastAsia="Corbel" w:hAnsi="Corbel" w:cs="Corbel"/>
          <w:color w:val="222222"/>
        </w:rPr>
      </w:pPr>
    </w:p>
    <w:p w14:paraId="3FCF942A" w14:textId="5E74AEDB" w:rsidR="00085CD4" w:rsidRPr="006A0372" w:rsidRDefault="009E0CA3" w:rsidP="009E0CA3">
      <w:pPr>
        <w:spacing w:line="240" w:lineRule="auto"/>
        <w:jc w:val="both"/>
        <w:rPr>
          <w:rFonts w:ascii="Corbel" w:eastAsia="Corbel" w:hAnsi="Corbel" w:cs="Corbel"/>
          <w:color w:val="222222"/>
        </w:rPr>
      </w:pPr>
      <w:r w:rsidRPr="006A0372">
        <w:rPr>
          <w:rFonts w:ascii="Corbel" w:eastAsia="Corbel" w:hAnsi="Corbel" w:cs="Corbel"/>
          <w:color w:val="222222"/>
        </w:rPr>
        <w:t>El endurecimiento de las políticas migratorias, marcadas por una creciente militarización y el enfoque de contención promovido por Estados Unidos, ha restringido significativamente el acceso a derechos para las personas en movilidad, dificultando su tránsito seguro y el acceso a mecanismos de protección internacional. Esta situación se agrava con el control de grupos del crimen organizado sobre rutas migratorias clave, redes de tráfico y trata, quienes se aprovechan de la condición irregular y la falta de respuesta institucional. Como resultado, los riesgos para mujeres migrantes, refugiadas, solicitantes de asilo, mexicanas en retorno o jornaleras agrícolas</w:t>
      </w:r>
      <w:r w:rsidR="00B462D7" w:rsidRPr="006A0372">
        <w:rPr>
          <w:rFonts w:ascii="Corbel" w:eastAsia="Corbel" w:hAnsi="Corbel" w:cs="Corbel"/>
          <w:color w:val="222222"/>
        </w:rPr>
        <w:t xml:space="preserve"> migrantes</w:t>
      </w:r>
      <w:r w:rsidRPr="006A0372">
        <w:rPr>
          <w:rFonts w:ascii="Corbel" w:eastAsia="Corbel" w:hAnsi="Corbel" w:cs="Corbel"/>
          <w:color w:val="222222"/>
        </w:rPr>
        <w:t xml:space="preserve"> se incrementan durante sus trayectos y en los prolongados periodos de espera en puntos de tránsito o frontera.</w:t>
      </w:r>
    </w:p>
    <w:p w14:paraId="16CCDD2D" w14:textId="77777777" w:rsidR="00E30620" w:rsidRPr="006A0372" w:rsidRDefault="00E30620" w:rsidP="00CA2FAC">
      <w:pPr>
        <w:spacing w:line="240" w:lineRule="auto"/>
        <w:jc w:val="both"/>
        <w:rPr>
          <w:rFonts w:ascii="Corbel" w:eastAsia="Corbel" w:hAnsi="Corbel" w:cs="Corbel"/>
          <w:color w:val="222222"/>
          <w:highlight w:val="white"/>
        </w:rPr>
      </w:pPr>
    </w:p>
    <w:p w14:paraId="747751E8" w14:textId="1AF29696" w:rsidR="00B608BE" w:rsidRPr="006A0372" w:rsidRDefault="00B608BE" w:rsidP="006A0372">
      <w:pPr>
        <w:pStyle w:val="Ttulo2"/>
        <w:numPr>
          <w:ilvl w:val="0"/>
          <w:numId w:val="18"/>
        </w:numPr>
        <w:rPr>
          <w:rStyle w:val="Ttulodellibro"/>
          <w:rFonts w:ascii="Corbel" w:hAnsi="Corbel"/>
          <w:color w:val="auto"/>
          <w:highlight w:val="white"/>
        </w:rPr>
      </w:pPr>
      <w:bookmarkStart w:id="2" w:name="_Toc198501178"/>
      <w:r w:rsidRPr="006A0372">
        <w:rPr>
          <w:rStyle w:val="Ttulodellibro"/>
          <w:rFonts w:ascii="Corbel" w:hAnsi="Corbel"/>
          <w:color w:val="auto"/>
          <w:highlight w:val="white"/>
        </w:rPr>
        <w:t>Vulnerabilidades y riesgos asociados al género</w:t>
      </w:r>
      <w:r w:rsidR="00930711" w:rsidRPr="006A0372">
        <w:rPr>
          <w:rStyle w:val="Ttulodellibro"/>
          <w:rFonts w:ascii="Corbel" w:hAnsi="Corbel"/>
          <w:color w:val="auto"/>
          <w:highlight w:val="white"/>
        </w:rPr>
        <w:t xml:space="preserve"> en contextos de movilidad humana</w:t>
      </w:r>
      <w:bookmarkEnd w:id="2"/>
    </w:p>
    <w:p w14:paraId="46703AB4" w14:textId="77777777" w:rsidR="00B608BE" w:rsidRPr="006A0372" w:rsidRDefault="00B608BE" w:rsidP="00CA2FAC">
      <w:pPr>
        <w:spacing w:line="240" w:lineRule="auto"/>
        <w:jc w:val="both"/>
        <w:rPr>
          <w:rFonts w:ascii="Corbel" w:eastAsia="Corbel" w:hAnsi="Corbel" w:cs="Corbel"/>
          <w:color w:val="222222"/>
          <w:highlight w:val="white"/>
        </w:rPr>
      </w:pPr>
    </w:p>
    <w:p w14:paraId="3E2BA9AC" w14:textId="7D4ECBA2" w:rsidR="00A24136" w:rsidRPr="006A0372" w:rsidRDefault="00F62F7E" w:rsidP="006A0372">
      <w:pPr>
        <w:pStyle w:val="Ttulo3"/>
        <w:rPr>
          <w:rStyle w:val="nfasis"/>
          <w:rFonts w:ascii="Corbel" w:hAnsi="Corbel"/>
          <w:color w:val="auto"/>
          <w:sz w:val="24"/>
          <w:szCs w:val="24"/>
          <w:highlight w:val="white"/>
        </w:rPr>
      </w:pPr>
      <w:bookmarkStart w:id="3" w:name="_Toc198501179"/>
      <w:r w:rsidRPr="006A0372">
        <w:rPr>
          <w:rStyle w:val="nfasis"/>
          <w:rFonts w:ascii="Corbel" w:hAnsi="Corbel"/>
          <w:color w:val="auto"/>
          <w:sz w:val="24"/>
          <w:szCs w:val="24"/>
          <w:highlight w:val="white"/>
        </w:rPr>
        <w:t xml:space="preserve">III.I. </w:t>
      </w:r>
      <w:r w:rsidR="00A24136" w:rsidRPr="006A0372">
        <w:rPr>
          <w:rStyle w:val="nfasis"/>
          <w:rFonts w:ascii="Corbel" w:hAnsi="Corbel"/>
          <w:color w:val="auto"/>
          <w:sz w:val="24"/>
          <w:szCs w:val="24"/>
          <w:highlight w:val="white"/>
        </w:rPr>
        <w:t>Violencias basadas en género</w:t>
      </w:r>
      <w:bookmarkEnd w:id="3"/>
    </w:p>
    <w:p w14:paraId="201AC80D" w14:textId="77777777" w:rsidR="00123408" w:rsidRPr="006A0372" w:rsidRDefault="00123408" w:rsidP="00CA2FAC">
      <w:pPr>
        <w:spacing w:line="240" w:lineRule="auto"/>
        <w:jc w:val="both"/>
        <w:rPr>
          <w:rFonts w:ascii="Corbel" w:eastAsia="Corbel" w:hAnsi="Corbel" w:cs="Corbel"/>
          <w:color w:val="222222"/>
          <w:highlight w:val="white"/>
        </w:rPr>
      </w:pPr>
    </w:p>
    <w:p w14:paraId="28AD7B55" w14:textId="612AD015" w:rsidR="009E0CA3" w:rsidRPr="006A0372" w:rsidRDefault="009E0CA3" w:rsidP="009E0CA3">
      <w:pPr>
        <w:spacing w:line="240" w:lineRule="auto"/>
        <w:jc w:val="both"/>
        <w:rPr>
          <w:rFonts w:ascii="Corbel" w:eastAsia="Corbel" w:hAnsi="Corbel" w:cs="Corbel"/>
          <w:color w:val="222222"/>
          <w:highlight w:val="white"/>
          <w:lang w:val="es-MX"/>
        </w:rPr>
      </w:pPr>
      <w:r w:rsidRPr="009E0CA3">
        <w:rPr>
          <w:rFonts w:ascii="Corbel" w:eastAsia="Corbel" w:hAnsi="Corbel" w:cs="Corbel"/>
          <w:color w:val="222222"/>
          <w:highlight w:val="white"/>
          <w:lang w:val="es-MX"/>
        </w:rPr>
        <w:lastRenderedPageBreak/>
        <w:t xml:space="preserve">En México, las mujeres en movilidad enfrentan múltiples formas de violencia y discriminación de género a lo largo de todo el proceso migratorio: desde sus países de origen, durante el tránsito y al llegar al país. La ausencia de estadísticas oficiales impide una comprensión integral del problema, y gran parte de la información proviene de organizaciones civiles, la academia y organismos internacionales. Entre enero de 2024 y febrero de 2025, </w:t>
      </w:r>
      <w:hyperlink r:id="rId18" w:history="1">
        <w:r w:rsidRPr="00D868B8">
          <w:rPr>
            <w:rStyle w:val="Hipervnculo"/>
            <w:rFonts w:ascii="Corbel" w:eastAsia="Corbel" w:hAnsi="Corbel" w:cs="Corbel"/>
            <w:highlight w:val="white"/>
            <w:lang w:val="es-MX"/>
          </w:rPr>
          <w:t>Médicos Sin Fronteras</w:t>
        </w:r>
      </w:hyperlink>
      <w:r w:rsidRPr="009E0CA3">
        <w:rPr>
          <w:rFonts w:ascii="Corbel" w:eastAsia="Corbel" w:hAnsi="Corbel" w:cs="Corbel"/>
          <w:color w:val="222222"/>
          <w:highlight w:val="white"/>
          <w:lang w:val="es-MX"/>
        </w:rPr>
        <w:t xml:space="preserve"> atendió a casi 3,000 sobrevivientes de violencia sexual en </w:t>
      </w:r>
      <w:r w:rsidR="00B462D7" w:rsidRPr="006A0372">
        <w:rPr>
          <w:rFonts w:ascii="Corbel" w:eastAsia="Corbel" w:hAnsi="Corbel" w:cs="Corbel"/>
          <w:color w:val="222222"/>
          <w:highlight w:val="white"/>
          <w:lang w:val="es-MX"/>
        </w:rPr>
        <w:t>América Latina</w:t>
      </w:r>
      <w:r w:rsidRPr="009E0CA3">
        <w:rPr>
          <w:rFonts w:ascii="Corbel" w:eastAsia="Corbel" w:hAnsi="Corbel" w:cs="Corbel"/>
          <w:color w:val="222222"/>
          <w:highlight w:val="white"/>
          <w:lang w:val="es-MX"/>
        </w:rPr>
        <w:t>.</w:t>
      </w:r>
      <w:r w:rsidR="00D868B8" w:rsidRPr="009E0CA3">
        <w:rPr>
          <w:rFonts w:ascii="Corbel" w:eastAsia="Corbel" w:hAnsi="Corbel" w:cs="Corbel"/>
          <w:color w:val="222222"/>
          <w:highlight w:val="white"/>
          <w:lang w:val="es-MX"/>
        </w:rPr>
        <w:t xml:space="preserve"> </w:t>
      </w:r>
      <w:r w:rsidRPr="009E0CA3">
        <w:rPr>
          <w:rFonts w:ascii="Corbel" w:eastAsia="Corbel" w:hAnsi="Corbel" w:cs="Corbel"/>
          <w:color w:val="222222"/>
          <w:highlight w:val="white"/>
          <w:lang w:val="es-MX"/>
        </w:rPr>
        <w:t>En México, el 93</w:t>
      </w:r>
      <w:r w:rsidRPr="009E0CA3">
        <w:rPr>
          <w:rFonts w:eastAsia="Corbel"/>
          <w:color w:val="222222"/>
          <w:highlight w:val="white"/>
          <w:lang w:val="es-MX"/>
        </w:rPr>
        <w:t> </w:t>
      </w:r>
      <w:r w:rsidRPr="009E0CA3">
        <w:rPr>
          <w:rFonts w:ascii="Corbel" w:eastAsia="Corbel" w:hAnsi="Corbel" w:cs="Corbel"/>
          <w:color w:val="222222"/>
          <w:highlight w:val="white"/>
          <w:lang w:val="es-MX"/>
        </w:rPr>
        <w:t xml:space="preserve">% de las 744 </w:t>
      </w:r>
      <w:hyperlink r:id="rId19" w:history="1">
        <w:r w:rsidRPr="00EE1977">
          <w:rPr>
            <w:rStyle w:val="Hipervnculo"/>
            <w:rFonts w:ascii="Corbel" w:eastAsia="Corbel" w:hAnsi="Corbel" w:cs="Corbel"/>
            <w:highlight w:val="white"/>
            <w:lang w:val="es-MX"/>
          </w:rPr>
          <w:t>consultas</w:t>
        </w:r>
      </w:hyperlink>
      <w:r w:rsidRPr="009E0CA3">
        <w:rPr>
          <w:rFonts w:ascii="Corbel" w:eastAsia="Corbel" w:hAnsi="Corbel" w:cs="Corbel"/>
          <w:color w:val="222222"/>
          <w:highlight w:val="white"/>
          <w:lang w:val="es-MX"/>
        </w:rPr>
        <w:t xml:space="preserve"> por este motivo correspondieron a mujeres. Asimismo, un estudio de </w:t>
      </w:r>
      <w:hyperlink r:id="rId20" w:history="1">
        <w:r w:rsidRPr="00EE1977">
          <w:rPr>
            <w:rStyle w:val="Hipervnculo"/>
            <w:rFonts w:ascii="Corbel" w:eastAsia="Corbel" w:hAnsi="Corbel" w:cs="Corbel"/>
            <w:highlight w:val="white"/>
            <w:lang w:val="es-MX"/>
          </w:rPr>
          <w:t>ACNUR</w:t>
        </w:r>
      </w:hyperlink>
      <w:r w:rsidR="00B268F5" w:rsidRPr="006A0372">
        <w:rPr>
          <w:rFonts w:ascii="Corbel" w:eastAsia="Corbel" w:hAnsi="Corbel" w:cs="Corbel"/>
          <w:color w:val="222222"/>
          <w:highlight w:val="white"/>
          <w:lang w:val="es-MX"/>
        </w:rPr>
        <w:t xml:space="preserve"> de 2024</w:t>
      </w:r>
      <w:r w:rsidRPr="009E0CA3">
        <w:rPr>
          <w:rFonts w:ascii="Corbel" w:eastAsia="Corbel" w:hAnsi="Corbel" w:cs="Corbel"/>
          <w:color w:val="222222"/>
          <w:highlight w:val="white"/>
          <w:lang w:val="es-MX"/>
        </w:rPr>
        <w:t xml:space="preserve"> reveló que todas las mujeres entrevistadas habían sufrido algún tipo de violencia, ya sea como causa de su salida o durante su trayecto migratorio.</w:t>
      </w:r>
    </w:p>
    <w:p w14:paraId="6743BCE2" w14:textId="77777777" w:rsidR="00B462D7" w:rsidRPr="009E0CA3" w:rsidRDefault="00B462D7" w:rsidP="009E0CA3">
      <w:pPr>
        <w:spacing w:line="240" w:lineRule="auto"/>
        <w:jc w:val="both"/>
        <w:rPr>
          <w:rFonts w:ascii="Corbel" w:eastAsia="Corbel" w:hAnsi="Corbel" w:cs="Corbel"/>
          <w:color w:val="222222"/>
          <w:highlight w:val="white"/>
          <w:lang w:val="es-MX"/>
        </w:rPr>
      </w:pPr>
    </w:p>
    <w:p w14:paraId="226129FF" w14:textId="2501AFE7" w:rsidR="009E0CA3" w:rsidRPr="006A0372" w:rsidRDefault="009E0CA3" w:rsidP="009E0CA3">
      <w:pPr>
        <w:spacing w:line="240" w:lineRule="auto"/>
        <w:jc w:val="both"/>
        <w:rPr>
          <w:rFonts w:ascii="Corbel" w:eastAsia="Corbel" w:hAnsi="Corbel" w:cs="Corbel"/>
          <w:color w:val="222222"/>
          <w:highlight w:val="white"/>
          <w:lang w:val="es-MX"/>
        </w:rPr>
      </w:pPr>
      <w:r w:rsidRPr="009E0CA3">
        <w:rPr>
          <w:rFonts w:ascii="Corbel" w:eastAsia="Corbel" w:hAnsi="Corbel" w:cs="Corbel"/>
          <w:color w:val="222222"/>
          <w:highlight w:val="white"/>
          <w:lang w:val="es-MX"/>
        </w:rPr>
        <w:t xml:space="preserve">Las más expuestas son mujeres entre 15 y 49 años, especialmente quienes viajan solas o con hijos, y son originarias de países como Colombia, Cuba, Haití, Honduras y Venezuela. A esto se suman el racismo, la hipersexualización y el riesgo creciente ante el crimen organizado. Aunque en menor medida, también se reportaron agresiones sexuales contra hombres, sobre todo durante secuestros por grupos criminales. Frente a este panorama, encuestadas por </w:t>
      </w:r>
      <w:hyperlink r:id="rId21" w:history="1">
        <w:r w:rsidRPr="00EE1977">
          <w:rPr>
            <w:rStyle w:val="Hipervnculo"/>
            <w:rFonts w:ascii="Corbel" w:eastAsia="Corbel" w:hAnsi="Corbel" w:cs="Corbel"/>
            <w:highlight w:val="white"/>
            <w:lang w:val="es-MX"/>
          </w:rPr>
          <w:t>ACNUR</w:t>
        </w:r>
      </w:hyperlink>
      <w:r w:rsidRPr="009E0CA3">
        <w:rPr>
          <w:rFonts w:ascii="Corbel" w:eastAsia="Corbel" w:hAnsi="Corbel" w:cs="Corbel"/>
          <w:color w:val="222222"/>
          <w:highlight w:val="white"/>
          <w:lang w:val="es-MX"/>
        </w:rPr>
        <w:t xml:space="preserve"> señalaron a organizaciones humanitarias y Centros de Justicia para las Mujeres (CJM) como principales apoyos, junto con el acceso a empleo digno, información sobre derechos y empoderamiento.</w:t>
      </w:r>
    </w:p>
    <w:p w14:paraId="115142E3" w14:textId="77777777" w:rsidR="00B268F5" w:rsidRPr="009E0CA3" w:rsidRDefault="00B268F5" w:rsidP="009E0CA3">
      <w:pPr>
        <w:spacing w:line="240" w:lineRule="auto"/>
        <w:jc w:val="both"/>
        <w:rPr>
          <w:rFonts w:ascii="Corbel" w:eastAsia="Corbel" w:hAnsi="Corbel" w:cs="Corbel"/>
          <w:color w:val="222222"/>
          <w:highlight w:val="white"/>
          <w:lang w:val="es-MX"/>
        </w:rPr>
      </w:pPr>
    </w:p>
    <w:p w14:paraId="0494E55F" w14:textId="755B865B" w:rsidR="009E0CA3" w:rsidRPr="006A0372" w:rsidRDefault="009E0CA3" w:rsidP="009E0CA3">
      <w:pPr>
        <w:spacing w:line="240" w:lineRule="auto"/>
        <w:jc w:val="both"/>
        <w:rPr>
          <w:rFonts w:ascii="Corbel" w:eastAsia="Corbel" w:hAnsi="Corbel" w:cs="Corbel"/>
          <w:color w:val="222222"/>
          <w:highlight w:val="white"/>
          <w:lang w:val="es-MX"/>
        </w:rPr>
      </w:pPr>
      <w:r w:rsidRPr="009E0CA3">
        <w:rPr>
          <w:rFonts w:ascii="Corbel" w:eastAsia="Corbel" w:hAnsi="Corbel" w:cs="Corbel"/>
          <w:color w:val="222222"/>
          <w:highlight w:val="white"/>
          <w:lang w:val="es-MX"/>
        </w:rPr>
        <w:t xml:space="preserve">Un diagnóstico de </w:t>
      </w:r>
      <w:hyperlink r:id="rId22" w:history="1">
        <w:r w:rsidRPr="00EE1977">
          <w:rPr>
            <w:rStyle w:val="Hipervnculo"/>
            <w:rFonts w:ascii="Corbel" w:eastAsia="Corbel" w:hAnsi="Corbel" w:cs="Corbel"/>
            <w:highlight w:val="white"/>
            <w:lang w:val="es-MX"/>
          </w:rPr>
          <w:t>HIAS</w:t>
        </w:r>
      </w:hyperlink>
      <w:r w:rsidRPr="009E0CA3">
        <w:rPr>
          <w:rFonts w:ascii="Corbel" w:eastAsia="Corbel" w:hAnsi="Corbel" w:cs="Corbel"/>
          <w:color w:val="222222"/>
          <w:highlight w:val="white"/>
          <w:lang w:val="es-MX"/>
        </w:rPr>
        <w:t xml:space="preserve"> en Tapachula identificó tres factores que agravan el riesgo de violencia de género en mujeres migrantes: la intersección de desigualdades sociales, la normalización de la violencia y las restricciones al acceso a derechos. Además, un estudio de Plan Internacional mostró que una de cada cuatro niñas y niños menores de cinco años vive en hogares donde sus madres sufren violencia. Muchas mujeres migran para huir de contextos violentos, incluyendo violencia doméstica o comunitaria.</w:t>
      </w:r>
    </w:p>
    <w:p w14:paraId="400BB417" w14:textId="77777777" w:rsidR="00B268F5" w:rsidRPr="009E0CA3" w:rsidRDefault="00B268F5" w:rsidP="009E0CA3">
      <w:pPr>
        <w:spacing w:line="240" w:lineRule="auto"/>
        <w:jc w:val="both"/>
        <w:rPr>
          <w:rFonts w:ascii="Corbel" w:eastAsia="Corbel" w:hAnsi="Corbel" w:cs="Corbel"/>
          <w:color w:val="222222"/>
          <w:highlight w:val="white"/>
          <w:lang w:val="es-MX"/>
        </w:rPr>
      </w:pPr>
    </w:p>
    <w:p w14:paraId="5F3016CC" w14:textId="4BCECC65" w:rsidR="009E0CA3" w:rsidRPr="006A0372" w:rsidRDefault="009E0CA3" w:rsidP="009E0CA3">
      <w:pPr>
        <w:spacing w:line="240" w:lineRule="auto"/>
        <w:jc w:val="both"/>
        <w:rPr>
          <w:rFonts w:ascii="Corbel" w:eastAsia="Corbel" w:hAnsi="Corbel" w:cs="Corbel"/>
          <w:color w:val="222222"/>
          <w:highlight w:val="white"/>
          <w:lang w:val="es-MX"/>
        </w:rPr>
      </w:pPr>
      <w:r w:rsidRPr="009E0CA3">
        <w:rPr>
          <w:rFonts w:ascii="Corbel" w:eastAsia="Corbel" w:hAnsi="Corbel" w:cs="Corbel"/>
          <w:color w:val="222222"/>
          <w:highlight w:val="white"/>
          <w:lang w:val="es-MX"/>
        </w:rPr>
        <w:t xml:space="preserve">En cuanto a la atención, persisten brechas importantes: falta de cobertura de necesidades básicas, escaso acompañamiento en procesos de asilo, débil coordinación entre instituciones y servicios limitados. Aunque existen 73 CJM en México, su capacidad de respuesta hacia mujeres migrantes es limitada por su localización, falta de rutas específicas de atención, desconocimiento del contexto migratorio y débil coordinación con instancias como </w:t>
      </w:r>
      <w:r w:rsidR="00B268F5" w:rsidRPr="006A0372">
        <w:rPr>
          <w:rFonts w:ascii="Corbel" w:eastAsia="Corbel" w:hAnsi="Corbel" w:cs="Corbel"/>
          <w:color w:val="222222"/>
          <w:highlight w:val="white"/>
          <w:lang w:val="es-MX"/>
        </w:rPr>
        <w:t>la Comisión Mexicana de Ayuda a Refugiados (</w:t>
      </w:r>
      <w:r w:rsidRPr="009E0CA3">
        <w:rPr>
          <w:rFonts w:ascii="Corbel" w:eastAsia="Corbel" w:hAnsi="Corbel" w:cs="Corbel"/>
          <w:color w:val="222222"/>
          <w:highlight w:val="white"/>
          <w:lang w:val="es-MX"/>
        </w:rPr>
        <w:t>COMAR</w:t>
      </w:r>
      <w:r w:rsidR="00B268F5" w:rsidRPr="006A0372">
        <w:rPr>
          <w:rFonts w:ascii="Corbel" w:eastAsia="Corbel" w:hAnsi="Corbel" w:cs="Corbel"/>
          <w:color w:val="222222"/>
          <w:highlight w:val="white"/>
          <w:lang w:val="es-MX"/>
        </w:rPr>
        <w:t>)</w:t>
      </w:r>
      <w:r w:rsidRPr="009E0CA3">
        <w:rPr>
          <w:rFonts w:ascii="Corbel" w:eastAsia="Corbel" w:hAnsi="Corbel" w:cs="Corbel"/>
          <w:color w:val="222222"/>
          <w:highlight w:val="white"/>
          <w:lang w:val="es-MX"/>
        </w:rPr>
        <w:t xml:space="preserve"> e </w:t>
      </w:r>
      <w:r w:rsidR="00B268F5" w:rsidRPr="006A0372">
        <w:rPr>
          <w:rFonts w:ascii="Corbel" w:eastAsia="Corbel" w:hAnsi="Corbel" w:cs="Corbel"/>
          <w:color w:val="222222"/>
          <w:highlight w:val="white"/>
          <w:lang w:val="es-MX"/>
        </w:rPr>
        <w:t>Instituto Nacional de Migración (</w:t>
      </w:r>
      <w:r w:rsidRPr="009E0CA3">
        <w:rPr>
          <w:rFonts w:ascii="Corbel" w:eastAsia="Corbel" w:hAnsi="Corbel" w:cs="Corbel"/>
          <w:color w:val="222222"/>
          <w:highlight w:val="white"/>
          <w:lang w:val="es-MX"/>
        </w:rPr>
        <w:t>INM</w:t>
      </w:r>
      <w:r w:rsidR="00B268F5" w:rsidRPr="006A0372">
        <w:rPr>
          <w:rFonts w:ascii="Corbel" w:eastAsia="Corbel" w:hAnsi="Corbel" w:cs="Corbel"/>
          <w:color w:val="222222"/>
          <w:highlight w:val="white"/>
          <w:lang w:val="es-MX"/>
        </w:rPr>
        <w:t>)</w:t>
      </w:r>
      <w:r w:rsidRPr="009E0CA3">
        <w:rPr>
          <w:rFonts w:ascii="Corbel" w:eastAsia="Corbel" w:hAnsi="Corbel" w:cs="Corbel"/>
          <w:color w:val="222222"/>
          <w:highlight w:val="white"/>
          <w:lang w:val="es-MX"/>
        </w:rPr>
        <w:t xml:space="preserve">. </w:t>
      </w:r>
      <w:hyperlink r:id="rId23" w:history="1">
        <w:r w:rsidR="00BB384C">
          <w:rPr>
            <w:rStyle w:val="Hipervnculo"/>
            <w:rFonts w:ascii="Corbel" w:eastAsia="Corbel" w:hAnsi="Corbel" w:cs="Corbel"/>
            <w:highlight w:val="white"/>
            <w:lang w:val="es-MX"/>
          </w:rPr>
          <w:t xml:space="preserve">Información </w:t>
        </w:r>
        <w:r w:rsidRPr="00BB384C">
          <w:rPr>
            <w:rStyle w:val="Hipervnculo"/>
            <w:rFonts w:ascii="Corbel" w:eastAsia="Corbel" w:hAnsi="Corbel" w:cs="Corbel"/>
            <w:highlight w:val="white"/>
            <w:lang w:val="es-MX"/>
          </w:rPr>
          <w:t>de 2023</w:t>
        </w:r>
      </w:hyperlink>
      <w:r w:rsidRPr="009E0CA3">
        <w:rPr>
          <w:rFonts w:ascii="Corbel" w:eastAsia="Corbel" w:hAnsi="Corbel" w:cs="Corbel"/>
          <w:color w:val="222222"/>
          <w:highlight w:val="white"/>
          <w:lang w:val="es-MX"/>
        </w:rPr>
        <w:t xml:space="preserve"> muestran que muchas mujeres extranjeras no fueron admitidas o atendidas en estos centros.</w:t>
      </w:r>
    </w:p>
    <w:p w14:paraId="4385D4E0" w14:textId="77777777" w:rsidR="00B268F5" w:rsidRPr="009E0CA3" w:rsidRDefault="00B268F5" w:rsidP="009E0CA3">
      <w:pPr>
        <w:spacing w:line="240" w:lineRule="auto"/>
        <w:jc w:val="both"/>
        <w:rPr>
          <w:rFonts w:ascii="Corbel" w:eastAsia="Corbel" w:hAnsi="Corbel" w:cs="Corbel"/>
          <w:color w:val="222222"/>
          <w:highlight w:val="white"/>
          <w:lang w:val="es-MX"/>
        </w:rPr>
      </w:pPr>
    </w:p>
    <w:p w14:paraId="5C3D702F" w14:textId="7BFC1C52" w:rsidR="00B268F5" w:rsidRPr="006A0372" w:rsidRDefault="009E0CA3" w:rsidP="009E0CA3">
      <w:pPr>
        <w:spacing w:line="240" w:lineRule="auto"/>
        <w:jc w:val="both"/>
        <w:rPr>
          <w:rFonts w:ascii="Corbel" w:eastAsia="Corbel" w:hAnsi="Corbel" w:cs="Corbel"/>
          <w:color w:val="222222"/>
          <w:highlight w:val="white"/>
          <w:lang w:val="es-MX"/>
        </w:rPr>
      </w:pPr>
      <w:r w:rsidRPr="009E0CA3">
        <w:rPr>
          <w:rFonts w:ascii="Corbel" w:eastAsia="Corbel" w:hAnsi="Corbel" w:cs="Corbel"/>
          <w:color w:val="222222"/>
          <w:highlight w:val="white"/>
          <w:lang w:val="es-MX"/>
        </w:rPr>
        <w:t>La exposición a delitos con componente de género es más alta entre mujeres migrantes. Entre enero de 2026 y agosto de 2024, el 83</w:t>
      </w:r>
      <w:r w:rsidRPr="009E0CA3">
        <w:rPr>
          <w:rFonts w:eastAsia="Corbel"/>
          <w:color w:val="222222"/>
          <w:highlight w:val="white"/>
          <w:lang w:val="es-MX"/>
        </w:rPr>
        <w:t> </w:t>
      </w:r>
      <w:r w:rsidRPr="009E0CA3">
        <w:rPr>
          <w:rFonts w:ascii="Corbel" w:eastAsia="Corbel" w:hAnsi="Corbel" w:cs="Corbel"/>
          <w:color w:val="222222"/>
          <w:highlight w:val="white"/>
          <w:lang w:val="es-MX"/>
        </w:rPr>
        <w:t xml:space="preserve">% de quienes reportaron violencia sexual </w:t>
      </w:r>
      <w:r w:rsidR="0044537D" w:rsidRPr="006A0372">
        <w:rPr>
          <w:rFonts w:ascii="Corbel" w:eastAsia="Corbel" w:hAnsi="Corbel" w:cs="Corbel"/>
          <w:color w:val="222222"/>
          <w:highlight w:val="white"/>
          <w:lang w:val="es-MX"/>
        </w:rPr>
        <w:t xml:space="preserve">a la </w:t>
      </w:r>
      <w:hyperlink r:id="rId24" w:history="1">
        <w:r w:rsidR="0044537D" w:rsidRPr="00BB384C">
          <w:rPr>
            <w:rStyle w:val="Hipervnculo"/>
            <w:rFonts w:ascii="Corbel" w:eastAsia="Corbel" w:hAnsi="Corbel" w:cs="Corbel"/>
            <w:highlight w:val="white"/>
            <w:lang w:val="es-MX"/>
          </w:rPr>
          <w:t>autoridad migratoria</w:t>
        </w:r>
      </w:hyperlink>
      <w:r w:rsidR="0044537D" w:rsidRPr="006A0372">
        <w:rPr>
          <w:rFonts w:ascii="Corbel" w:eastAsia="Corbel" w:hAnsi="Corbel" w:cs="Corbel"/>
          <w:color w:val="222222"/>
          <w:highlight w:val="white"/>
          <w:lang w:val="es-MX"/>
        </w:rPr>
        <w:t xml:space="preserve"> </w:t>
      </w:r>
      <w:r w:rsidRPr="009E0CA3">
        <w:rPr>
          <w:rFonts w:ascii="Corbel" w:eastAsia="Corbel" w:hAnsi="Corbel" w:cs="Corbel"/>
          <w:color w:val="222222"/>
          <w:highlight w:val="white"/>
          <w:lang w:val="es-MX"/>
        </w:rPr>
        <w:t xml:space="preserve">fueron mujeres. El </w:t>
      </w:r>
      <w:hyperlink r:id="rId25" w:history="1">
        <w:r w:rsidRPr="00BB384C">
          <w:rPr>
            <w:rStyle w:val="Hipervnculo"/>
            <w:rFonts w:ascii="Corbel" w:eastAsia="Corbel" w:hAnsi="Corbel" w:cs="Corbel"/>
            <w:highlight w:val="white"/>
            <w:lang w:val="es-MX"/>
          </w:rPr>
          <w:t>INM</w:t>
        </w:r>
      </w:hyperlink>
      <w:r w:rsidRPr="009E0CA3">
        <w:rPr>
          <w:rFonts w:ascii="Corbel" w:eastAsia="Corbel" w:hAnsi="Corbel" w:cs="Corbel"/>
          <w:color w:val="222222"/>
          <w:highlight w:val="white"/>
          <w:lang w:val="es-MX"/>
        </w:rPr>
        <w:t xml:space="preserve"> registró 160 casos de trata entre 2018 y 2023, mayoritariamente con fines de explotación sexual. Sin embargo, el subregistro es alto: muchas mujeres no denuncian por temor a la detención, deportación o por experiencias previas de impunidad.</w:t>
      </w:r>
    </w:p>
    <w:p w14:paraId="6F585ED3" w14:textId="77777777" w:rsidR="00E3713F" w:rsidRPr="009E0CA3" w:rsidRDefault="00E3713F" w:rsidP="009E0CA3">
      <w:pPr>
        <w:spacing w:line="240" w:lineRule="auto"/>
        <w:jc w:val="both"/>
        <w:rPr>
          <w:rFonts w:ascii="Corbel" w:eastAsia="Corbel" w:hAnsi="Corbel" w:cs="Corbel"/>
          <w:color w:val="222222"/>
          <w:highlight w:val="white"/>
          <w:lang w:val="es-MX"/>
        </w:rPr>
      </w:pPr>
    </w:p>
    <w:p w14:paraId="1353FB64" w14:textId="17BE1CA4" w:rsidR="009E0CA3" w:rsidRPr="009E0CA3" w:rsidRDefault="0044537D" w:rsidP="009E0CA3">
      <w:pPr>
        <w:spacing w:line="240" w:lineRule="auto"/>
        <w:jc w:val="both"/>
        <w:rPr>
          <w:rFonts w:ascii="Corbel" w:eastAsia="Corbel" w:hAnsi="Corbel" w:cs="Corbel"/>
          <w:color w:val="222222"/>
          <w:highlight w:val="white"/>
          <w:lang w:val="es-MX"/>
        </w:rPr>
      </w:pPr>
      <w:r w:rsidRPr="006A0372">
        <w:rPr>
          <w:rFonts w:ascii="Corbel" w:eastAsia="Corbel" w:hAnsi="Corbel" w:cs="Corbel"/>
          <w:color w:val="222222"/>
          <w:lang w:val="es-MX"/>
        </w:rPr>
        <w:t>La Unidad de Investigación de Delitos para Personas Migrantes (UIDPM) y su Mecanismo de Apoyo Exterior Mexicano de Búsqueda e Investigación (MAE)</w:t>
      </w:r>
      <w:r w:rsidRPr="006A0372">
        <w:rPr>
          <w:rFonts w:ascii="Corbel" w:eastAsia="Corbel" w:hAnsi="Corbel" w:cs="Corbel"/>
          <w:color w:val="222222"/>
          <w:highlight w:val="white"/>
          <w:lang w:val="es-MX"/>
        </w:rPr>
        <w:t xml:space="preserve"> </w:t>
      </w:r>
      <w:r w:rsidR="009E0CA3" w:rsidRPr="009E0CA3">
        <w:rPr>
          <w:rFonts w:ascii="Corbel" w:eastAsia="Corbel" w:hAnsi="Corbel" w:cs="Corbel"/>
          <w:color w:val="222222"/>
          <w:highlight w:val="white"/>
          <w:lang w:val="es-MX"/>
        </w:rPr>
        <w:t xml:space="preserve">operan con recursos limitados y sin protocolos con </w:t>
      </w:r>
      <w:hyperlink r:id="rId26" w:history="1">
        <w:r w:rsidR="009E0CA3" w:rsidRPr="00BB384C">
          <w:rPr>
            <w:rStyle w:val="Hipervnculo"/>
            <w:rFonts w:ascii="Corbel" w:eastAsia="Corbel" w:hAnsi="Corbel" w:cs="Corbel"/>
            <w:highlight w:val="white"/>
            <w:lang w:val="es-MX"/>
          </w:rPr>
          <w:t>enfoque de género y movilidad</w:t>
        </w:r>
      </w:hyperlink>
      <w:r w:rsidR="009E0CA3" w:rsidRPr="009E0CA3">
        <w:rPr>
          <w:rFonts w:ascii="Corbel" w:eastAsia="Corbel" w:hAnsi="Corbel" w:cs="Corbel"/>
          <w:color w:val="222222"/>
          <w:highlight w:val="white"/>
          <w:lang w:val="es-MX"/>
        </w:rPr>
        <w:t xml:space="preserve">. Entre </w:t>
      </w:r>
      <w:hyperlink r:id="rId27" w:history="1">
        <w:r w:rsidR="009E0CA3" w:rsidRPr="00BB384C">
          <w:rPr>
            <w:rStyle w:val="Hipervnculo"/>
            <w:rFonts w:ascii="Corbel" w:eastAsia="Corbel" w:hAnsi="Corbel" w:cs="Corbel"/>
            <w:highlight w:val="white"/>
            <w:lang w:val="es-MX"/>
          </w:rPr>
          <w:t>2018 y 2024</w:t>
        </w:r>
      </w:hyperlink>
      <w:r w:rsidR="009E0CA3" w:rsidRPr="009E0CA3">
        <w:rPr>
          <w:rFonts w:ascii="Corbel" w:eastAsia="Corbel" w:hAnsi="Corbel" w:cs="Corbel"/>
          <w:color w:val="222222"/>
          <w:highlight w:val="white"/>
          <w:lang w:val="es-MX"/>
        </w:rPr>
        <w:t>, la UIDPM inició más de 10 mil investigaciones por delitos contra personas migrantes, pero ninguna fue judicializada, reflejando una preocupante impunidad del 100</w:t>
      </w:r>
      <w:r w:rsidR="009E0CA3" w:rsidRPr="009E0CA3">
        <w:rPr>
          <w:rFonts w:eastAsia="Corbel"/>
          <w:color w:val="222222"/>
          <w:highlight w:val="white"/>
          <w:lang w:val="es-MX"/>
        </w:rPr>
        <w:t> </w:t>
      </w:r>
      <w:r w:rsidR="009E0CA3" w:rsidRPr="009E0CA3">
        <w:rPr>
          <w:rFonts w:ascii="Corbel" w:eastAsia="Corbel" w:hAnsi="Corbel" w:cs="Corbel"/>
          <w:color w:val="222222"/>
          <w:highlight w:val="white"/>
          <w:lang w:val="es-MX"/>
        </w:rPr>
        <w:t>%.</w:t>
      </w:r>
    </w:p>
    <w:p w14:paraId="437B7A6F" w14:textId="77777777" w:rsidR="004136C3" w:rsidRPr="006A0372" w:rsidRDefault="004136C3" w:rsidP="00CA2FAC">
      <w:pPr>
        <w:spacing w:line="240" w:lineRule="auto"/>
        <w:jc w:val="both"/>
        <w:rPr>
          <w:rFonts w:ascii="Corbel" w:eastAsia="Corbel" w:hAnsi="Corbel" w:cs="Corbel"/>
          <w:color w:val="222222"/>
          <w:highlight w:val="white"/>
          <w:lang w:val="es-MX"/>
        </w:rPr>
      </w:pPr>
    </w:p>
    <w:p w14:paraId="0BB8B4F8" w14:textId="77777777" w:rsidR="004136C3" w:rsidRPr="006A0372" w:rsidRDefault="004136C3" w:rsidP="00CA2FAC">
      <w:pPr>
        <w:spacing w:line="240" w:lineRule="auto"/>
        <w:jc w:val="both"/>
        <w:rPr>
          <w:rFonts w:ascii="Corbel" w:eastAsia="Corbel" w:hAnsi="Corbel" w:cs="Corbel"/>
          <w:b/>
          <w:bCs/>
          <w:color w:val="222222"/>
          <w:highlight w:val="white"/>
        </w:rPr>
      </w:pPr>
      <w:r w:rsidRPr="006A0372">
        <w:rPr>
          <w:rFonts w:ascii="Corbel" w:eastAsia="Corbel" w:hAnsi="Corbel" w:cs="Corbel"/>
          <w:b/>
          <w:bCs/>
          <w:color w:val="222222"/>
          <w:highlight w:val="white"/>
        </w:rPr>
        <w:t>Recomendaciones</w:t>
      </w:r>
    </w:p>
    <w:p w14:paraId="3DEC2740" w14:textId="77777777" w:rsidR="004136C3" w:rsidRPr="006A0372" w:rsidRDefault="004136C3" w:rsidP="00CA2FAC">
      <w:pPr>
        <w:spacing w:line="240" w:lineRule="auto"/>
        <w:jc w:val="both"/>
        <w:rPr>
          <w:rFonts w:ascii="Corbel" w:eastAsia="Corbel" w:hAnsi="Corbel" w:cs="Corbel"/>
          <w:b/>
          <w:bCs/>
          <w:color w:val="222222"/>
          <w:highlight w:val="white"/>
        </w:rPr>
      </w:pPr>
    </w:p>
    <w:p w14:paraId="1B944EC0" w14:textId="020BFBE2" w:rsidR="004136C3" w:rsidRPr="004136C3" w:rsidRDefault="004136C3" w:rsidP="00CA2FAC">
      <w:pPr>
        <w:numPr>
          <w:ilvl w:val="0"/>
          <w:numId w:val="7"/>
        </w:numPr>
        <w:spacing w:line="240" w:lineRule="auto"/>
        <w:jc w:val="both"/>
        <w:textAlignment w:val="baseline"/>
        <w:rPr>
          <w:rFonts w:ascii="Corbel" w:eastAsia="Times New Roman" w:hAnsi="Corbel" w:cs="Times New Roman"/>
          <w:color w:val="000000"/>
          <w:lang w:val="es-MX"/>
        </w:rPr>
      </w:pPr>
      <w:r w:rsidRPr="004136C3">
        <w:rPr>
          <w:rFonts w:ascii="Corbel" w:eastAsia="Times New Roman" w:hAnsi="Corbel" w:cs="Times New Roman"/>
          <w:color w:val="000000"/>
          <w:lang w:val="es-MX"/>
        </w:rPr>
        <w:t xml:space="preserve">Mejorar los mecanismos de recopilación de datos estadísticos sobre incidencia de conductas de violencia y/o discriminación en contra personas migrantes y sujetas de protección internacional, como mínimo se propone desagregar los datos con las siguientes variables: la </w:t>
      </w:r>
      <w:r w:rsidR="0044537D" w:rsidRPr="006A0372">
        <w:rPr>
          <w:rFonts w:ascii="Corbel" w:eastAsia="Times New Roman" w:hAnsi="Corbel" w:cs="Times New Roman"/>
          <w:color w:val="000000"/>
          <w:lang w:val="es-MX"/>
        </w:rPr>
        <w:t>auto adscripción</w:t>
      </w:r>
      <w:r w:rsidRPr="004136C3">
        <w:rPr>
          <w:rFonts w:ascii="Corbel" w:eastAsia="Times New Roman" w:hAnsi="Corbel" w:cs="Times New Roman"/>
          <w:color w:val="000000"/>
          <w:lang w:val="es-MX"/>
        </w:rPr>
        <w:t xml:space="preserve"> indígena; la </w:t>
      </w:r>
      <w:r w:rsidR="0044537D" w:rsidRPr="006A0372">
        <w:rPr>
          <w:rFonts w:ascii="Corbel" w:eastAsia="Times New Roman" w:hAnsi="Corbel" w:cs="Times New Roman"/>
          <w:color w:val="000000"/>
          <w:lang w:val="es-MX"/>
        </w:rPr>
        <w:t>auto adscripción</w:t>
      </w:r>
      <w:r w:rsidRPr="004136C3">
        <w:rPr>
          <w:rFonts w:ascii="Corbel" w:eastAsia="Times New Roman" w:hAnsi="Corbel" w:cs="Times New Roman"/>
          <w:color w:val="000000"/>
          <w:lang w:val="es-MX"/>
        </w:rPr>
        <w:t xml:space="preserve"> afrodescendiente; edad, país de origen, lugar </w:t>
      </w:r>
      <w:r w:rsidRPr="004136C3">
        <w:rPr>
          <w:rFonts w:ascii="Corbel" w:eastAsia="Times New Roman" w:hAnsi="Corbel" w:cs="Times New Roman"/>
          <w:color w:val="000000"/>
          <w:lang w:val="es-MX"/>
        </w:rPr>
        <w:lastRenderedPageBreak/>
        <w:t>de entrada, el color de piel; la orientación sexual; la identidad de género, condición de discapacidad, estrato socioeconómico, así como otras características etarias.</w:t>
      </w:r>
    </w:p>
    <w:p w14:paraId="239DD167" w14:textId="77777777" w:rsidR="004136C3" w:rsidRPr="004136C3" w:rsidRDefault="004136C3" w:rsidP="00CA2FAC">
      <w:pPr>
        <w:numPr>
          <w:ilvl w:val="0"/>
          <w:numId w:val="7"/>
        </w:numPr>
        <w:spacing w:line="240" w:lineRule="auto"/>
        <w:jc w:val="both"/>
        <w:textAlignment w:val="baseline"/>
        <w:rPr>
          <w:rFonts w:ascii="Corbel" w:eastAsia="Times New Roman" w:hAnsi="Corbel" w:cs="Times New Roman"/>
          <w:color w:val="000000"/>
          <w:lang w:val="es-MX"/>
        </w:rPr>
      </w:pPr>
      <w:r w:rsidRPr="004136C3">
        <w:rPr>
          <w:rFonts w:ascii="Corbel" w:eastAsia="Times New Roman" w:hAnsi="Corbel" w:cs="Times New Roman"/>
          <w:color w:val="000000"/>
          <w:lang w:val="es-MX"/>
        </w:rPr>
        <w:t xml:space="preserve">Promover la creación de una mesa interinstitucional para el diseño e implementación de políticas de migración y asilo con perspectiva de género, que reconozca el papel de las mujeres en la migración y promueva su autonomía y liderazgo, entre el Instituto Nacional de Migración, Comisión Mexicana de Ayuda a Refugiados, autoridades del Sistema Nacional de Protección de Niñas, Niños y Adolescentes con el Instituto Nacional de las Mujeres y la Comisión Nacional para Prevenir y Erradicar la Violencia Contra las Mujeres, Secretaría del Bienestar, </w:t>
      </w:r>
      <w:proofErr w:type="spellStart"/>
      <w:r w:rsidRPr="004136C3">
        <w:rPr>
          <w:rFonts w:ascii="Corbel" w:eastAsia="Times New Roman" w:hAnsi="Corbel" w:cs="Times New Roman"/>
          <w:color w:val="000000"/>
          <w:lang w:val="es-MX"/>
        </w:rPr>
        <w:t>etc</w:t>
      </w:r>
      <w:proofErr w:type="spellEnd"/>
      <w:r w:rsidRPr="004136C3">
        <w:rPr>
          <w:rFonts w:ascii="Corbel" w:eastAsia="Times New Roman" w:hAnsi="Corbel" w:cs="Times New Roman"/>
          <w:color w:val="000000"/>
          <w:lang w:val="es-MX"/>
        </w:rPr>
        <w:t xml:space="preserve"> con sus pares estatales y sociedad civil.</w:t>
      </w:r>
    </w:p>
    <w:p w14:paraId="787711FD" w14:textId="77777777" w:rsidR="004136C3" w:rsidRPr="004136C3" w:rsidRDefault="004136C3" w:rsidP="00CA2FAC">
      <w:pPr>
        <w:numPr>
          <w:ilvl w:val="0"/>
          <w:numId w:val="7"/>
        </w:numPr>
        <w:spacing w:line="240" w:lineRule="auto"/>
        <w:jc w:val="both"/>
        <w:textAlignment w:val="baseline"/>
        <w:rPr>
          <w:rFonts w:ascii="Corbel" w:eastAsia="Times New Roman" w:hAnsi="Corbel" w:cs="Times New Roman"/>
          <w:color w:val="000000"/>
          <w:lang w:val="es-MX"/>
        </w:rPr>
      </w:pPr>
      <w:r w:rsidRPr="004136C3">
        <w:rPr>
          <w:rFonts w:ascii="Corbel" w:eastAsia="Times New Roman" w:hAnsi="Corbel" w:cs="Times New Roman"/>
          <w:color w:val="000000"/>
          <w:lang w:val="es-MX"/>
        </w:rPr>
        <w:t xml:space="preserve">Establecer procedimientos estandarizados entre diferentes sectores y servicios (como Centros de Justicia para las Mujeres, fiscalías de delitos contra mujeres, refugios, autoridades del sistema de salud, acceso a programas de trabajo, </w:t>
      </w:r>
      <w:proofErr w:type="spellStart"/>
      <w:r w:rsidRPr="004136C3">
        <w:rPr>
          <w:rFonts w:ascii="Corbel" w:eastAsia="Times New Roman" w:hAnsi="Corbel" w:cs="Times New Roman"/>
          <w:color w:val="000000"/>
          <w:lang w:val="es-MX"/>
        </w:rPr>
        <w:t>etc</w:t>
      </w:r>
      <w:proofErr w:type="spellEnd"/>
      <w:r w:rsidRPr="004136C3">
        <w:rPr>
          <w:rFonts w:ascii="Corbel" w:eastAsia="Times New Roman" w:hAnsi="Corbel" w:cs="Times New Roman"/>
          <w:color w:val="000000"/>
          <w:lang w:val="es-MX"/>
        </w:rPr>
        <w:t xml:space="preserve">) para ofrecer una respuesta integral y no </w:t>
      </w:r>
      <w:proofErr w:type="spellStart"/>
      <w:r w:rsidRPr="004136C3">
        <w:rPr>
          <w:rFonts w:ascii="Corbel" w:eastAsia="Times New Roman" w:hAnsi="Corbel" w:cs="Times New Roman"/>
          <w:color w:val="000000"/>
          <w:lang w:val="es-MX"/>
        </w:rPr>
        <w:t>revictimizante</w:t>
      </w:r>
      <w:proofErr w:type="spellEnd"/>
      <w:r w:rsidRPr="004136C3">
        <w:rPr>
          <w:rFonts w:ascii="Corbel" w:eastAsia="Times New Roman" w:hAnsi="Corbel" w:cs="Times New Roman"/>
          <w:color w:val="000000"/>
          <w:lang w:val="es-MX"/>
        </w:rPr>
        <w:t xml:space="preserve"> a mujeres migrantes víctimas de violencia de género. </w:t>
      </w:r>
    </w:p>
    <w:p w14:paraId="0AFA123F" w14:textId="1D216988" w:rsidR="004136C3" w:rsidRPr="004136C3" w:rsidRDefault="004136C3" w:rsidP="00CA2FAC">
      <w:pPr>
        <w:numPr>
          <w:ilvl w:val="0"/>
          <w:numId w:val="7"/>
        </w:numPr>
        <w:spacing w:line="240" w:lineRule="auto"/>
        <w:jc w:val="both"/>
        <w:textAlignment w:val="baseline"/>
        <w:rPr>
          <w:rFonts w:ascii="Corbel" w:eastAsia="Times New Roman" w:hAnsi="Corbel" w:cs="Times New Roman"/>
          <w:color w:val="000000"/>
          <w:lang w:val="es-MX"/>
        </w:rPr>
      </w:pPr>
      <w:r w:rsidRPr="004136C3">
        <w:rPr>
          <w:rFonts w:ascii="Corbel" w:eastAsia="Times New Roman" w:hAnsi="Corbel" w:cs="Times New Roman"/>
          <w:color w:val="000000"/>
          <w:lang w:val="es-MX"/>
        </w:rPr>
        <w:t xml:space="preserve">Fortalecer los esfuerzos de capacitación y sensibilización sobre respuesta a las violencias de género, dirigidas a distintas autoridades respondientes desde un enfoque de derechos humanos, género y centrado en la atención integral de </w:t>
      </w:r>
      <w:r w:rsidR="00844D5C" w:rsidRPr="006A0372">
        <w:rPr>
          <w:rFonts w:ascii="Corbel" w:eastAsia="Times New Roman" w:hAnsi="Corbel" w:cs="Times New Roman"/>
          <w:color w:val="000000"/>
          <w:lang w:val="es-MX"/>
        </w:rPr>
        <w:t>las víctimas</w:t>
      </w:r>
      <w:r w:rsidRPr="004136C3">
        <w:rPr>
          <w:rFonts w:ascii="Corbel" w:eastAsia="Times New Roman" w:hAnsi="Corbel" w:cs="Times New Roman"/>
          <w:color w:val="000000"/>
          <w:lang w:val="es-MX"/>
        </w:rPr>
        <w:t>. Estos esfuerzos deberán incluir un mecanismo de impacto a partir de indicadores cuantitativos y cualitativos.</w:t>
      </w:r>
    </w:p>
    <w:p w14:paraId="548C8E8C" w14:textId="347F4865" w:rsidR="004136C3" w:rsidRPr="006A0372" w:rsidRDefault="004136C3" w:rsidP="00CA2FAC">
      <w:pPr>
        <w:numPr>
          <w:ilvl w:val="0"/>
          <w:numId w:val="7"/>
        </w:numPr>
        <w:spacing w:line="240" w:lineRule="auto"/>
        <w:jc w:val="both"/>
        <w:textAlignment w:val="baseline"/>
        <w:rPr>
          <w:rFonts w:ascii="Corbel" w:eastAsia="Times New Roman" w:hAnsi="Corbel" w:cs="Times New Roman"/>
          <w:color w:val="000000"/>
          <w:lang w:val="es-MX"/>
        </w:rPr>
      </w:pPr>
      <w:r w:rsidRPr="004136C3">
        <w:rPr>
          <w:rFonts w:ascii="Corbel" w:eastAsia="Times New Roman" w:hAnsi="Corbel" w:cs="Times New Roman"/>
          <w:color w:val="000000"/>
          <w:lang w:val="es-MX"/>
        </w:rPr>
        <w:t>Garantizar la adecuada implementación del protocolo para juzgar con perspectiva de género, el protocolo para juzgar con perspectiva de orientación sexual, identidad y expresión de género, y el protocolo para juzgar casos que involucren personas migrantes y sujetas de protección internacional con la finalidad de prevenir la discriminación y el prejuicio contra las mujeres y las personas de la diversidad sexual en contextos de movilidad en todos los niveles del sistema de justicia.  </w:t>
      </w:r>
    </w:p>
    <w:p w14:paraId="02742C45" w14:textId="77777777" w:rsidR="007E7A22" w:rsidRPr="006A0372" w:rsidRDefault="007E7A22" w:rsidP="00CA2FAC">
      <w:pPr>
        <w:spacing w:line="240" w:lineRule="auto"/>
        <w:jc w:val="both"/>
        <w:rPr>
          <w:rFonts w:ascii="Corbel" w:eastAsia="Corbel" w:hAnsi="Corbel" w:cs="Corbel"/>
          <w:color w:val="222222"/>
          <w:highlight w:val="white"/>
        </w:rPr>
      </w:pPr>
    </w:p>
    <w:p w14:paraId="139E2E38" w14:textId="0C89C61C" w:rsidR="00D87C90" w:rsidRPr="006A0372" w:rsidRDefault="00F62F7E" w:rsidP="006A0372">
      <w:pPr>
        <w:pStyle w:val="Ttulo3"/>
        <w:rPr>
          <w:rStyle w:val="nfasis"/>
          <w:rFonts w:ascii="Corbel" w:hAnsi="Corbel"/>
          <w:color w:val="auto"/>
          <w:sz w:val="24"/>
          <w:szCs w:val="24"/>
          <w:highlight w:val="white"/>
        </w:rPr>
      </w:pPr>
      <w:bookmarkStart w:id="4" w:name="_Toc198501180"/>
      <w:r w:rsidRPr="006A0372">
        <w:rPr>
          <w:rStyle w:val="nfasis"/>
          <w:rFonts w:ascii="Corbel" w:hAnsi="Corbel"/>
          <w:color w:val="auto"/>
          <w:sz w:val="24"/>
          <w:szCs w:val="24"/>
          <w:highlight w:val="white"/>
        </w:rPr>
        <w:t xml:space="preserve">III.II. </w:t>
      </w:r>
      <w:r w:rsidR="00D87C90" w:rsidRPr="006A0372">
        <w:rPr>
          <w:rStyle w:val="nfasis"/>
          <w:rFonts w:ascii="Corbel" w:hAnsi="Corbel"/>
          <w:color w:val="auto"/>
          <w:sz w:val="24"/>
          <w:szCs w:val="24"/>
          <w:highlight w:val="white"/>
        </w:rPr>
        <w:t>Derecho al libre tránsito</w:t>
      </w:r>
      <w:bookmarkEnd w:id="4"/>
    </w:p>
    <w:p w14:paraId="7EECBF00" w14:textId="77777777" w:rsidR="00D87C90" w:rsidRPr="006A0372" w:rsidRDefault="00D87C90" w:rsidP="00CA2FAC">
      <w:pPr>
        <w:spacing w:line="240" w:lineRule="auto"/>
        <w:jc w:val="both"/>
        <w:rPr>
          <w:rFonts w:ascii="Corbel" w:eastAsia="Corbel" w:hAnsi="Corbel" w:cs="Corbel"/>
          <w:color w:val="222222"/>
          <w:highlight w:val="white"/>
        </w:rPr>
      </w:pPr>
    </w:p>
    <w:p w14:paraId="4029A364" w14:textId="77777777" w:rsidR="00CA2FAC" w:rsidRPr="00CA2FAC" w:rsidRDefault="00CA2FAC" w:rsidP="00CA2FAC">
      <w:pPr>
        <w:spacing w:line="240" w:lineRule="auto"/>
        <w:jc w:val="both"/>
        <w:rPr>
          <w:rFonts w:ascii="Corbel" w:eastAsia="Corbel" w:hAnsi="Corbel" w:cs="Corbel"/>
          <w:color w:val="222222"/>
          <w:highlight w:val="white"/>
          <w:lang w:val="es-MX"/>
        </w:rPr>
      </w:pPr>
      <w:r w:rsidRPr="00CA2FAC">
        <w:rPr>
          <w:rFonts w:ascii="Corbel" w:eastAsia="Corbel" w:hAnsi="Corbel" w:cs="Corbel"/>
          <w:color w:val="222222"/>
          <w:highlight w:val="white"/>
          <w:lang w:val="es-MX"/>
        </w:rPr>
        <w:t>Aunque el Comité CEDAW recomendó a México eliminar la privación de libertad por motivos migratorios y adoptar medidas alternativas a la detención, debido al impacto diferenciado que esta práctica tiene sobre mujeres y niñas, la detención migratoria continúa siendo la norma en lugar de la excepción. A pesar del precedente establecido por la Suprema Corte en el Amparo 388/2022 —que declaró inconstitucional el artículo 111 de la Ley de Migración y fijó un límite máximo de 36 horas para este tipo de detención—, la medida sigue aplicándose como herramienta principal de contención de la migración irregular.</w:t>
      </w:r>
    </w:p>
    <w:p w14:paraId="5240CDAE" w14:textId="18449F0E" w:rsidR="00CA2FAC" w:rsidRPr="00CA2FAC" w:rsidRDefault="00CA2FAC" w:rsidP="00CA2FAC">
      <w:pPr>
        <w:spacing w:line="240" w:lineRule="auto"/>
        <w:jc w:val="both"/>
        <w:rPr>
          <w:rFonts w:ascii="Corbel" w:eastAsia="Corbel" w:hAnsi="Corbel" w:cs="Corbel"/>
          <w:color w:val="222222"/>
          <w:highlight w:val="white"/>
          <w:lang w:val="es-MX"/>
        </w:rPr>
      </w:pPr>
      <w:r w:rsidRPr="00CA2FAC">
        <w:rPr>
          <w:rFonts w:ascii="Corbel" w:eastAsia="Corbel" w:hAnsi="Corbel" w:cs="Corbel"/>
          <w:color w:val="222222"/>
          <w:highlight w:val="white"/>
          <w:lang w:val="es-MX"/>
        </w:rPr>
        <w:t xml:space="preserve">Un ejemplo alarmante de esta práctica es el incremento significativo de </w:t>
      </w:r>
      <w:hyperlink r:id="rId28" w:history="1">
        <w:r w:rsidRPr="00435EE9">
          <w:rPr>
            <w:rStyle w:val="Hipervnculo"/>
            <w:rFonts w:ascii="Corbel" w:eastAsia="Corbel" w:hAnsi="Corbel" w:cs="Corbel"/>
            <w:highlight w:val="white"/>
            <w:lang w:val="es-MX"/>
          </w:rPr>
          <w:t>detenciones migratorias</w:t>
        </w:r>
      </w:hyperlink>
      <w:r w:rsidRPr="00CA2FAC">
        <w:rPr>
          <w:rFonts w:ascii="Corbel" w:eastAsia="Corbel" w:hAnsi="Corbel" w:cs="Corbel"/>
          <w:color w:val="222222"/>
          <w:highlight w:val="white"/>
          <w:lang w:val="es-MX"/>
        </w:rPr>
        <w:t xml:space="preserve"> de mujeres durante la administración de Andrés Manuel López Obrador, con un total de 851,500 </w:t>
      </w:r>
      <w:r w:rsidR="00FB6C04" w:rsidRPr="006A0372">
        <w:rPr>
          <w:rFonts w:ascii="Corbel" w:eastAsia="Corbel" w:hAnsi="Corbel" w:cs="Corbel"/>
          <w:color w:val="222222"/>
          <w:highlight w:val="white"/>
          <w:lang w:val="es-MX"/>
        </w:rPr>
        <w:t>evento</w:t>
      </w:r>
      <w:r w:rsidRPr="00CA2FAC">
        <w:rPr>
          <w:rFonts w:ascii="Corbel" w:eastAsia="Corbel" w:hAnsi="Corbel" w:cs="Corbel"/>
          <w:color w:val="222222"/>
          <w:highlight w:val="white"/>
          <w:lang w:val="es-MX"/>
        </w:rPr>
        <w:t>s, frente a los 177,270 registrados en el sexenio anterior.</w:t>
      </w:r>
      <w:r w:rsidR="00FB6C04" w:rsidRPr="006A0372">
        <w:rPr>
          <w:rStyle w:val="Refdenotaalpie"/>
          <w:rFonts w:ascii="Corbel" w:eastAsia="Corbel" w:hAnsi="Corbel" w:cs="Corbel"/>
          <w:color w:val="222222"/>
          <w:highlight w:val="white"/>
          <w:lang w:val="es-MX"/>
        </w:rPr>
        <w:footnoteReference w:id="2"/>
      </w:r>
      <w:r w:rsidRPr="006A0372">
        <w:rPr>
          <w:rFonts w:ascii="Corbel" w:eastAsia="Corbel" w:hAnsi="Corbel" w:cs="Corbel"/>
          <w:color w:val="222222"/>
          <w:highlight w:val="white"/>
          <w:lang w:val="es-MX"/>
        </w:rPr>
        <w:t xml:space="preserve"> </w:t>
      </w:r>
      <w:r w:rsidRPr="00CA2FAC">
        <w:rPr>
          <w:rFonts w:ascii="Corbel" w:eastAsia="Corbel" w:hAnsi="Corbel" w:cs="Corbel"/>
          <w:color w:val="222222"/>
          <w:highlight w:val="white"/>
          <w:lang w:val="es-MX"/>
        </w:rPr>
        <w:t>A</w:t>
      </w:r>
      <w:r w:rsidRPr="006A0372">
        <w:rPr>
          <w:rFonts w:ascii="Corbel" w:eastAsia="Corbel" w:hAnsi="Corbel" w:cs="Corbel"/>
          <w:color w:val="222222"/>
          <w:highlight w:val="white"/>
          <w:lang w:val="es-MX"/>
        </w:rPr>
        <w:t>demás, a</w:t>
      </w:r>
      <w:r w:rsidRPr="00CA2FAC">
        <w:rPr>
          <w:rFonts w:ascii="Corbel" w:eastAsia="Corbel" w:hAnsi="Corbel" w:cs="Corbel"/>
          <w:color w:val="222222"/>
          <w:highlight w:val="white"/>
          <w:lang w:val="es-MX"/>
        </w:rPr>
        <w:t xml:space="preserve"> pesar de la resolución emitida en el Amparo en Revisión 459/2024, que ordenó la creación de un registro de personas migrantes detenidas, esta medida no ha sido implementada. La falta de cumplimiento por parte de las autoridades refuerza la preocupación sobre la violación de derechos humanos en estos procedimientos y la falta de rendición de cuentas en el sistema migratorio.</w:t>
      </w:r>
      <w:r w:rsidRPr="006A0372">
        <w:rPr>
          <w:rFonts w:ascii="Corbel" w:eastAsia="Corbel" w:hAnsi="Corbel" w:cs="Corbel"/>
          <w:color w:val="222222"/>
          <w:highlight w:val="white"/>
          <w:lang w:val="es-MX"/>
        </w:rPr>
        <w:t xml:space="preserve"> Muchas mujeres permanecen en detención migratoria sin poder dar con su paradero debido a que el registro no es público. </w:t>
      </w:r>
    </w:p>
    <w:p w14:paraId="761FC774" w14:textId="0410F9E3" w:rsidR="00D87C90" w:rsidRPr="00D87C90" w:rsidRDefault="00D87C90" w:rsidP="00CA2FAC">
      <w:pPr>
        <w:spacing w:line="240" w:lineRule="auto"/>
        <w:jc w:val="both"/>
        <w:rPr>
          <w:rFonts w:ascii="Corbel" w:eastAsia="Corbel" w:hAnsi="Corbel" w:cs="Corbel"/>
          <w:color w:val="222222"/>
          <w:highlight w:val="white"/>
          <w:lang w:val="es-MX"/>
        </w:rPr>
      </w:pPr>
      <w:r w:rsidRPr="00D87C90">
        <w:rPr>
          <w:rFonts w:ascii="Corbel" w:eastAsia="Corbel" w:hAnsi="Corbel" w:cs="Corbel"/>
          <w:color w:val="222222"/>
          <w:highlight w:val="white"/>
          <w:lang w:val="es-MX"/>
        </w:rPr>
        <w:t>.</w:t>
      </w:r>
    </w:p>
    <w:p w14:paraId="3C33A540" w14:textId="1098B2E3" w:rsidR="00D87C90" w:rsidRPr="006A0372" w:rsidRDefault="00D87C90" w:rsidP="00CA2FAC">
      <w:pPr>
        <w:spacing w:line="240" w:lineRule="auto"/>
        <w:jc w:val="both"/>
        <w:rPr>
          <w:rFonts w:ascii="Corbel" w:eastAsia="Corbel" w:hAnsi="Corbel" w:cs="Corbel"/>
          <w:color w:val="222222"/>
          <w:highlight w:val="white"/>
          <w:lang w:val="es-MX"/>
        </w:rPr>
      </w:pPr>
      <w:r w:rsidRPr="00D87C90">
        <w:rPr>
          <w:rFonts w:ascii="Corbel" w:eastAsia="Corbel" w:hAnsi="Corbel" w:cs="Corbel"/>
          <w:color w:val="222222"/>
          <w:highlight w:val="white"/>
          <w:lang w:val="es-MX"/>
        </w:rPr>
        <w:t xml:space="preserve">A esta situación se suma una política de desgaste documentada por el IMUMI, que desde 2021 ha evidenciado cómo miles de personas extranjeras, con la intención de llegar a la frontera norte, son detenidas por agentes migratorios y regresadas a la frontera sur por vía terrestre. Esto las obliga a retomar la ruta hacia el norte desde el sur, exponiéndolas a extorsiones y secuestros por parte de </w:t>
      </w:r>
      <w:r w:rsidRPr="00D87C90">
        <w:rPr>
          <w:rFonts w:ascii="Corbel" w:eastAsia="Corbel" w:hAnsi="Corbel" w:cs="Corbel"/>
          <w:color w:val="222222"/>
          <w:highlight w:val="white"/>
          <w:lang w:val="es-MX"/>
        </w:rPr>
        <w:lastRenderedPageBreak/>
        <w:t xml:space="preserve">autoridades y grupos del crimen organizado en todo el territorio. En 2023, el INM realizó aproximadamente 3,153 </w:t>
      </w:r>
      <w:hyperlink r:id="rId29" w:history="1">
        <w:r w:rsidRPr="00435EE9">
          <w:rPr>
            <w:rStyle w:val="Hipervnculo"/>
            <w:rFonts w:ascii="Corbel" w:eastAsia="Corbel" w:hAnsi="Corbel" w:cs="Corbel"/>
            <w:highlight w:val="white"/>
            <w:lang w:val="es-MX"/>
          </w:rPr>
          <w:t>reubicaciones terrestres</w:t>
        </w:r>
      </w:hyperlink>
      <w:r w:rsidRPr="00D87C90">
        <w:rPr>
          <w:rFonts w:ascii="Corbel" w:eastAsia="Corbel" w:hAnsi="Corbel" w:cs="Corbel"/>
          <w:color w:val="222222"/>
          <w:highlight w:val="white"/>
          <w:lang w:val="es-MX"/>
        </w:rPr>
        <w:t xml:space="preserve"> de </w:t>
      </w:r>
      <w:r w:rsidR="00435EE9">
        <w:rPr>
          <w:rFonts w:ascii="Corbel" w:eastAsia="Corbel" w:hAnsi="Corbel" w:cs="Corbel"/>
          <w:color w:val="222222"/>
          <w:highlight w:val="white"/>
          <w:lang w:val="es-MX"/>
        </w:rPr>
        <w:t xml:space="preserve">personas </w:t>
      </w:r>
      <w:r w:rsidRPr="00D87C90">
        <w:rPr>
          <w:rFonts w:ascii="Corbel" w:eastAsia="Corbel" w:hAnsi="Corbel" w:cs="Corbel"/>
          <w:color w:val="222222"/>
          <w:highlight w:val="white"/>
          <w:lang w:val="es-MX"/>
        </w:rPr>
        <w:t xml:space="preserve">migrantes, trasladando a personas desde los estados del norte hacia Veracruz, Tabasco y Chiapas, afectando a un total de 47,260 personas movilizadas en contra de su voluntad. De estas, el 25% eran mujeres y el 4% niños, niñas y adolescentes. Tras ser </w:t>
      </w:r>
      <w:hyperlink r:id="rId30" w:history="1">
        <w:r w:rsidRPr="00435EE9">
          <w:rPr>
            <w:rStyle w:val="Hipervnculo"/>
            <w:rFonts w:ascii="Corbel" w:eastAsia="Corbel" w:hAnsi="Corbel" w:cs="Corbel"/>
            <w:highlight w:val="white"/>
            <w:lang w:val="es-MX"/>
          </w:rPr>
          <w:t>contenidas y regresadas al sur del país</w:t>
        </w:r>
      </w:hyperlink>
      <w:r w:rsidRPr="00D87C90">
        <w:rPr>
          <w:rFonts w:ascii="Corbel" w:eastAsia="Corbel" w:hAnsi="Corbel" w:cs="Corbel"/>
          <w:color w:val="222222"/>
          <w:highlight w:val="white"/>
          <w:lang w:val="es-MX"/>
        </w:rPr>
        <w:t>, el personal del INM les abandona, sin proporcionarles información ni documentación migratoria, y en ocasiones les entrega un oficio para obligarles a salir del país. Esta práctica las deja en condiciones de vulnerabilidad, sin acceso a recursos ni hogar, e impide que ejerzan su derecho al libre tránsito. </w:t>
      </w:r>
    </w:p>
    <w:p w14:paraId="72E23998" w14:textId="77777777" w:rsidR="004136C3" w:rsidRPr="006A0372" w:rsidRDefault="004136C3" w:rsidP="00CA2FAC">
      <w:pPr>
        <w:spacing w:line="240" w:lineRule="auto"/>
        <w:jc w:val="both"/>
        <w:rPr>
          <w:rFonts w:ascii="Corbel" w:eastAsia="Corbel" w:hAnsi="Corbel" w:cs="Corbel"/>
          <w:color w:val="222222"/>
          <w:highlight w:val="white"/>
          <w:lang w:val="es-MX"/>
        </w:rPr>
      </w:pPr>
    </w:p>
    <w:p w14:paraId="027A2E18" w14:textId="1D995C11" w:rsidR="004136C3" w:rsidRPr="006A0372" w:rsidRDefault="004136C3" w:rsidP="00CA2FAC">
      <w:pPr>
        <w:spacing w:line="240" w:lineRule="auto"/>
        <w:jc w:val="both"/>
        <w:rPr>
          <w:rFonts w:ascii="Corbel" w:eastAsia="Corbel" w:hAnsi="Corbel" w:cs="Corbel"/>
          <w:b/>
          <w:bCs/>
          <w:color w:val="222222"/>
          <w:highlight w:val="white"/>
          <w:lang w:val="es-MX"/>
        </w:rPr>
      </w:pPr>
      <w:r w:rsidRPr="006A0372">
        <w:rPr>
          <w:rFonts w:ascii="Corbel" w:eastAsia="Corbel" w:hAnsi="Corbel" w:cs="Corbel"/>
          <w:b/>
          <w:bCs/>
          <w:color w:val="222222"/>
          <w:highlight w:val="white"/>
          <w:lang w:val="es-MX"/>
        </w:rPr>
        <w:t>Recomendaciones</w:t>
      </w:r>
    </w:p>
    <w:p w14:paraId="4D3C78E4" w14:textId="77777777" w:rsidR="004136C3" w:rsidRPr="006A0372" w:rsidRDefault="004136C3" w:rsidP="00CA2FAC">
      <w:pPr>
        <w:spacing w:line="240" w:lineRule="auto"/>
        <w:jc w:val="both"/>
        <w:rPr>
          <w:rFonts w:ascii="Corbel" w:eastAsia="Corbel" w:hAnsi="Corbel" w:cs="Corbel"/>
          <w:color w:val="222222"/>
          <w:highlight w:val="white"/>
          <w:lang w:val="es-MX"/>
        </w:rPr>
      </w:pPr>
    </w:p>
    <w:p w14:paraId="7F969B42" w14:textId="77777777" w:rsidR="004136C3" w:rsidRPr="006A0372" w:rsidRDefault="004136C3" w:rsidP="00CA2FAC">
      <w:pPr>
        <w:numPr>
          <w:ilvl w:val="0"/>
          <w:numId w:val="11"/>
        </w:numPr>
        <w:spacing w:line="240" w:lineRule="auto"/>
        <w:jc w:val="both"/>
        <w:rPr>
          <w:rFonts w:ascii="Corbel" w:eastAsia="Corbel" w:hAnsi="Corbel" w:cs="Corbel"/>
          <w:color w:val="222222"/>
          <w:highlight w:val="white"/>
          <w:lang w:val="es-MX"/>
        </w:rPr>
      </w:pPr>
      <w:r w:rsidRPr="004136C3">
        <w:rPr>
          <w:rFonts w:ascii="Corbel" w:eastAsia="Corbel" w:hAnsi="Corbel" w:cs="Corbel"/>
          <w:color w:val="222222"/>
          <w:highlight w:val="white"/>
          <w:lang w:val="es-MX"/>
        </w:rPr>
        <w:t>Avanzar hacia la no detención por razones migratorias implementando programas y políticas de alternativas a la detención.</w:t>
      </w:r>
    </w:p>
    <w:p w14:paraId="00CABBB2" w14:textId="6F8BCAC5" w:rsidR="00CA2FAC" w:rsidRPr="004136C3" w:rsidRDefault="00CA2FAC" w:rsidP="00CA2FAC">
      <w:pPr>
        <w:numPr>
          <w:ilvl w:val="0"/>
          <w:numId w:val="11"/>
        </w:numPr>
        <w:spacing w:line="240" w:lineRule="auto"/>
        <w:jc w:val="both"/>
        <w:rPr>
          <w:rFonts w:ascii="Corbel" w:eastAsia="Corbel" w:hAnsi="Corbel" w:cs="Corbel"/>
          <w:color w:val="222222"/>
          <w:highlight w:val="white"/>
          <w:lang w:val="es-MX"/>
        </w:rPr>
      </w:pPr>
      <w:r w:rsidRPr="006A0372">
        <w:rPr>
          <w:rFonts w:ascii="Corbel" w:eastAsia="Corbel" w:hAnsi="Corbel" w:cs="Corbel"/>
          <w:color w:val="222222"/>
          <w:highlight w:val="white"/>
        </w:rPr>
        <w:t>Reforme la Ley de Migración para que se estipule de manera clara el límite máximo de 36 horas para la detención migratoria, estableciendo mecanismos de supervisión que prevengan extensiones arbitrarias, como los traslados constantes. Asimismo, desarrolle sistemas de monitoreo que garanticen la aplicación uniforme de esta norma por parte de todas las autoridades involucradas.</w:t>
      </w:r>
    </w:p>
    <w:p w14:paraId="0414492F" w14:textId="77777777" w:rsidR="00CA2FAC" w:rsidRPr="006A0372" w:rsidRDefault="004136C3" w:rsidP="00CA2FAC">
      <w:pPr>
        <w:numPr>
          <w:ilvl w:val="0"/>
          <w:numId w:val="11"/>
        </w:numPr>
        <w:spacing w:line="240" w:lineRule="auto"/>
        <w:jc w:val="both"/>
        <w:rPr>
          <w:rFonts w:ascii="Corbel" w:eastAsia="Corbel" w:hAnsi="Corbel" w:cs="Corbel"/>
          <w:color w:val="222222"/>
          <w:highlight w:val="white"/>
          <w:lang w:val="es-MX"/>
        </w:rPr>
      </w:pPr>
      <w:r w:rsidRPr="004136C3">
        <w:rPr>
          <w:rFonts w:ascii="Corbel" w:eastAsia="Corbel" w:hAnsi="Corbel" w:cs="Corbel"/>
          <w:color w:val="222222"/>
          <w:highlight w:val="white"/>
          <w:lang w:val="es-MX"/>
        </w:rPr>
        <w:t>Establecer el registro de detenciones migratorias conforme al Amparo en Revisión 459/2024</w:t>
      </w:r>
      <w:r w:rsidR="00CA2FAC" w:rsidRPr="006A0372">
        <w:rPr>
          <w:rFonts w:ascii="Corbel" w:eastAsia="Corbel" w:hAnsi="Corbel" w:cs="Corbel"/>
          <w:color w:val="222222"/>
          <w:highlight w:val="white"/>
          <w:lang w:val="es-MX"/>
        </w:rPr>
        <w:t>.</w:t>
      </w:r>
    </w:p>
    <w:p w14:paraId="487D4B6E" w14:textId="166519C1" w:rsidR="004136C3" w:rsidRPr="006A0372" w:rsidRDefault="00CA2FAC" w:rsidP="00CA2FAC">
      <w:pPr>
        <w:numPr>
          <w:ilvl w:val="0"/>
          <w:numId w:val="11"/>
        </w:numPr>
        <w:spacing w:line="240" w:lineRule="auto"/>
        <w:jc w:val="both"/>
        <w:rPr>
          <w:rFonts w:ascii="Corbel" w:eastAsia="Corbel" w:hAnsi="Corbel" w:cs="Corbel"/>
          <w:color w:val="222222"/>
          <w:highlight w:val="white"/>
          <w:lang w:val="es-MX"/>
        </w:rPr>
      </w:pPr>
      <w:r w:rsidRPr="006A0372">
        <w:rPr>
          <w:rFonts w:ascii="Corbel" w:eastAsia="Corbel" w:hAnsi="Corbel" w:cs="Corbel"/>
          <w:color w:val="222222"/>
          <w:lang w:val="es-MX"/>
        </w:rPr>
        <w:t>Abstenerse de realizar traslados forzosos internos de personas migrantes, incluyendo mujeres, niñas y adolescentes, sin garantías procesales y sin contemplar derechos en juego, como estrategia de disuasión y control migratorio.</w:t>
      </w:r>
    </w:p>
    <w:p w14:paraId="616932BD" w14:textId="77777777" w:rsidR="007D4EAD" w:rsidRPr="006A0372" w:rsidRDefault="007D4EAD" w:rsidP="00CA2FAC">
      <w:pPr>
        <w:spacing w:line="240" w:lineRule="auto"/>
        <w:jc w:val="both"/>
        <w:rPr>
          <w:rFonts w:ascii="Corbel" w:eastAsia="Corbel" w:hAnsi="Corbel" w:cs="Corbel"/>
          <w:color w:val="222222"/>
          <w:highlight w:val="white"/>
          <w:lang w:val="es-MX"/>
        </w:rPr>
      </w:pPr>
    </w:p>
    <w:p w14:paraId="095B9B76" w14:textId="590590F1" w:rsidR="007D4EAD" w:rsidRPr="006A0372" w:rsidRDefault="00F62F7E" w:rsidP="006A0372">
      <w:pPr>
        <w:pStyle w:val="Ttulo3"/>
        <w:rPr>
          <w:rStyle w:val="nfasis"/>
          <w:rFonts w:ascii="Corbel" w:hAnsi="Corbel"/>
          <w:color w:val="auto"/>
          <w:sz w:val="24"/>
          <w:szCs w:val="24"/>
          <w:highlight w:val="white"/>
        </w:rPr>
      </w:pPr>
      <w:bookmarkStart w:id="5" w:name="_Toc198501181"/>
      <w:r w:rsidRPr="006A0372">
        <w:rPr>
          <w:rStyle w:val="nfasis"/>
          <w:rFonts w:ascii="Corbel" w:hAnsi="Corbel"/>
          <w:color w:val="auto"/>
          <w:sz w:val="24"/>
          <w:szCs w:val="24"/>
          <w:highlight w:val="white"/>
        </w:rPr>
        <w:t xml:space="preserve">III.III. </w:t>
      </w:r>
      <w:r w:rsidR="007D4EAD" w:rsidRPr="006A0372">
        <w:rPr>
          <w:rStyle w:val="nfasis"/>
          <w:rFonts w:ascii="Corbel" w:hAnsi="Corbel"/>
          <w:color w:val="auto"/>
          <w:sz w:val="24"/>
          <w:szCs w:val="24"/>
          <w:highlight w:val="white"/>
        </w:rPr>
        <w:t xml:space="preserve">Acceso a </w:t>
      </w:r>
      <w:r w:rsidR="007678B4" w:rsidRPr="006A0372">
        <w:rPr>
          <w:rStyle w:val="nfasis"/>
          <w:rFonts w:ascii="Corbel" w:hAnsi="Corbel"/>
          <w:color w:val="auto"/>
          <w:sz w:val="24"/>
          <w:szCs w:val="24"/>
          <w:highlight w:val="white"/>
        </w:rPr>
        <w:t>una condición jurídica regular</w:t>
      </w:r>
      <w:bookmarkEnd w:id="5"/>
    </w:p>
    <w:p w14:paraId="30D52F27" w14:textId="77777777" w:rsidR="007D4EAD" w:rsidRPr="006A0372" w:rsidRDefault="007D4EAD" w:rsidP="00CA2FAC">
      <w:pPr>
        <w:spacing w:line="240" w:lineRule="auto"/>
        <w:jc w:val="both"/>
        <w:rPr>
          <w:rFonts w:ascii="Corbel" w:eastAsia="Corbel" w:hAnsi="Corbel" w:cs="Corbel"/>
          <w:b/>
          <w:bCs/>
          <w:color w:val="222222"/>
          <w:highlight w:val="white"/>
          <w:lang w:val="es-MX"/>
        </w:rPr>
      </w:pPr>
    </w:p>
    <w:p w14:paraId="24411E5A" w14:textId="4E474687" w:rsidR="004136C3" w:rsidRPr="006A0372" w:rsidRDefault="004136C3" w:rsidP="00CA2FAC">
      <w:pPr>
        <w:spacing w:line="240" w:lineRule="auto"/>
        <w:jc w:val="both"/>
        <w:rPr>
          <w:rFonts w:ascii="Corbel" w:eastAsia="Corbel" w:hAnsi="Corbel" w:cs="Corbel"/>
          <w:color w:val="222222"/>
          <w:highlight w:val="white"/>
          <w:lang w:val="es-MX"/>
        </w:rPr>
      </w:pPr>
      <w:r w:rsidRPr="004136C3">
        <w:rPr>
          <w:rFonts w:ascii="Corbel" w:eastAsia="Corbel" w:hAnsi="Corbel" w:cs="Corbel"/>
          <w:color w:val="222222"/>
          <w:highlight w:val="white"/>
          <w:lang w:val="es-MX"/>
        </w:rPr>
        <w:t>Cuando las mujeres se ven forzadas a abandonar sus hogares, a menudo lo hacen sin pasaporte ni documentos de identidad. Esta falta de documentación compromete gravemente su dignidad y seguridad al llegar a México, ya que limita su capacidad para ejercer derechos básicos y acceder a servicios esenciales como atención médica, educación o transporte</w:t>
      </w:r>
      <w:r w:rsidRPr="006A0372">
        <w:rPr>
          <w:rFonts w:ascii="Corbel" w:eastAsia="Corbel" w:hAnsi="Corbel" w:cs="Corbel"/>
          <w:color w:val="222222"/>
          <w:highlight w:val="white"/>
          <w:lang w:val="es-MX"/>
        </w:rPr>
        <w:t>, denunciar o solicitar ayuda ante un hecho de violencia, etc</w:t>
      </w:r>
      <w:r w:rsidRPr="004136C3">
        <w:rPr>
          <w:rFonts w:ascii="Corbel" w:eastAsia="Corbel" w:hAnsi="Corbel" w:cs="Corbel"/>
          <w:color w:val="222222"/>
          <w:highlight w:val="white"/>
          <w:lang w:val="es-MX"/>
        </w:rPr>
        <w:t>.</w:t>
      </w:r>
      <w:r w:rsidRPr="006A0372">
        <w:rPr>
          <w:rFonts w:ascii="Corbel" w:eastAsia="Corbel" w:hAnsi="Corbel" w:cs="Corbel"/>
          <w:color w:val="222222"/>
          <w:highlight w:val="white"/>
          <w:lang w:val="es-MX"/>
        </w:rPr>
        <w:t xml:space="preserve"> </w:t>
      </w:r>
    </w:p>
    <w:p w14:paraId="1AB873CC" w14:textId="77777777" w:rsidR="004136C3" w:rsidRPr="004136C3" w:rsidRDefault="004136C3" w:rsidP="00CA2FAC">
      <w:pPr>
        <w:spacing w:line="240" w:lineRule="auto"/>
        <w:jc w:val="both"/>
        <w:rPr>
          <w:rFonts w:ascii="Corbel" w:eastAsia="Corbel" w:hAnsi="Corbel" w:cs="Corbel"/>
          <w:color w:val="222222"/>
          <w:highlight w:val="white"/>
          <w:lang w:val="es-MX"/>
        </w:rPr>
      </w:pPr>
    </w:p>
    <w:p w14:paraId="7136357D" w14:textId="3B45AAE6" w:rsidR="004136C3" w:rsidRPr="006A0372" w:rsidRDefault="004136C3" w:rsidP="00CA2FAC">
      <w:pPr>
        <w:spacing w:line="240" w:lineRule="auto"/>
        <w:jc w:val="both"/>
        <w:rPr>
          <w:rFonts w:ascii="Corbel" w:eastAsia="Corbel" w:hAnsi="Corbel" w:cs="Corbel"/>
          <w:color w:val="222222"/>
          <w:highlight w:val="white"/>
          <w:lang w:val="es-MX"/>
        </w:rPr>
      </w:pPr>
      <w:r w:rsidRPr="004136C3">
        <w:rPr>
          <w:rFonts w:ascii="Corbel" w:eastAsia="Corbel" w:hAnsi="Corbel" w:cs="Corbel"/>
          <w:color w:val="222222"/>
          <w:highlight w:val="white"/>
          <w:lang w:val="es-MX"/>
        </w:rPr>
        <w:t xml:space="preserve">La regularización migratoria representa un paso clave para una integración </w:t>
      </w:r>
      <w:r w:rsidRPr="006A0372">
        <w:rPr>
          <w:rFonts w:ascii="Corbel" w:eastAsia="Corbel" w:hAnsi="Corbel" w:cs="Corbel"/>
          <w:color w:val="222222"/>
          <w:highlight w:val="white"/>
          <w:lang w:val="es-MX"/>
        </w:rPr>
        <w:t xml:space="preserve">duraderas </w:t>
      </w:r>
      <w:r w:rsidRPr="004136C3">
        <w:rPr>
          <w:rFonts w:ascii="Corbel" w:eastAsia="Corbel" w:hAnsi="Corbel" w:cs="Corbel"/>
          <w:color w:val="222222"/>
          <w:highlight w:val="white"/>
          <w:lang w:val="es-MX"/>
        </w:rPr>
        <w:t>en las comunidades de destino. Sin embargo, en México las vías disponibles son escasas y no responden a las múltiples causas estructurales del desplazamiento en la región, como la violencia generalizada, los efectos del cambio climático o las dinámicas laborales impuestas por cadenas globales de producción.</w:t>
      </w:r>
    </w:p>
    <w:p w14:paraId="63AEFC39" w14:textId="77777777" w:rsidR="004136C3" w:rsidRPr="004136C3" w:rsidRDefault="004136C3" w:rsidP="00CA2FAC">
      <w:pPr>
        <w:spacing w:line="240" w:lineRule="auto"/>
        <w:jc w:val="both"/>
        <w:rPr>
          <w:rFonts w:ascii="Corbel" w:eastAsia="Corbel" w:hAnsi="Corbel" w:cs="Corbel"/>
          <w:color w:val="222222"/>
          <w:highlight w:val="white"/>
          <w:lang w:val="es-MX"/>
        </w:rPr>
      </w:pPr>
    </w:p>
    <w:p w14:paraId="47AEF199" w14:textId="498EBDB7" w:rsidR="004136C3" w:rsidRPr="006A0372" w:rsidRDefault="004136C3" w:rsidP="00CA2FAC">
      <w:pPr>
        <w:spacing w:line="240" w:lineRule="auto"/>
        <w:jc w:val="both"/>
        <w:rPr>
          <w:rFonts w:ascii="Corbel" w:eastAsia="Corbel" w:hAnsi="Corbel" w:cs="Corbel"/>
          <w:color w:val="222222"/>
          <w:highlight w:val="white"/>
          <w:lang w:val="es-MX"/>
        </w:rPr>
      </w:pPr>
      <w:r w:rsidRPr="004136C3">
        <w:rPr>
          <w:rFonts w:ascii="Corbel" w:eastAsia="Corbel" w:hAnsi="Corbel" w:cs="Corbel"/>
          <w:color w:val="222222"/>
          <w:highlight w:val="white"/>
          <w:lang w:val="es-MX"/>
        </w:rPr>
        <w:t>Existen mecanismos de regularización vinculados al empleo —como la visa de visitante con permiso para realizar actividades remuneradas o la de trabajador/a fronterizo/a—, pero su duración suele ser limitada. Además, en los casos en que se permite la residencia temporal por razones laborales, se exige que el empleador esté registrado ante el INM. Esto implica una serie de requisitos y trámites que muchas empresas no pueden cumplir, lo que empuja a muchas personas migrantes, especialmente mujeres, a emplearse en el sector informal.</w:t>
      </w:r>
    </w:p>
    <w:p w14:paraId="6BA7E900" w14:textId="77777777" w:rsidR="004136C3" w:rsidRPr="004136C3" w:rsidRDefault="004136C3" w:rsidP="00CA2FAC">
      <w:pPr>
        <w:spacing w:line="240" w:lineRule="auto"/>
        <w:jc w:val="both"/>
        <w:rPr>
          <w:rFonts w:ascii="Corbel" w:eastAsia="Corbel" w:hAnsi="Corbel" w:cs="Corbel"/>
          <w:color w:val="222222"/>
          <w:highlight w:val="white"/>
          <w:lang w:val="es-MX"/>
        </w:rPr>
      </w:pPr>
    </w:p>
    <w:p w14:paraId="57785F07" w14:textId="44E503A2" w:rsidR="004136C3" w:rsidRPr="004136C3" w:rsidRDefault="004136C3" w:rsidP="00CA2FAC">
      <w:pPr>
        <w:spacing w:line="240" w:lineRule="auto"/>
        <w:jc w:val="both"/>
        <w:rPr>
          <w:rFonts w:ascii="Corbel" w:eastAsia="Corbel" w:hAnsi="Corbel" w:cs="Corbel"/>
          <w:color w:val="222222"/>
          <w:highlight w:val="white"/>
          <w:lang w:val="es-MX"/>
        </w:rPr>
      </w:pPr>
      <w:r w:rsidRPr="004136C3">
        <w:rPr>
          <w:rFonts w:ascii="Corbel" w:eastAsia="Corbel" w:hAnsi="Corbel" w:cs="Corbel"/>
          <w:color w:val="222222"/>
          <w:highlight w:val="white"/>
          <w:lang w:val="es-MX"/>
        </w:rPr>
        <w:t>En este contexto, se evidencia una brecha de género en la emisión de documentación migratoria. Un ejemplo de ello es la e</w:t>
      </w:r>
      <w:r w:rsidRPr="006A0372">
        <w:rPr>
          <w:rFonts w:ascii="Corbel" w:eastAsia="Corbel" w:hAnsi="Corbel" w:cs="Corbel"/>
          <w:color w:val="222222"/>
          <w:highlight w:val="white"/>
          <w:lang w:val="es-MX"/>
        </w:rPr>
        <w:t>misión por parte del INM</w:t>
      </w:r>
      <w:r w:rsidRPr="004136C3">
        <w:rPr>
          <w:rFonts w:ascii="Corbel" w:eastAsia="Corbel" w:hAnsi="Corbel" w:cs="Corbel"/>
          <w:color w:val="222222"/>
          <w:highlight w:val="white"/>
          <w:lang w:val="es-MX"/>
        </w:rPr>
        <w:t xml:space="preserve"> de </w:t>
      </w:r>
      <w:hyperlink r:id="rId31" w:history="1">
        <w:r w:rsidRPr="00435EE9">
          <w:rPr>
            <w:rStyle w:val="Hipervnculo"/>
            <w:rFonts w:ascii="Corbel" w:eastAsia="Corbel" w:hAnsi="Corbel" w:cs="Corbel"/>
            <w:highlight w:val="white"/>
            <w:lang w:val="es-MX"/>
          </w:rPr>
          <w:t>Tarjetas de Visitante Trabajadora Fronteriza</w:t>
        </w:r>
      </w:hyperlink>
      <w:r w:rsidRPr="004136C3">
        <w:rPr>
          <w:rFonts w:ascii="Corbel" w:eastAsia="Corbel" w:hAnsi="Corbel" w:cs="Corbel"/>
          <w:color w:val="222222"/>
          <w:highlight w:val="white"/>
          <w:lang w:val="es-MX"/>
        </w:rPr>
        <w:t>: entre 2019 y 2024, el 86.9</w:t>
      </w:r>
      <w:r w:rsidRPr="004136C3">
        <w:rPr>
          <w:rFonts w:eastAsia="Corbel"/>
          <w:color w:val="222222"/>
          <w:highlight w:val="white"/>
          <w:lang w:val="es-MX"/>
        </w:rPr>
        <w:t> </w:t>
      </w:r>
      <w:r w:rsidRPr="004136C3">
        <w:rPr>
          <w:rFonts w:ascii="Corbel" w:eastAsia="Corbel" w:hAnsi="Corbel" w:cs="Corbel"/>
          <w:color w:val="222222"/>
          <w:highlight w:val="white"/>
          <w:lang w:val="es-MX"/>
        </w:rPr>
        <w:t>% de estas tarjetas fueron otorgadas a hombres, frente a solo un 13.1</w:t>
      </w:r>
      <w:r w:rsidRPr="004136C3">
        <w:rPr>
          <w:rFonts w:eastAsia="Corbel"/>
          <w:color w:val="222222"/>
          <w:highlight w:val="white"/>
          <w:lang w:val="es-MX"/>
        </w:rPr>
        <w:t> </w:t>
      </w:r>
      <w:r w:rsidRPr="004136C3">
        <w:rPr>
          <w:rFonts w:ascii="Corbel" w:eastAsia="Corbel" w:hAnsi="Corbel" w:cs="Corbel"/>
          <w:color w:val="222222"/>
          <w:highlight w:val="white"/>
          <w:lang w:val="es-MX"/>
        </w:rPr>
        <w:t>% a mujeres.</w:t>
      </w:r>
    </w:p>
    <w:p w14:paraId="1CEF63F4" w14:textId="77777777" w:rsidR="004136C3" w:rsidRPr="006A0372" w:rsidRDefault="004136C3" w:rsidP="00CA2FAC">
      <w:pPr>
        <w:spacing w:line="240" w:lineRule="auto"/>
        <w:jc w:val="both"/>
        <w:rPr>
          <w:rFonts w:ascii="Corbel" w:eastAsia="Corbel" w:hAnsi="Corbel" w:cs="Corbel"/>
          <w:color w:val="222222"/>
          <w:highlight w:val="white"/>
          <w:lang w:val="es-MX"/>
        </w:rPr>
      </w:pPr>
    </w:p>
    <w:p w14:paraId="066CFF38" w14:textId="2A534306" w:rsidR="004136C3" w:rsidRPr="004136C3" w:rsidRDefault="004136C3" w:rsidP="00CA2FAC">
      <w:pPr>
        <w:spacing w:line="240" w:lineRule="auto"/>
        <w:jc w:val="both"/>
        <w:rPr>
          <w:rFonts w:ascii="Corbel" w:eastAsia="Corbel" w:hAnsi="Corbel" w:cs="Corbel"/>
          <w:color w:val="222222"/>
          <w:highlight w:val="white"/>
          <w:lang w:val="es-MX"/>
        </w:rPr>
      </w:pPr>
      <w:r w:rsidRPr="004136C3">
        <w:rPr>
          <w:rFonts w:ascii="Corbel" w:eastAsia="Corbel" w:hAnsi="Corbel" w:cs="Corbel"/>
          <w:color w:val="222222"/>
          <w:highlight w:val="white"/>
          <w:lang w:val="es-MX"/>
        </w:rPr>
        <w:lastRenderedPageBreak/>
        <w:t xml:space="preserve">Desde 2023, las autoridades han restringido la entrega de </w:t>
      </w:r>
      <w:hyperlink r:id="rId32" w:history="1">
        <w:r w:rsidRPr="00281A79">
          <w:rPr>
            <w:rStyle w:val="Hipervnculo"/>
            <w:rFonts w:ascii="Corbel" w:eastAsia="Corbel" w:hAnsi="Corbel" w:cs="Corbel"/>
            <w:highlight w:val="white"/>
            <w:lang w:val="es-MX"/>
          </w:rPr>
          <w:t>Tarjetas de Visitante por Razones Humanitarias (TVRH)</w:t>
        </w:r>
      </w:hyperlink>
      <w:r w:rsidRPr="004136C3">
        <w:rPr>
          <w:rFonts w:ascii="Corbel" w:eastAsia="Corbel" w:hAnsi="Corbel" w:cs="Corbel"/>
          <w:color w:val="222222"/>
          <w:highlight w:val="white"/>
          <w:lang w:val="es-MX"/>
        </w:rPr>
        <w:t xml:space="preserve"> a personas solicitantes de asilo, lo cual ha afectado particularmente a mujeres. En 2024, las solicitudes de </w:t>
      </w:r>
      <w:r w:rsidR="006C261B">
        <w:rPr>
          <w:rFonts w:ascii="Corbel" w:eastAsia="Corbel" w:hAnsi="Corbel" w:cs="Corbel"/>
          <w:color w:val="222222"/>
          <w:highlight w:val="white"/>
          <w:lang w:val="es-MX"/>
        </w:rPr>
        <w:t xml:space="preserve">asilo </w:t>
      </w:r>
      <w:r w:rsidRPr="004136C3">
        <w:rPr>
          <w:rFonts w:ascii="Corbel" w:eastAsia="Corbel" w:hAnsi="Corbel" w:cs="Corbel"/>
          <w:color w:val="222222"/>
          <w:highlight w:val="white"/>
          <w:lang w:val="es-MX"/>
        </w:rPr>
        <w:t>en México cayeron un 40</w:t>
      </w:r>
      <w:r w:rsidRPr="004136C3">
        <w:rPr>
          <w:rFonts w:eastAsia="Corbel"/>
          <w:color w:val="222222"/>
          <w:highlight w:val="white"/>
          <w:lang w:val="es-MX"/>
        </w:rPr>
        <w:t> </w:t>
      </w:r>
      <w:r w:rsidRPr="004136C3">
        <w:rPr>
          <w:rFonts w:ascii="Corbel" w:eastAsia="Corbel" w:hAnsi="Corbel" w:cs="Corbel"/>
          <w:color w:val="222222"/>
          <w:highlight w:val="white"/>
          <w:lang w:val="es-MX"/>
        </w:rPr>
        <w:t>% respecto al año anterior, reflejo de un entorno restrictivo.</w:t>
      </w:r>
      <w:r w:rsidRPr="006A0372">
        <w:rPr>
          <w:rFonts w:ascii="Corbel" w:eastAsia="Corbel" w:hAnsi="Corbel" w:cs="Corbel"/>
          <w:color w:val="222222"/>
          <w:highlight w:val="white"/>
          <w:lang w:val="es-MX"/>
        </w:rPr>
        <w:t xml:space="preserve"> </w:t>
      </w:r>
      <w:r w:rsidRPr="004136C3">
        <w:rPr>
          <w:rFonts w:ascii="Corbel" w:eastAsia="Corbel" w:hAnsi="Corbel" w:cs="Corbel"/>
          <w:color w:val="222222"/>
          <w:highlight w:val="white"/>
          <w:lang w:val="es-MX"/>
        </w:rPr>
        <w:t>La ausencia de documentación migratoria obliga a muchas mujeres solicitantes de asilo a integrarse en empleos precarios e informales, donde están expuestas a explotación sexual o laboral. Además, esta situación las desalienta a denunciar casos de violencia de género, ya que temen ser rechazadas por las instituciones, detenidas o incluso deportadas. La falta de estatus migratorio también limita su acceso a servicios básicos como atención médica, educación, protección legal, servicios sociales, cuidados, vivienda y alimentación.</w:t>
      </w:r>
    </w:p>
    <w:p w14:paraId="6D6C96BD" w14:textId="77777777" w:rsidR="007D4EAD" w:rsidRPr="006A0372" w:rsidRDefault="007D4EAD" w:rsidP="00CA2FAC">
      <w:pPr>
        <w:spacing w:line="240" w:lineRule="auto"/>
        <w:jc w:val="both"/>
        <w:rPr>
          <w:rFonts w:ascii="Corbel" w:eastAsia="Corbel" w:hAnsi="Corbel" w:cs="Corbel"/>
          <w:color w:val="222222"/>
          <w:highlight w:val="white"/>
        </w:rPr>
      </w:pPr>
    </w:p>
    <w:p w14:paraId="083D594F" w14:textId="4012C6C3" w:rsidR="007A2098" w:rsidRPr="006A0372" w:rsidRDefault="007D4EAD" w:rsidP="00CA2FAC">
      <w:pPr>
        <w:spacing w:line="240" w:lineRule="auto"/>
        <w:jc w:val="both"/>
        <w:rPr>
          <w:rFonts w:ascii="Corbel" w:eastAsia="Corbel" w:hAnsi="Corbel" w:cs="Corbel"/>
          <w:b/>
          <w:bCs/>
          <w:color w:val="222222"/>
          <w:highlight w:val="white"/>
        </w:rPr>
      </w:pPr>
      <w:r w:rsidRPr="006A0372">
        <w:rPr>
          <w:rFonts w:ascii="Corbel" w:eastAsia="Corbel" w:hAnsi="Corbel" w:cs="Corbel"/>
          <w:b/>
          <w:bCs/>
          <w:color w:val="222222"/>
          <w:highlight w:val="white"/>
        </w:rPr>
        <w:t>Recomendaciones</w:t>
      </w:r>
    </w:p>
    <w:p w14:paraId="1F3A4B8A" w14:textId="77777777" w:rsidR="007D4EAD" w:rsidRPr="006A0372" w:rsidRDefault="007D4EAD" w:rsidP="00CA2FAC">
      <w:pPr>
        <w:spacing w:line="240" w:lineRule="auto"/>
        <w:jc w:val="both"/>
        <w:rPr>
          <w:rFonts w:ascii="Corbel" w:eastAsia="Corbel" w:hAnsi="Corbel" w:cs="Corbel"/>
          <w:color w:val="222222"/>
          <w:highlight w:val="white"/>
        </w:rPr>
      </w:pPr>
    </w:p>
    <w:p w14:paraId="4411BDF3" w14:textId="5C2CF649" w:rsidR="00AF396D" w:rsidRPr="006A0372" w:rsidRDefault="00AF396D" w:rsidP="00AF396D">
      <w:pPr>
        <w:pStyle w:val="Prrafodelista"/>
        <w:numPr>
          <w:ilvl w:val="0"/>
          <w:numId w:val="14"/>
        </w:numPr>
        <w:spacing w:line="240" w:lineRule="auto"/>
        <w:jc w:val="both"/>
        <w:rPr>
          <w:rFonts w:ascii="Corbel" w:eastAsia="Corbel" w:hAnsi="Corbel" w:cs="Corbel"/>
          <w:color w:val="222222"/>
        </w:rPr>
      </w:pPr>
      <w:r w:rsidRPr="006A0372">
        <w:rPr>
          <w:rFonts w:ascii="Corbel" w:eastAsia="Corbel" w:hAnsi="Corbel" w:cs="Corbel"/>
          <w:color w:val="222222"/>
        </w:rPr>
        <w:t>Ampliar las vías de migración regular para mujeres y niñas en situación de vulnerabilidad mediante la publicación de un programa de regularización migratoria en el Diario Oficial de la Federación.</w:t>
      </w:r>
    </w:p>
    <w:p w14:paraId="0D7E5EE7" w14:textId="77777777" w:rsidR="00AF396D" w:rsidRPr="006A0372" w:rsidRDefault="00AF396D" w:rsidP="00AF396D">
      <w:pPr>
        <w:pStyle w:val="Prrafodelista"/>
        <w:numPr>
          <w:ilvl w:val="0"/>
          <w:numId w:val="14"/>
        </w:numPr>
        <w:spacing w:line="240" w:lineRule="auto"/>
        <w:jc w:val="both"/>
        <w:rPr>
          <w:rFonts w:ascii="Corbel" w:eastAsia="Corbel" w:hAnsi="Corbel" w:cs="Corbel"/>
          <w:color w:val="222222"/>
        </w:rPr>
      </w:pPr>
      <w:r w:rsidRPr="006A0372">
        <w:rPr>
          <w:rFonts w:ascii="Corbel" w:eastAsia="Corbel" w:hAnsi="Corbel" w:cs="Corbel"/>
          <w:color w:val="222222"/>
        </w:rPr>
        <w:t xml:space="preserve">Adoptar con urgencia las medidas necesarias para facilitar la regularización migratoria, garantizando procesos accesibles, asequibles, transparentes y libres de discriminación. Asimismo, incorporar y fortalecer mecanismos de evaluación periódica que permitan monitorear que se cierren las brechas de género en la emisión de documentación migratoria y se atiendan las barreras asociadas al género para acceder a la regularización. </w:t>
      </w:r>
    </w:p>
    <w:p w14:paraId="5654A3E2" w14:textId="5823E3DF" w:rsidR="00AF396D" w:rsidRPr="006A0372" w:rsidRDefault="00AF396D" w:rsidP="00AF396D">
      <w:pPr>
        <w:pStyle w:val="Prrafodelista"/>
        <w:numPr>
          <w:ilvl w:val="0"/>
          <w:numId w:val="14"/>
        </w:numPr>
        <w:spacing w:line="240" w:lineRule="auto"/>
        <w:jc w:val="both"/>
        <w:rPr>
          <w:rFonts w:ascii="Corbel" w:eastAsia="Corbel" w:hAnsi="Corbel" w:cs="Corbel"/>
          <w:color w:val="222222"/>
        </w:rPr>
      </w:pPr>
      <w:r w:rsidRPr="006A0372">
        <w:rPr>
          <w:rFonts w:ascii="Corbel" w:eastAsia="Corbel" w:hAnsi="Corbel" w:cs="Corbel"/>
          <w:color w:val="222222"/>
        </w:rPr>
        <w:t xml:space="preserve">Restablecer de forma inmediata, continua y sin discriminación la evaluación y otorgamiento de las Tarjetas de Visitante por Razones </w:t>
      </w:r>
      <w:proofErr w:type="gramStart"/>
      <w:r w:rsidRPr="006A0372">
        <w:rPr>
          <w:rFonts w:ascii="Corbel" w:eastAsia="Corbel" w:hAnsi="Corbel" w:cs="Corbel"/>
          <w:color w:val="222222"/>
        </w:rPr>
        <w:t>Humanitarias ,</w:t>
      </w:r>
      <w:proofErr w:type="gramEnd"/>
      <w:r w:rsidRPr="006A0372">
        <w:rPr>
          <w:rFonts w:ascii="Corbel" w:eastAsia="Corbel" w:hAnsi="Corbel" w:cs="Corbel"/>
          <w:color w:val="222222"/>
        </w:rPr>
        <w:t xml:space="preserve"> garantizando su expedición conforme a la legislación vigente y a las necesidades de la población solicitante.</w:t>
      </w:r>
    </w:p>
    <w:p w14:paraId="7962681E" w14:textId="77777777" w:rsidR="00A02B37" w:rsidRPr="006A0372" w:rsidRDefault="00A02B37" w:rsidP="00CA2FAC">
      <w:pPr>
        <w:spacing w:line="240" w:lineRule="auto"/>
        <w:jc w:val="both"/>
        <w:rPr>
          <w:rFonts w:ascii="Corbel" w:eastAsia="Corbel" w:hAnsi="Corbel" w:cs="Corbel"/>
          <w:color w:val="222222"/>
          <w:highlight w:val="white"/>
          <w:u w:val="single"/>
        </w:rPr>
      </w:pPr>
    </w:p>
    <w:p w14:paraId="15ECE6A5" w14:textId="77777777" w:rsidR="00A02B37" w:rsidRPr="006A0372" w:rsidRDefault="00A02B37" w:rsidP="00CA2FAC">
      <w:pPr>
        <w:spacing w:line="240" w:lineRule="auto"/>
        <w:jc w:val="both"/>
        <w:rPr>
          <w:rFonts w:ascii="Corbel" w:eastAsia="Corbel" w:hAnsi="Corbel" w:cs="Corbel"/>
          <w:color w:val="222222"/>
          <w:highlight w:val="white"/>
          <w:u w:val="single"/>
        </w:rPr>
      </w:pPr>
    </w:p>
    <w:p w14:paraId="3C59181D" w14:textId="633BA492" w:rsidR="00A02B37" w:rsidRPr="006A0372" w:rsidRDefault="00A02B37" w:rsidP="006A0372">
      <w:pPr>
        <w:pStyle w:val="Ttulo2"/>
        <w:numPr>
          <w:ilvl w:val="0"/>
          <w:numId w:val="18"/>
        </w:numPr>
        <w:rPr>
          <w:rStyle w:val="Ttulodellibro"/>
          <w:rFonts w:ascii="Corbel" w:hAnsi="Corbel"/>
          <w:color w:val="auto"/>
          <w:highlight w:val="white"/>
        </w:rPr>
      </w:pPr>
      <w:bookmarkStart w:id="6" w:name="_Toc198501182"/>
      <w:r w:rsidRPr="006A0372">
        <w:rPr>
          <w:rStyle w:val="Ttulodellibro"/>
          <w:rFonts w:ascii="Corbel" w:hAnsi="Corbel"/>
          <w:color w:val="auto"/>
          <w:highlight w:val="white"/>
        </w:rPr>
        <w:t xml:space="preserve">Derechos </w:t>
      </w:r>
      <w:r w:rsidR="00271991" w:rsidRPr="006A0372">
        <w:rPr>
          <w:rStyle w:val="Ttulodellibro"/>
          <w:rFonts w:ascii="Corbel" w:hAnsi="Corbel"/>
          <w:color w:val="auto"/>
          <w:highlight w:val="white"/>
        </w:rPr>
        <w:t>s</w:t>
      </w:r>
      <w:r w:rsidRPr="006A0372">
        <w:rPr>
          <w:rStyle w:val="Ttulodellibro"/>
          <w:rFonts w:ascii="Corbel" w:hAnsi="Corbel"/>
          <w:color w:val="auto"/>
          <w:highlight w:val="white"/>
        </w:rPr>
        <w:t xml:space="preserve">exuales y </w:t>
      </w:r>
      <w:r w:rsidR="00271991" w:rsidRPr="006A0372">
        <w:rPr>
          <w:rStyle w:val="Ttulodellibro"/>
          <w:rFonts w:ascii="Corbel" w:hAnsi="Corbel"/>
          <w:color w:val="auto"/>
          <w:highlight w:val="white"/>
        </w:rPr>
        <w:t>r</w:t>
      </w:r>
      <w:r w:rsidRPr="006A0372">
        <w:rPr>
          <w:rStyle w:val="Ttulodellibro"/>
          <w:rFonts w:ascii="Corbel" w:hAnsi="Corbel"/>
          <w:color w:val="auto"/>
          <w:highlight w:val="white"/>
        </w:rPr>
        <w:t>eproductivos en movilidad humana</w:t>
      </w:r>
      <w:bookmarkEnd w:id="6"/>
    </w:p>
    <w:p w14:paraId="40FEF803" w14:textId="77777777" w:rsidR="00A02B37" w:rsidRPr="006A0372" w:rsidRDefault="00A02B37" w:rsidP="00CA2FAC">
      <w:pPr>
        <w:spacing w:line="240" w:lineRule="auto"/>
        <w:jc w:val="both"/>
        <w:rPr>
          <w:rFonts w:ascii="Corbel" w:eastAsia="Corbel" w:hAnsi="Corbel" w:cs="Corbel"/>
          <w:color w:val="131314"/>
        </w:rPr>
      </w:pPr>
    </w:p>
    <w:p w14:paraId="1E8DF675" w14:textId="53D97FAA" w:rsidR="005A4AE4" w:rsidRDefault="005A4AE4" w:rsidP="00CA2FAC">
      <w:pPr>
        <w:spacing w:before="240" w:after="240" w:line="240" w:lineRule="auto"/>
        <w:jc w:val="both"/>
        <w:rPr>
          <w:rFonts w:ascii="Corbel" w:eastAsia="Corbel" w:hAnsi="Corbel" w:cs="Corbel"/>
          <w:color w:val="131314"/>
        </w:rPr>
      </w:pPr>
      <w:r w:rsidRPr="005A4AE4">
        <w:rPr>
          <w:rFonts w:ascii="Corbel" w:eastAsia="Corbel" w:hAnsi="Corbel" w:cs="Corbel"/>
          <w:color w:val="131314"/>
        </w:rPr>
        <w:t xml:space="preserve">La migración y el desplazamiento forzado en México generan escenarios de alta vulnerabilidad, especialmente para mujeres, niñas, adolescentes y personas de la diversidad sexo-genérica, quienes enfrentan violencia y desigualdad de género en condiciones de poca visibilidad y escasa atención a sus </w:t>
      </w:r>
      <w:hyperlink r:id="rId33" w:history="1">
        <w:r w:rsidRPr="00281A79">
          <w:rPr>
            <w:rStyle w:val="Hipervnculo"/>
            <w:rFonts w:ascii="Corbel" w:eastAsia="Corbel" w:hAnsi="Corbel" w:cs="Corbel"/>
          </w:rPr>
          <w:t>derechos sexuales y reproductivos</w:t>
        </w:r>
      </w:hyperlink>
      <w:r w:rsidRPr="005A4AE4">
        <w:rPr>
          <w:rFonts w:ascii="Corbel" w:eastAsia="Corbel" w:hAnsi="Corbel" w:cs="Corbel"/>
          <w:color w:val="131314"/>
        </w:rPr>
        <w:t xml:space="preserve"> (</w:t>
      </w:r>
      <w:proofErr w:type="spellStart"/>
      <w:r w:rsidRPr="005A4AE4">
        <w:rPr>
          <w:rFonts w:ascii="Corbel" w:eastAsia="Corbel" w:hAnsi="Corbel" w:cs="Corbel"/>
          <w:color w:val="131314"/>
        </w:rPr>
        <w:t>DSyR</w:t>
      </w:r>
      <w:proofErr w:type="spellEnd"/>
      <w:r w:rsidRPr="005A4AE4">
        <w:rPr>
          <w:rFonts w:ascii="Corbel" w:eastAsia="Corbel" w:hAnsi="Corbel" w:cs="Corbel"/>
          <w:color w:val="131314"/>
        </w:rPr>
        <w:t xml:space="preserve">). A diferencia de otros ámbitos del estudio migratorio, este tema ha sido poco abordado, centrando la </w:t>
      </w:r>
      <w:hyperlink r:id="rId34" w:history="1">
        <w:r w:rsidRPr="00281A79">
          <w:rPr>
            <w:rStyle w:val="Hipervnculo"/>
            <w:rFonts w:ascii="Corbel" w:eastAsia="Corbel" w:hAnsi="Corbel" w:cs="Corbel"/>
          </w:rPr>
          <w:t>información</w:t>
        </w:r>
      </w:hyperlink>
      <w:r w:rsidRPr="005A4AE4">
        <w:rPr>
          <w:rFonts w:ascii="Corbel" w:eastAsia="Corbel" w:hAnsi="Corbel" w:cs="Corbel"/>
          <w:color w:val="131314"/>
        </w:rPr>
        <w:t xml:space="preserve"> en las experiencias de mujeres cis y excluyendo a identidades diversas, lo que limita el reconocimiento de sus vivencias dentro de un sistema sexo-género hegemónico.</w:t>
      </w:r>
    </w:p>
    <w:p w14:paraId="7317643A" w14:textId="2A8A8145" w:rsidR="00A02B37" w:rsidRPr="006A0372" w:rsidRDefault="00A02B37" w:rsidP="00CA2FAC">
      <w:pPr>
        <w:spacing w:before="240" w:after="240" w:line="240" w:lineRule="auto"/>
        <w:jc w:val="both"/>
        <w:rPr>
          <w:rFonts w:ascii="Corbel" w:eastAsia="Corbel" w:hAnsi="Corbel" w:cs="Corbel"/>
          <w:color w:val="131314"/>
        </w:rPr>
      </w:pPr>
      <w:r w:rsidRPr="006A0372">
        <w:rPr>
          <w:rFonts w:ascii="Corbel" w:eastAsia="Corbel" w:hAnsi="Corbel" w:cs="Corbel"/>
          <w:color w:val="131314"/>
        </w:rPr>
        <w:t xml:space="preserve">De acuerdo con el trabajo de acompañamiento que se ha realizado desde Las </w:t>
      </w:r>
      <w:proofErr w:type="spellStart"/>
      <w:r w:rsidRPr="006A0372">
        <w:rPr>
          <w:rFonts w:ascii="Corbel" w:eastAsia="Corbel" w:hAnsi="Corbel" w:cs="Corbel"/>
          <w:color w:val="131314"/>
        </w:rPr>
        <w:t>Vanders</w:t>
      </w:r>
      <w:proofErr w:type="spellEnd"/>
      <w:r w:rsidRPr="006A0372">
        <w:rPr>
          <w:rFonts w:ascii="Corbel" w:eastAsia="Corbel" w:hAnsi="Corbel" w:cs="Corbel"/>
          <w:color w:val="131314"/>
        </w:rPr>
        <w:t xml:space="preserve"> por casi 10 años, se ha identificado que, si bien las mujeres migrantes tienen una idea general sobre su salud sexual y reproductiva (SSR), difícilmente priorizan su atención como consecuencia de prejuicios, tabúes y estigmatización sociocultural, lo cual, a su vez se relaciona con la ausencia de información suficiente sobre el tema. Esto impacta en un contexto de precariedad, limitada acción estatal y estigma social.</w:t>
      </w:r>
    </w:p>
    <w:p w14:paraId="636D00DA" w14:textId="77777777" w:rsidR="00A02B37" w:rsidRPr="006A0372" w:rsidRDefault="00A02B37" w:rsidP="00CA2FAC">
      <w:pPr>
        <w:spacing w:before="240" w:after="240" w:line="240" w:lineRule="auto"/>
        <w:jc w:val="both"/>
        <w:rPr>
          <w:rFonts w:ascii="Corbel" w:eastAsia="Corbel" w:hAnsi="Corbel" w:cs="Corbel"/>
          <w:color w:val="131314"/>
        </w:rPr>
      </w:pPr>
      <w:r w:rsidRPr="006A0372">
        <w:rPr>
          <w:rFonts w:ascii="Corbel" w:eastAsia="Corbel" w:hAnsi="Corbel" w:cs="Corbel"/>
          <w:color w:val="131314"/>
        </w:rPr>
        <w:t xml:space="preserve">En el 2024, en apoyo de IPAS y colaboración con Centro </w:t>
      </w:r>
      <w:proofErr w:type="spellStart"/>
      <w:r w:rsidRPr="006A0372">
        <w:rPr>
          <w:rFonts w:ascii="Corbel" w:eastAsia="Corbel" w:hAnsi="Corbel" w:cs="Corbel"/>
          <w:color w:val="131314"/>
        </w:rPr>
        <w:t>Cecadro</w:t>
      </w:r>
      <w:proofErr w:type="spellEnd"/>
      <w:r w:rsidRPr="006A0372">
        <w:rPr>
          <w:rFonts w:ascii="Corbel" w:eastAsia="Corbel" w:hAnsi="Corbel" w:cs="Corbel"/>
          <w:color w:val="131314"/>
        </w:rPr>
        <w:t xml:space="preserve"> Casa Peñas, en la Ciudad de México, la organización realizó un diagnóstico comunitario al respecto, identificando algunas barreras:</w:t>
      </w:r>
    </w:p>
    <w:p w14:paraId="67C687BB" w14:textId="77777777" w:rsidR="00A02B37" w:rsidRPr="006A0372" w:rsidRDefault="00A02B37" w:rsidP="00CA2FAC">
      <w:pPr>
        <w:numPr>
          <w:ilvl w:val="0"/>
          <w:numId w:val="1"/>
        </w:numPr>
        <w:spacing w:before="240" w:line="240" w:lineRule="auto"/>
        <w:jc w:val="both"/>
        <w:rPr>
          <w:rFonts w:ascii="Corbel" w:eastAsia="Corbel" w:hAnsi="Corbel" w:cs="Corbel"/>
          <w:color w:val="131314"/>
        </w:rPr>
      </w:pPr>
      <w:r w:rsidRPr="006A0372">
        <w:rPr>
          <w:rFonts w:ascii="Corbel" w:eastAsia="Corbel" w:hAnsi="Corbel" w:cs="Corbel"/>
          <w:color w:val="131314"/>
        </w:rPr>
        <w:t>Acceso a la atención médica como resultado de la estructura burocrática de las instituciones públicas de salud y el desconocimiento de los niveles de atención en las instituciones públicas/falta de acceso a atención especializada.</w:t>
      </w:r>
    </w:p>
    <w:p w14:paraId="4651F749" w14:textId="77777777" w:rsidR="00A02B37" w:rsidRPr="006A0372" w:rsidRDefault="00A02B37" w:rsidP="00CA2FAC">
      <w:pPr>
        <w:numPr>
          <w:ilvl w:val="0"/>
          <w:numId w:val="1"/>
        </w:numPr>
        <w:spacing w:line="240" w:lineRule="auto"/>
        <w:jc w:val="both"/>
        <w:rPr>
          <w:rFonts w:ascii="Corbel" w:eastAsia="Corbel" w:hAnsi="Corbel" w:cs="Corbel"/>
          <w:color w:val="131314"/>
        </w:rPr>
      </w:pPr>
      <w:r w:rsidRPr="006A0372">
        <w:rPr>
          <w:rFonts w:ascii="Corbel" w:eastAsia="Corbel" w:hAnsi="Corbel" w:cs="Corbel"/>
          <w:color w:val="131314"/>
        </w:rPr>
        <w:lastRenderedPageBreak/>
        <w:t>El lenguaje, pues en caso de no hablar español la comunicación se vuelve complicada y el acceso a la información se complejiza más.</w:t>
      </w:r>
    </w:p>
    <w:p w14:paraId="51888A01" w14:textId="248C4D9F" w:rsidR="00A02B37" w:rsidRPr="006A0372" w:rsidRDefault="00A02B37" w:rsidP="00CA2FAC">
      <w:pPr>
        <w:numPr>
          <w:ilvl w:val="0"/>
          <w:numId w:val="1"/>
        </w:numPr>
        <w:spacing w:line="240" w:lineRule="auto"/>
        <w:jc w:val="both"/>
        <w:rPr>
          <w:rFonts w:ascii="Corbel" w:eastAsia="Corbel" w:hAnsi="Corbel" w:cs="Corbel"/>
          <w:color w:val="131314"/>
        </w:rPr>
      </w:pPr>
      <w:r w:rsidRPr="006A0372">
        <w:rPr>
          <w:rFonts w:ascii="Corbel" w:eastAsia="Corbel" w:hAnsi="Corbel" w:cs="Corbel"/>
          <w:color w:val="131314"/>
        </w:rPr>
        <w:t>Estructuras patriarcales de dominación en sus lugares de origen, lo que abona a la perpetuación de ideas falsas sobre el tema, además de crímenes de odio y violencia contra las personas de la diversidad sexual.</w:t>
      </w:r>
    </w:p>
    <w:p w14:paraId="7E232412" w14:textId="77777777" w:rsidR="00A02B37" w:rsidRPr="006A0372" w:rsidRDefault="00A02B37" w:rsidP="00CA2FAC">
      <w:pPr>
        <w:numPr>
          <w:ilvl w:val="0"/>
          <w:numId w:val="1"/>
        </w:numPr>
        <w:spacing w:line="240" w:lineRule="auto"/>
        <w:jc w:val="both"/>
        <w:rPr>
          <w:rFonts w:ascii="Corbel" w:eastAsia="Corbel" w:hAnsi="Corbel" w:cs="Corbel"/>
          <w:color w:val="131314"/>
        </w:rPr>
      </w:pPr>
      <w:r w:rsidRPr="006A0372">
        <w:rPr>
          <w:rFonts w:ascii="Corbel" w:eastAsia="Corbel" w:hAnsi="Corbel" w:cs="Corbel"/>
          <w:color w:val="131314"/>
        </w:rPr>
        <w:t>Estigmas y diferencias culturales y sociopolíticas respecto a sus países de origen y a México que dificultan que las mujeres migrantes sean parte de espacios formativos o de acceso a la información sobre salud.</w:t>
      </w:r>
    </w:p>
    <w:p w14:paraId="252BD355" w14:textId="5CD9A64B" w:rsidR="00A02B37" w:rsidRPr="006A0372" w:rsidRDefault="00A02B37" w:rsidP="00CA2FAC">
      <w:pPr>
        <w:numPr>
          <w:ilvl w:val="0"/>
          <w:numId w:val="1"/>
        </w:numPr>
        <w:spacing w:line="240" w:lineRule="auto"/>
        <w:jc w:val="both"/>
        <w:rPr>
          <w:rFonts w:ascii="Corbel" w:eastAsia="Corbel" w:hAnsi="Corbel" w:cs="Corbel"/>
          <w:color w:val="131314"/>
        </w:rPr>
      </w:pPr>
      <w:r w:rsidRPr="006A0372">
        <w:rPr>
          <w:rFonts w:ascii="Corbel" w:eastAsia="Corbel" w:hAnsi="Corbel" w:cs="Corbel"/>
          <w:color w:val="131314"/>
        </w:rPr>
        <w:t>Aspectos personales como la ideología, las costumbres y los estigmas en torno al tema.</w:t>
      </w:r>
    </w:p>
    <w:p w14:paraId="1D57230C" w14:textId="77777777" w:rsidR="00A02B37" w:rsidRPr="006A0372" w:rsidRDefault="00A02B37" w:rsidP="00CA2FAC">
      <w:pPr>
        <w:numPr>
          <w:ilvl w:val="0"/>
          <w:numId w:val="1"/>
        </w:numPr>
        <w:spacing w:after="240" w:line="240" w:lineRule="auto"/>
        <w:jc w:val="both"/>
        <w:rPr>
          <w:rFonts w:ascii="Corbel" w:eastAsia="Corbel" w:hAnsi="Corbel" w:cs="Corbel"/>
          <w:color w:val="131314"/>
        </w:rPr>
      </w:pPr>
      <w:r w:rsidRPr="006A0372">
        <w:rPr>
          <w:rFonts w:ascii="Corbel" w:eastAsia="Corbel" w:hAnsi="Corbel" w:cs="Corbel"/>
          <w:color w:val="131314"/>
        </w:rPr>
        <w:t xml:space="preserve">Los principales retos que se presentan al momento de acompañar la salud sexual y reproductiva de las mujeres se presentan cuando son víctimas de violencia sexual en el tránsito migratorio y los protocolos de actuación. </w:t>
      </w:r>
    </w:p>
    <w:p w14:paraId="32E83B8F" w14:textId="67DB5595" w:rsidR="00A02B37" w:rsidRPr="006A0372" w:rsidRDefault="005A3199" w:rsidP="00CA2FAC">
      <w:pPr>
        <w:spacing w:before="240" w:after="240" w:line="240" w:lineRule="auto"/>
        <w:jc w:val="both"/>
        <w:rPr>
          <w:rFonts w:ascii="Corbel" w:eastAsia="Corbel" w:hAnsi="Corbel" w:cs="Corbel"/>
          <w:color w:val="131314"/>
        </w:rPr>
      </w:pPr>
      <w:hyperlink r:id="rId35" w:history="1">
        <w:proofErr w:type="spellStart"/>
        <w:r w:rsidRPr="005A3199">
          <w:rPr>
            <w:rStyle w:val="Hipervnculo"/>
            <w:rFonts w:ascii="Corbel" w:eastAsia="Corbel" w:hAnsi="Corbel" w:cs="Corbel"/>
          </w:rPr>
          <w:t>Population</w:t>
        </w:r>
        <w:proofErr w:type="spellEnd"/>
        <w:r w:rsidRPr="005A3199">
          <w:rPr>
            <w:rStyle w:val="Hipervnculo"/>
            <w:rFonts w:ascii="Corbel" w:eastAsia="Corbel" w:hAnsi="Corbel" w:cs="Corbel"/>
          </w:rPr>
          <w:t xml:space="preserve"> Council</w:t>
        </w:r>
      </w:hyperlink>
      <w:r>
        <w:rPr>
          <w:rFonts w:ascii="Corbel" w:eastAsia="Corbel" w:hAnsi="Corbel" w:cs="Corbel"/>
          <w:color w:val="131314"/>
        </w:rPr>
        <w:t xml:space="preserve"> </w:t>
      </w:r>
      <w:r w:rsidR="00A02B37" w:rsidRPr="006A0372">
        <w:rPr>
          <w:rFonts w:ascii="Corbel" w:eastAsia="Corbel" w:hAnsi="Corbel" w:cs="Corbel"/>
          <w:color w:val="131314"/>
        </w:rPr>
        <w:t>destaca</w:t>
      </w:r>
      <w:r>
        <w:rPr>
          <w:rFonts w:ascii="Corbel" w:eastAsia="Corbel" w:hAnsi="Corbel" w:cs="Corbel"/>
          <w:color w:val="131314"/>
        </w:rPr>
        <w:t xml:space="preserve"> </w:t>
      </w:r>
      <w:r w:rsidR="00A02B37" w:rsidRPr="006A0372">
        <w:rPr>
          <w:rFonts w:ascii="Corbel" w:eastAsia="Corbel" w:hAnsi="Corbel" w:cs="Corbel"/>
          <w:color w:val="131314"/>
        </w:rPr>
        <w:t>además otras dificultades:</w:t>
      </w:r>
    </w:p>
    <w:p w14:paraId="12419945" w14:textId="77777777" w:rsidR="00A02B37" w:rsidRPr="006A0372" w:rsidRDefault="00A02B37" w:rsidP="00CA2FAC">
      <w:pPr>
        <w:numPr>
          <w:ilvl w:val="0"/>
          <w:numId w:val="2"/>
        </w:numPr>
        <w:spacing w:before="240" w:line="240" w:lineRule="auto"/>
        <w:jc w:val="both"/>
        <w:rPr>
          <w:rFonts w:ascii="Corbel" w:eastAsia="Corbel" w:hAnsi="Corbel" w:cs="Corbel"/>
          <w:color w:val="131314"/>
        </w:rPr>
      </w:pPr>
      <w:r w:rsidRPr="006A0372">
        <w:rPr>
          <w:rFonts w:ascii="Corbel" w:eastAsia="Corbel" w:hAnsi="Corbel" w:cs="Corbel"/>
          <w:color w:val="131314"/>
        </w:rPr>
        <w:t xml:space="preserve">Antes y durante la estancia de mujeres migrantes en México, existe una dificultad para que solucionen sus problemas de salud sexual debido a su nacionalidad extranjera, su situación económica y desinformación de sus derechos de acceso a la salud. </w:t>
      </w:r>
    </w:p>
    <w:p w14:paraId="79A1A801" w14:textId="77777777" w:rsidR="00A02B37" w:rsidRPr="006A0372" w:rsidRDefault="00A02B37" w:rsidP="00CA2FAC">
      <w:pPr>
        <w:numPr>
          <w:ilvl w:val="0"/>
          <w:numId w:val="2"/>
        </w:numPr>
        <w:spacing w:line="240" w:lineRule="auto"/>
        <w:jc w:val="both"/>
        <w:rPr>
          <w:rFonts w:ascii="Corbel" w:eastAsia="Corbel" w:hAnsi="Corbel" w:cs="Corbel"/>
          <w:color w:val="131314"/>
        </w:rPr>
      </w:pPr>
      <w:r w:rsidRPr="006A0372">
        <w:rPr>
          <w:rFonts w:ascii="Corbel" w:eastAsia="Corbel" w:hAnsi="Corbel" w:cs="Corbel"/>
          <w:color w:val="131314"/>
        </w:rPr>
        <w:t>Alrededor de 38.1% de las mujeres encuestadas dijo haberse colocado algún método anticonceptivo antes de iniciar su viaje como forma de prevención antes una agresión sexual.</w:t>
      </w:r>
    </w:p>
    <w:p w14:paraId="49B73A8E" w14:textId="76839079" w:rsidR="00A02B37" w:rsidRPr="006A0372" w:rsidRDefault="00A02B37" w:rsidP="00CA2FAC">
      <w:pPr>
        <w:numPr>
          <w:ilvl w:val="0"/>
          <w:numId w:val="2"/>
        </w:numPr>
        <w:spacing w:line="240" w:lineRule="auto"/>
        <w:jc w:val="both"/>
        <w:rPr>
          <w:rFonts w:ascii="Corbel" w:eastAsia="Corbel" w:hAnsi="Corbel" w:cs="Corbel"/>
          <w:color w:val="131314"/>
        </w:rPr>
      </w:pPr>
      <w:r w:rsidRPr="006A0372">
        <w:rPr>
          <w:rFonts w:ascii="Corbel" w:eastAsia="Corbel" w:hAnsi="Corbel" w:cs="Corbel"/>
          <w:color w:val="131314"/>
        </w:rPr>
        <w:t>La mayoría de los problemas de SSR se relacionaban con su salud menstrual; el 62.2% refirió dolores menstruales constantes o en momentos que dificultaron sus actividades, el 32% no presentó un ciclo menstrual regular; de ese total, el 5.5% no tuvo suficientes paños limpios y el 11.4% suficientes toallas o tampones nuevos. El 10.9% no puedo cambiar de toalla o tampón cuando lo necesitó; el 36.4% tuvo dolores que le dificultaron hacer sus actividades durante su ciclo menstrual; y el 69.9% nunca tuvo acceso a medicamentos para contrarrestar el dolor.</w:t>
      </w:r>
    </w:p>
    <w:p w14:paraId="154E2DBC" w14:textId="77777777" w:rsidR="00A02B37" w:rsidRPr="006A0372" w:rsidRDefault="00A02B37" w:rsidP="00CA2FAC">
      <w:pPr>
        <w:numPr>
          <w:ilvl w:val="0"/>
          <w:numId w:val="2"/>
        </w:numPr>
        <w:spacing w:line="240" w:lineRule="auto"/>
        <w:jc w:val="both"/>
        <w:rPr>
          <w:rFonts w:ascii="Corbel" w:eastAsia="Corbel" w:hAnsi="Corbel" w:cs="Corbel"/>
          <w:color w:val="131314"/>
        </w:rPr>
      </w:pPr>
      <w:r w:rsidRPr="006A0372">
        <w:rPr>
          <w:rFonts w:ascii="Corbel" w:eastAsia="Corbel" w:hAnsi="Corbel" w:cs="Corbel"/>
          <w:color w:val="131314"/>
        </w:rPr>
        <w:t>Otro tema visible es el cuidado del embarazo. Al respecto, todas las mujeres en este estado declararon haber tenido preocupación por no tener dinero, lo que se relaciona de nuevo con la decisión de no atenderse médicamente. Sumado a lo anterior hay mayor vulnerabilidad ante la violencia, pues 60% relató haber vivido violencia física y 80% amenazas o intimidación.</w:t>
      </w:r>
    </w:p>
    <w:p w14:paraId="733D3818" w14:textId="321D282D" w:rsidR="00A02B37" w:rsidRPr="006A0372" w:rsidRDefault="00A02B37" w:rsidP="00CA2FAC">
      <w:pPr>
        <w:numPr>
          <w:ilvl w:val="0"/>
          <w:numId w:val="2"/>
        </w:numPr>
        <w:spacing w:line="240" w:lineRule="auto"/>
        <w:jc w:val="both"/>
        <w:rPr>
          <w:rFonts w:ascii="Corbel" w:eastAsia="Corbel" w:hAnsi="Corbel" w:cs="Corbel"/>
          <w:color w:val="131314"/>
        </w:rPr>
      </w:pPr>
      <w:r w:rsidRPr="006A0372">
        <w:rPr>
          <w:rFonts w:ascii="Corbel" w:eastAsia="Corbel" w:hAnsi="Corbel" w:cs="Corbel"/>
          <w:color w:val="131314"/>
        </w:rPr>
        <w:t xml:space="preserve">En cuanto a la vida sexual activa, el problema más recurrente fue haber tenido dolor en el vientre o abdomen, seguido de la preocupación de haber sido contagiada de alguna infección de transmisión sexual y el haber quedado embarazada. Existen </w:t>
      </w:r>
      <w:hyperlink r:id="rId36" w:history="1">
        <w:r w:rsidRPr="006F3BB2">
          <w:rPr>
            <w:rStyle w:val="Hipervnculo"/>
            <w:rFonts w:ascii="Corbel" w:eastAsia="Corbel" w:hAnsi="Corbel" w:cs="Corbel"/>
          </w:rPr>
          <w:t>elementos</w:t>
        </w:r>
      </w:hyperlink>
      <w:r w:rsidRPr="006A0372">
        <w:rPr>
          <w:rFonts w:ascii="Corbel" w:eastAsia="Corbel" w:hAnsi="Corbel" w:cs="Corbel"/>
          <w:color w:val="131314"/>
        </w:rPr>
        <w:t xml:space="preserve"> que aumentan la exposición y diseminación de enfermedades como las de transmisión sexual entre la población migrante. Se observan prácticas sexuales sin protección y una dificultad significativa para acceder a información, métodos de cuidado a su vida sexual y servicios de salud. </w:t>
      </w:r>
    </w:p>
    <w:p w14:paraId="0E9DF6C5" w14:textId="77777777" w:rsidR="00A02B37" w:rsidRPr="006A0372" w:rsidRDefault="00A02B37" w:rsidP="00CA2FAC">
      <w:pPr>
        <w:numPr>
          <w:ilvl w:val="0"/>
          <w:numId w:val="2"/>
        </w:numPr>
        <w:spacing w:line="240" w:lineRule="auto"/>
        <w:jc w:val="both"/>
        <w:rPr>
          <w:rFonts w:ascii="Corbel" w:eastAsia="Corbel" w:hAnsi="Corbel" w:cs="Corbel"/>
          <w:color w:val="131314"/>
        </w:rPr>
      </w:pPr>
      <w:r w:rsidRPr="006A0372">
        <w:rPr>
          <w:rFonts w:ascii="Corbel" w:eastAsia="Corbel" w:hAnsi="Corbel" w:cs="Corbel"/>
          <w:color w:val="131314"/>
        </w:rPr>
        <w:t>Entre las que tuvieron algún problema después de tener relaciones sexuales, sólo el 26.1% buscaron atención, en un rango temporal entre 1-3 meses.</w:t>
      </w:r>
    </w:p>
    <w:p w14:paraId="158629EB" w14:textId="16EB4A86" w:rsidR="00A02B37" w:rsidRPr="006F3BB2" w:rsidRDefault="00A02B37" w:rsidP="00CA2FAC">
      <w:pPr>
        <w:numPr>
          <w:ilvl w:val="0"/>
          <w:numId w:val="2"/>
        </w:numPr>
        <w:spacing w:after="240" w:line="240" w:lineRule="auto"/>
        <w:jc w:val="both"/>
        <w:rPr>
          <w:rFonts w:ascii="Corbel" w:eastAsia="Corbel" w:hAnsi="Corbel" w:cs="Corbel"/>
          <w:color w:val="131314"/>
        </w:rPr>
      </w:pPr>
      <w:r w:rsidRPr="006A0372">
        <w:rPr>
          <w:rFonts w:ascii="Corbel" w:eastAsia="Corbel" w:hAnsi="Corbel" w:cs="Corbel"/>
          <w:color w:val="131314"/>
        </w:rPr>
        <w:t xml:space="preserve">Existen vacíos de información importante que pueden poner en riesgo la vida, la integridad y/o la autonomía de las mujeres. Algunos ejemplos: gran parte de la población encuestada no vincula la violencia sexual con la violencia física o con vínculos familiares o cercanos; además, no existe un conocimiento amplio sobre el uso adecuado del tampón, o acceso a información y procesos de salud </w:t>
      </w:r>
      <w:r w:rsidR="00345E25" w:rsidRPr="006A0372">
        <w:rPr>
          <w:rFonts w:ascii="Corbel" w:eastAsia="Corbel" w:hAnsi="Corbel" w:cs="Corbel"/>
          <w:color w:val="131314"/>
        </w:rPr>
        <w:t>entorno</w:t>
      </w:r>
      <w:r w:rsidRPr="006A0372">
        <w:rPr>
          <w:rFonts w:ascii="Corbel" w:eastAsia="Corbel" w:hAnsi="Corbel" w:cs="Corbel"/>
          <w:color w:val="131314"/>
        </w:rPr>
        <w:t xml:space="preserve"> al VIH o de métodos para evitar embarazos, así como el uso de medicamentos para la interrupción del embarazo de forma segura.</w:t>
      </w:r>
    </w:p>
    <w:p w14:paraId="5702E25A" w14:textId="39350B60" w:rsidR="00A02B37" w:rsidRPr="006A0372" w:rsidRDefault="00F62F7E" w:rsidP="006A0372">
      <w:pPr>
        <w:pStyle w:val="Ttulo3"/>
        <w:rPr>
          <w:rStyle w:val="nfasis"/>
          <w:rFonts w:ascii="Corbel" w:hAnsi="Corbel"/>
          <w:color w:val="auto"/>
          <w:sz w:val="24"/>
          <w:szCs w:val="24"/>
          <w:highlight w:val="white"/>
        </w:rPr>
      </w:pPr>
      <w:bookmarkStart w:id="7" w:name="_Toc198501183"/>
      <w:r w:rsidRPr="006A0372">
        <w:rPr>
          <w:rStyle w:val="nfasis"/>
          <w:rFonts w:ascii="Corbel" w:hAnsi="Corbel"/>
          <w:color w:val="auto"/>
          <w:sz w:val="24"/>
          <w:szCs w:val="24"/>
          <w:highlight w:val="white"/>
        </w:rPr>
        <w:lastRenderedPageBreak/>
        <w:t xml:space="preserve">IV.I.  </w:t>
      </w:r>
      <w:r w:rsidR="00A02B37" w:rsidRPr="006A0372">
        <w:rPr>
          <w:rStyle w:val="nfasis"/>
          <w:rFonts w:ascii="Corbel" w:hAnsi="Corbel"/>
          <w:color w:val="auto"/>
          <w:sz w:val="24"/>
          <w:szCs w:val="24"/>
          <w:highlight w:val="white"/>
        </w:rPr>
        <w:t>Mujeres jornaleras agrícolas migrantes y las barreras para acceder a sus derechos e información sobre salud sexual y reproductiva</w:t>
      </w:r>
      <w:bookmarkEnd w:id="7"/>
    </w:p>
    <w:p w14:paraId="24B28990" w14:textId="77777777" w:rsidR="00A02B37" w:rsidRPr="006A0372" w:rsidRDefault="00A02B37" w:rsidP="00CA2FAC">
      <w:pPr>
        <w:spacing w:line="240" w:lineRule="auto"/>
        <w:ind w:left="720"/>
        <w:jc w:val="both"/>
        <w:rPr>
          <w:rFonts w:ascii="Corbel" w:eastAsia="Corbel" w:hAnsi="Corbel" w:cs="Corbel"/>
        </w:rPr>
      </w:pPr>
    </w:p>
    <w:p w14:paraId="70541E3E" w14:textId="77777777" w:rsidR="00A02B37" w:rsidRPr="006A0372" w:rsidRDefault="00A02B37" w:rsidP="00CA2FAC">
      <w:pPr>
        <w:spacing w:line="240" w:lineRule="auto"/>
        <w:jc w:val="both"/>
        <w:rPr>
          <w:rFonts w:ascii="Corbel" w:eastAsia="Corbel" w:hAnsi="Corbel" w:cs="Corbel"/>
        </w:rPr>
      </w:pPr>
      <w:r w:rsidRPr="006A0372">
        <w:rPr>
          <w:rFonts w:ascii="Corbel" w:eastAsia="Corbel" w:hAnsi="Corbel" w:cs="Corbel"/>
        </w:rPr>
        <w:t xml:space="preserve">En México, la información a la que pueden acceder las mujeres jornaleras o trabajadoras agrícolas migrantes es limitada o muy básica, por lo general es la que se transmite de madres a hijas o por medio de un familiar de confianza, debido a las barreras institucionales y culturales para su acceso a la información, ya que la información que difunden las instituciones de salud a nivel federal y estatal, no es accesible para muchas mujeres jornaleras, sobre todo de contextos rurales e indígenas porque algunas no saben leer y/o escribir, son monolingües o el uso de tecnicismos médicos en complicado de comprender. A esto se suma que algunas de ellas tienen dificultades para acceder a los sitios web o redes sociales del sector Salud. Y culturales porque en muchas ocasiones, si el médico es hombre, los esposos no permiten que él las revise y difícilmente hay mujeres médicas ginecólogas en espacios rurales. </w:t>
      </w:r>
    </w:p>
    <w:p w14:paraId="661934EB" w14:textId="77777777" w:rsidR="00A02B37" w:rsidRPr="006A0372" w:rsidRDefault="00A02B37" w:rsidP="00CA2FAC">
      <w:pPr>
        <w:spacing w:line="240" w:lineRule="auto"/>
        <w:jc w:val="both"/>
        <w:rPr>
          <w:rFonts w:ascii="Corbel" w:eastAsia="Corbel" w:hAnsi="Corbel" w:cs="Corbel"/>
        </w:rPr>
      </w:pPr>
    </w:p>
    <w:p w14:paraId="70101A12" w14:textId="77777777" w:rsidR="00A02B37" w:rsidRPr="006A0372" w:rsidRDefault="00A02B37" w:rsidP="00CA2FAC">
      <w:pPr>
        <w:spacing w:line="240" w:lineRule="auto"/>
        <w:jc w:val="both"/>
        <w:rPr>
          <w:rFonts w:ascii="Corbel" w:eastAsia="Corbel" w:hAnsi="Corbel" w:cs="Corbel"/>
        </w:rPr>
      </w:pPr>
      <w:r w:rsidRPr="006A0372">
        <w:rPr>
          <w:rFonts w:ascii="Corbel" w:eastAsia="Corbel" w:hAnsi="Corbel" w:cs="Corbel"/>
        </w:rPr>
        <w:t xml:space="preserve">Otro obstáculo es la dificultad para su acceso a información sobre métodos anticonceptivos. Ellas han aprendido a identificar algunos de ellos a partir de pláticas que les han impartido en los campos agrícolas a donde migran para trabajar como jornaleras, y donde también en ocasiones les imparten pláticas sobre salud sexual y reproductiva; pero son temas que todavía no se hablan abiertamente, sólo entre ellas. Además, la información que comparte el Sector Salud no se imparte desde un enfoque intercultural, es homogénea y se transmite principalmente en español, no se consideran los contextos sociales, laborales, </w:t>
      </w:r>
      <w:proofErr w:type="spellStart"/>
      <w:r w:rsidRPr="006A0372">
        <w:rPr>
          <w:rFonts w:ascii="Corbel" w:eastAsia="Corbel" w:hAnsi="Corbel" w:cs="Corbel"/>
        </w:rPr>
        <w:t>etáreos</w:t>
      </w:r>
      <w:proofErr w:type="spellEnd"/>
      <w:r w:rsidRPr="006A0372">
        <w:rPr>
          <w:rFonts w:ascii="Corbel" w:eastAsia="Corbel" w:hAnsi="Corbel" w:cs="Corbel"/>
        </w:rPr>
        <w:t xml:space="preserve"> y de movilidad de las mujeres jornaleras agrícolas. </w:t>
      </w:r>
    </w:p>
    <w:p w14:paraId="34C52AA9" w14:textId="77777777" w:rsidR="00A02B37" w:rsidRPr="006A0372" w:rsidRDefault="00A02B37" w:rsidP="00CA2FAC">
      <w:pPr>
        <w:spacing w:line="240" w:lineRule="auto"/>
        <w:jc w:val="both"/>
        <w:rPr>
          <w:rFonts w:ascii="Corbel" w:eastAsia="Corbel" w:hAnsi="Corbel" w:cs="Corbel"/>
        </w:rPr>
      </w:pPr>
    </w:p>
    <w:p w14:paraId="0B0274A2" w14:textId="77777777" w:rsidR="00A02B37" w:rsidRPr="006A0372" w:rsidRDefault="00A02B37" w:rsidP="00CA2FAC">
      <w:pPr>
        <w:spacing w:line="240" w:lineRule="auto"/>
        <w:jc w:val="both"/>
        <w:rPr>
          <w:rFonts w:ascii="Corbel" w:eastAsia="Corbel" w:hAnsi="Corbel" w:cs="Corbel"/>
        </w:rPr>
      </w:pPr>
      <w:r w:rsidRPr="006A0372">
        <w:rPr>
          <w:rFonts w:ascii="Corbel" w:eastAsia="Corbel" w:hAnsi="Corbel" w:cs="Corbel"/>
        </w:rPr>
        <w:t>Las campañas sobre salud sexual y reproductiva se llevan a cabo en espacios que están distantes o cercanos a las urbes. Enfrentan limitantes para su acceso a información sobre productos para su gestión y autocuidado menstrual, sexualidad y métodos anticonceptivos, además de las dificultades para acceder a campañas para la realización del Papanicolaou, mastografías, talleres y pláticas sobre salud sexual y reproductiva, así como ubicación de unidades móviles o centros especializados que brinden atención y tratamientos para estos temas, entre otros.</w:t>
      </w:r>
    </w:p>
    <w:p w14:paraId="78411927" w14:textId="77777777" w:rsidR="00A02B37" w:rsidRPr="006A0372" w:rsidRDefault="00A02B37" w:rsidP="00CA2FAC">
      <w:pPr>
        <w:spacing w:line="240" w:lineRule="auto"/>
        <w:jc w:val="both"/>
        <w:rPr>
          <w:rFonts w:ascii="Corbel" w:eastAsia="Corbel" w:hAnsi="Corbel" w:cs="Corbel"/>
        </w:rPr>
      </w:pPr>
    </w:p>
    <w:p w14:paraId="746EF71C" w14:textId="77777777" w:rsidR="00A02B37" w:rsidRPr="006A0372" w:rsidRDefault="00A02B37" w:rsidP="00CA2FAC">
      <w:pPr>
        <w:spacing w:line="240" w:lineRule="auto"/>
        <w:jc w:val="both"/>
        <w:rPr>
          <w:rFonts w:ascii="Corbel" w:eastAsia="Corbel" w:hAnsi="Corbel" w:cs="Corbel"/>
        </w:rPr>
      </w:pPr>
      <w:r w:rsidRPr="006A0372">
        <w:rPr>
          <w:rFonts w:ascii="Corbel" w:eastAsia="Corbel" w:hAnsi="Corbel" w:cs="Corbel"/>
        </w:rPr>
        <w:t>Una barrera casi invisible es el miedo o vergüenza que sienten frente al profesional de la salud que las atiende, por lo general cuando son hombres. A esta se suma la postergación del propio cuidado de la salud de las mujeres jornaleras por falta de recursos económicos, por la lejanía de las Unidades de Salud, por su contexto multicultural, por la falta de información, por falta de una red de apoyo y por sus propios procesos migratorios. Estas barreras y ausencia de acceso a sus derechos se reproducen a lo largo de sus ciclos de vida tanto en sus comunidades de origen como en los estados a donde migran para ir a trabajar como jornaleras agrícolas.</w:t>
      </w:r>
    </w:p>
    <w:p w14:paraId="5034268D" w14:textId="77777777" w:rsidR="00F62F7E" w:rsidRPr="006A0372" w:rsidRDefault="00F62F7E" w:rsidP="00F62F7E">
      <w:pPr>
        <w:spacing w:line="240" w:lineRule="auto"/>
        <w:jc w:val="both"/>
        <w:rPr>
          <w:rFonts w:ascii="Corbel" w:eastAsia="Corbel" w:hAnsi="Corbel" w:cs="Corbel"/>
        </w:rPr>
      </w:pPr>
    </w:p>
    <w:p w14:paraId="1AD1B533" w14:textId="70A54A52" w:rsidR="00A02B37" w:rsidRPr="006A0372" w:rsidRDefault="00F62F7E" w:rsidP="006A0372">
      <w:pPr>
        <w:pStyle w:val="Ttulo3"/>
        <w:rPr>
          <w:rStyle w:val="nfasis"/>
          <w:rFonts w:ascii="Corbel" w:hAnsi="Corbel"/>
          <w:color w:val="auto"/>
          <w:sz w:val="24"/>
          <w:szCs w:val="24"/>
          <w:highlight w:val="white"/>
        </w:rPr>
      </w:pPr>
      <w:bookmarkStart w:id="8" w:name="_Toc198501184"/>
      <w:r w:rsidRPr="006A0372">
        <w:rPr>
          <w:rStyle w:val="nfasis"/>
          <w:rFonts w:ascii="Corbel" w:hAnsi="Corbel"/>
          <w:color w:val="auto"/>
          <w:sz w:val="24"/>
          <w:szCs w:val="24"/>
          <w:highlight w:val="white"/>
        </w:rPr>
        <w:t xml:space="preserve">IV.II. </w:t>
      </w:r>
      <w:r w:rsidR="00A02B37" w:rsidRPr="006A0372">
        <w:rPr>
          <w:rStyle w:val="nfasis"/>
          <w:rFonts w:ascii="Corbel" w:hAnsi="Corbel"/>
          <w:color w:val="auto"/>
          <w:sz w:val="24"/>
          <w:szCs w:val="24"/>
          <w:highlight w:val="white"/>
        </w:rPr>
        <w:t>Acceso a Servicios de Salud Sexual y Reproductiva</w:t>
      </w:r>
      <w:bookmarkEnd w:id="8"/>
      <w:r w:rsidR="00A02B37" w:rsidRPr="006A0372">
        <w:rPr>
          <w:rStyle w:val="nfasis"/>
          <w:rFonts w:ascii="Corbel" w:hAnsi="Corbel"/>
          <w:color w:val="auto"/>
          <w:sz w:val="24"/>
          <w:szCs w:val="24"/>
          <w:highlight w:val="white"/>
        </w:rPr>
        <w:t xml:space="preserve"> </w:t>
      </w:r>
    </w:p>
    <w:p w14:paraId="7A211A93" w14:textId="77777777" w:rsidR="00A02B37" w:rsidRPr="006A0372" w:rsidRDefault="00A02B37" w:rsidP="00CA2FAC">
      <w:pPr>
        <w:spacing w:line="240" w:lineRule="auto"/>
        <w:jc w:val="both"/>
        <w:rPr>
          <w:rFonts w:ascii="Corbel" w:eastAsia="Corbel" w:hAnsi="Corbel" w:cs="Corbel"/>
          <w:color w:val="131314"/>
        </w:rPr>
      </w:pPr>
    </w:p>
    <w:p w14:paraId="63056A51" w14:textId="3184D6EA" w:rsidR="00A02B37" w:rsidRPr="006A0372" w:rsidRDefault="00A02B37" w:rsidP="00CA2FAC">
      <w:pPr>
        <w:spacing w:line="240" w:lineRule="auto"/>
        <w:jc w:val="both"/>
        <w:rPr>
          <w:rFonts w:ascii="Corbel" w:eastAsia="Corbel" w:hAnsi="Corbel" w:cs="Corbel"/>
          <w:color w:val="131314"/>
        </w:rPr>
      </w:pPr>
      <w:r w:rsidRPr="006A0372">
        <w:rPr>
          <w:rFonts w:ascii="Corbel" w:eastAsia="Corbel" w:hAnsi="Corbel" w:cs="Corbel"/>
          <w:color w:val="131314"/>
        </w:rPr>
        <w:t xml:space="preserve">El contexto legal e institucional para la atención de la salud sexual y reproductiva de las mujeres en movilidad humana podría estar cubierto por políticas en diversos niveles. Sin embargo, en la práctica, existe una gran dispersión de políticas, programas y atención dirigidos a la población migrante, lo cual dificulta la protección de sus derechos. La lejanía de las zonas fronterizas de los centros de decisión y el aumento de actividades delictivas exponen a las personas migrantes, especialmente a las mujeres, a riesgos como el tráfico, la trata y la violencia de género. La debilidad tradicional del Estado en estas regiones y la falta de coordinación con los gobiernos locales son obstáculos principales para las políticas públicas de salud sexual y reproductiva en las fronteras. Los </w:t>
      </w:r>
      <w:hyperlink r:id="rId37" w:history="1">
        <w:r w:rsidRPr="00C006D8">
          <w:rPr>
            <w:rStyle w:val="Hipervnculo"/>
            <w:rFonts w:ascii="Corbel" w:eastAsia="Corbel" w:hAnsi="Corbel" w:cs="Corbel"/>
          </w:rPr>
          <w:t>servicios de salud</w:t>
        </w:r>
      </w:hyperlink>
      <w:r w:rsidRPr="006A0372">
        <w:rPr>
          <w:rFonts w:ascii="Corbel" w:eastAsia="Corbel" w:hAnsi="Corbel" w:cs="Corbel"/>
          <w:color w:val="131314"/>
        </w:rPr>
        <w:t xml:space="preserve"> en zonas fronterizas son deficientes incluso para la población nativa, lo que agrava la situación para la población migrante.</w:t>
      </w:r>
    </w:p>
    <w:p w14:paraId="61CC9B70" w14:textId="3C3A1AAA" w:rsidR="00A02B37" w:rsidRPr="006A0372" w:rsidRDefault="00A02B37" w:rsidP="00CA2FAC">
      <w:pPr>
        <w:spacing w:before="240" w:after="240" w:line="240" w:lineRule="auto"/>
        <w:jc w:val="both"/>
        <w:rPr>
          <w:rFonts w:ascii="Corbel" w:eastAsia="Corbel" w:hAnsi="Corbel" w:cs="Corbel"/>
          <w:color w:val="131314"/>
        </w:rPr>
      </w:pPr>
      <w:r w:rsidRPr="006A0372">
        <w:rPr>
          <w:rFonts w:ascii="Corbel" w:eastAsia="Corbel" w:hAnsi="Corbel" w:cs="Corbel"/>
          <w:color w:val="131314"/>
        </w:rPr>
        <w:lastRenderedPageBreak/>
        <w:t xml:space="preserve">Retomando la información la información ofrecida por </w:t>
      </w:r>
      <w:r w:rsidR="00C006D8">
        <w:rPr>
          <w:rFonts w:ascii="Corbel" w:eastAsia="Corbel" w:hAnsi="Corbel" w:cs="Corbel"/>
          <w:color w:val="131314"/>
        </w:rPr>
        <w:t xml:space="preserve">el </w:t>
      </w:r>
      <w:proofErr w:type="spellStart"/>
      <w:r w:rsidRPr="006A0372">
        <w:rPr>
          <w:rFonts w:ascii="Corbel" w:eastAsia="Corbel" w:hAnsi="Corbel" w:cs="Corbel"/>
          <w:color w:val="131314"/>
        </w:rPr>
        <w:t>Population</w:t>
      </w:r>
      <w:proofErr w:type="spellEnd"/>
      <w:r w:rsidRPr="006A0372">
        <w:rPr>
          <w:rFonts w:ascii="Corbel" w:eastAsia="Corbel" w:hAnsi="Corbel" w:cs="Corbel"/>
          <w:color w:val="131314"/>
        </w:rPr>
        <w:t xml:space="preserve"> Council, las mujeres que buscaron atención y no la recibieron reportan que fue debido a que no había personal médico disponible, lo que </w:t>
      </w:r>
      <w:proofErr w:type="gramStart"/>
      <w:r w:rsidRPr="006A0372">
        <w:rPr>
          <w:rFonts w:ascii="Corbel" w:eastAsia="Corbel" w:hAnsi="Corbel" w:cs="Corbel"/>
          <w:color w:val="131314"/>
        </w:rPr>
        <w:t>les</w:t>
      </w:r>
      <w:proofErr w:type="gramEnd"/>
      <w:r w:rsidRPr="006A0372">
        <w:rPr>
          <w:rFonts w:ascii="Corbel" w:eastAsia="Corbel" w:hAnsi="Corbel" w:cs="Corbel"/>
          <w:color w:val="131314"/>
        </w:rPr>
        <w:t xml:space="preserve"> llevó a recurrir a la automedicación (38.6%), la sanación naturista o religiosa (4%), o la búsqueda de otro lugar (4%).  El 29% no pudo resolver su problema de salud.</w:t>
      </w:r>
    </w:p>
    <w:p w14:paraId="0173F4C1" w14:textId="6E74C467" w:rsidR="00A02B37" w:rsidRPr="006A0372" w:rsidRDefault="00A02B37" w:rsidP="00CA2FAC">
      <w:pPr>
        <w:spacing w:before="240" w:after="240" w:line="240" w:lineRule="auto"/>
        <w:jc w:val="both"/>
        <w:rPr>
          <w:rFonts w:ascii="Corbel" w:eastAsia="Corbel" w:hAnsi="Corbel" w:cs="Corbel"/>
          <w:color w:val="131314"/>
        </w:rPr>
      </w:pPr>
      <w:r w:rsidRPr="006A0372">
        <w:rPr>
          <w:rFonts w:ascii="Corbel" w:eastAsia="Corbel" w:hAnsi="Corbel" w:cs="Corbel"/>
          <w:color w:val="131314"/>
        </w:rPr>
        <w:t xml:space="preserve">Desde el trabajo de la sociedad civil se ha evidenciado que esto ha influido en la decisión de no buscar ayuda médica, sumado a las condiciones económicas precarias, las tareas que ejercen de cuidado, la vergüenza y el miedo de identificarse como migrantes, sobre todo cuando no cuentan con documentos o su </w:t>
      </w:r>
      <w:r w:rsidR="00325CB6" w:rsidRPr="006A0372">
        <w:rPr>
          <w:rFonts w:ascii="Corbel" w:eastAsia="Corbel" w:hAnsi="Corbel" w:cs="Corbel"/>
          <w:color w:val="131314"/>
        </w:rPr>
        <w:t>condición</w:t>
      </w:r>
      <w:r w:rsidRPr="006A0372">
        <w:rPr>
          <w:rFonts w:ascii="Corbel" w:eastAsia="Corbel" w:hAnsi="Corbel" w:cs="Corbel"/>
          <w:color w:val="131314"/>
        </w:rPr>
        <w:t xml:space="preserve"> migratoria es irregular.</w:t>
      </w:r>
    </w:p>
    <w:p w14:paraId="58813427" w14:textId="77777777" w:rsidR="00A02B37" w:rsidRPr="006A0372" w:rsidRDefault="00A02B37" w:rsidP="00CA2FAC">
      <w:pPr>
        <w:spacing w:before="240" w:after="240" w:line="240" w:lineRule="auto"/>
        <w:jc w:val="both"/>
        <w:rPr>
          <w:rFonts w:ascii="Corbel" w:eastAsia="Corbel" w:hAnsi="Corbel" w:cs="Corbel"/>
          <w:color w:val="131314"/>
        </w:rPr>
      </w:pPr>
      <w:r w:rsidRPr="006A0372">
        <w:rPr>
          <w:rFonts w:ascii="Corbel" w:eastAsia="Corbel" w:hAnsi="Corbel" w:cs="Corbel"/>
          <w:color w:val="131314"/>
        </w:rPr>
        <w:t xml:space="preserve">Sin embargo, otras condiciones que dificultan la SSR son la falta de acceso a espacios y condiciones de higiene, además de la dificultad para comprar medicamentos pues quienes les guían no les permiten salir de los lugares donde son retenidas durante el trayecto. A esto se suma la dificultad de acceder a condiciones de aseo e higiene. </w:t>
      </w:r>
    </w:p>
    <w:p w14:paraId="6FBAA42B" w14:textId="10DA114E" w:rsidR="00A02B37" w:rsidRPr="006A0372" w:rsidRDefault="00A02B37" w:rsidP="00CA2FAC">
      <w:pPr>
        <w:spacing w:line="240" w:lineRule="auto"/>
        <w:jc w:val="both"/>
        <w:rPr>
          <w:rFonts w:ascii="Corbel" w:eastAsia="Corbel" w:hAnsi="Corbel" w:cs="Corbel"/>
          <w:color w:val="131314"/>
        </w:rPr>
      </w:pPr>
      <w:r w:rsidRPr="006A0372">
        <w:rPr>
          <w:rFonts w:ascii="Corbel" w:eastAsia="Corbel" w:hAnsi="Corbel" w:cs="Corbel"/>
          <w:color w:val="131314"/>
        </w:rPr>
        <w:t>A pesar de estos desafíos, la Ley de Migración de México garantiza a toda persona extranjera el ejercicio de sus derechos, incluido el acceso a cualquier tipo de atención médica, provista por sectores público y privado, independientemente de su situación migratoria. Esto abarca la atención médica urgente necesaria para preservar la vida, y es crucial entender que esto incluye la salud</w:t>
      </w:r>
      <w:r w:rsidR="00325CB6" w:rsidRPr="006A0372">
        <w:rPr>
          <w:rFonts w:ascii="Corbel" w:eastAsia="Corbel" w:hAnsi="Corbel" w:cs="Corbel"/>
          <w:color w:val="131314"/>
        </w:rPr>
        <w:t xml:space="preserve"> sexual y reproductiva</w:t>
      </w:r>
      <w:r w:rsidRPr="006A0372">
        <w:rPr>
          <w:rFonts w:ascii="Corbel" w:eastAsia="Corbel" w:hAnsi="Corbel" w:cs="Corbel"/>
          <w:color w:val="131314"/>
        </w:rPr>
        <w:t xml:space="preserve">. </w:t>
      </w:r>
      <w:r w:rsidR="00325CB6" w:rsidRPr="006A0372">
        <w:rPr>
          <w:rFonts w:ascii="Corbel" w:eastAsia="Corbel" w:hAnsi="Corbel" w:cs="Corbel"/>
          <w:color w:val="131314"/>
        </w:rPr>
        <w:t xml:space="preserve">No obstante, el IMUMI ha identificado múltiples barreras para el acceso a la salud de mujeres y personas LGBTIQA+ en movilidad humana en México, incluyendo exigencias administrativas como CURP, a pesar de que la salud es un derecho universal. Existe una desconexión entre el marco normativo y la realidad, lo que impide una atención adecuada, especialmente en salud física, mental y especializada. </w:t>
      </w:r>
      <w:r w:rsidRPr="006A0372">
        <w:rPr>
          <w:rFonts w:ascii="Corbel" w:eastAsia="Corbel" w:hAnsi="Corbel" w:cs="Corbel"/>
          <w:color w:val="131314"/>
        </w:rPr>
        <w:t>Las organizaciones de la sociedad civil juegan un papel crucial y a menudo son las únicas redes de apoyo y asistencia para las personas migrantes fronterizas. Sin embargo, sus capacidades están sobrepasadas.</w:t>
      </w:r>
    </w:p>
    <w:p w14:paraId="6638EF6B" w14:textId="77777777" w:rsidR="00A02B37" w:rsidRPr="006A0372" w:rsidRDefault="00A02B37" w:rsidP="00CA2FAC">
      <w:pPr>
        <w:spacing w:line="240" w:lineRule="auto"/>
        <w:jc w:val="both"/>
        <w:rPr>
          <w:rFonts w:ascii="Corbel" w:eastAsia="Corbel" w:hAnsi="Corbel" w:cs="Corbel"/>
          <w:color w:val="131314"/>
        </w:rPr>
      </w:pPr>
    </w:p>
    <w:p w14:paraId="3145C7FE" w14:textId="77777777" w:rsidR="00A02B37" w:rsidRPr="006A0372" w:rsidRDefault="00A02B37" w:rsidP="00CA2FAC">
      <w:pPr>
        <w:spacing w:line="240" w:lineRule="auto"/>
        <w:jc w:val="both"/>
        <w:rPr>
          <w:rFonts w:ascii="Corbel" w:eastAsia="Corbel" w:hAnsi="Corbel" w:cs="Corbel"/>
          <w:color w:val="131314"/>
        </w:rPr>
      </w:pPr>
      <w:r w:rsidRPr="006A0372">
        <w:rPr>
          <w:rFonts w:ascii="Corbel" w:eastAsia="Corbel" w:hAnsi="Corbel" w:cs="Corbel"/>
          <w:color w:val="131314"/>
        </w:rPr>
        <w:t>Un desafío específico es la falta de accesibilidad a la Interrupción Legal del Embarazo (ILE) para niñas y adolescentes en movilidad en varios estados, como Chiapas, Baja California, Tamaulipas y Veracruz, debido a la discriminación hacia la población migrante y perspectivas religiosas.</w:t>
      </w:r>
    </w:p>
    <w:p w14:paraId="7D22DE60" w14:textId="77777777" w:rsidR="00325CB6" w:rsidRPr="006A0372" w:rsidRDefault="00325CB6" w:rsidP="00CA2FAC">
      <w:pPr>
        <w:spacing w:line="240" w:lineRule="auto"/>
        <w:jc w:val="both"/>
        <w:rPr>
          <w:rFonts w:ascii="Corbel" w:eastAsia="Corbel" w:hAnsi="Corbel" w:cs="Corbel"/>
          <w:color w:val="131314"/>
        </w:rPr>
      </w:pPr>
    </w:p>
    <w:p w14:paraId="3DB9FE23" w14:textId="4F8CA60B" w:rsidR="00325CB6" w:rsidRPr="006A0372" w:rsidRDefault="00325CB6" w:rsidP="00CA2FAC">
      <w:pPr>
        <w:spacing w:line="240" w:lineRule="auto"/>
        <w:jc w:val="both"/>
        <w:rPr>
          <w:rFonts w:ascii="Corbel" w:eastAsia="Corbel" w:hAnsi="Corbel" w:cs="Corbel"/>
          <w:color w:val="FF0000"/>
        </w:rPr>
      </w:pPr>
      <w:r w:rsidRPr="006A0372">
        <w:rPr>
          <w:rFonts w:ascii="Corbel" w:eastAsia="Corbel" w:hAnsi="Corbel" w:cs="Corbel"/>
          <w:color w:val="131314"/>
        </w:rPr>
        <w:t xml:space="preserve">En el caso de las mujeres de la diversidad sexo genérica en movilidad humana, las </w:t>
      </w:r>
      <w:hyperlink r:id="rId38" w:history="1">
        <w:r w:rsidRPr="00C006D8">
          <w:rPr>
            <w:rStyle w:val="Hipervnculo"/>
            <w:rFonts w:ascii="Corbel" w:eastAsia="Corbel" w:hAnsi="Corbel" w:cs="Corbel"/>
          </w:rPr>
          <w:t>barreras</w:t>
        </w:r>
      </w:hyperlink>
      <w:r w:rsidRPr="006A0372">
        <w:rPr>
          <w:rFonts w:ascii="Corbel" w:eastAsia="Corbel" w:hAnsi="Corbel" w:cs="Corbel"/>
          <w:color w:val="131314"/>
        </w:rPr>
        <w:t xml:space="preserve"> administrativas, económicas y sociales, sumadas a la ausencia de formación del personal de salud en temas de diversidad con enfoque de género, profundizan su exclusión y limitan gravemente su acceso a servicios básicos. Esta población tiene necesidades específicas de atención médica, como tratamientos con antirretrovirales, monitoreo del VIH y acceso a terapias hormonales. La interrupción de estos tratamientos representa serios riesgos para su salud: en el caso del VIH, puede provocar un aumento de la carga viral, generar resistencias y debilitar el sistema inmunológico, exponiéndoles a infecciones graves. Además, esta interrupción no solo afecta a nivel individual, sino que implica un riesgo de salud pública por el posible contagio de enfermedades infecciosas. Retomar el tratamiento, una vez interrumpido, también puede ser difícil debido a la escasez de medicamentos y servicios adecuados en los lugares a los que migran.</w:t>
      </w:r>
    </w:p>
    <w:p w14:paraId="5D16393B" w14:textId="77777777" w:rsidR="00A02B37" w:rsidRPr="006A0372" w:rsidRDefault="00A02B37" w:rsidP="00CA2FAC">
      <w:pPr>
        <w:spacing w:line="240" w:lineRule="auto"/>
        <w:jc w:val="both"/>
        <w:rPr>
          <w:rFonts w:ascii="Corbel" w:eastAsia="Corbel" w:hAnsi="Corbel" w:cs="Corbel"/>
          <w:color w:val="FF0000"/>
        </w:rPr>
      </w:pPr>
    </w:p>
    <w:p w14:paraId="1B33ED29" w14:textId="6F80F055" w:rsidR="00325CB6" w:rsidRPr="006A0372" w:rsidRDefault="00325CB6" w:rsidP="00CA2FAC">
      <w:pPr>
        <w:spacing w:line="240" w:lineRule="auto"/>
        <w:jc w:val="both"/>
        <w:rPr>
          <w:rFonts w:ascii="Corbel" w:eastAsia="Corbel" w:hAnsi="Corbel" w:cs="Corbel"/>
        </w:rPr>
      </w:pPr>
      <w:r w:rsidRPr="006A0372">
        <w:rPr>
          <w:rFonts w:ascii="Corbel" w:eastAsia="Corbel" w:hAnsi="Corbel" w:cs="Corbel"/>
        </w:rPr>
        <w:t xml:space="preserve">En los últimos años, se ha registrado un aumento en la mortalidad materna en México, lo que es particularmente preocupante dado que el 5% de las mujeres migrantes están embarazadas o en periodo de lactancia, según </w:t>
      </w:r>
      <w:hyperlink r:id="rId39" w:history="1">
        <w:r w:rsidRPr="00C006D8">
          <w:rPr>
            <w:rStyle w:val="Hipervnculo"/>
            <w:rFonts w:ascii="Corbel" w:eastAsia="Corbel" w:hAnsi="Corbel" w:cs="Corbel"/>
          </w:rPr>
          <w:t>UNICEF</w:t>
        </w:r>
      </w:hyperlink>
      <w:r w:rsidRPr="006A0372">
        <w:rPr>
          <w:rFonts w:ascii="Corbel" w:eastAsia="Corbel" w:hAnsi="Corbel" w:cs="Corbel"/>
        </w:rPr>
        <w:t xml:space="preserve">. Las </w:t>
      </w:r>
      <w:hyperlink r:id="rId40" w:history="1">
        <w:r w:rsidRPr="00C006D8">
          <w:rPr>
            <w:rStyle w:val="Hipervnculo"/>
            <w:rFonts w:ascii="Corbel" w:eastAsia="Corbel" w:hAnsi="Corbel" w:cs="Corbel"/>
          </w:rPr>
          <w:t>cifras</w:t>
        </w:r>
      </w:hyperlink>
      <w:r w:rsidRPr="006A0372">
        <w:rPr>
          <w:rFonts w:ascii="Corbel" w:eastAsia="Corbel" w:hAnsi="Corbel" w:cs="Corbel"/>
        </w:rPr>
        <w:t xml:space="preserve"> son aún más alarmantes en el caso de las maternidades migrantes: en 2022, la tasa de muertes fetales fue del 1.98% en mujeres mexicanas, mientras que alcanzó el 34% en mujeres extranjeras. Además, se ha observado un presupuesto insuficiente para los tres programas de salud sexual y reproductiva dirigidos a más de 34 millones de mujeres sin empleo formal, quienes se encuentran en una situación de mayor vulnerabilidad. Lo más preocupante es la falta de una partida presupuestaria específica para la salud sexual y reproductiva de las personas en movilidad humana. A esto se suman los persistentes obstáculos para acceder a </w:t>
      </w:r>
      <w:r w:rsidRPr="006A0372">
        <w:rPr>
          <w:rFonts w:ascii="Corbel" w:eastAsia="Corbel" w:hAnsi="Corbel" w:cs="Corbel"/>
        </w:rPr>
        <w:lastRenderedPageBreak/>
        <w:t xml:space="preserve">consultas de control prenatal. En muchos centros de salud, aún se exige documentación probatoria de identidad o de estancia temporal en México, además de barreras lingüísticas y la falta de información adecuada en los servicios de salud. </w:t>
      </w:r>
    </w:p>
    <w:p w14:paraId="6186C921" w14:textId="77777777" w:rsidR="00594445" w:rsidRPr="006A0372" w:rsidRDefault="00594445" w:rsidP="00CA2FAC">
      <w:pPr>
        <w:spacing w:line="240" w:lineRule="auto"/>
        <w:jc w:val="both"/>
        <w:rPr>
          <w:rFonts w:ascii="Corbel" w:eastAsia="Corbel" w:hAnsi="Corbel" w:cs="Corbel"/>
        </w:rPr>
      </w:pPr>
    </w:p>
    <w:p w14:paraId="343E69A2" w14:textId="1FE50D2B" w:rsidR="00A02B37" w:rsidRPr="006A0372" w:rsidRDefault="00F62F7E" w:rsidP="006A0372">
      <w:pPr>
        <w:pStyle w:val="Ttulo3"/>
        <w:rPr>
          <w:rStyle w:val="nfasis"/>
          <w:rFonts w:ascii="Corbel" w:hAnsi="Corbel"/>
          <w:color w:val="auto"/>
          <w:sz w:val="24"/>
          <w:szCs w:val="24"/>
          <w:highlight w:val="white"/>
        </w:rPr>
      </w:pPr>
      <w:bookmarkStart w:id="9" w:name="_Toc198501185"/>
      <w:r w:rsidRPr="006A0372">
        <w:rPr>
          <w:rStyle w:val="nfasis"/>
          <w:rFonts w:ascii="Corbel" w:hAnsi="Corbel"/>
          <w:color w:val="auto"/>
          <w:sz w:val="24"/>
          <w:szCs w:val="24"/>
          <w:highlight w:val="white"/>
        </w:rPr>
        <w:t xml:space="preserve">IV.III. </w:t>
      </w:r>
      <w:r w:rsidR="00A02B37" w:rsidRPr="006A0372">
        <w:rPr>
          <w:rStyle w:val="nfasis"/>
          <w:rFonts w:ascii="Corbel" w:hAnsi="Corbel"/>
          <w:color w:val="auto"/>
          <w:sz w:val="24"/>
          <w:szCs w:val="24"/>
          <w:highlight w:val="white"/>
        </w:rPr>
        <w:t>Violencia obstétrica y las barreras para decidir sobre sus cuerpos y sus planes de vida de las mujeres trabajadoras agrícolas migrantes</w:t>
      </w:r>
      <w:bookmarkEnd w:id="9"/>
      <w:r w:rsidR="00A02B37" w:rsidRPr="006A0372">
        <w:rPr>
          <w:rStyle w:val="nfasis"/>
          <w:rFonts w:ascii="Corbel" w:hAnsi="Corbel"/>
          <w:color w:val="auto"/>
          <w:sz w:val="24"/>
          <w:szCs w:val="24"/>
          <w:highlight w:val="white"/>
        </w:rPr>
        <w:t xml:space="preserve"> </w:t>
      </w:r>
    </w:p>
    <w:p w14:paraId="447C0D34" w14:textId="77777777" w:rsidR="00594445" w:rsidRPr="006A0372" w:rsidRDefault="00594445" w:rsidP="00594445">
      <w:pPr>
        <w:spacing w:line="240" w:lineRule="auto"/>
        <w:jc w:val="both"/>
        <w:rPr>
          <w:rFonts w:ascii="Corbel" w:eastAsia="Corbel" w:hAnsi="Corbel" w:cs="Corbel"/>
          <w:u w:val="single"/>
        </w:rPr>
      </w:pPr>
    </w:p>
    <w:p w14:paraId="59672851" w14:textId="77777777" w:rsidR="00A02B37" w:rsidRPr="006A0372" w:rsidRDefault="00A02B37" w:rsidP="00CA2FAC">
      <w:pPr>
        <w:spacing w:line="240" w:lineRule="auto"/>
        <w:jc w:val="both"/>
        <w:rPr>
          <w:rFonts w:ascii="Corbel" w:eastAsia="Corbel" w:hAnsi="Corbel" w:cs="Corbel"/>
        </w:rPr>
      </w:pPr>
      <w:r w:rsidRPr="006A0372">
        <w:rPr>
          <w:rFonts w:ascii="Corbel" w:eastAsia="Corbel" w:hAnsi="Corbel" w:cs="Corbel"/>
        </w:rPr>
        <w:t>Las mujeres trabajadoras agrícolas de contextos indígenas y rurales se enfrentan a otra barrera: la violencia institucional y obstétrica de parte del personal de enfermería o médico en algunas Unidades de Salud, así como la discriminación por su tono de piel, edad, estatus migratorio, por no hablar español la mayor parte de las veces, por su procedencia étnica y por ser originarias de entornos rurales.</w:t>
      </w:r>
    </w:p>
    <w:p w14:paraId="65829BAB" w14:textId="77777777" w:rsidR="00A02B37" w:rsidRPr="006A0372" w:rsidRDefault="00A02B37" w:rsidP="00CA2FAC">
      <w:pPr>
        <w:spacing w:line="240" w:lineRule="auto"/>
        <w:jc w:val="both"/>
        <w:rPr>
          <w:rFonts w:ascii="Corbel" w:eastAsia="Corbel" w:hAnsi="Corbel" w:cs="Corbel"/>
        </w:rPr>
      </w:pPr>
    </w:p>
    <w:p w14:paraId="5E9ACCB4" w14:textId="77777777" w:rsidR="00A02B37" w:rsidRPr="006A0372" w:rsidRDefault="00A02B37" w:rsidP="00CA2FAC">
      <w:pPr>
        <w:spacing w:line="240" w:lineRule="auto"/>
        <w:jc w:val="both"/>
        <w:rPr>
          <w:rFonts w:ascii="Corbel" w:eastAsia="Corbel" w:hAnsi="Corbel" w:cs="Corbel"/>
        </w:rPr>
      </w:pPr>
      <w:r w:rsidRPr="006A0372">
        <w:rPr>
          <w:rFonts w:ascii="Corbel" w:eastAsia="Corbel" w:hAnsi="Corbel" w:cs="Corbel"/>
        </w:rPr>
        <w:t>De acuerdo con información interna recabada por el CECIG, AC, durante el segundo semestre de 2022, para un diagnóstico comunitario realizado en comunidades indígenas con índices de migración interna jornalera y trabajo agrícola, se identificó particularmente en comunidades del municipio de Tlapa de Comonfort, Guerrero, que, posterior al parto o cuando acuden a sus consultas de revisión al Hospital de la Madre y el Niño Indígena Guerrerense de Tlapa, las enfermeras las presionan y en ocasiones las obligan a colocarse el implante (anticonceptivo) con el argumento de que es una regla tener sólo dos o tres hijos/as. Les preguntan, ¿cuántos hijos/as tienen? Si alguna de las mujeres dice que tiene cuatro, reciben maltrato por parte del personal de salud.</w:t>
      </w:r>
    </w:p>
    <w:p w14:paraId="73AC1092" w14:textId="77777777" w:rsidR="00A02B37" w:rsidRPr="006A0372" w:rsidRDefault="00A02B37" w:rsidP="00CA2FAC">
      <w:pPr>
        <w:spacing w:line="240" w:lineRule="auto"/>
        <w:jc w:val="both"/>
        <w:rPr>
          <w:rFonts w:ascii="Corbel" w:eastAsia="Corbel" w:hAnsi="Corbel" w:cs="Corbel"/>
        </w:rPr>
      </w:pPr>
    </w:p>
    <w:p w14:paraId="2B04A28F" w14:textId="77777777" w:rsidR="00A02B37" w:rsidRPr="006A0372" w:rsidRDefault="00A02B37" w:rsidP="00CA2FAC">
      <w:pPr>
        <w:spacing w:line="240" w:lineRule="auto"/>
        <w:jc w:val="both"/>
        <w:rPr>
          <w:rFonts w:ascii="Corbel" w:eastAsia="Corbel" w:hAnsi="Corbel" w:cs="Corbel"/>
        </w:rPr>
      </w:pPr>
      <w:r w:rsidRPr="006A0372">
        <w:rPr>
          <w:rFonts w:ascii="Corbel" w:eastAsia="Corbel" w:hAnsi="Corbel" w:cs="Corbel"/>
        </w:rPr>
        <w:t>La información obtenida revela que para las mujeres jornaleras indígenas migrantes es importante que “se respete su derecho a decidir cuántos hijos o hijas quieren tener”, así como su decisión sobre la temporalidad del uso de los implantes, porque en ocasiones las enfermeras se niegan a retirárselos y las condicionan para que lo porten mínimamente un año sí quieren embarazarse inmediatamente. Lo anterior las obliga a adecuar sus planes de vida y que no puedan decidir sobre sus cuerpos, optando por acudir con médicos particulares para que les retiren los implantes o prefieren esperar hasta que migran a los campos agrícolas donde van a laborar.</w:t>
      </w:r>
    </w:p>
    <w:p w14:paraId="376B1825" w14:textId="77777777" w:rsidR="008D62B5" w:rsidRPr="006A0372" w:rsidRDefault="008D62B5" w:rsidP="008D62B5">
      <w:pPr>
        <w:spacing w:line="240" w:lineRule="auto"/>
        <w:jc w:val="both"/>
        <w:rPr>
          <w:rFonts w:ascii="Corbel" w:eastAsia="Corbel" w:hAnsi="Corbel" w:cs="Corbel"/>
        </w:rPr>
      </w:pPr>
    </w:p>
    <w:p w14:paraId="18BA49DB" w14:textId="01833D04" w:rsidR="00A02B37" w:rsidRPr="006A0372" w:rsidRDefault="00A02B37" w:rsidP="006A0372">
      <w:pPr>
        <w:pStyle w:val="Ttulo2"/>
        <w:numPr>
          <w:ilvl w:val="0"/>
          <w:numId w:val="18"/>
        </w:numPr>
        <w:rPr>
          <w:rStyle w:val="Ttulodellibro"/>
          <w:rFonts w:ascii="Corbel" w:hAnsi="Corbel"/>
          <w:color w:val="auto"/>
          <w:highlight w:val="white"/>
        </w:rPr>
      </w:pPr>
      <w:bookmarkStart w:id="10" w:name="_Toc198501186"/>
      <w:r w:rsidRPr="006A0372">
        <w:rPr>
          <w:rStyle w:val="Ttulodellibro"/>
          <w:rFonts w:ascii="Corbel" w:hAnsi="Corbel"/>
          <w:color w:val="auto"/>
          <w:highlight w:val="white"/>
        </w:rPr>
        <w:t xml:space="preserve">Menstruación </w:t>
      </w:r>
      <w:r w:rsidR="004F73BD" w:rsidRPr="006A0372">
        <w:rPr>
          <w:rStyle w:val="Ttulodellibro"/>
          <w:rFonts w:ascii="Corbel" w:hAnsi="Corbel"/>
          <w:color w:val="auto"/>
          <w:highlight w:val="white"/>
        </w:rPr>
        <w:t>d</w:t>
      </w:r>
      <w:r w:rsidRPr="006A0372">
        <w:rPr>
          <w:rStyle w:val="Ttulodellibro"/>
          <w:rFonts w:ascii="Corbel" w:hAnsi="Corbel"/>
          <w:color w:val="auto"/>
          <w:highlight w:val="white"/>
        </w:rPr>
        <w:t xml:space="preserve">igna para </w:t>
      </w:r>
      <w:r w:rsidR="004F73BD" w:rsidRPr="006A0372">
        <w:rPr>
          <w:rStyle w:val="Ttulodellibro"/>
          <w:rFonts w:ascii="Corbel" w:hAnsi="Corbel"/>
          <w:color w:val="auto"/>
          <w:highlight w:val="white"/>
        </w:rPr>
        <w:t>m</w:t>
      </w:r>
      <w:r w:rsidRPr="006A0372">
        <w:rPr>
          <w:rStyle w:val="Ttulodellibro"/>
          <w:rFonts w:ascii="Corbel" w:hAnsi="Corbel"/>
          <w:color w:val="auto"/>
          <w:highlight w:val="white"/>
        </w:rPr>
        <w:t xml:space="preserve">ujeres y </w:t>
      </w:r>
      <w:r w:rsidR="004F73BD" w:rsidRPr="006A0372">
        <w:rPr>
          <w:rStyle w:val="Ttulodellibro"/>
          <w:rFonts w:ascii="Corbel" w:hAnsi="Corbel"/>
          <w:color w:val="auto"/>
          <w:highlight w:val="white"/>
        </w:rPr>
        <w:t>p</w:t>
      </w:r>
      <w:r w:rsidRPr="006A0372">
        <w:rPr>
          <w:rStyle w:val="Ttulodellibro"/>
          <w:rFonts w:ascii="Corbel" w:hAnsi="Corbel"/>
          <w:color w:val="auto"/>
          <w:highlight w:val="white"/>
        </w:rPr>
        <w:t xml:space="preserve">ersonas </w:t>
      </w:r>
      <w:r w:rsidR="004F73BD" w:rsidRPr="006A0372">
        <w:rPr>
          <w:rStyle w:val="Ttulodellibro"/>
          <w:rFonts w:ascii="Corbel" w:hAnsi="Corbel"/>
          <w:color w:val="auto"/>
          <w:highlight w:val="white"/>
        </w:rPr>
        <w:t>m</w:t>
      </w:r>
      <w:r w:rsidRPr="006A0372">
        <w:rPr>
          <w:rStyle w:val="Ttulodellibro"/>
          <w:rFonts w:ascii="Corbel" w:hAnsi="Corbel"/>
          <w:color w:val="auto"/>
          <w:highlight w:val="white"/>
        </w:rPr>
        <w:t>enstruantes en contextos de movilidad humana</w:t>
      </w:r>
      <w:bookmarkEnd w:id="10"/>
      <w:r w:rsidRPr="006A0372">
        <w:rPr>
          <w:rStyle w:val="Ttulodellibro"/>
          <w:rFonts w:ascii="Corbel" w:hAnsi="Corbel"/>
          <w:color w:val="auto"/>
          <w:highlight w:val="white"/>
        </w:rPr>
        <w:t xml:space="preserve"> </w:t>
      </w:r>
    </w:p>
    <w:p w14:paraId="3DB0241C" w14:textId="77777777" w:rsidR="00A02B37" w:rsidRPr="006A0372" w:rsidRDefault="00A02B37" w:rsidP="00CA2FAC">
      <w:pPr>
        <w:spacing w:line="240" w:lineRule="auto"/>
        <w:jc w:val="both"/>
        <w:rPr>
          <w:rFonts w:ascii="Corbel" w:eastAsia="Corbel" w:hAnsi="Corbel" w:cs="Corbel"/>
          <w:color w:val="131314"/>
        </w:rPr>
      </w:pPr>
    </w:p>
    <w:p w14:paraId="29661FF0" w14:textId="77777777" w:rsidR="00A02B37" w:rsidRPr="006A0372" w:rsidRDefault="00A02B37" w:rsidP="00CA2FAC">
      <w:pPr>
        <w:spacing w:line="240" w:lineRule="auto"/>
        <w:jc w:val="both"/>
        <w:rPr>
          <w:rFonts w:ascii="Corbel" w:eastAsia="Corbel" w:hAnsi="Corbel" w:cs="Corbel"/>
          <w:color w:val="131314"/>
        </w:rPr>
      </w:pPr>
      <w:r w:rsidRPr="006A0372">
        <w:rPr>
          <w:rFonts w:ascii="Corbel" w:eastAsia="Corbel" w:hAnsi="Corbel" w:cs="Corbel"/>
          <w:color w:val="131314"/>
        </w:rPr>
        <w:t>La menstruación es un proceso biológico que forma parte del camino de la vida. Menstruar en dignidad es un derecho para las niñas, adolescentes, mujeres y todas las personas migrantes que menstrúan.</w:t>
      </w:r>
    </w:p>
    <w:p w14:paraId="4DE404E4" w14:textId="77777777" w:rsidR="00A02B37" w:rsidRPr="006A0372" w:rsidRDefault="00A02B37" w:rsidP="00CA2FAC">
      <w:pPr>
        <w:spacing w:line="240" w:lineRule="auto"/>
        <w:jc w:val="both"/>
        <w:rPr>
          <w:rFonts w:ascii="Corbel" w:eastAsia="Corbel" w:hAnsi="Corbel" w:cs="Corbel"/>
          <w:color w:val="131314"/>
        </w:rPr>
      </w:pPr>
    </w:p>
    <w:p w14:paraId="3F9C7C57" w14:textId="77777777" w:rsidR="00A02B37" w:rsidRPr="006A0372" w:rsidRDefault="00A02B37" w:rsidP="00CA2FAC">
      <w:pPr>
        <w:spacing w:line="240" w:lineRule="auto"/>
        <w:jc w:val="both"/>
        <w:rPr>
          <w:rFonts w:ascii="Corbel" w:eastAsia="Corbel" w:hAnsi="Corbel" w:cs="Corbel"/>
          <w:color w:val="131314"/>
        </w:rPr>
      </w:pPr>
      <w:r w:rsidRPr="006A0372">
        <w:rPr>
          <w:rFonts w:ascii="Corbel" w:eastAsia="Corbel" w:hAnsi="Corbel" w:cs="Corbel"/>
          <w:color w:val="131314"/>
        </w:rPr>
        <w:t>La pobreza menstrual es una realidad para las mujeres y personas menstruantes migrantes en México. Esta pobreza implica tres carencias fundamentales: falta de infraestructura, falta de información y falta de dinero o puntos de venta de artículos para la gestión menstrual. A través de acompañamientos y talleres, se ha documentado que las mujeres en situación de movilidad, incluyendo solicitantes de asilo y refugiadas, a menudo relatan la falta de conocimiento sobre la menstruación en su menarquía y la falta de acceso a condiciones óptimas para su gestión menstrual durante sus procesos migratorios.</w:t>
      </w:r>
    </w:p>
    <w:p w14:paraId="715AE374" w14:textId="77777777" w:rsidR="00A02B37" w:rsidRPr="006A0372" w:rsidRDefault="00A02B37" w:rsidP="00CA2FAC">
      <w:pPr>
        <w:spacing w:line="240" w:lineRule="auto"/>
        <w:jc w:val="both"/>
        <w:rPr>
          <w:rFonts w:ascii="Corbel" w:eastAsia="Corbel" w:hAnsi="Corbel" w:cs="Corbel"/>
          <w:color w:val="131314"/>
        </w:rPr>
      </w:pPr>
    </w:p>
    <w:p w14:paraId="46D4CEC7" w14:textId="47C0741E" w:rsidR="00A02B37" w:rsidRPr="006A0372" w:rsidRDefault="00A02B37" w:rsidP="00CA2FAC">
      <w:pPr>
        <w:spacing w:line="240" w:lineRule="auto"/>
        <w:jc w:val="both"/>
        <w:rPr>
          <w:rFonts w:ascii="Corbel" w:eastAsia="Corbel" w:hAnsi="Corbel" w:cs="Corbel"/>
          <w:color w:val="131314"/>
        </w:rPr>
      </w:pPr>
      <w:r w:rsidRPr="006A0372">
        <w:rPr>
          <w:rFonts w:ascii="Corbel" w:eastAsia="Corbel" w:hAnsi="Corbel" w:cs="Corbel"/>
          <w:color w:val="131314"/>
        </w:rPr>
        <w:t xml:space="preserve">Hallazgos de una </w:t>
      </w:r>
      <w:hyperlink r:id="rId41" w:history="1">
        <w:r w:rsidRPr="00C006D8">
          <w:rPr>
            <w:rStyle w:val="Hipervnculo"/>
            <w:rFonts w:ascii="Corbel" w:eastAsia="Corbel" w:hAnsi="Corbel" w:cs="Corbel"/>
          </w:rPr>
          <w:t>investigación 202</w:t>
        </w:r>
        <w:r w:rsidR="00C006D8" w:rsidRPr="00C006D8">
          <w:rPr>
            <w:rStyle w:val="Hipervnculo"/>
            <w:rFonts w:ascii="Corbel" w:eastAsia="Corbel" w:hAnsi="Corbel" w:cs="Corbel"/>
          </w:rPr>
          <w:t>5</w:t>
        </w:r>
      </w:hyperlink>
      <w:r w:rsidRPr="006A0372">
        <w:rPr>
          <w:rFonts w:ascii="Corbel" w:eastAsia="Corbel" w:hAnsi="Corbel" w:cs="Corbel"/>
          <w:color w:val="131314"/>
        </w:rPr>
        <w:t xml:space="preserve"> evidencian las dificultades que enfrentan mujeres en movilidad para acceder a atención médica ginecológica en la Ciudad de México, a pesar de contar con leyes y programas como la Clínica Santuario.</w:t>
      </w:r>
      <w:r w:rsidR="006C5720" w:rsidRPr="006A0372">
        <w:rPr>
          <w:rFonts w:ascii="Corbel" w:eastAsia="Corbel" w:hAnsi="Corbel" w:cs="Corbel"/>
          <w:color w:val="131314"/>
        </w:rPr>
        <w:t xml:space="preserve"> </w:t>
      </w:r>
      <w:r w:rsidRPr="006A0372">
        <w:rPr>
          <w:rFonts w:ascii="Corbel" w:eastAsia="Corbel" w:hAnsi="Corbel" w:cs="Corbel"/>
          <w:color w:val="131314"/>
        </w:rPr>
        <w:t xml:space="preserve">Las principales barreras son económicas, el desconocimiento </w:t>
      </w:r>
      <w:r w:rsidRPr="006A0372">
        <w:rPr>
          <w:rFonts w:ascii="Corbel" w:eastAsia="Corbel" w:hAnsi="Corbel" w:cs="Corbel"/>
          <w:color w:val="131314"/>
        </w:rPr>
        <w:lastRenderedPageBreak/>
        <w:t>de los servicios disponibles y, en el caso de mujeres haitianas, el idioma. El 78.7% de las mujeres encuestadas no recibió atención médica ni medicamentos, y aunque el Estado es responsable de garantizar este derecho, la atención suele recaer en albergues y organizaciones civiles. Para asegurar el derecho a la salud menstrual, es necesario simplificar los procesos burocráticos, fortalecer programas especializados, sensibilizar al personal médico y mejorar la difusión de los derechos en salud sexual y reproductiva entre la población en movilidad.</w:t>
      </w:r>
    </w:p>
    <w:p w14:paraId="6D0D8906" w14:textId="77777777" w:rsidR="00A02B37" w:rsidRPr="006A0372" w:rsidRDefault="00A02B37" w:rsidP="00CA2FAC">
      <w:pPr>
        <w:spacing w:line="240" w:lineRule="auto"/>
        <w:jc w:val="both"/>
        <w:rPr>
          <w:rFonts w:ascii="Corbel" w:eastAsia="Corbel" w:hAnsi="Corbel" w:cs="Corbel"/>
          <w:color w:val="131314"/>
        </w:rPr>
      </w:pPr>
    </w:p>
    <w:p w14:paraId="3B4E9820" w14:textId="77777777" w:rsidR="00A02B37" w:rsidRPr="006A0372" w:rsidRDefault="00A02B37" w:rsidP="00CA2FAC">
      <w:pPr>
        <w:spacing w:line="240" w:lineRule="auto"/>
        <w:jc w:val="both"/>
        <w:rPr>
          <w:rFonts w:ascii="Corbel" w:eastAsia="Corbel" w:hAnsi="Corbel" w:cs="Corbel"/>
          <w:color w:val="131314"/>
        </w:rPr>
      </w:pPr>
      <w:r w:rsidRPr="006A0372">
        <w:rPr>
          <w:rFonts w:ascii="Corbel" w:eastAsia="Corbel" w:hAnsi="Corbel" w:cs="Corbel"/>
          <w:color w:val="131314"/>
        </w:rPr>
        <w:t>Para vivir la menstruación dignamente en procesos de migración y desplazamiento forzado, es importante conocer los ciclos menstruales. Se tiene derecho al acceso a productos de gestión menstrual, como toallas y copas, a un espacio limpio y seguro, y a servicios de salud para tratar problemas relacionados con el ciclo. Como se mencionó, la Ley de Migración respalda el derecho a recibir atención médica para la salud del ciclo menstrual, independientemente de la condición migratoria.</w:t>
      </w:r>
    </w:p>
    <w:p w14:paraId="512EE1A9" w14:textId="77777777" w:rsidR="00A02B37" w:rsidRPr="006A0372" w:rsidRDefault="00A02B37" w:rsidP="00CA2FAC">
      <w:pPr>
        <w:spacing w:line="240" w:lineRule="auto"/>
        <w:jc w:val="both"/>
        <w:rPr>
          <w:rFonts w:ascii="Corbel" w:eastAsia="Corbel" w:hAnsi="Corbel" w:cs="Corbel"/>
          <w:color w:val="131314"/>
        </w:rPr>
      </w:pPr>
    </w:p>
    <w:p w14:paraId="0E93E8AA" w14:textId="35DD7F2E" w:rsidR="00A02B37" w:rsidRPr="006A0372" w:rsidRDefault="00A02B37" w:rsidP="00CA2FAC">
      <w:pPr>
        <w:spacing w:line="240" w:lineRule="auto"/>
        <w:jc w:val="both"/>
        <w:rPr>
          <w:rFonts w:ascii="Corbel" w:eastAsia="Corbel" w:hAnsi="Corbel" w:cs="Corbel"/>
          <w:color w:val="131314"/>
        </w:rPr>
      </w:pPr>
      <w:r w:rsidRPr="006A0372">
        <w:rPr>
          <w:rFonts w:ascii="Corbel" w:eastAsia="Corbel" w:hAnsi="Corbel" w:cs="Corbel"/>
          <w:color w:val="131314"/>
        </w:rPr>
        <w:t>La detención migratoria en México ha aumentado significativamente</w:t>
      </w:r>
      <w:r w:rsidR="00C006D8">
        <w:rPr>
          <w:rFonts w:ascii="Corbel" w:eastAsia="Corbel" w:hAnsi="Corbel" w:cs="Corbel"/>
          <w:color w:val="131314"/>
        </w:rPr>
        <w:t xml:space="preserve"> en mujeres, niñas y adolescentes y a</w:t>
      </w:r>
      <w:r w:rsidRPr="006A0372">
        <w:rPr>
          <w:rFonts w:ascii="Corbel" w:eastAsia="Corbel" w:hAnsi="Corbel" w:cs="Corbel"/>
          <w:color w:val="131314"/>
        </w:rPr>
        <w:t xml:space="preserve">unque no todas pasan por estaciones migratorias, muchas enfrentan privación de libertad en condiciones precarias. Investigaciones han documentado prácticas institucionales problemáticas, como la confiscación y distribución controlada de toallas sanitarias por parte del INM, reflejando violencia institucional e </w:t>
      </w:r>
      <w:proofErr w:type="spellStart"/>
      <w:r w:rsidRPr="006A0372">
        <w:rPr>
          <w:rFonts w:ascii="Corbel" w:eastAsia="Corbel" w:hAnsi="Corbel" w:cs="Corbel"/>
          <w:color w:val="131314"/>
        </w:rPr>
        <w:t>invisibilización</w:t>
      </w:r>
      <w:proofErr w:type="spellEnd"/>
      <w:r w:rsidRPr="006A0372">
        <w:rPr>
          <w:rFonts w:ascii="Corbel" w:eastAsia="Corbel" w:hAnsi="Corbel" w:cs="Corbel"/>
          <w:color w:val="131314"/>
        </w:rPr>
        <w:t xml:space="preserve"> de necesidades básicas. No existe un presupuesto claro destinado a la gestión menstrual en Estaciones Migratorias, y los datos obtenidos por solicitudes de transparencia muestran una entrega insuficiente de productos: en 2023, cada mujer detenida en la estación migratoria “Las Agujas” recibió en promedio apenas 1.33 toallas sanitarias. Esto evidencia una grave negligencia del Estado en garantizar condiciones mínimas de dignidad y salud para mujeres y personas menstruantes en movilidad.</w:t>
      </w:r>
    </w:p>
    <w:p w14:paraId="5B51742F" w14:textId="77777777" w:rsidR="00A02B37" w:rsidRPr="006A0372" w:rsidRDefault="00A02B37" w:rsidP="00CA2FAC">
      <w:pPr>
        <w:spacing w:line="240" w:lineRule="auto"/>
        <w:jc w:val="both"/>
        <w:rPr>
          <w:rFonts w:ascii="Corbel" w:eastAsia="Corbel" w:hAnsi="Corbel" w:cs="Corbel"/>
          <w:color w:val="131314"/>
        </w:rPr>
      </w:pPr>
    </w:p>
    <w:p w14:paraId="5EE31247" w14:textId="77777777" w:rsidR="00A02B37" w:rsidRPr="006A0372" w:rsidRDefault="00A02B37" w:rsidP="00CA2FAC">
      <w:pPr>
        <w:spacing w:line="240" w:lineRule="auto"/>
        <w:jc w:val="both"/>
        <w:rPr>
          <w:rFonts w:ascii="Corbel" w:eastAsia="Corbel" w:hAnsi="Corbel" w:cs="Corbel"/>
          <w:color w:val="131314"/>
        </w:rPr>
      </w:pPr>
      <w:r w:rsidRPr="006A0372">
        <w:rPr>
          <w:rFonts w:ascii="Corbel" w:eastAsia="Corbel" w:hAnsi="Corbel" w:cs="Corbel"/>
          <w:color w:val="131314"/>
        </w:rPr>
        <w:t>En la actualidad, los activismos menstruales —también conocidos como la ola roja— han visibilizado la urgencia de establecer marcos legales que aseguren el derecho a una gestión menstrual digna. Gracias a estas luchas, se han logrado avances normativos importantes, como la eliminación del 16% del IVA en productos de higiene menstrual, la incorporación de contenidos sobre el ciclo menstrual en la educación pública y la reciente aprobación de licencias menstruales en la Ciudad de México. Sin embargo, estos cambios no se han materializado para todas las personas, particularmente aquellas en contextos de movilidad humana.</w:t>
      </w:r>
    </w:p>
    <w:p w14:paraId="716114B5" w14:textId="77777777" w:rsidR="00430911" w:rsidRPr="006A0372" w:rsidRDefault="00430911" w:rsidP="00430911">
      <w:pPr>
        <w:spacing w:line="240" w:lineRule="auto"/>
        <w:jc w:val="both"/>
        <w:rPr>
          <w:rFonts w:ascii="Corbel" w:eastAsia="Corbel" w:hAnsi="Corbel" w:cs="Corbel"/>
        </w:rPr>
      </w:pPr>
    </w:p>
    <w:p w14:paraId="04A302F0" w14:textId="75745273" w:rsidR="00A02B37" w:rsidRPr="006A0372" w:rsidRDefault="00430911" w:rsidP="006A0372">
      <w:pPr>
        <w:pStyle w:val="Ttulo3"/>
        <w:rPr>
          <w:rFonts w:ascii="Corbel" w:eastAsia="Corbel" w:hAnsi="Corbel" w:cs="Corbel"/>
          <w:u w:val="single"/>
        </w:rPr>
      </w:pPr>
      <w:bookmarkStart w:id="11" w:name="_Toc198501187"/>
      <w:r w:rsidRPr="006A0372">
        <w:rPr>
          <w:rStyle w:val="nfasis"/>
          <w:rFonts w:ascii="Corbel" w:hAnsi="Corbel"/>
          <w:color w:val="auto"/>
          <w:sz w:val="24"/>
          <w:szCs w:val="24"/>
          <w:highlight w:val="white"/>
        </w:rPr>
        <w:t xml:space="preserve">V.I. </w:t>
      </w:r>
      <w:r w:rsidR="00A02B37" w:rsidRPr="006A0372">
        <w:rPr>
          <w:rStyle w:val="nfasis"/>
          <w:rFonts w:ascii="Corbel" w:hAnsi="Corbel"/>
          <w:color w:val="auto"/>
          <w:sz w:val="24"/>
          <w:szCs w:val="24"/>
          <w:highlight w:val="white"/>
        </w:rPr>
        <w:t>Mujeres trabajadoras agrícolas migrantes y la gestión de su menstruación</w:t>
      </w:r>
      <w:bookmarkEnd w:id="11"/>
      <w:r w:rsidR="00A02B37" w:rsidRPr="006A0372">
        <w:rPr>
          <w:rStyle w:val="nfasis"/>
          <w:rFonts w:ascii="Corbel" w:hAnsi="Corbel"/>
          <w:color w:val="auto"/>
          <w:sz w:val="24"/>
          <w:szCs w:val="24"/>
          <w:highlight w:val="white"/>
        </w:rPr>
        <w:t xml:space="preserve"> </w:t>
      </w:r>
    </w:p>
    <w:p w14:paraId="7CB46183" w14:textId="77777777" w:rsidR="00A02B37" w:rsidRPr="006A0372" w:rsidRDefault="00A02B37" w:rsidP="00CA2FAC">
      <w:pPr>
        <w:spacing w:line="240" w:lineRule="auto"/>
        <w:ind w:left="720"/>
        <w:jc w:val="both"/>
        <w:rPr>
          <w:rFonts w:ascii="Corbel" w:eastAsia="Corbel" w:hAnsi="Corbel" w:cs="Corbel"/>
        </w:rPr>
      </w:pPr>
    </w:p>
    <w:p w14:paraId="2F0DE4DD" w14:textId="77777777" w:rsidR="00A02B37" w:rsidRPr="006A0372" w:rsidRDefault="00A02B37" w:rsidP="00CA2FAC">
      <w:pPr>
        <w:spacing w:line="240" w:lineRule="auto"/>
        <w:jc w:val="both"/>
        <w:rPr>
          <w:rFonts w:ascii="Corbel" w:eastAsia="Corbel" w:hAnsi="Corbel" w:cs="Corbel"/>
        </w:rPr>
      </w:pPr>
      <w:r w:rsidRPr="006A0372">
        <w:rPr>
          <w:rFonts w:ascii="Corbel" w:eastAsia="Corbel" w:hAnsi="Corbel" w:cs="Corbel"/>
        </w:rPr>
        <w:t xml:space="preserve">La gestión de su menstruación en las mujeres indígenas jornaleras es un tema que ha sido silenciado y estigmatizado en sus espacios comunitarios y laborales. No pueden elegir “dejar de trabajar un día por cólicos menstruales o porque están menstruando”. En los campos agrícolas enfrentan la menstruación con la carencia de espacios higiénicos, privados y dignos, no tienen acceso a productos menstruales que no afecten su economía individual y familiar, ya que ellas compran las toallas sanitarias a precios elevados porque son productos que incrementan sus costos al ser adquiridos en las “tienditas” que están dentro de los campos agrícolas o en expendios cercanos a sus zonas de trabajo, lo que profundiza la desigualdad que ya de por sí viven como mujeres jornaleras </w:t>
      </w:r>
    </w:p>
    <w:p w14:paraId="4311B8F1" w14:textId="77777777" w:rsidR="00A02B37" w:rsidRPr="006A0372" w:rsidRDefault="00A02B37" w:rsidP="00CA2FAC">
      <w:pPr>
        <w:spacing w:line="240" w:lineRule="auto"/>
        <w:jc w:val="both"/>
        <w:rPr>
          <w:rFonts w:ascii="Corbel" w:eastAsia="Corbel" w:hAnsi="Corbel" w:cs="Corbel"/>
        </w:rPr>
      </w:pPr>
    </w:p>
    <w:p w14:paraId="19F0DA68" w14:textId="77777777" w:rsidR="00A02B37" w:rsidRPr="006A0372" w:rsidRDefault="00A02B37" w:rsidP="00CA2FAC">
      <w:pPr>
        <w:spacing w:line="240" w:lineRule="auto"/>
        <w:jc w:val="both"/>
        <w:rPr>
          <w:rFonts w:ascii="Corbel" w:eastAsia="Corbel" w:hAnsi="Corbel" w:cs="Corbel"/>
        </w:rPr>
      </w:pPr>
      <w:r w:rsidRPr="006A0372">
        <w:rPr>
          <w:rFonts w:ascii="Corbel" w:eastAsia="Corbel" w:hAnsi="Corbel" w:cs="Corbel"/>
        </w:rPr>
        <w:t xml:space="preserve">Enfrentan dificultades para acceder a información sobre cambios físicos y biológicos de sus cuerpos, inicio de sus menstruaciones, embarazo, enfermedades de transmisión sexual, Papanicolaou, mastografías, cáncer de matriz, cáncer de mama y menopausia desde un enfoque intercultural. Otro desafío que enfrentan en los campos agrícolas es la ausencia de áreas privadas, limpias y seguras que les permitan sentirse cómodas para asearse o descansar. Por lo general cuando tienen acceso a </w:t>
      </w:r>
      <w:r w:rsidRPr="006A0372">
        <w:rPr>
          <w:rFonts w:ascii="Corbel" w:eastAsia="Corbel" w:hAnsi="Corbel" w:cs="Corbel"/>
        </w:rPr>
        <w:lastRenderedPageBreak/>
        <w:t xml:space="preserve">albergues, los baños son colectivos, aunque tengan señalización para “mujeres”, son espacios mixtos porque ahí mismo se ubican las regaderas, o no tienen puertas o las cerraduras no sirven. </w:t>
      </w:r>
    </w:p>
    <w:p w14:paraId="47F78DFD" w14:textId="77777777" w:rsidR="00A02B37" w:rsidRPr="006A0372" w:rsidRDefault="00A02B37" w:rsidP="00CA2FAC">
      <w:pPr>
        <w:spacing w:line="240" w:lineRule="auto"/>
        <w:jc w:val="both"/>
        <w:rPr>
          <w:rFonts w:ascii="Corbel" w:eastAsia="Corbel" w:hAnsi="Corbel" w:cs="Corbel"/>
        </w:rPr>
      </w:pPr>
    </w:p>
    <w:p w14:paraId="7F0F0450" w14:textId="77777777" w:rsidR="00A02B37" w:rsidRPr="006A0372" w:rsidRDefault="00A02B37" w:rsidP="00CA2FAC">
      <w:pPr>
        <w:spacing w:line="240" w:lineRule="auto"/>
        <w:jc w:val="both"/>
        <w:rPr>
          <w:rFonts w:ascii="Corbel" w:eastAsia="Corbel" w:hAnsi="Corbel" w:cs="Corbel"/>
        </w:rPr>
      </w:pPr>
      <w:r w:rsidRPr="006A0372">
        <w:rPr>
          <w:rFonts w:ascii="Corbel" w:eastAsia="Corbel" w:hAnsi="Corbel" w:cs="Corbel"/>
        </w:rPr>
        <w:t>Su gestión menstrual se reduce a tener la posibilidad de comprar toallas sanitarias con sobreprecio, además de la posibilidad de cambiárselas no cuando necesiten sino cuando el ritmo laboral lo permita y a que trabajen con dolores o cólicos menstruales, bochornos, hemorragias, cambios en sus emociones y otros síntomas que no son nombrados, pero sí invisibilizados. A esto se suma la mala gestión que se da en los Centros de Trabajo Agrícola, porque no se han encaminado acciones que les permita tener mayor flexibilidad en sus jornadas de trabajo, acceso a prestaciones relacionadas con los síntomas de la menstruación y menopausia, licencias o permisos laborales, asesorías o acompañamiento diferenciado, con perspectiva de género e interculturalidad</w:t>
      </w:r>
    </w:p>
    <w:p w14:paraId="7E25765B" w14:textId="77777777" w:rsidR="00A02B37" w:rsidRPr="006A0372" w:rsidRDefault="00A02B37" w:rsidP="00CA2FAC">
      <w:pPr>
        <w:spacing w:line="240" w:lineRule="auto"/>
        <w:jc w:val="both"/>
        <w:rPr>
          <w:rFonts w:ascii="Corbel" w:eastAsia="Corbel" w:hAnsi="Corbel" w:cs="Corbel"/>
        </w:rPr>
      </w:pPr>
    </w:p>
    <w:p w14:paraId="7E3A86A7" w14:textId="16C948C3" w:rsidR="00A02B37" w:rsidRPr="006A0372" w:rsidRDefault="00A02B37" w:rsidP="00CA2FAC">
      <w:pPr>
        <w:spacing w:line="240" w:lineRule="auto"/>
        <w:jc w:val="both"/>
        <w:rPr>
          <w:rFonts w:ascii="Corbel" w:eastAsia="Corbel" w:hAnsi="Corbel" w:cs="Corbel"/>
          <w:b/>
          <w:color w:val="131314"/>
        </w:rPr>
      </w:pPr>
      <w:r w:rsidRPr="006A0372">
        <w:rPr>
          <w:rFonts w:ascii="Corbel" w:eastAsia="Corbel" w:hAnsi="Corbel" w:cs="Corbel"/>
          <w:b/>
          <w:color w:val="131314"/>
        </w:rPr>
        <w:t>Recomendaciones</w:t>
      </w:r>
    </w:p>
    <w:p w14:paraId="264CAFC7" w14:textId="77777777" w:rsidR="00A02B37" w:rsidRPr="006A0372" w:rsidRDefault="00A02B37" w:rsidP="00CA2FAC">
      <w:pPr>
        <w:spacing w:line="240" w:lineRule="auto"/>
        <w:jc w:val="both"/>
        <w:rPr>
          <w:rFonts w:ascii="Corbel" w:eastAsia="Corbel" w:hAnsi="Corbel" w:cs="Corbel"/>
          <w:color w:val="131314"/>
        </w:rPr>
      </w:pPr>
    </w:p>
    <w:p w14:paraId="6700298D" w14:textId="77777777" w:rsidR="00A02B37" w:rsidRPr="006A0372" w:rsidRDefault="00A02B37"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Eliminar la discriminación hacia las mujeres en situación de movilidad para garantizar su acceso pleno a servicios básicos, incluyendo los de salud sexual y reproductiva y gestión menstrual.</w:t>
      </w:r>
    </w:p>
    <w:p w14:paraId="0C46F246" w14:textId="77777777" w:rsidR="00A02B37" w:rsidRPr="006A0372" w:rsidRDefault="00A02B37"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Llevar a cabo acciones de política pública para poner fin a la pobreza menstrual para mujeres y personas menstruantes en situaciones de movilidad.</w:t>
      </w:r>
    </w:p>
    <w:p w14:paraId="18C91810" w14:textId="6E512882" w:rsidR="00A02B37" w:rsidRPr="006A0372" w:rsidRDefault="004F73BD"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 xml:space="preserve">Incrementar el número de </w:t>
      </w:r>
      <w:r w:rsidR="00A02B37" w:rsidRPr="006A0372">
        <w:rPr>
          <w:rFonts w:ascii="Corbel" w:eastAsia="Corbel" w:hAnsi="Corbel" w:cs="Corbel"/>
          <w:color w:val="131314"/>
        </w:rPr>
        <w:t>refugios seguros para mujeres y personas menstruantes en movilidad, con la infraestructura suficiente para una gestión menstrual digna, lo que incluye baños adecuados con agua potable, papel y puertas.</w:t>
      </w:r>
    </w:p>
    <w:p w14:paraId="75ACCCDD" w14:textId="77777777" w:rsidR="00A02B37" w:rsidRPr="006A0372" w:rsidRDefault="00A02B37"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Garantizar la entrega gratuita y suficiente de artículos para la gestión menstrual, como toallas sanitarias, en los refugios y puntos de tránsito.</w:t>
      </w:r>
    </w:p>
    <w:p w14:paraId="013C3D30" w14:textId="77777777" w:rsidR="00A02B37" w:rsidRPr="006A0372" w:rsidRDefault="00A02B37"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Mejorar la información estadística y la investigación sensible sobre las características sociodemográficas de las poblaciones migrantes fronterizas y su accesibilidad a la salud sexual y reproductiva, así como la situación de violencia de género, ya que las fuentes actuales son inadecuadas.</w:t>
      </w:r>
    </w:p>
    <w:p w14:paraId="7F041A7F" w14:textId="77777777" w:rsidR="00A02B37" w:rsidRPr="006A0372" w:rsidRDefault="00A02B37"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Promover la generación de información cuantitativa y cualitativa, adaptando instrumentos o realizando estudios específicos para indagar en las necesidades de estas poblaciones.</w:t>
      </w:r>
    </w:p>
    <w:p w14:paraId="5B7985F4" w14:textId="77777777" w:rsidR="00A02B37" w:rsidRPr="006A0372" w:rsidRDefault="00A02B37"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Abordar la desarticulación de las iniciativas gubernamentales en salud para migrantes mediante la coordinación intergubernamental efectiva entre los distintos niveles de gobierno.</w:t>
      </w:r>
    </w:p>
    <w:p w14:paraId="6014C4C5" w14:textId="77777777" w:rsidR="00A02B37" w:rsidRPr="006A0372" w:rsidRDefault="00A02B37"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Integrar a los gobiernos locales en el diseño e implementación de políticas y estrategias de salud para fortalecer la presencia estatal y adecuar la oferta de servicios a las necesidades de la población fronteriza local y migrante.</w:t>
      </w:r>
    </w:p>
    <w:p w14:paraId="17CD9F52" w14:textId="28A7907D" w:rsidR="00A02B37" w:rsidRPr="006A0372" w:rsidRDefault="00A02B37"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 xml:space="preserve">Dotar, formar y capacitar personal técnico y especializado para trabajar con población migrante y </w:t>
      </w:r>
      <w:r w:rsidR="004F73BD" w:rsidRPr="006A0372">
        <w:rPr>
          <w:rFonts w:ascii="Corbel" w:eastAsia="Corbel" w:hAnsi="Corbel" w:cs="Corbel"/>
          <w:color w:val="131314"/>
        </w:rPr>
        <w:t>desplazada,</w:t>
      </w:r>
      <w:r w:rsidRPr="006A0372">
        <w:rPr>
          <w:rFonts w:ascii="Corbel" w:eastAsia="Corbel" w:hAnsi="Corbel" w:cs="Corbel"/>
          <w:color w:val="131314"/>
        </w:rPr>
        <w:t xml:space="preserve"> considerando los requerimientos especiales en materia de salud y salud sexual y reproductiva.</w:t>
      </w:r>
    </w:p>
    <w:p w14:paraId="4665D9E4" w14:textId="77777777" w:rsidR="00A02B37" w:rsidRPr="006A0372" w:rsidRDefault="00A02B37"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Garantizar a niñas y adolescentes en movilidad el acceso a servicios médicos, incluyendo la gratuidad en el acceso a la Interrupción Legal del Embarazo (ILE), eliminando las barreras de accesibilidad relacionadas con la discriminación y perspectivas no basadas en derechos.</w:t>
      </w:r>
    </w:p>
    <w:p w14:paraId="4C64D625" w14:textId="77777777" w:rsidR="00A02B37" w:rsidRPr="006A0372" w:rsidRDefault="00A02B37"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Reconocer y apoyar el papel vital de las organizaciones de la sociedad civil que brindan apoyo y asistencia en salud sexual y reproductiva a las poblaciones migrantes, explorando vías de financiamiento regular y promoviendo el trabajo conjunto con organismos públicos.</w:t>
      </w:r>
    </w:p>
    <w:p w14:paraId="53782CDF" w14:textId="77777777" w:rsidR="00A02B37" w:rsidRPr="006A0372" w:rsidRDefault="00A02B37"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Impulsar acciones de política pública para garantizar el acceso pleno a servicios básicos, incluyendo los de salud sexual y reproductiva y gestión menstrual para las mujeres trabajadoras agrícolas, principalmente de contextos rurales e indígenas.</w:t>
      </w:r>
    </w:p>
    <w:p w14:paraId="445E4246" w14:textId="0A7DDB61" w:rsidR="00A02B37" w:rsidRPr="006A0372" w:rsidRDefault="00345E25"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Vigilar</w:t>
      </w:r>
      <w:r w:rsidR="004F73BD" w:rsidRPr="006A0372">
        <w:rPr>
          <w:rFonts w:ascii="Corbel" w:eastAsia="Corbel" w:hAnsi="Corbel" w:cs="Corbel"/>
          <w:color w:val="131314"/>
        </w:rPr>
        <w:t xml:space="preserve"> que los </w:t>
      </w:r>
      <w:r w:rsidR="00A02B37" w:rsidRPr="006A0372">
        <w:rPr>
          <w:rFonts w:ascii="Corbel" w:eastAsia="Corbel" w:hAnsi="Corbel" w:cs="Corbel"/>
          <w:color w:val="131314"/>
        </w:rPr>
        <w:t xml:space="preserve">Centros de Trabajo Agrícola lleven a cabo acciones para que las mujeres trabajadoras agrícolas </w:t>
      </w:r>
      <w:r w:rsidR="004F73BD" w:rsidRPr="006A0372">
        <w:rPr>
          <w:rFonts w:ascii="Corbel" w:eastAsia="Corbel" w:hAnsi="Corbel" w:cs="Corbel"/>
          <w:color w:val="131314"/>
        </w:rPr>
        <w:t xml:space="preserve">migrantes </w:t>
      </w:r>
      <w:r w:rsidR="00A02B37" w:rsidRPr="006A0372">
        <w:rPr>
          <w:rFonts w:ascii="Corbel" w:eastAsia="Corbel" w:hAnsi="Corbel" w:cs="Corbel"/>
          <w:color w:val="131314"/>
        </w:rPr>
        <w:t xml:space="preserve">menstruantes cuenten con la infraestructura suficiente para </w:t>
      </w:r>
      <w:r w:rsidR="00A02B37" w:rsidRPr="006A0372">
        <w:rPr>
          <w:rFonts w:ascii="Corbel" w:eastAsia="Corbel" w:hAnsi="Corbel" w:cs="Corbel"/>
          <w:color w:val="131314"/>
        </w:rPr>
        <w:lastRenderedPageBreak/>
        <w:t>una gestión menstrual digna, lo que incluye baños adecuados con agua potable, jabón, papel y puertas seguras.</w:t>
      </w:r>
    </w:p>
    <w:p w14:paraId="6F215A68" w14:textId="77777777" w:rsidR="00A02B37" w:rsidRPr="006A0372" w:rsidRDefault="00A02B37"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Garantizar en los Centros de Trabajo Agrícola la entrega gratuita y suficiente de artículos para la gestión menstrual, como toallas sanitarias.</w:t>
      </w:r>
    </w:p>
    <w:p w14:paraId="6D9645F5" w14:textId="4ECFC5B2" w:rsidR="00A02B37" w:rsidRPr="006A0372" w:rsidRDefault="004F73BD"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 xml:space="preserve">Diseñar </w:t>
      </w:r>
      <w:r w:rsidR="00A02B37" w:rsidRPr="006A0372">
        <w:rPr>
          <w:rFonts w:ascii="Corbel" w:eastAsia="Corbel" w:hAnsi="Corbel" w:cs="Corbel"/>
          <w:color w:val="131314"/>
        </w:rPr>
        <w:t xml:space="preserve">e implementar </w:t>
      </w:r>
      <w:r w:rsidRPr="006A0372">
        <w:rPr>
          <w:rFonts w:ascii="Corbel" w:eastAsia="Corbel" w:hAnsi="Corbel" w:cs="Corbel"/>
          <w:color w:val="131314"/>
        </w:rPr>
        <w:t xml:space="preserve">en el ámbito federal, estatal y municipal </w:t>
      </w:r>
      <w:r w:rsidR="00A02B37" w:rsidRPr="006A0372">
        <w:rPr>
          <w:rFonts w:ascii="Corbel" w:eastAsia="Corbel" w:hAnsi="Corbel" w:cs="Corbel"/>
          <w:color w:val="131314"/>
        </w:rPr>
        <w:t>políticas de salud de acuerdo con las necesidades de las mujeres indígenas jornaleras</w:t>
      </w:r>
      <w:r w:rsidRPr="006A0372">
        <w:rPr>
          <w:rFonts w:ascii="Corbel" w:eastAsia="Corbel" w:hAnsi="Corbel" w:cs="Corbel"/>
          <w:color w:val="131314"/>
        </w:rPr>
        <w:t xml:space="preserve"> migrantes</w:t>
      </w:r>
      <w:r w:rsidR="00A02B37" w:rsidRPr="006A0372">
        <w:rPr>
          <w:rFonts w:ascii="Corbel" w:eastAsia="Corbel" w:hAnsi="Corbel" w:cs="Corbel"/>
          <w:color w:val="131314"/>
        </w:rPr>
        <w:t xml:space="preserve"> para fortalecer la atención que les brindan cuando ellas solicitan los servicios de salud en sus comunidades de origen o en los estados a donde migran para trabajar. </w:t>
      </w:r>
    </w:p>
    <w:p w14:paraId="3906C3B6" w14:textId="659BBC57" w:rsidR="00A02B37" w:rsidRPr="006A0372" w:rsidRDefault="00A02B37"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 xml:space="preserve">Garantizar que las empresas agrícolas y </w:t>
      </w:r>
      <w:r w:rsidR="004F73BD" w:rsidRPr="006A0372">
        <w:rPr>
          <w:rFonts w:ascii="Corbel" w:eastAsia="Corbel" w:hAnsi="Corbel" w:cs="Corbel"/>
          <w:color w:val="131314"/>
        </w:rPr>
        <w:t xml:space="preserve">personas </w:t>
      </w:r>
      <w:r w:rsidRPr="006A0372">
        <w:rPr>
          <w:rFonts w:ascii="Corbel" w:eastAsia="Corbel" w:hAnsi="Corbel" w:cs="Corbel"/>
          <w:color w:val="131314"/>
        </w:rPr>
        <w:t>empleador</w:t>
      </w:r>
      <w:r w:rsidR="004F73BD" w:rsidRPr="006A0372">
        <w:rPr>
          <w:rFonts w:ascii="Corbel" w:eastAsia="Corbel" w:hAnsi="Corbel" w:cs="Corbel"/>
          <w:color w:val="131314"/>
        </w:rPr>
        <w:t>a</w:t>
      </w:r>
      <w:r w:rsidRPr="006A0372">
        <w:rPr>
          <w:rFonts w:ascii="Corbel" w:eastAsia="Corbel" w:hAnsi="Corbel" w:cs="Corbel"/>
          <w:color w:val="131314"/>
        </w:rPr>
        <w:t xml:space="preserve">s habiliten espacios donde las mujeres trabajadoras agrícolas puedan contar con información sobre estos temas desde un enfoque intercultural, de género y de derechos humanos. </w:t>
      </w:r>
    </w:p>
    <w:p w14:paraId="628DED41" w14:textId="7A8D57A7" w:rsidR="00F63F2C" w:rsidRPr="006A0372" w:rsidRDefault="00A02B37" w:rsidP="004F73BD">
      <w:pPr>
        <w:numPr>
          <w:ilvl w:val="0"/>
          <w:numId w:val="3"/>
        </w:numPr>
        <w:spacing w:line="240" w:lineRule="auto"/>
        <w:jc w:val="both"/>
        <w:rPr>
          <w:rFonts w:ascii="Corbel" w:eastAsia="Corbel" w:hAnsi="Corbel" w:cs="Corbel"/>
          <w:color w:val="131314"/>
        </w:rPr>
      </w:pPr>
      <w:r w:rsidRPr="006A0372">
        <w:rPr>
          <w:rFonts w:ascii="Corbel" w:eastAsia="Corbel" w:hAnsi="Corbel" w:cs="Corbel"/>
          <w:color w:val="131314"/>
        </w:rPr>
        <w:t>E</w:t>
      </w:r>
      <w:r w:rsidR="004F73BD" w:rsidRPr="006A0372">
        <w:rPr>
          <w:rFonts w:ascii="Corbel" w:eastAsia="Corbel" w:hAnsi="Corbel" w:cs="Corbel"/>
          <w:color w:val="131314"/>
        </w:rPr>
        <w:t xml:space="preserve">stablecer </w:t>
      </w:r>
      <w:r w:rsidRPr="006A0372">
        <w:rPr>
          <w:rFonts w:ascii="Corbel" w:eastAsia="Corbel" w:hAnsi="Corbel" w:cs="Corbel"/>
          <w:color w:val="131314"/>
        </w:rPr>
        <w:t>políticas para que las mujeres trabajadoras agrícolas puedan acceder a jornadas de trabajo flexibles, acceso a prestaciones relacionadas con los síntomas de la menstruación y menopausia, licencias o permisos laborales, asesorías o acompañamiento especial y diferenciado.</w:t>
      </w:r>
    </w:p>
    <w:sectPr w:rsidR="00F63F2C" w:rsidRPr="006A0372" w:rsidSect="00A02B37">
      <w:headerReference w:type="default" r:id="rId4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2E4E3" w14:textId="77777777" w:rsidR="008D3C42" w:rsidRDefault="008D3C42" w:rsidP="00A02B37">
      <w:pPr>
        <w:spacing w:line="240" w:lineRule="auto"/>
      </w:pPr>
      <w:r>
        <w:separator/>
      </w:r>
    </w:p>
  </w:endnote>
  <w:endnote w:type="continuationSeparator" w:id="0">
    <w:p w14:paraId="43A35CA2" w14:textId="77777777" w:rsidR="008D3C42" w:rsidRDefault="008D3C42" w:rsidP="00A02B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rbel">
    <w:panose1 w:val="020B0503020204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C87C5" w14:textId="77777777" w:rsidR="008D3C42" w:rsidRDefault="008D3C42" w:rsidP="00A02B37">
      <w:pPr>
        <w:spacing w:line="240" w:lineRule="auto"/>
      </w:pPr>
      <w:r>
        <w:separator/>
      </w:r>
    </w:p>
  </w:footnote>
  <w:footnote w:type="continuationSeparator" w:id="0">
    <w:p w14:paraId="4BBF2498" w14:textId="77777777" w:rsidR="008D3C42" w:rsidRDefault="008D3C42" w:rsidP="00A02B37">
      <w:pPr>
        <w:spacing w:line="240" w:lineRule="auto"/>
      </w:pPr>
      <w:r>
        <w:continuationSeparator/>
      </w:r>
    </w:p>
  </w:footnote>
  <w:footnote w:id="1">
    <w:p w14:paraId="5E04D55B" w14:textId="6D0E47C9" w:rsidR="0062340D" w:rsidRPr="00B462D7" w:rsidRDefault="0062340D" w:rsidP="00FD2C48">
      <w:pPr>
        <w:pStyle w:val="Textonotapie"/>
        <w:jc w:val="both"/>
        <w:rPr>
          <w:rFonts w:ascii="Corbel" w:hAnsi="Corbel"/>
          <w:sz w:val="16"/>
          <w:szCs w:val="16"/>
          <w:lang w:val="es-MX"/>
        </w:rPr>
      </w:pPr>
      <w:r w:rsidRPr="00B462D7">
        <w:rPr>
          <w:rStyle w:val="Refdenotaalpie"/>
          <w:rFonts w:ascii="Corbel" w:hAnsi="Corbel"/>
          <w:sz w:val="16"/>
          <w:szCs w:val="16"/>
        </w:rPr>
        <w:footnoteRef/>
      </w:r>
      <w:r w:rsidRPr="00B462D7">
        <w:rPr>
          <w:rFonts w:ascii="Corbel" w:hAnsi="Corbel"/>
          <w:sz w:val="16"/>
          <w:szCs w:val="16"/>
        </w:rPr>
        <w:t xml:space="preserve"> De 2012 a 2018, se registraron 656984 eventos de hombres en situación irregular (78%), mientras que se registraron 177270 eventos de mujeres (21%). De </w:t>
      </w:r>
      <w:r w:rsidR="00FD2C48" w:rsidRPr="00B462D7">
        <w:rPr>
          <w:rFonts w:ascii="Corbel" w:hAnsi="Corbel"/>
          <w:sz w:val="16"/>
          <w:szCs w:val="16"/>
        </w:rPr>
        <w:t xml:space="preserve">enero </w:t>
      </w:r>
      <w:r w:rsidRPr="00B462D7">
        <w:rPr>
          <w:rFonts w:ascii="Corbel" w:hAnsi="Corbel"/>
          <w:sz w:val="16"/>
          <w:szCs w:val="16"/>
        </w:rPr>
        <w:t xml:space="preserve">2019 a </w:t>
      </w:r>
      <w:r w:rsidR="00FD2C48" w:rsidRPr="00B462D7">
        <w:rPr>
          <w:rFonts w:ascii="Corbel" w:hAnsi="Corbel"/>
          <w:sz w:val="16"/>
          <w:szCs w:val="16"/>
        </w:rPr>
        <w:t xml:space="preserve">agosto </w:t>
      </w:r>
      <w:r w:rsidRPr="00B462D7">
        <w:rPr>
          <w:rFonts w:ascii="Corbel" w:hAnsi="Corbel"/>
          <w:sz w:val="16"/>
          <w:szCs w:val="16"/>
        </w:rPr>
        <w:t xml:space="preserve">2024, se registraron 1,868,912 eventos de hombres en situación irregular (68%), mientras que se registraron 851,500 eventos de mujeres (31%). </w:t>
      </w:r>
    </w:p>
  </w:footnote>
  <w:footnote w:id="2">
    <w:p w14:paraId="4E8B5C9A" w14:textId="63DBC20E" w:rsidR="00FB6C04" w:rsidRPr="007F5F6A" w:rsidRDefault="00FB6C04">
      <w:pPr>
        <w:pStyle w:val="Textonotapie"/>
        <w:rPr>
          <w:rFonts w:ascii="Corbel" w:hAnsi="Corbel"/>
          <w:sz w:val="16"/>
          <w:szCs w:val="16"/>
          <w:lang w:val="es-MX"/>
        </w:rPr>
      </w:pPr>
      <w:r w:rsidRPr="007F5F6A">
        <w:rPr>
          <w:rStyle w:val="Refdenotaalpie"/>
          <w:rFonts w:ascii="Corbel" w:hAnsi="Corbel"/>
          <w:sz w:val="16"/>
          <w:szCs w:val="16"/>
        </w:rPr>
        <w:footnoteRef/>
      </w:r>
      <w:r w:rsidRPr="007F5F6A">
        <w:rPr>
          <w:rFonts w:ascii="Corbel" w:hAnsi="Corbel"/>
          <w:sz w:val="16"/>
          <w:szCs w:val="16"/>
        </w:rPr>
        <w:t xml:space="preserve"> De 2012 a 2018, se registraron 656984 eventos de hombres en situación irregular (78%), mientras que se registraron 177270 eventos de mujeres (21%). De enero 2019 a agosto 2024, se registraron 1,868,912 eventos de hombres en situación irregular (68%), mientras que se registraron 851,500 eventos de mujeres (31%).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3104112"/>
      <w:docPartObj>
        <w:docPartGallery w:val="Page Numbers (Top of Page)"/>
        <w:docPartUnique/>
      </w:docPartObj>
    </w:sdtPr>
    <w:sdtEndPr>
      <w:rPr>
        <w:rFonts w:ascii="Corbel" w:hAnsi="Corbel"/>
        <w:sz w:val="16"/>
        <w:szCs w:val="16"/>
      </w:rPr>
    </w:sdtEndPr>
    <w:sdtContent>
      <w:p w14:paraId="28A331AC" w14:textId="34101C44" w:rsidR="00271991" w:rsidRPr="00271991" w:rsidRDefault="00271991">
        <w:pPr>
          <w:pStyle w:val="Encabezado"/>
          <w:jc w:val="right"/>
          <w:rPr>
            <w:rFonts w:ascii="Corbel" w:hAnsi="Corbel"/>
            <w:sz w:val="16"/>
            <w:szCs w:val="16"/>
          </w:rPr>
        </w:pPr>
        <w:r w:rsidRPr="00271991">
          <w:rPr>
            <w:rFonts w:ascii="Corbel" w:hAnsi="Corbel"/>
            <w:sz w:val="16"/>
            <w:szCs w:val="16"/>
          </w:rPr>
          <w:fldChar w:fldCharType="begin"/>
        </w:r>
        <w:r w:rsidRPr="00271991">
          <w:rPr>
            <w:rFonts w:ascii="Corbel" w:hAnsi="Corbel"/>
            <w:sz w:val="16"/>
            <w:szCs w:val="16"/>
          </w:rPr>
          <w:instrText>PAGE   \* MERGEFORMAT</w:instrText>
        </w:r>
        <w:r w:rsidRPr="00271991">
          <w:rPr>
            <w:rFonts w:ascii="Corbel" w:hAnsi="Corbel"/>
            <w:sz w:val="16"/>
            <w:szCs w:val="16"/>
          </w:rPr>
          <w:fldChar w:fldCharType="separate"/>
        </w:r>
        <w:r w:rsidRPr="00271991">
          <w:rPr>
            <w:rFonts w:ascii="Corbel" w:hAnsi="Corbel"/>
            <w:sz w:val="16"/>
            <w:szCs w:val="16"/>
            <w:lang w:val="es-ES"/>
          </w:rPr>
          <w:t>2</w:t>
        </w:r>
        <w:r w:rsidRPr="00271991">
          <w:rPr>
            <w:rFonts w:ascii="Corbel" w:hAnsi="Corbel"/>
            <w:sz w:val="16"/>
            <w:szCs w:val="16"/>
          </w:rPr>
          <w:fldChar w:fldCharType="end"/>
        </w:r>
      </w:p>
    </w:sdtContent>
  </w:sdt>
  <w:p w14:paraId="5EA1CAE2" w14:textId="77777777" w:rsidR="00271991" w:rsidRDefault="002719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B05A7"/>
    <w:multiLevelType w:val="hybridMultilevel"/>
    <w:tmpl w:val="5A20D73C"/>
    <w:lvl w:ilvl="0" w:tplc="9426049C">
      <w:start w:val="1"/>
      <w:numFmt w:val="upperRoman"/>
      <w:lvlText w:val="%1."/>
      <w:lvlJc w:val="left"/>
      <w:pPr>
        <w:ind w:left="1080" w:hanging="72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20A2DF2"/>
    <w:multiLevelType w:val="multilevel"/>
    <w:tmpl w:val="3BD4BDC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310831"/>
    <w:multiLevelType w:val="hybridMultilevel"/>
    <w:tmpl w:val="BC5CAD3A"/>
    <w:lvl w:ilvl="0" w:tplc="9426049C">
      <w:start w:val="1"/>
      <w:numFmt w:val="upperRoman"/>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B9E4156"/>
    <w:multiLevelType w:val="multilevel"/>
    <w:tmpl w:val="9B36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EA3EFC"/>
    <w:multiLevelType w:val="multilevel"/>
    <w:tmpl w:val="F702C8E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2B0D4DBD"/>
    <w:multiLevelType w:val="multilevel"/>
    <w:tmpl w:val="217CD55E"/>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15:restartNumberingAfterBreak="0">
    <w:nsid w:val="2BEC49D6"/>
    <w:multiLevelType w:val="multilevel"/>
    <w:tmpl w:val="B75A7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51D5C81"/>
    <w:multiLevelType w:val="multilevel"/>
    <w:tmpl w:val="0700F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B26D9C"/>
    <w:multiLevelType w:val="multilevel"/>
    <w:tmpl w:val="7012C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861BF5"/>
    <w:multiLevelType w:val="multilevel"/>
    <w:tmpl w:val="9D94B6A0"/>
    <w:lvl w:ilvl="0">
      <w:start w:val="2"/>
      <w:numFmt w:val="lowerRoman"/>
      <w:lvlText w:val="%1."/>
      <w:lvlJc w:val="left"/>
      <w:pPr>
        <w:ind w:left="1440" w:hanging="72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10" w15:restartNumberingAfterBreak="0">
    <w:nsid w:val="44EA7F92"/>
    <w:multiLevelType w:val="multilevel"/>
    <w:tmpl w:val="A9E40F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8745CE5"/>
    <w:multiLevelType w:val="hybridMultilevel"/>
    <w:tmpl w:val="21D2CA6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F2D3357"/>
    <w:multiLevelType w:val="multilevel"/>
    <w:tmpl w:val="8A7A0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56585C"/>
    <w:multiLevelType w:val="hybridMultilevel"/>
    <w:tmpl w:val="0CB4D3A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6CF508A"/>
    <w:multiLevelType w:val="hybridMultilevel"/>
    <w:tmpl w:val="ABFA03A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77DD21E6"/>
    <w:multiLevelType w:val="hybridMultilevel"/>
    <w:tmpl w:val="6B342B0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8D730FF"/>
    <w:multiLevelType w:val="multilevel"/>
    <w:tmpl w:val="E850C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6E7500"/>
    <w:multiLevelType w:val="hybridMultilevel"/>
    <w:tmpl w:val="93884EFA"/>
    <w:lvl w:ilvl="0" w:tplc="902443C0">
      <w:start w:val="4"/>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147894845">
    <w:abstractNumId w:val="10"/>
  </w:num>
  <w:num w:numId="2" w16cid:durableId="596258535">
    <w:abstractNumId w:val="6"/>
  </w:num>
  <w:num w:numId="3" w16cid:durableId="64187411">
    <w:abstractNumId w:val="1"/>
  </w:num>
  <w:num w:numId="4" w16cid:durableId="2138523035">
    <w:abstractNumId w:val="4"/>
  </w:num>
  <w:num w:numId="5" w16cid:durableId="1406025716">
    <w:abstractNumId w:val="5"/>
  </w:num>
  <w:num w:numId="6" w16cid:durableId="1597443059">
    <w:abstractNumId w:val="9"/>
  </w:num>
  <w:num w:numId="7" w16cid:durableId="442118223">
    <w:abstractNumId w:val="13"/>
  </w:num>
  <w:num w:numId="8" w16cid:durableId="339233904">
    <w:abstractNumId w:val="12"/>
  </w:num>
  <w:num w:numId="9" w16cid:durableId="486089681">
    <w:abstractNumId w:val="7"/>
  </w:num>
  <w:num w:numId="10" w16cid:durableId="1917008250">
    <w:abstractNumId w:val="3"/>
  </w:num>
  <w:num w:numId="11" w16cid:durableId="1677227773">
    <w:abstractNumId w:val="16"/>
  </w:num>
  <w:num w:numId="12" w16cid:durableId="1742560444">
    <w:abstractNumId w:val="8"/>
  </w:num>
  <w:num w:numId="13" w16cid:durableId="1601452985">
    <w:abstractNumId w:val="14"/>
  </w:num>
  <w:num w:numId="14" w16cid:durableId="1933512572">
    <w:abstractNumId w:val="15"/>
  </w:num>
  <w:num w:numId="15" w16cid:durableId="928655979">
    <w:abstractNumId w:val="0"/>
  </w:num>
  <w:num w:numId="16" w16cid:durableId="889809124">
    <w:abstractNumId w:val="17"/>
  </w:num>
  <w:num w:numId="17" w16cid:durableId="1685398456">
    <w:abstractNumId w:val="11"/>
  </w:num>
  <w:num w:numId="18" w16cid:durableId="3651827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B37"/>
    <w:rsid w:val="00085CD4"/>
    <w:rsid w:val="00123408"/>
    <w:rsid w:val="00271991"/>
    <w:rsid w:val="00281A79"/>
    <w:rsid w:val="002C071E"/>
    <w:rsid w:val="002C44BA"/>
    <w:rsid w:val="002C6313"/>
    <w:rsid w:val="00316849"/>
    <w:rsid w:val="00325CB6"/>
    <w:rsid w:val="003345C1"/>
    <w:rsid w:val="00345E25"/>
    <w:rsid w:val="003E7C5E"/>
    <w:rsid w:val="004136C3"/>
    <w:rsid w:val="00430911"/>
    <w:rsid w:val="00435EE9"/>
    <w:rsid w:val="0044537D"/>
    <w:rsid w:val="00456110"/>
    <w:rsid w:val="004F73BD"/>
    <w:rsid w:val="005430FC"/>
    <w:rsid w:val="00594445"/>
    <w:rsid w:val="005A3199"/>
    <w:rsid w:val="005A4AE4"/>
    <w:rsid w:val="0062340D"/>
    <w:rsid w:val="006A0372"/>
    <w:rsid w:val="006C11B7"/>
    <w:rsid w:val="006C261B"/>
    <w:rsid w:val="006C5720"/>
    <w:rsid w:val="006F3BB2"/>
    <w:rsid w:val="00756BBB"/>
    <w:rsid w:val="007678B4"/>
    <w:rsid w:val="007A2098"/>
    <w:rsid w:val="007D4EAD"/>
    <w:rsid w:val="007E0E8D"/>
    <w:rsid w:val="007E7A22"/>
    <w:rsid w:val="007F3A2B"/>
    <w:rsid w:val="007F5F6A"/>
    <w:rsid w:val="00844D5C"/>
    <w:rsid w:val="008A77BB"/>
    <w:rsid w:val="008D3C42"/>
    <w:rsid w:val="008D62B5"/>
    <w:rsid w:val="00913B42"/>
    <w:rsid w:val="0091576E"/>
    <w:rsid w:val="00930711"/>
    <w:rsid w:val="009E0CA3"/>
    <w:rsid w:val="00A02B37"/>
    <w:rsid w:val="00A24136"/>
    <w:rsid w:val="00A7462A"/>
    <w:rsid w:val="00AA017B"/>
    <w:rsid w:val="00AF396D"/>
    <w:rsid w:val="00B268F5"/>
    <w:rsid w:val="00B462D7"/>
    <w:rsid w:val="00B47540"/>
    <w:rsid w:val="00B569D0"/>
    <w:rsid w:val="00B608BE"/>
    <w:rsid w:val="00BB384C"/>
    <w:rsid w:val="00BD1FB8"/>
    <w:rsid w:val="00C006D8"/>
    <w:rsid w:val="00CA2FAC"/>
    <w:rsid w:val="00D155D9"/>
    <w:rsid w:val="00D338AE"/>
    <w:rsid w:val="00D818A4"/>
    <w:rsid w:val="00D868B8"/>
    <w:rsid w:val="00D87C90"/>
    <w:rsid w:val="00DF4F87"/>
    <w:rsid w:val="00E30620"/>
    <w:rsid w:val="00E3713F"/>
    <w:rsid w:val="00E76BCC"/>
    <w:rsid w:val="00EE1977"/>
    <w:rsid w:val="00EE327F"/>
    <w:rsid w:val="00EF3343"/>
    <w:rsid w:val="00F35DAB"/>
    <w:rsid w:val="00F62F7E"/>
    <w:rsid w:val="00F63F2C"/>
    <w:rsid w:val="00FB6C04"/>
    <w:rsid w:val="00FB7895"/>
    <w:rsid w:val="00FD1A5B"/>
    <w:rsid w:val="00FD2C4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C2E6C1"/>
  <w15:chartTrackingRefBased/>
  <w15:docId w15:val="{2A98BE4F-FAB5-4F94-B2AC-02D3B548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B37"/>
    <w:pPr>
      <w:spacing w:after="0" w:line="276" w:lineRule="auto"/>
    </w:pPr>
    <w:rPr>
      <w:rFonts w:ascii="Arial" w:eastAsia="Arial" w:hAnsi="Arial" w:cs="Arial"/>
      <w:kern w:val="0"/>
      <w:lang w:val="es" w:eastAsia="es-MX"/>
      <w14:ligatures w14:val="none"/>
    </w:rPr>
  </w:style>
  <w:style w:type="paragraph" w:styleId="Ttulo1">
    <w:name w:val="heading 1"/>
    <w:basedOn w:val="Normal"/>
    <w:next w:val="Normal"/>
    <w:link w:val="Ttulo1Car"/>
    <w:uiPriority w:val="9"/>
    <w:qFormat/>
    <w:rsid w:val="00A02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A02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A02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02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02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02B3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02B3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02B3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02B3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02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A02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A02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02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02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02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02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02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02B37"/>
    <w:rPr>
      <w:rFonts w:eastAsiaTheme="majorEastAsia" w:cstheme="majorBidi"/>
      <w:color w:val="272727" w:themeColor="text1" w:themeTint="D8"/>
    </w:rPr>
  </w:style>
  <w:style w:type="paragraph" w:styleId="Ttulo">
    <w:name w:val="Title"/>
    <w:basedOn w:val="Normal"/>
    <w:next w:val="Normal"/>
    <w:link w:val="TtuloCar"/>
    <w:uiPriority w:val="10"/>
    <w:qFormat/>
    <w:rsid w:val="00A02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02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02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02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02B37"/>
    <w:pPr>
      <w:spacing w:before="160"/>
      <w:jc w:val="center"/>
    </w:pPr>
    <w:rPr>
      <w:i/>
      <w:iCs/>
      <w:color w:val="404040" w:themeColor="text1" w:themeTint="BF"/>
    </w:rPr>
  </w:style>
  <w:style w:type="character" w:customStyle="1" w:styleId="CitaCar">
    <w:name w:val="Cita Car"/>
    <w:basedOn w:val="Fuentedeprrafopredeter"/>
    <w:link w:val="Cita"/>
    <w:uiPriority w:val="29"/>
    <w:rsid w:val="00A02B37"/>
    <w:rPr>
      <w:i/>
      <w:iCs/>
      <w:color w:val="404040" w:themeColor="text1" w:themeTint="BF"/>
    </w:rPr>
  </w:style>
  <w:style w:type="paragraph" w:styleId="Prrafodelista">
    <w:name w:val="List Paragraph"/>
    <w:basedOn w:val="Normal"/>
    <w:uiPriority w:val="34"/>
    <w:qFormat/>
    <w:rsid w:val="00A02B37"/>
    <w:pPr>
      <w:ind w:left="720"/>
      <w:contextualSpacing/>
    </w:pPr>
  </w:style>
  <w:style w:type="character" w:styleId="nfasisintenso">
    <w:name w:val="Intense Emphasis"/>
    <w:basedOn w:val="Fuentedeprrafopredeter"/>
    <w:uiPriority w:val="21"/>
    <w:qFormat/>
    <w:rsid w:val="00A02B37"/>
    <w:rPr>
      <w:i/>
      <w:iCs/>
      <w:color w:val="0F4761" w:themeColor="accent1" w:themeShade="BF"/>
    </w:rPr>
  </w:style>
  <w:style w:type="paragraph" w:styleId="Citadestacada">
    <w:name w:val="Intense Quote"/>
    <w:basedOn w:val="Normal"/>
    <w:next w:val="Normal"/>
    <w:link w:val="CitadestacadaCar"/>
    <w:uiPriority w:val="30"/>
    <w:qFormat/>
    <w:rsid w:val="00A02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02B37"/>
    <w:rPr>
      <w:i/>
      <w:iCs/>
      <w:color w:val="0F4761" w:themeColor="accent1" w:themeShade="BF"/>
    </w:rPr>
  </w:style>
  <w:style w:type="character" w:styleId="Referenciaintensa">
    <w:name w:val="Intense Reference"/>
    <w:basedOn w:val="Fuentedeprrafopredeter"/>
    <w:uiPriority w:val="32"/>
    <w:qFormat/>
    <w:rsid w:val="00A02B37"/>
    <w:rPr>
      <w:b/>
      <w:bCs/>
      <w:smallCaps/>
      <w:color w:val="0F4761" w:themeColor="accent1" w:themeShade="BF"/>
      <w:spacing w:val="5"/>
    </w:rPr>
  </w:style>
  <w:style w:type="paragraph" w:styleId="NormalWeb">
    <w:name w:val="Normal (Web)"/>
    <w:basedOn w:val="Normal"/>
    <w:uiPriority w:val="99"/>
    <w:semiHidden/>
    <w:unhideWhenUsed/>
    <w:rsid w:val="007E0E8D"/>
    <w:rPr>
      <w:rFonts w:ascii="Times New Roman" w:hAnsi="Times New Roman" w:cs="Times New Roman"/>
      <w:sz w:val="24"/>
      <w:szCs w:val="24"/>
    </w:rPr>
  </w:style>
  <w:style w:type="character" w:styleId="Hipervnculo">
    <w:name w:val="Hyperlink"/>
    <w:basedOn w:val="Fuentedeprrafopredeter"/>
    <w:uiPriority w:val="99"/>
    <w:unhideWhenUsed/>
    <w:rsid w:val="00D87C90"/>
    <w:rPr>
      <w:color w:val="467886" w:themeColor="hyperlink"/>
      <w:u w:val="single"/>
    </w:rPr>
  </w:style>
  <w:style w:type="character" w:styleId="Mencinsinresolver">
    <w:name w:val="Unresolved Mention"/>
    <w:basedOn w:val="Fuentedeprrafopredeter"/>
    <w:uiPriority w:val="99"/>
    <w:semiHidden/>
    <w:unhideWhenUsed/>
    <w:rsid w:val="00D87C90"/>
    <w:rPr>
      <w:color w:val="605E5C"/>
      <w:shd w:val="clear" w:color="auto" w:fill="E1DFDD"/>
    </w:rPr>
  </w:style>
  <w:style w:type="paragraph" w:styleId="Textonotapie">
    <w:name w:val="footnote text"/>
    <w:basedOn w:val="Normal"/>
    <w:link w:val="TextonotapieCar"/>
    <w:uiPriority w:val="99"/>
    <w:semiHidden/>
    <w:unhideWhenUsed/>
    <w:rsid w:val="0062340D"/>
    <w:pPr>
      <w:spacing w:line="240" w:lineRule="auto"/>
    </w:pPr>
    <w:rPr>
      <w:sz w:val="20"/>
      <w:szCs w:val="20"/>
    </w:rPr>
  </w:style>
  <w:style w:type="character" w:customStyle="1" w:styleId="TextonotapieCar">
    <w:name w:val="Texto nota pie Car"/>
    <w:basedOn w:val="Fuentedeprrafopredeter"/>
    <w:link w:val="Textonotapie"/>
    <w:uiPriority w:val="99"/>
    <w:semiHidden/>
    <w:rsid w:val="0062340D"/>
    <w:rPr>
      <w:rFonts w:ascii="Arial" w:eastAsia="Arial" w:hAnsi="Arial" w:cs="Arial"/>
      <w:kern w:val="0"/>
      <w:sz w:val="20"/>
      <w:szCs w:val="20"/>
      <w:lang w:val="es" w:eastAsia="es-MX"/>
      <w14:ligatures w14:val="none"/>
    </w:rPr>
  </w:style>
  <w:style w:type="character" w:styleId="Refdenotaalpie">
    <w:name w:val="footnote reference"/>
    <w:basedOn w:val="Fuentedeprrafopredeter"/>
    <w:uiPriority w:val="99"/>
    <w:semiHidden/>
    <w:unhideWhenUsed/>
    <w:rsid w:val="0062340D"/>
    <w:rPr>
      <w:vertAlign w:val="superscript"/>
    </w:rPr>
  </w:style>
  <w:style w:type="paragraph" w:styleId="Encabezado">
    <w:name w:val="header"/>
    <w:basedOn w:val="Normal"/>
    <w:link w:val="EncabezadoCar"/>
    <w:uiPriority w:val="99"/>
    <w:unhideWhenUsed/>
    <w:rsid w:val="00271991"/>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271991"/>
    <w:rPr>
      <w:rFonts w:ascii="Arial" w:eastAsia="Arial" w:hAnsi="Arial" w:cs="Arial"/>
      <w:kern w:val="0"/>
      <w:lang w:val="es" w:eastAsia="es-MX"/>
      <w14:ligatures w14:val="none"/>
    </w:rPr>
  </w:style>
  <w:style w:type="paragraph" w:styleId="Piedepgina">
    <w:name w:val="footer"/>
    <w:basedOn w:val="Normal"/>
    <w:link w:val="PiedepginaCar"/>
    <w:uiPriority w:val="99"/>
    <w:unhideWhenUsed/>
    <w:rsid w:val="00271991"/>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271991"/>
    <w:rPr>
      <w:rFonts w:ascii="Arial" w:eastAsia="Arial" w:hAnsi="Arial" w:cs="Arial"/>
      <w:kern w:val="0"/>
      <w:lang w:val="es" w:eastAsia="es-MX"/>
      <w14:ligatures w14:val="none"/>
    </w:rPr>
  </w:style>
  <w:style w:type="paragraph" w:styleId="TtuloTDC">
    <w:name w:val="TOC Heading"/>
    <w:basedOn w:val="Ttulo1"/>
    <w:next w:val="Normal"/>
    <w:uiPriority w:val="39"/>
    <w:unhideWhenUsed/>
    <w:qFormat/>
    <w:rsid w:val="00345E25"/>
    <w:pPr>
      <w:spacing w:before="240" w:after="0" w:line="259" w:lineRule="auto"/>
      <w:outlineLvl w:val="9"/>
    </w:pPr>
    <w:rPr>
      <w:sz w:val="32"/>
      <w:szCs w:val="32"/>
      <w:lang w:val="es-MX"/>
    </w:rPr>
  </w:style>
  <w:style w:type="character" w:styleId="Ttulodellibro">
    <w:name w:val="Book Title"/>
    <w:basedOn w:val="Fuentedeprrafopredeter"/>
    <w:uiPriority w:val="33"/>
    <w:qFormat/>
    <w:rsid w:val="00345E25"/>
    <w:rPr>
      <w:b/>
      <w:bCs/>
      <w:i/>
      <w:iCs/>
      <w:spacing w:val="5"/>
    </w:rPr>
  </w:style>
  <w:style w:type="character" w:styleId="nfasis">
    <w:name w:val="Emphasis"/>
    <w:basedOn w:val="Fuentedeprrafopredeter"/>
    <w:uiPriority w:val="20"/>
    <w:qFormat/>
    <w:rsid w:val="00345E25"/>
    <w:rPr>
      <w:i/>
      <w:iCs/>
    </w:rPr>
  </w:style>
  <w:style w:type="paragraph" w:styleId="TDC2">
    <w:name w:val="toc 2"/>
    <w:basedOn w:val="Normal"/>
    <w:next w:val="Normal"/>
    <w:autoRedefine/>
    <w:uiPriority w:val="39"/>
    <w:unhideWhenUsed/>
    <w:rsid w:val="006A0372"/>
    <w:pPr>
      <w:spacing w:after="100"/>
      <w:ind w:left="220"/>
    </w:pPr>
  </w:style>
  <w:style w:type="paragraph" w:styleId="TDC3">
    <w:name w:val="toc 3"/>
    <w:basedOn w:val="Normal"/>
    <w:next w:val="Normal"/>
    <w:autoRedefine/>
    <w:uiPriority w:val="39"/>
    <w:unhideWhenUsed/>
    <w:rsid w:val="006A0372"/>
    <w:pPr>
      <w:spacing w:after="100"/>
      <w:ind w:left="440"/>
    </w:pPr>
  </w:style>
  <w:style w:type="character" w:styleId="Hipervnculovisitado">
    <w:name w:val="FollowedHyperlink"/>
    <w:basedOn w:val="Fuentedeprrafopredeter"/>
    <w:uiPriority w:val="99"/>
    <w:semiHidden/>
    <w:unhideWhenUsed/>
    <w:rsid w:val="00D868B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17990">
      <w:bodyDiv w:val="1"/>
      <w:marLeft w:val="0"/>
      <w:marRight w:val="0"/>
      <w:marTop w:val="0"/>
      <w:marBottom w:val="0"/>
      <w:divBdr>
        <w:top w:val="none" w:sz="0" w:space="0" w:color="auto"/>
        <w:left w:val="none" w:sz="0" w:space="0" w:color="auto"/>
        <w:bottom w:val="none" w:sz="0" w:space="0" w:color="auto"/>
        <w:right w:val="none" w:sz="0" w:space="0" w:color="auto"/>
      </w:divBdr>
    </w:div>
    <w:div w:id="105122994">
      <w:bodyDiv w:val="1"/>
      <w:marLeft w:val="0"/>
      <w:marRight w:val="0"/>
      <w:marTop w:val="0"/>
      <w:marBottom w:val="0"/>
      <w:divBdr>
        <w:top w:val="none" w:sz="0" w:space="0" w:color="auto"/>
        <w:left w:val="none" w:sz="0" w:space="0" w:color="auto"/>
        <w:bottom w:val="none" w:sz="0" w:space="0" w:color="auto"/>
        <w:right w:val="none" w:sz="0" w:space="0" w:color="auto"/>
      </w:divBdr>
    </w:div>
    <w:div w:id="135681131">
      <w:bodyDiv w:val="1"/>
      <w:marLeft w:val="0"/>
      <w:marRight w:val="0"/>
      <w:marTop w:val="0"/>
      <w:marBottom w:val="0"/>
      <w:divBdr>
        <w:top w:val="none" w:sz="0" w:space="0" w:color="auto"/>
        <w:left w:val="none" w:sz="0" w:space="0" w:color="auto"/>
        <w:bottom w:val="none" w:sz="0" w:space="0" w:color="auto"/>
        <w:right w:val="none" w:sz="0" w:space="0" w:color="auto"/>
      </w:divBdr>
    </w:div>
    <w:div w:id="142890659">
      <w:bodyDiv w:val="1"/>
      <w:marLeft w:val="0"/>
      <w:marRight w:val="0"/>
      <w:marTop w:val="0"/>
      <w:marBottom w:val="0"/>
      <w:divBdr>
        <w:top w:val="none" w:sz="0" w:space="0" w:color="auto"/>
        <w:left w:val="none" w:sz="0" w:space="0" w:color="auto"/>
        <w:bottom w:val="none" w:sz="0" w:space="0" w:color="auto"/>
        <w:right w:val="none" w:sz="0" w:space="0" w:color="auto"/>
      </w:divBdr>
    </w:div>
    <w:div w:id="231089831">
      <w:bodyDiv w:val="1"/>
      <w:marLeft w:val="0"/>
      <w:marRight w:val="0"/>
      <w:marTop w:val="0"/>
      <w:marBottom w:val="0"/>
      <w:divBdr>
        <w:top w:val="none" w:sz="0" w:space="0" w:color="auto"/>
        <w:left w:val="none" w:sz="0" w:space="0" w:color="auto"/>
        <w:bottom w:val="none" w:sz="0" w:space="0" w:color="auto"/>
        <w:right w:val="none" w:sz="0" w:space="0" w:color="auto"/>
      </w:divBdr>
    </w:div>
    <w:div w:id="286208091">
      <w:bodyDiv w:val="1"/>
      <w:marLeft w:val="0"/>
      <w:marRight w:val="0"/>
      <w:marTop w:val="0"/>
      <w:marBottom w:val="0"/>
      <w:divBdr>
        <w:top w:val="none" w:sz="0" w:space="0" w:color="auto"/>
        <w:left w:val="none" w:sz="0" w:space="0" w:color="auto"/>
        <w:bottom w:val="none" w:sz="0" w:space="0" w:color="auto"/>
        <w:right w:val="none" w:sz="0" w:space="0" w:color="auto"/>
      </w:divBdr>
    </w:div>
    <w:div w:id="367682107">
      <w:bodyDiv w:val="1"/>
      <w:marLeft w:val="0"/>
      <w:marRight w:val="0"/>
      <w:marTop w:val="0"/>
      <w:marBottom w:val="0"/>
      <w:divBdr>
        <w:top w:val="none" w:sz="0" w:space="0" w:color="auto"/>
        <w:left w:val="none" w:sz="0" w:space="0" w:color="auto"/>
        <w:bottom w:val="none" w:sz="0" w:space="0" w:color="auto"/>
        <w:right w:val="none" w:sz="0" w:space="0" w:color="auto"/>
      </w:divBdr>
    </w:div>
    <w:div w:id="391544217">
      <w:bodyDiv w:val="1"/>
      <w:marLeft w:val="0"/>
      <w:marRight w:val="0"/>
      <w:marTop w:val="0"/>
      <w:marBottom w:val="0"/>
      <w:divBdr>
        <w:top w:val="none" w:sz="0" w:space="0" w:color="auto"/>
        <w:left w:val="none" w:sz="0" w:space="0" w:color="auto"/>
        <w:bottom w:val="none" w:sz="0" w:space="0" w:color="auto"/>
        <w:right w:val="none" w:sz="0" w:space="0" w:color="auto"/>
      </w:divBdr>
    </w:div>
    <w:div w:id="561864344">
      <w:bodyDiv w:val="1"/>
      <w:marLeft w:val="0"/>
      <w:marRight w:val="0"/>
      <w:marTop w:val="0"/>
      <w:marBottom w:val="0"/>
      <w:divBdr>
        <w:top w:val="none" w:sz="0" w:space="0" w:color="auto"/>
        <w:left w:val="none" w:sz="0" w:space="0" w:color="auto"/>
        <w:bottom w:val="none" w:sz="0" w:space="0" w:color="auto"/>
        <w:right w:val="none" w:sz="0" w:space="0" w:color="auto"/>
      </w:divBdr>
    </w:div>
    <w:div w:id="564802741">
      <w:bodyDiv w:val="1"/>
      <w:marLeft w:val="0"/>
      <w:marRight w:val="0"/>
      <w:marTop w:val="0"/>
      <w:marBottom w:val="0"/>
      <w:divBdr>
        <w:top w:val="none" w:sz="0" w:space="0" w:color="auto"/>
        <w:left w:val="none" w:sz="0" w:space="0" w:color="auto"/>
        <w:bottom w:val="none" w:sz="0" w:space="0" w:color="auto"/>
        <w:right w:val="none" w:sz="0" w:space="0" w:color="auto"/>
      </w:divBdr>
    </w:div>
    <w:div w:id="580985647">
      <w:bodyDiv w:val="1"/>
      <w:marLeft w:val="0"/>
      <w:marRight w:val="0"/>
      <w:marTop w:val="0"/>
      <w:marBottom w:val="0"/>
      <w:divBdr>
        <w:top w:val="none" w:sz="0" w:space="0" w:color="auto"/>
        <w:left w:val="none" w:sz="0" w:space="0" w:color="auto"/>
        <w:bottom w:val="none" w:sz="0" w:space="0" w:color="auto"/>
        <w:right w:val="none" w:sz="0" w:space="0" w:color="auto"/>
      </w:divBdr>
    </w:div>
    <w:div w:id="609318739">
      <w:bodyDiv w:val="1"/>
      <w:marLeft w:val="0"/>
      <w:marRight w:val="0"/>
      <w:marTop w:val="0"/>
      <w:marBottom w:val="0"/>
      <w:divBdr>
        <w:top w:val="none" w:sz="0" w:space="0" w:color="auto"/>
        <w:left w:val="none" w:sz="0" w:space="0" w:color="auto"/>
        <w:bottom w:val="none" w:sz="0" w:space="0" w:color="auto"/>
        <w:right w:val="none" w:sz="0" w:space="0" w:color="auto"/>
      </w:divBdr>
    </w:div>
    <w:div w:id="616329247">
      <w:bodyDiv w:val="1"/>
      <w:marLeft w:val="0"/>
      <w:marRight w:val="0"/>
      <w:marTop w:val="0"/>
      <w:marBottom w:val="0"/>
      <w:divBdr>
        <w:top w:val="none" w:sz="0" w:space="0" w:color="auto"/>
        <w:left w:val="none" w:sz="0" w:space="0" w:color="auto"/>
        <w:bottom w:val="none" w:sz="0" w:space="0" w:color="auto"/>
        <w:right w:val="none" w:sz="0" w:space="0" w:color="auto"/>
      </w:divBdr>
    </w:div>
    <w:div w:id="649749317">
      <w:bodyDiv w:val="1"/>
      <w:marLeft w:val="0"/>
      <w:marRight w:val="0"/>
      <w:marTop w:val="0"/>
      <w:marBottom w:val="0"/>
      <w:divBdr>
        <w:top w:val="none" w:sz="0" w:space="0" w:color="auto"/>
        <w:left w:val="none" w:sz="0" w:space="0" w:color="auto"/>
        <w:bottom w:val="none" w:sz="0" w:space="0" w:color="auto"/>
        <w:right w:val="none" w:sz="0" w:space="0" w:color="auto"/>
      </w:divBdr>
    </w:div>
    <w:div w:id="702092782">
      <w:bodyDiv w:val="1"/>
      <w:marLeft w:val="0"/>
      <w:marRight w:val="0"/>
      <w:marTop w:val="0"/>
      <w:marBottom w:val="0"/>
      <w:divBdr>
        <w:top w:val="none" w:sz="0" w:space="0" w:color="auto"/>
        <w:left w:val="none" w:sz="0" w:space="0" w:color="auto"/>
        <w:bottom w:val="none" w:sz="0" w:space="0" w:color="auto"/>
        <w:right w:val="none" w:sz="0" w:space="0" w:color="auto"/>
      </w:divBdr>
    </w:div>
    <w:div w:id="709648682">
      <w:bodyDiv w:val="1"/>
      <w:marLeft w:val="0"/>
      <w:marRight w:val="0"/>
      <w:marTop w:val="0"/>
      <w:marBottom w:val="0"/>
      <w:divBdr>
        <w:top w:val="none" w:sz="0" w:space="0" w:color="auto"/>
        <w:left w:val="none" w:sz="0" w:space="0" w:color="auto"/>
        <w:bottom w:val="none" w:sz="0" w:space="0" w:color="auto"/>
        <w:right w:val="none" w:sz="0" w:space="0" w:color="auto"/>
      </w:divBdr>
    </w:div>
    <w:div w:id="728261012">
      <w:bodyDiv w:val="1"/>
      <w:marLeft w:val="0"/>
      <w:marRight w:val="0"/>
      <w:marTop w:val="0"/>
      <w:marBottom w:val="0"/>
      <w:divBdr>
        <w:top w:val="none" w:sz="0" w:space="0" w:color="auto"/>
        <w:left w:val="none" w:sz="0" w:space="0" w:color="auto"/>
        <w:bottom w:val="none" w:sz="0" w:space="0" w:color="auto"/>
        <w:right w:val="none" w:sz="0" w:space="0" w:color="auto"/>
      </w:divBdr>
    </w:div>
    <w:div w:id="789083595">
      <w:bodyDiv w:val="1"/>
      <w:marLeft w:val="0"/>
      <w:marRight w:val="0"/>
      <w:marTop w:val="0"/>
      <w:marBottom w:val="0"/>
      <w:divBdr>
        <w:top w:val="none" w:sz="0" w:space="0" w:color="auto"/>
        <w:left w:val="none" w:sz="0" w:space="0" w:color="auto"/>
        <w:bottom w:val="none" w:sz="0" w:space="0" w:color="auto"/>
        <w:right w:val="none" w:sz="0" w:space="0" w:color="auto"/>
      </w:divBdr>
    </w:div>
    <w:div w:id="859052003">
      <w:bodyDiv w:val="1"/>
      <w:marLeft w:val="0"/>
      <w:marRight w:val="0"/>
      <w:marTop w:val="0"/>
      <w:marBottom w:val="0"/>
      <w:divBdr>
        <w:top w:val="none" w:sz="0" w:space="0" w:color="auto"/>
        <w:left w:val="none" w:sz="0" w:space="0" w:color="auto"/>
        <w:bottom w:val="none" w:sz="0" w:space="0" w:color="auto"/>
        <w:right w:val="none" w:sz="0" w:space="0" w:color="auto"/>
      </w:divBdr>
    </w:div>
    <w:div w:id="887186715">
      <w:bodyDiv w:val="1"/>
      <w:marLeft w:val="0"/>
      <w:marRight w:val="0"/>
      <w:marTop w:val="0"/>
      <w:marBottom w:val="0"/>
      <w:divBdr>
        <w:top w:val="none" w:sz="0" w:space="0" w:color="auto"/>
        <w:left w:val="none" w:sz="0" w:space="0" w:color="auto"/>
        <w:bottom w:val="none" w:sz="0" w:space="0" w:color="auto"/>
        <w:right w:val="none" w:sz="0" w:space="0" w:color="auto"/>
      </w:divBdr>
    </w:div>
    <w:div w:id="899681023">
      <w:bodyDiv w:val="1"/>
      <w:marLeft w:val="0"/>
      <w:marRight w:val="0"/>
      <w:marTop w:val="0"/>
      <w:marBottom w:val="0"/>
      <w:divBdr>
        <w:top w:val="none" w:sz="0" w:space="0" w:color="auto"/>
        <w:left w:val="none" w:sz="0" w:space="0" w:color="auto"/>
        <w:bottom w:val="none" w:sz="0" w:space="0" w:color="auto"/>
        <w:right w:val="none" w:sz="0" w:space="0" w:color="auto"/>
      </w:divBdr>
    </w:div>
    <w:div w:id="927343968">
      <w:bodyDiv w:val="1"/>
      <w:marLeft w:val="0"/>
      <w:marRight w:val="0"/>
      <w:marTop w:val="0"/>
      <w:marBottom w:val="0"/>
      <w:divBdr>
        <w:top w:val="none" w:sz="0" w:space="0" w:color="auto"/>
        <w:left w:val="none" w:sz="0" w:space="0" w:color="auto"/>
        <w:bottom w:val="none" w:sz="0" w:space="0" w:color="auto"/>
        <w:right w:val="none" w:sz="0" w:space="0" w:color="auto"/>
      </w:divBdr>
    </w:div>
    <w:div w:id="964114585">
      <w:bodyDiv w:val="1"/>
      <w:marLeft w:val="0"/>
      <w:marRight w:val="0"/>
      <w:marTop w:val="0"/>
      <w:marBottom w:val="0"/>
      <w:divBdr>
        <w:top w:val="none" w:sz="0" w:space="0" w:color="auto"/>
        <w:left w:val="none" w:sz="0" w:space="0" w:color="auto"/>
        <w:bottom w:val="none" w:sz="0" w:space="0" w:color="auto"/>
        <w:right w:val="none" w:sz="0" w:space="0" w:color="auto"/>
      </w:divBdr>
    </w:div>
    <w:div w:id="989019046">
      <w:bodyDiv w:val="1"/>
      <w:marLeft w:val="0"/>
      <w:marRight w:val="0"/>
      <w:marTop w:val="0"/>
      <w:marBottom w:val="0"/>
      <w:divBdr>
        <w:top w:val="none" w:sz="0" w:space="0" w:color="auto"/>
        <w:left w:val="none" w:sz="0" w:space="0" w:color="auto"/>
        <w:bottom w:val="none" w:sz="0" w:space="0" w:color="auto"/>
        <w:right w:val="none" w:sz="0" w:space="0" w:color="auto"/>
      </w:divBdr>
    </w:div>
    <w:div w:id="1031341770">
      <w:bodyDiv w:val="1"/>
      <w:marLeft w:val="0"/>
      <w:marRight w:val="0"/>
      <w:marTop w:val="0"/>
      <w:marBottom w:val="0"/>
      <w:divBdr>
        <w:top w:val="none" w:sz="0" w:space="0" w:color="auto"/>
        <w:left w:val="none" w:sz="0" w:space="0" w:color="auto"/>
        <w:bottom w:val="none" w:sz="0" w:space="0" w:color="auto"/>
        <w:right w:val="none" w:sz="0" w:space="0" w:color="auto"/>
      </w:divBdr>
    </w:div>
    <w:div w:id="1052340513">
      <w:bodyDiv w:val="1"/>
      <w:marLeft w:val="0"/>
      <w:marRight w:val="0"/>
      <w:marTop w:val="0"/>
      <w:marBottom w:val="0"/>
      <w:divBdr>
        <w:top w:val="none" w:sz="0" w:space="0" w:color="auto"/>
        <w:left w:val="none" w:sz="0" w:space="0" w:color="auto"/>
        <w:bottom w:val="none" w:sz="0" w:space="0" w:color="auto"/>
        <w:right w:val="none" w:sz="0" w:space="0" w:color="auto"/>
      </w:divBdr>
    </w:div>
    <w:div w:id="1183468673">
      <w:bodyDiv w:val="1"/>
      <w:marLeft w:val="0"/>
      <w:marRight w:val="0"/>
      <w:marTop w:val="0"/>
      <w:marBottom w:val="0"/>
      <w:divBdr>
        <w:top w:val="none" w:sz="0" w:space="0" w:color="auto"/>
        <w:left w:val="none" w:sz="0" w:space="0" w:color="auto"/>
        <w:bottom w:val="none" w:sz="0" w:space="0" w:color="auto"/>
        <w:right w:val="none" w:sz="0" w:space="0" w:color="auto"/>
      </w:divBdr>
    </w:div>
    <w:div w:id="1215238120">
      <w:bodyDiv w:val="1"/>
      <w:marLeft w:val="0"/>
      <w:marRight w:val="0"/>
      <w:marTop w:val="0"/>
      <w:marBottom w:val="0"/>
      <w:divBdr>
        <w:top w:val="none" w:sz="0" w:space="0" w:color="auto"/>
        <w:left w:val="none" w:sz="0" w:space="0" w:color="auto"/>
        <w:bottom w:val="none" w:sz="0" w:space="0" w:color="auto"/>
        <w:right w:val="none" w:sz="0" w:space="0" w:color="auto"/>
      </w:divBdr>
    </w:div>
    <w:div w:id="1270552268">
      <w:bodyDiv w:val="1"/>
      <w:marLeft w:val="0"/>
      <w:marRight w:val="0"/>
      <w:marTop w:val="0"/>
      <w:marBottom w:val="0"/>
      <w:divBdr>
        <w:top w:val="none" w:sz="0" w:space="0" w:color="auto"/>
        <w:left w:val="none" w:sz="0" w:space="0" w:color="auto"/>
        <w:bottom w:val="none" w:sz="0" w:space="0" w:color="auto"/>
        <w:right w:val="none" w:sz="0" w:space="0" w:color="auto"/>
      </w:divBdr>
    </w:div>
    <w:div w:id="1327246468">
      <w:bodyDiv w:val="1"/>
      <w:marLeft w:val="0"/>
      <w:marRight w:val="0"/>
      <w:marTop w:val="0"/>
      <w:marBottom w:val="0"/>
      <w:divBdr>
        <w:top w:val="none" w:sz="0" w:space="0" w:color="auto"/>
        <w:left w:val="none" w:sz="0" w:space="0" w:color="auto"/>
        <w:bottom w:val="none" w:sz="0" w:space="0" w:color="auto"/>
        <w:right w:val="none" w:sz="0" w:space="0" w:color="auto"/>
      </w:divBdr>
    </w:div>
    <w:div w:id="1328820866">
      <w:bodyDiv w:val="1"/>
      <w:marLeft w:val="0"/>
      <w:marRight w:val="0"/>
      <w:marTop w:val="0"/>
      <w:marBottom w:val="0"/>
      <w:divBdr>
        <w:top w:val="none" w:sz="0" w:space="0" w:color="auto"/>
        <w:left w:val="none" w:sz="0" w:space="0" w:color="auto"/>
        <w:bottom w:val="none" w:sz="0" w:space="0" w:color="auto"/>
        <w:right w:val="none" w:sz="0" w:space="0" w:color="auto"/>
      </w:divBdr>
    </w:div>
    <w:div w:id="1357199342">
      <w:bodyDiv w:val="1"/>
      <w:marLeft w:val="0"/>
      <w:marRight w:val="0"/>
      <w:marTop w:val="0"/>
      <w:marBottom w:val="0"/>
      <w:divBdr>
        <w:top w:val="none" w:sz="0" w:space="0" w:color="auto"/>
        <w:left w:val="none" w:sz="0" w:space="0" w:color="auto"/>
        <w:bottom w:val="none" w:sz="0" w:space="0" w:color="auto"/>
        <w:right w:val="none" w:sz="0" w:space="0" w:color="auto"/>
      </w:divBdr>
    </w:div>
    <w:div w:id="1367831637">
      <w:bodyDiv w:val="1"/>
      <w:marLeft w:val="0"/>
      <w:marRight w:val="0"/>
      <w:marTop w:val="0"/>
      <w:marBottom w:val="0"/>
      <w:divBdr>
        <w:top w:val="none" w:sz="0" w:space="0" w:color="auto"/>
        <w:left w:val="none" w:sz="0" w:space="0" w:color="auto"/>
        <w:bottom w:val="none" w:sz="0" w:space="0" w:color="auto"/>
        <w:right w:val="none" w:sz="0" w:space="0" w:color="auto"/>
      </w:divBdr>
    </w:div>
    <w:div w:id="1389838595">
      <w:bodyDiv w:val="1"/>
      <w:marLeft w:val="0"/>
      <w:marRight w:val="0"/>
      <w:marTop w:val="0"/>
      <w:marBottom w:val="0"/>
      <w:divBdr>
        <w:top w:val="none" w:sz="0" w:space="0" w:color="auto"/>
        <w:left w:val="none" w:sz="0" w:space="0" w:color="auto"/>
        <w:bottom w:val="none" w:sz="0" w:space="0" w:color="auto"/>
        <w:right w:val="none" w:sz="0" w:space="0" w:color="auto"/>
      </w:divBdr>
    </w:div>
    <w:div w:id="1453087553">
      <w:bodyDiv w:val="1"/>
      <w:marLeft w:val="0"/>
      <w:marRight w:val="0"/>
      <w:marTop w:val="0"/>
      <w:marBottom w:val="0"/>
      <w:divBdr>
        <w:top w:val="none" w:sz="0" w:space="0" w:color="auto"/>
        <w:left w:val="none" w:sz="0" w:space="0" w:color="auto"/>
        <w:bottom w:val="none" w:sz="0" w:space="0" w:color="auto"/>
        <w:right w:val="none" w:sz="0" w:space="0" w:color="auto"/>
      </w:divBdr>
    </w:div>
    <w:div w:id="1475560422">
      <w:bodyDiv w:val="1"/>
      <w:marLeft w:val="0"/>
      <w:marRight w:val="0"/>
      <w:marTop w:val="0"/>
      <w:marBottom w:val="0"/>
      <w:divBdr>
        <w:top w:val="none" w:sz="0" w:space="0" w:color="auto"/>
        <w:left w:val="none" w:sz="0" w:space="0" w:color="auto"/>
        <w:bottom w:val="none" w:sz="0" w:space="0" w:color="auto"/>
        <w:right w:val="none" w:sz="0" w:space="0" w:color="auto"/>
      </w:divBdr>
    </w:div>
    <w:div w:id="1497303228">
      <w:bodyDiv w:val="1"/>
      <w:marLeft w:val="0"/>
      <w:marRight w:val="0"/>
      <w:marTop w:val="0"/>
      <w:marBottom w:val="0"/>
      <w:divBdr>
        <w:top w:val="none" w:sz="0" w:space="0" w:color="auto"/>
        <w:left w:val="none" w:sz="0" w:space="0" w:color="auto"/>
        <w:bottom w:val="none" w:sz="0" w:space="0" w:color="auto"/>
        <w:right w:val="none" w:sz="0" w:space="0" w:color="auto"/>
      </w:divBdr>
    </w:div>
    <w:div w:id="1758599635">
      <w:bodyDiv w:val="1"/>
      <w:marLeft w:val="0"/>
      <w:marRight w:val="0"/>
      <w:marTop w:val="0"/>
      <w:marBottom w:val="0"/>
      <w:divBdr>
        <w:top w:val="none" w:sz="0" w:space="0" w:color="auto"/>
        <w:left w:val="none" w:sz="0" w:space="0" w:color="auto"/>
        <w:bottom w:val="none" w:sz="0" w:space="0" w:color="auto"/>
        <w:right w:val="none" w:sz="0" w:space="0" w:color="auto"/>
      </w:divBdr>
    </w:div>
    <w:div w:id="1774395494">
      <w:bodyDiv w:val="1"/>
      <w:marLeft w:val="0"/>
      <w:marRight w:val="0"/>
      <w:marTop w:val="0"/>
      <w:marBottom w:val="0"/>
      <w:divBdr>
        <w:top w:val="none" w:sz="0" w:space="0" w:color="auto"/>
        <w:left w:val="none" w:sz="0" w:space="0" w:color="auto"/>
        <w:bottom w:val="none" w:sz="0" w:space="0" w:color="auto"/>
        <w:right w:val="none" w:sz="0" w:space="0" w:color="auto"/>
      </w:divBdr>
    </w:div>
    <w:div w:id="1791703818">
      <w:bodyDiv w:val="1"/>
      <w:marLeft w:val="0"/>
      <w:marRight w:val="0"/>
      <w:marTop w:val="0"/>
      <w:marBottom w:val="0"/>
      <w:divBdr>
        <w:top w:val="none" w:sz="0" w:space="0" w:color="auto"/>
        <w:left w:val="none" w:sz="0" w:space="0" w:color="auto"/>
        <w:bottom w:val="none" w:sz="0" w:space="0" w:color="auto"/>
        <w:right w:val="none" w:sz="0" w:space="0" w:color="auto"/>
      </w:divBdr>
    </w:div>
    <w:div w:id="1794133947">
      <w:bodyDiv w:val="1"/>
      <w:marLeft w:val="0"/>
      <w:marRight w:val="0"/>
      <w:marTop w:val="0"/>
      <w:marBottom w:val="0"/>
      <w:divBdr>
        <w:top w:val="none" w:sz="0" w:space="0" w:color="auto"/>
        <w:left w:val="none" w:sz="0" w:space="0" w:color="auto"/>
        <w:bottom w:val="none" w:sz="0" w:space="0" w:color="auto"/>
        <w:right w:val="none" w:sz="0" w:space="0" w:color="auto"/>
      </w:divBdr>
    </w:div>
    <w:div w:id="1862669919">
      <w:bodyDiv w:val="1"/>
      <w:marLeft w:val="0"/>
      <w:marRight w:val="0"/>
      <w:marTop w:val="0"/>
      <w:marBottom w:val="0"/>
      <w:divBdr>
        <w:top w:val="none" w:sz="0" w:space="0" w:color="auto"/>
        <w:left w:val="none" w:sz="0" w:space="0" w:color="auto"/>
        <w:bottom w:val="none" w:sz="0" w:space="0" w:color="auto"/>
        <w:right w:val="none" w:sz="0" w:space="0" w:color="auto"/>
      </w:divBdr>
    </w:div>
    <w:div w:id="1866552234">
      <w:bodyDiv w:val="1"/>
      <w:marLeft w:val="0"/>
      <w:marRight w:val="0"/>
      <w:marTop w:val="0"/>
      <w:marBottom w:val="0"/>
      <w:divBdr>
        <w:top w:val="none" w:sz="0" w:space="0" w:color="auto"/>
        <w:left w:val="none" w:sz="0" w:space="0" w:color="auto"/>
        <w:bottom w:val="none" w:sz="0" w:space="0" w:color="auto"/>
        <w:right w:val="none" w:sz="0" w:space="0" w:color="auto"/>
      </w:divBdr>
    </w:div>
    <w:div w:id="1867520731">
      <w:bodyDiv w:val="1"/>
      <w:marLeft w:val="0"/>
      <w:marRight w:val="0"/>
      <w:marTop w:val="0"/>
      <w:marBottom w:val="0"/>
      <w:divBdr>
        <w:top w:val="none" w:sz="0" w:space="0" w:color="auto"/>
        <w:left w:val="none" w:sz="0" w:space="0" w:color="auto"/>
        <w:bottom w:val="none" w:sz="0" w:space="0" w:color="auto"/>
        <w:right w:val="none" w:sz="0" w:space="0" w:color="auto"/>
      </w:divBdr>
    </w:div>
    <w:div w:id="1909460023">
      <w:bodyDiv w:val="1"/>
      <w:marLeft w:val="0"/>
      <w:marRight w:val="0"/>
      <w:marTop w:val="0"/>
      <w:marBottom w:val="0"/>
      <w:divBdr>
        <w:top w:val="none" w:sz="0" w:space="0" w:color="auto"/>
        <w:left w:val="none" w:sz="0" w:space="0" w:color="auto"/>
        <w:bottom w:val="none" w:sz="0" w:space="0" w:color="auto"/>
        <w:right w:val="none" w:sz="0" w:space="0" w:color="auto"/>
      </w:divBdr>
    </w:div>
    <w:div w:id="1943801693">
      <w:bodyDiv w:val="1"/>
      <w:marLeft w:val="0"/>
      <w:marRight w:val="0"/>
      <w:marTop w:val="0"/>
      <w:marBottom w:val="0"/>
      <w:divBdr>
        <w:top w:val="none" w:sz="0" w:space="0" w:color="auto"/>
        <w:left w:val="none" w:sz="0" w:space="0" w:color="auto"/>
        <w:bottom w:val="none" w:sz="0" w:space="0" w:color="auto"/>
        <w:right w:val="none" w:sz="0" w:space="0" w:color="auto"/>
      </w:divBdr>
    </w:div>
    <w:div w:id="1947734580">
      <w:bodyDiv w:val="1"/>
      <w:marLeft w:val="0"/>
      <w:marRight w:val="0"/>
      <w:marTop w:val="0"/>
      <w:marBottom w:val="0"/>
      <w:divBdr>
        <w:top w:val="none" w:sz="0" w:space="0" w:color="auto"/>
        <w:left w:val="none" w:sz="0" w:space="0" w:color="auto"/>
        <w:bottom w:val="none" w:sz="0" w:space="0" w:color="auto"/>
        <w:right w:val="none" w:sz="0" w:space="0" w:color="auto"/>
      </w:divBdr>
    </w:div>
    <w:div w:id="1973901514">
      <w:bodyDiv w:val="1"/>
      <w:marLeft w:val="0"/>
      <w:marRight w:val="0"/>
      <w:marTop w:val="0"/>
      <w:marBottom w:val="0"/>
      <w:divBdr>
        <w:top w:val="none" w:sz="0" w:space="0" w:color="auto"/>
        <w:left w:val="none" w:sz="0" w:space="0" w:color="auto"/>
        <w:bottom w:val="none" w:sz="0" w:space="0" w:color="auto"/>
        <w:right w:val="none" w:sz="0" w:space="0" w:color="auto"/>
      </w:divBdr>
    </w:div>
    <w:div w:id="1997956426">
      <w:bodyDiv w:val="1"/>
      <w:marLeft w:val="0"/>
      <w:marRight w:val="0"/>
      <w:marTop w:val="0"/>
      <w:marBottom w:val="0"/>
      <w:divBdr>
        <w:top w:val="none" w:sz="0" w:space="0" w:color="auto"/>
        <w:left w:val="none" w:sz="0" w:space="0" w:color="auto"/>
        <w:bottom w:val="none" w:sz="0" w:space="0" w:color="auto"/>
        <w:right w:val="none" w:sz="0" w:space="0" w:color="auto"/>
      </w:divBdr>
    </w:div>
    <w:div w:id="2072532879">
      <w:bodyDiv w:val="1"/>
      <w:marLeft w:val="0"/>
      <w:marRight w:val="0"/>
      <w:marTop w:val="0"/>
      <w:marBottom w:val="0"/>
      <w:divBdr>
        <w:top w:val="none" w:sz="0" w:space="0" w:color="auto"/>
        <w:left w:val="none" w:sz="0" w:space="0" w:color="auto"/>
        <w:bottom w:val="none" w:sz="0" w:space="0" w:color="auto"/>
        <w:right w:val="none" w:sz="0" w:space="0" w:color="auto"/>
      </w:divBdr>
    </w:div>
    <w:div w:id="2081362982">
      <w:bodyDiv w:val="1"/>
      <w:marLeft w:val="0"/>
      <w:marRight w:val="0"/>
      <w:marTop w:val="0"/>
      <w:marBottom w:val="0"/>
      <w:divBdr>
        <w:top w:val="none" w:sz="0" w:space="0" w:color="auto"/>
        <w:left w:val="none" w:sz="0" w:space="0" w:color="auto"/>
        <w:bottom w:val="none" w:sz="0" w:space="0" w:color="auto"/>
        <w:right w:val="none" w:sz="0" w:space="0" w:color="auto"/>
      </w:divBdr>
    </w:div>
    <w:div w:id="2100637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dodem.org/2023-2/" TargetMode="External"/><Relationship Id="rId18" Type="http://schemas.openxmlformats.org/officeDocument/2006/relationships/hyperlink" Target="https://www.msf.mx/actualidad/personas-migrantes-en-el-corredor-latinoamericano-sobrevivientes-de-violencia-extrema-y-consecuencias-irreversibles/" TargetMode="External"/><Relationship Id="rId26" Type="http://schemas.openxmlformats.org/officeDocument/2006/relationships/hyperlink" Target="https://imumi.org/nuestras-publicaciones/informe-alternativo-al-estado-mexicano-sobre-la-situacion-de-las-mujeres-las-ninas-y-las-adolescentes-en-movilidad-humana-2025/" TargetMode="External"/><Relationship Id="rId39" Type="http://schemas.openxmlformats.org/officeDocument/2006/relationships/hyperlink" Target="https://www.unicef.org/costarica/comunicados-prensa/m%C3%A1s-de-5-mil-personas-migrantes-en-tr%C3%A1nsito-y-solicitantes-de-refugio-recibieron" TargetMode="External"/><Relationship Id="rId21" Type="http://schemas.openxmlformats.org/officeDocument/2006/relationships/hyperlink" Target="https://data.unhcr.org/es/documents/details/112834" TargetMode="External"/><Relationship Id="rId34" Type="http://schemas.openxmlformats.org/officeDocument/2006/relationships/hyperlink" Target="https://doi.org/10.15517/psm.v15i1.26413"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igdep.colmex.mx/publicaciones/2_RetInmig_Sexo.pdf" TargetMode="External"/><Relationship Id="rId20" Type="http://schemas.openxmlformats.org/officeDocument/2006/relationships/hyperlink" Target="https://data.unhcr.org/es/documents/details/112834" TargetMode="External"/><Relationship Id="rId29" Type="http://schemas.openxmlformats.org/officeDocument/2006/relationships/hyperlink" Target="https://imumi.org/nuestras-publicaciones/deportacion-y-retorno-de-personas-no-mexicanas-de-estados-unidos-a-mexico/" TargetMode="External"/><Relationship Id="rId41" Type="http://schemas.openxmlformats.org/officeDocument/2006/relationships/hyperlink" Target="https://copred.cdmx.gob.mx/storage/app/media/menstruacion_migrant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oliticamigratoria.gob.mx/es/PoliticaMigratoria/Delitos_Perpetrados" TargetMode="External"/><Relationship Id="rId32" Type="http://schemas.openxmlformats.org/officeDocument/2006/relationships/hyperlink" Target="https://www.acnur.org/mx/noticias/comunicados-de-prensa/acnur-presenta-su-informe-de-resultados-2024-un-hogar-en-mexico" TargetMode="External"/><Relationship Id="rId37" Type="http://schemas.openxmlformats.org/officeDocument/2006/relationships/hyperlink" Target="http://www.scielo.org.mx/scielo.php?script=sci_arttext&amp;pid=S1405-74252010000200002&amp;lng=es&amp;tlng=es." TargetMode="External"/><Relationship Id="rId40" Type="http://schemas.openxmlformats.org/officeDocument/2006/relationships/hyperlink" Target="https://oem.com.mx/elsoldemexico/mexico/mujeres-migrantes-cuerpos-sin-derechos-16685200" TargetMode="External"/><Relationship Id="rId5" Type="http://schemas.openxmlformats.org/officeDocument/2006/relationships/webSettings" Target="webSettings.xml"/><Relationship Id="rId15" Type="http://schemas.openxmlformats.org/officeDocument/2006/relationships/hyperlink" Target="https://www.acnur.org/mx/noticias/comunicados-de-prensa/acnur-presenta-su-informe-de-resultados-2024-un-hogar-en-mexico" TargetMode="External"/><Relationship Id="rId23" Type="http://schemas.openxmlformats.org/officeDocument/2006/relationships/hyperlink" Target="https://catedraunescodh.unam.mx/catedra/papiit/cedaw/pdfs/28_Equis_CentrosJusticia_130923.pdf" TargetMode="External"/><Relationship Id="rId28" Type="http://schemas.openxmlformats.org/officeDocument/2006/relationships/hyperlink" Target="http://www.politicamigratoria.gob.mx/es/PoliticaMigratoria/Direccion_de_Estadistica" TargetMode="External"/><Relationship Id="rId36" Type="http://schemas.openxmlformats.org/officeDocument/2006/relationships/hyperlink" Target="http://www.scielo.org.mx/scielo.php?script=sci_arttext&amp;pid=S1405-74252010000200002&amp;lng=es&amp;tlng=es." TargetMode="External"/><Relationship Id="rId10" Type="http://schemas.openxmlformats.org/officeDocument/2006/relationships/image" Target="media/image3.png"/><Relationship Id="rId19" Type="http://schemas.openxmlformats.org/officeDocument/2006/relationships/hyperlink" Target="https://www.msf.mx/actualidad/el-corto-animado-una-y-miles-alerta-sobre-la-violencia-extrema-contra-mujeres-migrantes-en-mexico/" TargetMode="External"/><Relationship Id="rId31" Type="http://schemas.openxmlformats.org/officeDocument/2006/relationships/hyperlink" Target="http://www.politicamigratoria.gob.mx/es/PoliticaMigratoria/Direccion_de_Estadistica"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egi.org.mx/programas/ccpv/2020/" TargetMode="External"/><Relationship Id="rId22" Type="http://schemas.openxmlformats.org/officeDocument/2006/relationships/hyperlink" Target="https://reliefweb.int/report/mexico/violencia-basada-en-g-nero-y-mujeres-en-contextos-de-movilidad-humana-en-tapachula-m" TargetMode="External"/><Relationship Id="rId27" Type="http://schemas.openxmlformats.org/officeDocument/2006/relationships/hyperlink" Target="https://animalpolitico.com/politica/candidatos-eleccion-judicial-corte-fiscal-impunidad" TargetMode="External"/><Relationship Id="rId30" Type="http://schemas.openxmlformats.org/officeDocument/2006/relationships/hyperlink" Target="https://www.nmas.com.mx/nacional/seguridad/casilla-de-salida-la-politica-de-desgaste-del-instituto-nacional-de-migracion/" TargetMode="External"/><Relationship Id="rId35" Type="http://schemas.openxmlformats.org/officeDocument/2006/relationships/hyperlink" Target="https://knowledgecommons.popcouncil.org/cgi/viewcontent.cgi?article=1011&amp;context=focus_sexual-health-repro-choice"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www.politicamigratoria.gob.mx/es/PoliticaMigratoria/Direccion_de_Estadistica" TargetMode="External"/><Relationship Id="rId17" Type="http://schemas.openxmlformats.org/officeDocument/2006/relationships/hyperlink" Target="https://redodem.org/2023-2/" TargetMode="External"/><Relationship Id="rId25" Type="http://schemas.openxmlformats.org/officeDocument/2006/relationships/hyperlink" Target="https://www.gob.mx/inm/prensa/victimas-de-trata-160-migrantes-extranjeros-entre-2018-y-2023-inm" TargetMode="External"/><Relationship Id="rId33" Type="http://schemas.openxmlformats.org/officeDocument/2006/relationships/hyperlink" Target="https://www.scielo.org.mx/scielo.php?script=sci_arttext&amp;pid=S1405-74252010000200002:contentReference%5boaicite:5%5d%7bindex=5%7d" TargetMode="External"/><Relationship Id="rId38" Type="http://schemas.openxmlformats.org/officeDocument/2006/relationships/hyperlink" Target="https://ibero.mx/prensa/8m-urge-garantizar-el-acceso-la-salud-de-mujeres-migrantes-investigador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C13EE-B0ED-4B77-B53B-FF7596E18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14</Pages>
  <Words>7098</Words>
  <Characters>39257</Characters>
  <Application>Microsoft Office Word</Application>
  <DocSecurity>0</DocSecurity>
  <Lines>676</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IMUMI</dc:creator>
  <cp:keywords/>
  <dc:description/>
  <cp:lastModifiedBy>IMUMI</cp:lastModifiedBy>
  <cp:revision>14</cp:revision>
  <dcterms:created xsi:type="dcterms:W3CDTF">2025-05-19T04:56:00Z</dcterms:created>
  <dcterms:modified xsi:type="dcterms:W3CDTF">2025-05-28T05:53:00Z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0c4f1ef8-ed8f-4adb-8d04-8db5a341a2e4</vt:lpwstr>
  </property>
</Properties>
</file>