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b w:val="1"/>
          <w:sz w:val="28"/>
          <w:szCs w:val="28"/>
        </w:rPr>
      </w:pPr>
      <w:r w:rsidDel="00000000" w:rsidR="00000000" w:rsidRPr="00000000">
        <w:rPr>
          <w:b w:val="1"/>
          <w:sz w:val="28"/>
          <w:szCs w:val="28"/>
          <w:rtl w:val="0"/>
        </w:rPr>
        <w:t xml:space="preserve"> </w:t>
      </w:r>
      <w:r w:rsidDel="00000000" w:rsidR="00000000" w:rsidRPr="00000000">
        <w:rPr>
          <w:b w:val="1"/>
          <w:sz w:val="28"/>
          <w:szCs w:val="28"/>
          <w:rtl w:val="0"/>
        </w:rPr>
        <w:t xml:space="preserve">CEDAW 2025</w:t>
      </w:r>
    </w:p>
    <w:p w:rsidR="00000000" w:rsidDel="00000000" w:rsidP="00000000" w:rsidRDefault="00000000" w:rsidRPr="00000000" w14:paraId="00000002">
      <w:pPr>
        <w:spacing w:after="0" w:line="240" w:lineRule="auto"/>
        <w:jc w:val="center"/>
        <w:rPr>
          <w:b w:val="1"/>
          <w:color w:val="980000"/>
          <w:sz w:val="28"/>
          <w:szCs w:val="28"/>
        </w:rPr>
      </w:pPr>
      <w:r w:rsidDel="00000000" w:rsidR="00000000" w:rsidRPr="00000000">
        <w:rPr>
          <w:rtl w:val="0"/>
        </w:rPr>
      </w:r>
    </w:p>
    <w:p w:rsidR="00000000" w:rsidDel="00000000" w:rsidP="00000000" w:rsidRDefault="00000000" w:rsidRPr="00000000" w14:paraId="00000003">
      <w:pPr>
        <w:spacing w:after="0" w:line="240" w:lineRule="auto"/>
        <w:jc w:val="center"/>
        <w:rPr>
          <w:b w:val="1"/>
          <w:sz w:val="28"/>
          <w:szCs w:val="28"/>
        </w:rPr>
      </w:pPr>
      <w:r w:rsidDel="00000000" w:rsidR="00000000" w:rsidRPr="00000000">
        <w:rPr>
          <w:b w:val="1"/>
          <w:sz w:val="28"/>
          <w:szCs w:val="28"/>
          <w:rtl w:val="0"/>
        </w:rPr>
        <w:t xml:space="preserve">Violence against Female Journalists and Freedom of Expression</w:t>
      </w:r>
      <w:r w:rsidDel="00000000" w:rsidR="00000000" w:rsidRPr="00000000">
        <w:rPr>
          <w:rtl w:val="0"/>
        </w:rPr>
      </w:r>
    </w:p>
    <w:p w:rsidR="00000000" w:rsidDel="00000000" w:rsidP="00000000" w:rsidRDefault="00000000" w:rsidRPr="00000000" w14:paraId="00000004">
      <w:pPr>
        <w:spacing w:after="0" w:line="240" w:lineRule="auto"/>
        <w:rPr>
          <w:color w:val="980000"/>
          <w:sz w:val="24"/>
          <w:szCs w:val="24"/>
        </w:rPr>
      </w:pPr>
      <w:r w:rsidDel="00000000" w:rsidR="00000000" w:rsidRPr="00000000">
        <w:rPr>
          <w:rtl w:val="0"/>
        </w:rPr>
      </w:r>
    </w:p>
    <w:p w:rsidR="00000000" w:rsidDel="00000000" w:rsidP="00000000" w:rsidRDefault="00000000" w:rsidRPr="00000000" w14:paraId="00000005">
      <w:pPr>
        <w:spacing w:after="0" w:line="240" w:lineRule="auto"/>
        <w:jc w:val="both"/>
        <w:rPr>
          <w:color w:val="980000"/>
          <w:sz w:val="24"/>
          <w:szCs w:val="24"/>
        </w:rPr>
      </w:pPr>
      <w:r w:rsidDel="00000000" w:rsidR="00000000" w:rsidRPr="00000000">
        <w:rPr>
          <w:sz w:val="24"/>
          <w:szCs w:val="24"/>
          <w:rtl w:val="0"/>
        </w:rPr>
        <w:t xml:space="preserve">Report</w:t>
      </w:r>
      <w:r w:rsidDel="00000000" w:rsidR="00000000" w:rsidRPr="00000000">
        <w:rPr>
          <w:color w:val="980000"/>
          <w:sz w:val="24"/>
          <w:szCs w:val="24"/>
          <w:rtl w:val="0"/>
        </w:rPr>
        <w:br w:type="textWrapping"/>
      </w:r>
    </w:p>
    <w:p w:rsidR="00000000" w:rsidDel="00000000" w:rsidP="00000000" w:rsidRDefault="00000000" w:rsidRPr="00000000" w14:paraId="00000006">
      <w:pPr>
        <w:numPr>
          <w:ilvl w:val="0"/>
          <w:numId w:val="1"/>
        </w:numPr>
        <w:spacing w:after="0" w:line="240" w:lineRule="auto"/>
        <w:ind w:left="360" w:hanging="360"/>
        <w:jc w:val="both"/>
        <w:rPr/>
      </w:pPr>
      <w:r w:rsidDel="00000000" w:rsidR="00000000" w:rsidRPr="00000000">
        <w:rPr>
          <w:rtl w:val="0"/>
        </w:rPr>
        <w:t xml:space="preserve">According to CIMAC data, between January 1, 2012 and April 15, 2025, 1,896 cases of aggressions, attacks and threats to female journalists have been documented, including 14 femicides.</w:t>
      </w:r>
    </w:p>
    <w:p w:rsidR="00000000" w:rsidDel="00000000" w:rsidP="00000000" w:rsidRDefault="00000000" w:rsidRPr="00000000" w14:paraId="00000007">
      <w:pPr>
        <w:numPr>
          <w:ilvl w:val="0"/>
          <w:numId w:val="1"/>
        </w:numPr>
        <w:spacing w:after="0" w:line="240" w:lineRule="auto"/>
        <w:ind w:left="360" w:hanging="360"/>
        <w:jc w:val="both"/>
        <w:rPr/>
      </w:pPr>
      <w:r w:rsidDel="00000000" w:rsidR="00000000" w:rsidRPr="00000000">
        <w:rPr>
          <w:rtl w:val="0"/>
        </w:rPr>
        <w:t xml:space="preserve">According to CIMAC, the main types of violence against female journalists include psychological, physical, sexual, economic, patrimonial and femicidal violence. There was an increase in institutional and digital violence. Most of the victims did not receive any type of security measures to carry out their labor from the media company for which they work.</w:t>
      </w:r>
    </w:p>
    <w:p w:rsidR="00000000" w:rsidDel="00000000" w:rsidP="00000000" w:rsidRDefault="00000000" w:rsidRPr="00000000" w14:paraId="00000008">
      <w:pPr>
        <w:numPr>
          <w:ilvl w:val="0"/>
          <w:numId w:val="1"/>
        </w:numPr>
        <w:spacing w:after="0" w:line="240" w:lineRule="auto"/>
        <w:ind w:left="360" w:hanging="360"/>
        <w:jc w:val="both"/>
        <w:rPr/>
      </w:pPr>
      <w:r w:rsidDel="00000000" w:rsidR="00000000" w:rsidRPr="00000000">
        <w:rPr>
          <w:rtl w:val="0"/>
        </w:rPr>
        <w:t xml:space="preserve">It has been 13 years since the Ley para la Protección de Personas Defensoras de Derechos Humanos y Periodistas (Law for the Protection of Human Rights Defenders and Journalists) was issued. This regulatory framework establishes the Mecanismo de Protección (Protection Mechanism), which aims to guarantee the life, integrity, freedom and safety of journalists and human rights activists who are at risk for carrying out their work.</w:t>
      </w:r>
    </w:p>
    <w:p w:rsidR="00000000" w:rsidDel="00000000" w:rsidP="00000000" w:rsidRDefault="00000000" w:rsidRPr="00000000" w14:paraId="00000009">
      <w:pPr>
        <w:numPr>
          <w:ilvl w:val="0"/>
          <w:numId w:val="1"/>
        </w:numPr>
        <w:spacing w:after="0" w:line="240" w:lineRule="auto"/>
        <w:ind w:left="360" w:hanging="360"/>
        <w:jc w:val="both"/>
        <w:rPr/>
      </w:pPr>
      <w:r w:rsidDel="00000000" w:rsidR="00000000" w:rsidRPr="00000000">
        <w:rPr>
          <w:rtl w:val="0"/>
        </w:rPr>
        <w:t xml:space="preserve">According to the Informe Estadístico Mensual del Mecanismo de Protección para Personas Defensoras de Derechos Humanos y Periodistas (Monthly Statistical Report of the Protection Mechanism for Human Rights Defenders and Journalists) as of March 31, 2025, 2,011 people are protected, of which 690 are journalists (490 men and 200 women) and 1,321 are human rights defenders (597 men and 724 women).</w:t>
      </w:r>
    </w:p>
    <w:p w:rsidR="00000000" w:rsidDel="00000000" w:rsidP="00000000" w:rsidRDefault="00000000" w:rsidRPr="00000000" w14:paraId="0000000A">
      <w:pPr>
        <w:numPr>
          <w:ilvl w:val="0"/>
          <w:numId w:val="1"/>
        </w:numPr>
        <w:spacing w:after="0" w:line="240" w:lineRule="auto"/>
        <w:ind w:left="360" w:hanging="360"/>
        <w:jc w:val="both"/>
        <w:rPr/>
      </w:pPr>
      <w:r w:rsidDel="00000000" w:rsidR="00000000" w:rsidRPr="00000000">
        <w:rPr>
          <w:rtl w:val="0"/>
        </w:rPr>
        <w:t xml:space="preserve">Between 2012 and 2025, 288 female journalists were incorporated into the Mecanismo de Protección para Personas Defensoras de Derechos Humanos y Periodistas (Protection Mechanism for Women Human Rights Activists and Journalists) of the Secretariat of the Interior. A total of 30.5% of the cases were concluded, leaving 88 cases closed.</w:t>
      </w:r>
    </w:p>
    <w:p w:rsidR="00000000" w:rsidDel="00000000" w:rsidP="00000000" w:rsidRDefault="00000000" w:rsidRPr="00000000" w14:paraId="0000000B">
      <w:pPr>
        <w:numPr>
          <w:ilvl w:val="0"/>
          <w:numId w:val="1"/>
        </w:numPr>
        <w:spacing w:after="0" w:line="240" w:lineRule="auto"/>
        <w:ind w:left="360" w:hanging="360"/>
        <w:jc w:val="both"/>
        <w:rPr>
          <w:rFonts w:ascii="Calibri" w:cs="Calibri" w:eastAsia="Calibri" w:hAnsi="Calibri"/>
        </w:rPr>
      </w:pPr>
      <w:r w:rsidDel="00000000" w:rsidR="00000000" w:rsidRPr="00000000">
        <w:rPr>
          <w:rtl w:val="0"/>
        </w:rPr>
        <w:t xml:space="preserve">In the report "Female Journalists and Freedom of Expression" the CIDH recommends that States "integrate a gender perspective in all initiatives aimed at creating and maintaining a safe and enabling environment for free and independent journalism. In particular, ensure that state policies and programs are aimed at preventing, protecting and seeking justice in cases of crimes against journalists adequately addressing the additional or specific risks faced by female journalists due to their gender".</w:t>
      </w:r>
    </w:p>
    <w:p w:rsidR="00000000" w:rsidDel="00000000" w:rsidP="00000000" w:rsidRDefault="00000000" w:rsidRPr="00000000" w14:paraId="0000000C">
      <w:pPr>
        <w:spacing w:after="0" w:line="240" w:lineRule="auto"/>
        <w:ind w:left="0" w:firstLine="0"/>
        <w:jc w:val="both"/>
        <w:rPr>
          <w:color w:val="980000"/>
        </w:rPr>
      </w:pPr>
      <w:r w:rsidDel="00000000" w:rsidR="00000000" w:rsidRPr="00000000">
        <w:rPr>
          <w:rtl w:val="0"/>
        </w:rPr>
      </w:r>
    </w:p>
    <w:p w:rsidR="00000000" w:rsidDel="00000000" w:rsidP="00000000" w:rsidRDefault="00000000" w:rsidRPr="00000000" w14:paraId="0000000D">
      <w:pPr>
        <w:spacing w:after="0" w:line="240" w:lineRule="auto"/>
        <w:ind w:left="0" w:firstLine="0"/>
        <w:jc w:val="both"/>
        <w:rPr>
          <w:sz w:val="24"/>
          <w:szCs w:val="24"/>
        </w:rPr>
      </w:pPr>
      <w:r w:rsidDel="00000000" w:rsidR="00000000" w:rsidRPr="00000000">
        <w:rPr>
          <w:rtl w:val="0"/>
        </w:rPr>
        <w:t xml:space="preserve">List of issues</w:t>
      </w:r>
      <w:r w:rsidDel="00000000" w:rsidR="00000000" w:rsidRPr="00000000">
        <w:rPr>
          <w:rtl w:val="0"/>
        </w:rPr>
      </w:r>
    </w:p>
    <w:p w:rsidR="00000000" w:rsidDel="00000000" w:rsidP="00000000" w:rsidRDefault="00000000" w:rsidRPr="00000000" w14:paraId="0000000E">
      <w:pPr>
        <w:spacing w:after="0" w:line="240" w:lineRule="auto"/>
        <w:ind w:left="0" w:firstLine="0"/>
        <w:jc w:val="both"/>
        <w:rPr>
          <w:color w:val="980000"/>
        </w:rPr>
      </w:pPr>
      <w:r w:rsidDel="00000000" w:rsidR="00000000" w:rsidRPr="00000000">
        <w:rPr>
          <w:rtl w:val="0"/>
        </w:rPr>
      </w:r>
    </w:p>
    <w:p w:rsidR="00000000" w:rsidDel="00000000" w:rsidP="00000000" w:rsidRDefault="00000000" w:rsidRPr="00000000" w14:paraId="0000000F">
      <w:pPr>
        <w:numPr>
          <w:ilvl w:val="0"/>
          <w:numId w:val="2"/>
        </w:numPr>
        <w:spacing w:after="0" w:line="240" w:lineRule="auto"/>
        <w:ind w:left="360" w:hanging="360"/>
        <w:jc w:val="both"/>
        <w:rPr/>
      </w:pPr>
      <w:r w:rsidDel="00000000" w:rsidR="00000000" w:rsidRPr="00000000">
        <w:rPr>
          <w:rtl w:val="0"/>
        </w:rPr>
        <w:t xml:space="preserve">Based on the recommendations made by the CoCEDAW (CEDAW/C/MEX/Q/9 paragraph 180 and 182) regarding the measures adopted to strengthen the gender perspective in the </w:t>
      </w:r>
      <w:r w:rsidDel="00000000" w:rsidR="00000000" w:rsidRPr="00000000">
        <w:rPr>
          <w:i w:val="1"/>
          <w:rtl w:val="0"/>
        </w:rPr>
        <w:t xml:space="preserve">Mecanismo Federal de Protección a Personas Defensoras de Derechos Humanos y Periodistas</w:t>
      </w:r>
      <w:r w:rsidDel="00000000" w:rsidR="00000000" w:rsidRPr="00000000">
        <w:rPr>
          <w:rtl w:val="0"/>
        </w:rPr>
        <w:t xml:space="preserve"> (Federal Mechanism for the Protection of Human Rights Defenders and Journalists) and the </w:t>
      </w:r>
      <w:r w:rsidDel="00000000" w:rsidR="00000000" w:rsidRPr="00000000">
        <w:rPr>
          <w:i w:val="1"/>
          <w:rtl w:val="0"/>
        </w:rPr>
        <w:t xml:space="preserve">Metodología para la evaluación de riesgos defensoras de los derechos humanos y periodistas</w:t>
      </w:r>
      <w:r w:rsidDel="00000000" w:rsidR="00000000" w:rsidRPr="00000000">
        <w:rPr>
          <w:rtl w:val="0"/>
        </w:rPr>
        <w:t xml:space="preserve"> (Methodology for the evaluation of risks to women human rights activists and journalists): Provide information on the implementation of the measures adopted to strengthen the gender perspective in the Mechanism. Provide detailed information on the follow-up to the recommendations emanating from the </w:t>
      </w:r>
      <w:r w:rsidDel="00000000" w:rsidR="00000000" w:rsidRPr="00000000">
        <w:rPr>
          <w:i w:val="1"/>
          <w:rtl w:val="0"/>
        </w:rPr>
        <w:t xml:space="preserve">Diagnóstico sobre el funcionamiento del Mecanismo</w:t>
      </w:r>
      <w:r w:rsidDel="00000000" w:rsidR="00000000" w:rsidRPr="00000000">
        <w:rPr>
          <w:rtl w:val="0"/>
        </w:rPr>
        <w:t xml:space="preserve"> (Diagnosis on the functioning of the Mechanism) prepared by the OHCHR at the request of the </w:t>
      </w:r>
      <w:r w:rsidDel="00000000" w:rsidR="00000000" w:rsidRPr="00000000">
        <w:rPr>
          <w:i w:val="1"/>
          <w:rtl w:val="0"/>
        </w:rPr>
        <w:t xml:space="preserve">Subsecretaría de Derechos Humanos de la Secretaría de Gobernación</w:t>
      </w:r>
      <w:r w:rsidDel="00000000" w:rsidR="00000000" w:rsidRPr="00000000">
        <w:rPr>
          <w:color w:val="980000"/>
          <w:rtl w:val="0"/>
        </w:rPr>
        <w:t xml:space="preserve"> </w:t>
      </w:r>
      <w:r w:rsidDel="00000000" w:rsidR="00000000" w:rsidRPr="00000000">
        <w:rPr>
          <w:rtl w:val="0"/>
        </w:rPr>
        <w:t xml:space="preserve">(Undersecretary of Human Rights of the Secretariat of the Interior), particularly those related to the incorporation of the gender perspective in the Mechanism (Recommendations 4a, 22, and 28)5 and the strengthening of the National Executive Coordination (Recommendations 10f, 22d, 33 and 35)6. Specify in detail the policies and actions adopted to address complaints and administrative sanctions against officials responsible for violations of the rights of women human rights defenders and journalists. Specify how many of these cases have been investigated and whether they have established protocols for action, how many have been taken to court and whether they have resulted in convictions for violations of the rights of women human rights defenders and journalists.</w:t>
      </w:r>
    </w:p>
    <w:p w:rsidR="00000000" w:rsidDel="00000000" w:rsidP="00000000" w:rsidRDefault="00000000" w:rsidRPr="00000000" w14:paraId="00000010">
      <w:pPr>
        <w:spacing w:after="0" w:line="240" w:lineRule="auto"/>
        <w:jc w:val="both"/>
        <w:rPr>
          <w:color w:val="980000"/>
        </w:rPr>
      </w:pPr>
      <w:bookmarkStart w:colFirst="0" w:colLast="0" w:name="_heading=h.uy53a9ezesol" w:id="0"/>
      <w:bookmarkEnd w:id="0"/>
      <w:r w:rsidDel="00000000" w:rsidR="00000000" w:rsidRPr="00000000">
        <w:rPr>
          <w:rtl w:val="0"/>
        </w:rPr>
      </w:r>
    </w:p>
    <w:p w:rsidR="00000000" w:rsidDel="00000000" w:rsidP="00000000" w:rsidRDefault="00000000" w:rsidRPr="00000000" w14:paraId="00000011">
      <w:pPr>
        <w:spacing w:after="0" w:line="240" w:lineRule="auto"/>
        <w:jc w:val="both"/>
        <w:rPr/>
      </w:pPr>
      <w:bookmarkStart w:colFirst="0" w:colLast="0" w:name="_heading=h.hsszliuwkjy0" w:id="1"/>
      <w:bookmarkEnd w:id="1"/>
      <w:r w:rsidDel="00000000" w:rsidR="00000000" w:rsidRPr="00000000">
        <w:rPr>
          <w:rtl w:val="0"/>
        </w:rPr>
        <w:t xml:space="preserve">Recommendations</w:t>
      </w:r>
    </w:p>
    <w:p w:rsidR="00000000" w:rsidDel="00000000" w:rsidP="00000000" w:rsidRDefault="00000000" w:rsidRPr="00000000" w14:paraId="00000012">
      <w:pPr>
        <w:spacing w:after="0" w:line="240" w:lineRule="auto"/>
        <w:jc w:val="both"/>
        <w:rPr/>
      </w:pPr>
      <w:bookmarkStart w:colFirst="0" w:colLast="0" w:name="_heading=h.lypopdp52sh7" w:id="2"/>
      <w:bookmarkEnd w:id="2"/>
      <w:r w:rsidDel="00000000" w:rsidR="00000000" w:rsidRPr="00000000">
        <w:rPr>
          <w:rtl w:val="0"/>
        </w:rPr>
      </w:r>
    </w:p>
    <w:p w:rsidR="00000000" w:rsidDel="00000000" w:rsidP="00000000" w:rsidRDefault="00000000" w:rsidRPr="00000000" w14:paraId="00000013">
      <w:pPr>
        <w:numPr>
          <w:ilvl w:val="0"/>
          <w:numId w:val="3"/>
        </w:numPr>
        <w:spacing w:after="0" w:line="240" w:lineRule="auto"/>
        <w:ind w:left="720" w:hanging="360"/>
        <w:jc w:val="both"/>
        <w:rPr>
          <w:u w:val="none"/>
        </w:rPr>
      </w:pPr>
      <w:bookmarkStart w:colFirst="0" w:colLast="0" w:name="_heading=h.kjr0zopjw3vd" w:id="3"/>
      <w:bookmarkEnd w:id="3"/>
      <w:r w:rsidDel="00000000" w:rsidR="00000000" w:rsidRPr="00000000">
        <w:rPr>
          <w:rtl w:val="0"/>
        </w:rPr>
        <w:t xml:space="preserve">Articulate the national and international legal framework regarding the rights of female journalists, within a safety logic.</w:t>
      </w:r>
    </w:p>
    <w:p w:rsidR="00000000" w:rsidDel="00000000" w:rsidP="00000000" w:rsidRDefault="00000000" w:rsidRPr="00000000" w14:paraId="00000014">
      <w:pPr>
        <w:numPr>
          <w:ilvl w:val="0"/>
          <w:numId w:val="3"/>
        </w:numPr>
        <w:spacing w:after="0" w:line="240" w:lineRule="auto"/>
        <w:ind w:left="720" w:hanging="360"/>
        <w:jc w:val="both"/>
        <w:rPr>
          <w:u w:val="none"/>
        </w:rPr>
      </w:pPr>
      <w:bookmarkStart w:colFirst="0" w:colLast="0" w:name="_heading=h.mn2mdlpazdqv" w:id="4"/>
      <w:bookmarkEnd w:id="4"/>
      <w:r w:rsidDel="00000000" w:rsidR="00000000" w:rsidRPr="00000000">
        <w:rPr>
          <w:rtl w:val="0"/>
        </w:rPr>
        <w:t xml:space="preserve">Effectively </w:t>
      </w:r>
      <w:r w:rsidDel="00000000" w:rsidR="00000000" w:rsidRPr="00000000">
        <w:rPr>
          <w:rtl w:val="0"/>
        </w:rPr>
        <w:t xml:space="preserve">mainstream</w:t>
      </w:r>
      <w:r w:rsidDel="00000000" w:rsidR="00000000" w:rsidRPr="00000000">
        <w:rPr>
          <w:rtl w:val="0"/>
        </w:rPr>
        <w:t xml:space="preserve"> the </w:t>
      </w:r>
      <w:r w:rsidDel="00000000" w:rsidR="00000000" w:rsidRPr="00000000">
        <w:rPr>
          <w:i w:val="1"/>
          <w:rtl w:val="0"/>
        </w:rPr>
        <w:t xml:space="preserve">Mecanismo de Protección</w:t>
      </w:r>
      <w:r w:rsidDel="00000000" w:rsidR="00000000" w:rsidRPr="00000000">
        <w:rPr>
          <w:rtl w:val="0"/>
        </w:rPr>
        <w:t xml:space="preserve"> (Protection Mechanism) with a gender perspective.</w:t>
      </w:r>
    </w:p>
    <w:p w:rsidR="00000000" w:rsidDel="00000000" w:rsidP="00000000" w:rsidRDefault="00000000" w:rsidRPr="00000000" w14:paraId="00000015">
      <w:pPr>
        <w:numPr>
          <w:ilvl w:val="0"/>
          <w:numId w:val="3"/>
        </w:numPr>
        <w:spacing w:after="0" w:line="240" w:lineRule="auto"/>
        <w:ind w:left="720" w:hanging="360"/>
        <w:jc w:val="both"/>
        <w:rPr>
          <w:u w:val="none"/>
        </w:rPr>
      </w:pPr>
      <w:bookmarkStart w:colFirst="0" w:colLast="0" w:name="_heading=h.uhavi7ptldy" w:id="5"/>
      <w:bookmarkEnd w:id="5"/>
      <w:r w:rsidDel="00000000" w:rsidR="00000000" w:rsidRPr="00000000">
        <w:rPr>
          <w:rtl w:val="0"/>
        </w:rPr>
        <w:t xml:space="preserve">Produce diagnoses on violence against female journalists with a holistic approach.</w:t>
      </w:r>
    </w:p>
    <w:p w:rsidR="00000000" w:rsidDel="00000000" w:rsidP="00000000" w:rsidRDefault="00000000" w:rsidRPr="00000000" w14:paraId="00000016">
      <w:pPr>
        <w:numPr>
          <w:ilvl w:val="0"/>
          <w:numId w:val="3"/>
        </w:numPr>
        <w:spacing w:after="0" w:line="240" w:lineRule="auto"/>
        <w:ind w:left="720" w:hanging="360"/>
        <w:jc w:val="both"/>
        <w:rPr>
          <w:u w:val="none"/>
        </w:rPr>
      </w:pPr>
      <w:bookmarkStart w:colFirst="0" w:colLast="0" w:name="_heading=h.makeot85nv6o" w:id="6"/>
      <w:bookmarkEnd w:id="6"/>
      <w:r w:rsidDel="00000000" w:rsidR="00000000" w:rsidRPr="00000000">
        <w:rPr>
          <w:rtl w:val="0"/>
        </w:rPr>
        <w:t xml:space="preserve">Ensure coordination between the </w:t>
      </w:r>
      <w:r w:rsidDel="00000000" w:rsidR="00000000" w:rsidRPr="00000000">
        <w:rPr>
          <w:i w:val="1"/>
          <w:rtl w:val="0"/>
        </w:rPr>
        <w:t xml:space="preserve">Mecanismo de Protección de Personas Defensoras de Derechos Humanos y Periodistas</w:t>
      </w:r>
      <w:r w:rsidDel="00000000" w:rsidR="00000000" w:rsidRPr="00000000">
        <w:rPr>
          <w:rtl w:val="0"/>
        </w:rPr>
        <w:t xml:space="preserve"> (Protection Mechanism of Human Rights Activists and Journalists) and local protection agencies, for effective protection and prevention policies.</w:t>
      </w:r>
    </w:p>
    <w:p w:rsidR="00000000" w:rsidDel="00000000" w:rsidP="00000000" w:rsidRDefault="00000000" w:rsidRPr="00000000" w14:paraId="00000017">
      <w:pPr>
        <w:rPr/>
      </w:pPr>
      <w:r w:rsidDel="00000000" w:rsidR="00000000" w:rsidRPr="00000000">
        <w:rPr>
          <w:rtl w:val="0"/>
        </w:rPr>
      </w:r>
    </w:p>
    <w:sectPr>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MX"/>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NormalWeb">
    <w:name w:val="Normal (Web)"/>
    <w:basedOn w:val="Normal"/>
    <w:uiPriority w:val="99"/>
    <w:semiHidden w:val="1"/>
    <w:unhideWhenUsed w:val="1"/>
    <w:rsid w:val="005E403E"/>
    <w:pPr>
      <w:spacing w:after="100" w:afterAutospacing="1" w:before="100" w:beforeAutospacing="1" w:line="240" w:lineRule="auto"/>
    </w:pPr>
    <w:rPr>
      <w:rFonts w:ascii="Times New Roman" w:cs="Times New Roman" w:eastAsia="Times New Roman" w:hAnsi="Times New Roman"/>
      <w:sz w:val="24"/>
      <w:szCs w:val="24"/>
      <w:lang w:eastAsia="es-MX"/>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F4+TL3kSu02cVNIMM+W3AwwyTw==">CgMxLjAyDmgudXk1M2E5ZXplc29sMg5oLmhzc3psaXV3a2p5MDIOaC5seXBvcGRwNTJzaDcyDmgua2pyMHpvcGp3M3ZkMg5oLm1uMm1kbHBhemRxdjINaC51aGF2aTdwdGxkeTIOaC5tYWtlb3Q4NW52Nm84AHIhMUFkQ3VhcGJSeXUya05USzNlSjhmaEZKQTc2MVJrZUZC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2025-05-07T18:22:00Z</dcterms:created>
  <dc:creator>Lucia.Lagunes</dc:creator>
</cp:coreProperties>
</file>