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69C5" w:rsidRDefault="001469C5" w:rsidP="001469C5"/>
    <w:p w:rsidR="001469C5" w:rsidRPr="00860B7F" w:rsidRDefault="001469C5" w:rsidP="00860B7F">
      <w:pPr>
        <w:rPr>
          <w:rFonts w:asciiTheme="majorBidi" w:hAnsiTheme="majorBidi" w:cstheme="majorBidi"/>
          <w:b/>
          <w:bCs/>
          <w:sz w:val="28"/>
          <w:szCs w:val="28"/>
        </w:rPr>
      </w:pPr>
      <w:r w:rsidRPr="00860B7F">
        <w:rPr>
          <w:rFonts w:asciiTheme="majorBidi" w:hAnsiTheme="majorBidi" w:cstheme="majorBidi"/>
          <w:b/>
          <w:bCs/>
          <w:sz w:val="28"/>
          <w:szCs w:val="28"/>
        </w:rPr>
        <w:t>Rapport parallèle de la CNDH sur la mise en œuvre des dispositions de la Convention Internationale sur l’Elimination de toutes les Formes de Discrimination Raciale :</w:t>
      </w:r>
    </w:p>
    <w:p w:rsidR="001469C5" w:rsidRPr="00860B7F" w:rsidRDefault="001469C5" w:rsidP="00860B7F">
      <w:pPr>
        <w:pStyle w:val="NormalWeb"/>
        <w:rPr>
          <w:rFonts w:asciiTheme="majorBidi" w:hAnsiTheme="majorBidi" w:cstheme="majorBidi"/>
          <w:b/>
          <w:bCs/>
          <w:sz w:val="28"/>
          <w:szCs w:val="28"/>
        </w:rPr>
      </w:pPr>
      <w:r w:rsidRPr="00860B7F">
        <w:rPr>
          <w:rFonts w:asciiTheme="majorBidi" w:hAnsiTheme="majorBidi" w:cstheme="majorBidi"/>
          <w:b/>
          <w:bCs/>
          <w:sz w:val="28"/>
          <w:szCs w:val="28"/>
        </w:rPr>
        <w:t xml:space="preserve">I. Présentation de la CNDH : </w:t>
      </w:r>
    </w:p>
    <w:p w:rsidR="001469C5" w:rsidRPr="00860B7F" w:rsidRDefault="001469C5" w:rsidP="00860B7F">
      <w:pPr>
        <w:pStyle w:val="NormalWeb"/>
        <w:spacing w:line="360" w:lineRule="auto"/>
        <w:rPr>
          <w:rFonts w:asciiTheme="majorBidi" w:hAnsiTheme="majorBidi" w:cstheme="majorBidi"/>
          <w:sz w:val="28"/>
          <w:szCs w:val="28"/>
        </w:rPr>
      </w:pPr>
      <w:bookmarkStart w:id="0" w:name="_GoBack"/>
      <w:r w:rsidRPr="00860B7F">
        <w:rPr>
          <w:rFonts w:asciiTheme="majorBidi" w:hAnsiTheme="majorBidi" w:cstheme="majorBidi"/>
          <w:sz w:val="28"/>
          <w:szCs w:val="28"/>
        </w:rPr>
        <w:t xml:space="preserve">La Commission Nationale des Droits de l’Homme (CNDH) </w:t>
      </w:r>
      <w:bookmarkEnd w:id="0"/>
      <w:r w:rsidRPr="00860B7F">
        <w:rPr>
          <w:rFonts w:asciiTheme="majorBidi" w:hAnsiTheme="majorBidi" w:cstheme="majorBidi"/>
          <w:sz w:val="28"/>
          <w:szCs w:val="28"/>
        </w:rPr>
        <w:t>de Mauritanie est un Organe Consultatif, constitutionnel, indépendant, pluraliste dans sa composition régie par la loi organique N0 2017-016 du 05 Juillet 2017 fixant sa composition, son organisation et son fonctionnement.</w:t>
      </w:r>
    </w:p>
    <w:p w:rsidR="001469C5" w:rsidRPr="00860B7F" w:rsidRDefault="001469C5" w:rsidP="00860B7F">
      <w:pPr>
        <w:pStyle w:val="NormalWeb"/>
        <w:spacing w:line="360" w:lineRule="auto"/>
        <w:rPr>
          <w:rFonts w:asciiTheme="majorBidi" w:hAnsiTheme="majorBidi" w:cstheme="majorBidi"/>
          <w:sz w:val="28"/>
          <w:szCs w:val="28"/>
        </w:rPr>
      </w:pPr>
      <w:r w:rsidRPr="00860B7F">
        <w:rPr>
          <w:rFonts w:asciiTheme="majorBidi" w:hAnsiTheme="majorBidi" w:cstheme="majorBidi"/>
          <w:sz w:val="28"/>
          <w:szCs w:val="28"/>
        </w:rPr>
        <w:t>Dotée du statut A de conformité avec les Principes de Paris et conformément à son mandat de Promotion et de Protection des droits humains, la CNDH contribue au suivi de la mise en œuvre des recommandations du CERD, des organes de traités et des procédures spéciales.</w:t>
      </w:r>
    </w:p>
    <w:p w:rsidR="001469C5" w:rsidRPr="00860B7F" w:rsidRDefault="001469C5" w:rsidP="00860B7F">
      <w:pPr>
        <w:pStyle w:val="NormalWeb"/>
        <w:spacing w:line="360" w:lineRule="auto"/>
        <w:rPr>
          <w:rFonts w:asciiTheme="majorBidi" w:hAnsiTheme="majorBidi" w:cstheme="majorBidi"/>
          <w:sz w:val="28"/>
          <w:szCs w:val="28"/>
        </w:rPr>
      </w:pPr>
      <w:r w:rsidRPr="00860B7F">
        <w:rPr>
          <w:rFonts w:asciiTheme="majorBidi" w:hAnsiTheme="majorBidi" w:cstheme="majorBidi"/>
          <w:sz w:val="28"/>
          <w:szCs w:val="28"/>
        </w:rPr>
        <w:t>La Commission Nationale des Droits de l’Homme (CNDH) de Mauritanie soumet ce document à titre de contribution au Comité pour l’Elimination de la Discrimination Raciale (CERD). Ce document se conforme aux directives générales concernant la forme et le contenu des rapports parallèles que les INDH doivent présenter à l’occasion de la 95</w:t>
      </w:r>
      <w:r w:rsidRPr="00860B7F">
        <w:rPr>
          <w:rFonts w:asciiTheme="majorBidi" w:hAnsiTheme="majorBidi" w:cstheme="majorBidi"/>
          <w:sz w:val="28"/>
          <w:szCs w:val="28"/>
          <w:vertAlign w:val="superscript"/>
        </w:rPr>
        <w:t>ème</w:t>
      </w:r>
      <w:r w:rsidRPr="00860B7F">
        <w:rPr>
          <w:rFonts w:asciiTheme="majorBidi" w:hAnsiTheme="majorBidi" w:cstheme="majorBidi"/>
          <w:sz w:val="28"/>
          <w:szCs w:val="28"/>
        </w:rPr>
        <w:t xml:space="preserve"> Session du CERD.</w:t>
      </w:r>
    </w:p>
    <w:p w:rsidR="001469C5" w:rsidRPr="00860B7F" w:rsidRDefault="001469C5" w:rsidP="00860B7F">
      <w:pPr>
        <w:spacing w:line="360" w:lineRule="auto"/>
        <w:rPr>
          <w:rFonts w:asciiTheme="majorBidi" w:hAnsiTheme="majorBidi" w:cstheme="majorBidi"/>
          <w:b/>
          <w:bCs/>
          <w:sz w:val="28"/>
          <w:szCs w:val="28"/>
        </w:rPr>
      </w:pPr>
      <w:r w:rsidRPr="00860B7F">
        <w:rPr>
          <w:rFonts w:asciiTheme="majorBidi" w:hAnsiTheme="majorBidi" w:cstheme="majorBidi"/>
          <w:b/>
          <w:bCs/>
          <w:sz w:val="28"/>
          <w:szCs w:val="28"/>
        </w:rPr>
        <w:t>II. Contribution de la CNDH à l’élaboration du rapport de l’Etat-partie :</w:t>
      </w:r>
    </w:p>
    <w:p w:rsidR="001469C5" w:rsidRPr="00860B7F" w:rsidRDefault="001469C5" w:rsidP="00860B7F">
      <w:pPr>
        <w:spacing w:line="360" w:lineRule="auto"/>
        <w:rPr>
          <w:rFonts w:asciiTheme="majorBidi" w:hAnsiTheme="majorBidi" w:cstheme="majorBidi"/>
          <w:sz w:val="28"/>
          <w:szCs w:val="28"/>
        </w:rPr>
      </w:pPr>
      <w:r w:rsidRPr="00860B7F">
        <w:rPr>
          <w:rFonts w:asciiTheme="majorBidi" w:hAnsiTheme="majorBidi" w:cstheme="majorBidi"/>
          <w:sz w:val="28"/>
          <w:szCs w:val="28"/>
        </w:rPr>
        <w:t xml:space="preserve">La CNDH a contribué à l’élaboration et à la validation du rapport de l’Etat-partie. </w:t>
      </w:r>
    </w:p>
    <w:p w:rsidR="001469C5" w:rsidRPr="00860B7F" w:rsidRDefault="001469C5" w:rsidP="00860B7F">
      <w:pPr>
        <w:spacing w:line="360" w:lineRule="auto"/>
        <w:rPr>
          <w:rFonts w:asciiTheme="majorBidi" w:hAnsiTheme="majorBidi" w:cstheme="majorBidi"/>
          <w:sz w:val="28"/>
          <w:szCs w:val="28"/>
        </w:rPr>
      </w:pPr>
      <w:r w:rsidRPr="00860B7F">
        <w:rPr>
          <w:rFonts w:asciiTheme="majorBidi" w:hAnsiTheme="majorBidi" w:cstheme="majorBidi"/>
          <w:sz w:val="28"/>
          <w:szCs w:val="28"/>
        </w:rPr>
        <w:t>Elle a participé à l’élaboration du diagnostic relatif à la mise en œuvre de la CERD en listant les mesures juridiques, administratives, sociales et politiques que les pouvoirs publics ont initiées.</w:t>
      </w:r>
    </w:p>
    <w:p w:rsidR="001469C5" w:rsidRPr="00860B7F" w:rsidRDefault="001469C5" w:rsidP="00860B7F">
      <w:pPr>
        <w:spacing w:line="360" w:lineRule="auto"/>
        <w:rPr>
          <w:rFonts w:asciiTheme="majorBidi" w:hAnsiTheme="majorBidi" w:cstheme="majorBidi"/>
          <w:sz w:val="28"/>
          <w:szCs w:val="28"/>
        </w:rPr>
      </w:pPr>
      <w:r w:rsidRPr="00860B7F">
        <w:rPr>
          <w:rFonts w:asciiTheme="majorBidi" w:hAnsiTheme="majorBidi" w:cstheme="majorBidi"/>
          <w:sz w:val="28"/>
          <w:szCs w:val="28"/>
        </w:rPr>
        <w:t>Elle a également tenu à rappeler aux pouvoirs publics les engagements de la Mauritanie dans ce domaine et la nécessité de les respecter.</w:t>
      </w:r>
    </w:p>
    <w:p w:rsidR="001469C5" w:rsidRPr="00860B7F" w:rsidRDefault="001469C5" w:rsidP="00860B7F">
      <w:pPr>
        <w:spacing w:line="360" w:lineRule="auto"/>
        <w:rPr>
          <w:rFonts w:asciiTheme="majorBidi" w:hAnsiTheme="majorBidi" w:cstheme="majorBidi"/>
          <w:b/>
          <w:bCs/>
          <w:sz w:val="28"/>
          <w:szCs w:val="28"/>
        </w:rPr>
      </w:pPr>
      <w:r w:rsidRPr="00860B7F">
        <w:rPr>
          <w:rFonts w:asciiTheme="majorBidi" w:hAnsiTheme="majorBidi" w:cstheme="majorBidi"/>
          <w:sz w:val="28"/>
          <w:szCs w:val="28"/>
        </w:rPr>
        <w:lastRenderedPageBreak/>
        <w:t xml:space="preserve">Enfin, elle a tenu à mesurer le chemin parcouru depuis l’adhésion de la Mauritanie à la CERD tout en balisant les efforts qui restent à fournir pour satisfaire les recommandations du CERD. </w:t>
      </w:r>
    </w:p>
    <w:p w:rsidR="001469C5" w:rsidRPr="00860B7F" w:rsidRDefault="001469C5" w:rsidP="00860B7F">
      <w:pPr>
        <w:spacing w:line="360" w:lineRule="auto"/>
        <w:rPr>
          <w:rFonts w:asciiTheme="majorBidi" w:hAnsiTheme="majorBidi" w:cstheme="majorBidi"/>
          <w:b/>
          <w:bCs/>
          <w:sz w:val="28"/>
          <w:szCs w:val="28"/>
        </w:rPr>
      </w:pPr>
      <w:r w:rsidRPr="00860B7F">
        <w:rPr>
          <w:rFonts w:asciiTheme="majorBidi" w:hAnsiTheme="majorBidi" w:cstheme="majorBidi"/>
          <w:b/>
          <w:bCs/>
          <w:sz w:val="28"/>
          <w:szCs w:val="28"/>
        </w:rPr>
        <w:t>III. Implication de la CNDH en tant que partie prenante pour le suivi – évaluation des recommandations du CERD :</w:t>
      </w:r>
    </w:p>
    <w:p w:rsidR="001469C5" w:rsidRPr="00860B7F" w:rsidRDefault="001469C5" w:rsidP="00860B7F">
      <w:pPr>
        <w:spacing w:line="360" w:lineRule="auto"/>
        <w:rPr>
          <w:rStyle w:val="hps"/>
          <w:rFonts w:asciiTheme="majorBidi" w:hAnsiTheme="majorBidi" w:cstheme="majorBidi"/>
          <w:sz w:val="28"/>
          <w:szCs w:val="28"/>
        </w:rPr>
      </w:pPr>
      <w:r w:rsidRPr="00860B7F">
        <w:rPr>
          <w:rFonts w:asciiTheme="majorBidi" w:hAnsiTheme="majorBidi" w:cstheme="majorBidi"/>
          <w:sz w:val="28"/>
          <w:szCs w:val="28"/>
        </w:rPr>
        <w:t xml:space="preserve">En tant que partie prenante pour le suivi – évaluation des recommandations des organes de traités et des procédures spéciales, la CNDH accorde un </w:t>
      </w:r>
      <w:r w:rsidRPr="00860B7F">
        <w:rPr>
          <w:rFonts w:asciiTheme="majorBidi" w:hAnsiTheme="majorBidi" w:cstheme="majorBidi"/>
          <w:color w:val="000000"/>
          <w:sz w:val="28"/>
          <w:szCs w:val="28"/>
        </w:rPr>
        <w:t xml:space="preserve"> intérêt certain au respect de  différentes catégories des Droits Humains.</w:t>
      </w:r>
    </w:p>
    <w:p w:rsidR="001469C5" w:rsidRPr="00860B7F" w:rsidRDefault="001469C5" w:rsidP="00860B7F">
      <w:pPr>
        <w:spacing w:line="360" w:lineRule="auto"/>
        <w:rPr>
          <w:rFonts w:asciiTheme="majorBidi" w:hAnsiTheme="majorBidi" w:cstheme="majorBidi"/>
          <w:sz w:val="28"/>
          <w:szCs w:val="28"/>
        </w:rPr>
      </w:pPr>
      <w:r w:rsidRPr="00860B7F">
        <w:rPr>
          <w:rFonts w:asciiTheme="majorBidi" w:hAnsiTheme="majorBidi" w:cstheme="majorBidi"/>
          <w:sz w:val="28"/>
          <w:szCs w:val="28"/>
        </w:rPr>
        <w:t>La CNDH comprend un groupe de travail chargé du suivi de la mise en œuvre des recommandations des organes de traités en général et celles du CERD en particulier.</w:t>
      </w:r>
    </w:p>
    <w:p w:rsidR="001469C5" w:rsidRPr="00860B7F" w:rsidRDefault="001469C5" w:rsidP="00860B7F">
      <w:pPr>
        <w:spacing w:line="360" w:lineRule="auto"/>
        <w:rPr>
          <w:rFonts w:asciiTheme="majorBidi" w:hAnsiTheme="majorBidi" w:cstheme="majorBidi"/>
          <w:sz w:val="28"/>
          <w:szCs w:val="28"/>
        </w:rPr>
      </w:pPr>
      <w:r w:rsidRPr="00860B7F">
        <w:rPr>
          <w:rFonts w:asciiTheme="majorBidi" w:hAnsiTheme="majorBidi" w:cstheme="majorBidi"/>
          <w:sz w:val="28"/>
          <w:szCs w:val="28"/>
        </w:rPr>
        <w:t xml:space="preserve"> Dans le cadre de la mise en œuvre de la CERD, la CNDH a réalisé plusieurs activités dont :</w:t>
      </w:r>
    </w:p>
    <w:p w:rsidR="001469C5" w:rsidRPr="00860B7F" w:rsidRDefault="001469C5" w:rsidP="00860B7F">
      <w:pPr>
        <w:spacing w:after="0" w:line="360" w:lineRule="auto"/>
        <w:textAlignment w:val="top"/>
        <w:rPr>
          <w:rFonts w:asciiTheme="majorBidi" w:hAnsiTheme="majorBidi" w:cstheme="majorBidi"/>
          <w:color w:val="000000"/>
          <w:sz w:val="28"/>
          <w:szCs w:val="28"/>
        </w:rPr>
      </w:pPr>
      <w:r w:rsidRPr="00860B7F">
        <w:rPr>
          <w:rFonts w:asciiTheme="majorBidi" w:hAnsiTheme="majorBidi" w:cstheme="majorBidi"/>
          <w:color w:val="000000"/>
          <w:sz w:val="28"/>
          <w:szCs w:val="28"/>
        </w:rPr>
        <w:t>-Les Activités de sensibilisation et d’Education aux Droits de l’Homme au profit des populations et des membres de la Société Civile sur la vulgarisation des recommandations de la CERD de 2014 à 2018 dans les wilayas de Nouakchott, de l’Assaba, du Brakna, du Gorgol, de Dakhlet-Nouadhibou ;</w:t>
      </w:r>
    </w:p>
    <w:p w:rsidR="001469C5" w:rsidRPr="00860B7F" w:rsidRDefault="001469C5" w:rsidP="00860B7F">
      <w:pPr>
        <w:spacing w:after="0" w:line="360" w:lineRule="auto"/>
        <w:textAlignment w:val="top"/>
        <w:rPr>
          <w:rFonts w:asciiTheme="majorBidi" w:hAnsiTheme="majorBidi" w:cstheme="majorBidi"/>
          <w:color w:val="000000"/>
          <w:sz w:val="28"/>
          <w:szCs w:val="28"/>
        </w:rPr>
      </w:pPr>
      <w:r w:rsidRPr="00860B7F">
        <w:rPr>
          <w:rFonts w:asciiTheme="majorBidi" w:hAnsiTheme="majorBidi" w:cstheme="majorBidi"/>
          <w:color w:val="000000"/>
          <w:sz w:val="28"/>
          <w:szCs w:val="28"/>
        </w:rPr>
        <w:t>-L’Organisation des journées de sensibilisation sur la Convention Internationale sur l’Elimination de toutes les Formes de Discrimination Raciale à l’intention des acteurs de la chaine pénale dans les différentes wilayas en 2016 (les trois wilayas de Nouakchott, Assaba, Tagant et les deux hodhs) ;</w:t>
      </w:r>
    </w:p>
    <w:p w:rsidR="001469C5" w:rsidRPr="00860B7F" w:rsidRDefault="001469C5" w:rsidP="00860B7F">
      <w:pPr>
        <w:spacing w:after="0" w:line="360" w:lineRule="auto"/>
        <w:textAlignment w:val="top"/>
        <w:rPr>
          <w:rFonts w:asciiTheme="majorBidi" w:hAnsiTheme="majorBidi" w:cstheme="majorBidi"/>
          <w:color w:val="000000"/>
          <w:sz w:val="28"/>
          <w:szCs w:val="28"/>
        </w:rPr>
      </w:pPr>
    </w:p>
    <w:p w:rsidR="001469C5" w:rsidRPr="00860B7F" w:rsidRDefault="001469C5" w:rsidP="00860B7F">
      <w:pPr>
        <w:spacing w:after="0" w:line="360" w:lineRule="auto"/>
        <w:textAlignment w:val="top"/>
        <w:rPr>
          <w:rFonts w:asciiTheme="majorBidi" w:hAnsiTheme="majorBidi" w:cstheme="majorBidi"/>
          <w:color w:val="000000"/>
          <w:sz w:val="28"/>
          <w:szCs w:val="28"/>
        </w:rPr>
      </w:pPr>
      <w:r w:rsidRPr="00860B7F">
        <w:rPr>
          <w:rFonts w:asciiTheme="majorBidi" w:hAnsiTheme="majorBidi" w:cstheme="majorBidi"/>
          <w:color w:val="000000"/>
          <w:sz w:val="28"/>
          <w:szCs w:val="28"/>
        </w:rPr>
        <w:t>-L’Organisation des sessions de formation sur les principales conventions ratifiées et publiées au Journal Officiel, dont notamment la Convention Internationale sur l’Elimination de toutes les Formes de Discrimination Raciale à l’intention des Autorités Administratives, judiciaires et sécuritaires dans les différentes Wilayas en 2017 (Trarza, Guidimakha, Gorgol, Brakna) ;</w:t>
      </w:r>
    </w:p>
    <w:p w:rsidR="001469C5" w:rsidRPr="00860B7F" w:rsidRDefault="001469C5" w:rsidP="00860B7F">
      <w:pPr>
        <w:spacing w:after="0" w:line="360" w:lineRule="auto"/>
        <w:textAlignment w:val="top"/>
        <w:rPr>
          <w:rFonts w:asciiTheme="majorBidi" w:hAnsiTheme="majorBidi" w:cstheme="majorBidi"/>
          <w:sz w:val="28"/>
          <w:szCs w:val="28"/>
        </w:rPr>
      </w:pPr>
      <w:r w:rsidRPr="00860B7F">
        <w:rPr>
          <w:rFonts w:asciiTheme="majorBidi" w:hAnsiTheme="majorBidi" w:cstheme="majorBidi"/>
          <w:color w:val="000000"/>
          <w:sz w:val="28"/>
          <w:szCs w:val="28"/>
        </w:rPr>
        <w:lastRenderedPageBreak/>
        <w:t xml:space="preserve"> </w:t>
      </w:r>
      <w:r w:rsidRPr="00860B7F">
        <w:rPr>
          <w:rFonts w:asciiTheme="majorBidi" w:hAnsiTheme="majorBidi" w:cstheme="majorBidi"/>
          <w:sz w:val="28"/>
          <w:szCs w:val="28"/>
        </w:rPr>
        <w:t>-La Sensibilisation des juges et auxiliaires de justice sur l’application des Conventions ratifiées et publiées au Journal Officiel et spécifiquement la CERD en 2017, les wilayas concernées sont : les deux hodhs, l’Assaba, le Tagant ;</w:t>
      </w:r>
    </w:p>
    <w:p w:rsidR="001469C5" w:rsidRPr="00860B7F" w:rsidRDefault="001469C5" w:rsidP="00860B7F">
      <w:pPr>
        <w:spacing w:after="0" w:line="360" w:lineRule="auto"/>
        <w:textAlignment w:val="top"/>
        <w:rPr>
          <w:rFonts w:asciiTheme="majorBidi" w:hAnsiTheme="majorBidi" w:cstheme="majorBidi"/>
          <w:color w:val="000000"/>
          <w:sz w:val="28"/>
          <w:szCs w:val="28"/>
        </w:rPr>
      </w:pPr>
      <w:r w:rsidRPr="00860B7F">
        <w:rPr>
          <w:rFonts w:asciiTheme="majorBidi" w:hAnsiTheme="majorBidi" w:cstheme="majorBidi"/>
          <w:color w:val="000000"/>
          <w:sz w:val="28"/>
          <w:szCs w:val="28"/>
        </w:rPr>
        <w:t>-L’Organisation des Journées Espace de Dialogue sur les formes contemporaines de l’Esclavage à l’intention des ONGs et des populations en 2017 dans les différentes wilayas ( </w:t>
      </w:r>
      <w:r w:rsidRPr="00860B7F">
        <w:rPr>
          <w:rFonts w:asciiTheme="majorBidi" w:hAnsiTheme="majorBidi" w:cstheme="majorBidi"/>
          <w:sz w:val="28"/>
          <w:szCs w:val="28"/>
        </w:rPr>
        <w:t>deux hodhs, l’Assaba, le Tagant, Dakhlet Nouadhibou, Trarza) ;</w:t>
      </w:r>
    </w:p>
    <w:p w:rsidR="001469C5" w:rsidRPr="00860B7F" w:rsidRDefault="001469C5" w:rsidP="00860B7F">
      <w:pPr>
        <w:spacing w:line="360" w:lineRule="auto"/>
        <w:rPr>
          <w:rFonts w:asciiTheme="majorBidi" w:hAnsiTheme="majorBidi" w:cstheme="majorBidi"/>
          <w:b/>
          <w:bCs/>
          <w:sz w:val="28"/>
          <w:szCs w:val="28"/>
        </w:rPr>
      </w:pPr>
      <w:r w:rsidRPr="00860B7F">
        <w:rPr>
          <w:rFonts w:asciiTheme="majorBidi" w:hAnsiTheme="majorBidi" w:cstheme="majorBidi"/>
          <w:b/>
          <w:bCs/>
          <w:sz w:val="28"/>
          <w:szCs w:val="28"/>
        </w:rPr>
        <w:t>IV. Défis et contraintes:</w:t>
      </w:r>
    </w:p>
    <w:p w:rsidR="001469C5" w:rsidRPr="00860B7F" w:rsidRDefault="001469C5" w:rsidP="00860B7F">
      <w:pPr>
        <w:spacing w:line="360" w:lineRule="auto"/>
        <w:rPr>
          <w:rFonts w:asciiTheme="majorBidi" w:hAnsiTheme="majorBidi" w:cstheme="majorBidi"/>
          <w:sz w:val="28"/>
          <w:szCs w:val="28"/>
        </w:rPr>
      </w:pPr>
      <w:r w:rsidRPr="00860B7F">
        <w:rPr>
          <w:rFonts w:asciiTheme="majorBidi" w:hAnsiTheme="majorBidi" w:cstheme="majorBidi"/>
          <w:sz w:val="28"/>
          <w:szCs w:val="28"/>
        </w:rPr>
        <w:t>-La réserve sur l’article 14 de la CERD qui limite la portée de la convention et son effectivité ;</w:t>
      </w:r>
    </w:p>
    <w:p w:rsidR="001469C5" w:rsidRPr="00860B7F" w:rsidRDefault="001469C5" w:rsidP="00860B7F">
      <w:pPr>
        <w:spacing w:line="360" w:lineRule="auto"/>
        <w:rPr>
          <w:rFonts w:asciiTheme="majorBidi" w:hAnsiTheme="majorBidi" w:cstheme="majorBidi"/>
          <w:sz w:val="28"/>
          <w:szCs w:val="28"/>
        </w:rPr>
      </w:pPr>
      <w:r w:rsidRPr="00860B7F">
        <w:rPr>
          <w:rFonts w:asciiTheme="majorBidi" w:hAnsiTheme="majorBidi" w:cstheme="majorBidi"/>
          <w:sz w:val="28"/>
          <w:szCs w:val="28"/>
        </w:rPr>
        <w:t>- L’absence de jurisprudence en ce qui concerne l’application de la CERD par les Tribunaux mauritaniens.</w:t>
      </w:r>
    </w:p>
    <w:p w:rsidR="001469C5" w:rsidRPr="00860B7F" w:rsidRDefault="001469C5" w:rsidP="00860B7F">
      <w:pPr>
        <w:pStyle w:val="NormalWeb"/>
        <w:spacing w:line="360" w:lineRule="auto"/>
        <w:rPr>
          <w:rFonts w:asciiTheme="majorBidi" w:hAnsiTheme="majorBidi" w:cstheme="majorBidi"/>
          <w:b/>
          <w:bCs/>
          <w:sz w:val="28"/>
          <w:szCs w:val="28"/>
        </w:rPr>
      </w:pPr>
      <w:r w:rsidRPr="00860B7F">
        <w:rPr>
          <w:rFonts w:asciiTheme="majorBidi" w:hAnsiTheme="majorBidi" w:cstheme="majorBidi"/>
          <w:sz w:val="28"/>
          <w:szCs w:val="28"/>
        </w:rPr>
        <w:t>- L’absence d’un plan national  d’actions  concerté contre la Discrimination Raciale, la xénophobie et l’intolérance qui y est associée en Mauritanie.</w:t>
      </w:r>
    </w:p>
    <w:p w:rsidR="001469C5" w:rsidRPr="00860B7F" w:rsidRDefault="001469C5" w:rsidP="00860B7F">
      <w:pPr>
        <w:pStyle w:val="NormalWeb"/>
        <w:spacing w:line="360" w:lineRule="auto"/>
        <w:rPr>
          <w:rFonts w:asciiTheme="majorBidi" w:hAnsiTheme="majorBidi" w:cstheme="majorBidi"/>
          <w:b/>
          <w:bCs/>
          <w:sz w:val="28"/>
          <w:szCs w:val="28"/>
        </w:rPr>
      </w:pPr>
      <w:r w:rsidRPr="00860B7F">
        <w:rPr>
          <w:rFonts w:asciiTheme="majorBidi" w:hAnsiTheme="majorBidi" w:cstheme="majorBidi"/>
          <w:b/>
          <w:bCs/>
          <w:sz w:val="28"/>
          <w:szCs w:val="28"/>
        </w:rPr>
        <w:t>V. Recommandations de la CNDH:</w:t>
      </w:r>
    </w:p>
    <w:p w:rsidR="001469C5" w:rsidRPr="00860B7F" w:rsidRDefault="001469C5" w:rsidP="00860B7F">
      <w:pPr>
        <w:pStyle w:val="NormalWeb"/>
        <w:spacing w:line="360" w:lineRule="auto"/>
        <w:rPr>
          <w:rFonts w:asciiTheme="majorBidi" w:hAnsiTheme="majorBidi" w:cstheme="majorBidi"/>
          <w:sz w:val="28"/>
          <w:szCs w:val="28"/>
        </w:rPr>
      </w:pPr>
      <w:r w:rsidRPr="00860B7F">
        <w:rPr>
          <w:rFonts w:asciiTheme="majorBidi" w:hAnsiTheme="majorBidi" w:cstheme="majorBidi"/>
          <w:sz w:val="28"/>
          <w:szCs w:val="28"/>
        </w:rPr>
        <w:t>Pour une mise en œuvre plus efficiente de la CERD, la CNDH recommande les mesures suivantes :</w:t>
      </w:r>
    </w:p>
    <w:p w:rsidR="001469C5" w:rsidRPr="00860B7F" w:rsidRDefault="001469C5" w:rsidP="00860B7F">
      <w:pPr>
        <w:numPr>
          <w:ilvl w:val="0"/>
          <w:numId w:val="2"/>
        </w:numPr>
        <w:rPr>
          <w:rFonts w:asciiTheme="majorBidi" w:hAnsiTheme="majorBidi" w:cstheme="majorBidi"/>
          <w:sz w:val="28"/>
          <w:szCs w:val="28"/>
        </w:rPr>
      </w:pPr>
      <w:r w:rsidRPr="00860B7F">
        <w:rPr>
          <w:rFonts w:asciiTheme="majorBidi" w:hAnsiTheme="majorBidi" w:cstheme="majorBidi"/>
          <w:sz w:val="28"/>
          <w:szCs w:val="28"/>
        </w:rPr>
        <w:t>la réforme du code pénal pour son harmonisation avec les dispositions de la Convention CERD;</w:t>
      </w:r>
    </w:p>
    <w:p w:rsidR="001469C5" w:rsidRPr="00860B7F" w:rsidRDefault="001469C5" w:rsidP="00860B7F">
      <w:pPr>
        <w:numPr>
          <w:ilvl w:val="0"/>
          <w:numId w:val="2"/>
        </w:numPr>
        <w:rPr>
          <w:rFonts w:asciiTheme="majorBidi" w:hAnsiTheme="majorBidi" w:cstheme="majorBidi"/>
          <w:sz w:val="28"/>
          <w:szCs w:val="28"/>
        </w:rPr>
      </w:pPr>
      <w:r w:rsidRPr="00860B7F">
        <w:rPr>
          <w:rFonts w:asciiTheme="majorBidi" w:hAnsiTheme="majorBidi" w:cstheme="majorBidi"/>
          <w:sz w:val="28"/>
          <w:szCs w:val="28"/>
        </w:rPr>
        <w:t>la promulgation de la loi réprimant la discrimination</w:t>
      </w:r>
    </w:p>
    <w:p w:rsidR="001469C5" w:rsidRPr="00860B7F" w:rsidRDefault="001469C5" w:rsidP="00860B7F">
      <w:pPr>
        <w:numPr>
          <w:ilvl w:val="0"/>
          <w:numId w:val="2"/>
        </w:numPr>
        <w:rPr>
          <w:rFonts w:asciiTheme="majorBidi" w:hAnsiTheme="majorBidi" w:cstheme="majorBidi"/>
          <w:sz w:val="28"/>
          <w:szCs w:val="28"/>
        </w:rPr>
      </w:pPr>
      <w:r w:rsidRPr="00860B7F">
        <w:rPr>
          <w:rFonts w:asciiTheme="majorBidi" w:hAnsiTheme="majorBidi" w:cstheme="majorBidi"/>
          <w:sz w:val="28"/>
          <w:szCs w:val="28"/>
        </w:rPr>
        <w:t>La réforme de l’Administration judiciaire et pénitentiaire et l’instauration d’une justice de proximité</w:t>
      </w:r>
    </w:p>
    <w:p w:rsidR="001469C5" w:rsidRDefault="001469C5" w:rsidP="00860B7F">
      <w:pPr>
        <w:ind w:left="720"/>
        <w:rPr>
          <w:rFonts w:asciiTheme="majorBidi" w:hAnsiTheme="majorBidi" w:cstheme="majorBidi"/>
          <w:sz w:val="28"/>
          <w:szCs w:val="28"/>
        </w:rPr>
      </w:pPr>
    </w:p>
    <w:p w:rsidR="00974A6E" w:rsidRPr="00860B7F" w:rsidRDefault="00974A6E" w:rsidP="00860B7F">
      <w:pPr>
        <w:ind w:left="720"/>
        <w:rPr>
          <w:rFonts w:asciiTheme="majorBidi" w:hAnsiTheme="majorBidi" w:cstheme="majorBidi"/>
          <w:sz w:val="28"/>
          <w:szCs w:val="28"/>
        </w:rPr>
      </w:pPr>
    </w:p>
    <w:p w:rsidR="001469C5" w:rsidRPr="00860B7F" w:rsidRDefault="001469C5" w:rsidP="00860B7F">
      <w:pPr>
        <w:ind w:left="720"/>
        <w:rPr>
          <w:rFonts w:asciiTheme="majorBidi" w:hAnsiTheme="majorBidi" w:cstheme="majorBidi"/>
          <w:sz w:val="28"/>
          <w:szCs w:val="28"/>
        </w:rPr>
      </w:pPr>
    </w:p>
    <w:p w:rsidR="001469C5" w:rsidRPr="00860B7F" w:rsidRDefault="001469C5" w:rsidP="00860B7F">
      <w:pPr>
        <w:numPr>
          <w:ilvl w:val="0"/>
          <w:numId w:val="1"/>
        </w:numPr>
        <w:rPr>
          <w:rFonts w:asciiTheme="majorBidi" w:hAnsiTheme="majorBidi" w:cstheme="majorBidi"/>
          <w:sz w:val="28"/>
          <w:szCs w:val="28"/>
        </w:rPr>
      </w:pPr>
      <w:r w:rsidRPr="00860B7F">
        <w:rPr>
          <w:rFonts w:asciiTheme="majorBidi" w:hAnsiTheme="majorBidi" w:cstheme="majorBidi"/>
          <w:sz w:val="28"/>
          <w:szCs w:val="28"/>
        </w:rPr>
        <w:lastRenderedPageBreak/>
        <w:t xml:space="preserve"> la promotion linguistique </w:t>
      </w:r>
    </w:p>
    <w:p w:rsidR="001469C5" w:rsidRPr="00860B7F" w:rsidRDefault="001469C5" w:rsidP="00860B7F">
      <w:pPr>
        <w:numPr>
          <w:ilvl w:val="0"/>
          <w:numId w:val="1"/>
        </w:numPr>
        <w:rPr>
          <w:rFonts w:asciiTheme="majorBidi" w:hAnsiTheme="majorBidi" w:cstheme="majorBidi"/>
          <w:sz w:val="28"/>
          <w:szCs w:val="28"/>
        </w:rPr>
      </w:pPr>
      <w:r w:rsidRPr="00860B7F">
        <w:rPr>
          <w:rFonts w:asciiTheme="majorBidi" w:hAnsiTheme="majorBidi" w:cstheme="majorBidi"/>
          <w:sz w:val="28"/>
          <w:szCs w:val="28"/>
        </w:rPr>
        <w:t>la diversité culturelle par la mise en œuvre d’une stratégie culturelle et sportive appropriée ;</w:t>
      </w:r>
    </w:p>
    <w:p w:rsidR="001469C5" w:rsidRPr="00860B7F" w:rsidRDefault="001469C5" w:rsidP="00860B7F">
      <w:pPr>
        <w:numPr>
          <w:ilvl w:val="0"/>
          <w:numId w:val="1"/>
        </w:numPr>
        <w:rPr>
          <w:rFonts w:asciiTheme="majorBidi" w:hAnsiTheme="majorBidi" w:cstheme="majorBidi"/>
          <w:sz w:val="28"/>
          <w:szCs w:val="28"/>
        </w:rPr>
      </w:pPr>
      <w:r w:rsidRPr="00860B7F">
        <w:rPr>
          <w:rFonts w:asciiTheme="majorBidi" w:hAnsiTheme="majorBidi" w:cstheme="majorBidi"/>
          <w:sz w:val="28"/>
          <w:szCs w:val="28"/>
        </w:rPr>
        <w:t xml:space="preserve"> Une meilleure implication et renforcement des associations de la Société Civile, les jeunes, les femmes, les handicapés, les personnes déplacées, les ONG évoluant dans la sphère des DH pour la mise en œuvre de la Convention CERD  </w:t>
      </w:r>
    </w:p>
    <w:p w:rsidR="001469C5" w:rsidRPr="00860B7F" w:rsidRDefault="001469C5" w:rsidP="00860B7F">
      <w:pPr>
        <w:numPr>
          <w:ilvl w:val="0"/>
          <w:numId w:val="3"/>
        </w:numPr>
        <w:rPr>
          <w:rFonts w:asciiTheme="majorBidi" w:hAnsiTheme="majorBidi" w:cstheme="majorBidi"/>
          <w:sz w:val="28"/>
          <w:szCs w:val="28"/>
        </w:rPr>
      </w:pPr>
      <w:r w:rsidRPr="00860B7F">
        <w:rPr>
          <w:rFonts w:asciiTheme="majorBidi" w:hAnsiTheme="majorBidi" w:cstheme="majorBidi"/>
          <w:sz w:val="28"/>
          <w:szCs w:val="28"/>
        </w:rPr>
        <w:t>La mobilisation des partenaires au développement et toutes institutions spécialisées dans la lutte contre la discrimination raciale.</w:t>
      </w:r>
    </w:p>
    <w:p w:rsidR="001469C5" w:rsidRPr="00860B7F" w:rsidRDefault="001469C5" w:rsidP="00860B7F">
      <w:pPr>
        <w:numPr>
          <w:ilvl w:val="0"/>
          <w:numId w:val="3"/>
        </w:numPr>
        <w:rPr>
          <w:rFonts w:asciiTheme="majorBidi" w:hAnsiTheme="majorBidi" w:cstheme="majorBidi"/>
          <w:sz w:val="28"/>
          <w:szCs w:val="28"/>
        </w:rPr>
      </w:pPr>
      <w:r w:rsidRPr="00860B7F">
        <w:rPr>
          <w:rFonts w:asciiTheme="majorBidi" w:hAnsiTheme="majorBidi" w:cstheme="majorBidi"/>
          <w:sz w:val="28"/>
          <w:szCs w:val="28"/>
        </w:rPr>
        <w:t xml:space="preserve"> L’organisation de campagnes de sensibilisation sur l’appartenance à une nation  commune, un Etat  commun et à des institutions démocratiques ;</w:t>
      </w:r>
    </w:p>
    <w:p w:rsidR="001469C5" w:rsidRPr="00860B7F" w:rsidRDefault="001469C5" w:rsidP="00860B7F">
      <w:pPr>
        <w:numPr>
          <w:ilvl w:val="0"/>
          <w:numId w:val="4"/>
        </w:numPr>
        <w:contextualSpacing/>
        <w:rPr>
          <w:rFonts w:asciiTheme="majorBidi" w:hAnsiTheme="majorBidi" w:cstheme="majorBidi"/>
          <w:sz w:val="28"/>
          <w:szCs w:val="28"/>
        </w:rPr>
      </w:pPr>
      <w:r w:rsidRPr="00860B7F">
        <w:rPr>
          <w:rFonts w:asciiTheme="majorBidi" w:hAnsiTheme="majorBidi" w:cstheme="majorBidi"/>
          <w:sz w:val="28"/>
          <w:szCs w:val="28"/>
        </w:rPr>
        <w:t>La mise sur place d’un programme d’éducation spécifique de lutte contre la discrimination et pour l’enseignement d’une culture d’égalité.</w:t>
      </w:r>
    </w:p>
    <w:p w:rsidR="001469C5" w:rsidRPr="00860B7F" w:rsidRDefault="001469C5" w:rsidP="00860B7F">
      <w:pPr>
        <w:numPr>
          <w:ilvl w:val="0"/>
          <w:numId w:val="4"/>
        </w:numPr>
        <w:contextualSpacing/>
        <w:rPr>
          <w:rFonts w:asciiTheme="majorBidi" w:hAnsiTheme="majorBidi" w:cstheme="majorBidi"/>
          <w:sz w:val="28"/>
          <w:szCs w:val="28"/>
        </w:rPr>
      </w:pPr>
      <w:r w:rsidRPr="00860B7F">
        <w:rPr>
          <w:rFonts w:asciiTheme="majorBidi" w:hAnsiTheme="majorBidi" w:cstheme="majorBidi"/>
          <w:sz w:val="28"/>
          <w:szCs w:val="28"/>
        </w:rPr>
        <w:t>L’éducation citoyenne pour l’égalité et la cohésion sociale ;</w:t>
      </w:r>
    </w:p>
    <w:p w:rsidR="001469C5" w:rsidRPr="00860B7F" w:rsidRDefault="001469C5" w:rsidP="00860B7F">
      <w:pPr>
        <w:numPr>
          <w:ilvl w:val="0"/>
          <w:numId w:val="4"/>
        </w:numPr>
        <w:contextualSpacing/>
        <w:rPr>
          <w:rFonts w:asciiTheme="majorBidi" w:hAnsiTheme="majorBidi" w:cstheme="majorBidi"/>
          <w:sz w:val="28"/>
          <w:szCs w:val="28"/>
        </w:rPr>
      </w:pPr>
      <w:r w:rsidRPr="00860B7F">
        <w:rPr>
          <w:rFonts w:asciiTheme="majorBidi" w:hAnsiTheme="majorBidi" w:cstheme="majorBidi"/>
          <w:sz w:val="28"/>
          <w:szCs w:val="28"/>
        </w:rPr>
        <w:t>La participation des différentes communautés étrangères à la lutte contre la discrimination ;</w:t>
      </w:r>
    </w:p>
    <w:p w:rsidR="001469C5" w:rsidRPr="00860B7F" w:rsidRDefault="001469C5" w:rsidP="00860B7F">
      <w:pPr>
        <w:numPr>
          <w:ilvl w:val="0"/>
          <w:numId w:val="4"/>
        </w:numPr>
        <w:contextualSpacing/>
        <w:rPr>
          <w:rFonts w:asciiTheme="majorBidi" w:hAnsiTheme="majorBidi" w:cstheme="majorBidi"/>
          <w:sz w:val="28"/>
          <w:szCs w:val="28"/>
        </w:rPr>
      </w:pPr>
      <w:r w:rsidRPr="00860B7F">
        <w:rPr>
          <w:rFonts w:asciiTheme="majorBidi" w:hAnsiTheme="majorBidi" w:cstheme="majorBidi"/>
          <w:sz w:val="28"/>
          <w:szCs w:val="28"/>
        </w:rPr>
        <w:t>La mise en œuvre des dispositions afférentes à la discrimination positive ; </w:t>
      </w:r>
    </w:p>
    <w:p w:rsidR="001469C5" w:rsidRPr="00860B7F" w:rsidRDefault="001469C5" w:rsidP="00860B7F">
      <w:pPr>
        <w:numPr>
          <w:ilvl w:val="0"/>
          <w:numId w:val="4"/>
        </w:numPr>
        <w:contextualSpacing/>
        <w:rPr>
          <w:rFonts w:asciiTheme="majorBidi" w:hAnsiTheme="majorBidi" w:cstheme="majorBidi"/>
          <w:sz w:val="28"/>
          <w:szCs w:val="28"/>
        </w:rPr>
      </w:pPr>
      <w:r w:rsidRPr="00860B7F">
        <w:rPr>
          <w:rFonts w:asciiTheme="majorBidi" w:hAnsiTheme="majorBidi" w:cstheme="majorBidi"/>
          <w:sz w:val="28"/>
          <w:szCs w:val="28"/>
        </w:rPr>
        <w:t>Le renforcement de l’appui aux couches défavorisées dans le domaine de l’éducation ;</w:t>
      </w:r>
    </w:p>
    <w:p w:rsidR="001469C5" w:rsidRPr="00860B7F" w:rsidRDefault="001469C5" w:rsidP="00860B7F">
      <w:pPr>
        <w:numPr>
          <w:ilvl w:val="0"/>
          <w:numId w:val="4"/>
        </w:numPr>
        <w:contextualSpacing/>
        <w:rPr>
          <w:rFonts w:asciiTheme="majorBidi" w:hAnsiTheme="majorBidi" w:cstheme="majorBidi"/>
          <w:sz w:val="28"/>
          <w:szCs w:val="28"/>
        </w:rPr>
      </w:pPr>
      <w:r w:rsidRPr="00860B7F">
        <w:rPr>
          <w:rFonts w:asciiTheme="majorBidi" w:hAnsiTheme="majorBidi" w:cstheme="majorBidi"/>
          <w:sz w:val="28"/>
          <w:szCs w:val="28"/>
        </w:rPr>
        <w:t xml:space="preserve">La mise sur pied de programmes spécifiques aux personnes handicapées pour l’éducation notamment : </w:t>
      </w:r>
    </w:p>
    <w:p w:rsidR="001469C5" w:rsidRPr="00860B7F" w:rsidRDefault="001469C5" w:rsidP="00860B7F">
      <w:pPr>
        <w:numPr>
          <w:ilvl w:val="0"/>
          <w:numId w:val="5"/>
        </w:numPr>
        <w:contextualSpacing/>
        <w:rPr>
          <w:rFonts w:asciiTheme="majorBidi" w:hAnsiTheme="majorBidi" w:cstheme="majorBidi"/>
          <w:sz w:val="28"/>
          <w:szCs w:val="28"/>
        </w:rPr>
      </w:pPr>
      <w:r w:rsidRPr="00860B7F">
        <w:rPr>
          <w:rFonts w:asciiTheme="majorBidi" w:hAnsiTheme="majorBidi" w:cstheme="majorBidi"/>
          <w:sz w:val="28"/>
          <w:szCs w:val="28"/>
        </w:rPr>
        <w:t>Le développement de la lutte contre l’analphabétisme pour le renforcement de l’enseignement originel ;</w:t>
      </w:r>
    </w:p>
    <w:p w:rsidR="001469C5" w:rsidRPr="00860B7F" w:rsidRDefault="001469C5" w:rsidP="00860B7F">
      <w:pPr>
        <w:numPr>
          <w:ilvl w:val="0"/>
          <w:numId w:val="5"/>
        </w:numPr>
        <w:contextualSpacing/>
        <w:rPr>
          <w:rFonts w:asciiTheme="majorBidi" w:hAnsiTheme="majorBidi" w:cstheme="majorBidi"/>
          <w:sz w:val="28"/>
          <w:szCs w:val="28"/>
        </w:rPr>
      </w:pPr>
      <w:r w:rsidRPr="00860B7F">
        <w:rPr>
          <w:rFonts w:asciiTheme="majorBidi" w:hAnsiTheme="majorBidi" w:cstheme="majorBidi"/>
          <w:sz w:val="28"/>
          <w:szCs w:val="28"/>
        </w:rPr>
        <w:t>Le renforcement de la formation de la police et de la gendarmerie en matière de respect des Droits de l’Homme ;</w:t>
      </w:r>
    </w:p>
    <w:p w:rsidR="001469C5" w:rsidRPr="00860B7F" w:rsidRDefault="001469C5" w:rsidP="00860B7F">
      <w:pPr>
        <w:pStyle w:val="NormalWeb"/>
        <w:spacing w:line="360" w:lineRule="auto"/>
        <w:rPr>
          <w:rFonts w:asciiTheme="majorBidi" w:hAnsiTheme="majorBidi" w:cstheme="majorBidi"/>
          <w:color w:val="000000"/>
          <w:sz w:val="28"/>
          <w:szCs w:val="28"/>
        </w:rPr>
      </w:pPr>
      <w:r w:rsidRPr="00860B7F">
        <w:rPr>
          <w:rFonts w:asciiTheme="majorBidi" w:hAnsiTheme="majorBidi" w:cstheme="majorBidi"/>
          <w:color w:val="000000"/>
          <w:sz w:val="28"/>
          <w:szCs w:val="28"/>
        </w:rPr>
        <w:t>-Intensifier les campagnes de sensibilisation contre la discrimination raciale dans les langues nationales</w:t>
      </w:r>
    </w:p>
    <w:p w:rsidR="001469C5" w:rsidRPr="00860B7F" w:rsidRDefault="001469C5" w:rsidP="00860B7F">
      <w:pPr>
        <w:spacing w:line="360" w:lineRule="auto"/>
        <w:rPr>
          <w:rFonts w:asciiTheme="majorBidi" w:hAnsiTheme="majorBidi" w:cstheme="majorBidi"/>
          <w:sz w:val="28"/>
          <w:szCs w:val="28"/>
        </w:rPr>
      </w:pPr>
      <w:r w:rsidRPr="00860B7F">
        <w:rPr>
          <w:rFonts w:asciiTheme="majorBidi" w:hAnsiTheme="majorBidi" w:cstheme="majorBidi"/>
          <w:sz w:val="28"/>
          <w:szCs w:val="28"/>
        </w:rPr>
        <w:t>La CNDH recommande le respect de la périodicité de soumission des rapports devant le CERD et exprime sa disponibilité à coopérer avec ce comité.</w:t>
      </w:r>
    </w:p>
    <w:p w:rsidR="006D6460" w:rsidRPr="00860B7F" w:rsidRDefault="006D6460" w:rsidP="00860B7F">
      <w:pPr>
        <w:rPr>
          <w:rFonts w:asciiTheme="majorBidi" w:hAnsiTheme="majorBidi" w:cstheme="majorBidi"/>
          <w:sz w:val="28"/>
          <w:szCs w:val="28"/>
        </w:rPr>
      </w:pPr>
    </w:p>
    <w:sectPr w:rsidR="006D6460" w:rsidRPr="00860B7F">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41A0" w:rsidRDefault="005A41A0" w:rsidP="00F97F45">
      <w:pPr>
        <w:spacing w:after="0" w:line="240" w:lineRule="auto"/>
      </w:pPr>
      <w:r>
        <w:separator/>
      </w:r>
    </w:p>
  </w:endnote>
  <w:endnote w:type="continuationSeparator" w:id="0">
    <w:p w:rsidR="005A41A0" w:rsidRDefault="005A41A0" w:rsidP="00F97F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215778"/>
      <w:docPartObj>
        <w:docPartGallery w:val="Page Numbers (Bottom of Page)"/>
        <w:docPartUnique/>
      </w:docPartObj>
    </w:sdtPr>
    <w:sdtEndPr/>
    <w:sdtContent>
      <w:p w:rsidR="00F97F45" w:rsidRDefault="00F97F45">
        <w:pPr>
          <w:pStyle w:val="Footer"/>
          <w:jc w:val="center"/>
        </w:pPr>
        <w:r>
          <w:fldChar w:fldCharType="begin"/>
        </w:r>
        <w:r>
          <w:instrText>PAGE   \* MERGEFORMAT</w:instrText>
        </w:r>
        <w:r>
          <w:fldChar w:fldCharType="separate"/>
        </w:r>
        <w:r w:rsidR="00E47929">
          <w:rPr>
            <w:noProof/>
          </w:rPr>
          <w:t>1</w:t>
        </w:r>
        <w:r>
          <w:fldChar w:fldCharType="end"/>
        </w:r>
      </w:p>
    </w:sdtContent>
  </w:sdt>
  <w:p w:rsidR="00F97F45" w:rsidRDefault="00F97F4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41A0" w:rsidRDefault="005A41A0" w:rsidP="00F97F45">
      <w:pPr>
        <w:spacing w:after="0" w:line="240" w:lineRule="auto"/>
      </w:pPr>
      <w:r>
        <w:separator/>
      </w:r>
    </w:p>
  </w:footnote>
  <w:footnote w:type="continuationSeparator" w:id="0">
    <w:p w:rsidR="005A41A0" w:rsidRDefault="005A41A0" w:rsidP="00F97F4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7578B7"/>
    <w:multiLevelType w:val="hybridMultilevel"/>
    <w:tmpl w:val="C7B8609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
    <w:nsid w:val="19725F9B"/>
    <w:multiLevelType w:val="hybridMultilevel"/>
    <w:tmpl w:val="0778E6F0"/>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6AA4724E"/>
    <w:multiLevelType w:val="hybridMultilevel"/>
    <w:tmpl w:val="AF946A32"/>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75062D56"/>
    <w:multiLevelType w:val="hybridMultilevel"/>
    <w:tmpl w:val="EA14B2A4"/>
    <w:lvl w:ilvl="0" w:tplc="81F866D2">
      <w:start w:val="1"/>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7E140BE7"/>
    <w:multiLevelType w:val="hybridMultilevel"/>
    <w:tmpl w:val="01F69C3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69C5"/>
    <w:rsid w:val="000D5F54"/>
    <w:rsid w:val="001469C5"/>
    <w:rsid w:val="005A41A0"/>
    <w:rsid w:val="006D6460"/>
    <w:rsid w:val="00860B7F"/>
    <w:rsid w:val="00974A6E"/>
    <w:rsid w:val="00E47929"/>
    <w:rsid w:val="00F97F4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CDD5EA-96D0-4A30-ADD2-3FC674F87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69C5"/>
    <w:pPr>
      <w:spacing w:after="200" w:line="276" w:lineRule="auto"/>
    </w:pPr>
    <w:rPr>
      <w:rFonts w:ascii="Calibri" w:eastAsia="Calibri" w:hAnsi="Calibri"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469C5"/>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hps">
    <w:name w:val="hps"/>
    <w:rsid w:val="001469C5"/>
  </w:style>
  <w:style w:type="paragraph" w:styleId="Header">
    <w:name w:val="header"/>
    <w:basedOn w:val="Normal"/>
    <w:link w:val="HeaderChar"/>
    <w:uiPriority w:val="99"/>
    <w:unhideWhenUsed/>
    <w:rsid w:val="00F97F45"/>
    <w:pPr>
      <w:tabs>
        <w:tab w:val="center" w:pos="4536"/>
        <w:tab w:val="right" w:pos="9072"/>
      </w:tabs>
      <w:spacing w:after="0" w:line="240" w:lineRule="auto"/>
    </w:pPr>
  </w:style>
  <w:style w:type="character" w:customStyle="1" w:styleId="HeaderChar">
    <w:name w:val="Header Char"/>
    <w:basedOn w:val="DefaultParagraphFont"/>
    <w:link w:val="Header"/>
    <w:uiPriority w:val="99"/>
    <w:rsid w:val="00F97F45"/>
    <w:rPr>
      <w:rFonts w:ascii="Calibri" w:eastAsia="Calibri" w:hAnsi="Calibri" w:cs="Arial"/>
    </w:rPr>
  </w:style>
  <w:style w:type="paragraph" w:styleId="Footer">
    <w:name w:val="footer"/>
    <w:basedOn w:val="Normal"/>
    <w:link w:val="FooterChar"/>
    <w:uiPriority w:val="99"/>
    <w:unhideWhenUsed/>
    <w:rsid w:val="00F97F45"/>
    <w:pPr>
      <w:tabs>
        <w:tab w:val="center" w:pos="4536"/>
        <w:tab w:val="right" w:pos="9072"/>
      </w:tabs>
      <w:spacing w:after="0" w:line="240" w:lineRule="auto"/>
    </w:pPr>
  </w:style>
  <w:style w:type="character" w:customStyle="1" w:styleId="FooterChar">
    <w:name w:val="Footer Char"/>
    <w:basedOn w:val="DefaultParagraphFont"/>
    <w:link w:val="Footer"/>
    <w:uiPriority w:val="99"/>
    <w:rsid w:val="00F97F45"/>
    <w:rPr>
      <w:rFonts w:ascii="Calibri" w:eastAsia="Calibri" w:hAnsi="Calibri"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54648A-68E2-49F5-A797-769CC993A3C8}"/>
</file>

<file path=customXml/itemProps2.xml><?xml version="1.0" encoding="utf-8"?>
<ds:datastoreItem xmlns:ds="http://schemas.openxmlformats.org/officeDocument/2006/customXml" ds:itemID="{6538AB04-07DE-46A1-A99B-F691B445289B}"/>
</file>

<file path=customXml/itemProps3.xml><?xml version="1.0" encoding="utf-8"?>
<ds:datastoreItem xmlns:ds="http://schemas.openxmlformats.org/officeDocument/2006/customXml" ds:itemID="{CA5DEF7F-AD26-47B9-BB74-CA96EEAC4E12}"/>
</file>

<file path=docProps/app.xml><?xml version="1.0" encoding="utf-8"?>
<Properties xmlns="http://schemas.openxmlformats.org/officeDocument/2006/extended-properties" xmlns:vt="http://schemas.openxmlformats.org/officeDocument/2006/docPropsVTypes">
  <Template>Normal.dotm</Template>
  <TotalTime>1</TotalTime>
  <Pages>4</Pages>
  <Words>929</Words>
  <Characters>5296</Characters>
  <Application>Microsoft Office Word</Application>
  <DocSecurity>4</DocSecurity>
  <Lines>44</Lines>
  <Paragraphs>12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6213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dc:creator>
  <cp:keywords/>
  <dc:description/>
  <cp:lastModifiedBy>SINGH Kalpana</cp:lastModifiedBy>
  <cp:revision>2</cp:revision>
  <dcterms:created xsi:type="dcterms:W3CDTF">2018-03-26T13:03:00Z</dcterms:created>
  <dcterms:modified xsi:type="dcterms:W3CDTF">2018-03-26T13:03:00Z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