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91045D" w14:textId="1E4C85CD" w:rsidR="001E2CB5" w:rsidRDefault="00C64141" w:rsidP="00377F34">
      <w:pPr>
        <w:pStyle w:val="Normal1"/>
        <w:contextualSpacing w:val="0"/>
        <w:jc w:val="center"/>
        <w:rPr>
          <w:lang w:val="en-US"/>
        </w:rPr>
      </w:pPr>
      <w:r w:rsidRPr="00E81B11">
        <w:rPr>
          <w:lang w:val="en-US"/>
        </w:rPr>
        <w:t xml:space="preserve"> </w:t>
      </w:r>
    </w:p>
    <w:p w14:paraId="78B5CE8E" w14:textId="45342395" w:rsidR="00377F34" w:rsidRPr="00345346" w:rsidRDefault="001641D4" w:rsidP="00377F34">
      <w:pPr>
        <w:pStyle w:val="Normal1"/>
        <w:contextualSpacing w:val="0"/>
        <w:jc w:val="right"/>
        <w:rPr>
          <w:rFonts w:asciiTheme="minorHAnsi" w:hAnsiTheme="minorHAnsi" w:cstheme="minorHAnsi"/>
          <w:lang w:val="en-US"/>
        </w:rPr>
      </w:pPr>
      <w:r w:rsidRPr="00345346">
        <w:rPr>
          <w:rFonts w:asciiTheme="minorHAnsi" w:hAnsiTheme="minorHAnsi" w:cstheme="minorHAnsi"/>
          <w:lang w:val="en-US"/>
        </w:rPr>
        <w:t>1</w:t>
      </w:r>
      <w:r w:rsidR="00110AD7" w:rsidRPr="00345346">
        <w:rPr>
          <w:rFonts w:asciiTheme="minorHAnsi" w:hAnsiTheme="minorHAnsi" w:cstheme="minorHAnsi"/>
          <w:lang w:val="en-US"/>
        </w:rPr>
        <w:t>2</w:t>
      </w:r>
      <w:r w:rsidR="00171D2F" w:rsidRPr="00345346">
        <w:rPr>
          <w:rFonts w:asciiTheme="minorHAnsi" w:hAnsiTheme="minorHAnsi" w:cstheme="minorHAnsi"/>
          <w:lang w:val="en-US"/>
        </w:rPr>
        <w:t xml:space="preserve"> January</w:t>
      </w:r>
      <w:r w:rsidR="00377F34" w:rsidRPr="00345346">
        <w:rPr>
          <w:rFonts w:asciiTheme="minorHAnsi" w:hAnsiTheme="minorHAnsi" w:cstheme="minorHAnsi"/>
          <w:lang w:val="en-US"/>
        </w:rPr>
        <w:t xml:space="preserve"> 202</w:t>
      </w:r>
      <w:r w:rsidR="00171D2F" w:rsidRPr="00345346">
        <w:rPr>
          <w:rFonts w:asciiTheme="minorHAnsi" w:hAnsiTheme="minorHAnsi" w:cstheme="minorHAnsi"/>
          <w:lang w:val="en-US"/>
        </w:rPr>
        <w:t>2</w:t>
      </w:r>
    </w:p>
    <w:p w14:paraId="4FF5019A" w14:textId="77777777" w:rsidR="00377F34" w:rsidRPr="00377F34" w:rsidRDefault="00377F34" w:rsidP="00377F34">
      <w:pPr>
        <w:pStyle w:val="Normal1"/>
        <w:contextualSpacing w:val="0"/>
        <w:jc w:val="right"/>
        <w:rPr>
          <w:b/>
          <w:bCs/>
          <w:lang w:val="en-US"/>
        </w:rPr>
      </w:pPr>
    </w:p>
    <w:p w14:paraId="507BD8C4" w14:textId="77777777" w:rsidR="00377F34" w:rsidRDefault="00377F34" w:rsidP="00E81B11">
      <w:pPr>
        <w:pStyle w:val="Normal1"/>
        <w:shd w:val="clear" w:color="auto" w:fill="F2F2F2" w:themeFill="background1" w:themeFillShade="F2"/>
        <w:contextualSpacing w:val="0"/>
        <w:jc w:val="center"/>
        <w:rPr>
          <w:rFonts w:ascii="Franklin Gothic Demi" w:hAnsi="Franklin Gothic Demi" w:cs="Cordia New"/>
          <w:b/>
          <w:color w:val="323E4F" w:themeColor="text2" w:themeShade="BF"/>
          <w:sz w:val="36"/>
          <w:szCs w:val="36"/>
          <w:lang w:val="en-GB"/>
        </w:rPr>
      </w:pPr>
    </w:p>
    <w:p w14:paraId="044B0F6F" w14:textId="49C42E41" w:rsidR="00345346" w:rsidRPr="00345346" w:rsidRDefault="00345346" w:rsidP="00345346">
      <w:pPr>
        <w:pStyle w:val="Normal1"/>
        <w:shd w:val="clear" w:color="auto" w:fill="F2F2F2" w:themeFill="background1" w:themeFillShade="F2"/>
        <w:contextualSpacing w:val="0"/>
        <w:jc w:val="center"/>
        <w:rPr>
          <w:rFonts w:asciiTheme="minorHAnsi" w:hAnsiTheme="minorHAnsi" w:cstheme="minorHAnsi"/>
          <w:b/>
          <w:color w:val="323E4F" w:themeColor="text2" w:themeShade="BF"/>
          <w:sz w:val="36"/>
          <w:szCs w:val="36"/>
          <w:lang w:val="en-GB"/>
        </w:rPr>
      </w:pPr>
      <w:r w:rsidRPr="00345346">
        <w:rPr>
          <w:rFonts w:asciiTheme="minorHAnsi" w:hAnsiTheme="minorHAnsi" w:cstheme="minorHAnsi"/>
          <w:b/>
          <w:color w:val="323E4F" w:themeColor="text2" w:themeShade="BF"/>
          <w:sz w:val="36"/>
          <w:szCs w:val="36"/>
          <w:lang w:val="en-GB"/>
        </w:rPr>
        <w:t>FRANCE</w:t>
      </w:r>
    </w:p>
    <w:p w14:paraId="04004ADA" w14:textId="2B3DFE21" w:rsidR="00E81B11" w:rsidRPr="00345346" w:rsidRDefault="00292D68" w:rsidP="00E81B11">
      <w:pPr>
        <w:pStyle w:val="Normal1"/>
        <w:shd w:val="clear" w:color="auto" w:fill="F2F2F2" w:themeFill="background1" w:themeFillShade="F2"/>
        <w:contextualSpacing w:val="0"/>
        <w:jc w:val="center"/>
        <w:rPr>
          <w:rFonts w:asciiTheme="minorHAnsi" w:hAnsiTheme="minorHAnsi" w:cstheme="minorHAnsi"/>
          <w:b/>
          <w:color w:val="323E4F" w:themeColor="text2" w:themeShade="BF"/>
          <w:sz w:val="32"/>
          <w:szCs w:val="32"/>
          <w:lang w:val="en-GB"/>
        </w:rPr>
      </w:pPr>
      <w:r w:rsidRPr="00345346">
        <w:rPr>
          <w:rFonts w:asciiTheme="minorHAnsi" w:hAnsiTheme="minorHAnsi" w:cstheme="minorHAnsi"/>
          <w:b/>
          <w:color w:val="323E4F" w:themeColor="text2" w:themeShade="BF"/>
          <w:sz w:val="32"/>
          <w:szCs w:val="32"/>
          <w:lang w:val="en-GB"/>
        </w:rPr>
        <w:t>Joint s</w:t>
      </w:r>
      <w:r w:rsidR="00E81B11" w:rsidRPr="00345346">
        <w:rPr>
          <w:rFonts w:asciiTheme="minorHAnsi" w:hAnsiTheme="minorHAnsi" w:cstheme="minorHAnsi"/>
          <w:b/>
          <w:color w:val="323E4F" w:themeColor="text2" w:themeShade="BF"/>
          <w:sz w:val="32"/>
          <w:szCs w:val="32"/>
          <w:lang w:val="en-GB"/>
        </w:rPr>
        <w:t xml:space="preserve">ubmission to the </w:t>
      </w:r>
      <w:r w:rsidR="00345346">
        <w:rPr>
          <w:rFonts w:asciiTheme="minorHAnsi" w:hAnsiTheme="minorHAnsi" w:cstheme="minorHAnsi"/>
          <w:b/>
          <w:color w:val="323E4F" w:themeColor="text2" w:themeShade="BF"/>
          <w:sz w:val="32"/>
          <w:szCs w:val="32"/>
          <w:lang w:val="en-GB"/>
        </w:rPr>
        <w:t xml:space="preserve">CEDAW Committee </w:t>
      </w:r>
    </w:p>
    <w:p w14:paraId="76464EB3" w14:textId="77777777" w:rsidR="00345346" w:rsidRPr="00345346" w:rsidRDefault="005B20BA" w:rsidP="00377F34">
      <w:pPr>
        <w:pStyle w:val="Normal1"/>
        <w:shd w:val="clear" w:color="auto" w:fill="F2F2F2" w:themeFill="background1" w:themeFillShade="F2"/>
        <w:contextualSpacing w:val="0"/>
        <w:jc w:val="center"/>
        <w:rPr>
          <w:rFonts w:asciiTheme="minorHAnsi" w:hAnsiTheme="minorHAnsi" w:cstheme="minorHAnsi"/>
          <w:b/>
          <w:color w:val="323E4F" w:themeColor="text2" w:themeShade="BF"/>
          <w:sz w:val="28"/>
          <w:szCs w:val="28"/>
          <w:lang w:val="en-GB"/>
        </w:rPr>
      </w:pPr>
      <w:r w:rsidRPr="00345346">
        <w:rPr>
          <w:rFonts w:asciiTheme="minorHAnsi" w:hAnsiTheme="minorHAnsi" w:cstheme="minorHAnsi"/>
          <w:b/>
          <w:color w:val="323E4F" w:themeColor="text2" w:themeShade="BF"/>
          <w:sz w:val="28"/>
          <w:szCs w:val="28"/>
          <w:lang w:val="en-GB"/>
        </w:rPr>
        <w:t>83</w:t>
      </w:r>
      <w:r w:rsidRPr="00345346">
        <w:rPr>
          <w:rFonts w:asciiTheme="minorHAnsi" w:hAnsiTheme="minorHAnsi" w:cstheme="minorHAnsi"/>
          <w:b/>
          <w:color w:val="323E4F" w:themeColor="text2" w:themeShade="BF"/>
          <w:sz w:val="28"/>
          <w:szCs w:val="28"/>
          <w:vertAlign w:val="superscript"/>
          <w:lang w:val="en-GB"/>
        </w:rPr>
        <w:t>rd</w:t>
      </w:r>
      <w:r w:rsidR="00377F34" w:rsidRPr="00345346">
        <w:rPr>
          <w:rFonts w:asciiTheme="minorHAnsi" w:hAnsiTheme="minorHAnsi" w:cstheme="minorHAnsi"/>
          <w:b/>
          <w:color w:val="323E4F" w:themeColor="text2" w:themeShade="BF"/>
          <w:sz w:val="28"/>
          <w:szCs w:val="28"/>
          <w:lang w:val="en-GB"/>
        </w:rPr>
        <w:t xml:space="preserve"> </w:t>
      </w:r>
      <w:r w:rsidR="00345346" w:rsidRPr="00345346">
        <w:rPr>
          <w:rFonts w:asciiTheme="minorHAnsi" w:hAnsiTheme="minorHAnsi" w:cstheme="minorHAnsi"/>
          <w:b/>
          <w:color w:val="323E4F" w:themeColor="text2" w:themeShade="BF"/>
          <w:sz w:val="28"/>
          <w:szCs w:val="28"/>
          <w:lang w:val="en-GB"/>
        </w:rPr>
        <w:t>Pre-Sessional Working Group</w:t>
      </w:r>
      <w:r w:rsidR="00377F34" w:rsidRPr="00345346">
        <w:rPr>
          <w:rFonts w:asciiTheme="minorHAnsi" w:hAnsiTheme="minorHAnsi" w:cstheme="minorHAnsi"/>
          <w:b/>
          <w:color w:val="323E4F" w:themeColor="text2" w:themeShade="BF"/>
          <w:sz w:val="28"/>
          <w:szCs w:val="28"/>
          <w:lang w:val="en-GB"/>
        </w:rPr>
        <w:t xml:space="preserve"> </w:t>
      </w:r>
    </w:p>
    <w:p w14:paraId="494DD3D3" w14:textId="062F3CF9" w:rsidR="00345346" w:rsidRDefault="00377F34" w:rsidP="00345346">
      <w:pPr>
        <w:pStyle w:val="Normal1"/>
        <w:shd w:val="clear" w:color="auto" w:fill="F2F2F2" w:themeFill="background1" w:themeFillShade="F2"/>
        <w:contextualSpacing w:val="0"/>
        <w:jc w:val="center"/>
        <w:rPr>
          <w:rFonts w:asciiTheme="minorHAnsi" w:hAnsiTheme="minorHAnsi" w:cstheme="minorHAnsi"/>
          <w:b/>
          <w:color w:val="323E4F" w:themeColor="text2" w:themeShade="BF"/>
          <w:sz w:val="28"/>
          <w:szCs w:val="28"/>
          <w:lang w:val="en-GB"/>
        </w:rPr>
      </w:pPr>
      <w:r w:rsidRPr="00345346">
        <w:rPr>
          <w:rFonts w:asciiTheme="minorHAnsi" w:hAnsiTheme="minorHAnsi" w:cstheme="minorHAnsi"/>
          <w:b/>
          <w:color w:val="323E4F" w:themeColor="text2" w:themeShade="BF"/>
          <w:sz w:val="28"/>
          <w:szCs w:val="28"/>
          <w:lang w:val="en-GB"/>
        </w:rPr>
        <w:t>(</w:t>
      </w:r>
      <w:r w:rsidR="005B20BA" w:rsidRPr="00345346">
        <w:rPr>
          <w:rFonts w:asciiTheme="minorHAnsi" w:hAnsiTheme="minorHAnsi" w:cstheme="minorHAnsi"/>
          <w:b/>
          <w:color w:val="323E4F" w:themeColor="text2" w:themeShade="BF"/>
          <w:sz w:val="28"/>
          <w:szCs w:val="28"/>
          <w:lang w:val="en-GB"/>
        </w:rPr>
        <w:t>28 February</w:t>
      </w:r>
      <w:r w:rsidRPr="00345346">
        <w:rPr>
          <w:rFonts w:asciiTheme="minorHAnsi" w:hAnsiTheme="minorHAnsi" w:cstheme="minorHAnsi"/>
          <w:b/>
          <w:color w:val="323E4F" w:themeColor="text2" w:themeShade="BF"/>
          <w:sz w:val="28"/>
          <w:szCs w:val="28"/>
          <w:lang w:val="en-GB"/>
        </w:rPr>
        <w:t xml:space="preserve"> to </w:t>
      </w:r>
      <w:r w:rsidR="005B20BA" w:rsidRPr="00345346">
        <w:rPr>
          <w:rFonts w:asciiTheme="minorHAnsi" w:hAnsiTheme="minorHAnsi" w:cstheme="minorHAnsi"/>
          <w:b/>
          <w:color w:val="323E4F" w:themeColor="text2" w:themeShade="BF"/>
          <w:sz w:val="28"/>
          <w:szCs w:val="28"/>
          <w:lang w:val="en-GB"/>
        </w:rPr>
        <w:t>4</w:t>
      </w:r>
      <w:r w:rsidRPr="00345346">
        <w:rPr>
          <w:rFonts w:asciiTheme="minorHAnsi" w:hAnsiTheme="minorHAnsi" w:cstheme="minorHAnsi"/>
          <w:b/>
          <w:color w:val="323E4F" w:themeColor="text2" w:themeShade="BF"/>
          <w:sz w:val="28"/>
          <w:szCs w:val="28"/>
          <w:lang w:val="en-GB"/>
        </w:rPr>
        <w:t xml:space="preserve"> </w:t>
      </w:r>
      <w:r w:rsidR="005B20BA" w:rsidRPr="00345346">
        <w:rPr>
          <w:rFonts w:asciiTheme="minorHAnsi" w:hAnsiTheme="minorHAnsi" w:cstheme="minorHAnsi"/>
          <w:b/>
          <w:color w:val="323E4F" w:themeColor="text2" w:themeShade="BF"/>
          <w:sz w:val="28"/>
          <w:szCs w:val="28"/>
          <w:lang w:val="en-GB"/>
        </w:rPr>
        <w:t>March</w:t>
      </w:r>
      <w:r w:rsidRPr="00345346">
        <w:rPr>
          <w:rFonts w:asciiTheme="minorHAnsi" w:hAnsiTheme="minorHAnsi" w:cstheme="minorHAnsi"/>
          <w:b/>
          <w:color w:val="323E4F" w:themeColor="text2" w:themeShade="BF"/>
          <w:sz w:val="28"/>
          <w:szCs w:val="28"/>
          <w:lang w:val="en-GB"/>
        </w:rPr>
        <w:t xml:space="preserve"> 202</w:t>
      </w:r>
      <w:r w:rsidR="005B20BA" w:rsidRPr="00345346">
        <w:rPr>
          <w:rFonts w:asciiTheme="minorHAnsi" w:hAnsiTheme="minorHAnsi" w:cstheme="minorHAnsi"/>
          <w:b/>
          <w:color w:val="323E4F" w:themeColor="text2" w:themeShade="BF"/>
          <w:sz w:val="28"/>
          <w:szCs w:val="28"/>
          <w:lang w:val="en-GB"/>
        </w:rPr>
        <w:t>2</w:t>
      </w:r>
      <w:r w:rsidRPr="00345346">
        <w:rPr>
          <w:rFonts w:asciiTheme="minorHAnsi" w:hAnsiTheme="minorHAnsi" w:cstheme="minorHAnsi"/>
          <w:b/>
          <w:color w:val="323E4F" w:themeColor="text2" w:themeShade="BF"/>
          <w:sz w:val="28"/>
          <w:szCs w:val="28"/>
          <w:lang w:val="en-GB"/>
        </w:rPr>
        <w:t xml:space="preserve">) </w:t>
      </w:r>
    </w:p>
    <w:p w14:paraId="690442E8" w14:textId="4E9BC7D3" w:rsidR="00377F34" w:rsidRPr="00345346" w:rsidRDefault="00377F34" w:rsidP="00E81B11">
      <w:pPr>
        <w:pStyle w:val="Normal1"/>
        <w:shd w:val="clear" w:color="auto" w:fill="F2F2F2" w:themeFill="background1" w:themeFillShade="F2"/>
        <w:contextualSpacing w:val="0"/>
        <w:jc w:val="center"/>
        <w:rPr>
          <w:rFonts w:asciiTheme="minorHAnsi" w:hAnsiTheme="minorHAnsi" w:cstheme="minorHAnsi"/>
          <w:b/>
          <w:color w:val="323E4F" w:themeColor="text2" w:themeShade="BF"/>
          <w:sz w:val="28"/>
          <w:szCs w:val="28"/>
          <w:lang w:val="en-GB"/>
        </w:rPr>
      </w:pPr>
      <w:r w:rsidRPr="00345346">
        <w:rPr>
          <w:rFonts w:asciiTheme="minorHAnsi" w:hAnsiTheme="minorHAnsi" w:cstheme="minorHAnsi"/>
          <w:b/>
          <w:color w:val="323E4F" w:themeColor="text2" w:themeShade="BF"/>
          <w:sz w:val="28"/>
          <w:szCs w:val="28"/>
          <w:lang w:val="en-GB"/>
        </w:rPr>
        <w:t xml:space="preserve">List of issues (LOI) </w:t>
      </w:r>
    </w:p>
    <w:p w14:paraId="1A444385" w14:textId="77777777" w:rsidR="001E2CB5" w:rsidRPr="00477D32" w:rsidRDefault="001E2CB5" w:rsidP="00E81B11">
      <w:pPr>
        <w:pStyle w:val="Normal1"/>
        <w:shd w:val="clear" w:color="auto" w:fill="F2F2F2" w:themeFill="background1" w:themeFillShade="F2"/>
        <w:contextualSpacing w:val="0"/>
        <w:jc w:val="center"/>
        <w:rPr>
          <w:rFonts w:ascii="Franklin Gothic Demi" w:hAnsi="Franklin Gothic Demi" w:cs="Cordia New"/>
          <w:b/>
          <w:color w:val="323E4F" w:themeColor="text2" w:themeShade="BF"/>
          <w:sz w:val="28"/>
          <w:szCs w:val="28"/>
          <w:lang w:val="en-GB"/>
        </w:rPr>
      </w:pPr>
    </w:p>
    <w:p w14:paraId="47DF133E" w14:textId="77777777" w:rsidR="00E81B11" w:rsidRPr="00292D68" w:rsidRDefault="00E81B11" w:rsidP="00E81B11"/>
    <w:p w14:paraId="53F207C4" w14:textId="77777777" w:rsidR="00E81B11" w:rsidRDefault="00E81B11" w:rsidP="00E81B11">
      <w:pPr>
        <w:rPr>
          <w:lang w:val="en-US"/>
        </w:rPr>
      </w:pPr>
    </w:p>
    <w:p w14:paraId="280B5E72" w14:textId="05A8518C" w:rsidR="006A4389" w:rsidRPr="00295BB9" w:rsidRDefault="009C0484" w:rsidP="00295BB9">
      <w:pPr>
        <w:jc w:val="both"/>
        <w:rPr>
          <w:lang w:val="en-US"/>
        </w:rPr>
      </w:pPr>
      <w:r w:rsidRPr="008F76DC">
        <w:rPr>
          <w:lang w:val="en-US"/>
        </w:rPr>
        <w:t xml:space="preserve">This joint submission by the Women’s International League for Peace (WILPF) and the European Center for Constitutional and Human Rights (ECCHR) </w:t>
      </w:r>
      <w:r w:rsidR="002144CD">
        <w:rPr>
          <w:lang w:val="en-US"/>
        </w:rPr>
        <w:t xml:space="preserve">draws from </w:t>
      </w:r>
      <w:r w:rsidR="0056222B">
        <w:rPr>
          <w:lang w:val="en-US"/>
        </w:rPr>
        <w:t xml:space="preserve">our </w:t>
      </w:r>
      <w:r w:rsidR="00DA1107">
        <w:rPr>
          <w:lang w:val="en-US"/>
        </w:rPr>
        <w:t xml:space="preserve">May </w:t>
      </w:r>
      <w:r w:rsidR="0056222B">
        <w:rPr>
          <w:lang w:val="en-US"/>
        </w:rPr>
        <w:t xml:space="preserve">2021 submission </w:t>
      </w:r>
      <w:r w:rsidR="002144CD">
        <w:rPr>
          <w:lang w:val="en-US"/>
        </w:rPr>
        <w:t xml:space="preserve">to the Human Rights Committee </w:t>
      </w:r>
      <w:r w:rsidR="0056222B">
        <w:rPr>
          <w:lang w:val="en-US"/>
        </w:rPr>
        <w:t xml:space="preserve">that </w:t>
      </w:r>
      <w:r w:rsidR="006A4389">
        <w:rPr>
          <w:lang w:val="en-US"/>
        </w:rPr>
        <w:t>focuss</w:t>
      </w:r>
      <w:r w:rsidR="0056222B">
        <w:rPr>
          <w:lang w:val="en-US"/>
        </w:rPr>
        <w:t>es</w:t>
      </w:r>
      <w:r w:rsidR="002144CD">
        <w:rPr>
          <w:lang w:val="en-US"/>
        </w:rPr>
        <w:t xml:space="preserve"> on </w:t>
      </w:r>
      <w:r w:rsidRPr="008F76DC">
        <w:rPr>
          <w:lang w:val="en-US"/>
        </w:rPr>
        <w:t xml:space="preserve">France’s extraterritorial </w:t>
      </w:r>
      <w:r w:rsidR="002144CD">
        <w:rPr>
          <w:lang w:val="en-US"/>
        </w:rPr>
        <w:t xml:space="preserve">human rights </w:t>
      </w:r>
      <w:r w:rsidRPr="008F76DC">
        <w:rPr>
          <w:lang w:val="en-US"/>
        </w:rPr>
        <w:t>obligations</w:t>
      </w:r>
      <w:r w:rsidR="002144CD">
        <w:rPr>
          <w:lang w:val="en-US"/>
        </w:rPr>
        <w:t>.</w:t>
      </w:r>
      <w:r w:rsidR="006A4389">
        <w:rPr>
          <w:rStyle w:val="FootnoteReference"/>
          <w:lang w:val="en-US"/>
        </w:rPr>
        <w:footnoteReference w:id="1"/>
      </w:r>
      <w:r w:rsidR="002144CD">
        <w:rPr>
          <w:lang w:val="en-US"/>
        </w:rPr>
        <w:t xml:space="preserve"> </w:t>
      </w:r>
      <w:r w:rsidR="0056222B">
        <w:rPr>
          <w:lang w:val="en-US"/>
        </w:rPr>
        <w:t xml:space="preserve">The information in this submission </w:t>
      </w:r>
      <w:r w:rsidR="00295BB9">
        <w:t>illustrates the lack of implementation of the 2016 CEDAW Committee’s recommendations to France relating to arms exports.</w:t>
      </w:r>
      <w:r w:rsidR="00295BB9">
        <w:rPr>
          <w:rStyle w:val="FootnoteReference"/>
        </w:rPr>
        <w:footnoteReference w:id="2"/>
      </w:r>
      <w:r w:rsidR="00295BB9">
        <w:t xml:space="preserve"> Despite</w:t>
      </w:r>
      <w:r w:rsidR="006A4389">
        <w:t xml:space="preserve"> France’s assertion in its ninth periodic report to the CEDAW Committee that “it exercises strict control, based on a principle of prohibition, transparency and accountability over its exports of war materials and related materials</w:t>
      </w:r>
      <w:r w:rsidR="00295BB9">
        <w:t>,</w:t>
      </w:r>
      <w:r w:rsidR="006A4389">
        <w:t>”</w:t>
      </w:r>
      <w:r w:rsidR="006A4389">
        <w:rPr>
          <w:rStyle w:val="FootnoteReference"/>
        </w:rPr>
        <w:footnoteReference w:id="3"/>
      </w:r>
      <w:r w:rsidR="00295BB9">
        <w:t xml:space="preserve"> serious concerns remain.</w:t>
      </w:r>
      <w:r w:rsidR="006A4389">
        <w:t xml:space="preserve"> In particular, </w:t>
      </w:r>
      <w:r w:rsidR="00295BB9">
        <w:t>th</w:t>
      </w:r>
      <w:r w:rsidR="00BB2DBF">
        <w:t xml:space="preserve">is </w:t>
      </w:r>
      <w:r w:rsidR="00295BB9">
        <w:t xml:space="preserve"> submission</w:t>
      </w:r>
      <w:r w:rsidR="006A4389">
        <w:t xml:space="preserve"> </w:t>
      </w:r>
      <w:r w:rsidR="008F76DC" w:rsidRPr="006A4389">
        <w:rPr>
          <w:lang w:val="en-US"/>
        </w:rPr>
        <w:t>highlights</w:t>
      </w:r>
      <w:r w:rsidR="006A4389">
        <w:rPr>
          <w:lang w:val="en-US"/>
        </w:rPr>
        <w:t>:</w:t>
      </w:r>
    </w:p>
    <w:p w14:paraId="59428425" w14:textId="77777777" w:rsidR="006A4389" w:rsidRDefault="006A4389" w:rsidP="006A4389">
      <w:pPr>
        <w:rPr>
          <w:lang w:val="en-US"/>
        </w:rPr>
      </w:pPr>
    </w:p>
    <w:p w14:paraId="23ABB314" w14:textId="6A3C12B9" w:rsidR="006A4389" w:rsidRPr="006A4389" w:rsidRDefault="008F76DC" w:rsidP="006A4389">
      <w:pPr>
        <w:pStyle w:val="ListParagraph"/>
        <w:numPr>
          <w:ilvl w:val="0"/>
          <w:numId w:val="3"/>
        </w:numPr>
      </w:pPr>
      <w:r w:rsidRPr="006A4389">
        <w:rPr>
          <w:lang w:val="en-US"/>
        </w:rPr>
        <w:t xml:space="preserve">the </w:t>
      </w:r>
      <w:r w:rsidR="005559E3" w:rsidRPr="006A4389">
        <w:rPr>
          <w:lang w:val="en-US"/>
        </w:rPr>
        <w:t>human rights impacts</w:t>
      </w:r>
      <w:r w:rsidRPr="006A4389">
        <w:rPr>
          <w:lang w:val="en-US"/>
        </w:rPr>
        <w:t xml:space="preserve">, including gendered impacts, of France’s arms transfers to countries with poor human rights records. </w:t>
      </w:r>
      <w:r w:rsidR="00295BB9">
        <w:rPr>
          <w:lang w:val="en-US"/>
        </w:rPr>
        <w:t>It</w:t>
      </w:r>
      <w:r w:rsidRPr="006A4389">
        <w:rPr>
          <w:lang w:val="en-US"/>
        </w:rPr>
        <w:t xml:space="preserve"> focuses in particular on France’s arms transfers to Saudi Arabia and the United Arab Emirates (UAE), in light of the fact that a coalition of States led by these two countries has been involved in the Yemen conflict and has committed serious violations of international law and international human rights law in this context since March 2015</w:t>
      </w:r>
      <w:r w:rsidR="006A4389" w:rsidRPr="006A4389">
        <w:rPr>
          <w:lang w:val="en-US"/>
        </w:rPr>
        <w:t xml:space="preserve">; </w:t>
      </w:r>
      <w:r w:rsidR="006A4389">
        <w:rPr>
          <w:lang w:val="en-US"/>
        </w:rPr>
        <w:t xml:space="preserve">and </w:t>
      </w:r>
    </w:p>
    <w:p w14:paraId="1B8C42A8" w14:textId="77777777" w:rsidR="006A4389" w:rsidRPr="006A4389" w:rsidRDefault="006A4389" w:rsidP="006A4389">
      <w:pPr>
        <w:pStyle w:val="ListParagraph"/>
        <w:ind w:left="1129"/>
      </w:pPr>
    </w:p>
    <w:p w14:paraId="79632F63" w14:textId="60C2C193" w:rsidR="009C0484" w:rsidRPr="006A4389" w:rsidRDefault="008F76DC" w:rsidP="006A4389">
      <w:pPr>
        <w:pStyle w:val="ListParagraph"/>
        <w:numPr>
          <w:ilvl w:val="0"/>
          <w:numId w:val="3"/>
        </w:numPr>
      </w:pPr>
      <w:r w:rsidRPr="006A4389">
        <w:rPr>
          <w:lang w:val="en-US"/>
        </w:rPr>
        <w:t xml:space="preserve">concerns with France’s respect of its </w:t>
      </w:r>
      <w:r w:rsidR="006A4389">
        <w:rPr>
          <w:lang w:val="en-US"/>
        </w:rPr>
        <w:t xml:space="preserve">human rights </w:t>
      </w:r>
      <w:r w:rsidRPr="006A4389">
        <w:rPr>
          <w:lang w:val="en-US"/>
        </w:rPr>
        <w:t xml:space="preserve">obligations concerning the transfer of surveillance and biometric technology and other dual use products to China and Egypt, as such technologies can be </w:t>
      </w:r>
      <w:proofErr w:type="spellStart"/>
      <w:r w:rsidRPr="006A4389">
        <w:rPr>
          <w:lang w:val="en-US"/>
        </w:rPr>
        <w:t>weaponised</w:t>
      </w:r>
      <w:proofErr w:type="spellEnd"/>
      <w:r w:rsidRPr="006A4389">
        <w:rPr>
          <w:lang w:val="en-US"/>
        </w:rPr>
        <w:t xml:space="preserve"> to carry out mass surveillance, to discriminate against individuals, to control free speech and to crush dissent</w:t>
      </w:r>
      <w:r w:rsidR="005559E3" w:rsidRPr="006A4389">
        <w:rPr>
          <w:lang w:val="en-US"/>
        </w:rPr>
        <w:t xml:space="preserve">, which </w:t>
      </w:r>
      <w:r w:rsidR="00AA2DDC" w:rsidRPr="006A4389">
        <w:rPr>
          <w:lang w:val="en-US"/>
        </w:rPr>
        <w:t xml:space="preserve">all </w:t>
      </w:r>
      <w:r w:rsidR="005559E3" w:rsidRPr="006A4389">
        <w:rPr>
          <w:lang w:val="en-US"/>
        </w:rPr>
        <w:t xml:space="preserve">can have gendered dimensions. </w:t>
      </w:r>
    </w:p>
    <w:p w14:paraId="18A44F51" w14:textId="728389D3" w:rsidR="00377F34" w:rsidRPr="009C0484" w:rsidRDefault="00377F34" w:rsidP="00E71AC0">
      <w:pPr>
        <w:jc w:val="both"/>
      </w:pPr>
    </w:p>
    <w:p w14:paraId="2433A55D" w14:textId="54EA903A" w:rsidR="001641D4" w:rsidRDefault="002462AF" w:rsidP="00295BB9">
      <w:pPr>
        <w:jc w:val="both"/>
        <w:rPr>
          <w:lang w:val="en-US"/>
        </w:rPr>
      </w:pPr>
      <w:r>
        <w:rPr>
          <w:lang w:val="en-US"/>
        </w:rPr>
        <w:t>Since the issues addre</w:t>
      </w:r>
      <w:r w:rsidR="00C61F7E">
        <w:rPr>
          <w:lang w:val="en-US"/>
        </w:rPr>
        <w:t>ssed in</w:t>
      </w:r>
      <w:r w:rsidR="00377F34">
        <w:rPr>
          <w:lang w:val="en-US"/>
        </w:rPr>
        <w:t xml:space="preserve"> the </w:t>
      </w:r>
      <w:r w:rsidR="00295BB9">
        <w:rPr>
          <w:lang w:val="en-US"/>
        </w:rPr>
        <w:t xml:space="preserve">joint </w:t>
      </w:r>
      <w:r w:rsidR="001641D4">
        <w:rPr>
          <w:lang w:val="en-US"/>
        </w:rPr>
        <w:t xml:space="preserve">submission </w:t>
      </w:r>
      <w:r w:rsidR="006A4389">
        <w:rPr>
          <w:lang w:val="en-US"/>
        </w:rPr>
        <w:t xml:space="preserve">to the Human Rights Committee </w:t>
      </w:r>
      <w:r>
        <w:rPr>
          <w:lang w:val="en-US"/>
        </w:rPr>
        <w:t xml:space="preserve">are </w:t>
      </w:r>
      <w:r w:rsidR="00295BB9">
        <w:rPr>
          <w:lang w:val="en-US"/>
        </w:rPr>
        <w:t xml:space="preserve">very </w:t>
      </w:r>
      <w:r>
        <w:rPr>
          <w:lang w:val="en-US"/>
        </w:rPr>
        <w:t>relevant to</w:t>
      </w:r>
      <w:r w:rsidR="00377F34">
        <w:rPr>
          <w:lang w:val="en-US"/>
        </w:rPr>
        <w:t xml:space="preserve"> the </w:t>
      </w:r>
      <w:r w:rsidR="009C0484">
        <w:rPr>
          <w:lang w:val="en-US"/>
        </w:rPr>
        <w:t>CEDAW</w:t>
      </w:r>
      <w:r w:rsidR="00377F34">
        <w:rPr>
          <w:lang w:val="en-US"/>
        </w:rPr>
        <w:t xml:space="preserve"> Committee’s preparation of the list of issues </w:t>
      </w:r>
      <w:r w:rsidR="009C0484">
        <w:rPr>
          <w:lang w:val="en-US"/>
        </w:rPr>
        <w:t>for France</w:t>
      </w:r>
      <w:r w:rsidR="00377F34">
        <w:rPr>
          <w:lang w:val="en-US"/>
        </w:rPr>
        <w:t xml:space="preserve">, </w:t>
      </w:r>
      <w:r w:rsidR="00295BB9">
        <w:rPr>
          <w:lang w:val="en-US"/>
        </w:rPr>
        <w:t>we</w:t>
      </w:r>
      <w:r>
        <w:rPr>
          <w:lang w:val="en-US"/>
        </w:rPr>
        <w:t xml:space="preserve"> are bringing</w:t>
      </w:r>
      <w:r w:rsidR="00C61F7E">
        <w:rPr>
          <w:lang w:val="en-US"/>
        </w:rPr>
        <w:t xml:space="preserve"> </w:t>
      </w:r>
      <w:r w:rsidR="0056222B">
        <w:rPr>
          <w:lang w:val="en-US"/>
        </w:rPr>
        <w:t xml:space="preserve">some extracts from it to the CEDAW Committee’s </w:t>
      </w:r>
      <w:r w:rsidR="00377F34">
        <w:rPr>
          <w:lang w:val="en-US"/>
        </w:rPr>
        <w:t xml:space="preserve">attention.  </w:t>
      </w:r>
      <w:r w:rsidR="00295BB9">
        <w:rPr>
          <w:lang w:val="en-US"/>
        </w:rPr>
        <w:t xml:space="preserve">Our </w:t>
      </w:r>
      <w:proofErr w:type="spellStart"/>
      <w:r w:rsidR="00295BB9">
        <w:rPr>
          <w:lang w:val="en-US"/>
        </w:rPr>
        <w:t>organisations</w:t>
      </w:r>
      <w:proofErr w:type="spellEnd"/>
      <w:r w:rsidR="00295BB9">
        <w:rPr>
          <w:lang w:val="en-US"/>
        </w:rPr>
        <w:t xml:space="preserve"> </w:t>
      </w:r>
      <w:r w:rsidR="00C61F7E">
        <w:rPr>
          <w:lang w:val="en-US"/>
        </w:rPr>
        <w:t xml:space="preserve">will </w:t>
      </w:r>
      <w:r w:rsidR="00C61F7E">
        <w:rPr>
          <w:lang w:val="en-US"/>
        </w:rPr>
        <w:lastRenderedPageBreak/>
        <w:t xml:space="preserve">be pleased to respond to </w:t>
      </w:r>
      <w:r w:rsidR="00B6669D">
        <w:rPr>
          <w:lang w:val="en-US"/>
        </w:rPr>
        <w:t xml:space="preserve">the </w:t>
      </w:r>
      <w:r w:rsidR="00295BB9">
        <w:rPr>
          <w:lang w:val="en-US"/>
        </w:rPr>
        <w:t xml:space="preserve">CEDAW </w:t>
      </w:r>
      <w:r w:rsidR="00301948">
        <w:t>Committee’s</w:t>
      </w:r>
      <w:r w:rsidR="001641D4">
        <w:rPr>
          <w:lang w:val="en-US"/>
        </w:rPr>
        <w:t xml:space="preserve"> </w:t>
      </w:r>
      <w:r w:rsidR="00C61F7E">
        <w:rPr>
          <w:lang w:val="en-US"/>
        </w:rPr>
        <w:t>questions</w:t>
      </w:r>
      <w:r w:rsidR="001641D4">
        <w:rPr>
          <w:lang w:val="en-US"/>
        </w:rPr>
        <w:t xml:space="preserve"> </w:t>
      </w:r>
      <w:r w:rsidR="0056222B">
        <w:rPr>
          <w:lang w:val="en-US"/>
        </w:rPr>
        <w:t xml:space="preserve">or </w:t>
      </w:r>
      <w:r w:rsidR="001641D4">
        <w:rPr>
          <w:lang w:val="en-US"/>
        </w:rPr>
        <w:t>requests for additional information</w:t>
      </w:r>
      <w:r w:rsidR="00295BB9">
        <w:rPr>
          <w:lang w:val="en-US"/>
        </w:rPr>
        <w:t xml:space="preserve">, including recent relevant updates. </w:t>
      </w:r>
    </w:p>
    <w:p w14:paraId="4D50BA27" w14:textId="2D023D7D" w:rsidR="00295BB9" w:rsidRDefault="00295BB9" w:rsidP="00295BB9">
      <w:pPr>
        <w:jc w:val="both"/>
        <w:rPr>
          <w:lang w:val="en-US"/>
        </w:rPr>
      </w:pPr>
    </w:p>
    <w:p w14:paraId="49FDBDA6" w14:textId="240B1D7F" w:rsidR="00295BB9" w:rsidRDefault="00295BB9" w:rsidP="00295BB9">
      <w:pPr>
        <w:jc w:val="both"/>
      </w:pPr>
      <w:r>
        <w:rPr>
          <w:lang w:val="en-US"/>
        </w:rPr>
        <w:t xml:space="preserve">With regard to arms transfers, </w:t>
      </w:r>
      <w:r w:rsidR="0056222B">
        <w:rPr>
          <w:lang w:val="en-US"/>
        </w:rPr>
        <w:t xml:space="preserve">we note that, </w:t>
      </w:r>
      <w:r>
        <w:rPr>
          <w:lang w:val="en-US"/>
        </w:rPr>
        <w:t xml:space="preserve">in addition to the information provided in the appendix, </w:t>
      </w:r>
      <w:r w:rsidR="0056222B">
        <w:rPr>
          <w:lang w:val="en-US"/>
        </w:rPr>
        <w:t>on 14</w:t>
      </w:r>
      <w:r>
        <w:rPr>
          <w:lang w:val="en-US"/>
        </w:rPr>
        <w:t xml:space="preserve"> September 2021 the (now former) Group of Experts </w:t>
      </w:r>
      <w:r w:rsidR="0056222B">
        <w:rPr>
          <w:lang w:val="en-US"/>
        </w:rPr>
        <w:t xml:space="preserve">(GEE) </w:t>
      </w:r>
      <w:r>
        <w:rPr>
          <w:lang w:val="en-US"/>
        </w:rPr>
        <w:t>on Yemen reported the Human Rights Council that “</w:t>
      </w:r>
      <w:r w:rsidRPr="00295BB9">
        <w:t xml:space="preserve">Notwithstanding the strong recommendations by the Group of Eminent Experts in previous reports with respect to arms sales, third States, including </w:t>
      </w:r>
      <w:r>
        <w:t>(…)</w:t>
      </w:r>
      <w:r w:rsidRPr="00295BB9">
        <w:t xml:space="preserve"> France</w:t>
      </w:r>
      <w:r>
        <w:t xml:space="preserve"> (…), </w:t>
      </w:r>
      <w:r w:rsidRPr="00295BB9">
        <w:rPr>
          <w:lang w:val="en-US"/>
        </w:rPr>
        <w:t>continued their support of parties to the conflict, including through arms transfers.</w:t>
      </w:r>
      <w:r>
        <w:rPr>
          <w:lang w:val="en-US"/>
        </w:rPr>
        <w:t>”</w:t>
      </w:r>
      <w:r>
        <w:rPr>
          <w:rStyle w:val="FootnoteReference"/>
          <w:lang w:val="en-US"/>
        </w:rPr>
        <w:footnoteReference w:id="4"/>
      </w:r>
      <w:r>
        <w:rPr>
          <w:lang w:val="en-US"/>
        </w:rPr>
        <w:t xml:space="preserve"> The </w:t>
      </w:r>
      <w:r w:rsidR="0056222B">
        <w:rPr>
          <w:lang w:val="en-US"/>
        </w:rPr>
        <w:t>GEE</w:t>
      </w:r>
      <w:r>
        <w:rPr>
          <w:lang w:val="en-US"/>
        </w:rPr>
        <w:t xml:space="preserve"> also reported that </w:t>
      </w:r>
      <w:r>
        <w:t>France’s</w:t>
      </w:r>
      <w:r w:rsidRPr="00295BB9">
        <w:t xml:space="preserve"> biggest client was Saudi Arabia, with orders received in 2020 worth some </w:t>
      </w:r>
      <w:r>
        <w:t xml:space="preserve">EUR </w:t>
      </w:r>
      <w:r w:rsidRPr="00295BB9">
        <w:t>703.9 million</w:t>
      </w:r>
      <w:r>
        <w:t xml:space="preserve">. </w:t>
      </w:r>
    </w:p>
    <w:p w14:paraId="16C7D8EB" w14:textId="765FF91C" w:rsidR="00295BB9" w:rsidRPr="00BB2DBF" w:rsidRDefault="00295BB9" w:rsidP="00295BB9">
      <w:pPr>
        <w:jc w:val="both"/>
        <w:rPr>
          <w:lang w:val="en-US"/>
        </w:rPr>
      </w:pPr>
    </w:p>
    <w:p w14:paraId="5AE490F8" w14:textId="7AFF4963" w:rsidR="00295BB9" w:rsidRDefault="00295BB9" w:rsidP="00295BB9">
      <w:pPr>
        <w:jc w:val="both"/>
        <w:rPr>
          <w:b/>
          <w:bCs/>
          <w:lang w:val="en-US"/>
        </w:rPr>
      </w:pPr>
      <w:r>
        <w:rPr>
          <w:b/>
          <w:bCs/>
          <w:lang w:val="en-US"/>
        </w:rPr>
        <w:t xml:space="preserve">Suggested questions </w:t>
      </w:r>
    </w:p>
    <w:p w14:paraId="2EAF49C9" w14:textId="77777777" w:rsidR="00295BB9" w:rsidRPr="00295BB9" w:rsidRDefault="00295BB9" w:rsidP="00295BB9">
      <w:pPr>
        <w:jc w:val="both"/>
        <w:rPr>
          <w:b/>
          <w:bCs/>
          <w:lang w:val="en-US"/>
        </w:rPr>
      </w:pPr>
    </w:p>
    <w:p w14:paraId="301914D4" w14:textId="3DF18AA0" w:rsidR="00295BB9" w:rsidRDefault="00295BB9" w:rsidP="00295BB9">
      <w:pPr>
        <w:jc w:val="both"/>
        <w:rPr>
          <w:lang w:val="en-US"/>
        </w:rPr>
      </w:pPr>
      <w:r>
        <w:rPr>
          <w:lang w:val="en-US"/>
        </w:rPr>
        <w:t>In light the concerns highlighted in the submission, we strongly encourage the CEDAW Committee to ask the following questions:</w:t>
      </w:r>
    </w:p>
    <w:p w14:paraId="2B72D9E6" w14:textId="77777777" w:rsidR="00295BB9" w:rsidRPr="00345346" w:rsidRDefault="00295BB9" w:rsidP="00295BB9">
      <w:pPr>
        <w:jc w:val="both"/>
      </w:pPr>
    </w:p>
    <w:p w14:paraId="701E1D7A" w14:textId="03D5BB93" w:rsidR="00295BB9" w:rsidRPr="00345346" w:rsidRDefault="00295BB9" w:rsidP="00295BB9">
      <w:pPr>
        <w:numPr>
          <w:ilvl w:val="0"/>
          <w:numId w:val="5"/>
        </w:numPr>
        <w:jc w:val="both"/>
      </w:pPr>
      <w:r w:rsidRPr="00345346">
        <w:t xml:space="preserve">Measures it has taken to ensure a full ban of arms transfers to all countries involved in the Coalition in Yemen and to any country where there is a clear risk that these arms might be used to violate international human rights law and/or of international humanitarian law, including the rights protected under the </w:t>
      </w:r>
      <w:r>
        <w:t>CEDAW</w:t>
      </w:r>
      <w:r w:rsidRPr="00345346">
        <w:t xml:space="preserve">; </w:t>
      </w:r>
    </w:p>
    <w:p w14:paraId="4E5DB1C1" w14:textId="77777777" w:rsidR="00295BB9" w:rsidRPr="00345346" w:rsidRDefault="00295BB9" w:rsidP="00295BB9">
      <w:pPr>
        <w:numPr>
          <w:ilvl w:val="0"/>
          <w:numId w:val="5"/>
        </w:numPr>
        <w:jc w:val="both"/>
      </w:pPr>
      <w:r w:rsidRPr="00345346">
        <w:t>Measures it has taken to ensure that the relevant export authorities in France comply with their obligations under the EU Common Position and the Arms Trade Treaty, in particular by including in their assessment for granting licenses a monitoring of whether the recipient country is using licensed weapons in compliance with international humanitarian law and international human rights law.</w:t>
      </w:r>
    </w:p>
    <w:p w14:paraId="7B790A42" w14:textId="77777777" w:rsidR="00295BB9" w:rsidRPr="00345346" w:rsidRDefault="00295BB9" w:rsidP="00295BB9">
      <w:pPr>
        <w:jc w:val="both"/>
      </w:pPr>
    </w:p>
    <w:p w14:paraId="6D8B7B50" w14:textId="0F5974F6" w:rsidR="00295BB9" w:rsidRPr="00345346" w:rsidRDefault="00295BB9" w:rsidP="00295BB9">
      <w:pPr>
        <w:numPr>
          <w:ilvl w:val="0"/>
          <w:numId w:val="5"/>
        </w:numPr>
        <w:jc w:val="both"/>
      </w:pPr>
      <w:r w:rsidRPr="00345346">
        <w:t xml:space="preserve">With regards to the </w:t>
      </w:r>
      <w:r>
        <w:t xml:space="preserve">2017 </w:t>
      </w:r>
      <w:r w:rsidRPr="00345346">
        <w:t>French duty of vigilance law</w:t>
      </w:r>
      <w:r>
        <w:t xml:space="preserve"> applying to French companies (</w:t>
      </w:r>
      <w:proofErr w:type="spellStart"/>
      <w:r w:rsidRPr="00487BB3">
        <w:rPr>
          <w:bCs/>
          <w:i/>
        </w:rPr>
        <w:t>loi</w:t>
      </w:r>
      <w:proofErr w:type="spellEnd"/>
      <w:r w:rsidRPr="00487BB3">
        <w:rPr>
          <w:bCs/>
          <w:i/>
        </w:rPr>
        <w:t xml:space="preserve"> n° 2017-399 du 27 mars 2017 relative au devoir de vigilance des </w:t>
      </w:r>
      <w:proofErr w:type="spellStart"/>
      <w:r w:rsidRPr="00487BB3">
        <w:rPr>
          <w:bCs/>
          <w:i/>
        </w:rPr>
        <w:t>sociétés</w:t>
      </w:r>
      <w:proofErr w:type="spellEnd"/>
      <w:r w:rsidRPr="00487BB3">
        <w:rPr>
          <w:bCs/>
          <w:i/>
        </w:rPr>
        <w:t xml:space="preserve"> </w:t>
      </w:r>
      <w:proofErr w:type="spellStart"/>
      <w:r w:rsidRPr="00487BB3">
        <w:rPr>
          <w:bCs/>
          <w:i/>
        </w:rPr>
        <w:t>mères</w:t>
      </w:r>
      <w:proofErr w:type="spellEnd"/>
      <w:r w:rsidRPr="00487BB3">
        <w:rPr>
          <w:bCs/>
          <w:i/>
        </w:rPr>
        <w:t xml:space="preserve"> et des </w:t>
      </w:r>
      <w:proofErr w:type="spellStart"/>
      <w:r w:rsidRPr="00487BB3">
        <w:rPr>
          <w:bCs/>
          <w:i/>
        </w:rPr>
        <w:t>entreprises</w:t>
      </w:r>
      <w:proofErr w:type="spellEnd"/>
      <w:r>
        <w:rPr>
          <w:bCs/>
          <w:iCs/>
        </w:rPr>
        <w:t>)</w:t>
      </w:r>
      <w:r>
        <w:t xml:space="preserve"> and which is cited in France’s periodic report to the CEDAW Committee:</w:t>
      </w:r>
      <w:r>
        <w:rPr>
          <w:rStyle w:val="FootnoteReference"/>
        </w:rPr>
        <w:footnoteReference w:id="5"/>
      </w:r>
      <w:r w:rsidRPr="00345346">
        <w:t xml:space="preserve"> </w:t>
      </w:r>
    </w:p>
    <w:p w14:paraId="1B06974A" w14:textId="77777777" w:rsidR="00295BB9" w:rsidRPr="00345346" w:rsidRDefault="00295BB9" w:rsidP="00295BB9">
      <w:pPr>
        <w:jc w:val="both"/>
      </w:pPr>
    </w:p>
    <w:p w14:paraId="66E6A2A9" w14:textId="77777777" w:rsidR="00295BB9" w:rsidRPr="00345346" w:rsidRDefault="00295BB9" w:rsidP="00295BB9">
      <w:pPr>
        <w:numPr>
          <w:ilvl w:val="0"/>
          <w:numId w:val="7"/>
        </w:numPr>
        <w:jc w:val="both"/>
      </w:pPr>
      <w:r w:rsidRPr="00345346">
        <w:t>Measures it has taken to monitor and follow-up on the implementation of the duty of vigilance in the French arms industry, including in companies’ global arms transfers operations, supply chains and joint ventures, as well as by companies producing surveillance technologies;</w:t>
      </w:r>
    </w:p>
    <w:p w14:paraId="38FB10C0" w14:textId="075590EF" w:rsidR="00295BB9" w:rsidRPr="00345346" w:rsidRDefault="00295BB9" w:rsidP="00295BB9">
      <w:pPr>
        <w:numPr>
          <w:ilvl w:val="0"/>
          <w:numId w:val="7"/>
        </w:numPr>
        <w:jc w:val="both"/>
      </w:pPr>
      <w:r w:rsidRPr="00345346">
        <w:t xml:space="preserve">In particular, measures it has taken to ensure that, as part of its implementation of the duty of vigilance law, defence and surveillance companies include in any commercial contract related to weapons and surveillance technologies conditions on compliance with international human </w:t>
      </w:r>
      <w:proofErr w:type="gramStart"/>
      <w:r w:rsidRPr="00345346">
        <w:t xml:space="preserve">rights </w:t>
      </w:r>
      <w:r>
        <w:t xml:space="preserve"> law</w:t>
      </w:r>
      <w:proofErr w:type="gramEnd"/>
      <w:r>
        <w:t xml:space="preserve"> </w:t>
      </w:r>
      <w:r w:rsidRPr="00345346">
        <w:t xml:space="preserve">and </w:t>
      </w:r>
      <w:r>
        <w:t>IHL</w:t>
      </w:r>
      <w:r w:rsidRPr="00345346">
        <w:t xml:space="preserve">, including the contractual possibility of suspending or withdrawing products and services for non-compliance. </w:t>
      </w:r>
    </w:p>
    <w:p w14:paraId="12BE6A0C" w14:textId="77777777" w:rsidR="00295BB9" w:rsidRPr="00345346" w:rsidRDefault="00295BB9" w:rsidP="00295BB9">
      <w:pPr>
        <w:jc w:val="both"/>
      </w:pPr>
    </w:p>
    <w:p w14:paraId="2DF70F19" w14:textId="77777777" w:rsidR="00295BB9" w:rsidRPr="00345346" w:rsidRDefault="00295BB9" w:rsidP="00295BB9">
      <w:pPr>
        <w:numPr>
          <w:ilvl w:val="0"/>
          <w:numId w:val="5"/>
        </w:numPr>
        <w:jc w:val="both"/>
      </w:pPr>
      <w:r w:rsidRPr="00345346">
        <w:lastRenderedPageBreak/>
        <w:t>Given its central role as a shareholder in major French defence companies:</w:t>
      </w:r>
    </w:p>
    <w:p w14:paraId="7A0B0985" w14:textId="77777777" w:rsidR="00295BB9" w:rsidRPr="00345346" w:rsidRDefault="00295BB9" w:rsidP="00295BB9">
      <w:pPr>
        <w:jc w:val="both"/>
      </w:pPr>
    </w:p>
    <w:p w14:paraId="1479328C" w14:textId="77777777" w:rsidR="00295BB9" w:rsidRPr="00345346" w:rsidRDefault="00295BB9" w:rsidP="00295BB9">
      <w:pPr>
        <w:numPr>
          <w:ilvl w:val="0"/>
          <w:numId w:val="6"/>
        </w:numPr>
        <w:jc w:val="both"/>
      </w:pPr>
      <w:r w:rsidRPr="00345346">
        <w:t xml:space="preserve">Measures it has taken to ensure, through its shareholder prerogatives and obligations, the respect of the duty of vigilance by companies over which it exercises financial or operational control; </w:t>
      </w:r>
    </w:p>
    <w:p w14:paraId="0894E8D3" w14:textId="589FA2B7" w:rsidR="00295BB9" w:rsidRPr="00345346" w:rsidRDefault="00295BB9" w:rsidP="00295BB9">
      <w:pPr>
        <w:numPr>
          <w:ilvl w:val="0"/>
          <w:numId w:val="6"/>
        </w:numPr>
        <w:jc w:val="both"/>
      </w:pPr>
      <w:r w:rsidRPr="00345346">
        <w:t xml:space="preserve">Measures it has taken to ensure that the French </w:t>
      </w:r>
      <w:r w:rsidRPr="00487BB3">
        <w:rPr>
          <w:lang w:val="en-US"/>
        </w:rPr>
        <w:t>“</w:t>
      </w:r>
      <w:proofErr w:type="spellStart"/>
      <w:r w:rsidRPr="00487BB3">
        <w:rPr>
          <w:lang w:val="en-US"/>
        </w:rPr>
        <w:t>Agence</w:t>
      </w:r>
      <w:proofErr w:type="spellEnd"/>
      <w:r w:rsidRPr="00487BB3">
        <w:rPr>
          <w:lang w:val="en-US"/>
        </w:rPr>
        <w:t xml:space="preserve"> de Participation de </w:t>
      </w:r>
      <w:proofErr w:type="spellStart"/>
      <w:r w:rsidRPr="00487BB3">
        <w:rPr>
          <w:lang w:val="en-US"/>
        </w:rPr>
        <w:t>l’État</w:t>
      </w:r>
      <w:proofErr w:type="spellEnd"/>
      <w:r w:rsidRPr="00487BB3">
        <w:rPr>
          <w:lang w:val="en-US"/>
        </w:rPr>
        <w:t>”</w:t>
      </w:r>
      <w:r w:rsidRPr="00345346">
        <w:t xml:space="preserve"> (Agency on the State’s Participation) which manages the State’s portfolio of shareholdings and incarnates the State-investor, abides by both the human rights due diligence obligations under French law and </w:t>
      </w:r>
      <w:r>
        <w:t>CEDAW</w:t>
      </w:r>
      <w:r w:rsidRPr="00345346">
        <w:t>.</w:t>
      </w:r>
    </w:p>
    <w:p w14:paraId="53B49076" w14:textId="77777777" w:rsidR="00295BB9" w:rsidRPr="00345346" w:rsidRDefault="00295BB9" w:rsidP="00295BB9">
      <w:pPr>
        <w:jc w:val="both"/>
      </w:pPr>
    </w:p>
    <w:p w14:paraId="5116E658" w14:textId="77777777" w:rsidR="00295BB9" w:rsidRPr="00345346" w:rsidRDefault="00295BB9" w:rsidP="00295BB9">
      <w:pPr>
        <w:numPr>
          <w:ilvl w:val="0"/>
          <w:numId w:val="5"/>
        </w:numPr>
        <w:jc w:val="both"/>
      </w:pPr>
      <w:r w:rsidRPr="00345346">
        <w:t>Measures it has taken to ensure meaningful legislative control over French arms exported, by increasing transparency around its decision-making process for authorizing or denying exports in accordance with the ATT and the EU Common Position, as well as information on:</w:t>
      </w:r>
    </w:p>
    <w:p w14:paraId="768F91E3" w14:textId="77777777" w:rsidR="00295BB9" w:rsidRPr="00345346" w:rsidRDefault="00295BB9" w:rsidP="00295BB9">
      <w:pPr>
        <w:jc w:val="both"/>
      </w:pPr>
    </w:p>
    <w:p w14:paraId="7CDC9C16" w14:textId="77777777" w:rsidR="00295BB9" w:rsidRPr="00345346" w:rsidRDefault="00295BB9" w:rsidP="00295BB9">
      <w:pPr>
        <w:numPr>
          <w:ilvl w:val="0"/>
          <w:numId w:val="6"/>
        </w:numPr>
        <w:jc w:val="both"/>
      </w:pPr>
      <w:r w:rsidRPr="00345346">
        <w:t xml:space="preserve">The end-user and end-use of exported weapons; </w:t>
      </w:r>
    </w:p>
    <w:p w14:paraId="365CE41D" w14:textId="77777777" w:rsidR="00295BB9" w:rsidRPr="00345346" w:rsidRDefault="00295BB9" w:rsidP="00295BB9">
      <w:pPr>
        <w:numPr>
          <w:ilvl w:val="0"/>
          <w:numId w:val="6"/>
        </w:numPr>
        <w:jc w:val="both"/>
      </w:pPr>
      <w:r w:rsidRPr="00345346">
        <w:t>Comprehensive data on dates of orders and deliveries, in line in particular with the recommendations made by the French Parliament in November 2020 and French civil society;</w:t>
      </w:r>
    </w:p>
    <w:p w14:paraId="24A80A92" w14:textId="77777777" w:rsidR="00295BB9" w:rsidRPr="00345346" w:rsidRDefault="00295BB9" w:rsidP="00295BB9">
      <w:pPr>
        <w:numPr>
          <w:ilvl w:val="0"/>
          <w:numId w:val="6"/>
        </w:numPr>
        <w:jc w:val="both"/>
      </w:pPr>
      <w:r w:rsidRPr="00345346">
        <w:t xml:space="preserve">The export refusals by country and by criteria of the EU Common Position; </w:t>
      </w:r>
    </w:p>
    <w:p w14:paraId="5DAA5B4E" w14:textId="77777777" w:rsidR="00295BB9" w:rsidRPr="00345346" w:rsidRDefault="00295BB9" w:rsidP="00295BB9">
      <w:pPr>
        <w:numPr>
          <w:ilvl w:val="0"/>
          <w:numId w:val="6"/>
        </w:numPr>
        <w:jc w:val="both"/>
      </w:pPr>
      <w:r w:rsidRPr="00345346">
        <w:t>The guarantees imposed on the end-use as well as on the possible mitigation measures put in place;</w:t>
      </w:r>
    </w:p>
    <w:p w14:paraId="6B7D9820" w14:textId="77777777" w:rsidR="00295BB9" w:rsidRPr="00345346" w:rsidRDefault="00295BB9" w:rsidP="00295BB9">
      <w:pPr>
        <w:numPr>
          <w:ilvl w:val="0"/>
          <w:numId w:val="6"/>
        </w:numPr>
        <w:jc w:val="both"/>
      </w:pPr>
      <w:r w:rsidRPr="00345346">
        <w:t>The use of intermediaries in the production or transfer of weapons.</w:t>
      </w:r>
    </w:p>
    <w:p w14:paraId="4C41E6D4" w14:textId="77777777" w:rsidR="00295BB9" w:rsidRPr="00345346" w:rsidRDefault="00295BB9" w:rsidP="00295BB9">
      <w:pPr>
        <w:jc w:val="both"/>
      </w:pPr>
    </w:p>
    <w:p w14:paraId="17413FBD" w14:textId="77777777" w:rsidR="00295BB9" w:rsidRPr="00345346" w:rsidRDefault="00295BB9" w:rsidP="00295BB9">
      <w:pPr>
        <w:numPr>
          <w:ilvl w:val="0"/>
          <w:numId w:val="8"/>
        </w:numPr>
        <w:jc w:val="both"/>
      </w:pPr>
      <w:r w:rsidRPr="00345346">
        <w:t xml:space="preserve">With regard to exports of surveillance and biometrics technologies and other dual use products, provide information on measures currently taken to assess the risk of violations of human rights, including but not limited to the right to privacy, freedom of expression, opinion and association, when authorising the export of such technologies, as well as information which is currently provided to the Parliament and the general public on such exports. </w:t>
      </w:r>
    </w:p>
    <w:p w14:paraId="3D36FEA4" w14:textId="77777777" w:rsidR="00295BB9" w:rsidRPr="00345346" w:rsidRDefault="00295BB9" w:rsidP="00295BB9">
      <w:pPr>
        <w:jc w:val="both"/>
      </w:pPr>
    </w:p>
    <w:p w14:paraId="01D3B046" w14:textId="7F3233F2" w:rsidR="00295BB9" w:rsidRPr="00345346" w:rsidRDefault="00295BB9" w:rsidP="00295BB9">
      <w:pPr>
        <w:numPr>
          <w:ilvl w:val="0"/>
          <w:numId w:val="8"/>
        </w:numPr>
        <w:jc w:val="both"/>
      </w:pPr>
      <w:r w:rsidRPr="00345346">
        <w:t xml:space="preserve">Information on how the French government balances its international human rights obligations under </w:t>
      </w:r>
      <w:r>
        <w:t xml:space="preserve">CEDAW </w:t>
      </w:r>
      <w:r w:rsidRPr="00345346">
        <w:t>with its strategic interests with other States, such as in providing arms or surveillance technologies to Egypt as part of counter-terrorism cooperation agreements and on the democratic oversight exercised over such decisions.</w:t>
      </w:r>
    </w:p>
    <w:p w14:paraId="311E26FA" w14:textId="7AC0D57C" w:rsidR="00295BB9" w:rsidRPr="00345346" w:rsidRDefault="00295BB9" w:rsidP="00295BB9">
      <w:pPr>
        <w:jc w:val="both"/>
      </w:pPr>
    </w:p>
    <w:p w14:paraId="6CCA0B7A" w14:textId="7383E373" w:rsidR="00295BB9" w:rsidRPr="00345346" w:rsidRDefault="002D034F" w:rsidP="00295BB9">
      <w:pPr>
        <w:numPr>
          <w:ilvl w:val="0"/>
          <w:numId w:val="8"/>
        </w:numPr>
        <w:jc w:val="both"/>
      </w:pPr>
      <w:r>
        <w:t>With regard to its</w:t>
      </w:r>
      <w:r w:rsidR="00295BB9" w:rsidRPr="00345346">
        <w:t xml:space="preserve"> third NAP on UNSCR 1325</w:t>
      </w:r>
      <w:r>
        <w:t xml:space="preserve"> (2021-2025),</w:t>
      </w:r>
      <w:r>
        <w:rPr>
          <w:rStyle w:val="FootnoteReference"/>
        </w:rPr>
        <w:footnoteReference w:id="6"/>
      </w:r>
      <w:r w:rsidR="00295BB9" w:rsidRPr="00345346">
        <w:t xml:space="preserve"> how </w:t>
      </w:r>
      <w:r w:rsidR="001B7DCC">
        <w:t>was</w:t>
      </w:r>
      <w:r w:rsidR="00295BB9" w:rsidRPr="00345346">
        <w:t xml:space="preserve"> civil society consulted in </w:t>
      </w:r>
      <w:r>
        <w:t xml:space="preserve">its </w:t>
      </w:r>
      <w:r w:rsidR="00295BB9" w:rsidRPr="00345346">
        <w:t xml:space="preserve">elaboration? </w:t>
      </w:r>
      <w:r>
        <w:t xml:space="preserve">Which </w:t>
      </w:r>
      <w:r w:rsidR="00295BB9" w:rsidRPr="00345346">
        <w:t>commitments</w:t>
      </w:r>
      <w:r>
        <w:t xml:space="preserve"> </w:t>
      </w:r>
      <w:r w:rsidR="00A47C18">
        <w:t>were</w:t>
      </w:r>
      <w:r>
        <w:t xml:space="preserve"> included in this NAP</w:t>
      </w:r>
      <w:r w:rsidR="00295BB9" w:rsidRPr="00345346">
        <w:t xml:space="preserve"> </w:t>
      </w:r>
      <w:r w:rsidR="00A47C18">
        <w:t xml:space="preserve">about </w:t>
      </w:r>
      <w:r w:rsidR="00034D3A">
        <w:t xml:space="preserve">measures to </w:t>
      </w:r>
      <w:r w:rsidR="00295BB9" w:rsidRPr="00345346">
        <w:t>prevent the sale and transfer of French weapons and surveillance technologies to conflict-affected countries, where these weapons could be used to commit violence against women, gender-based violence, and repression of civil society including women human rights defenders?</w:t>
      </w:r>
    </w:p>
    <w:p w14:paraId="37DC85E5" w14:textId="0F92BBB3" w:rsidR="00295BB9" w:rsidRDefault="00295BB9" w:rsidP="00E71AC0">
      <w:pPr>
        <w:jc w:val="both"/>
        <w:rPr>
          <w:lang w:val="en-US"/>
        </w:rPr>
      </w:pPr>
    </w:p>
    <w:p w14:paraId="222724E0" w14:textId="52BE630A" w:rsidR="00343261" w:rsidRDefault="00343261" w:rsidP="00E71AC0">
      <w:pPr>
        <w:jc w:val="both"/>
        <w:rPr>
          <w:lang w:val="en-US"/>
        </w:rPr>
      </w:pPr>
    </w:p>
    <w:p w14:paraId="7369BD23" w14:textId="47F46F10" w:rsidR="00345346" w:rsidRDefault="00295BB9" w:rsidP="00CD6B05">
      <w:pPr>
        <w:jc w:val="both"/>
        <w:rPr>
          <w:lang w:val="en-US"/>
        </w:rPr>
      </w:pPr>
      <w:r>
        <w:rPr>
          <w:b/>
          <w:bCs/>
          <w:lang w:val="en-US"/>
        </w:rPr>
        <w:t>Appendix</w:t>
      </w:r>
      <w:r w:rsidR="00343261" w:rsidRPr="00343261">
        <w:rPr>
          <w:b/>
          <w:bCs/>
          <w:lang w:val="en-US"/>
        </w:rPr>
        <w:t xml:space="preserve">: </w:t>
      </w:r>
      <w:r w:rsidR="00DA1107">
        <w:rPr>
          <w:b/>
          <w:bCs/>
          <w:lang w:val="en-US"/>
        </w:rPr>
        <w:t>E</w:t>
      </w:r>
      <w:r w:rsidR="006A4389">
        <w:rPr>
          <w:b/>
          <w:bCs/>
          <w:lang w:val="en-US"/>
        </w:rPr>
        <w:t xml:space="preserve">xtract from the </w:t>
      </w:r>
      <w:r w:rsidR="00700C5A">
        <w:rPr>
          <w:b/>
          <w:bCs/>
          <w:lang w:val="en-US"/>
        </w:rPr>
        <w:t>j</w:t>
      </w:r>
      <w:r w:rsidR="00E71AC0">
        <w:rPr>
          <w:b/>
          <w:bCs/>
          <w:lang w:val="en-US"/>
        </w:rPr>
        <w:t>oint submission</w:t>
      </w:r>
      <w:r w:rsidR="00E71AC0" w:rsidRPr="00E71AC0">
        <w:rPr>
          <w:b/>
          <w:bCs/>
          <w:lang w:val="en-US"/>
        </w:rPr>
        <w:t xml:space="preserve"> </w:t>
      </w:r>
      <w:r w:rsidR="006A4389">
        <w:rPr>
          <w:b/>
          <w:bCs/>
          <w:lang w:val="en-US"/>
        </w:rPr>
        <w:t xml:space="preserve">by </w:t>
      </w:r>
      <w:r w:rsidR="006A4389" w:rsidRPr="00DE7FAE">
        <w:rPr>
          <w:b/>
        </w:rPr>
        <w:t>ECCHR and</w:t>
      </w:r>
      <w:r w:rsidR="006A4389">
        <w:t xml:space="preserve"> </w:t>
      </w:r>
      <w:r w:rsidR="006A4389" w:rsidRPr="00E71AC0">
        <w:rPr>
          <w:b/>
          <w:bCs/>
          <w:lang w:val="en-US"/>
        </w:rPr>
        <w:t xml:space="preserve">the </w:t>
      </w:r>
      <w:r w:rsidR="006A4389">
        <w:rPr>
          <w:b/>
          <w:bCs/>
          <w:lang w:val="en-US"/>
        </w:rPr>
        <w:t xml:space="preserve">WILPF </w:t>
      </w:r>
      <w:r w:rsidR="00E71AC0" w:rsidRPr="00E71AC0">
        <w:rPr>
          <w:b/>
          <w:bCs/>
          <w:lang w:val="en-US"/>
        </w:rPr>
        <w:t xml:space="preserve">to the </w:t>
      </w:r>
      <w:r w:rsidR="00700C5A">
        <w:rPr>
          <w:b/>
          <w:bCs/>
          <w:lang w:val="en-US"/>
        </w:rPr>
        <w:t>Human Rights Committee</w:t>
      </w:r>
      <w:r w:rsidR="00F011A8">
        <w:rPr>
          <w:b/>
          <w:bCs/>
          <w:lang w:val="en-US"/>
        </w:rPr>
        <w:t xml:space="preserve">, </w:t>
      </w:r>
      <w:r w:rsidR="00F011A8" w:rsidRPr="00F011A8">
        <w:rPr>
          <w:b/>
          <w:bCs/>
        </w:rPr>
        <w:t>132nd Session, 28 Jun</w:t>
      </w:r>
      <w:r w:rsidR="00CD6B05">
        <w:rPr>
          <w:b/>
          <w:bCs/>
        </w:rPr>
        <w:t>e</w:t>
      </w:r>
      <w:r w:rsidR="00F011A8" w:rsidRPr="00F011A8">
        <w:rPr>
          <w:b/>
          <w:bCs/>
        </w:rPr>
        <w:t xml:space="preserve"> 2021 - 23 July 2021</w:t>
      </w:r>
      <w:r w:rsidR="00CD6B05">
        <w:rPr>
          <w:b/>
          <w:bCs/>
        </w:rPr>
        <w:t xml:space="preserve"> (L</w:t>
      </w:r>
      <w:r w:rsidR="00AF51BE">
        <w:rPr>
          <w:b/>
          <w:bCs/>
        </w:rPr>
        <w:t>ist of issues prior to reporting France</w:t>
      </w:r>
      <w:r w:rsidR="00CD6B05">
        <w:rPr>
          <w:b/>
          <w:bCs/>
        </w:rPr>
        <w:t>)</w:t>
      </w:r>
      <w:r w:rsidR="00DA1107">
        <w:rPr>
          <w:b/>
          <w:bCs/>
        </w:rPr>
        <w:t xml:space="preserve"> </w:t>
      </w:r>
      <w:r w:rsidR="006A4389">
        <w:rPr>
          <w:rStyle w:val="FootnoteReference"/>
          <w:lang w:val="en-US"/>
        </w:rPr>
        <w:footnoteReference w:id="7"/>
      </w:r>
      <w:r w:rsidR="006A4389">
        <w:rPr>
          <w:lang w:val="en-US"/>
        </w:rPr>
        <w:t xml:space="preserve"> </w:t>
      </w:r>
    </w:p>
    <w:p w14:paraId="7C42B412" w14:textId="2603152B" w:rsidR="008C5EED" w:rsidRDefault="008C5EED" w:rsidP="00CD6B05">
      <w:pPr>
        <w:jc w:val="both"/>
        <w:rPr>
          <w:lang w:val="en-US"/>
        </w:rPr>
      </w:pPr>
    </w:p>
    <w:p w14:paraId="5F4FEB8F" w14:textId="2D08C968" w:rsidR="008C5EED" w:rsidRPr="008C5EED" w:rsidRDefault="008C5EED" w:rsidP="00CD6B05">
      <w:pPr>
        <w:jc w:val="both"/>
        <w:rPr>
          <w:lang w:val="en-US"/>
        </w:rPr>
      </w:pPr>
      <w:r>
        <w:rPr>
          <w:b/>
          <w:bCs/>
          <w:lang w:val="en-US"/>
        </w:rPr>
        <w:t xml:space="preserve">Please note: </w:t>
      </w:r>
      <w:r>
        <w:rPr>
          <w:lang w:val="en-US"/>
        </w:rPr>
        <w:t xml:space="preserve">the information in this section is as of May 2021. </w:t>
      </w:r>
    </w:p>
    <w:p w14:paraId="66300101" w14:textId="77777777" w:rsidR="00345346" w:rsidRPr="00345346" w:rsidRDefault="00345346" w:rsidP="00345346">
      <w:pPr>
        <w:jc w:val="both"/>
        <w:rPr>
          <w:bCs/>
        </w:rPr>
      </w:pPr>
    </w:p>
    <w:p w14:paraId="4180AAD2" w14:textId="5D42C943" w:rsidR="00345346" w:rsidRPr="00345346" w:rsidRDefault="00345346" w:rsidP="00345346">
      <w:pPr>
        <w:jc w:val="both"/>
        <w:rPr>
          <w:b/>
          <w:bCs/>
        </w:rPr>
      </w:pPr>
      <w:r w:rsidRPr="00345346">
        <w:rPr>
          <w:b/>
          <w:bCs/>
        </w:rPr>
        <w:t>The human rights impacts of arms transfers</w:t>
      </w:r>
    </w:p>
    <w:p w14:paraId="002619D4" w14:textId="77777777" w:rsidR="00345346" w:rsidRPr="00345346" w:rsidRDefault="00345346" w:rsidP="00345346">
      <w:pPr>
        <w:jc w:val="both"/>
        <w:rPr>
          <w:b/>
        </w:rPr>
      </w:pPr>
    </w:p>
    <w:p w14:paraId="50B97DD5" w14:textId="77777777" w:rsidR="00345346" w:rsidRPr="00345346" w:rsidRDefault="00345346" w:rsidP="00D06F7F">
      <w:pPr>
        <w:jc w:val="both"/>
      </w:pPr>
      <w:r w:rsidRPr="00345346">
        <w:t>Arms transfers to countries involved in conflicts and experiencing armed violence seriously affect the enjoyment of a wide range of internationally protected human rights. Arms can be used to commit or facilitate violations to the right to life, the right to liberty and security of the person, the right to be free from slavery and from torture and other cruel, inhuman or degrading treatment or punishment. According to the OHCHR report on the impact of arms transfers on the enjoyment of human rights, “The use or threat of use of arms may also undermine the realization of the rights to freedom of expression, association and peaceful assembly”.</w:t>
      </w:r>
      <w:r w:rsidRPr="00345346">
        <w:rPr>
          <w:vertAlign w:val="superscript"/>
        </w:rPr>
        <w:footnoteReference w:id="8"/>
      </w:r>
      <w:r w:rsidRPr="00345346">
        <w:t xml:space="preserve"> </w:t>
      </w:r>
    </w:p>
    <w:p w14:paraId="771D2779" w14:textId="77777777" w:rsidR="00345346" w:rsidRPr="00345346" w:rsidRDefault="00345346" w:rsidP="00D06F7F">
      <w:pPr>
        <w:jc w:val="both"/>
      </w:pPr>
    </w:p>
    <w:p w14:paraId="3480460B" w14:textId="77777777" w:rsidR="00345346" w:rsidRPr="00345346" w:rsidRDefault="00345346" w:rsidP="00D06F7F">
      <w:pPr>
        <w:jc w:val="both"/>
      </w:pPr>
      <w:r w:rsidRPr="00345346">
        <w:t>Since March 2015, the Saudi-led Coalition, including the UAE, has been involved in the Yemen conflict,</w:t>
      </w:r>
      <w:r w:rsidRPr="00345346">
        <w:rPr>
          <w:vertAlign w:val="superscript"/>
        </w:rPr>
        <w:footnoteReference w:id="9"/>
      </w:r>
      <w:r w:rsidRPr="00345346">
        <w:t xml:space="preserve"> conducting airstrikes and a de facto naval and aerial blockade that have had an unprecedented impact on civilians and civilian infrastructure in Yemen, including schools,</w:t>
      </w:r>
      <w:r w:rsidRPr="00345346">
        <w:rPr>
          <w:vertAlign w:val="superscript"/>
        </w:rPr>
        <w:footnoteReference w:id="10"/>
      </w:r>
      <w:r w:rsidRPr="00345346">
        <w:t xml:space="preserve"> medical facilities,</w:t>
      </w:r>
      <w:r w:rsidRPr="00345346">
        <w:rPr>
          <w:vertAlign w:val="superscript"/>
        </w:rPr>
        <w:footnoteReference w:id="11"/>
      </w:r>
      <w:r w:rsidRPr="00345346">
        <w:t xml:space="preserve"> markets, homes, water and sanitation facilities, transportation routes including roads, bridges, and ports, and religious or cultural places.</w:t>
      </w:r>
    </w:p>
    <w:p w14:paraId="380BDBDA" w14:textId="77777777" w:rsidR="00345346" w:rsidRPr="00345346" w:rsidRDefault="00345346" w:rsidP="00D06F7F">
      <w:pPr>
        <w:jc w:val="both"/>
      </w:pPr>
    </w:p>
    <w:p w14:paraId="39FE1B74" w14:textId="77777777" w:rsidR="00345346" w:rsidRPr="00345346" w:rsidRDefault="00345346" w:rsidP="00D06F7F">
      <w:pPr>
        <w:jc w:val="both"/>
      </w:pPr>
      <w:r w:rsidRPr="00345346">
        <w:t xml:space="preserve">In September 2015, the UN High Commissioner for Human Rights reported that: “at least 310 civilian infrastructures were partially or completely destroyed by coalition airstrikes and by ground fighters throughout the country, from 26 March to 30 June 2015. This figure includes 160 private homes and 150 civilian public infrastructures that were partially or </w:t>
      </w:r>
      <w:r w:rsidRPr="00345346">
        <w:lastRenderedPageBreak/>
        <w:t>completely destroyed by the armed conflict”.</w:t>
      </w:r>
      <w:r w:rsidRPr="00345346">
        <w:rPr>
          <w:vertAlign w:val="superscript"/>
        </w:rPr>
        <w:footnoteReference w:id="12"/>
      </w:r>
      <w:r w:rsidRPr="00345346">
        <w:t xml:space="preserve"> Similarly, in 2016, the High Commissioner stated that it “has good reason to believe that the Saudi Arabia-led coalition has violated international humanitarian law on at least ten occasions through airstrikes targeting homes, markets, factories and a hospital”.</w:t>
      </w:r>
      <w:r w:rsidRPr="00345346">
        <w:rPr>
          <w:vertAlign w:val="superscript"/>
        </w:rPr>
        <w:footnoteReference w:id="13"/>
      </w:r>
    </w:p>
    <w:p w14:paraId="64700223" w14:textId="77777777" w:rsidR="00345346" w:rsidRPr="00345346" w:rsidRDefault="00345346" w:rsidP="00D06F7F">
      <w:pPr>
        <w:jc w:val="both"/>
      </w:pPr>
    </w:p>
    <w:p w14:paraId="380EE01E" w14:textId="77777777" w:rsidR="00345346" w:rsidRPr="00345346" w:rsidRDefault="00345346" w:rsidP="00D06F7F">
      <w:pPr>
        <w:jc w:val="both"/>
      </w:pPr>
      <w:r w:rsidRPr="00345346">
        <w:t>In September 2020, the Human Rights Council (the “</w:t>
      </w:r>
      <w:r w:rsidRPr="00345346">
        <w:rPr>
          <w:i/>
        </w:rPr>
        <w:t>HRC</w:t>
      </w:r>
      <w:r w:rsidRPr="00345346">
        <w:t>”)’s Group of Experts (the “</w:t>
      </w:r>
      <w:r w:rsidRPr="00345346">
        <w:rPr>
          <w:i/>
        </w:rPr>
        <w:t>GEE</w:t>
      </w:r>
      <w:r w:rsidRPr="00345346">
        <w:t>”) on Yemen reported that “Airstrikes continue to be carried out by coalition forces without appropriate regard to international law principles of distinction, proportionality and/or precaution. Persistently high civilian casualties from airstrikes on markets and farms, for instance, indicate the coalition may be failing to take all legally necessary measures to protect civilians and civilian objects. Some airstrikes may amount to disproportionate attacks. The Houthis as well as coalition forces are continuing to deploy indirect fire weapons, such as mortars and rockets, including in heavily populated areas. These indiscriminate attacks are killing and wounding civilians and damaging critical infrastructure, such as health facilities. The legacy of landmines unlawfully planted during previous years, is disturbingly apparent, in the deaths and injuries of civilians, e.g. children playing in fields, and in the diminished access to arable lands and fishing areas.”</w:t>
      </w:r>
      <w:r w:rsidRPr="00345346">
        <w:rPr>
          <w:vertAlign w:val="superscript"/>
        </w:rPr>
        <w:footnoteReference w:id="14"/>
      </w:r>
    </w:p>
    <w:p w14:paraId="2DB8ABDA" w14:textId="77777777" w:rsidR="00345346" w:rsidRPr="00345346" w:rsidRDefault="00345346" w:rsidP="00D06F7F">
      <w:pPr>
        <w:jc w:val="both"/>
      </w:pPr>
    </w:p>
    <w:p w14:paraId="20A59294" w14:textId="77777777" w:rsidR="00345346" w:rsidRPr="00345346" w:rsidRDefault="00345346" w:rsidP="00D06F7F">
      <w:pPr>
        <w:jc w:val="both"/>
      </w:pPr>
      <w:r w:rsidRPr="00345346">
        <w:t>Information from the Yemen Data Project</w:t>
      </w:r>
      <w:r w:rsidRPr="00345346">
        <w:rPr>
          <w:vertAlign w:val="superscript"/>
        </w:rPr>
        <w:footnoteReference w:id="15"/>
      </w:r>
      <w:r w:rsidRPr="00345346">
        <w:t xml:space="preserve"> indicates that as of December 2020, the total number of airstrikes recorded since the beginning of the air campaign by this organisation amounted to approximately 22,360, of which 7,365 on military objects and 6,591 on non-military objects.</w:t>
      </w:r>
      <w:r w:rsidRPr="00345346">
        <w:rPr>
          <w:vertAlign w:val="superscript"/>
        </w:rPr>
        <w:footnoteReference w:id="16"/>
      </w:r>
      <w:r w:rsidRPr="00345346">
        <w:t xml:space="preserve"> It is unknown whether there was a legitimate military target present for 8,404 airstrikes.</w:t>
      </w:r>
    </w:p>
    <w:p w14:paraId="0AF4FD14" w14:textId="77777777" w:rsidR="00345346" w:rsidRPr="00345346" w:rsidRDefault="00345346" w:rsidP="00D06F7F">
      <w:pPr>
        <w:jc w:val="both"/>
      </w:pPr>
    </w:p>
    <w:p w14:paraId="739D9C6A" w14:textId="77777777" w:rsidR="00345346" w:rsidRPr="00345346" w:rsidRDefault="00345346" w:rsidP="00D06F7F">
      <w:pPr>
        <w:jc w:val="both"/>
      </w:pPr>
      <w:r w:rsidRPr="00345346">
        <w:t>The letter dated 27 January 2020 from the Panel of Experts on Yemen addressed to the President of the Security Council examined a series of air strikes in 2019, through which it appears that the Coalition violated international humanitarian law and international human rights law.</w:t>
      </w:r>
      <w:r w:rsidRPr="00345346">
        <w:rPr>
          <w:vertAlign w:val="superscript"/>
        </w:rPr>
        <w:footnoteReference w:id="17"/>
      </w:r>
      <w:r w:rsidRPr="00345346">
        <w:t xml:space="preserve"> The Panel of Experts on Yemen estimated that 146 people were killed, and 133 others injured in the eight attacks it documented, including numerous children.</w:t>
      </w:r>
      <w:r w:rsidRPr="00345346">
        <w:rPr>
          <w:vertAlign w:val="superscript"/>
        </w:rPr>
        <w:footnoteReference w:id="18"/>
      </w:r>
      <w:r w:rsidRPr="00345346">
        <w:t xml:space="preserve"> </w:t>
      </w:r>
    </w:p>
    <w:p w14:paraId="00867889" w14:textId="77777777" w:rsidR="00345346" w:rsidRPr="00345346" w:rsidRDefault="00345346" w:rsidP="00D06F7F">
      <w:pPr>
        <w:jc w:val="both"/>
      </w:pPr>
    </w:p>
    <w:p w14:paraId="41CAD425" w14:textId="77777777" w:rsidR="00345346" w:rsidRPr="00345346" w:rsidRDefault="00345346" w:rsidP="00D06F7F">
      <w:pPr>
        <w:jc w:val="both"/>
      </w:pPr>
      <w:r w:rsidRPr="00345346">
        <w:t xml:space="preserve">The military operations of the Saudi-led Coalition constitute not only serious violations of international humanitarian law, but also violate a wide range of civil and political rights of </w:t>
      </w:r>
      <w:r w:rsidRPr="00345346">
        <w:lastRenderedPageBreak/>
        <w:t>the Yemeni people. These include the right to life,</w:t>
      </w:r>
      <w:r w:rsidRPr="00345346">
        <w:rPr>
          <w:vertAlign w:val="superscript"/>
        </w:rPr>
        <w:footnoteReference w:id="19"/>
      </w:r>
      <w:r w:rsidRPr="00345346">
        <w:t xml:space="preserve"> the right to liberty and security including freedom from arbitrary detention,</w:t>
      </w:r>
      <w:r w:rsidRPr="00345346">
        <w:rPr>
          <w:vertAlign w:val="superscript"/>
        </w:rPr>
        <w:footnoteReference w:id="20"/>
      </w:r>
      <w:r w:rsidRPr="00345346">
        <w:t xml:space="preserve"> the right to freedom of expression, association and peaceful assembly,</w:t>
      </w:r>
      <w:r w:rsidRPr="00345346">
        <w:rPr>
          <w:vertAlign w:val="superscript"/>
        </w:rPr>
        <w:footnoteReference w:id="21"/>
      </w:r>
      <w:r w:rsidRPr="00345346">
        <w:t xml:space="preserve"> freedom from torture or cruel, inhuman or degrading treatment or punishment.</w:t>
      </w:r>
      <w:r w:rsidRPr="00345346">
        <w:rPr>
          <w:vertAlign w:val="superscript"/>
        </w:rPr>
        <w:footnoteReference w:id="22"/>
      </w:r>
      <w:r w:rsidRPr="00345346">
        <w:t xml:space="preserve"> Several of these rights under the ICCPR are explicitly non-</w:t>
      </w:r>
      <w:proofErr w:type="spellStart"/>
      <w:r w:rsidRPr="00345346">
        <w:t>derogable</w:t>
      </w:r>
      <w:proofErr w:type="spellEnd"/>
      <w:r w:rsidRPr="00345346">
        <w:t>.</w:t>
      </w:r>
      <w:r w:rsidRPr="00345346">
        <w:rPr>
          <w:vertAlign w:val="superscript"/>
        </w:rPr>
        <w:footnoteReference w:id="23"/>
      </w:r>
    </w:p>
    <w:p w14:paraId="1D396803" w14:textId="77777777" w:rsidR="00345346" w:rsidRPr="00345346" w:rsidRDefault="00345346" w:rsidP="00345346">
      <w:pPr>
        <w:jc w:val="both"/>
      </w:pPr>
    </w:p>
    <w:p w14:paraId="3E57EE7E" w14:textId="77777777" w:rsidR="00345346" w:rsidRPr="00345346" w:rsidRDefault="00345346" w:rsidP="00345346">
      <w:pPr>
        <w:jc w:val="both"/>
        <w:rPr>
          <w:b/>
          <w:bCs/>
        </w:rPr>
      </w:pPr>
      <w:bookmarkStart w:id="0" w:name="_Toc92895830"/>
      <w:r w:rsidRPr="00345346">
        <w:rPr>
          <w:b/>
          <w:bCs/>
        </w:rPr>
        <w:t>Gendered human rights impacts of arms transfers</w:t>
      </w:r>
      <w:bookmarkEnd w:id="0"/>
    </w:p>
    <w:p w14:paraId="4E65227A" w14:textId="77777777" w:rsidR="00345346" w:rsidRPr="00345346" w:rsidRDefault="00345346" w:rsidP="00345346">
      <w:pPr>
        <w:jc w:val="both"/>
        <w:rPr>
          <w:b/>
          <w:u w:val="single"/>
        </w:rPr>
      </w:pPr>
    </w:p>
    <w:p w14:paraId="18E87FD5" w14:textId="77777777" w:rsidR="00345346" w:rsidRPr="00345346" w:rsidRDefault="00345346" w:rsidP="00D06F7F">
      <w:pPr>
        <w:jc w:val="both"/>
      </w:pPr>
      <w:r w:rsidRPr="00345346">
        <w:t>In such a context, women and girls often suffer gravely and disproportionately due to forced displacement, sexual violence, trafficking, and lack of access to health care (including sexual and reproductive health) and to victim and survivor assistance.</w:t>
      </w:r>
      <w:r w:rsidRPr="00345346">
        <w:rPr>
          <w:vertAlign w:val="superscript"/>
        </w:rPr>
        <w:footnoteReference w:id="24"/>
      </w:r>
      <w:r w:rsidRPr="00345346">
        <w:t xml:space="preserve"> The 2019 report of the GEE on Yemen as well as a joint report by WILPF and partners offer in-depth analyses how the armed conflict has exacerbated already deeply rooted gender inequalities.</w:t>
      </w:r>
      <w:r w:rsidRPr="00345346">
        <w:rPr>
          <w:vertAlign w:val="superscript"/>
        </w:rPr>
        <w:footnoteReference w:id="25"/>
      </w:r>
      <w:r w:rsidRPr="00345346">
        <w:t xml:space="preserve"> Hospitals, schools, markets, and houses have been damaged, and destroyed by explosive weapons. The large destructive radius of such weapons means that even the striking of military targets within a populated area has caused the destruction or damaging of civilian infrastructure, such as health and education facilities and houses.</w:t>
      </w:r>
      <w:r w:rsidRPr="00345346">
        <w:rPr>
          <w:vertAlign w:val="superscript"/>
        </w:rPr>
        <w:footnoteReference w:id="26"/>
      </w:r>
      <w:r w:rsidRPr="00345346">
        <w:t xml:space="preserve"> The United Nations Office for the Coordination of Humanitarian Affairs has reported that “conflict and displacement have increased the risks of gender-based violence, especially sexual violence, domestic violence, and early marriage. Reports indicate an upward trend in violence against women and girls with 70 per cent more incidents reported today against those reported prior to March 2015. Gender-based violence disproportionately impacts women in Yemen, including those already facing elevated protection risks, such as internally displaced persons and other vulnerable groups”.</w:t>
      </w:r>
      <w:r w:rsidRPr="00345346">
        <w:rPr>
          <w:vertAlign w:val="superscript"/>
        </w:rPr>
        <w:footnoteReference w:id="27"/>
      </w:r>
      <w:r w:rsidRPr="00345346">
        <w:t xml:space="preserve"> </w:t>
      </w:r>
    </w:p>
    <w:p w14:paraId="2A7CDC3B" w14:textId="77777777" w:rsidR="00345346" w:rsidRPr="00345346" w:rsidRDefault="00345346" w:rsidP="00D06F7F">
      <w:pPr>
        <w:jc w:val="both"/>
      </w:pPr>
    </w:p>
    <w:p w14:paraId="131992B6" w14:textId="77777777" w:rsidR="00345346" w:rsidRPr="00345346" w:rsidRDefault="00345346" w:rsidP="00D06F7F">
      <w:pPr>
        <w:jc w:val="both"/>
      </w:pPr>
      <w:r w:rsidRPr="00345346">
        <w:lastRenderedPageBreak/>
        <w:t>In its latest review of France in 2016, the Committee on the Elimination of Discrimination against Women (the “</w:t>
      </w:r>
      <w:r w:rsidRPr="00345346">
        <w:rPr>
          <w:i/>
        </w:rPr>
        <w:t>CEDAW Committee</w:t>
      </w:r>
      <w:r w:rsidRPr="00345346">
        <w:t>”) expressed concern about the potentially negative impact on women’s rights of arms transfers to sensitive countries marked by armed conflict or at risk of such conflict.</w:t>
      </w:r>
      <w:r w:rsidRPr="00345346">
        <w:rPr>
          <w:vertAlign w:val="superscript"/>
        </w:rPr>
        <w:footnoteReference w:id="28"/>
      </w:r>
      <w:r w:rsidRPr="00345346">
        <w:t xml:space="preserve"> The Committee recommended that France integrate a gender dimension into its strategic dialogues with countries purchasing French arms and continue to conduct rigorous, transparent and gender-sensitive risk assessments, in accordance with the Arms Trade Treaty.</w:t>
      </w:r>
      <w:r w:rsidRPr="00345346">
        <w:rPr>
          <w:vertAlign w:val="superscript"/>
        </w:rPr>
        <w:footnoteReference w:id="29"/>
      </w:r>
    </w:p>
    <w:p w14:paraId="571E0A56" w14:textId="77777777" w:rsidR="00345346" w:rsidRPr="00345346" w:rsidRDefault="00345346" w:rsidP="00D06F7F">
      <w:pPr>
        <w:jc w:val="both"/>
      </w:pPr>
    </w:p>
    <w:p w14:paraId="367F6441" w14:textId="77777777" w:rsidR="00345346" w:rsidRPr="00345346" w:rsidRDefault="00345346" w:rsidP="00D06F7F">
      <w:pPr>
        <w:jc w:val="both"/>
      </w:pPr>
      <w:r w:rsidRPr="00345346">
        <w:t>Weapons are used to hinder freedom of expression and of assembly, both through their actual use and as a tool of intimidation. Situations of deep insecurity, as described in reference to Libya or Yemen, often means that women are no longer able to move around freely or express their opinions in a public political platform. WILPF’s report on the topic notes that “In both Yemen and Libya, a significant decrease in their mobility has made women invisible once more, favouring conservative interpretations of women as bearers of their family honour, in need of men’s ‘protection’ disguised as control.”</w:t>
      </w:r>
      <w:r w:rsidRPr="00345346">
        <w:rPr>
          <w:vertAlign w:val="superscript"/>
        </w:rPr>
        <w:footnoteReference w:id="30"/>
      </w:r>
    </w:p>
    <w:p w14:paraId="5035D160" w14:textId="77777777" w:rsidR="00345346" w:rsidRPr="00345346" w:rsidRDefault="00345346" w:rsidP="00D06F7F">
      <w:pPr>
        <w:jc w:val="both"/>
      </w:pPr>
    </w:p>
    <w:p w14:paraId="3BAE3FD2" w14:textId="77777777" w:rsidR="00345346" w:rsidRPr="00345346" w:rsidRDefault="00345346" w:rsidP="00D06F7F">
      <w:pPr>
        <w:jc w:val="both"/>
      </w:pPr>
      <w:r w:rsidRPr="00345346">
        <w:t>It is important to underscore that the presence of weapons, both illicit and legal, have multifaceted impacts and often go beyond the immediate use of a weapon in an act of physical or sexual violence. Widespread possession and use of weapons tend to prevent women from fully participating in public and political life, elaborated in more detail below. For instance, women and girls may face “secondary victimisation”, predominantly in their role as caregivers to weapon survivors with disabilities, or those who are seriously injured, which in turn limits their opportunities to access public and political life.</w:t>
      </w:r>
      <w:r w:rsidRPr="00345346">
        <w:rPr>
          <w:vertAlign w:val="superscript"/>
        </w:rPr>
        <w:footnoteReference w:id="31"/>
      </w:r>
    </w:p>
    <w:p w14:paraId="26D31D01" w14:textId="77777777" w:rsidR="00345346" w:rsidRPr="00345346" w:rsidRDefault="00345346" w:rsidP="00D06F7F">
      <w:pPr>
        <w:jc w:val="both"/>
      </w:pPr>
    </w:p>
    <w:p w14:paraId="0C0C6E4E" w14:textId="77777777" w:rsidR="00345346" w:rsidRPr="00345346" w:rsidRDefault="00345346" w:rsidP="00D06F7F">
      <w:pPr>
        <w:jc w:val="both"/>
      </w:pPr>
      <w:r w:rsidRPr="00345346">
        <w:t>The proliferation of conventional weapons correlates with an increase in gendered inequality and a generalised culture of violence. The possession of weapons by any stakeholder symbolises power, stemming from a particular and dominant understanding and performance of masculinity. This performance is based upon gender norms in which ideas like strength, courage, and protection are equated with violence.</w:t>
      </w:r>
      <w:r w:rsidRPr="00345346">
        <w:rPr>
          <w:vertAlign w:val="superscript"/>
        </w:rPr>
        <w:footnoteReference w:id="32"/>
      </w:r>
      <w:r w:rsidRPr="00345346">
        <w:t xml:space="preserve"> The proliferation and possession of weapons, regardless of whether they are acquired through the regulated </w:t>
      </w:r>
      <w:r w:rsidRPr="00345346">
        <w:lastRenderedPageBreak/>
        <w:t>or unregulated arms trade, therefore reinforce patriarchal gender norms and gender inequality.</w:t>
      </w:r>
      <w:r w:rsidRPr="00345346">
        <w:rPr>
          <w:vertAlign w:val="superscript"/>
        </w:rPr>
        <w:footnoteReference w:id="33"/>
      </w:r>
      <w:r w:rsidRPr="00345346">
        <w:t xml:space="preserve"> </w:t>
      </w:r>
    </w:p>
    <w:p w14:paraId="53F06FFD" w14:textId="77777777" w:rsidR="00345346" w:rsidRPr="00345346" w:rsidRDefault="00345346" w:rsidP="00D06F7F">
      <w:pPr>
        <w:jc w:val="both"/>
      </w:pPr>
    </w:p>
    <w:p w14:paraId="4A052BF4" w14:textId="77777777" w:rsidR="00345346" w:rsidRPr="00345346" w:rsidRDefault="00345346" w:rsidP="00D06F7F">
      <w:pPr>
        <w:jc w:val="both"/>
      </w:pPr>
      <w:r w:rsidRPr="00345346">
        <w:t>The GEE on Yemen notes “Disruption to education, poverty, mass unemployment, and increased mental health issues including depression have affected men and boys also. Coupled with the reinstatement of discriminatory customs, the exacerbation of toxic masculinity and impunity, and the obstruction of awareness raising and behavioural change programs for men and boys, has increased the risk of men using domestic violence to maintain control within families to compensate for their economic disempowerment and changing gender roles. Together, these factors increase the long-term risk of a future generation of men and boys predisposed to perpetuate gender-based violence and wider discrimination against women and girls.”</w:t>
      </w:r>
      <w:r w:rsidRPr="00345346">
        <w:rPr>
          <w:vertAlign w:val="superscript"/>
        </w:rPr>
        <w:footnoteReference w:id="34"/>
      </w:r>
    </w:p>
    <w:p w14:paraId="437410D3" w14:textId="77777777" w:rsidR="00345346" w:rsidRPr="00345346" w:rsidRDefault="00345346" w:rsidP="00345346">
      <w:pPr>
        <w:jc w:val="both"/>
      </w:pPr>
    </w:p>
    <w:p w14:paraId="56B638AE" w14:textId="77777777" w:rsidR="00345346" w:rsidRPr="00345346" w:rsidRDefault="00345346" w:rsidP="00345346">
      <w:pPr>
        <w:jc w:val="both"/>
        <w:rPr>
          <w:b/>
          <w:bCs/>
        </w:rPr>
      </w:pPr>
      <w:bookmarkStart w:id="1" w:name="_Toc92895840"/>
      <w:r w:rsidRPr="00345346">
        <w:rPr>
          <w:b/>
          <w:bCs/>
        </w:rPr>
        <w:t>FRANCE’S ARMS SALES TO MEMBERS OF THE COALITION IN YEMEN RAISING SERIOUS HUMAN RIGHTS CONCERNS</w:t>
      </w:r>
      <w:bookmarkEnd w:id="1"/>
    </w:p>
    <w:p w14:paraId="27A956BC" w14:textId="77777777" w:rsidR="00345346" w:rsidRPr="00345346" w:rsidRDefault="00345346" w:rsidP="00345346">
      <w:pPr>
        <w:jc w:val="both"/>
      </w:pPr>
    </w:p>
    <w:p w14:paraId="267136E0" w14:textId="77777777" w:rsidR="00345346" w:rsidRPr="00345346" w:rsidRDefault="00345346" w:rsidP="00D06F7F">
      <w:pPr>
        <w:jc w:val="both"/>
      </w:pPr>
      <w:r w:rsidRPr="00345346">
        <w:t>According to the Stockholm International Peace Research Institute, between 2013-2017 as well as between 2016-2020, France was the world’s third largest exporter of arms after the U.S. and Russia.</w:t>
      </w:r>
      <w:r w:rsidRPr="00345346">
        <w:rPr>
          <w:vertAlign w:val="superscript"/>
        </w:rPr>
        <w:footnoteReference w:id="35"/>
      </w:r>
      <w:r w:rsidRPr="00345346">
        <w:t xml:space="preserve"> According to the report of the Ministry of Armed Forces to the Parliament on France’s arms exports for the year 2019, Saudi Arabia was among the top three countries that imported the most French arms and the UAE has ordered a record number of French arms that year.</w:t>
      </w:r>
      <w:r w:rsidRPr="00345346">
        <w:rPr>
          <w:vertAlign w:val="superscript"/>
        </w:rPr>
        <w:footnoteReference w:id="36"/>
      </w:r>
      <w:r w:rsidRPr="00345346">
        <w:t xml:space="preserve"> The report mentions 939-export licences issued by the French authorities for Saudi Arabia since 2015, 938 for the UAE and 391 for Egypt.</w:t>
      </w:r>
      <w:r w:rsidRPr="00345346">
        <w:rPr>
          <w:vertAlign w:val="superscript"/>
        </w:rPr>
        <w:footnoteReference w:id="37"/>
      </w:r>
      <w:r w:rsidRPr="00345346">
        <w:t xml:space="preserve"> The report also indicates that in 2019, France’s arms exports to Saudi Arabia amounted to 1,379 billion euros and to 287.2 million euros for the UAE.</w:t>
      </w:r>
    </w:p>
    <w:p w14:paraId="6052FB47" w14:textId="77777777" w:rsidR="00345346" w:rsidRPr="00345346" w:rsidRDefault="00345346" w:rsidP="00D06F7F">
      <w:pPr>
        <w:jc w:val="both"/>
      </w:pPr>
    </w:p>
    <w:p w14:paraId="6A7EACB4" w14:textId="77777777" w:rsidR="00345346" w:rsidRPr="00345346" w:rsidRDefault="00345346" w:rsidP="00D06F7F">
      <w:pPr>
        <w:jc w:val="both"/>
      </w:pPr>
      <w:r w:rsidRPr="00345346">
        <w:t xml:space="preserve">It appears that despite the vastness of information on the serious impacts of the Coalition’s operations on civilians and on essential civilian’s infrastructures in Yemen and repeated </w:t>
      </w:r>
      <w:r w:rsidRPr="00345346">
        <w:lastRenderedPageBreak/>
        <w:t xml:space="preserve">concerns expressed by international human rights bodies, French arms transfers remain until today quintessential to the air and ground operations of Saudi Arabia and the UAE. </w:t>
      </w:r>
      <w:r w:rsidRPr="00345346">
        <w:rPr>
          <w:vertAlign w:val="superscript"/>
        </w:rPr>
        <w:footnoteReference w:id="38"/>
      </w:r>
      <w:r w:rsidRPr="00345346">
        <w:t xml:space="preserve"> </w:t>
      </w:r>
    </w:p>
    <w:p w14:paraId="18B47466" w14:textId="77777777" w:rsidR="00345346" w:rsidRPr="00345346" w:rsidRDefault="00345346" w:rsidP="00D06F7F">
      <w:pPr>
        <w:jc w:val="both"/>
      </w:pPr>
    </w:p>
    <w:p w14:paraId="5DE21BF5" w14:textId="77777777" w:rsidR="00345346" w:rsidRPr="00345346" w:rsidRDefault="00345346" w:rsidP="00D06F7F">
      <w:pPr>
        <w:jc w:val="both"/>
      </w:pPr>
      <w:r w:rsidRPr="00345346">
        <w:t>For instance, the French made Mirage 2000-9 produced by Dassault equips the UAE Air Force, which uses it in Yemen.</w:t>
      </w:r>
      <w:r w:rsidRPr="00345346">
        <w:rPr>
          <w:vertAlign w:val="superscript"/>
        </w:rPr>
        <w:footnoteReference w:id="39"/>
      </w:r>
      <w:r w:rsidRPr="00345346">
        <w:t xml:space="preserve"> The UAE operates 59 Dassault Mirage 2000 jets out of 124 of the total number of attack capable aircrafts in its fleet.</w:t>
      </w:r>
      <w:r w:rsidRPr="00345346">
        <w:rPr>
          <w:vertAlign w:val="superscript"/>
        </w:rPr>
        <w:footnoteReference w:id="40"/>
      </w:r>
      <w:r w:rsidRPr="00345346">
        <w:t xml:space="preserve"> Moreover, the UAE’s continuous use of the Mirage 2000 in the conflict in Yemen would not be possible without the supply of spare parts and maintenance services provided by Dassault. </w:t>
      </w:r>
      <w:r w:rsidRPr="00345346">
        <w:rPr>
          <w:vertAlign w:val="superscript"/>
        </w:rPr>
        <w:footnoteReference w:id="41"/>
      </w:r>
      <w:r w:rsidRPr="00345346">
        <w:t xml:space="preserve"> In December 2021, France concluded a contract with the UAE for the provision by Dassault of 80 Rafale planes.</w:t>
      </w:r>
      <w:r w:rsidRPr="00345346">
        <w:rPr>
          <w:vertAlign w:val="superscript"/>
        </w:rPr>
        <w:footnoteReference w:id="42"/>
      </w:r>
      <w:r w:rsidRPr="00345346">
        <w:t xml:space="preserve"> It is foreseen that the Rafale will replace the Mirage 2000-9 already used by the UAE in the conflict in Yemen.</w:t>
      </w:r>
    </w:p>
    <w:p w14:paraId="46577AF8" w14:textId="77777777" w:rsidR="00345346" w:rsidRPr="00345346" w:rsidRDefault="00345346" w:rsidP="00D06F7F">
      <w:pPr>
        <w:jc w:val="both"/>
      </w:pPr>
    </w:p>
    <w:p w14:paraId="25154454" w14:textId="77777777" w:rsidR="00345346" w:rsidRPr="00345346" w:rsidRDefault="00345346" w:rsidP="00D06F7F">
      <w:pPr>
        <w:jc w:val="both"/>
      </w:pPr>
      <w:r w:rsidRPr="00345346">
        <w:t xml:space="preserve">Furthermore, the </w:t>
      </w:r>
      <w:proofErr w:type="spellStart"/>
      <w:r w:rsidRPr="00345346">
        <w:t>Damoclès</w:t>
      </w:r>
      <w:proofErr w:type="spellEnd"/>
      <w:r w:rsidRPr="00345346">
        <w:t xml:space="preserve"> and </w:t>
      </w:r>
      <w:proofErr w:type="spellStart"/>
      <w:r w:rsidRPr="00345346">
        <w:t>Talios</w:t>
      </w:r>
      <w:proofErr w:type="spellEnd"/>
      <w:r w:rsidRPr="00345346">
        <w:t xml:space="preserve"> targeting Pods are produced by Thales France and exported to Saudi Arabia and the UAE. These devices allow for the actual deployment of the bombs used in airstrikes carried out by the Coalition in Yemen, including by their integration on the Mirage 2000-9s;</w:t>
      </w:r>
      <w:r w:rsidRPr="00345346">
        <w:rPr>
          <w:vertAlign w:val="superscript"/>
        </w:rPr>
        <w:footnoteReference w:id="43"/>
      </w:r>
      <w:r w:rsidRPr="00345346">
        <w:t xml:space="preserve"> as well as on the Typhoon and the Tornado fleet of the Royal Saudi Air Force.</w:t>
      </w:r>
      <w:r w:rsidRPr="00345346">
        <w:rPr>
          <w:vertAlign w:val="superscript"/>
        </w:rPr>
        <w:footnoteReference w:id="44"/>
      </w:r>
      <w:r w:rsidRPr="00345346">
        <w:t xml:space="preserve"> Moreover, </w:t>
      </w:r>
      <w:proofErr w:type="spellStart"/>
      <w:r w:rsidRPr="00345346">
        <w:t>Thalès</w:t>
      </w:r>
      <w:proofErr w:type="spellEnd"/>
      <w:r w:rsidRPr="00345346">
        <w:t xml:space="preserve"> offers maintenance and technical support on the Damocles Pods to Saudi-Arabia and the UAE. Between 2009-2017, 60 Damocles pods were delivered to Saudi Arabia and used by the Coalition in Yemen.</w:t>
      </w:r>
      <w:r w:rsidRPr="00345346">
        <w:rPr>
          <w:vertAlign w:val="superscript"/>
        </w:rPr>
        <w:footnoteReference w:id="45"/>
      </w:r>
      <w:r w:rsidRPr="00345346">
        <w:t xml:space="preserve"> Despite a freedom of information request filed by ECCHR and Amnesty International France, at the time of writing this report, information on the exports of these pods has not been communicated by the French customs yet.</w:t>
      </w:r>
    </w:p>
    <w:p w14:paraId="3BEB01E3" w14:textId="77777777" w:rsidR="00345346" w:rsidRPr="00345346" w:rsidRDefault="00345346" w:rsidP="00D06F7F">
      <w:pPr>
        <w:jc w:val="both"/>
      </w:pPr>
    </w:p>
    <w:p w14:paraId="41B44438" w14:textId="77777777" w:rsidR="00345346" w:rsidRPr="00345346" w:rsidRDefault="00345346" w:rsidP="00D06F7F">
      <w:pPr>
        <w:jc w:val="both"/>
      </w:pPr>
      <w:r w:rsidRPr="00345346">
        <w:lastRenderedPageBreak/>
        <w:t>Moreover, storm Shadow missiles</w:t>
      </w:r>
      <w:r w:rsidRPr="00345346">
        <w:rPr>
          <w:vertAlign w:val="superscript"/>
        </w:rPr>
        <w:footnoteReference w:id="46"/>
      </w:r>
      <w:r w:rsidRPr="00345346">
        <w:t xml:space="preserve"> are produced jointly by MBDA France and MBDA United Kingdom, with final destination to Egypt, the UAE and Saudi Arabia. Both missiles are of high relevance for aerial warfare in Yemen: nearly all the fighter jets used by the Coalition can operate the Storm Shadow/SCALP.</w:t>
      </w:r>
      <w:r w:rsidRPr="00345346">
        <w:rPr>
          <w:vertAlign w:val="superscript"/>
        </w:rPr>
        <w:footnoteReference w:id="47"/>
      </w:r>
      <w:r w:rsidRPr="00345346">
        <w:t xml:space="preserve"> Remnants of the Storm Shadow missiles were found in Yemen and in particular in </w:t>
      </w:r>
      <w:proofErr w:type="spellStart"/>
      <w:r w:rsidRPr="00345346">
        <w:t>Sa'adah</w:t>
      </w:r>
      <w:proofErr w:type="spellEnd"/>
      <w:r w:rsidRPr="00345346">
        <w:t xml:space="preserve"> City</w:t>
      </w:r>
      <w:r w:rsidRPr="00345346">
        <w:rPr>
          <w:vertAlign w:val="superscript"/>
        </w:rPr>
        <w:footnoteReference w:id="48"/>
      </w:r>
      <w:r w:rsidRPr="00345346">
        <w:t>, which according to the UN Panel of Experts on Yemen, has been treated by the Coalition as a military target and subject to several airstrikes targeting civilians.</w:t>
      </w:r>
      <w:r w:rsidRPr="00345346">
        <w:rPr>
          <w:vertAlign w:val="superscript"/>
        </w:rPr>
        <w:footnoteReference w:id="49"/>
      </w:r>
    </w:p>
    <w:p w14:paraId="3BAA019E" w14:textId="77777777" w:rsidR="00345346" w:rsidRPr="00345346" w:rsidRDefault="00345346" w:rsidP="00D06F7F">
      <w:pPr>
        <w:jc w:val="both"/>
      </w:pPr>
    </w:p>
    <w:p w14:paraId="040CEC1C" w14:textId="77777777" w:rsidR="00345346" w:rsidRPr="00345346" w:rsidRDefault="00345346" w:rsidP="00D06F7F">
      <w:pPr>
        <w:jc w:val="both"/>
      </w:pPr>
      <w:r w:rsidRPr="00345346">
        <w:t>Finally, the GEE on Yemen reported that “Leaked classified French Defence ministry documents indicate the use of French-made weapons in Yemen such as CAESAR howitzer, Leclerc battle tanks, the targeting system used aboard Saudi fighter-bombers, and Mirage 2000-9 used by the UAE.”</w:t>
      </w:r>
      <w:r w:rsidRPr="00345346">
        <w:rPr>
          <w:vertAlign w:val="superscript"/>
        </w:rPr>
        <w:footnoteReference w:id="50"/>
      </w:r>
      <w:r w:rsidRPr="00345346">
        <w:t xml:space="preserve"> The CAESAR</w:t>
      </w:r>
      <w:r w:rsidRPr="00345346">
        <w:rPr>
          <w:vertAlign w:val="superscript"/>
        </w:rPr>
        <w:footnoteReference w:id="51"/>
      </w:r>
      <w:r w:rsidRPr="00345346">
        <w:t xml:space="preserve"> long-range firing canons are produced by </w:t>
      </w:r>
      <w:proofErr w:type="spellStart"/>
      <w:r w:rsidRPr="00345346">
        <w:t>Nexter</w:t>
      </w:r>
      <w:proofErr w:type="spellEnd"/>
      <w:r w:rsidRPr="00345346">
        <w:t xml:space="preserve"> Systems S.A.</w:t>
      </w:r>
      <w:r w:rsidRPr="00345346">
        <w:rPr>
          <w:vertAlign w:val="superscript"/>
        </w:rPr>
        <w:footnoteReference w:id="52"/>
      </w:r>
      <w:r w:rsidRPr="00345346">
        <w:t xml:space="preserve"> </w:t>
      </w:r>
    </w:p>
    <w:p w14:paraId="7ECA9C40" w14:textId="77777777" w:rsidR="00345346" w:rsidRPr="00345346" w:rsidRDefault="00345346" w:rsidP="00D06F7F">
      <w:pPr>
        <w:jc w:val="both"/>
      </w:pPr>
    </w:p>
    <w:p w14:paraId="3DD9384A" w14:textId="77777777" w:rsidR="00345346" w:rsidRPr="00345346" w:rsidRDefault="00345346" w:rsidP="00D06F7F">
      <w:pPr>
        <w:jc w:val="both"/>
      </w:pPr>
      <w:r w:rsidRPr="00345346">
        <w:t xml:space="preserve">In a leaked French report written by members of France’s military intelligence agency and the “Direction du </w:t>
      </w:r>
      <w:proofErr w:type="spellStart"/>
      <w:r w:rsidRPr="00345346">
        <w:t>Renseignement</w:t>
      </w:r>
      <w:proofErr w:type="spellEnd"/>
      <w:r w:rsidRPr="00345346">
        <w:t xml:space="preserve"> </w:t>
      </w:r>
      <w:proofErr w:type="spellStart"/>
      <w:r w:rsidRPr="00345346">
        <w:t>Militaire</w:t>
      </w:r>
      <w:proofErr w:type="spellEnd"/>
      <w:r w:rsidRPr="00345346">
        <w:t>” (Directorate of Military Intelligence) dated of 2018, a map</w:t>
      </w:r>
      <w:r w:rsidRPr="00345346">
        <w:rPr>
          <w:vertAlign w:val="superscript"/>
        </w:rPr>
        <w:footnoteReference w:id="53"/>
      </w:r>
      <w:r w:rsidRPr="00345346">
        <w:t xml:space="preserve"> entitled “Population under the threat of bombs” specifies that the perimeter of the CAESAR  howitzers (cannons), located at the Saudi-Arabia-Yemeni border covers the territory of Yemen. The map further states: “Population concerned by possible artillery strikes: 436, 370 people”. According to the investigative media Disclose which published this map, the “concerned area is dotted with villages, farms, towns and peasant hamlets.”</w:t>
      </w:r>
      <w:r w:rsidRPr="00345346">
        <w:rPr>
          <w:vertAlign w:val="superscript"/>
        </w:rPr>
        <w:footnoteReference w:id="54"/>
      </w:r>
      <w:r w:rsidRPr="00345346">
        <w:t xml:space="preserve"> </w:t>
      </w:r>
    </w:p>
    <w:p w14:paraId="51513E3B" w14:textId="77777777" w:rsidR="00345346" w:rsidRPr="00345346" w:rsidRDefault="00345346" w:rsidP="00D06F7F">
      <w:pPr>
        <w:jc w:val="both"/>
      </w:pPr>
    </w:p>
    <w:p w14:paraId="34CD44FC" w14:textId="77777777" w:rsidR="00345346" w:rsidRPr="00345346" w:rsidRDefault="00345346" w:rsidP="00D06F7F">
      <w:pPr>
        <w:jc w:val="both"/>
      </w:pPr>
      <w:r w:rsidRPr="00345346">
        <w:t>The investigative media Disclose concludes that “We have studied data from the NGO Armed Conflict Location &amp; Event Data Project (ACLED)</w:t>
      </w:r>
      <w:r w:rsidRPr="00345346">
        <w:rPr>
          <w:vertAlign w:val="superscript"/>
        </w:rPr>
        <w:footnoteReference w:id="55"/>
      </w:r>
      <w:r w:rsidRPr="00345346">
        <w:t xml:space="preserve"> on the numbers of civilian deaths from artillery fire that were within firing range of CAESAR howitzers employed in the Yemen </w:t>
      </w:r>
      <w:r w:rsidRPr="00345346">
        <w:lastRenderedPageBreak/>
        <w:t xml:space="preserve">conflict. This showed that between March 2016 and December 2018, a total of 35 civilians were killed in 52 bombardments localised within the range of the CAESARs.” </w:t>
      </w:r>
      <w:r w:rsidRPr="00345346">
        <w:rPr>
          <w:vertAlign w:val="superscript"/>
        </w:rPr>
        <w:footnoteReference w:id="56"/>
      </w:r>
    </w:p>
    <w:p w14:paraId="41DC526F" w14:textId="77777777" w:rsidR="00345346" w:rsidRPr="00345346" w:rsidRDefault="00345346" w:rsidP="00D06F7F">
      <w:pPr>
        <w:jc w:val="both"/>
      </w:pPr>
    </w:p>
    <w:p w14:paraId="3C5352D4" w14:textId="77777777" w:rsidR="00345346" w:rsidRPr="00345346" w:rsidRDefault="00345346" w:rsidP="00D06F7F">
      <w:pPr>
        <w:jc w:val="both"/>
      </w:pPr>
      <w:r w:rsidRPr="00345346">
        <w:t>According to the GEE on Yemen, the usage of CAESAR howitzers both inside and in close vicinity to populated areas “gives rise to the likelihood of significant civilian casualties and damage to civilian buildings in excess of any anticipated military advantage, and increases the risks of misdirected attacks”.</w:t>
      </w:r>
      <w:r w:rsidRPr="00345346">
        <w:rPr>
          <w:vertAlign w:val="superscript"/>
        </w:rPr>
        <w:footnoteReference w:id="57"/>
      </w:r>
      <w:r w:rsidRPr="00345346">
        <w:t xml:space="preserve"> Furthermore, according to another leaked document entitled “Delivery Plan”, it appears that the company </w:t>
      </w:r>
      <w:proofErr w:type="spellStart"/>
      <w:r w:rsidRPr="00345346">
        <w:t>Nexter</w:t>
      </w:r>
      <w:proofErr w:type="spellEnd"/>
      <w:r w:rsidRPr="00345346">
        <w:t xml:space="preserve"> S.A. has scheduled to deliver over 100 “CAESAR” cannons until 2024.</w:t>
      </w:r>
      <w:r w:rsidRPr="00345346">
        <w:rPr>
          <w:vertAlign w:val="superscript"/>
        </w:rPr>
        <w:footnoteReference w:id="58"/>
      </w:r>
      <w:r w:rsidRPr="00345346">
        <w:t xml:space="preserve"> </w:t>
      </w:r>
    </w:p>
    <w:p w14:paraId="639D5512" w14:textId="77777777" w:rsidR="00345346" w:rsidRPr="00345346" w:rsidRDefault="00345346" w:rsidP="00D06F7F">
      <w:pPr>
        <w:jc w:val="both"/>
      </w:pPr>
    </w:p>
    <w:p w14:paraId="25D58D60" w14:textId="77777777" w:rsidR="00345346" w:rsidRPr="00345346" w:rsidRDefault="00345346" w:rsidP="00D06F7F">
      <w:pPr>
        <w:jc w:val="both"/>
      </w:pPr>
      <w:r w:rsidRPr="00345346">
        <w:t>Moreover, the investigative media Lighthouse Reports’</w:t>
      </w:r>
      <w:r w:rsidRPr="00345346">
        <w:rPr>
          <w:vertAlign w:val="superscript"/>
        </w:rPr>
        <w:footnoteReference w:id="59"/>
      </w:r>
      <w:r w:rsidRPr="00345346">
        <w:t xml:space="preserve"> found that at least between 2016 and 2017 the French majority state-owned company Defence Conseil International has provided extensive military training to the Saudi Arabian National Guard on these CAESAR canons.</w:t>
      </w:r>
      <w:r w:rsidRPr="00345346">
        <w:rPr>
          <w:vertAlign w:val="superscript"/>
        </w:rPr>
        <w:footnoteReference w:id="60"/>
      </w:r>
      <w:r w:rsidRPr="00345346">
        <w:t xml:space="preserve"> According to the news report EU Observer, Defence Conseil International describes itself as “the French Ministry of Armed forces operator for the transfer of the French armed forces know-how”.</w:t>
      </w:r>
      <w:r w:rsidRPr="00345346">
        <w:rPr>
          <w:vertAlign w:val="superscript"/>
        </w:rPr>
        <w:footnoteReference w:id="61"/>
      </w:r>
      <w:r w:rsidRPr="00345346">
        <w:t xml:space="preserve"> It is unclear whether this training has continued beyond 2017.</w:t>
      </w:r>
    </w:p>
    <w:p w14:paraId="0C9D5CB1" w14:textId="77777777" w:rsidR="00345346" w:rsidRPr="00345346" w:rsidRDefault="00345346" w:rsidP="00D06F7F">
      <w:pPr>
        <w:jc w:val="both"/>
      </w:pPr>
    </w:p>
    <w:p w14:paraId="0BF9AA5A" w14:textId="77777777" w:rsidR="00345346" w:rsidRPr="00345346" w:rsidRDefault="00345346" w:rsidP="00D06F7F">
      <w:pPr>
        <w:jc w:val="both"/>
      </w:pPr>
      <w:r w:rsidRPr="00345346">
        <w:t>On May 3 2021, the investigative media Disclose revealed that a sale between France and Egypt is in its final stage. According to the disclosed documents, this sale concerns a first contract for the purchase from Dassault Aviation of 30 Rafale fighter jets (for a total of 3.75 billion euros) and two more contracts with the France-based missile manufacturing consortium MBDA and avionics firm Safran Electronics &amp; </w:t>
      </w:r>
      <w:proofErr w:type="spellStart"/>
      <w:r w:rsidRPr="00345346">
        <w:t>Defense</w:t>
      </w:r>
      <w:proofErr w:type="spellEnd"/>
      <w:r w:rsidRPr="00345346">
        <w:t xml:space="preserve"> (together worth 200 million euros).</w:t>
      </w:r>
      <w:r w:rsidRPr="00345346">
        <w:rPr>
          <w:vertAlign w:val="superscript"/>
        </w:rPr>
        <w:footnoteReference w:id="62"/>
      </w:r>
      <w:r w:rsidRPr="00345346">
        <w:t xml:space="preserve"> </w:t>
      </w:r>
    </w:p>
    <w:p w14:paraId="0408ED14" w14:textId="77777777" w:rsidR="00345346" w:rsidRPr="00345346" w:rsidRDefault="00345346" w:rsidP="00D06F7F">
      <w:pPr>
        <w:jc w:val="both"/>
      </w:pPr>
    </w:p>
    <w:p w14:paraId="657BDC73" w14:textId="77777777" w:rsidR="00345346" w:rsidRPr="00345346" w:rsidRDefault="00345346" w:rsidP="00D06F7F">
      <w:pPr>
        <w:jc w:val="both"/>
      </w:pPr>
      <w:r w:rsidRPr="00345346">
        <w:t xml:space="preserve">France’s continued licensing for exports of weapons and spare parts to Saudi Arabia and the UAE, but also to other countries with poor human rights records such as Egypt, raises serious concerns as to France’s fulfilment of its extraterritorial obligations to respect and </w:t>
      </w:r>
      <w:r w:rsidRPr="00345346">
        <w:lastRenderedPageBreak/>
        <w:t>protect civil and political rights under the ICCPR. The continuous export of weapons to Saudi Arabia and the UAE from French arms traders also casts major doubts on the compliance by France with its positive obligation to ensure that French private actors – including businesses – do not violate human rights through their activities abroad. This positive obligation is reinforced by the substantial shareholder control of the French State in some major French arms companies.</w:t>
      </w:r>
    </w:p>
    <w:p w14:paraId="5BC50CDB" w14:textId="77777777" w:rsidR="00345346" w:rsidRPr="00345346" w:rsidRDefault="00345346" w:rsidP="00D06F7F">
      <w:pPr>
        <w:jc w:val="both"/>
      </w:pPr>
    </w:p>
    <w:p w14:paraId="318B08AC" w14:textId="77777777" w:rsidR="00345346" w:rsidRPr="00345346" w:rsidRDefault="00345346" w:rsidP="00D06F7F">
      <w:pPr>
        <w:jc w:val="both"/>
        <w:rPr>
          <w:b/>
          <w:bCs/>
        </w:rPr>
      </w:pPr>
      <w:bookmarkStart w:id="2" w:name="_Toc92895844"/>
      <w:r w:rsidRPr="00345346">
        <w:rPr>
          <w:b/>
          <w:bCs/>
        </w:rPr>
        <w:t>FRANCE’S EXPORTS OF SURVEILLANCE TECHNOLOGIES RAISING HUMAN RIGHTS CONCERNS</w:t>
      </w:r>
      <w:bookmarkEnd w:id="2"/>
    </w:p>
    <w:p w14:paraId="3DD88387" w14:textId="77777777" w:rsidR="00345346" w:rsidRPr="00345346" w:rsidRDefault="00345346" w:rsidP="00D06F7F">
      <w:pPr>
        <w:jc w:val="both"/>
        <w:rPr>
          <w:b/>
        </w:rPr>
      </w:pPr>
    </w:p>
    <w:p w14:paraId="363AB21A" w14:textId="6A0F7238" w:rsidR="00345346" w:rsidRDefault="00345346" w:rsidP="00D06F7F">
      <w:pPr>
        <w:jc w:val="both"/>
      </w:pPr>
      <w:r w:rsidRPr="00345346">
        <w:t>France is one of the top five countries with the highest number of registered surveillance companies.</w:t>
      </w:r>
      <w:r w:rsidRPr="00345346">
        <w:rPr>
          <w:vertAlign w:val="superscript"/>
        </w:rPr>
        <w:footnoteReference w:id="63"/>
      </w:r>
      <w:r w:rsidRPr="00345346">
        <w:t xml:space="preserve"> There are 45 French companies featured in the Surveillance Industry Index (SII) of Privacy International.</w:t>
      </w:r>
      <w:r w:rsidRPr="00345346">
        <w:rPr>
          <w:vertAlign w:val="superscript"/>
        </w:rPr>
        <w:footnoteReference w:id="64"/>
      </w:r>
      <w:r w:rsidRPr="00345346">
        <w:t xml:space="preserve"> France’s exports of surveillance technology to authoritarian governments with poor human rights records such as Egypt and China raise serious concerns. The examples provided below demonstrate the gaps in the French export control regime of surveillance technologies including dual-use products</w:t>
      </w:r>
      <w:r w:rsidRPr="00345346">
        <w:rPr>
          <w:vertAlign w:val="superscript"/>
        </w:rPr>
        <w:footnoteReference w:id="65"/>
      </w:r>
      <w:r w:rsidRPr="00345346">
        <w:t xml:space="preserve">, as well as regarding the responsibility of companies in the sector. </w:t>
      </w:r>
    </w:p>
    <w:p w14:paraId="6D9DB777" w14:textId="77777777" w:rsidR="00DA1107" w:rsidRPr="00345346" w:rsidRDefault="00DA1107" w:rsidP="00D06F7F">
      <w:pPr>
        <w:jc w:val="both"/>
      </w:pPr>
    </w:p>
    <w:p w14:paraId="04CF640B" w14:textId="77777777" w:rsidR="00345346" w:rsidRPr="00345346" w:rsidRDefault="00345346" w:rsidP="00D06F7F">
      <w:pPr>
        <w:jc w:val="both"/>
        <w:rPr>
          <w:b/>
          <w:bCs/>
        </w:rPr>
      </w:pPr>
      <w:bookmarkStart w:id="3" w:name="_Toc92895845"/>
      <w:r w:rsidRPr="00345346">
        <w:rPr>
          <w:b/>
          <w:bCs/>
        </w:rPr>
        <w:t>Exports to Egypt</w:t>
      </w:r>
      <w:bookmarkEnd w:id="3"/>
    </w:p>
    <w:p w14:paraId="233DB03F" w14:textId="77777777" w:rsidR="00345346" w:rsidRPr="00345346" w:rsidRDefault="00345346" w:rsidP="00D06F7F">
      <w:pPr>
        <w:jc w:val="both"/>
      </w:pPr>
    </w:p>
    <w:p w14:paraId="109F27D9" w14:textId="77777777" w:rsidR="00345346" w:rsidRPr="00345346" w:rsidRDefault="00345346" w:rsidP="00D06F7F">
      <w:pPr>
        <w:jc w:val="both"/>
      </w:pPr>
      <w:r w:rsidRPr="00345346">
        <w:t>Egypt is France’s second importer of arms after India and represented 18% of France’s total global exports of arms between 2016-2020.</w:t>
      </w:r>
      <w:r w:rsidRPr="00345346">
        <w:rPr>
          <w:vertAlign w:val="superscript"/>
        </w:rPr>
        <w:footnoteReference w:id="66"/>
      </w:r>
      <w:r w:rsidRPr="00345346">
        <w:t xml:space="preserve"> France was Egypt’s main supplier of arms between 2013 and 2017.</w:t>
      </w:r>
      <w:r w:rsidRPr="00345346">
        <w:rPr>
          <w:vertAlign w:val="superscript"/>
        </w:rPr>
        <w:footnoteReference w:id="67"/>
      </w:r>
      <w:r w:rsidRPr="00345346">
        <w:t xml:space="preserve"> Civil society organisations have raised alarm at transfers of arms and military equipment including armoured vehicles, which have been used to violently repress peaceful protests.</w:t>
      </w:r>
      <w:r w:rsidRPr="00345346">
        <w:rPr>
          <w:vertAlign w:val="superscript"/>
        </w:rPr>
        <w:footnoteReference w:id="68"/>
      </w:r>
      <w:r w:rsidRPr="00345346">
        <w:t xml:space="preserve"> There are also credible reports of use of French arms in crimes committed in the context of counter-terrorism operations in Sinai, including extrajudicial killings, enforced disappearances and arbitrary arrests.</w:t>
      </w:r>
      <w:r w:rsidRPr="00345346">
        <w:rPr>
          <w:vertAlign w:val="superscript"/>
        </w:rPr>
        <w:footnoteReference w:id="69"/>
      </w:r>
      <w:r w:rsidRPr="00345346">
        <w:t xml:space="preserve"> </w:t>
      </w:r>
    </w:p>
    <w:p w14:paraId="44C863D5" w14:textId="77777777" w:rsidR="00345346" w:rsidRPr="00345346" w:rsidRDefault="00345346" w:rsidP="00D06F7F">
      <w:pPr>
        <w:jc w:val="both"/>
      </w:pPr>
    </w:p>
    <w:p w14:paraId="56AABE77" w14:textId="77777777" w:rsidR="00345346" w:rsidRPr="00345346" w:rsidRDefault="00345346" w:rsidP="00D06F7F">
      <w:pPr>
        <w:jc w:val="both"/>
      </w:pPr>
      <w:r w:rsidRPr="00345346">
        <w:t xml:space="preserve">In the context of the UPR, France has recommended to Egypt to “guarantee freedom of expression and the press, as well as the right to peaceful demonstration, in accordance with </w:t>
      </w:r>
      <w:r w:rsidRPr="00345346">
        <w:lastRenderedPageBreak/>
        <w:t>Egypt’s constitutional provisions and international commitments.</w:t>
      </w:r>
      <w:r w:rsidRPr="00345346">
        <w:rPr>
          <w:vertAlign w:val="superscript"/>
        </w:rPr>
        <w:footnoteReference w:id="70"/>
      </w:r>
      <w:r w:rsidRPr="00345346">
        <w:t xml:space="preserve"> Yet, France has also provided surveillance technologies and security systems to Egyptian authorities without adequate human rights risk assessments, transparency and monitoring of the end use of these products.</w:t>
      </w:r>
      <w:r w:rsidRPr="00345346">
        <w:rPr>
          <w:vertAlign w:val="superscript"/>
        </w:rPr>
        <w:footnoteReference w:id="71"/>
      </w:r>
      <w:r w:rsidRPr="00345346">
        <w:t xml:space="preserve"> In the hands of the Egyptian security services, these technologies are dangerous weapons enabling them to carry out mass surveillance of the population and repression of civil society. Exports included the sale in 2014 by </w:t>
      </w:r>
      <w:proofErr w:type="spellStart"/>
      <w:r w:rsidRPr="00345346">
        <w:t>Nexa</w:t>
      </w:r>
      <w:proofErr w:type="spellEnd"/>
      <w:r w:rsidRPr="00345346">
        <w:t xml:space="preserve"> Technologies of a cyber surveillance system called CEREBRO, which enables large-scale interception of communications and real-time surveillance.</w:t>
      </w:r>
      <w:r w:rsidRPr="00345346">
        <w:rPr>
          <w:vertAlign w:val="superscript"/>
        </w:rPr>
        <w:footnoteReference w:id="72"/>
      </w:r>
      <w:r w:rsidRPr="00345346">
        <w:t xml:space="preserve"> Despite the critical risks posed by this type of technology, this product was not classified as a dual-use product at the time of sale and thus not subject to the required export control by the French competent authorities.</w:t>
      </w:r>
      <w:r w:rsidRPr="00345346">
        <w:rPr>
          <w:vertAlign w:val="superscript"/>
        </w:rPr>
        <w:footnoteReference w:id="73"/>
      </w:r>
      <w:r w:rsidRPr="00345346">
        <w:t xml:space="preserve"> </w:t>
      </w:r>
    </w:p>
    <w:p w14:paraId="6F59BE22" w14:textId="77777777" w:rsidR="00345346" w:rsidRPr="00345346" w:rsidRDefault="00345346" w:rsidP="00D06F7F">
      <w:pPr>
        <w:jc w:val="both"/>
      </w:pPr>
    </w:p>
    <w:p w14:paraId="60E01590" w14:textId="77777777" w:rsidR="00345346" w:rsidRPr="00345346" w:rsidRDefault="00345346" w:rsidP="00D06F7F">
      <w:pPr>
        <w:jc w:val="both"/>
        <w:rPr>
          <w:vertAlign w:val="superscript"/>
        </w:rPr>
      </w:pPr>
      <w:r w:rsidRPr="00345346">
        <w:t>France has also exported so-called “crowd control technologies”, including patroller drones and satellite technologies, which provide precise details to spot the beginnings of a crowd including in urban settings, thus potentially preventing the formation of peaceful protests and social movements.</w:t>
      </w:r>
      <w:r w:rsidRPr="00345346">
        <w:rPr>
          <w:vertAlign w:val="superscript"/>
        </w:rPr>
        <w:footnoteReference w:id="74"/>
      </w:r>
      <w:r w:rsidRPr="00345346">
        <w:t xml:space="preserve"> In addition to CEREBRO, another even more intrusive surveillance system was supplied in 2014 to the Egyptian intelligence services by the French company </w:t>
      </w:r>
      <w:proofErr w:type="spellStart"/>
      <w:r w:rsidRPr="00345346">
        <w:t>Ercom</w:t>
      </w:r>
      <w:proofErr w:type="spellEnd"/>
      <w:r w:rsidRPr="00345346">
        <w:t xml:space="preserve"> through its subsidiary </w:t>
      </w:r>
      <w:proofErr w:type="spellStart"/>
      <w:r w:rsidRPr="00345346">
        <w:t>Suneris</w:t>
      </w:r>
      <w:proofErr w:type="spellEnd"/>
      <w:r w:rsidRPr="00345346">
        <w:t>, this time as a dual-use product and with authorisation of the competent French authorities.</w:t>
      </w:r>
      <w:r w:rsidRPr="00345346">
        <w:rPr>
          <w:vertAlign w:val="superscript"/>
        </w:rPr>
        <w:footnoteReference w:id="75"/>
      </w:r>
      <w:r w:rsidRPr="00345346">
        <w:t xml:space="preserve"> The system enables voice interception of telephone conversations and offers spatial geolocation of targets in real-time, using the IP address of the mobile phone.</w:t>
      </w:r>
      <w:r w:rsidRPr="00345346">
        <w:rPr>
          <w:vertAlign w:val="superscript"/>
        </w:rPr>
        <w:footnoteReference w:id="76"/>
      </w:r>
      <w:r w:rsidRPr="00345346">
        <w:t xml:space="preserve"> Following a request by several NGOs, an investigation by the Crimes Against Humanity Division of the Paris Prosecutor’s office was opened in December 2017 into the sale of surveillance equipment by </w:t>
      </w:r>
      <w:proofErr w:type="spellStart"/>
      <w:r w:rsidRPr="00345346">
        <w:t>Nexa</w:t>
      </w:r>
      <w:proofErr w:type="spellEnd"/>
      <w:r w:rsidRPr="00345346">
        <w:t xml:space="preserve"> Technologies to Egypt.</w:t>
      </w:r>
      <w:r w:rsidRPr="00345346">
        <w:rPr>
          <w:vertAlign w:val="superscript"/>
        </w:rPr>
        <w:footnoteReference w:id="77"/>
      </w:r>
      <w:r w:rsidRPr="00345346">
        <w:rPr>
          <w:vertAlign w:val="superscript"/>
        </w:rPr>
        <w:t xml:space="preserve"> </w:t>
      </w:r>
    </w:p>
    <w:p w14:paraId="0FA80EDB" w14:textId="77777777" w:rsidR="00345346" w:rsidRPr="00345346" w:rsidRDefault="00345346" w:rsidP="00D06F7F">
      <w:pPr>
        <w:jc w:val="both"/>
      </w:pPr>
    </w:p>
    <w:p w14:paraId="3D4E9D5C" w14:textId="77777777" w:rsidR="00345346" w:rsidRPr="00345346" w:rsidRDefault="00345346" w:rsidP="00D06F7F">
      <w:pPr>
        <w:jc w:val="both"/>
      </w:pPr>
      <w:r w:rsidRPr="00345346">
        <w:t xml:space="preserve">Civil society organisations have also raised concerns over the sale by </w:t>
      </w:r>
      <w:proofErr w:type="spellStart"/>
      <w:r w:rsidRPr="00345346">
        <w:t>Idemia</w:t>
      </w:r>
      <w:proofErr w:type="spellEnd"/>
      <w:r w:rsidRPr="00345346">
        <w:t>, a French multinational company specialized in security and identity solutions, including facial recognition systems and other biometric identification products, of an extensive biometric database permitting the aggregation of various personal data, as well as identity and biometric terminal solutions, which could potentially be weaponised for surveillance purposes by Egyptian authorities.</w:t>
      </w:r>
      <w:r w:rsidRPr="00345346">
        <w:rPr>
          <w:vertAlign w:val="superscript"/>
        </w:rPr>
        <w:footnoteReference w:id="78"/>
      </w:r>
      <w:r w:rsidRPr="00345346">
        <w:t xml:space="preserve"> </w:t>
      </w:r>
    </w:p>
    <w:p w14:paraId="0BF795F0" w14:textId="77777777" w:rsidR="00345346" w:rsidRPr="00345346" w:rsidRDefault="00345346" w:rsidP="00D06F7F">
      <w:pPr>
        <w:jc w:val="both"/>
      </w:pPr>
    </w:p>
    <w:p w14:paraId="343FBE8D" w14:textId="77777777" w:rsidR="00345346" w:rsidRPr="00345346" w:rsidRDefault="00345346" w:rsidP="00D06F7F">
      <w:pPr>
        <w:jc w:val="both"/>
      </w:pPr>
      <w:r w:rsidRPr="00345346">
        <w:t>In light of the deteriorating human rights situation in Egypt since the military coup by General Al Sisi in 2013 until now, it is unconscionable that France has continued to be one of Egypt’s top suppliers of arms and of surveillance equipment during that time. Egypt’s human rights record continues to be dismal and characterized by violations of the right to freedom of association, expression and assembly, the right to access to information and the right to privacy.</w:t>
      </w:r>
      <w:r w:rsidRPr="00345346">
        <w:rPr>
          <w:vertAlign w:val="superscript"/>
        </w:rPr>
        <w:footnoteReference w:id="79"/>
      </w:r>
      <w:r w:rsidRPr="00345346">
        <w:t xml:space="preserve"> The Egyptian regime’s rhetoric of the “war on terrorism” is in fact extensively used to justify human rights abuses against any opposition labelled as “terrorists”.</w:t>
      </w:r>
      <w:r w:rsidRPr="00345346">
        <w:rPr>
          <w:vertAlign w:val="superscript"/>
        </w:rPr>
        <w:footnoteReference w:id="80"/>
      </w:r>
      <w:r w:rsidRPr="00345346">
        <w:t xml:space="preserve"> France supported a joint statement on Egypt delivered by Iceland at the March 2021 UN Human Rights Council session, which raised these very concerns.</w:t>
      </w:r>
      <w:r w:rsidRPr="00345346">
        <w:rPr>
          <w:vertAlign w:val="superscript"/>
        </w:rPr>
        <w:footnoteReference w:id="81"/>
      </w:r>
      <w:r w:rsidRPr="00345346">
        <w:t xml:space="preserve"> </w:t>
      </w:r>
    </w:p>
    <w:p w14:paraId="0C7E0111" w14:textId="77777777" w:rsidR="00345346" w:rsidRPr="00345346" w:rsidRDefault="00345346" w:rsidP="00D06F7F">
      <w:pPr>
        <w:jc w:val="both"/>
      </w:pPr>
    </w:p>
    <w:p w14:paraId="58FB947C" w14:textId="4ADAF03E" w:rsidR="00345346" w:rsidRDefault="00345346" w:rsidP="00D06F7F">
      <w:pPr>
        <w:jc w:val="both"/>
      </w:pPr>
      <w:r w:rsidRPr="00345346">
        <w:t>In December 2020, President Macron justified his continued support to President al-Sisi by saying it is a partner in the regional fight against terrorism and said: “I will not condition matters of defence and economic cooperation on these disagreements [over human rights]”.</w:t>
      </w:r>
      <w:r w:rsidRPr="00345346">
        <w:rPr>
          <w:vertAlign w:val="superscript"/>
        </w:rPr>
        <w:footnoteReference w:id="82"/>
      </w:r>
      <w:r w:rsidRPr="00345346">
        <w:rPr>
          <w:vertAlign w:val="superscript"/>
        </w:rPr>
        <w:t xml:space="preserve"> </w:t>
      </w:r>
      <w:r w:rsidRPr="00345346">
        <w:t xml:space="preserve"> A few days later, the European Parliament adopted a resolution calling on EU Member States: “to halt all exports of arms, surveillance technology and other security equipment to Egypt that can facilitate attacks on human rights defenders and civil society activists, including on social media, as well as any other kind of internal repression; calls for the EU to implement in full its export controls vis-à-vis Egypt with regard to goods that could be used for repression, torture or capital punishment.”</w:t>
      </w:r>
      <w:r w:rsidRPr="00345346">
        <w:rPr>
          <w:vertAlign w:val="superscript"/>
        </w:rPr>
        <w:footnoteReference w:id="83"/>
      </w:r>
      <w:r w:rsidRPr="00345346">
        <w:t xml:space="preserve"> President Macron’s statement runs counter to France’s obligations under the ICCPR and other human rights treaties, as well as under the ATT. </w:t>
      </w:r>
    </w:p>
    <w:p w14:paraId="4C3F6020" w14:textId="77777777" w:rsidR="00DA1107" w:rsidRPr="00345346" w:rsidRDefault="00DA1107" w:rsidP="00D06F7F">
      <w:pPr>
        <w:jc w:val="both"/>
      </w:pPr>
    </w:p>
    <w:p w14:paraId="467C3270" w14:textId="77777777" w:rsidR="00345346" w:rsidRPr="00345346" w:rsidRDefault="00345346" w:rsidP="00D06F7F">
      <w:pPr>
        <w:jc w:val="both"/>
        <w:rPr>
          <w:b/>
          <w:bCs/>
        </w:rPr>
      </w:pPr>
      <w:bookmarkStart w:id="4" w:name="_Toc92895846"/>
      <w:r w:rsidRPr="00345346">
        <w:rPr>
          <w:b/>
          <w:bCs/>
        </w:rPr>
        <w:lastRenderedPageBreak/>
        <w:t>Exports to China</w:t>
      </w:r>
      <w:bookmarkEnd w:id="4"/>
    </w:p>
    <w:p w14:paraId="25A7C0EA" w14:textId="77777777" w:rsidR="00345346" w:rsidRPr="00345346" w:rsidRDefault="00345346" w:rsidP="00D06F7F">
      <w:pPr>
        <w:jc w:val="both"/>
      </w:pPr>
    </w:p>
    <w:p w14:paraId="2FA09CC3" w14:textId="77777777" w:rsidR="00345346" w:rsidRPr="00345346" w:rsidRDefault="00345346" w:rsidP="00D06F7F">
      <w:pPr>
        <w:jc w:val="both"/>
      </w:pPr>
      <w:r w:rsidRPr="00345346">
        <w:t xml:space="preserve">Amnesty International found evidence that </w:t>
      </w:r>
      <w:proofErr w:type="spellStart"/>
      <w:r w:rsidRPr="00345346">
        <w:t>Idemia</w:t>
      </w:r>
      <w:proofErr w:type="spellEnd"/>
      <w:r w:rsidRPr="00345346">
        <w:t>, the French multinational company which sold biometric identification products to Egypt as described above, also sold in 2015 automatic facial recognition software to the Shanghai Public Security Bureau, which is a prominent actor in the Chinese state surveillance apparatus.</w:t>
      </w:r>
      <w:r w:rsidRPr="00345346">
        <w:rPr>
          <w:vertAlign w:val="superscript"/>
        </w:rPr>
        <w:footnoteReference w:id="84"/>
      </w:r>
      <w:r w:rsidRPr="00345346">
        <w:t xml:space="preserve"> When asked by Amnesty International about this sale, the company explained that the product is a post-event facial recognition system, meaning that it is used to identify faces on recorded footage rather than in a live identification feed. It also explained that the technology aims at helping the police in identifying perpetrators in criminal cases. </w:t>
      </w:r>
    </w:p>
    <w:p w14:paraId="3FAAB0D1" w14:textId="77777777" w:rsidR="00345346" w:rsidRPr="00345346" w:rsidRDefault="00345346" w:rsidP="00D06F7F">
      <w:pPr>
        <w:jc w:val="both"/>
      </w:pPr>
    </w:p>
    <w:p w14:paraId="124E22D0" w14:textId="77777777" w:rsidR="00345346" w:rsidRPr="00345346" w:rsidRDefault="00345346" w:rsidP="00D06F7F">
      <w:pPr>
        <w:jc w:val="both"/>
      </w:pPr>
      <w:r w:rsidRPr="00345346">
        <w:t>This sale is particularly problematic given the inherent risky nature of the technology and the fact that it was sold to a country among the weakest in the world when it comes to privacy and data protection standards.</w:t>
      </w:r>
      <w:r w:rsidRPr="00345346">
        <w:rPr>
          <w:vertAlign w:val="superscript"/>
        </w:rPr>
        <w:footnoteReference w:id="85"/>
      </w:r>
      <w:r w:rsidRPr="00345346">
        <w:t xml:space="preserve"> Biometric information is also one of the cornerstones of China’s social credit system and has reportedly been massively collected by the authorities in the Xinjiang region to monitor the movement of Xinjiang residents.</w:t>
      </w:r>
      <w:r w:rsidRPr="00345346">
        <w:rPr>
          <w:vertAlign w:val="superscript"/>
        </w:rPr>
        <w:footnoteReference w:id="86"/>
      </w:r>
      <w:r w:rsidRPr="00345346">
        <w:t xml:space="preserve"> Since this incident, the company has, according to Amnesty International, enforced a policy of not selling identification systems to China and has adopted a commitment to identify human rights risks associated with exports of surveillance technology.</w:t>
      </w:r>
      <w:r w:rsidRPr="00345346">
        <w:rPr>
          <w:vertAlign w:val="superscript"/>
        </w:rPr>
        <w:footnoteReference w:id="87"/>
      </w:r>
      <w:r w:rsidRPr="00345346">
        <w:t xml:space="preserve"> While this is a positive individual development, this raises questions as to gaps in sales of such technology and how this sale was authorised in the first place by French authorities. </w:t>
      </w:r>
    </w:p>
    <w:p w14:paraId="5A9A33B8" w14:textId="77777777" w:rsidR="00345346" w:rsidRPr="00345346" w:rsidRDefault="00345346" w:rsidP="00D06F7F">
      <w:pPr>
        <w:jc w:val="both"/>
      </w:pPr>
    </w:p>
    <w:p w14:paraId="68BEEF7C" w14:textId="77777777" w:rsidR="00345346" w:rsidRPr="00345346" w:rsidRDefault="00345346" w:rsidP="00D06F7F">
      <w:pPr>
        <w:jc w:val="both"/>
      </w:pPr>
      <w:r w:rsidRPr="00345346">
        <w:t>The cases in Egypt and China illustrate major gaps regarding the ability of French authorities to scrutinize exports of surveillance technologies including dual use products. First, the French export authorities do not publish export licensing information on surveillance technologies and dual-use products, or other data pertaining to their decision-making except from the number of individual licenses delivered for dual use products and the total amount of authorisations granted.</w:t>
      </w:r>
      <w:r w:rsidRPr="00345346">
        <w:rPr>
          <w:vertAlign w:val="superscript"/>
        </w:rPr>
        <w:footnoteReference w:id="88"/>
      </w:r>
      <w:r w:rsidRPr="00345346">
        <w:t xml:space="preserve"> Transparency on export licensing is essential to provide the public and French parliament with oversight and trust in the export licensing system. In a December 2020 report, the French National Assembly called on the government to </w:t>
      </w:r>
      <w:r w:rsidRPr="00345346">
        <w:lastRenderedPageBreak/>
        <w:t>increase transparency of information provided to the Parliament on arms exports, including on dual-use technologies, which are currently not adequately covered in the report to the Parliament, nor subject to a specific report.</w:t>
      </w:r>
      <w:r w:rsidRPr="00345346">
        <w:rPr>
          <w:vertAlign w:val="superscript"/>
        </w:rPr>
        <w:footnoteReference w:id="89"/>
      </w:r>
      <w:r w:rsidRPr="00345346">
        <w:t xml:space="preserve"> This report noted the lack of information provided on exports of dual-use technologies.</w:t>
      </w:r>
      <w:r w:rsidRPr="00345346">
        <w:rPr>
          <w:vertAlign w:val="superscript"/>
        </w:rPr>
        <w:footnoteReference w:id="90"/>
      </w:r>
      <w:r w:rsidRPr="00345346">
        <w:t xml:space="preserve"> As companies themselves do not disclose any information as to their trade agreements or licensing, there is no possibility, without export licensing data, for the Parliament or the public to hold the government to account with regard to its human rights obligations. The detection of human rights risks posed by the surveillance industry are thus largely dependent on investigative journalists and researchers and shows a major gap in the French government’s duty to respect and protect human rights in this sector. </w:t>
      </w:r>
    </w:p>
    <w:p w14:paraId="7FF6597C" w14:textId="77777777" w:rsidR="00345346" w:rsidRPr="00345346" w:rsidRDefault="00345346" w:rsidP="00D06F7F">
      <w:pPr>
        <w:jc w:val="both"/>
      </w:pPr>
    </w:p>
    <w:p w14:paraId="28D3EA67" w14:textId="77777777" w:rsidR="00345346" w:rsidRPr="00345346" w:rsidRDefault="00345346" w:rsidP="00D06F7F">
      <w:pPr>
        <w:jc w:val="both"/>
      </w:pPr>
      <w:r w:rsidRPr="00345346">
        <w:t xml:space="preserve">France has an obligation to prevent abuses before they occur and to strengthen the control and transparency of licensing arrangements for exports of surveillance technologies, technologies that can be used for surveillance and other relevant dual-use products. France should also ensure that companies in the sector under the law on the duty of vigilance carry out stringent human rights due diligence including on the end use of their products and services. </w:t>
      </w:r>
    </w:p>
    <w:p w14:paraId="64D42ABC" w14:textId="77777777" w:rsidR="00345346" w:rsidRPr="00345346" w:rsidRDefault="00345346" w:rsidP="00D06F7F">
      <w:pPr>
        <w:jc w:val="both"/>
      </w:pPr>
    </w:p>
    <w:p w14:paraId="3A786CC7" w14:textId="77777777" w:rsidR="00345346" w:rsidRPr="00345346" w:rsidRDefault="00345346" w:rsidP="00D06F7F">
      <w:pPr>
        <w:jc w:val="both"/>
      </w:pPr>
      <w:r w:rsidRPr="00345346">
        <w:t>The recently adopted new EU export control regulation on dual-use products, which should enter into force in 2021 and that will among other, enhance information-exchange between licensing authorities and the European Commission with a view to increasing transparency of licensing decisions.</w:t>
      </w:r>
      <w:r w:rsidRPr="00345346">
        <w:rPr>
          <w:vertAlign w:val="superscript"/>
        </w:rPr>
        <w:footnoteReference w:id="91"/>
      </w:r>
      <w:r w:rsidRPr="00345346">
        <w:t xml:space="preserve"> It will also create an obligation for Member States to “consider  the risk of use in connection with internal repression or the commission of serious violations of international human rights and international humanitarian law”.</w:t>
      </w:r>
      <w:r w:rsidRPr="00345346">
        <w:rPr>
          <w:vertAlign w:val="superscript"/>
        </w:rPr>
        <w:footnoteReference w:id="92"/>
      </w:r>
      <w:r w:rsidRPr="00345346">
        <w:t xml:space="preserve"> Finally, the regulation also creates due diligence obligations and compliance requirements for exporters, recognising the role of the private sector in addressing the risks posed by trade in dual-use products.</w:t>
      </w:r>
      <w:r w:rsidRPr="00345346">
        <w:rPr>
          <w:vertAlign w:val="superscript"/>
        </w:rPr>
        <w:footnoteReference w:id="93"/>
      </w:r>
      <w:r w:rsidRPr="00345346">
        <w:t xml:space="preserve"> France should take advantage of the implementation of the new EU regulation at domestic level to tackle the gaps highlighted above in terms of transparency, democratic oversight, human rights risk assessments as well as the due diligence obligations of businesses in the sector.</w:t>
      </w:r>
    </w:p>
    <w:p w14:paraId="38F1D926" w14:textId="77777777" w:rsidR="00345346" w:rsidRPr="00345346" w:rsidRDefault="00345346" w:rsidP="00D06F7F">
      <w:pPr>
        <w:jc w:val="both"/>
      </w:pPr>
    </w:p>
    <w:p w14:paraId="31244BE4" w14:textId="77777777" w:rsidR="00345346" w:rsidRPr="00345346" w:rsidRDefault="00345346" w:rsidP="00D06F7F">
      <w:pPr>
        <w:jc w:val="both"/>
      </w:pPr>
      <w:r w:rsidRPr="00345346">
        <w:t xml:space="preserve">As stated earlier, the State’s duty to respect and protect individuals’ civil and political rights under the ICCPR also entails a due diligence obligation of the State in relation to the </w:t>
      </w:r>
      <w:r w:rsidRPr="00345346">
        <w:lastRenderedPageBreak/>
        <w:t>activities of private companies in its territory or jurisdiction. The Human Rights Committee had previously expressed concern at Italy’s provision of online surveillance equipment to Governments with a record of serious human rights violations and about the absence of legal safeguards or oversight mechanisms regarding the export of such equipment.</w:t>
      </w:r>
      <w:r w:rsidRPr="00345346">
        <w:rPr>
          <w:vertAlign w:val="superscript"/>
        </w:rPr>
        <w:footnoteReference w:id="94"/>
      </w:r>
      <w:r w:rsidRPr="00345346">
        <w:t xml:space="preserve"> In addition, the Special Rapporteur on the promotion and protection of the right to freedom of opinion and expression has noted that while export controls are important to reduce risks: “the focus on exports is an imperfect proxy for addressing the central problem: the use of such technologies to target lawful expression, dissent, reporting and other examples of the exercise of human rights.”</w:t>
      </w:r>
      <w:r w:rsidRPr="00345346">
        <w:rPr>
          <w:vertAlign w:val="superscript"/>
        </w:rPr>
        <w:footnoteReference w:id="95"/>
      </w:r>
      <w:r w:rsidRPr="00345346">
        <w:t xml:space="preserve"> The Special Rapporteur hence called for an immediate moratorium on the global sale and transfer of the tools of the private surveillance industry until rigorous human rights safeguards are put in place to regulate such practices and guarantee that Governments and non-State actors use the tools in legitimate ways.</w:t>
      </w:r>
      <w:r w:rsidRPr="00345346">
        <w:rPr>
          <w:vertAlign w:val="superscript"/>
        </w:rPr>
        <w:footnoteReference w:id="96"/>
      </w:r>
      <w:r w:rsidRPr="00345346">
        <w:t xml:space="preserve"> </w:t>
      </w:r>
    </w:p>
    <w:p w14:paraId="58802F6F" w14:textId="77777777" w:rsidR="00345346" w:rsidRPr="00345346" w:rsidRDefault="00345346" w:rsidP="00D06F7F">
      <w:pPr>
        <w:jc w:val="both"/>
      </w:pPr>
    </w:p>
    <w:p w14:paraId="48A8ABB6" w14:textId="77777777" w:rsidR="00345346" w:rsidRPr="00345346" w:rsidRDefault="00345346" w:rsidP="00D06F7F">
      <w:pPr>
        <w:jc w:val="both"/>
        <w:rPr>
          <w:b/>
          <w:bCs/>
        </w:rPr>
      </w:pPr>
      <w:bookmarkStart w:id="5" w:name="_Toc92895848"/>
      <w:r w:rsidRPr="00345346">
        <w:rPr>
          <w:b/>
          <w:bCs/>
        </w:rPr>
        <w:t>IMPLEMENTATION OF UN SECURITY COUNCIL RESOLUTION 1325 ON WOMEN, PEACE AND SECURITY</w:t>
      </w:r>
      <w:bookmarkEnd w:id="5"/>
    </w:p>
    <w:p w14:paraId="09D03EA9" w14:textId="77777777" w:rsidR="00345346" w:rsidRPr="00345346" w:rsidRDefault="00345346" w:rsidP="00D06F7F">
      <w:pPr>
        <w:jc w:val="both"/>
        <w:rPr>
          <w:lang w:val="en-US"/>
        </w:rPr>
      </w:pPr>
    </w:p>
    <w:p w14:paraId="15008F32" w14:textId="77777777" w:rsidR="00345346" w:rsidRPr="00345346" w:rsidRDefault="00345346" w:rsidP="00D06F7F">
      <w:pPr>
        <w:jc w:val="both"/>
      </w:pPr>
      <w:r w:rsidRPr="00345346">
        <w:t>In its second revised National Action Plan (the “</w:t>
      </w:r>
      <w:r w:rsidRPr="00345346">
        <w:rPr>
          <w:i/>
        </w:rPr>
        <w:t>NAP</w:t>
      </w:r>
      <w:r w:rsidRPr="00345346">
        <w:t>”) for the period inclusive of 2015-2018, France announced numerous actions toward fulfilling the goals of UN Security Council Resolution 1325 (UNSCR 1325). Under its NAP, France commits itself to “ensure the protection of women against all forms of violence in conflict and post-conflict countries.”</w:t>
      </w:r>
      <w:r w:rsidRPr="00345346">
        <w:rPr>
          <w:vertAlign w:val="superscript"/>
        </w:rPr>
        <w:footnoteReference w:id="97"/>
      </w:r>
      <w:r w:rsidRPr="00345346">
        <w:t xml:space="preserve"> The continued sale and transfer of French weapons to countries in conflict stands in stark contrast to this commitment, since these weapons can be used to commit violence against women and gender-based violence and other violations of international human rights law and international humanitarian law.</w:t>
      </w:r>
    </w:p>
    <w:p w14:paraId="518234AC" w14:textId="77777777" w:rsidR="00345346" w:rsidRPr="00345346" w:rsidRDefault="00345346" w:rsidP="00D06F7F">
      <w:pPr>
        <w:jc w:val="both"/>
      </w:pPr>
    </w:p>
    <w:p w14:paraId="0B2B9D94" w14:textId="77777777" w:rsidR="00345346" w:rsidRPr="00345346" w:rsidRDefault="00345346" w:rsidP="00D06F7F">
      <w:pPr>
        <w:jc w:val="both"/>
      </w:pPr>
      <w:r w:rsidRPr="00345346">
        <w:t>Moreover, France has no policy coherence, in that while it states a commitment to “support and protect human rights defenders”</w:t>
      </w:r>
      <w:r w:rsidRPr="00345346">
        <w:rPr>
          <w:vertAlign w:val="superscript"/>
        </w:rPr>
        <w:footnoteReference w:id="98"/>
      </w:r>
      <w:r w:rsidRPr="00345346">
        <w:t xml:space="preserve">, it continues to sell surveillance technology to countries where the technology is used to repress human rights defenders. Furthermore, despite its commitment to “encourage States to ratify and implement the Arms Trade </w:t>
      </w:r>
      <w:r w:rsidRPr="00345346">
        <w:lastRenderedPageBreak/>
        <w:t>Treaty (2013)”</w:t>
      </w:r>
      <w:r w:rsidRPr="00345346">
        <w:rPr>
          <w:vertAlign w:val="superscript"/>
        </w:rPr>
        <w:footnoteReference w:id="99"/>
      </w:r>
      <w:r w:rsidRPr="00345346">
        <w:t xml:space="preserve">, France’s continues arms transfers to countries where these weapons could be used in serious violations of international human rights law and international humanitarian law as demonstrated in the present report. </w:t>
      </w:r>
    </w:p>
    <w:p w14:paraId="2348EA3E" w14:textId="77777777" w:rsidR="00345346" w:rsidRPr="00345346" w:rsidRDefault="00345346" w:rsidP="00D06F7F">
      <w:pPr>
        <w:jc w:val="both"/>
      </w:pPr>
    </w:p>
    <w:p w14:paraId="59463D8D" w14:textId="6DFECA21" w:rsidR="00345346" w:rsidRPr="00CD6B05" w:rsidRDefault="00345346" w:rsidP="00CD6B05">
      <w:pPr>
        <w:jc w:val="both"/>
      </w:pPr>
      <w:r w:rsidRPr="00345346">
        <w:t>Finally, on 25 October 2018, France stated that its third NAP would be presented in the first quarter of 2019.</w:t>
      </w:r>
      <w:r w:rsidRPr="00345346">
        <w:rPr>
          <w:vertAlign w:val="superscript"/>
        </w:rPr>
        <w:footnoteReference w:id="100"/>
      </w:r>
      <w:r w:rsidRPr="00345346">
        <w:t xml:space="preserve"> Questioned during the Senate session in June 2019, the French Ministry of Europe and Foreign Affairs confirmed that the development of the third NAP would be completed by end of 2019.</w:t>
      </w:r>
      <w:r w:rsidRPr="00345346">
        <w:rPr>
          <w:vertAlign w:val="superscript"/>
        </w:rPr>
        <w:footnoteReference w:id="101"/>
      </w:r>
      <w:r w:rsidRPr="00345346">
        <w:t> Almost two years later and according to publicly available information, the third NAP is still not completed.</w:t>
      </w:r>
    </w:p>
    <w:sectPr w:rsidR="00345346" w:rsidRPr="00CD6B05" w:rsidSect="000654D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FB2F6" w14:textId="77777777" w:rsidR="00716F49" w:rsidRDefault="00716F49" w:rsidP="00A85142">
      <w:r>
        <w:separator/>
      </w:r>
    </w:p>
  </w:endnote>
  <w:endnote w:type="continuationSeparator" w:id="0">
    <w:p w14:paraId="62AB56F2" w14:textId="77777777" w:rsidR="00716F49" w:rsidRDefault="00716F49" w:rsidP="00A8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altName w:val="Seravek Medium"/>
    <w:panose1 w:val="020B0703020102020204"/>
    <w:charset w:val="00"/>
    <w:family w:val="swiss"/>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3EF6F" w14:textId="77777777" w:rsidR="00716F49" w:rsidRDefault="00716F49" w:rsidP="00A85142">
      <w:r>
        <w:separator/>
      </w:r>
    </w:p>
  </w:footnote>
  <w:footnote w:type="continuationSeparator" w:id="0">
    <w:p w14:paraId="38FB92C7" w14:textId="77777777" w:rsidR="00716F49" w:rsidRDefault="00716F49" w:rsidP="00A85142">
      <w:r>
        <w:continuationSeparator/>
      </w:r>
    </w:p>
  </w:footnote>
  <w:footnote w:id="1">
    <w:p w14:paraId="4C35A37E" w14:textId="60434B7F" w:rsidR="006A4389" w:rsidRPr="00D06F7F" w:rsidRDefault="006A4389">
      <w:pPr>
        <w:pStyle w:val="FootnoteText"/>
        <w:rPr>
          <w:rFonts w:cstheme="minorHAnsi"/>
        </w:rPr>
      </w:pPr>
      <w:r w:rsidRPr="00D06F7F">
        <w:rPr>
          <w:rStyle w:val="FootnoteReference"/>
          <w:rFonts w:cstheme="minorHAnsi"/>
        </w:rPr>
        <w:footnoteRef/>
      </w:r>
      <w:r w:rsidRPr="00D06F7F">
        <w:rPr>
          <w:rFonts w:cstheme="minorHAnsi"/>
        </w:rPr>
        <w:t xml:space="preserve"> The joint submission to the Human Rights Committee is available at </w:t>
      </w:r>
      <w:hyperlink r:id="rId1" w:history="1">
        <w:r w:rsidRPr="00D06F7F">
          <w:rPr>
            <w:rStyle w:val="Hyperlink"/>
            <w:rFonts w:cstheme="minorHAnsi"/>
          </w:rPr>
          <w:t>https://tbinternet.ohchr.org/_layouts/15/treatybodyexternal/Download.aspx?symbolno=INT%2fCCPR%2fICS%2fFRA%2f44872&amp;Lang=en</w:t>
        </w:r>
      </w:hyperlink>
      <w:r w:rsidRPr="00D06F7F">
        <w:rPr>
          <w:rFonts w:cstheme="minorHAnsi"/>
        </w:rPr>
        <w:t xml:space="preserve"> </w:t>
      </w:r>
    </w:p>
  </w:footnote>
  <w:footnote w:id="2">
    <w:p w14:paraId="3B5947BD" w14:textId="55CC2785" w:rsidR="00295BB9" w:rsidRPr="00D06F7F" w:rsidRDefault="00295BB9" w:rsidP="00295BB9">
      <w:pPr>
        <w:pStyle w:val="FootnoteText"/>
        <w:rPr>
          <w:rFonts w:cstheme="minorHAnsi"/>
        </w:rPr>
      </w:pPr>
      <w:r w:rsidRPr="00D06F7F">
        <w:rPr>
          <w:rStyle w:val="FootnoteReference"/>
          <w:rFonts w:cstheme="minorHAnsi"/>
        </w:rPr>
        <w:footnoteRef/>
      </w:r>
      <w:r w:rsidRPr="00D06F7F">
        <w:rPr>
          <w:rFonts w:cstheme="minorHAnsi"/>
        </w:rPr>
        <w:t xml:space="preserve"> </w:t>
      </w:r>
      <w:r w:rsidRPr="00D06F7F">
        <w:rPr>
          <w:rFonts w:cstheme="minorHAnsi"/>
          <w:lang w:val="en-US"/>
        </w:rPr>
        <w:t xml:space="preserve">CEDAW/C/FRA/CO/7-8, </w:t>
      </w:r>
      <w:r w:rsidRPr="00D06F7F">
        <w:rPr>
          <w:rFonts w:cstheme="minorHAnsi"/>
        </w:rPr>
        <w:t xml:space="preserve">25 July 2016, paragraphs 22 and 23. </w:t>
      </w:r>
    </w:p>
  </w:footnote>
  <w:footnote w:id="3">
    <w:p w14:paraId="405B6EEE" w14:textId="26BF4269" w:rsidR="006A4389" w:rsidRPr="00D06F7F" w:rsidRDefault="006A4389">
      <w:pPr>
        <w:pStyle w:val="FootnoteText"/>
        <w:rPr>
          <w:rFonts w:cstheme="minorHAnsi"/>
          <w:i/>
          <w:iCs/>
          <w:lang w:val="en-US"/>
        </w:rPr>
      </w:pPr>
      <w:r w:rsidRPr="00D06F7F">
        <w:rPr>
          <w:rStyle w:val="FootnoteReference"/>
          <w:rFonts w:cstheme="minorHAnsi"/>
        </w:rPr>
        <w:footnoteRef/>
      </w:r>
      <w:r w:rsidRPr="00D06F7F">
        <w:rPr>
          <w:rFonts w:cstheme="minorHAnsi"/>
        </w:rPr>
        <w:t xml:space="preserve"> CEDAW/C/FRA/9, 20 April 2021, paragraphs 7 and 8</w:t>
      </w:r>
      <w:r w:rsidR="00295BB9" w:rsidRPr="00D06F7F">
        <w:rPr>
          <w:rFonts w:cstheme="minorHAnsi"/>
        </w:rPr>
        <w:t xml:space="preserve"> </w:t>
      </w:r>
      <w:r w:rsidR="00295BB9" w:rsidRPr="00D06F7F">
        <w:rPr>
          <w:rFonts w:cstheme="minorHAnsi"/>
          <w:i/>
          <w:iCs/>
        </w:rPr>
        <w:t>(unofficial translation)</w:t>
      </w:r>
    </w:p>
  </w:footnote>
  <w:footnote w:id="4">
    <w:p w14:paraId="4C7ACEF0" w14:textId="4EB5E76F" w:rsidR="00295BB9" w:rsidRPr="00D06F7F" w:rsidRDefault="00295BB9" w:rsidP="00295BB9">
      <w:pPr>
        <w:pStyle w:val="FootnoteText"/>
        <w:rPr>
          <w:rFonts w:cstheme="minorHAnsi"/>
          <w:lang w:val="en-US"/>
        </w:rPr>
      </w:pPr>
      <w:r w:rsidRPr="00D06F7F">
        <w:rPr>
          <w:rStyle w:val="FootnoteReference"/>
          <w:rFonts w:cstheme="minorHAnsi"/>
        </w:rPr>
        <w:footnoteRef/>
      </w:r>
      <w:r w:rsidRPr="00D06F7F">
        <w:rPr>
          <w:rFonts w:cstheme="minorHAnsi"/>
        </w:rPr>
        <w:t xml:space="preserve"> </w:t>
      </w:r>
      <w:r w:rsidRPr="00D06F7F">
        <w:rPr>
          <w:rFonts w:cstheme="minorHAnsi"/>
          <w:lang w:val="en-US"/>
        </w:rPr>
        <w:t xml:space="preserve">A/HRC/48/CRP.4, 14 September 2021, paragraph 58. </w:t>
      </w:r>
    </w:p>
    <w:p w14:paraId="7C1463A9" w14:textId="7CBFF53E" w:rsidR="00295BB9" w:rsidRPr="00487BB3" w:rsidRDefault="00295BB9">
      <w:pPr>
        <w:pStyle w:val="FootnoteText"/>
        <w:rPr>
          <w:rFonts w:cstheme="minorHAnsi"/>
          <w:lang w:val="en-US"/>
        </w:rPr>
      </w:pPr>
    </w:p>
  </w:footnote>
  <w:footnote w:id="5">
    <w:p w14:paraId="4B275062" w14:textId="77777777" w:rsidR="00295BB9" w:rsidRPr="00487BB3" w:rsidRDefault="00295BB9" w:rsidP="00295BB9">
      <w:pPr>
        <w:pStyle w:val="FootnoteText"/>
        <w:rPr>
          <w:rFonts w:cstheme="minorHAnsi"/>
          <w:lang w:val="en-US"/>
        </w:rPr>
      </w:pPr>
      <w:r w:rsidRPr="00D06F7F">
        <w:rPr>
          <w:rStyle w:val="FootnoteReference"/>
          <w:rFonts w:cstheme="minorHAnsi"/>
        </w:rPr>
        <w:footnoteRef/>
      </w:r>
      <w:r w:rsidRPr="00D06F7F">
        <w:rPr>
          <w:rFonts w:cstheme="minorHAnsi"/>
        </w:rPr>
        <w:t xml:space="preserve"> CEDAW/C/FRA/9, 20 April 2021), paragraph 102.</w:t>
      </w:r>
    </w:p>
  </w:footnote>
  <w:footnote w:id="6">
    <w:p w14:paraId="0FB65A62" w14:textId="2659CE01" w:rsidR="002D034F" w:rsidRPr="002D034F" w:rsidRDefault="002D034F">
      <w:pPr>
        <w:pStyle w:val="FootnoteText"/>
      </w:pPr>
      <w:r>
        <w:rPr>
          <w:rStyle w:val="FootnoteReference"/>
        </w:rPr>
        <w:footnoteRef/>
      </w:r>
      <w:r>
        <w:t xml:space="preserve"> </w:t>
      </w:r>
      <w:hyperlink r:id="rId2" w:history="1">
        <w:r w:rsidRPr="007E383B">
          <w:rPr>
            <w:rStyle w:val="Hyperlink"/>
          </w:rPr>
          <w:t>https://www.diplomatie.gouv.fr/IMG/pdf/202107_pna_no_3-hd_cle8c97fb.pdf</w:t>
        </w:r>
      </w:hyperlink>
      <w:r>
        <w:t xml:space="preserve"> </w:t>
      </w:r>
    </w:p>
  </w:footnote>
  <w:footnote w:id="7">
    <w:p w14:paraId="0DDB7C4C" w14:textId="77777777" w:rsidR="006A4389" w:rsidRPr="00D06F7F" w:rsidRDefault="006A4389" w:rsidP="006A4389">
      <w:pPr>
        <w:pStyle w:val="FootnoteText"/>
        <w:rPr>
          <w:rFonts w:cstheme="minorHAnsi"/>
        </w:rPr>
      </w:pPr>
      <w:r w:rsidRPr="00D06F7F">
        <w:rPr>
          <w:rStyle w:val="FootnoteReference"/>
          <w:rFonts w:cstheme="minorHAnsi"/>
        </w:rPr>
        <w:footnoteRef/>
      </w:r>
      <w:r w:rsidRPr="00D06F7F">
        <w:rPr>
          <w:rFonts w:cstheme="minorHAnsi"/>
        </w:rPr>
        <w:t xml:space="preserve"> The joint submission to the Human Rights Committee is available at </w:t>
      </w:r>
      <w:hyperlink r:id="rId3" w:history="1">
        <w:r w:rsidRPr="00D06F7F">
          <w:rPr>
            <w:rStyle w:val="Hyperlink"/>
            <w:rFonts w:cstheme="minorHAnsi"/>
          </w:rPr>
          <w:t>https://tbinternet.ohchr.org/_layouts/15/treatybodyexternal/Download.aspx?symbolno=INT%2fCCPR%2fICS%2fFRA%2f44872&amp;Lang=en</w:t>
        </w:r>
      </w:hyperlink>
      <w:r w:rsidRPr="00D06F7F">
        <w:rPr>
          <w:rFonts w:cstheme="minorHAnsi"/>
        </w:rPr>
        <w:t xml:space="preserve"> </w:t>
      </w:r>
    </w:p>
  </w:footnote>
  <w:footnote w:id="8">
    <w:p w14:paraId="08F2C98A"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HRC Thirty-fifth session 6-23 June 2017 ‘Report of the Office of the United Nations High Commissioner for Human Rights: Impact of arms transfers on the enjoyment of human rights’ (3 May 2017) UN Doc A/HRC/35/8, para 9.</w:t>
      </w:r>
    </w:p>
  </w:footnote>
  <w:footnote w:id="9">
    <w:p w14:paraId="652A5812"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 xml:space="preserve">In March 2015, Saudi Arabia formed a coalition with Bahrain, Egypt, Jordan, Kuwait, Morocco, Senegal, Sudan and the United Arab Emirates. Qatar was a member of the coalition until June 2017. </w:t>
      </w:r>
    </w:p>
  </w:footnote>
  <w:footnote w:id="10">
    <w:p w14:paraId="2481996F"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 xml:space="preserve">In its field report “War of Ignorance” dated of January 2021, the Yemeni-based organization describes the impacts of the war on the education system in Yemen, in particular the destroying of educational facilities, as well as the displacement of students and teachers by the conflict: </w:t>
      </w:r>
      <w:proofErr w:type="spellStart"/>
      <w:r w:rsidRPr="00D06F7F">
        <w:rPr>
          <w:rFonts w:cstheme="minorHAnsi"/>
          <w:color w:val="000000"/>
        </w:rPr>
        <w:t>Mwatana</w:t>
      </w:r>
      <w:proofErr w:type="spellEnd"/>
      <w:r w:rsidRPr="00D06F7F">
        <w:rPr>
          <w:rFonts w:cstheme="minorHAnsi"/>
          <w:color w:val="000000"/>
        </w:rPr>
        <w:t xml:space="preserve"> for Human Rights,</w:t>
      </w:r>
      <w:r w:rsidRPr="00D06F7F">
        <w:rPr>
          <w:rFonts w:cstheme="minorHAnsi"/>
        </w:rPr>
        <w:t xml:space="preserve"> </w:t>
      </w:r>
      <w:r w:rsidRPr="00D06F7F">
        <w:rPr>
          <w:rFonts w:cstheme="minorHAnsi"/>
          <w:color w:val="000000"/>
        </w:rPr>
        <w:t>War of Ignorance Field study on the impact of the armed conflict on access to education in Yemen</w:t>
      </w:r>
      <w:r w:rsidRPr="00D06F7F">
        <w:rPr>
          <w:rFonts w:cstheme="minorHAnsi"/>
        </w:rPr>
        <w:t xml:space="preserve"> (</w:t>
      </w:r>
      <w:r w:rsidRPr="00D06F7F">
        <w:rPr>
          <w:rFonts w:cstheme="minorHAnsi"/>
          <w:color w:val="000000"/>
        </w:rPr>
        <w:t>January 202</w:t>
      </w:r>
      <w:r w:rsidRPr="00D06F7F">
        <w:rPr>
          <w:rFonts w:cstheme="minorHAnsi"/>
        </w:rPr>
        <w:t>1).</w:t>
      </w:r>
      <w:r w:rsidRPr="00D06F7F">
        <w:rPr>
          <w:rFonts w:cstheme="minorHAnsi"/>
          <w:color w:val="000000"/>
        </w:rPr>
        <w:t xml:space="preserve"> </w:t>
      </w:r>
    </w:p>
  </w:footnote>
  <w:footnote w:id="11">
    <w:p w14:paraId="1AE80A92"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All warring parties in Yemen, including members of the Coalition, have destroyed health care facilities, wounded and killed medical workers, and gravely exacerbated the humanitarian crisis in the country. While only half the country’s health facilities are functional, the violation of civil, political, social, economic and cultural rights by the Coalition contributed to making the country increasingly vulnerable to health shocks like that posed by COVID-19. See for example, </w:t>
      </w:r>
      <w:proofErr w:type="spellStart"/>
      <w:r w:rsidRPr="00D06F7F">
        <w:rPr>
          <w:rFonts w:cstheme="minorHAnsi"/>
        </w:rPr>
        <w:t>Mwatana</w:t>
      </w:r>
      <w:proofErr w:type="spellEnd"/>
      <w:r w:rsidRPr="00D06F7F">
        <w:rPr>
          <w:rFonts w:cstheme="minorHAnsi"/>
        </w:rPr>
        <w:t xml:space="preserve"> for Human Rights, ‘Yemen: Urgent Measures Needed to Protect Civilians from COVID-19’ (Press release, 28 April 2020) &lt;https://mwatana.org/en/protect-civilians-from-covid19/&gt; and UNHRC Human Rights Council Forty-fifth session 14 September–2 October 2020 ‘Report of the Group of Eminent International and Regional Experts on Yemen: Situation of human rights in Yemen, including violations and abuses since September 2014’ (28 September 2020) UN Doc A/HRC/45/6</w:t>
      </w:r>
      <w:r w:rsidRPr="00D06F7F">
        <w:rPr>
          <w:rFonts w:eastAsia="Arial" w:cstheme="minorHAnsi"/>
        </w:rPr>
        <w:t xml:space="preserve">, </w:t>
      </w:r>
      <w:r w:rsidRPr="00D06F7F">
        <w:rPr>
          <w:rFonts w:cstheme="minorHAnsi"/>
        </w:rPr>
        <w:t xml:space="preserve">para 22. </w:t>
      </w:r>
    </w:p>
  </w:footnote>
  <w:footnote w:id="12">
    <w:p w14:paraId="52EA554F"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UNHRC Thirtieth session ‘Report of the United Nations High Commissioner for Human Rights: Situation of Human Rights in Yemen’ (7 September 2015) UN Doc A/HRC/30/31.</w:t>
      </w:r>
    </w:p>
  </w:footnote>
  <w:footnote w:id="13">
    <w:p w14:paraId="02D7A27A" w14:textId="77777777" w:rsidR="00345346" w:rsidRPr="00D06F7F" w:rsidRDefault="00345346" w:rsidP="00345346">
      <w:pPr>
        <w:pStyle w:val="FootnoteText"/>
        <w:rPr>
          <w:rFonts w:eastAsia="Times New Roman" w:cstheme="minorHAnsi"/>
          <w:color w:val="000000"/>
        </w:rPr>
      </w:pPr>
      <w:r w:rsidRPr="00D06F7F">
        <w:rPr>
          <w:rFonts w:cstheme="minorHAnsi"/>
          <w:vertAlign w:val="superscript"/>
        </w:rPr>
        <w:footnoteRef/>
      </w:r>
      <w:r w:rsidRPr="00D06F7F">
        <w:rPr>
          <w:rFonts w:eastAsia="Times New Roman" w:cstheme="minorHAnsi"/>
          <w:color w:val="000000"/>
        </w:rPr>
        <w:t xml:space="preserve">UNSC </w:t>
      </w:r>
      <w:r w:rsidRPr="00D06F7F">
        <w:rPr>
          <w:rFonts w:eastAsia="Times New Roman" w:cstheme="minorHAnsi"/>
        </w:rPr>
        <w:t xml:space="preserve">‘Final report of the Panel of Experts on Yemen’ (31 January 2017) UN Doc S/2017/8, page </w:t>
      </w:r>
      <w:r w:rsidRPr="00D06F7F">
        <w:rPr>
          <w:rFonts w:eastAsia="Times New Roman" w:cstheme="minorHAnsi"/>
          <w:color w:val="000000"/>
        </w:rPr>
        <w:t>3.</w:t>
      </w:r>
    </w:p>
  </w:footnote>
  <w:footnote w:id="14">
    <w:p w14:paraId="2580CF94"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 xml:space="preserve">UNHRC Forty-fifth session 14 September–2 October 2020 ‘Detailed findings of the Group of Eminent International and Regional Experts on Yemen: Situation of human rights in Yemen, including violations and abuses since September 2014’ (29 September 2020) UN Doc A/HRC/45/CRP.7 page 2. </w:t>
      </w:r>
    </w:p>
  </w:footnote>
  <w:footnote w:id="15">
    <w:p w14:paraId="59A82F84"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highlight w:val="white"/>
        </w:rPr>
        <w:t>The Yemen Data Project is an independent data collection project aimed at collecting and disseminating data on the conduct of the war in Yemen, with the purpose of increasing transparency and promoting accountability of the actors involved. In the absence of official military records from any of the parties to the conflict, the Yemen Data Project was founded in 2016 with the overall goal of contributing independent and neutral data to increase transparency over the conduct of the war and to inform humanitarian response, human rights advocacy and policy discussion. </w:t>
      </w:r>
      <w:r w:rsidRPr="00D06F7F">
        <w:rPr>
          <w:rFonts w:eastAsia="Times New Roman" w:cstheme="minorHAnsi"/>
        </w:rPr>
        <w:t>available at: &lt;https://yemendataproject.org/&gt;.</w:t>
      </w:r>
    </w:p>
  </w:footnote>
  <w:footnote w:id="16">
    <w:p w14:paraId="2433C820" w14:textId="77777777" w:rsidR="00345346" w:rsidRPr="00D06F7F" w:rsidRDefault="00345346" w:rsidP="00345346">
      <w:pPr>
        <w:pStyle w:val="FootnoteText"/>
        <w:rPr>
          <w:rFonts w:eastAsia="Times New Roman" w:cstheme="minorHAnsi"/>
          <w:color w:val="000000"/>
        </w:rPr>
      </w:pPr>
      <w:r w:rsidRPr="00D06F7F">
        <w:rPr>
          <w:rFonts w:cstheme="minorHAnsi"/>
          <w:vertAlign w:val="superscript"/>
        </w:rPr>
        <w:footnoteRef/>
      </w:r>
      <w:r w:rsidRPr="00D06F7F">
        <w:rPr>
          <w:rFonts w:eastAsia="Times New Roman" w:cstheme="minorHAnsi"/>
          <w:color w:val="000000"/>
        </w:rPr>
        <w:t xml:space="preserve">The </w:t>
      </w:r>
      <w:r w:rsidRPr="00D06F7F">
        <w:rPr>
          <w:rFonts w:eastAsia="Times New Roman" w:cstheme="minorHAnsi"/>
          <w:color w:val="000000"/>
          <w:highlight w:val="white"/>
        </w:rPr>
        <w:t>Yemen Data Project lists target category based on the original use of the target, “</w:t>
      </w:r>
      <w:r w:rsidRPr="00D06F7F">
        <w:rPr>
          <w:rFonts w:eastAsia="Times New Roman" w:cstheme="minorHAnsi"/>
          <w:color w:val="000000"/>
        </w:rPr>
        <w:t>e.g. a school hit by an airstrike is referred to as a school building, with no further assessment on its use at the time of the airstrike or the circumstances that led to the airstrike” : &lt;</w:t>
      </w:r>
      <w:r w:rsidRPr="00D06F7F">
        <w:rPr>
          <w:rFonts w:eastAsia="Times New Roman" w:cstheme="minorHAnsi"/>
        </w:rPr>
        <w:t>https://yemendataproject.org/index.html&gt;</w:t>
      </w:r>
      <w:r w:rsidRPr="00D06F7F">
        <w:rPr>
          <w:rFonts w:eastAsia="Times New Roman" w:cstheme="minorHAnsi"/>
          <w:color w:val="000000"/>
        </w:rPr>
        <w:t xml:space="preserve"> </w:t>
      </w:r>
    </w:p>
  </w:footnote>
  <w:footnote w:id="17">
    <w:p w14:paraId="7191400D"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 UNSC ‘Final report of the Panel of Experts on Yemen’ (27 January 2020) UN Doc S/2020/70, para.93.</w:t>
      </w:r>
    </w:p>
  </w:footnote>
  <w:footnote w:id="18">
    <w:p w14:paraId="6C53170D"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 xml:space="preserve"> </w:t>
      </w:r>
      <w:r w:rsidRPr="00D06F7F">
        <w:rPr>
          <w:rFonts w:cstheme="minorHAnsi"/>
          <w:lang w:val="fr-CH"/>
        </w:rPr>
        <w:t>Ibid.</w:t>
      </w:r>
    </w:p>
  </w:footnote>
  <w:footnote w:id="19">
    <w:p w14:paraId="4AA82FF4"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 xml:space="preserve"> ICCPR, Article 6(1).</w:t>
      </w:r>
    </w:p>
  </w:footnote>
  <w:footnote w:id="20">
    <w:p w14:paraId="31448293"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 xml:space="preserve"> ICCPR, Article 9.</w:t>
      </w:r>
    </w:p>
  </w:footnote>
  <w:footnote w:id="21">
    <w:p w14:paraId="2C522090"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 xml:space="preserve"> ICCPR, Articles 21 and 22.</w:t>
      </w:r>
    </w:p>
  </w:footnote>
  <w:footnote w:id="22">
    <w:p w14:paraId="65B80203"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 xml:space="preserve"> ICCPR, Article 7.</w:t>
      </w:r>
    </w:p>
  </w:footnote>
  <w:footnote w:id="23">
    <w:p w14:paraId="5F3214CA"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 xml:space="preserve"> ICCPR, Article 4(2).</w:t>
      </w:r>
    </w:p>
  </w:footnote>
  <w:footnote w:id="24">
    <w:p w14:paraId="1F547236"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 Committee on the Elimination of Discrimination against Women ‘General Recommendation 30 on women in conflict prevention, conflict, and post conflict situations’ (18 October 2013) UN Doc CEDAW/C/GC/30, paras 34-81.</w:t>
      </w:r>
    </w:p>
  </w:footnote>
  <w:footnote w:id="25">
    <w:p w14:paraId="05AE3985"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UNHRC Forty-second session 9–27 September 2019 ‘Report of the detailed findings of the Group of Eminent International and Regional Experts on Yemen: Situation of human rights in Yemen, including violations and abuses since September 2014’ (3 September 2019) UN Doc A/HRC/42/CRP.1, para 616-664; Peace Track Initiative and Women’s International League for peace and Freedom, </w:t>
      </w:r>
      <w:r w:rsidRPr="00D06F7F">
        <w:rPr>
          <w:rFonts w:cstheme="minorHAnsi"/>
          <w:i/>
        </w:rPr>
        <w:t xml:space="preserve">Review of Yemen, Joint submission to the UN CEDAW Committee, Pre-sessional working group, 77th session (March 2020), </w:t>
      </w:r>
      <w:r w:rsidRPr="00D06F7F">
        <w:rPr>
          <w:rFonts w:cstheme="minorHAnsi"/>
        </w:rPr>
        <w:t xml:space="preserve">available at: &lt;https://tbinternet.ohchr.org/_layouts/15/treatybodyexternal/Download.aspx?symbolno=INT%2fCEDAW%2fICO%2fYEM%2f41380&amp;Lang=en&gt;; WILPF, </w:t>
      </w:r>
      <w:r w:rsidRPr="00D06F7F">
        <w:rPr>
          <w:rFonts w:cstheme="minorHAnsi"/>
          <w:i/>
        </w:rPr>
        <w:t>Changes  ahead: Yemeni Women Map the Road to Peace</w:t>
      </w:r>
      <w:r w:rsidRPr="00D06F7F">
        <w:rPr>
          <w:rFonts w:cstheme="minorHAnsi"/>
        </w:rPr>
        <w:t xml:space="preserve"> (December 2018), available at: &lt;https://www.wilpf.org/wp-content/uploads/2019/04/WILPF_Yemen-Publication2018.pdf&gt;</w:t>
      </w:r>
    </w:p>
  </w:footnote>
  <w:footnote w:id="26">
    <w:p w14:paraId="07E143C4"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Saudi-led coalition forces in Yemen are thought to be making extensive use of JDAM and </w:t>
      </w:r>
      <w:proofErr w:type="spellStart"/>
      <w:r w:rsidRPr="00D06F7F">
        <w:rPr>
          <w:rFonts w:cstheme="minorHAnsi"/>
        </w:rPr>
        <w:t>Paveway</w:t>
      </w:r>
      <w:proofErr w:type="spellEnd"/>
      <w:r w:rsidRPr="00D06F7F">
        <w:rPr>
          <w:rFonts w:cstheme="minorHAnsi"/>
        </w:rPr>
        <w:t xml:space="preserve"> guided aircraft bombs, which weigh between 500lbs and 2000lbs. The largest of these bombs is believed to have a lethal radius of up to 360m, and can cause injury and damage as far as 800m from the point of detonation. See Action on Armed Violence</w:t>
      </w:r>
      <w:r w:rsidRPr="00D06F7F">
        <w:rPr>
          <w:rFonts w:cstheme="minorHAnsi"/>
          <w:i/>
        </w:rPr>
        <w:t xml:space="preserve">, Wide Area Impact: investigating  the wide-area effect of explosive weapons </w:t>
      </w:r>
      <w:r w:rsidRPr="00D06F7F">
        <w:rPr>
          <w:rFonts w:cstheme="minorHAnsi"/>
        </w:rPr>
        <w:t>(February 2016) page 3-8, available at: https://aoav.org.uk/wp-content/uploads/2016/03/Wide-Area-Impact-explosive-weapons-in-populated-areas.pdf</w:t>
      </w:r>
    </w:p>
  </w:footnote>
  <w:footnote w:id="27">
    <w:p w14:paraId="67F15C44"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OCHA ‘Humanitarian Bulletin on Yemen’ (14 December 2016) 2, available at : &lt;http://reliefweb.int/sites/reliefweb.int/files/resources/november_hb-_issue_18.pdf&gt;.</w:t>
      </w:r>
    </w:p>
  </w:footnote>
  <w:footnote w:id="28">
    <w:p w14:paraId="316D8109"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 Committee on the Elimination of Discrimination against Women ‘Concluding observations on the combined seventh and eighth periodic reports of France’ (25 July 2016) UN Doc CEDAW/C/FRA/CO/7-8, para 22.</w:t>
      </w:r>
    </w:p>
  </w:footnote>
  <w:footnote w:id="29">
    <w:p w14:paraId="50FBF210"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 Committee on the Elimination of Discrimination against Women ‘Concluding observations on the combined seventh and eighth periodic reports of France’ (25 July 2016) UN Doc CEDAW/C/FRA/CO/7-8, para 23.</w:t>
      </w:r>
    </w:p>
  </w:footnote>
  <w:footnote w:id="30">
    <w:p w14:paraId="6C8227B3"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V. Farr and S. </w:t>
      </w:r>
      <w:proofErr w:type="spellStart"/>
      <w:r w:rsidRPr="00D06F7F">
        <w:rPr>
          <w:rFonts w:cstheme="minorHAnsi"/>
        </w:rPr>
        <w:t>Boukhary</w:t>
      </w:r>
      <w:proofErr w:type="spellEnd"/>
      <w:r w:rsidRPr="00D06F7F">
        <w:rPr>
          <w:rFonts w:cstheme="minorHAnsi"/>
        </w:rPr>
        <w:t xml:space="preserve">, </w:t>
      </w:r>
      <w:r w:rsidRPr="00D06F7F">
        <w:rPr>
          <w:rFonts w:cstheme="minorHAnsi"/>
          <w:i/>
        </w:rPr>
        <w:t>Feminism at the frontline: Addressing women’s multidimensional Insecurity in Yemen and Libya</w:t>
      </w:r>
      <w:r w:rsidRPr="00D06F7F">
        <w:rPr>
          <w:rFonts w:cstheme="minorHAnsi"/>
        </w:rPr>
        <w:t xml:space="preserve"> (WILPF, May 2017) 16. available at: &lt;https://www.wilpf.org/wp-content/uploads/2017/08/LIBYA-YEMEN-WEB.pdf&gt;</w:t>
      </w:r>
    </w:p>
  </w:footnote>
  <w:footnote w:id="31">
    <w:p w14:paraId="583A00B3"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WILPF, </w:t>
      </w:r>
      <w:r w:rsidRPr="00D06F7F">
        <w:rPr>
          <w:rFonts w:cstheme="minorHAnsi"/>
          <w:i/>
        </w:rPr>
        <w:t>Submission from WILPF to the UN Office of the High Commissioner for Human Rights: Impact of the diversion of arms and unregulated or illicit arms transfers on the human rights of women and girls</w:t>
      </w:r>
      <w:r w:rsidRPr="00D06F7F">
        <w:rPr>
          <w:rFonts w:cstheme="minorHAnsi"/>
        </w:rPr>
        <w:t xml:space="preserve"> (April 2020) available at: &lt;https://www.wilpf.org/wilpf_statements/submission-to-the-un-office-of-the-high-commissioner-for-human-rights-on-the-impact-of-the-diversion-of-arms-and-unregulated-or-illicit-arms-transfers-on-the-human-rights-of-women-and-girls/&gt;.</w:t>
      </w:r>
    </w:p>
  </w:footnote>
  <w:footnote w:id="32">
    <w:p w14:paraId="4439CAD6"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R. Acheson,</w:t>
      </w:r>
      <w:r w:rsidRPr="00D06F7F">
        <w:rPr>
          <w:rFonts w:cstheme="minorHAnsi"/>
          <w:i/>
        </w:rPr>
        <w:t xml:space="preserve"> Presentation on gender norms and gun violence</w:t>
      </w:r>
      <w:r w:rsidRPr="00D06F7F">
        <w:rPr>
          <w:rFonts w:cstheme="minorHAnsi"/>
        </w:rPr>
        <w:t xml:space="preserve"> (Reaching Critical Will of WILPF, June 2018, available at: &lt;http://www.reachingcriticalwill.org/news/latest-news/12587-presentation-on-gender-norms-and-gun-violence&gt;.</w:t>
      </w:r>
    </w:p>
  </w:footnote>
  <w:footnote w:id="33">
    <w:p w14:paraId="78275E96"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UNHRC Forty-second session 9–27 September 2019 ‘Report of the detailed findings of the Group of Eminent International and Regional Experts on Yemen: Situation of human rights in Yemen, including violations and abuses since September 2014’ (3 September 2019) UN Doc A/HRC/42/CRP.1, para 624-633.</w:t>
      </w:r>
    </w:p>
  </w:footnote>
  <w:footnote w:id="34">
    <w:p w14:paraId="1964A172"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UNHRC Forty-second session 9–27 September 2019 ‘Report of the detailed findings of the Group of Eminent International and Regional Experts on Yemen: Situation of human rights in Yemen, including violations and abuses since September 2014’ (3 September 2019) UN Doc A/HRC/42/CRP.1, para 631.</w:t>
      </w:r>
    </w:p>
  </w:footnote>
  <w:footnote w:id="35">
    <w:p w14:paraId="44925D1E"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Pieter d. </w:t>
      </w:r>
      <w:proofErr w:type="spellStart"/>
      <w:r w:rsidRPr="00D06F7F">
        <w:rPr>
          <w:rFonts w:cstheme="minorHAnsi"/>
        </w:rPr>
        <w:t>Wezeman</w:t>
      </w:r>
      <w:proofErr w:type="spellEnd"/>
      <w:r w:rsidRPr="00D06F7F">
        <w:rPr>
          <w:rFonts w:cstheme="minorHAnsi"/>
        </w:rPr>
        <w:t xml:space="preserve"> and others, </w:t>
      </w:r>
      <w:r w:rsidRPr="00D06F7F">
        <w:rPr>
          <w:rFonts w:cstheme="minorHAnsi"/>
          <w:i/>
          <w:color w:val="000000"/>
        </w:rPr>
        <w:t>Trends in international arms transfers</w:t>
      </w:r>
      <w:r w:rsidRPr="00D06F7F">
        <w:rPr>
          <w:rFonts w:cstheme="minorHAnsi"/>
          <w:color w:val="000000"/>
        </w:rPr>
        <w:t>, (SIPRI, 2017</w:t>
      </w:r>
      <w:r w:rsidRPr="00D06F7F">
        <w:rPr>
          <w:rFonts w:cstheme="minorHAnsi"/>
        </w:rPr>
        <w:t>)</w:t>
      </w:r>
      <w:r w:rsidRPr="00D06F7F">
        <w:rPr>
          <w:rFonts w:cstheme="minorHAnsi"/>
          <w:color w:val="000000"/>
        </w:rPr>
        <w:t xml:space="preserve"> available at: </w:t>
      </w:r>
      <w:r w:rsidRPr="00D06F7F">
        <w:rPr>
          <w:rFonts w:cstheme="minorHAnsi"/>
        </w:rPr>
        <w:t xml:space="preserve"> &lt;https://www.sipri.org/sites/default/files/2018-03/fssipri_at2017_0.pdf&gt;; Pieter d. </w:t>
      </w:r>
      <w:proofErr w:type="spellStart"/>
      <w:r w:rsidRPr="00D06F7F">
        <w:rPr>
          <w:rFonts w:cstheme="minorHAnsi"/>
        </w:rPr>
        <w:t>Wezeman</w:t>
      </w:r>
      <w:proofErr w:type="spellEnd"/>
      <w:r w:rsidRPr="00D06F7F">
        <w:rPr>
          <w:rFonts w:cstheme="minorHAnsi"/>
        </w:rPr>
        <w:t xml:space="preserve"> and others, </w:t>
      </w:r>
      <w:r w:rsidRPr="00D06F7F">
        <w:rPr>
          <w:rFonts w:cstheme="minorHAnsi"/>
          <w:i/>
        </w:rPr>
        <w:t>Trends in international arms transfers</w:t>
      </w:r>
      <w:r w:rsidRPr="00D06F7F">
        <w:rPr>
          <w:rFonts w:cstheme="minorHAnsi"/>
        </w:rPr>
        <w:t xml:space="preserve">, (SIPRI, 2021), available at:  &lt;https://www.sipri.org/sites/default/files/2021-03/fs_2103_at_2020_v2.pdf&gt;. </w:t>
      </w:r>
    </w:p>
  </w:footnote>
  <w:footnote w:id="36">
    <w:p w14:paraId="3E0B2569" w14:textId="77777777" w:rsidR="00345346" w:rsidRPr="00D06F7F" w:rsidRDefault="00345346" w:rsidP="00345346">
      <w:pPr>
        <w:pStyle w:val="FootnoteText"/>
        <w:rPr>
          <w:rFonts w:eastAsia="Times New Roman" w:cstheme="minorHAnsi"/>
          <w:color w:val="000000"/>
        </w:rPr>
      </w:pPr>
      <w:r w:rsidRPr="00D06F7F">
        <w:rPr>
          <w:rFonts w:cstheme="minorHAnsi"/>
          <w:vertAlign w:val="superscript"/>
        </w:rPr>
        <w:footnoteRef/>
      </w:r>
      <w:r w:rsidRPr="00D06F7F">
        <w:rPr>
          <w:rFonts w:eastAsia="Times New Roman" w:cstheme="minorHAnsi"/>
          <w:lang w:val="fr-CH"/>
        </w:rPr>
        <w:t xml:space="preserve">Ministry of the Armed Forces, </w:t>
      </w:r>
      <w:r w:rsidRPr="00D06F7F">
        <w:rPr>
          <w:rFonts w:eastAsia="Times New Roman" w:cstheme="minorHAnsi"/>
          <w:i/>
          <w:lang w:val="fr-CH"/>
        </w:rPr>
        <w:t>Rapport annuel au Parlement 2020 sur les exportations d'armement de la France</w:t>
      </w:r>
      <w:r w:rsidRPr="00D06F7F">
        <w:rPr>
          <w:rFonts w:eastAsia="Times New Roman" w:cstheme="minorHAnsi"/>
          <w:lang w:val="fr-CH"/>
        </w:rPr>
        <w:t xml:space="preserve"> (2020) page 3, available at: &lt;https://www.defense.gouv.fr/actualites/articles/exportations-d-armement-le-rapport-au-parlement-2020&gt;. </w:t>
      </w:r>
      <w:r w:rsidRPr="00D06F7F">
        <w:rPr>
          <w:rFonts w:eastAsia="Times New Roman" w:cstheme="minorHAnsi"/>
        </w:rPr>
        <w:t xml:space="preserve">In </w:t>
      </w:r>
      <w:r w:rsidRPr="00D06F7F">
        <w:rPr>
          <w:rFonts w:eastAsia="Times New Roman" w:cstheme="minorHAnsi"/>
          <w:color w:val="000000"/>
        </w:rPr>
        <w:t xml:space="preserve">2019, France delivered 1.319 billion euros of war materiel to Saudi Arabia and 287.2 million Euros of war materiel to the United Arab Emirates:  Amnesty International, </w:t>
      </w:r>
      <w:r w:rsidRPr="00D06F7F">
        <w:rPr>
          <w:rFonts w:eastAsia="Times New Roman" w:cstheme="minorHAnsi"/>
          <w:i/>
          <w:color w:val="000000"/>
        </w:rPr>
        <w:t>French arms sales: an important step forward</w:t>
      </w:r>
      <w:r w:rsidRPr="00D06F7F">
        <w:rPr>
          <w:rFonts w:eastAsia="Times New Roman" w:cstheme="minorHAnsi"/>
          <w:color w:val="000000"/>
        </w:rPr>
        <w:t xml:space="preserve"> (4 June 2020</w:t>
      </w:r>
      <w:r w:rsidRPr="00D06F7F">
        <w:rPr>
          <w:rFonts w:eastAsia="Times New Roman" w:cstheme="minorHAnsi"/>
        </w:rPr>
        <w:t>)</w:t>
      </w:r>
      <w:r w:rsidRPr="00D06F7F">
        <w:rPr>
          <w:rFonts w:eastAsia="Times New Roman" w:cstheme="minorHAnsi"/>
          <w:color w:val="000000"/>
        </w:rPr>
        <w:t xml:space="preserve"> available at:  </w:t>
      </w:r>
      <w:r w:rsidRPr="00D06F7F">
        <w:rPr>
          <w:rFonts w:eastAsia="Times New Roman" w:cstheme="minorHAnsi"/>
        </w:rPr>
        <w:t>&lt;www.amnesty.fr/controle-des-armes/actualites/ventes-darmes-francaises-une-avancee-importante&gt;</w:t>
      </w:r>
      <w:r w:rsidRPr="00D06F7F">
        <w:rPr>
          <w:rFonts w:eastAsia="Times New Roman" w:cstheme="minorHAnsi"/>
          <w:color w:val="000000"/>
        </w:rPr>
        <w:t>.</w:t>
      </w:r>
    </w:p>
  </w:footnote>
  <w:footnote w:id="37">
    <w:p w14:paraId="4CA6FAFF" w14:textId="77777777" w:rsidR="00345346" w:rsidRPr="00D06F7F" w:rsidRDefault="00345346" w:rsidP="00345346">
      <w:pPr>
        <w:pStyle w:val="FootnoteText"/>
        <w:rPr>
          <w:rFonts w:eastAsia="Times New Roman" w:cstheme="minorHAnsi"/>
          <w:color w:val="000000"/>
          <w:lang w:val="fr-CH"/>
        </w:rPr>
      </w:pPr>
      <w:r w:rsidRPr="00D06F7F">
        <w:rPr>
          <w:rFonts w:cstheme="minorHAnsi"/>
          <w:vertAlign w:val="superscript"/>
        </w:rPr>
        <w:footnoteRef/>
      </w:r>
      <w:r w:rsidRPr="00D06F7F">
        <w:rPr>
          <w:rFonts w:eastAsia="Times New Roman" w:cstheme="minorHAnsi"/>
          <w:lang w:val="fr-CH"/>
        </w:rPr>
        <w:t xml:space="preserve">Ministry of the Armes Forces, </w:t>
      </w:r>
      <w:r w:rsidRPr="00D06F7F">
        <w:rPr>
          <w:rFonts w:eastAsia="Times New Roman" w:cstheme="minorHAnsi"/>
          <w:i/>
          <w:color w:val="000000"/>
          <w:lang w:val="fr-CH"/>
        </w:rPr>
        <w:t>Rapport annuel au Parlement 2020 sur les exportations d'armement de la France</w:t>
      </w:r>
      <w:r w:rsidRPr="00D06F7F">
        <w:rPr>
          <w:rFonts w:eastAsia="Times New Roman" w:cstheme="minorHAnsi"/>
          <w:lang w:val="fr-CH"/>
        </w:rPr>
        <w:t xml:space="preserve"> (2020) </w:t>
      </w:r>
      <w:r w:rsidRPr="00D06F7F">
        <w:rPr>
          <w:rFonts w:eastAsia="Times New Roman" w:cstheme="minorHAnsi"/>
          <w:color w:val="000000"/>
          <w:lang w:val="fr-CH"/>
        </w:rPr>
        <w:t xml:space="preserve">page 3, available at: </w:t>
      </w:r>
      <w:r w:rsidRPr="00D06F7F">
        <w:rPr>
          <w:rFonts w:eastAsia="Times New Roman" w:cstheme="minorHAnsi"/>
          <w:lang w:val="fr-CH"/>
        </w:rPr>
        <w:t>&lt;https://www.defense.gouv.fr/actualites/articles/exportations-d-armement-le-rapport-au-parlement-2020&gt;</w:t>
      </w:r>
      <w:r w:rsidRPr="00D06F7F">
        <w:rPr>
          <w:rFonts w:eastAsia="Times New Roman" w:cstheme="minorHAnsi"/>
          <w:color w:val="000000"/>
          <w:lang w:val="fr-CH"/>
        </w:rPr>
        <w:t>.</w:t>
      </w:r>
    </w:p>
  </w:footnote>
  <w:footnote w:id="38">
    <w:p w14:paraId="3CF7D7E9"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eastAsia="Times New Roman" w:cstheme="minorHAnsi"/>
          <w:color w:val="000000"/>
          <w:lang w:val="fr-CH"/>
        </w:rPr>
        <w:t xml:space="preserve">A leaked French government document provides an overview of the type of aircrafts employed by the Coalition and its respective operational basis, with a focus on Saudi and UAE air forces : Direction du Renseignement Militaire, </w:t>
      </w:r>
      <w:r w:rsidRPr="00D06F7F">
        <w:rPr>
          <w:rFonts w:eastAsia="Times New Roman" w:cstheme="minorHAnsi"/>
          <w:i/>
          <w:color w:val="000000"/>
          <w:lang w:val="fr-CH"/>
        </w:rPr>
        <w:t>Yémen - situation sécuritaire</w:t>
      </w:r>
      <w:r w:rsidRPr="00D06F7F">
        <w:rPr>
          <w:rFonts w:eastAsia="Times New Roman" w:cstheme="minorHAnsi"/>
          <w:i/>
          <w:lang w:val="fr-CH"/>
        </w:rPr>
        <w:t xml:space="preserve">: </w:t>
      </w:r>
      <w:r w:rsidRPr="00D06F7F">
        <w:rPr>
          <w:rFonts w:eastAsia="Times New Roman" w:cstheme="minorHAnsi"/>
          <w:i/>
          <w:color w:val="000000"/>
          <w:lang w:val="fr-CH"/>
        </w:rPr>
        <w:t xml:space="preserve">Note à destination des hautes autorités dans le cadre du conseil </w:t>
      </w:r>
      <w:r w:rsidRPr="00D06F7F">
        <w:rPr>
          <w:rFonts w:eastAsia="Times New Roman" w:cstheme="minorHAnsi"/>
          <w:i/>
          <w:lang w:val="fr-CH"/>
        </w:rPr>
        <w:t>restreint</w:t>
      </w:r>
      <w:r w:rsidRPr="00D06F7F">
        <w:rPr>
          <w:rFonts w:eastAsia="Times New Roman" w:cstheme="minorHAnsi"/>
          <w:i/>
          <w:color w:val="000000"/>
          <w:lang w:val="fr-CH"/>
        </w:rPr>
        <w:t xml:space="preserve"> du 3 Octobre 2018</w:t>
      </w:r>
      <w:r w:rsidRPr="00D06F7F">
        <w:rPr>
          <w:rFonts w:eastAsia="Times New Roman" w:cstheme="minorHAnsi"/>
          <w:i/>
          <w:lang w:val="fr-CH"/>
        </w:rPr>
        <w:t xml:space="preserve"> (</w:t>
      </w:r>
      <w:r w:rsidRPr="00D06F7F">
        <w:rPr>
          <w:rFonts w:eastAsia="Times New Roman" w:cstheme="minorHAnsi"/>
          <w:color w:val="000000"/>
          <w:lang w:val="fr-CH"/>
        </w:rPr>
        <w:t>25 September 2018) Annexe III at 12, (hereinafter Yemen Papers 2018) available at:</w:t>
      </w:r>
      <w:r w:rsidRPr="00D06F7F">
        <w:rPr>
          <w:rFonts w:eastAsia="Times New Roman" w:cstheme="minorHAnsi"/>
          <w:lang w:val="fr-CH"/>
        </w:rPr>
        <w:t xml:space="preserve"> &lt;https://made-in-france.disclose.ngo/en/documents&gt;</w:t>
      </w:r>
      <w:r w:rsidRPr="00D06F7F">
        <w:rPr>
          <w:rFonts w:cstheme="minorHAnsi"/>
          <w:lang w:val="fr-CH"/>
        </w:rPr>
        <w:t xml:space="preserve"> ; </w:t>
      </w:r>
      <w:r w:rsidRPr="00D06F7F">
        <w:rPr>
          <w:rFonts w:eastAsia="Times New Roman" w:cstheme="minorHAnsi"/>
          <w:lang w:val="fr-CH"/>
        </w:rPr>
        <w:t xml:space="preserve">Pieter d. wezeman and others, </w:t>
      </w:r>
      <w:r w:rsidRPr="00D06F7F">
        <w:rPr>
          <w:rFonts w:eastAsia="Times New Roman" w:cstheme="minorHAnsi"/>
          <w:i/>
          <w:lang w:val="fr-CH"/>
        </w:rPr>
        <w:t>Trends in international arms transfers</w:t>
      </w:r>
      <w:r w:rsidRPr="00D06F7F">
        <w:rPr>
          <w:rFonts w:eastAsia="Times New Roman" w:cstheme="minorHAnsi"/>
          <w:lang w:val="fr-CH"/>
        </w:rPr>
        <w:t>, (SIPRI, 2021) available at:  &lt;https://www.sipri.org/sites/default/files/2021-03/fs_2103_at_2020_v2.pdf&gt;.</w:t>
      </w:r>
    </w:p>
  </w:footnote>
  <w:footnote w:id="39">
    <w:p w14:paraId="0B22E63B"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color w:val="000000"/>
        </w:rPr>
        <w:t>See</w:t>
      </w:r>
      <w:r w:rsidRPr="00D06F7F">
        <w:rPr>
          <w:rFonts w:eastAsia="Times New Roman" w:cstheme="minorHAnsi"/>
        </w:rPr>
        <w:t xml:space="preserve"> J</w:t>
      </w:r>
      <w:r w:rsidRPr="00D06F7F">
        <w:rPr>
          <w:rFonts w:eastAsia="Times New Roman" w:cstheme="minorHAnsi"/>
          <w:color w:val="000000"/>
        </w:rPr>
        <w:t>on Lake</w:t>
      </w:r>
      <w:r w:rsidRPr="00D06F7F">
        <w:rPr>
          <w:rFonts w:eastAsia="Times New Roman" w:cstheme="minorHAnsi"/>
        </w:rPr>
        <w:t>,</w:t>
      </w:r>
      <w:r w:rsidRPr="00D06F7F">
        <w:rPr>
          <w:rFonts w:eastAsia="Times New Roman" w:cstheme="minorHAnsi"/>
          <w:color w:val="000000"/>
        </w:rPr>
        <w:t xml:space="preserve"> </w:t>
      </w:r>
      <w:r w:rsidRPr="00D06F7F">
        <w:rPr>
          <w:rFonts w:eastAsia="Times New Roman" w:cstheme="minorHAnsi"/>
        </w:rPr>
        <w:t>‘</w:t>
      </w:r>
      <w:r w:rsidRPr="00D06F7F">
        <w:rPr>
          <w:rFonts w:eastAsia="Times New Roman" w:cstheme="minorHAnsi"/>
          <w:color w:val="000000"/>
        </w:rPr>
        <w:t>Yemen on the Edge</w:t>
      </w:r>
      <w:r w:rsidRPr="00D06F7F">
        <w:rPr>
          <w:rFonts w:eastAsia="Times New Roman" w:cstheme="minorHAnsi"/>
        </w:rPr>
        <w:t>’</w:t>
      </w:r>
      <w:r w:rsidRPr="00D06F7F">
        <w:rPr>
          <w:rFonts w:eastAsia="Times New Roman" w:cstheme="minorHAnsi"/>
          <w:color w:val="000000"/>
        </w:rPr>
        <w:t xml:space="preserve"> (</w:t>
      </w:r>
      <w:proofErr w:type="spellStart"/>
      <w:r w:rsidRPr="00D06F7F">
        <w:rPr>
          <w:rFonts w:eastAsia="Times New Roman" w:cstheme="minorHAnsi"/>
          <w:i/>
          <w:color w:val="000000"/>
        </w:rPr>
        <w:t>Airforces</w:t>
      </w:r>
      <w:proofErr w:type="spellEnd"/>
      <w:r w:rsidRPr="00D06F7F">
        <w:rPr>
          <w:rFonts w:eastAsia="Times New Roman" w:cstheme="minorHAnsi"/>
          <w:i/>
          <w:color w:val="000000"/>
        </w:rPr>
        <w:t xml:space="preserve"> Monthly</w:t>
      </w:r>
      <w:r w:rsidRPr="00D06F7F">
        <w:rPr>
          <w:rFonts w:eastAsia="Times New Roman" w:cstheme="minorHAnsi"/>
          <w:color w:val="000000"/>
        </w:rPr>
        <w:t>, June 2015</w:t>
      </w:r>
      <w:r w:rsidRPr="00D06F7F">
        <w:rPr>
          <w:rFonts w:eastAsia="Times New Roman" w:cstheme="minorHAnsi"/>
        </w:rPr>
        <w:t>)</w:t>
      </w:r>
      <w:r w:rsidRPr="00D06F7F">
        <w:rPr>
          <w:rFonts w:eastAsia="Times New Roman" w:cstheme="minorHAnsi"/>
          <w:color w:val="000000"/>
        </w:rPr>
        <w:t xml:space="preserve"> </w:t>
      </w:r>
      <w:r w:rsidRPr="00D06F7F">
        <w:rPr>
          <w:rFonts w:eastAsia="Times New Roman" w:cstheme="minorHAnsi"/>
        </w:rPr>
        <w:t>3</w:t>
      </w:r>
      <w:r w:rsidRPr="00D06F7F">
        <w:rPr>
          <w:rFonts w:eastAsia="Times New Roman" w:cstheme="minorHAnsi"/>
          <w:color w:val="000000"/>
        </w:rPr>
        <w:t>6-40,</w:t>
      </w:r>
      <w:r w:rsidRPr="00D06F7F">
        <w:rPr>
          <w:rFonts w:eastAsia="Times New Roman" w:cstheme="minorHAnsi"/>
        </w:rPr>
        <w:t xml:space="preserve"> </w:t>
      </w:r>
      <w:r w:rsidRPr="00D06F7F">
        <w:rPr>
          <w:rFonts w:eastAsia="Times New Roman" w:cstheme="minorHAnsi"/>
          <w:color w:val="000000"/>
        </w:rPr>
        <w:t xml:space="preserve">40, in which </w:t>
      </w:r>
      <w:proofErr w:type="spellStart"/>
      <w:r w:rsidRPr="00D06F7F">
        <w:rPr>
          <w:rFonts w:eastAsia="Times New Roman" w:cstheme="minorHAnsi"/>
          <w:color w:val="000000"/>
        </w:rPr>
        <w:t>Defense</w:t>
      </w:r>
      <w:proofErr w:type="spellEnd"/>
      <w:r w:rsidRPr="00D06F7F">
        <w:rPr>
          <w:rFonts w:eastAsia="Times New Roman" w:cstheme="minorHAnsi"/>
          <w:color w:val="000000"/>
        </w:rPr>
        <w:t xml:space="preserve"> News sources have highlighted from the beginning of the operation “Decisive Storm” that the UAE may deploy its fighter jets Mirage 2000</w:t>
      </w:r>
      <w:r w:rsidRPr="00D06F7F">
        <w:rPr>
          <w:rFonts w:eastAsia="Times New Roman" w:cstheme="minorHAnsi"/>
        </w:rPr>
        <w:t>. S</w:t>
      </w:r>
      <w:r w:rsidRPr="00D06F7F">
        <w:rPr>
          <w:rFonts w:eastAsia="Times New Roman" w:cstheme="minorHAnsi"/>
          <w:color w:val="000000"/>
        </w:rPr>
        <w:t>ee also Disclose</w:t>
      </w:r>
      <w:r w:rsidRPr="00D06F7F">
        <w:rPr>
          <w:rFonts w:eastAsia="Times New Roman" w:cstheme="minorHAnsi"/>
        </w:rPr>
        <w:t xml:space="preserve">, </w:t>
      </w:r>
      <w:r w:rsidRPr="00D06F7F">
        <w:rPr>
          <w:rFonts w:eastAsia="Times New Roman" w:cstheme="minorHAnsi"/>
          <w:i/>
          <w:color w:val="000000"/>
        </w:rPr>
        <w:t>Yemen Papers</w:t>
      </w:r>
      <w:r w:rsidRPr="00D06F7F">
        <w:rPr>
          <w:rFonts w:eastAsia="Times New Roman" w:cstheme="minorHAnsi"/>
        </w:rPr>
        <w:t xml:space="preserve"> (15 April 2019)</w:t>
      </w:r>
      <w:r w:rsidRPr="00D06F7F">
        <w:rPr>
          <w:rFonts w:eastAsia="Times New Roman" w:cstheme="minorHAnsi"/>
          <w:color w:val="000000"/>
        </w:rPr>
        <w:t xml:space="preserve"> available at: &lt;</w:t>
      </w:r>
      <w:r w:rsidRPr="00D06F7F">
        <w:rPr>
          <w:rFonts w:eastAsia="Times New Roman" w:cstheme="minorHAnsi"/>
        </w:rPr>
        <w:t>https://made-in-france.disclose.ngo/en/chapter/yemen-papers/&gt;.</w:t>
      </w:r>
    </w:p>
  </w:footnote>
  <w:footnote w:id="40">
    <w:p w14:paraId="54E71E14" w14:textId="77777777" w:rsidR="00345346" w:rsidRPr="00D06F7F" w:rsidRDefault="00345346" w:rsidP="00345346">
      <w:pPr>
        <w:pStyle w:val="FootnoteText"/>
        <w:rPr>
          <w:rFonts w:eastAsia="Times New Roman" w:cstheme="minorHAnsi"/>
          <w:color w:val="000000"/>
        </w:rPr>
      </w:pPr>
      <w:r w:rsidRPr="00D06F7F">
        <w:rPr>
          <w:rFonts w:cstheme="minorHAnsi"/>
          <w:vertAlign w:val="superscript"/>
        </w:rPr>
        <w:footnoteRef/>
      </w:r>
      <w:r w:rsidRPr="00D06F7F">
        <w:rPr>
          <w:rFonts w:eastAsia="Times New Roman" w:cstheme="minorHAnsi"/>
        </w:rPr>
        <w:t xml:space="preserve">IISS, </w:t>
      </w:r>
      <w:r w:rsidRPr="00D06F7F">
        <w:rPr>
          <w:rFonts w:eastAsia="Times New Roman" w:cstheme="minorHAnsi"/>
          <w:i/>
        </w:rPr>
        <w:t>Military Balance 2019</w:t>
      </w:r>
      <w:r w:rsidRPr="00D06F7F">
        <w:rPr>
          <w:rFonts w:eastAsia="Times New Roman" w:cstheme="minorHAnsi"/>
        </w:rPr>
        <w:t xml:space="preserve"> (Routledge, 2019) 374, available at: &lt;https://www.iiss.org/publications/the-military-balance/the-military-balance-2019&gt;.</w:t>
      </w:r>
    </w:p>
  </w:footnote>
  <w:footnote w:id="41">
    <w:p w14:paraId="4179CB65"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 xml:space="preserve">As state by the CEO of Dassault: </w:t>
      </w:r>
      <w:hyperlink r:id="rId4">
        <w:r w:rsidRPr="00D06F7F">
          <w:rPr>
            <w:rFonts w:eastAsia="Times New Roman" w:cstheme="minorHAnsi"/>
          </w:rPr>
          <w:t>Guillaume Lecompte-Boinet</w:t>
        </w:r>
      </w:hyperlink>
      <w:r w:rsidRPr="00D06F7F">
        <w:rPr>
          <w:rFonts w:eastAsia="Times New Roman" w:cstheme="minorHAnsi"/>
          <w:highlight w:val="white"/>
        </w:rPr>
        <w:t xml:space="preserve"> and Chris Pocock, ‘</w:t>
      </w:r>
      <w:r w:rsidRPr="00D06F7F">
        <w:rPr>
          <w:rFonts w:eastAsia="Times New Roman" w:cstheme="minorHAnsi"/>
        </w:rPr>
        <w:t>Dassault Boss Describes Rafale Sales Prospects’ (</w:t>
      </w:r>
      <w:r w:rsidRPr="00D06F7F">
        <w:rPr>
          <w:rFonts w:eastAsia="Times New Roman" w:cstheme="minorHAnsi"/>
          <w:i/>
        </w:rPr>
        <w:t>AIN online</w:t>
      </w:r>
      <w:r w:rsidRPr="00D06F7F">
        <w:rPr>
          <w:rFonts w:eastAsia="Times New Roman" w:cstheme="minorHAnsi"/>
          <w:highlight w:val="white"/>
        </w:rPr>
        <w:t>, 9 March 2017)</w:t>
      </w:r>
      <w:r w:rsidRPr="00D06F7F">
        <w:rPr>
          <w:rFonts w:eastAsia="Times New Roman" w:cstheme="minorHAnsi"/>
        </w:rPr>
        <w:t xml:space="preserve"> available at: &lt;https://www.ainonline.com/aviation-news/defense/2017-03-09/dassault-boss-describes-rafale-sales-prospects&gt;.</w:t>
      </w:r>
    </w:p>
  </w:footnote>
  <w:footnote w:id="42">
    <w:p w14:paraId="787CAB45" w14:textId="77777777" w:rsidR="00345346" w:rsidRPr="00D06F7F" w:rsidRDefault="00345346" w:rsidP="00345346">
      <w:pPr>
        <w:pStyle w:val="FootnoteText"/>
        <w:rPr>
          <w:rFonts w:cstheme="minorHAnsi"/>
          <w:lang w:val="en-US"/>
        </w:rPr>
      </w:pPr>
      <w:r w:rsidRPr="00D06F7F">
        <w:rPr>
          <w:rStyle w:val="FootnoteReference"/>
          <w:rFonts w:cstheme="minorHAnsi"/>
        </w:rPr>
        <w:footnoteRef/>
      </w:r>
      <w:r w:rsidRPr="00D06F7F">
        <w:rPr>
          <w:rFonts w:cstheme="minorHAnsi"/>
        </w:rPr>
        <w:t xml:space="preserve"> </w:t>
      </w:r>
      <w:hyperlink r:id="rId5" w:tgtFrame="_blank" w:history="1">
        <w:r w:rsidRPr="00D06F7F">
          <w:rPr>
            <w:rStyle w:val="Hyperlink"/>
            <w:rFonts w:cstheme="minorHAnsi"/>
            <w:lang w:val="en-US"/>
          </w:rPr>
          <w:t>https://www.france24.com/fr/moyen-orient/20211203-les-%C3%A9mirats-ach%C3%A8tent-80-rafale-%C3%A0-la-france-florence-parly-salue-un-contrat-historique</w:t>
        </w:r>
      </w:hyperlink>
    </w:p>
  </w:footnote>
  <w:footnote w:id="43">
    <w:p w14:paraId="61C35E24" w14:textId="77777777" w:rsidR="00345346" w:rsidRPr="00D06F7F" w:rsidRDefault="00345346" w:rsidP="00345346">
      <w:pPr>
        <w:pStyle w:val="FootnoteText"/>
        <w:rPr>
          <w:rFonts w:eastAsia="Times New Roman" w:cstheme="minorHAnsi"/>
          <w:color w:val="000000"/>
        </w:rPr>
      </w:pPr>
      <w:r w:rsidRPr="00D06F7F">
        <w:rPr>
          <w:rFonts w:cstheme="minorHAnsi"/>
          <w:vertAlign w:val="superscript"/>
        </w:rPr>
        <w:footnoteRef/>
      </w:r>
      <w:r w:rsidRPr="00D06F7F">
        <w:rPr>
          <w:rFonts w:eastAsia="Times New Roman" w:cstheme="minorHAnsi"/>
        </w:rPr>
        <w:t xml:space="preserve">See </w:t>
      </w:r>
      <w:r w:rsidRPr="00D06F7F">
        <w:rPr>
          <w:rFonts w:eastAsia="Times New Roman" w:cstheme="minorHAnsi"/>
          <w:color w:val="000000"/>
        </w:rPr>
        <w:t xml:space="preserve">&lt;https://www.thalesgroup.com/en/worldwide/defence-0&gt;, See also Thales group, </w:t>
      </w:r>
      <w:r w:rsidRPr="00D06F7F">
        <w:rPr>
          <w:rFonts w:eastAsia="Times New Roman" w:cstheme="minorHAnsi"/>
        </w:rPr>
        <w:t>‘</w:t>
      </w:r>
      <w:r w:rsidRPr="00D06F7F">
        <w:rPr>
          <w:rFonts w:eastAsia="Times New Roman" w:cstheme="minorHAnsi"/>
          <w:color w:val="000000"/>
        </w:rPr>
        <w:t>D</w:t>
      </w:r>
      <w:r w:rsidRPr="00D06F7F">
        <w:rPr>
          <w:rFonts w:eastAsia="Times New Roman" w:cstheme="minorHAnsi"/>
        </w:rPr>
        <w:t>AMOCLES</w:t>
      </w:r>
      <w:r w:rsidRPr="00D06F7F">
        <w:rPr>
          <w:rFonts w:eastAsia="Times New Roman" w:cstheme="minorHAnsi"/>
          <w:color w:val="000000"/>
        </w:rPr>
        <w:t>: 3rd Generation Multi</w:t>
      </w:r>
      <w:r w:rsidRPr="00D06F7F">
        <w:rPr>
          <w:rFonts w:eastAsia="Times New Roman" w:cstheme="minorHAnsi"/>
        </w:rPr>
        <w:t>-</w:t>
      </w:r>
      <w:r w:rsidRPr="00D06F7F">
        <w:rPr>
          <w:rFonts w:eastAsia="Times New Roman" w:cstheme="minorHAnsi"/>
          <w:color w:val="000000"/>
        </w:rPr>
        <w:t>function Target</w:t>
      </w:r>
      <w:r w:rsidRPr="00D06F7F">
        <w:rPr>
          <w:rFonts w:eastAsia="Times New Roman" w:cstheme="minorHAnsi"/>
        </w:rPr>
        <w:t>ing pod’ Datasheet available at &lt;https://www.thalesgroup.com/sites/default/files/database/d7/asset/document/DAMOCLES_AIR_UK_NC.pdf&gt;</w:t>
      </w:r>
      <w:r w:rsidRPr="00D06F7F">
        <w:rPr>
          <w:rFonts w:eastAsia="Times New Roman" w:cstheme="minorHAnsi"/>
          <w:color w:val="000000"/>
        </w:rPr>
        <w:t>.</w:t>
      </w:r>
    </w:p>
  </w:footnote>
  <w:footnote w:id="44">
    <w:p w14:paraId="1EFF7075"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Ibid. </w:t>
      </w:r>
    </w:p>
  </w:footnote>
  <w:footnote w:id="45">
    <w:p w14:paraId="488A0920"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Facing Finance Report, </w:t>
      </w:r>
      <w:r w:rsidRPr="00D06F7F">
        <w:rPr>
          <w:rFonts w:cstheme="minorHAnsi"/>
          <w:i/>
        </w:rPr>
        <w:t>Out of Control: irresponsible weapons transfer and future weapons systems</w:t>
      </w:r>
      <w:r w:rsidRPr="00D06F7F">
        <w:rPr>
          <w:rFonts w:cstheme="minorHAnsi"/>
        </w:rPr>
        <w:t xml:space="preserve"> (May 2019) page 68, available at : &lt;https://www.facing-finance.org/files/2019/05/ff_dp7_ONLINE_v02.pdf&gt;.</w:t>
      </w:r>
    </w:p>
  </w:footnote>
  <w:footnote w:id="46">
    <w:p w14:paraId="728CFB8B"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color w:val="000000"/>
          <w:lang w:val="fr-CH"/>
        </w:rPr>
        <w:t>Also called SCALPs - Système de Croisière Autonome à Longue Portée.</w:t>
      </w:r>
    </w:p>
  </w:footnote>
  <w:footnote w:id="47">
    <w:p w14:paraId="259B0B6B"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Including the Typhoon, Tornado, and Mirage 2000; See MBD</w:t>
      </w:r>
      <w:r w:rsidRPr="00D06F7F">
        <w:rPr>
          <w:rFonts w:cstheme="minorHAnsi"/>
        </w:rPr>
        <w:t>A Missile Systems, ‘Storm Shadow/Scalp Conventionally armed Long Range Deep Strike Weapon’ (</w:t>
      </w:r>
      <w:r w:rsidRPr="00D06F7F">
        <w:rPr>
          <w:rFonts w:cstheme="minorHAnsi"/>
          <w:color w:val="000000"/>
        </w:rPr>
        <w:t>2019</w:t>
      </w:r>
      <w:r w:rsidRPr="00D06F7F">
        <w:rPr>
          <w:rFonts w:cstheme="minorHAnsi"/>
        </w:rPr>
        <w:t xml:space="preserve">, </w:t>
      </w:r>
      <w:r w:rsidRPr="00D06F7F">
        <w:rPr>
          <w:rFonts w:cstheme="minorHAnsi"/>
          <w:color w:val="000000"/>
        </w:rPr>
        <w:t>Technical Datasheet</w:t>
      </w:r>
      <w:r w:rsidRPr="00D06F7F">
        <w:rPr>
          <w:rFonts w:cstheme="minorHAnsi"/>
        </w:rPr>
        <w:t xml:space="preserve">) available at: </w:t>
      </w:r>
      <w:r w:rsidRPr="00D06F7F">
        <w:rPr>
          <w:rFonts w:cstheme="minorHAnsi"/>
          <w:color w:val="000000"/>
        </w:rPr>
        <w:t>&lt;</w:t>
      </w:r>
      <w:r w:rsidRPr="00D06F7F">
        <w:rPr>
          <w:rFonts w:cstheme="minorHAnsi"/>
        </w:rPr>
        <w:t>https://www.mbda-systems.com/wp-content/uploads/2019/02/2019-STORM-SHADOW-datasheet.pdf&gt;</w:t>
      </w:r>
      <w:r w:rsidRPr="00D06F7F">
        <w:rPr>
          <w:rFonts w:cstheme="minorHAnsi"/>
          <w:color w:val="000000"/>
        </w:rPr>
        <w:t>.</w:t>
      </w:r>
    </w:p>
  </w:footnote>
  <w:footnote w:id="48">
    <w:p w14:paraId="4811CE87"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In a Sky-News-video from December 2016 the reporter says she opens the nose cone of a Storm Shadow-missile. The article says it was found in </w:t>
      </w:r>
      <w:proofErr w:type="spellStart"/>
      <w:r w:rsidRPr="00D06F7F">
        <w:rPr>
          <w:rFonts w:cstheme="minorHAnsi"/>
        </w:rPr>
        <w:t>Sa'adah</w:t>
      </w:r>
      <w:proofErr w:type="spellEnd"/>
      <w:r w:rsidRPr="00D06F7F">
        <w:rPr>
          <w:rFonts w:cstheme="minorHAnsi"/>
        </w:rPr>
        <w:t xml:space="preserve"> City, video available at: </w:t>
      </w:r>
    </w:p>
    <w:p w14:paraId="6E2CF5E5" w14:textId="77777777" w:rsidR="00345346" w:rsidRPr="00D06F7F" w:rsidRDefault="00345346" w:rsidP="00345346">
      <w:pPr>
        <w:pStyle w:val="FootnoteText"/>
        <w:rPr>
          <w:rFonts w:cstheme="minorHAnsi"/>
          <w:color w:val="000000"/>
        </w:rPr>
      </w:pPr>
      <w:r w:rsidRPr="00D06F7F">
        <w:rPr>
          <w:rFonts w:eastAsia="Times New Roman" w:cstheme="minorHAnsi"/>
        </w:rPr>
        <w:t>&lt;</w:t>
      </w:r>
      <w:r w:rsidRPr="00D06F7F">
        <w:rPr>
          <w:rFonts w:cstheme="minorHAnsi"/>
          <w:color w:val="0563C1"/>
          <w:u w:val="single"/>
        </w:rPr>
        <w:t>https://web.archive.org/web/20190730125100/https://news.sky.com/story/yemens-rebel-pm-accuses-uk-of-war-crimes-with-saudi-arms-sales-10693334</w:t>
      </w:r>
      <w:r w:rsidRPr="00D06F7F">
        <w:rPr>
          <w:rFonts w:eastAsia="Times New Roman" w:cstheme="minorHAnsi"/>
        </w:rPr>
        <w:t>&gt;</w:t>
      </w:r>
      <w:r w:rsidRPr="00D06F7F">
        <w:rPr>
          <w:rFonts w:cstheme="minorHAnsi"/>
          <w:color w:val="000000"/>
        </w:rPr>
        <w:t>.</w:t>
      </w:r>
    </w:p>
  </w:footnote>
  <w:footnote w:id="49">
    <w:p w14:paraId="4DE23EC3"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UNSC ‘Final report of the Panel of Experts on Yemen’ (27 January 2020) UN Doc S/2020/70, page 40.</w:t>
      </w:r>
    </w:p>
  </w:footnote>
  <w:footnote w:id="50">
    <w:p w14:paraId="7B8EA051"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HRC Forty-fifth session 14 September–2 October 2020 ‘Detailed findings of the Group of Eminent International and Regional Experts on Yemen: Situation of human rights in Yemen, including violations and abuses since September 2014’ (29 September 2020) UN Doc A/HRC/45/CRP.7, para 61. </w:t>
      </w:r>
    </w:p>
  </w:footnote>
  <w:footnote w:id="51">
    <w:p w14:paraId="29A94FB1"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The CAESAR (in French: Truck equipped with an artillery system) is a 155 mm/52-calibre gun-howitzer installed on a 6X6 truck chassis. It is a long-range, indirect-fire weapon system that has a wide-area impact and can fire six shells per minute onto a target up to 42 kilometres away.</w:t>
      </w:r>
    </w:p>
  </w:footnote>
  <w:footnote w:id="52">
    <w:p w14:paraId="5F631456"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proofErr w:type="spellStart"/>
      <w:r w:rsidRPr="00D06F7F">
        <w:rPr>
          <w:rFonts w:cstheme="minorHAnsi"/>
          <w:color w:val="000000"/>
        </w:rPr>
        <w:t>Nexter</w:t>
      </w:r>
      <w:proofErr w:type="spellEnd"/>
      <w:r w:rsidRPr="00D06F7F">
        <w:rPr>
          <w:rFonts w:cstheme="minorHAnsi"/>
          <w:color w:val="000000"/>
        </w:rPr>
        <w:t xml:space="preserve"> S.A. is a French government owned weapons manufacturer based in </w:t>
      </w:r>
      <w:proofErr w:type="spellStart"/>
      <w:r w:rsidRPr="00D06F7F">
        <w:rPr>
          <w:rFonts w:cstheme="minorHAnsi"/>
          <w:color w:val="000000"/>
        </w:rPr>
        <w:t>Roanne</w:t>
      </w:r>
      <w:proofErr w:type="spellEnd"/>
      <w:r w:rsidRPr="00D06F7F">
        <w:rPr>
          <w:rFonts w:cstheme="minorHAnsi"/>
          <w:color w:val="000000"/>
        </w:rPr>
        <w:t xml:space="preserve">, France. </w:t>
      </w:r>
      <w:r w:rsidRPr="00D06F7F">
        <w:rPr>
          <w:rFonts w:cstheme="minorHAnsi"/>
          <w:color w:val="000000"/>
          <w:lang w:val="fr-CH"/>
        </w:rPr>
        <w:t>See &lt;</w:t>
      </w:r>
      <w:r w:rsidRPr="00D06F7F">
        <w:rPr>
          <w:rFonts w:cstheme="minorHAnsi"/>
          <w:lang w:val="fr-CH"/>
        </w:rPr>
        <w:t>https://www.nexter-group.fr/en&gt;</w:t>
      </w:r>
      <w:r w:rsidRPr="00D06F7F">
        <w:rPr>
          <w:rFonts w:cstheme="minorHAnsi"/>
          <w:color w:val="000000"/>
          <w:lang w:val="fr-CH"/>
        </w:rPr>
        <w:t>.</w:t>
      </w:r>
    </w:p>
  </w:footnote>
  <w:footnote w:id="53">
    <w:p w14:paraId="77101BAD" w14:textId="77777777" w:rsidR="00345346" w:rsidRPr="00D06F7F" w:rsidRDefault="00345346" w:rsidP="00345346">
      <w:pPr>
        <w:pStyle w:val="FootnoteText"/>
        <w:rPr>
          <w:rFonts w:cstheme="minorHAnsi"/>
          <w:color w:val="000000"/>
          <w:lang w:val="fr-CH"/>
        </w:rPr>
      </w:pPr>
      <w:r w:rsidRPr="00D06F7F">
        <w:rPr>
          <w:rFonts w:cstheme="minorHAnsi"/>
          <w:vertAlign w:val="superscript"/>
        </w:rPr>
        <w:footnoteRef/>
      </w:r>
      <w:r w:rsidRPr="00D06F7F">
        <w:rPr>
          <w:rFonts w:cstheme="minorHAnsi"/>
          <w:lang w:val="fr-CH"/>
        </w:rPr>
        <w:t xml:space="preserve">Direction du Renseignement Militaire, </w:t>
      </w:r>
      <w:r w:rsidRPr="00D06F7F">
        <w:rPr>
          <w:rFonts w:cstheme="minorHAnsi"/>
          <w:color w:val="000000"/>
          <w:lang w:val="fr-CH"/>
        </w:rPr>
        <w:t xml:space="preserve">Confidential note, </w:t>
      </w:r>
      <w:r w:rsidRPr="00D06F7F">
        <w:rPr>
          <w:rFonts w:cstheme="minorHAnsi"/>
          <w:i/>
          <w:color w:val="000000"/>
          <w:lang w:val="fr-CH"/>
        </w:rPr>
        <w:t>Annexe III à la note confidentielle du 25 septembre 2018: Principaux matériels des forces Yéménites, Emiriennes et Saoudiennes</w:t>
      </w:r>
      <w:r w:rsidRPr="00D06F7F">
        <w:rPr>
          <w:rFonts w:cstheme="minorHAnsi"/>
          <w:lang w:val="fr-CH"/>
        </w:rPr>
        <w:t xml:space="preserve"> (</w:t>
      </w:r>
      <w:r w:rsidRPr="00D06F7F">
        <w:rPr>
          <w:rFonts w:cstheme="minorHAnsi"/>
          <w:i/>
          <w:lang w:val="fr-CH"/>
        </w:rPr>
        <w:t>(</w:t>
      </w:r>
      <w:r w:rsidRPr="00D06F7F">
        <w:rPr>
          <w:rFonts w:cstheme="minorHAnsi"/>
          <w:lang w:val="fr-CH"/>
        </w:rPr>
        <w:t>25 September 2018)</w:t>
      </w:r>
      <w:r w:rsidRPr="00D06F7F">
        <w:rPr>
          <w:rFonts w:cstheme="minorHAnsi"/>
          <w:color w:val="000000"/>
          <w:lang w:val="fr-CH"/>
        </w:rPr>
        <w:t xml:space="preserve"> page 13, available at: &lt;</w:t>
      </w:r>
      <w:r w:rsidRPr="00D06F7F">
        <w:rPr>
          <w:rFonts w:cstheme="minorHAnsi"/>
          <w:lang w:val="fr-CH"/>
        </w:rPr>
        <w:t>https://fr.calameo.com/read/005893118a67c18db94fe?page=1&gt;</w:t>
      </w:r>
      <w:r w:rsidRPr="00D06F7F">
        <w:rPr>
          <w:rFonts w:cstheme="minorHAnsi"/>
          <w:color w:val="000000"/>
          <w:lang w:val="fr-CH"/>
        </w:rPr>
        <w:t xml:space="preserve">. </w:t>
      </w:r>
    </w:p>
  </w:footnote>
  <w:footnote w:id="54">
    <w:p w14:paraId="4002C664"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Disclose, </w:t>
      </w:r>
      <w:r w:rsidRPr="00D06F7F">
        <w:rPr>
          <w:rFonts w:cstheme="minorHAnsi"/>
          <w:i/>
        </w:rPr>
        <w:t>Yemen Papers</w:t>
      </w:r>
      <w:r w:rsidRPr="00D06F7F">
        <w:rPr>
          <w:rFonts w:cstheme="minorHAnsi"/>
        </w:rPr>
        <w:t xml:space="preserve"> (15 April 2019) available at: &lt;https://made-in-france.disclose.ngo/en/chapter/yemen-papers/&gt;</w:t>
      </w:r>
    </w:p>
  </w:footnote>
  <w:footnote w:id="55">
    <w:p w14:paraId="4581BE9F"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 xml:space="preserve">US based conflict analysis organization ACLED – who have been cross-referencing information from the Yemeni press and websites reporting bombings and focus on the repercussion of the conflict on </w:t>
      </w:r>
      <w:proofErr w:type="gramStart"/>
      <w:r w:rsidRPr="00D06F7F">
        <w:rPr>
          <w:rFonts w:cstheme="minorHAnsi"/>
          <w:color w:val="000000"/>
        </w:rPr>
        <w:t>civilians</w:t>
      </w:r>
      <w:proofErr w:type="gramEnd"/>
      <w:r w:rsidRPr="00D06F7F">
        <w:rPr>
          <w:rFonts w:cstheme="minorHAnsi"/>
          <w:color w:val="000000"/>
        </w:rPr>
        <w:t xml:space="preserve"> reports.</w:t>
      </w:r>
    </w:p>
  </w:footnote>
  <w:footnote w:id="56">
    <w:p w14:paraId="1D7AC0DE"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Disclose, </w:t>
      </w:r>
      <w:r w:rsidRPr="00D06F7F">
        <w:rPr>
          <w:rFonts w:cstheme="minorHAnsi"/>
          <w:i/>
        </w:rPr>
        <w:t>Yemen Papers</w:t>
      </w:r>
      <w:r w:rsidRPr="00D06F7F">
        <w:rPr>
          <w:rFonts w:cstheme="minorHAnsi"/>
        </w:rPr>
        <w:t xml:space="preserve"> (15 April 2019) available at: &lt;https://made-in-france.disclose.ngo/en/chapter/yemen-papers/&gt;</w:t>
      </w:r>
    </w:p>
  </w:footnote>
  <w:footnote w:id="57">
    <w:p w14:paraId="0945B5BB"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HRC Forty-fifth session 14 September–2 October 2020 ‘Detailed findings of the Group of Eminent International and Regional Experts on Yemen: Situation of human rights in Yemen, including violations and abuses since September 2014’ (29 September 2020) UN Doc A/HRC/45/CRP.7, para 75.</w:t>
      </w:r>
    </w:p>
  </w:footnote>
  <w:footnote w:id="58">
    <w:p w14:paraId="5259796F"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Disclose, </w:t>
      </w:r>
      <w:r w:rsidRPr="00D06F7F">
        <w:rPr>
          <w:rFonts w:cstheme="minorHAnsi"/>
          <w:i/>
        </w:rPr>
        <w:t xml:space="preserve">The itinerary of a secret shipment </w:t>
      </w:r>
      <w:r w:rsidRPr="00D06F7F">
        <w:rPr>
          <w:rFonts w:cstheme="minorHAnsi"/>
        </w:rPr>
        <w:t>(15 April 2019) available at: &lt;https://made-in-france.disclose.ngo/fr/chapter/the-route-of-a-secret-shipment/&gt;</w:t>
      </w:r>
      <w:r w:rsidRPr="00D06F7F">
        <w:rPr>
          <w:rFonts w:cstheme="minorHAnsi"/>
          <w:color w:val="000000"/>
        </w:rPr>
        <w:t>. It appears that 10 canons CAESAR were shipped to Jeddah (Saudi-Arabia) in September 2018 from the harbour of Le Havre, France</w:t>
      </w:r>
      <w:r w:rsidRPr="00D06F7F">
        <w:rPr>
          <w:rFonts w:cstheme="minorHAnsi"/>
        </w:rPr>
        <w:t xml:space="preserve">. </w:t>
      </w:r>
      <w:r w:rsidRPr="00D06F7F">
        <w:rPr>
          <w:rFonts w:cstheme="minorHAnsi"/>
          <w:color w:val="000000"/>
        </w:rPr>
        <w:t xml:space="preserve">See the video investigation and written findings available at: </w:t>
      </w:r>
      <w:r w:rsidRPr="00D06F7F">
        <w:rPr>
          <w:rFonts w:cstheme="minorHAnsi"/>
        </w:rPr>
        <w:t>&lt;https://made-in-france.disclose.ngo/fr/chapter/the-route-of-a-secret-shipment/&gt;</w:t>
      </w:r>
      <w:r w:rsidRPr="00D06F7F">
        <w:rPr>
          <w:rFonts w:cstheme="minorHAnsi"/>
          <w:color w:val="000000"/>
        </w:rPr>
        <w:t>.</w:t>
      </w:r>
    </w:p>
  </w:footnote>
  <w:footnote w:id="59">
    <w:p w14:paraId="4D94817F"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Stefano </w:t>
      </w:r>
      <w:proofErr w:type="spellStart"/>
      <w:r w:rsidRPr="00D06F7F">
        <w:rPr>
          <w:rFonts w:cstheme="minorHAnsi"/>
        </w:rPr>
        <w:t>Trevisan</w:t>
      </w:r>
      <w:proofErr w:type="spellEnd"/>
      <w:r w:rsidRPr="00D06F7F">
        <w:rPr>
          <w:rFonts w:cstheme="minorHAnsi"/>
        </w:rPr>
        <w:t xml:space="preserve">, </w:t>
      </w:r>
      <w:r w:rsidRPr="00D06F7F">
        <w:rPr>
          <w:rFonts w:cstheme="minorHAnsi"/>
          <w:i/>
        </w:rPr>
        <w:t xml:space="preserve">Case 3: DCI’s military training of Saudi Arabia’s armed forces </w:t>
      </w:r>
      <w:r w:rsidRPr="00D06F7F">
        <w:rPr>
          <w:rFonts w:cstheme="minorHAnsi"/>
        </w:rPr>
        <w:t>(</w:t>
      </w:r>
      <w:r w:rsidRPr="00D06F7F">
        <w:rPr>
          <w:rFonts w:cstheme="minorHAnsi"/>
          <w:i/>
        </w:rPr>
        <w:t>Eu arms exports</w:t>
      </w:r>
      <w:r w:rsidRPr="00D06F7F">
        <w:rPr>
          <w:rFonts w:cstheme="minorHAnsi"/>
        </w:rPr>
        <w:t>, Lighthouse Reports), available at: &lt;https://euarms.com/landing/4sAXz43g4jt12Fl59mB73V&gt;</w:t>
      </w:r>
      <w:r w:rsidRPr="00D06F7F">
        <w:rPr>
          <w:rFonts w:cstheme="minorHAnsi"/>
          <w:color w:val="000000"/>
        </w:rPr>
        <w:t>.</w:t>
      </w:r>
    </w:p>
  </w:footnote>
  <w:footnote w:id="60">
    <w:p w14:paraId="5538CDBC"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color w:val="000000"/>
        </w:rPr>
        <w:t xml:space="preserve">In March 2018, the DCI Groupe 2018 put online a video where they are seen deploying a Caesar self-propelled howitzer. However, to this day, it is not known whether this training is still ongoing. See : </w:t>
      </w:r>
      <w:r w:rsidRPr="00D06F7F">
        <w:rPr>
          <w:rFonts w:cstheme="minorHAnsi"/>
        </w:rPr>
        <w:t xml:space="preserve">Nikolaj Nielsen ‘Exposed: French complicity in Yemen and Libya’ </w:t>
      </w:r>
      <w:r w:rsidRPr="00D06F7F">
        <w:rPr>
          <w:rFonts w:cstheme="minorHAnsi"/>
          <w:i/>
        </w:rPr>
        <w:t xml:space="preserve">EU Observer </w:t>
      </w:r>
      <w:r w:rsidRPr="00D06F7F">
        <w:rPr>
          <w:rFonts w:cstheme="minorHAnsi"/>
        </w:rPr>
        <w:t>(Brussels</w:t>
      </w:r>
      <w:r w:rsidRPr="00D06F7F">
        <w:rPr>
          <w:rFonts w:cstheme="minorHAnsi"/>
          <w:i/>
        </w:rPr>
        <w:t xml:space="preserve">, </w:t>
      </w:r>
      <w:r w:rsidRPr="00D06F7F">
        <w:rPr>
          <w:rFonts w:cstheme="minorHAnsi"/>
        </w:rPr>
        <w:t>18 November 2021), available at:</w:t>
      </w:r>
      <w:r w:rsidRPr="00D06F7F">
        <w:rPr>
          <w:rFonts w:cstheme="minorHAnsi"/>
          <w:color w:val="000000"/>
        </w:rPr>
        <w:t xml:space="preserve"> &lt;</w:t>
      </w:r>
      <w:r w:rsidRPr="00D06F7F">
        <w:rPr>
          <w:rFonts w:cstheme="minorHAnsi"/>
        </w:rPr>
        <w:t>https://euobserver.com/investigations/150097&gt;</w:t>
      </w:r>
      <w:r w:rsidRPr="00D06F7F">
        <w:rPr>
          <w:rFonts w:cstheme="minorHAnsi"/>
          <w:color w:val="000000"/>
        </w:rPr>
        <w:t>.</w:t>
      </w:r>
    </w:p>
  </w:footnote>
  <w:footnote w:id="61">
    <w:p w14:paraId="7F399503" w14:textId="77777777" w:rsidR="00345346" w:rsidRPr="00D06F7F" w:rsidRDefault="00345346" w:rsidP="00345346">
      <w:pPr>
        <w:pStyle w:val="FootnoteText"/>
        <w:rPr>
          <w:rFonts w:cstheme="minorHAnsi"/>
          <w:color w:val="000000"/>
        </w:rPr>
      </w:pPr>
      <w:r w:rsidRPr="00D06F7F">
        <w:rPr>
          <w:rFonts w:cstheme="minorHAnsi"/>
          <w:vertAlign w:val="superscript"/>
        </w:rPr>
        <w:footnoteRef/>
      </w:r>
      <w:r w:rsidRPr="00D06F7F">
        <w:rPr>
          <w:rFonts w:cstheme="minorHAnsi"/>
        </w:rPr>
        <w:t xml:space="preserve">Nikolaj Nielsen ‘Exposed: French complicity in Yemen and Libya’ </w:t>
      </w:r>
      <w:r w:rsidRPr="00D06F7F">
        <w:rPr>
          <w:rFonts w:cstheme="minorHAnsi"/>
          <w:i/>
        </w:rPr>
        <w:t xml:space="preserve">EU Observer </w:t>
      </w:r>
      <w:r w:rsidRPr="00D06F7F">
        <w:rPr>
          <w:rFonts w:cstheme="minorHAnsi"/>
        </w:rPr>
        <w:t>(Brussels</w:t>
      </w:r>
      <w:r w:rsidRPr="00D06F7F">
        <w:rPr>
          <w:rFonts w:cstheme="minorHAnsi"/>
          <w:i/>
        </w:rPr>
        <w:t xml:space="preserve">, </w:t>
      </w:r>
      <w:r w:rsidRPr="00D06F7F">
        <w:rPr>
          <w:rFonts w:cstheme="minorHAnsi"/>
        </w:rPr>
        <w:t>18 November 2021).</w:t>
      </w:r>
      <w:r w:rsidRPr="00D06F7F">
        <w:rPr>
          <w:rFonts w:cstheme="minorHAnsi"/>
          <w:i/>
        </w:rPr>
        <w:t xml:space="preserve"> </w:t>
      </w:r>
      <w:r w:rsidRPr="00D06F7F">
        <w:rPr>
          <w:rFonts w:cstheme="minorHAnsi"/>
        </w:rPr>
        <w:t>The article specifies about DCI that</w:t>
      </w:r>
      <w:r w:rsidRPr="00D06F7F">
        <w:rPr>
          <w:rFonts w:cstheme="minorHAnsi"/>
          <w:color w:val="000000"/>
        </w:rPr>
        <w:t xml:space="preserve"> </w:t>
      </w:r>
      <w:r w:rsidRPr="00D06F7F">
        <w:rPr>
          <w:rFonts w:cstheme="minorHAnsi"/>
        </w:rPr>
        <w:t xml:space="preserve">« The company uses French army personnel, assets and facilities to train SANG </w:t>
      </w:r>
      <w:proofErr w:type="spellStart"/>
      <w:r w:rsidRPr="00D06F7F">
        <w:rPr>
          <w:rFonts w:cstheme="minorHAnsi"/>
        </w:rPr>
        <w:t>personne</w:t>
      </w:r>
      <w:proofErr w:type="spellEnd"/>
      <w:r w:rsidRPr="00D06F7F">
        <w:rPr>
          <w:rFonts w:cstheme="minorHAnsi"/>
        </w:rPr>
        <w:t xml:space="preserve"> ».</w:t>
      </w:r>
    </w:p>
  </w:footnote>
  <w:footnote w:id="62">
    <w:p w14:paraId="5F168D9F" w14:textId="77777777" w:rsidR="00345346" w:rsidRPr="00D06F7F" w:rsidRDefault="00345346" w:rsidP="00345346">
      <w:pPr>
        <w:pStyle w:val="FootnoteText"/>
        <w:rPr>
          <w:rFonts w:cstheme="minorHAnsi"/>
          <w:lang w:val="en-US"/>
        </w:rPr>
      </w:pPr>
      <w:r w:rsidRPr="00D06F7F">
        <w:rPr>
          <w:rStyle w:val="FootnoteReference"/>
          <w:rFonts w:cstheme="minorHAnsi"/>
        </w:rPr>
        <w:footnoteRef/>
      </w:r>
      <w:r w:rsidRPr="00D06F7F">
        <w:rPr>
          <w:rFonts w:cstheme="minorHAnsi"/>
          <w:lang w:val="en-US"/>
        </w:rPr>
        <w:t xml:space="preserve"> Disclose, </w:t>
      </w:r>
      <w:r w:rsidRPr="00D06F7F">
        <w:rPr>
          <w:rFonts w:cstheme="minorHAnsi"/>
          <w:i/>
          <w:iCs/>
          <w:lang w:val="en-US"/>
        </w:rPr>
        <w:t xml:space="preserve">Revealed: France and Egypt secretly sign major new deal for Rafale fighter jets </w:t>
      </w:r>
      <w:r w:rsidRPr="00D06F7F">
        <w:rPr>
          <w:rFonts w:cstheme="minorHAnsi"/>
          <w:lang w:val="en-US"/>
        </w:rPr>
        <w:t xml:space="preserve">(3 May 2021), available </w:t>
      </w:r>
      <w:proofErr w:type="gramStart"/>
      <w:r w:rsidRPr="00D06F7F">
        <w:rPr>
          <w:rFonts w:cstheme="minorHAnsi"/>
          <w:lang w:val="en-US"/>
        </w:rPr>
        <w:t>at :</w:t>
      </w:r>
      <w:proofErr w:type="gramEnd"/>
      <w:r w:rsidRPr="00D06F7F">
        <w:rPr>
          <w:rFonts w:cstheme="minorHAnsi"/>
          <w:lang w:val="en-US"/>
        </w:rPr>
        <w:t xml:space="preserve"> </w:t>
      </w:r>
      <w:r w:rsidRPr="00D06F7F">
        <w:rPr>
          <w:rFonts w:cstheme="minorHAnsi"/>
        </w:rPr>
        <w:t>&lt;https://disclose.ngo/en/article/revealed-france-and-egypt-secretly-sign-major-new-deal-for-rafale-fighter-jets/&gt;</w:t>
      </w:r>
      <w:r w:rsidRPr="00D06F7F">
        <w:rPr>
          <w:rFonts w:cstheme="minorHAnsi"/>
          <w:color w:val="000000"/>
        </w:rPr>
        <w:t>.</w:t>
      </w:r>
    </w:p>
  </w:footnote>
  <w:footnote w:id="63">
    <w:p w14:paraId="7F43FE93"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Privacy International, The Global Surveillance Industry (July 2016), available at: &lt;https://www.privacyinternational.org/sites/default/files/2017-12/global_surveillance_0.pdf&gt;.</w:t>
      </w:r>
    </w:p>
  </w:footnote>
  <w:footnote w:id="64">
    <w:p w14:paraId="6E8A4A3B"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eastAsia="Times New Roman" w:cstheme="minorHAnsi"/>
        </w:rPr>
        <w:t>Privacy International, The Global Surveillance Industry (July 2016) page 19, available at: &lt;https://www.privacyinternational.org/sites/default/files/2017-12/global_surveillance_0.pdf&gt;.</w:t>
      </w:r>
    </w:p>
  </w:footnote>
  <w:footnote w:id="65">
    <w:p w14:paraId="4A4EAAF3"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 Dual-use products are goods, software and technology that can be used for both civilian and military applications</w:t>
      </w:r>
    </w:p>
  </w:footnote>
  <w:footnote w:id="66">
    <w:p w14:paraId="47010D4F"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Pieter d. </w:t>
      </w:r>
      <w:proofErr w:type="spellStart"/>
      <w:r w:rsidRPr="00D06F7F">
        <w:rPr>
          <w:rFonts w:cstheme="minorHAnsi"/>
        </w:rPr>
        <w:t>Wezeman</w:t>
      </w:r>
      <w:proofErr w:type="spellEnd"/>
      <w:r w:rsidRPr="00D06F7F">
        <w:rPr>
          <w:rFonts w:cstheme="minorHAnsi"/>
        </w:rPr>
        <w:t xml:space="preserve"> and others, </w:t>
      </w:r>
      <w:r w:rsidRPr="00D06F7F">
        <w:rPr>
          <w:rFonts w:cstheme="minorHAnsi"/>
          <w:i/>
        </w:rPr>
        <w:t>Trends in international arms transfers</w:t>
      </w:r>
      <w:r w:rsidRPr="00D06F7F">
        <w:rPr>
          <w:rFonts w:cstheme="minorHAnsi"/>
        </w:rPr>
        <w:t>, (SIPRI, 2021) available at:  &lt;https://www.sipri.org/sites/default/files/2021-03/fs_2103_at_2020_v2.pdf&gt;. France is Egypt’s second main arms provider after Russia representing 28% of Egypt’s imports between 2016-2020.</w:t>
      </w:r>
    </w:p>
  </w:footnote>
  <w:footnote w:id="67">
    <w:p w14:paraId="0E687229"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 Ibid.</w:t>
      </w:r>
    </w:p>
  </w:footnote>
  <w:footnote w:id="68">
    <w:p w14:paraId="57F035EE"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Amnesty International, Egypt: How French arms were used to crush dissent (EUR 21/9038/2018, 2018), available at: &lt;https://www.amnesty.org/en/documents/eur21/9038/2018/en/&gt;; FIDH &amp; others, </w:t>
      </w:r>
      <w:r w:rsidRPr="00D06F7F">
        <w:rPr>
          <w:rFonts w:cstheme="minorHAnsi"/>
          <w:i/>
        </w:rPr>
        <w:t xml:space="preserve">Egypt: A Repression Made in France: exports of weapons and surveillance technologies </w:t>
      </w:r>
      <w:r w:rsidRPr="00D06F7F">
        <w:rPr>
          <w:rFonts w:cstheme="minorHAnsi"/>
        </w:rPr>
        <w:t xml:space="preserve">(n°716a, June 2018), available at: https://www.fidh.org/IMG/pdf/382873255-egypt-a-repression-made-in-france.pdf; See also: </w:t>
      </w:r>
      <w:proofErr w:type="spellStart"/>
      <w:r w:rsidRPr="00D06F7F">
        <w:rPr>
          <w:rFonts w:cstheme="minorHAnsi"/>
        </w:rPr>
        <w:t>Houry</w:t>
      </w:r>
      <w:proofErr w:type="spellEnd"/>
      <w:r w:rsidRPr="00D06F7F">
        <w:rPr>
          <w:rFonts w:cstheme="minorHAnsi"/>
        </w:rPr>
        <w:t xml:space="preserve"> Nadim &amp; </w:t>
      </w:r>
      <w:proofErr w:type="spellStart"/>
      <w:r w:rsidRPr="00D06F7F">
        <w:rPr>
          <w:rFonts w:cstheme="minorHAnsi"/>
        </w:rPr>
        <w:t>Jeannerod</w:t>
      </w:r>
      <w:proofErr w:type="spellEnd"/>
      <w:r w:rsidRPr="00D06F7F">
        <w:rPr>
          <w:rFonts w:cstheme="minorHAnsi"/>
        </w:rPr>
        <w:t xml:space="preserve"> </w:t>
      </w:r>
      <w:proofErr w:type="spellStart"/>
      <w:r w:rsidRPr="00D06F7F">
        <w:rPr>
          <w:rFonts w:cstheme="minorHAnsi"/>
        </w:rPr>
        <w:t>Bénédicte</w:t>
      </w:r>
      <w:proofErr w:type="spellEnd"/>
      <w:r w:rsidRPr="00D06F7F">
        <w:rPr>
          <w:rFonts w:cstheme="minorHAnsi"/>
        </w:rPr>
        <w:t xml:space="preserve">, </w:t>
      </w:r>
      <w:r w:rsidRPr="00D06F7F">
        <w:rPr>
          <w:rFonts w:cstheme="minorHAnsi"/>
          <w:i/>
        </w:rPr>
        <w:t xml:space="preserve">How French weapons enable Egypt’s abuses </w:t>
      </w:r>
      <w:r w:rsidRPr="00D06F7F">
        <w:rPr>
          <w:rFonts w:cstheme="minorHAnsi"/>
        </w:rPr>
        <w:t>(Human Rights Watch,  29 January 2019), available at: &lt;https://www.hrw.org/news/2019/01/28/how-french-weapons-enable-egypts-abuses&gt;.</w:t>
      </w:r>
    </w:p>
  </w:footnote>
  <w:footnote w:id="69">
    <w:p w14:paraId="3551DDA7"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FIDH &amp; others, </w:t>
      </w:r>
      <w:r w:rsidRPr="00D06F7F">
        <w:rPr>
          <w:rFonts w:cstheme="minorHAnsi"/>
          <w:i/>
        </w:rPr>
        <w:t>Egypt: A Repression Made in France: exports of weapons and surveillance technologies</w:t>
      </w:r>
      <w:r w:rsidRPr="00D06F7F">
        <w:rPr>
          <w:rFonts w:cstheme="minorHAnsi"/>
        </w:rPr>
        <w:t xml:space="preserve"> (n°716a, June 2018) page 18 and 19, available at: &lt;https://www.fidh.org/IMG/pdf/382873255-egypt-a-repression-made-in-france.pdf&gt;.</w:t>
      </w:r>
    </w:p>
  </w:footnote>
  <w:footnote w:id="70">
    <w:p w14:paraId="20B1229E"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UNHRC Forty-third session ‘Report of the Working Group on the Universal Periodic Review on Egypt’ (27 December 2019) UN Doc A/HRC/43/16, para 31 recommendation 31.189.</w:t>
      </w:r>
    </w:p>
  </w:footnote>
  <w:footnote w:id="71">
    <w:p w14:paraId="4689BDCC"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FIDH &amp; others, Egypt: </w:t>
      </w:r>
      <w:r w:rsidRPr="00D06F7F">
        <w:rPr>
          <w:rFonts w:cstheme="minorHAnsi"/>
          <w:i/>
        </w:rPr>
        <w:t>A Repression Made in France: exports of weapons and surveillance technologies</w:t>
      </w:r>
      <w:r w:rsidRPr="00D06F7F">
        <w:rPr>
          <w:rFonts w:cstheme="minorHAnsi"/>
        </w:rPr>
        <w:t xml:space="preserve"> (n°716a, June 2018), available at: &lt;https://www.fidh.org/IMG/pdf/382873255-egypt-a-repression-made-in-france.pdf&gt;.</w:t>
      </w:r>
    </w:p>
  </w:footnote>
  <w:footnote w:id="72">
    <w:p w14:paraId="2D431001"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Olivier </w:t>
      </w:r>
      <w:proofErr w:type="spellStart"/>
      <w:r w:rsidRPr="00D06F7F">
        <w:rPr>
          <w:rFonts w:cstheme="minorHAnsi"/>
        </w:rPr>
        <w:t>Tesquet</w:t>
      </w:r>
      <w:proofErr w:type="spellEnd"/>
      <w:r w:rsidRPr="00D06F7F">
        <w:rPr>
          <w:rFonts w:cstheme="minorHAnsi"/>
        </w:rPr>
        <w:t xml:space="preserve"> ‘</w:t>
      </w:r>
      <w:proofErr w:type="spellStart"/>
      <w:r w:rsidRPr="00D06F7F">
        <w:rPr>
          <w:rFonts w:cstheme="minorHAnsi"/>
        </w:rPr>
        <w:t>Amesys</w:t>
      </w:r>
      <w:proofErr w:type="spellEnd"/>
      <w:r w:rsidRPr="00D06F7F">
        <w:rPr>
          <w:rFonts w:cstheme="minorHAnsi"/>
        </w:rPr>
        <w:t>: Egyptian trials and tribulations of a French digital arms dealer’ (</w:t>
      </w:r>
      <w:proofErr w:type="spellStart"/>
      <w:r w:rsidRPr="00D06F7F">
        <w:rPr>
          <w:rFonts w:cstheme="minorHAnsi"/>
          <w:i/>
        </w:rPr>
        <w:t>Telerama</w:t>
      </w:r>
      <w:proofErr w:type="spellEnd"/>
      <w:r w:rsidRPr="00D06F7F">
        <w:rPr>
          <w:rFonts w:cstheme="minorHAnsi"/>
        </w:rPr>
        <w:t xml:space="preserve">, 7 August 2020) available at: &lt;https://www.telerama.fr/monde/amesys-egyptian-trials-and-tribulations-of-a-french-digital-arms-dealer,160452.php&gt;. </w:t>
      </w:r>
    </w:p>
  </w:footnote>
  <w:footnote w:id="73">
    <w:p w14:paraId="00C9C87D"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lang w:val="fr-CH"/>
        </w:rPr>
        <w:t xml:space="preserve">Assemblée Nationale, Rapport d’information, deposé en application de l’article 145 du Règlement par la Commission des Affaires étrangères, en conclusion des travaux d’une mission d’information constituée le 31 octobre 2018 sur le contrôle des exportations d’armement et présenté par M. Jacques Maire et Mme Michèle Tabarot’ page 80, available at : &lt;https://www.assemblee-nationale.fr/dyn/15/rapports/cion_afetr/l15b3581_rapport-information&gt;. </w:t>
      </w:r>
      <w:r w:rsidRPr="00D06F7F">
        <w:rPr>
          <w:rFonts w:cstheme="minorHAnsi"/>
        </w:rPr>
        <w:t>See also: Ministry of Europe and Foreign Affairs, ‘Trade, transport and export of arms and sensitive material’ (</w:t>
      </w:r>
      <w:r w:rsidRPr="00D06F7F">
        <w:rPr>
          <w:rFonts w:cstheme="minorHAnsi"/>
          <w:i/>
        </w:rPr>
        <w:t xml:space="preserve">France Diplomacy, </w:t>
      </w:r>
      <w:r w:rsidRPr="00D06F7F">
        <w:rPr>
          <w:rFonts w:cstheme="minorHAnsi"/>
        </w:rPr>
        <w:t>December 2019) available at: &lt;https://www.diplomatie.gouv.fr/en/french-foreign-policy/security-disarmament-and-non-proliferation/disarmament-and-non-proliferation/trade-transport-and-export-of-arms-and-sensitive-material/&gt;.</w:t>
      </w:r>
    </w:p>
  </w:footnote>
  <w:footnote w:id="74">
    <w:p w14:paraId="581D19E2"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eastAsia="Times New Roman" w:cstheme="minorHAnsi"/>
        </w:rPr>
        <w:t xml:space="preserve">FIDH &amp; others, </w:t>
      </w:r>
      <w:r w:rsidRPr="00D06F7F">
        <w:rPr>
          <w:rFonts w:eastAsia="Times New Roman" w:cstheme="minorHAnsi"/>
          <w:i/>
        </w:rPr>
        <w:t xml:space="preserve">Egypt: A Repression Made in France: exports of weapons and surveillance technologies </w:t>
      </w:r>
      <w:r w:rsidRPr="00D06F7F">
        <w:rPr>
          <w:rFonts w:eastAsia="Times New Roman" w:cstheme="minorHAnsi"/>
        </w:rPr>
        <w:t>(n°716a, June 2018) page 35 and 36, available at: &lt;https://www.fidh.org/IMG/pdf/382873255-egypt-a-repression-made-in-france.pdf&gt;.</w:t>
      </w:r>
    </w:p>
  </w:footnote>
  <w:footnote w:id="75">
    <w:p w14:paraId="6F76CEF6" w14:textId="77777777" w:rsidR="00345346" w:rsidRPr="00D06F7F" w:rsidRDefault="00345346" w:rsidP="00345346">
      <w:pPr>
        <w:pStyle w:val="FootnoteText"/>
        <w:rPr>
          <w:rFonts w:eastAsia="Times New Roman" w:cstheme="minorHAnsi"/>
          <w:lang w:val="fr-CH"/>
        </w:rPr>
      </w:pPr>
      <w:r w:rsidRPr="00D06F7F">
        <w:rPr>
          <w:rFonts w:cstheme="minorHAnsi"/>
          <w:vertAlign w:val="superscript"/>
        </w:rPr>
        <w:footnoteRef/>
      </w:r>
      <w:r w:rsidRPr="00D06F7F">
        <w:rPr>
          <w:rFonts w:eastAsia="Times New Roman" w:cstheme="minorHAnsi"/>
          <w:lang w:val="fr-CH"/>
        </w:rPr>
        <w:t>Olivier Tesquet ‘On a encore trouvé une société française qui vend du matériel de surveillance électronique à l’Egypte’ (</w:t>
      </w:r>
      <w:r w:rsidRPr="00D06F7F">
        <w:rPr>
          <w:rFonts w:eastAsia="Times New Roman" w:cstheme="minorHAnsi"/>
          <w:i/>
          <w:lang w:val="fr-CH"/>
        </w:rPr>
        <w:t>Telerama</w:t>
      </w:r>
      <w:r w:rsidRPr="00D06F7F">
        <w:rPr>
          <w:rFonts w:eastAsia="Times New Roman" w:cstheme="minorHAnsi"/>
          <w:lang w:val="fr-CH"/>
        </w:rPr>
        <w:t>, 26 March 2018) available at: &lt;https://www.telerama.fr/monde/on-a-encore-trouve-une-societe-francaise-qui-vend-du-materiel-de-surveillance-electronique-a-legypte,n5533721.php&gt;.</w:t>
      </w:r>
    </w:p>
  </w:footnote>
  <w:footnote w:id="76">
    <w:p w14:paraId="3BEEB332" w14:textId="77777777" w:rsidR="00345346" w:rsidRPr="00D06F7F" w:rsidRDefault="00345346" w:rsidP="00345346">
      <w:pPr>
        <w:pStyle w:val="FootnoteText"/>
        <w:rPr>
          <w:rFonts w:cstheme="minorHAnsi"/>
          <w:lang w:val="fr-CH"/>
        </w:rPr>
      </w:pPr>
      <w:r w:rsidRPr="00D06F7F">
        <w:rPr>
          <w:rFonts w:cstheme="minorHAnsi"/>
          <w:vertAlign w:val="superscript"/>
        </w:rPr>
        <w:footnoteRef/>
      </w:r>
      <w:r w:rsidRPr="00D06F7F">
        <w:rPr>
          <w:rFonts w:eastAsia="Times New Roman" w:cstheme="minorHAnsi"/>
          <w:lang w:val="fr-CH"/>
        </w:rPr>
        <w:t xml:space="preserve">FIDH &amp; others, </w:t>
      </w:r>
      <w:r w:rsidRPr="00D06F7F">
        <w:rPr>
          <w:rFonts w:eastAsia="Times New Roman" w:cstheme="minorHAnsi"/>
          <w:i/>
          <w:lang w:val="fr-CH"/>
        </w:rPr>
        <w:t>Egypt: A Repression Made in France: exports of weapons and surveillance technologies</w:t>
      </w:r>
      <w:r w:rsidRPr="00D06F7F">
        <w:rPr>
          <w:rFonts w:eastAsia="Times New Roman" w:cstheme="minorHAnsi"/>
          <w:lang w:val="fr-CH"/>
        </w:rPr>
        <w:t xml:space="preserve"> (n°716a, June 2018) page 38, available at: &lt;https://www.fidh.org/IMG/pdf/382873255-egypt-a-repression-made-in-france.pdf&gt;.</w:t>
      </w:r>
    </w:p>
  </w:footnote>
  <w:footnote w:id="77">
    <w:p w14:paraId="4F5D5A82"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FIDH ‘Sale of surveillance equipment to Egypt: Paris prosecutor opens a judicial investigation’ (Press release, 22 December 2017) available at: &lt;https://www.fidh.org/en/region/north-africa-middle-east/egypt/sale-of-surveillance-equipment-to-egypt-paris-prosecutor-opens-a&gt;.</w:t>
      </w:r>
    </w:p>
  </w:footnote>
  <w:footnote w:id="78">
    <w:p w14:paraId="4B6602CB"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eastAsia="Times New Roman" w:cstheme="minorHAnsi"/>
        </w:rPr>
        <w:t xml:space="preserve">FIDH &amp; others, </w:t>
      </w:r>
      <w:r w:rsidRPr="00D06F7F">
        <w:rPr>
          <w:rFonts w:eastAsia="Times New Roman" w:cstheme="minorHAnsi"/>
          <w:i/>
        </w:rPr>
        <w:t xml:space="preserve">Egypt: A Repression Made in France: exports of weapons and surveillance technologies </w:t>
      </w:r>
      <w:r w:rsidRPr="00D06F7F">
        <w:rPr>
          <w:rFonts w:eastAsia="Times New Roman" w:cstheme="minorHAnsi"/>
        </w:rPr>
        <w:t>(n°716a, June 2018) page 39 to 42, available at: &lt;https://www.fidh.org/IMG/pdf/382873255-egypt-a-repression-made-in-france.pdf&gt;.</w:t>
      </w:r>
    </w:p>
  </w:footnote>
  <w:footnote w:id="79">
    <w:p w14:paraId="23861039" w14:textId="77777777" w:rsidR="00345346" w:rsidRPr="00D06F7F" w:rsidRDefault="00345346" w:rsidP="00345346">
      <w:pPr>
        <w:pStyle w:val="FootnoteText"/>
        <w:rPr>
          <w:rFonts w:eastAsia="Times New Roman" w:cstheme="minorHAnsi"/>
        </w:rPr>
      </w:pPr>
      <w:r w:rsidRPr="00D06F7F">
        <w:rPr>
          <w:rFonts w:cstheme="minorHAnsi"/>
          <w:vertAlign w:val="superscript"/>
        </w:rPr>
        <w:footnoteRef/>
      </w:r>
      <w:r w:rsidRPr="00D06F7F">
        <w:rPr>
          <w:rFonts w:eastAsia="Times New Roman" w:cstheme="minorHAnsi"/>
        </w:rPr>
        <w:t xml:space="preserve">Amnesty International, </w:t>
      </w:r>
      <w:r w:rsidRPr="00D06F7F">
        <w:rPr>
          <w:rFonts w:eastAsia="Times New Roman" w:cstheme="minorHAnsi"/>
          <w:i/>
        </w:rPr>
        <w:t>Human Rights Council must address human rights crises in Egypt, India and China</w:t>
      </w:r>
      <w:r w:rsidRPr="00D06F7F">
        <w:rPr>
          <w:rFonts w:eastAsia="Times New Roman" w:cstheme="minorHAnsi"/>
        </w:rPr>
        <w:t xml:space="preserve"> (12 March 2021) available at : &lt;</w:t>
      </w:r>
      <w:hyperlink r:id="rId6">
        <w:r w:rsidRPr="00D06F7F">
          <w:rPr>
            <w:rFonts w:eastAsia="Times New Roman" w:cstheme="minorHAnsi"/>
          </w:rPr>
          <w:t>https://www.amnesty.org/download/Documents/IOR4038212021ENGLISH.pdf</w:t>
        </w:r>
      </w:hyperlink>
      <w:r w:rsidRPr="00D06F7F">
        <w:rPr>
          <w:rFonts w:eastAsia="Times New Roman" w:cstheme="minorHAnsi"/>
        </w:rPr>
        <w:t xml:space="preserve">&gt;. https://cihrs.org/states-break-silence-to-condemn-egypts-abuses-at-un-rights-body/?lang=en </w:t>
      </w:r>
    </w:p>
  </w:footnote>
  <w:footnote w:id="80">
    <w:p w14:paraId="69291274"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Committee on the Elimination of Racial Discrimination, </w:t>
      </w:r>
      <w:r w:rsidRPr="00D06F7F">
        <w:rPr>
          <w:rFonts w:cstheme="minorHAnsi"/>
          <w:i/>
        </w:rPr>
        <w:t xml:space="preserve">Concluding observations on the combined seventeenth to twenty-second periodic reports of Egypt </w:t>
      </w:r>
      <w:r w:rsidRPr="00D06F7F">
        <w:rPr>
          <w:rFonts w:cstheme="minorHAnsi"/>
        </w:rPr>
        <w:t>(</w:t>
      </w:r>
      <w:r w:rsidRPr="00D06F7F">
        <w:rPr>
          <w:rFonts w:cstheme="minorHAnsi"/>
          <w:color w:val="010000"/>
        </w:rPr>
        <w:t>6 January 2016) UN Doc</w:t>
      </w:r>
      <w:r w:rsidRPr="00D06F7F">
        <w:rPr>
          <w:rFonts w:cstheme="minorHAnsi"/>
        </w:rPr>
        <w:t xml:space="preserve"> CERD/C/EGY/CO/17-22, para. 29, see also Amnesty International </w:t>
      </w:r>
      <w:r w:rsidRPr="00D06F7F">
        <w:rPr>
          <w:rFonts w:cstheme="minorHAnsi"/>
          <w:i/>
        </w:rPr>
        <w:t>Egypt: Permanent State of Exception: abuses by the Supreme State Security Prosecution</w:t>
      </w:r>
      <w:r w:rsidRPr="00D06F7F">
        <w:rPr>
          <w:rFonts w:cstheme="minorHAnsi"/>
        </w:rPr>
        <w:t xml:space="preserve"> (2019) available at &lt;https://www.amnesty.org/download/Documents/MDE1213992019ENGLISH.pdf&gt; </w:t>
      </w:r>
    </w:p>
  </w:footnote>
  <w:footnote w:id="81">
    <w:p w14:paraId="67B5CB5F"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ISHR, ‘HRC46: States break silence to condemn Egypt’s repression’ (12 March 2021) available at: &lt;</w:t>
      </w:r>
      <w:r w:rsidRPr="00D06F7F">
        <w:rPr>
          <w:rFonts w:cstheme="minorHAnsi"/>
          <w:highlight w:val="white"/>
        </w:rPr>
        <w:t>https://www.ishr.ch/news/hrc46-states-break-silence-condemn-egypts-repression&gt;.</w:t>
      </w:r>
    </w:p>
  </w:footnote>
  <w:footnote w:id="82">
    <w:p w14:paraId="4447F68B"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DW, ‘France’s Macron defends arms sales to Egypt despite rights concerns’ (7 December 2020) available at: &lt;https://www.dw.com/en/frances-macron-defends-arms-sales-to-egypt-despite-rights-concerns/a-55846151&gt;. </w:t>
      </w:r>
    </w:p>
  </w:footnote>
  <w:footnote w:id="83">
    <w:p w14:paraId="17CA1614"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European Parliament Resolution (RSP) 2020/2912 </w:t>
      </w:r>
      <w:r w:rsidRPr="00D06F7F">
        <w:rPr>
          <w:rFonts w:cstheme="minorHAnsi"/>
          <w:highlight w:val="white"/>
        </w:rPr>
        <w:t xml:space="preserve">on the deteriorating situation of human rights in Egypt, in particular the case of the activists of the Egyptian Initiative for Personal Rights </w:t>
      </w:r>
      <w:r w:rsidRPr="00D06F7F">
        <w:rPr>
          <w:rFonts w:cstheme="minorHAnsi"/>
        </w:rPr>
        <w:t xml:space="preserve">[2020], available at: &lt;https://www.europarl.europa.eu/doceo/document/TA-9-2020-0384_EN.html&gt;. </w:t>
      </w:r>
    </w:p>
  </w:footnote>
  <w:footnote w:id="84">
    <w:p w14:paraId="3EBDC01A"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Amnesty International, </w:t>
      </w:r>
      <w:r w:rsidRPr="00D06F7F">
        <w:rPr>
          <w:rFonts w:cstheme="minorHAnsi"/>
          <w:i/>
        </w:rPr>
        <w:t xml:space="preserve">Out of control: Failing EU laws for digital surveillance exports </w:t>
      </w:r>
      <w:r w:rsidRPr="00D06F7F">
        <w:rPr>
          <w:rFonts w:cstheme="minorHAnsi"/>
        </w:rPr>
        <w:t xml:space="preserve">(21 September 2020) available at: &lt;https://www.amnesty.org/en/documents/EUR01/2556/2020/en/&gt;. </w:t>
      </w:r>
    </w:p>
  </w:footnote>
  <w:footnote w:id="85">
    <w:p w14:paraId="107F8030"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OHCHR, ‘</w:t>
      </w:r>
      <w:r w:rsidRPr="00D06F7F">
        <w:rPr>
          <w:rFonts w:cstheme="minorHAnsi"/>
          <w:highlight w:val="white"/>
        </w:rPr>
        <w:t>UN experts call for decisive measures to protect fundamental freedoms in China’ (</w:t>
      </w:r>
      <w:r w:rsidRPr="00D06F7F">
        <w:rPr>
          <w:rFonts w:cstheme="minorHAnsi"/>
          <w:i/>
          <w:highlight w:val="white"/>
        </w:rPr>
        <w:t xml:space="preserve">Geneva, </w:t>
      </w:r>
      <w:r w:rsidRPr="00D06F7F">
        <w:rPr>
          <w:rFonts w:cstheme="minorHAnsi"/>
          <w:highlight w:val="white"/>
        </w:rPr>
        <w:t>26 June 2020) available at:</w:t>
      </w:r>
      <w:r w:rsidRPr="00D06F7F">
        <w:rPr>
          <w:rFonts w:cstheme="minorHAnsi"/>
        </w:rPr>
        <w:t xml:space="preserve"> &lt;https://www.ohchr.org/EN/NewsEvents/Pages/DisplayNews.aspx?NewsID=26006&gt;.</w:t>
      </w:r>
    </w:p>
  </w:footnote>
  <w:footnote w:id="86">
    <w:p w14:paraId="066563A5" w14:textId="77777777" w:rsidR="00345346" w:rsidRPr="00D06F7F" w:rsidRDefault="00345346" w:rsidP="00345346">
      <w:pPr>
        <w:pStyle w:val="FootnoteText"/>
        <w:rPr>
          <w:rFonts w:cstheme="minorHAnsi"/>
        </w:rPr>
      </w:pPr>
      <w:r w:rsidRPr="00D06F7F">
        <w:rPr>
          <w:rFonts w:cstheme="minorHAnsi"/>
          <w:vertAlign w:val="superscript"/>
        </w:rPr>
        <w:footnoteRef/>
      </w:r>
      <w:proofErr w:type="spellStart"/>
      <w:r w:rsidRPr="00D06F7F">
        <w:rPr>
          <w:rFonts w:cstheme="minorHAnsi"/>
        </w:rPr>
        <w:t>Dr.</w:t>
      </w:r>
      <w:proofErr w:type="spellEnd"/>
      <w:r w:rsidRPr="00D06F7F">
        <w:rPr>
          <w:rFonts w:cstheme="minorHAnsi"/>
        </w:rPr>
        <w:t xml:space="preserve"> Krisztina </w:t>
      </w:r>
      <w:proofErr w:type="spellStart"/>
      <w:r w:rsidRPr="00D06F7F">
        <w:rPr>
          <w:rFonts w:cstheme="minorHAnsi"/>
        </w:rPr>
        <w:t>Huszti-Orbán</w:t>
      </w:r>
      <w:proofErr w:type="spellEnd"/>
      <w:r w:rsidRPr="00D06F7F">
        <w:rPr>
          <w:rFonts w:cstheme="minorHAnsi"/>
        </w:rPr>
        <w:t xml:space="preserve"> and Prof. </w:t>
      </w:r>
      <w:proofErr w:type="spellStart"/>
      <w:r w:rsidRPr="00D06F7F">
        <w:rPr>
          <w:rFonts w:cstheme="minorHAnsi"/>
        </w:rPr>
        <w:t>Fionnuala</w:t>
      </w:r>
      <w:proofErr w:type="spellEnd"/>
      <w:r w:rsidRPr="00D06F7F">
        <w:rPr>
          <w:rFonts w:cstheme="minorHAnsi"/>
        </w:rPr>
        <w:t xml:space="preserve"> </w:t>
      </w:r>
      <w:proofErr w:type="spellStart"/>
      <w:r w:rsidRPr="00D06F7F">
        <w:rPr>
          <w:rFonts w:cstheme="minorHAnsi"/>
        </w:rPr>
        <w:t>Ní</w:t>
      </w:r>
      <w:proofErr w:type="spellEnd"/>
      <w:r w:rsidRPr="00D06F7F">
        <w:rPr>
          <w:rFonts w:cstheme="minorHAnsi"/>
        </w:rPr>
        <w:t xml:space="preserve"> </w:t>
      </w:r>
      <w:proofErr w:type="spellStart"/>
      <w:r w:rsidRPr="00D06F7F">
        <w:rPr>
          <w:rFonts w:cstheme="minorHAnsi"/>
        </w:rPr>
        <w:t>Aoláin</w:t>
      </w:r>
      <w:proofErr w:type="spellEnd"/>
      <w:r w:rsidRPr="00D06F7F">
        <w:rPr>
          <w:rFonts w:cstheme="minorHAnsi"/>
        </w:rPr>
        <w:t>, ‘Use of Biometric Data to Identify Terrorists: Best Practice or Risky Business?’ (Regents of the University of Minnesota, 2020) available at: &lt;https://www.ohchr.org/Documents/Issues/Terrorism/biometricsreport.pdf&gt;.</w:t>
      </w:r>
    </w:p>
  </w:footnote>
  <w:footnote w:id="87">
    <w:p w14:paraId="7AAC58E0" w14:textId="77777777" w:rsidR="00345346" w:rsidRPr="00D06F7F" w:rsidRDefault="00345346" w:rsidP="00345346">
      <w:pPr>
        <w:pStyle w:val="FootnoteText"/>
        <w:rPr>
          <w:rFonts w:cstheme="minorHAnsi"/>
          <w:lang w:val="fr-CH"/>
        </w:rPr>
      </w:pPr>
      <w:r w:rsidRPr="00D06F7F">
        <w:rPr>
          <w:rFonts w:cstheme="minorHAnsi"/>
          <w:vertAlign w:val="superscript"/>
        </w:rPr>
        <w:footnoteRef/>
      </w:r>
      <w:r w:rsidRPr="00D06F7F">
        <w:rPr>
          <w:rFonts w:cstheme="minorHAnsi"/>
        </w:rPr>
        <w:t xml:space="preserve">Amnesty International, </w:t>
      </w:r>
      <w:r w:rsidRPr="00D06F7F">
        <w:rPr>
          <w:rFonts w:cstheme="minorHAnsi"/>
          <w:i/>
        </w:rPr>
        <w:t xml:space="preserve">Out of control: Failing EU laws for digital surveillance exports </w:t>
      </w:r>
      <w:r w:rsidRPr="00D06F7F">
        <w:rPr>
          <w:rFonts w:cstheme="minorHAnsi"/>
        </w:rPr>
        <w:t xml:space="preserve">(21 September 2020) available at: &lt;https://www.amnesty.org/en/documents/EUR01/2556/2020/en/&gt;. </w:t>
      </w:r>
      <w:r w:rsidRPr="00D06F7F">
        <w:rPr>
          <w:rFonts w:cstheme="minorHAnsi"/>
          <w:lang w:val="fr-CH"/>
        </w:rPr>
        <w:t>See also, Olivier Tesquet ‘Quand l’europe aide la Chine pour surveiller massivement ses concitoyens (</w:t>
      </w:r>
      <w:r w:rsidRPr="00D06F7F">
        <w:rPr>
          <w:rFonts w:cstheme="minorHAnsi"/>
          <w:i/>
          <w:lang w:val="fr-CH"/>
        </w:rPr>
        <w:t>Telerama</w:t>
      </w:r>
      <w:r w:rsidRPr="00D06F7F">
        <w:rPr>
          <w:rFonts w:cstheme="minorHAnsi"/>
          <w:lang w:val="fr-CH"/>
        </w:rPr>
        <w:t>, 21 September 2020) available at:</w:t>
      </w:r>
    </w:p>
    <w:p w14:paraId="40DA8276" w14:textId="77777777" w:rsidR="00345346" w:rsidRPr="00D06F7F" w:rsidRDefault="00345346" w:rsidP="00345346">
      <w:pPr>
        <w:pStyle w:val="FootnoteText"/>
        <w:rPr>
          <w:rFonts w:cstheme="minorHAnsi"/>
          <w:lang w:val="fr-CH"/>
        </w:rPr>
      </w:pPr>
      <w:r w:rsidRPr="00D06F7F">
        <w:rPr>
          <w:rFonts w:cstheme="minorHAnsi"/>
          <w:lang w:val="fr-CH"/>
        </w:rPr>
        <w:t>&lt;https://www.telerama.fr/idees/quand-leurope-aide-la-chine-pour-surveiller-massivement-ses-concitoyens-6700608.php&gt;.</w:t>
      </w:r>
    </w:p>
  </w:footnote>
  <w:footnote w:id="88">
    <w:p w14:paraId="19CBB0BA" w14:textId="77777777" w:rsidR="00345346" w:rsidRPr="00D06F7F" w:rsidRDefault="00345346" w:rsidP="00345346">
      <w:pPr>
        <w:pStyle w:val="FootnoteText"/>
        <w:rPr>
          <w:rFonts w:cstheme="minorHAnsi"/>
          <w:lang w:val="fr-CH"/>
        </w:rPr>
      </w:pPr>
      <w:r w:rsidRPr="00D06F7F">
        <w:rPr>
          <w:rFonts w:cstheme="minorHAnsi"/>
          <w:vertAlign w:val="superscript"/>
        </w:rPr>
        <w:footnoteRef/>
      </w:r>
      <w:hyperlink r:id="rId7">
        <w:r w:rsidRPr="00D06F7F">
          <w:rPr>
            <w:rFonts w:cstheme="minorHAnsi"/>
            <w:lang w:val="fr-CH"/>
          </w:rPr>
          <w:t>Lasse Skou Andersen</w:t>
        </w:r>
      </w:hyperlink>
      <w:r w:rsidRPr="00D06F7F">
        <w:rPr>
          <w:rFonts w:cstheme="minorHAnsi"/>
          <w:lang w:val="fr-CH"/>
        </w:rPr>
        <w:t xml:space="preserve">, </w:t>
      </w:r>
      <w:hyperlink r:id="rId8">
        <w:r w:rsidRPr="00D06F7F">
          <w:rPr>
            <w:rFonts w:cstheme="minorHAnsi"/>
            <w:lang w:val="fr-CH"/>
          </w:rPr>
          <w:t>Sebastian Gjerding</w:t>
        </w:r>
      </w:hyperlink>
      <w:r w:rsidRPr="00D06F7F">
        <w:rPr>
          <w:rFonts w:cstheme="minorHAnsi"/>
          <w:lang w:val="fr-CH"/>
        </w:rPr>
        <w:t xml:space="preserve"> &amp; </w:t>
      </w:r>
      <w:hyperlink r:id="rId9">
        <w:r w:rsidRPr="00D06F7F">
          <w:rPr>
            <w:rFonts w:cstheme="minorHAnsi"/>
            <w:lang w:val="fr-CH"/>
          </w:rPr>
          <w:t>Maaike Goslinga</w:t>
        </w:r>
      </w:hyperlink>
      <w:r w:rsidRPr="00D06F7F">
        <w:rPr>
          <w:rFonts w:cstheme="minorHAnsi"/>
          <w:lang w:val="fr-CH"/>
        </w:rPr>
        <w:t>, ‘Europe’s exports of spy tech to authoritarian countries revealed’ (</w:t>
      </w:r>
      <w:r w:rsidRPr="00D06F7F">
        <w:rPr>
          <w:rFonts w:cstheme="minorHAnsi"/>
          <w:i/>
          <w:lang w:val="fr-CH"/>
        </w:rPr>
        <w:t xml:space="preserve">Information, </w:t>
      </w:r>
      <w:r w:rsidRPr="00D06F7F">
        <w:rPr>
          <w:rFonts w:cstheme="minorHAnsi"/>
          <w:lang w:val="fr-CH"/>
        </w:rPr>
        <w:t xml:space="preserve">23 February 2017) available at: &lt;https://www.information.dk/udland/2017/02/europes-exports-of-spy-tech-to-authoritarian-countries-revealed&gt;; See also: Ministry of the Armes Forces, </w:t>
      </w:r>
      <w:r w:rsidRPr="00D06F7F">
        <w:rPr>
          <w:rFonts w:cstheme="minorHAnsi"/>
          <w:i/>
          <w:lang w:val="fr-CH"/>
        </w:rPr>
        <w:t>Rapport annuel au Parlement 2020 sur les exportations d'armement de la France</w:t>
      </w:r>
      <w:r w:rsidRPr="00D06F7F">
        <w:rPr>
          <w:rFonts w:cstheme="minorHAnsi"/>
          <w:lang w:val="fr-CH"/>
        </w:rPr>
        <w:t xml:space="preserve"> (2020) page 52, available at: &lt;https://www.defense.gouv.fr/actualites/articles/exportations-d-armement-le-rapport-au-parlement-2020&gt;</w:t>
      </w:r>
    </w:p>
  </w:footnote>
  <w:footnote w:id="89">
    <w:p w14:paraId="36478A77" w14:textId="77777777" w:rsidR="00345346" w:rsidRPr="00D06F7F" w:rsidRDefault="00345346" w:rsidP="00345346">
      <w:pPr>
        <w:pStyle w:val="FootnoteText"/>
        <w:rPr>
          <w:rFonts w:cstheme="minorHAnsi"/>
          <w:lang w:val="fr-CH"/>
        </w:rPr>
      </w:pPr>
      <w:r w:rsidRPr="00D06F7F">
        <w:rPr>
          <w:rFonts w:cstheme="minorHAnsi"/>
          <w:vertAlign w:val="superscript"/>
        </w:rPr>
        <w:footnoteRef/>
      </w:r>
      <w:r w:rsidRPr="00D06F7F">
        <w:rPr>
          <w:rFonts w:cstheme="minorHAnsi"/>
          <w:lang w:val="fr-CH"/>
        </w:rPr>
        <w:t>Assemblée Nationale, ‘Rapport d’information, déposé en application de l’article 145 du Règlement par la Commission des Affaires étrangères, en conclusion des travaux d’une mission d’information constituée le 31 octobre 2018 sur le contrôle des exportations d’armement et présenté par M. Jacques Maire et Mme Michèle Tabarot’ page 114, available at : &lt;https://www.assemblee-nationale.fr/dyn/15/rapports/cion_afetr/l15b3581_rapport-information&gt;.</w:t>
      </w:r>
    </w:p>
  </w:footnote>
  <w:footnote w:id="90">
    <w:p w14:paraId="7197C83A"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 Ibid.</w:t>
      </w:r>
    </w:p>
  </w:footnote>
  <w:footnote w:id="91">
    <w:p w14:paraId="66E94078"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European Commission Press Release ‘Commission welcomes agreement on the modernisation of EU export controls’ (</w:t>
      </w:r>
      <w:r w:rsidRPr="00D06F7F">
        <w:rPr>
          <w:rFonts w:cstheme="minorHAnsi"/>
          <w:i/>
        </w:rPr>
        <w:t xml:space="preserve">Brussels, </w:t>
      </w:r>
      <w:r w:rsidRPr="00D06F7F">
        <w:rPr>
          <w:rFonts w:cstheme="minorHAnsi"/>
        </w:rPr>
        <w:t>09 November 2020) available at: &lt;https://ec.europa.eu/commission/presscorner/detail/en/IP_20_2045&gt;.</w:t>
      </w:r>
    </w:p>
  </w:footnote>
  <w:footnote w:id="92">
    <w:p w14:paraId="1D5B2EE9"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 xml:space="preserve">Human Rights Watch &amp; others,  </w:t>
      </w:r>
      <w:r w:rsidRPr="00D06F7F">
        <w:rPr>
          <w:rFonts w:cstheme="minorHAnsi"/>
          <w:i/>
        </w:rPr>
        <w:t>Human Rights Organisations’ Response to the Adoption of the New EU Dual Use Export Control Rules</w:t>
      </w:r>
      <w:r w:rsidRPr="00D06F7F">
        <w:rPr>
          <w:rFonts w:cstheme="minorHAnsi"/>
        </w:rPr>
        <w:t xml:space="preserve"> (March 2021) available at: &lt;https://www.hrw.org/sites/default/files/media_2021/03/Reforms%20to%20EU%20Surveillance%20Tech%20Export%20Rules_Joint%20NGO%20Statement_20210324_0.pdf&gt;.</w:t>
      </w:r>
    </w:p>
  </w:footnote>
  <w:footnote w:id="93">
    <w:p w14:paraId="4E236906"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European Commission Press Release ‘Commission welcomes agreement on the modernisation of EU export controls’ (</w:t>
      </w:r>
      <w:r w:rsidRPr="00D06F7F">
        <w:rPr>
          <w:rFonts w:cstheme="minorHAnsi"/>
          <w:i/>
        </w:rPr>
        <w:t xml:space="preserve">Brussels, </w:t>
      </w:r>
      <w:r w:rsidRPr="00D06F7F">
        <w:rPr>
          <w:rFonts w:cstheme="minorHAnsi"/>
        </w:rPr>
        <w:t>09 November 2020), available at: &lt;https://trade.ec.europa.eu/doclib/press/index.cfm?id=2209&gt;.</w:t>
      </w:r>
    </w:p>
  </w:footnote>
  <w:footnote w:id="94">
    <w:p w14:paraId="3F80F6DA"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UNHRC ‘Concluding observations on the sixth periodic report of Italy’ (1 May 2017) UN doc CCPR/C/ITA/CO/6 (CCPR 2017 ), para. 36. The Committee is concerned about reports that intelligence agencies are intercepting personal communications and employing hacking techniques without explicit statutory authorization or clearly defined safeguards from abuse. It is also concerned that the anti-terrorism decree and Law No. 21/2016 compel telecommunications service providers to retain data beyond the period allowed by article 132 of the personal data protection code, and that the authorities can access such data without authorization from a judicial authority. It is further concerned about allegations that companies based in the State party have been providing online surveillance equipment to Governments with a record of serious human rights violations and about the absence of legal safeguards or oversight mechanisms regarding the export of such equipment (art. 17).</w:t>
      </w:r>
    </w:p>
  </w:footnote>
  <w:footnote w:id="95">
    <w:p w14:paraId="518AE3B5" w14:textId="77777777" w:rsidR="00345346" w:rsidRPr="00D06F7F" w:rsidRDefault="00345346" w:rsidP="00345346">
      <w:pPr>
        <w:pStyle w:val="FootnoteText"/>
        <w:rPr>
          <w:rFonts w:cstheme="minorHAnsi"/>
        </w:rPr>
      </w:pPr>
      <w:r w:rsidRPr="00D06F7F">
        <w:rPr>
          <w:rFonts w:cstheme="minorHAnsi"/>
          <w:vertAlign w:val="superscript"/>
        </w:rPr>
        <w:footnoteRef/>
      </w:r>
      <w:r w:rsidRPr="00D06F7F">
        <w:rPr>
          <w:rFonts w:cstheme="minorHAnsi"/>
        </w:rPr>
        <w:t>UNHRC Forty-first session 24 June−12 July 2019‘Report of the Special Rapporteur on the promotion and protection of the right to freedom of opinion and expression: Surveillance and human rights’ (28 May 2019) UN Doc A/HRC/41/35, para. 34</w:t>
      </w:r>
    </w:p>
  </w:footnote>
  <w:footnote w:id="96">
    <w:p w14:paraId="584E80C7" w14:textId="77777777" w:rsidR="00345346" w:rsidRPr="00D06F7F" w:rsidRDefault="00345346" w:rsidP="00345346">
      <w:pPr>
        <w:pStyle w:val="FootnoteText"/>
        <w:rPr>
          <w:rFonts w:cstheme="minorHAnsi"/>
        </w:rPr>
      </w:pPr>
      <w:r w:rsidRPr="00D06F7F">
        <w:rPr>
          <w:rFonts w:cstheme="minorHAnsi"/>
        </w:rPr>
        <w:footnoteRef/>
      </w:r>
      <w:r w:rsidRPr="00D06F7F">
        <w:rPr>
          <w:rFonts w:cstheme="minorHAnsi"/>
        </w:rPr>
        <w:t>UNHRC Forty-first session 24 June−12 July 2019‘Report of the Special Rapporteur on the promotion and protection of the right to freedom of opinion and expression: Surveillance and human rights’ (28 May 2019) UN Doc A/HRC/41/35,  paras. 48, 49 and 66 (a).</w:t>
      </w:r>
    </w:p>
  </w:footnote>
  <w:footnote w:id="97">
    <w:p w14:paraId="56AF2CF5" w14:textId="77777777" w:rsidR="00345346" w:rsidRPr="00D06F7F" w:rsidRDefault="00345346" w:rsidP="00345346">
      <w:pPr>
        <w:rPr>
          <w:rFonts w:eastAsia="Times New Roman" w:cstheme="minorHAnsi"/>
          <w:sz w:val="20"/>
          <w:szCs w:val="20"/>
          <w:lang w:val="en-US"/>
        </w:rPr>
      </w:pPr>
      <w:r w:rsidRPr="00D06F7F">
        <w:rPr>
          <w:rStyle w:val="FootnoteReference"/>
          <w:rFonts w:cstheme="minorHAnsi"/>
          <w:sz w:val="20"/>
          <w:szCs w:val="20"/>
        </w:rPr>
        <w:footnoteRef/>
      </w:r>
      <w:r w:rsidRPr="00D06F7F">
        <w:rPr>
          <w:rFonts w:cstheme="minorHAnsi"/>
          <w:sz w:val="20"/>
          <w:szCs w:val="20"/>
        </w:rPr>
        <w:t xml:space="preserve"> </w:t>
      </w:r>
      <w:r w:rsidRPr="00D06F7F">
        <w:rPr>
          <w:rFonts w:eastAsia="Times New Roman" w:cstheme="minorHAnsi"/>
          <w:color w:val="000000"/>
          <w:sz w:val="20"/>
          <w:szCs w:val="20"/>
          <w:shd w:val="clear" w:color="auto" w:fill="FFFFFF"/>
          <w:lang w:val="en-US"/>
        </w:rPr>
        <w:t>Ministry of Foreign Affairs and International Development, ‘France’s second national action plan - Implementation of United Nations Security Council “Women, peace and security” resolutions 2015-2018’, pillar 2 (2), 8.</w:t>
      </w:r>
    </w:p>
  </w:footnote>
  <w:footnote w:id="98">
    <w:p w14:paraId="195C849A" w14:textId="77777777" w:rsidR="00345346" w:rsidRPr="00D06F7F" w:rsidRDefault="00345346" w:rsidP="00345346">
      <w:pPr>
        <w:pStyle w:val="FootnoteText"/>
        <w:rPr>
          <w:rFonts w:cstheme="minorHAnsi"/>
        </w:rPr>
      </w:pPr>
      <w:r w:rsidRPr="00D06F7F">
        <w:rPr>
          <w:rStyle w:val="FootnoteReference"/>
          <w:rFonts w:cstheme="minorHAnsi"/>
        </w:rPr>
        <w:footnoteRef/>
      </w:r>
      <w:r w:rsidRPr="00D06F7F">
        <w:rPr>
          <w:rFonts w:cstheme="minorHAnsi"/>
        </w:rPr>
        <w:t xml:space="preserve"> Ibid.</w:t>
      </w:r>
    </w:p>
  </w:footnote>
  <w:footnote w:id="99">
    <w:p w14:paraId="0D57DA5F" w14:textId="77777777" w:rsidR="00345346" w:rsidRPr="00D06F7F" w:rsidRDefault="00345346" w:rsidP="00345346">
      <w:pPr>
        <w:rPr>
          <w:rFonts w:eastAsia="Times New Roman" w:cstheme="minorHAnsi"/>
          <w:sz w:val="20"/>
          <w:szCs w:val="20"/>
          <w:lang w:val="en-US"/>
        </w:rPr>
      </w:pPr>
      <w:r w:rsidRPr="00D06F7F">
        <w:rPr>
          <w:rStyle w:val="FootnoteReference"/>
          <w:rFonts w:cstheme="minorHAnsi"/>
          <w:sz w:val="20"/>
          <w:szCs w:val="20"/>
        </w:rPr>
        <w:footnoteRef/>
      </w:r>
      <w:r w:rsidRPr="00D06F7F">
        <w:rPr>
          <w:rFonts w:cstheme="minorHAnsi"/>
          <w:sz w:val="20"/>
          <w:szCs w:val="20"/>
        </w:rPr>
        <w:t xml:space="preserve"> </w:t>
      </w:r>
      <w:r w:rsidRPr="00D06F7F">
        <w:rPr>
          <w:rFonts w:eastAsia="Times New Roman" w:cstheme="minorHAnsi"/>
          <w:color w:val="000000"/>
          <w:sz w:val="20"/>
          <w:szCs w:val="20"/>
          <w:shd w:val="clear" w:color="auto" w:fill="FFFFFF"/>
          <w:lang w:val="en-US"/>
        </w:rPr>
        <w:t>Ministry of Foreign Affairs and International Development, ‘France’s second national action plan - Implementation of United Nations Security Council “Women, peace and security” resolutions 2015-2018’, pillar 2 (3), 8.</w:t>
      </w:r>
    </w:p>
  </w:footnote>
  <w:footnote w:id="100">
    <w:p w14:paraId="7E611A7E" w14:textId="77777777" w:rsidR="00345346" w:rsidRPr="00D06F7F" w:rsidRDefault="00345346" w:rsidP="00345346">
      <w:pPr>
        <w:rPr>
          <w:rFonts w:eastAsia="Times New Roman" w:cstheme="minorHAnsi"/>
          <w:sz w:val="20"/>
          <w:szCs w:val="20"/>
          <w:lang w:val="en-US"/>
        </w:rPr>
      </w:pPr>
      <w:r w:rsidRPr="00D06F7F">
        <w:rPr>
          <w:rStyle w:val="FootnoteReference"/>
          <w:rFonts w:cstheme="minorHAnsi"/>
          <w:sz w:val="20"/>
          <w:szCs w:val="20"/>
        </w:rPr>
        <w:footnoteRef/>
      </w:r>
      <w:r w:rsidRPr="00D06F7F">
        <w:rPr>
          <w:rFonts w:cstheme="minorHAnsi"/>
          <w:sz w:val="20"/>
          <w:szCs w:val="20"/>
        </w:rPr>
        <w:t xml:space="preserve"> </w:t>
      </w:r>
      <w:r w:rsidRPr="00D06F7F">
        <w:rPr>
          <w:rFonts w:eastAsia="Times New Roman" w:cstheme="minorHAnsi"/>
          <w:color w:val="000000"/>
          <w:sz w:val="20"/>
          <w:szCs w:val="20"/>
          <w:vertAlign w:val="superscript"/>
          <w:lang w:val="en-US"/>
        </w:rPr>
        <w:t> </w:t>
      </w:r>
      <w:r w:rsidRPr="00D06F7F">
        <w:rPr>
          <w:rFonts w:eastAsia="Times New Roman" w:cstheme="minorHAnsi"/>
          <w:color w:val="000000"/>
          <w:sz w:val="20"/>
          <w:szCs w:val="20"/>
          <w:lang w:val="en-US"/>
        </w:rPr>
        <w:t xml:space="preserve">JO </w:t>
      </w:r>
      <w:proofErr w:type="spellStart"/>
      <w:r w:rsidRPr="00D06F7F">
        <w:rPr>
          <w:rFonts w:eastAsia="Times New Roman" w:cstheme="minorHAnsi"/>
          <w:color w:val="000000"/>
          <w:sz w:val="20"/>
          <w:szCs w:val="20"/>
          <w:lang w:val="en-US"/>
        </w:rPr>
        <w:t>Sénat</w:t>
      </w:r>
      <w:proofErr w:type="spellEnd"/>
      <w:r w:rsidRPr="00D06F7F">
        <w:rPr>
          <w:rFonts w:eastAsia="Times New Roman" w:cstheme="minorHAnsi"/>
          <w:color w:val="000000"/>
          <w:sz w:val="20"/>
          <w:szCs w:val="20"/>
          <w:lang w:val="en-US"/>
        </w:rPr>
        <w:t xml:space="preserve"> (27 Jun. 2019) 3316.</w:t>
      </w:r>
    </w:p>
  </w:footnote>
  <w:footnote w:id="101">
    <w:p w14:paraId="6E424583" w14:textId="77777777" w:rsidR="00345346" w:rsidRPr="00D06F7F" w:rsidRDefault="00345346" w:rsidP="00345346">
      <w:pPr>
        <w:rPr>
          <w:rFonts w:eastAsia="Times New Roman" w:cstheme="minorHAnsi"/>
          <w:sz w:val="20"/>
          <w:szCs w:val="20"/>
          <w:lang w:val="en-US"/>
        </w:rPr>
      </w:pPr>
      <w:r w:rsidRPr="00D06F7F">
        <w:rPr>
          <w:rStyle w:val="FootnoteReference"/>
          <w:rFonts w:cstheme="minorHAnsi"/>
          <w:sz w:val="20"/>
          <w:szCs w:val="20"/>
        </w:rPr>
        <w:footnoteRef/>
      </w:r>
      <w:r w:rsidRPr="00D06F7F">
        <w:rPr>
          <w:rFonts w:cstheme="minorHAnsi"/>
          <w:sz w:val="20"/>
          <w:szCs w:val="20"/>
        </w:rPr>
        <w:t xml:space="preserve"> </w:t>
      </w:r>
      <w:r w:rsidRPr="00D06F7F">
        <w:rPr>
          <w:rFonts w:eastAsia="Times New Roman" w:cstheme="minorHAnsi"/>
          <w:color w:val="000000"/>
          <w:sz w:val="20"/>
          <w:szCs w:val="20"/>
          <w:lang w:val="en-US"/>
        </w:rPr>
        <w:t xml:space="preserve">JO </w:t>
      </w:r>
      <w:proofErr w:type="spellStart"/>
      <w:r w:rsidRPr="00D06F7F">
        <w:rPr>
          <w:rFonts w:eastAsia="Times New Roman" w:cstheme="minorHAnsi"/>
          <w:color w:val="000000"/>
          <w:sz w:val="20"/>
          <w:szCs w:val="20"/>
          <w:lang w:val="en-US"/>
        </w:rPr>
        <w:t>Sénat</w:t>
      </w:r>
      <w:proofErr w:type="spellEnd"/>
      <w:r w:rsidRPr="00D06F7F">
        <w:rPr>
          <w:rFonts w:eastAsia="Times New Roman" w:cstheme="minorHAnsi"/>
          <w:color w:val="000000"/>
          <w:sz w:val="20"/>
          <w:szCs w:val="20"/>
          <w:lang w:val="en-US"/>
        </w:rPr>
        <w:t>, (24 Oct. 2019) 5405.</w:t>
      </w:r>
    </w:p>
    <w:p w14:paraId="7F71A899" w14:textId="77777777" w:rsidR="00345346" w:rsidRPr="00D06F7F" w:rsidRDefault="00345346" w:rsidP="00345346">
      <w:pPr>
        <w:pStyle w:val="FootnoteText"/>
        <w:rPr>
          <w:rFonts w:cstheme="minorHAnsi"/>
          <w:lang w:val="fr-CH"/>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8488F"/>
    <w:multiLevelType w:val="hybridMultilevel"/>
    <w:tmpl w:val="215E95B6"/>
    <w:lvl w:ilvl="0" w:tplc="F26E2C4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F3907"/>
    <w:multiLevelType w:val="multilevel"/>
    <w:tmpl w:val="0BD8D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462B98"/>
    <w:multiLevelType w:val="hybridMultilevel"/>
    <w:tmpl w:val="64BE4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13BA7"/>
    <w:multiLevelType w:val="multilevel"/>
    <w:tmpl w:val="90F0CDAC"/>
    <w:lvl w:ilvl="0">
      <w:start w:val="7"/>
      <w:numFmt w:val="decimal"/>
      <w:lvlText w:val="%1."/>
      <w:lvlJc w:val="left"/>
      <w:pPr>
        <w:ind w:left="360" w:hanging="360"/>
      </w:pPr>
      <w:rPr>
        <w:rFonts w:ascii="Times New Roman" w:hAnsi="Times New Roman"/>
        <w:sz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 w15:restartNumberingAfterBreak="0">
    <w:nsid w:val="61BA7089"/>
    <w:multiLevelType w:val="multilevel"/>
    <w:tmpl w:val="244861E8"/>
    <w:lvl w:ilvl="0">
      <w:start w:val="1"/>
      <w:numFmt w:val="decimal"/>
      <w:lvlText w:val="%1."/>
      <w:lvlJc w:val="left"/>
      <w:pPr>
        <w:ind w:left="360" w:hanging="360"/>
      </w:pPr>
      <w:rPr>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67D358D0"/>
    <w:multiLevelType w:val="hybridMultilevel"/>
    <w:tmpl w:val="BA864C82"/>
    <w:lvl w:ilvl="0" w:tplc="04090001">
      <w:start w:val="1"/>
      <w:numFmt w:val="bullet"/>
      <w:lvlText w:val=""/>
      <w:lvlJc w:val="left"/>
      <w:pPr>
        <w:ind w:left="112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6" w15:restartNumberingAfterBreak="0">
    <w:nsid w:val="6A4641E4"/>
    <w:multiLevelType w:val="multilevel"/>
    <w:tmpl w:val="22A2E6D0"/>
    <w:lvl w:ilvl="0">
      <w:start w:val="1"/>
      <w:numFmt w:val="bullet"/>
      <w:lvlText w:val="o"/>
      <w:lvlJc w:val="left"/>
      <w:pPr>
        <w:ind w:left="1800" w:hanging="360"/>
      </w:pPr>
      <w:rPr>
        <w:rFonts w:ascii="Courier New" w:eastAsia="Courier New" w:hAnsi="Courier New" w:cs="Courier New"/>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7" w15:restartNumberingAfterBreak="0">
    <w:nsid w:val="6FD920E9"/>
    <w:multiLevelType w:val="multilevel"/>
    <w:tmpl w:val="7B6A0B1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8" w15:restartNumberingAfterBreak="0">
    <w:nsid w:val="72F856FE"/>
    <w:multiLevelType w:val="multilevel"/>
    <w:tmpl w:val="3326CA24"/>
    <w:lvl w:ilvl="0">
      <w:start w:val="1"/>
      <w:numFmt w:val="bullet"/>
      <w:lvlText w:val="○"/>
      <w:lvlJc w:val="left"/>
      <w:pPr>
        <w:ind w:left="1860" w:hanging="360"/>
      </w:pPr>
      <w:rPr>
        <w:rFonts w:ascii="Courier New" w:eastAsia="Courier New" w:hAnsi="Courier New" w:cs="Courier New"/>
        <w:vertAlign w:val="baseline"/>
      </w:rPr>
    </w:lvl>
    <w:lvl w:ilvl="1">
      <w:start w:val="1"/>
      <w:numFmt w:val="bullet"/>
      <w:lvlText w:val="o"/>
      <w:lvlJc w:val="left"/>
      <w:pPr>
        <w:ind w:left="2580" w:hanging="360"/>
      </w:pPr>
      <w:rPr>
        <w:rFonts w:ascii="Courier New" w:eastAsia="Courier New" w:hAnsi="Courier New" w:cs="Courier New"/>
        <w:vertAlign w:val="baseline"/>
      </w:rPr>
    </w:lvl>
    <w:lvl w:ilvl="2">
      <w:start w:val="1"/>
      <w:numFmt w:val="bullet"/>
      <w:lvlText w:val="▪"/>
      <w:lvlJc w:val="left"/>
      <w:pPr>
        <w:ind w:left="3300" w:hanging="360"/>
      </w:pPr>
      <w:rPr>
        <w:rFonts w:ascii="Noto Sans Symbols" w:eastAsia="Noto Sans Symbols" w:hAnsi="Noto Sans Symbols" w:cs="Noto Sans Symbols"/>
        <w:vertAlign w:val="baseline"/>
      </w:rPr>
    </w:lvl>
    <w:lvl w:ilvl="3">
      <w:start w:val="1"/>
      <w:numFmt w:val="bullet"/>
      <w:lvlText w:val="●"/>
      <w:lvlJc w:val="left"/>
      <w:pPr>
        <w:ind w:left="4020" w:hanging="360"/>
      </w:pPr>
      <w:rPr>
        <w:rFonts w:ascii="Noto Sans Symbols" w:eastAsia="Noto Sans Symbols" w:hAnsi="Noto Sans Symbols" w:cs="Noto Sans Symbols"/>
        <w:vertAlign w:val="baseline"/>
      </w:rPr>
    </w:lvl>
    <w:lvl w:ilvl="4">
      <w:start w:val="1"/>
      <w:numFmt w:val="bullet"/>
      <w:lvlText w:val="o"/>
      <w:lvlJc w:val="left"/>
      <w:pPr>
        <w:ind w:left="4740" w:hanging="360"/>
      </w:pPr>
      <w:rPr>
        <w:rFonts w:ascii="Courier New" w:eastAsia="Courier New" w:hAnsi="Courier New" w:cs="Courier New"/>
        <w:vertAlign w:val="baseline"/>
      </w:rPr>
    </w:lvl>
    <w:lvl w:ilvl="5">
      <w:start w:val="1"/>
      <w:numFmt w:val="bullet"/>
      <w:lvlText w:val="▪"/>
      <w:lvlJc w:val="left"/>
      <w:pPr>
        <w:ind w:left="5460" w:hanging="360"/>
      </w:pPr>
      <w:rPr>
        <w:rFonts w:ascii="Noto Sans Symbols" w:eastAsia="Noto Sans Symbols" w:hAnsi="Noto Sans Symbols" w:cs="Noto Sans Symbols"/>
        <w:vertAlign w:val="baseline"/>
      </w:rPr>
    </w:lvl>
    <w:lvl w:ilvl="6">
      <w:start w:val="1"/>
      <w:numFmt w:val="bullet"/>
      <w:lvlText w:val="●"/>
      <w:lvlJc w:val="left"/>
      <w:pPr>
        <w:ind w:left="6180" w:hanging="360"/>
      </w:pPr>
      <w:rPr>
        <w:rFonts w:ascii="Noto Sans Symbols" w:eastAsia="Noto Sans Symbols" w:hAnsi="Noto Sans Symbols" w:cs="Noto Sans Symbols"/>
        <w:vertAlign w:val="baseline"/>
      </w:rPr>
    </w:lvl>
    <w:lvl w:ilvl="7">
      <w:start w:val="1"/>
      <w:numFmt w:val="bullet"/>
      <w:lvlText w:val="o"/>
      <w:lvlJc w:val="left"/>
      <w:pPr>
        <w:ind w:left="6900" w:hanging="360"/>
      </w:pPr>
      <w:rPr>
        <w:rFonts w:ascii="Courier New" w:eastAsia="Courier New" w:hAnsi="Courier New" w:cs="Courier New"/>
        <w:vertAlign w:val="baseline"/>
      </w:rPr>
    </w:lvl>
    <w:lvl w:ilvl="8">
      <w:start w:val="1"/>
      <w:numFmt w:val="bullet"/>
      <w:lvlText w:val="▪"/>
      <w:lvlJc w:val="left"/>
      <w:pPr>
        <w:ind w:left="7620" w:hanging="360"/>
      </w:pPr>
      <w:rPr>
        <w:rFonts w:ascii="Noto Sans Symbols" w:eastAsia="Noto Sans Symbols" w:hAnsi="Noto Sans Symbols" w:cs="Noto Sans Symbols"/>
        <w:vertAlign w:val="baseline"/>
      </w:rPr>
    </w:lvl>
  </w:abstractNum>
  <w:num w:numId="1">
    <w:abstractNumId w:val="4"/>
  </w:num>
  <w:num w:numId="2">
    <w:abstractNumId w:val="2"/>
  </w:num>
  <w:num w:numId="3">
    <w:abstractNumId w:val="5"/>
  </w:num>
  <w:num w:numId="4">
    <w:abstractNumId w:val="3"/>
  </w:num>
  <w:num w:numId="5">
    <w:abstractNumId w:val="7"/>
  </w:num>
  <w:num w:numId="6">
    <w:abstractNumId w:val="8"/>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4141"/>
    <w:rsid w:val="00034D3A"/>
    <w:rsid w:val="000634D8"/>
    <w:rsid w:val="000654DE"/>
    <w:rsid w:val="000B3D82"/>
    <w:rsid w:val="00110AD7"/>
    <w:rsid w:val="001205D5"/>
    <w:rsid w:val="001641D4"/>
    <w:rsid w:val="00171D2F"/>
    <w:rsid w:val="00182CC4"/>
    <w:rsid w:val="001B7DCC"/>
    <w:rsid w:val="001E2CB5"/>
    <w:rsid w:val="002047AD"/>
    <w:rsid w:val="002144CD"/>
    <w:rsid w:val="0023445B"/>
    <w:rsid w:val="002462AF"/>
    <w:rsid w:val="00287B55"/>
    <w:rsid w:val="00292D68"/>
    <w:rsid w:val="002958CA"/>
    <w:rsid w:val="00295BB9"/>
    <w:rsid w:val="002963AB"/>
    <w:rsid w:val="002A524D"/>
    <w:rsid w:val="002D034F"/>
    <w:rsid w:val="002D596D"/>
    <w:rsid w:val="00301948"/>
    <w:rsid w:val="00333233"/>
    <w:rsid w:val="00343261"/>
    <w:rsid w:val="00345346"/>
    <w:rsid w:val="00346928"/>
    <w:rsid w:val="00350474"/>
    <w:rsid w:val="00354C97"/>
    <w:rsid w:val="00363B99"/>
    <w:rsid w:val="00377F34"/>
    <w:rsid w:val="003A4182"/>
    <w:rsid w:val="003F5C5B"/>
    <w:rsid w:val="00437DB9"/>
    <w:rsid w:val="00452D2B"/>
    <w:rsid w:val="00467D2C"/>
    <w:rsid w:val="00487BB3"/>
    <w:rsid w:val="004A62C1"/>
    <w:rsid w:val="004F5455"/>
    <w:rsid w:val="00526038"/>
    <w:rsid w:val="005559E3"/>
    <w:rsid w:val="0056222B"/>
    <w:rsid w:val="00593A7A"/>
    <w:rsid w:val="005A3138"/>
    <w:rsid w:val="005A68E9"/>
    <w:rsid w:val="005B20BA"/>
    <w:rsid w:val="005C1F86"/>
    <w:rsid w:val="005C2790"/>
    <w:rsid w:val="005E12D4"/>
    <w:rsid w:val="00636D40"/>
    <w:rsid w:val="0066293C"/>
    <w:rsid w:val="00691E50"/>
    <w:rsid w:val="00694898"/>
    <w:rsid w:val="006A4389"/>
    <w:rsid w:val="006F6294"/>
    <w:rsid w:val="00700C5A"/>
    <w:rsid w:val="00716F49"/>
    <w:rsid w:val="0075647F"/>
    <w:rsid w:val="00757D7F"/>
    <w:rsid w:val="00803413"/>
    <w:rsid w:val="008164B3"/>
    <w:rsid w:val="0082632D"/>
    <w:rsid w:val="00871CE8"/>
    <w:rsid w:val="008A6AB7"/>
    <w:rsid w:val="008C5EED"/>
    <w:rsid w:val="008F76DC"/>
    <w:rsid w:val="00990EA7"/>
    <w:rsid w:val="00996A2A"/>
    <w:rsid w:val="009C0484"/>
    <w:rsid w:val="009E3D97"/>
    <w:rsid w:val="00A13571"/>
    <w:rsid w:val="00A3358B"/>
    <w:rsid w:val="00A47C18"/>
    <w:rsid w:val="00A85142"/>
    <w:rsid w:val="00AA2DDC"/>
    <w:rsid w:val="00AD0CE9"/>
    <w:rsid w:val="00AE5641"/>
    <w:rsid w:val="00AF51BE"/>
    <w:rsid w:val="00B244BE"/>
    <w:rsid w:val="00B6669D"/>
    <w:rsid w:val="00BB2DBF"/>
    <w:rsid w:val="00C12469"/>
    <w:rsid w:val="00C53CD5"/>
    <w:rsid w:val="00C61F7E"/>
    <w:rsid w:val="00C64141"/>
    <w:rsid w:val="00C74393"/>
    <w:rsid w:val="00CC552C"/>
    <w:rsid w:val="00CD6B05"/>
    <w:rsid w:val="00D06F7F"/>
    <w:rsid w:val="00D7444F"/>
    <w:rsid w:val="00DA1107"/>
    <w:rsid w:val="00DA44D5"/>
    <w:rsid w:val="00DA5662"/>
    <w:rsid w:val="00DB0EC5"/>
    <w:rsid w:val="00DD4110"/>
    <w:rsid w:val="00DE7FAE"/>
    <w:rsid w:val="00E00B5C"/>
    <w:rsid w:val="00E15B22"/>
    <w:rsid w:val="00E42522"/>
    <w:rsid w:val="00E71AC0"/>
    <w:rsid w:val="00E737B0"/>
    <w:rsid w:val="00E81B11"/>
    <w:rsid w:val="00EB76F4"/>
    <w:rsid w:val="00F011A8"/>
    <w:rsid w:val="00F942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515AB9"/>
  <w14:defaultImageDpi w14:val="32767"/>
  <w15:docId w15:val="{B77F7B9C-4548-4D8F-820A-3302AB43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75647F"/>
    <w:pPr>
      <w:bidi/>
      <w:spacing w:before="120"/>
      <w:ind w:left="240"/>
      <w:jc w:val="right"/>
    </w:pPr>
    <w:rPr>
      <w:rFonts w:eastAsia="Calibri" w:cstheme="minorHAnsi"/>
      <w:b/>
      <w:bCs/>
      <w:sz w:val="22"/>
      <w:szCs w:val="26"/>
      <w:lang w:val="en-US" w:eastAsia="en-GB"/>
    </w:rPr>
  </w:style>
  <w:style w:type="paragraph" w:styleId="TOC1">
    <w:name w:val="toc 1"/>
    <w:basedOn w:val="Normal"/>
    <w:next w:val="Normal"/>
    <w:autoRedefine/>
    <w:uiPriority w:val="39"/>
    <w:unhideWhenUsed/>
    <w:rsid w:val="0075647F"/>
    <w:pPr>
      <w:bidi/>
      <w:spacing w:before="120"/>
      <w:jc w:val="right"/>
    </w:pPr>
    <w:rPr>
      <w:rFonts w:eastAsia="Calibri" w:cstheme="minorHAnsi"/>
      <w:b/>
      <w:bCs/>
      <w:i/>
      <w:iCs/>
      <w:szCs w:val="28"/>
      <w:lang w:val="en-US" w:eastAsia="en-GB"/>
    </w:rPr>
  </w:style>
  <w:style w:type="character" w:styleId="Hyperlink">
    <w:name w:val="Hyperlink"/>
    <w:basedOn w:val="DefaultParagraphFont"/>
    <w:uiPriority w:val="99"/>
    <w:unhideWhenUsed/>
    <w:rsid w:val="00A85142"/>
    <w:rPr>
      <w:color w:val="0563C1" w:themeColor="hyperlink"/>
      <w:u w:val="single"/>
    </w:rPr>
  </w:style>
  <w:style w:type="paragraph" w:styleId="FootnoteText">
    <w:name w:val="footnote text"/>
    <w:basedOn w:val="Normal"/>
    <w:link w:val="FootnoteTextChar"/>
    <w:uiPriority w:val="99"/>
    <w:unhideWhenUsed/>
    <w:rsid w:val="00A85142"/>
    <w:rPr>
      <w:sz w:val="20"/>
      <w:szCs w:val="20"/>
    </w:rPr>
  </w:style>
  <w:style w:type="character" w:customStyle="1" w:styleId="FootnoteTextChar">
    <w:name w:val="Footnote Text Char"/>
    <w:basedOn w:val="DefaultParagraphFont"/>
    <w:link w:val="FootnoteText"/>
    <w:uiPriority w:val="99"/>
    <w:rsid w:val="00A85142"/>
    <w:rPr>
      <w:sz w:val="20"/>
      <w:szCs w:val="20"/>
    </w:rPr>
  </w:style>
  <w:style w:type="character" w:styleId="FootnoteReference">
    <w:name w:val="footnote reference"/>
    <w:basedOn w:val="DefaultParagraphFont"/>
    <w:uiPriority w:val="99"/>
    <w:semiHidden/>
    <w:unhideWhenUsed/>
    <w:rsid w:val="00A85142"/>
    <w:rPr>
      <w:vertAlign w:val="superscript"/>
    </w:rPr>
  </w:style>
  <w:style w:type="character" w:styleId="CommentReference">
    <w:name w:val="annotation reference"/>
    <w:basedOn w:val="DefaultParagraphFont"/>
    <w:uiPriority w:val="99"/>
    <w:semiHidden/>
    <w:unhideWhenUsed/>
    <w:rsid w:val="00A85142"/>
    <w:rPr>
      <w:sz w:val="16"/>
      <w:szCs w:val="16"/>
    </w:rPr>
  </w:style>
  <w:style w:type="paragraph" w:styleId="CommentText">
    <w:name w:val="annotation text"/>
    <w:basedOn w:val="Normal"/>
    <w:link w:val="CommentTextChar"/>
    <w:uiPriority w:val="99"/>
    <w:semiHidden/>
    <w:unhideWhenUsed/>
    <w:rsid w:val="00A85142"/>
    <w:rPr>
      <w:sz w:val="20"/>
      <w:szCs w:val="20"/>
    </w:rPr>
  </w:style>
  <w:style w:type="character" w:customStyle="1" w:styleId="CommentTextChar">
    <w:name w:val="Comment Text Char"/>
    <w:basedOn w:val="DefaultParagraphFont"/>
    <w:link w:val="CommentText"/>
    <w:uiPriority w:val="99"/>
    <w:semiHidden/>
    <w:rsid w:val="00A85142"/>
    <w:rPr>
      <w:sz w:val="20"/>
      <w:szCs w:val="20"/>
    </w:rPr>
  </w:style>
  <w:style w:type="paragraph" w:styleId="NormalWeb">
    <w:name w:val="Normal (Web)"/>
    <w:basedOn w:val="Normal"/>
    <w:uiPriority w:val="99"/>
    <w:semiHidden/>
    <w:unhideWhenUsed/>
    <w:rsid w:val="00A85142"/>
    <w:pPr>
      <w:spacing w:before="100" w:beforeAutospacing="1" w:after="100" w:afterAutospacing="1"/>
    </w:pPr>
    <w:rPr>
      <w:rFonts w:ascii="Times New Roman" w:eastAsia="Times New Roman" w:hAnsi="Times New Roman" w:cs="Times New Roman"/>
      <w:lang w:val="en-US"/>
    </w:rPr>
  </w:style>
  <w:style w:type="paragraph" w:styleId="BalloonText">
    <w:name w:val="Balloon Text"/>
    <w:basedOn w:val="Normal"/>
    <w:link w:val="BalloonTextChar"/>
    <w:uiPriority w:val="99"/>
    <w:semiHidden/>
    <w:unhideWhenUsed/>
    <w:rsid w:val="00A8514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5142"/>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E81B11"/>
    <w:rPr>
      <w:b/>
      <w:bCs/>
    </w:rPr>
  </w:style>
  <w:style w:type="character" w:customStyle="1" w:styleId="CommentSubjectChar">
    <w:name w:val="Comment Subject Char"/>
    <w:basedOn w:val="CommentTextChar"/>
    <w:link w:val="CommentSubject"/>
    <w:uiPriority w:val="99"/>
    <w:semiHidden/>
    <w:rsid w:val="00E81B11"/>
    <w:rPr>
      <w:b/>
      <w:bCs/>
      <w:sz w:val="20"/>
      <w:szCs w:val="20"/>
    </w:rPr>
  </w:style>
  <w:style w:type="paragraph" w:customStyle="1" w:styleId="Normal1">
    <w:name w:val="Normal1"/>
    <w:rsid w:val="00E81B11"/>
    <w:pPr>
      <w:spacing w:line="276" w:lineRule="auto"/>
      <w:contextualSpacing/>
    </w:pPr>
    <w:rPr>
      <w:rFonts w:ascii="Arial" w:eastAsia="Arial" w:hAnsi="Arial" w:cs="Arial"/>
      <w:sz w:val="22"/>
      <w:szCs w:val="22"/>
      <w:lang w:val="en"/>
    </w:rPr>
  </w:style>
  <w:style w:type="character" w:customStyle="1" w:styleId="UnresolvedMention1">
    <w:name w:val="Unresolved Mention1"/>
    <w:basedOn w:val="DefaultParagraphFont"/>
    <w:uiPriority w:val="99"/>
    <w:rsid w:val="001641D4"/>
    <w:rPr>
      <w:color w:val="605E5C"/>
      <w:shd w:val="clear" w:color="auto" w:fill="E1DFDD"/>
    </w:rPr>
  </w:style>
  <w:style w:type="paragraph" w:styleId="Header">
    <w:name w:val="header"/>
    <w:basedOn w:val="Normal"/>
    <w:link w:val="HeaderChar"/>
    <w:uiPriority w:val="99"/>
    <w:unhideWhenUsed/>
    <w:rsid w:val="00DD4110"/>
    <w:pPr>
      <w:tabs>
        <w:tab w:val="center" w:pos="4680"/>
        <w:tab w:val="right" w:pos="9360"/>
      </w:tabs>
    </w:pPr>
  </w:style>
  <w:style w:type="character" w:customStyle="1" w:styleId="HeaderChar">
    <w:name w:val="Header Char"/>
    <w:basedOn w:val="DefaultParagraphFont"/>
    <w:link w:val="Header"/>
    <w:uiPriority w:val="99"/>
    <w:rsid w:val="00DD4110"/>
  </w:style>
  <w:style w:type="paragraph" w:styleId="Footer">
    <w:name w:val="footer"/>
    <w:basedOn w:val="Normal"/>
    <w:link w:val="FooterChar"/>
    <w:uiPriority w:val="99"/>
    <w:unhideWhenUsed/>
    <w:rsid w:val="00DD4110"/>
    <w:pPr>
      <w:tabs>
        <w:tab w:val="center" w:pos="4680"/>
        <w:tab w:val="right" w:pos="9360"/>
      </w:tabs>
    </w:pPr>
  </w:style>
  <w:style w:type="character" w:customStyle="1" w:styleId="FooterChar">
    <w:name w:val="Footer Char"/>
    <w:basedOn w:val="DefaultParagraphFont"/>
    <w:link w:val="Footer"/>
    <w:uiPriority w:val="99"/>
    <w:rsid w:val="00DD4110"/>
  </w:style>
  <w:style w:type="paragraph" w:styleId="ListParagraph">
    <w:name w:val="List Paragraph"/>
    <w:basedOn w:val="Normal"/>
    <w:uiPriority w:val="34"/>
    <w:qFormat/>
    <w:rsid w:val="006A4389"/>
    <w:pPr>
      <w:ind w:left="720"/>
      <w:contextualSpacing/>
    </w:pPr>
  </w:style>
  <w:style w:type="paragraph" w:customStyle="1" w:styleId="SingleTxtG">
    <w:name w:val="_ Single Txt_G"/>
    <w:basedOn w:val="Normal"/>
    <w:link w:val="SingleTxtGChar"/>
    <w:qFormat/>
    <w:rsid w:val="00295BB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fr-CH"/>
    </w:rPr>
  </w:style>
  <w:style w:type="character" w:customStyle="1" w:styleId="SingleTxtGChar">
    <w:name w:val="_ Single Txt_G Char"/>
    <w:link w:val="SingleTxtG"/>
    <w:rsid w:val="00295BB9"/>
    <w:rPr>
      <w:rFonts w:ascii="Times New Roman" w:hAnsi="Times New Roman" w:cs="Times New Roman"/>
      <w:sz w:val="20"/>
      <w:szCs w:val="20"/>
      <w:lang w:val="fr-CH"/>
    </w:rPr>
  </w:style>
  <w:style w:type="character" w:styleId="FollowedHyperlink">
    <w:name w:val="FollowedHyperlink"/>
    <w:basedOn w:val="DefaultParagraphFont"/>
    <w:uiPriority w:val="99"/>
    <w:semiHidden/>
    <w:unhideWhenUsed/>
    <w:rsid w:val="005622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53292">
      <w:bodyDiv w:val="1"/>
      <w:marLeft w:val="0"/>
      <w:marRight w:val="0"/>
      <w:marTop w:val="0"/>
      <w:marBottom w:val="0"/>
      <w:divBdr>
        <w:top w:val="none" w:sz="0" w:space="0" w:color="auto"/>
        <w:left w:val="none" w:sz="0" w:space="0" w:color="auto"/>
        <w:bottom w:val="none" w:sz="0" w:space="0" w:color="auto"/>
        <w:right w:val="none" w:sz="0" w:space="0" w:color="auto"/>
      </w:divBdr>
    </w:div>
    <w:div w:id="107048164">
      <w:bodyDiv w:val="1"/>
      <w:marLeft w:val="0"/>
      <w:marRight w:val="0"/>
      <w:marTop w:val="0"/>
      <w:marBottom w:val="0"/>
      <w:divBdr>
        <w:top w:val="none" w:sz="0" w:space="0" w:color="auto"/>
        <w:left w:val="none" w:sz="0" w:space="0" w:color="auto"/>
        <w:bottom w:val="none" w:sz="0" w:space="0" w:color="auto"/>
        <w:right w:val="none" w:sz="0" w:space="0" w:color="auto"/>
      </w:divBdr>
      <w:divsChild>
        <w:div w:id="6248751">
          <w:marLeft w:val="0"/>
          <w:marRight w:val="0"/>
          <w:marTop w:val="0"/>
          <w:marBottom w:val="0"/>
          <w:divBdr>
            <w:top w:val="none" w:sz="0" w:space="0" w:color="auto"/>
            <w:left w:val="none" w:sz="0" w:space="0" w:color="auto"/>
            <w:bottom w:val="none" w:sz="0" w:space="0" w:color="auto"/>
            <w:right w:val="none" w:sz="0" w:space="0" w:color="auto"/>
          </w:divBdr>
          <w:divsChild>
            <w:div w:id="266816414">
              <w:marLeft w:val="0"/>
              <w:marRight w:val="0"/>
              <w:marTop w:val="0"/>
              <w:marBottom w:val="0"/>
              <w:divBdr>
                <w:top w:val="none" w:sz="0" w:space="0" w:color="auto"/>
                <w:left w:val="none" w:sz="0" w:space="0" w:color="auto"/>
                <w:bottom w:val="none" w:sz="0" w:space="0" w:color="auto"/>
                <w:right w:val="none" w:sz="0" w:space="0" w:color="auto"/>
              </w:divBdr>
              <w:divsChild>
                <w:div w:id="193667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1294">
      <w:bodyDiv w:val="1"/>
      <w:marLeft w:val="0"/>
      <w:marRight w:val="0"/>
      <w:marTop w:val="0"/>
      <w:marBottom w:val="0"/>
      <w:divBdr>
        <w:top w:val="none" w:sz="0" w:space="0" w:color="auto"/>
        <w:left w:val="none" w:sz="0" w:space="0" w:color="auto"/>
        <w:bottom w:val="none" w:sz="0" w:space="0" w:color="auto"/>
        <w:right w:val="none" w:sz="0" w:space="0" w:color="auto"/>
      </w:divBdr>
    </w:div>
    <w:div w:id="311252898">
      <w:bodyDiv w:val="1"/>
      <w:marLeft w:val="0"/>
      <w:marRight w:val="0"/>
      <w:marTop w:val="0"/>
      <w:marBottom w:val="0"/>
      <w:divBdr>
        <w:top w:val="none" w:sz="0" w:space="0" w:color="auto"/>
        <w:left w:val="none" w:sz="0" w:space="0" w:color="auto"/>
        <w:bottom w:val="none" w:sz="0" w:space="0" w:color="auto"/>
        <w:right w:val="none" w:sz="0" w:space="0" w:color="auto"/>
      </w:divBdr>
    </w:div>
    <w:div w:id="368451852">
      <w:bodyDiv w:val="1"/>
      <w:marLeft w:val="0"/>
      <w:marRight w:val="0"/>
      <w:marTop w:val="0"/>
      <w:marBottom w:val="0"/>
      <w:divBdr>
        <w:top w:val="none" w:sz="0" w:space="0" w:color="auto"/>
        <w:left w:val="none" w:sz="0" w:space="0" w:color="auto"/>
        <w:bottom w:val="none" w:sz="0" w:space="0" w:color="auto"/>
        <w:right w:val="none" w:sz="0" w:space="0" w:color="auto"/>
      </w:divBdr>
      <w:divsChild>
        <w:div w:id="1192887280">
          <w:marLeft w:val="0"/>
          <w:marRight w:val="0"/>
          <w:marTop w:val="0"/>
          <w:marBottom w:val="0"/>
          <w:divBdr>
            <w:top w:val="none" w:sz="0" w:space="0" w:color="auto"/>
            <w:left w:val="none" w:sz="0" w:space="0" w:color="auto"/>
            <w:bottom w:val="none" w:sz="0" w:space="0" w:color="auto"/>
            <w:right w:val="none" w:sz="0" w:space="0" w:color="auto"/>
          </w:divBdr>
          <w:divsChild>
            <w:div w:id="240717573">
              <w:marLeft w:val="0"/>
              <w:marRight w:val="0"/>
              <w:marTop w:val="0"/>
              <w:marBottom w:val="0"/>
              <w:divBdr>
                <w:top w:val="none" w:sz="0" w:space="0" w:color="auto"/>
                <w:left w:val="none" w:sz="0" w:space="0" w:color="auto"/>
                <w:bottom w:val="none" w:sz="0" w:space="0" w:color="auto"/>
                <w:right w:val="none" w:sz="0" w:space="0" w:color="auto"/>
              </w:divBdr>
              <w:divsChild>
                <w:div w:id="16845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62614">
      <w:bodyDiv w:val="1"/>
      <w:marLeft w:val="0"/>
      <w:marRight w:val="0"/>
      <w:marTop w:val="0"/>
      <w:marBottom w:val="0"/>
      <w:divBdr>
        <w:top w:val="none" w:sz="0" w:space="0" w:color="auto"/>
        <w:left w:val="none" w:sz="0" w:space="0" w:color="auto"/>
        <w:bottom w:val="none" w:sz="0" w:space="0" w:color="auto"/>
        <w:right w:val="none" w:sz="0" w:space="0" w:color="auto"/>
      </w:divBdr>
    </w:div>
    <w:div w:id="556933270">
      <w:bodyDiv w:val="1"/>
      <w:marLeft w:val="0"/>
      <w:marRight w:val="0"/>
      <w:marTop w:val="0"/>
      <w:marBottom w:val="0"/>
      <w:divBdr>
        <w:top w:val="none" w:sz="0" w:space="0" w:color="auto"/>
        <w:left w:val="none" w:sz="0" w:space="0" w:color="auto"/>
        <w:bottom w:val="none" w:sz="0" w:space="0" w:color="auto"/>
        <w:right w:val="none" w:sz="0" w:space="0" w:color="auto"/>
      </w:divBdr>
    </w:div>
    <w:div w:id="591399703">
      <w:bodyDiv w:val="1"/>
      <w:marLeft w:val="0"/>
      <w:marRight w:val="0"/>
      <w:marTop w:val="0"/>
      <w:marBottom w:val="0"/>
      <w:divBdr>
        <w:top w:val="none" w:sz="0" w:space="0" w:color="auto"/>
        <w:left w:val="none" w:sz="0" w:space="0" w:color="auto"/>
        <w:bottom w:val="none" w:sz="0" w:space="0" w:color="auto"/>
        <w:right w:val="none" w:sz="0" w:space="0" w:color="auto"/>
      </w:divBdr>
      <w:divsChild>
        <w:div w:id="2105418268">
          <w:marLeft w:val="0"/>
          <w:marRight w:val="0"/>
          <w:marTop w:val="0"/>
          <w:marBottom w:val="0"/>
          <w:divBdr>
            <w:top w:val="none" w:sz="0" w:space="0" w:color="auto"/>
            <w:left w:val="none" w:sz="0" w:space="0" w:color="auto"/>
            <w:bottom w:val="none" w:sz="0" w:space="0" w:color="auto"/>
            <w:right w:val="none" w:sz="0" w:space="0" w:color="auto"/>
          </w:divBdr>
          <w:divsChild>
            <w:div w:id="1963999383">
              <w:marLeft w:val="0"/>
              <w:marRight w:val="0"/>
              <w:marTop w:val="0"/>
              <w:marBottom w:val="0"/>
              <w:divBdr>
                <w:top w:val="none" w:sz="0" w:space="0" w:color="auto"/>
                <w:left w:val="none" w:sz="0" w:space="0" w:color="auto"/>
                <w:bottom w:val="none" w:sz="0" w:space="0" w:color="auto"/>
                <w:right w:val="none" w:sz="0" w:space="0" w:color="auto"/>
              </w:divBdr>
              <w:divsChild>
                <w:div w:id="2772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764807">
      <w:bodyDiv w:val="1"/>
      <w:marLeft w:val="0"/>
      <w:marRight w:val="0"/>
      <w:marTop w:val="0"/>
      <w:marBottom w:val="0"/>
      <w:divBdr>
        <w:top w:val="none" w:sz="0" w:space="0" w:color="auto"/>
        <w:left w:val="none" w:sz="0" w:space="0" w:color="auto"/>
        <w:bottom w:val="none" w:sz="0" w:space="0" w:color="auto"/>
        <w:right w:val="none" w:sz="0" w:space="0" w:color="auto"/>
      </w:divBdr>
    </w:div>
    <w:div w:id="708259719">
      <w:bodyDiv w:val="1"/>
      <w:marLeft w:val="0"/>
      <w:marRight w:val="0"/>
      <w:marTop w:val="0"/>
      <w:marBottom w:val="0"/>
      <w:divBdr>
        <w:top w:val="none" w:sz="0" w:space="0" w:color="auto"/>
        <w:left w:val="none" w:sz="0" w:space="0" w:color="auto"/>
        <w:bottom w:val="none" w:sz="0" w:space="0" w:color="auto"/>
        <w:right w:val="none" w:sz="0" w:space="0" w:color="auto"/>
      </w:divBdr>
      <w:divsChild>
        <w:div w:id="1393850374">
          <w:marLeft w:val="0"/>
          <w:marRight w:val="0"/>
          <w:marTop w:val="0"/>
          <w:marBottom w:val="0"/>
          <w:divBdr>
            <w:top w:val="none" w:sz="0" w:space="0" w:color="auto"/>
            <w:left w:val="none" w:sz="0" w:space="0" w:color="auto"/>
            <w:bottom w:val="none" w:sz="0" w:space="0" w:color="auto"/>
            <w:right w:val="none" w:sz="0" w:space="0" w:color="auto"/>
          </w:divBdr>
          <w:divsChild>
            <w:div w:id="67457062">
              <w:marLeft w:val="0"/>
              <w:marRight w:val="0"/>
              <w:marTop w:val="0"/>
              <w:marBottom w:val="0"/>
              <w:divBdr>
                <w:top w:val="none" w:sz="0" w:space="0" w:color="auto"/>
                <w:left w:val="none" w:sz="0" w:space="0" w:color="auto"/>
                <w:bottom w:val="none" w:sz="0" w:space="0" w:color="auto"/>
                <w:right w:val="none" w:sz="0" w:space="0" w:color="auto"/>
              </w:divBdr>
              <w:divsChild>
                <w:div w:id="14729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71086">
      <w:bodyDiv w:val="1"/>
      <w:marLeft w:val="0"/>
      <w:marRight w:val="0"/>
      <w:marTop w:val="0"/>
      <w:marBottom w:val="0"/>
      <w:divBdr>
        <w:top w:val="none" w:sz="0" w:space="0" w:color="auto"/>
        <w:left w:val="none" w:sz="0" w:space="0" w:color="auto"/>
        <w:bottom w:val="none" w:sz="0" w:space="0" w:color="auto"/>
        <w:right w:val="none" w:sz="0" w:space="0" w:color="auto"/>
      </w:divBdr>
    </w:div>
    <w:div w:id="827477461">
      <w:bodyDiv w:val="1"/>
      <w:marLeft w:val="0"/>
      <w:marRight w:val="0"/>
      <w:marTop w:val="0"/>
      <w:marBottom w:val="0"/>
      <w:divBdr>
        <w:top w:val="none" w:sz="0" w:space="0" w:color="auto"/>
        <w:left w:val="none" w:sz="0" w:space="0" w:color="auto"/>
        <w:bottom w:val="none" w:sz="0" w:space="0" w:color="auto"/>
        <w:right w:val="none" w:sz="0" w:space="0" w:color="auto"/>
      </w:divBdr>
    </w:div>
    <w:div w:id="907106469">
      <w:bodyDiv w:val="1"/>
      <w:marLeft w:val="0"/>
      <w:marRight w:val="0"/>
      <w:marTop w:val="0"/>
      <w:marBottom w:val="0"/>
      <w:divBdr>
        <w:top w:val="none" w:sz="0" w:space="0" w:color="auto"/>
        <w:left w:val="none" w:sz="0" w:space="0" w:color="auto"/>
        <w:bottom w:val="none" w:sz="0" w:space="0" w:color="auto"/>
        <w:right w:val="none" w:sz="0" w:space="0" w:color="auto"/>
      </w:divBdr>
    </w:div>
    <w:div w:id="923533428">
      <w:bodyDiv w:val="1"/>
      <w:marLeft w:val="0"/>
      <w:marRight w:val="0"/>
      <w:marTop w:val="0"/>
      <w:marBottom w:val="0"/>
      <w:divBdr>
        <w:top w:val="none" w:sz="0" w:space="0" w:color="auto"/>
        <w:left w:val="none" w:sz="0" w:space="0" w:color="auto"/>
        <w:bottom w:val="none" w:sz="0" w:space="0" w:color="auto"/>
        <w:right w:val="none" w:sz="0" w:space="0" w:color="auto"/>
      </w:divBdr>
      <w:divsChild>
        <w:div w:id="1131358692">
          <w:marLeft w:val="0"/>
          <w:marRight w:val="0"/>
          <w:marTop w:val="0"/>
          <w:marBottom w:val="0"/>
          <w:divBdr>
            <w:top w:val="none" w:sz="0" w:space="0" w:color="auto"/>
            <w:left w:val="none" w:sz="0" w:space="0" w:color="auto"/>
            <w:bottom w:val="none" w:sz="0" w:space="0" w:color="auto"/>
            <w:right w:val="none" w:sz="0" w:space="0" w:color="auto"/>
          </w:divBdr>
          <w:divsChild>
            <w:div w:id="1289429433">
              <w:marLeft w:val="0"/>
              <w:marRight w:val="0"/>
              <w:marTop w:val="0"/>
              <w:marBottom w:val="0"/>
              <w:divBdr>
                <w:top w:val="none" w:sz="0" w:space="0" w:color="auto"/>
                <w:left w:val="none" w:sz="0" w:space="0" w:color="auto"/>
                <w:bottom w:val="none" w:sz="0" w:space="0" w:color="auto"/>
                <w:right w:val="none" w:sz="0" w:space="0" w:color="auto"/>
              </w:divBdr>
              <w:divsChild>
                <w:div w:id="148531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321946">
      <w:bodyDiv w:val="1"/>
      <w:marLeft w:val="0"/>
      <w:marRight w:val="0"/>
      <w:marTop w:val="0"/>
      <w:marBottom w:val="0"/>
      <w:divBdr>
        <w:top w:val="none" w:sz="0" w:space="0" w:color="auto"/>
        <w:left w:val="none" w:sz="0" w:space="0" w:color="auto"/>
        <w:bottom w:val="none" w:sz="0" w:space="0" w:color="auto"/>
        <w:right w:val="none" w:sz="0" w:space="0" w:color="auto"/>
      </w:divBdr>
    </w:div>
    <w:div w:id="1064253150">
      <w:bodyDiv w:val="1"/>
      <w:marLeft w:val="0"/>
      <w:marRight w:val="0"/>
      <w:marTop w:val="0"/>
      <w:marBottom w:val="0"/>
      <w:divBdr>
        <w:top w:val="none" w:sz="0" w:space="0" w:color="auto"/>
        <w:left w:val="none" w:sz="0" w:space="0" w:color="auto"/>
        <w:bottom w:val="none" w:sz="0" w:space="0" w:color="auto"/>
        <w:right w:val="none" w:sz="0" w:space="0" w:color="auto"/>
      </w:divBdr>
    </w:div>
    <w:div w:id="1103918295">
      <w:bodyDiv w:val="1"/>
      <w:marLeft w:val="0"/>
      <w:marRight w:val="0"/>
      <w:marTop w:val="0"/>
      <w:marBottom w:val="0"/>
      <w:divBdr>
        <w:top w:val="none" w:sz="0" w:space="0" w:color="auto"/>
        <w:left w:val="none" w:sz="0" w:space="0" w:color="auto"/>
        <w:bottom w:val="none" w:sz="0" w:space="0" w:color="auto"/>
        <w:right w:val="none" w:sz="0" w:space="0" w:color="auto"/>
      </w:divBdr>
      <w:divsChild>
        <w:div w:id="2002125422">
          <w:marLeft w:val="0"/>
          <w:marRight w:val="0"/>
          <w:marTop w:val="0"/>
          <w:marBottom w:val="0"/>
          <w:divBdr>
            <w:top w:val="none" w:sz="0" w:space="0" w:color="auto"/>
            <w:left w:val="none" w:sz="0" w:space="0" w:color="auto"/>
            <w:bottom w:val="none" w:sz="0" w:space="0" w:color="auto"/>
            <w:right w:val="none" w:sz="0" w:space="0" w:color="auto"/>
          </w:divBdr>
          <w:divsChild>
            <w:div w:id="2032948617">
              <w:marLeft w:val="0"/>
              <w:marRight w:val="0"/>
              <w:marTop w:val="0"/>
              <w:marBottom w:val="0"/>
              <w:divBdr>
                <w:top w:val="none" w:sz="0" w:space="0" w:color="auto"/>
                <w:left w:val="none" w:sz="0" w:space="0" w:color="auto"/>
                <w:bottom w:val="none" w:sz="0" w:space="0" w:color="auto"/>
                <w:right w:val="none" w:sz="0" w:space="0" w:color="auto"/>
              </w:divBdr>
              <w:divsChild>
                <w:div w:id="188817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962125">
      <w:bodyDiv w:val="1"/>
      <w:marLeft w:val="0"/>
      <w:marRight w:val="0"/>
      <w:marTop w:val="0"/>
      <w:marBottom w:val="0"/>
      <w:divBdr>
        <w:top w:val="none" w:sz="0" w:space="0" w:color="auto"/>
        <w:left w:val="none" w:sz="0" w:space="0" w:color="auto"/>
        <w:bottom w:val="none" w:sz="0" w:space="0" w:color="auto"/>
        <w:right w:val="none" w:sz="0" w:space="0" w:color="auto"/>
      </w:divBdr>
    </w:div>
    <w:div w:id="1138258405">
      <w:bodyDiv w:val="1"/>
      <w:marLeft w:val="0"/>
      <w:marRight w:val="0"/>
      <w:marTop w:val="0"/>
      <w:marBottom w:val="0"/>
      <w:divBdr>
        <w:top w:val="none" w:sz="0" w:space="0" w:color="auto"/>
        <w:left w:val="none" w:sz="0" w:space="0" w:color="auto"/>
        <w:bottom w:val="none" w:sz="0" w:space="0" w:color="auto"/>
        <w:right w:val="none" w:sz="0" w:space="0" w:color="auto"/>
      </w:divBdr>
    </w:div>
    <w:div w:id="1178038293">
      <w:bodyDiv w:val="1"/>
      <w:marLeft w:val="0"/>
      <w:marRight w:val="0"/>
      <w:marTop w:val="0"/>
      <w:marBottom w:val="0"/>
      <w:divBdr>
        <w:top w:val="none" w:sz="0" w:space="0" w:color="auto"/>
        <w:left w:val="none" w:sz="0" w:space="0" w:color="auto"/>
        <w:bottom w:val="none" w:sz="0" w:space="0" w:color="auto"/>
        <w:right w:val="none" w:sz="0" w:space="0" w:color="auto"/>
      </w:divBdr>
    </w:div>
    <w:div w:id="1189176984">
      <w:bodyDiv w:val="1"/>
      <w:marLeft w:val="0"/>
      <w:marRight w:val="0"/>
      <w:marTop w:val="0"/>
      <w:marBottom w:val="0"/>
      <w:divBdr>
        <w:top w:val="none" w:sz="0" w:space="0" w:color="auto"/>
        <w:left w:val="none" w:sz="0" w:space="0" w:color="auto"/>
        <w:bottom w:val="none" w:sz="0" w:space="0" w:color="auto"/>
        <w:right w:val="none" w:sz="0" w:space="0" w:color="auto"/>
      </w:divBdr>
      <w:divsChild>
        <w:div w:id="246230067">
          <w:marLeft w:val="0"/>
          <w:marRight w:val="0"/>
          <w:marTop w:val="0"/>
          <w:marBottom w:val="0"/>
          <w:divBdr>
            <w:top w:val="none" w:sz="0" w:space="0" w:color="auto"/>
            <w:left w:val="none" w:sz="0" w:space="0" w:color="auto"/>
            <w:bottom w:val="none" w:sz="0" w:space="0" w:color="auto"/>
            <w:right w:val="none" w:sz="0" w:space="0" w:color="auto"/>
          </w:divBdr>
          <w:divsChild>
            <w:div w:id="205798448">
              <w:marLeft w:val="0"/>
              <w:marRight w:val="0"/>
              <w:marTop w:val="0"/>
              <w:marBottom w:val="0"/>
              <w:divBdr>
                <w:top w:val="none" w:sz="0" w:space="0" w:color="auto"/>
                <w:left w:val="none" w:sz="0" w:space="0" w:color="auto"/>
                <w:bottom w:val="none" w:sz="0" w:space="0" w:color="auto"/>
                <w:right w:val="none" w:sz="0" w:space="0" w:color="auto"/>
              </w:divBdr>
              <w:divsChild>
                <w:div w:id="17892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0968">
      <w:bodyDiv w:val="1"/>
      <w:marLeft w:val="0"/>
      <w:marRight w:val="0"/>
      <w:marTop w:val="0"/>
      <w:marBottom w:val="0"/>
      <w:divBdr>
        <w:top w:val="none" w:sz="0" w:space="0" w:color="auto"/>
        <w:left w:val="none" w:sz="0" w:space="0" w:color="auto"/>
        <w:bottom w:val="none" w:sz="0" w:space="0" w:color="auto"/>
        <w:right w:val="none" w:sz="0" w:space="0" w:color="auto"/>
      </w:divBdr>
      <w:divsChild>
        <w:div w:id="506218356">
          <w:marLeft w:val="0"/>
          <w:marRight w:val="0"/>
          <w:marTop w:val="0"/>
          <w:marBottom w:val="0"/>
          <w:divBdr>
            <w:top w:val="none" w:sz="0" w:space="0" w:color="auto"/>
            <w:left w:val="none" w:sz="0" w:space="0" w:color="auto"/>
            <w:bottom w:val="none" w:sz="0" w:space="0" w:color="auto"/>
            <w:right w:val="none" w:sz="0" w:space="0" w:color="auto"/>
          </w:divBdr>
          <w:divsChild>
            <w:div w:id="2042044856">
              <w:marLeft w:val="0"/>
              <w:marRight w:val="0"/>
              <w:marTop w:val="0"/>
              <w:marBottom w:val="0"/>
              <w:divBdr>
                <w:top w:val="none" w:sz="0" w:space="0" w:color="auto"/>
                <w:left w:val="none" w:sz="0" w:space="0" w:color="auto"/>
                <w:bottom w:val="none" w:sz="0" w:space="0" w:color="auto"/>
                <w:right w:val="none" w:sz="0" w:space="0" w:color="auto"/>
              </w:divBdr>
              <w:divsChild>
                <w:div w:id="9337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7492">
      <w:bodyDiv w:val="1"/>
      <w:marLeft w:val="0"/>
      <w:marRight w:val="0"/>
      <w:marTop w:val="0"/>
      <w:marBottom w:val="0"/>
      <w:divBdr>
        <w:top w:val="none" w:sz="0" w:space="0" w:color="auto"/>
        <w:left w:val="none" w:sz="0" w:space="0" w:color="auto"/>
        <w:bottom w:val="none" w:sz="0" w:space="0" w:color="auto"/>
        <w:right w:val="none" w:sz="0" w:space="0" w:color="auto"/>
      </w:divBdr>
    </w:div>
    <w:div w:id="1463576671">
      <w:bodyDiv w:val="1"/>
      <w:marLeft w:val="0"/>
      <w:marRight w:val="0"/>
      <w:marTop w:val="0"/>
      <w:marBottom w:val="0"/>
      <w:divBdr>
        <w:top w:val="none" w:sz="0" w:space="0" w:color="auto"/>
        <w:left w:val="none" w:sz="0" w:space="0" w:color="auto"/>
        <w:bottom w:val="none" w:sz="0" w:space="0" w:color="auto"/>
        <w:right w:val="none" w:sz="0" w:space="0" w:color="auto"/>
      </w:divBdr>
    </w:div>
    <w:div w:id="1485009766">
      <w:bodyDiv w:val="1"/>
      <w:marLeft w:val="0"/>
      <w:marRight w:val="0"/>
      <w:marTop w:val="0"/>
      <w:marBottom w:val="0"/>
      <w:divBdr>
        <w:top w:val="none" w:sz="0" w:space="0" w:color="auto"/>
        <w:left w:val="none" w:sz="0" w:space="0" w:color="auto"/>
        <w:bottom w:val="none" w:sz="0" w:space="0" w:color="auto"/>
        <w:right w:val="none" w:sz="0" w:space="0" w:color="auto"/>
      </w:divBdr>
      <w:divsChild>
        <w:div w:id="653682761">
          <w:marLeft w:val="0"/>
          <w:marRight w:val="0"/>
          <w:marTop w:val="0"/>
          <w:marBottom w:val="0"/>
          <w:divBdr>
            <w:top w:val="none" w:sz="0" w:space="0" w:color="auto"/>
            <w:left w:val="none" w:sz="0" w:space="0" w:color="auto"/>
            <w:bottom w:val="none" w:sz="0" w:space="0" w:color="auto"/>
            <w:right w:val="none" w:sz="0" w:space="0" w:color="auto"/>
          </w:divBdr>
          <w:divsChild>
            <w:div w:id="1969435572">
              <w:marLeft w:val="0"/>
              <w:marRight w:val="0"/>
              <w:marTop w:val="0"/>
              <w:marBottom w:val="0"/>
              <w:divBdr>
                <w:top w:val="none" w:sz="0" w:space="0" w:color="auto"/>
                <w:left w:val="none" w:sz="0" w:space="0" w:color="auto"/>
                <w:bottom w:val="none" w:sz="0" w:space="0" w:color="auto"/>
                <w:right w:val="none" w:sz="0" w:space="0" w:color="auto"/>
              </w:divBdr>
              <w:divsChild>
                <w:div w:id="19796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11833">
      <w:bodyDiv w:val="1"/>
      <w:marLeft w:val="0"/>
      <w:marRight w:val="0"/>
      <w:marTop w:val="0"/>
      <w:marBottom w:val="0"/>
      <w:divBdr>
        <w:top w:val="none" w:sz="0" w:space="0" w:color="auto"/>
        <w:left w:val="none" w:sz="0" w:space="0" w:color="auto"/>
        <w:bottom w:val="none" w:sz="0" w:space="0" w:color="auto"/>
        <w:right w:val="none" w:sz="0" w:space="0" w:color="auto"/>
      </w:divBdr>
      <w:divsChild>
        <w:div w:id="302391281">
          <w:marLeft w:val="0"/>
          <w:marRight w:val="0"/>
          <w:marTop w:val="0"/>
          <w:marBottom w:val="0"/>
          <w:divBdr>
            <w:top w:val="none" w:sz="0" w:space="0" w:color="auto"/>
            <w:left w:val="none" w:sz="0" w:space="0" w:color="auto"/>
            <w:bottom w:val="none" w:sz="0" w:space="0" w:color="auto"/>
            <w:right w:val="none" w:sz="0" w:space="0" w:color="auto"/>
          </w:divBdr>
          <w:divsChild>
            <w:div w:id="454714936">
              <w:marLeft w:val="0"/>
              <w:marRight w:val="0"/>
              <w:marTop w:val="0"/>
              <w:marBottom w:val="0"/>
              <w:divBdr>
                <w:top w:val="none" w:sz="0" w:space="0" w:color="auto"/>
                <w:left w:val="none" w:sz="0" w:space="0" w:color="auto"/>
                <w:bottom w:val="none" w:sz="0" w:space="0" w:color="auto"/>
                <w:right w:val="none" w:sz="0" w:space="0" w:color="auto"/>
              </w:divBdr>
              <w:divsChild>
                <w:div w:id="67753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06235">
      <w:bodyDiv w:val="1"/>
      <w:marLeft w:val="0"/>
      <w:marRight w:val="0"/>
      <w:marTop w:val="0"/>
      <w:marBottom w:val="0"/>
      <w:divBdr>
        <w:top w:val="none" w:sz="0" w:space="0" w:color="auto"/>
        <w:left w:val="none" w:sz="0" w:space="0" w:color="auto"/>
        <w:bottom w:val="none" w:sz="0" w:space="0" w:color="auto"/>
        <w:right w:val="none" w:sz="0" w:space="0" w:color="auto"/>
      </w:divBdr>
      <w:divsChild>
        <w:div w:id="1998025492">
          <w:marLeft w:val="0"/>
          <w:marRight w:val="0"/>
          <w:marTop w:val="0"/>
          <w:marBottom w:val="0"/>
          <w:divBdr>
            <w:top w:val="none" w:sz="0" w:space="0" w:color="auto"/>
            <w:left w:val="none" w:sz="0" w:space="0" w:color="auto"/>
            <w:bottom w:val="none" w:sz="0" w:space="0" w:color="auto"/>
            <w:right w:val="none" w:sz="0" w:space="0" w:color="auto"/>
          </w:divBdr>
          <w:divsChild>
            <w:div w:id="239994199">
              <w:marLeft w:val="0"/>
              <w:marRight w:val="0"/>
              <w:marTop w:val="0"/>
              <w:marBottom w:val="0"/>
              <w:divBdr>
                <w:top w:val="none" w:sz="0" w:space="0" w:color="auto"/>
                <w:left w:val="none" w:sz="0" w:space="0" w:color="auto"/>
                <w:bottom w:val="none" w:sz="0" w:space="0" w:color="auto"/>
                <w:right w:val="none" w:sz="0" w:space="0" w:color="auto"/>
              </w:divBdr>
              <w:divsChild>
                <w:div w:id="187218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296280">
      <w:bodyDiv w:val="1"/>
      <w:marLeft w:val="0"/>
      <w:marRight w:val="0"/>
      <w:marTop w:val="0"/>
      <w:marBottom w:val="0"/>
      <w:divBdr>
        <w:top w:val="none" w:sz="0" w:space="0" w:color="auto"/>
        <w:left w:val="none" w:sz="0" w:space="0" w:color="auto"/>
        <w:bottom w:val="none" w:sz="0" w:space="0" w:color="auto"/>
        <w:right w:val="none" w:sz="0" w:space="0" w:color="auto"/>
      </w:divBdr>
      <w:divsChild>
        <w:div w:id="107160918">
          <w:marLeft w:val="0"/>
          <w:marRight w:val="0"/>
          <w:marTop w:val="0"/>
          <w:marBottom w:val="0"/>
          <w:divBdr>
            <w:top w:val="none" w:sz="0" w:space="0" w:color="auto"/>
            <w:left w:val="none" w:sz="0" w:space="0" w:color="auto"/>
            <w:bottom w:val="none" w:sz="0" w:space="0" w:color="auto"/>
            <w:right w:val="none" w:sz="0" w:space="0" w:color="auto"/>
          </w:divBdr>
          <w:divsChild>
            <w:div w:id="1634217237">
              <w:marLeft w:val="0"/>
              <w:marRight w:val="0"/>
              <w:marTop w:val="0"/>
              <w:marBottom w:val="0"/>
              <w:divBdr>
                <w:top w:val="none" w:sz="0" w:space="0" w:color="auto"/>
                <w:left w:val="none" w:sz="0" w:space="0" w:color="auto"/>
                <w:bottom w:val="none" w:sz="0" w:space="0" w:color="auto"/>
                <w:right w:val="none" w:sz="0" w:space="0" w:color="auto"/>
              </w:divBdr>
              <w:divsChild>
                <w:div w:id="116057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819122">
      <w:bodyDiv w:val="1"/>
      <w:marLeft w:val="0"/>
      <w:marRight w:val="0"/>
      <w:marTop w:val="0"/>
      <w:marBottom w:val="0"/>
      <w:divBdr>
        <w:top w:val="none" w:sz="0" w:space="0" w:color="auto"/>
        <w:left w:val="none" w:sz="0" w:space="0" w:color="auto"/>
        <w:bottom w:val="none" w:sz="0" w:space="0" w:color="auto"/>
        <w:right w:val="none" w:sz="0" w:space="0" w:color="auto"/>
      </w:divBdr>
    </w:div>
    <w:div w:id="1715353055">
      <w:bodyDiv w:val="1"/>
      <w:marLeft w:val="0"/>
      <w:marRight w:val="0"/>
      <w:marTop w:val="0"/>
      <w:marBottom w:val="0"/>
      <w:divBdr>
        <w:top w:val="none" w:sz="0" w:space="0" w:color="auto"/>
        <w:left w:val="none" w:sz="0" w:space="0" w:color="auto"/>
        <w:bottom w:val="none" w:sz="0" w:space="0" w:color="auto"/>
        <w:right w:val="none" w:sz="0" w:space="0" w:color="auto"/>
      </w:divBdr>
    </w:div>
    <w:div w:id="1808818413">
      <w:bodyDiv w:val="1"/>
      <w:marLeft w:val="0"/>
      <w:marRight w:val="0"/>
      <w:marTop w:val="0"/>
      <w:marBottom w:val="0"/>
      <w:divBdr>
        <w:top w:val="none" w:sz="0" w:space="0" w:color="auto"/>
        <w:left w:val="none" w:sz="0" w:space="0" w:color="auto"/>
        <w:bottom w:val="none" w:sz="0" w:space="0" w:color="auto"/>
        <w:right w:val="none" w:sz="0" w:space="0" w:color="auto"/>
      </w:divBdr>
      <w:divsChild>
        <w:div w:id="1936012214">
          <w:marLeft w:val="0"/>
          <w:marRight w:val="0"/>
          <w:marTop w:val="0"/>
          <w:marBottom w:val="0"/>
          <w:divBdr>
            <w:top w:val="none" w:sz="0" w:space="0" w:color="auto"/>
            <w:left w:val="none" w:sz="0" w:space="0" w:color="auto"/>
            <w:bottom w:val="none" w:sz="0" w:space="0" w:color="auto"/>
            <w:right w:val="none" w:sz="0" w:space="0" w:color="auto"/>
          </w:divBdr>
          <w:divsChild>
            <w:div w:id="805438280">
              <w:marLeft w:val="0"/>
              <w:marRight w:val="0"/>
              <w:marTop w:val="0"/>
              <w:marBottom w:val="0"/>
              <w:divBdr>
                <w:top w:val="none" w:sz="0" w:space="0" w:color="auto"/>
                <w:left w:val="none" w:sz="0" w:space="0" w:color="auto"/>
                <w:bottom w:val="none" w:sz="0" w:space="0" w:color="auto"/>
                <w:right w:val="none" w:sz="0" w:space="0" w:color="auto"/>
              </w:divBdr>
              <w:divsChild>
                <w:div w:id="74849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5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information.dk/sebastian-gjerding" TargetMode="External"/><Relationship Id="rId3" Type="http://schemas.openxmlformats.org/officeDocument/2006/relationships/hyperlink" Target="https://tbinternet.ohchr.org/_layouts/15/treatybodyexternal/Download.aspx?symbolno=INT%2fCCPR%2fICS%2fFRA%2f44872&amp;Lang=en" TargetMode="External"/><Relationship Id="rId7" Type="http://schemas.openxmlformats.org/officeDocument/2006/relationships/hyperlink" Target="https://www.information.dk/lasse-skou-andersen" TargetMode="External"/><Relationship Id="rId2" Type="http://schemas.openxmlformats.org/officeDocument/2006/relationships/hyperlink" Target="https://www.diplomatie.gouv.fr/IMG/pdf/202107_pna_no_3-hd_cle8c97fb.pdf" TargetMode="External"/><Relationship Id="rId1" Type="http://schemas.openxmlformats.org/officeDocument/2006/relationships/hyperlink" Target="https://tbinternet.ohchr.org/_layouts/15/treatybodyexternal/Download.aspx?symbolno=INT%2fCCPR%2fICS%2fFRA%2f44872&amp;Lang=en" TargetMode="External"/><Relationship Id="rId6" Type="http://schemas.openxmlformats.org/officeDocument/2006/relationships/hyperlink" Target="https://www.amnesty.org/download/Documents/IOR4038212021ENGLISH.pdf" TargetMode="External"/><Relationship Id="rId5" Type="http://schemas.openxmlformats.org/officeDocument/2006/relationships/hyperlink" Target="https://www.france24.com/fr/moyen-orient/20211203-les-%C3%A9mirats-ach%C3%A8tent-80-rafale-%C3%A0-la-france-florence-parly-salue-un-contrat-historique" TargetMode="External"/><Relationship Id="rId4" Type="http://schemas.openxmlformats.org/officeDocument/2006/relationships/hyperlink" Target="https://www.ainonline.com/guillaume-lecompte-boinet" TargetMode="External"/><Relationship Id="rId9" Type="http://schemas.openxmlformats.org/officeDocument/2006/relationships/hyperlink" Target="https://www.information.dk/maaike-goslin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6E741-6C67-4E64-B742-8E2AB56AE2E8}"/>
</file>

<file path=customXml/itemProps2.xml><?xml version="1.0" encoding="utf-8"?>
<ds:datastoreItem xmlns:ds="http://schemas.openxmlformats.org/officeDocument/2006/customXml" ds:itemID="{48218FE4-492A-4545-9E9A-87461D4AC7CD}"/>
</file>

<file path=customXml/itemProps3.xml><?xml version="1.0" encoding="utf-8"?>
<ds:datastoreItem xmlns:ds="http://schemas.openxmlformats.org/officeDocument/2006/customXml" ds:itemID="{C0CEBA95-1424-44AF-8BD1-D971F8F4D6D8}"/>
</file>

<file path=docProps/app.xml><?xml version="1.0" encoding="utf-8"?>
<Properties xmlns="http://schemas.openxmlformats.org/officeDocument/2006/extended-properties" xmlns:vt="http://schemas.openxmlformats.org/officeDocument/2006/docPropsVTypes">
  <Template>Normal.dotm</Template>
  <TotalTime>2</TotalTime>
  <Pages>18</Pages>
  <Words>5382</Words>
  <Characters>30681</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Patrizia Scannella</dc:creator>
  <cp:keywords/>
  <dc:description/>
  <cp:lastModifiedBy>SEERATHUN Jamila</cp:lastModifiedBy>
  <cp:revision>2</cp:revision>
  <dcterms:created xsi:type="dcterms:W3CDTF">2022-01-18T12:59:00Z</dcterms:created>
  <dcterms:modified xsi:type="dcterms:W3CDTF">2022-01-18T12:59:00Z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