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A6A3AB" w14:textId="4FBE811F" w:rsidR="002A2CB6" w:rsidRDefault="00DF5630" w:rsidP="002A2CB6">
      <w:r>
        <w:rPr>
          <w:noProof/>
          <w:lang w:val="es-CO" w:eastAsia="es-CO"/>
        </w:rPr>
        <w:drawing>
          <wp:anchor distT="0" distB="0" distL="114300" distR="114300" simplePos="0" relativeHeight="251656192" behindDoc="0" locked="0" layoutInCell="1" allowOverlap="1" wp14:anchorId="35D2B222" wp14:editId="24CCFCB0">
            <wp:simplePos x="0" y="0"/>
            <wp:positionH relativeFrom="page">
              <wp:posOffset>0</wp:posOffset>
            </wp:positionH>
            <wp:positionV relativeFrom="paragraph">
              <wp:posOffset>-899795</wp:posOffset>
            </wp:positionV>
            <wp:extent cx="7753350" cy="10033000"/>
            <wp:effectExtent l="0" t="0" r="0" b="635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ortadaInformes-01-01.jpg"/>
                    <pic:cNvPicPr/>
                  </pic:nvPicPr>
                  <pic:blipFill>
                    <a:blip r:embed="rId12">
                      <a:extLst>
                        <a:ext uri="{28A0092B-C50C-407E-A947-70E740481C1C}">
                          <a14:useLocalDpi xmlns:a14="http://schemas.microsoft.com/office/drawing/2010/main" val="0"/>
                        </a:ext>
                      </a:extLst>
                    </a:blip>
                    <a:stretch>
                      <a:fillRect/>
                    </a:stretch>
                  </pic:blipFill>
                  <pic:spPr>
                    <a:xfrm>
                      <a:off x="0" y="0"/>
                      <a:ext cx="7754659" cy="10034694"/>
                    </a:xfrm>
                    <a:prstGeom prst="rect">
                      <a:avLst/>
                    </a:prstGeom>
                  </pic:spPr>
                </pic:pic>
              </a:graphicData>
            </a:graphic>
            <wp14:sizeRelH relativeFrom="page">
              <wp14:pctWidth>0</wp14:pctWidth>
            </wp14:sizeRelH>
            <wp14:sizeRelV relativeFrom="page">
              <wp14:pctHeight>0</wp14:pctHeight>
            </wp14:sizeRelV>
          </wp:anchor>
        </w:drawing>
      </w:r>
      <w:r w:rsidR="004B4893">
        <w:rPr>
          <w:noProof/>
          <w:lang w:val="es-CO" w:eastAsia="es-CO"/>
        </w:rPr>
        <mc:AlternateContent>
          <mc:Choice Requires="wps">
            <w:drawing>
              <wp:anchor distT="45720" distB="45720" distL="114300" distR="114300" simplePos="0" relativeHeight="251659264" behindDoc="0" locked="0" layoutInCell="1" allowOverlap="1" wp14:anchorId="6E6683BD" wp14:editId="5A6C50DC">
                <wp:simplePos x="0" y="0"/>
                <wp:positionH relativeFrom="page">
                  <wp:posOffset>2223135</wp:posOffset>
                </wp:positionH>
                <wp:positionV relativeFrom="paragraph">
                  <wp:posOffset>7086600</wp:posOffset>
                </wp:positionV>
                <wp:extent cx="5143500" cy="1790700"/>
                <wp:effectExtent l="0" t="0" r="0" b="12700"/>
                <wp:wrapNone/>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790700"/>
                        </a:xfrm>
                        <a:prstGeom prst="rect">
                          <a:avLst/>
                        </a:prstGeom>
                        <a:noFill/>
                        <a:ln w="9525">
                          <a:noFill/>
                          <a:miter lim="800000"/>
                          <a:headEnd/>
                          <a:tailEnd/>
                        </a:ln>
                      </wps:spPr>
                      <wps:txbx>
                        <w:txbxContent>
                          <w:p w14:paraId="273F7BF7" w14:textId="77777777" w:rsidR="00D32A8E" w:rsidRPr="004B4893" w:rsidRDefault="00D32A8E" w:rsidP="004B4893">
                            <w:pPr>
                              <w:jc w:val="center"/>
                              <w:rPr>
                                <w:rFonts w:ascii="Trebuchet MS" w:hAnsi="Trebuchet MS"/>
                                <w:sz w:val="48"/>
                                <w:szCs w:val="48"/>
                                <w:lang w:val="es-ES_tradnl"/>
                              </w:rPr>
                            </w:pPr>
                            <w:r w:rsidRPr="004B4893">
                              <w:rPr>
                                <w:rFonts w:ascii="Trebuchet MS" w:hAnsi="Trebuchet MS"/>
                                <w:sz w:val="48"/>
                                <w:szCs w:val="48"/>
                                <w:lang w:val="es-ES_tradnl"/>
                              </w:rPr>
                              <w:t>INFORME DEFENSORIA DEL PUEBLO DE COLOMBIA</w:t>
                            </w:r>
                          </w:p>
                          <w:p w14:paraId="49837677" w14:textId="77777777" w:rsidR="00D32A8E" w:rsidRPr="004B4893" w:rsidRDefault="00D32A8E" w:rsidP="004B4893">
                            <w:pPr>
                              <w:jc w:val="center"/>
                              <w:rPr>
                                <w:rFonts w:ascii="Trebuchet MS" w:hAnsi="Trebuchet MS"/>
                                <w:sz w:val="48"/>
                                <w:szCs w:val="48"/>
                                <w:lang w:val="es-ES_tradnl"/>
                              </w:rPr>
                            </w:pPr>
                            <w:r w:rsidRPr="004B4893">
                              <w:rPr>
                                <w:rFonts w:ascii="Trebuchet MS" w:hAnsi="Trebuchet MS"/>
                                <w:sz w:val="48"/>
                                <w:szCs w:val="48"/>
                                <w:lang w:val="es-ES_tradnl"/>
                              </w:rPr>
                              <w:t>CEDAW SESION N.72</w:t>
                            </w:r>
                          </w:p>
                          <w:p w14:paraId="536494DC" w14:textId="77777777" w:rsidR="00D32A8E" w:rsidRDefault="00D32A8E" w:rsidP="00F81E2E">
                            <w:pPr>
                              <w:jc w:val="center"/>
                              <w:rPr>
                                <w:rFonts w:ascii="Trebuchet MS" w:hAnsi="Trebuchet MS"/>
                                <w:sz w:val="36"/>
                                <w:szCs w:val="36"/>
                              </w:rPr>
                            </w:pPr>
                            <w:r>
                              <w:rPr>
                                <w:rFonts w:ascii="Trebuchet MS" w:hAnsi="Trebuchet MS"/>
                                <w:sz w:val="36"/>
                                <w:szCs w:val="36"/>
                              </w:rPr>
                              <w:t xml:space="preserve"> 28 de enero de 2019</w:t>
                            </w:r>
                          </w:p>
                          <w:p w14:paraId="54AFAFC3" w14:textId="77777777" w:rsidR="00D32A8E" w:rsidRPr="009B5AC2" w:rsidRDefault="00D32A8E" w:rsidP="00F81E2E">
                            <w:pPr>
                              <w:jc w:val="center"/>
                              <w:rPr>
                                <w:rFonts w:ascii="Trebuchet MS" w:hAnsi="Trebuchet MS"/>
                                <w:sz w:val="36"/>
                                <w:szCs w:val="36"/>
                              </w:rPr>
                            </w:pPr>
                          </w:p>
                          <w:p w14:paraId="72F69EA2" w14:textId="77777777" w:rsidR="00D32A8E" w:rsidRPr="00F81E2E" w:rsidRDefault="00D32A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6683BD" id="_x0000_t202" coordsize="21600,21600" o:spt="202" path="m,l,21600r21600,l21600,xe">
                <v:stroke joinstyle="miter"/>
                <v:path gradientshapeok="t" o:connecttype="rect"/>
              </v:shapetype>
              <v:shape id="Cuadro de texto 2" o:spid="_x0000_s1026" type="#_x0000_t202" style="position:absolute;margin-left:175.05pt;margin-top:558pt;width:405pt;height:141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" filled="f" stroked="f">
                <v:textbox>
                  <w:txbxContent>
                    <w:p w14:paraId="273F7BF7" w14:textId="77777777" w:rsidR="00D32A8E" w:rsidRPr="004B4893" w:rsidRDefault="00D32A8E" w:rsidP="004B4893">
                      <w:pPr>
                        <w:jc w:val="center"/>
                        <w:rPr>
                          <w:rFonts w:ascii="Trebuchet MS" w:hAnsi="Trebuchet MS"/>
                          <w:sz w:val="48"/>
                          <w:szCs w:val="48"/>
                          <w:lang w:val="es-ES_tradnl"/>
                        </w:rPr>
                      </w:pPr>
                      <w:r w:rsidRPr="004B4893">
                        <w:rPr>
                          <w:rFonts w:ascii="Trebuchet MS" w:hAnsi="Trebuchet MS"/>
                          <w:sz w:val="48"/>
                          <w:szCs w:val="48"/>
                          <w:lang w:val="es-ES_tradnl"/>
                        </w:rPr>
                        <w:t>INFORME DEFENSORIA DEL PUEBLO DE COLOMBIA</w:t>
                      </w:r>
                    </w:p>
                    <w:p w14:paraId="49837677" w14:textId="77777777" w:rsidR="00D32A8E" w:rsidRPr="004B4893" w:rsidRDefault="00D32A8E" w:rsidP="004B4893">
                      <w:pPr>
                        <w:jc w:val="center"/>
                        <w:rPr>
                          <w:rFonts w:ascii="Trebuchet MS" w:hAnsi="Trebuchet MS"/>
                          <w:sz w:val="48"/>
                          <w:szCs w:val="48"/>
                          <w:lang w:val="es-ES_tradnl"/>
                        </w:rPr>
                      </w:pPr>
                      <w:r w:rsidRPr="004B4893">
                        <w:rPr>
                          <w:rFonts w:ascii="Trebuchet MS" w:hAnsi="Trebuchet MS"/>
                          <w:sz w:val="48"/>
                          <w:szCs w:val="48"/>
                          <w:lang w:val="es-ES_tradnl"/>
                        </w:rPr>
                        <w:t>CEDAW SESION N.72</w:t>
                      </w:r>
                    </w:p>
                    <w:p w14:paraId="536494DC" w14:textId="77777777" w:rsidR="00D32A8E" w:rsidRDefault="00D32A8E" w:rsidP="00F81E2E">
                      <w:pPr>
                        <w:jc w:val="center"/>
                        <w:rPr>
                          <w:rFonts w:ascii="Trebuchet MS" w:hAnsi="Trebuchet MS"/>
                          <w:sz w:val="36"/>
                          <w:szCs w:val="36"/>
                        </w:rPr>
                      </w:pPr>
                      <w:r>
                        <w:rPr>
                          <w:rFonts w:ascii="Trebuchet MS" w:hAnsi="Trebuchet MS"/>
                          <w:sz w:val="36"/>
                          <w:szCs w:val="36"/>
                        </w:rPr>
                        <w:t xml:space="preserve"> 28 de enero de 2019</w:t>
                      </w:r>
                    </w:p>
                    <w:p w14:paraId="54AFAFC3" w14:textId="77777777" w:rsidR="00D32A8E" w:rsidRPr="009B5AC2" w:rsidRDefault="00D32A8E" w:rsidP="00F81E2E">
                      <w:pPr>
                        <w:jc w:val="center"/>
                        <w:rPr>
                          <w:rFonts w:ascii="Trebuchet MS" w:hAnsi="Trebuchet MS"/>
                          <w:sz w:val="36"/>
                          <w:szCs w:val="36"/>
                        </w:rPr>
                      </w:pPr>
                    </w:p>
                    <w:p w14:paraId="72F69EA2" w14:textId="77777777" w:rsidR="00D32A8E" w:rsidRPr="00F81E2E" w:rsidRDefault="00D32A8E"/>
                  </w:txbxContent>
                </v:textbox>
                <w10:wrap anchorx="page"/>
              </v:shape>
            </w:pict>
          </mc:Fallback>
        </mc:AlternateContent>
      </w:r>
    </w:p>
    <w:p w14:paraId="4C73A656" w14:textId="77777777" w:rsidR="002A2CB6" w:rsidRDefault="002A2CB6" w:rsidP="002A2CB6"/>
    <w:p w14:paraId="0A87CE24" w14:textId="700CF812" w:rsidR="002A2CB6" w:rsidRDefault="002A2CB6" w:rsidP="002A2CB6"/>
    <w:p w14:paraId="5932584F" w14:textId="77777777" w:rsidR="002A2CB6" w:rsidRDefault="002A2CB6" w:rsidP="002A2CB6"/>
    <w:p w14:paraId="7BA3E62D" w14:textId="77777777" w:rsidR="002A2CB6" w:rsidRDefault="002A2CB6" w:rsidP="002A2CB6"/>
    <w:p w14:paraId="0E5B8AD6" w14:textId="77777777" w:rsidR="002A2CB6" w:rsidRDefault="002A2CB6" w:rsidP="002A2CB6"/>
    <w:p w14:paraId="6ECE52BB" w14:textId="77777777" w:rsidR="002A2CB6" w:rsidRDefault="002A2CB6" w:rsidP="002A2CB6"/>
    <w:p w14:paraId="0EB393EB" w14:textId="77777777" w:rsidR="002A2CB6" w:rsidRDefault="002A2CB6" w:rsidP="002A2CB6"/>
    <w:p w14:paraId="650D3589" w14:textId="77777777" w:rsidR="002A2CB6" w:rsidRDefault="002A2CB6" w:rsidP="002A2CB6"/>
    <w:p w14:paraId="0F6332BE" w14:textId="77777777" w:rsidR="002A2CB6" w:rsidRDefault="002A2CB6" w:rsidP="002A2CB6"/>
    <w:p w14:paraId="32CB50CC" w14:textId="77777777" w:rsidR="002A2CB6" w:rsidRDefault="002A2CB6" w:rsidP="002A2CB6"/>
    <w:p w14:paraId="14718EA5" w14:textId="77777777" w:rsidR="002A2CB6" w:rsidRDefault="002A2CB6" w:rsidP="002A2CB6"/>
    <w:p w14:paraId="5E8B0762" w14:textId="77777777" w:rsidR="002A2CB6" w:rsidRDefault="002A2CB6" w:rsidP="002A2CB6"/>
    <w:p w14:paraId="229A06CB" w14:textId="77777777" w:rsidR="002A2CB6" w:rsidRDefault="002A2CB6" w:rsidP="002A2CB6"/>
    <w:p w14:paraId="3FC6E690" w14:textId="77777777" w:rsidR="002A2CB6" w:rsidRDefault="002A2CB6" w:rsidP="002A2CB6"/>
    <w:p w14:paraId="1876AF1E" w14:textId="77777777" w:rsidR="002A2CB6" w:rsidRDefault="002A2CB6" w:rsidP="002A2CB6"/>
    <w:p w14:paraId="6578EAE7" w14:textId="77777777" w:rsidR="002A2CB6" w:rsidRDefault="002A2CB6" w:rsidP="002A2CB6"/>
    <w:p w14:paraId="12B4A040" w14:textId="77777777" w:rsidR="002A2CB6" w:rsidRDefault="002A2CB6" w:rsidP="002A2CB6"/>
    <w:p w14:paraId="299CC559" w14:textId="77777777" w:rsidR="002A2CB6" w:rsidRDefault="002A2CB6" w:rsidP="002A2CB6"/>
    <w:p w14:paraId="3B66C4D9" w14:textId="77777777" w:rsidR="002A2CB6" w:rsidRDefault="002A2CB6" w:rsidP="002A2CB6"/>
    <w:p w14:paraId="7202C44C" w14:textId="77777777" w:rsidR="002A2CB6" w:rsidRDefault="002A2CB6" w:rsidP="002A2CB6"/>
    <w:p w14:paraId="58DF833F" w14:textId="77777777" w:rsidR="002A2CB6" w:rsidRDefault="002A2CB6" w:rsidP="002A2CB6"/>
    <w:p w14:paraId="4880F91B" w14:textId="77777777" w:rsidR="002A2CB6" w:rsidRDefault="002A2CB6" w:rsidP="002A2CB6"/>
    <w:p w14:paraId="5E70A333" w14:textId="77777777" w:rsidR="002A2CB6" w:rsidRDefault="002A2CB6" w:rsidP="002A2CB6"/>
    <w:p w14:paraId="6A01920F" w14:textId="77777777" w:rsidR="002A2CB6" w:rsidRDefault="002A2CB6" w:rsidP="002A2CB6"/>
    <w:p w14:paraId="70C3E4A2" w14:textId="0AB08CCA" w:rsidR="002A2CB6" w:rsidRDefault="00F16D3A" w:rsidP="00370C9D">
      <w:pPr>
        <w:jc w:val="both"/>
      </w:pPr>
      <w:r>
        <w:t>.</w:t>
      </w:r>
    </w:p>
    <w:p w14:paraId="1289112B" w14:textId="6C19A688" w:rsidR="009F0AE7" w:rsidRPr="00263A5B" w:rsidRDefault="004B4893" w:rsidP="00370C9D">
      <w:pPr>
        <w:jc w:val="both"/>
      </w:pPr>
      <w:r w:rsidRPr="004B4893">
        <w:rPr>
          <w:rFonts w:ascii="Trebuchet MS" w:hAnsi="Trebuchet MS"/>
          <w:sz w:val="24"/>
          <w:szCs w:val="24"/>
        </w:rPr>
        <w:lastRenderedPageBreak/>
        <w:t>La Defensoría del Pueblo, como la institución nacional de derechos humanos, hace seguimiento al cumplimiento de las normas internacionales y nacionales relativas a la erradicación de la</w:t>
      </w:r>
      <w:r w:rsidR="003C64E4">
        <w:rPr>
          <w:rFonts w:ascii="Trebuchet MS" w:hAnsi="Trebuchet MS"/>
          <w:sz w:val="24"/>
          <w:szCs w:val="24"/>
        </w:rPr>
        <w:t xml:space="preserve"> Violencia</w:t>
      </w:r>
      <w:r w:rsidRPr="004B4893">
        <w:rPr>
          <w:rFonts w:ascii="Trebuchet MS" w:hAnsi="Trebuchet MS"/>
          <w:sz w:val="24"/>
          <w:szCs w:val="24"/>
        </w:rPr>
        <w:t xml:space="preserve"> Basada en Género (VBG) y la garantía de los derechos de las mujeres. </w:t>
      </w:r>
    </w:p>
    <w:p w14:paraId="2F646847"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En este marco, presenta la información acerca de la aplicación de la CEDAW en Colombia, a partir de la respuesta del gobierno a la lista de cuestiones definida por el Comité y tomando en consideración la información propia de la Defensoría del Pueblo (en especial de la duplas de género)</w:t>
      </w:r>
      <w:r w:rsidRPr="004B4893">
        <w:rPr>
          <w:rFonts w:ascii="Trebuchet MS" w:eastAsia="Trebuchet MS" w:hAnsi="Trebuchet MS" w:cs="Trebuchet MS"/>
          <w:sz w:val="24"/>
          <w:szCs w:val="24"/>
          <w:lang w:val="es-ES"/>
        </w:rPr>
        <w:t xml:space="preserve">; la interlocución </w:t>
      </w:r>
      <w:r w:rsidR="009F0AE7" w:rsidRPr="004B4893">
        <w:rPr>
          <w:rFonts w:ascii="Trebuchet MS" w:eastAsia="Trebuchet MS" w:hAnsi="Trebuchet MS" w:cs="Trebuchet MS"/>
          <w:sz w:val="24"/>
          <w:szCs w:val="24"/>
          <w:lang w:val="es-ES"/>
        </w:rPr>
        <w:t>con</w:t>
      </w:r>
      <w:r w:rsidRPr="004B4893">
        <w:rPr>
          <w:rFonts w:ascii="Trebuchet MS" w:hAnsi="Trebuchet MS"/>
          <w:sz w:val="24"/>
          <w:szCs w:val="24"/>
        </w:rPr>
        <w:t xml:space="preserve"> organizaciones sociales y de cooperación</w:t>
      </w:r>
      <w:r w:rsidRPr="004B4893">
        <w:rPr>
          <w:rFonts w:ascii="Trebuchet MS" w:eastAsia="Trebuchet MS" w:hAnsi="Trebuchet MS" w:cs="Trebuchet MS"/>
          <w:sz w:val="24"/>
          <w:szCs w:val="24"/>
          <w:lang w:val="es-ES"/>
        </w:rPr>
        <w:t>; el acompañamiento a mujeres</w:t>
      </w:r>
      <w:r w:rsidRPr="004B4893">
        <w:rPr>
          <w:rFonts w:ascii="Trebuchet MS" w:hAnsi="Trebuchet MS"/>
          <w:sz w:val="24"/>
          <w:szCs w:val="24"/>
        </w:rPr>
        <w:t xml:space="preserve">; y la participación en espacios institucionales. </w:t>
      </w:r>
    </w:p>
    <w:p w14:paraId="3A013479" w14:textId="77777777" w:rsidR="009F0AE7" w:rsidRPr="004B4893" w:rsidRDefault="009F0AE7" w:rsidP="004B4893">
      <w:pPr>
        <w:spacing w:before="3" w:after="3" w:line="240" w:lineRule="auto"/>
        <w:jc w:val="both"/>
        <w:rPr>
          <w:rFonts w:ascii="Trebuchet MS" w:hAnsi="Trebuchet MS"/>
          <w:sz w:val="24"/>
          <w:szCs w:val="24"/>
        </w:rPr>
      </w:pPr>
    </w:p>
    <w:p w14:paraId="5B46E723" w14:textId="77777777" w:rsidR="004B4893" w:rsidRP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Es importante señalar que, para el cumplimiento de su función constitucional y legal, la Defensoría viene implementando diferentes estrategias que le apuntan a erradicar la violencia contra las mujeres. Entre estas que se encuentra el incremento en la presencia de duplas de género en las Defensorías Regionales, pasando de 19 en 2016 a 25 duplas en 2018. A lo largo del documento se señalarán otras medidas relacionadas con cada uno de los puntos. </w:t>
      </w:r>
    </w:p>
    <w:p w14:paraId="4A1E1A1B" w14:textId="77777777" w:rsidR="004B4893" w:rsidRPr="004B4893" w:rsidRDefault="004B4893" w:rsidP="004B4893">
      <w:pPr>
        <w:spacing w:before="3" w:after="3" w:line="240" w:lineRule="auto"/>
        <w:jc w:val="both"/>
        <w:rPr>
          <w:rFonts w:ascii="Trebuchet MS" w:hAnsi="Trebuchet MS"/>
          <w:sz w:val="24"/>
          <w:szCs w:val="24"/>
        </w:rPr>
      </w:pPr>
    </w:p>
    <w:p w14:paraId="7FDC6954" w14:textId="77777777" w:rsidR="004B4893" w:rsidRDefault="004B4893" w:rsidP="004B4893">
      <w:pPr>
        <w:spacing w:before="3" w:after="3" w:line="240" w:lineRule="auto"/>
        <w:rPr>
          <w:rFonts w:ascii="Trebuchet MS" w:hAnsi="Trebuchet MS"/>
          <w:b/>
          <w:sz w:val="24"/>
          <w:szCs w:val="24"/>
          <w:u w:val="single"/>
        </w:rPr>
      </w:pPr>
      <w:r w:rsidRPr="004B4893">
        <w:rPr>
          <w:rFonts w:ascii="Trebuchet MS" w:hAnsi="Trebuchet MS"/>
          <w:b/>
          <w:sz w:val="24"/>
          <w:szCs w:val="24"/>
          <w:u w:val="single"/>
        </w:rPr>
        <w:t>MARCO LEGAL Y CONSTITUCIONAL</w:t>
      </w:r>
    </w:p>
    <w:p w14:paraId="45C1AE75" w14:textId="77777777" w:rsidR="004B4893" w:rsidRPr="004B4893" w:rsidRDefault="004B4893" w:rsidP="004B4893">
      <w:pPr>
        <w:spacing w:before="3" w:after="3" w:line="240" w:lineRule="auto"/>
        <w:rPr>
          <w:rFonts w:ascii="Trebuchet MS" w:hAnsi="Trebuchet MS"/>
          <w:b/>
          <w:sz w:val="24"/>
          <w:szCs w:val="24"/>
          <w:u w:val="single"/>
        </w:rPr>
      </w:pPr>
    </w:p>
    <w:p w14:paraId="324E8A8F"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Colombia cuenta con un completo marco normativo y jurisprudencial en materia de prevención, protección, atención y sanción de todas las formas de violencia contra las mujeres. </w:t>
      </w:r>
    </w:p>
    <w:p w14:paraId="0A265171" w14:textId="77777777" w:rsidR="009F0AE7" w:rsidRPr="004B4893" w:rsidRDefault="009F0AE7" w:rsidP="004B4893">
      <w:pPr>
        <w:spacing w:before="3" w:after="3" w:line="240" w:lineRule="auto"/>
        <w:jc w:val="both"/>
        <w:rPr>
          <w:rFonts w:ascii="Trebuchet MS" w:hAnsi="Trebuchet MS" w:cs="Arial"/>
          <w:sz w:val="24"/>
          <w:szCs w:val="24"/>
          <w:lang w:val="es-ES"/>
        </w:rPr>
      </w:pPr>
    </w:p>
    <w:p w14:paraId="7B0F0615"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Vale la pena reconocer la propuesta realizada por el Gobierno Nacional de incluir un capítulo de género al Plan Nacional de Desarrollo, formulando estrategias que buscan dar solución a los principales problemas que enfrentan las mujeres colombianas. </w:t>
      </w:r>
    </w:p>
    <w:p w14:paraId="0A695003" w14:textId="77777777" w:rsidR="009F0AE7" w:rsidRPr="004B4893" w:rsidRDefault="009F0AE7" w:rsidP="004B4893">
      <w:pPr>
        <w:spacing w:before="3" w:after="3" w:line="240" w:lineRule="auto"/>
        <w:jc w:val="both"/>
        <w:rPr>
          <w:rFonts w:ascii="Trebuchet MS" w:hAnsi="Trebuchet MS"/>
          <w:sz w:val="24"/>
          <w:szCs w:val="24"/>
        </w:rPr>
      </w:pPr>
    </w:p>
    <w:p w14:paraId="052F4AA6" w14:textId="77777777" w:rsidR="004B4893" w:rsidRP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Persisten en todo caso grandes retos para la implementación del marco normativo, dentro de los cuales se resaltan: </w:t>
      </w:r>
    </w:p>
    <w:p w14:paraId="024F87B1" w14:textId="5006BA7A" w:rsidR="004B4893" w:rsidRPr="004B4893" w:rsidRDefault="004B4893" w:rsidP="004B4893">
      <w:pPr>
        <w:pStyle w:val="Prrafodelista"/>
        <w:numPr>
          <w:ilvl w:val="0"/>
          <w:numId w:val="34"/>
        </w:numPr>
        <w:spacing w:before="3" w:after="3" w:line="240" w:lineRule="auto"/>
        <w:contextualSpacing w:val="0"/>
        <w:jc w:val="both"/>
        <w:rPr>
          <w:rFonts w:ascii="Trebuchet MS" w:hAnsi="Trebuchet MS"/>
          <w:sz w:val="24"/>
          <w:szCs w:val="24"/>
        </w:rPr>
      </w:pPr>
      <w:r w:rsidRPr="004B4893">
        <w:rPr>
          <w:rFonts w:ascii="Trebuchet MS" w:hAnsi="Trebuchet MS"/>
          <w:sz w:val="24"/>
          <w:szCs w:val="24"/>
        </w:rPr>
        <w:t xml:space="preserve">Dificultad para la aplicación del marco normativo por </w:t>
      </w:r>
      <w:r w:rsidRPr="004B4893">
        <w:rPr>
          <w:rFonts w:ascii="Trebuchet MS" w:hAnsi="Trebuchet MS"/>
          <w:b/>
          <w:bCs/>
          <w:sz w:val="24"/>
          <w:szCs w:val="24"/>
        </w:rPr>
        <w:t>las entidades territoriales</w:t>
      </w:r>
      <w:r w:rsidRPr="004B4893">
        <w:rPr>
          <w:rFonts w:ascii="Trebuchet MS" w:hAnsi="Trebuchet MS"/>
          <w:sz w:val="24"/>
          <w:szCs w:val="24"/>
        </w:rPr>
        <w:t xml:space="preserve">. Se encuentran obstáculos en la destinación de recursos, en la existencia de presupuestos sensibles al género y  la aplicación adecuada de las normas. Falta control adecuado por parte del gobierno nacional. </w:t>
      </w:r>
    </w:p>
    <w:p w14:paraId="40154C6B" w14:textId="77777777" w:rsidR="004B4893" w:rsidRPr="004B4893" w:rsidRDefault="004B4893" w:rsidP="004B4893">
      <w:pPr>
        <w:spacing w:before="3" w:after="3" w:line="240" w:lineRule="auto"/>
        <w:ind w:left="360"/>
        <w:jc w:val="both"/>
        <w:rPr>
          <w:rFonts w:ascii="Trebuchet MS" w:hAnsi="Trebuchet MS"/>
          <w:sz w:val="24"/>
          <w:szCs w:val="24"/>
        </w:rPr>
      </w:pPr>
    </w:p>
    <w:p w14:paraId="0C218AC8" w14:textId="77777777" w:rsidR="004B4893" w:rsidRDefault="004B4893" w:rsidP="004B4893">
      <w:pPr>
        <w:pStyle w:val="Prrafodelista"/>
        <w:numPr>
          <w:ilvl w:val="0"/>
          <w:numId w:val="34"/>
        </w:numPr>
        <w:spacing w:before="3" w:after="3" w:line="240" w:lineRule="auto"/>
        <w:contextualSpacing w:val="0"/>
        <w:jc w:val="both"/>
        <w:rPr>
          <w:rFonts w:ascii="Trebuchet MS" w:hAnsi="Trebuchet MS"/>
          <w:sz w:val="24"/>
          <w:szCs w:val="24"/>
        </w:rPr>
      </w:pPr>
      <w:r w:rsidRPr="004B4893">
        <w:rPr>
          <w:rFonts w:ascii="Trebuchet MS" w:hAnsi="Trebuchet MS"/>
          <w:sz w:val="24"/>
          <w:szCs w:val="24"/>
        </w:rPr>
        <w:t xml:space="preserve">Los Comités de Seguimiento creados por las normas relativas a las Violencias Basadas en Género (VBG) para vigilar su cumplimiento (1257, 1719) no logran cubrir el territorio nacional. Se requiere </w:t>
      </w:r>
      <w:r w:rsidRPr="004B4893">
        <w:rPr>
          <w:rFonts w:ascii="Trebuchet MS" w:hAnsi="Trebuchet MS"/>
          <w:b/>
          <w:bCs/>
          <w:sz w:val="24"/>
          <w:szCs w:val="24"/>
        </w:rPr>
        <w:t>fortalecer el seguimiento y aplicar sanciones a las/los funcionarios que no cumplan con su deber.</w:t>
      </w:r>
      <w:r w:rsidRPr="004B4893">
        <w:rPr>
          <w:rFonts w:ascii="Trebuchet MS" w:hAnsi="Trebuchet MS"/>
          <w:sz w:val="24"/>
          <w:szCs w:val="24"/>
        </w:rPr>
        <w:t xml:space="preserve"> </w:t>
      </w:r>
    </w:p>
    <w:p w14:paraId="267B85A8" w14:textId="77777777" w:rsidR="00DF5630" w:rsidRPr="00DF5630" w:rsidRDefault="00DF5630" w:rsidP="00DF5630">
      <w:pPr>
        <w:pStyle w:val="Prrafodelista"/>
        <w:rPr>
          <w:rFonts w:ascii="Trebuchet MS" w:hAnsi="Trebuchet MS"/>
          <w:sz w:val="24"/>
          <w:szCs w:val="24"/>
        </w:rPr>
      </w:pPr>
    </w:p>
    <w:p w14:paraId="7DD5BFF8" w14:textId="59E0D5FF" w:rsidR="004B4893" w:rsidRDefault="004B4893" w:rsidP="004B4893">
      <w:pPr>
        <w:pStyle w:val="Prrafodelista"/>
        <w:numPr>
          <w:ilvl w:val="0"/>
          <w:numId w:val="34"/>
        </w:numPr>
        <w:spacing w:before="3" w:after="3" w:line="240" w:lineRule="auto"/>
        <w:contextualSpacing w:val="0"/>
        <w:jc w:val="both"/>
        <w:rPr>
          <w:rFonts w:ascii="Trebuchet MS" w:hAnsi="Trebuchet MS"/>
          <w:sz w:val="24"/>
          <w:szCs w:val="24"/>
        </w:rPr>
      </w:pPr>
      <w:bookmarkStart w:id="0" w:name="_GoBack"/>
      <w:bookmarkEnd w:id="0"/>
      <w:r w:rsidRPr="004B4893">
        <w:rPr>
          <w:rFonts w:ascii="Trebuchet MS" w:hAnsi="Trebuchet MS"/>
          <w:sz w:val="24"/>
          <w:szCs w:val="24"/>
        </w:rPr>
        <w:t>En los últimos años se ha observado una interpretación restrictiva de las normas que tiende a invis</w:t>
      </w:r>
      <w:r w:rsidR="00DC724A">
        <w:rPr>
          <w:rFonts w:ascii="Trebuchet MS" w:hAnsi="Trebuchet MS"/>
          <w:sz w:val="24"/>
          <w:szCs w:val="24"/>
        </w:rPr>
        <w:t>i</w:t>
      </w:r>
      <w:r w:rsidRPr="004B4893">
        <w:rPr>
          <w:rFonts w:ascii="Trebuchet MS" w:hAnsi="Trebuchet MS"/>
          <w:sz w:val="24"/>
          <w:szCs w:val="24"/>
        </w:rPr>
        <w:t>bilizar a</w:t>
      </w:r>
      <w:r w:rsidRPr="004B4893">
        <w:rPr>
          <w:rFonts w:ascii="Trebuchet MS" w:hAnsi="Trebuchet MS"/>
          <w:b/>
          <w:bCs/>
          <w:sz w:val="24"/>
          <w:szCs w:val="24"/>
        </w:rPr>
        <w:t xml:space="preserve"> las mujeres con orientación sexual e </w:t>
      </w:r>
      <w:r w:rsidRPr="004B4893">
        <w:rPr>
          <w:rFonts w:ascii="Trebuchet MS" w:hAnsi="Trebuchet MS"/>
          <w:b/>
          <w:bCs/>
          <w:sz w:val="24"/>
          <w:szCs w:val="24"/>
        </w:rPr>
        <w:lastRenderedPageBreak/>
        <w:t>identidad de género diversa.</w:t>
      </w:r>
      <w:r w:rsidRPr="004B4893">
        <w:rPr>
          <w:rFonts w:ascii="Trebuchet MS" w:hAnsi="Trebuchet MS"/>
          <w:sz w:val="24"/>
          <w:szCs w:val="24"/>
        </w:rPr>
        <w:t xml:space="preserve"> Es indispensable que las políticas y programas que desarrolle el gobierno reconozcan este enfoque diferencial e interseccional en las mujeres. </w:t>
      </w:r>
    </w:p>
    <w:p w14:paraId="3F1513CC" w14:textId="77777777" w:rsidR="00D10FBC" w:rsidRPr="004B4893" w:rsidRDefault="00D10FBC" w:rsidP="00D10FBC">
      <w:pPr>
        <w:pStyle w:val="Prrafodelista"/>
        <w:spacing w:before="3" w:after="3" w:line="240" w:lineRule="auto"/>
        <w:contextualSpacing w:val="0"/>
        <w:jc w:val="both"/>
        <w:rPr>
          <w:rFonts w:ascii="Trebuchet MS" w:hAnsi="Trebuchet MS"/>
          <w:sz w:val="24"/>
          <w:szCs w:val="24"/>
        </w:rPr>
      </w:pPr>
    </w:p>
    <w:p w14:paraId="0C327878" w14:textId="77777777" w:rsidR="004B4893" w:rsidRPr="004B4893" w:rsidRDefault="004B4893" w:rsidP="004B4893">
      <w:pPr>
        <w:pStyle w:val="Prrafodelista"/>
        <w:numPr>
          <w:ilvl w:val="0"/>
          <w:numId w:val="34"/>
        </w:numPr>
        <w:spacing w:before="3" w:after="3" w:line="240" w:lineRule="auto"/>
        <w:contextualSpacing w:val="0"/>
        <w:jc w:val="both"/>
        <w:rPr>
          <w:rFonts w:ascii="Trebuchet MS" w:hAnsi="Trebuchet MS"/>
          <w:sz w:val="24"/>
          <w:szCs w:val="24"/>
        </w:rPr>
      </w:pPr>
      <w:r w:rsidRPr="004B4893">
        <w:rPr>
          <w:rFonts w:ascii="Trebuchet MS" w:hAnsi="Trebuchet MS"/>
          <w:sz w:val="24"/>
          <w:szCs w:val="24"/>
        </w:rPr>
        <w:t xml:space="preserve">Aunque la Ley 1257 aborda de manera amplia la violencia contra las mujeres, su aplicación tiende a limitarse a un </w:t>
      </w:r>
      <w:r w:rsidRPr="004B4893">
        <w:rPr>
          <w:rFonts w:ascii="Trebuchet MS" w:hAnsi="Trebuchet MS"/>
          <w:b/>
          <w:bCs/>
          <w:sz w:val="24"/>
          <w:szCs w:val="24"/>
        </w:rPr>
        <w:t>enfoque familista</w:t>
      </w:r>
      <w:r w:rsidRPr="004B4893">
        <w:rPr>
          <w:rFonts w:ascii="Trebuchet MS" w:hAnsi="Trebuchet MS"/>
          <w:sz w:val="24"/>
          <w:szCs w:val="24"/>
        </w:rPr>
        <w:t xml:space="preserve">, en virtud del cual la activación de las rutas de atención y de protección derivan de la violencia ocurrida al interior de la familia. Se requiere una comprensión amplia del marco jurídico y no limitada a la violencia intrafamiliar. </w:t>
      </w:r>
    </w:p>
    <w:p w14:paraId="07445250" w14:textId="77777777" w:rsidR="004B4893" w:rsidRPr="004B4893" w:rsidRDefault="004B4893" w:rsidP="004B4893">
      <w:pPr>
        <w:spacing w:before="3" w:after="3" w:line="240" w:lineRule="auto"/>
        <w:jc w:val="both"/>
        <w:rPr>
          <w:rFonts w:ascii="Trebuchet MS" w:hAnsi="Trebuchet MS"/>
          <w:sz w:val="24"/>
          <w:szCs w:val="24"/>
        </w:rPr>
      </w:pPr>
    </w:p>
    <w:p w14:paraId="63167BCF"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El 7 de marzo de 2018, el Defensor del Pueblo realizó la primera Audiencia Defensorial sobre Violencia Basada en Género y Discriminación. En este espacio se hizo seguimiento al cumplimiento de las obligaciones nacionales e internacionales que le competen a cada entidad, incluyendo aquellas que se derivan de la CEDAW, realizando las recomendaciones pertinentes. </w:t>
      </w:r>
    </w:p>
    <w:p w14:paraId="7098AF9A" w14:textId="77777777" w:rsidR="004B4893" w:rsidRPr="004B4893" w:rsidRDefault="004B4893" w:rsidP="004B4893">
      <w:pPr>
        <w:spacing w:before="3" w:after="3" w:line="240" w:lineRule="auto"/>
        <w:jc w:val="both"/>
        <w:rPr>
          <w:rFonts w:ascii="Trebuchet MS" w:hAnsi="Trebuchet MS"/>
          <w:sz w:val="24"/>
          <w:szCs w:val="24"/>
        </w:rPr>
      </w:pPr>
    </w:p>
    <w:p w14:paraId="2C95AD5E" w14:textId="77777777" w:rsidR="004B4893" w:rsidRDefault="004B4893" w:rsidP="004B4893">
      <w:pPr>
        <w:spacing w:before="3" w:after="3" w:line="240" w:lineRule="auto"/>
        <w:rPr>
          <w:rFonts w:ascii="Trebuchet MS" w:hAnsi="Trebuchet MS"/>
          <w:b/>
          <w:sz w:val="24"/>
          <w:szCs w:val="24"/>
          <w:u w:val="single"/>
        </w:rPr>
      </w:pPr>
      <w:r w:rsidRPr="004B4893">
        <w:rPr>
          <w:rFonts w:ascii="Trebuchet MS" w:hAnsi="Trebuchet MS"/>
          <w:b/>
          <w:sz w:val="24"/>
          <w:szCs w:val="24"/>
          <w:u w:val="single"/>
        </w:rPr>
        <w:t>ACCESO A LA JUST</w:t>
      </w:r>
      <w:r>
        <w:rPr>
          <w:rFonts w:ascii="Trebuchet MS" w:hAnsi="Trebuchet MS"/>
          <w:b/>
          <w:sz w:val="24"/>
          <w:szCs w:val="24"/>
          <w:u w:val="single"/>
        </w:rPr>
        <w:t>I</w:t>
      </w:r>
      <w:r w:rsidRPr="004B4893">
        <w:rPr>
          <w:rFonts w:ascii="Trebuchet MS" w:hAnsi="Trebuchet MS"/>
          <w:b/>
          <w:sz w:val="24"/>
          <w:szCs w:val="24"/>
          <w:u w:val="single"/>
        </w:rPr>
        <w:t>CIA</w:t>
      </w:r>
    </w:p>
    <w:p w14:paraId="0528C3E5" w14:textId="77777777" w:rsidR="004B4893" w:rsidRPr="004B4893" w:rsidRDefault="004B4893" w:rsidP="004B4893">
      <w:pPr>
        <w:spacing w:before="3" w:after="3" w:line="240" w:lineRule="auto"/>
        <w:rPr>
          <w:rFonts w:ascii="Trebuchet MS" w:hAnsi="Trebuchet MS"/>
          <w:b/>
          <w:sz w:val="24"/>
          <w:szCs w:val="24"/>
          <w:u w:val="single"/>
        </w:rPr>
      </w:pPr>
    </w:p>
    <w:p w14:paraId="07EFEC61"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La Defensoría reconoce el esfuerzo realizado por el Estado para superar las barreras de acceso a la justicia que enfrentan las mujeres, a través de herramientas que buscan la incorporación del enfoque de género por parte de los operadores judiciales (como las que menciona el gobierno en su informe al Comité); así como los procesos continuos de formación.</w:t>
      </w:r>
      <w:r w:rsidR="009F0AE7">
        <w:rPr>
          <w:rFonts w:ascii="Trebuchet MS" w:hAnsi="Trebuchet MS" w:cs="Arial"/>
          <w:sz w:val="24"/>
          <w:szCs w:val="24"/>
          <w:lang w:val="es-ES"/>
        </w:rPr>
        <w:t xml:space="preserve"> </w:t>
      </w:r>
    </w:p>
    <w:p w14:paraId="1A4C03F5" w14:textId="77777777" w:rsidR="009F0AE7" w:rsidRPr="004B4893" w:rsidRDefault="009F0AE7" w:rsidP="004B4893">
      <w:pPr>
        <w:spacing w:before="3" w:after="3" w:line="240" w:lineRule="auto"/>
        <w:jc w:val="both"/>
        <w:rPr>
          <w:rFonts w:ascii="Trebuchet MS" w:hAnsi="Trebuchet MS" w:cs="Arial"/>
          <w:sz w:val="24"/>
          <w:szCs w:val="24"/>
          <w:lang w:val="es-ES"/>
        </w:rPr>
      </w:pPr>
    </w:p>
    <w:p w14:paraId="714082C0"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Sin embargo, al verificar la actuación de dichos operadores en los territorios, se evidencia el desconocimiento o inaplicación de dichas herramientas. Se requiere entonces un esfuerzo mayor por parte de las entidades del nivel central para que su personal aplique los instrumentos que se han creado, sancionando además las actuaciones contrarias a lo establecido en normas o protocolos. </w:t>
      </w:r>
    </w:p>
    <w:p w14:paraId="52E4FB28" w14:textId="77777777" w:rsidR="009F0AE7" w:rsidRPr="004B4893" w:rsidRDefault="009F0AE7" w:rsidP="004B4893">
      <w:pPr>
        <w:spacing w:before="3" w:after="3" w:line="240" w:lineRule="auto"/>
        <w:jc w:val="both"/>
        <w:rPr>
          <w:rFonts w:ascii="Trebuchet MS" w:hAnsi="Trebuchet MS" w:cs="Arial"/>
          <w:sz w:val="24"/>
          <w:szCs w:val="24"/>
          <w:lang w:val="es-ES"/>
        </w:rPr>
      </w:pPr>
    </w:p>
    <w:p w14:paraId="35840DAA"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Dentro del acompañamiento que realiza la Defensoría a las mujeres, se evidencia como uno de los principales obstáculos la llamada “revictimización" a la que se enfrentan al momento de denunciar reflejando los prejuicios y estereotipos de los/las funcionarios/as. </w:t>
      </w:r>
    </w:p>
    <w:p w14:paraId="260D0E52" w14:textId="77777777" w:rsidR="009F0AE7" w:rsidRPr="004B4893" w:rsidRDefault="009F0AE7" w:rsidP="004B4893">
      <w:pPr>
        <w:spacing w:before="3" w:after="3" w:line="240" w:lineRule="auto"/>
        <w:jc w:val="both"/>
        <w:rPr>
          <w:rFonts w:ascii="Trebuchet MS" w:hAnsi="Trebuchet MS" w:cs="Arial"/>
          <w:sz w:val="24"/>
          <w:szCs w:val="24"/>
          <w:lang w:val="es-ES"/>
        </w:rPr>
      </w:pPr>
    </w:p>
    <w:p w14:paraId="5DEB3847"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Se requieren estrategias de sensibilización, capacitación y formación que logren transformar estos patrones culturales que se manifiestan en las atenciones. Jurisprudencia reciente de la Corte Constitucional y la Corte Suprema han apoyado el mensaje de no revictimizar e incurrir en violencia institucional.</w:t>
      </w:r>
    </w:p>
    <w:p w14:paraId="23DAE97D" w14:textId="77777777" w:rsidR="009F0AE7" w:rsidRPr="004B4893" w:rsidRDefault="009F0AE7" w:rsidP="004B4893">
      <w:pPr>
        <w:spacing w:before="3" w:after="3" w:line="240" w:lineRule="auto"/>
        <w:jc w:val="both"/>
        <w:rPr>
          <w:rFonts w:ascii="Trebuchet MS" w:hAnsi="Trebuchet MS" w:cs="Arial"/>
          <w:sz w:val="24"/>
          <w:szCs w:val="24"/>
          <w:lang w:val="es-ES"/>
        </w:rPr>
      </w:pPr>
    </w:p>
    <w:p w14:paraId="203C3741"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Las comisarías de familia, como puerta de entrada a la mayoría de casos de violencia contra las mujeres deben fortalecerse. En el marco del proceso de reforma a las comisarías, liderado por el gobierno, la Defensoría ha recomendado revisar las funciones que les han sido asignadas; hacer énfasis en el seguimiento a las medidas de protección; y verificar que se abarquen las violencias contra las </w:t>
      </w:r>
      <w:r w:rsidRPr="004B4893">
        <w:rPr>
          <w:rFonts w:ascii="Trebuchet MS" w:hAnsi="Trebuchet MS" w:cs="Arial"/>
          <w:sz w:val="24"/>
          <w:szCs w:val="24"/>
          <w:lang w:val="es-ES"/>
        </w:rPr>
        <w:lastRenderedPageBreak/>
        <w:t xml:space="preserve">mujeres de manera amplia y no solamente la que ocurre en el marco de la familia. </w:t>
      </w:r>
    </w:p>
    <w:p w14:paraId="41208018" w14:textId="77777777" w:rsidR="009F0AE7" w:rsidRPr="004B4893" w:rsidRDefault="009F0AE7" w:rsidP="004B4893">
      <w:pPr>
        <w:spacing w:before="3" w:after="3" w:line="240" w:lineRule="auto"/>
        <w:jc w:val="both"/>
        <w:rPr>
          <w:rFonts w:ascii="Trebuchet MS" w:hAnsi="Trebuchet MS" w:cs="Arial"/>
          <w:sz w:val="24"/>
          <w:szCs w:val="24"/>
          <w:lang w:val="es-ES"/>
        </w:rPr>
      </w:pPr>
    </w:p>
    <w:p w14:paraId="16DEFD80"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Algunas organizaciones y víctimas advierten causas estructurales que impiden la denuncia misma, el estigma social contra las mujeres víctimas de estos delitos, la desconfianza en el sistema de justicia, y los tiempos excesivos del sistema de justicia colombiano para llevar a cabo la investigación y el juicio. </w:t>
      </w:r>
    </w:p>
    <w:p w14:paraId="03AFD6BE" w14:textId="77777777" w:rsidR="009F0AE7" w:rsidRPr="004B4893" w:rsidRDefault="009F0AE7" w:rsidP="004B4893">
      <w:pPr>
        <w:spacing w:before="3" w:after="3" w:line="240" w:lineRule="auto"/>
        <w:jc w:val="both"/>
        <w:rPr>
          <w:rFonts w:ascii="Trebuchet MS" w:hAnsi="Trebuchet MS" w:cs="Arial"/>
          <w:sz w:val="24"/>
          <w:szCs w:val="24"/>
          <w:lang w:val="es-ES"/>
        </w:rPr>
      </w:pPr>
    </w:p>
    <w:p w14:paraId="0BCDF631"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En el marco de las atenciones realizadas por la Defensoría así como de su participación en el Comité de la Ley 1257, la entidad ha evidenciado las barreras que enfrentan las mujeres indígenas al denunciar la violencia en su contra. Esto se debe principalmente al conflicto que se presenta entre la jurisdicción indígena y la ordinaria. Además de no contar con rutas diferenciadas de atención. </w:t>
      </w:r>
    </w:p>
    <w:p w14:paraId="776A6DFE" w14:textId="77777777" w:rsidR="009F0AE7" w:rsidRPr="004B4893" w:rsidRDefault="009F0AE7" w:rsidP="004B4893">
      <w:pPr>
        <w:spacing w:before="3" w:after="3" w:line="240" w:lineRule="auto"/>
        <w:jc w:val="both"/>
        <w:rPr>
          <w:rFonts w:ascii="Trebuchet MS" w:hAnsi="Trebuchet MS" w:cs="Arial"/>
          <w:sz w:val="24"/>
          <w:szCs w:val="24"/>
          <w:lang w:val="es-ES"/>
        </w:rPr>
      </w:pPr>
    </w:p>
    <w:p w14:paraId="490AB251"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Algunas organizaciones advierten las fallas en la coordinación y la atención del Instituto Colombiano de Medicina Legal con los servicios de salud en lo relacionado con la recolección de la evidencia de cara a la obtención de un enjuiciamiento exitoso (Corporación Sisma Mujer, 2011, p. 19).</w:t>
      </w:r>
    </w:p>
    <w:p w14:paraId="3A67AFCF" w14:textId="77777777" w:rsidR="009F0AE7" w:rsidRPr="004B4893" w:rsidRDefault="009F0AE7" w:rsidP="004B4893">
      <w:pPr>
        <w:spacing w:before="3" w:after="3" w:line="240" w:lineRule="auto"/>
        <w:jc w:val="both"/>
        <w:rPr>
          <w:rFonts w:ascii="Trebuchet MS" w:hAnsi="Trebuchet MS" w:cs="Arial"/>
          <w:sz w:val="24"/>
          <w:szCs w:val="24"/>
          <w:lang w:val="es-ES"/>
        </w:rPr>
      </w:pPr>
    </w:p>
    <w:p w14:paraId="36D05EA2" w14:textId="2D2CB476"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Con respecto a los sistemas de justicia transicional las mujeres v</w:t>
      </w:r>
      <w:r w:rsidR="00FC4E23">
        <w:rPr>
          <w:rFonts w:ascii="Trebuchet MS" w:hAnsi="Trebuchet MS" w:cs="Arial"/>
          <w:sz w:val="24"/>
          <w:szCs w:val="24"/>
          <w:lang w:val="es-ES"/>
        </w:rPr>
        <w:t>í</w:t>
      </w:r>
      <w:r w:rsidRPr="004B4893">
        <w:rPr>
          <w:rFonts w:ascii="Trebuchet MS" w:hAnsi="Trebuchet MS" w:cs="Arial"/>
          <w:sz w:val="24"/>
          <w:szCs w:val="24"/>
          <w:lang w:val="es-ES"/>
        </w:rPr>
        <w:t>ctimas que acudieron al proceso de Justicia y Paz, manifestaron que cuando tienen la posibilidad de contar con asesoría, generalmente suministrada por organizaciones de mujeres, se restringe el acceso de los abogados a la práctica de pruebas, limitándolo a la posibilidad de interrogar a los acusados, pero impidiendo acceder a las pruebas de la Fiscalía. La participación de las víctimas se reduce al incidente de reparación integral, que es solo la fase final del proceso (Dejusticia, 2017, p. 14).</w:t>
      </w:r>
    </w:p>
    <w:p w14:paraId="72CB3CCC" w14:textId="77777777" w:rsidR="009F0AE7" w:rsidRPr="004B4893" w:rsidRDefault="009F0AE7" w:rsidP="004B4893">
      <w:pPr>
        <w:spacing w:before="3" w:after="3" w:line="240" w:lineRule="auto"/>
        <w:jc w:val="both"/>
        <w:rPr>
          <w:rFonts w:ascii="Trebuchet MS" w:hAnsi="Trebuchet MS" w:cs="Arial"/>
          <w:sz w:val="24"/>
          <w:szCs w:val="24"/>
          <w:lang w:val="es-ES"/>
        </w:rPr>
      </w:pPr>
    </w:p>
    <w:p w14:paraId="79E8570A" w14:textId="77777777" w:rsid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r w:rsidRPr="004B4893">
        <w:rPr>
          <w:rFonts w:ascii="Trebuchet MS" w:hAnsi="Trebuchet MS" w:cs="Arial"/>
          <w:sz w:val="24"/>
          <w:szCs w:val="24"/>
          <w:lang w:val="es-ES"/>
        </w:rPr>
        <w:t>En relación a las víctimas de violencia sexual, preocupa a la Defensoría que, aunque Medicina Le</w:t>
      </w:r>
      <w:r w:rsidR="00D32A8E">
        <w:rPr>
          <w:rFonts w:ascii="Trebuchet MS" w:hAnsi="Trebuchet MS" w:cs="Arial"/>
          <w:sz w:val="24"/>
          <w:szCs w:val="24"/>
          <w:lang w:val="es-ES"/>
        </w:rPr>
        <w:t>gal reporta un incremento del 12.76</w:t>
      </w:r>
      <w:r w:rsidRPr="004B4893">
        <w:rPr>
          <w:rFonts w:ascii="Trebuchet MS" w:hAnsi="Trebuchet MS" w:cs="Arial"/>
          <w:sz w:val="24"/>
          <w:szCs w:val="24"/>
          <w:lang w:val="es-ES"/>
        </w:rPr>
        <w:t>% en los casos de</w:t>
      </w:r>
      <w:r w:rsidR="00D32A8E">
        <w:rPr>
          <w:rFonts w:ascii="Trebuchet MS" w:hAnsi="Trebuchet MS" w:cs="Arial"/>
          <w:sz w:val="24"/>
          <w:szCs w:val="24"/>
          <w:lang w:val="es-ES"/>
        </w:rPr>
        <w:t xml:space="preserve"> este delito (2018</w:t>
      </w:r>
      <w:r w:rsidRPr="004B4893">
        <w:rPr>
          <w:rFonts w:ascii="Trebuchet MS" w:hAnsi="Trebuchet MS" w:cs="Arial"/>
          <w:sz w:val="24"/>
          <w:szCs w:val="24"/>
          <w:lang w:val="es-ES"/>
        </w:rPr>
        <w:t xml:space="preserve">), la Fiscalía no logra mostrar un incremento significativo en el avance de estos procesos. </w:t>
      </w:r>
      <w:r w:rsidRPr="004B4893">
        <w:rPr>
          <w:rFonts w:ascii="Trebuchet MS" w:eastAsia="Trebuchet MS" w:hAnsi="Trebuchet MS" w:cs="Trebuchet MS"/>
          <w:color w:val="000000" w:themeColor="text1"/>
          <w:sz w:val="24"/>
          <w:szCs w:val="24"/>
          <w:lang w:val="es-ES"/>
        </w:rPr>
        <w:t>Si bien existe un protocolo para la atención de estos hechos, las clínicas y hospitales aducen no tener dotaciones para cumplir con dicho protocolo.</w:t>
      </w:r>
    </w:p>
    <w:p w14:paraId="6160216D" w14:textId="77777777" w:rsidR="009F0AE7" w:rsidRPr="004B4893" w:rsidRDefault="009F0AE7" w:rsidP="004B4893">
      <w:pPr>
        <w:spacing w:before="3" w:after="3" w:line="240" w:lineRule="auto"/>
        <w:jc w:val="both"/>
        <w:rPr>
          <w:rFonts w:ascii="Trebuchet MS" w:hAnsi="Trebuchet MS" w:cs="Arial"/>
          <w:sz w:val="24"/>
          <w:szCs w:val="24"/>
          <w:lang w:val="es-ES"/>
        </w:rPr>
      </w:pPr>
    </w:p>
    <w:p w14:paraId="3FEF4A1C"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Existe una alta expectativa relacionada con la manera en que l</w:t>
      </w:r>
      <w:r w:rsidRPr="004B4893">
        <w:rPr>
          <w:rFonts w:ascii="Trebuchet MS" w:eastAsia="Trebuchet MS" w:hAnsi="Trebuchet MS" w:cs="Trebuchet MS"/>
          <w:sz w:val="24"/>
          <w:szCs w:val="24"/>
          <w:lang w:val="es-ES"/>
        </w:rPr>
        <w:t>a Justicia Especial para la Paz investigará y juzgará</w:t>
      </w:r>
      <w:r w:rsidRPr="004B4893">
        <w:rPr>
          <w:rFonts w:ascii="Trebuchet MS" w:hAnsi="Trebuchet MS" w:cs="Arial"/>
          <w:sz w:val="24"/>
          <w:szCs w:val="24"/>
          <w:lang w:val="es-ES"/>
        </w:rPr>
        <w:t xml:space="preserve"> los casos de violencia sexual garantizando la participación de las víctimas, el reconocimiento de los hechos por parte de los procesados y las medidas de reparación con un efectivo componente restaurador. </w:t>
      </w:r>
    </w:p>
    <w:p w14:paraId="59FAE325" w14:textId="77777777" w:rsidR="009F0AE7" w:rsidRPr="004B4893" w:rsidRDefault="009F0AE7" w:rsidP="004B4893">
      <w:pPr>
        <w:spacing w:before="3" w:after="3" w:line="240" w:lineRule="auto"/>
        <w:jc w:val="both"/>
        <w:rPr>
          <w:rFonts w:ascii="Trebuchet MS" w:hAnsi="Trebuchet MS" w:cs="Arial"/>
          <w:sz w:val="24"/>
          <w:szCs w:val="24"/>
          <w:lang w:val="es-ES"/>
        </w:rPr>
      </w:pPr>
    </w:p>
    <w:p w14:paraId="08E8ED85"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Con el fin de aportar, desde sus competencias, en materia de acceso a la justicia y a las medidas de atención, La Defensoría del Pueblo, expidió la Resolución 079 de 2018 mediante la cual se adopta el plan de atención integral y la ruta defensorial para víctimas de violencia sexual, esta no solo busca una articulación interna sino que además establece la activación de las demás rutas institucionales, incluyendo la de justicia. </w:t>
      </w:r>
    </w:p>
    <w:p w14:paraId="6AECAA15" w14:textId="77777777" w:rsidR="009F0AE7" w:rsidRPr="004B4893" w:rsidRDefault="009F0AE7" w:rsidP="004B4893">
      <w:pPr>
        <w:spacing w:before="3" w:after="3" w:line="240" w:lineRule="auto"/>
        <w:jc w:val="both"/>
        <w:rPr>
          <w:rFonts w:ascii="Trebuchet MS" w:hAnsi="Trebuchet MS" w:cs="Arial"/>
          <w:sz w:val="24"/>
          <w:szCs w:val="24"/>
          <w:lang w:val="es-ES"/>
        </w:rPr>
      </w:pPr>
    </w:p>
    <w:p w14:paraId="1445CC43" w14:textId="77777777" w:rsidR="004B4893" w:rsidRP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Desde el año 2017 creó el Programa de género de la Defensoría Pública que busca cualificar la representación judicial a las víctimas con un adecuado enfoque de género. Hasta diciembre de 2018 la Defensoría tenía la representación de 10.029 víctimas de violencias basadas en género.</w:t>
      </w:r>
    </w:p>
    <w:p w14:paraId="54B9D7B7" w14:textId="77777777" w:rsidR="004B4893" w:rsidRPr="004B4893" w:rsidRDefault="004B4893" w:rsidP="004B4893">
      <w:pPr>
        <w:spacing w:before="3" w:after="3" w:line="240" w:lineRule="auto"/>
        <w:jc w:val="both"/>
        <w:rPr>
          <w:rFonts w:ascii="Trebuchet MS" w:hAnsi="Trebuchet MS" w:cs="Arial"/>
          <w:sz w:val="24"/>
          <w:szCs w:val="24"/>
          <w:lang w:val="es-ES"/>
        </w:rPr>
      </w:pPr>
    </w:p>
    <w:p w14:paraId="78957C37" w14:textId="77777777" w:rsidR="004B4893" w:rsidRDefault="004B4893" w:rsidP="004B4893">
      <w:pPr>
        <w:spacing w:before="3" w:after="3" w:line="240" w:lineRule="auto"/>
        <w:rPr>
          <w:rFonts w:ascii="Trebuchet MS" w:hAnsi="Trebuchet MS"/>
          <w:b/>
          <w:sz w:val="24"/>
          <w:szCs w:val="24"/>
          <w:u w:val="single"/>
        </w:rPr>
      </w:pPr>
      <w:r w:rsidRPr="004B4893">
        <w:rPr>
          <w:rFonts w:ascii="Trebuchet MS" w:hAnsi="Trebuchet MS"/>
          <w:b/>
          <w:sz w:val="24"/>
          <w:szCs w:val="24"/>
          <w:u w:val="single"/>
        </w:rPr>
        <w:t>LAS MUJERES Y LA PAZ Y LA SEGURIDAD</w:t>
      </w:r>
    </w:p>
    <w:p w14:paraId="19CB4A09" w14:textId="77777777" w:rsidR="004B4893" w:rsidRPr="004B4893" w:rsidRDefault="004B4893" w:rsidP="004B4893">
      <w:pPr>
        <w:spacing w:before="3" w:after="3" w:line="240" w:lineRule="auto"/>
        <w:rPr>
          <w:rFonts w:ascii="Trebuchet MS" w:hAnsi="Trebuchet MS"/>
          <w:b/>
          <w:sz w:val="24"/>
          <w:szCs w:val="24"/>
          <w:u w:val="single"/>
        </w:rPr>
      </w:pPr>
    </w:p>
    <w:p w14:paraId="26E3FF15" w14:textId="77777777" w:rsidR="004B4893" w:rsidRDefault="004B4893" w:rsidP="004B4893">
      <w:pPr>
        <w:widowControl w:val="0"/>
        <w:spacing w:before="3" w:after="3" w:line="240" w:lineRule="auto"/>
        <w:jc w:val="both"/>
        <w:rPr>
          <w:rFonts w:ascii="Trebuchet MS" w:hAnsi="Trebuchet MS"/>
          <w:sz w:val="24"/>
          <w:szCs w:val="24"/>
        </w:rPr>
      </w:pPr>
      <w:r w:rsidRPr="004B4893">
        <w:rPr>
          <w:rFonts w:ascii="Trebuchet MS" w:hAnsi="Trebuchet MS"/>
          <w:sz w:val="24"/>
          <w:szCs w:val="24"/>
        </w:rPr>
        <w:t>Las mujeres y sus organizaciones han tenido un rol esencial en la incorporación del enfoque de género en el Acuerdo Final y en el seguimiento a su implementación</w:t>
      </w:r>
      <w:r w:rsidRPr="004B4893">
        <w:rPr>
          <w:rFonts w:ascii="Trebuchet MS" w:hAnsi="Trebuchet MS"/>
          <w:b/>
          <w:bCs/>
          <w:sz w:val="24"/>
          <w:szCs w:val="24"/>
        </w:rPr>
        <w:t xml:space="preserve">. </w:t>
      </w:r>
      <w:r w:rsidRPr="004B4893">
        <w:rPr>
          <w:rFonts w:ascii="Trebuchet MS" w:hAnsi="Trebuchet MS"/>
          <w:sz w:val="24"/>
          <w:szCs w:val="24"/>
        </w:rPr>
        <w:t>Los diferentes informes publicados tanto por dichas organizaciones como por las instancias encargadas de hacer el seguimiento, evidencian rezagos en la implementación de las medidas relativas a las mujeres.</w:t>
      </w:r>
    </w:p>
    <w:p w14:paraId="13BD8ADE" w14:textId="77777777" w:rsidR="00A342A4" w:rsidRPr="004B4893" w:rsidRDefault="00A342A4" w:rsidP="004B4893">
      <w:pPr>
        <w:widowControl w:val="0"/>
        <w:spacing w:before="3" w:after="3" w:line="240" w:lineRule="auto"/>
        <w:jc w:val="both"/>
        <w:rPr>
          <w:rFonts w:ascii="Trebuchet MS" w:hAnsi="Trebuchet MS"/>
          <w:sz w:val="24"/>
          <w:szCs w:val="24"/>
        </w:rPr>
      </w:pPr>
    </w:p>
    <w:p w14:paraId="69853000" w14:textId="63A280B9" w:rsidR="004B4893" w:rsidRDefault="004B4893" w:rsidP="004B4893">
      <w:pPr>
        <w:widowControl w:val="0"/>
        <w:spacing w:before="3" w:after="3" w:line="240" w:lineRule="auto"/>
        <w:jc w:val="both"/>
        <w:rPr>
          <w:rFonts w:ascii="Trebuchet MS" w:hAnsi="Trebuchet MS" w:cs="Arial"/>
          <w:sz w:val="24"/>
          <w:szCs w:val="24"/>
        </w:rPr>
      </w:pPr>
      <w:r w:rsidRPr="004B4893">
        <w:rPr>
          <w:rFonts w:ascii="Trebuchet MS" w:hAnsi="Trebuchet MS" w:cs="Arial"/>
          <w:sz w:val="24"/>
          <w:szCs w:val="24"/>
        </w:rPr>
        <w:t xml:space="preserve">Si bien el Plan Marco de Implementación reconoce 51 indicadores de género del Acuerdo Final, se pueden identificar por los menos 86 indicadores. </w:t>
      </w:r>
      <w:r w:rsidR="0054137C">
        <w:rPr>
          <w:rFonts w:ascii="Trebuchet MS" w:hAnsi="Trebuchet MS" w:cs="Arial"/>
          <w:sz w:val="24"/>
          <w:szCs w:val="24"/>
        </w:rPr>
        <w:t>No se observa un reporte en el avance de los mismos.</w:t>
      </w:r>
    </w:p>
    <w:p w14:paraId="358F6989" w14:textId="77777777" w:rsidR="009F0AE7" w:rsidRPr="004B4893" w:rsidRDefault="009F0AE7" w:rsidP="004B4893">
      <w:pPr>
        <w:widowControl w:val="0"/>
        <w:spacing w:before="3" w:after="3" w:line="240" w:lineRule="auto"/>
        <w:jc w:val="both"/>
        <w:rPr>
          <w:rFonts w:ascii="Trebuchet MS" w:hAnsi="Trebuchet MS" w:cs="Arial"/>
          <w:sz w:val="24"/>
          <w:szCs w:val="24"/>
        </w:rPr>
      </w:pPr>
    </w:p>
    <w:p w14:paraId="59D07812" w14:textId="77777777" w:rsidR="004B4893" w:rsidRDefault="004B4893" w:rsidP="004B4893">
      <w:pPr>
        <w:spacing w:before="3" w:after="3" w:line="240" w:lineRule="auto"/>
        <w:jc w:val="both"/>
        <w:rPr>
          <w:rFonts w:ascii="Trebuchet MS" w:hAnsi="Trebuchet MS" w:cs="Arial"/>
          <w:sz w:val="24"/>
          <w:szCs w:val="24"/>
        </w:rPr>
      </w:pPr>
      <w:r w:rsidRPr="004B4893">
        <w:rPr>
          <w:rFonts w:ascii="Trebuchet MS" w:hAnsi="Trebuchet MS" w:cs="Arial"/>
          <w:sz w:val="24"/>
          <w:szCs w:val="24"/>
        </w:rPr>
        <w:t xml:space="preserve">Las mujeres en los territorios reconocen los espacios que les han sido abiertos a través de las figuras creadas por el acuerdo para participar y aportar en los procesos. Los retos persisten en garantizar una participación que realmente incida en la toma de decisiones. </w:t>
      </w:r>
    </w:p>
    <w:p w14:paraId="2D9B396F" w14:textId="77777777" w:rsidR="009F0AE7" w:rsidRPr="004B4893" w:rsidRDefault="009F0AE7" w:rsidP="004B4893">
      <w:pPr>
        <w:spacing w:before="3" w:after="3" w:line="240" w:lineRule="auto"/>
        <w:jc w:val="both"/>
        <w:rPr>
          <w:rFonts w:ascii="Trebuchet MS" w:hAnsi="Trebuchet MS" w:cs="Arial"/>
          <w:sz w:val="24"/>
          <w:szCs w:val="24"/>
        </w:rPr>
      </w:pPr>
    </w:p>
    <w:p w14:paraId="36F72A92" w14:textId="514B791D" w:rsidR="004B4893" w:rsidRDefault="004B4893" w:rsidP="004B4893">
      <w:pPr>
        <w:spacing w:before="3" w:after="3" w:line="240" w:lineRule="auto"/>
        <w:jc w:val="both"/>
        <w:rPr>
          <w:rFonts w:ascii="Trebuchet MS" w:hAnsi="Trebuchet MS" w:cs="Arial"/>
          <w:sz w:val="24"/>
          <w:szCs w:val="24"/>
        </w:rPr>
      </w:pPr>
      <w:r w:rsidRPr="004B4893">
        <w:rPr>
          <w:rFonts w:ascii="Trebuchet MS" w:hAnsi="Trebuchet MS" w:cs="Arial"/>
          <w:sz w:val="24"/>
          <w:szCs w:val="24"/>
        </w:rPr>
        <w:t>Se reconoce también la participación casi paritaria de las mujeres en lo</w:t>
      </w:r>
      <w:r w:rsidR="00FC4E23">
        <w:rPr>
          <w:rFonts w:ascii="Trebuchet MS" w:hAnsi="Trebuchet MS" w:cs="Arial"/>
          <w:sz w:val="24"/>
          <w:szCs w:val="24"/>
        </w:rPr>
        <w:t>s</w:t>
      </w:r>
      <w:r w:rsidRPr="004B4893">
        <w:rPr>
          <w:rFonts w:ascii="Trebuchet MS" w:hAnsi="Trebuchet MS" w:cs="Arial"/>
          <w:sz w:val="24"/>
          <w:szCs w:val="24"/>
        </w:rPr>
        <w:t xml:space="preserve"> órganos del Sistema integral de Verdad, Justicia, Reparación y no Repetición </w:t>
      </w:r>
      <w:r w:rsidR="00440DCB">
        <w:rPr>
          <w:rFonts w:ascii="Trebuchet MS" w:hAnsi="Trebuchet MS" w:cs="Arial"/>
          <w:sz w:val="24"/>
          <w:szCs w:val="24"/>
        </w:rPr>
        <w:t>l</w:t>
      </w:r>
      <w:r w:rsidRPr="004B4893">
        <w:rPr>
          <w:rFonts w:ascii="Trebuchet MS" w:hAnsi="Trebuchet MS" w:cs="Arial"/>
          <w:sz w:val="24"/>
          <w:szCs w:val="24"/>
        </w:rPr>
        <w:t xml:space="preserve">o cual ha incidido en la creación de instancias y procesos especiales al interior, </w:t>
      </w:r>
      <w:r w:rsidR="00440DCB">
        <w:rPr>
          <w:rFonts w:ascii="Trebuchet MS" w:hAnsi="Trebuchet MS" w:cs="Arial"/>
          <w:sz w:val="24"/>
          <w:szCs w:val="24"/>
        </w:rPr>
        <w:t>que</w:t>
      </w:r>
      <w:r w:rsidRPr="004B4893">
        <w:rPr>
          <w:rFonts w:ascii="Trebuchet MS" w:hAnsi="Trebuchet MS" w:cs="Arial"/>
          <w:sz w:val="24"/>
          <w:szCs w:val="24"/>
        </w:rPr>
        <w:t xml:space="preserve"> deben garantizar el enfoque de género.</w:t>
      </w:r>
    </w:p>
    <w:p w14:paraId="4328F54F" w14:textId="77777777" w:rsidR="009F0AE7" w:rsidRPr="004B4893" w:rsidRDefault="009F0AE7" w:rsidP="004B4893">
      <w:pPr>
        <w:spacing w:before="3" w:after="3" w:line="240" w:lineRule="auto"/>
        <w:jc w:val="both"/>
        <w:rPr>
          <w:rFonts w:ascii="Trebuchet MS" w:hAnsi="Trebuchet MS" w:cs="Arial"/>
          <w:sz w:val="24"/>
          <w:szCs w:val="24"/>
        </w:rPr>
      </w:pPr>
    </w:p>
    <w:p w14:paraId="1557C27A" w14:textId="77777777" w:rsidR="004B4893" w:rsidRPr="004B4893" w:rsidRDefault="004B4893" w:rsidP="004B4893">
      <w:pPr>
        <w:widowControl w:val="0"/>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Del total de casos de mujeres víctimas de violencia atendidos por las duplas de género, conocidos por la Defensoría, el 26% manifestaron ser víctimas del conflicto armado interno. Los hechos victimizantes más identificados fueron el desplazamiento forzado, la violencia sexual y la amenaza. </w:t>
      </w:r>
    </w:p>
    <w:p w14:paraId="62CC6F93" w14:textId="77777777" w:rsidR="004B4893" w:rsidRPr="004B4893" w:rsidRDefault="004B4893" w:rsidP="004B4893">
      <w:pPr>
        <w:widowControl w:val="0"/>
        <w:spacing w:before="3" w:after="3" w:line="240" w:lineRule="auto"/>
        <w:jc w:val="both"/>
        <w:rPr>
          <w:rFonts w:ascii="Trebuchet MS" w:hAnsi="Trebuchet MS" w:cs="Arial"/>
          <w:sz w:val="24"/>
          <w:szCs w:val="24"/>
          <w:lang w:val="es-ES"/>
        </w:rPr>
      </w:pPr>
    </w:p>
    <w:p w14:paraId="57E14F84" w14:textId="77777777" w:rsidR="004B4893" w:rsidRDefault="004B4893" w:rsidP="004B4893">
      <w:pPr>
        <w:widowControl w:val="0"/>
        <w:spacing w:before="3" w:after="3" w:line="240" w:lineRule="auto"/>
        <w:jc w:val="both"/>
        <w:rPr>
          <w:rFonts w:ascii="Trebuchet MS" w:hAnsi="Trebuchet MS"/>
          <w:sz w:val="24"/>
          <w:szCs w:val="24"/>
        </w:rPr>
      </w:pPr>
      <w:r w:rsidRPr="004B4893">
        <w:rPr>
          <w:rFonts w:ascii="Trebuchet MS" w:hAnsi="Trebuchet MS"/>
          <w:sz w:val="24"/>
          <w:szCs w:val="24"/>
        </w:rPr>
        <w:t xml:space="preserve">De manera frecuente, estas mujeres atendidas manifiestan haber sido víctimas de otras formas de VBG. Así, por ejemplo, 24% de mujeres víctimas del conflicto manifestaron haber sido víctimas también de las modalidades de violencia concebidas en la Ley 1257, fuera del contexto del conflicto armado. </w:t>
      </w:r>
    </w:p>
    <w:p w14:paraId="79B4511E" w14:textId="77777777" w:rsidR="009F0AE7" w:rsidRPr="004B4893" w:rsidRDefault="009F0AE7" w:rsidP="004B4893">
      <w:pPr>
        <w:widowControl w:val="0"/>
        <w:spacing w:before="3" w:after="3" w:line="240" w:lineRule="auto"/>
        <w:jc w:val="both"/>
        <w:rPr>
          <w:rFonts w:ascii="Trebuchet MS" w:hAnsi="Trebuchet MS"/>
          <w:sz w:val="24"/>
          <w:szCs w:val="24"/>
        </w:rPr>
      </w:pPr>
    </w:p>
    <w:p w14:paraId="1598E7C2" w14:textId="77777777" w:rsidR="004B4893" w:rsidRDefault="004B4893" w:rsidP="004B4893">
      <w:pPr>
        <w:spacing w:before="3" w:after="3" w:line="240" w:lineRule="auto"/>
        <w:jc w:val="both"/>
        <w:rPr>
          <w:rFonts w:ascii="Trebuchet MS" w:hAnsi="Trebuchet MS"/>
          <w:sz w:val="24"/>
          <w:szCs w:val="24"/>
          <w:lang w:val="es-ES"/>
        </w:rPr>
      </w:pPr>
      <w:r w:rsidRPr="004B4893">
        <w:rPr>
          <w:rFonts w:ascii="Trebuchet MS" w:hAnsi="Trebuchet MS"/>
          <w:sz w:val="24"/>
          <w:szCs w:val="24"/>
          <w:lang w:val="es-ES"/>
        </w:rPr>
        <w:t>Resultan preocupantes los porcentajes de mujer</w:t>
      </w:r>
      <w:r w:rsidR="009F0AE7">
        <w:rPr>
          <w:rFonts w:ascii="Trebuchet MS" w:hAnsi="Trebuchet MS"/>
          <w:sz w:val="24"/>
          <w:szCs w:val="24"/>
          <w:lang w:val="es-ES"/>
        </w:rPr>
        <w:t>es indígenas y afrodescendientes</w:t>
      </w:r>
      <w:r w:rsidRPr="004B4893">
        <w:rPr>
          <w:rFonts w:ascii="Trebuchet MS" w:hAnsi="Trebuchet MS"/>
          <w:sz w:val="24"/>
          <w:szCs w:val="24"/>
          <w:lang w:val="es-ES"/>
        </w:rPr>
        <w:t xml:space="preserve"> que reportaron a la Defensoría haber sido víctimas del conflicto. Específicamente, el 21% de las mujeres víctimas de desplazamiento forzado atendidas fueron afrodescendientes y el 5.1% indígenas.</w:t>
      </w:r>
    </w:p>
    <w:p w14:paraId="25FFBAB2" w14:textId="77777777" w:rsidR="009F0AE7" w:rsidRPr="004B4893" w:rsidRDefault="009F0AE7" w:rsidP="004B4893">
      <w:pPr>
        <w:spacing w:before="3" w:after="3" w:line="240" w:lineRule="auto"/>
        <w:jc w:val="both"/>
        <w:rPr>
          <w:rFonts w:ascii="Trebuchet MS" w:hAnsi="Trebuchet MS"/>
          <w:sz w:val="24"/>
          <w:szCs w:val="24"/>
          <w:lang w:val="es-ES"/>
        </w:rPr>
      </w:pPr>
    </w:p>
    <w:p w14:paraId="5EAA0180"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A través del Sistema de Alertas Tempranas (SAT) de la Defensoría, se ha alertado acerca de los efectos que esta teniendo sobre la vida de las mujeres la recomposición de grupos armados en los territorios, con posterioridad a la salida </w:t>
      </w:r>
      <w:r w:rsidRPr="004B4893">
        <w:rPr>
          <w:rFonts w:ascii="Trebuchet MS" w:hAnsi="Trebuchet MS"/>
          <w:sz w:val="24"/>
          <w:szCs w:val="24"/>
        </w:rPr>
        <w:lastRenderedPageBreak/>
        <w:t xml:space="preserve">de las FARC. Esto tiene un impacto directo sobre el riesgo de violencia sexual, reclutamiento ilícito de menores y trata de personas. </w:t>
      </w:r>
    </w:p>
    <w:p w14:paraId="3B08663D" w14:textId="77777777" w:rsidR="004B4893" w:rsidRPr="004B4893" w:rsidRDefault="004B4893" w:rsidP="004B4893">
      <w:pPr>
        <w:spacing w:before="3" w:after="3" w:line="240" w:lineRule="auto"/>
        <w:jc w:val="both"/>
        <w:rPr>
          <w:rFonts w:ascii="Trebuchet MS" w:hAnsi="Trebuchet MS"/>
          <w:sz w:val="24"/>
          <w:szCs w:val="24"/>
        </w:rPr>
      </w:pPr>
    </w:p>
    <w:p w14:paraId="4C470ABA" w14:textId="1142F8B2"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Frente a las medidas de atención psicosocial a mujeres víctimas del conflicto, estas siguen preocupando a la Defensoría pues, a pesar de los programas implementados, se reciben quejas por parte de las beneficiarias sobre la falta de continuidad en los programas y las barreras de acceso a los mismo</w:t>
      </w:r>
      <w:r w:rsidR="00FC4E23">
        <w:rPr>
          <w:rFonts w:ascii="Trebuchet MS" w:hAnsi="Trebuchet MS"/>
          <w:sz w:val="24"/>
          <w:szCs w:val="24"/>
        </w:rPr>
        <w:t>s</w:t>
      </w:r>
      <w:r w:rsidRPr="004B4893">
        <w:rPr>
          <w:rFonts w:ascii="Trebuchet MS" w:hAnsi="Trebuchet MS"/>
          <w:sz w:val="24"/>
          <w:szCs w:val="24"/>
        </w:rPr>
        <w:t>. Esto fue reconocido por la Corte Constitucional en el auto 737 de 2017.</w:t>
      </w:r>
      <w:r w:rsidR="009F0AE7">
        <w:rPr>
          <w:rFonts w:ascii="Trebuchet MS" w:hAnsi="Trebuchet MS"/>
          <w:sz w:val="24"/>
          <w:szCs w:val="24"/>
        </w:rPr>
        <w:t xml:space="preserve"> </w:t>
      </w:r>
    </w:p>
    <w:p w14:paraId="5C734FDE" w14:textId="77777777" w:rsidR="004B4893" w:rsidRPr="004B4893" w:rsidRDefault="004B4893" w:rsidP="004B4893">
      <w:pPr>
        <w:spacing w:before="3" w:after="3" w:line="240" w:lineRule="auto"/>
        <w:jc w:val="both"/>
        <w:rPr>
          <w:rFonts w:ascii="Trebuchet MS" w:hAnsi="Trebuchet MS"/>
          <w:sz w:val="24"/>
          <w:szCs w:val="24"/>
        </w:rPr>
      </w:pPr>
    </w:p>
    <w:p w14:paraId="4ECBF0BB" w14:textId="77777777" w:rsidR="004B4893" w:rsidRP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lang w:val="es-ES"/>
        </w:rPr>
        <w:t>Persisten las amenazas de violencia sexual por pate de actores armados a mujeres, niñas y adolescentes. El SAT registró la existencia de riesgo y la ocurrencia de hechos de violencia sexual a través de 43 documentos (2017 – 2018).</w:t>
      </w:r>
    </w:p>
    <w:p w14:paraId="00DF2428" w14:textId="77777777" w:rsidR="004B4893" w:rsidRPr="004B4893" w:rsidRDefault="004B4893" w:rsidP="004B4893">
      <w:pPr>
        <w:spacing w:before="3" w:after="3" w:line="240" w:lineRule="auto"/>
        <w:jc w:val="both"/>
        <w:rPr>
          <w:rFonts w:ascii="Trebuchet MS" w:hAnsi="Trebuchet MS" w:cs="Arial"/>
          <w:sz w:val="24"/>
          <w:szCs w:val="24"/>
          <w:lang w:val="es-ES"/>
        </w:rPr>
      </w:pPr>
    </w:p>
    <w:p w14:paraId="0B7ACD6E" w14:textId="77777777" w:rsidR="004B4893" w:rsidRDefault="004B4893" w:rsidP="004B4893">
      <w:pPr>
        <w:spacing w:before="3" w:after="3" w:line="240" w:lineRule="auto"/>
        <w:rPr>
          <w:rFonts w:ascii="Trebuchet MS" w:hAnsi="Trebuchet MS"/>
          <w:b/>
          <w:sz w:val="24"/>
          <w:szCs w:val="24"/>
          <w:u w:val="single"/>
        </w:rPr>
      </w:pPr>
      <w:r w:rsidRPr="004B4893">
        <w:rPr>
          <w:rFonts w:ascii="Trebuchet MS" w:hAnsi="Trebuchet MS"/>
          <w:b/>
          <w:sz w:val="24"/>
          <w:szCs w:val="24"/>
          <w:u w:val="single"/>
        </w:rPr>
        <w:t>ESTEREOTIPOS DE GÉNERO DISCRIMINATORIOS Y PRÁCTICAS NOCIVAS</w:t>
      </w:r>
    </w:p>
    <w:p w14:paraId="01279F9A" w14:textId="77777777" w:rsidR="004B4893" w:rsidRPr="004B4893" w:rsidRDefault="004B4893" w:rsidP="004B4893">
      <w:pPr>
        <w:spacing w:before="3" w:after="3" w:line="240" w:lineRule="auto"/>
        <w:rPr>
          <w:rFonts w:ascii="Trebuchet MS" w:hAnsi="Trebuchet MS"/>
          <w:b/>
          <w:sz w:val="24"/>
          <w:szCs w:val="24"/>
          <w:u w:val="single"/>
        </w:rPr>
      </w:pPr>
    </w:p>
    <w:p w14:paraId="68227D1F" w14:textId="14D7398D" w:rsidR="004B4893" w:rsidRDefault="0061462B" w:rsidP="004B4893">
      <w:pPr>
        <w:spacing w:before="3" w:after="3" w:line="240" w:lineRule="auto"/>
        <w:jc w:val="both"/>
        <w:rPr>
          <w:rFonts w:ascii="Trebuchet MS" w:hAnsi="Trebuchet MS" w:cs="Arial"/>
          <w:color w:val="000000"/>
          <w:sz w:val="24"/>
          <w:szCs w:val="24"/>
          <w:lang w:val="es-ES"/>
        </w:rPr>
      </w:pPr>
      <w:r>
        <w:rPr>
          <w:rFonts w:ascii="Trebuchet MS" w:hAnsi="Trebuchet MS" w:cs="Arial"/>
          <w:color w:val="000000"/>
          <w:sz w:val="24"/>
          <w:szCs w:val="24"/>
          <w:lang w:val="es-ES"/>
        </w:rPr>
        <w:t>L</w:t>
      </w:r>
      <w:r w:rsidR="004B4893" w:rsidRPr="004B4893">
        <w:rPr>
          <w:rFonts w:ascii="Trebuchet MS" w:hAnsi="Trebuchet MS" w:cs="Arial"/>
          <w:color w:val="000000"/>
          <w:sz w:val="24"/>
          <w:szCs w:val="24"/>
          <w:lang w:val="es-ES"/>
        </w:rPr>
        <w:t xml:space="preserve">os </w:t>
      </w:r>
      <w:r w:rsidR="004B4893" w:rsidRPr="004B4893">
        <w:rPr>
          <w:rFonts w:ascii="Trebuchet MS" w:hAnsi="Trebuchet MS" w:cs="Arial"/>
          <w:b/>
          <w:bCs/>
          <w:color w:val="000000"/>
          <w:sz w:val="24"/>
          <w:szCs w:val="24"/>
          <w:lang w:val="es-ES"/>
        </w:rPr>
        <w:t>estereotipos y prejuicios</w:t>
      </w:r>
      <w:r w:rsidR="004B4893" w:rsidRPr="004B4893">
        <w:rPr>
          <w:rFonts w:ascii="Trebuchet MS" w:hAnsi="Trebuchet MS" w:cs="Arial"/>
          <w:color w:val="000000"/>
          <w:sz w:val="24"/>
          <w:szCs w:val="24"/>
          <w:lang w:val="es-ES"/>
        </w:rPr>
        <w:t xml:space="preserve"> continúan manifestándose en los ciudadanos y en las y los servidores quienes, en muchas oportunidades, se resisten a aplicar la normatividad e incurren en conductas revictimizantes. </w:t>
      </w:r>
    </w:p>
    <w:p w14:paraId="0E26E9DE" w14:textId="77777777" w:rsidR="004B4893" w:rsidRPr="004B4893" w:rsidRDefault="004B4893" w:rsidP="004B4893">
      <w:pPr>
        <w:spacing w:before="3" w:after="3" w:line="240" w:lineRule="auto"/>
        <w:jc w:val="both"/>
        <w:rPr>
          <w:rFonts w:ascii="Trebuchet MS" w:hAnsi="Trebuchet MS" w:cs="Arial"/>
          <w:sz w:val="24"/>
          <w:szCs w:val="24"/>
        </w:rPr>
      </w:pPr>
    </w:p>
    <w:p w14:paraId="05E69795" w14:textId="4AAD168B" w:rsidR="004B4893" w:rsidRDefault="004B4893" w:rsidP="004B4893">
      <w:pPr>
        <w:spacing w:before="3" w:after="3" w:line="240" w:lineRule="auto"/>
        <w:jc w:val="both"/>
        <w:rPr>
          <w:rFonts w:ascii="Trebuchet MS" w:hAnsi="Trebuchet MS" w:cs="Arial"/>
          <w:sz w:val="24"/>
          <w:szCs w:val="24"/>
        </w:rPr>
      </w:pPr>
      <w:r w:rsidRPr="004B4893">
        <w:rPr>
          <w:rFonts w:ascii="Trebuchet MS" w:hAnsi="Trebuchet MS" w:cs="Arial"/>
          <w:color w:val="000000" w:themeColor="text1"/>
          <w:sz w:val="24"/>
          <w:szCs w:val="24"/>
          <w:lang w:val="es-ES"/>
        </w:rPr>
        <w:t xml:space="preserve">Este tipo de conductas se evidencian con mayor magnitud </w:t>
      </w:r>
      <w:r w:rsidRPr="004B4893">
        <w:rPr>
          <w:rFonts w:ascii="Trebuchet MS" w:hAnsi="Trebuchet MS" w:cs="Arial"/>
          <w:sz w:val="24"/>
          <w:szCs w:val="24"/>
        </w:rPr>
        <w:t>frente a las personas</w:t>
      </w:r>
      <w:r w:rsidR="00BC4C97">
        <w:rPr>
          <w:rFonts w:ascii="Trebuchet MS" w:hAnsi="Trebuchet MS" w:cs="Arial"/>
          <w:sz w:val="24"/>
          <w:szCs w:val="24"/>
        </w:rPr>
        <w:t xml:space="preserve"> con</w:t>
      </w:r>
      <w:r w:rsidRPr="004B4893">
        <w:rPr>
          <w:rFonts w:ascii="Trebuchet MS" w:hAnsi="Trebuchet MS" w:cs="Arial"/>
          <w:sz w:val="24"/>
          <w:szCs w:val="24"/>
        </w:rPr>
        <w:t xml:space="preserve"> Orientación Sexual e Identidad de Género Diversa (OSIGD), generando </w:t>
      </w:r>
      <w:r w:rsidRPr="004B4893">
        <w:rPr>
          <w:rFonts w:ascii="Trebuchet MS" w:hAnsi="Trebuchet MS" w:cs="Arial"/>
          <w:b/>
          <w:bCs/>
          <w:sz w:val="24"/>
          <w:szCs w:val="24"/>
        </w:rPr>
        <w:t xml:space="preserve">violencia por prejuicio. </w:t>
      </w:r>
      <w:r w:rsidRPr="004B4893">
        <w:rPr>
          <w:rFonts w:ascii="Trebuchet MS" w:hAnsi="Trebuchet MS" w:cs="Arial"/>
          <w:sz w:val="24"/>
          <w:szCs w:val="24"/>
        </w:rPr>
        <w:t>El 85% de las personas OSIGD que han acudido a la entidad, manifiestan haber sufrido violencia por prejuicio; en el 15% de los casos esta proviene de un servidor público.</w:t>
      </w:r>
    </w:p>
    <w:p w14:paraId="7A51EFDD" w14:textId="77777777" w:rsidR="004B4893" w:rsidRPr="004B4893" w:rsidRDefault="004B4893" w:rsidP="004B4893">
      <w:pPr>
        <w:spacing w:before="3" w:after="3" w:line="240" w:lineRule="auto"/>
        <w:jc w:val="both"/>
        <w:rPr>
          <w:rFonts w:ascii="Trebuchet MS" w:hAnsi="Trebuchet MS" w:cs="Arial"/>
          <w:sz w:val="24"/>
          <w:szCs w:val="24"/>
        </w:rPr>
      </w:pPr>
    </w:p>
    <w:p w14:paraId="346BEF17"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Aunque se reconoce la expedición de la Política Pública Nacional LGBTI, no se evidencia avance en la formulación del plan de acción que la implemente. Se reitera el llamado a materializar las medidas que garantizan los derechos a las mujeres en su diversidad. </w:t>
      </w:r>
    </w:p>
    <w:p w14:paraId="2BC01E4C" w14:textId="77777777" w:rsidR="004B4893" w:rsidRPr="004B4893" w:rsidRDefault="004B4893" w:rsidP="004B4893">
      <w:pPr>
        <w:spacing w:before="3" w:after="3" w:line="240" w:lineRule="auto"/>
        <w:jc w:val="both"/>
        <w:rPr>
          <w:rFonts w:ascii="Trebuchet MS" w:hAnsi="Trebuchet MS"/>
          <w:sz w:val="24"/>
          <w:szCs w:val="24"/>
        </w:rPr>
      </w:pPr>
    </w:p>
    <w:p w14:paraId="04571464" w14:textId="51980FC7" w:rsid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r w:rsidRPr="004B4893">
        <w:rPr>
          <w:rFonts w:ascii="Trebuchet MS" w:hAnsi="Trebuchet MS"/>
          <w:sz w:val="24"/>
          <w:szCs w:val="24"/>
        </w:rPr>
        <w:t xml:space="preserve">Se hace necesario que los Ministerios de Educación y de Cultura asuman una mayor responsabilidad frente al diseño de estrategias encaminadas a transformar los estereotipos socioculturales y </w:t>
      </w:r>
      <w:r w:rsidRPr="004B4893">
        <w:rPr>
          <w:rFonts w:ascii="Trebuchet MS" w:eastAsia="Trebuchet MS" w:hAnsi="Trebuchet MS" w:cs="Trebuchet MS"/>
          <w:color w:val="000000" w:themeColor="text1"/>
          <w:sz w:val="24"/>
          <w:szCs w:val="24"/>
          <w:lang w:val="es-ES"/>
        </w:rPr>
        <w:t>prácticas machistas.</w:t>
      </w:r>
    </w:p>
    <w:p w14:paraId="1BB5FE72" w14:textId="77777777" w:rsidR="004B4893" w:rsidRPr="004B4893" w:rsidRDefault="004B4893" w:rsidP="004B4893">
      <w:pPr>
        <w:spacing w:before="3" w:after="3" w:line="240" w:lineRule="auto"/>
        <w:jc w:val="both"/>
        <w:rPr>
          <w:rFonts w:ascii="Trebuchet MS" w:hAnsi="Trebuchet MS"/>
          <w:sz w:val="24"/>
          <w:szCs w:val="24"/>
        </w:rPr>
      </w:pPr>
    </w:p>
    <w:p w14:paraId="2FEF2525" w14:textId="021FC660" w:rsidR="004B4893" w:rsidRP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r w:rsidRPr="004B4893">
        <w:rPr>
          <w:rFonts w:ascii="Trebuchet MS" w:hAnsi="Trebuchet MS"/>
          <w:sz w:val="24"/>
          <w:szCs w:val="24"/>
          <w:lang w:val="es-ES"/>
        </w:rPr>
        <w:t>No existe una política dirigida a los medios de comunicació</w:t>
      </w:r>
      <w:r w:rsidR="007F5EBC">
        <w:rPr>
          <w:rFonts w:ascii="Trebuchet MS" w:hAnsi="Trebuchet MS"/>
          <w:sz w:val="24"/>
          <w:szCs w:val="24"/>
          <w:lang w:val="es-ES"/>
        </w:rPr>
        <w:t>n;</w:t>
      </w:r>
      <w:r w:rsidRPr="004B4893">
        <w:rPr>
          <w:rFonts w:ascii="Trebuchet MS" w:hAnsi="Trebuchet MS"/>
          <w:sz w:val="24"/>
          <w:szCs w:val="24"/>
          <w:lang w:val="es-ES"/>
        </w:rPr>
        <w:t xml:space="preserve"> contenidos reproducen patrones machistas. Además, se requiere</w:t>
      </w:r>
      <w:r w:rsidR="009F0AE7">
        <w:rPr>
          <w:rFonts w:ascii="Trebuchet MS" w:hAnsi="Trebuchet MS"/>
          <w:sz w:val="24"/>
          <w:szCs w:val="24"/>
          <w:lang w:val="es-ES"/>
        </w:rPr>
        <w:t xml:space="preserve"> </w:t>
      </w:r>
      <w:r w:rsidRPr="004B4893">
        <w:rPr>
          <w:rFonts w:ascii="Trebuchet MS" w:hAnsi="Trebuchet MS"/>
          <w:sz w:val="24"/>
          <w:szCs w:val="24"/>
          <w:lang w:val="es-ES"/>
        </w:rPr>
        <w:t xml:space="preserve">fortalecer políticas que involucren al sector privado en la </w:t>
      </w:r>
      <w:r w:rsidR="00C85844">
        <w:rPr>
          <w:rFonts w:ascii="Trebuchet MS" w:hAnsi="Trebuchet MS"/>
          <w:sz w:val="24"/>
          <w:szCs w:val="24"/>
          <w:lang w:val="es-ES"/>
        </w:rPr>
        <w:t>t</w:t>
      </w:r>
      <w:r w:rsidRPr="004B4893">
        <w:rPr>
          <w:rFonts w:ascii="Trebuchet MS" w:hAnsi="Trebuchet MS"/>
          <w:sz w:val="24"/>
          <w:szCs w:val="24"/>
          <w:lang w:val="es-ES"/>
        </w:rPr>
        <w:t>ransformación de</w:t>
      </w:r>
      <w:r w:rsidR="00C85844">
        <w:rPr>
          <w:rFonts w:ascii="Trebuchet MS" w:hAnsi="Trebuchet MS"/>
          <w:sz w:val="24"/>
          <w:szCs w:val="24"/>
          <w:lang w:val="es-ES"/>
        </w:rPr>
        <w:t xml:space="preserve"> estos</w:t>
      </w:r>
      <w:r w:rsidRPr="004B4893">
        <w:rPr>
          <w:rFonts w:ascii="Trebuchet MS" w:hAnsi="Trebuchet MS"/>
          <w:sz w:val="24"/>
          <w:szCs w:val="24"/>
          <w:lang w:val="es-ES"/>
        </w:rPr>
        <w:t xml:space="preserve"> patrones. </w:t>
      </w:r>
    </w:p>
    <w:p w14:paraId="0470CC18" w14:textId="77777777" w:rsidR="004B4893" w:rsidRPr="004B4893" w:rsidRDefault="004B4893" w:rsidP="004B4893">
      <w:pPr>
        <w:spacing w:before="3" w:after="3" w:line="240" w:lineRule="auto"/>
        <w:jc w:val="both"/>
        <w:rPr>
          <w:rFonts w:ascii="Trebuchet MS" w:hAnsi="Trebuchet MS"/>
          <w:sz w:val="24"/>
          <w:szCs w:val="24"/>
        </w:rPr>
      </w:pPr>
    </w:p>
    <w:p w14:paraId="76526B6A" w14:textId="77777777" w:rsidR="004B4893" w:rsidRDefault="004B4893" w:rsidP="004B4893">
      <w:pPr>
        <w:spacing w:before="3" w:after="3" w:line="240" w:lineRule="auto"/>
        <w:jc w:val="both"/>
        <w:rPr>
          <w:rFonts w:ascii="Trebuchet MS" w:hAnsi="Trebuchet MS"/>
          <w:b/>
          <w:sz w:val="24"/>
          <w:szCs w:val="24"/>
          <w:u w:val="single"/>
        </w:rPr>
      </w:pPr>
      <w:r w:rsidRPr="004B4893">
        <w:rPr>
          <w:rFonts w:ascii="Trebuchet MS" w:hAnsi="Trebuchet MS"/>
          <w:b/>
          <w:sz w:val="24"/>
          <w:szCs w:val="24"/>
          <w:u w:val="single"/>
        </w:rPr>
        <w:t>VIOLENCIA CONTRA LA MUJER</w:t>
      </w:r>
    </w:p>
    <w:p w14:paraId="52EFB246" w14:textId="77777777" w:rsidR="004B4893" w:rsidRPr="004B4893" w:rsidRDefault="004B4893" w:rsidP="004B4893">
      <w:pPr>
        <w:spacing w:before="3" w:after="3" w:line="240" w:lineRule="auto"/>
        <w:jc w:val="both"/>
        <w:rPr>
          <w:rFonts w:ascii="Trebuchet MS" w:hAnsi="Trebuchet MS"/>
          <w:b/>
          <w:sz w:val="24"/>
          <w:szCs w:val="24"/>
        </w:rPr>
      </w:pPr>
    </w:p>
    <w:p w14:paraId="50970F81" w14:textId="3FD93F61"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Frente a la aplicación efectiva de la Ley 1257, la Defensoría ha manifestado su preocupación </w:t>
      </w:r>
      <w:r w:rsidR="00A33284">
        <w:rPr>
          <w:rFonts w:ascii="Trebuchet MS" w:hAnsi="Trebuchet MS" w:cs="Arial"/>
          <w:sz w:val="24"/>
          <w:szCs w:val="24"/>
          <w:lang w:val="es-ES"/>
        </w:rPr>
        <w:t>sobre l</w:t>
      </w:r>
      <w:r w:rsidRPr="004B4893">
        <w:rPr>
          <w:rFonts w:ascii="Trebuchet MS" w:hAnsi="Trebuchet MS" w:cs="Arial"/>
          <w:sz w:val="24"/>
          <w:szCs w:val="24"/>
          <w:lang w:val="es-ES"/>
        </w:rPr>
        <w:t xml:space="preserve">os obstáculos para la aplicación efectiva de las medidas de atención. Se requiere que el Ministerio de Salud reglamente el artículo 19 de manera urgente pues esto ha derivado en una ausencia de mecanismos de </w:t>
      </w:r>
      <w:r w:rsidRPr="004B4893">
        <w:rPr>
          <w:rFonts w:ascii="Trebuchet MS" w:hAnsi="Trebuchet MS" w:cs="Arial"/>
          <w:sz w:val="24"/>
          <w:szCs w:val="24"/>
          <w:lang w:val="es-ES"/>
        </w:rPr>
        <w:lastRenderedPageBreak/>
        <w:t>atención para mujeres como el alojamiento, alimentación, transporte y atención psicosocial.</w:t>
      </w:r>
    </w:p>
    <w:p w14:paraId="4E3AAD2A" w14:textId="77777777" w:rsidR="004B4893" w:rsidRPr="004B4893" w:rsidRDefault="004B4893" w:rsidP="004B4893">
      <w:pPr>
        <w:spacing w:before="3" w:after="3" w:line="240" w:lineRule="auto"/>
        <w:jc w:val="both"/>
        <w:rPr>
          <w:rFonts w:ascii="Trebuchet MS" w:hAnsi="Trebuchet MS" w:cs="Arial"/>
          <w:sz w:val="24"/>
          <w:szCs w:val="24"/>
          <w:lang w:val="es-ES"/>
        </w:rPr>
      </w:pPr>
    </w:p>
    <w:p w14:paraId="3C121447" w14:textId="2713DA0D"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El débil seguimiento que realizan las comisarías de familia y la ausencia de un sistema de información impiden tener información clara y adoptar medidas frente a la situación. </w:t>
      </w:r>
      <w:r w:rsidR="00BA394B">
        <w:rPr>
          <w:rFonts w:ascii="Trebuchet MS" w:hAnsi="Trebuchet MS" w:cs="Arial"/>
          <w:sz w:val="24"/>
          <w:szCs w:val="24"/>
          <w:lang w:val="es-ES"/>
        </w:rPr>
        <w:t>Con respecto</w:t>
      </w:r>
      <w:r w:rsidR="00BA394B" w:rsidRPr="004B4893">
        <w:rPr>
          <w:rFonts w:ascii="Trebuchet MS" w:hAnsi="Trebuchet MS" w:cs="Arial"/>
          <w:sz w:val="24"/>
          <w:szCs w:val="24"/>
          <w:lang w:val="es-ES"/>
        </w:rPr>
        <w:t xml:space="preserve"> </w:t>
      </w:r>
      <w:r w:rsidRPr="004B4893">
        <w:rPr>
          <w:rFonts w:ascii="Trebuchet MS" w:hAnsi="Trebuchet MS" w:cs="Arial"/>
          <w:sz w:val="24"/>
          <w:szCs w:val="24"/>
          <w:lang w:val="es-ES"/>
        </w:rPr>
        <w:t>a esto, el gobierno propone programas específicos en su plan de desarrollo a los cuales la Defensoría hará seguimiento.</w:t>
      </w:r>
    </w:p>
    <w:p w14:paraId="1CA0B07A" w14:textId="77777777" w:rsidR="004B4893" w:rsidRPr="004B4893" w:rsidRDefault="004B4893" w:rsidP="004B4893">
      <w:pPr>
        <w:spacing w:before="3" w:after="3" w:line="240" w:lineRule="auto"/>
        <w:jc w:val="both"/>
        <w:rPr>
          <w:rFonts w:ascii="Trebuchet MS" w:hAnsi="Trebuchet MS" w:cs="Arial"/>
          <w:sz w:val="24"/>
          <w:szCs w:val="24"/>
          <w:lang w:val="es-ES"/>
        </w:rPr>
      </w:pPr>
    </w:p>
    <w:p w14:paraId="5B9EF323" w14:textId="77777777" w:rsidR="004B4893" w:rsidRDefault="004B4893" w:rsidP="004B4893">
      <w:pPr>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Sobre la </w:t>
      </w:r>
      <w:r w:rsidRPr="004B4893">
        <w:rPr>
          <w:rFonts w:ascii="Trebuchet MS" w:hAnsi="Trebuchet MS" w:cs="Arial"/>
          <w:b/>
          <w:bCs/>
          <w:sz w:val="24"/>
          <w:szCs w:val="24"/>
          <w:lang w:val="es-ES"/>
        </w:rPr>
        <w:t>investigación</w:t>
      </w:r>
      <w:r w:rsidRPr="004B4893">
        <w:rPr>
          <w:rFonts w:ascii="Trebuchet MS" w:hAnsi="Trebuchet MS" w:cs="Arial"/>
          <w:sz w:val="24"/>
          <w:szCs w:val="24"/>
          <w:lang w:val="es-ES"/>
        </w:rPr>
        <w:t xml:space="preserve"> y judicialización de los casos de feminicidio, la Defensoría valora los esfuerzos que sobre la materia viene realizando la Fiscalía.</w:t>
      </w:r>
      <w:r w:rsidR="009F0AE7">
        <w:rPr>
          <w:rFonts w:ascii="Trebuchet MS" w:hAnsi="Trebuchet MS" w:cs="Arial"/>
          <w:sz w:val="24"/>
          <w:szCs w:val="24"/>
          <w:lang w:val="es-ES"/>
        </w:rPr>
        <w:t xml:space="preserve"> </w:t>
      </w:r>
      <w:r w:rsidRPr="004B4893">
        <w:rPr>
          <w:rFonts w:ascii="Trebuchet MS" w:hAnsi="Trebuchet MS" w:cs="Arial"/>
          <w:sz w:val="24"/>
          <w:szCs w:val="24"/>
          <w:lang w:val="es-ES"/>
        </w:rPr>
        <w:t xml:space="preserve">Sin embargo, es prioritaria la revisión de las medidas tomadas, dado que tres años después de la expedición la Ley 1761, se evidencia desconocimiento por parte de varios fiscales. </w:t>
      </w:r>
    </w:p>
    <w:p w14:paraId="7BE2761B" w14:textId="77777777" w:rsidR="004B4893" w:rsidRPr="004B4893" w:rsidRDefault="004B4893" w:rsidP="004B4893">
      <w:pPr>
        <w:spacing w:before="3" w:after="3" w:line="240" w:lineRule="auto"/>
        <w:jc w:val="both"/>
        <w:rPr>
          <w:rFonts w:ascii="Trebuchet MS" w:hAnsi="Trebuchet MS"/>
          <w:color w:val="000000" w:themeColor="text1"/>
          <w:sz w:val="24"/>
          <w:szCs w:val="24"/>
        </w:rPr>
      </w:pPr>
    </w:p>
    <w:p w14:paraId="39D9D555" w14:textId="77777777" w:rsidR="004B4893" w:rsidRDefault="004B4893" w:rsidP="004B4893">
      <w:pPr>
        <w:spacing w:before="3" w:after="3" w:line="240" w:lineRule="auto"/>
        <w:jc w:val="both"/>
        <w:rPr>
          <w:rFonts w:ascii="Trebuchet MS" w:hAnsi="Trebuchet MS"/>
          <w:color w:val="000000" w:themeColor="text1"/>
          <w:sz w:val="24"/>
          <w:szCs w:val="24"/>
        </w:rPr>
      </w:pPr>
      <w:r w:rsidRPr="004B4893">
        <w:rPr>
          <w:rFonts w:ascii="Trebuchet MS" w:hAnsi="Trebuchet MS"/>
          <w:color w:val="000000" w:themeColor="text1"/>
          <w:sz w:val="24"/>
          <w:szCs w:val="24"/>
        </w:rPr>
        <w:t>De los casos conocidos por la Defensoría, un 45% se encuentran en etapas investigativas o indagatorias y varias de las víctimas argumentan que sus casos no están siendo tipificados como feminicidio.</w:t>
      </w:r>
    </w:p>
    <w:p w14:paraId="67073646" w14:textId="53F6243A" w:rsidR="004B4893" w:rsidRDefault="004B4893" w:rsidP="004B4893">
      <w:pPr>
        <w:spacing w:before="3" w:after="3" w:line="240" w:lineRule="auto"/>
        <w:jc w:val="both"/>
        <w:rPr>
          <w:rFonts w:ascii="Trebuchet MS" w:hAnsi="Trebuchet MS"/>
          <w:color w:val="000000" w:themeColor="text1"/>
          <w:sz w:val="24"/>
          <w:szCs w:val="24"/>
        </w:rPr>
      </w:pPr>
    </w:p>
    <w:p w14:paraId="702D6E3F" w14:textId="1BC90937" w:rsidR="004B4893" w:rsidRPr="004B4893" w:rsidRDefault="004F4B8F" w:rsidP="004B4893">
      <w:pPr>
        <w:spacing w:before="3" w:after="3" w:line="240" w:lineRule="auto"/>
        <w:jc w:val="both"/>
        <w:rPr>
          <w:rFonts w:ascii="Trebuchet MS" w:hAnsi="Trebuchet MS"/>
          <w:color w:val="000000" w:themeColor="text1"/>
          <w:sz w:val="24"/>
          <w:szCs w:val="24"/>
        </w:rPr>
      </w:pPr>
      <w:r>
        <w:rPr>
          <w:rFonts w:ascii="Trebuchet MS" w:hAnsi="Trebuchet MS"/>
          <w:color w:val="000000" w:themeColor="text1"/>
          <w:sz w:val="24"/>
          <w:szCs w:val="24"/>
        </w:rPr>
        <w:t>L</w:t>
      </w:r>
      <w:r w:rsidR="004B4893" w:rsidRPr="004B4893">
        <w:rPr>
          <w:rFonts w:ascii="Trebuchet MS" w:hAnsi="Trebuchet MS"/>
          <w:color w:val="000000" w:themeColor="text1"/>
          <w:sz w:val="24"/>
          <w:szCs w:val="24"/>
        </w:rPr>
        <w:t>a implementación del SIVIGE sigue avanzando. Sin embargo, el país</w:t>
      </w:r>
      <w:r w:rsidR="00BA394B">
        <w:rPr>
          <w:rFonts w:ascii="Trebuchet MS" w:hAnsi="Trebuchet MS"/>
          <w:color w:val="000000" w:themeColor="text1"/>
          <w:sz w:val="24"/>
          <w:szCs w:val="24"/>
        </w:rPr>
        <w:t xml:space="preserve"> aún</w:t>
      </w:r>
      <w:r w:rsidR="004B4893" w:rsidRPr="004B4893">
        <w:rPr>
          <w:rFonts w:ascii="Trebuchet MS" w:hAnsi="Trebuchet MS"/>
          <w:color w:val="000000" w:themeColor="text1"/>
          <w:sz w:val="24"/>
          <w:szCs w:val="24"/>
        </w:rPr>
        <w:t xml:space="preserve"> no cuenta con cifras claras y unificadas sobre las dinámicas de violencia.</w:t>
      </w:r>
    </w:p>
    <w:p w14:paraId="19EB56C2" w14:textId="77777777" w:rsidR="004B4893" w:rsidRPr="004B4893" w:rsidRDefault="004B4893" w:rsidP="004B4893">
      <w:pPr>
        <w:spacing w:before="3" w:after="3" w:line="240" w:lineRule="auto"/>
        <w:rPr>
          <w:rFonts w:ascii="Trebuchet MS" w:hAnsi="Trebuchet MS"/>
          <w:sz w:val="24"/>
          <w:szCs w:val="24"/>
          <w:u w:val="single"/>
        </w:rPr>
      </w:pPr>
    </w:p>
    <w:p w14:paraId="746C0B4B" w14:textId="77777777" w:rsidR="004B4893" w:rsidRDefault="004B4893" w:rsidP="004B4893">
      <w:pPr>
        <w:spacing w:before="3" w:after="3" w:line="240" w:lineRule="auto"/>
        <w:rPr>
          <w:rFonts w:ascii="Trebuchet MS" w:hAnsi="Trebuchet MS"/>
          <w:b/>
          <w:sz w:val="24"/>
          <w:szCs w:val="24"/>
        </w:rPr>
      </w:pPr>
      <w:r w:rsidRPr="004B4893">
        <w:rPr>
          <w:rFonts w:ascii="Trebuchet MS" w:hAnsi="Trebuchet MS"/>
          <w:b/>
          <w:sz w:val="24"/>
          <w:szCs w:val="24"/>
          <w:u w:val="single"/>
        </w:rPr>
        <w:t>TRATA Y EXPLOTACIÓN</w:t>
      </w:r>
      <w:r w:rsidRPr="004B4893">
        <w:rPr>
          <w:rFonts w:ascii="Trebuchet MS" w:hAnsi="Trebuchet MS"/>
          <w:b/>
          <w:sz w:val="24"/>
          <w:szCs w:val="24"/>
        </w:rPr>
        <w:t xml:space="preserve"> </w:t>
      </w:r>
    </w:p>
    <w:p w14:paraId="6FFA2CA3" w14:textId="77777777" w:rsidR="004B4893" w:rsidRPr="004B4893" w:rsidRDefault="004B4893" w:rsidP="004B4893">
      <w:pPr>
        <w:spacing w:before="3" w:after="3" w:line="240" w:lineRule="auto"/>
        <w:rPr>
          <w:rFonts w:ascii="Trebuchet MS" w:hAnsi="Trebuchet MS"/>
          <w:b/>
          <w:sz w:val="24"/>
          <w:szCs w:val="24"/>
          <w:u w:val="single"/>
        </w:rPr>
      </w:pPr>
    </w:p>
    <w:p w14:paraId="6B8F54BC" w14:textId="77777777" w:rsidR="004B4893" w:rsidRDefault="004B4893" w:rsidP="004B4893">
      <w:pPr>
        <w:spacing w:before="3" w:after="3" w:line="240" w:lineRule="auto"/>
        <w:jc w:val="both"/>
        <w:rPr>
          <w:rFonts w:ascii="Trebuchet MS" w:hAnsi="Trebuchet MS"/>
          <w:color w:val="000000" w:themeColor="text1"/>
          <w:sz w:val="24"/>
          <w:szCs w:val="24"/>
          <w:lang w:val="es-ES"/>
        </w:rPr>
      </w:pPr>
      <w:r w:rsidRPr="004B4893">
        <w:rPr>
          <w:rFonts w:ascii="Trebuchet MS" w:hAnsi="Trebuchet MS"/>
          <w:color w:val="000000" w:themeColor="text1"/>
          <w:sz w:val="24"/>
          <w:szCs w:val="24"/>
          <w:lang w:val="es-ES"/>
        </w:rPr>
        <w:t xml:space="preserve">La situación fronteriza, en especial con la migración de mujeres venezolanas, ha agudizado los riesgos de prostitución, trata de personas, violencia sexual, trabajo forzoso, pagos no dignos e informalidad laboral. </w:t>
      </w:r>
    </w:p>
    <w:p w14:paraId="74B2A34F" w14:textId="77777777" w:rsidR="004B4893" w:rsidRPr="004B4893" w:rsidRDefault="004B4893" w:rsidP="004B4893">
      <w:pPr>
        <w:spacing w:before="3" w:after="3" w:line="240" w:lineRule="auto"/>
        <w:jc w:val="both"/>
        <w:rPr>
          <w:rFonts w:ascii="Trebuchet MS" w:eastAsia="Times New Roman" w:hAnsi="Trebuchet MS" w:cs="Times New Roman"/>
          <w:b/>
          <w:bCs/>
          <w:color w:val="000000" w:themeColor="text1"/>
          <w:sz w:val="24"/>
          <w:szCs w:val="24"/>
          <w:lang w:val="es-ES"/>
        </w:rPr>
      </w:pPr>
    </w:p>
    <w:p w14:paraId="04300703" w14:textId="1ED7B57F" w:rsidR="004B4893" w:rsidRPr="004B4893" w:rsidRDefault="004B4893" w:rsidP="004B4893">
      <w:pPr>
        <w:spacing w:before="3" w:after="3" w:line="240" w:lineRule="auto"/>
        <w:jc w:val="both"/>
        <w:rPr>
          <w:rFonts w:ascii="Trebuchet MS" w:hAnsi="Trebuchet MS"/>
          <w:color w:val="000000" w:themeColor="text1"/>
          <w:sz w:val="24"/>
          <w:szCs w:val="24"/>
          <w:lang w:val="es-ES"/>
        </w:rPr>
      </w:pPr>
      <w:r w:rsidRPr="004B4893">
        <w:rPr>
          <w:rFonts w:ascii="Trebuchet MS" w:hAnsi="Trebuchet MS"/>
          <w:color w:val="000000" w:themeColor="text1"/>
          <w:sz w:val="24"/>
          <w:szCs w:val="24"/>
          <w:lang w:val="es-ES"/>
        </w:rPr>
        <w:t xml:space="preserve">Los esfuerzos del gobierno nacional para </w:t>
      </w:r>
      <w:r w:rsidR="00BA394B">
        <w:rPr>
          <w:rFonts w:ascii="Trebuchet MS" w:hAnsi="Trebuchet MS"/>
          <w:color w:val="000000" w:themeColor="text1"/>
          <w:sz w:val="24"/>
          <w:szCs w:val="24"/>
          <w:lang w:val="es-ES"/>
        </w:rPr>
        <w:t xml:space="preserve">la </w:t>
      </w:r>
      <w:r w:rsidRPr="004B4893">
        <w:rPr>
          <w:rFonts w:ascii="Trebuchet MS" w:hAnsi="Trebuchet MS"/>
          <w:color w:val="000000" w:themeColor="text1"/>
          <w:sz w:val="24"/>
          <w:szCs w:val="24"/>
          <w:lang w:val="es-ES"/>
        </w:rPr>
        <w:t>identificación y atención de las víctimas deben trasladarse a las entidades territoriales. No en todas funcionan los comités</w:t>
      </w:r>
      <w:r w:rsidR="009F0AE7">
        <w:rPr>
          <w:rFonts w:ascii="Trebuchet MS" w:hAnsi="Trebuchet MS"/>
          <w:color w:val="000000" w:themeColor="text1"/>
          <w:sz w:val="24"/>
          <w:szCs w:val="24"/>
          <w:lang w:val="es-ES"/>
        </w:rPr>
        <w:t xml:space="preserve"> </w:t>
      </w:r>
      <w:r w:rsidRPr="004B4893">
        <w:rPr>
          <w:rFonts w:ascii="Trebuchet MS" w:hAnsi="Trebuchet MS"/>
          <w:color w:val="000000" w:themeColor="text1"/>
          <w:sz w:val="24"/>
          <w:szCs w:val="24"/>
          <w:lang w:val="es-ES"/>
        </w:rPr>
        <w:t xml:space="preserve">de trata como lo establece la Ley. Se espera que el nuevo sistema de información permita avanzar en la eliminación del subregistro y brinde insumos para la adopción de políticas públicas. </w:t>
      </w:r>
    </w:p>
    <w:p w14:paraId="4189B490" w14:textId="77777777" w:rsidR="004B4893" w:rsidRPr="004B4893" w:rsidRDefault="004B4893" w:rsidP="004B4893">
      <w:pPr>
        <w:spacing w:before="3" w:after="3" w:line="240" w:lineRule="auto"/>
        <w:rPr>
          <w:rFonts w:ascii="Trebuchet MS" w:hAnsi="Trebuchet MS"/>
          <w:sz w:val="24"/>
          <w:szCs w:val="24"/>
        </w:rPr>
      </w:pPr>
    </w:p>
    <w:p w14:paraId="5AE0D42C" w14:textId="77777777" w:rsidR="004B4893" w:rsidRDefault="004B4893" w:rsidP="004B4893">
      <w:pPr>
        <w:spacing w:before="3" w:after="3" w:line="240" w:lineRule="auto"/>
        <w:rPr>
          <w:rFonts w:ascii="Trebuchet MS" w:hAnsi="Trebuchet MS"/>
          <w:b/>
          <w:sz w:val="24"/>
          <w:szCs w:val="24"/>
          <w:u w:val="single"/>
        </w:rPr>
      </w:pPr>
      <w:r w:rsidRPr="004B4893">
        <w:rPr>
          <w:rFonts w:ascii="Trebuchet MS" w:hAnsi="Trebuchet MS"/>
          <w:b/>
          <w:sz w:val="24"/>
          <w:szCs w:val="24"/>
          <w:u w:val="single"/>
        </w:rPr>
        <w:t>DEFENSORAS DE LOS DERECHOS HUMANOS</w:t>
      </w:r>
    </w:p>
    <w:p w14:paraId="7E389058" w14:textId="77777777" w:rsidR="004B4893" w:rsidRPr="004B4893" w:rsidRDefault="004B4893" w:rsidP="004B4893">
      <w:pPr>
        <w:spacing w:before="3" w:after="3" w:line="240" w:lineRule="auto"/>
        <w:rPr>
          <w:rFonts w:ascii="Trebuchet MS" w:hAnsi="Trebuchet MS"/>
          <w:b/>
          <w:sz w:val="24"/>
          <w:szCs w:val="24"/>
          <w:u w:val="single"/>
        </w:rPr>
      </w:pPr>
    </w:p>
    <w:p w14:paraId="5B06838B"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color w:val="000000" w:themeColor="text1"/>
          <w:sz w:val="24"/>
          <w:szCs w:val="24"/>
        </w:rPr>
        <w:t>La Defensoría ha evidenciado el incremento de ataques y asesinatos contra lideresas y defensoras de DDHH</w:t>
      </w:r>
      <w:r w:rsidRPr="004B4893">
        <w:rPr>
          <w:rFonts w:ascii="Trebuchet MS" w:hAnsi="Trebuchet MS"/>
          <w:sz w:val="24"/>
          <w:szCs w:val="24"/>
        </w:rPr>
        <w:t xml:space="preserve">. Entre el 2017 y 2018 el SAT </w:t>
      </w:r>
      <w:r w:rsidRPr="004B4893">
        <w:rPr>
          <w:rFonts w:ascii="Trebuchet MS" w:hAnsi="Trebuchet MS"/>
          <w:b/>
          <w:bCs/>
          <w:sz w:val="24"/>
          <w:szCs w:val="24"/>
        </w:rPr>
        <w:t>emitió 65 alertas tempranas en las que se advertía la grave situación de derechos humanos enfrentada por las lideresas</w:t>
      </w:r>
      <w:r w:rsidRPr="004B4893">
        <w:rPr>
          <w:rFonts w:ascii="Trebuchet MS" w:hAnsi="Trebuchet MS"/>
          <w:sz w:val="24"/>
          <w:szCs w:val="24"/>
        </w:rPr>
        <w:t xml:space="preserve"> y defensoras.</w:t>
      </w:r>
    </w:p>
    <w:p w14:paraId="23F143D7" w14:textId="77777777" w:rsidR="004B4893" w:rsidRPr="004B4893" w:rsidRDefault="004B4893" w:rsidP="004B4893">
      <w:pPr>
        <w:spacing w:before="3" w:after="3" w:line="240" w:lineRule="auto"/>
        <w:jc w:val="both"/>
        <w:rPr>
          <w:rFonts w:ascii="Trebuchet MS" w:hAnsi="Trebuchet MS"/>
          <w:sz w:val="24"/>
          <w:szCs w:val="24"/>
        </w:rPr>
      </w:pPr>
    </w:p>
    <w:p w14:paraId="79C4487F" w14:textId="77777777" w:rsidR="004B4893" w:rsidRDefault="004B4893" w:rsidP="004B4893">
      <w:pPr>
        <w:widowControl w:val="0"/>
        <w:spacing w:before="3" w:after="3" w:line="240" w:lineRule="auto"/>
        <w:jc w:val="both"/>
        <w:rPr>
          <w:rFonts w:ascii="Trebuchet MS" w:hAnsi="Trebuchet MS"/>
          <w:sz w:val="24"/>
          <w:szCs w:val="24"/>
        </w:rPr>
      </w:pPr>
      <w:r w:rsidRPr="004B4893">
        <w:rPr>
          <w:rFonts w:ascii="Trebuchet MS" w:hAnsi="Trebuchet MS"/>
          <w:sz w:val="24"/>
          <w:szCs w:val="24"/>
        </w:rPr>
        <w:t>La Alerta Temprana AT 26-18, advirtió sobre las amenazas a presidentas y lideresas de Juntas de Acción Comunal, mujeres organizadas y/o que ejercen liderazgos comunitarios tanto en zonas rurales como urbanas de los 22 departamentos advertidos en el documento.</w:t>
      </w:r>
    </w:p>
    <w:p w14:paraId="7A1E3595" w14:textId="77777777" w:rsidR="004B4893" w:rsidRPr="004B4893" w:rsidRDefault="004B4893" w:rsidP="004B4893">
      <w:pPr>
        <w:widowControl w:val="0"/>
        <w:spacing w:before="3" w:after="3" w:line="240" w:lineRule="auto"/>
        <w:jc w:val="both"/>
        <w:rPr>
          <w:rFonts w:ascii="Trebuchet MS" w:hAnsi="Trebuchet MS"/>
          <w:b/>
          <w:bCs/>
          <w:sz w:val="24"/>
          <w:szCs w:val="24"/>
        </w:rPr>
      </w:pPr>
    </w:p>
    <w:p w14:paraId="73FA824C" w14:textId="77777777" w:rsidR="004B4893" w:rsidRDefault="004B4893" w:rsidP="004B4893">
      <w:pPr>
        <w:widowControl w:val="0"/>
        <w:spacing w:before="3" w:after="3" w:line="240" w:lineRule="auto"/>
        <w:jc w:val="both"/>
        <w:rPr>
          <w:rFonts w:ascii="Trebuchet MS" w:hAnsi="Trebuchet MS"/>
          <w:b/>
          <w:bCs/>
          <w:sz w:val="24"/>
          <w:szCs w:val="24"/>
        </w:rPr>
      </w:pPr>
      <w:r w:rsidRPr="004B4893">
        <w:rPr>
          <w:rFonts w:ascii="Trebuchet MS" w:hAnsi="Trebuchet MS"/>
          <w:sz w:val="24"/>
          <w:szCs w:val="24"/>
        </w:rPr>
        <w:t xml:space="preserve">Del total de lideresas o defensoras que reportaron a la Defensoría vulneraciones </w:t>
      </w:r>
      <w:r w:rsidRPr="004B4893">
        <w:rPr>
          <w:rFonts w:ascii="Trebuchet MS" w:hAnsi="Trebuchet MS"/>
          <w:sz w:val="24"/>
          <w:szCs w:val="24"/>
        </w:rPr>
        <w:lastRenderedPageBreak/>
        <w:t xml:space="preserve">a sus derechos en razón de este ejercicio, el 74% de ellas adujeron, además, haber sido víctimas del conflicto armado; 60% se identificaron como mujeres étnicas, 47% de ellas por desplazamiento forzado y 28% por delitos contra la libertad e integridad </w:t>
      </w:r>
      <w:r w:rsidRPr="00BA394B">
        <w:rPr>
          <w:rFonts w:ascii="Trebuchet MS" w:hAnsi="Trebuchet MS"/>
          <w:sz w:val="24"/>
          <w:szCs w:val="24"/>
        </w:rPr>
        <w:t>se</w:t>
      </w:r>
      <w:r w:rsidRPr="007345E9">
        <w:rPr>
          <w:rFonts w:ascii="Trebuchet MS" w:hAnsi="Trebuchet MS"/>
          <w:bCs/>
          <w:sz w:val="24"/>
          <w:szCs w:val="24"/>
        </w:rPr>
        <w:t>xuale</w:t>
      </w:r>
      <w:r w:rsidRPr="00BA394B">
        <w:rPr>
          <w:rFonts w:ascii="Trebuchet MS" w:hAnsi="Trebuchet MS"/>
          <w:sz w:val="24"/>
          <w:szCs w:val="24"/>
        </w:rPr>
        <w:t>s</w:t>
      </w:r>
      <w:r w:rsidRPr="007345E9">
        <w:rPr>
          <w:rFonts w:ascii="Trebuchet MS" w:hAnsi="Trebuchet MS"/>
          <w:bCs/>
          <w:sz w:val="24"/>
          <w:szCs w:val="24"/>
        </w:rPr>
        <w:t>.</w:t>
      </w:r>
      <w:r w:rsidRPr="004B4893">
        <w:rPr>
          <w:rFonts w:ascii="Trebuchet MS" w:hAnsi="Trebuchet MS"/>
          <w:b/>
          <w:bCs/>
          <w:sz w:val="24"/>
          <w:szCs w:val="24"/>
        </w:rPr>
        <w:t xml:space="preserve"> </w:t>
      </w:r>
    </w:p>
    <w:p w14:paraId="6C659079" w14:textId="77777777" w:rsidR="004B4893" w:rsidRPr="004B4893" w:rsidRDefault="004B4893" w:rsidP="004B4893">
      <w:pPr>
        <w:widowControl w:val="0"/>
        <w:spacing w:before="3" w:after="3" w:line="240" w:lineRule="auto"/>
        <w:jc w:val="both"/>
        <w:rPr>
          <w:rFonts w:ascii="Trebuchet MS" w:hAnsi="Trebuchet MS"/>
          <w:sz w:val="24"/>
          <w:szCs w:val="24"/>
        </w:rPr>
      </w:pPr>
    </w:p>
    <w:p w14:paraId="0F645D55" w14:textId="77777777" w:rsidR="004B4893" w:rsidRDefault="004B4893" w:rsidP="004B4893">
      <w:pPr>
        <w:shd w:val="clear" w:color="auto" w:fill="FFFFFF" w:themeFill="background1"/>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El lenguaje usado en las amenazas dirigidas a las defensoras tiene un alto contenido sexista, hace alusiones a su cuerpo, y son presentadas junto con insinuaciones sexuales. Las amenazas también incluyen usualmente a su núcleo familiar.</w:t>
      </w:r>
    </w:p>
    <w:p w14:paraId="185D4499" w14:textId="77777777" w:rsidR="004B4893" w:rsidRPr="004B4893" w:rsidRDefault="004B4893" w:rsidP="004B4893">
      <w:pPr>
        <w:shd w:val="clear" w:color="auto" w:fill="FFFFFF" w:themeFill="background1"/>
        <w:spacing w:before="3" w:after="3" w:line="240" w:lineRule="auto"/>
        <w:jc w:val="both"/>
        <w:rPr>
          <w:rFonts w:ascii="Trebuchet MS" w:hAnsi="Trebuchet MS" w:cs="Arial"/>
          <w:sz w:val="24"/>
          <w:szCs w:val="24"/>
          <w:lang w:val="es-ES"/>
        </w:rPr>
      </w:pPr>
    </w:p>
    <w:p w14:paraId="4D1D5655" w14:textId="0A7340A6" w:rsidR="004B4893" w:rsidRDefault="004B4893" w:rsidP="004B4893">
      <w:pPr>
        <w:shd w:val="clear" w:color="auto" w:fill="FFFFFF" w:themeFill="background1"/>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 xml:space="preserve">La expedición del Plan de Garantías para Lideresas y Defensoras se reconoce como herramienta adecuada para abordar la problemática desde un concepto amplio que incluye la prevención, protección y las garantías de no repetición. Sin embargo, a la fecha, el Ministerio del Interior no avanza en la definición del plan de acción para la implementación del </w:t>
      </w:r>
      <w:r w:rsidR="00BA394B">
        <w:rPr>
          <w:rFonts w:ascii="Trebuchet MS" w:hAnsi="Trebuchet MS" w:cs="Arial"/>
          <w:sz w:val="24"/>
          <w:szCs w:val="24"/>
          <w:lang w:val="es-ES"/>
        </w:rPr>
        <w:t>p</w:t>
      </w:r>
      <w:r w:rsidRPr="004B4893">
        <w:rPr>
          <w:rFonts w:ascii="Trebuchet MS" w:hAnsi="Trebuchet MS" w:cs="Arial"/>
          <w:sz w:val="24"/>
          <w:szCs w:val="24"/>
          <w:lang w:val="es-ES"/>
        </w:rPr>
        <w:t xml:space="preserve">rograma, obstaculizando su implementación. </w:t>
      </w:r>
    </w:p>
    <w:p w14:paraId="7985CFEB" w14:textId="77777777" w:rsidR="004B4893" w:rsidRPr="004B4893" w:rsidRDefault="004B4893" w:rsidP="004B4893">
      <w:pPr>
        <w:shd w:val="clear" w:color="auto" w:fill="FFFFFF" w:themeFill="background1"/>
        <w:spacing w:before="3" w:after="3" w:line="240" w:lineRule="auto"/>
        <w:jc w:val="both"/>
        <w:rPr>
          <w:rFonts w:ascii="Trebuchet MS" w:hAnsi="Trebuchet MS" w:cs="Arial"/>
          <w:b/>
          <w:bCs/>
          <w:sz w:val="24"/>
          <w:szCs w:val="24"/>
          <w:lang w:val="es-ES"/>
        </w:rPr>
      </w:pPr>
    </w:p>
    <w:p w14:paraId="1D8670CB" w14:textId="77777777" w:rsidR="004B4893" w:rsidRDefault="004B4893" w:rsidP="004B4893">
      <w:pPr>
        <w:shd w:val="clear" w:color="auto" w:fill="FFFFFF" w:themeFill="background1"/>
        <w:spacing w:before="3" w:after="3" w:line="240" w:lineRule="auto"/>
        <w:jc w:val="both"/>
        <w:rPr>
          <w:rFonts w:ascii="Trebuchet MS" w:hAnsi="Trebuchet MS" w:cs="Arial"/>
          <w:sz w:val="24"/>
          <w:szCs w:val="24"/>
          <w:lang w:val="es-ES"/>
        </w:rPr>
      </w:pPr>
      <w:r w:rsidRPr="004B4893">
        <w:rPr>
          <w:rFonts w:ascii="Trebuchet MS" w:hAnsi="Trebuchet MS" w:cs="Arial"/>
          <w:sz w:val="24"/>
          <w:szCs w:val="24"/>
          <w:lang w:val="es-ES"/>
        </w:rPr>
        <w:t>Es urgente la definición de acciones concretas dirigidas a la prevención del riesgo y la protección de defensoras y lideresas, para que continúen ejerciendo su liderazgo y participación activa en los territorios. El miedo generado por las amenazas está</w:t>
      </w:r>
      <w:r w:rsidR="009F0AE7">
        <w:rPr>
          <w:rFonts w:ascii="Trebuchet MS" w:hAnsi="Trebuchet MS" w:cs="Arial"/>
          <w:sz w:val="24"/>
          <w:szCs w:val="24"/>
          <w:lang w:val="es-ES"/>
        </w:rPr>
        <w:t xml:space="preserve"> </w:t>
      </w:r>
      <w:r w:rsidRPr="004B4893">
        <w:rPr>
          <w:rFonts w:ascii="Trebuchet MS" w:hAnsi="Trebuchet MS" w:cs="Arial"/>
          <w:sz w:val="24"/>
          <w:szCs w:val="24"/>
          <w:lang w:val="es-ES"/>
        </w:rPr>
        <w:t xml:space="preserve">frenando los procesos comunitarios y organizativos de las mujeres. </w:t>
      </w:r>
    </w:p>
    <w:p w14:paraId="49A1F07D" w14:textId="77777777" w:rsidR="004B4893" w:rsidRPr="004B4893" w:rsidRDefault="004B4893" w:rsidP="004B4893">
      <w:pPr>
        <w:shd w:val="clear" w:color="auto" w:fill="FFFFFF" w:themeFill="background1"/>
        <w:spacing w:before="3" w:after="3" w:line="240" w:lineRule="auto"/>
        <w:jc w:val="both"/>
        <w:rPr>
          <w:rFonts w:ascii="Trebuchet MS" w:hAnsi="Trebuchet MS" w:cs="Arial"/>
          <w:b/>
          <w:bCs/>
          <w:sz w:val="24"/>
          <w:szCs w:val="24"/>
          <w:lang w:val="es-ES"/>
        </w:rPr>
      </w:pPr>
    </w:p>
    <w:p w14:paraId="6493D5F5" w14:textId="77777777" w:rsidR="004B4893" w:rsidRDefault="004B4893" w:rsidP="004B4893">
      <w:pPr>
        <w:spacing w:before="3" w:after="3" w:line="240" w:lineRule="auto"/>
        <w:rPr>
          <w:rFonts w:ascii="Trebuchet MS" w:hAnsi="Trebuchet MS"/>
          <w:b/>
          <w:bCs/>
          <w:sz w:val="24"/>
          <w:szCs w:val="24"/>
          <w:u w:val="single"/>
        </w:rPr>
      </w:pPr>
      <w:r w:rsidRPr="004B4893">
        <w:rPr>
          <w:rFonts w:ascii="Trebuchet MS" w:hAnsi="Trebuchet MS"/>
          <w:b/>
          <w:bCs/>
          <w:sz w:val="24"/>
          <w:szCs w:val="24"/>
          <w:u w:val="single"/>
        </w:rPr>
        <w:t>EMPLEO</w:t>
      </w:r>
    </w:p>
    <w:p w14:paraId="1683FD16" w14:textId="77777777" w:rsidR="004B4893" w:rsidRPr="004B4893" w:rsidRDefault="004B4893" w:rsidP="004B4893">
      <w:pPr>
        <w:spacing w:before="3" w:after="3" w:line="240" w:lineRule="auto"/>
        <w:rPr>
          <w:rFonts w:ascii="Trebuchet MS" w:hAnsi="Trebuchet MS"/>
          <w:sz w:val="24"/>
          <w:szCs w:val="24"/>
        </w:rPr>
      </w:pPr>
    </w:p>
    <w:p w14:paraId="6090E9BD" w14:textId="0283E69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Se resalta la inclusión de diferente</w:t>
      </w:r>
      <w:r w:rsidR="00BA394B">
        <w:rPr>
          <w:rFonts w:ascii="Trebuchet MS" w:hAnsi="Trebuchet MS"/>
          <w:sz w:val="24"/>
          <w:szCs w:val="24"/>
        </w:rPr>
        <w:t>s</w:t>
      </w:r>
      <w:r w:rsidRPr="004B4893">
        <w:rPr>
          <w:rFonts w:ascii="Trebuchet MS" w:hAnsi="Trebuchet MS"/>
          <w:sz w:val="24"/>
          <w:szCs w:val="24"/>
        </w:rPr>
        <w:t xml:space="preserve"> medidas en las bases del Plan de Desarrollo enfocadas a mejorar el empoderamiento económico de las mujeres; fortalecer las políticas relacionadas con la economía del cuidado; y el acceso al trabajo en condiciones de equidad. Todo esto con especial atención en la mujeres rurales. </w:t>
      </w:r>
      <w:r w:rsidR="00BA394B">
        <w:rPr>
          <w:rFonts w:ascii="Trebuchet MS" w:hAnsi="Trebuchet MS"/>
          <w:sz w:val="24"/>
          <w:szCs w:val="24"/>
        </w:rPr>
        <w:t>De igual manera, v</w:t>
      </w:r>
      <w:r w:rsidRPr="004B4893">
        <w:rPr>
          <w:rFonts w:ascii="Trebuchet MS" w:hAnsi="Trebuchet MS"/>
          <w:sz w:val="24"/>
          <w:szCs w:val="24"/>
        </w:rPr>
        <w:t xml:space="preserve">ale la pena señalar la necesidad de que se adopten medidas diferenciadas para mujeres afrodescendientes e indígenas. </w:t>
      </w:r>
    </w:p>
    <w:p w14:paraId="3263F311" w14:textId="77777777" w:rsidR="004B4893" w:rsidRPr="004B4893" w:rsidRDefault="004B4893" w:rsidP="004B4893">
      <w:pPr>
        <w:spacing w:before="3" w:after="3" w:line="240" w:lineRule="auto"/>
        <w:jc w:val="both"/>
        <w:rPr>
          <w:rFonts w:ascii="Trebuchet MS" w:hAnsi="Trebuchet MS"/>
          <w:sz w:val="24"/>
          <w:szCs w:val="24"/>
        </w:rPr>
      </w:pPr>
    </w:p>
    <w:p w14:paraId="3F70B33C"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La Defensoría llama la atención sobre la baja implementación del Decreto 2733 del 2012, compilado por el Decreto Único Reglamentario 1072 de 2015, por medio del cual el Gobierno Nacional estableció beneficios tributarios para quienes contraten mujeres víctimas de violencia comprobada. </w:t>
      </w:r>
    </w:p>
    <w:p w14:paraId="6198D964" w14:textId="77777777" w:rsidR="004B4893" w:rsidRPr="004B4893" w:rsidRDefault="004B4893" w:rsidP="004B4893">
      <w:pPr>
        <w:spacing w:before="3" w:after="3" w:line="240" w:lineRule="auto"/>
        <w:jc w:val="both"/>
        <w:rPr>
          <w:rFonts w:ascii="Trebuchet MS" w:hAnsi="Trebuchet MS"/>
          <w:sz w:val="24"/>
          <w:szCs w:val="24"/>
        </w:rPr>
      </w:pPr>
    </w:p>
    <w:p w14:paraId="3FD8ADF1" w14:textId="77777777" w:rsidR="004B4893" w:rsidRDefault="004B4893" w:rsidP="004B4893">
      <w:pPr>
        <w:spacing w:before="3" w:after="3" w:line="240" w:lineRule="auto"/>
        <w:rPr>
          <w:rFonts w:ascii="Trebuchet MS" w:hAnsi="Trebuchet MS"/>
          <w:b/>
          <w:bCs/>
          <w:sz w:val="24"/>
          <w:szCs w:val="24"/>
          <w:u w:val="single"/>
        </w:rPr>
      </w:pPr>
      <w:r w:rsidRPr="004B4893">
        <w:rPr>
          <w:rFonts w:ascii="Trebuchet MS" w:hAnsi="Trebuchet MS"/>
          <w:b/>
          <w:bCs/>
          <w:sz w:val="24"/>
          <w:szCs w:val="24"/>
          <w:u w:val="single"/>
        </w:rPr>
        <w:t>SALUD</w:t>
      </w:r>
    </w:p>
    <w:p w14:paraId="7695BD81" w14:textId="77777777" w:rsidR="004B4893" w:rsidRPr="004B4893" w:rsidRDefault="004B4893" w:rsidP="004B4893">
      <w:pPr>
        <w:spacing w:before="3" w:after="3" w:line="240" w:lineRule="auto"/>
        <w:rPr>
          <w:rFonts w:ascii="Trebuchet MS" w:hAnsi="Trebuchet MS"/>
          <w:b/>
          <w:sz w:val="24"/>
          <w:szCs w:val="24"/>
          <w:u w:val="single"/>
        </w:rPr>
      </w:pPr>
    </w:p>
    <w:p w14:paraId="6993FE96" w14:textId="22469DCA" w:rsidR="004B4893" w:rsidRDefault="004B4893" w:rsidP="004B4893">
      <w:pPr>
        <w:spacing w:before="3" w:after="3" w:line="240" w:lineRule="auto"/>
        <w:jc w:val="both"/>
        <w:rPr>
          <w:rFonts w:ascii="Trebuchet MS" w:eastAsia="Trebuchet MS" w:hAnsi="Trebuchet MS" w:cs="Trebuchet MS"/>
          <w:sz w:val="24"/>
          <w:szCs w:val="24"/>
          <w:lang w:val="es-ES"/>
        </w:rPr>
      </w:pPr>
      <w:r w:rsidRPr="004B4893">
        <w:rPr>
          <w:rFonts w:ascii="Trebuchet MS" w:eastAsia="Trebuchet MS" w:hAnsi="Trebuchet MS" w:cs="Trebuchet MS"/>
          <w:sz w:val="24"/>
          <w:szCs w:val="24"/>
          <w:lang w:val="es-ES"/>
        </w:rPr>
        <w:t>A pesar de los esfuerzos realizados por el gobierno al crear un programa especializado de atención psicosocial y de protocolos especializados, estos</w:t>
      </w:r>
      <w:r w:rsidR="009F0AE7">
        <w:rPr>
          <w:rFonts w:ascii="Trebuchet MS" w:eastAsia="Trebuchet MS" w:hAnsi="Trebuchet MS" w:cs="Trebuchet MS"/>
          <w:sz w:val="24"/>
          <w:szCs w:val="24"/>
          <w:lang w:val="es-ES"/>
        </w:rPr>
        <w:t xml:space="preserve"> </w:t>
      </w:r>
      <w:r w:rsidRPr="004B4893">
        <w:rPr>
          <w:rFonts w:ascii="Trebuchet MS" w:eastAsia="Trebuchet MS" w:hAnsi="Trebuchet MS" w:cs="Trebuchet MS"/>
          <w:sz w:val="24"/>
          <w:szCs w:val="24"/>
          <w:lang w:val="es-ES"/>
        </w:rPr>
        <w:t>no ha</w:t>
      </w:r>
      <w:r w:rsidR="00BA394B">
        <w:rPr>
          <w:rFonts w:ascii="Trebuchet MS" w:eastAsia="Trebuchet MS" w:hAnsi="Trebuchet MS" w:cs="Trebuchet MS"/>
          <w:sz w:val="24"/>
          <w:szCs w:val="24"/>
          <w:lang w:val="es-ES"/>
        </w:rPr>
        <w:t>n</w:t>
      </w:r>
      <w:r w:rsidRPr="004B4893">
        <w:rPr>
          <w:rFonts w:ascii="Trebuchet MS" w:eastAsia="Trebuchet MS" w:hAnsi="Trebuchet MS" w:cs="Trebuchet MS"/>
          <w:sz w:val="24"/>
          <w:szCs w:val="24"/>
          <w:lang w:val="es-ES"/>
        </w:rPr>
        <w:t xml:space="preserve"> logrado alcanzar un estándar de calidad e impacto, en especial para mujeres víctimas del conflicto. Persisten inconvenientes para la asignación de citas, la entrega de medicamentos, el subsidio de transporte y las órdenes de exámenes.</w:t>
      </w:r>
    </w:p>
    <w:p w14:paraId="6D9AC317" w14:textId="77777777" w:rsidR="004B4893" w:rsidRPr="004B4893" w:rsidRDefault="004B4893" w:rsidP="004B4893">
      <w:pPr>
        <w:spacing w:before="3" w:after="3" w:line="240" w:lineRule="auto"/>
        <w:jc w:val="both"/>
        <w:rPr>
          <w:rFonts w:ascii="Trebuchet MS" w:hAnsi="Trebuchet MS"/>
          <w:sz w:val="24"/>
          <w:szCs w:val="24"/>
        </w:rPr>
      </w:pPr>
    </w:p>
    <w:p w14:paraId="653B3A32" w14:textId="77777777"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lastRenderedPageBreak/>
        <w:t>Esto es especialmente importante teniendo en cuenta que</w:t>
      </w:r>
      <w:r w:rsidRPr="004B4893">
        <w:rPr>
          <w:rFonts w:ascii="Trebuchet MS" w:hAnsi="Trebuchet MS"/>
          <w:b/>
          <w:bCs/>
          <w:sz w:val="24"/>
          <w:szCs w:val="24"/>
        </w:rPr>
        <w:t xml:space="preserve"> la violencia psicológica</w:t>
      </w:r>
      <w:r w:rsidRPr="004B4893">
        <w:rPr>
          <w:rFonts w:ascii="Trebuchet MS" w:hAnsi="Trebuchet MS"/>
          <w:sz w:val="24"/>
          <w:szCs w:val="24"/>
        </w:rPr>
        <w:t xml:space="preserve"> </w:t>
      </w:r>
      <w:r w:rsidRPr="004B4893">
        <w:rPr>
          <w:rFonts w:ascii="Trebuchet MS" w:hAnsi="Trebuchet MS"/>
          <w:b/>
          <w:bCs/>
          <w:sz w:val="24"/>
          <w:szCs w:val="24"/>
        </w:rPr>
        <w:t>es el tipo de violencia que más afecta a las mujeres</w:t>
      </w:r>
      <w:r w:rsidRPr="004B4893">
        <w:rPr>
          <w:rFonts w:ascii="Trebuchet MS" w:hAnsi="Trebuchet MS"/>
          <w:sz w:val="24"/>
          <w:szCs w:val="24"/>
        </w:rPr>
        <w:t xml:space="preserve"> (63% según cifras de la Defensoría). No se evidencian medidas claras y efectivas para prevenirla y atenderla. </w:t>
      </w:r>
    </w:p>
    <w:p w14:paraId="2C347F49" w14:textId="77777777" w:rsidR="004B4893" w:rsidRPr="004B4893" w:rsidRDefault="004B4893" w:rsidP="004B4893">
      <w:pPr>
        <w:spacing w:before="3" w:after="3" w:line="240" w:lineRule="auto"/>
        <w:jc w:val="both"/>
        <w:rPr>
          <w:rFonts w:ascii="Trebuchet MS" w:hAnsi="Trebuchet MS"/>
          <w:sz w:val="24"/>
          <w:szCs w:val="24"/>
        </w:rPr>
      </w:pPr>
    </w:p>
    <w:p w14:paraId="7503D54E" w14:textId="77777777" w:rsid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r w:rsidRPr="004B4893">
        <w:rPr>
          <w:rFonts w:ascii="Trebuchet MS" w:eastAsia="Trebuchet MS" w:hAnsi="Trebuchet MS" w:cs="Trebuchet MS"/>
          <w:sz w:val="24"/>
          <w:szCs w:val="24"/>
          <w:lang w:val="es-ES"/>
        </w:rPr>
        <w:t xml:space="preserve">Existen Debilidades en la reglamentación para que las entidades territoriales y las prestadoras de servicios de salud ejecuten los recursos para atención a mujeres víctimas. </w:t>
      </w:r>
      <w:r w:rsidRPr="004B4893">
        <w:rPr>
          <w:rFonts w:ascii="Trebuchet MS" w:eastAsia="Trebuchet MS" w:hAnsi="Trebuchet MS" w:cs="Trebuchet MS"/>
          <w:color w:val="000000" w:themeColor="text1"/>
          <w:sz w:val="24"/>
          <w:szCs w:val="24"/>
          <w:lang w:val="es-ES"/>
        </w:rPr>
        <w:t>Resulta urgente la reglamentación del artículo 19 de la Ley 1257 por parte del Ministerio de Salud.</w:t>
      </w:r>
    </w:p>
    <w:p w14:paraId="2F1AFD9C" w14:textId="77777777" w:rsidR="004B4893" w:rsidRP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p>
    <w:p w14:paraId="39800F48" w14:textId="77777777" w:rsid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r w:rsidRPr="004B4893">
        <w:rPr>
          <w:rFonts w:ascii="Trebuchet MS" w:eastAsia="Trebuchet MS" w:hAnsi="Trebuchet MS" w:cs="Trebuchet MS"/>
          <w:color w:val="000000" w:themeColor="text1"/>
          <w:sz w:val="24"/>
          <w:szCs w:val="24"/>
          <w:lang w:val="es-ES"/>
        </w:rPr>
        <w:t>Lo anterior ha generado que la mayoría de municipios carezcan de casas refugios o servicios de hospedaje, alimentación y atención para víctimas. En los territorios que cuentan con este servicio, se evidencian barreras para incluir sus hijos e hijas, así como personal de apoyo en el caso de personas con discapacidad.</w:t>
      </w:r>
      <w:r w:rsidR="009F0AE7">
        <w:rPr>
          <w:rFonts w:ascii="Trebuchet MS" w:eastAsia="Trebuchet MS" w:hAnsi="Trebuchet MS" w:cs="Trebuchet MS"/>
          <w:color w:val="000000" w:themeColor="text1"/>
          <w:sz w:val="24"/>
          <w:szCs w:val="24"/>
          <w:lang w:val="es-ES"/>
        </w:rPr>
        <w:t xml:space="preserve"> </w:t>
      </w:r>
    </w:p>
    <w:p w14:paraId="00D70D2F" w14:textId="77777777" w:rsidR="004B4893" w:rsidRPr="004B4893" w:rsidRDefault="004B4893" w:rsidP="004B4893">
      <w:pPr>
        <w:spacing w:before="3" w:after="3" w:line="240" w:lineRule="auto"/>
        <w:jc w:val="both"/>
        <w:rPr>
          <w:rFonts w:ascii="Trebuchet MS" w:hAnsi="Trebuchet MS"/>
          <w:sz w:val="24"/>
          <w:szCs w:val="24"/>
        </w:rPr>
      </w:pPr>
    </w:p>
    <w:p w14:paraId="55217740" w14:textId="1931F0DF"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La Defensoría ha acompañado 27 casos de mujeres que han encontrado barreras para acceder a la interrupción voluntaria de embarazo </w:t>
      </w:r>
      <w:r w:rsidR="00BA394B" w:rsidRPr="004B4893">
        <w:rPr>
          <w:rFonts w:ascii="Trebuchet MS" w:hAnsi="Trebuchet MS"/>
          <w:sz w:val="24"/>
          <w:szCs w:val="24"/>
        </w:rPr>
        <w:t>aun</w:t>
      </w:r>
      <w:r w:rsidRPr="004B4893">
        <w:rPr>
          <w:rFonts w:ascii="Trebuchet MS" w:hAnsi="Trebuchet MS"/>
          <w:sz w:val="24"/>
          <w:szCs w:val="24"/>
        </w:rPr>
        <w:t xml:space="preserve"> cuando se encuentran entre las </w:t>
      </w:r>
      <w:r w:rsidRPr="004B4893">
        <w:rPr>
          <w:rFonts w:ascii="Trebuchet MS" w:eastAsia="Trebuchet MS" w:hAnsi="Trebuchet MS" w:cs="Trebuchet MS"/>
          <w:color w:val="000000" w:themeColor="text1"/>
          <w:sz w:val="24"/>
          <w:szCs w:val="24"/>
        </w:rPr>
        <w:t>tres</w:t>
      </w:r>
      <w:r w:rsidRPr="004B4893">
        <w:rPr>
          <w:rFonts w:ascii="Trebuchet MS" w:hAnsi="Trebuchet MS"/>
          <w:sz w:val="24"/>
          <w:szCs w:val="24"/>
        </w:rPr>
        <w:t xml:space="preserve"> causales aceptadas por la sentencia</w:t>
      </w:r>
      <w:r w:rsidR="009F0AE7">
        <w:rPr>
          <w:rFonts w:ascii="Trebuchet MS" w:hAnsi="Trebuchet MS"/>
          <w:sz w:val="24"/>
          <w:szCs w:val="24"/>
        </w:rPr>
        <w:t xml:space="preserve"> </w:t>
      </w:r>
      <w:r w:rsidRPr="004B4893">
        <w:rPr>
          <w:rFonts w:ascii="Trebuchet MS" w:hAnsi="Trebuchet MS"/>
          <w:sz w:val="24"/>
          <w:szCs w:val="24"/>
        </w:rPr>
        <w:t>C355 de 2006.</w:t>
      </w:r>
    </w:p>
    <w:p w14:paraId="7FE8AE69" w14:textId="77777777" w:rsidR="004B4893" w:rsidRPr="004B4893" w:rsidRDefault="004B4893" w:rsidP="004B4893">
      <w:pPr>
        <w:spacing w:before="3" w:after="3" w:line="240" w:lineRule="auto"/>
        <w:jc w:val="both"/>
        <w:rPr>
          <w:rFonts w:ascii="Trebuchet MS" w:hAnsi="Trebuchet MS"/>
          <w:sz w:val="24"/>
          <w:szCs w:val="24"/>
        </w:rPr>
      </w:pPr>
    </w:p>
    <w:p w14:paraId="1C77E77C" w14:textId="77777777" w:rsidR="004B4893" w:rsidRDefault="004B4893" w:rsidP="004B4893">
      <w:pPr>
        <w:spacing w:before="3" w:after="3" w:line="240" w:lineRule="auto"/>
        <w:rPr>
          <w:rFonts w:ascii="Trebuchet MS" w:hAnsi="Trebuchet MS"/>
          <w:b/>
          <w:sz w:val="24"/>
          <w:szCs w:val="24"/>
          <w:u w:val="single"/>
        </w:rPr>
      </w:pPr>
      <w:r w:rsidRPr="004B4893">
        <w:rPr>
          <w:rFonts w:ascii="Trebuchet MS" w:hAnsi="Trebuchet MS"/>
          <w:b/>
          <w:sz w:val="24"/>
          <w:szCs w:val="24"/>
          <w:u w:val="single"/>
        </w:rPr>
        <w:t>MUJERES RURALES INDÍGENAS Y AFROCOLOMBIANAS</w:t>
      </w:r>
    </w:p>
    <w:p w14:paraId="3EF844E8" w14:textId="77777777" w:rsidR="004B4893" w:rsidRPr="004B4893" w:rsidRDefault="004B4893" w:rsidP="004B4893">
      <w:pPr>
        <w:spacing w:before="3" w:after="3" w:line="240" w:lineRule="auto"/>
        <w:rPr>
          <w:rFonts w:ascii="Trebuchet MS" w:hAnsi="Trebuchet MS"/>
          <w:b/>
          <w:sz w:val="24"/>
          <w:szCs w:val="24"/>
          <w:highlight w:val="yellow"/>
        </w:rPr>
      </w:pPr>
    </w:p>
    <w:p w14:paraId="55784F59" w14:textId="584F4EE5" w:rsidR="004B4893" w:rsidRDefault="004B4893" w:rsidP="004B4893">
      <w:pPr>
        <w:spacing w:before="3" w:after="3" w:line="240" w:lineRule="auto"/>
        <w:jc w:val="both"/>
        <w:rPr>
          <w:rFonts w:ascii="Trebuchet MS" w:hAnsi="Trebuchet MS"/>
          <w:sz w:val="24"/>
          <w:szCs w:val="24"/>
        </w:rPr>
      </w:pPr>
      <w:r w:rsidRPr="004B4893">
        <w:rPr>
          <w:rFonts w:ascii="Trebuchet MS" w:hAnsi="Trebuchet MS"/>
          <w:sz w:val="24"/>
          <w:szCs w:val="24"/>
        </w:rPr>
        <w:t xml:space="preserve">La situación de desigualdad de las mujeres rurales, indígenas y afrocolombianas así como las VBG a las que son expuestas </w:t>
      </w:r>
      <w:r w:rsidR="00BA394B" w:rsidRPr="004B4893">
        <w:rPr>
          <w:rFonts w:ascii="Trebuchet MS" w:hAnsi="Trebuchet MS"/>
          <w:sz w:val="24"/>
          <w:szCs w:val="24"/>
        </w:rPr>
        <w:t>a</w:t>
      </w:r>
      <w:r w:rsidR="00BA394B">
        <w:rPr>
          <w:rFonts w:ascii="Trebuchet MS" w:hAnsi="Trebuchet MS"/>
          <w:sz w:val="24"/>
          <w:szCs w:val="24"/>
        </w:rPr>
        <w:t>ún</w:t>
      </w:r>
      <w:r w:rsidRPr="004B4893">
        <w:rPr>
          <w:rFonts w:ascii="Trebuchet MS" w:hAnsi="Trebuchet MS"/>
          <w:sz w:val="24"/>
          <w:szCs w:val="24"/>
        </w:rPr>
        <w:t xml:space="preserve"> no ha sido visibilizada en su real magnitud por parte del Estado Colombiano. </w:t>
      </w:r>
    </w:p>
    <w:p w14:paraId="0388E5B9" w14:textId="77777777" w:rsidR="004B4893" w:rsidRPr="004B4893" w:rsidRDefault="004B4893" w:rsidP="004B4893">
      <w:pPr>
        <w:spacing w:before="3" w:after="3" w:line="240" w:lineRule="auto"/>
        <w:jc w:val="both"/>
        <w:rPr>
          <w:rFonts w:ascii="Trebuchet MS" w:hAnsi="Trebuchet MS"/>
          <w:sz w:val="24"/>
          <w:szCs w:val="24"/>
          <w:u w:val="single"/>
        </w:rPr>
      </w:pPr>
    </w:p>
    <w:p w14:paraId="35E19C43" w14:textId="77777777" w:rsidR="004B4893" w:rsidRPr="004B4893" w:rsidRDefault="004B4893" w:rsidP="004B4893">
      <w:pPr>
        <w:spacing w:before="3" w:after="3" w:line="240" w:lineRule="auto"/>
        <w:jc w:val="both"/>
        <w:rPr>
          <w:rFonts w:ascii="Trebuchet MS" w:hAnsi="Trebuchet MS"/>
          <w:sz w:val="24"/>
          <w:szCs w:val="24"/>
          <w:lang w:val="es-ES"/>
        </w:rPr>
      </w:pPr>
      <w:r w:rsidRPr="004B4893">
        <w:rPr>
          <w:rFonts w:ascii="Trebuchet MS" w:hAnsi="Trebuchet MS"/>
          <w:sz w:val="24"/>
          <w:szCs w:val="24"/>
          <w:lang w:val="es-ES"/>
        </w:rPr>
        <w:t>Se evidencia falta de rutas de acceso diferencial a crédito a la mujer rural, por parte de la Banca Pública. Según el Censo Nacional Agropecuario, en las Unidades Productivas Agropecuarias, las mujeres tienen menos maquinaria (19.1% frente a 31,4%), asistencia técnica (11.1% frente a 14.7%) y financiamiento (11.9% frente a 15.8%) que los hombres.</w:t>
      </w:r>
    </w:p>
    <w:p w14:paraId="2B3476B4" w14:textId="77777777" w:rsidR="004B4893" w:rsidRDefault="004B4893" w:rsidP="004B4893">
      <w:pPr>
        <w:spacing w:before="3" w:after="3" w:line="240" w:lineRule="auto"/>
        <w:jc w:val="both"/>
        <w:rPr>
          <w:rFonts w:ascii="Trebuchet MS" w:eastAsia="Trebuchet MS" w:hAnsi="Trebuchet MS" w:cs="Trebuchet MS"/>
          <w:color w:val="000000" w:themeColor="text1"/>
          <w:sz w:val="24"/>
          <w:szCs w:val="24"/>
          <w:lang w:val="es-ES"/>
        </w:rPr>
      </w:pPr>
      <w:r w:rsidRPr="004B4893">
        <w:rPr>
          <w:rFonts w:ascii="Trebuchet MS" w:hAnsi="Trebuchet MS"/>
          <w:sz w:val="24"/>
          <w:szCs w:val="24"/>
        </w:rPr>
        <w:br/>
      </w:r>
      <w:r w:rsidRPr="004B4893">
        <w:rPr>
          <w:rFonts w:ascii="Trebuchet MS" w:eastAsia="Trebuchet MS" w:hAnsi="Trebuchet MS" w:cs="Trebuchet MS"/>
          <w:color w:val="000000" w:themeColor="text1"/>
          <w:sz w:val="24"/>
          <w:szCs w:val="24"/>
          <w:lang w:val="es-ES"/>
        </w:rPr>
        <w:t>El DANE y el Ministerio del Interior decidieron no incluir la categoría de campesino/a en el Censo de población. Así se invisibilizaron los problemas de la mujer rural campesina, quien presenta diferencias significativas frente a la mujer rural negra y a la mujer rural indígena, quienes sí van a quedar registradas en el censo.</w:t>
      </w:r>
    </w:p>
    <w:p w14:paraId="16BAB25B" w14:textId="77777777" w:rsidR="004B4893" w:rsidRPr="004B4893" w:rsidRDefault="004B4893" w:rsidP="004B4893">
      <w:pPr>
        <w:spacing w:before="3" w:after="3" w:line="240" w:lineRule="auto"/>
        <w:jc w:val="both"/>
        <w:rPr>
          <w:rFonts w:ascii="Trebuchet MS" w:hAnsi="Trebuchet MS"/>
          <w:sz w:val="24"/>
          <w:szCs w:val="24"/>
          <w:lang w:val="es-ES"/>
        </w:rPr>
      </w:pPr>
    </w:p>
    <w:p w14:paraId="1359142B" w14:textId="77777777" w:rsidR="004B4893" w:rsidRDefault="004B4893" w:rsidP="004B4893">
      <w:pPr>
        <w:spacing w:before="3" w:after="3" w:line="240" w:lineRule="auto"/>
        <w:jc w:val="both"/>
        <w:rPr>
          <w:rFonts w:ascii="Trebuchet MS" w:eastAsia="Trebuchet MS" w:hAnsi="Trebuchet MS" w:cs="Trebuchet MS"/>
          <w:sz w:val="24"/>
          <w:szCs w:val="24"/>
          <w:lang w:val="es-ES"/>
        </w:rPr>
      </w:pPr>
      <w:r w:rsidRPr="004B4893">
        <w:rPr>
          <w:rFonts w:ascii="Trebuchet MS" w:eastAsia="Trebuchet MS" w:hAnsi="Trebuchet MS" w:cs="Trebuchet MS"/>
          <w:sz w:val="24"/>
          <w:szCs w:val="24"/>
          <w:lang w:val="es-ES"/>
        </w:rPr>
        <w:t>Falta articulación entre los sistemas propios de justicia y la Jurisdicción Ordinaria para responder a la violencia basada en género en los pueblos tribales e indígenas. No existe claridad en cuanto a las competencias. Esto genera desprotección para las mujeres indígenas e impunidad para los agresores.</w:t>
      </w:r>
    </w:p>
    <w:p w14:paraId="5B67778F" w14:textId="77777777" w:rsidR="004B4893" w:rsidRDefault="004B4893" w:rsidP="004B4893">
      <w:pPr>
        <w:spacing w:before="3" w:after="3" w:line="240" w:lineRule="auto"/>
        <w:jc w:val="both"/>
        <w:rPr>
          <w:rFonts w:ascii="Trebuchet MS" w:hAnsi="Trebuchet MS"/>
          <w:sz w:val="24"/>
          <w:szCs w:val="24"/>
        </w:rPr>
      </w:pPr>
    </w:p>
    <w:p w14:paraId="75927B1C" w14:textId="4BE6209C" w:rsidR="007345E9" w:rsidRDefault="007345E9" w:rsidP="007345E9">
      <w:pPr>
        <w:tabs>
          <w:tab w:val="left" w:pos="1340"/>
        </w:tabs>
        <w:spacing w:before="3" w:after="3" w:line="240" w:lineRule="auto"/>
        <w:jc w:val="both"/>
        <w:rPr>
          <w:rFonts w:ascii="Trebuchet MS" w:hAnsi="Trebuchet MS"/>
          <w:sz w:val="24"/>
          <w:szCs w:val="24"/>
        </w:rPr>
      </w:pPr>
      <w:r>
        <w:rPr>
          <w:rFonts w:ascii="Trebuchet MS" w:hAnsi="Trebuchet MS"/>
          <w:sz w:val="24"/>
          <w:szCs w:val="24"/>
        </w:rPr>
        <w:tab/>
      </w:r>
    </w:p>
    <w:p w14:paraId="0F89CBCC" w14:textId="77777777" w:rsidR="007345E9" w:rsidRPr="004B4893" w:rsidRDefault="007345E9" w:rsidP="004B4893">
      <w:pPr>
        <w:spacing w:before="3" w:after="3" w:line="240" w:lineRule="auto"/>
        <w:jc w:val="both"/>
        <w:rPr>
          <w:rFonts w:ascii="Trebuchet MS" w:hAnsi="Trebuchet MS"/>
          <w:sz w:val="24"/>
          <w:szCs w:val="24"/>
        </w:rPr>
      </w:pPr>
    </w:p>
    <w:p w14:paraId="2B627CCC" w14:textId="77777777" w:rsidR="004B4893" w:rsidRPr="004B4893" w:rsidRDefault="004B4893" w:rsidP="004B4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3" w:after="3" w:line="240" w:lineRule="auto"/>
        <w:ind w:left="1267" w:hanging="1267"/>
        <w:rPr>
          <w:rFonts w:ascii="Trebuchet MS" w:hAnsi="Trebuchet MS"/>
          <w:sz w:val="24"/>
          <w:szCs w:val="24"/>
          <w:u w:val="single"/>
        </w:rPr>
      </w:pPr>
      <w:r w:rsidRPr="004B4893">
        <w:rPr>
          <w:rFonts w:ascii="Trebuchet MS" w:hAnsi="Trebuchet MS"/>
          <w:sz w:val="24"/>
          <w:szCs w:val="24"/>
          <w:u w:val="single"/>
        </w:rPr>
        <w:lastRenderedPageBreak/>
        <w:t>MUJERES MIGRANTES, REFUGIADAS Y SOLICITANTES DE ASILO</w:t>
      </w:r>
    </w:p>
    <w:p w14:paraId="7C5A5B66" w14:textId="77777777" w:rsidR="004B4893" w:rsidRPr="004B4893" w:rsidRDefault="004B4893" w:rsidP="004B4893">
      <w:pPr>
        <w:spacing w:before="3" w:after="3" w:line="240" w:lineRule="auto"/>
        <w:rPr>
          <w:rFonts w:ascii="Trebuchet MS" w:hAnsi="Trebuchet MS"/>
          <w:sz w:val="24"/>
          <w:szCs w:val="24"/>
        </w:rPr>
      </w:pPr>
    </w:p>
    <w:p w14:paraId="31714839" w14:textId="77777777" w:rsidR="004B4893" w:rsidRDefault="004B4893" w:rsidP="004B4893">
      <w:pPr>
        <w:spacing w:before="3" w:after="3" w:line="240" w:lineRule="auto"/>
        <w:jc w:val="both"/>
        <w:rPr>
          <w:rFonts w:ascii="Trebuchet MS" w:hAnsi="Trebuchet MS"/>
          <w:color w:val="000000" w:themeColor="text1"/>
          <w:sz w:val="24"/>
          <w:szCs w:val="24"/>
        </w:rPr>
      </w:pPr>
      <w:r w:rsidRPr="004B4893">
        <w:rPr>
          <w:rFonts w:ascii="Trebuchet MS" w:hAnsi="Trebuchet MS"/>
          <w:color w:val="000000" w:themeColor="text1"/>
          <w:sz w:val="24"/>
          <w:szCs w:val="24"/>
        </w:rPr>
        <w:t>En 2018 se evidenció el incremento del riesgo para las mujeres en las zonas de frontera. La combinación de una serie de factores como la presencia de grupos armados, el narcotráfico, la minería ilegal y la migración irregular, han generado impactos para mujeres y niñas. En especial el incremento de la violencia sexual, prostitución, trata de personas y la explotación sexual.</w:t>
      </w:r>
    </w:p>
    <w:p w14:paraId="61EC8966" w14:textId="77777777" w:rsidR="004B4893" w:rsidRPr="004B4893" w:rsidRDefault="004B4893" w:rsidP="004B4893">
      <w:pPr>
        <w:spacing w:before="3" w:after="3" w:line="240" w:lineRule="auto"/>
        <w:jc w:val="both"/>
        <w:rPr>
          <w:rFonts w:ascii="Trebuchet MS" w:hAnsi="Trebuchet MS"/>
          <w:color w:val="000000" w:themeColor="text1"/>
          <w:sz w:val="24"/>
          <w:szCs w:val="24"/>
        </w:rPr>
      </w:pPr>
    </w:p>
    <w:p w14:paraId="4A5FEDF6" w14:textId="56C69BA7" w:rsidR="004B4893" w:rsidRDefault="004B4893" w:rsidP="004B4893">
      <w:pPr>
        <w:spacing w:before="3" w:after="3" w:line="240" w:lineRule="auto"/>
        <w:jc w:val="both"/>
        <w:rPr>
          <w:rFonts w:ascii="Trebuchet MS" w:hAnsi="Trebuchet MS"/>
          <w:color w:val="000000" w:themeColor="text1"/>
          <w:sz w:val="24"/>
          <w:szCs w:val="24"/>
        </w:rPr>
      </w:pPr>
      <w:r w:rsidRPr="004B4893">
        <w:rPr>
          <w:rFonts w:ascii="Trebuchet MS" w:hAnsi="Trebuchet MS"/>
          <w:color w:val="000000" w:themeColor="text1"/>
          <w:sz w:val="24"/>
          <w:szCs w:val="24"/>
        </w:rPr>
        <w:t>Entre las principales barreras que encuentran</w:t>
      </w:r>
      <w:r w:rsidR="00BA394B">
        <w:rPr>
          <w:rFonts w:ascii="Trebuchet MS" w:hAnsi="Trebuchet MS"/>
          <w:color w:val="000000" w:themeColor="text1"/>
          <w:sz w:val="24"/>
          <w:szCs w:val="24"/>
        </w:rPr>
        <w:t>,</w:t>
      </w:r>
      <w:r w:rsidRPr="004B4893">
        <w:rPr>
          <w:rFonts w:ascii="Trebuchet MS" w:hAnsi="Trebuchet MS"/>
          <w:color w:val="000000" w:themeColor="text1"/>
          <w:sz w:val="24"/>
          <w:szCs w:val="24"/>
        </w:rPr>
        <w:t xml:space="preserve"> está la dificultad de acceder a servicios de salud, en especial cuando requieren la interrupción voluntaria del embarazo, cuando presentan casos de VIH o solicitan atención por casos de violencia, incluyendo la violencia sexual. </w:t>
      </w:r>
    </w:p>
    <w:p w14:paraId="5D38E363" w14:textId="77777777" w:rsidR="004B4893" w:rsidRPr="004B4893" w:rsidRDefault="004B4893" w:rsidP="004B4893">
      <w:pPr>
        <w:spacing w:before="3" w:after="3" w:line="240" w:lineRule="auto"/>
        <w:jc w:val="both"/>
        <w:rPr>
          <w:rFonts w:ascii="Trebuchet MS" w:hAnsi="Trebuchet MS"/>
          <w:color w:val="000000" w:themeColor="text1"/>
          <w:sz w:val="24"/>
          <w:szCs w:val="24"/>
        </w:rPr>
      </w:pPr>
    </w:p>
    <w:p w14:paraId="6EF1E88A" w14:textId="11AA1C83" w:rsidR="00684564" w:rsidRPr="004F4B8F" w:rsidRDefault="004B4893" w:rsidP="004F4B8F">
      <w:pPr>
        <w:spacing w:before="3" w:after="3" w:line="240" w:lineRule="auto"/>
        <w:jc w:val="both"/>
        <w:rPr>
          <w:rFonts w:ascii="Trebuchet MS" w:hAnsi="Trebuchet MS"/>
          <w:color w:val="000000" w:themeColor="text1"/>
          <w:sz w:val="24"/>
          <w:szCs w:val="24"/>
        </w:rPr>
      </w:pPr>
      <w:r w:rsidRPr="004B4893">
        <w:rPr>
          <w:rFonts w:ascii="Trebuchet MS" w:hAnsi="Trebuchet MS"/>
          <w:color w:val="000000" w:themeColor="text1"/>
          <w:sz w:val="24"/>
          <w:szCs w:val="24"/>
        </w:rPr>
        <w:t>Se requieren lineamientos claros por parte del Gobierno Nacional – Ministerio de Salud para la atención a las mujeres migrantes.</w:t>
      </w:r>
    </w:p>
    <w:p w14:paraId="345C16DE" w14:textId="77777777" w:rsidR="007345E9" w:rsidRDefault="007345E9" w:rsidP="00CD673C">
      <w:pPr>
        <w:rPr>
          <w:rFonts w:ascii="Trebuchet MS" w:hAnsi="Trebuchet MS"/>
          <w:sz w:val="24"/>
          <w:szCs w:val="24"/>
        </w:rPr>
      </w:pPr>
    </w:p>
    <w:p w14:paraId="37F2A780" w14:textId="77777777" w:rsidR="00D32A8E" w:rsidRDefault="00D32A8E" w:rsidP="00CD673C">
      <w:pPr>
        <w:rPr>
          <w:rFonts w:ascii="Trebuchet MS" w:hAnsi="Trebuchet MS"/>
          <w:sz w:val="24"/>
          <w:szCs w:val="24"/>
        </w:rPr>
      </w:pPr>
    </w:p>
    <w:p w14:paraId="7310ADF1" w14:textId="77777777" w:rsidR="00D32A8E" w:rsidRDefault="00D32A8E" w:rsidP="00CD673C">
      <w:pPr>
        <w:rPr>
          <w:rFonts w:ascii="Trebuchet MS" w:hAnsi="Trebuchet MS"/>
          <w:sz w:val="24"/>
          <w:szCs w:val="24"/>
        </w:rPr>
      </w:pPr>
    </w:p>
    <w:p w14:paraId="61EDEB96" w14:textId="77777777" w:rsidR="00A342A4" w:rsidRDefault="00A342A4" w:rsidP="00CD673C">
      <w:pPr>
        <w:rPr>
          <w:rFonts w:ascii="Trebuchet MS" w:hAnsi="Trebuchet MS"/>
          <w:lang w:val="es-ES" w:eastAsia="es-CO"/>
        </w:rPr>
      </w:pPr>
      <w:r>
        <w:rPr>
          <w:noProof/>
          <w:lang w:val="es-CO" w:eastAsia="es-CO"/>
        </w:rPr>
        <mc:AlternateContent>
          <mc:Choice Requires="wps">
            <w:drawing>
              <wp:anchor distT="0" distB="0" distL="114300" distR="114300" simplePos="0" relativeHeight="251680768" behindDoc="0" locked="0" layoutInCell="1" allowOverlap="1" wp14:anchorId="76BE84BD" wp14:editId="05F74BE3">
                <wp:simplePos x="0" y="0"/>
                <wp:positionH relativeFrom="column">
                  <wp:posOffset>228600</wp:posOffset>
                </wp:positionH>
                <wp:positionV relativeFrom="paragraph">
                  <wp:posOffset>-342900</wp:posOffset>
                </wp:positionV>
                <wp:extent cx="3962400" cy="354330"/>
                <wp:effectExtent l="0" t="0" r="25400" b="26670"/>
                <wp:wrapNone/>
                <wp:docPr id="1"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354330"/>
                        </a:xfrm>
                        <a:prstGeom prst="rect">
                          <a:avLst/>
                        </a:prstGeom>
                        <a:solidFill>
                          <a:srgbClr val="C0504D"/>
                        </a:solidFill>
                        <a:ln>
                          <a:noFill/>
                        </a:ln>
                        <a:effectLst>
                          <a:outerShdw dist="28398" dir="3806097" algn="ctr" rotWithShape="0">
                            <a:srgbClr val="622423">
                              <a:alpha val="50000"/>
                            </a:srgbClr>
                          </a:outerShdw>
                        </a:effectLst>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38100">
                              <a:solidFill>
                                <a:srgbClr val="F2F2F2"/>
                              </a:solidFill>
                              <a:miter lim="800000"/>
                              <a:headEnd/>
                              <a:tailEnd/>
                            </a14:hiddenLine>
                          </a:ext>
                        </a:extLst>
                      </wps:spPr>
                      <wps:txbx>
                        <w:txbxContent>
                          <w:p w14:paraId="599A57EC" w14:textId="77777777" w:rsidR="00A342A4" w:rsidRPr="00A342A4" w:rsidRDefault="00A342A4" w:rsidP="00A342A4">
                            <w:pPr>
                              <w:jc w:val="center"/>
                              <w:rPr>
                                <w:rFonts w:ascii="Trebuchet MS" w:hAnsi="Trebuchet MS"/>
                                <w:color w:val="FFFFFF" w:themeColor="background1"/>
                                <w:sz w:val="26"/>
                                <w:szCs w:val="26"/>
                              </w:rPr>
                            </w:pPr>
                            <w:r w:rsidRPr="00A342A4">
                              <w:rPr>
                                <w:rFonts w:ascii="Trebuchet MS" w:hAnsi="Trebuchet MS"/>
                                <w:color w:val="FFFFFF" w:themeColor="background1"/>
                                <w:sz w:val="26"/>
                                <w:szCs w:val="26"/>
                                <w:lang w:val="es-ES"/>
                              </w:rPr>
                              <w:t>Referencias</w:t>
                            </w:r>
                          </w:p>
                          <w:p w14:paraId="112BCF48" w14:textId="77777777" w:rsidR="00A342A4" w:rsidRPr="004B4893" w:rsidRDefault="00A342A4" w:rsidP="00A342A4">
                            <w:pPr>
                              <w:jc w:val="center"/>
                              <w:rPr>
                                <w:rFonts w:ascii="Trebuchet MS" w:hAnsi="Trebuchet MS"/>
                                <w:color w:val="FFFFFF" w:themeColor="background1"/>
                                <w:sz w:val="26"/>
                                <w:szCs w:val="26"/>
                                <w:lang w:val="es-ES_tradnl"/>
                              </w:rPr>
                            </w:pPr>
                          </w:p>
                          <w:p w14:paraId="58BBA8C3" w14:textId="77777777" w:rsidR="00A342A4" w:rsidRPr="004B4893" w:rsidRDefault="00A342A4" w:rsidP="00A342A4">
                            <w:pPr>
                              <w:rPr>
                                <w:color w:val="FFFFFF"/>
                                <w:sz w:val="30"/>
                                <w:szCs w:val="30"/>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BE84BD" id="Cuadro de texto 14" o:spid="_x0000_s1027" type="#_x0000_t202" style="position:absolute;margin-left:18pt;margin-top:-27pt;width:312pt;height:2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" fillcolor="#c0504d" stroked="f">
                <v:shadow on="t" color="#622423" opacity=".5" offset="1pt"/>
                <v:textbox>
                  <w:txbxContent>
                    <w:p w14:paraId="599A57EC" w14:textId="77777777" w:rsidR="00A342A4" w:rsidRPr="00A342A4" w:rsidRDefault="00A342A4" w:rsidP="00A342A4">
                      <w:pPr>
                        <w:jc w:val="center"/>
                        <w:rPr>
                          <w:rFonts w:ascii="Trebuchet MS" w:hAnsi="Trebuchet MS"/>
                          <w:color w:val="FFFFFF" w:themeColor="background1"/>
                          <w:sz w:val="26"/>
                          <w:szCs w:val="26"/>
                        </w:rPr>
                      </w:pPr>
                      <w:r w:rsidRPr="00A342A4">
                        <w:rPr>
                          <w:rFonts w:ascii="Trebuchet MS" w:hAnsi="Trebuchet MS"/>
                          <w:color w:val="FFFFFF" w:themeColor="background1"/>
                          <w:sz w:val="26"/>
                          <w:szCs w:val="26"/>
                          <w:lang w:val="es-ES"/>
                        </w:rPr>
                        <w:t>Referencias</w:t>
                      </w:r>
                    </w:p>
                    <w:p w14:paraId="112BCF48" w14:textId="77777777" w:rsidR="00A342A4" w:rsidRPr="004B4893" w:rsidRDefault="00A342A4" w:rsidP="00A342A4">
                      <w:pPr>
                        <w:jc w:val="center"/>
                        <w:rPr>
                          <w:rFonts w:ascii="Trebuchet MS" w:hAnsi="Trebuchet MS"/>
                          <w:color w:val="FFFFFF" w:themeColor="background1"/>
                          <w:sz w:val="26"/>
                          <w:szCs w:val="26"/>
                          <w:lang w:val="es-ES_tradnl"/>
                        </w:rPr>
                      </w:pPr>
                    </w:p>
                    <w:p w14:paraId="58BBA8C3" w14:textId="77777777" w:rsidR="00A342A4" w:rsidRPr="004B4893" w:rsidRDefault="00A342A4" w:rsidP="00A342A4">
                      <w:pPr>
                        <w:rPr>
                          <w:color w:val="FFFFFF"/>
                          <w:sz w:val="30"/>
                          <w:szCs w:val="30"/>
                          <w:lang w:val="es-ES"/>
                        </w:rPr>
                      </w:pPr>
                    </w:p>
                  </w:txbxContent>
                </v:textbox>
              </v:shape>
            </w:pict>
          </mc:Fallback>
        </mc:AlternateContent>
      </w:r>
    </w:p>
    <w:p w14:paraId="7F73CF33" w14:textId="77777777" w:rsidR="00D32A8E" w:rsidRPr="00AC5768" w:rsidRDefault="00D32A8E" w:rsidP="00D32A8E">
      <w:pPr>
        <w:shd w:val="clear" w:color="auto" w:fill="FFFFFF"/>
        <w:spacing w:before="240" w:after="0" w:line="240" w:lineRule="auto"/>
        <w:ind w:left="708" w:hanging="708"/>
        <w:rPr>
          <w:rFonts w:ascii="Trebuchet MS" w:eastAsia="Times New Roman" w:hAnsi="Trebuchet MS"/>
          <w:color w:val="000000"/>
          <w:lang w:eastAsia="es-ES_tradnl"/>
        </w:rPr>
      </w:pPr>
      <w:r w:rsidRPr="00AC5768">
        <w:rPr>
          <w:rFonts w:ascii="Trebuchet MS" w:eastAsia="Times New Roman" w:hAnsi="Trebuchet MS"/>
          <w:color w:val="000000"/>
          <w:lang w:eastAsia="es-ES_tradnl"/>
        </w:rPr>
        <w:t>Corporación Sisma Mujer. (2011). Obstáculos para el acceso a la justicia de las mujeres víctimas de violencia sexual en Colombia, (p. 19).</w:t>
      </w:r>
    </w:p>
    <w:p w14:paraId="18E0E572" w14:textId="4F43677F" w:rsidR="00A342A4" w:rsidRPr="00AC5768" w:rsidRDefault="00A342A4" w:rsidP="00A342A4">
      <w:pPr>
        <w:shd w:val="clear" w:color="auto" w:fill="FFFFFF"/>
        <w:spacing w:before="240" w:after="0" w:line="240" w:lineRule="auto"/>
        <w:ind w:left="708" w:hanging="708"/>
        <w:rPr>
          <w:rFonts w:ascii="Trebuchet MS" w:eastAsia="Times New Roman" w:hAnsi="Trebuchet MS"/>
          <w:color w:val="000000"/>
          <w:lang w:eastAsia="es-ES_tradnl"/>
        </w:rPr>
      </w:pPr>
      <w:r w:rsidRPr="00AC5768">
        <w:rPr>
          <w:rFonts w:ascii="Trebuchet MS" w:eastAsia="Times New Roman" w:hAnsi="Trebuchet MS"/>
          <w:color w:val="000000"/>
          <w:lang w:eastAsia="es-ES_tradnl"/>
        </w:rPr>
        <w:t xml:space="preserve">Defensoría del Pueblo (2018a). </w:t>
      </w:r>
      <w:r w:rsidR="006B0C56">
        <w:rPr>
          <w:rFonts w:ascii="Trebuchet MS" w:eastAsia="Times New Roman" w:hAnsi="Trebuchet MS"/>
          <w:color w:val="000000"/>
          <w:lang w:eastAsia="es-ES_tradnl"/>
        </w:rPr>
        <w:t>N</w:t>
      </w:r>
      <w:r w:rsidRPr="00AC5768">
        <w:rPr>
          <w:rFonts w:ascii="Trebuchet MS" w:eastAsia="Times New Roman" w:hAnsi="Trebuchet MS"/>
          <w:color w:val="000000"/>
          <w:lang w:eastAsia="es-ES_tradnl"/>
        </w:rPr>
        <w:t>ota de seguimiento al informe de Riesgo 010-2017. Recuperado de http://www.defensoria.gov.co/es/nube/destacados/7076/Alerta-temprana-026-2018-es-una-nota-de-seguimiento-al-informe-de-Riesgo-010-2017.htm</w:t>
      </w:r>
    </w:p>
    <w:p w14:paraId="06CEFB18" w14:textId="77777777" w:rsidR="00D32A8E" w:rsidRPr="00A342A4" w:rsidRDefault="00A342A4" w:rsidP="00A342A4">
      <w:pPr>
        <w:shd w:val="clear" w:color="auto" w:fill="FFFFFF"/>
        <w:spacing w:before="240" w:after="0" w:line="240" w:lineRule="auto"/>
        <w:ind w:left="708" w:hanging="708"/>
        <w:rPr>
          <w:rFonts w:ascii="Trebuchet MS" w:eastAsia="Times New Roman" w:hAnsi="Trebuchet MS"/>
          <w:color w:val="000000"/>
          <w:lang w:eastAsia="es-ES_tradnl"/>
        </w:rPr>
      </w:pPr>
      <w:r w:rsidRPr="00AC5768">
        <w:rPr>
          <w:rFonts w:ascii="Trebuchet MS" w:eastAsia="Times New Roman" w:hAnsi="Trebuchet MS"/>
          <w:color w:val="000000"/>
          <w:lang w:eastAsia="es-ES_tradnl"/>
        </w:rPr>
        <w:t>Defensoría del Pueblo (2018b). Alerta temprana n.° 26 del 28 de febrero de 2018. Recuperado de http://www.indepaz.org.co/wp-content/uploads/2018/03/AT-N%C2%B0-026-18-Defensores.pdf</w:t>
      </w:r>
    </w:p>
    <w:p w14:paraId="4D836F6E" w14:textId="77777777" w:rsidR="00D32A8E" w:rsidRDefault="00D32A8E" w:rsidP="00D32A8E">
      <w:pPr>
        <w:shd w:val="clear" w:color="auto" w:fill="FFFFFF"/>
        <w:spacing w:before="240" w:after="0" w:line="240" w:lineRule="auto"/>
        <w:ind w:left="708" w:hanging="708"/>
        <w:rPr>
          <w:rFonts w:ascii="Trebuchet MS" w:eastAsia="Times New Roman" w:hAnsi="Trebuchet MS"/>
          <w:color w:val="000000"/>
          <w:lang w:eastAsia="es-ES_tradnl"/>
        </w:rPr>
      </w:pPr>
      <w:r w:rsidRPr="00AC5768">
        <w:rPr>
          <w:rFonts w:ascii="Trebuchet MS" w:eastAsia="Times New Roman" w:hAnsi="Trebuchet MS"/>
          <w:color w:val="000000"/>
          <w:lang w:eastAsia="es-ES_tradnl"/>
        </w:rPr>
        <w:t xml:space="preserve">Dejusticia (2017). El Estado y la violencia sexual contra las mujeres en el marco de la violencia sociopolítica en Colombia. Recuperado de </w:t>
      </w:r>
      <w:hyperlink r:id="rId13" w:history="1">
        <w:r w:rsidRPr="007658D0">
          <w:rPr>
            <w:rStyle w:val="Hipervnculo"/>
            <w:rFonts w:ascii="Trebuchet MS" w:eastAsia="Times New Roman" w:hAnsi="Trebuchet MS"/>
            <w:lang w:eastAsia="es-ES_tradnl"/>
          </w:rPr>
          <w:t>https://www.dejusticia.org/wp-content/uploads/2017/04/fi_name_recurso_265.pdf</w:t>
        </w:r>
      </w:hyperlink>
    </w:p>
    <w:p w14:paraId="4656B324" w14:textId="598F6507" w:rsidR="00D32A8E" w:rsidRPr="00AC5768" w:rsidRDefault="00D32A8E" w:rsidP="00D32A8E">
      <w:pPr>
        <w:shd w:val="clear" w:color="auto" w:fill="FFFFFF"/>
        <w:spacing w:before="240" w:after="0" w:line="240" w:lineRule="auto"/>
        <w:ind w:left="708" w:hanging="708"/>
        <w:rPr>
          <w:rFonts w:ascii="Trebuchet MS" w:eastAsia="Times New Roman" w:hAnsi="Trebuchet MS"/>
          <w:color w:val="000000"/>
          <w:lang w:eastAsia="es-ES_tradnl"/>
        </w:rPr>
      </w:pPr>
      <w:r w:rsidRPr="00AC5768">
        <w:rPr>
          <w:rFonts w:ascii="Trebuchet MS" w:eastAsia="Times New Roman" w:hAnsi="Trebuchet MS"/>
          <w:color w:val="000000"/>
          <w:lang w:eastAsia="es-ES_tradnl"/>
        </w:rPr>
        <w:t>Instituto Nacional de Medicina Legal. (2018).</w:t>
      </w:r>
      <w:r>
        <w:rPr>
          <w:rFonts w:ascii="Trebuchet MS" w:eastAsia="Times New Roman" w:hAnsi="Trebuchet MS"/>
          <w:color w:val="000000"/>
          <w:lang w:eastAsia="es-ES_tradnl"/>
        </w:rPr>
        <w:t xml:space="preserve"> Boletín Estadistico</w:t>
      </w:r>
      <w:r w:rsidR="00752391">
        <w:rPr>
          <w:rFonts w:ascii="Trebuchet MS" w:eastAsia="Times New Roman" w:hAnsi="Trebuchet MS"/>
          <w:color w:val="000000"/>
          <w:lang w:eastAsia="es-ES_tradnl"/>
        </w:rPr>
        <w:t xml:space="preserve"> </w:t>
      </w:r>
      <w:r>
        <w:rPr>
          <w:rFonts w:ascii="Trebuchet MS" w:eastAsia="Times New Roman" w:hAnsi="Trebuchet MS"/>
          <w:color w:val="000000"/>
          <w:lang w:eastAsia="es-ES_tradnl"/>
        </w:rPr>
        <w:t xml:space="preserve">Noviembre 2018 </w:t>
      </w:r>
    </w:p>
    <w:p w14:paraId="0723404D" w14:textId="77777777" w:rsidR="00D32A8E" w:rsidRDefault="00D32A8E" w:rsidP="00CD673C">
      <w:pPr>
        <w:rPr>
          <w:rFonts w:ascii="Trebuchet MS" w:hAnsi="Trebuchet MS"/>
          <w:sz w:val="24"/>
          <w:szCs w:val="24"/>
        </w:rPr>
      </w:pPr>
    </w:p>
    <w:sectPr w:rsidR="00D32A8E" w:rsidSect="00CD673C">
      <w:footerReference w:type="default" r:id="rId14"/>
      <w:pgSz w:w="12240" w:h="15840"/>
      <w:pgMar w:top="1417" w:right="1701" w:bottom="1417" w:left="1701" w:header="708" w:footer="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D3A23" w14:textId="77777777" w:rsidR="00677E97" w:rsidRDefault="00677E97" w:rsidP="00514DF6">
      <w:pPr>
        <w:spacing w:after="0" w:line="240" w:lineRule="auto"/>
      </w:pPr>
      <w:r>
        <w:separator/>
      </w:r>
    </w:p>
  </w:endnote>
  <w:endnote w:type="continuationSeparator" w:id="0">
    <w:p w14:paraId="627A19DA" w14:textId="77777777" w:rsidR="00677E97" w:rsidRDefault="00677E97" w:rsidP="00514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2578344"/>
      <w:docPartObj>
        <w:docPartGallery w:val="Page Numbers (Bottom of Page)"/>
        <w:docPartUnique/>
      </w:docPartObj>
    </w:sdtPr>
    <w:sdtEndPr>
      <w:rPr>
        <w:rFonts w:ascii="Trebuchet MS" w:hAnsi="Trebuchet MS"/>
        <w:sz w:val="24"/>
        <w:szCs w:val="24"/>
      </w:rPr>
    </w:sdtEndPr>
    <w:sdtContent>
      <w:p w14:paraId="5997F658" w14:textId="77777777" w:rsidR="00D32A8E" w:rsidRPr="00F81E2E" w:rsidRDefault="00D32A8E">
        <w:pPr>
          <w:pStyle w:val="Piedepgina"/>
          <w:jc w:val="right"/>
          <w:rPr>
            <w:rFonts w:ascii="Trebuchet MS" w:hAnsi="Trebuchet MS"/>
            <w:sz w:val="24"/>
            <w:szCs w:val="24"/>
          </w:rPr>
        </w:pPr>
        <w:r w:rsidRPr="00F81E2E">
          <w:rPr>
            <w:rFonts w:ascii="Trebuchet MS" w:hAnsi="Trebuchet MS"/>
            <w:noProof/>
            <w:sz w:val="24"/>
            <w:szCs w:val="24"/>
            <w:lang w:val="es-CO" w:eastAsia="es-CO"/>
          </w:rPr>
          <mc:AlternateContent>
            <mc:Choice Requires="wps">
              <w:drawing>
                <wp:anchor distT="0" distB="0" distL="114300" distR="114300" simplePos="0" relativeHeight="251659264" behindDoc="1" locked="0" layoutInCell="1" allowOverlap="1" wp14:anchorId="4EAE3761" wp14:editId="0C8F6BA5">
                  <wp:simplePos x="0" y="0"/>
                  <wp:positionH relativeFrom="page">
                    <wp:posOffset>0</wp:posOffset>
                  </wp:positionH>
                  <wp:positionV relativeFrom="paragraph">
                    <wp:posOffset>-18093</wp:posOffset>
                  </wp:positionV>
                  <wp:extent cx="7779224" cy="245660"/>
                  <wp:effectExtent l="0" t="0" r="0" b="2540"/>
                  <wp:wrapNone/>
                  <wp:docPr id="15" name="Rectángulo 15"/>
                  <wp:cNvGraphicFramePr/>
                  <a:graphic xmlns:a="http://schemas.openxmlformats.org/drawingml/2006/main">
                    <a:graphicData uri="http://schemas.microsoft.com/office/word/2010/wordprocessingShape">
                      <wps:wsp>
                        <wps:cNvSpPr/>
                        <wps:spPr>
                          <a:xfrm>
                            <a:off x="0" y="0"/>
                            <a:ext cx="7779224" cy="2456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12215F" id="Rectángulo 15" o:spid="_x0000_s1026" style="position:absolute;margin-left:0;margin-top:-1.4pt;width:612.55pt;height:19.35pt;z-index:-25165721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" fillcolor="#bfbfbf [2412]" stroked="f" strokeweight="2pt">
                  <w10:wrap anchorx="page"/>
                </v:rect>
              </w:pict>
            </mc:Fallback>
          </mc:AlternateContent>
        </w:r>
        <w:r w:rsidRPr="00F81E2E">
          <w:rPr>
            <w:rFonts w:ascii="Trebuchet MS" w:hAnsi="Trebuchet MS"/>
            <w:sz w:val="24"/>
            <w:szCs w:val="24"/>
          </w:rPr>
          <w:fldChar w:fldCharType="begin"/>
        </w:r>
        <w:r w:rsidRPr="00F81E2E">
          <w:rPr>
            <w:rFonts w:ascii="Trebuchet MS" w:hAnsi="Trebuchet MS"/>
            <w:sz w:val="24"/>
            <w:szCs w:val="24"/>
          </w:rPr>
          <w:instrText>PAGE   \* MERGEFORMAT</w:instrText>
        </w:r>
        <w:r w:rsidRPr="00F81E2E">
          <w:rPr>
            <w:rFonts w:ascii="Trebuchet MS" w:hAnsi="Trebuchet MS"/>
            <w:sz w:val="24"/>
            <w:szCs w:val="24"/>
          </w:rPr>
          <w:fldChar w:fldCharType="separate"/>
        </w:r>
        <w:r w:rsidR="00DF5630" w:rsidRPr="00DF5630">
          <w:rPr>
            <w:rFonts w:ascii="Trebuchet MS" w:hAnsi="Trebuchet MS"/>
            <w:noProof/>
            <w:sz w:val="24"/>
            <w:szCs w:val="24"/>
            <w:lang w:val="es-ES"/>
          </w:rPr>
          <w:t>10</w:t>
        </w:r>
        <w:r w:rsidRPr="00F81E2E">
          <w:rPr>
            <w:rFonts w:ascii="Trebuchet MS" w:hAnsi="Trebuchet MS"/>
            <w:sz w:val="24"/>
            <w:szCs w:val="24"/>
          </w:rPr>
          <w:fldChar w:fldCharType="end"/>
        </w:r>
      </w:p>
    </w:sdtContent>
  </w:sdt>
  <w:p w14:paraId="35D260B1" w14:textId="77777777" w:rsidR="00D32A8E" w:rsidRDefault="00D32A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C1086" w14:textId="77777777" w:rsidR="00677E97" w:rsidRDefault="00677E97" w:rsidP="00514DF6">
      <w:pPr>
        <w:spacing w:after="0" w:line="240" w:lineRule="auto"/>
      </w:pPr>
      <w:r>
        <w:separator/>
      </w:r>
    </w:p>
  </w:footnote>
  <w:footnote w:type="continuationSeparator" w:id="0">
    <w:p w14:paraId="52D0DBB7" w14:textId="77777777" w:rsidR="00677E97" w:rsidRDefault="00677E97" w:rsidP="00514D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501C5"/>
    <w:multiLevelType w:val="hybridMultilevel"/>
    <w:tmpl w:val="E26AC168"/>
    <w:lvl w:ilvl="0" w:tplc="54FA77A2">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3D66157"/>
    <w:multiLevelType w:val="multilevel"/>
    <w:tmpl w:val="42AC4122"/>
    <w:lvl w:ilvl="0">
      <w:start w:val="1"/>
      <w:numFmt w:val="decimal"/>
      <w:lvlText w:val="%1."/>
      <w:lvlJc w:val="left"/>
      <w:pPr>
        <w:ind w:left="720" w:hanging="360"/>
      </w:pPr>
      <w:rPr>
        <w:rFonts w:hint="default"/>
      </w:rPr>
    </w:lvl>
    <w:lvl w:ilvl="1">
      <w:start w:val="1"/>
      <w:numFmt w:val="decimal"/>
      <w:isLgl/>
      <w:lvlText w:val="%1.%2"/>
      <w:lvlJc w:val="left"/>
      <w:pPr>
        <w:ind w:left="1260" w:hanging="45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6120" w:hanging="2160"/>
      </w:pPr>
      <w:rPr>
        <w:rFonts w:hint="default"/>
      </w:rPr>
    </w:lvl>
  </w:abstractNum>
  <w:abstractNum w:abstractNumId="2" w15:restartNumberingAfterBreak="0">
    <w:nsid w:val="072D034F"/>
    <w:multiLevelType w:val="multilevel"/>
    <w:tmpl w:val="CE5C3144"/>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 w15:restartNumberingAfterBreak="0">
    <w:nsid w:val="09437FF0"/>
    <w:multiLevelType w:val="hybridMultilevel"/>
    <w:tmpl w:val="60CE20F8"/>
    <w:lvl w:ilvl="0" w:tplc="66C87AA4">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0B352341"/>
    <w:multiLevelType w:val="hybridMultilevel"/>
    <w:tmpl w:val="9A1218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260B11"/>
    <w:multiLevelType w:val="hybridMultilevel"/>
    <w:tmpl w:val="98848D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A7268D"/>
    <w:multiLevelType w:val="hybridMultilevel"/>
    <w:tmpl w:val="71E610BA"/>
    <w:lvl w:ilvl="0" w:tplc="B86A3EC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B4139E5"/>
    <w:multiLevelType w:val="multilevel"/>
    <w:tmpl w:val="D7DE1182"/>
    <w:lvl w:ilvl="0">
      <w:start w:val="1"/>
      <w:numFmt w:val="decimal"/>
      <w:lvlText w:val="%1."/>
      <w:lvlJc w:val="left"/>
      <w:pPr>
        <w:ind w:left="108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1D087480"/>
    <w:multiLevelType w:val="hybridMultilevel"/>
    <w:tmpl w:val="5EDEFABE"/>
    <w:lvl w:ilvl="0" w:tplc="4C26CC7C">
      <w:start w:val="123"/>
      <w:numFmt w:val="decimal"/>
      <w:lvlText w:val="%1."/>
      <w:lvlJc w:val="left"/>
      <w:pPr>
        <w:ind w:left="810" w:hanging="45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916EAD"/>
    <w:multiLevelType w:val="hybridMultilevel"/>
    <w:tmpl w:val="A2E4997A"/>
    <w:lvl w:ilvl="0" w:tplc="7A242C5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3AD6973"/>
    <w:multiLevelType w:val="multilevel"/>
    <w:tmpl w:val="CC1E280E"/>
    <w:lvl w:ilvl="0">
      <w:start w:val="1"/>
      <w:numFmt w:val="upperRoman"/>
      <w:lvlText w:val="%1."/>
      <w:lvlJc w:val="right"/>
      <w:pPr>
        <w:ind w:left="1428" w:hanging="360"/>
      </w:pPr>
    </w:lvl>
    <w:lvl w:ilvl="1">
      <w:start w:val="30"/>
      <w:numFmt w:val="decimal"/>
      <w:isLgl/>
      <w:lvlText w:val="%1.%2"/>
      <w:lvlJc w:val="left"/>
      <w:pPr>
        <w:ind w:left="1728" w:hanging="660"/>
      </w:pPr>
      <w:rPr>
        <w:rFonts w:hint="default"/>
        <w:b/>
      </w:rPr>
    </w:lvl>
    <w:lvl w:ilvl="2">
      <w:start w:val="1"/>
      <w:numFmt w:val="decimal"/>
      <w:isLgl/>
      <w:lvlText w:val="%1.%2.%3"/>
      <w:lvlJc w:val="left"/>
      <w:pPr>
        <w:ind w:left="1788" w:hanging="720"/>
      </w:pPr>
      <w:rPr>
        <w:rFonts w:hint="default"/>
        <w:b/>
      </w:rPr>
    </w:lvl>
    <w:lvl w:ilvl="3">
      <w:start w:val="1"/>
      <w:numFmt w:val="decimal"/>
      <w:isLgl/>
      <w:lvlText w:val="%1.%2.%3.%4"/>
      <w:lvlJc w:val="left"/>
      <w:pPr>
        <w:ind w:left="2148" w:hanging="1080"/>
      </w:pPr>
      <w:rPr>
        <w:rFonts w:hint="default"/>
        <w:b/>
      </w:rPr>
    </w:lvl>
    <w:lvl w:ilvl="4">
      <w:start w:val="1"/>
      <w:numFmt w:val="decimal"/>
      <w:isLgl/>
      <w:lvlText w:val="%1.%2.%3.%4.%5"/>
      <w:lvlJc w:val="left"/>
      <w:pPr>
        <w:ind w:left="2148" w:hanging="1080"/>
      </w:pPr>
      <w:rPr>
        <w:rFonts w:hint="default"/>
        <w:b/>
      </w:rPr>
    </w:lvl>
    <w:lvl w:ilvl="5">
      <w:start w:val="1"/>
      <w:numFmt w:val="decimal"/>
      <w:isLgl/>
      <w:lvlText w:val="%1.%2.%3.%4.%5.%6"/>
      <w:lvlJc w:val="left"/>
      <w:pPr>
        <w:ind w:left="2508" w:hanging="1440"/>
      </w:pPr>
      <w:rPr>
        <w:rFonts w:hint="default"/>
        <w:b/>
      </w:rPr>
    </w:lvl>
    <w:lvl w:ilvl="6">
      <w:start w:val="1"/>
      <w:numFmt w:val="decimal"/>
      <w:isLgl/>
      <w:lvlText w:val="%1.%2.%3.%4.%5.%6.%7"/>
      <w:lvlJc w:val="left"/>
      <w:pPr>
        <w:ind w:left="2508" w:hanging="1440"/>
      </w:pPr>
      <w:rPr>
        <w:rFonts w:hint="default"/>
        <w:b/>
      </w:rPr>
    </w:lvl>
    <w:lvl w:ilvl="7">
      <w:start w:val="1"/>
      <w:numFmt w:val="decimal"/>
      <w:isLgl/>
      <w:lvlText w:val="%1.%2.%3.%4.%5.%6.%7.%8"/>
      <w:lvlJc w:val="left"/>
      <w:pPr>
        <w:ind w:left="2868" w:hanging="1800"/>
      </w:pPr>
      <w:rPr>
        <w:rFonts w:hint="default"/>
        <w:b/>
      </w:rPr>
    </w:lvl>
    <w:lvl w:ilvl="8">
      <w:start w:val="1"/>
      <w:numFmt w:val="decimal"/>
      <w:isLgl/>
      <w:lvlText w:val="%1.%2.%3.%4.%5.%6.%7.%8.%9"/>
      <w:lvlJc w:val="left"/>
      <w:pPr>
        <w:ind w:left="3228" w:hanging="2160"/>
      </w:pPr>
      <w:rPr>
        <w:rFonts w:hint="default"/>
        <w:b/>
      </w:rPr>
    </w:lvl>
  </w:abstractNum>
  <w:abstractNum w:abstractNumId="11" w15:restartNumberingAfterBreak="0">
    <w:nsid w:val="267D3CFC"/>
    <w:multiLevelType w:val="multilevel"/>
    <w:tmpl w:val="23921C3E"/>
    <w:lvl w:ilvl="0">
      <w:start w:val="2"/>
      <w:numFmt w:val="decimal"/>
      <w:lvlText w:val="%1."/>
      <w:lvlJc w:val="left"/>
      <w:pPr>
        <w:ind w:left="1080" w:hanging="360"/>
      </w:pPr>
      <w:rPr>
        <w:rFonts w:hint="default"/>
      </w:rPr>
    </w:lvl>
    <w:lvl w:ilvl="1">
      <w:start w:val="2"/>
      <w:numFmt w:val="decimal"/>
      <w:isLgl/>
      <w:lvlText w:val="%1.%2."/>
      <w:lvlJc w:val="left"/>
      <w:pPr>
        <w:ind w:left="2205" w:hanging="720"/>
      </w:pPr>
      <w:rPr>
        <w:rFonts w:hint="default"/>
      </w:rPr>
    </w:lvl>
    <w:lvl w:ilvl="2">
      <w:start w:val="1"/>
      <w:numFmt w:val="decimal"/>
      <w:isLgl/>
      <w:lvlText w:val="%1.%2.%3."/>
      <w:lvlJc w:val="left"/>
      <w:pPr>
        <w:ind w:left="2970" w:hanging="720"/>
      </w:pPr>
      <w:rPr>
        <w:rFonts w:hint="default"/>
      </w:rPr>
    </w:lvl>
    <w:lvl w:ilvl="3">
      <w:start w:val="1"/>
      <w:numFmt w:val="decimal"/>
      <w:isLgl/>
      <w:lvlText w:val="%1.%2.%3.%4."/>
      <w:lvlJc w:val="left"/>
      <w:pPr>
        <w:ind w:left="4095" w:hanging="1080"/>
      </w:pPr>
      <w:rPr>
        <w:rFonts w:hint="default"/>
      </w:rPr>
    </w:lvl>
    <w:lvl w:ilvl="4">
      <w:start w:val="1"/>
      <w:numFmt w:val="decimal"/>
      <w:isLgl/>
      <w:lvlText w:val="%1.%2.%3.%4.%5."/>
      <w:lvlJc w:val="left"/>
      <w:pPr>
        <w:ind w:left="4860" w:hanging="1080"/>
      </w:pPr>
      <w:rPr>
        <w:rFonts w:hint="default"/>
      </w:rPr>
    </w:lvl>
    <w:lvl w:ilvl="5">
      <w:start w:val="1"/>
      <w:numFmt w:val="decimal"/>
      <w:isLgl/>
      <w:lvlText w:val="%1.%2.%3.%4.%5.%6."/>
      <w:lvlJc w:val="left"/>
      <w:pPr>
        <w:ind w:left="5985" w:hanging="1440"/>
      </w:pPr>
      <w:rPr>
        <w:rFonts w:hint="default"/>
      </w:rPr>
    </w:lvl>
    <w:lvl w:ilvl="6">
      <w:start w:val="1"/>
      <w:numFmt w:val="decimal"/>
      <w:isLgl/>
      <w:lvlText w:val="%1.%2.%3.%4.%5.%6.%7."/>
      <w:lvlJc w:val="left"/>
      <w:pPr>
        <w:ind w:left="6750" w:hanging="1440"/>
      </w:pPr>
      <w:rPr>
        <w:rFonts w:hint="default"/>
      </w:rPr>
    </w:lvl>
    <w:lvl w:ilvl="7">
      <w:start w:val="1"/>
      <w:numFmt w:val="decimal"/>
      <w:isLgl/>
      <w:lvlText w:val="%1.%2.%3.%4.%5.%6.%7.%8."/>
      <w:lvlJc w:val="left"/>
      <w:pPr>
        <w:ind w:left="7875" w:hanging="1800"/>
      </w:pPr>
      <w:rPr>
        <w:rFonts w:hint="default"/>
      </w:rPr>
    </w:lvl>
    <w:lvl w:ilvl="8">
      <w:start w:val="1"/>
      <w:numFmt w:val="decimal"/>
      <w:isLgl/>
      <w:lvlText w:val="%1.%2.%3.%4.%5.%6.%7.%8.%9."/>
      <w:lvlJc w:val="left"/>
      <w:pPr>
        <w:ind w:left="8640" w:hanging="1800"/>
      </w:pPr>
      <w:rPr>
        <w:rFonts w:hint="default"/>
      </w:rPr>
    </w:lvl>
  </w:abstractNum>
  <w:abstractNum w:abstractNumId="12" w15:restartNumberingAfterBreak="0">
    <w:nsid w:val="27412535"/>
    <w:multiLevelType w:val="hybridMultilevel"/>
    <w:tmpl w:val="7CB24376"/>
    <w:lvl w:ilvl="0" w:tplc="97F05EC0">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2A7035ED"/>
    <w:multiLevelType w:val="hybridMultilevel"/>
    <w:tmpl w:val="848691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B8077DF"/>
    <w:multiLevelType w:val="multilevel"/>
    <w:tmpl w:val="CC1E280E"/>
    <w:lvl w:ilvl="0">
      <w:start w:val="1"/>
      <w:numFmt w:val="upperRoman"/>
      <w:lvlText w:val="%1."/>
      <w:lvlJc w:val="right"/>
      <w:pPr>
        <w:ind w:left="1428" w:hanging="360"/>
      </w:pPr>
    </w:lvl>
    <w:lvl w:ilvl="1">
      <w:start w:val="30"/>
      <w:numFmt w:val="decimal"/>
      <w:isLgl/>
      <w:lvlText w:val="%1.%2"/>
      <w:lvlJc w:val="left"/>
      <w:pPr>
        <w:ind w:left="1728" w:hanging="660"/>
      </w:pPr>
      <w:rPr>
        <w:rFonts w:hint="default"/>
        <w:b/>
      </w:rPr>
    </w:lvl>
    <w:lvl w:ilvl="2">
      <w:start w:val="1"/>
      <w:numFmt w:val="decimal"/>
      <w:isLgl/>
      <w:lvlText w:val="%1.%2.%3"/>
      <w:lvlJc w:val="left"/>
      <w:pPr>
        <w:ind w:left="1788" w:hanging="720"/>
      </w:pPr>
      <w:rPr>
        <w:rFonts w:hint="default"/>
        <w:b/>
      </w:rPr>
    </w:lvl>
    <w:lvl w:ilvl="3">
      <w:start w:val="1"/>
      <w:numFmt w:val="decimal"/>
      <w:isLgl/>
      <w:lvlText w:val="%1.%2.%3.%4"/>
      <w:lvlJc w:val="left"/>
      <w:pPr>
        <w:ind w:left="2148" w:hanging="1080"/>
      </w:pPr>
      <w:rPr>
        <w:rFonts w:hint="default"/>
        <w:b/>
      </w:rPr>
    </w:lvl>
    <w:lvl w:ilvl="4">
      <w:start w:val="1"/>
      <w:numFmt w:val="decimal"/>
      <w:isLgl/>
      <w:lvlText w:val="%1.%2.%3.%4.%5"/>
      <w:lvlJc w:val="left"/>
      <w:pPr>
        <w:ind w:left="2148" w:hanging="1080"/>
      </w:pPr>
      <w:rPr>
        <w:rFonts w:hint="default"/>
        <w:b/>
      </w:rPr>
    </w:lvl>
    <w:lvl w:ilvl="5">
      <w:start w:val="1"/>
      <w:numFmt w:val="decimal"/>
      <w:isLgl/>
      <w:lvlText w:val="%1.%2.%3.%4.%5.%6"/>
      <w:lvlJc w:val="left"/>
      <w:pPr>
        <w:ind w:left="2508" w:hanging="1440"/>
      </w:pPr>
      <w:rPr>
        <w:rFonts w:hint="default"/>
        <w:b/>
      </w:rPr>
    </w:lvl>
    <w:lvl w:ilvl="6">
      <w:start w:val="1"/>
      <w:numFmt w:val="decimal"/>
      <w:isLgl/>
      <w:lvlText w:val="%1.%2.%3.%4.%5.%6.%7"/>
      <w:lvlJc w:val="left"/>
      <w:pPr>
        <w:ind w:left="2508" w:hanging="1440"/>
      </w:pPr>
      <w:rPr>
        <w:rFonts w:hint="default"/>
        <w:b/>
      </w:rPr>
    </w:lvl>
    <w:lvl w:ilvl="7">
      <w:start w:val="1"/>
      <w:numFmt w:val="decimal"/>
      <w:isLgl/>
      <w:lvlText w:val="%1.%2.%3.%4.%5.%6.%7.%8"/>
      <w:lvlJc w:val="left"/>
      <w:pPr>
        <w:ind w:left="2868" w:hanging="1800"/>
      </w:pPr>
      <w:rPr>
        <w:rFonts w:hint="default"/>
        <w:b/>
      </w:rPr>
    </w:lvl>
    <w:lvl w:ilvl="8">
      <w:start w:val="1"/>
      <w:numFmt w:val="decimal"/>
      <w:isLgl/>
      <w:lvlText w:val="%1.%2.%3.%4.%5.%6.%7.%8.%9"/>
      <w:lvlJc w:val="left"/>
      <w:pPr>
        <w:ind w:left="3228" w:hanging="2160"/>
      </w:pPr>
      <w:rPr>
        <w:rFonts w:hint="default"/>
        <w:b/>
      </w:rPr>
    </w:lvl>
  </w:abstractNum>
  <w:abstractNum w:abstractNumId="15" w15:restartNumberingAfterBreak="0">
    <w:nsid w:val="2CEF02EC"/>
    <w:multiLevelType w:val="hybridMultilevel"/>
    <w:tmpl w:val="BD18E1BC"/>
    <w:lvl w:ilvl="0" w:tplc="6C649576">
      <w:start w:val="1"/>
      <w:numFmt w:val="upperRoman"/>
      <w:lvlText w:val="%1."/>
      <w:lvlJc w:val="righ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0D02E8"/>
    <w:multiLevelType w:val="hybridMultilevel"/>
    <w:tmpl w:val="FFFFFFFF"/>
    <w:lvl w:ilvl="0" w:tplc="76DA0868">
      <w:start w:val="1"/>
      <w:numFmt w:val="bullet"/>
      <w:lvlText w:val=""/>
      <w:lvlJc w:val="left"/>
      <w:pPr>
        <w:ind w:left="720" w:hanging="360"/>
      </w:pPr>
      <w:rPr>
        <w:rFonts w:ascii="Symbol" w:hAnsi="Symbol" w:hint="default"/>
      </w:rPr>
    </w:lvl>
    <w:lvl w:ilvl="1" w:tplc="F58CC0C0">
      <w:start w:val="1"/>
      <w:numFmt w:val="bullet"/>
      <w:lvlText w:val="o"/>
      <w:lvlJc w:val="left"/>
      <w:pPr>
        <w:ind w:left="1440" w:hanging="360"/>
      </w:pPr>
      <w:rPr>
        <w:rFonts w:ascii="Courier New" w:hAnsi="Courier New" w:hint="default"/>
      </w:rPr>
    </w:lvl>
    <w:lvl w:ilvl="2" w:tplc="14D822F2">
      <w:start w:val="1"/>
      <w:numFmt w:val="bullet"/>
      <w:lvlText w:val=""/>
      <w:lvlJc w:val="left"/>
      <w:pPr>
        <w:ind w:left="2160" w:hanging="360"/>
      </w:pPr>
      <w:rPr>
        <w:rFonts w:ascii="Wingdings" w:hAnsi="Wingdings" w:hint="default"/>
      </w:rPr>
    </w:lvl>
    <w:lvl w:ilvl="3" w:tplc="0420838C">
      <w:start w:val="1"/>
      <w:numFmt w:val="bullet"/>
      <w:lvlText w:val=""/>
      <w:lvlJc w:val="left"/>
      <w:pPr>
        <w:ind w:left="2880" w:hanging="360"/>
      </w:pPr>
      <w:rPr>
        <w:rFonts w:ascii="Symbol" w:hAnsi="Symbol" w:hint="default"/>
      </w:rPr>
    </w:lvl>
    <w:lvl w:ilvl="4" w:tplc="0AEA1E80">
      <w:start w:val="1"/>
      <w:numFmt w:val="bullet"/>
      <w:lvlText w:val="o"/>
      <w:lvlJc w:val="left"/>
      <w:pPr>
        <w:ind w:left="3600" w:hanging="360"/>
      </w:pPr>
      <w:rPr>
        <w:rFonts w:ascii="Courier New" w:hAnsi="Courier New" w:hint="default"/>
      </w:rPr>
    </w:lvl>
    <w:lvl w:ilvl="5" w:tplc="81F89696">
      <w:start w:val="1"/>
      <w:numFmt w:val="bullet"/>
      <w:lvlText w:val=""/>
      <w:lvlJc w:val="left"/>
      <w:pPr>
        <w:ind w:left="4320" w:hanging="360"/>
      </w:pPr>
      <w:rPr>
        <w:rFonts w:ascii="Wingdings" w:hAnsi="Wingdings" w:hint="default"/>
      </w:rPr>
    </w:lvl>
    <w:lvl w:ilvl="6" w:tplc="96026FEA">
      <w:start w:val="1"/>
      <w:numFmt w:val="bullet"/>
      <w:lvlText w:val=""/>
      <w:lvlJc w:val="left"/>
      <w:pPr>
        <w:ind w:left="5040" w:hanging="360"/>
      </w:pPr>
      <w:rPr>
        <w:rFonts w:ascii="Symbol" w:hAnsi="Symbol" w:hint="default"/>
      </w:rPr>
    </w:lvl>
    <w:lvl w:ilvl="7" w:tplc="D2CA1E80">
      <w:start w:val="1"/>
      <w:numFmt w:val="bullet"/>
      <w:lvlText w:val="o"/>
      <w:lvlJc w:val="left"/>
      <w:pPr>
        <w:ind w:left="5760" w:hanging="360"/>
      </w:pPr>
      <w:rPr>
        <w:rFonts w:ascii="Courier New" w:hAnsi="Courier New" w:hint="default"/>
      </w:rPr>
    </w:lvl>
    <w:lvl w:ilvl="8" w:tplc="8ED4BE2C">
      <w:start w:val="1"/>
      <w:numFmt w:val="bullet"/>
      <w:lvlText w:val=""/>
      <w:lvlJc w:val="left"/>
      <w:pPr>
        <w:ind w:left="6480" w:hanging="360"/>
      </w:pPr>
      <w:rPr>
        <w:rFonts w:ascii="Wingdings" w:hAnsi="Wingdings" w:hint="default"/>
      </w:rPr>
    </w:lvl>
  </w:abstractNum>
  <w:abstractNum w:abstractNumId="17" w15:restartNumberingAfterBreak="0">
    <w:nsid w:val="31B6544C"/>
    <w:multiLevelType w:val="multilevel"/>
    <w:tmpl w:val="CD0CE144"/>
    <w:lvl w:ilvl="0">
      <w:start w:val="1"/>
      <w:numFmt w:val="decimal"/>
      <w:lvlText w:val="%1."/>
      <w:lvlJc w:val="left"/>
      <w:pPr>
        <w:ind w:left="1440" w:hanging="360"/>
      </w:pPr>
      <w:rPr>
        <w:rFonts w:hint="default"/>
      </w:rPr>
    </w:lvl>
    <w:lvl w:ilvl="1">
      <w:start w:val="1"/>
      <w:numFmt w:val="decimal"/>
      <w:isLgl/>
      <w:lvlText w:val="%1.%2"/>
      <w:lvlJc w:val="left"/>
      <w:pPr>
        <w:ind w:left="148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31DC08D3"/>
    <w:multiLevelType w:val="hybridMultilevel"/>
    <w:tmpl w:val="3A3EDF82"/>
    <w:lvl w:ilvl="0" w:tplc="0BF28BF4">
      <w:start w:val="1"/>
      <w:numFmt w:val="upperRoman"/>
      <w:lvlText w:val="%1."/>
      <w:lvlJc w:val="left"/>
      <w:pPr>
        <w:ind w:left="1418" w:hanging="720"/>
      </w:pPr>
      <w:rPr>
        <w:rFonts w:hint="default"/>
        <w:color w:val="auto"/>
      </w:rPr>
    </w:lvl>
    <w:lvl w:ilvl="1" w:tplc="240A0019" w:tentative="1">
      <w:start w:val="1"/>
      <w:numFmt w:val="lowerLetter"/>
      <w:lvlText w:val="%2."/>
      <w:lvlJc w:val="left"/>
      <w:pPr>
        <w:ind w:left="1778" w:hanging="360"/>
      </w:pPr>
    </w:lvl>
    <w:lvl w:ilvl="2" w:tplc="240A001B" w:tentative="1">
      <w:start w:val="1"/>
      <w:numFmt w:val="lowerRoman"/>
      <w:lvlText w:val="%3."/>
      <w:lvlJc w:val="right"/>
      <w:pPr>
        <w:ind w:left="2498" w:hanging="180"/>
      </w:pPr>
    </w:lvl>
    <w:lvl w:ilvl="3" w:tplc="240A000F" w:tentative="1">
      <w:start w:val="1"/>
      <w:numFmt w:val="decimal"/>
      <w:lvlText w:val="%4."/>
      <w:lvlJc w:val="left"/>
      <w:pPr>
        <w:ind w:left="3218" w:hanging="360"/>
      </w:pPr>
    </w:lvl>
    <w:lvl w:ilvl="4" w:tplc="240A0019" w:tentative="1">
      <w:start w:val="1"/>
      <w:numFmt w:val="lowerLetter"/>
      <w:lvlText w:val="%5."/>
      <w:lvlJc w:val="left"/>
      <w:pPr>
        <w:ind w:left="3938" w:hanging="360"/>
      </w:pPr>
    </w:lvl>
    <w:lvl w:ilvl="5" w:tplc="240A001B" w:tentative="1">
      <w:start w:val="1"/>
      <w:numFmt w:val="lowerRoman"/>
      <w:lvlText w:val="%6."/>
      <w:lvlJc w:val="right"/>
      <w:pPr>
        <w:ind w:left="4658" w:hanging="180"/>
      </w:pPr>
    </w:lvl>
    <w:lvl w:ilvl="6" w:tplc="240A000F" w:tentative="1">
      <w:start w:val="1"/>
      <w:numFmt w:val="decimal"/>
      <w:lvlText w:val="%7."/>
      <w:lvlJc w:val="left"/>
      <w:pPr>
        <w:ind w:left="5378" w:hanging="360"/>
      </w:pPr>
    </w:lvl>
    <w:lvl w:ilvl="7" w:tplc="240A0019" w:tentative="1">
      <w:start w:val="1"/>
      <w:numFmt w:val="lowerLetter"/>
      <w:lvlText w:val="%8."/>
      <w:lvlJc w:val="left"/>
      <w:pPr>
        <w:ind w:left="6098" w:hanging="360"/>
      </w:pPr>
    </w:lvl>
    <w:lvl w:ilvl="8" w:tplc="240A001B" w:tentative="1">
      <w:start w:val="1"/>
      <w:numFmt w:val="lowerRoman"/>
      <w:lvlText w:val="%9."/>
      <w:lvlJc w:val="right"/>
      <w:pPr>
        <w:ind w:left="6818" w:hanging="180"/>
      </w:pPr>
    </w:lvl>
  </w:abstractNum>
  <w:abstractNum w:abstractNumId="19" w15:restartNumberingAfterBreak="0">
    <w:nsid w:val="3AB90942"/>
    <w:multiLevelType w:val="hybridMultilevel"/>
    <w:tmpl w:val="1ADE376A"/>
    <w:lvl w:ilvl="0" w:tplc="B86A3EC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DA05ACA"/>
    <w:multiLevelType w:val="hybridMultilevel"/>
    <w:tmpl w:val="0BEA8E32"/>
    <w:lvl w:ilvl="0" w:tplc="6704783C">
      <w:start w:val="1"/>
      <w:numFmt w:val="bullet"/>
      <w:lvlText w:val="-"/>
      <w:lvlJc w:val="left"/>
      <w:pPr>
        <w:ind w:left="720" w:hanging="360"/>
      </w:pPr>
      <w:rPr>
        <w:rFonts w:ascii="Trebuchet MS" w:eastAsiaTheme="minorHAnsi" w:hAnsi="Trebuchet M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86B692D"/>
    <w:multiLevelType w:val="hybridMultilevel"/>
    <w:tmpl w:val="53FE99DA"/>
    <w:lvl w:ilvl="0" w:tplc="3A6E1D9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B912BE2"/>
    <w:multiLevelType w:val="hybridMultilevel"/>
    <w:tmpl w:val="DFD2FC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4D35D7B"/>
    <w:multiLevelType w:val="hybridMultilevel"/>
    <w:tmpl w:val="CD026864"/>
    <w:lvl w:ilvl="0" w:tplc="A7060E4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7145D5A"/>
    <w:multiLevelType w:val="hybridMultilevel"/>
    <w:tmpl w:val="620866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F42203"/>
    <w:multiLevelType w:val="hybridMultilevel"/>
    <w:tmpl w:val="30AA375A"/>
    <w:lvl w:ilvl="0" w:tplc="A384AB6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AA7114C"/>
    <w:multiLevelType w:val="hybridMultilevel"/>
    <w:tmpl w:val="CB364A40"/>
    <w:lvl w:ilvl="0" w:tplc="32DC84E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7" w15:restartNumberingAfterBreak="0">
    <w:nsid w:val="5F396186"/>
    <w:multiLevelType w:val="hybridMultilevel"/>
    <w:tmpl w:val="E320C8D0"/>
    <w:lvl w:ilvl="0" w:tplc="3E9C4E58">
      <w:start w:val="1"/>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48C237E"/>
    <w:multiLevelType w:val="multilevel"/>
    <w:tmpl w:val="FA46F7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AEC1DCA"/>
    <w:multiLevelType w:val="hybridMultilevel"/>
    <w:tmpl w:val="F1F6EE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322F92"/>
    <w:multiLevelType w:val="hybridMultilevel"/>
    <w:tmpl w:val="F29858CC"/>
    <w:lvl w:ilvl="0" w:tplc="E7BA52F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CE972F5"/>
    <w:multiLevelType w:val="hybridMultilevel"/>
    <w:tmpl w:val="E920F0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6016707"/>
    <w:multiLevelType w:val="multilevel"/>
    <w:tmpl w:val="D25E21E8"/>
    <w:lvl w:ilvl="0">
      <w:start w:val="1"/>
      <w:numFmt w:val="decimal"/>
      <w:lvlText w:val="%1."/>
      <w:lvlJc w:val="left"/>
      <w:pPr>
        <w:ind w:left="1080" w:hanging="360"/>
      </w:pPr>
      <w:rPr>
        <w:rFonts w:hint="default"/>
      </w:rPr>
    </w:lvl>
    <w:lvl w:ilvl="1">
      <w:start w:val="2"/>
      <w:numFmt w:val="decimal"/>
      <w:isLgl/>
      <w:lvlText w:val="%1.%2"/>
      <w:lvlJc w:val="left"/>
      <w:pPr>
        <w:ind w:left="1395" w:hanging="495"/>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70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600" w:hanging="1440"/>
      </w:pPr>
      <w:rPr>
        <w:rFonts w:hint="default"/>
      </w:rPr>
    </w:lvl>
  </w:abstractNum>
  <w:abstractNum w:abstractNumId="33" w15:restartNumberingAfterBreak="0">
    <w:nsid w:val="7C6C058D"/>
    <w:multiLevelType w:val="hybridMultilevel"/>
    <w:tmpl w:val="B5ECD7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3"/>
  </w:num>
  <w:num w:numId="2">
    <w:abstractNumId w:val="21"/>
  </w:num>
  <w:num w:numId="3">
    <w:abstractNumId w:val="2"/>
  </w:num>
  <w:num w:numId="4">
    <w:abstractNumId w:val="32"/>
  </w:num>
  <w:num w:numId="5">
    <w:abstractNumId w:val="4"/>
  </w:num>
  <w:num w:numId="6">
    <w:abstractNumId w:val="23"/>
  </w:num>
  <w:num w:numId="7">
    <w:abstractNumId w:val="5"/>
  </w:num>
  <w:num w:numId="8">
    <w:abstractNumId w:val="28"/>
  </w:num>
  <w:num w:numId="9">
    <w:abstractNumId w:val="30"/>
  </w:num>
  <w:num w:numId="10">
    <w:abstractNumId w:val="9"/>
  </w:num>
  <w:num w:numId="11">
    <w:abstractNumId w:val="19"/>
  </w:num>
  <w:num w:numId="12">
    <w:abstractNumId w:val="6"/>
  </w:num>
  <w:num w:numId="13">
    <w:abstractNumId w:val="0"/>
  </w:num>
  <w:num w:numId="14">
    <w:abstractNumId w:val="1"/>
  </w:num>
  <w:num w:numId="15">
    <w:abstractNumId w:val="18"/>
  </w:num>
  <w:num w:numId="16">
    <w:abstractNumId w:val="15"/>
  </w:num>
  <w:num w:numId="17">
    <w:abstractNumId w:val="10"/>
  </w:num>
  <w:num w:numId="18">
    <w:abstractNumId w:val="29"/>
  </w:num>
  <w:num w:numId="19">
    <w:abstractNumId w:val="14"/>
  </w:num>
  <w:num w:numId="20">
    <w:abstractNumId w:val="26"/>
  </w:num>
  <w:num w:numId="21">
    <w:abstractNumId w:val="20"/>
  </w:num>
  <w:num w:numId="22">
    <w:abstractNumId w:val="24"/>
  </w:num>
  <w:num w:numId="23">
    <w:abstractNumId w:val="27"/>
  </w:num>
  <w:num w:numId="24">
    <w:abstractNumId w:val="7"/>
  </w:num>
  <w:num w:numId="25">
    <w:abstractNumId w:val="11"/>
  </w:num>
  <w:num w:numId="26">
    <w:abstractNumId w:val="3"/>
  </w:num>
  <w:num w:numId="27">
    <w:abstractNumId w:val="17"/>
  </w:num>
  <w:num w:numId="28">
    <w:abstractNumId w:val="13"/>
  </w:num>
  <w:num w:numId="29">
    <w:abstractNumId w:val="31"/>
  </w:num>
  <w:num w:numId="30">
    <w:abstractNumId w:val="12"/>
  </w:num>
  <w:num w:numId="31">
    <w:abstractNumId w:val="25"/>
  </w:num>
  <w:num w:numId="32">
    <w:abstractNumId w:val="22"/>
  </w:num>
  <w:num w:numId="33">
    <w:abstractNumId w:val="8"/>
  </w:num>
  <w:num w:numId="3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DF6"/>
    <w:rsid w:val="00010979"/>
    <w:rsid w:val="00012006"/>
    <w:rsid w:val="00030AA0"/>
    <w:rsid w:val="00031E77"/>
    <w:rsid w:val="00044B85"/>
    <w:rsid w:val="00052552"/>
    <w:rsid w:val="00054FF4"/>
    <w:rsid w:val="00083B1A"/>
    <w:rsid w:val="000A0E02"/>
    <w:rsid w:val="000C0A69"/>
    <w:rsid w:val="000C5CE2"/>
    <w:rsid w:val="000D1853"/>
    <w:rsid w:val="000D5440"/>
    <w:rsid w:val="000D6C94"/>
    <w:rsid w:val="000F01DF"/>
    <w:rsid w:val="000F1338"/>
    <w:rsid w:val="001040B2"/>
    <w:rsid w:val="001242B9"/>
    <w:rsid w:val="0014116D"/>
    <w:rsid w:val="00153781"/>
    <w:rsid w:val="00161E04"/>
    <w:rsid w:val="001C3C80"/>
    <w:rsid w:val="001E00F9"/>
    <w:rsid w:val="002439DC"/>
    <w:rsid w:val="00253C56"/>
    <w:rsid w:val="0026313F"/>
    <w:rsid w:val="00263A5B"/>
    <w:rsid w:val="00265DA9"/>
    <w:rsid w:val="00270151"/>
    <w:rsid w:val="0027454F"/>
    <w:rsid w:val="0028759A"/>
    <w:rsid w:val="00287661"/>
    <w:rsid w:val="002A2CB6"/>
    <w:rsid w:val="002C67A4"/>
    <w:rsid w:val="002D2CF2"/>
    <w:rsid w:val="002D3DA2"/>
    <w:rsid w:val="002D69FC"/>
    <w:rsid w:val="002E4AF8"/>
    <w:rsid w:val="00305E91"/>
    <w:rsid w:val="00306FF7"/>
    <w:rsid w:val="0031672C"/>
    <w:rsid w:val="00332133"/>
    <w:rsid w:val="00337105"/>
    <w:rsid w:val="00370C9D"/>
    <w:rsid w:val="00372EE8"/>
    <w:rsid w:val="003A7142"/>
    <w:rsid w:val="003C64E4"/>
    <w:rsid w:val="003E0EF4"/>
    <w:rsid w:val="003E794A"/>
    <w:rsid w:val="00423276"/>
    <w:rsid w:val="00427274"/>
    <w:rsid w:val="00440DCB"/>
    <w:rsid w:val="004530F2"/>
    <w:rsid w:val="004565F2"/>
    <w:rsid w:val="00463CDE"/>
    <w:rsid w:val="0047085E"/>
    <w:rsid w:val="00470E28"/>
    <w:rsid w:val="00481939"/>
    <w:rsid w:val="00482E3F"/>
    <w:rsid w:val="004830B6"/>
    <w:rsid w:val="004A3A5C"/>
    <w:rsid w:val="004A6E4D"/>
    <w:rsid w:val="004B4893"/>
    <w:rsid w:val="004E1115"/>
    <w:rsid w:val="004F007D"/>
    <w:rsid w:val="004F4B8F"/>
    <w:rsid w:val="00512CB2"/>
    <w:rsid w:val="00514DF6"/>
    <w:rsid w:val="00533AC9"/>
    <w:rsid w:val="0054137C"/>
    <w:rsid w:val="005605D0"/>
    <w:rsid w:val="00582C93"/>
    <w:rsid w:val="00583CA3"/>
    <w:rsid w:val="00590295"/>
    <w:rsid w:val="00592CB2"/>
    <w:rsid w:val="005959BF"/>
    <w:rsid w:val="005A29A0"/>
    <w:rsid w:val="005A7EDE"/>
    <w:rsid w:val="005C0C78"/>
    <w:rsid w:val="005D1AA4"/>
    <w:rsid w:val="005D55A1"/>
    <w:rsid w:val="005E42E5"/>
    <w:rsid w:val="005E5F01"/>
    <w:rsid w:val="005F0BAF"/>
    <w:rsid w:val="005F4E66"/>
    <w:rsid w:val="005F6801"/>
    <w:rsid w:val="006014FE"/>
    <w:rsid w:val="006049FB"/>
    <w:rsid w:val="0061462B"/>
    <w:rsid w:val="0064401F"/>
    <w:rsid w:val="00671A5E"/>
    <w:rsid w:val="006741EE"/>
    <w:rsid w:val="00675768"/>
    <w:rsid w:val="0067731F"/>
    <w:rsid w:val="00677E97"/>
    <w:rsid w:val="00684564"/>
    <w:rsid w:val="00686937"/>
    <w:rsid w:val="006952CE"/>
    <w:rsid w:val="006B0C56"/>
    <w:rsid w:val="006C1F57"/>
    <w:rsid w:val="006D5E75"/>
    <w:rsid w:val="006D7FE0"/>
    <w:rsid w:val="006E7BAB"/>
    <w:rsid w:val="006E7E30"/>
    <w:rsid w:val="00712D49"/>
    <w:rsid w:val="007345E9"/>
    <w:rsid w:val="00752391"/>
    <w:rsid w:val="0078261B"/>
    <w:rsid w:val="007857A9"/>
    <w:rsid w:val="0079365B"/>
    <w:rsid w:val="007A5FA8"/>
    <w:rsid w:val="007B4487"/>
    <w:rsid w:val="007C520D"/>
    <w:rsid w:val="007D4A64"/>
    <w:rsid w:val="007E1A86"/>
    <w:rsid w:val="007E3FF7"/>
    <w:rsid w:val="007F5EBC"/>
    <w:rsid w:val="00807AD9"/>
    <w:rsid w:val="00807EF9"/>
    <w:rsid w:val="00810B2C"/>
    <w:rsid w:val="00822A0D"/>
    <w:rsid w:val="00827032"/>
    <w:rsid w:val="0087244D"/>
    <w:rsid w:val="008768F0"/>
    <w:rsid w:val="008854C9"/>
    <w:rsid w:val="00893130"/>
    <w:rsid w:val="00896493"/>
    <w:rsid w:val="008A1C77"/>
    <w:rsid w:val="008C180E"/>
    <w:rsid w:val="008C373B"/>
    <w:rsid w:val="008C50F0"/>
    <w:rsid w:val="009002A6"/>
    <w:rsid w:val="009112B6"/>
    <w:rsid w:val="00914F1F"/>
    <w:rsid w:val="00916FEE"/>
    <w:rsid w:val="00923069"/>
    <w:rsid w:val="009263FA"/>
    <w:rsid w:val="00933D76"/>
    <w:rsid w:val="00937CBA"/>
    <w:rsid w:val="009666C5"/>
    <w:rsid w:val="00984132"/>
    <w:rsid w:val="009A0E81"/>
    <w:rsid w:val="009A5C48"/>
    <w:rsid w:val="009B2221"/>
    <w:rsid w:val="009B5AC2"/>
    <w:rsid w:val="009B65B9"/>
    <w:rsid w:val="009C4F19"/>
    <w:rsid w:val="009E242A"/>
    <w:rsid w:val="009E58E4"/>
    <w:rsid w:val="009F0AE7"/>
    <w:rsid w:val="009F6E01"/>
    <w:rsid w:val="00A0313E"/>
    <w:rsid w:val="00A107A4"/>
    <w:rsid w:val="00A1743D"/>
    <w:rsid w:val="00A22149"/>
    <w:rsid w:val="00A23C02"/>
    <w:rsid w:val="00A23C09"/>
    <w:rsid w:val="00A33284"/>
    <w:rsid w:val="00A342A4"/>
    <w:rsid w:val="00A40AC0"/>
    <w:rsid w:val="00A568A0"/>
    <w:rsid w:val="00A71E72"/>
    <w:rsid w:val="00A93C8D"/>
    <w:rsid w:val="00AA66A6"/>
    <w:rsid w:val="00AC194A"/>
    <w:rsid w:val="00AC2F64"/>
    <w:rsid w:val="00AC718B"/>
    <w:rsid w:val="00AD1600"/>
    <w:rsid w:val="00AD7DB1"/>
    <w:rsid w:val="00B057B6"/>
    <w:rsid w:val="00B23596"/>
    <w:rsid w:val="00B302BC"/>
    <w:rsid w:val="00B420B1"/>
    <w:rsid w:val="00B642D0"/>
    <w:rsid w:val="00B66753"/>
    <w:rsid w:val="00B71F48"/>
    <w:rsid w:val="00B828FD"/>
    <w:rsid w:val="00B832D6"/>
    <w:rsid w:val="00BA112B"/>
    <w:rsid w:val="00BA394B"/>
    <w:rsid w:val="00BA7A43"/>
    <w:rsid w:val="00BB62CD"/>
    <w:rsid w:val="00BC21AB"/>
    <w:rsid w:val="00BC4C97"/>
    <w:rsid w:val="00BF3732"/>
    <w:rsid w:val="00C011AD"/>
    <w:rsid w:val="00C0386C"/>
    <w:rsid w:val="00C24F3B"/>
    <w:rsid w:val="00C31769"/>
    <w:rsid w:val="00C43499"/>
    <w:rsid w:val="00C461EB"/>
    <w:rsid w:val="00C545CB"/>
    <w:rsid w:val="00C6131B"/>
    <w:rsid w:val="00C7384D"/>
    <w:rsid w:val="00C77BA7"/>
    <w:rsid w:val="00C85844"/>
    <w:rsid w:val="00C97DBF"/>
    <w:rsid w:val="00CA5DBE"/>
    <w:rsid w:val="00CA622D"/>
    <w:rsid w:val="00CB15F1"/>
    <w:rsid w:val="00CB5C20"/>
    <w:rsid w:val="00CB6349"/>
    <w:rsid w:val="00CC1DDA"/>
    <w:rsid w:val="00CD2A98"/>
    <w:rsid w:val="00CD673C"/>
    <w:rsid w:val="00CE3223"/>
    <w:rsid w:val="00CF11D6"/>
    <w:rsid w:val="00CF60CE"/>
    <w:rsid w:val="00D10FBC"/>
    <w:rsid w:val="00D2663E"/>
    <w:rsid w:val="00D306AC"/>
    <w:rsid w:val="00D32A8E"/>
    <w:rsid w:val="00D432C3"/>
    <w:rsid w:val="00D4493E"/>
    <w:rsid w:val="00D82202"/>
    <w:rsid w:val="00D86024"/>
    <w:rsid w:val="00DB3E22"/>
    <w:rsid w:val="00DC49DB"/>
    <w:rsid w:val="00DC724A"/>
    <w:rsid w:val="00DE7189"/>
    <w:rsid w:val="00DF5630"/>
    <w:rsid w:val="00DF58AD"/>
    <w:rsid w:val="00DF7C52"/>
    <w:rsid w:val="00E00E7E"/>
    <w:rsid w:val="00E021C0"/>
    <w:rsid w:val="00E1172A"/>
    <w:rsid w:val="00E13DBD"/>
    <w:rsid w:val="00E25003"/>
    <w:rsid w:val="00E27D16"/>
    <w:rsid w:val="00E33A7A"/>
    <w:rsid w:val="00E418B9"/>
    <w:rsid w:val="00E6459E"/>
    <w:rsid w:val="00E64836"/>
    <w:rsid w:val="00E916FE"/>
    <w:rsid w:val="00E93E04"/>
    <w:rsid w:val="00E9429D"/>
    <w:rsid w:val="00EE0035"/>
    <w:rsid w:val="00EE0267"/>
    <w:rsid w:val="00EF0D61"/>
    <w:rsid w:val="00EF4296"/>
    <w:rsid w:val="00F14993"/>
    <w:rsid w:val="00F16D3A"/>
    <w:rsid w:val="00F33DE0"/>
    <w:rsid w:val="00F45A86"/>
    <w:rsid w:val="00F50CB7"/>
    <w:rsid w:val="00F55CE1"/>
    <w:rsid w:val="00F60A9E"/>
    <w:rsid w:val="00F62E97"/>
    <w:rsid w:val="00F63F11"/>
    <w:rsid w:val="00F721AF"/>
    <w:rsid w:val="00F77E7F"/>
    <w:rsid w:val="00F81E2E"/>
    <w:rsid w:val="00F9337F"/>
    <w:rsid w:val="00F95919"/>
    <w:rsid w:val="00FA4ED3"/>
    <w:rsid w:val="00FC0ADB"/>
    <w:rsid w:val="00FC2E50"/>
    <w:rsid w:val="00FC4E23"/>
    <w:rsid w:val="00FD26DA"/>
    <w:rsid w:val="00FF4975"/>
    <w:rsid w:val="00FF5C97"/>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E85B35"/>
  <w15:docId w15:val="{134573C6-620A-4D28-BB33-B158C622F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4D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4DF6"/>
  </w:style>
  <w:style w:type="paragraph" w:styleId="Piedepgina">
    <w:name w:val="footer"/>
    <w:basedOn w:val="Normal"/>
    <w:link w:val="PiedepginaCar"/>
    <w:uiPriority w:val="99"/>
    <w:unhideWhenUsed/>
    <w:rsid w:val="00514D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4DF6"/>
  </w:style>
  <w:style w:type="paragraph" w:styleId="Textodeglobo">
    <w:name w:val="Balloon Text"/>
    <w:basedOn w:val="Normal"/>
    <w:link w:val="TextodegloboCar"/>
    <w:uiPriority w:val="99"/>
    <w:semiHidden/>
    <w:unhideWhenUsed/>
    <w:rsid w:val="00514D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4DF6"/>
    <w:rPr>
      <w:rFonts w:ascii="Tahoma" w:hAnsi="Tahoma" w:cs="Tahoma"/>
      <w:sz w:val="16"/>
      <w:szCs w:val="16"/>
    </w:rPr>
  </w:style>
  <w:style w:type="paragraph" w:styleId="NormalWeb">
    <w:name w:val="Normal (Web)"/>
    <w:basedOn w:val="Normal"/>
    <w:uiPriority w:val="99"/>
    <w:unhideWhenUsed/>
    <w:rsid w:val="00CD67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Prrafodelista">
    <w:name w:val="List Paragraph"/>
    <w:aliases w:val="List,Ha,titulo 3,Elabora,Segundo nivel de viñetas,List Paragraph1,Bullets,Llista Nivell1,Párrafo de lista2,Lista vistosa - Énfasis 11,Cuadrícula clara - Énfasis 31,Párrafo de lista1,EITI list,Numerado negrita propuestas"/>
    <w:basedOn w:val="Normal"/>
    <w:link w:val="PrrafodelistaCar"/>
    <w:uiPriority w:val="34"/>
    <w:qFormat/>
    <w:rsid w:val="00A23C09"/>
    <w:pPr>
      <w:ind w:left="720"/>
      <w:contextualSpacing/>
    </w:pPr>
  </w:style>
  <w:style w:type="character" w:customStyle="1" w:styleId="highlight">
    <w:name w:val="highlight"/>
    <w:basedOn w:val="Fuentedeprrafopredeter"/>
    <w:rsid w:val="00512CB2"/>
  </w:style>
  <w:style w:type="table" w:styleId="Tablaconcuadrcula">
    <w:name w:val="Table Grid"/>
    <w:basedOn w:val="Tablanormal"/>
    <w:uiPriority w:val="39"/>
    <w:rsid w:val="00FC0ADB"/>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C0ADB"/>
    <w:pPr>
      <w:spacing w:after="0" w:line="240" w:lineRule="auto"/>
    </w:pPr>
    <w:rPr>
      <w:lang w:val="es-ES"/>
    </w:rPr>
  </w:style>
  <w:style w:type="character" w:customStyle="1" w:styleId="PrrafodelistaCar">
    <w:name w:val="Párrafo de lista Car"/>
    <w:aliases w:val="List Car,Ha Car,titulo 3 Car,Elabora Car,Segundo nivel de viñetas Car,List Paragraph1 Car,Bullets Car,Llista Nivell1 Car,Párrafo de lista2 Car,Lista vistosa - Énfasis 11 Car,Cuadrícula clara - Énfasis 31 Car,Párrafo de lista1 Car"/>
    <w:link w:val="Prrafodelista"/>
    <w:uiPriority w:val="34"/>
    <w:rsid w:val="004B4893"/>
  </w:style>
  <w:style w:type="paragraph" w:customStyle="1" w:styleId="H23">
    <w:name w:val="_ H_2/3"/>
    <w:basedOn w:val="Normal"/>
    <w:next w:val="Normal"/>
    <w:qFormat/>
    <w:rsid w:val="004B4893"/>
    <w:pPr>
      <w:keepNext/>
      <w:keepLines/>
      <w:suppressAutoHyphens/>
      <w:spacing w:after="0" w:line="240" w:lineRule="exact"/>
      <w:outlineLvl w:val="1"/>
    </w:pPr>
    <w:rPr>
      <w:rFonts w:ascii="Times New Roman" w:hAnsi="Times New Roman" w:cs="Times New Roman"/>
      <w:b/>
      <w:spacing w:val="2"/>
      <w:w w:val="103"/>
      <w:kern w:val="14"/>
      <w:sz w:val="20"/>
      <w:lang w:val="es-ES"/>
    </w:rPr>
  </w:style>
  <w:style w:type="character" w:styleId="Hipervnculo">
    <w:name w:val="Hyperlink"/>
    <w:basedOn w:val="Fuentedeprrafopredeter"/>
    <w:uiPriority w:val="99"/>
    <w:unhideWhenUsed/>
    <w:rsid w:val="00D32A8E"/>
    <w:rPr>
      <w:color w:val="0000FF" w:themeColor="hyperlink"/>
      <w:u w:val="single"/>
    </w:rPr>
  </w:style>
  <w:style w:type="character" w:styleId="Refdecomentario">
    <w:name w:val="annotation reference"/>
    <w:basedOn w:val="Fuentedeprrafopredeter"/>
    <w:uiPriority w:val="99"/>
    <w:semiHidden/>
    <w:unhideWhenUsed/>
    <w:rsid w:val="00BA394B"/>
    <w:rPr>
      <w:sz w:val="16"/>
      <w:szCs w:val="16"/>
    </w:rPr>
  </w:style>
  <w:style w:type="paragraph" w:styleId="Textocomentario">
    <w:name w:val="annotation text"/>
    <w:basedOn w:val="Normal"/>
    <w:link w:val="TextocomentarioCar"/>
    <w:uiPriority w:val="99"/>
    <w:semiHidden/>
    <w:unhideWhenUsed/>
    <w:rsid w:val="00BA39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A394B"/>
    <w:rPr>
      <w:sz w:val="20"/>
      <w:szCs w:val="20"/>
    </w:rPr>
  </w:style>
  <w:style w:type="paragraph" w:styleId="Asuntodelcomentario">
    <w:name w:val="annotation subject"/>
    <w:basedOn w:val="Textocomentario"/>
    <w:next w:val="Textocomentario"/>
    <w:link w:val="AsuntodelcomentarioCar"/>
    <w:uiPriority w:val="99"/>
    <w:semiHidden/>
    <w:unhideWhenUsed/>
    <w:rsid w:val="00BA394B"/>
    <w:rPr>
      <w:b/>
      <w:bCs/>
    </w:rPr>
  </w:style>
  <w:style w:type="character" w:customStyle="1" w:styleId="AsuntodelcomentarioCar">
    <w:name w:val="Asunto del comentario Car"/>
    <w:basedOn w:val="TextocomentarioCar"/>
    <w:link w:val="Asuntodelcomentario"/>
    <w:uiPriority w:val="99"/>
    <w:semiHidden/>
    <w:rsid w:val="00BA39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666021">
      <w:bodyDiv w:val="1"/>
      <w:marLeft w:val="0"/>
      <w:marRight w:val="0"/>
      <w:marTop w:val="0"/>
      <w:marBottom w:val="0"/>
      <w:divBdr>
        <w:top w:val="none" w:sz="0" w:space="0" w:color="auto"/>
        <w:left w:val="none" w:sz="0" w:space="0" w:color="auto"/>
        <w:bottom w:val="none" w:sz="0" w:space="0" w:color="auto"/>
        <w:right w:val="none" w:sz="0" w:space="0" w:color="auto"/>
      </w:divBdr>
    </w:div>
    <w:div w:id="472984419">
      <w:bodyDiv w:val="1"/>
      <w:marLeft w:val="0"/>
      <w:marRight w:val="0"/>
      <w:marTop w:val="0"/>
      <w:marBottom w:val="0"/>
      <w:divBdr>
        <w:top w:val="none" w:sz="0" w:space="0" w:color="auto"/>
        <w:left w:val="none" w:sz="0" w:space="0" w:color="auto"/>
        <w:bottom w:val="none" w:sz="0" w:space="0" w:color="auto"/>
        <w:right w:val="none" w:sz="0" w:space="0" w:color="auto"/>
      </w:divBdr>
    </w:div>
    <w:div w:id="660893629">
      <w:bodyDiv w:val="1"/>
      <w:marLeft w:val="0"/>
      <w:marRight w:val="0"/>
      <w:marTop w:val="0"/>
      <w:marBottom w:val="0"/>
      <w:divBdr>
        <w:top w:val="none" w:sz="0" w:space="0" w:color="auto"/>
        <w:left w:val="none" w:sz="0" w:space="0" w:color="auto"/>
        <w:bottom w:val="none" w:sz="0" w:space="0" w:color="auto"/>
        <w:right w:val="none" w:sz="0" w:space="0" w:color="auto"/>
      </w:divBdr>
    </w:div>
    <w:div w:id="745108466">
      <w:bodyDiv w:val="1"/>
      <w:marLeft w:val="0"/>
      <w:marRight w:val="0"/>
      <w:marTop w:val="0"/>
      <w:marBottom w:val="0"/>
      <w:divBdr>
        <w:top w:val="none" w:sz="0" w:space="0" w:color="auto"/>
        <w:left w:val="none" w:sz="0" w:space="0" w:color="auto"/>
        <w:bottom w:val="none" w:sz="0" w:space="0" w:color="auto"/>
        <w:right w:val="none" w:sz="0" w:space="0" w:color="auto"/>
      </w:divBdr>
    </w:div>
    <w:div w:id="936910465">
      <w:bodyDiv w:val="1"/>
      <w:marLeft w:val="0"/>
      <w:marRight w:val="0"/>
      <w:marTop w:val="0"/>
      <w:marBottom w:val="0"/>
      <w:divBdr>
        <w:top w:val="none" w:sz="0" w:space="0" w:color="auto"/>
        <w:left w:val="none" w:sz="0" w:space="0" w:color="auto"/>
        <w:bottom w:val="none" w:sz="0" w:space="0" w:color="auto"/>
        <w:right w:val="none" w:sz="0" w:space="0" w:color="auto"/>
      </w:divBdr>
      <w:divsChild>
        <w:div w:id="1065689265">
          <w:marLeft w:val="0"/>
          <w:marRight w:val="0"/>
          <w:marTop w:val="0"/>
          <w:marBottom w:val="0"/>
          <w:divBdr>
            <w:top w:val="none" w:sz="0" w:space="0" w:color="auto"/>
            <w:left w:val="none" w:sz="0" w:space="0" w:color="auto"/>
            <w:bottom w:val="none" w:sz="0" w:space="0" w:color="auto"/>
            <w:right w:val="none" w:sz="0" w:space="0" w:color="auto"/>
          </w:divBdr>
        </w:div>
        <w:div w:id="1252160355">
          <w:marLeft w:val="0"/>
          <w:marRight w:val="0"/>
          <w:marTop w:val="0"/>
          <w:marBottom w:val="0"/>
          <w:divBdr>
            <w:top w:val="none" w:sz="0" w:space="0" w:color="auto"/>
            <w:left w:val="none" w:sz="0" w:space="0" w:color="auto"/>
            <w:bottom w:val="none" w:sz="0" w:space="0" w:color="auto"/>
            <w:right w:val="none" w:sz="0" w:space="0" w:color="auto"/>
          </w:divBdr>
        </w:div>
        <w:div w:id="1510294004">
          <w:marLeft w:val="0"/>
          <w:marRight w:val="0"/>
          <w:marTop w:val="0"/>
          <w:marBottom w:val="0"/>
          <w:divBdr>
            <w:top w:val="none" w:sz="0" w:space="0" w:color="auto"/>
            <w:left w:val="none" w:sz="0" w:space="0" w:color="auto"/>
            <w:bottom w:val="none" w:sz="0" w:space="0" w:color="auto"/>
            <w:right w:val="none" w:sz="0" w:space="0" w:color="auto"/>
          </w:divBdr>
        </w:div>
      </w:divsChild>
    </w:div>
    <w:div w:id="1035931761">
      <w:bodyDiv w:val="1"/>
      <w:marLeft w:val="0"/>
      <w:marRight w:val="0"/>
      <w:marTop w:val="0"/>
      <w:marBottom w:val="0"/>
      <w:divBdr>
        <w:top w:val="none" w:sz="0" w:space="0" w:color="auto"/>
        <w:left w:val="none" w:sz="0" w:space="0" w:color="auto"/>
        <w:bottom w:val="none" w:sz="0" w:space="0" w:color="auto"/>
        <w:right w:val="none" w:sz="0" w:space="0" w:color="auto"/>
      </w:divBdr>
      <w:divsChild>
        <w:div w:id="765733285">
          <w:marLeft w:val="0"/>
          <w:marRight w:val="0"/>
          <w:marTop w:val="0"/>
          <w:marBottom w:val="0"/>
          <w:divBdr>
            <w:top w:val="none" w:sz="0" w:space="0" w:color="auto"/>
            <w:left w:val="none" w:sz="0" w:space="0" w:color="auto"/>
            <w:bottom w:val="none" w:sz="0" w:space="0" w:color="auto"/>
            <w:right w:val="none" w:sz="0" w:space="0" w:color="auto"/>
          </w:divBdr>
        </w:div>
        <w:div w:id="898635154">
          <w:marLeft w:val="0"/>
          <w:marRight w:val="0"/>
          <w:marTop w:val="0"/>
          <w:marBottom w:val="0"/>
          <w:divBdr>
            <w:top w:val="none" w:sz="0" w:space="0" w:color="auto"/>
            <w:left w:val="none" w:sz="0" w:space="0" w:color="auto"/>
            <w:bottom w:val="none" w:sz="0" w:space="0" w:color="auto"/>
            <w:right w:val="none" w:sz="0" w:space="0" w:color="auto"/>
          </w:divBdr>
        </w:div>
        <w:div w:id="145436347">
          <w:marLeft w:val="0"/>
          <w:marRight w:val="0"/>
          <w:marTop w:val="0"/>
          <w:marBottom w:val="0"/>
          <w:divBdr>
            <w:top w:val="none" w:sz="0" w:space="0" w:color="auto"/>
            <w:left w:val="none" w:sz="0" w:space="0" w:color="auto"/>
            <w:bottom w:val="none" w:sz="0" w:space="0" w:color="auto"/>
            <w:right w:val="none" w:sz="0" w:space="0" w:color="auto"/>
          </w:divBdr>
        </w:div>
        <w:div w:id="1199583220">
          <w:marLeft w:val="0"/>
          <w:marRight w:val="0"/>
          <w:marTop w:val="0"/>
          <w:marBottom w:val="0"/>
          <w:divBdr>
            <w:top w:val="none" w:sz="0" w:space="0" w:color="auto"/>
            <w:left w:val="none" w:sz="0" w:space="0" w:color="auto"/>
            <w:bottom w:val="none" w:sz="0" w:space="0" w:color="auto"/>
            <w:right w:val="none" w:sz="0" w:space="0" w:color="auto"/>
          </w:divBdr>
        </w:div>
      </w:divsChild>
    </w:div>
    <w:div w:id="1116757889">
      <w:bodyDiv w:val="1"/>
      <w:marLeft w:val="0"/>
      <w:marRight w:val="0"/>
      <w:marTop w:val="0"/>
      <w:marBottom w:val="0"/>
      <w:divBdr>
        <w:top w:val="none" w:sz="0" w:space="0" w:color="auto"/>
        <w:left w:val="none" w:sz="0" w:space="0" w:color="auto"/>
        <w:bottom w:val="none" w:sz="0" w:space="0" w:color="auto"/>
        <w:right w:val="none" w:sz="0" w:space="0" w:color="auto"/>
      </w:divBdr>
    </w:div>
    <w:div w:id="1247038810">
      <w:bodyDiv w:val="1"/>
      <w:marLeft w:val="0"/>
      <w:marRight w:val="0"/>
      <w:marTop w:val="0"/>
      <w:marBottom w:val="0"/>
      <w:divBdr>
        <w:top w:val="none" w:sz="0" w:space="0" w:color="auto"/>
        <w:left w:val="none" w:sz="0" w:space="0" w:color="auto"/>
        <w:bottom w:val="none" w:sz="0" w:space="0" w:color="auto"/>
        <w:right w:val="none" w:sz="0" w:space="0" w:color="auto"/>
      </w:divBdr>
      <w:divsChild>
        <w:div w:id="2047565139">
          <w:marLeft w:val="0"/>
          <w:marRight w:val="0"/>
          <w:marTop w:val="0"/>
          <w:marBottom w:val="0"/>
          <w:divBdr>
            <w:top w:val="none" w:sz="0" w:space="0" w:color="auto"/>
            <w:left w:val="none" w:sz="0" w:space="0" w:color="auto"/>
            <w:bottom w:val="none" w:sz="0" w:space="0" w:color="auto"/>
            <w:right w:val="none" w:sz="0" w:space="0" w:color="auto"/>
          </w:divBdr>
        </w:div>
      </w:divsChild>
    </w:div>
    <w:div w:id="1340960784">
      <w:bodyDiv w:val="1"/>
      <w:marLeft w:val="0"/>
      <w:marRight w:val="0"/>
      <w:marTop w:val="0"/>
      <w:marBottom w:val="0"/>
      <w:divBdr>
        <w:top w:val="none" w:sz="0" w:space="0" w:color="auto"/>
        <w:left w:val="none" w:sz="0" w:space="0" w:color="auto"/>
        <w:bottom w:val="none" w:sz="0" w:space="0" w:color="auto"/>
        <w:right w:val="none" w:sz="0" w:space="0" w:color="auto"/>
      </w:divBdr>
      <w:divsChild>
        <w:div w:id="603463124">
          <w:marLeft w:val="0"/>
          <w:marRight w:val="0"/>
          <w:marTop w:val="0"/>
          <w:marBottom w:val="0"/>
          <w:divBdr>
            <w:top w:val="none" w:sz="0" w:space="0" w:color="auto"/>
            <w:left w:val="none" w:sz="0" w:space="0" w:color="auto"/>
            <w:bottom w:val="none" w:sz="0" w:space="0" w:color="auto"/>
            <w:right w:val="none" w:sz="0" w:space="0" w:color="auto"/>
          </w:divBdr>
        </w:div>
        <w:div w:id="1643801991">
          <w:marLeft w:val="0"/>
          <w:marRight w:val="0"/>
          <w:marTop w:val="0"/>
          <w:marBottom w:val="0"/>
          <w:divBdr>
            <w:top w:val="none" w:sz="0" w:space="0" w:color="auto"/>
            <w:left w:val="none" w:sz="0" w:space="0" w:color="auto"/>
            <w:bottom w:val="none" w:sz="0" w:space="0" w:color="auto"/>
            <w:right w:val="none" w:sz="0" w:space="0" w:color="auto"/>
          </w:divBdr>
        </w:div>
        <w:div w:id="1970014297">
          <w:marLeft w:val="0"/>
          <w:marRight w:val="0"/>
          <w:marTop w:val="0"/>
          <w:marBottom w:val="0"/>
          <w:divBdr>
            <w:top w:val="none" w:sz="0" w:space="0" w:color="auto"/>
            <w:left w:val="none" w:sz="0" w:space="0" w:color="auto"/>
            <w:bottom w:val="none" w:sz="0" w:space="0" w:color="auto"/>
            <w:right w:val="none" w:sz="0" w:space="0" w:color="auto"/>
          </w:divBdr>
        </w:div>
      </w:divsChild>
    </w:div>
    <w:div w:id="1639216478">
      <w:bodyDiv w:val="1"/>
      <w:marLeft w:val="0"/>
      <w:marRight w:val="0"/>
      <w:marTop w:val="0"/>
      <w:marBottom w:val="0"/>
      <w:divBdr>
        <w:top w:val="none" w:sz="0" w:space="0" w:color="auto"/>
        <w:left w:val="none" w:sz="0" w:space="0" w:color="auto"/>
        <w:bottom w:val="none" w:sz="0" w:space="0" w:color="auto"/>
        <w:right w:val="none" w:sz="0" w:space="0" w:color="auto"/>
      </w:divBdr>
    </w:div>
    <w:div w:id="18930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ejusticia.org/wp-content/uploads/2017/04/fi_name_recurso_265.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footer" Target="footer1.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D292EC-AD27-4757-A60A-1D349683D3A7}"/>
</file>

<file path=customXml/itemProps2.xml><?xml version="1.0" encoding="utf-8"?>
<ds:datastoreItem xmlns:ds="http://schemas.openxmlformats.org/officeDocument/2006/customXml" ds:itemID="{D963841B-9D24-4178-B2EC-BCC17D2E5ABD}"/>
</file>

<file path=customXml/itemProps3.xml><?xml version="1.0" encoding="utf-8"?>
<ds:datastoreItem xmlns:ds="http://schemas.openxmlformats.org/officeDocument/2006/customXml" ds:itemID="{45446AD1-7D7B-44E7-9762-5259539BE04E}"/>
</file>

<file path=customXml/itemProps4.xml><?xml version="1.0" encoding="utf-8"?>
<ds:datastoreItem xmlns:ds="http://schemas.openxmlformats.org/officeDocument/2006/customXml" ds:itemID="{B3D4712C-3D7B-448E-ADFE-8A63DCC0E9B1}">
  <ds:schemaRefs>
    <ds:schemaRef ds:uri="office.server.policy"/>
  </ds:schemaRefs>
</ds:datastoreItem>
</file>

<file path=customXml/itemProps5.xml><?xml version="1.0" encoding="utf-8"?>
<ds:datastoreItem xmlns:ds="http://schemas.openxmlformats.org/officeDocument/2006/customXml" ds:itemID="{FBF46615-903A-43E1-ADF2-175F330D9029}"/>
</file>

<file path=docProps/app.xml><?xml version="1.0" encoding="utf-8"?>
<Properties xmlns="http://schemas.openxmlformats.org/officeDocument/2006/extended-properties" xmlns:vt="http://schemas.openxmlformats.org/officeDocument/2006/docPropsVTypes">
  <Template>Normal</Template>
  <TotalTime>0</TotalTime>
  <Pages>10</Pages>
  <Words>3336</Words>
  <Characters>18351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Defensoria</dc:creator>
  <cp:lastModifiedBy>Diana Rodriguez</cp:lastModifiedBy>
  <cp:revision>2</cp:revision>
  <dcterms:created xsi:type="dcterms:W3CDTF">2019-02-04T16:04:00Z</dcterms:created>
  <dcterms:modified xsi:type="dcterms:W3CDTF">2019-02-04T16:04:00Z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0x010100F397614B75B84E4C841CE911BA0CCB9D</vt:lpwstr>
  </property>
  <property fmtid="{D5CDD505-2E9C-101B-9397-08002B2CF9AE}" pid="4" name="ItemRetentionFormula">
    <vt:lpwstr/>
  </property>
</Properties>
</file>