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0DD" w:rsidRDefault="009A20DD">
      <w:pPr>
        <w:jc w:val="center"/>
        <w:rPr>
          <w:rFonts w:ascii="Arial" w:eastAsia="Arial" w:hAnsi="Arial" w:cs="Arial"/>
          <w:sz w:val="24"/>
          <w:szCs w:val="24"/>
        </w:rPr>
      </w:pPr>
      <w:bookmarkStart w:id="0" w:name="_GoBack"/>
      <w:bookmarkEnd w:id="0"/>
    </w:p>
    <w:p w:rsidR="009A20DD" w:rsidRDefault="009A20DD">
      <w:pPr>
        <w:jc w:val="center"/>
        <w:rPr>
          <w:rFonts w:ascii="Arial" w:eastAsia="Arial" w:hAnsi="Arial" w:cs="Arial"/>
          <w:sz w:val="24"/>
          <w:szCs w:val="24"/>
        </w:rPr>
      </w:pPr>
    </w:p>
    <w:p w:rsidR="009A20DD" w:rsidRDefault="009A20DD">
      <w:pPr>
        <w:jc w:val="center"/>
        <w:rPr>
          <w:rFonts w:ascii="Arial" w:eastAsia="Arial" w:hAnsi="Arial" w:cs="Arial"/>
          <w:sz w:val="24"/>
          <w:szCs w:val="24"/>
        </w:rPr>
      </w:pPr>
    </w:p>
    <w:p w:rsidR="009A20DD" w:rsidRDefault="009A20DD">
      <w:pPr>
        <w:jc w:val="center"/>
        <w:rPr>
          <w:rFonts w:ascii="Arial" w:eastAsia="Arial" w:hAnsi="Arial" w:cs="Arial"/>
          <w:sz w:val="24"/>
          <w:szCs w:val="24"/>
        </w:rPr>
      </w:pPr>
    </w:p>
    <w:p w:rsidR="009A20DD" w:rsidRDefault="009A20DD">
      <w:pPr>
        <w:jc w:val="center"/>
        <w:rPr>
          <w:rFonts w:ascii="Arial" w:eastAsia="Arial" w:hAnsi="Arial" w:cs="Arial"/>
          <w:sz w:val="24"/>
          <w:szCs w:val="24"/>
        </w:rPr>
      </w:pPr>
    </w:p>
    <w:p w:rsidR="009A20DD" w:rsidRDefault="009A20DD">
      <w:pPr>
        <w:jc w:val="center"/>
        <w:rPr>
          <w:rFonts w:ascii="Arial" w:eastAsia="Arial" w:hAnsi="Arial" w:cs="Arial"/>
          <w:b/>
          <w:sz w:val="24"/>
          <w:szCs w:val="24"/>
        </w:rPr>
      </w:pPr>
    </w:p>
    <w:p w:rsidR="009A20DD" w:rsidRDefault="00E62739">
      <w:pPr>
        <w:jc w:val="center"/>
        <w:rPr>
          <w:rFonts w:ascii="Arial" w:eastAsia="Arial" w:hAnsi="Arial" w:cs="Arial"/>
          <w:b/>
          <w:sz w:val="28"/>
          <w:szCs w:val="28"/>
        </w:rPr>
      </w:pPr>
      <w:r>
        <w:rPr>
          <w:rFonts w:ascii="Arial" w:eastAsia="Arial" w:hAnsi="Arial" w:cs="Arial"/>
          <w:b/>
          <w:sz w:val="28"/>
          <w:szCs w:val="28"/>
        </w:rPr>
        <w:t>REPORTE</w:t>
      </w:r>
    </w:p>
    <w:p w:rsidR="009A20DD" w:rsidRDefault="00E62739">
      <w:pPr>
        <w:jc w:val="center"/>
        <w:rPr>
          <w:rFonts w:ascii="Arial" w:eastAsia="Arial" w:hAnsi="Arial" w:cs="Arial"/>
          <w:b/>
          <w:sz w:val="28"/>
          <w:szCs w:val="28"/>
        </w:rPr>
      </w:pPr>
      <w:r>
        <w:rPr>
          <w:rFonts w:ascii="Arial" w:eastAsia="Arial" w:hAnsi="Arial" w:cs="Arial"/>
          <w:b/>
          <w:sz w:val="28"/>
          <w:szCs w:val="28"/>
        </w:rPr>
        <w:t>EL SALVADOR</w:t>
      </w:r>
    </w:p>
    <w:p w:rsidR="009A20DD" w:rsidRDefault="00E62739">
      <w:pPr>
        <w:jc w:val="center"/>
        <w:rPr>
          <w:rFonts w:ascii="Arial" w:eastAsia="Arial" w:hAnsi="Arial" w:cs="Arial"/>
          <w:b/>
          <w:sz w:val="28"/>
          <w:szCs w:val="28"/>
        </w:rPr>
      </w:pPr>
      <w:r>
        <w:rPr>
          <w:rFonts w:ascii="Arial" w:eastAsia="Arial" w:hAnsi="Arial" w:cs="Arial"/>
          <w:b/>
          <w:sz w:val="28"/>
          <w:szCs w:val="28"/>
        </w:rPr>
        <w:t>72 SESIÓN</w:t>
      </w:r>
    </w:p>
    <w:p w:rsidR="009A20DD" w:rsidRDefault="00E62739">
      <w:pPr>
        <w:jc w:val="center"/>
        <w:rPr>
          <w:rFonts w:ascii="Arial" w:eastAsia="Arial" w:hAnsi="Arial" w:cs="Arial"/>
          <w:b/>
          <w:sz w:val="28"/>
          <w:szCs w:val="28"/>
        </w:rPr>
      </w:pPr>
      <w:r>
        <w:rPr>
          <w:rFonts w:ascii="Arial" w:eastAsia="Arial" w:hAnsi="Arial" w:cs="Arial"/>
          <w:b/>
          <w:sz w:val="28"/>
          <w:szCs w:val="28"/>
        </w:rPr>
        <w:t>COMITÉ DERECHOS ECONÓMICOS SOCIALES Y CULTURALES.</w:t>
      </w:r>
    </w:p>
    <w:p w:rsidR="009A20DD" w:rsidRDefault="009A20DD">
      <w:pPr>
        <w:jc w:val="center"/>
        <w:rPr>
          <w:rFonts w:ascii="Arial" w:eastAsia="Arial" w:hAnsi="Arial" w:cs="Arial"/>
          <w:b/>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E62739">
      <w:pPr>
        <w:spacing w:after="0" w:line="240" w:lineRule="auto"/>
        <w:jc w:val="center"/>
        <w:rPr>
          <w:rFonts w:ascii="Arial" w:eastAsia="Arial" w:hAnsi="Arial" w:cs="Arial"/>
          <w:color w:val="222222"/>
          <w:sz w:val="20"/>
          <w:szCs w:val="20"/>
          <w:highlight w:val="white"/>
        </w:rPr>
      </w:pPr>
      <w:r>
        <w:rPr>
          <w:rFonts w:ascii="Arial" w:eastAsia="Arial" w:hAnsi="Arial" w:cs="Arial"/>
          <w:color w:val="222222"/>
          <w:sz w:val="20"/>
          <w:szCs w:val="20"/>
          <w:highlight w:val="white"/>
        </w:rPr>
        <w:t>La Fundación Red Nacional de Derechos Humanos (RENADDHH) y el Consejo Nacional para la Defensa del Derecho Humano a la Salud (CNDDHS). tiene como misión: Desarrollar estrategias de investigación educación y divulgación desde enfoques críticos de los derech</w:t>
      </w:r>
      <w:r>
        <w:rPr>
          <w:rFonts w:ascii="Arial" w:eastAsia="Arial" w:hAnsi="Arial" w:cs="Arial"/>
          <w:color w:val="222222"/>
          <w:sz w:val="20"/>
          <w:szCs w:val="20"/>
          <w:highlight w:val="white"/>
        </w:rPr>
        <w:t>os humanos dirigidos a toda persona, comunidad, organizaciones, movimientos sociales, para contribuir desde la construcción de experiencias significativas con la transformación social  fundada en los valores de justicia equidad igualdad libertad cooperació</w:t>
      </w:r>
      <w:r>
        <w:rPr>
          <w:rFonts w:ascii="Arial" w:eastAsia="Arial" w:hAnsi="Arial" w:cs="Arial"/>
          <w:color w:val="222222"/>
          <w:sz w:val="20"/>
          <w:szCs w:val="20"/>
          <w:highlight w:val="white"/>
        </w:rPr>
        <w:t>n solidaridad honestidad y corresponsabilidad de acuerdo al Estado Social de Derecho y de Justicia.</w:t>
      </w: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E62739">
      <w:pPr>
        <w:spacing w:line="360" w:lineRule="auto"/>
        <w:jc w:val="both"/>
        <w:rPr>
          <w:rFonts w:ascii="Arial" w:eastAsia="Arial" w:hAnsi="Arial" w:cs="Arial"/>
          <w:b/>
          <w:sz w:val="24"/>
          <w:szCs w:val="24"/>
        </w:rPr>
      </w:pPr>
      <w:r>
        <w:rPr>
          <w:rFonts w:ascii="Arial" w:eastAsia="Arial" w:hAnsi="Arial" w:cs="Arial"/>
          <w:b/>
          <w:sz w:val="24"/>
          <w:szCs w:val="24"/>
        </w:rPr>
        <w:t>A. Derecho a la Salud</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1. En cuanto al derecho universal a la salud, el Estado del Salvador sigue un país con deficiencias en sus sistemas de salud, los c</w:t>
      </w:r>
      <w:r>
        <w:rPr>
          <w:rFonts w:ascii="Arial" w:eastAsia="Arial" w:hAnsi="Arial" w:cs="Arial"/>
          <w:sz w:val="24"/>
          <w:szCs w:val="24"/>
        </w:rPr>
        <w:t>uales se traducen en las estructuras de las instalaciones sanitarias y el aporte en cuanto a insumos  y materiales médicos que garanticen un servicio de calidad para sus habitantes sobretodo porque la mayor parte de ellos asisten a los servicios de salud q</w:t>
      </w:r>
      <w:r>
        <w:rPr>
          <w:rFonts w:ascii="Arial" w:eastAsia="Arial" w:hAnsi="Arial" w:cs="Arial"/>
          <w:sz w:val="24"/>
          <w:szCs w:val="24"/>
        </w:rPr>
        <w:t>ue son públicos.</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2. Ante la pandemia del COVID 19, el Salvador al igual que muchos países se vio afectado ante una emergencia para la cual no estaba preparado y es por ello que se encuentra en los primeros lugares  de los países latinoamericanos con más ca</w:t>
      </w:r>
      <w:r>
        <w:rPr>
          <w:rFonts w:ascii="Arial" w:eastAsia="Arial" w:hAnsi="Arial" w:cs="Arial"/>
          <w:sz w:val="24"/>
          <w:szCs w:val="24"/>
        </w:rPr>
        <w:t xml:space="preserve">sos de coronavirus, aunado a esto también sufrió el ataque de las tormentas tropicales y los huracanes, lo que dejó a muchas personas internadas en albergues, lo que en medio de una situación aumenta el riesgo de de contagios. </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3.  En medio de todo este nuevo acontecimiento, el Estado para cumplir con las medidas de bioseguridad en torno a la Pandemia del COVID 19, realizó una serie de acciones dirigidas a seguir cumpliendo con los protocolos de actuación ante esta situación dent</w:t>
      </w:r>
      <w:r>
        <w:rPr>
          <w:rFonts w:ascii="Arial" w:eastAsia="Arial" w:hAnsi="Arial" w:cs="Arial"/>
          <w:sz w:val="24"/>
          <w:szCs w:val="24"/>
        </w:rPr>
        <w:t>ro de cada uno de los albergues preparados para las personas víctimas de las tormentas y huracanes.</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4. El Gobierno sigue avanzando en las estrategias para el análisis de la situación del COVID 19 en las diferentes regiones del país y en la aplicación de la</w:t>
      </w:r>
      <w:r>
        <w:rPr>
          <w:rFonts w:ascii="Arial" w:eastAsia="Arial" w:hAnsi="Arial" w:cs="Arial"/>
          <w:sz w:val="24"/>
          <w:szCs w:val="24"/>
        </w:rPr>
        <w:t>s medidas necesarias para la prevención, siendo el mismo uno de los países seleccionados para recibir recursos del Fondo Global de Respuesta Rápida del PNUD.</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 Nuestra visión y compromiso es seguir apoyando al Gobierno de El Salvador y a toda la sociedad s</w:t>
      </w:r>
      <w:r>
        <w:rPr>
          <w:rFonts w:ascii="Arial" w:eastAsia="Arial" w:hAnsi="Arial" w:cs="Arial"/>
          <w:sz w:val="24"/>
          <w:szCs w:val="24"/>
        </w:rPr>
        <w:t>alvadoreña…” (PNUD. 2022).</w:t>
      </w: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5. El El Comité Sobre los Derechos del Niño, manifestó “estar profundamente preocupado por el número extremadamente elevado de embarazos de adolescentes en el Estado parte, y en particular por: a) El hecho de que un tercio del</w:t>
      </w:r>
      <w:r>
        <w:rPr>
          <w:rFonts w:ascii="Arial" w:eastAsia="Arial" w:hAnsi="Arial" w:cs="Arial"/>
          <w:sz w:val="24"/>
          <w:szCs w:val="24"/>
        </w:rPr>
        <w:t xml:space="preserve"> total de embarazos sean de niñas de entre 10 y 18 años de edad, y que un gran número de niñas queden embarazadas como resultado de una violación o un estupro; b) La falta de acceso a anticonceptivos y servicios de salud sexual para niñas y niños; c) La in</w:t>
      </w:r>
      <w:r>
        <w:rPr>
          <w:rFonts w:ascii="Arial" w:eastAsia="Arial" w:hAnsi="Arial" w:cs="Arial"/>
          <w:sz w:val="24"/>
          <w:szCs w:val="24"/>
        </w:rPr>
        <w:t>suficiencia de los servicios de salud mental para las adolescentes embarazadas y madres adolescentes, dándose el caso de que el suicidio es la causa más común de muerte entre las madres adolescentes; d) La información limitada de que disponen las adolescen</w:t>
      </w:r>
      <w:r>
        <w:rPr>
          <w:rFonts w:ascii="Arial" w:eastAsia="Arial" w:hAnsi="Arial" w:cs="Arial"/>
          <w:sz w:val="24"/>
          <w:szCs w:val="24"/>
        </w:rPr>
        <w:t>tes sobre las consecuencias del virus de Zika en el feto durante el embarazo y el apoyo insuficiente que reciben los niños nacidos con afecciones relacionadas con el zika y sus madres; e) La prohibición total del aborto, incluso en los casos en que el emba</w:t>
      </w:r>
      <w:r>
        <w:rPr>
          <w:rFonts w:ascii="Arial" w:eastAsia="Arial" w:hAnsi="Arial" w:cs="Arial"/>
          <w:sz w:val="24"/>
          <w:szCs w:val="24"/>
        </w:rPr>
        <w:t>razo es el resultado de una violación o un incesto, cuando la vida de la madre está en peligro o cuando el feto es inviable, lo que obliga a las niñas a recurrir a abortos en condiciones de riesgo e ilegales que pueden llevarlas a la cárcel; f) La incapaci</w:t>
      </w:r>
      <w:r>
        <w:rPr>
          <w:rFonts w:ascii="Arial" w:eastAsia="Arial" w:hAnsi="Arial" w:cs="Arial"/>
          <w:sz w:val="24"/>
          <w:szCs w:val="24"/>
        </w:rPr>
        <w:t>dad de las políticas, los programas y los servicios nacionales para prevenir y reducir eficazmente los embarazos en la adolescencia; g) La falta de atención a las causas profundas del embarazo en la adolescencia, como la pobreza, la exclusión, la discrimin</w:t>
      </w:r>
      <w:r>
        <w:rPr>
          <w:rFonts w:ascii="Arial" w:eastAsia="Arial" w:hAnsi="Arial" w:cs="Arial"/>
          <w:sz w:val="24"/>
          <w:szCs w:val="24"/>
        </w:rPr>
        <w:t>ación y las normas patriarcales” (CRC/C/SLV/CO/5-6).</w:t>
      </w:r>
    </w:p>
    <w:p w:rsidR="009A20DD" w:rsidRDefault="009A20DD">
      <w:pPr>
        <w:spacing w:line="360" w:lineRule="auto"/>
        <w:jc w:val="both"/>
        <w:rPr>
          <w:rFonts w:ascii="Arial" w:eastAsia="Arial" w:hAnsi="Arial" w:cs="Arial"/>
          <w:b/>
          <w:sz w:val="24"/>
          <w:szCs w:val="24"/>
        </w:rPr>
      </w:pPr>
    </w:p>
    <w:p w:rsidR="009A20DD" w:rsidRDefault="00E62739">
      <w:pPr>
        <w:spacing w:line="360" w:lineRule="auto"/>
        <w:jc w:val="both"/>
        <w:rPr>
          <w:rFonts w:ascii="Arial" w:eastAsia="Arial" w:hAnsi="Arial" w:cs="Arial"/>
          <w:b/>
          <w:sz w:val="24"/>
          <w:szCs w:val="24"/>
        </w:rPr>
      </w:pPr>
      <w:r>
        <w:rPr>
          <w:rFonts w:ascii="Arial" w:eastAsia="Arial" w:hAnsi="Arial" w:cs="Arial"/>
          <w:b/>
          <w:sz w:val="24"/>
          <w:szCs w:val="24"/>
        </w:rPr>
        <w:t>B. Derecho a la Alimentación.</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6. En consideración a este aspecto  hay que hacer mayor énfasis en la población más vulnerables, como lo es la población infantil, que es donde se ve más reflejado los índi</w:t>
      </w:r>
      <w:r>
        <w:rPr>
          <w:rFonts w:ascii="Arial" w:eastAsia="Arial" w:hAnsi="Arial" w:cs="Arial"/>
          <w:sz w:val="24"/>
          <w:szCs w:val="24"/>
        </w:rPr>
        <w:t xml:space="preserve">ces de malnutrición sobretodo en los de pobreza extrema, es por </w:t>
      </w: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ello que en el informe elaborado por el Comité de Derechos del Niño se hacen unas series de recomendaciones dirigidas a contribuir con aplicación de políticas de alimentación, evaluación y </w:t>
      </w:r>
      <w:r>
        <w:rPr>
          <w:rFonts w:ascii="Arial" w:eastAsia="Arial" w:hAnsi="Arial" w:cs="Arial"/>
          <w:sz w:val="24"/>
          <w:szCs w:val="24"/>
        </w:rPr>
        <w:t xml:space="preserve">estrategias para mitigar la mala nutrición en esta población. </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 xml:space="preserve">7. Tanto la desnutrición como la obesidad afectan el desarrollo efectivo del país, pues se traduce en un punto objetivo para la aplicación de políticas de Estado que van dirigida a resolver el </w:t>
      </w:r>
      <w:r>
        <w:rPr>
          <w:rFonts w:ascii="Arial" w:eastAsia="Arial" w:hAnsi="Arial" w:cs="Arial"/>
          <w:sz w:val="24"/>
          <w:szCs w:val="24"/>
        </w:rPr>
        <w:t>problema y evitar los riesgos de enfermedades atribuibles a esas dos causas.</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“Todos los costos relacionados con la malnutrición, como la pérdida de productividad, los años de educación y los gastos de salud, ascendieron a más de 2500 millones de dólares en</w:t>
      </w:r>
      <w:r>
        <w:rPr>
          <w:rFonts w:ascii="Arial" w:eastAsia="Arial" w:hAnsi="Arial" w:cs="Arial"/>
          <w:sz w:val="24"/>
          <w:szCs w:val="24"/>
        </w:rPr>
        <w:t xml:space="preserve"> El Salvador, una décima parte de su PIB. La ONU llama a promover el acceso a alimentos y estilos de vida saludables”. (Noticias ONU </w:t>
      </w:r>
      <w:hyperlink r:id="rId7">
        <w:r>
          <w:rPr>
            <w:rFonts w:ascii="Arial" w:eastAsia="Arial" w:hAnsi="Arial" w:cs="Arial"/>
            <w:sz w:val="24"/>
            <w:szCs w:val="24"/>
            <w:u w:val="single"/>
          </w:rPr>
          <w:t>El hambre y la obesidad le cuestan caro a El Salvador | Not</w:t>
        </w:r>
        <w:r>
          <w:rPr>
            <w:rFonts w:ascii="Arial" w:eastAsia="Arial" w:hAnsi="Arial" w:cs="Arial"/>
            <w:sz w:val="24"/>
            <w:szCs w:val="24"/>
            <w:u w:val="single"/>
          </w:rPr>
          <w:t>icias ONU (un.org)</w:t>
        </w:r>
      </w:hyperlink>
      <w:r>
        <w:rPr>
          <w:rFonts w:ascii="Arial" w:eastAsia="Arial" w:hAnsi="Arial" w:cs="Arial"/>
          <w:sz w:val="24"/>
          <w:szCs w:val="24"/>
        </w:rPr>
        <w:t xml:space="preserve">). </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Doble carga de desnutrición. Bajo acceso a dietas saludables y alimentos obesogénicos ambientales son aceleradores de la doble carga de la malnutrición. La evidencia muestra que en 2017 el costo de la desnutrición representó el 10,3 por ciento del PIB de E</w:t>
      </w:r>
      <w:r>
        <w:rPr>
          <w:rFonts w:ascii="Arial" w:eastAsia="Arial" w:hAnsi="Arial" w:cs="Arial"/>
          <w:sz w:val="24"/>
          <w:szCs w:val="24"/>
        </w:rPr>
        <w:t>l Salvador (USD 2.560 millones). Actualmente, aproximadamente dos tercios de ese costo son atribuibles a desnutrición; sin embargo, dada la transición nutricional en el país, se estima que el 98 por ciento del costo estará relacionado con el sobrepeso y la</w:t>
      </w:r>
      <w:r>
        <w:rPr>
          <w:rFonts w:ascii="Arial" w:eastAsia="Arial" w:hAnsi="Arial" w:cs="Arial"/>
          <w:sz w:val="24"/>
          <w:szCs w:val="24"/>
        </w:rPr>
        <w:t xml:space="preserve"> obesidad para 2081”. </w:t>
      </w:r>
      <w:r w:rsidRPr="00E62739">
        <w:rPr>
          <w:rFonts w:ascii="Arial" w:eastAsia="Arial" w:hAnsi="Arial" w:cs="Arial"/>
          <w:sz w:val="24"/>
          <w:szCs w:val="24"/>
          <w:lang w:val="en-GB"/>
        </w:rPr>
        <w:t xml:space="preserve">( WFP and Economic Commission for Latin America and the Caribbean. </w:t>
      </w:r>
      <w:r>
        <w:rPr>
          <w:rFonts w:ascii="Arial" w:eastAsia="Arial" w:hAnsi="Arial" w:cs="Arial"/>
          <w:sz w:val="24"/>
          <w:szCs w:val="24"/>
        </w:rPr>
        <w:t xml:space="preserve">2019. The cost of the double burden of malnutrition: Social and economic impact in El Salvador). </w:t>
      </w: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E62739">
      <w:pPr>
        <w:spacing w:line="360" w:lineRule="auto"/>
        <w:jc w:val="both"/>
        <w:rPr>
          <w:rFonts w:ascii="Arial" w:eastAsia="Arial" w:hAnsi="Arial" w:cs="Arial"/>
          <w:b/>
          <w:sz w:val="24"/>
          <w:szCs w:val="24"/>
        </w:rPr>
      </w:pPr>
      <w:r>
        <w:rPr>
          <w:rFonts w:ascii="Arial" w:eastAsia="Arial" w:hAnsi="Arial" w:cs="Arial"/>
          <w:b/>
          <w:sz w:val="24"/>
          <w:szCs w:val="24"/>
        </w:rPr>
        <w:t xml:space="preserve">C. Derecho a la Educación </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8.  De acuerdo al informe del Comité</w:t>
      </w:r>
      <w:r>
        <w:rPr>
          <w:rFonts w:ascii="Arial" w:eastAsia="Arial" w:hAnsi="Arial" w:cs="Arial"/>
          <w:sz w:val="24"/>
          <w:szCs w:val="24"/>
        </w:rPr>
        <w:t xml:space="preserve"> Sobre los Derechos del Niño, la población infantil, presenta un mayor riesgo para que no se le garantice el derecho a la  educación, esto debido al difícil acceso a las instituciones educativas por la parte geográfica donde viven, otros aspectos relevante</w:t>
      </w:r>
      <w:r>
        <w:rPr>
          <w:rFonts w:ascii="Arial" w:eastAsia="Arial" w:hAnsi="Arial" w:cs="Arial"/>
          <w:sz w:val="24"/>
          <w:szCs w:val="24"/>
        </w:rPr>
        <w:t>s son la inseguridad a la que se exponen los niños durante el trayecto a los centros educativos, la deserción por el tema del embarazo a temprana edad, ya que muchas adolescentes en periodo de gestación abandonan los estudios y pocas regresan nuevamente po</w:t>
      </w:r>
      <w:r>
        <w:rPr>
          <w:rFonts w:ascii="Arial" w:eastAsia="Arial" w:hAnsi="Arial" w:cs="Arial"/>
          <w:sz w:val="24"/>
          <w:szCs w:val="24"/>
        </w:rPr>
        <w:t>sterior al parto, aunado a esto se suma el tema de la infraestructura y el déficit de docentes. Todo esto repercute de manera directa en la gestión del Gobierno.</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9. Por esta razón el Comité en su informe hace recomendaciones dirigidas a tomar las medidas p</w:t>
      </w:r>
      <w:r>
        <w:rPr>
          <w:rFonts w:ascii="Arial" w:eastAsia="Arial" w:hAnsi="Arial" w:cs="Arial"/>
          <w:sz w:val="24"/>
          <w:szCs w:val="24"/>
        </w:rPr>
        <w:t>ertinentes para garantizar una educación de calidad, donde se garantice el acceso a todos los niveles del sistema educativo.</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“Asigne los recursos humanos, técnicos y financieros necesarios para la aplicación efectiva del Plan Nacional de Educación y sus se</w:t>
      </w:r>
      <w:r>
        <w:rPr>
          <w:rFonts w:ascii="Arial" w:eastAsia="Arial" w:hAnsi="Arial" w:cs="Arial"/>
          <w:sz w:val="24"/>
          <w:szCs w:val="24"/>
        </w:rPr>
        <w:t xml:space="preserve">is componentes, destinados a lograr escuelas libres de violencia, docentes de calidad, una mejor atención en la primera infancia, 12 grados de escolaridad, mejor educación superior y mejores infraestructuras, lo que contribuiría a garantizar el derecho de </w:t>
      </w:r>
      <w:r>
        <w:rPr>
          <w:rFonts w:ascii="Arial" w:eastAsia="Arial" w:hAnsi="Arial" w:cs="Arial"/>
          <w:sz w:val="24"/>
          <w:szCs w:val="24"/>
        </w:rPr>
        <w:t>los niños y niñas a la educación y a la protección contra la violencia…” (Comité de los Derechos del Niño, CRC/C/SLV/CO/5-6).</w:t>
      </w: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E62739">
      <w:pPr>
        <w:spacing w:line="360" w:lineRule="auto"/>
        <w:jc w:val="both"/>
        <w:rPr>
          <w:rFonts w:ascii="Arial" w:eastAsia="Arial" w:hAnsi="Arial" w:cs="Arial"/>
          <w:b/>
          <w:sz w:val="24"/>
          <w:szCs w:val="24"/>
        </w:rPr>
      </w:pPr>
      <w:r>
        <w:rPr>
          <w:rFonts w:ascii="Arial" w:eastAsia="Arial" w:hAnsi="Arial" w:cs="Arial"/>
          <w:b/>
          <w:sz w:val="24"/>
          <w:szCs w:val="24"/>
        </w:rPr>
        <w:t>D. Tortuta, Trato Cruel, Inhumano y Degradante. Sistema Penitenciario.</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9. Las violaciones de los derechos de las personas privadas de libertad. Desde la Dirección General de Centros Penales, no es transparente con la información de los centros penitenciarios del país. “Para el 22 de marzo de 2021, el sistema penitenciario alb</w:t>
      </w:r>
      <w:r>
        <w:rPr>
          <w:rFonts w:ascii="Arial" w:eastAsia="Arial" w:hAnsi="Arial" w:cs="Arial"/>
          <w:sz w:val="24"/>
          <w:szCs w:val="24"/>
        </w:rPr>
        <w:t>ergaba a 36,663 personas, cifra que se traduce en una leve reducción de 1.4% en la población penitenciaria, al comparar con diciembre de 2020, donde se registraba una población de 37,190. Posteriormente, la DGCP descontinuó la práctica de publicar estadíst</w:t>
      </w:r>
      <w:r>
        <w:rPr>
          <w:rFonts w:ascii="Arial" w:eastAsia="Arial" w:hAnsi="Arial" w:cs="Arial"/>
          <w:sz w:val="24"/>
          <w:szCs w:val="24"/>
        </w:rPr>
        <w:t>icas penitenciarias en su sitio web, y dejó de otorgar datos mediante respuestas a solicitudes de acceso a información pública”. (Observatorio Universitario de Derechos Humanos (OUDH), Informe Anual 2021).</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10. El Comité Sobre los Derechos del Niño, ha mani</w:t>
      </w:r>
      <w:r>
        <w:rPr>
          <w:rFonts w:ascii="Arial" w:eastAsia="Arial" w:hAnsi="Arial" w:cs="Arial"/>
          <w:sz w:val="24"/>
          <w:szCs w:val="24"/>
        </w:rPr>
        <w:t>festado estar “preocupado por las continuas denuncias de torturas, ejecuciones extrajudiciales y desapariciones forzadas de niños a manos de la policía y las fuerzas armadas, en particular en el contexto de la lucha contra la delincuencia organizada, y, re</w:t>
      </w:r>
      <w:r>
        <w:rPr>
          <w:rFonts w:ascii="Arial" w:eastAsia="Arial" w:hAnsi="Arial" w:cs="Arial"/>
          <w:sz w:val="24"/>
          <w:szCs w:val="24"/>
        </w:rPr>
        <w:t>cordando sus recomendaciones anteriores (CRC/C/SLV/CO/3-4, párr. 44/ CRC/C/SLV/CO/5-6)”</w:t>
      </w: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11. “El Comité está profundamente preocupado por el hecho de que los castigos corporales a los niños sigan siendo legales y sigan estando justificados desde el punto de</w:t>
      </w:r>
      <w:r>
        <w:rPr>
          <w:rFonts w:ascii="Arial" w:eastAsia="Arial" w:hAnsi="Arial" w:cs="Arial"/>
          <w:sz w:val="24"/>
          <w:szCs w:val="24"/>
        </w:rPr>
        <w:t xml:space="preserve"> vista cultural, y por el hecho de que la encuesta de indicadores múltiples por conglomerados de 2014 reveló que el 40 % de los niños sufrían castigos corporales en el hogar. El Comité, remitiéndose a su observación general núm. 8 (2006), relativa al derec</w:t>
      </w:r>
      <w:r>
        <w:rPr>
          <w:rFonts w:ascii="Arial" w:eastAsia="Arial" w:hAnsi="Arial" w:cs="Arial"/>
          <w:sz w:val="24"/>
          <w:szCs w:val="24"/>
        </w:rPr>
        <w:t>ho del niño a la protección contra los castigos corporales y otras formas de castigo crueles o degradantes, y recordando sus recomendaciones anteriores (CRC/C/SLV/CO/3-4, párr. 55/ CRC/C/SLV/CO/5-6).</w:t>
      </w: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9A20DD">
      <w:pPr>
        <w:spacing w:line="360" w:lineRule="auto"/>
        <w:jc w:val="both"/>
        <w:rPr>
          <w:rFonts w:ascii="Arial" w:eastAsia="Arial" w:hAnsi="Arial" w:cs="Arial"/>
          <w:sz w:val="24"/>
          <w:szCs w:val="24"/>
        </w:rPr>
      </w:pPr>
    </w:p>
    <w:p w:rsidR="009A20DD" w:rsidRDefault="00E62739">
      <w:pPr>
        <w:spacing w:line="360" w:lineRule="auto"/>
        <w:jc w:val="both"/>
        <w:rPr>
          <w:rFonts w:ascii="Arial" w:eastAsia="Arial" w:hAnsi="Arial" w:cs="Arial"/>
          <w:sz w:val="24"/>
          <w:szCs w:val="24"/>
        </w:rPr>
      </w:pPr>
      <w:r>
        <w:rPr>
          <w:rFonts w:ascii="Arial" w:eastAsia="Arial" w:hAnsi="Arial" w:cs="Arial"/>
          <w:sz w:val="24"/>
          <w:szCs w:val="24"/>
        </w:rPr>
        <w:t>12. “Observando con preocupación los 45.925 casos de</w:t>
      </w:r>
      <w:r>
        <w:rPr>
          <w:rFonts w:ascii="Arial" w:eastAsia="Arial" w:hAnsi="Arial" w:cs="Arial"/>
          <w:sz w:val="24"/>
          <w:szCs w:val="24"/>
        </w:rPr>
        <w:t xml:space="preserve"> malos tratos y descuido, que afectaron a 52.065 niños, denunciados a las juntas de protección entre 2012 y 2015, los 13.011 casos, que afectaron a 15.389 niños, denunciados al Consejo Nacional de la Niñez y de la Adolescencia en 2016, y la falta de inform</w:t>
      </w:r>
      <w:r>
        <w:rPr>
          <w:rFonts w:ascii="Arial" w:eastAsia="Arial" w:hAnsi="Arial" w:cs="Arial"/>
          <w:sz w:val="24"/>
          <w:szCs w:val="24"/>
        </w:rPr>
        <w:t>ación sobre las medidas adoptadas al respecto”. ( CRC/C/SLV/CO/5-6).</w:t>
      </w:r>
    </w:p>
    <w:p w:rsidR="009A20DD" w:rsidRDefault="00E62739">
      <w:pPr>
        <w:spacing w:line="360" w:lineRule="auto"/>
        <w:jc w:val="both"/>
        <w:rPr>
          <w:rFonts w:ascii="Arial" w:eastAsia="Arial" w:hAnsi="Arial" w:cs="Arial"/>
          <w:sz w:val="24"/>
          <w:szCs w:val="24"/>
          <w:highlight w:val="white"/>
        </w:rPr>
      </w:pPr>
      <w:r>
        <w:rPr>
          <w:rFonts w:ascii="Arial" w:eastAsia="Arial" w:hAnsi="Arial" w:cs="Arial"/>
          <w:sz w:val="24"/>
          <w:szCs w:val="24"/>
        </w:rPr>
        <w:t xml:space="preserve">13. A solicitud del Ejecutivo Nacional, la Asamblea Legislativa aprobó </w:t>
      </w:r>
      <w:r>
        <w:rPr>
          <w:rFonts w:ascii="Arial" w:eastAsia="Arial" w:hAnsi="Arial" w:cs="Arial"/>
          <w:sz w:val="24"/>
          <w:szCs w:val="24"/>
          <w:highlight w:val="white"/>
        </w:rPr>
        <w:t xml:space="preserve"> el decreto legislativo número 333 de fecha de 27 de marzo de 2022,  donde se suspenden derechos fundamentales, con </w:t>
      </w:r>
      <w:r>
        <w:rPr>
          <w:rFonts w:ascii="Arial" w:eastAsia="Arial" w:hAnsi="Arial" w:cs="Arial"/>
          <w:sz w:val="24"/>
          <w:szCs w:val="24"/>
          <w:highlight w:val="white"/>
        </w:rPr>
        <w:t>el pretexto de controlar las índices de inseguridad provocados delincuencia organizada, provocando un abuso excesivo de las actuaciones de los órganos de seguridad del Estado, encontrándose activo este régimen jurídico desde hace más de 70 días,  a la pres</w:t>
      </w:r>
      <w:r>
        <w:rPr>
          <w:rFonts w:ascii="Arial" w:eastAsia="Arial" w:hAnsi="Arial" w:cs="Arial"/>
          <w:sz w:val="24"/>
          <w:szCs w:val="24"/>
          <w:highlight w:val="white"/>
        </w:rPr>
        <w:t xml:space="preserve">entación de este informe. </w:t>
      </w:r>
    </w:p>
    <w:p w:rsidR="009A20DD" w:rsidRDefault="00E62739">
      <w:pPr>
        <w:spacing w:line="360" w:lineRule="auto"/>
        <w:jc w:val="both"/>
        <w:rPr>
          <w:rFonts w:ascii="Arial" w:eastAsia="Arial" w:hAnsi="Arial" w:cs="Arial"/>
          <w:sz w:val="24"/>
          <w:szCs w:val="24"/>
          <w:highlight w:val="white"/>
        </w:rPr>
      </w:pPr>
      <w:r>
        <w:rPr>
          <w:rFonts w:ascii="Arial" w:eastAsia="Arial" w:hAnsi="Arial" w:cs="Arial"/>
          <w:sz w:val="24"/>
          <w:szCs w:val="24"/>
          <w:highlight w:val="white"/>
        </w:rPr>
        <w:t>14. Se ha incrementado más de un 50% la población carcelaria para el 2022. “Para el 22 de marzo de 2021, el sistema penitenciario albergaba a 36,663 personas” (</w:t>
      </w:r>
      <w:r>
        <w:rPr>
          <w:rFonts w:ascii="Arial" w:eastAsia="Arial" w:hAnsi="Arial" w:cs="Arial"/>
          <w:sz w:val="24"/>
          <w:szCs w:val="24"/>
        </w:rPr>
        <w:t>OUDH), Informe Anual 2021). “</w:t>
      </w:r>
      <w:r>
        <w:rPr>
          <w:rFonts w:ascii="Arial" w:eastAsia="Arial" w:hAnsi="Arial" w:cs="Arial"/>
          <w:sz w:val="24"/>
          <w:szCs w:val="24"/>
          <w:highlight w:val="white"/>
        </w:rPr>
        <w:t>la Policía Nacional Civil (PNC) ha deten</w:t>
      </w:r>
      <w:r>
        <w:rPr>
          <w:rFonts w:ascii="Arial" w:eastAsia="Arial" w:hAnsi="Arial" w:cs="Arial"/>
          <w:sz w:val="24"/>
          <w:szCs w:val="24"/>
          <w:highlight w:val="white"/>
        </w:rPr>
        <w:t>ido a 50 mil personas vinculadas a grupos delincuenciales” (</w:t>
      </w:r>
      <w:hyperlink r:id="rId8">
        <w:r>
          <w:rPr>
            <w:rFonts w:ascii="Arial" w:eastAsia="Arial" w:hAnsi="Arial" w:cs="Arial"/>
            <w:sz w:val="24"/>
            <w:szCs w:val="24"/>
            <w:highlight w:val="white"/>
            <w:u w:val="single"/>
          </w:rPr>
          <w:t>Asamblea Legislativa prolonga el régimen de excepción por quinta ocasión | Asamblea Legislativa de El Salvador</w:t>
        </w:r>
      </w:hyperlink>
      <w:r>
        <w:rPr>
          <w:rFonts w:ascii="Arial" w:eastAsia="Arial" w:hAnsi="Arial" w:cs="Arial"/>
          <w:sz w:val="24"/>
          <w:szCs w:val="24"/>
          <w:highlight w:val="white"/>
        </w:rPr>
        <w:t>). Esto podría representar u</w:t>
      </w:r>
      <w:r>
        <w:rPr>
          <w:rFonts w:ascii="Arial" w:eastAsia="Arial" w:hAnsi="Arial" w:cs="Arial"/>
          <w:sz w:val="24"/>
          <w:szCs w:val="24"/>
          <w:highlight w:val="white"/>
        </w:rPr>
        <w:t xml:space="preserve">na criminalización de los barrios pobres de la población. </w:t>
      </w:r>
    </w:p>
    <w:p w:rsidR="009A20DD" w:rsidRDefault="00E62739">
      <w:pPr>
        <w:spacing w:line="360" w:lineRule="auto"/>
        <w:jc w:val="both"/>
        <w:rPr>
          <w:rFonts w:ascii="Arial" w:eastAsia="Arial" w:hAnsi="Arial" w:cs="Arial"/>
          <w:sz w:val="24"/>
          <w:szCs w:val="24"/>
          <w:highlight w:val="white"/>
        </w:rPr>
      </w:pPr>
      <w:r>
        <w:rPr>
          <w:rFonts w:ascii="Arial" w:eastAsia="Arial" w:hAnsi="Arial" w:cs="Arial"/>
          <w:sz w:val="24"/>
          <w:szCs w:val="24"/>
          <w:highlight w:val="white"/>
        </w:rPr>
        <w:t>15. El régimen de excepción, ha provocado una actuación de violacion sistemática a los derechos humanos, el incremento de actos de torturas, tratos crueles e inhumanos y desapariciones forzadas por</w:t>
      </w:r>
      <w:r>
        <w:rPr>
          <w:rFonts w:ascii="Arial" w:eastAsia="Arial" w:hAnsi="Arial" w:cs="Arial"/>
          <w:sz w:val="24"/>
          <w:szCs w:val="24"/>
          <w:highlight w:val="white"/>
        </w:rPr>
        <w:t xml:space="preserve"> parte de los cuerpos se seguridad de Estado “Fuentes internas del Instituto de Medicina Legal (IML) confirmaron a LA PRENSA GRÁFICA que hasta ayer tenían registradas 73 muertes en centros penitenciarios desde que inició el régimen de excepción, el 27 de m</w:t>
      </w:r>
      <w:r>
        <w:rPr>
          <w:rFonts w:ascii="Arial" w:eastAsia="Arial" w:hAnsi="Arial" w:cs="Arial"/>
          <w:sz w:val="24"/>
          <w:szCs w:val="24"/>
          <w:highlight w:val="white"/>
        </w:rPr>
        <w:t>arzo. Esas son cuatro más desde que este medio publicó el listado de 69 nombres confirmados hasta el 10 de agosto.</w:t>
      </w:r>
    </w:p>
    <w:p w:rsidR="009A20DD" w:rsidRDefault="009A20DD">
      <w:pPr>
        <w:spacing w:line="360" w:lineRule="auto"/>
        <w:jc w:val="both"/>
        <w:rPr>
          <w:rFonts w:ascii="Arial" w:eastAsia="Arial" w:hAnsi="Arial" w:cs="Arial"/>
          <w:sz w:val="24"/>
          <w:szCs w:val="24"/>
          <w:highlight w:val="white"/>
        </w:rPr>
      </w:pPr>
    </w:p>
    <w:p w:rsidR="009A20DD" w:rsidRDefault="009A20DD">
      <w:pPr>
        <w:spacing w:line="360" w:lineRule="auto"/>
        <w:jc w:val="both"/>
        <w:rPr>
          <w:rFonts w:ascii="Arial" w:eastAsia="Arial" w:hAnsi="Arial" w:cs="Arial"/>
          <w:sz w:val="24"/>
          <w:szCs w:val="24"/>
          <w:highlight w:val="white"/>
        </w:rPr>
      </w:pPr>
    </w:p>
    <w:p w:rsidR="009A20DD" w:rsidRDefault="00E62739">
      <w:pPr>
        <w:shd w:val="clear" w:color="auto" w:fill="FFFFFF"/>
        <w:spacing w:after="380" w:line="360" w:lineRule="auto"/>
        <w:jc w:val="both"/>
        <w:rPr>
          <w:rFonts w:ascii="Arial" w:eastAsia="Arial" w:hAnsi="Arial" w:cs="Arial"/>
          <w:sz w:val="24"/>
          <w:szCs w:val="24"/>
          <w:highlight w:val="white"/>
        </w:rPr>
      </w:pPr>
      <w:r>
        <w:rPr>
          <w:rFonts w:ascii="Arial" w:eastAsia="Arial" w:hAnsi="Arial" w:cs="Arial"/>
          <w:sz w:val="24"/>
          <w:szCs w:val="24"/>
          <w:highlight w:val="white"/>
        </w:rPr>
        <w:lastRenderedPageBreak/>
        <w:t>Aseguran que a los familiares no se les detalla la causa de muerte ni se da mayor información cuando les entregan los cuerpos, lo cual sugi</w:t>
      </w:r>
      <w:r>
        <w:rPr>
          <w:rFonts w:ascii="Arial" w:eastAsia="Arial" w:hAnsi="Arial" w:cs="Arial"/>
          <w:sz w:val="24"/>
          <w:szCs w:val="24"/>
          <w:highlight w:val="white"/>
        </w:rPr>
        <w:t>ere que incluso podría existir un subregistro con cifras más altas” (</w:t>
      </w:r>
      <w:hyperlink r:id="rId9">
        <w:r>
          <w:rPr>
            <w:rFonts w:ascii="Arial" w:eastAsia="Arial" w:hAnsi="Arial" w:cs="Arial"/>
            <w:sz w:val="24"/>
            <w:szCs w:val="24"/>
            <w:highlight w:val="white"/>
            <w:u w:val="single"/>
          </w:rPr>
          <w:t>Medicina Legal reconoce 73 reos falleci</w:t>
        </w:r>
        <w:r>
          <w:rPr>
            <w:rFonts w:ascii="Arial" w:eastAsia="Arial" w:hAnsi="Arial" w:cs="Arial"/>
            <w:sz w:val="24"/>
            <w:szCs w:val="24"/>
            <w:highlight w:val="white"/>
            <w:u w:val="single"/>
          </w:rPr>
          <w:t>dos en régimen de excepción (laprensagrafica.com)</w:t>
        </w:r>
      </w:hyperlink>
      <w:r>
        <w:rPr>
          <w:rFonts w:ascii="Arial" w:eastAsia="Arial" w:hAnsi="Arial" w:cs="Arial"/>
          <w:sz w:val="24"/>
          <w:szCs w:val="24"/>
          <w:highlight w:val="white"/>
        </w:rPr>
        <w:t>.</w:t>
      </w:r>
    </w:p>
    <w:p w:rsidR="009A20DD" w:rsidRDefault="00E62739">
      <w:pPr>
        <w:shd w:val="clear" w:color="auto" w:fill="FFFFFF"/>
        <w:spacing w:after="380" w:line="360" w:lineRule="auto"/>
        <w:jc w:val="both"/>
        <w:rPr>
          <w:rFonts w:ascii="Arial" w:eastAsia="Arial" w:hAnsi="Arial" w:cs="Arial"/>
          <w:sz w:val="24"/>
          <w:szCs w:val="24"/>
          <w:highlight w:val="white"/>
        </w:rPr>
      </w:pPr>
      <w:r>
        <w:rPr>
          <w:rFonts w:ascii="Arial" w:eastAsia="Arial" w:hAnsi="Arial" w:cs="Arial"/>
          <w:sz w:val="24"/>
          <w:szCs w:val="24"/>
          <w:highlight w:val="white"/>
        </w:rPr>
        <w:t>16. La investigación del  diario el Faro, con respeto a las detenciones arbitrarias arrojó lo siguiente luego del análisis de  “1,251 folios judiciales por los cuales 690 personas fueron detenidas en los d</w:t>
      </w:r>
      <w:r>
        <w:rPr>
          <w:rFonts w:ascii="Arial" w:eastAsia="Arial" w:hAnsi="Arial" w:cs="Arial"/>
          <w:sz w:val="24"/>
          <w:szCs w:val="24"/>
          <w:highlight w:val="white"/>
        </w:rPr>
        <w:t>epartamentos de San Vicente, La Paz, Cabañas, Cuscatlán, La Libertad y Santa Ana, entre el 27 de marzo y el 19 de abril de 2022. En gran parte de los casos, los documentos revelan una débil investigación para relacionar a los detenidos con una pandilla. La</w:t>
      </w:r>
      <w:r>
        <w:rPr>
          <w:rFonts w:ascii="Arial" w:eastAsia="Arial" w:hAnsi="Arial" w:cs="Arial"/>
          <w:sz w:val="24"/>
          <w:szCs w:val="24"/>
          <w:highlight w:val="white"/>
        </w:rPr>
        <w:t xml:space="preserve"> razón por la que cientos están en la cárcel sin saber cuánto tiempo más pasarán ahí” </w:t>
      </w:r>
    </w:p>
    <w:p w:rsidR="009A20DD" w:rsidRDefault="00E62739">
      <w:pPr>
        <w:shd w:val="clear" w:color="auto" w:fill="FFFFFF"/>
        <w:spacing w:after="380" w:line="360" w:lineRule="auto"/>
        <w:jc w:val="both"/>
        <w:rPr>
          <w:rFonts w:ascii="Arial" w:eastAsia="Arial" w:hAnsi="Arial" w:cs="Arial"/>
          <w:sz w:val="24"/>
          <w:szCs w:val="24"/>
          <w:highlight w:val="white"/>
        </w:rPr>
      </w:pPr>
      <w:r>
        <w:rPr>
          <w:rFonts w:ascii="Arial" w:eastAsia="Arial" w:hAnsi="Arial" w:cs="Arial"/>
          <w:sz w:val="24"/>
          <w:szCs w:val="24"/>
          <w:highlight w:val="white"/>
        </w:rPr>
        <w:t>“Según los expedientes, 518 de las 690 personas procesadas tienen fichas como pandilleros o colaboradores. Es imposible determinar con qué metodología de investigación s</w:t>
      </w:r>
      <w:r>
        <w:rPr>
          <w:rFonts w:ascii="Arial" w:eastAsia="Arial" w:hAnsi="Arial" w:cs="Arial"/>
          <w:sz w:val="24"/>
          <w:szCs w:val="24"/>
          <w:highlight w:val="white"/>
        </w:rPr>
        <w:t>e les incluyó en esas fichas, cuándo fueron construidas, qué sustento tienen e incluso qué policía las elaboró. Otras 172 personas no estaban registradas por el Departamento de Inteligencia Policial, pero la Policía usó criterios amplios y ambiguos para de</w:t>
      </w:r>
      <w:r>
        <w:rPr>
          <w:rFonts w:ascii="Arial" w:eastAsia="Arial" w:hAnsi="Arial" w:cs="Arial"/>
          <w:sz w:val="24"/>
          <w:szCs w:val="24"/>
          <w:highlight w:val="white"/>
        </w:rPr>
        <w:t>terminar que son pandilleros” (</w:t>
      </w:r>
      <w:hyperlink r:id="rId10">
        <w:r>
          <w:rPr>
            <w:rFonts w:ascii="Arial" w:eastAsia="Arial" w:hAnsi="Arial" w:cs="Arial"/>
            <w:sz w:val="24"/>
            <w:szCs w:val="24"/>
            <w:highlight w:val="white"/>
            <w:u w:val="single"/>
          </w:rPr>
          <w:t>Los expedientes ocultos del Régimen: cientos de arrestos por "nerviosismo" y "ficha policial" elfaro.net)</w:t>
        </w:r>
      </w:hyperlink>
      <w:r>
        <w:rPr>
          <w:rFonts w:ascii="Arial" w:eastAsia="Arial" w:hAnsi="Arial" w:cs="Arial"/>
          <w:sz w:val="24"/>
          <w:szCs w:val="24"/>
          <w:highlight w:val="white"/>
        </w:rPr>
        <w:t>.</w:t>
      </w:r>
    </w:p>
    <w:p w:rsidR="009A20DD" w:rsidRDefault="009A20DD">
      <w:pPr>
        <w:shd w:val="clear" w:color="auto" w:fill="FFFFFF"/>
        <w:spacing w:after="380" w:line="360" w:lineRule="auto"/>
        <w:jc w:val="both"/>
        <w:rPr>
          <w:rFonts w:ascii="Arial" w:eastAsia="Arial" w:hAnsi="Arial" w:cs="Arial"/>
          <w:sz w:val="24"/>
          <w:szCs w:val="24"/>
          <w:highlight w:val="white"/>
        </w:rPr>
      </w:pPr>
    </w:p>
    <w:p w:rsidR="009A20DD" w:rsidRDefault="009A20DD">
      <w:pPr>
        <w:shd w:val="clear" w:color="auto" w:fill="FFFFFF"/>
        <w:spacing w:after="380" w:line="360" w:lineRule="auto"/>
        <w:jc w:val="both"/>
        <w:rPr>
          <w:rFonts w:ascii="Arial" w:eastAsia="Arial" w:hAnsi="Arial" w:cs="Arial"/>
          <w:sz w:val="24"/>
          <w:szCs w:val="24"/>
          <w:highlight w:val="white"/>
        </w:rPr>
      </w:pPr>
    </w:p>
    <w:p w:rsidR="009A20DD" w:rsidRDefault="009A20DD">
      <w:pPr>
        <w:shd w:val="clear" w:color="auto" w:fill="FFFFFF"/>
        <w:spacing w:after="380" w:line="360" w:lineRule="auto"/>
        <w:jc w:val="both"/>
        <w:rPr>
          <w:rFonts w:ascii="Arial" w:eastAsia="Arial" w:hAnsi="Arial" w:cs="Arial"/>
          <w:sz w:val="24"/>
          <w:szCs w:val="24"/>
          <w:highlight w:val="white"/>
        </w:rPr>
      </w:pPr>
    </w:p>
    <w:p w:rsidR="009A20DD" w:rsidRDefault="009A20DD">
      <w:pPr>
        <w:shd w:val="clear" w:color="auto" w:fill="FFFFFF"/>
        <w:spacing w:after="380" w:line="360" w:lineRule="auto"/>
        <w:jc w:val="both"/>
        <w:rPr>
          <w:rFonts w:ascii="Arial" w:eastAsia="Arial" w:hAnsi="Arial" w:cs="Arial"/>
          <w:sz w:val="24"/>
          <w:szCs w:val="24"/>
          <w:highlight w:val="white"/>
        </w:rPr>
      </w:pPr>
    </w:p>
    <w:p w:rsidR="009A20DD" w:rsidRDefault="009A20DD">
      <w:pPr>
        <w:shd w:val="clear" w:color="auto" w:fill="FFFFFF"/>
        <w:spacing w:after="380" w:line="360" w:lineRule="auto"/>
        <w:jc w:val="both"/>
        <w:rPr>
          <w:rFonts w:ascii="Arial" w:eastAsia="Arial" w:hAnsi="Arial" w:cs="Arial"/>
          <w:sz w:val="24"/>
          <w:szCs w:val="24"/>
          <w:highlight w:val="white"/>
        </w:rPr>
      </w:pPr>
    </w:p>
    <w:p w:rsidR="009A20DD" w:rsidRDefault="00E62739">
      <w:pPr>
        <w:shd w:val="clear" w:color="auto" w:fill="FFFFFF"/>
        <w:spacing w:after="380" w:line="360" w:lineRule="auto"/>
        <w:jc w:val="both"/>
        <w:rPr>
          <w:rFonts w:ascii="Arial" w:eastAsia="Arial" w:hAnsi="Arial" w:cs="Arial"/>
          <w:sz w:val="24"/>
          <w:szCs w:val="24"/>
          <w:highlight w:val="white"/>
        </w:rPr>
      </w:pPr>
      <w:r>
        <w:rPr>
          <w:rFonts w:ascii="Arial" w:eastAsia="Arial" w:hAnsi="Arial" w:cs="Arial"/>
          <w:sz w:val="24"/>
          <w:szCs w:val="24"/>
          <w:highlight w:val="white"/>
        </w:rPr>
        <w:lastRenderedPageBreak/>
        <w:t>Solicitamos a los Expertos independiente del Comité:</w:t>
      </w:r>
    </w:p>
    <w:p w:rsidR="009A20DD" w:rsidRDefault="00E62739">
      <w:pPr>
        <w:spacing w:line="360" w:lineRule="auto"/>
        <w:jc w:val="both"/>
        <w:rPr>
          <w:rFonts w:ascii="Arial" w:eastAsia="Arial" w:hAnsi="Arial" w:cs="Arial"/>
          <w:sz w:val="24"/>
          <w:szCs w:val="24"/>
          <w:highlight w:val="white"/>
        </w:rPr>
      </w:pPr>
      <w:bookmarkStart w:id="1" w:name="_heading=h.wvgaoukk3j6a" w:colFirst="0" w:colLast="0"/>
      <w:bookmarkEnd w:id="1"/>
      <w:r>
        <w:rPr>
          <w:rFonts w:ascii="Arial" w:eastAsia="Arial" w:hAnsi="Arial" w:cs="Arial"/>
          <w:sz w:val="24"/>
          <w:szCs w:val="24"/>
          <w:highlight w:val="white"/>
        </w:rPr>
        <w:t>1- Que el Estado adecue e implemente políticas públicas en garantizar los derechos sexuales y reproductivo de la población en especial atención de las niñas y adolescentes embarazadas.</w:t>
      </w:r>
    </w:p>
    <w:p w:rsidR="009A20DD" w:rsidRDefault="00E62739">
      <w:pPr>
        <w:spacing w:line="360" w:lineRule="auto"/>
        <w:jc w:val="both"/>
        <w:rPr>
          <w:rFonts w:ascii="Arial" w:eastAsia="Arial" w:hAnsi="Arial" w:cs="Arial"/>
          <w:sz w:val="24"/>
          <w:szCs w:val="24"/>
          <w:highlight w:val="white"/>
        </w:rPr>
      </w:pPr>
      <w:bookmarkStart w:id="2" w:name="_heading=h.z6bqfq5sf0an" w:colFirst="0" w:colLast="0"/>
      <w:bookmarkEnd w:id="2"/>
      <w:r>
        <w:rPr>
          <w:rFonts w:ascii="Arial" w:eastAsia="Arial" w:hAnsi="Arial" w:cs="Arial"/>
          <w:sz w:val="24"/>
          <w:szCs w:val="24"/>
          <w:highlight w:val="white"/>
        </w:rPr>
        <w:t xml:space="preserve">2- Que el Estado fortalezca la relación de cooperación de las Agencias </w:t>
      </w:r>
      <w:r>
        <w:rPr>
          <w:rFonts w:ascii="Arial" w:eastAsia="Arial" w:hAnsi="Arial" w:cs="Arial"/>
          <w:sz w:val="24"/>
          <w:szCs w:val="24"/>
          <w:highlight w:val="white"/>
        </w:rPr>
        <w:t>y Programas de la ONU (UNICEF, UNFPA, ONUSIDA, PNUD) y programas regionales para atender problemas como el embarazo en adolescente, acceso al derecho de la educación.</w:t>
      </w:r>
    </w:p>
    <w:p w:rsidR="009A20DD" w:rsidRDefault="00E62739">
      <w:pPr>
        <w:spacing w:line="360" w:lineRule="auto"/>
        <w:jc w:val="both"/>
        <w:rPr>
          <w:rFonts w:ascii="Arial" w:eastAsia="Arial" w:hAnsi="Arial" w:cs="Arial"/>
          <w:sz w:val="24"/>
          <w:szCs w:val="24"/>
          <w:highlight w:val="white"/>
        </w:rPr>
      </w:pPr>
      <w:bookmarkStart w:id="3" w:name="_heading=h.s5m99use88df" w:colFirst="0" w:colLast="0"/>
      <w:bookmarkEnd w:id="3"/>
      <w:r>
        <w:rPr>
          <w:rFonts w:ascii="Arial" w:eastAsia="Arial" w:hAnsi="Arial" w:cs="Arial"/>
          <w:sz w:val="24"/>
          <w:szCs w:val="24"/>
          <w:highlight w:val="white"/>
        </w:rPr>
        <w:t>3- Que el Estado informe al Comité, sobre las medidas adoptadas para el acceso, goce y di</w:t>
      </w:r>
      <w:r>
        <w:rPr>
          <w:rFonts w:ascii="Arial" w:eastAsia="Arial" w:hAnsi="Arial" w:cs="Arial"/>
          <w:sz w:val="24"/>
          <w:szCs w:val="24"/>
          <w:highlight w:val="white"/>
        </w:rPr>
        <w:t>sfrute de los derechos a la educación, salud, y alimentación de los población más pobres.</w:t>
      </w:r>
    </w:p>
    <w:p w:rsidR="009A20DD" w:rsidRDefault="00E62739">
      <w:pPr>
        <w:spacing w:line="360" w:lineRule="auto"/>
        <w:jc w:val="both"/>
        <w:rPr>
          <w:rFonts w:ascii="Arial" w:eastAsia="Arial" w:hAnsi="Arial" w:cs="Arial"/>
          <w:sz w:val="24"/>
          <w:szCs w:val="24"/>
          <w:highlight w:val="white"/>
        </w:rPr>
      </w:pPr>
      <w:bookmarkStart w:id="4" w:name="_heading=h.d95obhvzi2wf" w:colFirst="0" w:colLast="0"/>
      <w:bookmarkEnd w:id="4"/>
      <w:r>
        <w:rPr>
          <w:rFonts w:ascii="Arial" w:eastAsia="Arial" w:hAnsi="Arial" w:cs="Arial"/>
          <w:sz w:val="24"/>
          <w:szCs w:val="24"/>
          <w:highlight w:val="white"/>
        </w:rPr>
        <w:t>4- Que el Estado informe de las medidas adoptadas para adecuar y cumplir con las metas del Milenio en erradicar la pobreza y el cambio climático.</w:t>
      </w:r>
    </w:p>
    <w:p w:rsidR="009A20DD" w:rsidRDefault="00E62739">
      <w:pPr>
        <w:spacing w:line="360" w:lineRule="auto"/>
        <w:jc w:val="both"/>
        <w:rPr>
          <w:rFonts w:ascii="Arial" w:eastAsia="Arial" w:hAnsi="Arial" w:cs="Arial"/>
          <w:sz w:val="24"/>
          <w:szCs w:val="24"/>
          <w:highlight w:val="white"/>
        </w:rPr>
      </w:pPr>
      <w:bookmarkStart w:id="5" w:name="_heading=h.j1x3el6cln3s" w:colFirst="0" w:colLast="0"/>
      <w:bookmarkEnd w:id="5"/>
      <w:r>
        <w:rPr>
          <w:rFonts w:ascii="Arial" w:eastAsia="Arial" w:hAnsi="Arial" w:cs="Arial"/>
          <w:sz w:val="24"/>
          <w:szCs w:val="24"/>
          <w:highlight w:val="white"/>
        </w:rPr>
        <w:t xml:space="preserve">5- Que el Estado El </w:t>
      </w:r>
      <w:r>
        <w:rPr>
          <w:rFonts w:ascii="Arial" w:eastAsia="Arial" w:hAnsi="Arial" w:cs="Arial"/>
          <w:sz w:val="24"/>
          <w:szCs w:val="24"/>
          <w:highlight w:val="white"/>
        </w:rPr>
        <w:t>Salvador presente un informe detallado al Comité sobre las medidas adoptadas en materia de seguridad y garantía de los derechos humanos en el contexto del régimen del Estado de Excepción.</w:t>
      </w:r>
    </w:p>
    <w:p w:rsidR="009A20DD" w:rsidRDefault="009A20DD">
      <w:pPr>
        <w:spacing w:line="360" w:lineRule="auto"/>
        <w:jc w:val="both"/>
        <w:rPr>
          <w:rFonts w:ascii="Arial" w:eastAsia="Arial" w:hAnsi="Arial" w:cs="Arial"/>
          <w:sz w:val="24"/>
          <w:szCs w:val="24"/>
          <w:highlight w:val="white"/>
        </w:rPr>
      </w:pPr>
      <w:bookmarkStart w:id="6" w:name="_heading=h.9iq1ndoehjqp" w:colFirst="0" w:colLast="0"/>
      <w:bookmarkEnd w:id="6"/>
    </w:p>
    <w:sectPr w:rsidR="009A20DD">
      <w:headerReference w:type="default" r:id="rId11"/>
      <w:footerReference w:type="defaul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62739">
      <w:pPr>
        <w:spacing w:after="0" w:line="240" w:lineRule="auto"/>
      </w:pPr>
      <w:r>
        <w:separator/>
      </w:r>
    </w:p>
  </w:endnote>
  <w:endnote w:type="continuationSeparator" w:id="0">
    <w:p w:rsidR="00000000" w:rsidRDefault="00E62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0DD" w:rsidRDefault="00E62739">
    <w:pPr>
      <w:jc w:val="center"/>
    </w:pPr>
    <w:r>
      <w:t xml:space="preserve">@renaddhh </w:t>
    </w:r>
    <w:hyperlink r:id="rId1">
      <w:r>
        <w:rPr>
          <w:color w:val="1155CC"/>
          <w:u w:val="single"/>
        </w:rPr>
        <w:t>rednaddhh@gmail.com</w:t>
      </w:r>
    </w:hyperlink>
    <w:r>
      <w:t xml:space="preserve"> @cnddhs_ve </w:t>
    </w:r>
    <w:hyperlink r:id="rId2">
      <w:r>
        <w:rPr>
          <w:color w:val="1155CC"/>
          <w:u w:val="single"/>
        </w:rPr>
        <w:t>cnddhhs@gmail.com</w:t>
      </w:r>
    </w:hyperlink>
    <w:r>
      <w:t xml:space="preserve"> </w:t>
    </w:r>
  </w:p>
  <w:p w:rsidR="009A20DD" w:rsidRDefault="009A20D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62739">
      <w:pPr>
        <w:spacing w:after="0" w:line="240" w:lineRule="auto"/>
      </w:pPr>
      <w:r>
        <w:separator/>
      </w:r>
    </w:p>
  </w:footnote>
  <w:footnote w:type="continuationSeparator" w:id="0">
    <w:p w:rsidR="00000000" w:rsidRDefault="00E62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0DD" w:rsidRDefault="00E62739">
    <w:r>
      <w:rPr>
        <w:noProof/>
        <w:lang w:val="en-GB"/>
      </w:rPr>
      <w:drawing>
        <wp:anchor distT="0" distB="0" distL="0" distR="0" simplePos="0" relativeHeight="251658240" behindDoc="0" locked="0" layoutInCell="1" hidden="0" allowOverlap="1">
          <wp:simplePos x="0" y="0"/>
          <wp:positionH relativeFrom="column">
            <wp:posOffset>0</wp:posOffset>
          </wp:positionH>
          <wp:positionV relativeFrom="paragraph">
            <wp:posOffset>-152399</wp:posOffset>
          </wp:positionV>
          <wp:extent cx="1824733" cy="104775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4901" b="-14901"/>
                  <a:stretch>
                    <a:fillRect/>
                  </a:stretch>
                </pic:blipFill>
                <pic:spPr>
                  <a:xfrm>
                    <a:off x="0" y="0"/>
                    <a:ext cx="1824733" cy="1047750"/>
                  </a:xfrm>
                  <a:prstGeom prst="rect">
                    <a:avLst/>
                  </a:prstGeom>
                  <a:ln/>
                </pic:spPr>
              </pic:pic>
            </a:graphicData>
          </a:graphic>
        </wp:anchor>
      </w:drawing>
    </w:r>
    <w:r>
      <w:rPr>
        <w:noProof/>
        <w:lang w:val="en-GB"/>
      </w:rPr>
      <w:drawing>
        <wp:anchor distT="0" distB="0" distL="0" distR="0" simplePos="0" relativeHeight="251659264" behindDoc="0" locked="0" layoutInCell="1" hidden="0" allowOverlap="1">
          <wp:simplePos x="0" y="0"/>
          <wp:positionH relativeFrom="column">
            <wp:posOffset>4495800</wp:posOffset>
          </wp:positionH>
          <wp:positionV relativeFrom="paragraph">
            <wp:posOffset>-104774</wp:posOffset>
          </wp:positionV>
          <wp:extent cx="1483328" cy="745807"/>
          <wp:effectExtent l="0" t="0" r="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483328" cy="745807"/>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0DD"/>
    <w:rsid w:val="009A20DD"/>
    <w:rsid w:val="00E62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B65B9D-2E05-45A7-9430-4C4F8993E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VE"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samblea.gob.sv/node/1233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ews.un.org/es/story/2019/10/1464571" TargetMode="Externa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s://elfaro.net/es/202208/el_salvador/26318/Los-expedientes-ocultos-del-R%C3%A9gimen-cientos-de-arrestos-por-%E2%80%9Cnerviosismo%E2%80%9D-y-%E2%80%9Cficha-policial%E2%80%9D.htm" TargetMode="External"/><Relationship Id="rId4" Type="http://schemas.openxmlformats.org/officeDocument/2006/relationships/webSettings" Target="webSettings.xml"/><Relationship Id="rId9" Type="http://schemas.openxmlformats.org/officeDocument/2006/relationships/hyperlink" Target="https://www.laprensagrafica.com/elsalvador/Medicina-Legal-reconoce-73-reos-fallecidos-en-regimen-de-excepcion-20220825-0087.htm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nddhhs@gmail.com" TargetMode="External"/><Relationship Id="rId1" Type="http://schemas.openxmlformats.org/officeDocument/2006/relationships/hyperlink" Target="mailto:rednaddhh@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NJQxKrJ512DFbQg8+/uJ9ZdhdQ==">AMUW2mXMWUC0Q1zpGsfYV7XNhIiaTc3DkWzjsISTwNJb67ALrqOJNK4ZNxI1xQJj5XPaT/3zPe6C6MuXkDElqyoiX6Nst6YUgq2A3H3yG1lVBKNvvFSt2k3gb94EwFnMOpXwd/yzgdx08mdu4/OdD7thiD2wBq1inJ/Y9X0iyVpWP1HDfOOtjDsShE7Z1lUTyZWHnjJNWct9fFFqaPVJDmGZVLF53Soyzoldf6qkc3ffavx9592seuY=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3534D33E-2B97-4215-A0CC-1F2FC3D400C3}"/>
</file>

<file path=customXml/itemProps3.xml><?xml version="1.0" encoding="utf-8"?>
<ds:datastoreItem xmlns:ds="http://schemas.openxmlformats.org/officeDocument/2006/customXml" ds:itemID="{16D54BF0-F6F1-47FC-B25B-2F607317560E}"/>
</file>

<file path=customXml/itemProps4.xml><?xml version="1.0" encoding="utf-8"?>
<ds:datastoreItem xmlns:ds="http://schemas.openxmlformats.org/officeDocument/2006/customXml" ds:itemID="{4FB52ABD-504A-4DAC-9D16-E034E2AA1A1B}"/>
</file>

<file path=docProps/app.xml><?xml version="1.0" encoding="utf-8"?>
<Properties xmlns="http://schemas.openxmlformats.org/officeDocument/2006/extended-properties" xmlns:vt="http://schemas.openxmlformats.org/officeDocument/2006/docPropsVTypes">
  <Template>Normal.dotm</Template>
  <TotalTime>0</TotalTime>
  <Pages>9</Pages>
  <Words>2080</Words>
  <Characters>11856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REYNAUD Céline</cp:lastModifiedBy>
  <cp:revision>2</cp:revision>
  <dcterms:created xsi:type="dcterms:W3CDTF">2022-10-14T16:12:00Z</dcterms:created>
  <dcterms:modified xsi:type="dcterms:W3CDTF">2022-10-14T16:12:00Z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