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B8D747" w14:textId="447A5B84" w:rsidR="007D7652" w:rsidRPr="007D7652" w:rsidRDefault="007D7652" w:rsidP="007D7652">
      <w:pPr>
        <w:bidi/>
        <w:spacing w:after="0" w:line="360" w:lineRule="auto"/>
        <w:jc w:val="center"/>
        <w:rPr>
          <w:rFonts w:asciiTheme="majorBidi" w:eastAsia="Dubai" w:hAnsiTheme="majorBidi" w:cstheme="majorBidi"/>
          <w:bCs/>
          <w:color w:val="002060"/>
          <w:sz w:val="28"/>
          <w:szCs w:val="28"/>
        </w:rPr>
      </w:pPr>
      <w:r w:rsidRPr="007D7652">
        <w:rPr>
          <w:rFonts w:asciiTheme="majorBidi" w:eastAsia="Dubai" w:hAnsiTheme="majorBidi" w:cstheme="majorBidi"/>
          <w:bCs/>
          <w:color w:val="002060"/>
          <w:sz w:val="28"/>
          <w:szCs w:val="28"/>
          <w:rtl/>
        </w:rPr>
        <w:t xml:space="preserve">تقرير مقدم إلى لجنة القضاء على جميع أشكال التمييز العنصري بخصوص </w:t>
      </w:r>
      <w:r w:rsidRPr="007D7652">
        <w:rPr>
          <w:rFonts w:asciiTheme="majorBidi" w:eastAsia="Dubai" w:hAnsiTheme="majorBidi" w:cstheme="majorBidi" w:hint="cs"/>
          <w:bCs/>
          <w:color w:val="ED0000"/>
          <w:sz w:val="28"/>
          <w:szCs w:val="28"/>
          <w:rtl/>
          <w:lang w:bidi="ar-EG"/>
        </w:rPr>
        <w:t xml:space="preserve">المملكة العربية </w:t>
      </w:r>
      <w:r w:rsidRPr="007D7652">
        <w:rPr>
          <w:rFonts w:asciiTheme="majorBidi" w:eastAsia="Dubai" w:hAnsiTheme="majorBidi" w:cstheme="majorBidi"/>
          <w:bCs/>
          <w:color w:val="ED0000"/>
          <w:sz w:val="28"/>
          <w:szCs w:val="28"/>
          <w:rtl/>
        </w:rPr>
        <w:t>السعودية</w:t>
      </w:r>
    </w:p>
    <w:p w14:paraId="2627A05A" w14:textId="15834143" w:rsidR="007D7652" w:rsidRPr="007D7652" w:rsidRDefault="007D7652" w:rsidP="007D7652">
      <w:pPr>
        <w:pBdr>
          <w:bottom w:val="single" w:sz="24" w:space="1" w:color="000000"/>
        </w:pBdr>
        <w:bidi/>
        <w:spacing w:after="0" w:line="360" w:lineRule="auto"/>
        <w:jc w:val="center"/>
        <w:rPr>
          <w:rFonts w:asciiTheme="majorBidi" w:eastAsia="Dubai" w:hAnsiTheme="majorBidi" w:cstheme="majorBidi"/>
          <w:b/>
          <w:sz w:val="24"/>
          <w:szCs w:val="24"/>
        </w:rPr>
      </w:pPr>
      <w:r w:rsidRPr="007D7652">
        <w:rPr>
          <w:rFonts w:asciiTheme="majorBidi" w:eastAsia="Dubai" w:hAnsiTheme="majorBidi" w:cstheme="majorBidi" w:hint="cs"/>
          <w:b/>
          <w:sz w:val="24"/>
          <w:szCs w:val="24"/>
          <w:rtl/>
        </w:rPr>
        <w:t>أكتوبر 2024</w:t>
      </w:r>
    </w:p>
    <w:p w14:paraId="593F6334" w14:textId="10C7F914" w:rsidR="007D7652" w:rsidRPr="007D7652" w:rsidRDefault="007D7652" w:rsidP="007D7652">
      <w:pPr>
        <w:bidi/>
        <w:spacing w:after="0" w:line="276" w:lineRule="auto"/>
        <w:jc w:val="both"/>
        <w:rPr>
          <w:rFonts w:asciiTheme="majorBidi" w:eastAsia="Dubai" w:hAnsiTheme="majorBidi" w:cstheme="majorBidi"/>
          <w:sz w:val="24"/>
          <w:szCs w:val="24"/>
        </w:rPr>
      </w:pPr>
      <w:r w:rsidRPr="007D7652">
        <w:rPr>
          <w:rFonts w:asciiTheme="majorBidi" w:eastAsia="Dubai" w:hAnsiTheme="majorBidi" w:cstheme="majorBidi"/>
          <w:sz w:val="24"/>
          <w:szCs w:val="24"/>
          <w:rtl/>
        </w:rPr>
        <w:t xml:space="preserve">تقدم مؤسسة </w:t>
      </w:r>
      <w:r w:rsidRPr="007D7652">
        <w:rPr>
          <w:rFonts w:asciiTheme="majorBidi" w:eastAsia="Dubai" w:hAnsiTheme="majorBidi" w:cstheme="majorBidi"/>
          <w:b/>
          <w:sz w:val="24"/>
          <w:szCs w:val="24"/>
          <w:rtl/>
        </w:rPr>
        <w:t>ماعت للسلام والتنمية وحقوق الإنسان</w:t>
      </w:r>
      <w:r w:rsidRPr="007D7652">
        <w:rPr>
          <w:rFonts w:asciiTheme="majorBidi" w:eastAsia="Dubai" w:hAnsiTheme="majorBidi" w:cstheme="majorBidi"/>
          <w:sz w:val="24"/>
          <w:szCs w:val="24"/>
          <w:rtl/>
        </w:rPr>
        <w:t xml:space="preserve"> هذا التقرير لتقييم امتثال المملكة العربية السعودية لأحكام اتفاقية القضاء على جميع أشكال التمييز العنصري (يٌشار إليها بالاتفاقية فيما بعد). وقد أطلعت مؤسسة ماعت قبل إعداد التقرير على التقرير الجامع للتقريرين الدوريين العاشر والحادي عشر المقدم من المملكة العربية السعودية. وتلاحظ مؤسسة ماعت إن السعودية قد أبدت تحفظًا عامًا على أحكام الاتفاقية يتعلق بتنفيذ جميع أحكام الاتفاقية بشرط ألا تتعارض مع أحكام الشريعة الإسلامية. كما تحفظت المملكة العربية السعودية على المادة 22 من الإتفاقية بشكل يجعلها غير ملتزمة بإحالة أي نزاع إلى محكمة العدل الدولية إلا بموافقة الدول الأطراف في حال نشوب نزاع. وتثني مؤسسة ماعت على التدابير الإيجابية التي قامت بها السعودية من أجل تنفيذ المواد الواردة في الإتفاقية بما في ذلك السياسات المتعلقة بإنهاء التمييز ضد العمالة المنزلية والإطار التشريعي الذي تتوافر فيه ضمانات للحد من ممارسات التمييز. والمبادرة التي أطلقتها وزارة الموارد البشرية والتنمية الاجتماعية خلال الفترة التي </w:t>
      </w:r>
      <w:r w:rsidRPr="007D7652">
        <w:rPr>
          <w:rFonts w:asciiTheme="majorBidi" w:eastAsia="Dubai" w:hAnsiTheme="majorBidi" w:cstheme="majorBidi" w:hint="cs"/>
          <w:sz w:val="24"/>
          <w:szCs w:val="24"/>
          <w:rtl/>
        </w:rPr>
        <w:t>يغطيها</w:t>
      </w:r>
      <w:r w:rsidRPr="007D7652">
        <w:rPr>
          <w:rFonts w:asciiTheme="majorBidi" w:eastAsia="Dubai" w:hAnsiTheme="majorBidi" w:cstheme="majorBidi"/>
          <w:sz w:val="24"/>
          <w:szCs w:val="24"/>
          <w:rtl/>
        </w:rPr>
        <w:t xml:space="preserve"> التقرير والتي تهدف إلى تدريب ورفع وعي المراقبين والمفتشين بالأنظمة التي تحظر التمييز في سوق العمل ضد المواطنين والوافدين على حد سواء. </w:t>
      </w:r>
    </w:p>
    <w:p w14:paraId="6FCD98CE" w14:textId="77777777" w:rsidR="007D7652" w:rsidRDefault="007D7652" w:rsidP="007D7652">
      <w:pPr>
        <w:bidi/>
        <w:spacing w:after="0" w:line="276" w:lineRule="auto"/>
        <w:jc w:val="both"/>
        <w:rPr>
          <w:rFonts w:asciiTheme="majorBidi" w:eastAsia="Dubai" w:hAnsiTheme="majorBidi" w:cstheme="majorBidi"/>
          <w:sz w:val="24"/>
          <w:szCs w:val="24"/>
        </w:rPr>
      </w:pPr>
      <w:r w:rsidRPr="007D7652">
        <w:rPr>
          <w:rFonts w:asciiTheme="majorBidi" w:eastAsia="Dubai" w:hAnsiTheme="majorBidi" w:cstheme="majorBidi"/>
          <w:sz w:val="24"/>
          <w:szCs w:val="24"/>
          <w:rtl/>
        </w:rPr>
        <w:t xml:space="preserve">مع ذلك تلاحظ مؤسسة ماعت استمرار وجود بعض الممارسات التي تتعارض مع امتثال السعودية لأحكام الإتفاقية ومن بين ذلك العقبات التي تواجه أطفال النساء </w:t>
      </w:r>
      <w:proofErr w:type="spellStart"/>
      <w:r w:rsidRPr="007D7652">
        <w:rPr>
          <w:rFonts w:asciiTheme="majorBidi" w:eastAsia="Dubai" w:hAnsiTheme="majorBidi" w:cstheme="majorBidi"/>
          <w:sz w:val="24"/>
          <w:szCs w:val="24"/>
          <w:rtl/>
        </w:rPr>
        <w:t>الكينيات</w:t>
      </w:r>
      <w:proofErr w:type="spellEnd"/>
      <w:r w:rsidRPr="007D7652">
        <w:rPr>
          <w:rFonts w:asciiTheme="majorBidi" w:eastAsia="Dubai" w:hAnsiTheme="majorBidi" w:cstheme="majorBidi"/>
          <w:sz w:val="24"/>
          <w:szCs w:val="24"/>
          <w:rtl/>
        </w:rPr>
        <w:t xml:space="preserve"> العاملات في المملكة من الحصول على شهادة ميلاد تتيح لهم حرية الحركة والتنقل بين السعودية ودولتهم الأصلية. بجانب التأخر في إصدار قانون منفصل يتعلق بالتمييز العنصري رغم دراسة إقرار مشروع قانون في مجلس الشورى ورغم توصيات هيئة حقوق الإنسان في السعودية. يبقى القول إن هذه المساهمة تركز على تقييم مواد الإتفاقية التي توافرت لدى مؤسسة ماعت فيها أدلة ومعلومات على درجة مرتفعة من الثقة. </w:t>
      </w:r>
    </w:p>
    <w:p w14:paraId="5A0F61FB" w14:textId="77777777" w:rsidR="007D7652" w:rsidRPr="007D7652" w:rsidRDefault="007D7652" w:rsidP="007D7652">
      <w:pPr>
        <w:bidi/>
        <w:spacing w:after="0" w:line="276" w:lineRule="auto"/>
        <w:jc w:val="both"/>
        <w:rPr>
          <w:rFonts w:asciiTheme="majorBidi" w:eastAsia="Dubai" w:hAnsiTheme="majorBidi" w:cstheme="majorBidi"/>
          <w:sz w:val="24"/>
          <w:szCs w:val="24"/>
        </w:rPr>
      </w:pPr>
    </w:p>
    <w:p w14:paraId="3D6C0BA6" w14:textId="77777777" w:rsidR="007D7652" w:rsidRPr="007D7652" w:rsidRDefault="007D7652" w:rsidP="007D7652">
      <w:pPr>
        <w:bidi/>
        <w:spacing w:after="0" w:line="276" w:lineRule="auto"/>
        <w:jc w:val="both"/>
        <w:rPr>
          <w:rFonts w:asciiTheme="majorBidi" w:eastAsia="Dubai" w:hAnsiTheme="majorBidi" w:cstheme="majorBidi"/>
          <w:bCs/>
          <w:color w:val="ED0000"/>
          <w:sz w:val="28"/>
          <w:szCs w:val="28"/>
        </w:rPr>
      </w:pPr>
      <w:r w:rsidRPr="007D7652">
        <w:rPr>
          <w:rFonts w:asciiTheme="majorBidi" w:eastAsia="Dubai" w:hAnsiTheme="majorBidi" w:cstheme="majorBidi"/>
          <w:bCs/>
          <w:color w:val="ED0000"/>
          <w:sz w:val="28"/>
          <w:szCs w:val="28"/>
          <w:rtl/>
        </w:rPr>
        <w:t>تعريف التمييز العنصري (المادة الأولى)</w:t>
      </w:r>
    </w:p>
    <w:p w14:paraId="7507C009" w14:textId="3E8C2115" w:rsidR="007D7652" w:rsidRDefault="007D7652" w:rsidP="007D7652">
      <w:pPr>
        <w:bidi/>
        <w:spacing w:after="0" w:line="276" w:lineRule="auto"/>
        <w:jc w:val="both"/>
        <w:rPr>
          <w:rFonts w:asciiTheme="majorBidi" w:eastAsia="Dubai" w:hAnsiTheme="majorBidi" w:cstheme="majorBidi"/>
          <w:sz w:val="24"/>
          <w:szCs w:val="24"/>
        </w:rPr>
      </w:pPr>
      <w:r w:rsidRPr="007D7652">
        <w:rPr>
          <w:rFonts w:asciiTheme="majorBidi" w:eastAsia="Dubai" w:hAnsiTheme="majorBidi" w:cstheme="majorBidi"/>
          <w:sz w:val="24"/>
          <w:szCs w:val="24"/>
          <w:rtl/>
        </w:rPr>
        <w:t>أطلعت مؤسسة ماعت على التدابير الواردة في تقرير السعودية والتي تفيد إن الحكومة السعودية تقوم بدراسة اعتماد قانون منفصل للتمييز العنصري يتضمن تعريفا للتمييز منذ الفترة التي أعدت فيها تقريرها الوطني</w:t>
      </w:r>
      <w:r w:rsidRPr="007D7652">
        <w:rPr>
          <w:rFonts w:asciiTheme="majorBidi" w:eastAsia="Dubai" w:hAnsiTheme="majorBidi" w:cstheme="majorBidi"/>
          <w:sz w:val="24"/>
          <w:szCs w:val="24"/>
          <w:vertAlign w:val="superscript"/>
        </w:rPr>
        <w:footnoteReference w:id="1"/>
      </w:r>
      <w:r w:rsidRPr="007D7652">
        <w:rPr>
          <w:rFonts w:asciiTheme="majorBidi" w:eastAsia="Dubai" w:hAnsiTheme="majorBidi" w:cstheme="majorBidi"/>
          <w:sz w:val="24"/>
          <w:szCs w:val="24"/>
          <w:rtl/>
        </w:rPr>
        <w:t>. وفي هذا السياق تلاحظ مؤسسة ماعت النقاشات المطولة التي جرت في مجلس الشورى السعودي حول مشروع قانون مكافحة التمييز وخطابات الكراهية، ورغم إن التقارير الرسمية تفيد إنه منذ يوليو 2019 كانت اللجنة الإسلامية والقضائية بمجلس الشورى قد اقتربت من إقرار دراسة مشروع القانون والذي يٌجرم التمييز بجميع أشكاله ضد الأفراد والجماعات، ويمنع أي ممارسات قائمة علي  اللون، أو الجنس، أو العرق، والمعتقد والدين والطائفة، أو المذهب، أو المنطقة، أو المهنة، ويفرض عقوبات بالسجن مدة لا تقل عن 5 سنوات ولا تزيد على 7 سنوات، وبغرامة مالية لا تقل عن 500 ألف ريال سعودي. لكن هذه النقاشات لم تترجم إلى موافقة نهائية على مشروع القانون، وهو ما يعيق تنفيذ المادة الأولي من الاتفاقية. علي جانب آخر أطلعت مؤسسة ماعت على التوصيات التي قدمتها هيئة حقوق الإنسان في السعودية والتي تضمنت حث الحكومة على إصدار قانون التمييز العنصري</w:t>
      </w:r>
      <w:r w:rsidRPr="007D7652">
        <w:rPr>
          <w:rFonts w:asciiTheme="majorBidi" w:eastAsia="Dubai" w:hAnsiTheme="majorBidi" w:cstheme="majorBidi"/>
          <w:sz w:val="24"/>
          <w:szCs w:val="24"/>
          <w:vertAlign w:val="superscript"/>
        </w:rPr>
        <w:footnoteReference w:id="2"/>
      </w:r>
      <w:r w:rsidRPr="007D7652">
        <w:rPr>
          <w:rFonts w:asciiTheme="majorBidi" w:eastAsia="Dubai" w:hAnsiTheme="majorBidi" w:cstheme="majorBidi"/>
          <w:sz w:val="24"/>
          <w:szCs w:val="24"/>
          <w:rtl/>
        </w:rPr>
        <w:t xml:space="preserve">.. وتبرر المملكة العربية السعودية موقفها من عدم وجود تعريف واضح ومحدد للتمييز العنصري بأن الاتفاقية بمجرد دخولها حيز التنفيذ أصبحت جزء من التشريع الوطني </w:t>
      </w:r>
      <w:r w:rsidRPr="007D7652">
        <w:rPr>
          <w:rFonts w:asciiTheme="majorBidi" w:eastAsia="Dubai" w:hAnsiTheme="majorBidi" w:cstheme="majorBidi"/>
          <w:sz w:val="24"/>
          <w:szCs w:val="24"/>
          <w:rtl/>
        </w:rPr>
        <w:lastRenderedPageBreak/>
        <w:t>وهو ما يعني إن المادة الأولي باتت نصًا قانونيًا في المملكة العربية السعودية</w:t>
      </w:r>
      <w:r w:rsidRPr="007D7652">
        <w:rPr>
          <w:rFonts w:asciiTheme="majorBidi" w:eastAsia="Dubai" w:hAnsiTheme="majorBidi" w:cstheme="majorBidi"/>
          <w:sz w:val="24"/>
          <w:szCs w:val="24"/>
          <w:vertAlign w:val="superscript"/>
        </w:rPr>
        <w:footnoteReference w:id="3"/>
      </w:r>
      <w:r w:rsidRPr="007D7652">
        <w:rPr>
          <w:rFonts w:asciiTheme="majorBidi" w:eastAsia="Dubai" w:hAnsiTheme="majorBidi" w:cstheme="majorBidi"/>
          <w:sz w:val="24"/>
          <w:szCs w:val="24"/>
          <w:rtl/>
        </w:rPr>
        <w:t xml:space="preserve">. مع ذلك لدي مؤسسة ماعت بواعث قلق </w:t>
      </w:r>
      <w:r w:rsidR="00B252C5" w:rsidRPr="007D7652">
        <w:rPr>
          <w:rFonts w:asciiTheme="majorBidi" w:eastAsia="Dubai" w:hAnsiTheme="majorBidi" w:cstheme="majorBidi" w:hint="cs"/>
          <w:sz w:val="24"/>
          <w:szCs w:val="24"/>
          <w:rtl/>
        </w:rPr>
        <w:t>لاستمرار</w:t>
      </w:r>
      <w:r w:rsidRPr="007D7652">
        <w:rPr>
          <w:rFonts w:asciiTheme="majorBidi" w:eastAsia="Dubai" w:hAnsiTheme="majorBidi" w:cstheme="majorBidi"/>
          <w:sz w:val="24"/>
          <w:szCs w:val="24"/>
          <w:rtl/>
        </w:rPr>
        <w:t xml:space="preserve"> المملكة العربية السعودية منذ يناير 2023 دراسة وضع قانون منفصل للتمييز العنصري حيث يبدو إن هذه النقاشات لم تفضي إلى خطوات تنفيذية حتى يوليو 2024. ويتعارض تباطؤ السعودية في وضع قانون منفصل للتمييز العنصري مع الفقرة الأولي من المادة (11) من إجراءات عقد الاتفاقيات الدولية الصادرة بقرار مجلس الوزراء السعودي رقم 287 الصادرة بتاريخ 26 يوليو 2010 والتي تقضي بأن تتخذ الجهات المعنية عند دخول الاتفاقية حيز النفاذ الإجراءات اللازمة لتنفيذها بما فيها وضع تعريف محدد وواضح لمصطلح التمييز العنصري. </w:t>
      </w:r>
      <w:r w:rsidRPr="007D7652">
        <w:rPr>
          <w:rFonts w:asciiTheme="majorBidi" w:eastAsia="Dubai" w:hAnsiTheme="majorBidi" w:cstheme="majorBidi"/>
          <w:sz w:val="24"/>
          <w:szCs w:val="24"/>
          <w:vertAlign w:val="superscript"/>
        </w:rPr>
        <w:footnoteReference w:id="4"/>
      </w:r>
    </w:p>
    <w:p w14:paraId="3A0052F3" w14:textId="77777777" w:rsidR="00B252C5" w:rsidRPr="007D7652" w:rsidRDefault="00B252C5" w:rsidP="00B252C5">
      <w:pPr>
        <w:bidi/>
        <w:spacing w:after="0" w:line="276" w:lineRule="auto"/>
        <w:jc w:val="both"/>
        <w:rPr>
          <w:rFonts w:asciiTheme="majorBidi" w:eastAsia="Dubai" w:hAnsiTheme="majorBidi" w:cstheme="majorBidi"/>
          <w:sz w:val="24"/>
          <w:szCs w:val="24"/>
        </w:rPr>
      </w:pPr>
    </w:p>
    <w:p w14:paraId="455F0637" w14:textId="77777777" w:rsidR="007D7652" w:rsidRPr="00B252C5" w:rsidRDefault="007D7652" w:rsidP="00B252C5">
      <w:pPr>
        <w:bidi/>
        <w:spacing w:line="276" w:lineRule="auto"/>
        <w:jc w:val="both"/>
        <w:rPr>
          <w:rFonts w:asciiTheme="majorBidi" w:eastAsia="Dubai" w:hAnsiTheme="majorBidi" w:cstheme="majorBidi"/>
          <w:bCs/>
          <w:color w:val="ED0000"/>
          <w:sz w:val="28"/>
          <w:szCs w:val="28"/>
        </w:rPr>
      </w:pPr>
      <w:r w:rsidRPr="00B252C5">
        <w:rPr>
          <w:rFonts w:asciiTheme="majorBidi" w:eastAsia="Dubai" w:hAnsiTheme="majorBidi" w:cstheme="majorBidi"/>
          <w:bCs/>
          <w:color w:val="ED0000"/>
          <w:sz w:val="28"/>
          <w:szCs w:val="28"/>
        </w:rPr>
        <w:t xml:space="preserve"> </w:t>
      </w:r>
      <w:r w:rsidRPr="00B252C5">
        <w:rPr>
          <w:rFonts w:asciiTheme="majorBidi" w:eastAsia="Dubai" w:hAnsiTheme="majorBidi" w:cstheme="majorBidi"/>
          <w:bCs/>
          <w:color w:val="ED0000"/>
          <w:sz w:val="28"/>
          <w:szCs w:val="28"/>
          <w:rtl/>
        </w:rPr>
        <w:t>التدابير الخاصة بحظر التمييز العنصري (المادة الثانية)</w:t>
      </w:r>
    </w:p>
    <w:p w14:paraId="697E4A03" w14:textId="646C708B" w:rsidR="007D7652" w:rsidRPr="007D7652" w:rsidRDefault="007D7652" w:rsidP="007D7652">
      <w:pPr>
        <w:bidi/>
        <w:spacing w:line="276" w:lineRule="auto"/>
        <w:jc w:val="both"/>
        <w:rPr>
          <w:rFonts w:asciiTheme="majorBidi" w:eastAsia="Dubai" w:hAnsiTheme="majorBidi" w:cstheme="majorBidi"/>
          <w:sz w:val="24"/>
          <w:szCs w:val="24"/>
        </w:rPr>
      </w:pPr>
      <w:r w:rsidRPr="007D7652">
        <w:rPr>
          <w:rFonts w:asciiTheme="majorBidi" w:eastAsia="Dubai" w:hAnsiTheme="majorBidi" w:cstheme="majorBidi"/>
          <w:sz w:val="24"/>
          <w:szCs w:val="24"/>
          <w:rtl/>
        </w:rPr>
        <w:t xml:space="preserve">أطلعت مؤسسة ماعت على التدابير الواردة في التقرير الدوري للمملكة العربية السعودية لتنفيذ المادة الثانية من الاتفاقية بما في ذلك ما نصت عليه المادة الثالثة من نظام العمل الصادر بالمرسوم الملكي الصادر في 27 سبتمبر 2005 والمعدل في 30 يوليو 2019 والذي أكد إن العمل حق لكل مواطن دون تمييز </w:t>
      </w:r>
      <w:r w:rsidR="00B252C5" w:rsidRPr="007D7652">
        <w:rPr>
          <w:rFonts w:asciiTheme="majorBidi" w:eastAsia="Dubai" w:hAnsiTheme="majorBidi" w:cstheme="majorBidi" w:hint="cs"/>
          <w:sz w:val="24"/>
          <w:szCs w:val="24"/>
          <w:rtl/>
        </w:rPr>
        <w:t>على</w:t>
      </w:r>
      <w:r w:rsidRPr="007D7652">
        <w:rPr>
          <w:rFonts w:asciiTheme="majorBidi" w:eastAsia="Dubai" w:hAnsiTheme="majorBidi" w:cstheme="majorBidi"/>
          <w:sz w:val="24"/>
          <w:szCs w:val="24"/>
          <w:rtl/>
        </w:rPr>
        <w:t xml:space="preserve"> أساس الجنس أو الإعاقة أو شكل من أشكال التمييز الأخرى</w:t>
      </w:r>
      <w:r w:rsidRPr="007D7652">
        <w:rPr>
          <w:rFonts w:asciiTheme="majorBidi" w:eastAsia="Dubai" w:hAnsiTheme="majorBidi" w:cstheme="majorBidi"/>
          <w:sz w:val="24"/>
          <w:szCs w:val="24"/>
          <w:vertAlign w:val="superscript"/>
        </w:rPr>
        <w:footnoteReference w:id="5"/>
      </w:r>
      <w:r w:rsidRPr="007D7652">
        <w:rPr>
          <w:rFonts w:asciiTheme="majorBidi" w:eastAsia="Dubai" w:hAnsiTheme="majorBidi" w:cstheme="majorBidi"/>
          <w:sz w:val="24"/>
          <w:szCs w:val="24"/>
          <w:rtl/>
        </w:rPr>
        <w:t>. كما وثقت مؤسسة ماعت بعض التدابير الإيجابية الأخرى على سبيل المثال في 1 يوليو 2024 دخل قرار إلزام التأمين على العمالة المنزلية المسجلة لدى صاحب العمل، حيز التنفيذ في حال تجاوز عدد العمالة عن 4 أشخاص، وشملت الاشتراطات الواردة في الوثيقة على صاحب العمل: الالتزام بتقديم نموذج الإفصاح الطبي، والحصول على موافقة شركة التأمين الصحي، والتأمين على جميع العمالة. وتأتي خطوة إلزامية التأمين على العمالة المنزلية ضمن إطار سعي مجلس الضمان الصحي وهيئة التأمين إلى تمكين جميع المستفيدين من الحصول على الرعاية والوقاية</w:t>
      </w:r>
      <w:r w:rsidRPr="007D7652">
        <w:rPr>
          <w:rFonts w:asciiTheme="majorBidi" w:eastAsia="Dubai" w:hAnsiTheme="majorBidi" w:cstheme="majorBidi"/>
          <w:sz w:val="24"/>
          <w:szCs w:val="24"/>
          <w:vertAlign w:val="superscript"/>
        </w:rPr>
        <w:footnoteReference w:id="6"/>
      </w:r>
      <w:r w:rsidRPr="007D7652">
        <w:rPr>
          <w:rFonts w:asciiTheme="majorBidi" w:eastAsia="Dubai" w:hAnsiTheme="majorBidi" w:cstheme="majorBidi"/>
          <w:sz w:val="24"/>
          <w:szCs w:val="24"/>
        </w:rPr>
        <w:t xml:space="preserve">. </w:t>
      </w:r>
    </w:p>
    <w:p w14:paraId="2CEA53B8" w14:textId="77777777" w:rsidR="007D7652" w:rsidRPr="007D7652" w:rsidRDefault="007D7652" w:rsidP="007D7652">
      <w:pPr>
        <w:bidi/>
        <w:spacing w:line="276" w:lineRule="auto"/>
        <w:jc w:val="both"/>
        <w:rPr>
          <w:rFonts w:asciiTheme="majorBidi" w:eastAsia="Dubai" w:hAnsiTheme="majorBidi" w:cstheme="majorBidi"/>
          <w:sz w:val="24"/>
          <w:szCs w:val="24"/>
        </w:rPr>
      </w:pPr>
      <w:r w:rsidRPr="007D7652">
        <w:rPr>
          <w:rFonts w:asciiTheme="majorBidi" w:eastAsia="Dubai" w:hAnsiTheme="majorBidi" w:cstheme="majorBidi"/>
          <w:sz w:val="24"/>
          <w:szCs w:val="24"/>
          <w:rtl/>
        </w:rPr>
        <w:t>علي جانب أخر، في أغسطس 2020 أصدرت السعودية مرسوماً ملكياً يقضي بتعديل قانون نظام العمل للحد من التمييز ضد فئات معينة مثل العمال المهاجرين، وذلك بحذف المادتين (149) و(150) وإضافة مادة تنص على أن يحدد الوزير – بقرار منه – المهن والأعمال التي تعد خطرة أو ضارة أو من شأنها أن تعرض العامل لأخطار أو أضرار غير عادية، والفئات التي يحظر - دائماً أو مؤقتاً - تشغيلها فيها أو يكون تشغيلها فيها بشروط خاصة، بما في ذلك مدى الحاجة إلى تحديد أوقات العمل لأي من تلك الفئات، وذلك بما يتوافق مع التزامات المملكة ذات الصلة الواردة في الاتفاقيات الدولية. في سياق متصل من المفترض أن يتضمن نظام العقوبات الجديد في السعودية هو النظام الذي يعد قيد الدراسة منذ عام 2022، أن يجرم العنصرية وخطاب الكراهية وكل ما يُعد تمييزًا عنصريًّا يقوم على أساس العرق أو اللون أو النسب أو الأصل القومي، أو الأنثى.</w:t>
      </w:r>
      <w:r w:rsidRPr="007D7652">
        <w:rPr>
          <w:rFonts w:asciiTheme="majorBidi" w:eastAsia="Dubai" w:hAnsiTheme="majorBidi" w:cstheme="majorBidi"/>
          <w:sz w:val="24"/>
          <w:szCs w:val="24"/>
          <w:vertAlign w:val="superscript"/>
        </w:rPr>
        <w:footnoteReference w:id="7"/>
      </w:r>
      <w:r w:rsidRPr="007D7652">
        <w:rPr>
          <w:rFonts w:asciiTheme="majorBidi" w:eastAsia="Dubai" w:hAnsiTheme="majorBidi" w:cstheme="majorBidi"/>
          <w:sz w:val="24"/>
          <w:szCs w:val="24"/>
        </w:rPr>
        <w:t xml:space="preserve"> </w:t>
      </w:r>
    </w:p>
    <w:p w14:paraId="349A92A3" w14:textId="77777777" w:rsidR="007D7652" w:rsidRPr="007D7652" w:rsidRDefault="007D7652" w:rsidP="007D7652">
      <w:pPr>
        <w:bidi/>
        <w:spacing w:line="276" w:lineRule="auto"/>
        <w:jc w:val="both"/>
        <w:rPr>
          <w:rFonts w:asciiTheme="majorBidi" w:eastAsia="Dubai" w:hAnsiTheme="majorBidi" w:cstheme="majorBidi"/>
          <w:sz w:val="24"/>
          <w:szCs w:val="24"/>
        </w:rPr>
      </w:pPr>
      <w:r w:rsidRPr="007D7652">
        <w:rPr>
          <w:rFonts w:asciiTheme="majorBidi" w:eastAsia="Dubai" w:hAnsiTheme="majorBidi" w:cstheme="majorBidi"/>
          <w:sz w:val="24"/>
          <w:szCs w:val="24"/>
          <w:rtl/>
        </w:rPr>
        <w:t>رغم الخطوات السابقة، لاحظت مؤسسة ماعت بعض الممارسات التمييزية القائمة على أساس العمل والأصل القومي وقد تعرض لهذه الممارسات العمال المهاجرون الذين يعملون في مستودعات شركة أمازون</w:t>
      </w:r>
      <w:r w:rsidRPr="007D7652">
        <w:rPr>
          <w:rFonts w:asciiTheme="majorBidi" w:eastAsia="Dubai" w:hAnsiTheme="majorBidi" w:cstheme="majorBidi"/>
          <w:sz w:val="24"/>
          <w:szCs w:val="24"/>
          <w:vertAlign w:val="superscript"/>
        </w:rPr>
        <w:footnoteReference w:id="8"/>
      </w:r>
      <w:r w:rsidRPr="007D7652">
        <w:rPr>
          <w:rFonts w:asciiTheme="majorBidi" w:eastAsia="Dubai" w:hAnsiTheme="majorBidi" w:cstheme="majorBidi"/>
          <w:sz w:val="24"/>
          <w:szCs w:val="24"/>
          <w:rtl/>
        </w:rPr>
        <w:t xml:space="preserve"> فعلى سبيل المثال خلال الفترة من 2021 وحتي </w:t>
      </w:r>
      <w:r w:rsidRPr="007D7652">
        <w:rPr>
          <w:rFonts w:asciiTheme="majorBidi" w:eastAsia="Dubai" w:hAnsiTheme="majorBidi" w:cstheme="majorBidi"/>
          <w:sz w:val="24"/>
          <w:szCs w:val="24"/>
          <w:rtl/>
        </w:rPr>
        <w:lastRenderedPageBreak/>
        <w:t>2023 تعرض العمال المهاجرون الذين يعملون في مستودعات شركة أمازون بالمملكة العربية السعودية للخداع والاستغلال من قبل وكلاء التوظيف وشركات توريد العمالة، وعاشوا في ظروف لا تضمن لهم العمل اللائق وبظروف مرضية، كما منعوا من العثور على عمل بديل أو مغادرة السعودية وهو ما أعاق حقهم في الحركة وفي العمل بظروف عمل مرضية</w:t>
      </w:r>
      <w:r w:rsidRPr="007D7652">
        <w:rPr>
          <w:rFonts w:asciiTheme="majorBidi" w:eastAsia="Dubai" w:hAnsiTheme="majorBidi" w:cstheme="majorBidi"/>
          <w:sz w:val="24"/>
          <w:szCs w:val="24"/>
          <w:vertAlign w:val="superscript"/>
        </w:rPr>
        <w:footnoteReference w:id="9"/>
      </w:r>
      <w:r w:rsidRPr="007D7652">
        <w:rPr>
          <w:rFonts w:asciiTheme="majorBidi" w:eastAsia="Dubai" w:hAnsiTheme="majorBidi" w:cstheme="majorBidi"/>
          <w:sz w:val="24"/>
          <w:szCs w:val="24"/>
          <w:rtl/>
        </w:rPr>
        <w:t xml:space="preserve">، ولم تكن التعويضات التي دفعتها شركة أمازون لهؤلاء العمال كافية لإنهاء الضرر الذي وقع عليهم أثناء الفترة من 2021 وحتي 2023. </w:t>
      </w:r>
    </w:p>
    <w:p w14:paraId="28F8340F" w14:textId="77777777" w:rsidR="007D7652" w:rsidRPr="007D7652" w:rsidRDefault="007D7652" w:rsidP="007D7652">
      <w:pPr>
        <w:bidi/>
        <w:spacing w:line="276" w:lineRule="auto"/>
        <w:jc w:val="both"/>
        <w:rPr>
          <w:rFonts w:asciiTheme="majorBidi" w:eastAsia="Dubai" w:hAnsiTheme="majorBidi" w:cstheme="majorBidi"/>
          <w:sz w:val="24"/>
          <w:szCs w:val="24"/>
        </w:rPr>
      </w:pPr>
      <w:r w:rsidRPr="007D7652">
        <w:rPr>
          <w:rFonts w:asciiTheme="majorBidi" w:eastAsia="Dubai" w:hAnsiTheme="majorBidi" w:cstheme="majorBidi"/>
          <w:sz w:val="24"/>
          <w:szCs w:val="24"/>
          <w:rtl/>
        </w:rPr>
        <w:t>كما أطلعت مؤسسة ماعت في يونيو 2024 علي شكوتين قدمهما الاتحاد الدولي لعمال البناء والأخشاب لمنظمة العمل الدولية ضد السلطات السعودية والشركات والمستثمرين العاملين في السعودية بشأن الممارسات التعسفية ضد 21 ألف من العمال المهاجرين، وقد ركزت الشكوى على الظروف الاستغلالية في المعيشة والعمل التي يواجهها 13.4 مليون عامل مهاجر في المملكة العربية السعودية، وتشمل قضايا مثل انتشار سرقة الأجور، وظروف العمل السيئة، والقيود على الحركة، واحتجاز وثائق الهوية، وتضمنت الأدلة التي قدمها الاتحاد الدولي لعمال البناء والأخشاب شهادات من 193 عاملاً مهاجرًا تضمنت ممارسات تمييزية ضد هؤلاء العمال</w:t>
      </w:r>
      <w:r w:rsidRPr="007D7652">
        <w:rPr>
          <w:rFonts w:asciiTheme="majorBidi" w:eastAsia="Dubai" w:hAnsiTheme="majorBidi" w:cstheme="majorBidi"/>
          <w:sz w:val="24"/>
          <w:szCs w:val="24"/>
          <w:vertAlign w:val="superscript"/>
        </w:rPr>
        <w:footnoteReference w:id="10"/>
      </w:r>
      <w:r w:rsidRPr="007D7652">
        <w:rPr>
          <w:rFonts w:asciiTheme="majorBidi" w:eastAsia="Dubai" w:hAnsiTheme="majorBidi" w:cstheme="majorBidi"/>
          <w:sz w:val="24"/>
          <w:szCs w:val="24"/>
          <w:rtl/>
        </w:rPr>
        <w:t xml:space="preserve">. ويستدعي ذلك من السلطات السعودية فتح تحقيق سريع وإعلانه للرأي العام وإدانة الجناة في هذه الممارسات حال ثبتت صحتها. </w:t>
      </w:r>
    </w:p>
    <w:p w14:paraId="54F1E9CE" w14:textId="77777777" w:rsidR="007D7652" w:rsidRPr="007D7652" w:rsidRDefault="007D7652" w:rsidP="007D7652">
      <w:pPr>
        <w:bidi/>
        <w:spacing w:line="276" w:lineRule="auto"/>
        <w:jc w:val="both"/>
        <w:rPr>
          <w:rFonts w:asciiTheme="majorBidi" w:eastAsia="Dubai" w:hAnsiTheme="majorBidi" w:cstheme="majorBidi"/>
          <w:sz w:val="24"/>
          <w:szCs w:val="24"/>
        </w:rPr>
      </w:pPr>
      <w:r w:rsidRPr="007D7652">
        <w:rPr>
          <w:rFonts w:asciiTheme="majorBidi" w:eastAsia="Dubai" w:hAnsiTheme="majorBidi" w:cstheme="majorBidi"/>
          <w:sz w:val="24"/>
          <w:szCs w:val="24"/>
          <w:rtl/>
        </w:rPr>
        <w:t xml:space="preserve">علي جانب أخر يواجه أطفال النساء </w:t>
      </w:r>
      <w:proofErr w:type="spellStart"/>
      <w:r w:rsidRPr="007D7652">
        <w:rPr>
          <w:rFonts w:asciiTheme="majorBidi" w:eastAsia="Dubai" w:hAnsiTheme="majorBidi" w:cstheme="majorBidi"/>
          <w:sz w:val="24"/>
          <w:szCs w:val="24"/>
          <w:rtl/>
        </w:rPr>
        <w:t>الكينيات</w:t>
      </w:r>
      <w:proofErr w:type="spellEnd"/>
      <w:r w:rsidRPr="007D7652">
        <w:rPr>
          <w:rFonts w:asciiTheme="majorBidi" w:eastAsia="Dubai" w:hAnsiTheme="majorBidi" w:cstheme="majorBidi"/>
          <w:sz w:val="24"/>
          <w:szCs w:val="24"/>
          <w:rtl/>
        </w:rPr>
        <w:t xml:space="preserve"> في السعودية ممارسات قائمة على التمييز، حيث يحتاج الأطفال، الذين ولدوا في المملكة العربية السعودية لأمهات </w:t>
      </w:r>
      <w:proofErr w:type="spellStart"/>
      <w:r w:rsidRPr="007D7652">
        <w:rPr>
          <w:rFonts w:asciiTheme="majorBidi" w:eastAsia="Dubai" w:hAnsiTheme="majorBidi" w:cstheme="majorBidi"/>
          <w:sz w:val="24"/>
          <w:szCs w:val="24"/>
          <w:rtl/>
        </w:rPr>
        <w:t>كينيات</w:t>
      </w:r>
      <w:proofErr w:type="spellEnd"/>
      <w:r w:rsidRPr="007D7652">
        <w:rPr>
          <w:rFonts w:asciiTheme="majorBidi" w:eastAsia="Dubai" w:hAnsiTheme="majorBidi" w:cstheme="majorBidi"/>
          <w:sz w:val="24"/>
          <w:szCs w:val="24"/>
          <w:rtl/>
        </w:rPr>
        <w:t xml:space="preserve"> وتبلغ أعمارهم حوالي 10 سنوات، إلى شهادات ميلاد سعودية من أجل مغادرة البلاد ولكن لا يمكنهم الحصول عليها بسبب مجموعة من العقبات القانونية والقضايا مع أمهاتهم</w:t>
      </w:r>
      <w:r w:rsidRPr="007D7652">
        <w:rPr>
          <w:rFonts w:asciiTheme="majorBidi" w:eastAsia="Dubai" w:hAnsiTheme="majorBidi" w:cstheme="majorBidi"/>
          <w:sz w:val="24"/>
          <w:szCs w:val="24"/>
          <w:vertAlign w:val="superscript"/>
        </w:rPr>
        <w:footnoteReference w:id="11"/>
      </w:r>
      <w:r w:rsidRPr="007D7652">
        <w:rPr>
          <w:rFonts w:asciiTheme="majorBidi" w:eastAsia="Dubai" w:hAnsiTheme="majorBidi" w:cstheme="majorBidi"/>
          <w:sz w:val="24"/>
          <w:szCs w:val="24"/>
          <w:rtl/>
        </w:rPr>
        <w:t xml:space="preserve">. ورغم الخطوات الإيجابية التي أتاحت للمرأة السعودية مزيد من الحقوق والحريات إلا إنها لا تزال تتعرض لقيود مختلفة في الواقع. ففي مارس 2022 على سبيل المثال أقرت المملكة العربية السعودية نظام (قانون) الأحوال الشخصية، وينظم القانون الجديد مسائل النفقة والزواج والمواريث والطلاق في المملكة العربية السعودية مع ذلك يفرض نظام الأحوال الشخصية تدابير تمييزية على النساء في السعودية. حيث يتيح تطليق الرجل لزوجته سواء شفهيا أو كتابة من جانب واحد. كما يواجه الأشخاص من ذوي الإعاقة عقبات مختلفة نحو التمتع الكامل بحقوقهم في الممارسة العملية تشمل هذه العقبات القائمة على أساس التمييز على أساس الإعاقة، التعقيم القسري للأشخاص ذوي الإعاقة، ولا سيما النساء والفتيات ذوات الإعاقة النفسية الاجتماعية أو الذهنية؛ استمرار تعرض الأشخاص من ذوي الإعاقة للعنف والاعتداء والتمييز القائم على أساس الإعاقة، بالإضافة إلى حرمان الأشخاص ذوي الإعاقة النفسية الاجتماعية أو الذهنية من الاعتراف بهم على قدم المساواة مع الآخرين أمام القانون وفي المحاكم الوطنية. </w:t>
      </w:r>
    </w:p>
    <w:p w14:paraId="5FA3732E" w14:textId="77777777" w:rsidR="007D7652" w:rsidRPr="00B252C5" w:rsidRDefault="007D7652" w:rsidP="00B252C5">
      <w:pPr>
        <w:bidi/>
        <w:spacing w:line="276" w:lineRule="auto"/>
        <w:jc w:val="both"/>
        <w:rPr>
          <w:rFonts w:asciiTheme="majorBidi" w:eastAsia="Dubai" w:hAnsiTheme="majorBidi" w:cstheme="majorBidi"/>
          <w:bCs/>
          <w:color w:val="ED0000"/>
          <w:sz w:val="28"/>
          <w:szCs w:val="28"/>
        </w:rPr>
      </w:pPr>
      <w:r w:rsidRPr="00B252C5">
        <w:rPr>
          <w:rFonts w:asciiTheme="majorBidi" w:eastAsia="Dubai" w:hAnsiTheme="majorBidi" w:cstheme="majorBidi"/>
          <w:bCs/>
          <w:color w:val="ED0000"/>
          <w:sz w:val="28"/>
          <w:szCs w:val="28"/>
          <w:rtl/>
        </w:rPr>
        <w:t>الفصل والعزل العنصري (المادة الثالثة)</w:t>
      </w:r>
    </w:p>
    <w:p w14:paraId="1C868268" w14:textId="77777777" w:rsidR="007D7652" w:rsidRPr="007D7652" w:rsidRDefault="007D7652" w:rsidP="007D7652">
      <w:pPr>
        <w:bidi/>
        <w:spacing w:line="276" w:lineRule="auto"/>
        <w:jc w:val="both"/>
        <w:rPr>
          <w:rFonts w:asciiTheme="majorBidi" w:eastAsia="Dubai" w:hAnsiTheme="majorBidi" w:cstheme="majorBidi"/>
          <w:sz w:val="24"/>
          <w:szCs w:val="24"/>
        </w:rPr>
      </w:pPr>
      <w:r w:rsidRPr="007D7652">
        <w:rPr>
          <w:rFonts w:asciiTheme="majorBidi" w:eastAsia="Dubai" w:hAnsiTheme="majorBidi" w:cstheme="majorBidi"/>
          <w:sz w:val="24"/>
          <w:szCs w:val="24"/>
          <w:rtl/>
        </w:rPr>
        <w:t xml:space="preserve">مع تقدير مؤسسة ماعت للمعلومات الواردة في التقرير المقدم من السعودية لتنفيذ المادة الثالثة من الإتفاقية بما في ذلك الجهود التي تقوم بها لمنع أي شكل من أشكال الفصل العنصري إلا إن مؤسسة ماعت تري إن التقرير لم يتضمن أي سياسات قامت بها السعودية مؤخرًا لمنع الفصل والعزل العنصري. حيث تواجه فئة البدون في المملكة العربية السعودية ممارسات أشبه بالفصل </w:t>
      </w:r>
      <w:r w:rsidRPr="007D7652">
        <w:rPr>
          <w:rFonts w:asciiTheme="majorBidi" w:eastAsia="Dubai" w:hAnsiTheme="majorBidi" w:cstheme="majorBidi"/>
          <w:sz w:val="24"/>
          <w:szCs w:val="24"/>
          <w:rtl/>
        </w:rPr>
        <w:lastRenderedPageBreak/>
        <w:t xml:space="preserve">القائم على التمييز حيث يقيمون في مناطق نائية وفقيرة وهو ما يتعارض مع معايير الحق في السكن اللائق وتدفع الظروف الاقتصادية غير الجيدة وعدم أحقية البدون في امتلاك منازل بموجب القوانين السعودية، ما يدفع هذه الفئة لاستئجار بيوت ذات مستوى رديء لا تتوافر فيها معايير السكن اللائق بشكل يتعارض مع رؤية السعودية 2023. كما إن الإيجارات المرتفعة للسكن الذي يدفعها البدون تجعلهم يعيشون في مناطق صحراوية. علي سبيل المثال تحصل النساء المسنات علي راتب ضمان اجتماعي نحو ألف ريال يدفعن منه نحو 800 ريال كإيجار لإنهم لا يستطعن امتلاك منزل أو الحصول على سكن لائق. ما دفعهم إلى الإقامة في الصحراء وفي مناطق نائية لمكافحة غلاء الأسعار الخاصة بالسكن وهي ممارسات أشبه بالعزل العنصري تتعارض مع تنفيذ المادة الثالثة من الإتفاقية. </w:t>
      </w:r>
    </w:p>
    <w:p w14:paraId="6F458953" w14:textId="77777777" w:rsidR="007D7652" w:rsidRPr="00B252C5" w:rsidRDefault="007D7652" w:rsidP="00B252C5">
      <w:pPr>
        <w:bidi/>
        <w:spacing w:line="276" w:lineRule="auto"/>
        <w:jc w:val="both"/>
        <w:rPr>
          <w:rFonts w:asciiTheme="majorBidi" w:eastAsia="Dubai" w:hAnsiTheme="majorBidi" w:cstheme="majorBidi"/>
          <w:bCs/>
          <w:color w:val="ED0000"/>
          <w:sz w:val="28"/>
          <w:szCs w:val="28"/>
        </w:rPr>
      </w:pPr>
      <w:r w:rsidRPr="00B252C5">
        <w:rPr>
          <w:rFonts w:asciiTheme="majorBidi" w:eastAsia="Dubai" w:hAnsiTheme="majorBidi" w:cstheme="majorBidi"/>
          <w:bCs/>
          <w:color w:val="ED0000"/>
          <w:sz w:val="28"/>
          <w:szCs w:val="28"/>
          <w:rtl/>
        </w:rPr>
        <w:t>اللجوء إلى المحاكم الوطنية في قضايا التمييز (المادة السادسة)</w:t>
      </w:r>
    </w:p>
    <w:p w14:paraId="59B2222C" w14:textId="4DEC44D0" w:rsidR="007D7652" w:rsidRPr="007D7652" w:rsidRDefault="007D7652" w:rsidP="007D7652">
      <w:pPr>
        <w:bidi/>
        <w:spacing w:line="276" w:lineRule="auto"/>
        <w:jc w:val="both"/>
        <w:rPr>
          <w:rFonts w:asciiTheme="majorBidi" w:eastAsia="Dubai" w:hAnsiTheme="majorBidi" w:cstheme="majorBidi"/>
          <w:sz w:val="24"/>
          <w:szCs w:val="24"/>
        </w:rPr>
      </w:pPr>
      <w:r w:rsidRPr="007D7652">
        <w:rPr>
          <w:rFonts w:asciiTheme="majorBidi" w:eastAsia="Dubai" w:hAnsiTheme="majorBidi" w:cstheme="majorBidi"/>
          <w:sz w:val="24"/>
          <w:szCs w:val="24"/>
          <w:rtl/>
        </w:rPr>
        <w:t xml:space="preserve">يتيح النظام القضائي في السعودية لكل إنسان الحق على قدم المساواة في اللجوء إلى المحاكم الوطنية وغيرها من المؤسسات الحكومية التي لها ولاية منح الحصول على الانصاف وجبر الضرر والتعويض على ممارسات التمييز. ويحق لكل شخص زعم تعرضه للتمييز العنصري في السعودية، رفع دعوي جزائية ومباشرتها أمام المحكمة المختصة وفقاً للمادة 16 من نظام الإجراءات الجزائية، بالإضافة إلى ما تختص به النيابة العامة في إقامة الدعوى الجزائية والتحقيق فيها إذا رأت مصلحة عامة، ذلك وفقاً للمادة (17) من </w:t>
      </w:r>
      <w:r w:rsidR="00B252C5" w:rsidRPr="007D7652">
        <w:rPr>
          <w:rFonts w:asciiTheme="majorBidi" w:eastAsia="Dubai" w:hAnsiTheme="majorBidi" w:cstheme="majorBidi" w:hint="cs"/>
          <w:sz w:val="24"/>
          <w:szCs w:val="24"/>
          <w:rtl/>
        </w:rPr>
        <w:t>الإجراءا</w:t>
      </w:r>
      <w:r w:rsidR="00B252C5" w:rsidRPr="007D7652">
        <w:rPr>
          <w:rFonts w:asciiTheme="majorBidi" w:eastAsia="Dubai" w:hAnsiTheme="majorBidi" w:cstheme="majorBidi" w:hint="eastAsia"/>
          <w:sz w:val="24"/>
          <w:szCs w:val="24"/>
          <w:rtl/>
        </w:rPr>
        <w:t>ت</w:t>
      </w:r>
      <w:r w:rsidRPr="007D7652">
        <w:rPr>
          <w:rFonts w:asciiTheme="majorBidi" w:eastAsia="Dubai" w:hAnsiTheme="majorBidi" w:cstheme="majorBidi"/>
          <w:sz w:val="24"/>
          <w:szCs w:val="24"/>
          <w:rtl/>
        </w:rPr>
        <w:t xml:space="preserve"> الجزائية. كما إن هيئة حقوق الإنسان في السعودية لديها سلطة استلام الشكاوى المتعلقة بحقوق الإنسان بما فيها الشكاوى المتصلة بالتمييز العنصري وتقوم بإحالتها في بعض الأحيان إلى النيابة العامة غير إنه لا توجد آلية محددة للتنسيق بين الهيئة وباق</w:t>
      </w:r>
      <w:r w:rsidR="00B252C5">
        <w:rPr>
          <w:rFonts w:asciiTheme="majorBidi" w:eastAsia="Dubai" w:hAnsiTheme="majorBidi" w:cstheme="majorBidi" w:hint="cs"/>
          <w:sz w:val="24"/>
          <w:szCs w:val="24"/>
          <w:rtl/>
          <w:lang w:bidi="ar-EG"/>
        </w:rPr>
        <w:t>ي</w:t>
      </w:r>
      <w:r w:rsidRPr="007D7652">
        <w:rPr>
          <w:rFonts w:asciiTheme="majorBidi" w:eastAsia="Dubai" w:hAnsiTheme="majorBidi" w:cstheme="majorBidi"/>
          <w:sz w:val="24"/>
          <w:szCs w:val="24"/>
          <w:rtl/>
        </w:rPr>
        <w:t xml:space="preserve"> المؤسسات الحكومية في هذا السياق. </w:t>
      </w:r>
    </w:p>
    <w:p w14:paraId="21D5D6EA" w14:textId="77777777" w:rsidR="007D7652" w:rsidRPr="007D7652" w:rsidRDefault="007D7652" w:rsidP="007D7652">
      <w:pPr>
        <w:bidi/>
        <w:spacing w:line="276" w:lineRule="auto"/>
        <w:jc w:val="both"/>
        <w:rPr>
          <w:rFonts w:asciiTheme="majorBidi" w:eastAsia="Dubai" w:hAnsiTheme="majorBidi" w:cstheme="majorBidi"/>
          <w:sz w:val="24"/>
          <w:szCs w:val="24"/>
        </w:rPr>
      </w:pPr>
      <w:r w:rsidRPr="007D7652">
        <w:rPr>
          <w:rFonts w:asciiTheme="majorBidi" w:eastAsia="Dubai" w:hAnsiTheme="majorBidi" w:cstheme="majorBidi"/>
          <w:sz w:val="24"/>
          <w:szCs w:val="24"/>
          <w:rtl/>
        </w:rPr>
        <w:t xml:space="preserve">رغم ذلك لدي مؤسسة ماعت بواعث قلق بخصوص عدم وجود رصد مستقل لممارسات التمييز العنصري والشكاوى التي تواجه المواطنين والوافدين في السعودية. وقد وصل عدد القضايا والتي تتعلق بخطابات الكراهية والتمييز العنصري التي أحيلت للمحاكم خلال عام 2020 وهي أخر إحصائية متاحة لنحو 14 قضية فقط. ورغم إن التقرير الدوري المقدم من السعودية يشير إلي استقبال هيئة حقوق الإنسان للشكاوي المتعلقة بالتمييز إلا إن التقرير لم يوضح آلية التنسيق بين الهيئة وبين المؤسسات الحكومية </w:t>
      </w:r>
      <w:proofErr w:type="spellStart"/>
      <w:r w:rsidRPr="007D7652">
        <w:rPr>
          <w:rFonts w:asciiTheme="majorBidi" w:eastAsia="Dubai" w:hAnsiTheme="majorBidi" w:cstheme="majorBidi"/>
          <w:sz w:val="24"/>
          <w:szCs w:val="24"/>
          <w:rtl/>
        </w:rPr>
        <w:t>الأخري</w:t>
      </w:r>
      <w:proofErr w:type="spellEnd"/>
      <w:r w:rsidRPr="007D7652">
        <w:rPr>
          <w:rFonts w:asciiTheme="majorBidi" w:eastAsia="Dubai" w:hAnsiTheme="majorBidi" w:cstheme="majorBidi"/>
          <w:sz w:val="24"/>
          <w:szCs w:val="24"/>
          <w:rtl/>
        </w:rPr>
        <w:t xml:space="preserve"> مثل النيابة العامة وآليات متابعة الشكاوي التي تتوافر لدي هيئة حقوق الإنسان علي جانب أخر، تلاحظ مؤسسة ماعت استمرار العقبات التي تحول دون لجوء المرأة إلى القضاء، ومن بين هذه العقبات؛ ضعف إلمام النساء بحقوقهن وبالآليات القائمة لتقديم الشكاوى، والخوف من الانتقام والوصم؛ بجانب عدم وعي موظفي إنفاذ القانون والممارسين القانونيين بحقوق المرأة وعدم مراعاتهم لتلك الحقوق. كما لا تزال يتطلب رفع شكاوى خاصة بالتمييز من النساء ضرورة حصول النساء والفتيات على إذن من ولي أمر ذكر من أجل تقديم الشكاوى. وقد زعمت بعض الآراء إن هذه الممارسات قوضت من لجوء المرأة للقضاء وهي ممارسات لا تزال جارية في الممارسة العملية</w:t>
      </w:r>
      <w:r w:rsidRPr="007D7652">
        <w:rPr>
          <w:rFonts w:asciiTheme="majorBidi" w:eastAsia="Dubai" w:hAnsiTheme="majorBidi" w:cstheme="majorBidi"/>
          <w:sz w:val="24"/>
          <w:szCs w:val="24"/>
          <w:vertAlign w:val="superscript"/>
        </w:rPr>
        <w:footnoteReference w:id="12"/>
      </w:r>
      <w:r w:rsidRPr="007D7652">
        <w:rPr>
          <w:rFonts w:asciiTheme="majorBidi" w:eastAsia="Dubai" w:hAnsiTheme="majorBidi" w:cstheme="majorBidi"/>
          <w:sz w:val="24"/>
          <w:szCs w:val="24"/>
        </w:rPr>
        <w:t xml:space="preserve">. </w:t>
      </w:r>
    </w:p>
    <w:p w14:paraId="23A29C30" w14:textId="77777777" w:rsidR="007D7652" w:rsidRPr="00B252C5" w:rsidRDefault="007D7652" w:rsidP="00B252C5">
      <w:pPr>
        <w:bidi/>
        <w:spacing w:line="276" w:lineRule="auto"/>
        <w:jc w:val="both"/>
        <w:rPr>
          <w:rFonts w:asciiTheme="majorBidi" w:eastAsia="Dubai" w:hAnsiTheme="majorBidi" w:cstheme="majorBidi"/>
          <w:bCs/>
          <w:color w:val="ED0000"/>
          <w:sz w:val="28"/>
          <w:szCs w:val="28"/>
        </w:rPr>
      </w:pPr>
      <w:r w:rsidRPr="00B252C5">
        <w:rPr>
          <w:rFonts w:asciiTheme="majorBidi" w:eastAsia="Dubai" w:hAnsiTheme="majorBidi" w:cstheme="majorBidi"/>
          <w:bCs/>
          <w:color w:val="ED0000"/>
          <w:sz w:val="28"/>
          <w:szCs w:val="28"/>
          <w:rtl/>
        </w:rPr>
        <w:t>التدابير المتخذة في ميادين التعليم والإعلام لمكافحة التمييز (المادة السابعة)</w:t>
      </w:r>
    </w:p>
    <w:p w14:paraId="304E945C" w14:textId="59B60B4C" w:rsidR="007D7652" w:rsidRDefault="007D7652" w:rsidP="007D7652">
      <w:pPr>
        <w:bidi/>
        <w:spacing w:after="0" w:line="276" w:lineRule="auto"/>
        <w:jc w:val="both"/>
        <w:rPr>
          <w:rFonts w:asciiTheme="majorBidi" w:eastAsia="Dubai" w:hAnsiTheme="majorBidi" w:cstheme="majorBidi"/>
          <w:sz w:val="24"/>
          <w:szCs w:val="24"/>
          <w:rtl/>
        </w:rPr>
      </w:pPr>
      <w:r w:rsidRPr="007D7652">
        <w:rPr>
          <w:rFonts w:asciiTheme="majorBidi" w:eastAsia="Dubai" w:hAnsiTheme="majorBidi" w:cstheme="majorBidi"/>
          <w:sz w:val="24"/>
          <w:szCs w:val="24"/>
          <w:rtl/>
        </w:rPr>
        <w:t xml:space="preserve">تقدر مؤسسة ماعت الجهود المبذولة من قبل السعودية من أجل تنفيذ المادة السابعة من الإتفاقية ومن بين هذه الجهود اعتماد برامج تثقيفية متخصصة وإجراء تدريبات بجانب ورش عمل وحملات توعية على المواضيع المختلفة لحقوق الإنسان بما في ذلك قضايا التمييز العنصري. كما أكدت عدد من القرارات والأوامر الصادرة على ضرورة </w:t>
      </w:r>
      <w:r w:rsidR="00B252C5" w:rsidRPr="007D7652">
        <w:rPr>
          <w:rFonts w:asciiTheme="majorBidi" w:eastAsia="Dubai" w:hAnsiTheme="majorBidi" w:cstheme="majorBidi" w:hint="cs"/>
          <w:sz w:val="24"/>
          <w:szCs w:val="24"/>
          <w:rtl/>
        </w:rPr>
        <w:t>الابتعاد</w:t>
      </w:r>
      <w:r w:rsidRPr="007D7652">
        <w:rPr>
          <w:rFonts w:asciiTheme="majorBidi" w:eastAsia="Dubai" w:hAnsiTheme="majorBidi" w:cstheme="majorBidi"/>
          <w:sz w:val="24"/>
          <w:szCs w:val="24"/>
          <w:rtl/>
        </w:rPr>
        <w:t xml:space="preserve"> عن التعصب أو الإساءة في وسائل </w:t>
      </w:r>
      <w:r w:rsidRPr="007D7652">
        <w:rPr>
          <w:rFonts w:asciiTheme="majorBidi" w:eastAsia="Dubai" w:hAnsiTheme="majorBidi" w:cstheme="majorBidi"/>
          <w:sz w:val="24"/>
          <w:szCs w:val="24"/>
          <w:rtl/>
        </w:rPr>
        <w:lastRenderedPageBreak/>
        <w:t xml:space="preserve">الإعلام المختلفة ومع تقدير مؤسسة ماعت لهذه القرارات والحملات الرامية إلى مكافحة التمييز العنصري. غير إن مؤسسة ماعت تلاحظ إن هذه التدابير لم تكن كافية للقضاء على التمييز ضد فئة البدون خاصة في مجال التعليم. فرغم إن النظام الأساسي في المملكة العربية السعودية يكفل في المادة الثلاثين التعليم العام لكن أطفال البدون لا يزالوا يواجهون عقبات للحصول على التعليم على وجه المساواة بالأطفال السعوديين. وغالبًا ما أدي عدم امتلاك أباء الأطفال البدون لوثائق هوية صالحة إلي استبعاد هؤلاء الأطفال من المدارس. ورغم وجود تقارير تفيد بأن وزارة التربية والتعليم في المملكة العربية السعودية شجعت آباء أطفال البدون على إلحاق أبنائهم بالمدارس خلال الفترة التالية للملاحظات الختامية للجنة مع ذلك ظلت هناك تحديات تعوق حصولهم على التعليم المجاني المتاح لباقي المواطنين السعوديين. من بينهًا انتظار موافقة البلدية في بعض الأوقات والتي قد تستغرق فترات طويلة في سياق متصل تفيد بعض الشهادات التي اطلعت عليها مؤسسة ماعت إنه لا يمكن لبعض الطلاب من فئة البدون التعليم الجامعي في الجامعات الحكومية بدلا من ذلك يذهب من يستطيع منهم إلى الجامعات الأهلية والخاصة ما يفرض عليهم مبالغ مالية باهظة. كما إن الجامعات تصنف أبناء البدون كطلاب أجانب، حيث لا يحق لهم الاستفادة من المنح والبعثات الخارجية. كما يمٌنع عليهم دخول بعض الكليات وتتعارض هذه الممارسات مع مبادئ وأحكام اتفاقية اليونسكو لمكافحة التمييز في مجال التعليم ويعتمد التسجيل في المدارس الحكومية بشكل عام سواء المجانية او المدارس الخاصة والدولية في السعودية على الحصول على وثائق هوية صالحة، في ظل عدم قدرة طيف واسع من العائلات من إلحاق أطفالهم بالتعليم الابتدائي كونهم بلا جنسية، وفي أحيان قليلة للغاية تمكن البعض اعتماداً علي على العلاقات والأشخاص المتعاطفين معه لاسيما الأقارب والأهل، بالإضافة إلي مديري المدارس المٌتفهمين لمحنة تلك الفئة، لتسجيل أطفاله. </w:t>
      </w:r>
    </w:p>
    <w:p w14:paraId="1A88B11A" w14:textId="77777777" w:rsidR="00B252C5" w:rsidRPr="007D7652" w:rsidRDefault="00B252C5" w:rsidP="00B252C5">
      <w:pPr>
        <w:bidi/>
        <w:spacing w:after="0" w:line="276" w:lineRule="auto"/>
        <w:jc w:val="both"/>
        <w:rPr>
          <w:rFonts w:asciiTheme="majorBidi" w:eastAsia="Dubai" w:hAnsiTheme="majorBidi" w:cstheme="majorBidi"/>
          <w:sz w:val="24"/>
          <w:szCs w:val="24"/>
        </w:rPr>
      </w:pPr>
    </w:p>
    <w:p w14:paraId="519E6CBB" w14:textId="77777777" w:rsidR="007D7652" w:rsidRPr="00B252C5" w:rsidRDefault="007D7652" w:rsidP="00B252C5">
      <w:pPr>
        <w:bidi/>
        <w:spacing w:line="276" w:lineRule="auto"/>
        <w:jc w:val="both"/>
        <w:rPr>
          <w:rFonts w:asciiTheme="majorBidi" w:eastAsia="Dubai" w:hAnsiTheme="majorBidi" w:cstheme="majorBidi"/>
          <w:bCs/>
          <w:color w:val="ED0000"/>
          <w:sz w:val="28"/>
          <w:szCs w:val="28"/>
        </w:rPr>
      </w:pPr>
      <w:r w:rsidRPr="00B252C5">
        <w:rPr>
          <w:rFonts w:asciiTheme="majorBidi" w:eastAsia="Dubai" w:hAnsiTheme="majorBidi" w:cstheme="majorBidi"/>
          <w:bCs/>
          <w:color w:val="ED0000"/>
          <w:sz w:val="28"/>
          <w:szCs w:val="28"/>
          <w:rtl/>
        </w:rPr>
        <w:t xml:space="preserve">توصي مؤسسة ماعت بالآتي: </w:t>
      </w:r>
    </w:p>
    <w:p w14:paraId="45BE1D92" w14:textId="77777777" w:rsidR="007D7652" w:rsidRPr="007D7652" w:rsidRDefault="007D7652" w:rsidP="007D7652">
      <w:pPr>
        <w:numPr>
          <w:ilvl w:val="0"/>
          <w:numId w:val="40"/>
        </w:numPr>
        <w:pBdr>
          <w:top w:val="nil"/>
          <w:left w:val="nil"/>
          <w:bottom w:val="nil"/>
          <w:right w:val="nil"/>
          <w:between w:val="nil"/>
        </w:pBdr>
        <w:bidi/>
        <w:spacing w:after="0" w:line="276" w:lineRule="auto"/>
        <w:ind w:left="360"/>
        <w:jc w:val="both"/>
        <w:rPr>
          <w:rFonts w:asciiTheme="majorBidi" w:eastAsia="Dubai" w:hAnsiTheme="majorBidi" w:cstheme="majorBidi"/>
          <w:color w:val="000000"/>
          <w:sz w:val="24"/>
          <w:szCs w:val="24"/>
        </w:rPr>
      </w:pPr>
      <w:r w:rsidRPr="007D7652">
        <w:rPr>
          <w:rFonts w:asciiTheme="majorBidi" w:eastAsia="Dubai" w:hAnsiTheme="majorBidi" w:cstheme="majorBidi"/>
          <w:color w:val="000000"/>
          <w:sz w:val="24"/>
          <w:szCs w:val="24"/>
          <w:rtl/>
        </w:rPr>
        <w:t xml:space="preserve">النظر في إصدار قانون منفصل للتمييز العنصري يضمن وجود تعريف للتمييز العنصري يغطي جميع أشكال التمييز الواردة في المادة الأولي من </w:t>
      </w:r>
      <w:r w:rsidRPr="007D7652">
        <w:rPr>
          <w:rFonts w:asciiTheme="majorBidi" w:eastAsia="Dubai" w:hAnsiTheme="majorBidi" w:cstheme="majorBidi"/>
          <w:sz w:val="24"/>
          <w:szCs w:val="24"/>
          <w:rtl/>
        </w:rPr>
        <w:t>الاتفاقية</w:t>
      </w:r>
      <w:r w:rsidRPr="007D7652">
        <w:rPr>
          <w:rFonts w:asciiTheme="majorBidi" w:eastAsia="Dubai" w:hAnsiTheme="majorBidi" w:cstheme="majorBidi"/>
          <w:color w:val="000000"/>
          <w:sz w:val="24"/>
          <w:szCs w:val="24"/>
        </w:rPr>
        <w:t xml:space="preserve">  </w:t>
      </w:r>
    </w:p>
    <w:p w14:paraId="29814980" w14:textId="77777777" w:rsidR="007D7652" w:rsidRPr="007D7652" w:rsidRDefault="007D7652" w:rsidP="007D7652">
      <w:pPr>
        <w:numPr>
          <w:ilvl w:val="0"/>
          <w:numId w:val="40"/>
        </w:numPr>
        <w:pBdr>
          <w:top w:val="nil"/>
          <w:left w:val="nil"/>
          <w:bottom w:val="nil"/>
          <w:right w:val="nil"/>
          <w:between w:val="nil"/>
        </w:pBdr>
        <w:bidi/>
        <w:spacing w:after="0" w:line="276" w:lineRule="auto"/>
        <w:ind w:left="360"/>
        <w:jc w:val="both"/>
        <w:rPr>
          <w:rFonts w:asciiTheme="majorBidi" w:eastAsia="Dubai" w:hAnsiTheme="majorBidi" w:cstheme="majorBidi"/>
          <w:color w:val="000000"/>
          <w:sz w:val="24"/>
          <w:szCs w:val="24"/>
        </w:rPr>
      </w:pPr>
      <w:r w:rsidRPr="007D7652">
        <w:rPr>
          <w:rFonts w:asciiTheme="majorBidi" w:eastAsia="Dubai" w:hAnsiTheme="majorBidi" w:cstheme="majorBidi"/>
          <w:color w:val="000000"/>
          <w:sz w:val="24"/>
          <w:szCs w:val="24"/>
          <w:rtl/>
        </w:rPr>
        <w:t xml:space="preserve">النظر في اعتماد استراتيجية وطنية لمكافحة التمييز العنصري بالتشاور مع أصحاب المصلحة بما في ذلك منظمات المجتمع المدني. </w:t>
      </w:r>
    </w:p>
    <w:p w14:paraId="5FED76B6" w14:textId="77777777" w:rsidR="007D7652" w:rsidRPr="007D7652" w:rsidRDefault="007D7652" w:rsidP="007D7652">
      <w:pPr>
        <w:numPr>
          <w:ilvl w:val="0"/>
          <w:numId w:val="40"/>
        </w:numPr>
        <w:pBdr>
          <w:top w:val="nil"/>
          <w:left w:val="nil"/>
          <w:bottom w:val="nil"/>
          <w:right w:val="nil"/>
          <w:between w:val="nil"/>
        </w:pBdr>
        <w:bidi/>
        <w:spacing w:after="0" w:line="276" w:lineRule="auto"/>
        <w:ind w:left="360"/>
        <w:jc w:val="both"/>
        <w:rPr>
          <w:rFonts w:asciiTheme="majorBidi" w:eastAsia="Dubai" w:hAnsiTheme="majorBidi" w:cstheme="majorBidi"/>
          <w:color w:val="000000"/>
          <w:sz w:val="24"/>
          <w:szCs w:val="24"/>
        </w:rPr>
      </w:pPr>
      <w:r w:rsidRPr="007D7652">
        <w:rPr>
          <w:rFonts w:asciiTheme="majorBidi" w:eastAsia="Dubai" w:hAnsiTheme="majorBidi" w:cstheme="majorBidi"/>
          <w:color w:val="000000"/>
          <w:sz w:val="24"/>
          <w:szCs w:val="24"/>
          <w:rtl/>
        </w:rPr>
        <w:t>النظر في إجراء تعديلات على نظام الأحوال الشخصية تتيح للمرأة مزيد من الضمانات فيما يخص قضايا الطلاق وتقديم الشكاوى المتعلقة بممارسات التمييز</w:t>
      </w:r>
    </w:p>
    <w:p w14:paraId="33EFFB56" w14:textId="77777777" w:rsidR="007D7652" w:rsidRPr="007D7652" w:rsidRDefault="007D7652" w:rsidP="007D7652">
      <w:pPr>
        <w:numPr>
          <w:ilvl w:val="0"/>
          <w:numId w:val="40"/>
        </w:numPr>
        <w:pBdr>
          <w:top w:val="nil"/>
          <w:left w:val="nil"/>
          <w:bottom w:val="nil"/>
          <w:right w:val="nil"/>
          <w:between w:val="nil"/>
        </w:pBdr>
        <w:bidi/>
        <w:spacing w:after="0" w:line="276" w:lineRule="auto"/>
        <w:ind w:left="360"/>
        <w:jc w:val="both"/>
        <w:rPr>
          <w:rFonts w:asciiTheme="majorBidi" w:eastAsia="Dubai" w:hAnsiTheme="majorBidi" w:cstheme="majorBidi"/>
          <w:color w:val="000000"/>
          <w:sz w:val="24"/>
          <w:szCs w:val="24"/>
        </w:rPr>
      </w:pPr>
      <w:r w:rsidRPr="007D7652">
        <w:rPr>
          <w:rFonts w:asciiTheme="majorBidi" w:eastAsia="Dubai" w:hAnsiTheme="majorBidi" w:cstheme="majorBidi"/>
          <w:color w:val="000000"/>
          <w:sz w:val="24"/>
          <w:szCs w:val="24"/>
          <w:rtl/>
        </w:rPr>
        <w:t>فتح تحقيق مستقل في الشكوتين المقدمتين من الاتحاد الدولي لعمال البناء والأخشاب إلى منظمة العمل الدولية بشأن الممارسات التعسفية ضد 21 ألف عامل مهاجر في السعودية</w:t>
      </w:r>
    </w:p>
    <w:p w14:paraId="1889D634" w14:textId="77777777" w:rsidR="007D7652" w:rsidRPr="007D7652" w:rsidRDefault="007D7652" w:rsidP="007D7652">
      <w:pPr>
        <w:numPr>
          <w:ilvl w:val="0"/>
          <w:numId w:val="40"/>
        </w:numPr>
        <w:pBdr>
          <w:top w:val="nil"/>
          <w:left w:val="nil"/>
          <w:bottom w:val="nil"/>
          <w:right w:val="nil"/>
          <w:between w:val="nil"/>
        </w:pBdr>
        <w:bidi/>
        <w:spacing w:after="0" w:line="276" w:lineRule="auto"/>
        <w:ind w:left="360"/>
        <w:jc w:val="both"/>
        <w:rPr>
          <w:rFonts w:asciiTheme="majorBidi" w:eastAsia="Dubai" w:hAnsiTheme="majorBidi" w:cstheme="majorBidi"/>
          <w:color w:val="000000"/>
          <w:sz w:val="24"/>
          <w:szCs w:val="24"/>
        </w:rPr>
      </w:pPr>
      <w:r w:rsidRPr="007D7652">
        <w:rPr>
          <w:rFonts w:asciiTheme="majorBidi" w:eastAsia="Dubai" w:hAnsiTheme="majorBidi" w:cstheme="majorBidi"/>
          <w:color w:val="000000"/>
          <w:sz w:val="24"/>
          <w:szCs w:val="24"/>
          <w:rtl/>
        </w:rPr>
        <w:t xml:space="preserve">النظر في تشكيل لجنة مشتركة بين الحكومة وهيئة حقوق الإنسان من أجل دراسة جميع أشكال التمييز التي يتعرض لها أفراد البدون وخاصة على </w:t>
      </w:r>
      <w:r w:rsidRPr="007D7652">
        <w:rPr>
          <w:rFonts w:asciiTheme="majorBidi" w:eastAsia="Dubai" w:hAnsiTheme="majorBidi" w:cstheme="majorBidi"/>
          <w:sz w:val="24"/>
          <w:szCs w:val="24"/>
          <w:rtl/>
        </w:rPr>
        <w:t>مستوى</w:t>
      </w:r>
      <w:r w:rsidRPr="007D7652">
        <w:rPr>
          <w:rFonts w:asciiTheme="majorBidi" w:eastAsia="Dubai" w:hAnsiTheme="majorBidi" w:cstheme="majorBidi"/>
          <w:color w:val="000000"/>
          <w:sz w:val="24"/>
          <w:szCs w:val="24"/>
          <w:rtl/>
        </w:rPr>
        <w:t xml:space="preserve"> الحصول على التعليم والحق في السكن اللائق </w:t>
      </w:r>
    </w:p>
    <w:p w14:paraId="7AEB5910" w14:textId="77777777" w:rsidR="007D7652" w:rsidRPr="007D7652" w:rsidRDefault="007D7652" w:rsidP="007D7652">
      <w:pPr>
        <w:numPr>
          <w:ilvl w:val="0"/>
          <w:numId w:val="40"/>
        </w:numPr>
        <w:pBdr>
          <w:top w:val="nil"/>
          <w:left w:val="nil"/>
          <w:bottom w:val="nil"/>
          <w:right w:val="nil"/>
          <w:between w:val="nil"/>
        </w:pBdr>
        <w:bidi/>
        <w:spacing w:after="0" w:line="276" w:lineRule="auto"/>
        <w:ind w:left="360"/>
        <w:jc w:val="both"/>
        <w:rPr>
          <w:rFonts w:asciiTheme="majorBidi" w:eastAsia="Dubai" w:hAnsiTheme="majorBidi" w:cstheme="majorBidi"/>
          <w:color w:val="000000"/>
          <w:sz w:val="24"/>
          <w:szCs w:val="24"/>
        </w:rPr>
      </w:pPr>
      <w:r w:rsidRPr="007D7652">
        <w:rPr>
          <w:rFonts w:asciiTheme="majorBidi" w:eastAsia="Dubai" w:hAnsiTheme="majorBidi" w:cstheme="majorBidi"/>
          <w:color w:val="000000"/>
          <w:sz w:val="24"/>
          <w:szCs w:val="24"/>
          <w:rtl/>
        </w:rPr>
        <w:t xml:space="preserve">اعتماد مزيد من برامج التدريب المتخصصة لتوعية الموظفين العموميين بأحكام ومبادئ </w:t>
      </w:r>
      <w:r w:rsidRPr="007D7652">
        <w:rPr>
          <w:rFonts w:asciiTheme="majorBidi" w:eastAsia="Dubai" w:hAnsiTheme="majorBidi" w:cstheme="majorBidi"/>
          <w:sz w:val="24"/>
          <w:szCs w:val="24"/>
          <w:rtl/>
        </w:rPr>
        <w:t>الاتفاقية</w:t>
      </w:r>
    </w:p>
    <w:p w14:paraId="31C4A24A" w14:textId="77777777" w:rsidR="007D7652" w:rsidRPr="007D7652" w:rsidRDefault="007D7652" w:rsidP="007D7652">
      <w:pPr>
        <w:numPr>
          <w:ilvl w:val="0"/>
          <w:numId w:val="40"/>
        </w:numPr>
        <w:pBdr>
          <w:top w:val="nil"/>
          <w:left w:val="nil"/>
          <w:bottom w:val="nil"/>
          <w:right w:val="nil"/>
          <w:between w:val="nil"/>
        </w:pBdr>
        <w:bidi/>
        <w:spacing w:after="0" w:line="276" w:lineRule="auto"/>
        <w:ind w:left="360"/>
        <w:jc w:val="both"/>
        <w:rPr>
          <w:rFonts w:asciiTheme="majorBidi" w:eastAsia="Dubai" w:hAnsiTheme="majorBidi" w:cstheme="majorBidi"/>
          <w:color w:val="000000"/>
          <w:sz w:val="24"/>
          <w:szCs w:val="24"/>
        </w:rPr>
      </w:pPr>
      <w:r w:rsidRPr="007D7652">
        <w:rPr>
          <w:rFonts w:asciiTheme="majorBidi" w:eastAsia="Dubai" w:hAnsiTheme="majorBidi" w:cstheme="majorBidi"/>
          <w:color w:val="000000"/>
          <w:sz w:val="24"/>
          <w:szCs w:val="24"/>
          <w:rtl/>
        </w:rPr>
        <w:t xml:space="preserve">إزالة العقبات القانونية التي تواجه أطفال النساء </w:t>
      </w:r>
      <w:proofErr w:type="spellStart"/>
      <w:r w:rsidRPr="007D7652">
        <w:rPr>
          <w:rFonts w:asciiTheme="majorBidi" w:eastAsia="Dubai" w:hAnsiTheme="majorBidi" w:cstheme="majorBidi"/>
          <w:color w:val="000000"/>
          <w:sz w:val="24"/>
          <w:szCs w:val="24"/>
          <w:rtl/>
        </w:rPr>
        <w:t>الكينيات</w:t>
      </w:r>
      <w:proofErr w:type="spellEnd"/>
      <w:r w:rsidRPr="007D7652">
        <w:rPr>
          <w:rFonts w:asciiTheme="majorBidi" w:eastAsia="Dubai" w:hAnsiTheme="majorBidi" w:cstheme="majorBidi"/>
          <w:color w:val="000000"/>
          <w:sz w:val="24"/>
          <w:szCs w:val="24"/>
          <w:rtl/>
        </w:rPr>
        <w:t xml:space="preserve"> العاملات في السعودية والتي تمنع هؤلاء الأطفال من الحصول على شهادة ميلاد تتيح لهم مغادرة السعودية في أي وقت</w:t>
      </w:r>
    </w:p>
    <w:p w14:paraId="5F92C4E0" w14:textId="77777777" w:rsidR="007D7652" w:rsidRPr="007D7652" w:rsidRDefault="007D7652" w:rsidP="007D7652">
      <w:pPr>
        <w:numPr>
          <w:ilvl w:val="0"/>
          <w:numId w:val="40"/>
        </w:numPr>
        <w:pBdr>
          <w:top w:val="nil"/>
          <w:left w:val="nil"/>
          <w:bottom w:val="nil"/>
          <w:right w:val="nil"/>
          <w:between w:val="nil"/>
        </w:pBdr>
        <w:bidi/>
        <w:spacing w:after="0" w:line="276" w:lineRule="auto"/>
        <w:ind w:left="360"/>
        <w:jc w:val="both"/>
        <w:rPr>
          <w:rFonts w:asciiTheme="majorBidi" w:eastAsia="Dubai" w:hAnsiTheme="majorBidi" w:cstheme="majorBidi"/>
          <w:color w:val="000000"/>
          <w:sz w:val="24"/>
          <w:szCs w:val="24"/>
        </w:rPr>
      </w:pPr>
      <w:r w:rsidRPr="007D7652">
        <w:rPr>
          <w:rFonts w:asciiTheme="majorBidi" w:eastAsia="Dubai" w:hAnsiTheme="majorBidi" w:cstheme="majorBidi"/>
          <w:color w:val="000000"/>
          <w:sz w:val="24"/>
          <w:szCs w:val="24"/>
          <w:rtl/>
        </w:rPr>
        <w:t xml:space="preserve">اعتماد تشريعات تعترف بشكل واضح بالحق في المساواة وعدم التمييز على أساس الإعاقة بما يزيل جميع أشكال التمييز ضد الأشخاص ذوي الإعاقة وفي مقدمتهم النساء ذوات الإعاقة </w:t>
      </w:r>
    </w:p>
    <w:p w14:paraId="1C97B6F8" w14:textId="77777777" w:rsidR="007D7652" w:rsidRPr="007D7652" w:rsidRDefault="007D7652" w:rsidP="007D7652">
      <w:pPr>
        <w:numPr>
          <w:ilvl w:val="0"/>
          <w:numId w:val="40"/>
        </w:numPr>
        <w:pBdr>
          <w:top w:val="nil"/>
          <w:left w:val="nil"/>
          <w:bottom w:val="nil"/>
          <w:right w:val="nil"/>
          <w:between w:val="nil"/>
        </w:pBdr>
        <w:bidi/>
        <w:spacing w:line="276" w:lineRule="auto"/>
        <w:ind w:left="360"/>
        <w:jc w:val="both"/>
        <w:rPr>
          <w:rFonts w:asciiTheme="majorBidi" w:eastAsia="Dubai" w:hAnsiTheme="majorBidi" w:cstheme="majorBidi"/>
          <w:color w:val="000000"/>
          <w:sz w:val="24"/>
          <w:szCs w:val="24"/>
        </w:rPr>
      </w:pPr>
      <w:r w:rsidRPr="007D7652">
        <w:rPr>
          <w:rFonts w:asciiTheme="majorBidi" w:eastAsia="Dubai" w:hAnsiTheme="majorBidi" w:cstheme="majorBidi"/>
          <w:color w:val="000000"/>
          <w:sz w:val="24"/>
          <w:szCs w:val="24"/>
          <w:rtl/>
        </w:rPr>
        <w:lastRenderedPageBreak/>
        <w:t xml:space="preserve">ضرورة توسيع قاعدة مشاركة منظمات المجتمع المدني </w:t>
      </w:r>
      <w:r w:rsidRPr="007D7652">
        <w:rPr>
          <w:rFonts w:asciiTheme="majorBidi" w:eastAsia="Dubai" w:hAnsiTheme="majorBidi" w:cstheme="majorBidi"/>
          <w:sz w:val="24"/>
          <w:szCs w:val="24"/>
          <w:rtl/>
        </w:rPr>
        <w:t>أثناء</w:t>
      </w:r>
      <w:r w:rsidRPr="007D7652">
        <w:rPr>
          <w:rFonts w:asciiTheme="majorBidi" w:eastAsia="Dubai" w:hAnsiTheme="majorBidi" w:cstheme="majorBidi"/>
          <w:color w:val="000000"/>
          <w:sz w:val="24"/>
          <w:szCs w:val="24"/>
          <w:rtl/>
        </w:rPr>
        <w:t xml:space="preserve"> إعداد التقارير المقدمة إلى لجان المعاهدات </w:t>
      </w:r>
      <w:r w:rsidRPr="007D7652">
        <w:rPr>
          <w:rFonts w:asciiTheme="majorBidi" w:eastAsia="Dubai" w:hAnsiTheme="majorBidi" w:cstheme="majorBidi"/>
          <w:sz w:val="24"/>
          <w:szCs w:val="24"/>
          <w:rtl/>
        </w:rPr>
        <w:t>وإجراءات</w:t>
      </w:r>
      <w:r w:rsidRPr="007D7652">
        <w:rPr>
          <w:rFonts w:asciiTheme="majorBidi" w:eastAsia="Dubai" w:hAnsiTheme="majorBidi" w:cstheme="majorBidi"/>
          <w:color w:val="000000"/>
          <w:sz w:val="24"/>
          <w:szCs w:val="24"/>
          <w:rtl/>
        </w:rPr>
        <w:t xml:space="preserve"> مشاورات مع ممثلين للمجتمعات الأكثر تأثرًا بأحكام </w:t>
      </w:r>
      <w:r w:rsidRPr="007D7652">
        <w:rPr>
          <w:rFonts w:asciiTheme="majorBidi" w:eastAsia="Dubai" w:hAnsiTheme="majorBidi" w:cstheme="majorBidi"/>
          <w:sz w:val="24"/>
          <w:szCs w:val="24"/>
          <w:rtl/>
        </w:rPr>
        <w:t>الاتفاقية</w:t>
      </w:r>
    </w:p>
    <w:p w14:paraId="035309A9" w14:textId="77777777" w:rsidR="007D7652" w:rsidRPr="007D7652" w:rsidRDefault="007D7652" w:rsidP="007D7652">
      <w:pPr>
        <w:bidi/>
        <w:spacing w:line="276" w:lineRule="auto"/>
        <w:jc w:val="both"/>
        <w:rPr>
          <w:rFonts w:asciiTheme="majorBidi" w:eastAsia="Dubai" w:hAnsiTheme="majorBidi" w:cstheme="majorBidi"/>
          <w:sz w:val="24"/>
          <w:szCs w:val="24"/>
        </w:rPr>
      </w:pPr>
    </w:p>
    <w:p w14:paraId="23A64966" w14:textId="77777777" w:rsidR="007D7652" w:rsidRPr="007D7652" w:rsidRDefault="007D7652" w:rsidP="007D7652">
      <w:pPr>
        <w:bidi/>
        <w:spacing w:line="276" w:lineRule="auto"/>
        <w:jc w:val="both"/>
        <w:rPr>
          <w:rFonts w:asciiTheme="majorBidi" w:eastAsia="Dubai" w:hAnsiTheme="majorBidi" w:cstheme="majorBidi"/>
          <w:sz w:val="24"/>
          <w:szCs w:val="24"/>
        </w:rPr>
      </w:pPr>
    </w:p>
    <w:p w14:paraId="6FC6308C" w14:textId="074C1D40" w:rsidR="006B1AFB" w:rsidRPr="007D7652" w:rsidRDefault="006B1AFB" w:rsidP="007D7652">
      <w:pPr>
        <w:spacing w:line="276" w:lineRule="auto"/>
        <w:rPr>
          <w:rFonts w:asciiTheme="majorBidi" w:hAnsiTheme="majorBidi" w:cstheme="majorBidi"/>
          <w:sz w:val="24"/>
          <w:szCs w:val="24"/>
          <w:rtl/>
        </w:rPr>
      </w:pPr>
    </w:p>
    <w:sectPr w:rsidR="006B1AFB" w:rsidRPr="007D7652"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C1450" w14:textId="77777777" w:rsidR="00153A9B" w:rsidRDefault="00153A9B" w:rsidP="004F6D5A">
      <w:pPr>
        <w:spacing w:after="0" w:line="240" w:lineRule="auto"/>
      </w:pPr>
      <w:r>
        <w:separator/>
      </w:r>
    </w:p>
  </w:endnote>
  <w:endnote w:type="continuationSeparator" w:id="0">
    <w:p w14:paraId="507CAFD1" w14:textId="77777777" w:rsidR="00153A9B" w:rsidRDefault="00153A9B"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Noto Sans Symbols">
    <w:altName w:val="Calibri"/>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4DD7A8" w14:textId="77777777" w:rsidR="00153A9B" w:rsidRDefault="00153A9B" w:rsidP="004F6D5A">
      <w:pPr>
        <w:spacing w:after="0" w:line="240" w:lineRule="auto"/>
      </w:pPr>
      <w:r>
        <w:separator/>
      </w:r>
    </w:p>
  </w:footnote>
  <w:footnote w:type="continuationSeparator" w:id="0">
    <w:p w14:paraId="467A21B8" w14:textId="77777777" w:rsidR="00153A9B" w:rsidRDefault="00153A9B" w:rsidP="004F6D5A">
      <w:pPr>
        <w:spacing w:after="0" w:line="240" w:lineRule="auto"/>
      </w:pPr>
      <w:r>
        <w:continuationSeparator/>
      </w:r>
    </w:p>
  </w:footnote>
  <w:footnote w:id="1">
    <w:p w14:paraId="3D5A9FF4" w14:textId="77777777" w:rsidR="007D7652" w:rsidRPr="007D7652" w:rsidRDefault="007D7652" w:rsidP="007D7652">
      <w:pPr>
        <w:pBdr>
          <w:top w:val="nil"/>
          <w:left w:val="nil"/>
          <w:bottom w:val="nil"/>
          <w:right w:val="nil"/>
          <w:between w:val="nil"/>
        </w:pBdr>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Pr>
        <w:t xml:space="preserve"> Combined tenth and eleventh periodic reports submitted by Saudi Arabia under article 9 of the Convention, due in 2022, </w:t>
      </w:r>
      <w:hyperlink r:id="rId1">
        <w:r w:rsidRPr="007D7652">
          <w:rPr>
            <w:rFonts w:asciiTheme="majorBidi" w:eastAsia="Calibri" w:hAnsiTheme="majorBidi" w:cstheme="majorBidi"/>
            <w:color w:val="0563C1"/>
            <w:sz w:val="18"/>
            <w:szCs w:val="18"/>
            <w:u w:val="single"/>
          </w:rPr>
          <w:t>https://tinyurl.com/y55br8vv</w:t>
        </w:r>
      </w:hyperlink>
      <w:r w:rsidRPr="007D7652">
        <w:rPr>
          <w:rFonts w:asciiTheme="majorBidi" w:eastAsia="Calibri" w:hAnsiTheme="majorBidi" w:cstheme="majorBidi"/>
          <w:color w:val="000000"/>
          <w:sz w:val="18"/>
          <w:szCs w:val="18"/>
        </w:rPr>
        <w:t xml:space="preserve"> </w:t>
      </w:r>
    </w:p>
  </w:footnote>
  <w:footnote w:id="2">
    <w:p w14:paraId="58B73293" w14:textId="77777777" w:rsidR="007D7652" w:rsidRPr="007D7652" w:rsidRDefault="007D7652" w:rsidP="007D7652">
      <w:pPr>
        <w:pBdr>
          <w:top w:val="nil"/>
          <w:left w:val="nil"/>
          <w:bottom w:val="nil"/>
          <w:right w:val="nil"/>
          <w:between w:val="nil"/>
        </w:pBdr>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Pr>
        <w:t xml:space="preserve"> Saudi Arabia's human rights commission recommends law to tackle all racial discrimination, </w:t>
      </w:r>
      <w:hyperlink r:id="rId2">
        <w:r w:rsidRPr="007D7652">
          <w:rPr>
            <w:rFonts w:asciiTheme="majorBidi" w:eastAsia="Calibri" w:hAnsiTheme="majorBidi" w:cstheme="majorBidi"/>
            <w:color w:val="0563C1"/>
            <w:sz w:val="18"/>
            <w:szCs w:val="18"/>
            <w:u w:val="single"/>
          </w:rPr>
          <w:t>https://www.arabnews.com/node/1586031/saudi-arabia</w:t>
        </w:r>
      </w:hyperlink>
      <w:r w:rsidRPr="007D7652">
        <w:rPr>
          <w:rFonts w:asciiTheme="majorBidi" w:eastAsia="Calibri" w:hAnsiTheme="majorBidi" w:cstheme="majorBidi"/>
          <w:color w:val="000000"/>
          <w:sz w:val="18"/>
          <w:szCs w:val="18"/>
        </w:rPr>
        <w:t xml:space="preserve"> </w:t>
      </w:r>
    </w:p>
  </w:footnote>
  <w:footnote w:id="3">
    <w:p w14:paraId="071C1091" w14:textId="77777777" w:rsidR="007D7652" w:rsidRPr="007D7652" w:rsidRDefault="007D7652" w:rsidP="007D7652">
      <w:pPr>
        <w:pBdr>
          <w:top w:val="nil"/>
          <w:left w:val="nil"/>
          <w:bottom w:val="nil"/>
          <w:right w:val="nil"/>
          <w:between w:val="nil"/>
        </w:pBdr>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Pr>
        <w:t xml:space="preserve"> Ibid </w:t>
      </w:r>
    </w:p>
  </w:footnote>
  <w:footnote w:id="4">
    <w:p w14:paraId="5AB43203" w14:textId="77777777" w:rsidR="007D7652" w:rsidRPr="007D7652" w:rsidRDefault="007D7652" w:rsidP="007D7652">
      <w:pPr>
        <w:pBdr>
          <w:top w:val="nil"/>
          <w:left w:val="nil"/>
          <w:bottom w:val="nil"/>
          <w:right w:val="nil"/>
          <w:between w:val="nil"/>
        </w:pBdr>
        <w:bidi/>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tl/>
        </w:rPr>
        <w:t xml:space="preserve">  أنظمة المملكة تحظر وتجرم جميع أشكال التمييز العنصري والكراهية والتعصب، وكالة الأنباء السعودية، 21 ماس 2019، </w:t>
      </w:r>
      <w:hyperlink r:id="rId3">
        <w:r w:rsidRPr="007D7652">
          <w:rPr>
            <w:rFonts w:asciiTheme="majorBidi" w:eastAsia="Calibri" w:hAnsiTheme="majorBidi" w:cstheme="majorBidi"/>
            <w:color w:val="0563C1"/>
            <w:sz w:val="18"/>
            <w:szCs w:val="18"/>
            <w:u w:val="single"/>
          </w:rPr>
          <w:t>https://www.spa.gov.sa/1902159</w:t>
        </w:r>
      </w:hyperlink>
    </w:p>
  </w:footnote>
  <w:footnote w:id="5">
    <w:p w14:paraId="4DEF84CA" w14:textId="77777777" w:rsidR="007D7652" w:rsidRPr="007D7652" w:rsidRDefault="007D7652" w:rsidP="007D7652">
      <w:pPr>
        <w:pBdr>
          <w:top w:val="nil"/>
          <w:left w:val="nil"/>
          <w:bottom w:val="nil"/>
          <w:right w:val="nil"/>
          <w:between w:val="nil"/>
        </w:pBdr>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Pr>
        <w:t xml:space="preserve"> Ibid, </w:t>
      </w:r>
      <w:hyperlink r:id="rId4">
        <w:r w:rsidRPr="007D7652">
          <w:rPr>
            <w:rFonts w:asciiTheme="majorBidi" w:eastAsia="Calibri" w:hAnsiTheme="majorBidi" w:cstheme="majorBidi"/>
            <w:color w:val="0563C1"/>
            <w:sz w:val="18"/>
            <w:szCs w:val="18"/>
            <w:u w:val="single"/>
          </w:rPr>
          <w:t>https://tinyurl.com/y55br8vv</w:t>
        </w:r>
      </w:hyperlink>
      <w:r w:rsidRPr="007D7652">
        <w:rPr>
          <w:rFonts w:asciiTheme="majorBidi" w:eastAsia="Calibri" w:hAnsiTheme="majorBidi" w:cstheme="majorBidi"/>
          <w:color w:val="000000"/>
          <w:sz w:val="18"/>
          <w:szCs w:val="18"/>
        </w:rPr>
        <w:t xml:space="preserve"> </w:t>
      </w:r>
    </w:p>
  </w:footnote>
  <w:footnote w:id="6">
    <w:p w14:paraId="78C62234" w14:textId="77777777" w:rsidR="007D7652" w:rsidRPr="007D7652" w:rsidRDefault="007D7652" w:rsidP="007D7652">
      <w:pPr>
        <w:pBdr>
          <w:top w:val="nil"/>
          <w:left w:val="nil"/>
          <w:bottom w:val="nil"/>
          <w:right w:val="nil"/>
          <w:between w:val="nil"/>
        </w:pBdr>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Pr>
        <w:t xml:space="preserve"> Compulsory Health Insurance for Domestic Workers Goes into Effect Today, </w:t>
      </w:r>
      <w:hyperlink r:id="rId5">
        <w:r w:rsidRPr="007D7652">
          <w:rPr>
            <w:rFonts w:asciiTheme="majorBidi" w:eastAsia="Calibri" w:hAnsiTheme="majorBidi" w:cstheme="majorBidi"/>
            <w:color w:val="0563C1"/>
            <w:sz w:val="18"/>
            <w:szCs w:val="18"/>
            <w:u w:val="single"/>
          </w:rPr>
          <w:t>https://www.spa.gov.sa/en/N2131616</w:t>
        </w:r>
      </w:hyperlink>
      <w:r w:rsidRPr="007D7652">
        <w:rPr>
          <w:rFonts w:asciiTheme="majorBidi" w:eastAsia="Calibri" w:hAnsiTheme="majorBidi" w:cstheme="majorBidi"/>
          <w:color w:val="000000"/>
          <w:sz w:val="18"/>
          <w:szCs w:val="18"/>
        </w:rPr>
        <w:t xml:space="preserve"> </w:t>
      </w:r>
    </w:p>
  </w:footnote>
  <w:footnote w:id="7">
    <w:p w14:paraId="641B2983" w14:textId="77777777" w:rsidR="007D7652" w:rsidRPr="007D7652" w:rsidRDefault="007D7652" w:rsidP="007D7652">
      <w:pPr>
        <w:pBdr>
          <w:top w:val="nil"/>
          <w:left w:val="nil"/>
          <w:bottom w:val="nil"/>
          <w:right w:val="nil"/>
          <w:between w:val="nil"/>
        </w:pBdr>
        <w:bidi/>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tl/>
        </w:rPr>
        <w:t xml:space="preserve"> "آل منسي": في النظام الجديد للعقوبات. انتقاص الأشخاص بالألفاظ والعنصرية جريمة، سبق، 23 يوليو 2022، </w:t>
      </w:r>
      <w:hyperlink r:id="rId6">
        <w:r w:rsidRPr="007D7652">
          <w:rPr>
            <w:rFonts w:asciiTheme="majorBidi" w:eastAsia="Calibri" w:hAnsiTheme="majorBidi" w:cstheme="majorBidi"/>
            <w:color w:val="0563C1"/>
            <w:sz w:val="18"/>
            <w:szCs w:val="18"/>
            <w:u w:val="single"/>
          </w:rPr>
          <w:t>https://sabq.org/saudia/8t2k5w769g</w:t>
        </w:r>
      </w:hyperlink>
    </w:p>
    <w:p w14:paraId="011473EA" w14:textId="77777777" w:rsidR="007D7652" w:rsidRPr="007D7652" w:rsidRDefault="007D7652" w:rsidP="007D7652">
      <w:pPr>
        <w:pBdr>
          <w:top w:val="nil"/>
          <w:left w:val="nil"/>
          <w:bottom w:val="nil"/>
          <w:right w:val="nil"/>
          <w:between w:val="nil"/>
        </w:pBdr>
        <w:bidi/>
        <w:spacing w:after="0" w:line="240" w:lineRule="auto"/>
        <w:rPr>
          <w:rFonts w:asciiTheme="majorBidi" w:hAnsiTheme="majorBidi" w:cstheme="majorBidi"/>
          <w:color w:val="000000"/>
          <w:sz w:val="18"/>
          <w:szCs w:val="18"/>
        </w:rPr>
      </w:pPr>
    </w:p>
  </w:footnote>
  <w:footnote w:id="8">
    <w:p w14:paraId="08AF8C03" w14:textId="77777777" w:rsidR="007D7652" w:rsidRPr="007D7652" w:rsidRDefault="007D7652" w:rsidP="007D7652">
      <w:pPr>
        <w:pBdr>
          <w:top w:val="nil"/>
          <w:left w:val="nil"/>
          <w:bottom w:val="nil"/>
          <w:right w:val="nil"/>
          <w:between w:val="nil"/>
        </w:pBdr>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Pr>
        <w:t xml:space="preserve"> FOLLOWING EXPOSÉ, AMAZON TO PAY NEARLY 2 MILLION TO MIGRANT WAREHOUSE WORKERS IN SAUDI ARABIA, </w:t>
      </w:r>
      <w:hyperlink r:id="rId7">
        <w:r w:rsidRPr="007D7652">
          <w:rPr>
            <w:rFonts w:asciiTheme="majorBidi" w:eastAsia="Calibri" w:hAnsiTheme="majorBidi" w:cstheme="majorBidi"/>
            <w:color w:val="0563C1"/>
            <w:sz w:val="18"/>
            <w:szCs w:val="18"/>
            <w:u w:val="single"/>
          </w:rPr>
          <w:t>https://uniglobalunion.org/news/saudi/</w:t>
        </w:r>
      </w:hyperlink>
      <w:r w:rsidRPr="007D7652">
        <w:rPr>
          <w:rFonts w:asciiTheme="majorBidi" w:eastAsia="Calibri" w:hAnsiTheme="majorBidi" w:cstheme="majorBidi"/>
          <w:color w:val="000000"/>
          <w:sz w:val="18"/>
          <w:szCs w:val="18"/>
        </w:rPr>
        <w:t xml:space="preserve"> </w:t>
      </w:r>
    </w:p>
  </w:footnote>
  <w:footnote w:id="9">
    <w:p w14:paraId="519B04D0" w14:textId="77777777" w:rsidR="007D7652" w:rsidRPr="007D7652" w:rsidRDefault="007D7652" w:rsidP="007D7652">
      <w:pPr>
        <w:pBdr>
          <w:top w:val="nil"/>
          <w:left w:val="nil"/>
          <w:bottom w:val="nil"/>
          <w:right w:val="nil"/>
          <w:between w:val="nil"/>
        </w:pBdr>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Pr>
        <w:t xml:space="preserve"> Ibid </w:t>
      </w:r>
    </w:p>
  </w:footnote>
  <w:footnote w:id="10">
    <w:p w14:paraId="43148DF8" w14:textId="77777777" w:rsidR="007D7652" w:rsidRPr="007D7652" w:rsidRDefault="007D7652" w:rsidP="007D7652">
      <w:pPr>
        <w:pBdr>
          <w:top w:val="nil"/>
          <w:left w:val="nil"/>
          <w:bottom w:val="nil"/>
          <w:right w:val="nil"/>
          <w:between w:val="nil"/>
        </w:pBdr>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Pr>
        <w:t xml:space="preserve"> 2034 FIFA World Cup Bid: BWI Lodges Complaint Against Saudi Arabia Over Forced Labor and Wage Theft, </w:t>
      </w:r>
      <w:hyperlink r:id="rId8">
        <w:r w:rsidRPr="007D7652">
          <w:rPr>
            <w:rFonts w:asciiTheme="majorBidi" w:eastAsia="Calibri" w:hAnsiTheme="majorBidi" w:cstheme="majorBidi"/>
            <w:color w:val="0563C1"/>
            <w:sz w:val="18"/>
            <w:szCs w:val="18"/>
            <w:u w:val="single"/>
          </w:rPr>
          <w:t>https://www.bwint.org/cms/2034-fifa-world-cup-bid-bwi-lodges-complaint-against-saudi-arabia-over-forced-labour-and-wage-theft-3141</w:t>
        </w:r>
      </w:hyperlink>
      <w:r w:rsidRPr="007D7652">
        <w:rPr>
          <w:rFonts w:asciiTheme="majorBidi" w:eastAsia="Calibri" w:hAnsiTheme="majorBidi" w:cstheme="majorBidi"/>
          <w:color w:val="000000"/>
          <w:sz w:val="18"/>
          <w:szCs w:val="18"/>
        </w:rPr>
        <w:t xml:space="preserve"> </w:t>
      </w:r>
    </w:p>
  </w:footnote>
  <w:footnote w:id="11">
    <w:p w14:paraId="0697428E" w14:textId="77777777" w:rsidR="007D7652" w:rsidRPr="007D7652" w:rsidRDefault="007D7652" w:rsidP="007D7652">
      <w:pPr>
        <w:pBdr>
          <w:top w:val="nil"/>
          <w:left w:val="nil"/>
          <w:bottom w:val="nil"/>
          <w:right w:val="nil"/>
          <w:between w:val="nil"/>
        </w:pBdr>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Pr>
        <w:t xml:space="preserve"> Migrant workers are trapped in Saudi Arabia because their children lack birth certificates, </w:t>
      </w:r>
      <w:hyperlink r:id="rId9">
        <w:r w:rsidRPr="007D7652">
          <w:rPr>
            <w:rFonts w:asciiTheme="majorBidi" w:eastAsia="Calibri" w:hAnsiTheme="majorBidi" w:cstheme="majorBidi"/>
            <w:color w:val="0563C1"/>
            <w:sz w:val="18"/>
            <w:szCs w:val="18"/>
            <w:u w:val="single"/>
          </w:rPr>
          <w:t>https://freedomcollaborative.org/newsletter-archive/migrant-workers-are-trapped-in-saudi-arabia-because-their-children-lack-birth-certificates</w:t>
        </w:r>
      </w:hyperlink>
      <w:r w:rsidRPr="007D7652">
        <w:rPr>
          <w:rFonts w:asciiTheme="majorBidi" w:eastAsia="Calibri" w:hAnsiTheme="majorBidi" w:cstheme="majorBidi"/>
          <w:color w:val="000000"/>
          <w:sz w:val="18"/>
          <w:szCs w:val="18"/>
        </w:rPr>
        <w:t xml:space="preserve"> </w:t>
      </w:r>
    </w:p>
  </w:footnote>
  <w:footnote w:id="12">
    <w:p w14:paraId="73E104CB" w14:textId="77777777" w:rsidR="007D7652" w:rsidRPr="007D7652" w:rsidRDefault="007D7652" w:rsidP="007D7652">
      <w:pPr>
        <w:pBdr>
          <w:top w:val="nil"/>
          <w:left w:val="nil"/>
          <w:bottom w:val="nil"/>
          <w:right w:val="nil"/>
          <w:between w:val="nil"/>
        </w:pBdr>
        <w:spacing w:after="0" w:line="240" w:lineRule="auto"/>
        <w:rPr>
          <w:rFonts w:asciiTheme="majorBidi" w:hAnsiTheme="majorBidi" w:cstheme="majorBidi"/>
          <w:color w:val="000000"/>
          <w:sz w:val="18"/>
          <w:szCs w:val="18"/>
        </w:rPr>
      </w:pPr>
      <w:r w:rsidRPr="007D7652">
        <w:rPr>
          <w:rFonts w:asciiTheme="majorBidi" w:hAnsiTheme="majorBidi" w:cstheme="majorBidi"/>
          <w:sz w:val="18"/>
          <w:szCs w:val="18"/>
          <w:vertAlign w:val="superscript"/>
        </w:rPr>
        <w:footnoteRef/>
      </w:r>
      <w:r w:rsidRPr="007D7652">
        <w:rPr>
          <w:rFonts w:asciiTheme="majorBidi" w:eastAsia="Calibri" w:hAnsiTheme="majorBidi" w:cstheme="majorBidi"/>
          <w:color w:val="000000"/>
          <w:sz w:val="18"/>
          <w:szCs w:val="18"/>
        </w:rPr>
        <w:t xml:space="preserve"> The human rights situation in the Arab region in light of the continuation of the Corona pandemic... Limited development and continuing crises, </w:t>
      </w:r>
      <w:hyperlink r:id="rId10">
        <w:r w:rsidRPr="007D7652">
          <w:rPr>
            <w:rFonts w:asciiTheme="majorBidi" w:eastAsia="Calibri" w:hAnsiTheme="majorBidi" w:cstheme="majorBidi"/>
            <w:color w:val="0563C1"/>
            <w:sz w:val="18"/>
            <w:szCs w:val="18"/>
            <w:u w:val="single"/>
          </w:rPr>
          <w:t>https://tinyurl.com/4fyur2rb</w:t>
        </w:r>
      </w:hyperlink>
      <w:r w:rsidRPr="007D7652">
        <w:rPr>
          <w:rFonts w:asciiTheme="majorBidi" w:eastAsia="Calibri" w:hAnsiTheme="majorBidi" w:cstheme="majorBidi"/>
          <w:color w:val="000000"/>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8437A5"/>
    <w:multiLevelType w:val="multilevel"/>
    <w:tmpl w:val="EEA014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7"/>
  </w:num>
  <w:num w:numId="2" w16cid:durableId="319427900">
    <w:abstractNumId w:val="5"/>
  </w:num>
  <w:num w:numId="3" w16cid:durableId="483819352">
    <w:abstractNumId w:val="1"/>
  </w:num>
  <w:num w:numId="4" w16cid:durableId="1550531087">
    <w:abstractNumId w:val="13"/>
  </w:num>
  <w:num w:numId="5" w16cid:durableId="365302262">
    <w:abstractNumId w:val="3"/>
  </w:num>
  <w:num w:numId="6" w16cid:durableId="1490904455">
    <w:abstractNumId w:val="29"/>
  </w:num>
  <w:num w:numId="7" w16cid:durableId="1975796718">
    <w:abstractNumId w:val="34"/>
  </w:num>
  <w:num w:numId="8" w16cid:durableId="168910388">
    <w:abstractNumId w:val="37"/>
  </w:num>
  <w:num w:numId="9" w16cid:durableId="864364265">
    <w:abstractNumId w:val="27"/>
  </w:num>
  <w:num w:numId="10" w16cid:durableId="1110662610">
    <w:abstractNumId w:val="30"/>
  </w:num>
  <w:num w:numId="11" w16cid:durableId="48504678">
    <w:abstractNumId w:val="22"/>
  </w:num>
  <w:num w:numId="12" w16cid:durableId="1057243330">
    <w:abstractNumId w:val="36"/>
  </w:num>
  <w:num w:numId="13" w16cid:durableId="113838224">
    <w:abstractNumId w:val="20"/>
  </w:num>
  <w:num w:numId="14" w16cid:durableId="1819300015">
    <w:abstractNumId w:val="8"/>
  </w:num>
  <w:num w:numId="15" w16cid:durableId="1354769003">
    <w:abstractNumId w:val="26"/>
  </w:num>
  <w:num w:numId="16" w16cid:durableId="765884069">
    <w:abstractNumId w:val="14"/>
  </w:num>
  <w:num w:numId="17" w16cid:durableId="1830708544">
    <w:abstractNumId w:val="0"/>
  </w:num>
  <w:num w:numId="18" w16cid:durableId="1195772453">
    <w:abstractNumId w:val="18"/>
  </w:num>
  <w:num w:numId="19" w16cid:durableId="116266373">
    <w:abstractNumId w:val="2"/>
  </w:num>
  <w:num w:numId="20" w16cid:durableId="1165899663">
    <w:abstractNumId w:val="10"/>
  </w:num>
  <w:num w:numId="21" w16cid:durableId="1921870603">
    <w:abstractNumId w:val="39"/>
  </w:num>
  <w:num w:numId="22" w16cid:durableId="1106846340">
    <w:abstractNumId w:val="12"/>
  </w:num>
  <w:num w:numId="23" w16cid:durableId="1120413215">
    <w:abstractNumId w:val="16"/>
  </w:num>
  <w:num w:numId="24" w16cid:durableId="884490536">
    <w:abstractNumId w:val="28"/>
  </w:num>
  <w:num w:numId="25" w16cid:durableId="1098991049">
    <w:abstractNumId w:val="32"/>
  </w:num>
  <w:num w:numId="26" w16cid:durableId="631596808">
    <w:abstractNumId w:val="9"/>
  </w:num>
  <w:num w:numId="27" w16cid:durableId="1306087360">
    <w:abstractNumId w:val="7"/>
  </w:num>
  <w:num w:numId="28" w16cid:durableId="909191109">
    <w:abstractNumId w:val="23"/>
  </w:num>
  <w:num w:numId="29" w16cid:durableId="556204899">
    <w:abstractNumId w:val="24"/>
  </w:num>
  <w:num w:numId="30" w16cid:durableId="1668284805">
    <w:abstractNumId w:val="15"/>
  </w:num>
  <w:num w:numId="31" w16cid:durableId="1777868951">
    <w:abstractNumId w:val="21"/>
  </w:num>
  <w:num w:numId="32" w16cid:durableId="1614898655">
    <w:abstractNumId w:val="6"/>
  </w:num>
  <w:num w:numId="33" w16cid:durableId="364449577">
    <w:abstractNumId w:val="11"/>
  </w:num>
  <w:num w:numId="34" w16cid:durableId="248081818">
    <w:abstractNumId w:val="35"/>
  </w:num>
  <w:num w:numId="35" w16cid:durableId="1742749116">
    <w:abstractNumId w:val="33"/>
  </w:num>
  <w:num w:numId="36" w16cid:durableId="1632056943">
    <w:abstractNumId w:val="25"/>
  </w:num>
  <w:num w:numId="37" w16cid:durableId="16198188">
    <w:abstractNumId w:val="31"/>
  </w:num>
  <w:num w:numId="38" w16cid:durableId="995642619">
    <w:abstractNumId w:val="19"/>
  </w:num>
  <w:num w:numId="39" w16cid:durableId="1951429902">
    <w:abstractNumId w:val="38"/>
  </w:num>
  <w:num w:numId="40" w16cid:durableId="734034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93D9F"/>
    <w:rsid w:val="000A0E24"/>
    <w:rsid w:val="000B5D57"/>
    <w:rsid w:val="000B6F75"/>
    <w:rsid w:val="000C7C14"/>
    <w:rsid w:val="00101544"/>
    <w:rsid w:val="00114CCA"/>
    <w:rsid w:val="00153A9B"/>
    <w:rsid w:val="00156C09"/>
    <w:rsid w:val="00196443"/>
    <w:rsid w:val="001A6E66"/>
    <w:rsid w:val="001D532C"/>
    <w:rsid w:val="001D6213"/>
    <w:rsid w:val="001F47FD"/>
    <w:rsid w:val="002257CD"/>
    <w:rsid w:val="002305C5"/>
    <w:rsid w:val="00284AAE"/>
    <w:rsid w:val="002876FE"/>
    <w:rsid w:val="002D0B34"/>
    <w:rsid w:val="002D5B01"/>
    <w:rsid w:val="002D65A3"/>
    <w:rsid w:val="003216C7"/>
    <w:rsid w:val="003319F3"/>
    <w:rsid w:val="003439F7"/>
    <w:rsid w:val="00360DAB"/>
    <w:rsid w:val="00372B51"/>
    <w:rsid w:val="0038184B"/>
    <w:rsid w:val="003A0EBE"/>
    <w:rsid w:val="003A1F96"/>
    <w:rsid w:val="003A60A9"/>
    <w:rsid w:val="003A745E"/>
    <w:rsid w:val="003B7C83"/>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105E2"/>
    <w:rsid w:val="00640577"/>
    <w:rsid w:val="006412F6"/>
    <w:rsid w:val="00644334"/>
    <w:rsid w:val="00644785"/>
    <w:rsid w:val="00646A53"/>
    <w:rsid w:val="006807A3"/>
    <w:rsid w:val="00690C3F"/>
    <w:rsid w:val="00693967"/>
    <w:rsid w:val="006B1AFB"/>
    <w:rsid w:val="006F5D15"/>
    <w:rsid w:val="00713444"/>
    <w:rsid w:val="00730743"/>
    <w:rsid w:val="0074772B"/>
    <w:rsid w:val="0075015E"/>
    <w:rsid w:val="00755B2C"/>
    <w:rsid w:val="00786D2C"/>
    <w:rsid w:val="007A3C77"/>
    <w:rsid w:val="007B5697"/>
    <w:rsid w:val="007C2144"/>
    <w:rsid w:val="007C3E73"/>
    <w:rsid w:val="007D7652"/>
    <w:rsid w:val="007E38ED"/>
    <w:rsid w:val="007E56C8"/>
    <w:rsid w:val="007F62CB"/>
    <w:rsid w:val="00823531"/>
    <w:rsid w:val="00823F46"/>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C623E"/>
    <w:rsid w:val="009D1F8F"/>
    <w:rsid w:val="009E290C"/>
    <w:rsid w:val="00A3448D"/>
    <w:rsid w:val="00A37636"/>
    <w:rsid w:val="00A537CE"/>
    <w:rsid w:val="00A81650"/>
    <w:rsid w:val="00A81860"/>
    <w:rsid w:val="00A83C1E"/>
    <w:rsid w:val="00AF7FD1"/>
    <w:rsid w:val="00B01D47"/>
    <w:rsid w:val="00B252C5"/>
    <w:rsid w:val="00B35D5B"/>
    <w:rsid w:val="00B50DC2"/>
    <w:rsid w:val="00B53978"/>
    <w:rsid w:val="00B66916"/>
    <w:rsid w:val="00B76BA7"/>
    <w:rsid w:val="00BA7411"/>
    <w:rsid w:val="00BB10FB"/>
    <w:rsid w:val="00BB2414"/>
    <w:rsid w:val="00BB2E0C"/>
    <w:rsid w:val="00BC2D2E"/>
    <w:rsid w:val="00BC41A1"/>
    <w:rsid w:val="00BE6F35"/>
    <w:rsid w:val="00C0706B"/>
    <w:rsid w:val="00C34E13"/>
    <w:rsid w:val="00C47923"/>
    <w:rsid w:val="00C86D0C"/>
    <w:rsid w:val="00CC2F15"/>
    <w:rsid w:val="00CC606D"/>
    <w:rsid w:val="00CD3720"/>
    <w:rsid w:val="00CD5381"/>
    <w:rsid w:val="00D01C6A"/>
    <w:rsid w:val="00D11899"/>
    <w:rsid w:val="00D500E7"/>
    <w:rsid w:val="00D56CB6"/>
    <w:rsid w:val="00D57B63"/>
    <w:rsid w:val="00D674C8"/>
    <w:rsid w:val="00DB04A9"/>
    <w:rsid w:val="00DB5AB9"/>
    <w:rsid w:val="00DC35AC"/>
    <w:rsid w:val="00DE35AB"/>
    <w:rsid w:val="00DF3596"/>
    <w:rsid w:val="00E3117B"/>
    <w:rsid w:val="00E4520A"/>
    <w:rsid w:val="00E45A93"/>
    <w:rsid w:val="00E55456"/>
    <w:rsid w:val="00E820AA"/>
    <w:rsid w:val="00E94DD0"/>
    <w:rsid w:val="00E9641B"/>
    <w:rsid w:val="00EA2C34"/>
    <w:rsid w:val="00EA4670"/>
    <w:rsid w:val="00EB7424"/>
    <w:rsid w:val="00ED3ED2"/>
    <w:rsid w:val="00ED7702"/>
    <w:rsid w:val="00EF597D"/>
    <w:rsid w:val="00F533B4"/>
    <w:rsid w:val="00F56B3D"/>
    <w:rsid w:val="00F60E10"/>
    <w:rsid w:val="00F715CB"/>
    <w:rsid w:val="00F72F2C"/>
    <w:rsid w:val="00F8429A"/>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bwint.org/cms/2034-fifa-world-cup-bid-bwi-lodges-complaint-against-saudi-arabia-over-forced-labour-and-wage-theft-3141" TargetMode="External"/><Relationship Id="rId3" Type="http://schemas.openxmlformats.org/officeDocument/2006/relationships/hyperlink" Target="https://www.spa.gov.sa/1902159" TargetMode="External"/><Relationship Id="rId7" Type="http://schemas.openxmlformats.org/officeDocument/2006/relationships/hyperlink" Target="https://uniglobalunion.org/news/saudi/" TargetMode="External"/><Relationship Id="rId2" Type="http://schemas.openxmlformats.org/officeDocument/2006/relationships/hyperlink" Target="https://www.arabnews.com/node/1586031/saudi-arabia" TargetMode="External"/><Relationship Id="rId1" Type="http://schemas.openxmlformats.org/officeDocument/2006/relationships/hyperlink" Target="https://tinyurl.com/y55br8vv" TargetMode="External"/><Relationship Id="rId6" Type="http://schemas.openxmlformats.org/officeDocument/2006/relationships/hyperlink" Target="https://sabq.org/saudia/8t2k5w769g" TargetMode="External"/><Relationship Id="rId5" Type="http://schemas.openxmlformats.org/officeDocument/2006/relationships/hyperlink" Target="https://www.spa.gov.sa/en/N2131616" TargetMode="External"/><Relationship Id="rId10" Type="http://schemas.openxmlformats.org/officeDocument/2006/relationships/hyperlink" Target="https://tinyurl.com/4fyur2rb" TargetMode="External"/><Relationship Id="rId4" Type="http://schemas.openxmlformats.org/officeDocument/2006/relationships/hyperlink" Target="https://tinyurl.com/y55br8vv" TargetMode="External"/><Relationship Id="rId9" Type="http://schemas.openxmlformats.org/officeDocument/2006/relationships/hyperlink" Target="https://freedomcollaborative.org/newsletter-archive/migrant-workers-are-trapped-in-saudi-arabia-because-their-children-lack-birth-certificat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CCE1E03A-353A-43D2-933E-19D64A604AE1}"/>
</file>

<file path=customXml/itemProps3.xml><?xml version="1.0" encoding="utf-8"?>
<ds:datastoreItem xmlns:ds="http://schemas.openxmlformats.org/officeDocument/2006/customXml" ds:itemID="{D8CDEA8C-0FDE-4FAB-B65F-5A3CAD11AB4F}"/>
</file>

<file path=docProps/app.xml><?xml version="1.0" encoding="utf-8"?>
<Properties xmlns="http://schemas.openxmlformats.org/officeDocument/2006/extended-properties" xmlns:vt="http://schemas.openxmlformats.org/officeDocument/2006/docPropsVTypes">
  <Template>Normal</Template>
  <TotalTime>8</TotalTime>
  <Pages>6</Pages>
  <Words>2112</Words>
  <Characters>12043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2024-10-20T12:26:00Z</dcterms:created>
  <dcterms:modified xsi:type="dcterms:W3CDTF">2024-10-20T12:26:00Z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