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D1BBD" w14:textId="77777777" w:rsidR="00A46043" w:rsidRDefault="00A46043">
      <w:pPr>
        <w:pStyle w:val="Standard"/>
        <w:rPr>
          <w:b/>
          <w:bCs/>
        </w:rPr>
      </w:pPr>
    </w:p>
    <w:p w14:paraId="1E0E02C5" w14:textId="77777777" w:rsidR="00A46043" w:rsidRDefault="00A46043">
      <w:pPr>
        <w:pStyle w:val="Standard"/>
        <w:rPr>
          <w:b/>
          <w:bCs/>
        </w:rPr>
      </w:pPr>
    </w:p>
    <w:p w14:paraId="1A8D02A1" w14:textId="77777777" w:rsidR="00A46043" w:rsidRDefault="00A46043">
      <w:pPr>
        <w:pStyle w:val="Standard"/>
        <w:rPr>
          <w:b/>
          <w:bCs/>
        </w:rPr>
      </w:pPr>
    </w:p>
    <w:p w14:paraId="2EAAA3C5" w14:textId="77777777" w:rsidR="00A46043" w:rsidRDefault="00A46043">
      <w:pPr>
        <w:pStyle w:val="Standard"/>
        <w:rPr>
          <w:b/>
          <w:bCs/>
        </w:rPr>
      </w:pPr>
    </w:p>
    <w:p w14:paraId="635988C4" w14:textId="77777777" w:rsidR="00A46043" w:rsidRDefault="00A46043">
      <w:pPr>
        <w:pStyle w:val="Standard"/>
        <w:rPr>
          <w:b/>
          <w:bCs/>
        </w:rPr>
      </w:pPr>
    </w:p>
    <w:p w14:paraId="7CE0BCFD" w14:textId="77777777" w:rsidR="00A46043" w:rsidRDefault="00A46043">
      <w:pPr>
        <w:pStyle w:val="Standard"/>
        <w:rPr>
          <w:b/>
          <w:bCs/>
        </w:rPr>
      </w:pPr>
    </w:p>
    <w:p w14:paraId="54BF246E" w14:textId="77777777" w:rsidR="00A46043" w:rsidRDefault="00A46043">
      <w:pPr>
        <w:pStyle w:val="Standard"/>
        <w:rPr>
          <w:b/>
          <w:bCs/>
        </w:rPr>
      </w:pPr>
    </w:p>
    <w:p w14:paraId="43E566CE" w14:textId="77777777" w:rsidR="00A46043" w:rsidRDefault="00A46043">
      <w:pPr>
        <w:pStyle w:val="Standard"/>
        <w:jc w:val="center"/>
        <w:rPr>
          <w:b/>
          <w:bCs/>
          <w:sz w:val="36"/>
          <w:szCs w:val="36"/>
        </w:rPr>
      </w:pPr>
      <w:r>
        <w:rPr>
          <w:b/>
          <w:bCs/>
          <w:sz w:val="36"/>
          <w:szCs w:val="36"/>
        </w:rPr>
        <w:t>ALTERNATIVE REPORT ON THE IMPLEMENTATION OF THE UN CONVENTION</w:t>
      </w:r>
    </w:p>
    <w:p w14:paraId="52A5B451" w14:textId="77777777" w:rsidR="00A46043" w:rsidRDefault="00A46043">
      <w:pPr>
        <w:pStyle w:val="Standard"/>
        <w:jc w:val="center"/>
        <w:rPr>
          <w:b/>
          <w:bCs/>
          <w:sz w:val="36"/>
          <w:szCs w:val="36"/>
        </w:rPr>
      </w:pPr>
      <w:r>
        <w:rPr>
          <w:b/>
          <w:bCs/>
          <w:sz w:val="36"/>
          <w:szCs w:val="36"/>
        </w:rPr>
        <w:t>ON THE RIGHTS OF PERSONS WITH DISABILITIES</w:t>
      </w:r>
    </w:p>
    <w:p w14:paraId="3A036C34" w14:textId="77777777" w:rsidR="00A46043" w:rsidRDefault="00A46043">
      <w:pPr>
        <w:pStyle w:val="Standard"/>
        <w:jc w:val="center"/>
        <w:rPr>
          <w:b/>
          <w:bCs/>
        </w:rPr>
      </w:pPr>
      <w:r>
        <w:rPr>
          <w:b/>
          <w:bCs/>
          <w:sz w:val="36"/>
          <w:szCs w:val="36"/>
        </w:rPr>
        <w:t>IN THE NETHERLANDS, DENMARK AND THE FAROE ISLANDS</w:t>
      </w:r>
    </w:p>
    <w:p w14:paraId="305AEC7F" w14:textId="77777777" w:rsidR="00A46043" w:rsidRDefault="00A46043">
      <w:pPr>
        <w:pStyle w:val="Standard"/>
        <w:jc w:val="center"/>
        <w:rPr>
          <w:b/>
          <w:bCs/>
        </w:rPr>
      </w:pPr>
    </w:p>
    <w:p w14:paraId="2B2F834E" w14:textId="77777777" w:rsidR="00A46043" w:rsidRDefault="00A46043">
      <w:pPr>
        <w:pStyle w:val="Standard"/>
        <w:jc w:val="center"/>
        <w:rPr>
          <w:b/>
          <w:bCs/>
        </w:rPr>
      </w:pPr>
    </w:p>
    <w:p w14:paraId="58CCFF88" w14:textId="77777777" w:rsidR="00A46043" w:rsidRDefault="00A46043">
      <w:pPr>
        <w:pStyle w:val="Standard"/>
        <w:jc w:val="center"/>
        <w:rPr>
          <w:b/>
          <w:bCs/>
        </w:rPr>
      </w:pPr>
    </w:p>
    <w:p w14:paraId="4B73E716" w14:textId="77777777" w:rsidR="00A46043" w:rsidRDefault="00A46043">
      <w:pPr>
        <w:pStyle w:val="Standard"/>
        <w:jc w:val="center"/>
        <w:rPr>
          <w:sz w:val="28"/>
          <w:szCs w:val="28"/>
        </w:rPr>
      </w:pPr>
      <w:r>
        <w:rPr>
          <w:sz w:val="28"/>
          <w:szCs w:val="28"/>
        </w:rPr>
        <w:t>Ending Organized Covert Torture</w:t>
      </w:r>
    </w:p>
    <w:p w14:paraId="3875194D" w14:textId="77777777" w:rsidR="00A46043" w:rsidRDefault="00A46043">
      <w:pPr>
        <w:pStyle w:val="Standard"/>
        <w:jc w:val="center"/>
        <w:rPr>
          <w:sz w:val="28"/>
          <w:szCs w:val="28"/>
        </w:rPr>
      </w:pPr>
    </w:p>
    <w:p w14:paraId="7F585E6F" w14:textId="77777777" w:rsidR="00A46043" w:rsidRDefault="00A46043">
      <w:pPr>
        <w:pStyle w:val="Standard"/>
        <w:jc w:val="center"/>
        <w:rPr>
          <w:sz w:val="28"/>
          <w:szCs w:val="28"/>
        </w:rPr>
      </w:pPr>
    </w:p>
    <w:p w14:paraId="7C2BC2C1" w14:textId="77777777" w:rsidR="00A46043" w:rsidRDefault="00A46043">
      <w:pPr>
        <w:pStyle w:val="Standard"/>
        <w:jc w:val="center"/>
        <w:rPr>
          <w:sz w:val="28"/>
          <w:szCs w:val="28"/>
        </w:rPr>
      </w:pPr>
      <w:r>
        <w:rPr>
          <w:sz w:val="28"/>
          <w:szCs w:val="28"/>
        </w:rPr>
        <w:t>the 31st session</w:t>
      </w:r>
    </w:p>
    <w:p w14:paraId="35DB5ED3" w14:textId="77777777" w:rsidR="00A46043" w:rsidRDefault="00A46043">
      <w:pPr>
        <w:pStyle w:val="Standard"/>
        <w:jc w:val="center"/>
        <w:rPr>
          <w:b/>
          <w:bCs/>
        </w:rPr>
      </w:pPr>
      <w:r>
        <w:rPr>
          <w:sz w:val="28"/>
          <w:szCs w:val="28"/>
        </w:rPr>
        <w:t>August 2024</w:t>
      </w:r>
    </w:p>
    <w:p w14:paraId="3BD1901B" w14:textId="77777777" w:rsidR="00A46043" w:rsidRDefault="00A46043">
      <w:pPr>
        <w:pStyle w:val="Standard"/>
        <w:rPr>
          <w:b/>
          <w:bCs/>
        </w:rPr>
      </w:pPr>
    </w:p>
    <w:p w14:paraId="71923246" w14:textId="77777777" w:rsidR="00A46043" w:rsidRDefault="00A46043">
      <w:pPr>
        <w:pStyle w:val="Standard"/>
        <w:rPr>
          <w:b/>
          <w:bCs/>
        </w:rPr>
      </w:pPr>
    </w:p>
    <w:p w14:paraId="109F98CD" w14:textId="77777777" w:rsidR="00A46043" w:rsidRDefault="00A46043">
      <w:pPr>
        <w:pStyle w:val="Standard"/>
        <w:rPr>
          <w:b/>
          <w:bCs/>
        </w:rPr>
      </w:pPr>
    </w:p>
    <w:p w14:paraId="55B59D34" w14:textId="77777777" w:rsidR="00A46043" w:rsidRDefault="00A46043">
      <w:pPr>
        <w:pStyle w:val="Standard"/>
        <w:rPr>
          <w:b/>
          <w:bCs/>
        </w:rPr>
      </w:pPr>
    </w:p>
    <w:p w14:paraId="335CBE97" w14:textId="77777777" w:rsidR="00A46043" w:rsidRDefault="00A46043">
      <w:pPr>
        <w:pStyle w:val="Standard"/>
        <w:rPr>
          <w:b/>
          <w:bCs/>
        </w:rPr>
      </w:pPr>
    </w:p>
    <w:p w14:paraId="08087383" w14:textId="77777777" w:rsidR="00A46043" w:rsidRDefault="00A46043">
      <w:pPr>
        <w:pStyle w:val="Standard"/>
        <w:rPr>
          <w:b/>
          <w:bCs/>
        </w:rPr>
      </w:pPr>
    </w:p>
    <w:p w14:paraId="47441519" w14:textId="77777777" w:rsidR="00A46043" w:rsidRDefault="00A46043">
      <w:pPr>
        <w:pStyle w:val="Standard"/>
        <w:rPr>
          <w:b/>
          <w:bCs/>
        </w:rPr>
      </w:pPr>
    </w:p>
    <w:p w14:paraId="19EA35E1" w14:textId="77777777" w:rsidR="00A46043" w:rsidRDefault="00A46043">
      <w:pPr>
        <w:pStyle w:val="Standard"/>
        <w:rPr>
          <w:b/>
          <w:bCs/>
        </w:rPr>
      </w:pPr>
    </w:p>
    <w:p w14:paraId="4921AB64" w14:textId="77777777" w:rsidR="00A46043" w:rsidRDefault="00A46043">
      <w:pPr>
        <w:pStyle w:val="Standard"/>
        <w:rPr>
          <w:b/>
          <w:bCs/>
        </w:rPr>
      </w:pPr>
    </w:p>
    <w:p w14:paraId="2BB8ED14" w14:textId="77777777" w:rsidR="00A46043" w:rsidRDefault="00A46043">
      <w:pPr>
        <w:pStyle w:val="Standard"/>
        <w:rPr>
          <w:b/>
          <w:bCs/>
        </w:rPr>
      </w:pPr>
    </w:p>
    <w:p w14:paraId="706BD242" w14:textId="77777777" w:rsidR="00A46043" w:rsidRDefault="00A46043">
      <w:pPr>
        <w:pStyle w:val="Standard"/>
        <w:rPr>
          <w:b/>
          <w:bCs/>
        </w:rPr>
      </w:pPr>
    </w:p>
    <w:p w14:paraId="736E1E71" w14:textId="77777777" w:rsidR="00A46043" w:rsidRDefault="00A46043">
      <w:pPr>
        <w:pStyle w:val="Standard"/>
        <w:rPr>
          <w:b/>
          <w:bCs/>
        </w:rPr>
      </w:pPr>
    </w:p>
    <w:p w14:paraId="6292C79D" w14:textId="77777777" w:rsidR="00A46043" w:rsidRDefault="00A46043">
      <w:pPr>
        <w:pStyle w:val="Standard"/>
        <w:rPr>
          <w:b/>
          <w:bCs/>
        </w:rPr>
      </w:pPr>
    </w:p>
    <w:p w14:paraId="3400C7E6" w14:textId="77777777" w:rsidR="00A46043" w:rsidRDefault="00A46043">
      <w:pPr>
        <w:pStyle w:val="Standard"/>
        <w:rPr>
          <w:b/>
          <w:bCs/>
        </w:rPr>
      </w:pPr>
    </w:p>
    <w:p w14:paraId="1D0191AE" w14:textId="77777777" w:rsidR="00A46043" w:rsidRDefault="00A46043">
      <w:pPr>
        <w:pStyle w:val="Standard"/>
        <w:rPr>
          <w:b/>
          <w:bCs/>
        </w:rPr>
      </w:pPr>
    </w:p>
    <w:p w14:paraId="603E92DB" w14:textId="77777777" w:rsidR="00A46043" w:rsidRDefault="00A46043">
      <w:pPr>
        <w:pStyle w:val="Standard"/>
        <w:rPr>
          <w:b/>
          <w:bCs/>
        </w:rPr>
      </w:pPr>
    </w:p>
    <w:p w14:paraId="5B94C2CF" w14:textId="77777777" w:rsidR="00A46043" w:rsidRDefault="00A46043">
      <w:pPr>
        <w:pStyle w:val="Standard"/>
        <w:rPr>
          <w:b/>
          <w:bCs/>
        </w:rPr>
      </w:pPr>
    </w:p>
    <w:p w14:paraId="75026493" w14:textId="77777777" w:rsidR="00A46043" w:rsidRDefault="00A46043">
      <w:pPr>
        <w:pStyle w:val="Standard"/>
        <w:rPr>
          <w:b/>
          <w:bCs/>
        </w:rPr>
      </w:pPr>
    </w:p>
    <w:p w14:paraId="77D95263" w14:textId="77777777" w:rsidR="00A46043" w:rsidRDefault="00A46043">
      <w:pPr>
        <w:pStyle w:val="Standard"/>
        <w:rPr>
          <w:b/>
          <w:bCs/>
        </w:rPr>
      </w:pPr>
    </w:p>
    <w:p w14:paraId="673A8AE3" w14:textId="77777777" w:rsidR="00A46043" w:rsidRDefault="00A46043">
      <w:pPr>
        <w:pStyle w:val="Standard"/>
        <w:rPr>
          <w:b/>
          <w:bCs/>
        </w:rPr>
      </w:pPr>
    </w:p>
    <w:p w14:paraId="4BEF0819" w14:textId="77777777" w:rsidR="00A46043" w:rsidRDefault="00A46043">
      <w:pPr>
        <w:sectPr w:rsidR="00000000">
          <w:headerReference w:type="default" r:id="rId7"/>
          <w:footerReference w:type="even" r:id="rId8"/>
          <w:footerReference w:type="default" r:id="rId9"/>
          <w:headerReference w:type="first" r:id="rId10"/>
          <w:footerReference w:type="first" r:id="rId11"/>
          <w:pgSz w:w="12240" w:h="15840"/>
          <w:pgMar w:top="1410" w:right="1134" w:bottom="1410" w:left="1134" w:header="1134" w:footer="1134" w:gutter="0"/>
          <w:cols w:space="720"/>
          <w:docGrid w:linePitch="600" w:charSpace="32768"/>
        </w:sectPr>
      </w:pPr>
    </w:p>
    <w:p w14:paraId="2C16748F" w14:textId="77777777" w:rsidR="00A46043" w:rsidRDefault="00A46043">
      <w:pPr>
        <w:pStyle w:val="Standard"/>
        <w:rPr>
          <w:b/>
          <w:bCs/>
        </w:rPr>
      </w:pPr>
      <w:r>
        <w:rPr>
          <w:b/>
          <w:bCs/>
        </w:rPr>
        <w:lastRenderedPageBreak/>
        <w:t>Preface</w:t>
      </w:r>
    </w:p>
    <w:p w14:paraId="748264BE" w14:textId="77777777" w:rsidR="00A46043" w:rsidRDefault="00A46043">
      <w:pPr>
        <w:pStyle w:val="Standard"/>
        <w:rPr>
          <w:b/>
          <w:bCs/>
        </w:rPr>
      </w:pPr>
    </w:p>
    <w:p w14:paraId="495FC236" w14:textId="77777777" w:rsidR="00A46043" w:rsidRDefault="00A46043">
      <w:pPr>
        <w:pStyle w:val="Standard"/>
      </w:pPr>
      <w:r>
        <w:t xml:space="preserve">Ending Organized Covert Torture is a small international human rights </w:t>
      </w:r>
      <w:r>
        <w:t>NGO (</w:t>
      </w:r>
      <w:r>
        <w:rPr>
          <w:rStyle w:val="Strong"/>
          <w:b w:val="0"/>
          <w:bCs w:val="0"/>
          <w:color w:val="000000"/>
        </w:rPr>
        <w:t>U.N. Partner ID: 40942)</w:t>
      </w:r>
      <w:r>
        <w:t>, registered in Switzerland (</w:t>
      </w:r>
      <w:r>
        <w:rPr>
          <w:rStyle w:val="Strong"/>
          <w:b w:val="0"/>
          <w:bCs w:val="0"/>
          <w:color w:val="000000"/>
        </w:rPr>
        <w:t>UID/Sw</w:t>
      </w:r>
      <w:r>
        <w:rPr>
          <w:color w:val="000000"/>
        </w:rPr>
        <w:t>iss Business Identification Number</w:t>
      </w:r>
      <w:r>
        <w:rPr>
          <w:rStyle w:val="Strong"/>
          <w:b w:val="0"/>
          <w:bCs w:val="0"/>
          <w:color w:val="000000"/>
        </w:rPr>
        <w:t xml:space="preserve">: CHE-418.021.541) </w:t>
      </w:r>
      <w:r>
        <w:t>and the U.S. (</w:t>
      </w:r>
      <w:r>
        <w:rPr>
          <w:rStyle w:val="Strong"/>
          <w:b w:val="0"/>
          <w:bCs w:val="0"/>
          <w:color w:val="000000"/>
        </w:rPr>
        <w:t>Employer Identification Number:</w:t>
      </w:r>
      <w:r>
        <w:rPr>
          <w:color w:val="000000"/>
        </w:rPr>
        <w:t xml:space="preserve"> </w:t>
      </w:r>
      <w:r>
        <w:rPr>
          <w:rStyle w:val="Strong"/>
          <w:b w:val="0"/>
          <w:bCs w:val="0"/>
          <w:color w:val="000000"/>
        </w:rPr>
        <w:t>27-3002075)</w:t>
      </w:r>
      <w:r>
        <w:t xml:space="preserve"> c</w:t>
      </w:r>
      <w:r>
        <w:t>omprising</w:t>
      </w:r>
      <w:r>
        <w:t xml:space="preserve"> and led by persons with perceived psychosocial disabilities and/or actual social disabilities, from Asia, North America and Europe. EOCT has participated in human rights legislation activism at the California State Legislature and the U.S. federal congres</w:t>
      </w:r>
      <w:r>
        <w:t>s, as well as online media campaigns to raise public awareness on “organized covert torture,” as defined below.</w:t>
      </w:r>
    </w:p>
    <w:p w14:paraId="79AA6EC0" w14:textId="77777777" w:rsidR="00A46043" w:rsidRDefault="00A46043">
      <w:pPr>
        <w:pStyle w:val="Standard"/>
      </w:pPr>
    </w:p>
    <w:p w14:paraId="1A67B37D" w14:textId="77777777" w:rsidR="00A46043" w:rsidRDefault="00A46043">
      <w:pPr>
        <w:pStyle w:val="Standard"/>
        <w:rPr>
          <w:b/>
          <w:bCs/>
        </w:rPr>
      </w:pPr>
      <w:r>
        <w:t>This report was principally prepared by a person with a perceived psychosocial disability and an actual social disability, from EOCT, in cooper</w:t>
      </w:r>
      <w:r>
        <w:t>ation with STOPEG, a human rights NGO registered in the Netherlands, led by and comprising persons with perceived psychosocial disabilities.</w:t>
      </w:r>
    </w:p>
    <w:p w14:paraId="175D8014" w14:textId="77777777" w:rsidR="00A46043" w:rsidRDefault="00A46043">
      <w:pPr>
        <w:pStyle w:val="Standard"/>
        <w:rPr>
          <w:b/>
          <w:bCs/>
        </w:rPr>
      </w:pPr>
    </w:p>
    <w:p w14:paraId="7907458C" w14:textId="77777777" w:rsidR="00A46043" w:rsidRDefault="00A46043">
      <w:pPr>
        <w:pStyle w:val="Standard"/>
        <w:rPr>
          <w:b/>
          <w:bCs/>
        </w:rPr>
      </w:pPr>
    </w:p>
    <w:p w14:paraId="2703F43D" w14:textId="77777777" w:rsidR="00A46043" w:rsidRDefault="00A46043">
      <w:pPr>
        <w:pStyle w:val="Standard"/>
        <w:rPr>
          <w:b/>
          <w:bCs/>
        </w:rPr>
      </w:pPr>
    </w:p>
    <w:p w14:paraId="5DBD7CAF" w14:textId="77777777" w:rsidR="00A46043" w:rsidRDefault="00A46043">
      <w:pPr>
        <w:pStyle w:val="Standard"/>
        <w:rPr>
          <w:b/>
          <w:bCs/>
        </w:rPr>
      </w:pPr>
    </w:p>
    <w:p w14:paraId="49652C13" w14:textId="77777777" w:rsidR="00A46043" w:rsidRDefault="00A46043">
      <w:pPr>
        <w:pStyle w:val="Standard"/>
        <w:rPr>
          <w:b/>
          <w:bCs/>
        </w:rPr>
      </w:pPr>
    </w:p>
    <w:p w14:paraId="4958C153" w14:textId="77777777" w:rsidR="00A46043" w:rsidRDefault="00A46043">
      <w:pPr>
        <w:pStyle w:val="Standard"/>
        <w:rPr>
          <w:b/>
          <w:bCs/>
        </w:rPr>
      </w:pPr>
    </w:p>
    <w:p w14:paraId="6CFD609F" w14:textId="77777777" w:rsidR="00A46043" w:rsidRDefault="00A46043">
      <w:pPr>
        <w:sectPr w:rsidR="00000000">
          <w:headerReference w:type="even" r:id="rId12"/>
          <w:headerReference w:type="default" r:id="rId13"/>
          <w:footerReference w:type="even" r:id="rId14"/>
          <w:footerReference w:type="default" r:id="rId15"/>
          <w:headerReference w:type="first" r:id="rId16"/>
          <w:footerReference w:type="first" r:id="rId17"/>
          <w:pgSz w:w="12240" w:h="15840"/>
          <w:pgMar w:top="1410" w:right="1134" w:bottom="1410" w:left="1134" w:header="1134" w:footer="1134" w:gutter="0"/>
          <w:cols w:space="720"/>
          <w:docGrid w:linePitch="600" w:charSpace="32768"/>
        </w:sectPr>
      </w:pPr>
    </w:p>
    <w:p w14:paraId="4F709AF0" w14:textId="77777777" w:rsidR="00A46043" w:rsidRDefault="00A46043">
      <w:pPr>
        <w:pStyle w:val="Standard"/>
        <w:rPr>
          <w:i/>
          <w:iCs/>
        </w:rPr>
      </w:pPr>
      <w:r>
        <w:lastRenderedPageBreak/>
        <w:t>In Denmark, if the offender, at the time of committing the act, was of “unsound“ mind due to a mental “disor</w:t>
      </w:r>
      <w:r>
        <w:t>der” or a comparable condition, or had an intellectual disability, Section 68 and 69 of the Criminal Code allows for other reactive measures for the criminal act. Such measures include e.g. psychiatric treatment, rehabilitation supervision etc., as opposed</w:t>
      </w:r>
      <w:r>
        <w:t xml:space="preserve"> to a sentence of a fine or imprisonment. Sentences under Sections 68 or 69 are not intended to punish the offender, but to prevent further offences by ensuring that the person receives “proper treatment,” according to Paragraph 114 of </w:t>
      </w:r>
      <w:r>
        <w:rPr>
          <w:i/>
          <w:iCs/>
        </w:rPr>
        <w:t xml:space="preserve">Combined second and </w:t>
      </w:r>
      <w:r>
        <w:rPr>
          <w:i/>
          <w:iCs/>
        </w:rPr>
        <w:t xml:space="preserve">third periodic reports submitted by Denmark under article 35 of the Convention. </w:t>
      </w:r>
      <w:r>
        <w:t>Please note that the said legislative intent of Section 68 and 69 of the Danish Criminal Code discriminatorily presupposes that an untreated psychosocial disability, not a desi</w:t>
      </w:r>
      <w:r>
        <w:t>re to subjugate and/or exploit the other (victim), causes a criminal act.</w:t>
      </w:r>
    </w:p>
    <w:p w14:paraId="2DF4C7AC" w14:textId="77777777" w:rsidR="00A46043" w:rsidRDefault="00A46043">
      <w:pPr>
        <w:pStyle w:val="Standard"/>
        <w:rPr>
          <w:i/>
          <w:iCs/>
        </w:rPr>
      </w:pPr>
    </w:p>
    <w:p w14:paraId="229CED33" w14:textId="77777777" w:rsidR="00A46043" w:rsidRDefault="00A46043">
      <w:pPr>
        <w:pStyle w:val="Standard"/>
      </w:pPr>
      <w:r>
        <w:t>In the Netherlands, the Compulsory Mental Healthcare Act (Wet verplichte geestelijke gezondheidszorg, WVGGZ) and the Care and Compulsion Act (Wet zorg en dwang, WZD) authorize coerc</w:t>
      </w:r>
      <w:r>
        <w:t>ive psychiatric treatment of persons with psychosocial disabilities who are dangerous to others.</w:t>
      </w:r>
    </w:p>
    <w:p w14:paraId="79447D96" w14:textId="77777777" w:rsidR="00A46043" w:rsidRDefault="00A46043">
      <w:pPr>
        <w:pStyle w:val="Standard"/>
      </w:pPr>
    </w:p>
    <w:p w14:paraId="5392EF4F" w14:textId="77777777" w:rsidR="00A46043" w:rsidRDefault="00A46043">
      <w:pPr>
        <w:pStyle w:val="Standard"/>
      </w:pPr>
      <w:r>
        <w:t>What</w:t>
      </w:r>
      <w:r>
        <w:t xml:space="preserve"> such psychosocial disability immunity statutes of Article 68 and 69 of the Criminal Code in Denmark and the Compulsory Mental Healthcare Act and the Care</w:t>
      </w:r>
      <w:r>
        <w:t xml:space="preserve"> and Compulsion Act </w:t>
      </w:r>
      <w:r>
        <w:t>simply stipulate is subtly different from what such immunity statutes immanently produce in the minds and practices of law enforcement officers and society at large. At the level of functional operation of law, especially when the alleg</w:t>
      </w:r>
      <w:r>
        <w:t xml:space="preserve">ed victim asks the police not to charge the accused person with a psychosocial disability of the alleged crime, the police often often respect the alleged victim’s request and elect not to expressly charge such a person with an alleged crime. </w:t>
      </w:r>
      <w:r>
        <w:rPr>
          <w:color w:val="000000"/>
        </w:rPr>
        <w:t>Because the s</w:t>
      </w:r>
      <w:r>
        <w:rPr>
          <w:color w:val="000000"/>
        </w:rPr>
        <w:t xml:space="preserve">aid psychosocial disability immunity statutes are not intended to punish the offender, but to </w:t>
      </w:r>
      <w:r>
        <w:rPr>
          <w:i/>
          <w:iCs/>
          <w:color w:val="000000"/>
        </w:rPr>
        <w:t>prevent</w:t>
      </w:r>
      <w:r>
        <w:rPr>
          <w:color w:val="000000"/>
        </w:rPr>
        <w:t xml:space="preserve"> further offences, the police often elect to extrajudicially enforce such statutes through a preventative policing operation, in order to achieve the same </w:t>
      </w:r>
      <w:r>
        <w:rPr>
          <w:color w:val="000000"/>
        </w:rPr>
        <w:t xml:space="preserve">crime prevention results as these statutes intend to achieve, in lieu of involuntary admission to a psychiatric hospital. </w:t>
      </w:r>
    </w:p>
    <w:p w14:paraId="46F38171" w14:textId="77777777" w:rsidR="00A46043" w:rsidRDefault="00A46043">
      <w:pPr>
        <w:pStyle w:val="Standard"/>
      </w:pPr>
    </w:p>
    <w:p w14:paraId="06B99A6E" w14:textId="77777777" w:rsidR="00A46043" w:rsidRDefault="00A46043">
      <w:pPr>
        <w:pStyle w:val="Standard"/>
        <w:rPr>
          <w:color w:val="000000"/>
        </w:rPr>
      </w:pPr>
      <w:r>
        <w:rPr>
          <w:color w:val="000000"/>
        </w:rPr>
        <w:t>As a proactive measure to prevent the person from committing the crime of which the person is falsely accused and not even informed,</w:t>
      </w:r>
      <w:r>
        <w:rPr>
          <w:color w:val="000000"/>
        </w:rPr>
        <w:t xml:space="preserve"> the </w:t>
      </w:r>
      <w:r>
        <w:t xml:space="preserve">police send an ostentatious message to the accused person, </w:t>
      </w:r>
      <w:r>
        <w:t xml:space="preserve">without ever informing the person of the allegation, that </w:t>
      </w:r>
      <w:r>
        <w:lastRenderedPageBreak/>
        <w:t xml:space="preserve">the person is under law enforcement’s surveillance (extrajudicial probation) by repeatedly, frequently and ostentatiously showing up, </w:t>
      </w:r>
      <w:r>
        <w:t>in police uniform and in police vehicles, sometimes even with the sound effects of sirens, in front of that person and her/his residence</w:t>
      </w:r>
      <w:r>
        <w:rPr>
          <w:rStyle w:val="WW-FootnoteCharacters"/>
        </w:rPr>
        <w:footnoteReference w:id="1"/>
      </w:r>
      <w:r>
        <w:t>. The extrajudicial operation of organized stalking/disruption effected by the police was evinced in two well known cou</w:t>
      </w:r>
      <w:r>
        <w:t xml:space="preserve">rt cases in the Netherlands in 2005 and 2006 </w:t>
      </w:r>
      <w:r>
        <w:rPr>
          <w:color w:val="000000"/>
        </w:rPr>
        <w:t>(Court of Amsterdam, ECLI:NL:RBAMS:2005:AU7314</w:t>
      </w:r>
      <w:r>
        <w:rPr>
          <w:rStyle w:val="WW-FootnoteCharacters"/>
          <w:color w:val="000000"/>
        </w:rPr>
        <w:footnoteReference w:id="2"/>
      </w:r>
      <w:r>
        <w:rPr>
          <w:color w:val="000000"/>
        </w:rPr>
        <w:t>; and Court of Amsterdam, ECLI:NL:RBAMS:2006:AV4173</w:t>
      </w:r>
      <w:r>
        <w:rPr>
          <w:rStyle w:val="WW-FootnoteCharacters"/>
          <w:color w:val="000000"/>
        </w:rPr>
        <w:footnoteReference w:id="3"/>
      </w:r>
      <w:r>
        <w:rPr>
          <w:color w:val="000000"/>
        </w:rPr>
        <w:t>)</w:t>
      </w:r>
      <w:r>
        <w:t>, where, the police stopped in front of the houses of their stalking/disruption targets, Muslim persons, five t</w:t>
      </w:r>
      <w:r>
        <w:t xml:space="preserve">o ten times a day, and </w:t>
      </w:r>
      <w:r>
        <w:rPr>
          <w:color w:val="000000"/>
        </w:rPr>
        <w:t>contacted the targets’ friends, family and colleagues. Whether the police perceived their stalking targets as persons with psychosocial disabilities, or simply as terrorist suspects, given their Muslim religion, in these cases is unk</w:t>
      </w:r>
      <w:r>
        <w:rPr>
          <w:color w:val="000000"/>
        </w:rPr>
        <w:t>nown.</w:t>
      </w:r>
      <w:r>
        <w:rPr>
          <w:rStyle w:val="WW-FootnoteCharacters"/>
          <w:color w:val="000000"/>
        </w:rPr>
        <w:footnoteReference w:id="4"/>
      </w:r>
      <w:r>
        <w:rPr>
          <w:color w:val="000000"/>
        </w:rPr>
        <w:t xml:space="preserve"> Notwithstanding, these Dutch court cases prove that the police routinely commit organized stalking (surveillance harassment) as a preventative policing operation.</w:t>
      </w:r>
    </w:p>
    <w:p w14:paraId="1966214A" w14:textId="77777777" w:rsidR="00A46043" w:rsidRDefault="00A46043">
      <w:pPr>
        <w:pStyle w:val="Standard"/>
        <w:rPr>
          <w:color w:val="000000"/>
        </w:rPr>
      </w:pPr>
    </w:p>
    <w:p w14:paraId="7E17D79D" w14:textId="77777777" w:rsidR="00A46043" w:rsidRDefault="00A46043">
      <w:pPr>
        <w:pStyle w:val="Standard"/>
      </w:pPr>
      <w:r>
        <w:t>The said statutory coercive psychiatric treatment, combined with the statutory immuni</w:t>
      </w:r>
      <w:r>
        <w:t>ty granted to a person with a psychosocial disability, subliminally encourage the police to commit the said surveillance harassment against the accused person with a psychosocial disability, while depriving the person of certain procedural rights as a defe</w:t>
      </w:r>
      <w:r>
        <w:t xml:space="preserve">ndant to discover truth and to prove the fraudulence of an accusation, the rights inherently </w:t>
      </w:r>
      <w:r>
        <w:lastRenderedPageBreak/>
        <w:t>associated with criminal proceedings: notably, the rights to be informed of the nature and cause of the accusation and to be confronted with the witness against he</w:t>
      </w:r>
      <w:r>
        <w:t>r/him—in violation of Article 12 (equal recognition before the law) and Article 13 (access to justice) of CPRD.  These rights allow an accused person to cross-examine a witness to seek truth. The deprivation of these procedural legal rights to the opportun</w:t>
      </w:r>
      <w:r>
        <w:t xml:space="preserve">ity to prove the falsity of the accusation insidiously promotes </w:t>
      </w:r>
      <w:r>
        <w:rPr>
          <w:i/>
          <w:iCs/>
        </w:rPr>
        <w:t>impunity</w:t>
      </w:r>
      <w:r>
        <w:t xml:space="preserve"> surrounding the act of falsely accusing a person with a psychosocial disability of certain crimes, which are inherently hard to prove, such as sexual offences, and especially when the</w:t>
      </w:r>
      <w:r>
        <w:t xml:space="preserve"> alleged victim requests not to charge the accused of the alleged crime.</w:t>
      </w:r>
    </w:p>
    <w:p w14:paraId="73B7AA07" w14:textId="77777777" w:rsidR="00A46043" w:rsidRDefault="00A46043">
      <w:pPr>
        <w:pStyle w:val="Standard"/>
      </w:pPr>
    </w:p>
    <w:p w14:paraId="6802C274" w14:textId="77777777" w:rsidR="00A46043" w:rsidRDefault="00A46043">
      <w:pPr>
        <w:pStyle w:val="Standard"/>
      </w:pPr>
      <w:r>
        <w:t>The devotion of police resources to the organized stalking of a falsely accused person with a perceived and/or actual psychosocial disability who refuses psychosocial treatment culmi</w:t>
      </w:r>
      <w:r>
        <w:t>nates in a significant waste of tax money, only sating the subjugation desire of certain police officers. The preventative policing of a falsely accused person with a psychosocial disability, promoted by the said legal immunity and coercive treatment statu</w:t>
      </w:r>
      <w:r>
        <w:t xml:space="preserve">tes, further promotes psychosocial disability discrimination among the police and the public at large by evoking an image of a person with a psychosocial disability as a public threat, not as a victim, thereby subliminally legitimizing and encouraging the </w:t>
      </w:r>
      <w:r>
        <w:t>extrajudicial punishment of falsely accused persons with perceived and/or actual psychosocial disability.</w:t>
      </w:r>
    </w:p>
    <w:p w14:paraId="4CEADC58" w14:textId="77777777" w:rsidR="00A46043" w:rsidRDefault="00A46043">
      <w:pPr>
        <w:pStyle w:val="Standard"/>
      </w:pPr>
    </w:p>
    <w:p w14:paraId="6913EDA3" w14:textId="77777777" w:rsidR="00A46043" w:rsidRDefault="00A46043">
      <w:pPr>
        <w:pStyle w:val="Standard"/>
      </w:pPr>
      <w:r>
        <w:t xml:space="preserve">The said police surveillance harassment seems to be carried out with the aid of community policing agents, such as those who work in a grocery store </w:t>
      </w:r>
      <w:r>
        <w:t>frequented by the target, who have a duty to inform the police of the real-time location of the target to be kept under police surveillance. Conversely, these community policing agents might feel authorized to take justice into their own hands and to haras</w:t>
      </w:r>
      <w:r>
        <w:t>s, “treat,” and/or “discipline,” in a covert manner, a person with a perceived and untreated psychosocial disability by themselves in order to proactively prevent crimes that might be committed by the person with a psychosocial disability.</w:t>
      </w:r>
    </w:p>
    <w:p w14:paraId="3C9085F8" w14:textId="77777777" w:rsidR="00A46043" w:rsidRDefault="00A46043">
      <w:pPr>
        <w:pStyle w:val="Standard"/>
      </w:pPr>
    </w:p>
    <w:p w14:paraId="0F704952" w14:textId="77777777" w:rsidR="00A46043" w:rsidRDefault="00A46043">
      <w:pPr>
        <w:pStyle w:val="Standard"/>
      </w:pPr>
      <w:r>
        <w:t>The police’s su</w:t>
      </w:r>
      <w:r>
        <w:t xml:space="preserve">rveillance harassment of falsely accused persons with untreated perceived or actual psychosocial disabilities, is hard to prove and thus easily construed as delusional/paranoid, which prompts the target of such an operation to receive a </w:t>
      </w:r>
      <w:r>
        <w:lastRenderedPageBreak/>
        <w:t>psychiatric treatme</w:t>
      </w:r>
      <w:r>
        <w:t xml:space="preserve">nt. The police’s surveillance harassment thus </w:t>
      </w:r>
      <w:r>
        <w:t>marks an extrajudicial, coercive and degrading psychiatric “treatment,” in violation of Article 15 (freedom from degrading treatment or punishment), Article 16 (freedom from abuse) and Article 17 (protecting th</w:t>
      </w:r>
      <w:r>
        <w:t xml:space="preserve">e integrity of the person) of CRPD,  </w:t>
      </w:r>
      <w:r>
        <w:t>promoted by the paternalistic legal immunity and coercive psychiatric treatment statutes that essentially equate psychosocial disability with criminality.</w:t>
      </w:r>
    </w:p>
    <w:p w14:paraId="61B99A8A" w14:textId="77777777" w:rsidR="00A46043" w:rsidRDefault="00A46043">
      <w:pPr>
        <w:pStyle w:val="Standard"/>
      </w:pPr>
    </w:p>
    <w:p w14:paraId="286A927A" w14:textId="77777777" w:rsidR="00A46043" w:rsidRDefault="00A46043">
      <w:pPr>
        <w:pStyle w:val="Standard"/>
      </w:pPr>
      <w:r>
        <w:t>The abusive elements of security and military companies, the Ma</w:t>
      </w:r>
      <w:r>
        <w:t>fias and other secretive organizations, across the globe, centrally coordinate a multitude of individuals' knowing and wilful course of conduct that inflicts extreme or cruel pain or suffering on a specific person by non-impulsively and clandestinely infli</w:t>
      </w:r>
      <w:r>
        <w:t xml:space="preserve">cting grave bodily injury for the rest of the victim's life. These injuries are mostly invisible or often seem to have naturally occurred, and are inflicted in such sophisticated and diverse methods as to render the victim's torture complaint perceived as </w:t>
      </w:r>
      <w:r>
        <w:t>delusional or paranoid.</w:t>
      </w:r>
      <w:r>
        <w:rPr>
          <w:rStyle w:val="WW-FootnoteCharacters"/>
        </w:rPr>
        <w:footnoteReference w:id="5"/>
      </w:r>
      <w:r>
        <w:t xml:space="preserve"> For example, the victim is tortured with weapons that use technologies that produce concentrated electromagnetic energy and atomic or subatomic particles as a means to damage or destroy equipment or to kill or injure personnel, nam</w:t>
      </w:r>
      <w:r>
        <w:t xml:space="preserve">ely, ‘Directed Energy Weapons,’ as defined in </w:t>
      </w:r>
      <w:r>
        <w:rPr>
          <w:i/>
          <w:iCs/>
        </w:rPr>
        <w:t>The UN Human Rights Guidance on Less-Lethal Weapons in Law Enforcement</w:t>
      </w:r>
      <w:r>
        <w:t>.</w:t>
      </w:r>
      <w:r>
        <w:rPr>
          <w:rStyle w:val="WW-FootnoteCharacters"/>
        </w:rPr>
        <w:footnoteReference w:id="6"/>
      </w:r>
    </w:p>
    <w:p w14:paraId="1B820CD8" w14:textId="77777777" w:rsidR="00A46043" w:rsidRDefault="00A46043">
      <w:pPr>
        <w:pStyle w:val="Standard"/>
      </w:pPr>
    </w:p>
    <w:p w14:paraId="6733689F" w14:textId="77777777" w:rsidR="00A46043" w:rsidRDefault="00A46043">
      <w:pPr>
        <w:pStyle w:val="Standard"/>
      </w:pPr>
      <w:r>
        <w:t>In lieu of abducting the victim, which results in the sudden disappearance of the victim, which naturally raises suspicion, the covert t</w:t>
      </w:r>
      <w:r>
        <w:t>orture organizations keep their victim under control by centrally coordinating the systematic, organized surveillance and harassment of the victim by a multitude of conspirators, i.e., ‘organized stalking.’</w:t>
      </w:r>
    </w:p>
    <w:p w14:paraId="3A4197C5" w14:textId="77777777" w:rsidR="00A46043" w:rsidRDefault="00A46043">
      <w:pPr>
        <w:pStyle w:val="Standard"/>
      </w:pPr>
    </w:p>
    <w:p w14:paraId="01682BA6" w14:textId="77777777" w:rsidR="00A46043" w:rsidRDefault="00A46043">
      <w:pPr>
        <w:pStyle w:val="Standard"/>
      </w:pPr>
      <w:r>
        <w:t>In addition, high echelon security/military comp</w:t>
      </w:r>
      <w:r>
        <w:t xml:space="preserve">anies’ abilities to control the victim are immensely enhanced by ‘Neurotechnology,’ which allows the connecting of the victim’s brain directly to digital networks through devices and procedures that may be used, </w:t>
      </w:r>
      <w:r>
        <w:lastRenderedPageBreak/>
        <w:t>among other things, to access, monitor and m</w:t>
      </w:r>
      <w:r>
        <w:t xml:space="preserve">anipulate the neural system of the victim, as defined in the U.N. Human Rights Council Resolution titled “Neurotechnology and human rights.” </w:t>
      </w:r>
      <w:r>
        <w:rPr>
          <w:rStyle w:val="WW-FootnoteCharacters"/>
        </w:rPr>
        <w:footnoteReference w:id="7"/>
      </w:r>
    </w:p>
    <w:p w14:paraId="145F32EF" w14:textId="77777777" w:rsidR="00A46043" w:rsidRDefault="00A46043">
      <w:pPr>
        <w:pStyle w:val="Standard"/>
      </w:pPr>
    </w:p>
    <w:p w14:paraId="2331B413" w14:textId="77777777" w:rsidR="00A46043" w:rsidRDefault="00A46043">
      <w:pPr>
        <w:pStyle w:val="Standard"/>
      </w:pPr>
      <w:r>
        <w:t>As set forth in Article 1 of the UN Convention Against Torture, the purposes of organized covert torture include</w:t>
      </w:r>
      <w:r>
        <w:t xml:space="preserve"> punishing, intimidating and discrediting the victim who filed a civil or criminal complaint against the torture organization‘s member, a whistleblower, the forced human experimentation subject of DEW and other covert technologies developed by the same sec</w:t>
      </w:r>
      <w:r>
        <w:t>urity/military company, in order to hide the capabilities of such technologies.</w:t>
      </w:r>
    </w:p>
    <w:p w14:paraId="44D5F330" w14:textId="77777777" w:rsidR="00A46043" w:rsidRDefault="00A46043">
      <w:pPr>
        <w:pStyle w:val="Standard"/>
      </w:pPr>
    </w:p>
    <w:p w14:paraId="5EDF560F" w14:textId="77777777" w:rsidR="00A46043" w:rsidRDefault="00A46043">
      <w:pPr>
        <w:pStyle w:val="Standard"/>
      </w:pPr>
      <w:r>
        <w:t>Most ominously, those who are exploited as children are perpetually exploited as adults in various ways. For example, the women survivors of parental child sexual abuse are ta</w:t>
      </w:r>
      <w:r>
        <w:t>rgeted for sexual and physical violence at least twice as frequently as women who had not been subjected to parental child sexual abuse.</w:t>
      </w:r>
      <w:r>
        <w:rPr>
          <w:rStyle w:val="WW-FootnoteCharacters"/>
        </w:rPr>
        <w:footnoteReference w:id="8"/>
      </w:r>
      <w:r>
        <w:t xml:space="preserve"> The constant state of being exposed to an extreme danger of sexual abuse at home deprives a child victim of developing</w:t>
      </w:r>
      <w:r>
        <w:t xml:space="preserve"> the otherwise normally acquired ability to intuitively detect the implicit signs of the other’s hidden intention for committing assault, and to instinctively and immediately leave such a dangerous situation.</w:t>
      </w:r>
      <w:r>
        <w:rPr>
          <w:rStyle w:val="WW-FootnoteCharacters"/>
        </w:rPr>
        <w:footnoteReference w:id="9"/>
      </w:r>
      <w:r>
        <w:t xml:space="preserve"> If the abused child develops this otherwise na</w:t>
      </w:r>
      <w:r>
        <w:t>turally formed self-protective instinct, the child will have to register, into her consciousness, the existence of a heinous crime committed by the person on whom the child entirely depends for her continuous living and growth.</w:t>
      </w:r>
      <w:r>
        <w:rPr>
          <w:rStyle w:val="WW-FootnoteCharacters"/>
        </w:rPr>
        <w:footnoteReference w:id="10"/>
      </w:r>
      <w:r>
        <w:t xml:space="preserve"> The unconscious and continu</w:t>
      </w:r>
      <w:r>
        <w:t>ous suppression of the development of this self-protective instinct during the formative years, especially if abuse was committed for a long period of time, results in an extreme difficulty in developing this self-protective instinct otherwise naturally fo</w:t>
      </w:r>
      <w:r>
        <w:t>rmed during childhood if raised by non-</w:t>
      </w:r>
      <w:r>
        <w:lastRenderedPageBreak/>
        <w:t>abusive parents.</w:t>
      </w:r>
      <w:r>
        <w:rPr>
          <w:rStyle w:val="WW-FootnoteCharacters"/>
        </w:rPr>
        <w:footnoteReference w:id="11"/>
      </w:r>
    </w:p>
    <w:p w14:paraId="38F568E6" w14:textId="77777777" w:rsidR="00A46043" w:rsidRDefault="00A46043">
      <w:pPr>
        <w:pStyle w:val="Standard"/>
      </w:pPr>
    </w:p>
    <w:p w14:paraId="39C6052A" w14:textId="77777777" w:rsidR="00A46043" w:rsidRDefault="00A46043">
      <w:pPr>
        <w:pStyle w:val="Standard"/>
      </w:pPr>
      <w:r>
        <w:t>In violation of Articles 15 and 16 of CRPD, covert torturer organizations target survivors of parental child sexual abuse and those with social disabilities, because the torturers assume that a pers</w:t>
      </w:r>
      <w:r>
        <w:t>on with a social disability, such as an inability to detect and avoid dangerous interpersonal situations, caused by parental child sexual abuse victimization, is not only an easy victim, but also less likely to be believed by law enforcement and society at</w:t>
      </w:r>
      <w:r>
        <w:t xml:space="preserve"> large; and assume such a person is less equal in human worth. Organized covert torture serves the purpose of extra-judicially punishing a person with a social disability for attempting to disturb the hierarchy of human worth, discriminatorily assumed by t</w:t>
      </w:r>
      <w:r>
        <w:t>he torturer, between those with and those without social disabilities, in order to reinstate such hierarchy. Organized covert torture is a crime against humanity motivated by a desire for subjugation. The torturers gain a manic sense of power, self-confide</w:t>
      </w:r>
      <w:r>
        <w:t>nce, and sadistic pleasure by controlling and destroying the victim whom the torturers perceive as less in human worth.</w:t>
      </w:r>
    </w:p>
    <w:p w14:paraId="7CC0EC47" w14:textId="77777777" w:rsidR="00A46043" w:rsidRDefault="00A46043">
      <w:pPr>
        <w:pStyle w:val="Standard"/>
      </w:pPr>
    </w:p>
    <w:p w14:paraId="10355FB3" w14:textId="77777777" w:rsidR="00A46043" w:rsidRDefault="00A46043">
      <w:pPr>
        <w:pStyle w:val="Standard"/>
      </w:pPr>
      <w:r>
        <w:t xml:space="preserve">The police across the globe have summarily dismissed the organized covert torture victims' complaints, often claiming that the victims </w:t>
      </w:r>
      <w:r>
        <w:t>are delusional or paranoid, and detained the victims in psychiatric institutions (under Section 5 of the Mental Health Act of Denmark in particular), violating Article 14 of  CRPD.</w:t>
      </w:r>
    </w:p>
    <w:p w14:paraId="6AA50BE6" w14:textId="77777777" w:rsidR="00A46043" w:rsidRDefault="00A46043">
      <w:pPr>
        <w:pStyle w:val="Standard"/>
      </w:pPr>
    </w:p>
    <w:p w14:paraId="58C66765" w14:textId="77777777" w:rsidR="00A46043" w:rsidRDefault="00A46043">
      <w:pPr>
        <w:pStyle w:val="Standard"/>
      </w:pPr>
      <w:r>
        <w:t>Covert torture organizations know the i</w:t>
      </w:r>
      <w:r>
        <w:t>mpunity surrounding the act of fals</w:t>
      </w:r>
      <w:r>
        <w:t>ely accusing a person with a psychosocial disability of certain crimes, which are inherently hard to prove, such as sexual offences, and especially when the alleged victim requests not to charge the accused of the alleged crime, as demonstrated above. Ther</w:t>
      </w:r>
      <w:r>
        <w:t>efore, covert torture organizations exploits this impunity by orchestrating the false criminal complaints filed against their victims, who are already perceived to have untreated psychosocial disabilities by the police. Organized covert torture instantiate</w:t>
      </w:r>
      <w:r>
        <w:t xml:space="preserve">s the increasingly sophisticated changes of an organized criminal operation responding to the given techniques of crime prevention today. </w:t>
      </w:r>
      <w:r>
        <w:rPr>
          <w:rStyle w:val="WW-FootnoteCharacters"/>
        </w:rPr>
        <w:footnoteReference w:id="12"/>
      </w:r>
    </w:p>
    <w:p w14:paraId="4E797CA9" w14:textId="77777777" w:rsidR="00A46043" w:rsidRDefault="00A46043">
      <w:pPr>
        <w:pStyle w:val="Standard"/>
      </w:pPr>
    </w:p>
    <w:p w14:paraId="25B0399C" w14:textId="77777777" w:rsidR="00A46043" w:rsidRDefault="00A46043">
      <w:pPr>
        <w:pStyle w:val="Standard"/>
      </w:pPr>
      <w:r>
        <w:lastRenderedPageBreak/>
        <w:t>After and/or before involuntarily placing organized covert torture victims in psychiatric hospitals, and often afte</w:t>
      </w:r>
      <w:r>
        <w:t>r receiving false crime allegations filed against the organized covert torture victims, the police initiate their own version of the lifelong organized stalking of the organized covert torture victims, as demonstrated above, instead of investigating and pr</w:t>
      </w:r>
      <w:r>
        <w:t>osecuting organized covert tortures. As a result, organized covert torture lasts for decades, until the physical covert torture injuries sustained over decades eventually kill the victim.</w:t>
      </w:r>
    </w:p>
    <w:p w14:paraId="749EE3D2" w14:textId="77777777" w:rsidR="00A46043" w:rsidRDefault="00A46043">
      <w:pPr>
        <w:pStyle w:val="Standard"/>
      </w:pPr>
    </w:p>
    <w:p w14:paraId="0E96DA71" w14:textId="77777777" w:rsidR="00A46043" w:rsidRDefault="00A46043">
      <w:pPr>
        <w:pStyle w:val="Standard"/>
      </w:pPr>
    </w:p>
    <w:p w14:paraId="4C46CAEF" w14:textId="77777777" w:rsidR="00A46043" w:rsidRDefault="00A46043">
      <w:pPr>
        <w:pStyle w:val="Standard"/>
      </w:pPr>
    </w:p>
    <w:p w14:paraId="52E42145" w14:textId="77777777" w:rsidR="00A46043" w:rsidRDefault="00A46043">
      <w:pPr>
        <w:pStyle w:val="Standard"/>
      </w:pPr>
    </w:p>
    <w:p w14:paraId="14DD23DE" w14:textId="77777777" w:rsidR="00A46043" w:rsidRDefault="00A46043">
      <w:pPr>
        <w:pStyle w:val="Standard"/>
        <w:pageBreakBefore/>
      </w:pPr>
      <w:r>
        <w:rPr>
          <w:b/>
          <w:bCs/>
        </w:rPr>
        <w:lastRenderedPageBreak/>
        <w:t>Proposed recommendations</w:t>
      </w:r>
    </w:p>
    <w:p w14:paraId="02B5C049" w14:textId="77777777" w:rsidR="00A46043" w:rsidRDefault="00A46043">
      <w:pPr>
        <w:pStyle w:val="Standard"/>
      </w:pPr>
    </w:p>
    <w:p w14:paraId="119E72AF" w14:textId="77777777" w:rsidR="00A46043" w:rsidRDefault="00A46043">
      <w:pPr>
        <w:pStyle w:val="Standard"/>
        <w:numPr>
          <w:ilvl w:val="0"/>
          <w:numId w:val="2"/>
        </w:numPr>
      </w:pPr>
      <w:r>
        <w:t xml:space="preserve">The paternalistic immunity granted to </w:t>
      </w:r>
      <w:r>
        <w:t>persons with perceived, fabricated and/or actual psychosocial disabilities, set forth in Article 68 and 69 of the Criminal Code of Denmark and equivalent provisions in the Compulsory Mental Healthcare Act (Wet verplichte geestelijke gezondheidszorg, WVGGZ)</w:t>
      </w:r>
      <w:r>
        <w:t xml:space="preserve"> and the Care and Compulsion Act (Wet zorg en dwang, WZD) of the Netherlands, in violation of Article 14 of CRPD, should be abrogated: a person with a psychosocial disability ought to be brought to criminal proceedings and be punished for his/her criminal </w:t>
      </w:r>
      <w:r>
        <w:t xml:space="preserve">behaviour in the same manner that a person without the disability would, as recommend in the CRPD’s </w:t>
      </w:r>
      <w:r>
        <w:rPr>
          <w:i/>
          <w:iCs/>
        </w:rPr>
        <w:t>Guidelines on the right to liberty and security of persons with disabilities</w:t>
      </w:r>
      <w:r>
        <w:t>.</w:t>
      </w:r>
      <w:r>
        <w:rPr>
          <w:rStyle w:val="FootnoteReference"/>
        </w:rPr>
        <w:footnoteReference w:id="13"/>
      </w:r>
      <w:r>
        <w:t xml:space="preserve"> The realization of equal recognition before the law, pursuant to Article 12 o</w:t>
      </w:r>
      <w:r>
        <w:t>f CRPD, is predicated upon the abrogation of the said paternalistic statutory provisions, which deprive a person with psychosocial disabilities of both the rights and responsibilities.</w:t>
      </w:r>
    </w:p>
    <w:p w14:paraId="06A265F8" w14:textId="77777777" w:rsidR="00A46043" w:rsidRDefault="00A46043">
      <w:pPr>
        <w:pStyle w:val="Standard"/>
        <w:numPr>
          <w:ilvl w:val="0"/>
          <w:numId w:val="2"/>
        </w:numPr>
      </w:pPr>
      <w:r>
        <w:t>The proposed abrogation of the statutory immunity shall not prevent a p</w:t>
      </w:r>
      <w:r>
        <w:t>sychiatrist or psychologist from visiting, for the purpose of psychosocial treatment, the person with the disability who is held in custody and/or imprisoned for the commission of a crime.</w:t>
      </w:r>
    </w:p>
    <w:p w14:paraId="1F2E7CAA" w14:textId="77777777" w:rsidR="00A46043" w:rsidRDefault="00A46043">
      <w:pPr>
        <w:pStyle w:val="Standard"/>
        <w:numPr>
          <w:ilvl w:val="0"/>
          <w:numId w:val="2"/>
        </w:numPr>
      </w:pPr>
      <w:r>
        <w:t>Article 5 of the Mental Health Act of Denmark, which authorizes the</w:t>
      </w:r>
      <w:r>
        <w:t xml:space="preserve"> detention of the victims of organized covert torture, unwilling to take psychotropic medications for the wrongful diagnosis of the delusional “disorder” or paranoid schizophrenia, while reinforcing the impunity surrounding organized covert torture, shall </w:t>
      </w:r>
      <w:r>
        <w:t>be repealed.</w:t>
      </w:r>
    </w:p>
    <w:p w14:paraId="5571479E" w14:textId="77777777" w:rsidR="00A46043" w:rsidRDefault="00A46043">
      <w:pPr>
        <w:pStyle w:val="Standard"/>
        <w:numPr>
          <w:ilvl w:val="0"/>
          <w:numId w:val="2"/>
        </w:numPr>
      </w:pPr>
      <w:r>
        <w:t>The national government shall fully investigate and prosecute police officers, other first responders, security and private military company personnel, the Mafia members, among other covertly operating organizations, who administer and partici</w:t>
      </w:r>
      <w:r>
        <w:t>pate in the organized stalking and/or covert torture of persons with perceived and/or actual psychosocial disabilities, pursuant to Article 15 and 16 of CPRD.</w:t>
      </w:r>
    </w:p>
    <w:p w14:paraId="75D56BA3" w14:textId="77777777" w:rsidR="00A46043" w:rsidRDefault="00A46043">
      <w:pPr>
        <w:pStyle w:val="Standard"/>
        <w:numPr>
          <w:ilvl w:val="0"/>
          <w:numId w:val="2"/>
        </w:numPr>
      </w:pPr>
      <w:r>
        <w:t xml:space="preserve">G4S, a security/military global conglomerate, originally established in Denmark and </w:t>
      </w:r>
      <w:r>
        <w:lastRenderedPageBreak/>
        <w:t>fully license</w:t>
      </w:r>
      <w:r>
        <w:t xml:space="preserve">d to operate in Denmark and the Netherlands, is one of those security and/or private military companies that administer organized covert torture across the globe, according to the direct knowledge of the principle author of this report as well as a former </w:t>
      </w:r>
      <w:r>
        <w:t>high ranking officer of a security company, Bryan a Koffron. The national government shall permanently revoke the business licenses of the security and private military companies, such as G4S, which administer organized covert torture, and prevent these co</w:t>
      </w:r>
      <w:r>
        <w:t>mpanies from resuming their operations under new company names, pursuant to Article 15 and 16.</w:t>
      </w:r>
    </w:p>
    <w:p w14:paraId="178F33FE" w14:textId="77777777" w:rsidR="00A46043" w:rsidRDefault="00A46043">
      <w:pPr>
        <w:pStyle w:val="Standard"/>
        <w:numPr>
          <w:ilvl w:val="0"/>
          <w:numId w:val="2"/>
        </w:numPr>
      </w:pPr>
      <w:r>
        <w:t>The executives of security and private military companies as well as criminal organizations (the Mafias), and those who administer the specific program of organi</w:t>
      </w:r>
      <w:r>
        <w:t>zed covert torture (if not the same as the executives), shall be prosecuted and imprisoned for the term principally longer than those who obeyed these leaders’ commands to torture the victims.</w:t>
      </w:r>
    </w:p>
    <w:p w14:paraId="6BCA60C7" w14:textId="77777777" w:rsidR="00A46043" w:rsidRDefault="00A46043">
      <w:pPr>
        <w:pStyle w:val="Standard"/>
        <w:numPr>
          <w:ilvl w:val="0"/>
          <w:numId w:val="2"/>
        </w:numPr>
      </w:pPr>
      <w:r>
        <w:t>The government shall seize the asserts of these security and pr</w:t>
      </w:r>
      <w:r>
        <w:t>ivate military companies and the Mafias in order to pay compensations to the victims of covert torture administered by these organizations.</w:t>
      </w:r>
    </w:p>
    <w:p w14:paraId="4DEF9366" w14:textId="77777777" w:rsidR="00A46043" w:rsidRDefault="00A46043">
      <w:pPr>
        <w:pStyle w:val="Standard"/>
        <w:numPr>
          <w:ilvl w:val="0"/>
          <w:numId w:val="2"/>
        </w:numPr>
      </w:pPr>
      <w:r>
        <w:t>A mental health professional or medical doctor, who purposefully or knowingly facilitates, conceals or legitimizes o</w:t>
      </w:r>
      <w:r>
        <w:t>rganized covert torture or organized stalking by giving a wrongful psychiatric diagnosis, such as delusional disorder or paranoid schizophrenia, to the victim of organized covert torture or organized stalking, whereof the evidence is not readily available;</w:t>
      </w:r>
      <w:r>
        <w:t xml:space="preserve"> or by tampering with medical evidence concerning physical injury sustained by an organized covert torture victim shall have her/his license permanently revoked, pay a fine, a half of the fine shall belong to the state while another half shall be given to </w:t>
      </w:r>
      <w:r>
        <w:t>the victim of the wrongful diagnosis, and, be imprisoned. If the victim of the wrongful psychiatric diagnosis is a child abuse survivor or a person with a psychosocial disability, who has a legitimate diagnosis other than the wrongful diagnosis, the amount</w:t>
      </w:r>
      <w:r>
        <w:t xml:space="preserve"> of the fine and the prison sentence shall be greater.</w:t>
      </w:r>
    </w:p>
    <w:p w14:paraId="7AF6997A" w14:textId="77777777" w:rsidR="00A46043" w:rsidRDefault="00A46043">
      <w:pPr>
        <w:pStyle w:val="Standard"/>
        <w:numPr>
          <w:ilvl w:val="0"/>
          <w:numId w:val="2"/>
        </w:numPr>
      </w:pPr>
      <w:r>
        <w:t>A police officer shall be civilly and criminally liable for an injury suffered by a person with a perceived or actual psychosocial disability or by a person who survived child sexual abuse, if the peac</w:t>
      </w:r>
      <w:r>
        <w:t xml:space="preserve">e officer's act or omission, where the act or omission was the result of the exercise of the discretion vested in the officer, caused such an injury. Proving the peace officer's knowledge of the injured </w:t>
      </w:r>
      <w:r>
        <w:lastRenderedPageBreak/>
        <w:t>person's child sexual abuse history or psychosocial d</w:t>
      </w:r>
      <w:r>
        <w:t>isability is not required to establish the peace officer's liability for abusing her or his discretion. The peace officer shall not be entitled to be indemnified under any circumstance.</w:t>
      </w:r>
    </w:p>
    <w:p w14:paraId="616ACCF6" w14:textId="77777777" w:rsidR="00A46043" w:rsidRDefault="00A46043">
      <w:pPr>
        <w:pStyle w:val="Standard"/>
        <w:numPr>
          <w:ilvl w:val="0"/>
          <w:numId w:val="2"/>
        </w:numPr>
      </w:pPr>
      <w:r>
        <w:t>Any and all law enforcement units, systems, watch lists, and alike tha</w:t>
      </w:r>
      <w:r>
        <w:t>t are intended to keep persons with psychosocial disabilities under surveillance shall be completely abolished. A person who is responsible for establishing a psychosocial disability-profiling law enforcement practice shall be permanently barred from being</w:t>
      </w:r>
      <w:r>
        <w:t xml:space="preserve"> employed as a law enforcement officer.</w:t>
      </w:r>
    </w:p>
    <w:p w14:paraId="5945EC15" w14:textId="77777777" w:rsidR="00A46043" w:rsidRDefault="00A46043">
      <w:pPr>
        <w:pStyle w:val="Standard"/>
        <w:numPr>
          <w:ilvl w:val="0"/>
          <w:numId w:val="2"/>
        </w:numPr>
      </w:pPr>
      <w:r>
        <w:t>The discriminatory, socially objectifying and degrading language used to signify psychosocial disability, such as “unsound” mind, mental “disorder,” psychopath and sociopath (implying that psychosocial disability and</w:t>
      </w:r>
      <w:r>
        <w:t xml:space="preserve"> social disability essentially equate criminality), among others, shall no longer be used in any context, including the state party’s report, statutes and the media, pursuant to Article 8 of CRPD.</w:t>
      </w:r>
    </w:p>
    <w:p w14:paraId="6A7EBEFD" w14:textId="77777777" w:rsidR="00A46043" w:rsidRDefault="00A46043">
      <w:pPr>
        <w:pStyle w:val="Standard"/>
        <w:numPr>
          <w:ilvl w:val="0"/>
          <w:numId w:val="2"/>
        </w:numPr>
      </w:pPr>
      <w:r>
        <w:t>The Criminal Code of each country should categorize the men</w:t>
      </w:r>
      <w:r>
        <w:t>tal state of a desire for subjugation, while committing a violent criminal action, as the guiltiest mental state, in determining a judicial punishment, whether or not the defendant has a psychosocial disability, in order to participate in the socio-juridic</w:t>
      </w:r>
      <w:r>
        <w:t>al undoing of such a subjugation desire itself.</w:t>
      </w:r>
    </w:p>
    <w:p w14:paraId="1B71D631" w14:textId="77777777" w:rsidR="00A46043" w:rsidRDefault="00A46043">
      <w:pPr>
        <w:pStyle w:val="Standard"/>
      </w:pPr>
    </w:p>
    <w:p w14:paraId="7932C6F3" w14:textId="77777777" w:rsidR="00A46043" w:rsidRDefault="00A46043">
      <w:pPr>
        <w:pStyle w:val="Standard"/>
      </w:pPr>
    </w:p>
    <w:p w14:paraId="2C075E7A" w14:textId="77777777" w:rsidR="00A46043" w:rsidRDefault="00A46043">
      <w:pPr>
        <w:pStyle w:val="Standard"/>
      </w:pPr>
    </w:p>
    <w:p w14:paraId="31C02E16" w14:textId="77777777" w:rsidR="00A46043" w:rsidRDefault="00A46043">
      <w:pPr>
        <w:pStyle w:val="Standard"/>
      </w:pPr>
    </w:p>
    <w:sectPr w:rsidR="00000000">
      <w:headerReference w:type="even" r:id="rId18"/>
      <w:headerReference w:type="default" r:id="rId19"/>
      <w:footerReference w:type="even" r:id="rId20"/>
      <w:footerReference w:type="default" r:id="rId21"/>
      <w:headerReference w:type="first" r:id="rId22"/>
      <w:footerReference w:type="first" r:id="rId23"/>
      <w:pgSz w:w="12240" w:h="15840"/>
      <w:pgMar w:top="1134" w:right="1134" w:bottom="1134" w:left="1134"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7EB99" w14:textId="77777777" w:rsidR="00A46043" w:rsidRDefault="00A46043">
      <w:r>
        <w:separator/>
      </w:r>
    </w:p>
  </w:endnote>
  <w:endnote w:type="continuationSeparator" w:id="0">
    <w:p w14:paraId="4F72186B" w14:textId="77777777" w:rsidR="00A46043" w:rsidRDefault="00A46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nos">
    <w:altName w:val="Yu Gothic"/>
    <w:charset w:val="80"/>
    <w:family w:val="roman"/>
    <w:pitch w:val="variable"/>
  </w:font>
  <w:font w:name="Arimo">
    <w:altName w:val="Arial"/>
    <w:charset w:val="00"/>
    <w:family w:val="auto"/>
    <w:pitch w:val="variable"/>
  </w:font>
  <w:font w:name="OpenSymbol">
    <w:altName w:val="Arial Unicode MS"/>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2F206" w14:textId="77777777" w:rsidR="00A46043" w:rsidRDefault="00A4604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7B3D3" w14:textId="77777777" w:rsidR="00A46043" w:rsidRDefault="00A460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CB107" w14:textId="77777777" w:rsidR="00A46043" w:rsidRDefault="00A4604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C79E8" w14:textId="77777777" w:rsidR="00A46043" w:rsidRDefault="00A4604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0F9FC" w14:textId="77777777" w:rsidR="00A46043" w:rsidRDefault="00A4604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C5470" w14:textId="77777777" w:rsidR="00A46043" w:rsidRDefault="00A46043"/>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C270F" w14:textId="77777777" w:rsidR="00A46043" w:rsidRDefault="00A46043"/>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C14CC" w14:textId="77777777" w:rsidR="00A46043" w:rsidRDefault="00A46043">
    <w:pPr>
      <w:pStyle w:val="Footer"/>
      <w:jc w:val="center"/>
    </w:pPr>
    <w:r>
      <w:fldChar w:fldCharType="begin"/>
    </w:r>
    <w:r>
      <w:instrText xml:space="preserve"> PAGE </w:instrText>
    </w:r>
    <w:r>
      <w:fldChar w:fldCharType="separate"/>
    </w:r>
    <w:r>
      <w:t>6</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C33E6" w14:textId="77777777" w:rsidR="00A46043" w:rsidRDefault="00A460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4CB93" w14:textId="77777777" w:rsidR="00A46043" w:rsidRDefault="00A46043">
      <w:r>
        <w:separator/>
      </w:r>
    </w:p>
  </w:footnote>
  <w:footnote w:type="continuationSeparator" w:id="0">
    <w:p w14:paraId="715CA5D6" w14:textId="77777777" w:rsidR="00A46043" w:rsidRDefault="00A46043">
      <w:r>
        <w:continuationSeparator/>
      </w:r>
    </w:p>
  </w:footnote>
  <w:footnote w:id="1">
    <w:p w14:paraId="321702D6" w14:textId="77777777" w:rsidR="00A46043" w:rsidRDefault="00A46043">
      <w:pPr>
        <w:pStyle w:val="FootnoteText"/>
      </w:pPr>
      <w:r>
        <w:rPr>
          <w:rStyle w:val="FootnoteCharacters"/>
        </w:rPr>
        <w:footnoteRef/>
      </w:r>
      <w:r>
        <w:t>Nederlandse antiterrorismeregelgeving getoetst aan fundamentele rechten Een analyse met meer bijzonder aandacht voor het EVRM P.H.P.H.M.C. van Kempen &amp; J. Van de Voort https://repository.wodc.nl/bitstrea</w:t>
      </w:r>
      <w:r>
        <w:t>m/handle/20.500.12832/1885/1996-volledige-tekst_tcm28-71575.pdf?sequence=2, at page 40 and 107.</w:t>
      </w:r>
    </w:p>
    <w:p w14:paraId="37D48956" w14:textId="77777777" w:rsidR="00A46043" w:rsidRDefault="00A46043">
      <w:pPr>
        <w:pStyle w:val="FootnoteText"/>
      </w:pPr>
      <w:r>
        <w:t xml:space="preserve"> Council of Europe, Report by the Commissioner for Human Rights, Mr Thomas Hammarberg, on his visit to The Netherlands, 21-25 September 2008, Strasbourg, 11 Mar</w:t>
      </w:r>
      <w:r>
        <w:t>ch 2009, CommDH(2009)2.</w:t>
      </w:r>
    </w:p>
    <w:p w14:paraId="6FA5678E" w14:textId="77777777" w:rsidR="00A46043" w:rsidRDefault="00A46043">
      <w:pPr>
        <w:pStyle w:val="FootnoteText"/>
      </w:pPr>
      <w:hyperlink r:id="rId1" w:anchor="verstoren-en-hinderlijk-volgen" w:history="1">
        <w:r>
          <w:rPr>
            <w:rStyle w:val="Hyperlink"/>
          </w:rPr>
          <w:t>https://www.parallelrechtssysteem.nl/#verstoren-en-hinderlijk-volgen</w:t>
        </w:r>
      </w:hyperlink>
      <w:r>
        <w:t>;</w:t>
      </w:r>
    </w:p>
    <w:p w14:paraId="37829F15" w14:textId="77777777" w:rsidR="00A46043" w:rsidRDefault="00A46043">
      <w:pPr>
        <w:pStyle w:val="FootnoteText"/>
        <w:ind w:left="0" w:firstLine="0"/>
      </w:pPr>
      <w:r>
        <w:t>https://www.rtl.nl/nieuws/video/video/df1cb22d-a878-4a2f-8c3e-63aece9088</w:t>
      </w:r>
      <w:r>
        <w:t>62/politie-zat-onschuldige-said-jarenlang-op-de-hielen-ik-werd-suicidaal?redirect=rtlnieuws</w:t>
      </w:r>
    </w:p>
  </w:footnote>
  <w:footnote w:id="2">
    <w:p w14:paraId="291DC312" w14:textId="77777777" w:rsidR="00A46043" w:rsidRDefault="00A46043">
      <w:pPr>
        <w:pStyle w:val="FootnoteText"/>
      </w:pPr>
      <w:r>
        <w:rPr>
          <w:rStyle w:val="FootnoteCharacters"/>
        </w:rPr>
        <w:footnoteRef/>
      </w:r>
      <w:r>
        <w:t>available at https://uitspraken.rechtspraak.nl/details?id=ECLI:NL:RBAMS:2005:AU7314&amp;showbutton=true</w:t>
      </w:r>
    </w:p>
  </w:footnote>
  <w:footnote w:id="3">
    <w:p w14:paraId="75D1463A" w14:textId="77777777" w:rsidR="00A46043" w:rsidRDefault="00A46043">
      <w:pPr>
        <w:pStyle w:val="FootnoteText"/>
      </w:pPr>
      <w:r>
        <w:rPr>
          <w:rStyle w:val="FootnoteCharacters"/>
        </w:rPr>
        <w:footnoteRef/>
      </w:r>
      <w:r>
        <w:t>available at https://uitspraken.rechtspraak.nl/details?id=ECLI</w:t>
      </w:r>
      <w:r>
        <w:t>:NL:RBAMS:2006:AV4173&amp;showbutton=true</w:t>
      </w:r>
    </w:p>
  </w:footnote>
  <w:footnote w:id="4">
    <w:p w14:paraId="78802437" w14:textId="77777777" w:rsidR="00A46043" w:rsidRDefault="00A46043">
      <w:pPr>
        <w:pStyle w:val="Standard"/>
      </w:pPr>
      <w:r>
        <w:rPr>
          <w:rStyle w:val="FootnoteCharacters"/>
        </w:rPr>
        <w:footnoteRef/>
      </w:r>
      <w:r>
        <w:rPr>
          <w:color w:val="000000"/>
          <w:sz w:val="20"/>
          <w:szCs w:val="20"/>
        </w:rPr>
        <w:t xml:space="preserve"> </w:t>
      </w:r>
      <w:r>
        <w:rPr>
          <w:color w:val="000000"/>
        </w:rPr>
        <w:t xml:space="preserve"> </w:t>
      </w:r>
      <w:r>
        <w:rPr>
          <w:color w:val="000000"/>
          <w:sz w:val="20"/>
          <w:szCs w:val="20"/>
        </w:rPr>
        <w:t>Yet, it is worth noting that, according to Amnesty International, under the U,K.’s Prevent Act, innocent persons with Autism are often wrongfully placed on the terrorist watch list. Amnesty International, ‘</w:t>
      </w:r>
      <w:r>
        <w:rPr>
          <w:i/>
          <w:iCs/>
          <w:color w:val="000000"/>
          <w:sz w:val="20"/>
          <w:szCs w:val="20"/>
        </w:rPr>
        <w:t>This is t</w:t>
      </w:r>
      <w:r>
        <w:rPr>
          <w:i/>
          <w:iCs/>
          <w:color w:val="000000"/>
          <w:sz w:val="20"/>
          <w:szCs w:val="20"/>
        </w:rPr>
        <w:t xml:space="preserve">he Thought Police:’ The Prevent duty and its chilling effect on human rights </w:t>
      </w:r>
      <w:r>
        <w:rPr>
          <w:sz w:val="20"/>
          <w:szCs w:val="20"/>
        </w:rPr>
        <w:t>(London: November, 2023), available at</w:t>
      </w:r>
      <w:r>
        <w:rPr>
          <w:b/>
          <w:bCs/>
          <w:i/>
          <w:iCs/>
          <w:color w:val="000000"/>
          <w:sz w:val="20"/>
          <w:szCs w:val="20"/>
        </w:rPr>
        <w:t xml:space="preserve"> </w:t>
      </w:r>
      <w:r>
        <w:rPr>
          <w:color w:val="000000"/>
          <w:sz w:val="20"/>
          <w:szCs w:val="20"/>
        </w:rPr>
        <w:t>https://www.amnesty.org.uk/files/2023-11/Amnesty%20UK%20Prevent%20report%20%281%29.pdf?VersionId=.hjIwRZuHiGd1_lECXroFwg25jyBtwur</w:t>
      </w:r>
    </w:p>
  </w:footnote>
  <w:footnote w:id="5">
    <w:p w14:paraId="66FA49A4" w14:textId="77777777" w:rsidR="00A46043" w:rsidRDefault="00A46043">
      <w:pPr>
        <w:pStyle w:val="FootnoteText"/>
      </w:pPr>
      <w:r>
        <w:rPr>
          <w:rStyle w:val="FootnoteCharacters"/>
        </w:rPr>
        <w:footnoteRef/>
      </w:r>
      <w:r>
        <w:t>Nicolas D</w:t>
      </w:r>
      <w:r>
        <w:t>esurmont, “Vers une problematique du harcelement criminel en reseau,” Revue international de Criminologie et de Police technique et scientifique, vol. 49 (2006).</w:t>
      </w:r>
    </w:p>
  </w:footnote>
  <w:footnote w:id="6">
    <w:p w14:paraId="2AE7F591" w14:textId="77777777" w:rsidR="00A46043" w:rsidRDefault="00A46043">
      <w:pPr>
        <w:pStyle w:val="FootnoteText"/>
      </w:pPr>
      <w:r>
        <w:rPr>
          <w:rStyle w:val="FootnoteCharacters"/>
        </w:rPr>
        <w:footnoteRef/>
      </w:r>
      <w:r>
        <w:t>The Office of the United Nations High Commissioner for Human Rights, The United Nations Human</w:t>
      </w:r>
      <w:r>
        <w:t xml:space="preserve"> Rights Guidance on Less-Lethal Weapons in Law Enforcement (New York: United Nations Publications, 2020) at 43. Available online at https://www.ohchr.org/sites/default/files/Documents/HRBodies/CCPR/ LLW_Guidance.pdf</w:t>
      </w:r>
    </w:p>
  </w:footnote>
  <w:footnote w:id="7">
    <w:p w14:paraId="1FC47F1D" w14:textId="77777777" w:rsidR="00A46043" w:rsidRDefault="00A46043">
      <w:pPr>
        <w:pStyle w:val="FootnoteText"/>
      </w:pPr>
      <w:r>
        <w:rPr>
          <w:rStyle w:val="FootnoteCharacters"/>
        </w:rPr>
        <w:footnoteRef/>
      </w:r>
      <w:r>
        <w:t>Human Rights Council Resolution 51/3, N</w:t>
      </w:r>
      <w:r>
        <w:t>eurotechnology and human rights, A/HRC/RES/51/3 (6 October 6 2022) available at https://daccess-ods.un.org/tmp/3814329.80298996.html</w:t>
      </w:r>
    </w:p>
  </w:footnote>
  <w:footnote w:id="8">
    <w:p w14:paraId="504D414B" w14:textId="77777777" w:rsidR="00A46043" w:rsidRDefault="00A46043">
      <w:pPr>
        <w:pStyle w:val="FootnoteText"/>
      </w:pPr>
      <w:r>
        <w:rPr>
          <w:rStyle w:val="FootnoteCharacters"/>
        </w:rPr>
        <w:footnoteRef/>
      </w:r>
      <w:r>
        <w:t>Diana Russell, The Secret Trauma: Incest in the Lives of Girls and Women (New York: Basic Books, 1986), 172-173.</w:t>
      </w:r>
    </w:p>
  </w:footnote>
  <w:footnote w:id="9">
    <w:p w14:paraId="3ECEB835" w14:textId="77777777" w:rsidR="00A46043" w:rsidRDefault="00A46043">
      <w:pPr>
        <w:pStyle w:val="FootnoteText"/>
      </w:pPr>
      <w:r>
        <w:rPr>
          <w:rStyle w:val="FootnoteCharacters"/>
        </w:rPr>
        <w:footnoteRef/>
      </w:r>
      <w:r>
        <w:t>Judith H</w:t>
      </w:r>
      <w:r>
        <w:t>erman, Father-Daughter Incest (Cambridge, Mass.: Harvard University Press, 2000), 187.</w:t>
      </w:r>
    </w:p>
  </w:footnote>
  <w:footnote w:id="10">
    <w:p w14:paraId="1B7D9A8E" w14:textId="77777777" w:rsidR="00A46043" w:rsidRDefault="00A46043">
      <w:pPr>
        <w:pStyle w:val="Standard"/>
      </w:pPr>
      <w:r>
        <w:rPr>
          <w:rStyle w:val="FootnoteCharacters"/>
        </w:rPr>
        <w:footnoteRef/>
      </w:r>
      <w:r>
        <w:rPr>
          <w:sz w:val="20"/>
          <w:szCs w:val="20"/>
        </w:rPr>
        <w:t>Moreover, a child of an early age cannot understand the meaning of her/his sexual abuse victimisation, thereby suppressing the victimisation memory till s/he grows enou</w:t>
      </w:r>
      <w:r>
        <w:rPr>
          <w:sz w:val="20"/>
          <w:szCs w:val="20"/>
        </w:rPr>
        <w:t>gh to understand the meaning of the victimisation.</w:t>
      </w:r>
    </w:p>
  </w:footnote>
  <w:footnote w:id="11">
    <w:p w14:paraId="3C9EF022" w14:textId="77777777" w:rsidR="00A46043" w:rsidRDefault="00A46043">
      <w:pPr>
        <w:pStyle w:val="FootnoteText"/>
      </w:pPr>
      <w:r>
        <w:rPr>
          <w:rStyle w:val="FootnoteCharacters"/>
        </w:rPr>
        <w:footnoteRef/>
      </w:r>
      <w:r>
        <w:t>Russell, The Secret Trauma, 174.</w:t>
      </w:r>
    </w:p>
  </w:footnote>
  <w:footnote w:id="12">
    <w:p w14:paraId="386F2B2F" w14:textId="77777777" w:rsidR="00A46043" w:rsidRDefault="00A46043">
      <w:pPr>
        <w:pStyle w:val="FootnoteText"/>
      </w:pPr>
      <w:r>
        <w:rPr>
          <w:rStyle w:val="FootnoteCharacters"/>
        </w:rPr>
        <w:footnoteRef/>
      </w:r>
      <w:r>
        <w:t>Mary MacIntosh, The Organisation of Crime (London: Macmillan, 1975).</w:t>
      </w:r>
    </w:p>
  </w:footnote>
  <w:footnote w:id="13">
    <w:p w14:paraId="1BD873F5" w14:textId="77777777" w:rsidR="00A46043" w:rsidRDefault="00A46043">
      <w:pPr>
        <w:pStyle w:val="FootnoteText"/>
      </w:pPr>
      <w:r>
        <w:rPr>
          <w:rStyle w:val="FootnoteCharacters"/>
        </w:rPr>
        <w:footnoteRef/>
      </w:r>
      <w:r>
        <w:t>Report of the Committee on the Rights of Persons with Disabilities, A/72/55 (2017), at paragraph 14,</w:t>
      </w:r>
      <w:r>
        <w:t>16 and 20 of the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3CA9F" w14:textId="77777777" w:rsidR="00A46043" w:rsidRDefault="00A460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42302" w14:textId="77777777" w:rsidR="00A46043" w:rsidRDefault="00A4604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DCC0B" w14:textId="77777777" w:rsidR="00A46043" w:rsidRDefault="00A4604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4ADC4" w14:textId="77777777" w:rsidR="00A46043" w:rsidRDefault="00A4604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D6B93" w14:textId="77777777" w:rsidR="00A46043" w:rsidRDefault="00A46043"/>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238FB" w14:textId="77777777" w:rsidR="00A46043" w:rsidRDefault="00A46043"/>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B3BC9" w14:textId="77777777" w:rsidR="00A46043" w:rsidRDefault="00A46043"/>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82D36" w14:textId="77777777" w:rsidR="00A46043" w:rsidRDefault="00A4604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num w:numId="1" w16cid:durableId="25302457">
    <w:abstractNumId w:val="0"/>
  </w:num>
  <w:num w:numId="2" w16cid:durableId="2932963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FA1"/>
    <w:rsid w:val="001A4FA1"/>
    <w:rsid w:val="00A46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BD5E3FA"/>
  <w15:chartTrackingRefBased/>
  <w15:docId w15:val="{780765F6-A2B3-425C-B16F-93B6E67FE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textAlignment w:val="baseline"/>
    </w:pPr>
    <w:rPr>
      <w:rFonts w:ascii="Tinos" w:eastAsia="Arimo" w:hAnsi="Tinos" w:cs="Arimo"/>
      <w:kern w:val="1"/>
      <w:sz w:val="24"/>
      <w:szCs w:val="24"/>
      <w:lang w:val="en-CA" w:eastAsia="hi-IN" w:bidi="hi-IN"/>
    </w:rPr>
  </w:style>
  <w:style w:type="paragraph" w:styleId="Heading2">
    <w:name w:val="heading 2"/>
    <w:basedOn w:val="Heading"/>
    <w:next w:val="BodyText"/>
    <w:qFormat/>
    <w:pPr>
      <w:numPr>
        <w:ilvl w:val="1"/>
        <w:numId w:val="1"/>
      </w:numPr>
      <w:outlineLvl w:val="1"/>
    </w:pPr>
    <w:rPr>
      <w:rFonts w:ascii="Tinos" w:hAnsi="Tino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i/>
      <w:sz w:val="22"/>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styleId="DefaultParagraphFont0">
    <w:name w:val="Default Paragraph Font"/>
  </w:style>
  <w:style w:type="character" w:customStyle="1" w:styleId="FootnoteSymbol">
    <w:name w:val="Footnote Symbol"/>
    <w:rPr>
      <w:vertAlign w:val="superscript"/>
    </w:rPr>
  </w:style>
  <w:style w:type="character" w:customStyle="1" w:styleId="WW8Num34z0">
    <w:name w:val="WW8Num34z0"/>
    <w:rPr>
      <w:i/>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FootnoteCharacters">
    <w:name w:val="Footnote Characters"/>
    <w:rPr>
      <w:vertAlign w:val="superscript"/>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character" w:styleId="LineNumber">
    <w:name w:val="line number"/>
  </w:style>
  <w:style w:type="character" w:customStyle="1" w:styleId="Internetlink">
    <w:name w:val="Internet link"/>
    <w:rPr>
      <w:color w:val="000080"/>
      <w:u w:val="single"/>
    </w:rPr>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styleId="FollowedHyperlink">
    <w:name w:val="FollowedHyperlink"/>
    <w:rPr>
      <w:color w:val="800000"/>
      <w:u w:val="single"/>
    </w:rPr>
  </w:style>
  <w:style w:type="character" w:customStyle="1" w:styleId="WW-FootnoteCharacters">
    <w:name w:val="WW-Footnote Characters"/>
    <w:rPr>
      <w:vertAlign w:val="superscript"/>
    </w:rPr>
  </w:style>
  <w:style w:type="character" w:styleId="Hyperlink">
    <w:name w:val="Hyperlink"/>
    <w:rPr>
      <w:color w:val="000080"/>
      <w:u w:val="single"/>
      <w:lang/>
    </w:rPr>
  </w:style>
  <w:style w:type="character" w:customStyle="1" w:styleId="EndnoteCharacters">
    <w:name w:val="Endnote Characters"/>
    <w:rPr>
      <w:vertAlign w:val="superscript"/>
    </w:rPr>
  </w:style>
  <w:style w:type="character" w:customStyle="1" w:styleId="WW-EndnoteCharacters">
    <w:name w:val="WW-Endnote Characters"/>
  </w:style>
  <w:style w:type="character" w:styleId="FootnoteReference">
    <w:name w:val="footnote reference"/>
    <w:rPr>
      <w:vertAlign w:val="superscript"/>
    </w:rPr>
  </w:style>
  <w:style w:type="character" w:styleId="EndnoteReference">
    <w:name w:val="endnote reference"/>
    <w:rPr>
      <w:vertAlign w:val="superscript"/>
    </w:rPr>
  </w:style>
  <w:style w:type="character" w:styleId="Strong">
    <w:name w:val="Strong"/>
    <w:qFormat/>
    <w:rPr>
      <w:b/>
      <w:bCs/>
    </w:rPr>
  </w:style>
  <w:style w:type="paragraph" w:customStyle="1" w:styleId="Heading">
    <w:name w:val="Heading"/>
    <w:basedOn w:val="Standard"/>
    <w:next w:val="BodyText"/>
    <w:pPr>
      <w:keepNext/>
      <w:spacing w:before="240" w:after="120"/>
    </w:pPr>
    <w:rPr>
      <w:rFonts w:ascii="Arimo" w:hAnsi="Arimo"/>
      <w:sz w:val="28"/>
      <w:szCs w:val="28"/>
    </w:rPr>
  </w:style>
  <w:style w:type="paragraph" w:styleId="BodyText">
    <w:name w:val="Body Text"/>
    <w:basedOn w:val="Standard"/>
    <w:pPr>
      <w:spacing w:after="120"/>
    </w:pPr>
  </w:style>
  <w:style w:type="paragraph" w:styleId="List">
    <w:name w:val="List"/>
    <w:basedOn w:val="BodyText"/>
  </w:style>
  <w:style w:type="paragraph" w:styleId="Caption">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customStyle="1" w:styleId="Standard">
    <w:name w:val="Standard"/>
    <w:pPr>
      <w:widowControl w:val="0"/>
      <w:suppressAutoHyphens/>
      <w:textAlignment w:val="baseline"/>
    </w:pPr>
    <w:rPr>
      <w:rFonts w:ascii="Tinos" w:eastAsia="Arimo" w:hAnsi="Tinos" w:cs="Arimo"/>
      <w:kern w:val="1"/>
      <w:sz w:val="24"/>
      <w:szCs w:val="24"/>
      <w:lang w:val="en-CA" w:eastAsia="hi-IN" w:bidi="hi-IN"/>
    </w:rPr>
  </w:style>
  <w:style w:type="paragraph" w:styleId="FootnoteText">
    <w:name w:val="footnote text"/>
    <w:basedOn w:val="Standard"/>
    <w:pPr>
      <w:suppressLineNumbers/>
      <w:ind w:left="283" w:hanging="283"/>
    </w:pPr>
    <w:rPr>
      <w:sz w:val="20"/>
      <w:szCs w:val="20"/>
    </w:rPr>
  </w:style>
  <w:style w:type="paragraph" w:customStyle="1" w:styleId="HeaderandFooter">
    <w:name w:val="Header and Footer"/>
    <w:basedOn w:val="Standard"/>
    <w:pPr>
      <w:suppressLineNumbers/>
    </w:pPr>
  </w:style>
  <w:style w:type="paragraph" w:styleId="Footer">
    <w:name w:val="footer"/>
    <w:basedOn w:val="Standard"/>
    <w:pPr>
      <w:suppressLineNumbers/>
    </w:pPr>
  </w:style>
  <w:style w:type="paragraph" w:styleId="Header">
    <w:name w:val="header"/>
    <w:basedOn w:val="Normal"/>
    <w:pPr>
      <w:suppressLineNumbers/>
      <w:tabs>
        <w:tab w:val="center" w:pos="4986"/>
        <w:tab w:val="right" w:pos="99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header" Target="header8.xml"/></Relationships>
</file>

<file path=word/_rels/footnotes.xml.rels><?xml version="1.0" encoding="UTF-8" standalone="yes"?>
<Relationships xmlns="http://schemas.openxmlformats.org/package/2006/relationships"><Relationship Id="rId1" Type="http://schemas.openxmlformats.org/officeDocument/2006/relationships/hyperlink" Target="https://www.parallelrechtssysteem.n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3026</Words>
  <Characters>17250</Characters>
  <Application>Microsoft Office Word</Application>
  <DocSecurity>0</DocSecurity>
  <Lines>143</Lines>
  <Paragraphs>40</Paragraphs>
  <ScaleCrop>false</ScaleCrop>
  <Company>OHCHR</Company>
  <LinksUpToDate>false</LinksUpToDate>
  <CharactersWithSpaces>20236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cp:lastModifiedBy>Robert OUKO</cp:lastModifiedBy>
  <cp:revision>2</cp:revision>
  <cp:lastPrinted>1601-01-01T00:00:00Z</cp:lastPrinted>
  <dcterms:created xsi:type="dcterms:W3CDTF">2024-07-18T10:34:00Z</dcterms:created>
  <dcterms:modified xsi:type="dcterms:W3CDTF">2024-07-18T10:34:00Z</dcterms:modified>
</cp:coreProperties>
</file>