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3F036" w14:textId="2BB013B8" w:rsidR="00D47C78" w:rsidRPr="00D47C78" w:rsidRDefault="00D47C78" w:rsidP="00D47C78">
      <w:pPr>
        <w:bidi w:val="0"/>
        <w:spacing w:before="100" w:beforeAutospacing="1" w:after="100" w:afterAutospacing="1" w:line="360" w:lineRule="auto"/>
        <w:jc w:val="center"/>
        <w:outlineLvl w:val="0"/>
        <w:rPr>
          <w:rFonts w:ascii="Traditional Arabic" w:eastAsia="Times New Roman" w:hAnsi="Traditional Arabic" w:cs="Traditional Arabic"/>
          <w:b/>
          <w:bCs/>
          <w:kern w:val="36"/>
          <w:sz w:val="40"/>
          <w:szCs w:val="40"/>
          <w:u w:val="single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36"/>
          <w:sz w:val="40"/>
          <w:szCs w:val="40"/>
          <w:u w:val="single"/>
          <w14:ligatures w14:val="none"/>
        </w:rPr>
        <w:t>Written Submission by</w:t>
      </w:r>
      <w:r w:rsidR="003D5C88">
        <w:rPr>
          <w:rFonts w:ascii="Traditional Arabic" w:eastAsia="Times New Roman" w:hAnsi="Traditional Arabic" w:cs="Traditional Arabic"/>
          <w:b/>
          <w:bCs/>
          <w:kern w:val="36"/>
          <w:sz w:val="40"/>
          <w:szCs w:val="40"/>
          <w:u w:val="single"/>
          <w14:ligatures w14:val="none"/>
        </w:rPr>
        <w:t>:</w:t>
      </w:r>
    </w:p>
    <w:p w14:paraId="58BE1550" w14:textId="77777777" w:rsidR="003D5C88" w:rsidRPr="003D5C88" w:rsidRDefault="00D47C78" w:rsidP="003D5C88">
      <w:pPr>
        <w:bidi w:val="0"/>
        <w:spacing w:before="100" w:beforeAutospacing="1" w:after="100" w:afterAutospacing="1" w:line="360" w:lineRule="auto"/>
        <w:jc w:val="center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 xml:space="preserve">Alliance </w:t>
      </w:r>
      <w:proofErr w:type="spellStart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>Internationale</w:t>
      </w:r>
      <w:proofErr w:type="spellEnd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 xml:space="preserve"> pour la Défense des Droits et des </w:t>
      </w:r>
      <w:proofErr w:type="spellStart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>Libertés</w:t>
      </w:r>
      <w:proofErr w:type="spellEnd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 xml:space="preserve"> (AIDL)</w:t>
      </w:r>
    </w:p>
    <w:p w14:paraId="5AD94D76" w14:textId="3B030603" w:rsidR="003D5C88" w:rsidRPr="003D5C88" w:rsidRDefault="003D5C88" w:rsidP="003D5C88">
      <w:pPr>
        <w:bidi w:val="0"/>
        <w:spacing w:before="100" w:beforeAutospacing="1" w:after="100" w:afterAutospacing="1" w:line="360" w:lineRule="auto"/>
        <w:jc w:val="center"/>
        <w:rPr>
          <w:rFonts w:ascii="Traditional Arabic" w:eastAsia="Times New Roman" w:hAnsi="Traditional Arabic" w:cs="Traditional Arabic"/>
          <w:b/>
          <w:bCs/>
          <w:kern w:val="0"/>
          <w:sz w:val="32"/>
          <w:szCs w:val="32"/>
          <w:u w:val="single"/>
          <w14:ligatures w14:val="none"/>
        </w:rPr>
      </w:pPr>
      <w:r>
        <w:rPr>
          <w:rStyle w:val="Strong"/>
          <w:rFonts w:ascii="Traditional Arabic" w:hAnsi="Traditional Arabic" w:cs="Traditional Arabic"/>
          <w:sz w:val="28"/>
          <w:szCs w:val="28"/>
        </w:rPr>
        <w:t>NGO</w:t>
      </w:r>
      <w:r w:rsidRPr="003D5C88">
        <w:rPr>
          <w:rStyle w:val="Strong"/>
          <w:rFonts w:ascii="Traditional Arabic" w:hAnsi="Traditional Arabic" w:cs="Traditional Arabic"/>
          <w:sz w:val="28"/>
          <w:szCs w:val="28"/>
        </w:rPr>
        <w:t xml:space="preserve"> in Special Consultative Status with the United Nations Economic and Social Council (ECOSOC)</w:t>
      </w:r>
    </w:p>
    <w:p w14:paraId="798311A5" w14:textId="7CEEDAC4" w:rsidR="00D47C78" w:rsidRPr="00D47C78" w:rsidRDefault="00D47C78" w:rsidP="003D5C88">
      <w:pPr>
        <w:bidi w:val="0"/>
        <w:spacing w:before="100" w:beforeAutospacing="1" w:after="100" w:afterAutospacing="1" w:line="360" w:lineRule="auto"/>
        <w:jc w:val="center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>to the Committee on Enforced Disappearances (CED)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br/>
        <w:t xml:space="preserve">29th Session – </w:t>
      </w:r>
      <w:r w:rsidRPr="00D47C78">
        <w:rPr>
          <w:rFonts w:ascii="Traditional Arabic" w:eastAsia="Times New Roman" w:hAnsi="Traditional Arabic" w:cs="Traditional Arabic"/>
          <w:b/>
          <w:bCs/>
          <w:i/>
          <w:iCs/>
          <w:kern w:val="0"/>
          <w:sz w:val="28"/>
          <w:szCs w:val="28"/>
          <w:u w:val="single"/>
          <w14:ligatures w14:val="none"/>
        </w:rPr>
        <w:t>Follow-up to Concluding Observations on Iraq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br/>
        <w:t>(22 September – 2 October 2025, Geneva)</w:t>
      </w:r>
    </w:p>
    <w:p w14:paraId="3448D277" w14:textId="668763CC" w:rsidR="00D47C78" w:rsidRPr="00D47C78" w:rsidRDefault="00D47C78" w:rsidP="00D47C78">
      <w:pPr>
        <w:bidi w:val="0"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</w:p>
    <w:p w14:paraId="68BEEBE1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outlineLvl w:val="1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>Executive Summary</w:t>
      </w:r>
    </w:p>
    <w:p w14:paraId="7F6C0FF8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The 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32"/>
          <w:szCs w:val="32"/>
          <w:u w:val="single"/>
          <w14:ligatures w14:val="none"/>
        </w:rPr>
        <w:t xml:space="preserve">Alliance </w:t>
      </w:r>
      <w:proofErr w:type="spellStart"/>
      <w:r w:rsidRPr="00D47C78">
        <w:rPr>
          <w:rFonts w:ascii="Traditional Arabic" w:eastAsia="Times New Roman" w:hAnsi="Traditional Arabic" w:cs="Traditional Arabic"/>
          <w:b/>
          <w:bCs/>
          <w:kern w:val="0"/>
          <w:sz w:val="32"/>
          <w:szCs w:val="32"/>
          <w:u w:val="single"/>
          <w14:ligatures w14:val="none"/>
        </w:rPr>
        <w:t>Internationale</w:t>
      </w:r>
      <w:proofErr w:type="spellEnd"/>
      <w:r w:rsidRPr="00D47C78">
        <w:rPr>
          <w:rFonts w:ascii="Traditional Arabic" w:eastAsia="Times New Roman" w:hAnsi="Traditional Arabic" w:cs="Traditional Arabic"/>
          <w:b/>
          <w:bCs/>
          <w:kern w:val="0"/>
          <w:sz w:val="32"/>
          <w:szCs w:val="32"/>
          <w:u w:val="single"/>
          <w14:ligatures w14:val="none"/>
        </w:rPr>
        <w:t xml:space="preserve"> pour la Défense des Droits et des </w:t>
      </w:r>
      <w:proofErr w:type="spellStart"/>
      <w:r w:rsidRPr="00D47C78">
        <w:rPr>
          <w:rFonts w:ascii="Traditional Arabic" w:eastAsia="Times New Roman" w:hAnsi="Traditional Arabic" w:cs="Traditional Arabic"/>
          <w:b/>
          <w:bCs/>
          <w:kern w:val="0"/>
          <w:sz w:val="32"/>
          <w:szCs w:val="32"/>
          <w:u w:val="single"/>
          <w14:ligatures w14:val="none"/>
        </w:rPr>
        <w:t>Libertés</w:t>
      </w:r>
      <w:proofErr w:type="spellEnd"/>
      <w:r w:rsidRPr="00D47C78">
        <w:rPr>
          <w:rFonts w:ascii="Traditional Arabic" w:eastAsia="Times New Roman" w:hAnsi="Traditional Arabic" w:cs="Traditional Arabic"/>
          <w:b/>
          <w:bCs/>
          <w:kern w:val="0"/>
          <w:sz w:val="32"/>
          <w:szCs w:val="32"/>
          <w:u w:val="single"/>
          <w14:ligatures w14:val="none"/>
        </w:rPr>
        <w:t xml:space="preserve"> (AIDL)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 submits this urgent follow-up report regarding Iraq’s persistent and systemic non-compliance with its obligations under the International Convention for the Protection of All Persons from Enforced Disappearance.</w:t>
      </w:r>
    </w:p>
    <w:p w14:paraId="6FAD993F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Despite repeated recommendations from the CED since 2015, and the Committee’s concluding statement following its 2022 country visit, Iraq has failed to enact an independent criminal offence of enforced 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lastRenderedPageBreak/>
        <w:t>disappearance, continues to allow secret detention facilities, and has denied families their right to truth, justice, and reparation.</w:t>
      </w:r>
    </w:p>
    <w:p w14:paraId="4722B365" w14:textId="426FBA12" w:rsidR="00D47C78" w:rsidRDefault="00D47C78" w:rsidP="00D47C78">
      <w:p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The situation amounts to a deliberate policy of inaction and denial, enabling widespread impunity and perpetuating enforced disappearances as an ongoing violation.</w:t>
      </w:r>
    </w:p>
    <w:p w14:paraId="72FB2F8D" w14:textId="77777777" w:rsidR="003D5C88" w:rsidRDefault="003D5C88" w:rsidP="00D47C78">
      <w:pPr>
        <w:bidi w:val="0"/>
        <w:spacing w:before="100" w:beforeAutospacing="1" w:after="100" w:afterAutospacing="1" w:line="360" w:lineRule="auto"/>
        <w:jc w:val="both"/>
        <w:outlineLvl w:val="1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</w:p>
    <w:p w14:paraId="19490CF9" w14:textId="7E0A7A1A" w:rsidR="00D47C78" w:rsidRPr="00D47C78" w:rsidRDefault="00D47C78" w:rsidP="003D5C88">
      <w:pPr>
        <w:bidi w:val="0"/>
        <w:spacing w:before="100" w:beforeAutospacing="1" w:after="100" w:afterAutospacing="1" w:line="360" w:lineRule="auto"/>
        <w:jc w:val="both"/>
        <w:outlineLvl w:val="1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>Key Findings</w:t>
      </w:r>
    </w:p>
    <w:p w14:paraId="228379C9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outlineLvl w:val="2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1. Legislative Framework – Intentional Legal Gaps</w:t>
      </w:r>
    </w:p>
    <w:p w14:paraId="28E3D8E1" w14:textId="77777777" w:rsidR="00D47C78" w:rsidRPr="00D47C78" w:rsidRDefault="00D47C78" w:rsidP="00D47C78">
      <w:pPr>
        <w:numPr>
          <w:ilvl w:val="0"/>
          <w:numId w:val="3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Iraq has not criminalized enforced disappearance as an autonomous offence in line with Article 2 of the Convention.</w:t>
      </w:r>
    </w:p>
    <w:p w14:paraId="480406CE" w14:textId="77777777" w:rsidR="00D47C78" w:rsidRPr="00D47C78" w:rsidRDefault="00D47C78" w:rsidP="00D47C78">
      <w:pPr>
        <w:numPr>
          <w:ilvl w:val="0"/>
          <w:numId w:val="3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Existing penal provisions do not cover the continuous nature of the crime, the prohibition of exceptional circumstances, or superior responsibility.</w:t>
      </w:r>
    </w:p>
    <w:p w14:paraId="5D85E939" w14:textId="77777777" w:rsidR="00D47C78" w:rsidRPr="00D47C78" w:rsidRDefault="00D47C78" w:rsidP="00D47C78">
      <w:pPr>
        <w:numPr>
          <w:ilvl w:val="0"/>
          <w:numId w:val="3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The Government’s 2024 “additional information” misleadingly claims compliance through scattered provisions, which fall far short of international standards.</w:t>
      </w:r>
    </w:p>
    <w:p w14:paraId="7551081F" w14:textId="63EBE1CD" w:rsidR="00D47C78" w:rsidRPr="00D47C78" w:rsidRDefault="00D47C78" w:rsidP="00D47C78">
      <w:pPr>
        <w:numPr>
          <w:ilvl w:val="0"/>
          <w:numId w:val="3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The CED’s 2015 Concluding Observations, its 2020 follow-up assessment, and its 2022 country visit statement all demanded urgent reform</w:t>
      </w:r>
      <w:r w:rsidR="003D5C8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 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none of which has been realized.</w:t>
      </w:r>
    </w:p>
    <w:p w14:paraId="72BB8BF2" w14:textId="6F0846C2" w:rsidR="00D47C78" w:rsidRPr="00D47C78" w:rsidRDefault="00D47C78" w:rsidP="003D5C88">
      <w:p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lastRenderedPageBreak/>
        <w:t>Conclusion: Iraq’s legislative void is deliberate and constitutes a shield for impunity.</w:t>
      </w:r>
    </w:p>
    <w:p w14:paraId="1FF4B75B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outlineLvl w:val="2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2. Secret Detention and Ongoing Disappearances – A Policy of Concealment</w:t>
      </w:r>
    </w:p>
    <w:p w14:paraId="0A2ADC07" w14:textId="77777777" w:rsidR="00D47C78" w:rsidRPr="00D47C78" w:rsidRDefault="00D47C78" w:rsidP="00D47C78">
      <w:pPr>
        <w:numPr>
          <w:ilvl w:val="0"/>
          <w:numId w:val="4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Documented enforced disappearances during the 2015–2016 Anbar operations remain unresolved, with credible evidence of abductions by forces affiliated with the State.</w:t>
      </w:r>
    </w:p>
    <w:p w14:paraId="2947B456" w14:textId="77777777" w:rsidR="00D47C78" w:rsidRPr="00D47C78" w:rsidRDefault="00D47C78" w:rsidP="00D47C78">
      <w:pPr>
        <w:numPr>
          <w:ilvl w:val="0"/>
          <w:numId w:val="4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Allegations of numerous undisclosed detention sites persist, with no transparent investigations or access granted to monitoring bodies.</w:t>
      </w:r>
    </w:p>
    <w:p w14:paraId="3EDE1F22" w14:textId="77777777" w:rsidR="00D47C78" w:rsidRPr="00D47C78" w:rsidRDefault="00D47C78" w:rsidP="00D47C78">
      <w:pPr>
        <w:numPr>
          <w:ilvl w:val="0"/>
          <w:numId w:val="4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The case of 643 men and boys disappeared in </w:t>
      </w:r>
      <w:proofErr w:type="spellStart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Saqlawiya</w:t>
      </w:r>
      <w:proofErr w:type="spellEnd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 (2016) remains emblematic of Iraq’s unwillingness to establish truth or accountability.</w:t>
      </w:r>
    </w:p>
    <w:p w14:paraId="6A5D37A9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Conclusion: These are not isolated incidents but form part of a systematic practice of enforced disappearance.</w:t>
      </w:r>
    </w:p>
    <w:p w14:paraId="152D4635" w14:textId="2B8F80FB" w:rsidR="00D47C78" w:rsidRPr="00D47C78" w:rsidRDefault="00D47C78" w:rsidP="00D47C78">
      <w:pPr>
        <w:bidi w:val="0"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</w:p>
    <w:p w14:paraId="04EB23BE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outlineLvl w:val="2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>3. Right to Truth, Justice, and Reparation – A Broken System</w:t>
      </w:r>
    </w:p>
    <w:p w14:paraId="4BC6E440" w14:textId="77777777" w:rsidR="00D47C78" w:rsidRPr="00D47C78" w:rsidRDefault="00D47C78" w:rsidP="00D47C78">
      <w:pPr>
        <w:numPr>
          <w:ilvl w:val="0"/>
          <w:numId w:val="5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Iraq lacks a unified, functional national register of disappeared persons, despite repeated UN recommendations.</w:t>
      </w:r>
    </w:p>
    <w:p w14:paraId="282F35E1" w14:textId="77777777" w:rsidR="00D47C78" w:rsidRPr="00D47C78" w:rsidRDefault="00D47C78" w:rsidP="00D47C78">
      <w:pPr>
        <w:numPr>
          <w:ilvl w:val="0"/>
          <w:numId w:val="5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lastRenderedPageBreak/>
        <w:t>Families are denied full participation in investigations, and compensation schemes remain fragmented, opaque, and exclusionary.</w:t>
      </w:r>
    </w:p>
    <w:p w14:paraId="3632CF48" w14:textId="5250FFF7" w:rsidR="00D47C78" w:rsidRPr="00D47C78" w:rsidRDefault="00D47C78" w:rsidP="00D47C78">
      <w:pPr>
        <w:numPr>
          <w:ilvl w:val="0"/>
          <w:numId w:val="5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Victims and their families continue to suffer denial of the right to truth, reparation, and guarantees of </w:t>
      </w:r>
      <w:proofErr w:type="spellStart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non</w:t>
      </w:r>
      <w:r w:rsidR="003D5C8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 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recurrence</w:t>
      </w:r>
      <w:proofErr w:type="spellEnd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.</w:t>
      </w:r>
    </w:p>
    <w:p w14:paraId="5646CF20" w14:textId="3B53E471" w:rsidR="00D47C78" w:rsidRPr="00D47C78" w:rsidRDefault="00D47C78" w:rsidP="00D47C78">
      <w:pPr>
        <w:bidi w:val="0"/>
        <w:spacing w:after="0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</w:p>
    <w:p w14:paraId="7584F3E3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outlineLvl w:val="2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>4. Shrinking Civic Space – Silencing Families and Activists</w:t>
      </w:r>
    </w:p>
    <w:p w14:paraId="088D2F93" w14:textId="77777777" w:rsidR="00D47C78" w:rsidRPr="00D47C78" w:rsidRDefault="00D47C78" w:rsidP="00D47C78">
      <w:pPr>
        <w:numPr>
          <w:ilvl w:val="0"/>
          <w:numId w:val="6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Since the October 2019 protests, enforced disappearances and arbitrary detentions of activists have created an environment of fear, obstructing reporting, accountability, and victims’ advocacy.</w:t>
      </w:r>
    </w:p>
    <w:p w14:paraId="2B66C14B" w14:textId="77777777" w:rsidR="00D47C78" w:rsidRPr="00D47C78" w:rsidRDefault="00D47C78" w:rsidP="00D47C78">
      <w:pPr>
        <w:numPr>
          <w:ilvl w:val="0"/>
          <w:numId w:val="6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Families of the disappeared face intimidation and reprisals, further entrenching impunity.</w:t>
      </w:r>
    </w:p>
    <w:p w14:paraId="7134D1E6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outlineLvl w:val="1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>Rebuttal of Government Claims</w:t>
      </w:r>
    </w:p>
    <w:p w14:paraId="126566EF" w14:textId="77777777" w:rsidR="00D47C78" w:rsidRPr="00D47C78" w:rsidRDefault="00D47C78" w:rsidP="00D47C78">
      <w:pPr>
        <w:numPr>
          <w:ilvl w:val="0"/>
          <w:numId w:val="7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Claim: Iraq’s existing criminal code sufficiently addresses enforced disappearance.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br/>
        <w:t>Rebuttal: The absence of an autonomous offence explicitly contravenes the Convention and the Committee’s recommendations. General provisions cannot substitute for compliance.</w:t>
      </w:r>
    </w:p>
    <w:p w14:paraId="572A9466" w14:textId="77777777" w:rsidR="00D47C78" w:rsidRPr="00D47C78" w:rsidRDefault="00D47C78" w:rsidP="00D47C78">
      <w:pPr>
        <w:numPr>
          <w:ilvl w:val="0"/>
          <w:numId w:val="7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lastRenderedPageBreak/>
        <w:t>Claim: Investigations into past incidents are ongoing.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br/>
        <w:t xml:space="preserve">Rebuttal: No transparent results have been produced regarding emblematic cases (Anbar 2015–2016; </w:t>
      </w:r>
      <w:proofErr w:type="spellStart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Saqlawiya</w:t>
      </w:r>
      <w:proofErr w:type="spellEnd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 2016). Families remain in the dark nearly a decade later.</w:t>
      </w:r>
    </w:p>
    <w:p w14:paraId="6C6AD944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outlineLvl w:val="1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>Recommendations to the CED</w:t>
      </w:r>
    </w:p>
    <w:p w14:paraId="5A1E04C8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AIDL respectfully urges the Committee to:</w:t>
      </w:r>
    </w:p>
    <w:p w14:paraId="4CAA48E4" w14:textId="77777777" w:rsidR="00D47C78" w:rsidRPr="00D47C78" w:rsidRDefault="00D47C78" w:rsidP="00D47C78">
      <w:pPr>
        <w:numPr>
          <w:ilvl w:val="0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Enhanced Follow-up Procedure: Require Iraq to submit, within a fixed deadline, a draft law criminalizing enforced disappearance as an autonomous offence incorporating:</w:t>
      </w:r>
    </w:p>
    <w:p w14:paraId="3BBB43AC" w14:textId="77777777" w:rsidR="00D47C78" w:rsidRPr="00D47C78" w:rsidRDefault="00D47C78" w:rsidP="00D47C78">
      <w:pPr>
        <w:numPr>
          <w:ilvl w:val="1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Continuous nature of the crime</w:t>
      </w:r>
    </w:p>
    <w:p w14:paraId="1A1FE618" w14:textId="77777777" w:rsidR="00D47C78" w:rsidRPr="00D47C78" w:rsidRDefault="00D47C78" w:rsidP="00D47C78">
      <w:pPr>
        <w:numPr>
          <w:ilvl w:val="1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Non-</w:t>
      </w:r>
      <w:proofErr w:type="spellStart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derogability</w:t>
      </w:r>
      <w:proofErr w:type="spellEnd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 under exceptional circumstances</w:t>
      </w:r>
    </w:p>
    <w:p w14:paraId="54CADA91" w14:textId="77777777" w:rsidR="00D47C78" w:rsidRPr="00D47C78" w:rsidRDefault="00D47C78" w:rsidP="00D47C78">
      <w:pPr>
        <w:numPr>
          <w:ilvl w:val="1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Superior responsibility</w:t>
      </w:r>
    </w:p>
    <w:p w14:paraId="052FE131" w14:textId="77777777" w:rsidR="00D47C78" w:rsidRDefault="00D47C78" w:rsidP="00D47C78">
      <w:pPr>
        <w:numPr>
          <w:ilvl w:val="1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Non-applicability of statutes of limitation</w:t>
      </w:r>
    </w:p>
    <w:p w14:paraId="18DED996" w14:textId="77777777" w:rsidR="00D47C78" w:rsidRPr="00D47C78" w:rsidRDefault="00D47C78" w:rsidP="00D47C78">
      <w:pPr>
        <w:numPr>
          <w:ilvl w:val="0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Truth and Accountability Orders:</w:t>
      </w:r>
    </w:p>
    <w:p w14:paraId="384E1F97" w14:textId="77777777" w:rsidR="00D47C78" w:rsidRPr="00D47C78" w:rsidRDefault="00D47C78" w:rsidP="00D47C78">
      <w:pPr>
        <w:numPr>
          <w:ilvl w:val="1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Demand a concrete operational plan to establish the fate of the 643 disappeared in </w:t>
      </w:r>
      <w:proofErr w:type="spellStart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Saqlawiya</w:t>
      </w:r>
      <w:proofErr w:type="spellEnd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 and other emblematic cases.</w:t>
      </w:r>
    </w:p>
    <w:p w14:paraId="281EC45D" w14:textId="77777777" w:rsidR="00D47C78" w:rsidRDefault="00D47C78" w:rsidP="00D47C78">
      <w:pPr>
        <w:numPr>
          <w:ilvl w:val="1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Require periodic public reporting of investigative progress.</w:t>
      </w:r>
    </w:p>
    <w:p w14:paraId="3F5FFBD4" w14:textId="77777777" w:rsidR="00D47C78" w:rsidRPr="00D47C78" w:rsidRDefault="00D47C78" w:rsidP="00D47C78">
      <w:pPr>
        <w:numPr>
          <w:ilvl w:val="0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Immediate Closure of Secret Sites: Order the Government to identify and shut down all undisclosed detention facilities and to guarantee 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lastRenderedPageBreak/>
        <w:t>unannounced access by independent national and international monitors.</w:t>
      </w:r>
    </w:p>
    <w:p w14:paraId="604CB7E6" w14:textId="77777777" w:rsidR="00D47C78" w:rsidRPr="00D47C78" w:rsidRDefault="00D47C78" w:rsidP="00D47C78">
      <w:pPr>
        <w:numPr>
          <w:ilvl w:val="0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National Register of Disappeared: Establish a unified, publicly accessible register of all disappeared persons, linked to forensic investigations of mass graves and ensuring meaningful family participation.</w:t>
      </w:r>
    </w:p>
    <w:p w14:paraId="7A37E21F" w14:textId="72274A3D" w:rsidR="00D47C78" w:rsidRPr="00D47C78" w:rsidRDefault="00D47C78" w:rsidP="00D47C78">
      <w:pPr>
        <w:numPr>
          <w:ilvl w:val="0"/>
          <w:numId w:val="8"/>
        </w:num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Comprehensive Reparations Scheme: Develop a reparation program that includes financial compensation, psychosocial rehabilitation, and guarantees of </w:t>
      </w:r>
      <w:proofErr w:type="spellStart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non</w:t>
      </w:r>
      <w:r w:rsidR="003D5C8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 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recurrence</w:t>
      </w:r>
      <w:proofErr w:type="spellEnd"/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.</w:t>
      </w:r>
    </w:p>
    <w:p w14:paraId="61A98D77" w14:textId="77777777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outlineLvl w:val="1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:u w:val="single"/>
          <w14:ligatures w14:val="none"/>
        </w:rPr>
        <w:t>Conclusion</w:t>
      </w:r>
    </w:p>
    <w:p w14:paraId="4AEE9AA6" w14:textId="77777777" w:rsidR="003D5C88" w:rsidRDefault="00D47C78" w:rsidP="00D47C78">
      <w:p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Iraq’s failure to comply with its obligations under the Convention is not merely a matter of delay but reflects a pattern of deliberate obstruction and systemic impunity. </w:t>
      </w:r>
    </w:p>
    <w:p w14:paraId="40A4FC60" w14:textId="0332B24B" w:rsidR="00D47C78" w:rsidRPr="00D47C78" w:rsidRDefault="00D47C78" w:rsidP="003D5C88">
      <w:p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The State’s inaction continues to prolong the suffering of thousands of families, undermining the Convention’s core objective: the absolute protection of all persons from enforced disappearance.</w:t>
      </w:r>
    </w:p>
    <w:p w14:paraId="1472C92B" w14:textId="33D811E1" w:rsidR="00D47C78" w:rsidRPr="00D47C78" w:rsidRDefault="00D47C78" w:rsidP="00D47C78">
      <w:pPr>
        <w:bidi w:val="0"/>
        <w:spacing w:before="100" w:beforeAutospacing="1" w:after="100" w:afterAutospacing="1" w:line="360" w:lineRule="auto"/>
        <w:jc w:val="both"/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</w:pP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The AIDL calls on the Committee to adopt the strictest follow</w:t>
      </w:r>
      <w:r w:rsidR="003D5C8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 xml:space="preserve"> </w:t>
      </w:r>
      <w:r w:rsidRPr="00D47C78">
        <w:rPr>
          <w:rFonts w:ascii="Traditional Arabic" w:eastAsia="Times New Roman" w:hAnsi="Traditional Arabic" w:cs="Traditional Arabic"/>
          <w:b/>
          <w:bCs/>
          <w:kern w:val="0"/>
          <w:sz w:val="28"/>
          <w:szCs w:val="28"/>
          <w14:ligatures w14:val="none"/>
        </w:rPr>
        <w:t>up measures available and to hold Iraq accountable to its international obligations without further delay.</w:t>
      </w:r>
    </w:p>
    <w:sectPr w:rsidR="00D47C78" w:rsidRPr="00D47C78" w:rsidSect="00AE65ED">
      <w:pgSz w:w="11906" w:h="16838"/>
      <w:pgMar w:top="1440" w:right="991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B0B8A"/>
    <w:multiLevelType w:val="multilevel"/>
    <w:tmpl w:val="CD780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24BC3"/>
    <w:multiLevelType w:val="multilevel"/>
    <w:tmpl w:val="58E0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6F151B"/>
    <w:multiLevelType w:val="multilevel"/>
    <w:tmpl w:val="4B100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A467B5"/>
    <w:multiLevelType w:val="multilevel"/>
    <w:tmpl w:val="C914B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3A4689"/>
    <w:multiLevelType w:val="multilevel"/>
    <w:tmpl w:val="4FD04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5C5AD6"/>
    <w:multiLevelType w:val="multilevel"/>
    <w:tmpl w:val="F754D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6F7473"/>
    <w:multiLevelType w:val="multilevel"/>
    <w:tmpl w:val="3D7E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C13942"/>
    <w:multiLevelType w:val="multilevel"/>
    <w:tmpl w:val="C6207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635983">
    <w:abstractNumId w:val="2"/>
  </w:num>
  <w:num w:numId="2" w16cid:durableId="1443525998">
    <w:abstractNumId w:val="4"/>
  </w:num>
  <w:num w:numId="3" w16cid:durableId="468475262">
    <w:abstractNumId w:val="0"/>
  </w:num>
  <w:num w:numId="4" w16cid:durableId="1875001077">
    <w:abstractNumId w:val="6"/>
  </w:num>
  <w:num w:numId="5" w16cid:durableId="850679635">
    <w:abstractNumId w:val="1"/>
  </w:num>
  <w:num w:numId="6" w16cid:durableId="1065295803">
    <w:abstractNumId w:val="3"/>
  </w:num>
  <w:num w:numId="7" w16cid:durableId="754859685">
    <w:abstractNumId w:val="7"/>
  </w:num>
  <w:num w:numId="8" w16cid:durableId="16000201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5ED"/>
    <w:rsid w:val="00062135"/>
    <w:rsid w:val="00115BAD"/>
    <w:rsid w:val="003D5C88"/>
    <w:rsid w:val="00785D3D"/>
    <w:rsid w:val="008C3BB8"/>
    <w:rsid w:val="00AE65ED"/>
    <w:rsid w:val="00D24369"/>
    <w:rsid w:val="00D4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A42DB"/>
  <w15:chartTrackingRefBased/>
  <w15:docId w15:val="{62C086ED-5096-4EAB-87AF-398DF8A7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AE65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65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65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6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65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6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6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6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6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65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65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65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65E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65E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65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65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65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65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6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6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6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6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65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65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65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65E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65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65E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65ED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D5C8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D5C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efecc1b32cc2df9f5f553c6d7f998d7b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7b837ef1564bfebd63cdf6dd7e6363d9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2025-09-12T07:54:31+00:00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395B9EF2-65F3-4F32-B6BC-89F20646A1AB}"/>
</file>

<file path=customXml/itemProps2.xml><?xml version="1.0" encoding="utf-8"?>
<ds:datastoreItem xmlns:ds="http://schemas.openxmlformats.org/officeDocument/2006/customXml" ds:itemID="{03B11499-6943-4D11-B2D8-FE9CAFFD4132}"/>
</file>

<file path=customXml/itemProps3.xml><?xml version="1.0" encoding="utf-8"?>
<ds:datastoreItem xmlns:ds="http://schemas.openxmlformats.org/officeDocument/2006/customXml" ds:itemID="{B8FF9F5E-EF74-4C87-B26E-BD10C26353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ALLIANCE INTERNATIONALE AIDL</dc:creator>
  <cp:keywords/>
  <dc:description/>
  <cp:lastModifiedBy>Perrine Deja</cp:lastModifiedBy>
  <cp:revision>2</cp:revision>
  <cp:lastPrinted>2025-08-31T23:07:00Z</cp:lastPrinted>
  <dcterms:created xsi:type="dcterms:W3CDTF">2025-09-12T07:54:00Z</dcterms:created>
  <dcterms:modified xsi:type="dcterms:W3CDTF">2025-09-12T07:54:00Z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