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C15" w:rsidRPr="00DA562F" w:rsidRDefault="00290C15" w:rsidP="00946F28">
      <w:pPr>
        <w:pStyle w:val="Paragraphedeliste"/>
        <w:tabs>
          <w:tab w:val="left" w:pos="709"/>
          <w:tab w:val="left" w:pos="1470"/>
        </w:tabs>
        <w:ind w:left="709" w:hanging="709"/>
        <w:jc w:val="center"/>
        <w:rPr>
          <w:b/>
        </w:rPr>
      </w:pPr>
      <w:bookmarkStart w:id="0" w:name="_Toc503444531"/>
      <w:bookmarkStart w:id="1" w:name="_Toc503444752"/>
      <w:bookmarkStart w:id="2" w:name="_Toc503444767"/>
      <w:bookmarkStart w:id="3" w:name="_Toc519074796"/>
      <w:r>
        <w:rPr>
          <w:b/>
        </w:rPr>
        <w:t>ANNEXE 0</w:t>
      </w:r>
      <w:r w:rsidRPr="00DA562F">
        <w:rPr>
          <w:b/>
        </w:rPr>
        <w:t xml:space="preserve"> : </w:t>
      </w:r>
      <w:r>
        <w:rPr>
          <w:b/>
        </w:rPr>
        <w:t>NOTES DE BAS DE PAGE</w:t>
      </w:r>
    </w:p>
    <w:p w:rsidR="00290C15" w:rsidRPr="00290C15" w:rsidRDefault="00290C15" w:rsidP="00946F28">
      <w:pPr>
        <w:tabs>
          <w:tab w:val="left" w:pos="709"/>
        </w:tabs>
        <w:ind w:left="709" w:hanging="709"/>
      </w:pPr>
    </w:p>
    <w:p w:rsidR="00B30524" w:rsidRPr="00290C15" w:rsidRDefault="00B30524" w:rsidP="00946F28">
      <w:pPr>
        <w:pStyle w:val="Titre"/>
        <w:tabs>
          <w:tab w:val="left" w:pos="709"/>
        </w:tabs>
        <w:ind w:left="709" w:hanging="709"/>
        <w:rPr>
          <w:lang w:val="fr-BE"/>
        </w:rPr>
      </w:pPr>
      <w:r w:rsidRPr="00290C15">
        <w:t>I. Introduction</w:t>
      </w:r>
      <w:bookmarkEnd w:id="0"/>
      <w:bookmarkEnd w:id="1"/>
      <w:bookmarkEnd w:id="2"/>
      <w:bookmarkEnd w:id="3"/>
    </w:p>
    <w:p w:rsidR="00B30524" w:rsidRPr="00290C15" w:rsidRDefault="00B30524" w:rsidP="00946F28">
      <w:pPr>
        <w:tabs>
          <w:tab w:val="left" w:pos="709"/>
        </w:tabs>
        <w:spacing w:after="20"/>
        <w:ind w:left="709" w:hanging="709"/>
        <w:jc w:val="both"/>
        <w:rPr>
          <w:b/>
          <w:sz w:val="22"/>
          <w:szCs w:val="22"/>
          <w:lang w:val="fr-BE"/>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15 mai 1981 portant approbation des Actes internationaux suivants: a) Pacte international relatif aux droits économiques, sociaux et culturels; b) Pacte international relatif aux droits civils et politiques, faits à New York le 19 décembre 1966 (M.B. 06.07.1983).</w:t>
      </w:r>
    </w:p>
    <w:p w:rsidR="00B30524" w:rsidRPr="00290C15" w:rsidRDefault="00B30524" w:rsidP="00946F28">
      <w:pPr>
        <w:pStyle w:val="Notedebasdepage"/>
        <w:tabs>
          <w:tab w:val="left" w:pos="709"/>
        </w:tabs>
        <w:spacing w:after="20" w:line="240" w:lineRule="auto"/>
        <w:ind w:left="709" w:hanging="709"/>
        <w:jc w:val="both"/>
        <w:rPr>
          <w:rFonts w:ascii="Times New Roman" w:hAnsi="Times New Roman"/>
          <w:sz w:val="22"/>
          <w:szCs w:val="22"/>
          <w:lang w:val="fr-BE"/>
        </w:rPr>
      </w:pPr>
    </w:p>
    <w:p w:rsidR="00B30524" w:rsidRPr="00290C15" w:rsidRDefault="00B30524" w:rsidP="00946F28">
      <w:pPr>
        <w:pStyle w:val="Titre"/>
        <w:tabs>
          <w:tab w:val="left" w:pos="709"/>
        </w:tabs>
        <w:ind w:left="709" w:hanging="709"/>
      </w:pPr>
      <w:bookmarkStart w:id="4" w:name="_Toc503444441"/>
      <w:bookmarkStart w:id="5" w:name="_Toc503444532"/>
      <w:bookmarkStart w:id="6" w:name="_Toc503444753"/>
      <w:bookmarkStart w:id="7" w:name="_Toc503444768"/>
      <w:bookmarkStart w:id="8" w:name="_Toc519074797"/>
      <w:r w:rsidRPr="00290C15">
        <w:t>II. Renseignements d’ordre général sur la situation des droits de l’homme dans le pays, y compris sur les nouvelles mesures et les faits nouveaux concernant la mise en œuvre du Pacte</w:t>
      </w:r>
      <w:bookmarkEnd w:id="4"/>
      <w:bookmarkEnd w:id="5"/>
      <w:bookmarkEnd w:id="6"/>
      <w:bookmarkEnd w:id="7"/>
      <w:bookmarkEnd w:id="8"/>
    </w:p>
    <w:p w:rsidR="00B30524" w:rsidRPr="00290C15" w:rsidRDefault="00B30524" w:rsidP="00946F28">
      <w:pPr>
        <w:pStyle w:val="Notedebasdepage"/>
        <w:tabs>
          <w:tab w:val="left" w:pos="709"/>
        </w:tabs>
        <w:spacing w:after="20" w:line="240" w:lineRule="auto"/>
        <w:ind w:left="709" w:hanging="709"/>
        <w:jc w:val="both"/>
        <w:rPr>
          <w:rFonts w:ascii="Times New Roman" w:hAnsi="Times New Roman"/>
          <w:sz w:val="22"/>
          <w:szCs w:val="22"/>
          <w:lang w:val="fr-BE"/>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La Belgique a un système moniste : il y a applicabilité directe quand il y a intention initiale de créer des droits et une disposition suffisamment précise et complète pour produire un effet direct sans besoin d’une mesure d’exécution.</w:t>
      </w:r>
    </w:p>
    <w:p w:rsidR="00B30524" w:rsidRPr="00290C15" w:rsidRDefault="00B30524" w:rsidP="00946F28">
      <w:pPr>
        <w:pStyle w:val="Notedebasdepage"/>
        <w:tabs>
          <w:tab w:val="left" w:pos="709"/>
        </w:tabs>
        <w:spacing w:after="20" w:line="240" w:lineRule="auto"/>
        <w:ind w:left="709" w:hanging="709"/>
        <w:jc w:val="both"/>
        <w:rPr>
          <w:rFonts w:ascii="Times New Roman" w:hAnsi="Times New Roman"/>
          <w:sz w:val="22"/>
          <w:szCs w:val="22"/>
          <w:lang w:val="fr-FR"/>
        </w:rPr>
      </w:pPr>
    </w:p>
    <w:p w:rsidR="00B30524" w:rsidRPr="00290C15" w:rsidRDefault="00B30524" w:rsidP="00946F28">
      <w:pPr>
        <w:pStyle w:val="Titre"/>
        <w:tabs>
          <w:tab w:val="left" w:pos="709"/>
        </w:tabs>
        <w:ind w:left="709" w:hanging="709"/>
      </w:pPr>
      <w:bookmarkStart w:id="9" w:name="_Toc503444442"/>
      <w:bookmarkStart w:id="10" w:name="_Toc503444533"/>
      <w:bookmarkStart w:id="11" w:name="_Toc503444754"/>
      <w:bookmarkStart w:id="12" w:name="_Toc503444769"/>
      <w:bookmarkStart w:id="13" w:name="_Toc519074798"/>
      <w:r w:rsidRPr="00290C15">
        <w:t>III. Renseignements spécifiques sur la mise en œuvre des articles 1 à 27 du Pacte, notamment les recommandations précédentes du Comité</w:t>
      </w:r>
      <w:bookmarkEnd w:id="9"/>
      <w:bookmarkEnd w:id="10"/>
      <w:bookmarkEnd w:id="11"/>
      <w:bookmarkEnd w:id="12"/>
      <w:bookmarkEnd w:id="13"/>
    </w:p>
    <w:p w:rsidR="00B30524" w:rsidRPr="00290C15" w:rsidRDefault="00B30524" w:rsidP="00946F28">
      <w:pPr>
        <w:tabs>
          <w:tab w:val="left" w:pos="709"/>
        </w:tabs>
        <w:ind w:left="709" w:hanging="709"/>
        <w:rPr>
          <w:sz w:val="22"/>
          <w:szCs w:val="22"/>
        </w:rPr>
      </w:pPr>
    </w:p>
    <w:p w:rsidR="00B30524" w:rsidRPr="00B30524" w:rsidRDefault="00B30524" w:rsidP="00946F28">
      <w:pPr>
        <w:tabs>
          <w:tab w:val="left" w:pos="709"/>
        </w:tabs>
        <w:autoSpaceDE w:val="0"/>
        <w:autoSpaceDN w:val="0"/>
        <w:adjustRightInd w:val="0"/>
        <w:ind w:left="709" w:hanging="709"/>
        <w:jc w:val="both"/>
        <w:outlineLvl w:val="1"/>
        <w:rPr>
          <w:b/>
          <w:color w:val="000000"/>
          <w:sz w:val="22"/>
          <w:szCs w:val="22"/>
        </w:rPr>
      </w:pPr>
      <w:bookmarkStart w:id="14" w:name="_Toc503444755"/>
      <w:bookmarkStart w:id="15" w:name="_Toc503444770"/>
      <w:bookmarkStart w:id="16" w:name="_Toc519074799"/>
      <w:r w:rsidRPr="00B30524">
        <w:rPr>
          <w:b/>
          <w:color w:val="000000"/>
          <w:sz w:val="22"/>
          <w:szCs w:val="22"/>
        </w:rPr>
        <w:t>Cadre constitutionnel et juridique de l’application du Pacte (art. 2)</w:t>
      </w:r>
      <w:bookmarkEnd w:id="14"/>
      <w:bookmarkEnd w:id="15"/>
      <w:bookmarkEnd w:id="16"/>
    </w:p>
    <w:p w:rsidR="00B30524" w:rsidRPr="00290C15" w:rsidRDefault="00B30524" w:rsidP="00946F28">
      <w:pPr>
        <w:pStyle w:val="Notedebasdepage"/>
        <w:tabs>
          <w:tab w:val="left" w:pos="709"/>
        </w:tabs>
        <w:spacing w:after="20" w:line="240" w:lineRule="auto"/>
        <w:ind w:left="709" w:hanging="709"/>
        <w:jc w:val="both"/>
        <w:rPr>
          <w:rFonts w:ascii="Times New Roman" w:hAnsi="Times New Roman"/>
          <w:sz w:val="22"/>
          <w:szCs w:val="22"/>
          <w:lang w:val="fr-FR"/>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A/HRC/32/8/Add.1, réponses de Belgique à son 2 EPU, juillet 2016, §14.</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i/>
          <w:sz w:val="22"/>
          <w:szCs w:val="22"/>
          <w:lang w:val="fr-FR"/>
        </w:rPr>
        <w:t>Ibidem</w:t>
      </w:r>
      <w:r w:rsidRPr="00290C15">
        <w:rPr>
          <w:rFonts w:ascii="Times New Roman" w:hAnsi="Times New Roman"/>
          <w:sz w:val="22"/>
          <w:szCs w:val="22"/>
          <w:lang w:val="fr-FR"/>
        </w:rPr>
        <w:t>, §17.</w:t>
      </w:r>
    </w:p>
    <w:p w:rsidR="007502FC" w:rsidRPr="00290C15" w:rsidRDefault="0044300F"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44300F">
        <w:rPr>
          <w:rFonts w:ascii="Times New Roman" w:hAnsi="Times New Roman"/>
          <w:sz w:val="22"/>
          <w:szCs w:val="22"/>
          <w:lang w:val="fr-FR"/>
        </w:rPr>
        <w:t>UNIA, MYRIA, Institut pour l’égalité des femmes et hommes (IEFH), Service de lutte contre la pauvreté, Commission de protection de la vie privée, Collège des Médiateurs fédéraux, Comité P, Comité R et le Conseil central de surveillance pénitentiaire</w:t>
      </w:r>
      <w:r>
        <w:rPr>
          <w:rFonts w:ascii="Times New Roman" w:hAnsi="Times New Roman"/>
          <w:sz w:val="22"/>
          <w:szCs w:val="22"/>
          <w:lang w:val="fr-FR"/>
        </w:rPr>
        <w:t xml:space="preserve">. </w:t>
      </w:r>
      <w:r w:rsidR="007502FC" w:rsidRPr="00290C15">
        <w:rPr>
          <w:rFonts w:ascii="Times New Roman" w:hAnsi="Times New Roman"/>
          <w:sz w:val="22"/>
          <w:szCs w:val="22"/>
          <w:lang w:val="fr-BE"/>
        </w:rPr>
        <w:t xml:space="preserve">Voyez à ce sujet en annexe : le </w:t>
      </w:r>
      <w:proofErr w:type="spellStart"/>
      <w:r w:rsidR="007502FC" w:rsidRPr="00290C15">
        <w:rPr>
          <w:rFonts w:ascii="Times New Roman" w:hAnsi="Times New Roman"/>
          <w:sz w:val="22"/>
          <w:szCs w:val="22"/>
          <w:lang w:val="fr-BE"/>
        </w:rPr>
        <w:t>Core</w:t>
      </w:r>
      <w:proofErr w:type="spellEnd"/>
      <w:r w:rsidR="007502FC" w:rsidRPr="00290C15">
        <w:rPr>
          <w:rFonts w:ascii="Times New Roman" w:hAnsi="Times New Roman"/>
          <w:sz w:val="22"/>
          <w:szCs w:val="22"/>
          <w:lang w:val="fr-BE"/>
        </w:rPr>
        <w:t xml:space="preserve"> Common Document de la Belgique (point II, C, 2).</w:t>
      </w:r>
    </w:p>
    <w:p w:rsidR="007502FC" w:rsidRPr="00290C15" w:rsidRDefault="007502FC" w:rsidP="00946F28">
      <w:pPr>
        <w:pStyle w:val="Paragraphedeliste"/>
        <w:numPr>
          <w:ilvl w:val="0"/>
          <w:numId w:val="1"/>
        </w:numPr>
        <w:tabs>
          <w:tab w:val="left" w:pos="709"/>
        </w:tabs>
        <w:spacing w:after="20"/>
        <w:ind w:left="709" w:hanging="709"/>
        <w:jc w:val="both"/>
        <w:rPr>
          <w:color w:val="000000"/>
          <w:sz w:val="22"/>
          <w:szCs w:val="22"/>
        </w:rPr>
      </w:pPr>
      <w:r w:rsidRPr="00290C15">
        <w:rPr>
          <w:sz w:val="22"/>
          <w:szCs w:val="22"/>
          <w:lang w:val="fr-BE"/>
        </w:rPr>
        <w:t>Par exemple, la Communauté et la Région flamandes ont</w:t>
      </w:r>
      <w:r w:rsidRPr="00290C15">
        <w:rPr>
          <w:color w:val="000000"/>
          <w:sz w:val="22"/>
          <w:szCs w:val="22"/>
        </w:rPr>
        <w:t xml:space="preserve">, depuis 1997, une </w:t>
      </w:r>
      <w:r w:rsidRPr="00290C15">
        <w:rPr>
          <w:b/>
          <w:color w:val="000000"/>
          <w:sz w:val="22"/>
          <w:szCs w:val="22"/>
        </w:rPr>
        <w:t>politique coordonnée des droits de l’enfant</w:t>
      </w:r>
      <w:r w:rsidRPr="00290C15">
        <w:rPr>
          <w:color w:val="000000"/>
          <w:sz w:val="22"/>
          <w:szCs w:val="22"/>
        </w:rPr>
        <w:t>. Un Plan d’action récent droits de l’enfant et jeunesse 2015- 2019 a été adopté avec les buts notamment de pauvreté, durabilité, être jeune, mobilité, enseignement, participation, espace, bien-être, habitation, emploi et éducation culturelle. Ils sont traduits en actions ancrées dans le temps, contrôlées via des indicateurs. Un rapportage global se fait après deux ans et à la fin de la période, et tous les 6 mois pour quelques actions prioritaires. Les buts du plan ont été choisis par un processus participatif et un groupe de réflexion garantie la participation des organisations des enfants et des jeunes pour la concertation avec les points de contact de la gestion jeunesse et enfants des différentes entités des autorités flamandes.</w:t>
      </w:r>
    </w:p>
    <w:p w:rsidR="007502FC" w:rsidRPr="00290C15" w:rsidRDefault="0044300F"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Pr>
          <w:rFonts w:ascii="Times New Roman" w:hAnsi="Times New Roman"/>
          <w:sz w:val="22"/>
          <w:szCs w:val="22"/>
          <w:lang w:val="fr-FR"/>
        </w:rPr>
        <w:t>En matière de l</w:t>
      </w:r>
      <w:r w:rsidRPr="0044300F">
        <w:rPr>
          <w:rFonts w:ascii="Times New Roman" w:hAnsi="Times New Roman"/>
          <w:sz w:val="22"/>
          <w:szCs w:val="22"/>
          <w:lang w:val="fr-FR"/>
        </w:rPr>
        <w:t>utte contre toutes les formes de violence basée sur le genre, contre la traite des êtres humains, contre l’homophobie/</w:t>
      </w:r>
      <w:proofErr w:type="spellStart"/>
      <w:r w:rsidRPr="0044300F">
        <w:rPr>
          <w:rFonts w:ascii="Times New Roman" w:hAnsi="Times New Roman"/>
          <w:sz w:val="22"/>
          <w:szCs w:val="22"/>
          <w:lang w:val="fr-FR"/>
        </w:rPr>
        <w:t>transphobie</w:t>
      </w:r>
      <w:proofErr w:type="spellEnd"/>
      <w:r w:rsidRPr="0044300F">
        <w:rPr>
          <w:rFonts w:ascii="Times New Roman" w:hAnsi="Times New Roman"/>
          <w:sz w:val="22"/>
          <w:szCs w:val="22"/>
          <w:lang w:val="fr-FR"/>
        </w:rPr>
        <w:t>, contre la pauvreté, ou encore</w:t>
      </w:r>
      <w:r>
        <w:rPr>
          <w:rFonts w:ascii="Times New Roman" w:hAnsi="Times New Roman"/>
          <w:sz w:val="22"/>
          <w:szCs w:val="22"/>
          <w:lang w:val="fr-FR"/>
        </w:rPr>
        <w:t xml:space="preserve"> d</w:t>
      </w:r>
      <w:r w:rsidRPr="0044300F">
        <w:rPr>
          <w:rFonts w:ascii="Times New Roman" w:hAnsi="Times New Roman"/>
          <w:sz w:val="22"/>
          <w:szCs w:val="22"/>
          <w:lang w:val="fr-FR"/>
        </w:rPr>
        <w:t xml:space="preserve">’intégration des </w:t>
      </w:r>
      <w:proofErr w:type="spellStart"/>
      <w:r w:rsidRPr="0044300F">
        <w:rPr>
          <w:rFonts w:ascii="Times New Roman" w:hAnsi="Times New Roman"/>
          <w:sz w:val="22"/>
          <w:szCs w:val="22"/>
          <w:lang w:val="fr-FR"/>
        </w:rPr>
        <w:t>Roms</w:t>
      </w:r>
      <w:proofErr w:type="spellEnd"/>
      <w:r>
        <w:rPr>
          <w:rFonts w:ascii="Times New Roman" w:hAnsi="Times New Roman"/>
          <w:sz w:val="22"/>
          <w:szCs w:val="22"/>
          <w:lang w:val="fr-FR"/>
        </w:rPr>
        <w:t>.</w:t>
      </w:r>
      <w:r w:rsidRPr="0044300F">
        <w:rPr>
          <w:rFonts w:ascii="Times New Roman" w:hAnsi="Times New Roman"/>
          <w:sz w:val="22"/>
          <w:szCs w:val="22"/>
          <w:lang w:val="fr-BE"/>
        </w:rPr>
        <w:t xml:space="preserve"> </w:t>
      </w:r>
      <w:r w:rsidR="007502FC" w:rsidRPr="00290C15">
        <w:rPr>
          <w:rFonts w:ascii="Times New Roman" w:hAnsi="Times New Roman"/>
          <w:sz w:val="22"/>
          <w:szCs w:val="22"/>
          <w:lang w:val="fr-BE"/>
        </w:rPr>
        <w:t xml:space="preserve">S’agissant de la lutte contre le </w:t>
      </w:r>
      <w:r w:rsidR="007502FC" w:rsidRPr="00290C15">
        <w:rPr>
          <w:rFonts w:ascii="Times New Roman" w:hAnsi="Times New Roman"/>
          <w:b/>
          <w:sz w:val="22"/>
          <w:szCs w:val="22"/>
          <w:lang w:val="fr-BE"/>
        </w:rPr>
        <w:t>racisme</w:t>
      </w:r>
      <w:r w:rsidR="007502FC" w:rsidRPr="00290C15">
        <w:rPr>
          <w:rFonts w:ascii="Times New Roman" w:hAnsi="Times New Roman"/>
          <w:sz w:val="22"/>
          <w:szCs w:val="22"/>
          <w:lang w:val="fr-BE"/>
        </w:rPr>
        <w:t> (</w:t>
      </w:r>
      <w:r w:rsidR="007502FC" w:rsidRPr="00290C15">
        <w:rPr>
          <w:rFonts w:ascii="Times New Roman" w:hAnsi="Times New Roman"/>
          <w:i/>
          <w:sz w:val="22"/>
          <w:szCs w:val="22"/>
          <w:lang w:val="fr-BE"/>
        </w:rPr>
        <w:t>infra</w:t>
      </w:r>
      <w:r w:rsidR="007502FC" w:rsidRPr="00290C15">
        <w:rPr>
          <w:rFonts w:ascii="Times New Roman" w:hAnsi="Times New Roman"/>
          <w:sz w:val="22"/>
          <w:szCs w:val="22"/>
          <w:lang w:val="fr-BE"/>
        </w:rPr>
        <w:t xml:space="preserve">, question 6) : élaboration en cours d’un </w:t>
      </w:r>
      <w:r w:rsidR="007502FC" w:rsidRPr="00290C15">
        <w:rPr>
          <w:rFonts w:ascii="Times New Roman" w:hAnsi="Times New Roman"/>
          <w:b/>
          <w:sz w:val="22"/>
          <w:szCs w:val="22"/>
          <w:lang w:val="fr-BE"/>
        </w:rPr>
        <w:t>Plan d’action</w:t>
      </w:r>
      <w:r w:rsidR="007502FC" w:rsidRPr="00290C15">
        <w:rPr>
          <w:rFonts w:ascii="Times New Roman" w:hAnsi="Times New Roman"/>
          <w:sz w:val="22"/>
          <w:szCs w:val="22"/>
          <w:lang w:val="fr-BE"/>
        </w:rPr>
        <w:t xml:space="preserve"> </w:t>
      </w:r>
      <w:r w:rsidR="007502FC" w:rsidRPr="00290C15">
        <w:rPr>
          <w:rFonts w:ascii="Times New Roman" w:hAnsi="Times New Roman"/>
          <w:b/>
          <w:sz w:val="22"/>
          <w:szCs w:val="22"/>
          <w:lang w:val="fr-BE"/>
        </w:rPr>
        <w:t>national</w:t>
      </w:r>
      <w:r w:rsidR="007502FC"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G</w:t>
      </w:r>
      <w:r w:rsidRPr="00290C15">
        <w:rPr>
          <w:rFonts w:ascii="Times New Roman" w:hAnsi="Times New Roman"/>
          <w:color w:val="000000"/>
          <w:sz w:val="22"/>
          <w:szCs w:val="22"/>
          <w:lang w:val="fr-BE"/>
        </w:rPr>
        <w:t>enre, identité sexuelle, handicap et accessibilité.</w:t>
      </w:r>
    </w:p>
    <w:p w:rsidR="007502FC" w:rsidRPr="00290C15" w:rsidRDefault="007502FC" w:rsidP="00946F28">
      <w:pPr>
        <w:pStyle w:val="Paragraphedeliste"/>
        <w:numPr>
          <w:ilvl w:val="0"/>
          <w:numId w:val="1"/>
        </w:numPr>
        <w:tabs>
          <w:tab w:val="left" w:pos="709"/>
        </w:tabs>
        <w:spacing w:after="20"/>
        <w:ind w:left="709" w:hanging="709"/>
        <w:jc w:val="both"/>
        <w:rPr>
          <w:color w:val="000000"/>
          <w:sz w:val="22"/>
          <w:szCs w:val="22"/>
        </w:rPr>
      </w:pPr>
      <w:r w:rsidRPr="00290C15">
        <w:rPr>
          <w:sz w:val="22"/>
          <w:szCs w:val="22"/>
          <w:lang w:val="fr-BE"/>
        </w:rPr>
        <w:t>Pour les p</w:t>
      </w:r>
      <w:proofErr w:type="spellStart"/>
      <w:r w:rsidRPr="00290C15">
        <w:rPr>
          <w:color w:val="000000"/>
          <w:sz w:val="22"/>
          <w:szCs w:val="22"/>
        </w:rPr>
        <w:t>ersonnes</w:t>
      </w:r>
      <w:proofErr w:type="spellEnd"/>
      <w:r w:rsidRPr="00290C15">
        <w:rPr>
          <w:color w:val="000000"/>
          <w:sz w:val="22"/>
          <w:szCs w:val="22"/>
        </w:rPr>
        <w:t xml:space="preserve"> issues de l’immigration. S’agissant des réfugiés, à la suite de la vague d’immigration de 2015, un groupe de travail spécifique a été créé au sein de l’administration flamande, pour assurer une bonne coordination et coopération entre les différents intervenants/domaines et niveaux de gestion.</w:t>
      </w:r>
    </w:p>
    <w:p w:rsidR="00B30524" w:rsidRPr="00290C15" w:rsidRDefault="00B30524" w:rsidP="00946F28">
      <w:pPr>
        <w:tabs>
          <w:tab w:val="left" w:pos="709"/>
        </w:tabs>
        <w:spacing w:after="20"/>
        <w:ind w:left="709" w:hanging="709"/>
        <w:jc w:val="both"/>
        <w:rPr>
          <w:color w:val="000000"/>
          <w:sz w:val="22"/>
          <w:szCs w:val="22"/>
        </w:rPr>
      </w:pPr>
    </w:p>
    <w:p w:rsidR="00B30524" w:rsidRPr="00B30524" w:rsidRDefault="00B30524" w:rsidP="00946F28">
      <w:pPr>
        <w:tabs>
          <w:tab w:val="left" w:pos="709"/>
        </w:tabs>
        <w:autoSpaceDE w:val="0"/>
        <w:autoSpaceDN w:val="0"/>
        <w:adjustRightInd w:val="0"/>
        <w:ind w:left="709" w:hanging="709"/>
        <w:jc w:val="both"/>
        <w:outlineLvl w:val="1"/>
        <w:rPr>
          <w:b/>
          <w:color w:val="000000"/>
          <w:sz w:val="22"/>
          <w:szCs w:val="22"/>
        </w:rPr>
      </w:pPr>
      <w:bookmarkStart w:id="17" w:name="_Toc503444756"/>
      <w:bookmarkStart w:id="18" w:name="_Toc503444771"/>
      <w:bookmarkStart w:id="19" w:name="_Toc519074800"/>
      <w:r w:rsidRPr="00B30524">
        <w:rPr>
          <w:b/>
          <w:color w:val="000000"/>
          <w:sz w:val="22"/>
          <w:szCs w:val="22"/>
        </w:rPr>
        <w:t>Mesures antiterroristes (art. 2, 7, 9, 10, 14 et 17)</w:t>
      </w:r>
      <w:bookmarkEnd w:id="17"/>
      <w:bookmarkEnd w:id="18"/>
      <w:bookmarkEnd w:id="19"/>
    </w:p>
    <w:p w:rsidR="00B30524" w:rsidRPr="00290C15" w:rsidRDefault="00B30524" w:rsidP="00946F28">
      <w:pPr>
        <w:tabs>
          <w:tab w:val="left" w:pos="709"/>
        </w:tabs>
        <w:spacing w:after="20"/>
        <w:ind w:left="709" w:hanging="709"/>
        <w:jc w:val="both"/>
        <w:rPr>
          <w:color w:val="000000"/>
          <w:sz w:val="22"/>
          <w:szCs w:val="22"/>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CAT/C/BEL/3, §§160-173.</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i/>
          <w:sz w:val="22"/>
          <w:szCs w:val="22"/>
          <w:lang w:val="fr-BE"/>
        </w:rPr>
      </w:pPr>
      <w:r w:rsidRPr="00290C15">
        <w:rPr>
          <w:rFonts w:ascii="Times New Roman" w:hAnsi="Times New Roman"/>
          <w:sz w:val="22"/>
          <w:szCs w:val="22"/>
          <w:lang w:val="fr-BE"/>
        </w:rPr>
        <w:t xml:space="preserve">Art. 139 Code pénal : « … </w:t>
      </w:r>
      <w:r w:rsidRPr="00290C15">
        <w:rPr>
          <w:rFonts w:ascii="Times New Roman" w:hAnsi="Times New Roman"/>
          <w:i/>
          <w:sz w:val="22"/>
          <w:szCs w:val="22"/>
          <w:lang w:val="fr-BE"/>
        </w:rPr>
        <w:t xml:space="preserve">Une organisation dont l’objet réel est exclusivement d’ordre politique, syndical, </w:t>
      </w:r>
      <w:proofErr w:type="spellStart"/>
      <w:r w:rsidRPr="00290C15">
        <w:rPr>
          <w:rFonts w:ascii="Times New Roman" w:hAnsi="Times New Roman"/>
          <w:i/>
          <w:sz w:val="22"/>
          <w:szCs w:val="22"/>
          <w:lang w:val="fr-BE"/>
        </w:rPr>
        <w:t>philantropique</w:t>
      </w:r>
      <w:proofErr w:type="spellEnd"/>
      <w:r w:rsidRPr="00290C15">
        <w:rPr>
          <w:rFonts w:ascii="Times New Roman" w:hAnsi="Times New Roman"/>
          <w:i/>
          <w:sz w:val="22"/>
          <w:szCs w:val="22"/>
          <w:lang w:val="fr-BE"/>
        </w:rPr>
        <w:t>, philosophique ou religieux ou qui poursuit exclusivement tout autre but légitime ne peut, en tant que telle, être considérée comme un groupe terroriste</w:t>
      </w:r>
      <w:r w:rsidRPr="00290C15">
        <w:rPr>
          <w:rFonts w:ascii="Times New Roman" w:hAnsi="Times New Roman"/>
          <w:sz w:val="22"/>
          <w:szCs w:val="22"/>
          <w:lang w:val="fr-BE"/>
        </w:rPr>
        <w:t xml:space="preserve"> … » (article inséré en 2003). Art. 141</w:t>
      </w:r>
      <w:r w:rsidRPr="00290C15">
        <w:rPr>
          <w:rFonts w:ascii="Times New Roman" w:hAnsi="Times New Roman"/>
          <w:i/>
          <w:sz w:val="22"/>
          <w:szCs w:val="22"/>
          <w:lang w:val="fr-BE"/>
        </w:rPr>
        <w:t>ter</w:t>
      </w:r>
      <w:r w:rsidRPr="00290C15">
        <w:rPr>
          <w:rFonts w:ascii="Times New Roman" w:hAnsi="Times New Roman"/>
          <w:sz w:val="22"/>
          <w:szCs w:val="22"/>
          <w:lang w:val="fr-BE"/>
        </w:rPr>
        <w:t xml:space="preserve"> Code pénal : « </w:t>
      </w:r>
      <w:r w:rsidRPr="00290C15">
        <w:rPr>
          <w:rFonts w:ascii="Times New Roman" w:hAnsi="Times New Roman"/>
          <w:i/>
          <w:sz w:val="22"/>
          <w:szCs w:val="22"/>
          <w:lang w:val="fr-BE"/>
        </w:rPr>
        <w:t xml:space="preserve">Aucune disposition du présent titre ne peut être interprétée comme visant à réduire ou entraver (…) des droits ou libertés fondamentales tels que le droit de grève, la liberté de réunion et d’association, y compris le droit de fonder avec d’autres des syndicats et de s’y affilier pour la défense de ses intérêts, et le droit de manifester qui s’y rattache, </w:t>
      </w:r>
      <w:r w:rsidRPr="00290C15">
        <w:rPr>
          <w:rFonts w:ascii="Times New Roman" w:hAnsi="Times New Roman"/>
          <w:i/>
          <w:sz w:val="22"/>
          <w:szCs w:val="22"/>
          <w:lang w:val="fr-BE"/>
        </w:rPr>
        <w:lastRenderedPageBreak/>
        <w:t>la liberté d’expression, en particulier la liberté de la presse et la liberté d’expression dans d’autres médias, et tels que consacrés notamment par les articles 8 à 11 de la Convention européenne de sauvegarde des droits de l’homme et des libertés fondamentales</w:t>
      </w:r>
      <w:r w:rsidRPr="00290C15">
        <w:rPr>
          <w:rFonts w:ascii="Times New Roman" w:hAnsi="Times New Roman"/>
          <w:sz w:val="22"/>
          <w:szCs w:val="22"/>
          <w:lang w:val="fr-BE"/>
        </w:rPr>
        <w:t> » (article inséré en 2003, tel que modifié en 2013 et 2014).</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C.const.,15 mars 2018, n°31/2018; </w:t>
      </w:r>
      <w:hyperlink r:id="rId7" w:history="1">
        <w:r w:rsidRPr="00290C15">
          <w:rPr>
            <w:rStyle w:val="Lienhypertexte"/>
            <w:rFonts w:ascii="Times New Roman" w:hAnsi="Times New Roman"/>
            <w:sz w:val="22"/>
            <w:szCs w:val="22"/>
            <w:lang w:val="fr-BE"/>
          </w:rPr>
          <w:t>http://www.const-court.be/</w:t>
        </w:r>
      </w:hyperlink>
      <w:r w:rsidRPr="00290C15">
        <w:rPr>
          <w:rFonts w:ascii="Times New Roman" w:hAnsi="Times New Roman"/>
          <w:sz w:val="22"/>
          <w:szCs w:val="22"/>
          <w:lang w:val="fr-BE"/>
        </w:rPr>
        <w:t>. L’article 2 de la loi modifiait l'article 140bis du Code pénal en érigeant en infraction la diffusion de certains messages ou toute autre manière de les mettre à la disposition du public avec l'intention d'inciter à la commission d'une infraction terroriste, que cette diffusion implique ou non un risque qu'une ou plusieurs infractions terroristes puissent être commises. Avant sa modification par l’article 3, 2°, de la loi de 2016, l'incrimination définie à l'article 140bis du Code pénal ne visait que la situation dans laquelle des indices sérieux indiquent qu'il existe un risque qu'une infraction terroriste soit commise. La Cour Constitutionnelle relève que la disposition attaquée limite l'exercice de la liberté d'expression.</w:t>
      </w:r>
    </w:p>
    <w:p w:rsidR="007502FC" w:rsidRPr="00290C15" w:rsidRDefault="00946F28" w:rsidP="00946F28">
      <w:pPr>
        <w:pStyle w:val="Notedebasdepage"/>
        <w:tabs>
          <w:tab w:val="left" w:pos="709"/>
        </w:tabs>
        <w:spacing w:after="20" w:line="240" w:lineRule="auto"/>
        <w:ind w:left="709" w:hanging="709"/>
        <w:jc w:val="both"/>
        <w:rPr>
          <w:rFonts w:ascii="Times New Roman" w:hAnsi="Times New Roman"/>
          <w:sz w:val="22"/>
          <w:szCs w:val="22"/>
          <w:lang w:val="fr-BE"/>
        </w:rPr>
      </w:pPr>
      <w:r>
        <w:rPr>
          <w:rFonts w:ascii="Times New Roman" w:hAnsi="Times New Roman"/>
          <w:sz w:val="22"/>
          <w:szCs w:val="22"/>
          <w:lang w:val="fr-BE"/>
        </w:rPr>
        <w:tab/>
      </w:r>
      <w:r w:rsidR="007502FC" w:rsidRPr="00290C15">
        <w:rPr>
          <w:rFonts w:ascii="Times New Roman" w:hAnsi="Times New Roman"/>
          <w:sz w:val="22"/>
          <w:szCs w:val="22"/>
          <w:lang w:val="fr-BE"/>
        </w:rPr>
        <w:t xml:space="preserve">Selon la Cour, la nécessité de simplifier l'administration de la preuve ne justifie pas qu'une personne puisse être condamnée à un emprisonnement de cinq à dix ans et à une amende de cent à cinq mille euros pour incitation au terrorisme sans qu’il y ait des indices sérieux qu'il existe un risque qu'une infraction terroriste puisse être commise.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Justice, police intégrée, douanes, renseignements militaires, centre de crise, etc.</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Le radicalisme, l’extrémisme et le terrorisme figurent parmi les phénomènes prioritaires de la </w:t>
      </w:r>
      <w:r w:rsidRPr="00290C15">
        <w:rPr>
          <w:rFonts w:ascii="Times New Roman" w:hAnsi="Times New Roman"/>
          <w:b/>
          <w:sz w:val="22"/>
          <w:szCs w:val="22"/>
          <w:lang w:val="fr-BE"/>
        </w:rPr>
        <w:t>Note cadre de sécurité intégrale 2015-2018</w:t>
      </w:r>
      <w:r w:rsidRPr="00290C15">
        <w:rPr>
          <w:rFonts w:ascii="Times New Roman" w:hAnsi="Times New Roman"/>
          <w:sz w:val="22"/>
          <w:szCs w:val="22"/>
          <w:lang w:val="fr-BE"/>
        </w:rPr>
        <w:t xml:space="preserve"> et du </w:t>
      </w:r>
      <w:r w:rsidRPr="00290C15">
        <w:rPr>
          <w:rFonts w:ascii="Times New Roman" w:hAnsi="Times New Roman"/>
          <w:b/>
          <w:sz w:val="22"/>
          <w:szCs w:val="22"/>
          <w:lang w:val="fr-BE"/>
        </w:rPr>
        <w:t>Plan national de sécurité 2015-2018</w:t>
      </w:r>
      <w:r w:rsidRPr="00290C15">
        <w:rPr>
          <w:rFonts w:ascii="Times New Roman" w:hAnsi="Times New Roman"/>
          <w:sz w:val="22"/>
          <w:szCs w:val="22"/>
          <w:lang w:val="fr-BE"/>
        </w:rPr>
        <w:t xml:space="preserve"> (textes élaborés avec les entités fédérées et définissant l’approche générale de ces trois phénomènes).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BE"/>
        </w:rPr>
        <w:t>A</w:t>
      </w:r>
      <w:proofErr w:type="spellStart"/>
      <w:r w:rsidRPr="00290C15">
        <w:rPr>
          <w:rFonts w:ascii="Times New Roman" w:hAnsi="Times New Roman"/>
          <w:sz w:val="22"/>
          <w:szCs w:val="22"/>
          <w:lang w:val="fr-FR"/>
        </w:rPr>
        <w:t>rt</w:t>
      </w:r>
      <w:proofErr w:type="spellEnd"/>
      <w:r w:rsidRPr="00290C15">
        <w:rPr>
          <w:rFonts w:ascii="Times New Roman" w:hAnsi="Times New Roman"/>
          <w:sz w:val="22"/>
          <w:szCs w:val="22"/>
          <w:lang w:val="fr-FR"/>
        </w:rPr>
        <w:t>. 23/2 du Code de la nationalité belge.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20 juillet 2015 visant à renforcer la lutte contre le terrorisme (M.B. 05.08.2015).</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w:t>
      </w:r>
      <w:proofErr w:type="spellStart"/>
      <w:r w:rsidRPr="00290C15">
        <w:rPr>
          <w:rFonts w:ascii="Times New Roman" w:hAnsi="Times New Roman"/>
          <w:sz w:val="22"/>
          <w:szCs w:val="22"/>
          <w:lang w:val="fr-FR"/>
        </w:rPr>
        <w:t>oi</w:t>
      </w:r>
      <w:proofErr w:type="spellEnd"/>
      <w:r w:rsidRPr="00290C15">
        <w:rPr>
          <w:rFonts w:ascii="Times New Roman" w:hAnsi="Times New Roman"/>
          <w:sz w:val="22"/>
          <w:szCs w:val="22"/>
          <w:lang w:val="fr-FR"/>
        </w:rPr>
        <w:t xml:space="preserve"> du 10 août 2015 modifiant la loi du 19 juillet 1991 relative aux registres de la population, aux cartes d'identité, aux cartes d'étranger et aux documents de séjour et modifiant la loi du 8 août 1983 organisant un Registre national des personnes physiques (M.B. 31.08.2015).</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FR"/>
        </w:rPr>
        <w:t>Adoption de l’art. 62 du Code consulaire et Circulaire ministérielle du 29 avril 2016 concernant l’application des règles relatives au refus de délivrance et au retrait de documents de voyage, telles que prévues dans le code consulaire.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Circulaire du Ministre de la sécurité et l’Intérieur et du Ministre de la justice relative à l’approche des </w:t>
      </w:r>
      <w:proofErr w:type="spellStart"/>
      <w:r w:rsidRPr="00290C15">
        <w:rPr>
          <w:rFonts w:ascii="Times New Roman" w:hAnsi="Times New Roman"/>
          <w:sz w:val="22"/>
          <w:szCs w:val="22"/>
          <w:lang w:val="fr-BE"/>
        </w:rPr>
        <w:t>Foreign</w:t>
      </w:r>
      <w:proofErr w:type="spellEnd"/>
      <w:r w:rsidRPr="00290C15">
        <w:rPr>
          <w:rFonts w:ascii="Times New Roman" w:hAnsi="Times New Roman"/>
          <w:sz w:val="22"/>
          <w:szCs w:val="22"/>
          <w:lang w:val="fr-BE"/>
        </w:rPr>
        <w:t xml:space="preserve"> </w:t>
      </w:r>
      <w:proofErr w:type="spellStart"/>
      <w:r w:rsidRPr="00290C15">
        <w:rPr>
          <w:rFonts w:ascii="Times New Roman" w:hAnsi="Times New Roman"/>
          <w:sz w:val="22"/>
          <w:szCs w:val="22"/>
          <w:lang w:val="fr-BE"/>
        </w:rPr>
        <w:t>Terrorist</w:t>
      </w:r>
      <w:proofErr w:type="spellEnd"/>
      <w:r w:rsidRPr="00290C15">
        <w:rPr>
          <w:rFonts w:ascii="Times New Roman" w:hAnsi="Times New Roman"/>
          <w:sz w:val="22"/>
          <w:szCs w:val="22"/>
          <w:lang w:val="fr-BE"/>
        </w:rPr>
        <w:t xml:space="preserve"> </w:t>
      </w:r>
      <w:proofErr w:type="spellStart"/>
      <w:r w:rsidRPr="00290C15">
        <w:rPr>
          <w:rFonts w:ascii="Times New Roman" w:hAnsi="Times New Roman"/>
          <w:sz w:val="22"/>
          <w:szCs w:val="22"/>
          <w:lang w:val="fr-BE"/>
        </w:rPr>
        <w:t>Fighters</w:t>
      </w:r>
      <w:proofErr w:type="spellEnd"/>
      <w:r w:rsidRPr="00290C15">
        <w:rPr>
          <w:rFonts w:ascii="Times New Roman" w:hAnsi="Times New Roman"/>
          <w:sz w:val="22"/>
          <w:szCs w:val="22"/>
          <w:lang w:val="fr-BE"/>
        </w:rPr>
        <w:t>, qui remplace la circulaire du 25 septembre 2014.</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27 avril 2016 relative à des mesures complémentaires en matière de lutte contre le terrorisme (M.B. 09.05.2016).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Arrêté royal du 21 juillet 2016 </w:t>
      </w:r>
      <w:r w:rsidRPr="00290C15">
        <w:rPr>
          <w:rFonts w:ascii="Times New Roman" w:hAnsi="Times New Roman"/>
          <w:sz w:val="22"/>
          <w:szCs w:val="22"/>
          <w:lang w:val="fr-FR"/>
        </w:rPr>
        <w:t xml:space="preserve">relatif à la banque de données commune </w:t>
      </w:r>
      <w:proofErr w:type="spellStart"/>
      <w:r w:rsidRPr="00290C15">
        <w:rPr>
          <w:rFonts w:ascii="Times New Roman" w:hAnsi="Times New Roman"/>
          <w:sz w:val="22"/>
          <w:szCs w:val="22"/>
          <w:lang w:val="fr-FR"/>
        </w:rPr>
        <w:t>Foreign</w:t>
      </w:r>
      <w:proofErr w:type="spellEnd"/>
      <w:r w:rsidRPr="00290C15">
        <w:rPr>
          <w:rFonts w:ascii="Times New Roman" w:hAnsi="Times New Roman"/>
          <w:sz w:val="22"/>
          <w:szCs w:val="22"/>
          <w:lang w:val="fr-FR"/>
        </w:rPr>
        <w:t xml:space="preserve"> </w:t>
      </w:r>
      <w:proofErr w:type="spellStart"/>
      <w:r w:rsidRPr="00290C15">
        <w:rPr>
          <w:rFonts w:ascii="Times New Roman" w:hAnsi="Times New Roman"/>
          <w:sz w:val="22"/>
          <w:szCs w:val="22"/>
          <w:lang w:val="fr-FR"/>
        </w:rPr>
        <w:t>Terrorist</w:t>
      </w:r>
      <w:proofErr w:type="spellEnd"/>
      <w:r w:rsidRPr="00290C15">
        <w:rPr>
          <w:rFonts w:ascii="Times New Roman" w:hAnsi="Times New Roman"/>
          <w:sz w:val="22"/>
          <w:szCs w:val="22"/>
          <w:lang w:val="fr-FR"/>
        </w:rPr>
        <w:t xml:space="preserve"> </w:t>
      </w:r>
      <w:proofErr w:type="spellStart"/>
      <w:r w:rsidRPr="00290C15">
        <w:rPr>
          <w:rFonts w:ascii="Times New Roman" w:hAnsi="Times New Roman"/>
          <w:sz w:val="22"/>
          <w:szCs w:val="22"/>
          <w:lang w:val="fr-FR"/>
        </w:rPr>
        <w:t>Fighters</w:t>
      </w:r>
      <w:proofErr w:type="spellEnd"/>
      <w:r w:rsidRPr="00290C15">
        <w:rPr>
          <w:rFonts w:ascii="Times New Roman" w:hAnsi="Times New Roman"/>
          <w:sz w:val="22"/>
          <w:szCs w:val="22"/>
          <w:lang w:val="fr-FR"/>
        </w:rPr>
        <w:t xml:space="preserve"> et portant exécution de certaines dispositions de la section 1 bis « de la gestion des informations » du chapitre IV de la loi sur la fonction de police (M.B. 22.09.2016).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Loi du 8 décembre 1992 relative à la protection de la vie privée à l'égard des traitements de données à caractère personnel (M.B. 18.03.1993).</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5 février 2016 modifiant le droit pénal et la procédure pénale et portant des dispositions diverses en matière de justice (M.B. 19.02.2016).</w:t>
      </w:r>
    </w:p>
    <w:p w:rsidR="007502FC" w:rsidRPr="00290C15" w:rsidRDefault="00804273"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hyperlink r:id="rId8" w:history="1">
        <w:r w:rsidR="007502FC" w:rsidRPr="00290C15">
          <w:rPr>
            <w:rStyle w:val="Lienhypertexte"/>
            <w:rFonts w:ascii="Times New Roman" w:hAnsi="Times New Roman"/>
            <w:sz w:val="22"/>
            <w:szCs w:val="22"/>
            <w:lang w:val="fr-BE"/>
          </w:rPr>
          <w:t>Plan d'Action Radicalisme</w:t>
        </w:r>
      </w:hyperlink>
      <w:r w:rsidR="007502FC" w:rsidRPr="00290C15">
        <w:rPr>
          <w:rFonts w:ascii="Times New Roman" w:hAnsi="Times New Roman"/>
          <w:sz w:val="22"/>
          <w:szCs w:val="22"/>
          <w:lang w:val="fr-BE"/>
        </w:rPr>
        <w:t xml:space="preserv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La notion de « </w:t>
      </w:r>
      <w:proofErr w:type="spellStart"/>
      <w:r w:rsidRPr="00290C15">
        <w:rPr>
          <w:rFonts w:ascii="Times New Roman" w:hAnsi="Times New Roman"/>
          <w:sz w:val="22"/>
          <w:szCs w:val="22"/>
          <w:lang w:val="fr-BE"/>
        </w:rPr>
        <w:t>disingagement</w:t>
      </w:r>
      <w:proofErr w:type="spellEnd"/>
      <w:r w:rsidRPr="00290C15">
        <w:rPr>
          <w:rFonts w:ascii="Times New Roman" w:hAnsi="Times New Roman"/>
          <w:sz w:val="22"/>
          <w:szCs w:val="22"/>
          <w:lang w:val="fr-BE"/>
        </w:rPr>
        <w:t> » renvoie à un changement d’attitude de la part de l’intéressé. L’objectif final est de le faire rejeter toute forme de violence, en ce compris les violences verbales et les appels à la violence, en rapport avec son idéologie.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Il s’agit des détenus avec un profil terroriste, extrémiste ou radical, sans tenir compte des faits commis.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BE"/>
        </w:rPr>
        <w:t>Loi du 25 décembre 2016</w:t>
      </w:r>
      <w:r w:rsidRPr="00290C15">
        <w:rPr>
          <w:rFonts w:ascii="Times New Roman" w:hAnsi="Times New Roman"/>
          <w:sz w:val="22"/>
          <w:szCs w:val="22"/>
          <w:lang w:val="fr-FR"/>
        </w:rPr>
        <w:t xml:space="preserve"> portant des modifications diverses au Code d'instruction criminelle et au Code pénal, en vue d'améliorer les méthodes particulières de recherche et certaines mesures d'enquête concernant Internet, les communications électroniques et les télécommunications et créant une banque de données des empreintes vocales (M.B. 17.01.2017).</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Loi du 30 mars 2017 modifiant la loi du 30 novembre 1998 organique des services de renseignement et de sécurité et l'article 259bis du Code pénal </w:t>
      </w:r>
      <w:r w:rsidRPr="00290C15">
        <w:rPr>
          <w:rFonts w:ascii="Times New Roman" w:hAnsi="Times New Roman"/>
          <w:i/>
          <w:sz w:val="22"/>
          <w:szCs w:val="22"/>
          <w:lang w:val="fr-BE"/>
        </w:rPr>
        <w:t>(M.B., 28.04.2017).</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3 août 2016 portant disposition diverse en matière de lutte contre le terrorisme (M.B. 11.08.2016) et</w:t>
      </w:r>
      <w:r w:rsidRPr="00290C15">
        <w:rPr>
          <w:rFonts w:ascii="Times New Roman" w:eastAsia="Times New Roman" w:hAnsi="Times New Roman"/>
          <w:sz w:val="22"/>
          <w:szCs w:val="22"/>
          <w:lang w:val="fr-FR" w:eastAsia="fr-FR"/>
        </w:rPr>
        <w:t xml:space="preserve"> </w:t>
      </w:r>
      <w:r w:rsidRPr="00290C15">
        <w:rPr>
          <w:rFonts w:ascii="Times New Roman" w:hAnsi="Times New Roman"/>
          <w:sz w:val="22"/>
          <w:szCs w:val="22"/>
          <w:lang w:val="fr-FR"/>
        </w:rPr>
        <w:t xml:space="preserve">circulaire du 29 avril 2016 </w:t>
      </w:r>
      <w:r w:rsidRPr="00290C15">
        <w:rPr>
          <w:rFonts w:ascii="Times New Roman" w:hAnsi="Times New Roman"/>
          <w:i/>
          <w:sz w:val="22"/>
          <w:szCs w:val="22"/>
          <w:lang w:val="fr-FR"/>
        </w:rPr>
        <w:t>op.cit</w:t>
      </w:r>
      <w:r w:rsidRPr="00290C15">
        <w:rPr>
          <w:rFonts w:ascii="Times New Roman" w:hAnsi="Times New Roman"/>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Sérieuses raisons de craindre que l'inculpé, s'il était laissé en liberté, commette de nouveaux crimes ou délits, se soustraie à l'action de la justice, tente de faire disparaître des preuves ou entre en </w:t>
      </w:r>
      <w:r w:rsidRPr="00290C15">
        <w:rPr>
          <w:rFonts w:ascii="Times New Roman" w:hAnsi="Times New Roman"/>
          <w:sz w:val="22"/>
          <w:szCs w:val="22"/>
          <w:lang w:val="fr-FR"/>
        </w:rPr>
        <w:lastRenderedPageBreak/>
        <w:t>collusion avec des tiers.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BE"/>
        </w:rPr>
        <w:t>Risque de nouveaux crimes ou délits, de fuite, de disparition de preuves, etc.</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Circulaire du </w:t>
      </w:r>
      <w:r w:rsidRPr="00290C15">
        <w:rPr>
          <w:rFonts w:ascii="Times New Roman" w:hAnsi="Times New Roman"/>
          <w:sz w:val="22"/>
          <w:szCs w:val="22"/>
          <w:lang w:val="fr-FR"/>
        </w:rPr>
        <w:t>ministre de la Sécurité et de l'Intérieur, du ministre des Affaires étrangères, du ministre de la Justice, du ministre de la Défense et du secrétaire d'État à l'Asile et à la Migration concernant l'échange d'informations et le suivi des prédicateurs de haine, entrée en vigueur le 1 août 2016.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Loi du 27 avril 2016 </w:t>
      </w:r>
      <w:r w:rsidRPr="00290C15">
        <w:rPr>
          <w:rFonts w:ascii="Times New Roman" w:hAnsi="Times New Roman"/>
          <w:i/>
          <w:sz w:val="22"/>
          <w:szCs w:val="22"/>
          <w:lang w:val="fr-BE"/>
        </w:rPr>
        <w:t xml:space="preserve">op. </w:t>
      </w:r>
      <w:proofErr w:type="spellStart"/>
      <w:r w:rsidRPr="00290C15">
        <w:rPr>
          <w:rFonts w:ascii="Times New Roman" w:hAnsi="Times New Roman"/>
          <w:i/>
          <w:sz w:val="22"/>
          <w:szCs w:val="22"/>
          <w:lang w:val="fr-BE"/>
        </w:rPr>
        <w:t>cit</w:t>
      </w:r>
      <w:proofErr w:type="spellEnd"/>
      <w:r w:rsidRPr="00290C15">
        <w:rPr>
          <w:rFonts w:ascii="Times New Roman" w:hAnsi="Times New Roman"/>
          <w:i/>
          <w:sz w:val="22"/>
          <w:szCs w:val="22"/>
          <w:lang w:val="fr-BE"/>
        </w:rPr>
        <w:t>.</w:t>
      </w:r>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i/>
          <w:sz w:val="22"/>
          <w:szCs w:val="22"/>
          <w:lang w:val="fr-BE"/>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rPr>
      </w:pPr>
      <w:bookmarkStart w:id="20" w:name="_Toc503444757"/>
      <w:bookmarkStart w:id="21" w:name="_Toc503444772"/>
      <w:bookmarkStart w:id="22" w:name="_Toc519074801"/>
      <w:r w:rsidRPr="00290C15">
        <w:rPr>
          <w:b/>
          <w:color w:val="000000"/>
          <w:sz w:val="22"/>
          <w:szCs w:val="22"/>
        </w:rPr>
        <w:t>Non-discrimination et droits des personnes appartenant à des minorités ethniques, religieuses, linguistiques ou sexuelles (art. 2, 20, 22 et 24 à 27)</w:t>
      </w:r>
      <w:bookmarkEnd w:id="20"/>
      <w:bookmarkEnd w:id="21"/>
      <w:bookmarkEnd w:id="22"/>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BE"/>
        </w:rPr>
      </w:pPr>
    </w:p>
    <w:p w:rsidR="007502FC" w:rsidRPr="00290C15" w:rsidRDefault="007502FC" w:rsidP="00946F28">
      <w:pPr>
        <w:pStyle w:val="Paragraphedeliste"/>
        <w:numPr>
          <w:ilvl w:val="0"/>
          <w:numId w:val="1"/>
        </w:numPr>
        <w:tabs>
          <w:tab w:val="left" w:pos="709"/>
        </w:tabs>
        <w:spacing w:after="20"/>
        <w:ind w:left="709" w:hanging="709"/>
        <w:jc w:val="both"/>
        <w:rPr>
          <w:rFonts w:eastAsia="Calibri"/>
          <w:sz w:val="22"/>
          <w:szCs w:val="22"/>
          <w:lang w:val="fr-BE" w:eastAsia="en-US"/>
        </w:rPr>
      </w:pPr>
      <w:r w:rsidRPr="00290C15">
        <w:rPr>
          <w:rFonts w:eastAsia="Calibri"/>
          <w:sz w:val="22"/>
          <w:szCs w:val="22"/>
          <w:lang w:val="fr-BE" w:eastAsia="en-US"/>
        </w:rPr>
        <w:t>En février 2012, la Belgique a publié une</w:t>
      </w:r>
      <w:r w:rsidRPr="00290C15">
        <w:rPr>
          <w:rFonts w:eastAsia="Calibri"/>
          <w:b/>
          <w:sz w:val="22"/>
          <w:szCs w:val="22"/>
          <w:lang w:val="fr-BE" w:eastAsia="en-US"/>
        </w:rPr>
        <w:t xml:space="preserve"> Stratégie nationale pour l’intégration des </w:t>
      </w:r>
      <w:proofErr w:type="spellStart"/>
      <w:r w:rsidRPr="00290C15">
        <w:rPr>
          <w:rFonts w:eastAsia="Calibri"/>
          <w:b/>
          <w:sz w:val="22"/>
          <w:szCs w:val="22"/>
          <w:lang w:val="fr-BE" w:eastAsia="en-US"/>
        </w:rPr>
        <w:t>Roms</w:t>
      </w:r>
      <w:proofErr w:type="spellEnd"/>
      <w:r w:rsidRPr="00290C15">
        <w:rPr>
          <w:rFonts w:eastAsia="Calibri"/>
          <w:sz w:val="22"/>
          <w:szCs w:val="22"/>
          <w:lang w:val="fr-BE" w:eastAsia="en-US"/>
        </w:rPr>
        <w:t xml:space="preserve"> mettant l’accent sur l'emploi, l'éducation, le logement et l'accès aux soins et accordant une attention à des objectifs plus horizontaux comme la lutte contre les discriminations (action 9.1. : groupe de travail discrimination police justice ; action 9.2. : offre de formation). Un groupe de travail a été créé avec des représentants des gouvernements du pays, des villes et communes et d’organisations collaborant ou représentant les </w:t>
      </w:r>
      <w:proofErr w:type="spellStart"/>
      <w:r w:rsidRPr="00290C15">
        <w:rPr>
          <w:rFonts w:eastAsia="Calibri"/>
          <w:sz w:val="22"/>
          <w:szCs w:val="22"/>
          <w:lang w:val="fr-BE" w:eastAsia="en-US"/>
        </w:rPr>
        <w:t>Roms</w:t>
      </w:r>
      <w:proofErr w:type="spellEnd"/>
      <w:r w:rsidRPr="00290C15">
        <w:rPr>
          <w:rFonts w:eastAsia="Calibri"/>
          <w:sz w:val="22"/>
          <w:szCs w:val="22"/>
          <w:lang w:val="fr-BE" w:eastAsia="en-US"/>
        </w:rPr>
        <w:t xml:space="preserve">. Au niveau fédéral, un Conseil des </w:t>
      </w:r>
      <w:proofErr w:type="spellStart"/>
      <w:r w:rsidRPr="00290C15">
        <w:rPr>
          <w:rFonts w:eastAsia="Calibri"/>
          <w:sz w:val="22"/>
          <w:szCs w:val="22"/>
          <w:lang w:val="fr-BE" w:eastAsia="en-US"/>
        </w:rPr>
        <w:t>Roms</w:t>
      </w:r>
      <w:proofErr w:type="spellEnd"/>
      <w:r w:rsidRPr="00290C15">
        <w:rPr>
          <w:rFonts w:eastAsia="Calibri"/>
          <w:sz w:val="22"/>
          <w:szCs w:val="22"/>
          <w:lang w:val="fr-BE" w:eastAsia="en-US"/>
        </w:rPr>
        <w:t xml:space="preserve"> et Gens du voyage a été créé pour assurer leur participation politique et leur offrir l’égalité des chances.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Circulaire commune </w:t>
      </w:r>
      <w:proofErr w:type="spellStart"/>
      <w:r w:rsidRPr="00290C15">
        <w:rPr>
          <w:rFonts w:ascii="Times New Roman" w:hAnsi="Times New Roman"/>
          <w:sz w:val="22"/>
          <w:szCs w:val="22"/>
          <w:lang w:val="fr-FR"/>
        </w:rPr>
        <w:t>n°</w:t>
      </w:r>
      <w:hyperlink r:id="rId9" w:history="1">
        <w:r w:rsidRPr="00290C15">
          <w:rPr>
            <w:rStyle w:val="Lienhypertexte"/>
            <w:rFonts w:ascii="Times New Roman" w:hAnsi="Times New Roman"/>
            <w:sz w:val="22"/>
            <w:szCs w:val="22"/>
            <w:lang w:val="fr-FR"/>
          </w:rPr>
          <w:t>COL</w:t>
        </w:r>
        <w:proofErr w:type="spellEnd"/>
        <w:r w:rsidRPr="00290C15">
          <w:rPr>
            <w:rStyle w:val="Lienhypertexte"/>
            <w:rFonts w:ascii="Times New Roman" w:hAnsi="Times New Roman"/>
            <w:sz w:val="22"/>
            <w:szCs w:val="22"/>
            <w:lang w:val="fr-FR"/>
          </w:rPr>
          <w:t xml:space="preserve"> 13/2013</w:t>
        </w:r>
      </w:hyperlink>
      <w:r w:rsidRPr="00290C15">
        <w:rPr>
          <w:rFonts w:ascii="Times New Roman" w:hAnsi="Times New Roman"/>
          <w:sz w:val="22"/>
          <w:szCs w:val="22"/>
          <w:lang w:val="fr-FR"/>
        </w:rPr>
        <w:t xml:space="preserve"> du 17 juin 2013 du Ministre de la justice, du Ministre de l’intérieur, et du Collège des procureurs généraux près les Cours d’appel.</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Style w:val="Appelnotedebasdep"/>
          <w:rFonts w:ascii="Times New Roman" w:hAnsi="Times New Roman"/>
          <w:sz w:val="22"/>
          <w:szCs w:val="22"/>
          <w:vertAlign w:val="baseline"/>
          <w:lang w:val="fr-FR"/>
        </w:rPr>
        <w:t>C</w:t>
      </w:r>
      <w:proofErr w:type="spellStart"/>
      <w:r w:rsidRPr="00290C15">
        <w:rPr>
          <w:rFonts w:ascii="Times New Roman" w:hAnsi="Times New Roman"/>
          <w:sz w:val="22"/>
          <w:szCs w:val="22"/>
          <w:lang w:val="fr-BE"/>
        </w:rPr>
        <w:t>eux-ci</w:t>
      </w:r>
      <w:proofErr w:type="spellEnd"/>
      <w:r w:rsidRPr="00290C15">
        <w:rPr>
          <w:rFonts w:ascii="Times New Roman" w:hAnsi="Times New Roman"/>
          <w:sz w:val="22"/>
          <w:szCs w:val="22"/>
          <w:lang w:val="fr-BE"/>
        </w:rPr>
        <w:t xml:space="preserve"> peuvent être fondés sur les 19 critères de discrimination prévus par la loi : 1. prétendue race, 2. couleur de peau, 3. nationalité, 4. ascendance, 5. origine nationale ou ethnique, 6. handicap, 7. conviction philosophique ou religieuse, 8. orientation sexuelle, 9. âge, 10. fortune, 11. état civil, 12. conviction politique, 13. conviction syndicale, 14. état de santé actuel ou futur, 15. caractéristiques physiques ou génétiques, 16. naissance, 17. origine sociale, 18. sexe et 19. langue.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10 mai 2007 modifiant celle du 30 juillet 1981 visant à réprimer certains actes inspirés par le racisme et la xénophobie (M.B. 30.05.2007) ; Loi du 10 mai 2007 tendant à lutter contre certaines formes de discrimination (M.B. 30.05.2017) et Loi du 10 mai 2007 tendant à lutter contre la discrimination entre les femmes et les hommes (M.B. 30.05.2007) (loi « </w:t>
      </w:r>
      <w:r w:rsidRPr="00290C15">
        <w:rPr>
          <w:rFonts w:ascii="Times New Roman" w:hAnsi="Times New Roman"/>
          <w:i/>
          <w:sz w:val="22"/>
          <w:szCs w:val="22"/>
          <w:lang w:val="fr-BE"/>
        </w:rPr>
        <w:t>genre</w:t>
      </w:r>
      <w:r w:rsidRPr="00290C15">
        <w:rPr>
          <w:rFonts w:ascii="Times New Roman" w:hAnsi="Times New Roman"/>
          <w:sz w:val="22"/>
          <w:szCs w:val="22"/>
          <w:lang w:val="fr-BE"/>
        </w:rPr>
        <w:t xml:space="preserve"> »). </w:t>
      </w:r>
    </w:p>
    <w:p w:rsidR="007502FC" w:rsidRPr="00290C15" w:rsidRDefault="007502FC" w:rsidP="00946F28">
      <w:pPr>
        <w:pStyle w:val="Paragraphedeliste"/>
        <w:numPr>
          <w:ilvl w:val="0"/>
          <w:numId w:val="1"/>
        </w:numPr>
        <w:tabs>
          <w:tab w:val="left" w:pos="709"/>
        </w:tabs>
        <w:spacing w:after="20"/>
        <w:ind w:left="709" w:hanging="709"/>
        <w:jc w:val="both"/>
        <w:textAlignment w:val="baseline"/>
        <w:rPr>
          <w:color w:val="000000"/>
          <w:sz w:val="22"/>
          <w:szCs w:val="22"/>
          <w:lang w:val="fr-BE" w:eastAsia="en-US"/>
        </w:rPr>
      </w:pPr>
      <w:r w:rsidRPr="00290C15">
        <w:rPr>
          <w:color w:val="000000"/>
          <w:sz w:val="22"/>
          <w:szCs w:val="22"/>
          <w:lang w:val="fr-BE"/>
        </w:rPr>
        <w:t>Arrêté royal du 18 novembre 2015 fixant la composition de la Commission des Experts, leur désignation et la forme et le contenu concret du rapport qui doit être présenté en exécution de l'article 52§3, de la loi du 10 mai 2007 tendant à lutter contre certaines formes de discrimination (M.B. 02.12.2015) ; Arrêté royal du 6 juillet 2016 portant nomination des membres de la Commission des Experts (M.B. 04.08.2016).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Loi du 14 janvier 2013 modifiant l'article 405quater du Code pénal et l'article 2 de la loi du 4 octobre 1867 sur les circonstances atténuantes (M.B. 31.01.2013).</w:t>
      </w:r>
    </w:p>
    <w:p w:rsidR="007502FC" w:rsidRPr="00290C15" w:rsidRDefault="007502FC" w:rsidP="00946F28">
      <w:pPr>
        <w:pStyle w:val="Paragraphedeliste"/>
        <w:numPr>
          <w:ilvl w:val="0"/>
          <w:numId w:val="1"/>
        </w:numPr>
        <w:tabs>
          <w:tab w:val="left" w:pos="709"/>
        </w:tabs>
        <w:spacing w:after="20"/>
        <w:ind w:left="709" w:hanging="709"/>
        <w:jc w:val="both"/>
        <w:rPr>
          <w:rFonts w:eastAsia="Calibri"/>
          <w:sz w:val="22"/>
          <w:szCs w:val="22"/>
          <w:lang w:eastAsia="en-US"/>
        </w:rPr>
      </w:pPr>
      <w:r w:rsidRPr="00290C15">
        <w:rPr>
          <w:rFonts w:eastAsia="Calibri"/>
          <w:sz w:val="22"/>
          <w:szCs w:val="22"/>
          <w:lang w:eastAsia="en-US"/>
        </w:rPr>
        <w:t>Pour rappel, la</w:t>
      </w:r>
      <w:r w:rsidRPr="00290C15">
        <w:rPr>
          <w:rFonts w:eastAsia="Calibri"/>
          <w:b/>
          <w:sz w:val="22"/>
          <w:szCs w:val="22"/>
          <w:lang w:eastAsia="en-US"/>
        </w:rPr>
        <w:t xml:space="preserve"> </w:t>
      </w:r>
      <w:r w:rsidRPr="00290C15">
        <w:rPr>
          <w:rFonts w:eastAsia="Calibri"/>
          <w:sz w:val="22"/>
          <w:szCs w:val="22"/>
          <w:lang w:eastAsia="en-US"/>
        </w:rPr>
        <w:t>Loi du 25 février 2003 tendant à lutter contre la discrimination et modifiant la loi du 15 février 1993 créant un Centre pour l'égalité des changes et la lutte contre le racisme (M.B. 17.03.2003)</w:t>
      </w:r>
      <w:r w:rsidRPr="00290C15">
        <w:rPr>
          <w:rFonts w:eastAsia="Calibri"/>
          <w:b/>
          <w:sz w:val="22"/>
          <w:szCs w:val="22"/>
          <w:lang w:eastAsia="en-US"/>
        </w:rPr>
        <w:t xml:space="preserve"> </w:t>
      </w:r>
      <w:r w:rsidRPr="00290C15">
        <w:rPr>
          <w:rFonts w:eastAsia="Calibri"/>
          <w:sz w:val="22"/>
          <w:szCs w:val="22"/>
          <w:lang w:eastAsia="en-US"/>
        </w:rPr>
        <w:t>introduit le</w:t>
      </w:r>
      <w:r w:rsidRPr="00290C15">
        <w:rPr>
          <w:rFonts w:eastAsia="Calibri"/>
          <w:b/>
          <w:sz w:val="22"/>
          <w:szCs w:val="22"/>
          <w:lang w:eastAsia="en-US"/>
        </w:rPr>
        <w:t xml:space="preserve"> « </w:t>
      </w:r>
      <w:r w:rsidRPr="00290C15">
        <w:rPr>
          <w:rFonts w:eastAsia="Calibri"/>
          <w:b/>
          <w:i/>
          <w:sz w:val="22"/>
          <w:szCs w:val="22"/>
          <w:lang w:eastAsia="en-US"/>
        </w:rPr>
        <w:t>mobile discriminatoire</w:t>
      </w:r>
      <w:r w:rsidRPr="00290C15">
        <w:rPr>
          <w:rFonts w:eastAsia="Calibri"/>
          <w:b/>
          <w:sz w:val="22"/>
          <w:szCs w:val="22"/>
          <w:lang w:eastAsia="en-US"/>
        </w:rPr>
        <w:t> » comme circonstance aggravante de diverses infractions pénales</w:t>
      </w:r>
      <w:r w:rsidRPr="00290C15">
        <w:rPr>
          <w:rFonts w:eastAsia="Calibri"/>
          <w:sz w:val="22"/>
          <w:szCs w:val="22"/>
          <w:lang w:eastAsia="en-US"/>
        </w:rPr>
        <w:t xml:space="preserve">. Le minimum des peines peut être doublé en cas de peines correctionnelles et, dans certains cas, augmenté de deux ans en cas de réclusion si le mobile de l’infraction est la haine, le mépris ou l’hostilité envers une personne en raison de sa prétendue race, couleur de peau, ascendance, origine nationale ou ethnique, nationalité, sexe, orientation sexuelle, état civil, naissance, âge, fortune, conviction religieuse ou philosophique, état de santé actuel ou futur, handicap, langue, conviction politique, caractéristique physique ou génétique ou origine sociale. La « conviction syndicale » a été ajoutée à cette par la Loi du 30 décembre 2009 portant sur des dispositions diverses (M.B. 31.12.2009).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r w:rsidRPr="00290C15">
        <w:rPr>
          <w:rFonts w:ascii="Times New Roman" w:hAnsi="Times New Roman"/>
          <w:sz w:val="22"/>
          <w:szCs w:val="22"/>
          <w:lang w:val="en-GB"/>
        </w:rPr>
        <w:t xml:space="preserve">A/HRC/32/8/Add.1 </w:t>
      </w:r>
      <w:proofErr w:type="spellStart"/>
      <w:r w:rsidRPr="00290C15">
        <w:rPr>
          <w:rFonts w:ascii="Times New Roman" w:hAnsi="Times New Roman"/>
          <w:i/>
          <w:sz w:val="22"/>
          <w:szCs w:val="22"/>
          <w:lang w:val="en-GB"/>
        </w:rPr>
        <w:t>op.cit</w:t>
      </w:r>
      <w:proofErr w:type="spellEnd"/>
      <w:r w:rsidRPr="00290C15">
        <w:rPr>
          <w:rFonts w:ascii="Times New Roman" w:hAnsi="Times New Roman"/>
          <w:sz w:val="22"/>
          <w:szCs w:val="22"/>
          <w:lang w:val="en-GB"/>
        </w:rPr>
        <w:t>, §8.</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 </w:t>
      </w:r>
      <w:r w:rsidRPr="00290C15">
        <w:rPr>
          <w:rFonts w:ascii="Times New Roman" w:hAnsi="Times New Roman"/>
          <w:i/>
          <w:sz w:val="22"/>
          <w:szCs w:val="22"/>
          <w:lang w:val="fr-FR"/>
        </w:rPr>
        <w:t>Racisme en Belgique, 15 après la Déclaration de Durban : Il est temps pour le plan interfédéral contre le racisme</w:t>
      </w:r>
      <w:r w:rsidRPr="00290C15">
        <w:rPr>
          <w:rFonts w:ascii="Times New Roman" w:hAnsi="Times New Roman"/>
          <w:sz w:val="22"/>
          <w:szCs w:val="22"/>
          <w:lang w:val="fr-FR"/>
        </w:rPr>
        <w:t> » (étude soumise le 2 septembre 2016).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On vise ici les infractions aux législations luttant contre le racisme et la xénophobie outre les infractions reprises directement dans le code pénal (art. 377bis, 405quater, 422quater, 438bis, 442ter, 444, 453bis, 514bis, 525bis, 532bis, 534quater), listés dans la Col 13/2013. </w:t>
      </w:r>
    </w:p>
    <w:p w:rsidR="007502FC" w:rsidRPr="00290C15" w:rsidRDefault="007502FC" w:rsidP="00946F28">
      <w:pPr>
        <w:pStyle w:val="Paragraphedeliste"/>
        <w:numPr>
          <w:ilvl w:val="0"/>
          <w:numId w:val="1"/>
        </w:numPr>
        <w:tabs>
          <w:tab w:val="left" w:pos="709"/>
        </w:tabs>
        <w:spacing w:after="20"/>
        <w:ind w:left="709" w:hanging="709"/>
        <w:jc w:val="both"/>
        <w:rPr>
          <w:rFonts w:eastAsia="Calibri"/>
          <w:sz w:val="22"/>
          <w:szCs w:val="22"/>
          <w:lang w:val="fr-BE" w:eastAsia="en-US"/>
        </w:rPr>
      </w:pPr>
      <w:r w:rsidRPr="00290C15">
        <w:rPr>
          <w:rFonts w:eastAsia="Calibri"/>
          <w:sz w:val="22"/>
          <w:szCs w:val="22"/>
          <w:lang w:val="fr-BE" w:eastAsia="en-US"/>
        </w:rPr>
        <w:t xml:space="preserve">174 dossiers ont en outre été encodés pour les années 2010 à 2014 comme des préventions commises dans un contexte raciste ou xénophobe. Cette classification a toutefois disparu depuis </w:t>
      </w:r>
      <w:r w:rsidRPr="00290C15">
        <w:rPr>
          <w:rFonts w:eastAsia="Calibri"/>
          <w:sz w:val="22"/>
          <w:szCs w:val="22"/>
          <w:lang w:val="fr-BE" w:eastAsia="en-US"/>
        </w:rPr>
        <w:lastRenderedPageBreak/>
        <w:t xml:space="preserve">l’entrée en vigueur de la COL 2013 qui a introduit de nouveaux code de prévention et qui privilégie l’usage d’une prévention annexe, lorsqu’il s’agit par exemple de coups et blessures volontaires commis avec un motif raciste, l’affaire sera encodée avec les codes de prévention « 56 A racisme » ainsi que « 43 A coups et blessures volontaires ». Cet encodage plus précis par les services de police permet qu’une meilleure réponse soit accordée aux faits signalés. Cette modification dans la manière d’encoder répond en outre aux obligations internationales de la Belgique imposées par les directives européennes en matière de lutte contre la discrimination et la Convention internationale du 21 décembre 1965 sur l’élimination de toutes les formes de discrimination raciale.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Le classement sans suite est une renonciation provisoire aux poursuites, mettant fin à l’information pour des motifs techniques ou d’opportunité des poursuites. Tant que l’action publique n’est pas éteinte, l’affaire peut être rouverte.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En annexe des </w:t>
      </w:r>
      <w:r w:rsidRPr="00290C15">
        <w:rPr>
          <w:rFonts w:ascii="Times New Roman" w:hAnsi="Times New Roman"/>
          <w:b/>
          <w:sz w:val="22"/>
          <w:szCs w:val="22"/>
          <w:lang w:val="fr-BE"/>
        </w:rPr>
        <w:t>exemples de condamnations pour antisémitisme et négationnisme</w:t>
      </w:r>
      <w:r w:rsidRPr="00290C15">
        <w:rPr>
          <w:rFonts w:ascii="Times New Roman" w:hAnsi="Times New Roman"/>
          <w:sz w:val="22"/>
          <w:szCs w:val="22"/>
          <w:lang w:val="fr-BE"/>
        </w:rPr>
        <w:t xml:space="preserve"> : Cour d’appel Bruxelles, 15 septembre 2010 (négationnisme) ; Cour d’appel Bruxelles, 21 septembre 2011 (négationnisme) ; tribunal Liège, 5 janvier 2015 (gestes et paroles référant au nazisme) ; tribunal Furnes (salut hitlérien envers des personnes de couleur) ; tribunal Bruxelles, 23 juin 2015 (négation des chambres à gaz) ; tribunal Anvers, 9 juillet 2015 (admiration pour l’Holocauste et haine envers les étrangers) ; tribunal Hal-Vilvoorde, 20 octobre 2015 (propos racistes tenus par un policier envers Israël et sa population) ; tribunal Liège (propos antisémites, révisionnistes et négationnistes) ; tribunal Liège, 18 octobre 2016 (négation des chambres à gaz) ; tribunal Anvers, 7 mars 2016 (référence au nazisme) ; tribunal Anvers, 2 mai 2016 (symboles et textes néonazis et antisémites). </w:t>
      </w:r>
    </w:p>
    <w:p w:rsidR="0044300F"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En annexe des </w:t>
      </w:r>
      <w:r w:rsidRPr="00290C15">
        <w:rPr>
          <w:rFonts w:ascii="Times New Roman" w:hAnsi="Times New Roman"/>
          <w:b/>
          <w:sz w:val="22"/>
          <w:szCs w:val="22"/>
          <w:lang w:val="fr-BE"/>
        </w:rPr>
        <w:t>exemples de condamnations pour délits de haine</w:t>
      </w:r>
      <w:r w:rsidRPr="00290C15">
        <w:rPr>
          <w:rFonts w:ascii="Times New Roman" w:hAnsi="Times New Roman"/>
          <w:sz w:val="22"/>
          <w:szCs w:val="22"/>
          <w:lang w:val="fr-BE"/>
        </w:rPr>
        <w:t> dont par exemple : tribunal Tongres, 5 janvier 2011 (avoir mis feu à un temple Sikh, motifs racistes) ; tribunal Bruxelles, 1 décembre 2011 (coups et blessures, harcèlement et dégradation de propriété immobilière envers un couple mixte) ; Cour d’appel Bruxelles, 1 avril 2015 (violences d’un inspecteur de police notamment pour racisme) ; tribunal Bruxelles, 26 février 2014 (faits de violence par des policiers des chemins de fer envers des sans-abris et sans-papiers avec motivation raciste pour certaines des victimes) ; tribunal Bruxelles, 25 juin 2014 (harcèlement en raison de l’origine) ; tribunal Hasselt, 15 décembre 2015 (violences racistes envers deux mineurs) ; tribunal Bruxelles, 17 février 2016 (passage à tabac pour critère notamment d’origine nationale) ; tribunal Bruxelles (agression raciste).</w:t>
      </w:r>
    </w:p>
    <w:p w:rsidR="007502FC" w:rsidRPr="00290C15" w:rsidRDefault="0044300F"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44300F">
        <w:rPr>
          <w:rFonts w:ascii="Times New Roman" w:hAnsi="Times New Roman"/>
          <w:sz w:val="22"/>
          <w:szCs w:val="22"/>
          <w:lang w:val="fr-BE"/>
        </w:rPr>
        <w:t>25 suspensions, 169 condamnations et 12 acquittements. Au total, il y a eu 194 condamnations définitives entre 2010 et 2016</w:t>
      </w:r>
      <w:r>
        <w:rPr>
          <w:rFonts w:ascii="Times New Roman" w:hAnsi="Times New Roman"/>
          <w:sz w:val="22"/>
          <w:szCs w:val="22"/>
          <w:lang w:val="fr-FR"/>
        </w:rPr>
        <w:t>.</w:t>
      </w:r>
    </w:p>
    <w:p w:rsidR="0044300F" w:rsidRPr="00290C15" w:rsidRDefault="0044300F"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44300F">
        <w:rPr>
          <w:rFonts w:ascii="Times New Roman" w:hAnsi="Times New Roman"/>
          <w:sz w:val="22"/>
          <w:szCs w:val="22"/>
          <w:lang w:val="fr-BE"/>
        </w:rPr>
        <w:t xml:space="preserve">782 dossiers sur la base de </w:t>
      </w:r>
      <w:r w:rsidRPr="00804273">
        <w:rPr>
          <w:rFonts w:ascii="Times New Roman" w:hAnsi="Times New Roman"/>
          <w:sz w:val="22"/>
          <w:szCs w:val="22"/>
          <w:lang w:val="fr-BE"/>
        </w:rPr>
        <w:t>critères « </w:t>
      </w:r>
      <w:r w:rsidRPr="00804273">
        <w:rPr>
          <w:rFonts w:ascii="Times New Roman" w:hAnsi="Times New Roman"/>
          <w:i/>
          <w:sz w:val="22"/>
          <w:szCs w:val="22"/>
          <w:lang w:val="fr-BE"/>
        </w:rPr>
        <w:t>raciaux</w:t>
      </w:r>
      <w:r w:rsidRPr="00804273">
        <w:rPr>
          <w:rFonts w:ascii="Times New Roman" w:hAnsi="Times New Roman"/>
          <w:sz w:val="22"/>
          <w:szCs w:val="22"/>
          <w:lang w:val="fr-BE"/>
        </w:rPr>
        <w:t> »</w:t>
      </w:r>
      <w:r w:rsidRPr="0044300F">
        <w:rPr>
          <w:rFonts w:ascii="Times New Roman" w:hAnsi="Times New Roman"/>
          <w:sz w:val="22"/>
          <w:szCs w:val="22"/>
          <w:lang w:val="fr-BE"/>
        </w:rPr>
        <w:t xml:space="preserve"> et 319, sur la base de </w:t>
      </w:r>
      <w:r w:rsidRPr="00804273">
        <w:rPr>
          <w:rFonts w:ascii="Times New Roman" w:hAnsi="Times New Roman"/>
          <w:sz w:val="22"/>
          <w:szCs w:val="22"/>
          <w:lang w:val="fr-BE"/>
        </w:rPr>
        <w:t>critères de « </w:t>
      </w:r>
      <w:r w:rsidRPr="00804273">
        <w:rPr>
          <w:rFonts w:ascii="Times New Roman" w:hAnsi="Times New Roman"/>
          <w:i/>
          <w:sz w:val="22"/>
          <w:szCs w:val="22"/>
          <w:lang w:val="fr-BE"/>
        </w:rPr>
        <w:t>conviction religieuse ou philosophique</w:t>
      </w:r>
      <w:r w:rsidRPr="00804273">
        <w:rPr>
          <w:rFonts w:ascii="Times New Roman" w:hAnsi="Times New Roman"/>
          <w:sz w:val="22"/>
          <w:szCs w:val="22"/>
          <w:lang w:val="fr-BE"/>
        </w:rPr>
        <w:t xml:space="preserve"> ». </w:t>
      </w:r>
      <w:r w:rsidR="007502FC" w:rsidRPr="0044300F">
        <w:rPr>
          <w:rFonts w:ascii="Times New Roman" w:hAnsi="Times New Roman"/>
          <w:sz w:val="22"/>
          <w:szCs w:val="22"/>
          <w:lang w:val="fr-BE"/>
        </w:rPr>
        <w:t>Le critère « </w:t>
      </w:r>
      <w:r w:rsidR="007502FC" w:rsidRPr="0044300F">
        <w:rPr>
          <w:rFonts w:ascii="Times New Roman" w:hAnsi="Times New Roman"/>
          <w:i/>
          <w:sz w:val="22"/>
          <w:szCs w:val="22"/>
          <w:lang w:val="fr-BE"/>
        </w:rPr>
        <w:t>handicap</w:t>
      </w:r>
      <w:r w:rsidR="007502FC" w:rsidRPr="0044300F">
        <w:rPr>
          <w:rFonts w:ascii="Times New Roman" w:hAnsi="Times New Roman"/>
          <w:sz w:val="22"/>
          <w:szCs w:val="22"/>
          <w:lang w:val="fr-BE"/>
        </w:rPr>
        <w:t> » passe devant avec 516 dossiers (augmentation importante ces dernières années).</w:t>
      </w:r>
      <w:proofErr w:type="spellStart"/>
      <w:r w:rsidRPr="00290C15">
        <w:rPr>
          <w:rFonts w:ascii="Times New Roman" w:hAnsi="Times New Roman"/>
          <w:sz w:val="22"/>
          <w:szCs w:val="22"/>
          <w:lang w:val="fr-BE"/>
        </w:rPr>
        <w:t>Unia</w:t>
      </w:r>
      <w:proofErr w:type="spellEnd"/>
      <w:r w:rsidRPr="00290C15">
        <w:rPr>
          <w:rFonts w:ascii="Times New Roman" w:hAnsi="Times New Roman"/>
          <w:sz w:val="22"/>
          <w:szCs w:val="22"/>
          <w:lang w:val="fr-BE"/>
        </w:rPr>
        <w:t xml:space="preserve"> (2017), </w:t>
      </w:r>
      <w:hyperlink r:id="rId10" w:history="1">
        <w:r w:rsidRPr="00290C15">
          <w:rPr>
            <w:rStyle w:val="Lienhypertexte"/>
            <w:rFonts w:ascii="Times New Roman" w:hAnsi="Times New Roman"/>
            <w:i/>
            <w:sz w:val="22"/>
            <w:szCs w:val="22"/>
            <w:lang w:val="fr-BE"/>
          </w:rPr>
          <w:t>Rapport chiffres 2016</w:t>
        </w:r>
      </w:hyperlink>
      <w:r w:rsidRPr="00290C15">
        <w:rPr>
          <w:rFonts w:ascii="Times New Roman" w:hAnsi="Times New Roman"/>
          <w:i/>
          <w:sz w:val="22"/>
          <w:szCs w:val="22"/>
          <w:lang w:val="fr-BE"/>
        </w:rPr>
        <w:t>.</w:t>
      </w:r>
      <w:r w:rsidRPr="00290C15">
        <w:rPr>
          <w:rFonts w:ascii="Times New Roman" w:hAnsi="Times New Roman"/>
          <w:sz w:val="22"/>
          <w:szCs w:val="22"/>
          <w:lang w:val="fr-BE"/>
        </w:rPr>
        <w:t xml:space="preserv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En annexe des </w:t>
      </w:r>
      <w:r w:rsidRPr="00290C15">
        <w:rPr>
          <w:rFonts w:ascii="Times New Roman" w:hAnsi="Times New Roman"/>
          <w:b/>
          <w:sz w:val="22"/>
          <w:szCs w:val="22"/>
          <w:lang w:val="fr-BE"/>
        </w:rPr>
        <w:t xml:space="preserve">exemples de condamnations </w:t>
      </w:r>
      <w:r w:rsidRPr="00290C15">
        <w:rPr>
          <w:rFonts w:ascii="Times New Roman" w:hAnsi="Times New Roman"/>
          <w:sz w:val="22"/>
          <w:szCs w:val="22"/>
          <w:lang w:val="fr-BE"/>
        </w:rPr>
        <w:t xml:space="preserve">dans les secteurs suivants : refus de location pour origine étrangère (tribunal Anvers, 23 juin 2010 ; tribunal/civil Liège, 6 mai 2014 ; tribunal Anvers, 18 mars 2016) ; refus d’accès à des lieux publics (Cour appel Bruxelles, 2 mai 2012 – discothèque pour motif d’origine étrangère ; Cour appel Gand, 8 octobre 2015 – un salon de glace pour interdiction du port du foulard) ; en matière d’emploi (tribunal du travail Tongres, 2 janvier 2013 – non reconduite d’un contrat pour port du foulard ; Cour du travail Bruxelles, 18 septembre 2014, refus d’emploi pour origine étrangère ; tribunal/civil Bruxelles, 14 octobre 2014 – déclassement pour origine étrangère ; Cour appel Bruxelles, 10 février 2015, discriminations dans des agences d’intérim).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48,8% pour ces derniers ; 24,3% pour les ressortissants UE-27 et 12,4% pour les Belges.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Respectivement de 10,8% pour les hors UE-27, 3,9% pour les ressortissants UE-27 et 0,9% pour les Belges.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Considérés importants par environ 60% des non-Européens, ce qui équivaut à 2 fois plus que pour les Belges.</w:t>
      </w:r>
    </w:p>
    <w:p w:rsidR="007502FC" w:rsidRPr="00290C15" w:rsidRDefault="007502FC" w:rsidP="00946F28">
      <w:pPr>
        <w:pStyle w:val="Paragraphedeliste"/>
        <w:numPr>
          <w:ilvl w:val="0"/>
          <w:numId w:val="1"/>
        </w:numPr>
        <w:tabs>
          <w:tab w:val="left" w:pos="709"/>
        </w:tabs>
        <w:spacing w:after="20"/>
        <w:ind w:left="709" w:hanging="709"/>
        <w:jc w:val="both"/>
        <w:rPr>
          <w:sz w:val="22"/>
          <w:szCs w:val="22"/>
          <w:lang w:val="fr-BE" w:eastAsia="en-US"/>
        </w:rPr>
      </w:pPr>
      <w:r w:rsidRPr="00290C15">
        <w:rPr>
          <w:sz w:val="22"/>
          <w:szCs w:val="22"/>
          <w:lang w:val="fr-BE"/>
        </w:rPr>
        <w:t xml:space="preserve">Le monitoring socio-économique de UNIA (2015 – chiffres provenant du </w:t>
      </w:r>
      <w:proofErr w:type="spellStart"/>
      <w:r w:rsidRPr="00290C15">
        <w:rPr>
          <w:sz w:val="22"/>
          <w:szCs w:val="22"/>
          <w:lang w:val="fr-BE"/>
        </w:rPr>
        <w:t>Datawarehouse</w:t>
      </w:r>
      <w:proofErr w:type="spellEnd"/>
      <w:r w:rsidRPr="00290C15">
        <w:rPr>
          <w:sz w:val="22"/>
          <w:szCs w:val="22"/>
          <w:lang w:val="fr-BE"/>
        </w:rPr>
        <w:t xml:space="preserve"> Marché du travail et protection sociale, BCSS, Calculs et traitement : SPF ETCS).</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 </w:t>
      </w:r>
      <w:r w:rsidRPr="00290C15">
        <w:rPr>
          <w:i/>
          <w:sz w:val="22"/>
          <w:szCs w:val="22"/>
        </w:rPr>
        <w:t xml:space="preserve">Quiconque, dans l'une des circonstances indiquées à l'article 444 du Code pénal, </w:t>
      </w:r>
      <w:r w:rsidRPr="00290C15">
        <w:rPr>
          <w:b/>
          <w:i/>
          <w:sz w:val="22"/>
          <w:szCs w:val="22"/>
        </w:rPr>
        <w:t>incite à la discrimination, à la haine ou à la violence</w:t>
      </w:r>
      <w:r w:rsidRPr="00290C15">
        <w:rPr>
          <w:i/>
          <w:sz w:val="22"/>
          <w:szCs w:val="22"/>
        </w:rPr>
        <w:t xml:space="preserve"> à l'égard d'une personne, d'un groupe, d'une communauté ou de leurs membres en raison de l'un des critères protégés - à savoir, </w:t>
      </w:r>
      <w:r w:rsidRPr="00290C15">
        <w:rPr>
          <w:b/>
          <w:i/>
          <w:sz w:val="22"/>
          <w:szCs w:val="22"/>
        </w:rPr>
        <w:t xml:space="preserve">la nationalité, </w:t>
      </w:r>
      <w:r w:rsidRPr="00290C15">
        <w:rPr>
          <w:b/>
          <w:i/>
          <w:sz w:val="22"/>
          <w:szCs w:val="22"/>
        </w:rPr>
        <w:lastRenderedPageBreak/>
        <w:t>une prétendue race, la couleur de peau, l'ascendance ou l'origine nationale ou ethnique</w:t>
      </w:r>
      <w:r w:rsidRPr="00290C15">
        <w:rPr>
          <w:i/>
          <w:sz w:val="22"/>
          <w:szCs w:val="22"/>
        </w:rPr>
        <w:t>, et ce, même en dehors des domaines visés à l'article 5</w:t>
      </w:r>
      <w:r w:rsidRPr="00290C15">
        <w:rPr>
          <w:sz w:val="22"/>
          <w:szCs w:val="22"/>
        </w:rPr>
        <w:t> ».</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Son article 22 interdit les attitudes d’</w:t>
      </w:r>
      <w:r w:rsidRPr="00290C15">
        <w:rPr>
          <w:b/>
          <w:sz w:val="22"/>
          <w:szCs w:val="22"/>
        </w:rPr>
        <w:t>incitation à la haine, à la violence ou à la discrimination</w:t>
      </w:r>
      <w:r w:rsidRPr="00290C15">
        <w:rPr>
          <w:sz w:val="22"/>
          <w:szCs w:val="22"/>
        </w:rPr>
        <w:t>.</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Loi du 23 mars 1995 tendant à réprimer la négation, la minimisation, la justification ou l'approbation du génocide commis par le régime national-socialiste allemand pendant la seconde guerre mondiale (M.B. 30.03.1995). Ainsi, cette loi vise à lutter contre les manifestations d’encouragement et banalisation de l'antisémitisme, racisme et exclusion, qui représentent une menace pour notre société démocratique.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r w:rsidRPr="00290C15">
        <w:rPr>
          <w:rFonts w:ascii="Times New Roman" w:hAnsi="Times New Roman"/>
          <w:sz w:val="22"/>
          <w:szCs w:val="22"/>
          <w:lang w:val="en-GB"/>
        </w:rPr>
        <w:t xml:space="preserve">A/HRC/32/8/Add.1 </w:t>
      </w:r>
      <w:proofErr w:type="spellStart"/>
      <w:r w:rsidRPr="00290C15">
        <w:rPr>
          <w:rFonts w:ascii="Times New Roman" w:hAnsi="Times New Roman"/>
          <w:i/>
          <w:sz w:val="22"/>
          <w:szCs w:val="22"/>
          <w:lang w:val="en-GB"/>
        </w:rPr>
        <w:t>op.cit</w:t>
      </w:r>
      <w:proofErr w:type="spellEnd"/>
      <w:r w:rsidRPr="00290C15">
        <w:rPr>
          <w:rFonts w:ascii="Times New Roman" w:hAnsi="Times New Roman"/>
          <w:sz w:val="22"/>
          <w:szCs w:val="22"/>
          <w:lang w:val="en-GB"/>
        </w:rPr>
        <w:t>, §20.</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En annexe des </w:t>
      </w:r>
      <w:r w:rsidRPr="00290C15">
        <w:rPr>
          <w:rFonts w:ascii="Times New Roman" w:hAnsi="Times New Roman"/>
          <w:b/>
          <w:sz w:val="22"/>
          <w:szCs w:val="22"/>
          <w:lang w:val="fr-BE"/>
        </w:rPr>
        <w:t xml:space="preserve">exemples de condamnations </w:t>
      </w:r>
      <w:r w:rsidRPr="00290C15">
        <w:rPr>
          <w:rFonts w:ascii="Times New Roman" w:hAnsi="Times New Roman"/>
          <w:sz w:val="22"/>
          <w:szCs w:val="22"/>
          <w:lang w:val="fr-BE"/>
        </w:rPr>
        <w:t>(article 20 de la loi antiracisme), dont notamment : tribunal Anvers, 30 mars 2012 (incitation à la haine, violence envers des non-Musulmans – </w:t>
      </w:r>
      <w:r w:rsidRPr="00290C15">
        <w:rPr>
          <w:rFonts w:ascii="Times New Roman" w:hAnsi="Times New Roman"/>
          <w:i/>
          <w:sz w:val="22"/>
          <w:szCs w:val="22"/>
          <w:lang w:val="fr-BE"/>
        </w:rPr>
        <w:t>Sharia4Belgium</w:t>
      </w:r>
      <w:r w:rsidRPr="00290C15">
        <w:rPr>
          <w:rFonts w:ascii="Times New Roman" w:hAnsi="Times New Roman"/>
          <w:sz w:val="22"/>
          <w:szCs w:val="22"/>
          <w:lang w:val="fr-BE"/>
        </w:rPr>
        <w:t>) ; tribunal Anvers, 26 avril 2013 (idem – </w:t>
      </w:r>
      <w:r w:rsidRPr="00290C15">
        <w:rPr>
          <w:rFonts w:ascii="Times New Roman" w:hAnsi="Times New Roman"/>
          <w:i/>
          <w:sz w:val="22"/>
          <w:szCs w:val="22"/>
          <w:lang w:val="fr-BE"/>
        </w:rPr>
        <w:t>Sharia4Belgium</w:t>
      </w:r>
      <w:r w:rsidRPr="00290C15">
        <w:rPr>
          <w:rFonts w:ascii="Times New Roman" w:hAnsi="Times New Roman"/>
          <w:sz w:val="22"/>
          <w:szCs w:val="22"/>
          <w:lang w:val="fr-BE"/>
        </w:rPr>
        <w:t xml:space="preserve">) ; tribunal Louvain, 23 juin 2015 (menaces et incitation à la haine envers le peuple belge) ; Conseil supérieur de l’Audiovisuel, 4 mai 2017 (diffusion par une chaîne de télévision de propos incitant à la discrimination surtout envers les Gens du Voyage). En outre, dans sa décision d’irrecevabilité du 20 juillet 2017 </w:t>
      </w:r>
      <w:proofErr w:type="spellStart"/>
      <w:r w:rsidRPr="00290C15">
        <w:rPr>
          <w:rFonts w:ascii="Times New Roman" w:hAnsi="Times New Roman"/>
          <w:i/>
          <w:sz w:val="22"/>
          <w:szCs w:val="22"/>
          <w:lang w:val="fr-BE"/>
        </w:rPr>
        <w:t>Belkacem</w:t>
      </w:r>
      <w:proofErr w:type="spellEnd"/>
      <w:r w:rsidRPr="00290C15">
        <w:rPr>
          <w:rFonts w:ascii="Times New Roman" w:hAnsi="Times New Roman"/>
          <w:i/>
          <w:sz w:val="22"/>
          <w:szCs w:val="22"/>
          <w:lang w:val="fr-BE"/>
        </w:rPr>
        <w:t xml:space="preserve"> c. Belgique</w:t>
      </w:r>
      <w:r w:rsidRPr="00290C15">
        <w:rPr>
          <w:rFonts w:ascii="Times New Roman" w:hAnsi="Times New Roman"/>
          <w:sz w:val="22"/>
          <w:szCs w:val="22"/>
          <w:lang w:val="fr-BE"/>
        </w:rPr>
        <w:t xml:space="preserve">, la CEDH juge que la condamnation du requérant – dirigeant et porte-parole de </w:t>
      </w:r>
      <w:r w:rsidRPr="00290C15">
        <w:rPr>
          <w:rFonts w:ascii="Times New Roman" w:hAnsi="Times New Roman"/>
          <w:i/>
          <w:sz w:val="22"/>
          <w:szCs w:val="22"/>
          <w:lang w:val="fr-BE"/>
        </w:rPr>
        <w:t>Sharia4Belgium</w:t>
      </w:r>
      <w:r w:rsidRPr="00290C15">
        <w:rPr>
          <w:rFonts w:ascii="Times New Roman" w:hAnsi="Times New Roman"/>
          <w:sz w:val="22"/>
          <w:szCs w:val="22"/>
          <w:lang w:val="fr-BE"/>
        </w:rPr>
        <w:t xml:space="preserve"> n’a pas violé sa liberté d’expression, ses propos étant contraires aux valeurs de la CEDH. </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Art. 21 : diffuser des idées fondées sur la supériorité ou haine raciale ; Art. 22 : faire partie d’un groupement/association prônant de manière manifeste/répétée la discrimination ou ségrégation, ou lui prêtant son concours.</w:t>
      </w:r>
    </w:p>
    <w:p w:rsidR="00DA6DF9" w:rsidRPr="00290C15" w:rsidRDefault="00DA6DF9"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FR"/>
        </w:rPr>
        <w:t>60</w:t>
      </w:r>
      <w:r>
        <w:rPr>
          <w:rFonts w:ascii="Times New Roman" w:hAnsi="Times New Roman"/>
          <w:i/>
          <w:sz w:val="22"/>
          <w:szCs w:val="22"/>
          <w:lang w:val="fr-FR"/>
        </w:rPr>
        <w:t>bis.</w:t>
      </w:r>
      <w:r w:rsidR="00946F28">
        <w:rPr>
          <w:rFonts w:ascii="Times New Roman" w:hAnsi="Times New Roman"/>
          <w:i/>
          <w:sz w:val="22"/>
          <w:szCs w:val="22"/>
          <w:lang w:val="fr-FR"/>
        </w:rPr>
        <w:tab/>
      </w:r>
      <w:r>
        <w:rPr>
          <w:rFonts w:ascii="Times New Roman" w:hAnsi="Times New Roman"/>
          <w:b/>
          <w:sz w:val="22"/>
          <w:szCs w:val="22"/>
          <w:lang w:val="fr-FR"/>
        </w:rPr>
        <w:t>E</w:t>
      </w:r>
      <w:r w:rsidRPr="00DA6DF9">
        <w:rPr>
          <w:rFonts w:ascii="Times New Roman" w:hAnsi="Times New Roman"/>
          <w:b/>
          <w:sz w:val="22"/>
          <w:szCs w:val="22"/>
          <w:lang w:val="fr-FR"/>
        </w:rPr>
        <w:t>xpressions de haine</w:t>
      </w:r>
      <w:r w:rsidRPr="00DA6DF9">
        <w:rPr>
          <w:rFonts w:ascii="Times New Roman" w:hAnsi="Times New Roman"/>
          <w:sz w:val="22"/>
          <w:szCs w:val="22"/>
          <w:lang w:val="fr-FR"/>
        </w:rPr>
        <w:t xml:space="preserve"> dir</w:t>
      </w:r>
      <w:r>
        <w:rPr>
          <w:rFonts w:ascii="Times New Roman" w:hAnsi="Times New Roman"/>
          <w:sz w:val="22"/>
          <w:szCs w:val="22"/>
          <w:lang w:val="fr-FR"/>
        </w:rPr>
        <w:t xml:space="preserve">igées contre certains individus ou </w:t>
      </w:r>
      <w:r w:rsidRPr="00DA6DF9">
        <w:rPr>
          <w:rFonts w:ascii="Times New Roman" w:hAnsi="Times New Roman"/>
          <w:sz w:val="22"/>
          <w:szCs w:val="22"/>
          <w:lang w:val="fr-FR"/>
        </w:rPr>
        <w:t>groupes sur internet (sites, forums de discussion et réseaux sociaux</w:t>
      </w:r>
      <w:r>
        <w:rPr>
          <w:rFonts w:ascii="Times New Roman" w:hAnsi="Times New Roman"/>
          <w:sz w:val="22"/>
          <w:szCs w:val="22"/>
          <w:lang w:val="fr-FR"/>
        </w:rPr>
        <w:t>).</w:t>
      </w:r>
    </w:p>
    <w:p w:rsidR="007502FC" w:rsidRDefault="00A8568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804273">
        <w:rPr>
          <w:rFonts w:ascii="Times New Roman" w:hAnsi="Times New Roman"/>
          <w:sz w:val="22"/>
          <w:szCs w:val="22"/>
          <w:lang w:val="fr-FR"/>
        </w:rPr>
        <w:t>Q</w:t>
      </w:r>
      <w:r w:rsidR="007502FC" w:rsidRPr="00804273">
        <w:rPr>
          <w:rFonts w:ascii="Times New Roman" w:hAnsi="Times New Roman"/>
          <w:sz w:val="22"/>
          <w:szCs w:val="22"/>
          <w:lang w:val="fr-FR"/>
        </w:rPr>
        <w:t>uestion 4.</w:t>
      </w:r>
    </w:p>
    <w:p w:rsidR="00804273" w:rsidRPr="00290C15" w:rsidRDefault="00804273" w:rsidP="00804273">
      <w:pPr>
        <w:pStyle w:val="Notedebasdepage"/>
        <w:numPr>
          <w:ilvl w:val="0"/>
          <w:numId w:val="1"/>
        </w:numPr>
        <w:spacing w:after="20" w:line="240" w:lineRule="auto"/>
        <w:ind w:left="709" w:hanging="709"/>
        <w:jc w:val="both"/>
        <w:rPr>
          <w:rFonts w:ascii="Times New Roman" w:hAnsi="Times New Roman"/>
          <w:sz w:val="22"/>
          <w:szCs w:val="22"/>
          <w:lang w:val="en-GB"/>
        </w:rPr>
      </w:pPr>
      <w:hyperlink r:id="rId11" w:history="1">
        <w:r w:rsidRPr="00290C15">
          <w:rPr>
            <w:rStyle w:val="Lienhypertexte"/>
            <w:rFonts w:ascii="Times New Roman" w:hAnsi="Times New Roman"/>
            <w:sz w:val="22"/>
            <w:szCs w:val="22"/>
            <w:lang w:val="en-GB"/>
          </w:rPr>
          <w:t>www.nohate.be</w:t>
        </w:r>
      </w:hyperlink>
      <w:r w:rsidRPr="00290C15">
        <w:rPr>
          <w:rFonts w:ascii="Times New Roman" w:hAnsi="Times New Roman"/>
          <w:sz w:val="22"/>
          <w:szCs w:val="22"/>
          <w:lang w:val="en-GB"/>
        </w:rPr>
        <w:t xml:space="preserve">. </w:t>
      </w:r>
    </w:p>
    <w:p w:rsidR="00804273" w:rsidRPr="00290C15" w:rsidRDefault="00804273" w:rsidP="00804273">
      <w:pPr>
        <w:pStyle w:val="Paragraphedeliste"/>
        <w:numPr>
          <w:ilvl w:val="0"/>
          <w:numId w:val="1"/>
        </w:numPr>
        <w:spacing w:after="20"/>
        <w:ind w:left="709" w:hanging="709"/>
        <w:jc w:val="both"/>
        <w:rPr>
          <w:color w:val="000000"/>
          <w:sz w:val="22"/>
          <w:szCs w:val="22"/>
          <w:lang w:val="en-GB"/>
        </w:rPr>
      </w:pPr>
      <w:r w:rsidRPr="00290C15">
        <w:rPr>
          <w:sz w:val="22"/>
          <w:szCs w:val="22"/>
          <w:lang w:val="en-GB"/>
        </w:rPr>
        <w:t xml:space="preserve">FGTB-ABVV, </w:t>
      </w:r>
      <w:hyperlink r:id="rId12" w:history="1">
        <w:proofErr w:type="spellStart"/>
        <w:r w:rsidRPr="00290C15">
          <w:rPr>
            <w:rStyle w:val="Lienhypertexte"/>
            <w:sz w:val="22"/>
            <w:szCs w:val="22"/>
            <w:lang w:val="en-GB"/>
          </w:rPr>
          <w:t>Campagne</w:t>
        </w:r>
        <w:proofErr w:type="spellEnd"/>
        <w:r w:rsidRPr="00290C15">
          <w:rPr>
            <w:rStyle w:val="Lienhypertexte"/>
            <w:sz w:val="22"/>
            <w:szCs w:val="22"/>
            <w:lang w:val="en-GB"/>
          </w:rPr>
          <w:t xml:space="preserve"> « Racism, Game Over »</w:t>
        </w:r>
      </w:hyperlink>
      <w:r w:rsidRPr="00290C15">
        <w:rPr>
          <w:sz w:val="22"/>
          <w:szCs w:val="22"/>
          <w:lang w:val="en-GB"/>
        </w:rPr>
        <w:t xml:space="preserve"> ; ACLVB, </w:t>
      </w:r>
      <w:hyperlink r:id="rId13" w:history="1">
        <w:r w:rsidRPr="00290C15">
          <w:rPr>
            <w:rStyle w:val="Lienhypertexte"/>
            <w:sz w:val="22"/>
            <w:szCs w:val="22"/>
            <w:lang w:val="en-GB"/>
          </w:rPr>
          <w:t>“Racism, Game Over”!</w:t>
        </w:r>
      </w:hyperlink>
      <w:r w:rsidRPr="00290C15">
        <w:rPr>
          <w:sz w:val="22"/>
          <w:szCs w:val="22"/>
          <w:lang w:val="en-GB"/>
        </w:rPr>
        <w:t>.</w:t>
      </w:r>
      <w:r w:rsidRPr="00290C15">
        <w:rPr>
          <w:color w:val="000000"/>
          <w:sz w:val="22"/>
          <w:szCs w:val="22"/>
          <w:lang w:val="en-GB"/>
        </w:rPr>
        <w:t xml:space="preserv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Loi du 1 juin 2011 visant à interdire le port de tout vêtement cachant totalement ou de manière principale le visage (M.B. 13.07.2011).</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Arrêt du 6 décembre 2012.</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 noter les arrêts de la CEDH du 11 juillet 2017 (concluant également à une non-violation) : </w:t>
      </w:r>
      <w:proofErr w:type="spellStart"/>
      <w:r w:rsidRPr="00290C15">
        <w:rPr>
          <w:rFonts w:ascii="Times New Roman" w:hAnsi="Times New Roman"/>
          <w:i/>
          <w:sz w:val="22"/>
          <w:szCs w:val="22"/>
          <w:lang w:val="fr-BE"/>
        </w:rPr>
        <w:t>Dakir</w:t>
      </w:r>
      <w:proofErr w:type="spellEnd"/>
      <w:r w:rsidRPr="00290C15">
        <w:rPr>
          <w:rFonts w:ascii="Times New Roman" w:hAnsi="Times New Roman"/>
          <w:i/>
          <w:sz w:val="22"/>
          <w:szCs w:val="22"/>
          <w:lang w:val="fr-BE"/>
        </w:rPr>
        <w:t xml:space="preserve"> c. Belgique</w:t>
      </w:r>
      <w:r w:rsidRPr="00290C15">
        <w:rPr>
          <w:rFonts w:ascii="Times New Roman" w:hAnsi="Times New Roman"/>
          <w:sz w:val="22"/>
          <w:szCs w:val="22"/>
          <w:lang w:val="fr-BE"/>
        </w:rPr>
        <w:t xml:space="preserve"> et </w:t>
      </w:r>
      <w:proofErr w:type="spellStart"/>
      <w:r w:rsidRPr="00290C15">
        <w:rPr>
          <w:rFonts w:ascii="Times New Roman" w:hAnsi="Times New Roman"/>
          <w:i/>
          <w:sz w:val="22"/>
          <w:szCs w:val="22"/>
          <w:lang w:val="fr-BE"/>
        </w:rPr>
        <w:t>Belkacemi</w:t>
      </w:r>
      <w:proofErr w:type="spellEnd"/>
      <w:r w:rsidRPr="00290C15">
        <w:rPr>
          <w:rFonts w:ascii="Times New Roman" w:hAnsi="Times New Roman"/>
          <w:i/>
          <w:sz w:val="22"/>
          <w:szCs w:val="22"/>
          <w:lang w:val="fr-BE"/>
        </w:rPr>
        <w:t xml:space="preserve"> et </w:t>
      </w:r>
      <w:proofErr w:type="spellStart"/>
      <w:r w:rsidRPr="00290C15">
        <w:rPr>
          <w:rFonts w:ascii="Times New Roman" w:hAnsi="Times New Roman"/>
          <w:i/>
          <w:sz w:val="22"/>
          <w:szCs w:val="22"/>
          <w:lang w:val="fr-BE"/>
        </w:rPr>
        <w:t>Oussar</w:t>
      </w:r>
      <w:proofErr w:type="spellEnd"/>
      <w:r w:rsidRPr="00290C15">
        <w:rPr>
          <w:rFonts w:ascii="Times New Roman" w:hAnsi="Times New Roman"/>
          <w:i/>
          <w:sz w:val="22"/>
          <w:szCs w:val="22"/>
          <w:lang w:val="fr-BE"/>
        </w:rPr>
        <w:t xml:space="preserve"> c. Belgique.</w:t>
      </w:r>
      <w:r w:rsidRPr="00290C15">
        <w:rPr>
          <w:rFonts w:ascii="Times New Roman" w:hAnsi="Times New Roman"/>
          <w:sz w:val="22"/>
          <w:szCs w:val="22"/>
          <w:lang w:val="fr-BE"/>
        </w:rPr>
        <w:t xml:space="preserv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10 et 11 de la Constitution.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19 et 20 de la Constitution. </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 xml:space="preserve">Art. 21, al. 1 de la Constitution : « </w:t>
      </w:r>
      <w:r w:rsidRPr="00290C15">
        <w:rPr>
          <w:i/>
          <w:sz w:val="22"/>
          <w:szCs w:val="22"/>
        </w:rPr>
        <w:t>L'Etat n'a le droit d'intervenir ni dans la nomination ni dans l'installation des ministres d'un culte quelconque, ni de défendre à ceux-ci de correspondre avec leurs supérieurs, et de publier leurs actes sauf, en ce dernier cas, la responsabilité ordinaire en matière de presse et de publication</w:t>
      </w:r>
      <w:r w:rsidRPr="00290C15">
        <w:rPr>
          <w:sz w:val="22"/>
          <w:szCs w:val="22"/>
        </w:rPr>
        <w:t>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Le culte doit : regrouper un grand nombre de fidèles (plusieurs dizaines de milliers) ; être structuré pour avoir un organe représentatif dans ses rapports avec l’autorité civile ; être établi depuis une période importante dans le pays (plusieurs décennies) ; et avoir une utilité sociale et ne développer aucune activité contre l’ordre social.</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181 de la Constitution.</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lang w:val="fr-BE"/>
        </w:rPr>
        <w:t>L</w:t>
      </w:r>
      <w:r w:rsidRPr="00290C15">
        <w:rPr>
          <w:sz w:val="22"/>
          <w:szCs w:val="22"/>
        </w:rPr>
        <w:t>a reconnaissance du culte entraîne pour l’</w:t>
      </w:r>
      <w:r w:rsidRPr="00290C15">
        <w:rPr>
          <w:b/>
          <w:sz w:val="22"/>
          <w:szCs w:val="22"/>
        </w:rPr>
        <w:t>autorité régionale</w:t>
      </w:r>
      <w:r w:rsidRPr="00290C15">
        <w:rPr>
          <w:sz w:val="22"/>
          <w:szCs w:val="22"/>
        </w:rPr>
        <w:t> : la tutelle sur les fabriques d'église, l’autorisation et le contrôle des travaux/opérations immobilières, le contrôle des budgets et comptes ; l'autorisation de dons et legs si le montant légal de dispense est dépassé ; la reconnaissance des communautés paroissiales et la législation y correspondante. Enfin, la reconnaissance d’un culte entraîne pour les</w:t>
      </w:r>
      <w:r w:rsidRPr="00290C15">
        <w:rPr>
          <w:b/>
          <w:sz w:val="22"/>
          <w:szCs w:val="22"/>
        </w:rPr>
        <w:t xml:space="preserve"> provinces ou les communes</w:t>
      </w:r>
      <w:r w:rsidRPr="00290C15">
        <w:rPr>
          <w:sz w:val="22"/>
          <w:szCs w:val="22"/>
        </w:rPr>
        <w:t xml:space="preserve"> (selon la base territoriale d’organisation du culte déterminée par la Région) : si insuffisance constatée de leurs revenus, porter au budget annuel des dépenses les secours aux établissements publics cultuels (dépenses ordinaires obligatoires et réparations importantes aux édifices) et mettre à la disposition du ministre du culte un presbytère, un logement ou une indemnité de logement et même si l’établissement public cultuel a les moyens financiers à cet effet.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Art. 181§2 de la Constitution.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13 personnes en 2017.</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FR"/>
        </w:rPr>
        <w:t xml:space="preserve">Cette commission administrative prépare et suit la politique horizontale et inclusive menée dans </w:t>
      </w:r>
      <w:r w:rsidRPr="00290C15">
        <w:rPr>
          <w:rFonts w:ascii="Times New Roman" w:hAnsi="Times New Roman"/>
          <w:sz w:val="22"/>
          <w:szCs w:val="22"/>
          <w:lang w:val="fr-FR"/>
        </w:rPr>
        <w:lastRenderedPageBreak/>
        <w:t xml:space="preserve">les différents domaines politiques. Elle </w:t>
      </w:r>
      <w:r w:rsidRPr="00290C15">
        <w:rPr>
          <w:rFonts w:ascii="Times New Roman" w:hAnsi="Times New Roman"/>
          <w:sz w:val="22"/>
          <w:szCs w:val="22"/>
          <w:lang w:val="fr-BE"/>
        </w:rPr>
        <w:t>a préparé le Plan d’action intégré politique d’intégration 2012-2015, le Plan d’action horizontale sur l’intégration 2016-2019, le Plan d’action 2012 migrants des Pays d’Europe centrale et de l’Est (</w:t>
      </w:r>
      <w:proofErr w:type="spellStart"/>
      <w:r w:rsidRPr="00290C15">
        <w:rPr>
          <w:rFonts w:ascii="Times New Roman" w:hAnsi="Times New Roman"/>
          <w:sz w:val="22"/>
          <w:szCs w:val="22"/>
          <w:lang w:val="fr-BE"/>
        </w:rPr>
        <w:t>Roms</w:t>
      </w:r>
      <w:proofErr w:type="spellEnd"/>
      <w:r w:rsidRPr="00290C15">
        <w:rPr>
          <w:rFonts w:ascii="Times New Roman" w:hAnsi="Times New Roman"/>
          <w:sz w:val="22"/>
          <w:szCs w:val="22"/>
          <w:lang w:val="fr-BE"/>
        </w:rPr>
        <w:t>) et le Plan stratégique 2012-2015 sur les gens du voyage.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BE"/>
        </w:rPr>
        <w:t>Critères protégés : sexe, prétendue race ou origine ethnique, religion/convictions, handicap, âge, orientation sexuelle.</w:t>
      </w:r>
    </w:p>
    <w:p w:rsidR="007502FC" w:rsidRPr="00804273" w:rsidRDefault="00804273" w:rsidP="00804273">
      <w:pPr>
        <w:pStyle w:val="Notedebasdepage"/>
        <w:numPr>
          <w:ilvl w:val="0"/>
          <w:numId w:val="1"/>
        </w:numPr>
        <w:spacing w:after="20" w:line="240" w:lineRule="auto"/>
        <w:ind w:left="709" w:hanging="709"/>
        <w:jc w:val="both"/>
        <w:rPr>
          <w:rFonts w:ascii="Times New Roman" w:hAnsi="Times New Roman"/>
          <w:sz w:val="22"/>
          <w:szCs w:val="22"/>
          <w:lang w:val="fr-BE"/>
        </w:rPr>
      </w:pPr>
      <w:hyperlink r:id="rId14" w:history="1">
        <w:r w:rsidRPr="00290C15">
          <w:rPr>
            <w:rStyle w:val="Lienhypertexte"/>
            <w:rFonts w:ascii="Times New Roman" w:hAnsi="Times New Roman"/>
            <w:sz w:val="22"/>
            <w:szCs w:val="22"/>
            <w:lang w:val="fr-BE"/>
          </w:rPr>
          <w:t>https://reagis-au-racisme.brussels/</w:t>
        </w:r>
      </w:hyperlink>
      <w:r w:rsidR="007502FC" w:rsidRPr="00804273">
        <w:rPr>
          <w:rFonts w:ascii="Times New Roman" w:hAnsi="Times New Roman"/>
          <w:sz w:val="22"/>
          <w:szCs w:val="22"/>
          <w:lang w:val="fr-BE"/>
        </w:rPr>
        <w:t xml:space="preserve">. </w:t>
      </w:r>
    </w:p>
    <w:p w:rsidR="007502FC" w:rsidRPr="00290C15" w:rsidRDefault="00804273" w:rsidP="00946F28">
      <w:pPr>
        <w:pStyle w:val="Paragraphedeliste"/>
        <w:numPr>
          <w:ilvl w:val="0"/>
          <w:numId w:val="1"/>
        </w:numPr>
        <w:tabs>
          <w:tab w:val="left" w:pos="709"/>
        </w:tabs>
        <w:spacing w:after="20"/>
        <w:ind w:left="709" w:hanging="709"/>
        <w:jc w:val="both"/>
        <w:rPr>
          <w:sz w:val="22"/>
          <w:szCs w:val="22"/>
        </w:rPr>
      </w:pPr>
      <w:hyperlink r:id="rId15" w:history="1">
        <w:r w:rsidR="007502FC" w:rsidRPr="00290C15">
          <w:rPr>
            <w:rStyle w:val="Lienhypertexte"/>
            <w:sz w:val="22"/>
            <w:szCs w:val="22"/>
          </w:rPr>
          <w:t>http://glimp.brussels/</w:t>
        </w:r>
      </w:hyperlink>
      <w:r w:rsidR="007502FC" w:rsidRPr="00290C15">
        <w:rPr>
          <w:sz w:val="22"/>
          <w:szCs w:val="22"/>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La possibilité d’introduire un recours de suspension et/ou d’annulation est suffisamment connue en Flandre et est clairement mentionnée dans la décision prise par le Gouvernement flamand lorsqu’elle est communiquée au plaignant. Cette possibilité est assez régulièrement utilisée par les citoyens. De plus amples informations – comment introduire une plainte auprès du Gouvernement flamand, comment se déroule la procédure, etc. – sont expliquées sur le site du Gouvernement flamand.</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proofErr w:type="spellStart"/>
      <w:r w:rsidRPr="00290C15">
        <w:rPr>
          <w:rFonts w:ascii="Times New Roman" w:hAnsi="Times New Roman"/>
          <w:sz w:val="22"/>
          <w:szCs w:val="22"/>
          <w:lang w:val="fr-FR"/>
        </w:rPr>
        <w:t>Cconst</w:t>
      </w:r>
      <w:proofErr w:type="spellEnd"/>
      <w:r w:rsidRPr="00290C15">
        <w:rPr>
          <w:rFonts w:ascii="Times New Roman" w:hAnsi="Times New Roman"/>
          <w:sz w:val="22"/>
          <w:szCs w:val="22"/>
          <w:lang w:val="fr-FR"/>
        </w:rPr>
        <w:t xml:space="preserve"> 10 juillet 2008, n° 101/2008 et </w:t>
      </w:r>
      <w:proofErr w:type="spellStart"/>
      <w:r w:rsidRPr="00290C15">
        <w:rPr>
          <w:rFonts w:ascii="Times New Roman" w:hAnsi="Times New Roman"/>
          <w:sz w:val="22"/>
          <w:szCs w:val="22"/>
          <w:lang w:val="fr-FR"/>
        </w:rPr>
        <w:t>Cconst</w:t>
      </w:r>
      <w:proofErr w:type="spellEnd"/>
      <w:r w:rsidRPr="00290C15">
        <w:rPr>
          <w:rFonts w:ascii="Times New Roman" w:hAnsi="Times New Roman"/>
          <w:sz w:val="22"/>
          <w:szCs w:val="22"/>
          <w:lang w:val="fr-FR"/>
        </w:rPr>
        <w:t xml:space="preserve"> 5 mars 2015, n° 24/2015.</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 xml:space="preserve">Décret du 10 mars 2017 modifiant les articles 92, 93, 95, 98 et 102bis du décret du 15 juillet 1997 contenant le code flamande du Logement (M.B. 11.04.2017). L’arrêté-cadre sur le Logement social a été adapté aux modifications décrétales par l’Arrêté du 7 juillet 2017 du Gouvernement flamand modifiant diverses dispositions de l'arrêté du Gouvernement flamand du 12 octobre 2007 réglementant le régime de location sociale et portant exécution du titre VII du Code flamand du Logement (M.B. 17.08.2017).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Nouvel article 98§3, 2° du Code du flamand logement, applicable dès le 1/11/2017.</w:t>
      </w:r>
    </w:p>
    <w:p w:rsidR="007502FC" w:rsidRPr="00290C15" w:rsidRDefault="007502FC" w:rsidP="00946F28">
      <w:pPr>
        <w:pStyle w:val="Paragraphedeliste"/>
        <w:numPr>
          <w:ilvl w:val="0"/>
          <w:numId w:val="1"/>
        </w:numPr>
        <w:tabs>
          <w:tab w:val="left" w:pos="709"/>
        </w:tabs>
        <w:spacing w:after="20"/>
        <w:ind w:left="709" w:hanging="709"/>
        <w:jc w:val="both"/>
        <w:rPr>
          <w:sz w:val="22"/>
          <w:szCs w:val="22"/>
          <w:lang w:val="fr-BE"/>
        </w:rPr>
      </w:pPr>
      <w:r w:rsidRPr="00290C15">
        <w:rPr>
          <w:sz w:val="22"/>
          <w:szCs w:val="22"/>
          <w:lang w:val="fr-BE"/>
        </w:rPr>
        <w:t xml:space="preserve">Les lois coordonnées du 18 juillet 1966 sur l’emploi des langues en matière administrative s’appliquent à toute la Belgique régissant notamment celui-ci par les services publics. La « règle de principe » est que dans une région à langue unique, celle-ci est la langue de l’administration. Néanmoins, des dérogations existent permettant d'utiliser une langue nationale autre que celle de la région, notamment dans certaines communes dites "à facilités" et pour les rapports avec des particuliers d’autres régions linguistiques. L’emploi d'autres langues que celles de la région peut aussi être admis de façon ponctuelle dans d’autres situations, notamment en vue de donner un certain temps à un nouvel habitant pour s’adapter. Qu’il soit recouru de manière temporaire et limitée à des moyens – comme le parcours d’intégration civique et l’intégration – ne viole donc pas la loi précitée. Le Gouvernement flamand soutient donc les initiatives des communes élaborant, avec la Maison du néerlandais, des plans de politique linguistique pour améliorer la communication orale/écrite avec les nouveaux habitants de la Région maîtrisant insuffisamment le néerlandais. Si l’octroi de service(s) est impossible en néerlandais, une « langue de contact » peut être utilisée dans des cas déterminés – notamment pour un premier contact ; une aide urgente ; une demande d’information pour des leçons de néerlandais ; ou une aide à des demandeurs de protection internationale. Il peut aussi être recouru à la « langue de contact » si les conditions cumulatives de la Commission permanente de contrôle linguistique s’appliquent pour l’octroi de divers services, notamment pour informer des groupes-cibles de l’existence de l’octroi de services bien déterminés. </w:t>
      </w:r>
    </w:p>
    <w:p w:rsidR="007502FC" w:rsidRPr="00290C15" w:rsidRDefault="007502FC" w:rsidP="00946F28">
      <w:pPr>
        <w:pStyle w:val="Paragraphedeliste"/>
        <w:numPr>
          <w:ilvl w:val="0"/>
          <w:numId w:val="1"/>
        </w:numPr>
        <w:tabs>
          <w:tab w:val="left" w:pos="709"/>
        </w:tabs>
        <w:spacing w:after="20"/>
        <w:ind w:left="709" w:hanging="709"/>
        <w:jc w:val="both"/>
        <w:rPr>
          <w:rFonts w:eastAsia="Calibri"/>
          <w:sz w:val="22"/>
          <w:szCs w:val="22"/>
          <w:lang w:val="fr-BE"/>
        </w:rPr>
      </w:pPr>
      <w:r w:rsidRPr="00290C15">
        <w:rPr>
          <w:sz w:val="22"/>
          <w:szCs w:val="22"/>
          <w:lang w:val="fr-BE"/>
        </w:rPr>
        <w:t xml:space="preserve">Il importe de rappeler que cette loi étant fédérale, elle ne s’applique qu’aux </w:t>
      </w:r>
      <w:r w:rsidRPr="00290C15">
        <w:rPr>
          <w:rFonts w:eastAsia="Calibri"/>
          <w:sz w:val="22"/>
          <w:szCs w:val="22"/>
          <w:lang w:val="fr-BE"/>
        </w:rPr>
        <w:t xml:space="preserve">matières fédérales. Néanmoins, les </w:t>
      </w:r>
      <w:r w:rsidRPr="00290C15">
        <w:rPr>
          <w:rFonts w:eastAsia="Calibri"/>
          <w:b/>
          <w:sz w:val="22"/>
          <w:szCs w:val="22"/>
          <w:lang w:val="fr-BE"/>
        </w:rPr>
        <w:t>Communautés</w:t>
      </w:r>
      <w:r w:rsidRPr="00290C15">
        <w:rPr>
          <w:rFonts w:eastAsia="Calibri"/>
          <w:sz w:val="22"/>
          <w:szCs w:val="22"/>
          <w:lang w:val="fr-BE"/>
        </w:rPr>
        <w:t xml:space="preserve"> et </w:t>
      </w:r>
      <w:r w:rsidRPr="00290C15">
        <w:rPr>
          <w:rFonts w:eastAsia="Calibri"/>
          <w:b/>
          <w:sz w:val="22"/>
          <w:szCs w:val="22"/>
          <w:lang w:val="fr-BE"/>
        </w:rPr>
        <w:t>Régions</w:t>
      </w:r>
      <w:r w:rsidRPr="00290C15">
        <w:rPr>
          <w:rFonts w:eastAsia="Calibri"/>
          <w:sz w:val="22"/>
          <w:szCs w:val="22"/>
          <w:lang w:val="fr-BE"/>
        </w:rPr>
        <w:t xml:space="preserve"> ont pris des </w:t>
      </w:r>
      <w:r w:rsidRPr="00290C15">
        <w:rPr>
          <w:rFonts w:eastAsia="Calibri"/>
          <w:b/>
          <w:sz w:val="22"/>
          <w:szCs w:val="22"/>
          <w:lang w:val="fr-BE"/>
        </w:rPr>
        <w:t>initiatives législatives similaires</w:t>
      </w:r>
      <w:r w:rsidRPr="00290C15">
        <w:rPr>
          <w:rFonts w:eastAsia="Calibri"/>
          <w:sz w:val="22"/>
          <w:szCs w:val="22"/>
          <w:lang w:val="fr-BE"/>
        </w:rPr>
        <w:t xml:space="preserve"> pour interdire les discriminations dans les matières de leurs compétences (ex. : éducation, logement, services culturels) avec un volet civil et pénal et les mêmes motifs de discrimination que ceux prohibés au niveau fédéral. </w:t>
      </w:r>
    </w:p>
    <w:p w:rsidR="007502FC" w:rsidRPr="00290C15" w:rsidRDefault="002D70CF"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Pr>
          <w:rFonts w:ascii="Times New Roman" w:hAnsi="Times New Roman"/>
          <w:sz w:val="22"/>
          <w:szCs w:val="22"/>
          <w:lang w:val="fr-BE"/>
        </w:rPr>
        <w:t xml:space="preserve">Les domaines sont les suivants : </w:t>
      </w:r>
      <w:r w:rsidRPr="002D70CF">
        <w:rPr>
          <w:rFonts w:ascii="Times New Roman" w:hAnsi="Times New Roman"/>
          <w:sz w:val="22"/>
          <w:szCs w:val="22"/>
          <w:lang w:val="fr-FR"/>
        </w:rPr>
        <w:t>l’accès aux biens et services, le logement, l’</w:t>
      </w:r>
      <w:proofErr w:type="spellStart"/>
      <w:r w:rsidRPr="002D70CF">
        <w:rPr>
          <w:rFonts w:ascii="Times New Roman" w:hAnsi="Times New Roman"/>
          <w:sz w:val="22"/>
          <w:szCs w:val="22"/>
          <w:lang w:val="fr-FR"/>
        </w:rPr>
        <w:t>horeca</w:t>
      </w:r>
      <w:proofErr w:type="spellEnd"/>
      <w:r w:rsidRPr="002D70CF">
        <w:rPr>
          <w:rFonts w:ascii="Times New Roman" w:hAnsi="Times New Roman"/>
          <w:sz w:val="22"/>
          <w:szCs w:val="22"/>
          <w:lang w:val="fr-FR"/>
        </w:rPr>
        <w:t>, l’emploi, la sécurité sociale, les soins de santé et la participation à toute activité économique, sociale, culturelle ou politique ouverte au public</w:t>
      </w:r>
      <w:r>
        <w:rPr>
          <w:rFonts w:ascii="Times New Roman" w:hAnsi="Times New Roman"/>
          <w:sz w:val="22"/>
          <w:szCs w:val="22"/>
          <w:lang w:val="fr-FR"/>
        </w:rPr>
        <w:t xml:space="preserve">. </w:t>
      </w:r>
      <w:r w:rsidR="007502FC" w:rsidRPr="00290C15">
        <w:rPr>
          <w:rFonts w:ascii="Times New Roman" w:hAnsi="Times New Roman"/>
          <w:sz w:val="22"/>
          <w:szCs w:val="22"/>
          <w:lang w:val="fr-BE"/>
        </w:rPr>
        <w:t xml:space="preserve">Voir le chapitre III de la loi relatif à son champ d’application et, en particulier, son art. 5§2 qui énumère des exemples du </w:t>
      </w:r>
      <w:r w:rsidR="007502FC" w:rsidRPr="00290C15">
        <w:rPr>
          <w:rFonts w:ascii="Times New Roman" w:hAnsi="Times New Roman"/>
          <w:b/>
          <w:sz w:val="22"/>
          <w:szCs w:val="22"/>
          <w:lang w:val="fr-BE"/>
        </w:rPr>
        <w:t>champ d’application de la relation de travail</w:t>
      </w:r>
      <w:r w:rsidR="007502FC" w:rsidRPr="00290C15">
        <w:rPr>
          <w:rFonts w:ascii="Times New Roman" w:hAnsi="Times New Roman"/>
          <w:sz w:val="22"/>
          <w:szCs w:val="22"/>
          <w:lang w:val="fr-BE"/>
        </w:rPr>
        <w:t xml:space="preserve"> tout en précisant qu’ils ne sont pas exhaustifs. </w:t>
      </w:r>
    </w:p>
    <w:p w:rsidR="007502FC" w:rsidRPr="00290C15" w:rsidRDefault="007502FC" w:rsidP="00946F28">
      <w:pPr>
        <w:pStyle w:val="Paragraphedeliste"/>
        <w:numPr>
          <w:ilvl w:val="0"/>
          <w:numId w:val="1"/>
        </w:numPr>
        <w:tabs>
          <w:tab w:val="left" w:pos="709"/>
        </w:tabs>
        <w:spacing w:after="20"/>
        <w:ind w:left="709" w:hanging="709"/>
        <w:jc w:val="both"/>
        <w:rPr>
          <w:rFonts w:eastAsia="Calibri"/>
          <w:sz w:val="22"/>
          <w:szCs w:val="22"/>
          <w:lang w:val="fr-BE"/>
        </w:rPr>
      </w:pPr>
      <w:r w:rsidRPr="00290C15">
        <w:rPr>
          <w:sz w:val="22"/>
          <w:szCs w:val="22"/>
          <w:lang w:val="fr-BE"/>
        </w:rPr>
        <w:t xml:space="preserve">Le </w:t>
      </w:r>
      <w:r w:rsidRPr="00290C15">
        <w:rPr>
          <w:rFonts w:eastAsia="Calibri"/>
          <w:sz w:val="22"/>
          <w:szCs w:val="22"/>
          <w:lang w:val="fr-BE"/>
        </w:rPr>
        <w:t>régime de la</w:t>
      </w:r>
      <w:r w:rsidRPr="00290C15">
        <w:rPr>
          <w:rFonts w:eastAsia="Calibri"/>
          <w:b/>
          <w:sz w:val="22"/>
          <w:szCs w:val="22"/>
          <w:lang w:val="fr-BE"/>
        </w:rPr>
        <w:t xml:space="preserve"> loi </w:t>
      </w:r>
      <w:r w:rsidRPr="00290C15">
        <w:rPr>
          <w:rFonts w:eastAsia="Calibri"/>
          <w:b/>
          <w:i/>
          <w:sz w:val="22"/>
          <w:szCs w:val="22"/>
          <w:lang w:val="fr-BE"/>
        </w:rPr>
        <w:t>antiracisme</w:t>
      </w:r>
      <w:r w:rsidRPr="00290C15">
        <w:rPr>
          <w:rFonts w:eastAsia="Calibri"/>
          <w:b/>
          <w:sz w:val="22"/>
          <w:szCs w:val="22"/>
          <w:lang w:val="fr-BE"/>
        </w:rPr>
        <w:t xml:space="preserve"> est plus strict</w:t>
      </w:r>
      <w:r w:rsidRPr="00290C15">
        <w:rPr>
          <w:rFonts w:eastAsia="Calibri"/>
          <w:sz w:val="22"/>
          <w:szCs w:val="22"/>
          <w:lang w:val="fr-BE"/>
        </w:rPr>
        <w:t xml:space="preserve"> : aucune distinction directe n’est possible sauf dans l’emploi en raison de la nature d’une activité professionnelle ou des conditions de son exercice. Ainsi, le critère racial doit être une exigence professionnelle essentielle et déterminante pour autant que l’objectif soit légitime et l’exigence proportionnée à la nature de l’activité professionnelle. En </w:t>
      </w:r>
      <w:r w:rsidRPr="00290C15">
        <w:rPr>
          <w:rFonts w:eastAsia="Calibri"/>
          <w:sz w:val="22"/>
          <w:szCs w:val="22"/>
          <w:lang w:val="fr-BE"/>
        </w:rPr>
        <w:lastRenderedPageBreak/>
        <w:t xml:space="preserve">revanche, dans les biens et services, aucune distinction n’est possible sur la base des « critères raciaux ». </w:t>
      </w:r>
    </w:p>
    <w:p w:rsidR="007502FC" w:rsidRPr="00290C15" w:rsidRDefault="007502FC" w:rsidP="00946F28">
      <w:pPr>
        <w:pStyle w:val="Paragraphedeliste"/>
        <w:widowControl w:val="0"/>
        <w:numPr>
          <w:ilvl w:val="0"/>
          <w:numId w:val="1"/>
        </w:numPr>
        <w:tabs>
          <w:tab w:val="left" w:pos="709"/>
          <w:tab w:val="left" w:pos="7938"/>
          <w:tab w:val="left" w:pos="8647"/>
          <w:tab w:val="left" w:pos="9072"/>
        </w:tabs>
        <w:autoSpaceDE w:val="0"/>
        <w:autoSpaceDN w:val="0"/>
        <w:adjustRightInd w:val="0"/>
        <w:spacing w:after="20"/>
        <w:ind w:left="709" w:hanging="709"/>
        <w:jc w:val="both"/>
        <w:rPr>
          <w:color w:val="3C3C3C"/>
          <w:sz w:val="22"/>
          <w:szCs w:val="22"/>
        </w:rPr>
      </w:pPr>
      <w:r w:rsidRPr="00290C15">
        <w:rPr>
          <w:sz w:val="22"/>
          <w:szCs w:val="22"/>
        </w:rPr>
        <w:t>Décret du 28 mars 2014 modifiant le décret du 13 juillet 2007 portant promotion d'une participation plus équilibrée d'hommes et de femmes dans les organes d'avis et d'administration de l'autorité flamande et le décret du 10 juillet 2008 portant le cadre de la politique flamande de l'égalité des chances et de traitement (M.B. 01.04.2014) ; Loi du 22 mai 2014 modifiant la loi du 10 mai 2007 tendant à lutter contre la discrimination entre les femmes et les hommes (M.B. 24.07.2014) ; Décret du 13 novembre 2015 de la Communauté française modifiant le décret du 12 décembre 2008 quant à la lutte contre certaines formes de discrimination (M.B. 08.12.2015).</w:t>
      </w:r>
    </w:p>
    <w:p w:rsidR="007502FC" w:rsidRPr="00290C15" w:rsidRDefault="007502FC" w:rsidP="00946F28">
      <w:pPr>
        <w:pStyle w:val="Paragraphedeliste"/>
        <w:widowControl w:val="0"/>
        <w:numPr>
          <w:ilvl w:val="0"/>
          <w:numId w:val="1"/>
        </w:numPr>
        <w:tabs>
          <w:tab w:val="left" w:pos="709"/>
        </w:tabs>
        <w:autoSpaceDE w:val="0"/>
        <w:autoSpaceDN w:val="0"/>
        <w:adjustRightInd w:val="0"/>
        <w:spacing w:after="20"/>
        <w:ind w:left="709" w:hanging="709"/>
        <w:jc w:val="both"/>
        <w:rPr>
          <w:sz w:val="22"/>
          <w:szCs w:val="22"/>
        </w:rPr>
      </w:pPr>
      <w:r w:rsidRPr="00290C15">
        <w:rPr>
          <w:sz w:val="22"/>
          <w:szCs w:val="22"/>
        </w:rPr>
        <w:t>Loi du 28 février 2014 complétant la loi du 4 août 1996 sur le bien-être des travailleurs lors de l’exécution de leur travail, sur la prévention des risques psychosociaux au travail dont, notamment, la violence et le harcèlement moral ou sexuel au travail (M.B. 28.04.2014) ; Loi du 28 mars 2014 modifiant le Code judiciaire et la loi du 4 août 1996 relative au bien-être des travailleurs lors de l’exécution de leur travail en ce qui concerne les procédures judiciaires (M.B. 28.04.2014).</w:t>
      </w:r>
    </w:p>
    <w:p w:rsidR="007502FC" w:rsidRPr="00290C15" w:rsidRDefault="007502FC" w:rsidP="00946F28">
      <w:pPr>
        <w:pStyle w:val="Notedebasdepage"/>
        <w:numPr>
          <w:ilvl w:val="0"/>
          <w:numId w:val="1"/>
        </w:numPr>
        <w:tabs>
          <w:tab w:val="right" w:pos="0"/>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Voir comme exemples, en 2016, d’informations à destination des personnes transgenres : IEFH (2016), </w:t>
      </w:r>
      <w:hyperlink r:id="rId16" w:history="1">
        <w:r w:rsidRPr="00290C15">
          <w:rPr>
            <w:rStyle w:val="Lienhypertexte"/>
            <w:rFonts w:ascii="Times New Roman" w:hAnsi="Times New Roman"/>
            <w:i/>
            <w:sz w:val="22"/>
            <w:szCs w:val="22"/>
            <w:lang w:val="fr-BE"/>
          </w:rPr>
          <w:t xml:space="preserve">Guide d’accompagnement pour les personnes </w:t>
        </w:r>
        <w:proofErr w:type="spellStart"/>
        <w:r w:rsidRPr="00290C15">
          <w:rPr>
            <w:rStyle w:val="Lienhypertexte"/>
            <w:rFonts w:ascii="Times New Roman" w:hAnsi="Times New Roman"/>
            <w:i/>
            <w:sz w:val="22"/>
            <w:szCs w:val="22"/>
            <w:lang w:val="fr-BE"/>
          </w:rPr>
          <w:t>trans</w:t>
        </w:r>
        <w:proofErr w:type="spellEnd"/>
        <w:r w:rsidRPr="00290C15">
          <w:rPr>
            <w:rStyle w:val="Lienhypertexte"/>
            <w:rFonts w:ascii="Times New Roman" w:hAnsi="Times New Roman"/>
            <w:i/>
            <w:sz w:val="22"/>
            <w:szCs w:val="22"/>
            <w:lang w:val="fr-BE"/>
          </w:rPr>
          <w:t xml:space="preserve"> au travail </w:t>
        </w:r>
      </w:hyperlink>
      <w:r w:rsidRPr="00290C15">
        <w:rPr>
          <w:rFonts w:ascii="Times New Roman" w:hAnsi="Times New Roman"/>
          <w:sz w:val="22"/>
          <w:szCs w:val="22"/>
          <w:lang w:val="fr-BE"/>
        </w:rPr>
        <w:t xml:space="preserve">; IEFH (2016), </w:t>
      </w:r>
      <w:hyperlink r:id="rId17" w:history="1">
        <w:r w:rsidRPr="00290C15">
          <w:rPr>
            <w:rStyle w:val="Lienhypertexte"/>
            <w:rFonts w:ascii="Times New Roman" w:hAnsi="Times New Roman"/>
            <w:i/>
            <w:sz w:val="22"/>
            <w:szCs w:val="22"/>
            <w:lang w:val="fr-BE"/>
          </w:rPr>
          <w:t>Conclure une assurance hospitalisation - Conseils pour les personnes transgenres</w:t>
        </w:r>
      </w:hyperlink>
      <w:r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Enseignants, professeurs d’école normale et tout autre acteur du monde de l’éducation.</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CEDH, </w:t>
      </w:r>
      <w:r w:rsidRPr="00290C15">
        <w:rPr>
          <w:rFonts w:ascii="Times New Roman" w:hAnsi="Times New Roman"/>
          <w:i/>
          <w:sz w:val="22"/>
          <w:szCs w:val="22"/>
          <w:lang w:val="fr-CH"/>
        </w:rPr>
        <w:t>YY c. Turquie</w:t>
      </w:r>
      <w:r w:rsidRPr="00290C15">
        <w:rPr>
          <w:rFonts w:ascii="Times New Roman" w:hAnsi="Times New Roman"/>
          <w:sz w:val="22"/>
          <w:szCs w:val="22"/>
          <w:lang w:val="fr-CH"/>
        </w:rPr>
        <w:t xml:space="preserve"> (2015) ; CEDH, </w:t>
      </w:r>
      <w:r w:rsidRPr="00290C15">
        <w:rPr>
          <w:rFonts w:ascii="Times New Roman" w:hAnsi="Times New Roman"/>
          <w:i/>
          <w:sz w:val="22"/>
          <w:szCs w:val="22"/>
          <w:lang w:val="fr-CH"/>
        </w:rPr>
        <w:t>AP, E. Garçon et S. Nicot c. France</w:t>
      </w:r>
      <w:r w:rsidRPr="00290C15">
        <w:rPr>
          <w:rFonts w:ascii="Times New Roman" w:hAnsi="Times New Roman"/>
          <w:sz w:val="22"/>
          <w:szCs w:val="22"/>
          <w:lang w:val="fr-CH"/>
        </w:rPr>
        <w:t xml:space="preserve"> (2016). </w:t>
      </w:r>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CH"/>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lang w:val="fr-CH" w:eastAsia="en-US"/>
        </w:rPr>
      </w:pPr>
      <w:bookmarkStart w:id="23" w:name="_Toc503444758"/>
      <w:bookmarkStart w:id="24" w:name="_Toc503444773"/>
      <w:bookmarkStart w:id="25" w:name="_Toc519074802"/>
      <w:r w:rsidRPr="00290C15">
        <w:rPr>
          <w:b/>
          <w:color w:val="000000"/>
          <w:sz w:val="22"/>
          <w:szCs w:val="22"/>
          <w:lang w:val="fr-CH" w:eastAsia="en-US"/>
        </w:rPr>
        <w:t>Non-discrimination et violence à l’égard des femmes (art. 2, 3, 7 et 26)</w:t>
      </w:r>
      <w:bookmarkEnd w:id="23"/>
      <w:bookmarkEnd w:id="24"/>
      <w:bookmarkEnd w:id="25"/>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FR"/>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CH"/>
        </w:rPr>
        <w:t>A/HRC/WG.6/24/BEL/1, §§38-45.</w:t>
      </w:r>
    </w:p>
    <w:p w:rsidR="007502FC" w:rsidRPr="00290C15" w:rsidRDefault="007502FC" w:rsidP="00946F28">
      <w:pPr>
        <w:pStyle w:val="Paragraphedeliste"/>
        <w:numPr>
          <w:ilvl w:val="0"/>
          <w:numId w:val="1"/>
        </w:numPr>
        <w:tabs>
          <w:tab w:val="left" w:pos="709"/>
        </w:tabs>
        <w:spacing w:after="20"/>
        <w:ind w:left="709" w:hanging="709"/>
        <w:jc w:val="both"/>
        <w:rPr>
          <w:sz w:val="22"/>
          <w:szCs w:val="22"/>
          <w:lang w:eastAsia="en-US"/>
        </w:rPr>
      </w:pPr>
      <w:r w:rsidRPr="00290C15">
        <w:rPr>
          <w:sz w:val="22"/>
          <w:szCs w:val="22"/>
        </w:rPr>
        <w:t>La loi du 22 avril 2012 visant à lutter contre l'écart salarial entre hommes et femmes (M.B. 28.08.2012). Elle a été modifiée par la Loi du 12 juillet 2013 portant modification de la législation relative à la lutte contre l'écart salarial entre hommes et femmes (M.B. 26.07.2013).</w:t>
      </w:r>
    </w:p>
    <w:p w:rsidR="007502FC" w:rsidRPr="00290C15" w:rsidRDefault="007502FC" w:rsidP="00946F28">
      <w:pPr>
        <w:pStyle w:val="Paragraphedeliste"/>
        <w:numPr>
          <w:ilvl w:val="0"/>
          <w:numId w:val="1"/>
        </w:numPr>
        <w:tabs>
          <w:tab w:val="left" w:pos="709"/>
        </w:tabs>
        <w:spacing w:after="20"/>
        <w:ind w:left="709" w:hanging="709"/>
        <w:jc w:val="both"/>
        <w:rPr>
          <w:iCs/>
          <w:sz w:val="22"/>
          <w:szCs w:val="22"/>
        </w:rPr>
      </w:pPr>
      <w:r w:rsidRPr="00290C15">
        <w:rPr>
          <w:iCs/>
          <w:sz w:val="22"/>
          <w:szCs w:val="22"/>
        </w:rPr>
        <w:t>Arrêté royal du 17 août 2013 portant exécution du chapitre 4, section 2, de la loi du 22 avril 2012 (M.B. 02.09.2013) ; Arrêté royal du 25 avril 2014 sur le rapport d'analyse sur la structure de la rémunération des travailleurs (M.B. 15.05.2014) ; Arrêté royal du 25 avril 2014 sur le médiateur en matière de lutte contre l'écart salarial entre hommes et femmes (M.B. 21.05.2014) ; Arrêté ministériel du 25 avril 2014 fixant les modèles de formulaires devant servir de base au rapport d'analyse sur la structure de rémunération des travailleurs (M.B. 15.05.2014).</w:t>
      </w:r>
    </w:p>
    <w:p w:rsidR="007502FC" w:rsidRPr="00290C15" w:rsidRDefault="007502FC" w:rsidP="00946F28">
      <w:pPr>
        <w:pStyle w:val="Notedebasdepage"/>
        <w:numPr>
          <w:ilvl w:val="0"/>
          <w:numId w:val="1"/>
        </w:numPr>
        <w:tabs>
          <w:tab w:val="left" w:pos="-709"/>
          <w:tab w:val="left" w:pos="709"/>
          <w:tab w:val="left" w:pos="9072"/>
        </w:tabs>
        <w:spacing w:after="20" w:line="240" w:lineRule="auto"/>
        <w:ind w:left="709" w:right="1" w:hanging="709"/>
        <w:jc w:val="both"/>
        <w:rPr>
          <w:rFonts w:ascii="Times New Roman" w:hAnsi="Times New Roman"/>
          <w:sz w:val="22"/>
          <w:szCs w:val="22"/>
          <w:lang w:val="fr-FR"/>
        </w:rPr>
      </w:pPr>
      <w:r w:rsidRPr="00290C15">
        <w:rPr>
          <w:rFonts w:ascii="Times New Roman" w:hAnsi="Times New Roman"/>
          <w:sz w:val="22"/>
          <w:szCs w:val="22"/>
          <w:lang w:val="fr-FR"/>
        </w:rPr>
        <w:t xml:space="preserve">IEFH (2017), </w:t>
      </w:r>
      <w:hyperlink r:id="rId18" w:history="1">
        <w:r w:rsidRPr="00290C15">
          <w:rPr>
            <w:rStyle w:val="Lienhypertexte"/>
            <w:rFonts w:ascii="Times New Roman" w:hAnsi="Times New Roman"/>
            <w:i/>
            <w:sz w:val="22"/>
            <w:szCs w:val="22"/>
            <w:lang w:val="fr-FR"/>
          </w:rPr>
          <w:t>L’écart salarial entre les femmes et les hommes en Belgique - Rapport 2017</w:t>
        </w:r>
      </w:hyperlink>
      <w:r w:rsidRPr="00290C15">
        <w:rPr>
          <w:rFonts w:ascii="Times New Roman" w:hAnsi="Times New Roman"/>
          <w:sz w:val="22"/>
          <w:szCs w:val="22"/>
          <w:lang w:val="fr-FR"/>
        </w:rPr>
        <w:t xml:space="preserve">. </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 xml:space="preserve">Arrêté royal du 2 juin 2012 modifiant l'arrêté royal du 2 octobre 1937 portant le statut des agents de l'Etat (M.B. 08.06.2012) ; Décret de l’Autorité flamande du 28 mars 2014 </w:t>
      </w:r>
      <w:r w:rsidRPr="00290C15">
        <w:rPr>
          <w:i/>
          <w:sz w:val="22"/>
          <w:szCs w:val="22"/>
        </w:rPr>
        <w:t xml:space="preserve">op.cit. </w:t>
      </w:r>
      <w:r w:rsidRPr="00290C15">
        <w:rPr>
          <w:sz w:val="22"/>
          <w:szCs w:val="22"/>
        </w:rPr>
        <w:t xml:space="preserve">; Décret de la Communauté française du 15 décembre 2010 pour promouvoir la participation équilibrée des femmes et hommes dans les organes des personnes morales désignés par la Communauté française (M.B. 08.02.2011) ; Décret du 9 janvier 2014 pour promouvoir une représentation équilibrée des femmes et des hommes dans les organes de gestion des établissements pour aînés en Région wallonne (M.B. 28.01.2014) ; Décret du 9 janvier 2014 de promotion d’une représentation équilibrée des femmes et hommes dans les conseils d'administration des organismes privés agréés par la Région wallonne pour les matières réglées par l'article 138 de la Constitution (M.B. 28.01.2014) ; Décret du 9 janvier 2014 de promotion d’une représentation équilibrée des femmes/hommes dans les conseils d'administration des organismes privés agréés par la Région wallonne (M.B. 28.01.2014). </w:t>
      </w:r>
    </w:p>
    <w:p w:rsidR="007502FC" w:rsidRDefault="007502FC" w:rsidP="00946F28">
      <w:pPr>
        <w:pStyle w:val="Paragraphedeliste"/>
        <w:numPr>
          <w:ilvl w:val="0"/>
          <w:numId w:val="1"/>
        </w:numPr>
        <w:tabs>
          <w:tab w:val="left" w:pos="709"/>
        </w:tabs>
        <w:autoSpaceDE w:val="0"/>
        <w:autoSpaceDN w:val="0"/>
        <w:adjustRightInd w:val="0"/>
        <w:spacing w:after="20"/>
        <w:ind w:left="709" w:hanging="709"/>
        <w:jc w:val="both"/>
        <w:rPr>
          <w:rFonts w:eastAsia="Calibri"/>
          <w:bCs/>
          <w:sz w:val="22"/>
          <w:szCs w:val="22"/>
          <w:lang w:val="fr-BE"/>
        </w:rPr>
      </w:pPr>
      <w:r w:rsidRPr="00290C15">
        <w:rPr>
          <w:sz w:val="22"/>
          <w:szCs w:val="22"/>
        </w:rPr>
        <w:t xml:space="preserve">Loi du 28 juillet 2011 </w:t>
      </w:r>
      <w:r w:rsidRPr="00290C15">
        <w:rPr>
          <w:rFonts w:eastAsia="Calibri"/>
          <w:bCs/>
          <w:sz w:val="22"/>
          <w:szCs w:val="22"/>
          <w:lang w:val="fr-BE"/>
        </w:rPr>
        <w:t>modifiant la loi du 21 mars 1991 portant réforme de certaines entreprises publiques économiques, le Code des sociétés et la loi du 19 avril 2002 sur la rationalisation du fonctionnement et la gestion de la Loterie Nationale afin de garantir la présence des femmes dans le conseil d’administration des entreprises publiques autonomes, des sociétés cotées et de la Loterie Nationale (M.B. 14.09.2011).</w:t>
      </w:r>
    </w:p>
    <w:p w:rsidR="00DA6DF9" w:rsidRPr="00DA6DF9" w:rsidRDefault="00DA6DF9" w:rsidP="00946F28">
      <w:pPr>
        <w:pStyle w:val="Notedebasdepage"/>
        <w:tabs>
          <w:tab w:val="left" w:pos="709"/>
        </w:tabs>
        <w:spacing w:after="20" w:line="240" w:lineRule="auto"/>
        <w:ind w:left="709" w:hanging="709"/>
        <w:jc w:val="both"/>
        <w:rPr>
          <w:rFonts w:ascii="Times New Roman" w:hAnsi="Times New Roman"/>
          <w:sz w:val="22"/>
          <w:szCs w:val="22"/>
          <w:lang w:val="fr-FR"/>
        </w:rPr>
      </w:pPr>
      <w:r w:rsidRPr="00DA6DF9">
        <w:rPr>
          <w:rFonts w:ascii="Times New Roman" w:hAnsi="Times New Roman"/>
          <w:sz w:val="22"/>
          <w:szCs w:val="22"/>
          <w:lang w:val="fr-FR"/>
        </w:rPr>
        <w:t>97</w:t>
      </w:r>
      <w:r w:rsidRPr="00DA6DF9">
        <w:rPr>
          <w:rFonts w:ascii="Times New Roman" w:hAnsi="Times New Roman"/>
          <w:i/>
          <w:sz w:val="22"/>
          <w:szCs w:val="22"/>
          <w:lang w:val="fr-FR"/>
        </w:rPr>
        <w:t xml:space="preserve">bis. </w:t>
      </w:r>
      <w:r w:rsidR="00946F28">
        <w:rPr>
          <w:rFonts w:ascii="Times New Roman" w:hAnsi="Times New Roman"/>
          <w:i/>
          <w:sz w:val="22"/>
          <w:szCs w:val="22"/>
          <w:lang w:val="fr-FR"/>
        </w:rPr>
        <w:tab/>
      </w:r>
      <w:r>
        <w:rPr>
          <w:rFonts w:ascii="Times New Roman" w:hAnsi="Times New Roman"/>
          <w:sz w:val="22"/>
          <w:szCs w:val="22"/>
          <w:lang w:val="fr-CH"/>
        </w:rPr>
        <w:t>O</w:t>
      </w:r>
      <w:r w:rsidRPr="00804273">
        <w:rPr>
          <w:rFonts w:ascii="Times New Roman" w:hAnsi="Times New Roman"/>
          <w:sz w:val="22"/>
          <w:szCs w:val="22"/>
          <w:lang w:val="fr-CH"/>
        </w:rPr>
        <w:t>utils pédagogiques, formation, sensibilisation des enseignants.</w:t>
      </w:r>
    </w:p>
    <w:p w:rsidR="00DA6DF9" w:rsidRPr="00804273" w:rsidRDefault="00DA6DF9" w:rsidP="00804273">
      <w:pPr>
        <w:pStyle w:val="Notedebasdepage"/>
        <w:tabs>
          <w:tab w:val="left" w:pos="709"/>
        </w:tabs>
        <w:spacing w:after="20" w:line="240" w:lineRule="auto"/>
        <w:ind w:left="709" w:hanging="709"/>
        <w:jc w:val="both"/>
        <w:rPr>
          <w:bCs/>
          <w:sz w:val="22"/>
          <w:szCs w:val="22"/>
          <w:lang w:val="fr-FR"/>
        </w:rPr>
      </w:pPr>
      <w:r>
        <w:rPr>
          <w:rFonts w:ascii="Times New Roman" w:hAnsi="Times New Roman"/>
          <w:sz w:val="22"/>
          <w:szCs w:val="22"/>
          <w:lang w:val="fr-FR"/>
        </w:rPr>
        <w:t>97</w:t>
      </w:r>
      <w:r>
        <w:rPr>
          <w:rFonts w:ascii="Times New Roman" w:hAnsi="Times New Roman"/>
          <w:i/>
          <w:sz w:val="22"/>
          <w:szCs w:val="22"/>
          <w:lang w:val="fr-FR"/>
        </w:rPr>
        <w:t xml:space="preserve">ter. </w:t>
      </w:r>
      <w:r w:rsidR="00946F28">
        <w:rPr>
          <w:rFonts w:ascii="Times New Roman" w:hAnsi="Times New Roman"/>
          <w:i/>
          <w:sz w:val="22"/>
          <w:szCs w:val="22"/>
          <w:lang w:val="fr-FR"/>
        </w:rPr>
        <w:tab/>
      </w:r>
      <w:r w:rsidRPr="00804273">
        <w:rPr>
          <w:rFonts w:ascii="Times New Roman" w:hAnsi="Times New Roman"/>
          <w:sz w:val="22"/>
          <w:szCs w:val="22"/>
          <w:lang w:val="fr-FR"/>
        </w:rPr>
        <w:t>Base</w:t>
      </w:r>
      <w:r w:rsidRPr="00DA6DF9">
        <w:rPr>
          <w:rFonts w:ascii="Times New Roman" w:hAnsi="Times New Roman"/>
          <w:sz w:val="22"/>
          <w:szCs w:val="22"/>
          <w:lang w:val="fr-CH"/>
        </w:rPr>
        <w:t xml:space="preserve"> de données experts pour journalistes</w:t>
      </w:r>
      <w:r>
        <w:rPr>
          <w:rFonts w:ascii="Times New Roman" w:hAnsi="Times New Roman"/>
          <w:sz w:val="22"/>
          <w:szCs w:val="22"/>
          <w:lang w:val="fr-CH"/>
        </w:rPr>
        <w:t>.</w:t>
      </w:r>
    </w:p>
    <w:p w:rsidR="007502FC" w:rsidRPr="00290C15" w:rsidRDefault="009B39C1"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FR"/>
        </w:rPr>
        <w:t xml:space="preserve">Parmi les </w:t>
      </w:r>
      <w:r w:rsidRPr="009B39C1">
        <w:rPr>
          <w:rFonts w:ascii="Times New Roman" w:hAnsi="Times New Roman"/>
          <w:sz w:val="22"/>
          <w:szCs w:val="22"/>
          <w:lang w:val="fr-CH"/>
        </w:rPr>
        <w:t>nombreuses initiatives d’informations</w:t>
      </w:r>
      <w:r>
        <w:rPr>
          <w:rFonts w:ascii="Times New Roman" w:hAnsi="Times New Roman"/>
          <w:sz w:val="22"/>
          <w:szCs w:val="22"/>
          <w:lang w:val="fr-FR"/>
        </w:rPr>
        <w:t>, l</w:t>
      </w:r>
      <w:r w:rsidR="007502FC" w:rsidRPr="00290C15">
        <w:rPr>
          <w:rFonts w:ascii="Times New Roman" w:hAnsi="Times New Roman"/>
          <w:sz w:val="22"/>
          <w:szCs w:val="22"/>
          <w:lang w:val="fr-FR"/>
        </w:rPr>
        <w:t xml:space="preserve">e site internet </w:t>
      </w:r>
      <w:hyperlink r:id="rId19" w:history="1">
        <w:r w:rsidR="007502FC" w:rsidRPr="00290C15">
          <w:rPr>
            <w:rStyle w:val="Lienhypertexte"/>
            <w:rFonts w:ascii="Times New Roman" w:hAnsi="Times New Roman"/>
            <w:sz w:val="22"/>
            <w:szCs w:val="22"/>
            <w:lang w:val="fr-FR"/>
          </w:rPr>
          <w:t>www.genderklik.be</w:t>
        </w:r>
      </w:hyperlink>
      <w:r w:rsidR="007502FC" w:rsidRPr="00290C15">
        <w:rPr>
          <w:rFonts w:ascii="Times New Roman" w:hAnsi="Times New Roman"/>
          <w:sz w:val="22"/>
          <w:szCs w:val="22"/>
          <w:lang w:val="fr-FR"/>
        </w:rPr>
        <w:t xml:space="preserve"> a récemment été mis à jour, en parallèle avec la campagne #</w:t>
      </w:r>
      <w:proofErr w:type="spellStart"/>
      <w:r w:rsidR="007502FC" w:rsidRPr="00290C15">
        <w:rPr>
          <w:rFonts w:ascii="Times New Roman" w:hAnsi="Times New Roman"/>
          <w:sz w:val="22"/>
          <w:szCs w:val="22"/>
          <w:lang w:val="fr-FR"/>
        </w:rPr>
        <w:t>ziederollen</w:t>
      </w:r>
      <w:proofErr w:type="spellEnd"/>
      <w:r w:rsidR="007502FC" w:rsidRPr="00290C15">
        <w:rPr>
          <w:rFonts w:ascii="Times New Roman" w:hAnsi="Times New Roman"/>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Voir site internet : https://www.werk.be/discriminatie-op-de-werkvloer.</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r w:rsidRPr="00290C15">
        <w:rPr>
          <w:rFonts w:ascii="Times New Roman" w:hAnsi="Times New Roman"/>
          <w:sz w:val="22"/>
          <w:szCs w:val="22"/>
          <w:lang w:val="en-GB"/>
        </w:rPr>
        <w:lastRenderedPageBreak/>
        <w:t>CEDAW/C/BEL/7, §§62-90, 124-132 et 315-326 ; A/HRC/WG.6/24/BEL/1, §§46-48 ; CEDAW/C/BEL/Q/7/Add.1, §§10-15.</w:t>
      </w:r>
    </w:p>
    <w:p w:rsidR="007502FC" w:rsidRPr="00290C15" w:rsidRDefault="007502FC" w:rsidP="00946F28">
      <w:pPr>
        <w:pStyle w:val="Paragraphedeliste"/>
        <w:numPr>
          <w:ilvl w:val="0"/>
          <w:numId w:val="1"/>
        </w:numPr>
        <w:tabs>
          <w:tab w:val="left" w:pos="709"/>
        </w:tabs>
        <w:autoSpaceDE w:val="0"/>
        <w:autoSpaceDN w:val="0"/>
        <w:adjustRightInd w:val="0"/>
        <w:spacing w:after="20"/>
        <w:ind w:left="709" w:hanging="709"/>
        <w:jc w:val="both"/>
        <w:rPr>
          <w:rFonts w:eastAsia="Calibri"/>
          <w:sz w:val="22"/>
          <w:szCs w:val="22"/>
          <w:lang w:eastAsia="en-US"/>
        </w:rPr>
      </w:pPr>
      <w:r w:rsidRPr="00290C15">
        <w:rPr>
          <w:rFonts w:eastAsia="Calibri"/>
          <w:sz w:val="22"/>
          <w:szCs w:val="22"/>
          <w:lang w:val="fr-BE" w:eastAsia="en-US"/>
        </w:rPr>
        <w:t xml:space="preserve">IEFH (2015), </w:t>
      </w:r>
      <w:hyperlink r:id="rId20" w:history="1">
        <w:r w:rsidRPr="00290C15">
          <w:rPr>
            <w:rStyle w:val="Lienhypertexte"/>
            <w:rFonts w:eastAsia="Calibri"/>
            <w:i/>
            <w:sz w:val="22"/>
            <w:szCs w:val="22"/>
            <w:lang w:val="fr-BE" w:eastAsia="en-US"/>
          </w:rPr>
          <w:t>Plan d’action national de lutte contre toutes les formes de violence basée sur le genre 2015-2019</w:t>
        </w:r>
      </w:hyperlink>
      <w:r w:rsidRPr="00290C15">
        <w:rPr>
          <w:rFonts w:eastAsia="Calibri"/>
          <w:sz w:val="22"/>
          <w:szCs w:val="22"/>
          <w:lang w:val="fr-BE" w:eastAsia="en-US"/>
        </w:rPr>
        <w:t xml:space="preserve">. </w:t>
      </w:r>
      <w:r w:rsidRPr="00290C15">
        <w:rPr>
          <w:rFonts w:eastAsia="Calibri"/>
          <w:sz w:val="22"/>
          <w:szCs w:val="22"/>
          <w:lang w:eastAsia="en-US"/>
        </w:rPr>
        <w:t xml:space="preserve">Voir aussi </w:t>
      </w:r>
      <w:r w:rsidRPr="00290C15">
        <w:rPr>
          <w:sz w:val="22"/>
          <w:szCs w:val="22"/>
        </w:rPr>
        <w:t xml:space="preserve">CEDAW/C/BEL/CO/7/Add.1, §§4-5.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r w:rsidRPr="00290C15">
        <w:rPr>
          <w:rFonts w:ascii="Times New Roman" w:hAnsi="Times New Roman"/>
          <w:sz w:val="22"/>
          <w:szCs w:val="22"/>
          <w:lang w:val="en-GB"/>
        </w:rPr>
        <w:t>A/HRC/WG.6/24/BEL/1, §§49-52.</w:t>
      </w:r>
    </w:p>
    <w:p w:rsidR="007502FC" w:rsidRPr="00290C15" w:rsidRDefault="00804273"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hyperlink r:id="rId21" w:history="1">
        <w:r w:rsidR="007502FC" w:rsidRPr="00290C15">
          <w:rPr>
            <w:rStyle w:val="Lienhypertexte"/>
            <w:rFonts w:ascii="Times New Roman" w:hAnsi="Times New Roman"/>
            <w:sz w:val="22"/>
            <w:szCs w:val="22"/>
            <w:lang w:val="en-GB"/>
          </w:rPr>
          <w:t>https://www.violencessexuelles.be/centres-prise-charge-violences-sexuelles</w:t>
        </w:r>
      </w:hyperlink>
      <w:r w:rsidR="007502FC" w:rsidRPr="00290C15">
        <w:rPr>
          <w:rFonts w:ascii="Times New Roman" w:hAnsi="Times New Roman"/>
          <w:sz w:val="22"/>
          <w:szCs w:val="22"/>
          <w:lang w:val="en-GB"/>
        </w:rPr>
        <w:t>.</w:t>
      </w:r>
    </w:p>
    <w:p w:rsidR="007502FC" w:rsidRPr="00290C15" w:rsidRDefault="00804273"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hyperlink r:id="rId22" w:history="1">
        <w:r w:rsidR="007502FC" w:rsidRPr="00290C15">
          <w:rPr>
            <w:rStyle w:val="Lienhypertexte"/>
            <w:rFonts w:ascii="Times New Roman" w:hAnsi="Times New Roman"/>
            <w:sz w:val="22"/>
            <w:szCs w:val="22"/>
          </w:rPr>
          <w:t>www.violencessexuelles.be</w:t>
        </w:r>
      </w:hyperlink>
      <w:r w:rsidR="007502FC" w:rsidRPr="00290C15">
        <w:rPr>
          <w:rFonts w:ascii="Times New Roman" w:hAnsi="Times New Roman"/>
          <w:sz w:val="22"/>
          <w:szCs w:val="22"/>
          <w:u w:val="single"/>
        </w:rPr>
        <w:t xml:space="preserve"> ; http://www.seksueelgeweld.be/.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La compétence de la ligne d’écoute et du site web associé 1712.be est plus large que celle touchant strictement aux violences sexuelles. Des questions concernant la violence, la maltraitance et la maltraitance des enfants, pas seulement des femmes, peuvent y être abordées.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Agence wallonne pour une Vie de Qualité.</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Cet événement touche plus de 9.000 personnes. Il a été organisé pour la première fois en 2016.</w:t>
      </w:r>
    </w:p>
    <w:p w:rsidR="007502FC" w:rsidRPr="00804273" w:rsidRDefault="00F55766"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FR"/>
        </w:rPr>
        <w:t xml:space="preserve">Secteurs </w:t>
      </w:r>
      <w:r w:rsidRPr="00F55766">
        <w:rPr>
          <w:rFonts w:ascii="Times New Roman" w:hAnsi="Times New Roman"/>
          <w:sz w:val="22"/>
          <w:szCs w:val="22"/>
          <w:lang w:val="fr-FR"/>
        </w:rPr>
        <w:t xml:space="preserve">de </w:t>
      </w:r>
      <w:r>
        <w:rPr>
          <w:rFonts w:ascii="Times New Roman" w:hAnsi="Times New Roman"/>
          <w:sz w:val="22"/>
          <w:szCs w:val="22"/>
          <w:lang w:val="fr-FR"/>
        </w:rPr>
        <w:t xml:space="preserve">la </w:t>
      </w:r>
      <w:r w:rsidRPr="00F55766">
        <w:rPr>
          <w:rFonts w:ascii="Times New Roman" w:hAnsi="Times New Roman"/>
          <w:sz w:val="22"/>
          <w:szCs w:val="22"/>
          <w:lang w:val="fr-FR"/>
        </w:rPr>
        <w:t>jeunesse, du sport, de l’éducation et du bien-être</w:t>
      </w:r>
      <w:r>
        <w:rPr>
          <w:rFonts w:ascii="Times New Roman" w:hAnsi="Times New Roman"/>
          <w:sz w:val="22"/>
          <w:szCs w:val="22"/>
          <w:lang w:val="fr-FR"/>
        </w:rPr>
        <w:t xml:space="preserve"> ; </w:t>
      </w:r>
      <w:r w:rsidR="007502FC" w:rsidRPr="00804273">
        <w:rPr>
          <w:rFonts w:ascii="Times New Roman" w:hAnsi="Times New Roman"/>
          <w:sz w:val="22"/>
          <w:szCs w:val="22"/>
          <w:lang w:val="fr-FR"/>
        </w:rPr>
        <w:t>www.grenslijn.be.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r w:rsidRPr="00290C15">
        <w:rPr>
          <w:rFonts w:ascii="Times New Roman" w:hAnsi="Times New Roman"/>
          <w:sz w:val="22"/>
          <w:szCs w:val="22"/>
          <w:lang w:val="en-GB"/>
        </w:rPr>
        <w:t>CEDAW/C/BEL/CO/7/Add.1, §§8-16.</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Art. 409 du Code pénal (inséré en 2001).</w:t>
      </w:r>
    </w:p>
    <w:p w:rsidR="00DA6DF9" w:rsidRPr="00804273" w:rsidRDefault="00DA6DF9" w:rsidP="00804273">
      <w:pPr>
        <w:pStyle w:val="Notedebasdepage"/>
        <w:tabs>
          <w:tab w:val="left" w:pos="709"/>
        </w:tabs>
        <w:spacing w:after="20" w:line="240" w:lineRule="auto"/>
        <w:ind w:left="709" w:hanging="709"/>
        <w:jc w:val="both"/>
        <w:rPr>
          <w:bCs/>
          <w:sz w:val="22"/>
          <w:szCs w:val="22"/>
          <w:lang w:val="fr-FR"/>
        </w:rPr>
      </w:pPr>
      <w:r>
        <w:rPr>
          <w:rFonts w:ascii="Times New Roman" w:hAnsi="Times New Roman"/>
          <w:sz w:val="22"/>
          <w:szCs w:val="22"/>
          <w:lang w:val="fr-FR"/>
        </w:rPr>
        <w:t>110</w:t>
      </w:r>
      <w:r>
        <w:rPr>
          <w:rFonts w:ascii="Times New Roman" w:hAnsi="Times New Roman"/>
          <w:i/>
          <w:sz w:val="22"/>
          <w:szCs w:val="22"/>
          <w:lang w:val="fr-FR"/>
        </w:rPr>
        <w:t xml:space="preserve">bis. </w:t>
      </w:r>
      <w:r>
        <w:rPr>
          <w:rFonts w:ascii="Times New Roman" w:hAnsi="Times New Roman"/>
          <w:sz w:val="22"/>
          <w:szCs w:val="22"/>
          <w:lang w:val="fr-BE"/>
        </w:rPr>
        <w:t>S</w:t>
      </w:r>
      <w:r w:rsidRPr="00804273">
        <w:rPr>
          <w:rFonts w:ascii="Times New Roman" w:hAnsi="Times New Roman"/>
          <w:sz w:val="22"/>
          <w:szCs w:val="22"/>
          <w:lang w:val="fr-BE"/>
        </w:rPr>
        <w:t xml:space="preserve">ensibilisation, prévention, soins, poursuite, </w:t>
      </w:r>
      <w:proofErr w:type="spellStart"/>
      <w:r w:rsidRPr="00804273">
        <w:rPr>
          <w:rFonts w:ascii="Times New Roman" w:hAnsi="Times New Roman"/>
          <w:sz w:val="22"/>
          <w:szCs w:val="22"/>
          <w:lang w:val="fr-BE"/>
        </w:rPr>
        <w:t>etc</w:t>
      </w:r>
      <w:proofErr w:type="spellEnd"/>
      <w:r>
        <w:rPr>
          <w:rFonts w:ascii="Times New Roman" w:hAnsi="Times New Roman"/>
          <w:sz w:val="22"/>
          <w:szCs w:val="22"/>
          <w:lang w:val="fr-CH"/>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Loi du 2 juin 2013 modifiant le Code civil, la loi du 31 décembre 1851 sur les consulats et la juridiction </w:t>
      </w:r>
      <w:r w:rsidR="00A8568C" w:rsidRPr="00290C15">
        <w:rPr>
          <w:rFonts w:ascii="Times New Roman" w:hAnsi="Times New Roman"/>
          <w:sz w:val="22"/>
          <w:szCs w:val="22"/>
          <w:lang w:val="fr-FR"/>
        </w:rPr>
        <w:t>c</w:t>
      </w:r>
      <w:r w:rsidRPr="00290C15">
        <w:rPr>
          <w:rFonts w:ascii="Times New Roman" w:hAnsi="Times New Roman"/>
          <w:sz w:val="22"/>
          <w:szCs w:val="22"/>
          <w:lang w:val="fr-FR"/>
        </w:rPr>
        <w:t>onsulaire, le Code pénal, le Code judiciaire et la loi du 15 décembre 1980 sur l'accès au territoire, le séjour, l'établissement et l'éloignement des étrangers, en vue de la lutte contre les mariages de complaisance et les cohabitations légales de complaisance (M.B. 23.09.2013).</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391</w:t>
      </w:r>
      <w:r w:rsidRPr="00290C15">
        <w:rPr>
          <w:rFonts w:ascii="Times New Roman" w:hAnsi="Times New Roman"/>
          <w:i/>
          <w:sz w:val="22"/>
          <w:szCs w:val="22"/>
          <w:lang w:val="fr-BE"/>
        </w:rPr>
        <w:t xml:space="preserve">sexies </w:t>
      </w:r>
      <w:r w:rsidRPr="00290C15">
        <w:rPr>
          <w:rFonts w:ascii="Times New Roman" w:hAnsi="Times New Roman"/>
          <w:sz w:val="22"/>
          <w:szCs w:val="22"/>
          <w:lang w:val="fr-BE"/>
        </w:rPr>
        <w:t>du Code pénal (incriminés depuis 2007).</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79</w:t>
      </w:r>
      <w:r w:rsidRPr="00290C15">
        <w:rPr>
          <w:rFonts w:ascii="Times New Roman" w:hAnsi="Times New Roman"/>
          <w:i/>
          <w:sz w:val="22"/>
          <w:szCs w:val="22"/>
          <w:lang w:val="fr-BE"/>
        </w:rPr>
        <w:t>bis</w:t>
      </w:r>
      <w:r w:rsidRPr="00290C15">
        <w:rPr>
          <w:rFonts w:ascii="Times New Roman" w:hAnsi="Times New Roman"/>
          <w:sz w:val="22"/>
          <w:szCs w:val="22"/>
          <w:lang w:val="fr-BE"/>
        </w:rPr>
        <w:t xml:space="preserve"> de la Loi « étrangers » du 15 décembre 1980 </w:t>
      </w:r>
      <w:r w:rsidRPr="00290C15">
        <w:rPr>
          <w:rFonts w:ascii="Times New Roman" w:hAnsi="Times New Roman"/>
          <w:i/>
          <w:sz w:val="22"/>
          <w:szCs w:val="22"/>
          <w:lang w:val="fr-BE"/>
        </w:rPr>
        <w:t xml:space="preserve">op. </w:t>
      </w:r>
      <w:proofErr w:type="spellStart"/>
      <w:r w:rsidRPr="00290C15">
        <w:rPr>
          <w:rFonts w:ascii="Times New Roman" w:hAnsi="Times New Roman"/>
          <w:i/>
          <w:sz w:val="22"/>
          <w:szCs w:val="22"/>
          <w:lang w:val="fr-BE"/>
        </w:rPr>
        <w:t>cit</w:t>
      </w:r>
      <w:proofErr w:type="spellEnd"/>
      <w:r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391</w:t>
      </w:r>
      <w:r w:rsidRPr="00290C15">
        <w:rPr>
          <w:rFonts w:ascii="Times New Roman" w:hAnsi="Times New Roman"/>
          <w:i/>
          <w:sz w:val="22"/>
          <w:szCs w:val="22"/>
          <w:lang w:val="fr-BE"/>
        </w:rPr>
        <w:t xml:space="preserve">septies </w:t>
      </w:r>
      <w:r w:rsidRPr="00290C15">
        <w:rPr>
          <w:rFonts w:ascii="Times New Roman" w:hAnsi="Times New Roman"/>
          <w:sz w:val="22"/>
          <w:szCs w:val="22"/>
          <w:lang w:val="fr-BE"/>
        </w:rPr>
        <w:t>du Code pénal.</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79</w:t>
      </w:r>
      <w:r w:rsidRPr="00290C15">
        <w:rPr>
          <w:rFonts w:ascii="Times New Roman" w:hAnsi="Times New Roman"/>
          <w:i/>
          <w:sz w:val="22"/>
          <w:szCs w:val="22"/>
          <w:lang w:val="fr-BE"/>
        </w:rPr>
        <w:t>ter</w:t>
      </w:r>
      <w:r w:rsidRPr="00290C15">
        <w:rPr>
          <w:rFonts w:ascii="Times New Roman" w:hAnsi="Times New Roman"/>
          <w:sz w:val="22"/>
          <w:szCs w:val="22"/>
          <w:lang w:val="fr-BE"/>
        </w:rPr>
        <w:t xml:space="preserve"> Loi « étrangers » du 15 décembre 1980 </w:t>
      </w:r>
      <w:r w:rsidRPr="00290C15">
        <w:rPr>
          <w:rFonts w:ascii="Times New Roman" w:hAnsi="Times New Roman"/>
          <w:i/>
          <w:sz w:val="22"/>
          <w:szCs w:val="22"/>
          <w:lang w:val="fr-BE"/>
        </w:rPr>
        <w:t xml:space="preserve">op. </w:t>
      </w:r>
      <w:proofErr w:type="spellStart"/>
      <w:r w:rsidRPr="00290C15">
        <w:rPr>
          <w:rFonts w:ascii="Times New Roman" w:hAnsi="Times New Roman"/>
          <w:i/>
          <w:sz w:val="22"/>
          <w:szCs w:val="22"/>
          <w:lang w:val="fr-BE"/>
        </w:rPr>
        <w:t>cit</w:t>
      </w:r>
      <w:proofErr w:type="spellEnd"/>
      <w:r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391</w:t>
      </w:r>
      <w:r w:rsidRPr="00290C15">
        <w:rPr>
          <w:rFonts w:ascii="Times New Roman" w:hAnsi="Times New Roman"/>
          <w:i/>
          <w:sz w:val="22"/>
          <w:szCs w:val="22"/>
          <w:lang w:val="fr-BE"/>
        </w:rPr>
        <w:t xml:space="preserve">octies </w:t>
      </w:r>
      <w:r w:rsidRPr="00290C15">
        <w:rPr>
          <w:rFonts w:ascii="Times New Roman" w:hAnsi="Times New Roman"/>
          <w:sz w:val="22"/>
          <w:szCs w:val="22"/>
          <w:lang w:val="fr-BE"/>
        </w:rPr>
        <w:t>Code pénal.</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Circulaire du 6 septembre 2013 relative à la loi du 2 juin 2013 </w:t>
      </w:r>
      <w:r w:rsidRPr="00290C15">
        <w:rPr>
          <w:rFonts w:ascii="Times New Roman" w:hAnsi="Times New Roman"/>
          <w:i/>
          <w:sz w:val="22"/>
          <w:szCs w:val="22"/>
          <w:lang w:val="fr-BE"/>
        </w:rPr>
        <w:t xml:space="preserve">op. </w:t>
      </w:r>
      <w:proofErr w:type="spellStart"/>
      <w:r w:rsidRPr="00290C15">
        <w:rPr>
          <w:rFonts w:ascii="Times New Roman" w:hAnsi="Times New Roman"/>
          <w:i/>
          <w:sz w:val="22"/>
          <w:szCs w:val="22"/>
          <w:lang w:val="fr-BE"/>
        </w:rPr>
        <w:t>cit</w:t>
      </w:r>
      <w:proofErr w:type="spellEnd"/>
      <w:r w:rsidRPr="00290C15">
        <w:rPr>
          <w:rFonts w:ascii="Times New Roman" w:hAnsi="Times New Roman"/>
          <w:i/>
          <w:sz w:val="22"/>
          <w:szCs w:val="22"/>
          <w:lang w:val="fr-BE"/>
        </w:rPr>
        <w:t>.</w:t>
      </w:r>
      <w:r w:rsidRPr="00290C15">
        <w:rPr>
          <w:rFonts w:ascii="Times New Roman" w:hAnsi="Times New Roman"/>
          <w:sz w:val="22"/>
          <w:szCs w:val="22"/>
          <w:lang w:val="fr-BE"/>
        </w:rPr>
        <w:t xml:space="preserve"> </w:t>
      </w:r>
      <w:r w:rsidRPr="00290C15">
        <w:rPr>
          <w:rFonts w:ascii="Times New Roman" w:hAnsi="Times New Roman"/>
          <w:sz w:val="22"/>
          <w:szCs w:val="22"/>
          <w:lang w:val="fr-FR"/>
        </w:rPr>
        <w:t>(M.B. 23.09.2013)</w:t>
      </w:r>
      <w:r w:rsidRPr="00290C15">
        <w:rPr>
          <w:rFonts w:ascii="Times New Roman" w:hAnsi="Times New Roman"/>
          <w:sz w:val="22"/>
          <w:szCs w:val="22"/>
          <w:lang w:val="fr-BE"/>
        </w:rPr>
        <w:t>.</w:t>
      </w:r>
    </w:p>
    <w:p w:rsidR="007502FC" w:rsidRPr="00290C15" w:rsidRDefault="00946F28"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FR"/>
        </w:rPr>
        <w:t>117</w:t>
      </w:r>
      <w:r>
        <w:rPr>
          <w:rFonts w:ascii="Times New Roman" w:hAnsi="Times New Roman"/>
          <w:i/>
          <w:sz w:val="22"/>
          <w:szCs w:val="22"/>
          <w:lang w:val="fr-FR"/>
        </w:rPr>
        <w:t>bis.</w:t>
      </w:r>
      <w:r>
        <w:rPr>
          <w:rFonts w:ascii="Times New Roman" w:hAnsi="Times New Roman"/>
          <w:i/>
          <w:sz w:val="22"/>
          <w:szCs w:val="22"/>
          <w:lang w:val="fr-FR"/>
        </w:rPr>
        <w:tab/>
      </w:r>
      <w:r w:rsidRPr="00946F28">
        <w:rPr>
          <w:rFonts w:ascii="Times New Roman" w:hAnsi="Times New Roman"/>
          <w:sz w:val="22"/>
          <w:szCs w:val="22"/>
          <w:lang w:val="fr-BE"/>
        </w:rPr>
        <w:t xml:space="preserve">INTACT, GAMS-Belgique, Stratégies concertées de lutte contre les MGF, Vlaams Forum </w:t>
      </w:r>
      <w:proofErr w:type="spellStart"/>
      <w:r w:rsidRPr="00946F28">
        <w:rPr>
          <w:rFonts w:ascii="Times New Roman" w:hAnsi="Times New Roman"/>
          <w:sz w:val="22"/>
          <w:szCs w:val="22"/>
          <w:lang w:val="fr-BE"/>
        </w:rPr>
        <w:t>Kindermishandeling</w:t>
      </w:r>
      <w:proofErr w:type="spellEnd"/>
      <w:r>
        <w:rPr>
          <w:rFonts w:ascii="Times New Roman" w:hAnsi="Times New Roman"/>
          <w:sz w:val="22"/>
          <w:szCs w:val="22"/>
          <w:lang w:val="fr-CH"/>
        </w:rPr>
        <w:t>.</w:t>
      </w:r>
      <w:hyperlink r:id="rId23" w:history="1">
        <w:r w:rsidR="007502FC" w:rsidRPr="00290C15">
          <w:rPr>
            <w:rStyle w:val="Lienhypertexte"/>
            <w:rFonts w:ascii="Times New Roman" w:hAnsi="Times New Roman"/>
            <w:sz w:val="22"/>
            <w:szCs w:val="22"/>
            <w:lang w:val="fr-BE"/>
          </w:rPr>
          <w:t>http:</w:t>
        </w:r>
        <w:r w:rsidR="007502FC" w:rsidRPr="00290C15">
          <w:rPr>
            <w:rStyle w:val="Lienhypertexte"/>
            <w:rFonts w:ascii="Times New Roman" w:hAnsi="Times New Roman"/>
            <w:sz w:val="22"/>
            <w:szCs w:val="22"/>
            <w:lang w:val="fr-BE"/>
          </w:rPr>
          <w:t>//menspeakout.eu/</w:t>
        </w:r>
      </w:hyperlink>
      <w:r w:rsidR="007502FC" w:rsidRPr="00290C15">
        <w:rPr>
          <w:rFonts w:ascii="Times New Roman" w:hAnsi="Times New Roman"/>
          <w:sz w:val="22"/>
          <w:szCs w:val="22"/>
          <w:lang w:val="fr-BE"/>
        </w:rPr>
        <w:t xml:space="preserve">. </w:t>
      </w:r>
    </w:p>
    <w:p w:rsidR="007502FC" w:rsidRPr="00290C15" w:rsidRDefault="0044300F"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hyperlink r:id="rId24" w:history="1">
        <w:r w:rsidR="007502FC" w:rsidRPr="00290C15">
          <w:rPr>
            <w:rStyle w:val="Lienhypertexte"/>
            <w:rFonts w:ascii="Times New Roman" w:hAnsi="Times New Roman"/>
            <w:sz w:val="22"/>
            <w:szCs w:val="22"/>
            <w:lang w:val="fr-BE"/>
          </w:rPr>
          <w:t>http://igvm-iefh.belgium.be/fr/actualite/prevalence_des_mutilations_genitales_feminines_en_belgique</w:t>
        </w:r>
      </w:hyperlink>
      <w:r w:rsidR="007502FC" w:rsidRPr="00290C15">
        <w:rPr>
          <w:rFonts w:ascii="Times New Roman" w:hAnsi="Times New Roman"/>
          <w:sz w:val="22"/>
          <w:szCs w:val="22"/>
          <w:lang w:val="fr-BE"/>
        </w:rPr>
        <w:t>.</w:t>
      </w:r>
    </w:p>
    <w:p w:rsidR="00946F28"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Circulaire COL6/2017 commune du Ministre de la justice et du Collège des procureurs généraux relative à la politique de recherché et de poursuite en matière de violences liées à l’honneur, mutilations génitales féminines et mariages et cohabitations légales forces (27 avril 2017).</w:t>
      </w:r>
    </w:p>
    <w:p w:rsidR="007502FC" w:rsidRPr="00804273" w:rsidRDefault="00946F28" w:rsidP="00804273">
      <w:pPr>
        <w:pStyle w:val="Notedebasdepage"/>
        <w:tabs>
          <w:tab w:val="left" w:pos="709"/>
        </w:tabs>
        <w:spacing w:after="20" w:line="240" w:lineRule="auto"/>
        <w:ind w:left="709" w:hanging="709"/>
        <w:jc w:val="both"/>
        <w:rPr>
          <w:bCs/>
          <w:sz w:val="22"/>
          <w:szCs w:val="22"/>
          <w:lang w:val="fr-CH"/>
        </w:rPr>
      </w:pPr>
      <w:r>
        <w:rPr>
          <w:rFonts w:ascii="Times New Roman" w:hAnsi="Times New Roman"/>
          <w:sz w:val="22"/>
          <w:szCs w:val="22"/>
          <w:lang w:val="fr-FR"/>
        </w:rPr>
        <w:t>120</w:t>
      </w:r>
      <w:r>
        <w:rPr>
          <w:rFonts w:ascii="Times New Roman" w:hAnsi="Times New Roman"/>
          <w:i/>
          <w:sz w:val="22"/>
          <w:szCs w:val="22"/>
          <w:lang w:val="fr-FR"/>
        </w:rPr>
        <w:t>bis.</w:t>
      </w:r>
      <w:r>
        <w:rPr>
          <w:rFonts w:ascii="Times New Roman" w:hAnsi="Times New Roman"/>
          <w:i/>
          <w:sz w:val="22"/>
          <w:szCs w:val="22"/>
          <w:lang w:val="fr-FR"/>
        </w:rPr>
        <w:tab/>
      </w:r>
      <w:r>
        <w:rPr>
          <w:rFonts w:ascii="Times New Roman" w:hAnsi="Times New Roman"/>
          <w:sz w:val="22"/>
          <w:szCs w:val="22"/>
          <w:lang w:val="fr-BE"/>
        </w:rPr>
        <w:t>D</w:t>
      </w:r>
      <w:r w:rsidRPr="00946F28">
        <w:rPr>
          <w:rFonts w:ascii="Times New Roman" w:hAnsi="Times New Roman"/>
          <w:sz w:val="22"/>
          <w:szCs w:val="22"/>
          <w:lang w:val="fr-BE"/>
        </w:rPr>
        <w:t>ésignation de personnes de référence, plan d’approche, meilleur enregistrement des cas, formation des professionnels, collaboration, etc.</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Ministère publique (2017), </w:t>
      </w:r>
      <w:hyperlink r:id="rId25" w:history="1">
        <w:r w:rsidRPr="00290C15">
          <w:rPr>
            <w:rStyle w:val="Lienhypertexte"/>
            <w:rFonts w:ascii="Times New Roman" w:hAnsi="Times New Roman"/>
            <w:sz w:val="22"/>
            <w:szCs w:val="22"/>
            <w:lang w:val="fr-BE"/>
          </w:rPr>
          <w:t>Journée d’étude sur les violences liées à l’honneur</w:t>
        </w:r>
      </w:hyperlink>
      <w:r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en-GB"/>
        </w:rPr>
      </w:pPr>
      <w:r w:rsidRPr="00290C15">
        <w:rPr>
          <w:rFonts w:ascii="Times New Roman" w:hAnsi="Times New Roman"/>
          <w:sz w:val="22"/>
          <w:szCs w:val="22"/>
          <w:lang w:val="en-GB"/>
        </w:rPr>
        <w:t xml:space="preserve">A/HRC/32/8/Add.1 </w:t>
      </w:r>
      <w:proofErr w:type="spellStart"/>
      <w:r w:rsidRPr="00290C15">
        <w:rPr>
          <w:rFonts w:ascii="Times New Roman" w:hAnsi="Times New Roman"/>
          <w:i/>
          <w:sz w:val="22"/>
          <w:szCs w:val="22"/>
          <w:lang w:val="en-GB"/>
        </w:rPr>
        <w:t>op.cit</w:t>
      </w:r>
      <w:proofErr w:type="spellEnd"/>
      <w:r w:rsidRPr="00290C15">
        <w:rPr>
          <w:rFonts w:ascii="Times New Roman" w:hAnsi="Times New Roman"/>
          <w:sz w:val="22"/>
          <w:szCs w:val="22"/>
          <w:lang w:val="en-GB"/>
        </w:rPr>
        <w:t>, §27.</w:t>
      </w:r>
    </w:p>
    <w:p w:rsidR="007502FC" w:rsidRPr="00290C15" w:rsidRDefault="007502FC" w:rsidP="00946F28">
      <w:pPr>
        <w:pStyle w:val="CATRponsesparagraphes"/>
        <w:numPr>
          <w:ilvl w:val="0"/>
          <w:numId w:val="1"/>
        </w:numPr>
        <w:tabs>
          <w:tab w:val="left" w:pos="709"/>
        </w:tabs>
        <w:spacing w:after="20"/>
        <w:ind w:left="709" w:hanging="709"/>
        <w:rPr>
          <w:sz w:val="22"/>
          <w:szCs w:val="22"/>
        </w:rPr>
      </w:pPr>
      <w:r w:rsidRPr="00290C15">
        <w:rPr>
          <w:sz w:val="22"/>
          <w:szCs w:val="22"/>
        </w:rPr>
        <w:t>Ainsi, notamment, l’art. 375 du Code pénal punit le viol entre époux et partenaires. Une circonstance aggravante existe quant aux violences commises entre eux (article 410 du Code pénal). La Belgique connaît des circonstances aggravantes pour des infractions commises en raison d’un motif discriminatoire, dont le genre.</w:t>
      </w:r>
    </w:p>
    <w:p w:rsidR="007502FC" w:rsidRPr="00290C15" w:rsidRDefault="00804273"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hyperlink r:id="rId26" w:history="1">
        <w:r w:rsidR="007502FC" w:rsidRPr="00290C15">
          <w:rPr>
            <w:rStyle w:val="Lienhypertexte"/>
            <w:rFonts w:ascii="Times New Roman" w:hAnsi="Times New Roman"/>
            <w:sz w:val="22"/>
            <w:szCs w:val="22"/>
            <w:lang w:val="fr-BE"/>
          </w:rPr>
          <w:t>www.risicotaxatie.be</w:t>
        </w:r>
      </w:hyperlink>
      <w:r w:rsidR="007502FC" w:rsidRPr="00290C15">
        <w:rPr>
          <w:rFonts w:ascii="Times New Roman" w:hAnsi="Times New Roman"/>
          <w:sz w:val="22"/>
          <w:szCs w:val="22"/>
          <w:lang w:val="fr-BE"/>
        </w:rPr>
        <w:t>.</w:t>
      </w:r>
    </w:p>
    <w:p w:rsidR="007502FC" w:rsidRPr="00290C15" w:rsidRDefault="007D4EFB"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Pr>
          <w:lang w:val="fr-BE"/>
        </w:rPr>
        <w:t>N</w:t>
      </w:r>
      <w:proofErr w:type="spellStart"/>
      <w:r w:rsidRPr="007D4EFB">
        <w:rPr>
          <w:lang w:val="fr-FR"/>
        </w:rPr>
        <w:t>otamment</w:t>
      </w:r>
      <w:proofErr w:type="spellEnd"/>
      <w:r w:rsidRPr="007D4EFB">
        <w:rPr>
          <w:lang w:val="fr-FR"/>
        </w:rPr>
        <w:t xml:space="preserve"> la campagne « Réagissez avant d’agir ! » de l’IEFH, des campagnes (15-25ans) « No Violence »</w:t>
      </w:r>
      <w:r>
        <w:rPr>
          <w:lang w:val="fr-FR"/>
        </w:rPr>
        <w:t xml:space="preserve"> (</w:t>
      </w:r>
      <w:hyperlink r:id="rId27" w:history="1">
        <w:r w:rsidRPr="007D4EFB">
          <w:rPr>
            <w:rStyle w:val="Lienhypertexte"/>
            <w:lang w:val="fr-BE"/>
          </w:rPr>
          <w:t>www.aimesansviolence.be</w:t>
        </w:r>
      </w:hyperlink>
      <w:r>
        <w:rPr>
          <w:lang w:val="fr-FR"/>
        </w:rPr>
        <w:t>)</w:t>
      </w:r>
      <w:r w:rsidRPr="007D4EFB">
        <w:rPr>
          <w:lang w:val="fr-FR"/>
        </w:rPr>
        <w:t>, le « Journal de Marie » de la Communauté française, la Région wallonne et la COCOF et la campagne « SOS Violence » et « Signale la violence » de la Région de Bruxelles-Capitale</w:t>
      </w:r>
      <w:r>
        <w:rPr>
          <w:lang w:val="fr-FR"/>
        </w:rPr>
        <w:t xml:space="preserve"> (</w:t>
      </w:r>
      <w:hyperlink r:id="rId28" w:history="1">
        <w:r w:rsidRPr="007D4EFB">
          <w:rPr>
            <w:rStyle w:val="Lienhypertexte"/>
            <w:lang w:val="fr-BE"/>
          </w:rPr>
          <w:t>www.sosviolence.brussels</w:t>
        </w:r>
      </w:hyperlink>
      <w:r>
        <w:rPr>
          <w:lang w:val="fr-FR"/>
        </w:rPr>
        <w:t>)</w:t>
      </w:r>
      <w:r w:rsidRPr="007D4EFB">
        <w:rPr>
          <w:lang w:val="fr-FR"/>
        </w:rPr>
        <w:t>, et diverses activités au niveau des provinces comme la campagne « </w:t>
      </w:r>
      <w:r w:rsidRPr="007D4EFB">
        <w:rPr>
          <w:i/>
          <w:lang w:val="fr-FR"/>
        </w:rPr>
        <w:t xml:space="preserve">Als </w:t>
      </w:r>
      <w:proofErr w:type="spellStart"/>
      <w:r w:rsidRPr="007D4EFB">
        <w:rPr>
          <w:i/>
          <w:lang w:val="fr-FR"/>
        </w:rPr>
        <w:t>liefde</w:t>
      </w:r>
      <w:proofErr w:type="spellEnd"/>
      <w:r w:rsidRPr="007D4EFB">
        <w:rPr>
          <w:i/>
          <w:lang w:val="fr-FR"/>
        </w:rPr>
        <w:t xml:space="preserve"> </w:t>
      </w:r>
      <w:proofErr w:type="spellStart"/>
      <w:r w:rsidRPr="007D4EFB">
        <w:rPr>
          <w:i/>
          <w:lang w:val="fr-FR"/>
        </w:rPr>
        <w:t>pijn</w:t>
      </w:r>
      <w:proofErr w:type="spellEnd"/>
      <w:r w:rsidRPr="007D4EFB">
        <w:rPr>
          <w:i/>
          <w:lang w:val="fr-FR"/>
        </w:rPr>
        <w:t xml:space="preserve"> </w:t>
      </w:r>
      <w:proofErr w:type="spellStart"/>
      <w:r w:rsidRPr="007D4EFB">
        <w:rPr>
          <w:i/>
          <w:lang w:val="fr-FR"/>
        </w:rPr>
        <w:t>doet</w:t>
      </w:r>
      <w:proofErr w:type="spellEnd"/>
      <w:r w:rsidRPr="007D4EFB">
        <w:rPr>
          <w:i/>
          <w:lang w:val="fr-FR"/>
        </w:rPr>
        <w:t>…</w:t>
      </w:r>
      <w:r w:rsidRPr="007D4EFB">
        <w:rPr>
          <w:lang w:val="fr-FR"/>
        </w:rPr>
        <w:t xml:space="preserve"> »</w:t>
      </w:r>
      <w:r>
        <w:rPr>
          <w:lang w:val="fr-FR"/>
        </w:rPr>
        <w:t xml:space="preserve"> (</w:t>
      </w:r>
      <w:r w:rsidRPr="00804273">
        <w:rPr>
          <w:i/>
          <w:lang w:val="fr-FR"/>
        </w:rPr>
        <w:t>« Quand l’amour fait mal »</w:t>
      </w:r>
      <w:r>
        <w:rPr>
          <w:lang w:val="fr-FR"/>
        </w:rPr>
        <w:t>)</w:t>
      </w:r>
    </w:p>
    <w:p w:rsidR="007502FC" w:rsidRPr="00290C15" w:rsidRDefault="00804273"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hyperlink r:id="rId29" w:history="1">
        <w:r w:rsidRPr="00A94118">
          <w:rPr>
            <w:rStyle w:val="Lienhypertexte"/>
            <w:rFonts w:ascii="Times New Roman" w:hAnsi="Times New Roman"/>
            <w:sz w:val="22"/>
            <w:szCs w:val="22"/>
            <w:lang w:val="fr-BE"/>
          </w:rPr>
          <w:t>www.sosviolence.brussels</w:t>
        </w:r>
      </w:hyperlink>
      <w:r w:rsidR="007502FC"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Traduction : « </w:t>
      </w:r>
      <w:r w:rsidRPr="00290C15">
        <w:rPr>
          <w:rFonts w:ascii="Times New Roman" w:hAnsi="Times New Roman"/>
          <w:i/>
          <w:sz w:val="22"/>
          <w:szCs w:val="22"/>
          <w:lang w:val="fr-BE"/>
        </w:rPr>
        <w:t>Quand l’amour fait mal</w:t>
      </w:r>
      <w:r w:rsidRPr="00290C15">
        <w:rPr>
          <w:rFonts w:ascii="Times New Roman" w:hAnsi="Times New Roman"/>
          <w:sz w:val="22"/>
          <w:szCs w:val="22"/>
          <w:lang w:val="fr-BE"/>
        </w:rPr>
        <w:t>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Lignes téléphoniques « 0800/30.030 » du côté francophone et « 1712 » du côté néerlandophone.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Résumé de l’étude : </w:t>
      </w:r>
      <w:hyperlink r:id="rId30" w:history="1">
        <w:r w:rsidRPr="00290C15">
          <w:rPr>
            <w:rStyle w:val="Lienhypertexte"/>
            <w:rFonts w:ascii="Times New Roman" w:hAnsi="Times New Roman"/>
            <w:sz w:val="22"/>
            <w:szCs w:val="22"/>
            <w:lang w:val="fr-BE"/>
          </w:rPr>
          <w:t>http://equal.brussels/-tude-la-violence-faite-aux-femmes</w:t>
        </w:r>
      </w:hyperlink>
      <w:r w:rsidRPr="00290C15">
        <w:rPr>
          <w:rFonts w:ascii="Times New Roman" w:hAnsi="Times New Roman"/>
          <w:sz w:val="22"/>
          <w:szCs w:val="22"/>
          <w:lang w:val="fr-BE"/>
        </w:rPr>
        <w:t>.</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Le cadre légal pour le droit de parole a été revu (nouvel article 458ter Code pénal, loi du 6 juillet 2017). Il existe maintenant une cause d’excuse spécifique pour la violation du secret </w:t>
      </w:r>
      <w:r w:rsidRPr="00290C15">
        <w:rPr>
          <w:rFonts w:ascii="Times New Roman" w:hAnsi="Times New Roman"/>
          <w:sz w:val="22"/>
          <w:szCs w:val="22"/>
          <w:lang w:val="fr-FR"/>
        </w:rPr>
        <w:lastRenderedPageBreak/>
        <w:t xml:space="preserve">professionnel : </w:t>
      </w:r>
      <w:r w:rsidRPr="00290C15">
        <w:rPr>
          <w:rFonts w:ascii="Times New Roman" w:hAnsi="Times New Roman"/>
          <w:i/>
          <w:sz w:val="22"/>
          <w:szCs w:val="22"/>
          <w:lang w:val="fr-FR"/>
        </w:rPr>
        <w:t>« </w:t>
      </w:r>
      <w:r w:rsidRPr="00290C15">
        <w:rPr>
          <w:rFonts w:ascii="Times New Roman" w:hAnsi="Times New Roman"/>
          <w:bCs/>
          <w:i/>
          <w:sz w:val="22"/>
          <w:szCs w:val="22"/>
          <w:lang w:val="fr-FR"/>
        </w:rPr>
        <w:t xml:space="preserve">Il n'y a pas d'infraction lorsqu'une personne qui, par état ou par profession, est dépositaire de secrets, communique ceux-ci dans le cadre d'une concertation organisée soit par ou en vertu d'une loi, d'un décret ou d'une ordonnance, soit moyennant une autorisation motivée du procureur du Roi. Cette concertation peut exclusivement être organisée soit en vue de protéger l'intégrité physique et psychique de la personne ou de tiers, soit en vue de prévenir les délits visés au Titre </w:t>
      </w:r>
      <w:proofErr w:type="spellStart"/>
      <w:r w:rsidRPr="00290C15">
        <w:rPr>
          <w:rFonts w:ascii="Times New Roman" w:hAnsi="Times New Roman"/>
          <w:bCs/>
          <w:i/>
          <w:sz w:val="22"/>
          <w:szCs w:val="22"/>
          <w:lang w:val="fr-FR"/>
        </w:rPr>
        <w:t>Iter</w:t>
      </w:r>
      <w:proofErr w:type="spellEnd"/>
      <w:r w:rsidRPr="00290C15">
        <w:rPr>
          <w:rFonts w:ascii="Times New Roman" w:hAnsi="Times New Roman"/>
          <w:bCs/>
          <w:i/>
          <w:sz w:val="22"/>
          <w:szCs w:val="22"/>
          <w:lang w:val="fr-FR"/>
        </w:rPr>
        <w:t xml:space="preserve"> du Livre II ou les délits commis dans le cadre d'une organisation criminelle, telle qu'elle est définie à l'article 324bis »</w:t>
      </w:r>
      <w:r w:rsidRPr="00290C15">
        <w:rPr>
          <w:rFonts w:ascii="Times New Roman" w:hAnsi="Times New Roman"/>
          <w:bCs/>
          <w:sz w:val="22"/>
          <w:szCs w:val="22"/>
          <w:lang w:val="fr-FR"/>
        </w:rPr>
        <w:t>.</w:t>
      </w:r>
    </w:p>
    <w:p w:rsidR="00946F28" w:rsidRPr="00946F28" w:rsidRDefault="00946F28"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bCs/>
          <w:sz w:val="22"/>
          <w:szCs w:val="22"/>
          <w:lang w:val="fr-FR"/>
        </w:rPr>
        <w:t>130</w:t>
      </w:r>
      <w:r>
        <w:rPr>
          <w:rFonts w:ascii="Times New Roman" w:hAnsi="Times New Roman"/>
          <w:bCs/>
          <w:i/>
          <w:sz w:val="22"/>
          <w:szCs w:val="22"/>
          <w:lang w:val="fr-FR"/>
        </w:rPr>
        <w:t>bis</w:t>
      </w:r>
      <w:r>
        <w:rPr>
          <w:rFonts w:ascii="Times New Roman" w:hAnsi="Times New Roman"/>
          <w:bCs/>
          <w:sz w:val="22"/>
          <w:szCs w:val="22"/>
          <w:lang w:val="fr-FR"/>
        </w:rPr>
        <w:t>.</w:t>
      </w:r>
      <w:r>
        <w:rPr>
          <w:rFonts w:ascii="Times New Roman" w:hAnsi="Times New Roman"/>
          <w:bCs/>
          <w:sz w:val="22"/>
          <w:szCs w:val="22"/>
          <w:lang w:val="fr-FR"/>
        </w:rPr>
        <w:tab/>
        <w:t>L</w:t>
      </w:r>
      <w:r w:rsidRPr="00946F28">
        <w:rPr>
          <w:rFonts w:ascii="Times New Roman" w:hAnsi="Times New Roman"/>
          <w:bCs/>
          <w:sz w:val="22"/>
          <w:szCs w:val="22"/>
          <w:lang w:val="fr-FR"/>
        </w:rPr>
        <w:t>ois du 10/04/2014 sur la protection des mineurs contre la sollicitation à des fins de perpétration à caractère sexuel et pour protéger les enf</w:t>
      </w:r>
      <w:r>
        <w:rPr>
          <w:rFonts w:ascii="Times New Roman" w:hAnsi="Times New Roman"/>
          <w:bCs/>
          <w:sz w:val="22"/>
          <w:szCs w:val="22"/>
          <w:lang w:val="fr-FR"/>
        </w:rPr>
        <w:t xml:space="preserve">ants contre les </w:t>
      </w:r>
      <w:proofErr w:type="spellStart"/>
      <w:r>
        <w:rPr>
          <w:rFonts w:ascii="Times New Roman" w:hAnsi="Times New Roman"/>
          <w:bCs/>
          <w:sz w:val="22"/>
          <w:szCs w:val="22"/>
          <w:lang w:val="fr-FR"/>
        </w:rPr>
        <w:t>cyberprédateurs</w:t>
      </w:r>
      <w:proofErr w:type="spellEnd"/>
      <w:r>
        <w:rPr>
          <w:rFonts w:ascii="Times New Roman" w:hAnsi="Times New Roman"/>
          <w:bCs/>
          <w:sz w:val="22"/>
          <w:szCs w:val="22"/>
          <w:lang w:val="fr-FR"/>
        </w:rPr>
        <w:t> ; L</w:t>
      </w:r>
      <w:r w:rsidRPr="00946F28">
        <w:rPr>
          <w:rFonts w:ascii="Times New Roman" w:hAnsi="Times New Roman"/>
          <w:bCs/>
          <w:sz w:val="22"/>
          <w:szCs w:val="22"/>
          <w:lang w:val="fr-FR"/>
        </w:rPr>
        <w:t>oi du 01/02/2016 modifiant diverses dispositions en ce qui concerne l’attentat à la pudeur et le voyeurisme</w:t>
      </w:r>
      <w:r>
        <w:rPr>
          <w:rFonts w:ascii="Times New Roman" w:hAnsi="Times New Roman"/>
          <w:bCs/>
          <w:sz w:val="22"/>
          <w:szCs w:val="22"/>
          <w:lang w:val="fr-FR"/>
        </w:rPr>
        <w:t>.</w:t>
      </w:r>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bCs/>
          <w:sz w:val="22"/>
          <w:szCs w:val="22"/>
          <w:lang w:val="fr-FR"/>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lang w:val="fr-BE"/>
        </w:rPr>
      </w:pPr>
      <w:bookmarkStart w:id="26" w:name="_Toc503444759"/>
      <w:bookmarkStart w:id="27" w:name="_Toc503444774"/>
      <w:bookmarkStart w:id="28" w:name="_Toc519074803"/>
      <w:r w:rsidRPr="00290C15">
        <w:rPr>
          <w:b/>
          <w:color w:val="000000"/>
          <w:sz w:val="22"/>
          <w:szCs w:val="22"/>
          <w:lang w:val="fr-BE"/>
        </w:rPr>
        <w:t>Interdiction de la torture et des peines ou traitements cruels inhumains ou dégradants (art. 7)</w:t>
      </w:r>
      <w:bookmarkEnd w:id="26"/>
      <w:bookmarkEnd w:id="27"/>
      <w:bookmarkEnd w:id="28"/>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FR"/>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CAT/C/BEL/3, §4.</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w:t>
      </w:r>
      <w:r w:rsidRPr="00290C15">
        <w:rPr>
          <w:rFonts w:ascii="Times New Roman" w:hAnsi="Times New Roman"/>
          <w:sz w:val="22"/>
          <w:szCs w:val="22"/>
          <w:lang w:val="fr-FR"/>
        </w:rPr>
        <w:t>417</w:t>
      </w:r>
      <w:r w:rsidRPr="00290C15">
        <w:rPr>
          <w:rFonts w:ascii="Times New Roman" w:hAnsi="Times New Roman"/>
          <w:i/>
          <w:sz w:val="22"/>
          <w:szCs w:val="22"/>
          <w:lang w:val="fr-FR"/>
        </w:rPr>
        <w:t>ter</w:t>
      </w:r>
      <w:r w:rsidRPr="00290C15">
        <w:rPr>
          <w:rFonts w:ascii="Times New Roman" w:hAnsi="Times New Roman"/>
          <w:sz w:val="22"/>
          <w:szCs w:val="22"/>
          <w:lang w:val="fr-FR"/>
        </w:rPr>
        <w:t xml:space="preserve"> et </w:t>
      </w:r>
      <w:r w:rsidRPr="00290C15">
        <w:rPr>
          <w:rFonts w:ascii="Times New Roman" w:hAnsi="Times New Roman"/>
          <w:i/>
          <w:sz w:val="22"/>
          <w:szCs w:val="22"/>
          <w:lang w:val="fr-FR"/>
        </w:rPr>
        <w:t>quater</w:t>
      </w:r>
      <w:r w:rsidRPr="00290C15">
        <w:rPr>
          <w:rFonts w:ascii="Times New Roman" w:hAnsi="Times New Roman"/>
          <w:sz w:val="22"/>
          <w:szCs w:val="22"/>
          <w:lang w:val="fr-FR"/>
        </w:rPr>
        <w:t xml:space="preserve"> du Code pénal.</w:t>
      </w:r>
    </w:p>
    <w:p w:rsidR="00946F28"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Soulignons que les articles 417</w:t>
      </w:r>
      <w:r w:rsidRPr="00290C15">
        <w:rPr>
          <w:rFonts w:ascii="Times New Roman" w:hAnsi="Times New Roman"/>
          <w:i/>
          <w:sz w:val="22"/>
          <w:szCs w:val="22"/>
          <w:lang w:val="fr-FR"/>
        </w:rPr>
        <w:t xml:space="preserve">ter </w:t>
      </w:r>
      <w:r w:rsidRPr="00290C15">
        <w:rPr>
          <w:rFonts w:ascii="Times New Roman" w:hAnsi="Times New Roman"/>
          <w:sz w:val="22"/>
          <w:szCs w:val="22"/>
          <w:lang w:val="fr-FR"/>
        </w:rPr>
        <w:t xml:space="preserve">et </w:t>
      </w:r>
      <w:r w:rsidRPr="00290C15">
        <w:rPr>
          <w:rFonts w:ascii="Times New Roman" w:hAnsi="Times New Roman"/>
          <w:i/>
          <w:sz w:val="22"/>
          <w:szCs w:val="22"/>
          <w:lang w:val="fr-FR"/>
        </w:rPr>
        <w:t>quater</w:t>
      </w:r>
      <w:r w:rsidRPr="00290C15">
        <w:rPr>
          <w:rFonts w:ascii="Times New Roman" w:hAnsi="Times New Roman"/>
          <w:sz w:val="22"/>
          <w:szCs w:val="22"/>
          <w:lang w:val="fr-FR"/>
        </w:rPr>
        <w:t xml:space="preserve"> du Code pénal indiquent que l’ordre d’un supérieur ou d’une autorité ne peut justifier les infractions de torture et de traitement inhumain.</w:t>
      </w:r>
    </w:p>
    <w:p w:rsidR="007502FC" w:rsidRPr="00290C15" w:rsidRDefault="00946F28" w:rsidP="00804273">
      <w:pPr>
        <w:pStyle w:val="Notedebasdepage"/>
        <w:tabs>
          <w:tab w:val="left" w:pos="709"/>
        </w:tabs>
        <w:spacing w:after="20" w:line="240" w:lineRule="auto"/>
        <w:jc w:val="both"/>
        <w:rPr>
          <w:rFonts w:ascii="Times New Roman" w:hAnsi="Times New Roman"/>
          <w:sz w:val="22"/>
          <w:szCs w:val="22"/>
          <w:lang w:val="fr-FR"/>
        </w:rPr>
      </w:pPr>
      <w:r>
        <w:rPr>
          <w:rFonts w:ascii="Times New Roman" w:hAnsi="Times New Roman"/>
          <w:sz w:val="22"/>
          <w:szCs w:val="22"/>
          <w:lang w:val="fr-FR"/>
        </w:rPr>
        <w:t>133</w:t>
      </w:r>
      <w:r>
        <w:rPr>
          <w:rFonts w:ascii="Times New Roman" w:hAnsi="Times New Roman"/>
          <w:i/>
          <w:sz w:val="22"/>
          <w:szCs w:val="22"/>
          <w:lang w:val="fr-FR"/>
        </w:rPr>
        <w:t>bis</w:t>
      </w:r>
      <w:r>
        <w:rPr>
          <w:rFonts w:ascii="Times New Roman" w:hAnsi="Times New Roman"/>
          <w:sz w:val="22"/>
          <w:szCs w:val="22"/>
          <w:lang w:val="fr-FR"/>
        </w:rPr>
        <w:t>.</w:t>
      </w:r>
      <w:r>
        <w:rPr>
          <w:rFonts w:ascii="Times New Roman" w:hAnsi="Times New Roman"/>
          <w:sz w:val="22"/>
          <w:szCs w:val="22"/>
          <w:lang w:val="fr-FR"/>
        </w:rPr>
        <w:tab/>
      </w:r>
      <w:r w:rsidRPr="00946F28">
        <w:rPr>
          <w:rFonts w:ascii="Times New Roman" w:hAnsi="Times New Roman"/>
          <w:sz w:val="22"/>
          <w:szCs w:val="22"/>
          <w:lang w:val="fr-FR"/>
        </w:rPr>
        <w:t>Articles 66, 67 et 69 du Code pénal</w:t>
      </w:r>
      <w:r>
        <w:rPr>
          <w:rFonts w:ascii="Times New Roman" w:hAnsi="Times New Roman"/>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w:t>
      </w:r>
      <w:proofErr w:type="spellStart"/>
      <w:r w:rsidRPr="00290C15">
        <w:rPr>
          <w:rFonts w:ascii="Times New Roman" w:hAnsi="Times New Roman"/>
          <w:sz w:val="22"/>
          <w:szCs w:val="22"/>
          <w:lang w:val="fr-FR"/>
        </w:rPr>
        <w:t>rt</w:t>
      </w:r>
      <w:proofErr w:type="spellEnd"/>
      <w:r w:rsidRPr="00290C15">
        <w:rPr>
          <w:rFonts w:ascii="Times New Roman" w:hAnsi="Times New Roman"/>
          <w:sz w:val="22"/>
          <w:szCs w:val="22"/>
          <w:lang w:val="fr-FR"/>
        </w:rPr>
        <w:t>. 405</w:t>
      </w:r>
      <w:r w:rsidRPr="00290C15">
        <w:rPr>
          <w:rFonts w:ascii="Times New Roman" w:hAnsi="Times New Roman"/>
          <w:i/>
          <w:sz w:val="22"/>
          <w:szCs w:val="22"/>
          <w:lang w:val="fr-FR"/>
        </w:rPr>
        <w:t xml:space="preserve">quater </w:t>
      </w:r>
      <w:r w:rsidRPr="00290C15">
        <w:rPr>
          <w:rFonts w:ascii="Times New Roman" w:hAnsi="Times New Roman"/>
          <w:sz w:val="22"/>
          <w:szCs w:val="22"/>
          <w:lang w:val="fr-FR"/>
        </w:rPr>
        <w:t>du Code pénal.</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w:t>
      </w:r>
      <w:r w:rsidRPr="00290C15">
        <w:rPr>
          <w:rFonts w:ascii="Times New Roman" w:hAnsi="Times New Roman"/>
          <w:sz w:val="22"/>
          <w:szCs w:val="22"/>
          <w:lang w:val="fr-FR"/>
        </w:rPr>
        <w:t xml:space="preserve"> 422</w:t>
      </w:r>
      <w:r w:rsidRPr="00290C15">
        <w:rPr>
          <w:rFonts w:ascii="Times New Roman" w:hAnsi="Times New Roman"/>
          <w:i/>
          <w:sz w:val="22"/>
          <w:szCs w:val="22"/>
          <w:lang w:val="fr-FR"/>
        </w:rPr>
        <w:t>quater</w:t>
      </w:r>
      <w:r w:rsidRPr="00290C15">
        <w:rPr>
          <w:rFonts w:ascii="Times New Roman" w:hAnsi="Times New Roman"/>
          <w:sz w:val="22"/>
          <w:szCs w:val="22"/>
          <w:lang w:val="fr-FR"/>
        </w:rPr>
        <w:t xml:space="preserve"> du Code pénal.</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FR"/>
        </w:rPr>
        <w:t>Art. 438</w:t>
      </w:r>
      <w:r w:rsidRPr="00290C15">
        <w:rPr>
          <w:rFonts w:ascii="Times New Roman" w:hAnsi="Times New Roman"/>
          <w:i/>
          <w:sz w:val="22"/>
          <w:szCs w:val="22"/>
          <w:lang w:val="fr-FR"/>
        </w:rPr>
        <w:t>bis</w:t>
      </w:r>
      <w:r w:rsidRPr="00290C15">
        <w:rPr>
          <w:rFonts w:ascii="Times New Roman" w:hAnsi="Times New Roman"/>
          <w:sz w:val="22"/>
          <w:szCs w:val="22"/>
          <w:lang w:val="fr-FR"/>
        </w:rPr>
        <w:t xml:space="preserve"> du Code pénal.</w:t>
      </w:r>
    </w:p>
    <w:p w:rsidR="00BC7A01" w:rsidRPr="00BC7A01" w:rsidRDefault="00BC7A01" w:rsidP="00804273">
      <w:pPr>
        <w:pStyle w:val="Notedebasdepage"/>
        <w:tabs>
          <w:tab w:val="left" w:pos="709"/>
        </w:tabs>
        <w:spacing w:after="20" w:line="240" w:lineRule="auto"/>
        <w:jc w:val="both"/>
        <w:rPr>
          <w:rFonts w:ascii="Times New Roman" w:hAnsi="Times New Roman"/>
          <w:sz w:val="22"/>
          <w:szCs w:val="22"/>
          <w:lang w:val="fr-BE"/>
        </w:rPr>
      </w:pPr>
      <w:r>
        <w:rPr>
          <w:rFonts w:ascii="Times New Roman" w:hAnsi="Times New Roman"/>
          <w:sz w:val="22"/>
          <w:szCs w:val="22"/>
          <w:lang w:val="fr-FR"/>
        </w:rPr>
        <w:t>136</w:t>
      </w:r>
      <w:r>
        <w:rPr>
          <w:rFonts w:ascii="Times New Roman" w:hAnsi="Times New Roman"/>
          <w:i/>
          <w:sz w:val="22"/>
          <w:szCs w:val="22"/>
          <w:lang w:val="fr-FR"/>
        </w:rPr>
        <w:t>bis</w:t>
      </w:r>
      <w:r>
        <w:rPr>
          <w:rFonts w:ascii="Times New Roman" w:hAnsi="Times New Roman"/>
          <w:sz w:val="22"/>
          <w:szCs w:val="22"/>
          <w:lang w:val="fr-FR"/>
        </w:rPr>
        <w:t>.</w:t>
      </w:r>
      <w:r>
        <w:rPr>
          <w:rFonts w:ascii="Times New Roman" w:hAnsi="Times New Roman"/>
          <w:sz w:val="22"/>
          <w:szCs w:val="22"/>
          <w:lang w:val="fr-FR"/>
        </w:rPr>
        <w:tab/>
      </w:r>
      <w:r>
        <w:rPr>
          <w:rFonts w:ascii="Times New Roman" w:hAnsi="Times New Roman"/>
          <w:bCs/>
          <w:sz w:val="22"/>
          <w:szCs w:val="22"/>
          <w:lang w:val="fr-FR"/>
        </w:rPr>
        <w:t>N</w:t>
      </w:r>
      <w:r w:rsidRPr="00BC7A01">
        <w:rPr>
          <w:rFonts w:ascii="Times New Roman" w:hAnsi="Times New Roman"/>
          <w:bCs/>
          <w:sz w:val="22"/>
          <w:szCs w:val="22"/>
          <w:lang w:val="fr-FR"/>
        </w:rPr>
        <w:t xml:space="preserve">otamment </w:t>
      </w:r>
      <w:r>
        <w:rPr>
          <w:rFonts w:ascii="Times New Roman" w:hAnsi="Times New Roman"/>
          <w:bCs/>
          <w:sz w:val="22"/>
          <w:szCs w:val="22"/>
          <w:lang w:val="fr-FR"/>
        </w:rPr>
        <w:t>les articles 3 CEDH et 7 PIDCP.</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proofErr w:type="spellStart"/>
      <w:r w:rsidRPr="00290C15">
        <w:rPr>
          <w:rFonts w:ascii="Times New Roman" w:hAnsi="Times New Roman"/>
          <w:sz w:val="22"/>
          <w:szCs w:val="22"/>
          <w:lang w:val="fr-FR"/>
        </w:rPr>
        <w:t>Franchimont</w:t>
      </w:r>
      <w:proofErr w:type="spellEnd"/>
      <w:r w:rsidRPr="00290C15">
        <w:rPr>
          <w:rFonts w:ascii="Times New Roman" w:hAnsi="Times New Roman"/>
          <w:sz w:val="22"/>
          <w:szCs w:val="22"/>
          <w:lang w:val="fr-FR"/>
        </w:rPr>
        <w:t xml:space="preserve"> M. </w:t>
      </w:r>
      <w:r w:rsidRPr="00290C15">
        <w:rPr>
          <w:rFonts w:ascii="Times New Roman" w:hAnsi="Times New Roman"/>
          <w:i/>
          <w:sz w:val="22"/>
          <w:szCs w:val="22"/>
          <w:lang w:val="fr-FR"/>
        </w:rPr>
        <w:t>et al</w:t>
      </w:r>
      <w:r w:rsidRPr="00290C15">
        <w:rPr>
          <w:rFonts w:ascii="Times New Roman" w:hAnsi="Times New Roman"/>
          <w:sz w:val="22"/>
          <w:szCs w:val="22"/>
          <w:lang w:val="fr-FR"/>
        </w:rPr>
        <w:t xml:space="preserve"> (2012), </w:t>
      </w:r>
      <w:r w:rsidRPr="00290C15">
        <w:rPr>
          <w:rFonts w:ascii="Times New Roman" w:hAnsi="Times New Roman"/>
          <w:i/>
          <w:sz w:val="22"/>
          <w:szCs w:val="22"/>
          <w:lang w:val="fr-FR"/>
        </w:rPr>
        <w:t>Manuel de procédure pénale</w:t>
      </w:r>
      <w:r w:rsidRPr="00290C15">
        <w:rPr>
          <w:rFonts w:ascii="Times New Roman" w:hAnsi="Times New Roman"/>
          <w:sz w:val="22"/>
          <w:szCs w:val="22"/>
          <w:lang w:val="fr-FR"/>
        </w:rPr>
        <w:t xml:space="preserve"> (4 éd.), Bruxelles, </w:t>
      </w:r>
      <w:proofErr w:type="spellStart"/>
      <w:r w:rsidRPr="00290C15">
        <w:rPr>
          <w:rFonts w:ascii="Times New Roman" w:hAnsi="Times New Roman"/>
          <w:sz w:val="22"/>
          <w:szCs w:val="22"/>
          <w:lang w:val="fr-FR"/>
        </w:rPr>
        <w:t>Larcier</w:t>
      </w:r>
      <w:proofErr w:type="spellEnd"/>
      <w:r w:rsidRPr="00290C15">
        <w:rPr>
          <w:rFonts w:ascii="Times New Roman" w:hAnsi="Times New Roman"/>
          <w:sz w:val="22"/>
          <w:szCs w:val="22"/>
          <w:lang w:val="fr-FR"/>
        </w:rPr>
        <w:t xml:space="preserve">, p. 1149 ; Declercq R. (2014), </w:t>
      </w:r>
      <w:proofErr w:type="spellStart"/>
      <w:r w:rsidRPr="00290C15">
        <w:rPr>
          <w:rFonts w:ascii="Times New Roman" w:hAnsi="Times New Roman"/>
          <w:i/>
          <w:sz w:val="22"/>
          <w:szCs w:val="22"/>
          <w:lang w:val="fr-FR"/>
        </w:rPr>
        <w:t>Beginselen</w:t>
      </w:r>
      <w:proofErr w:type="spellEnd"/>
      <w:r w:rsidRPr="00290C15">
        <w:rPr>
          <w:rFonts w:ascii="Times New Roman" w:hAnsi="Times New Roman"/>
          <w:i/>
          <w:sz w:val="22"/>
          <w:szCs w:val="22"/>
          <w:lang w:val="fr-FR"/>
        </w:rPr>
        <w:t xml:space="preserve"> van </w:t>
      </w:r>
      <w:proofErr w:type="spellStart"/>
      <w:r w:rsidRPr="00290C15">
        <w:rPr>
          <w:rFonts w:ascii="Times New Roman" w:hAnsi="Times New Roman"/>
          <w:i/>
          <w:sz w:val="22"/>
          <w:szCs w:val="22"/>
          <w:lang w:val="fr-FR"/>
        </w:rPr>
        <w:t>strafrechtspleging</w:t>
      </w:r>
      <w:proofErr w:type="spellEnd"/>
      <w:r w:rsidRPr="00290C15">
        <w:rPr>
          <w:rFonts w:ascii="Times New Roman" w:hAnsi="Times New Roman"/>
          <w:sz w:val="22"/>
          <w:szCs w:val="22"/>
          <w:lang w:val="fr-FR"/>
        </w:rPr>
        <w:t xml:space="preserve">, Malines, Kluwer, p. 882 ; </w:t>
      </w:r>
      <w:proofErr w:type="spellStart"/>
      <w:r w:rsidRPr="00290C15">
        <w:rPr>
          <w:rFonts w:ascii="Times New Roman" w:hAnsi="Times New Roman"/>
          <w:sz w:val="22"/>
          <w:szCs w:val="22"/>
          <w:lang w:val="fr-FR"/>
        </w:rPr>
        <w:t>Vertstraeten</w:t>
      </w:r>
      <w:proofErr w:type="spellEnd"/>
      <w:r w:rsidRPr="00290C15">
        <w:rPr>
          <w:rFonts w:ascii="Times New Roman" w:hAnsi="Times New Roman"/>
          <w:sz w:val="22"/>
          <w:szCs w:val="22"/>
          <w:lang w:val="fr-FR"/>
        </w:rPr>
        <w:t xml:space="preserve"> R. (2012), </w:t>
      </w:r>
      <w:proofErr w:type="spellStart"/>
      <w:r w:rsidRPr="00290C15">
        <w:rPr>
          <w:rFonts w:ascii="Times New Roman" w:hAnsi="Times New Roman"/>
          <w:i/>
          <w:sz w:val="22"/>
          <w:szCs w:val="22"/>
          <w:lang w:val="fr-FR"/>
        </w:rPr>
        <w:t>Handboek</w:t>
      </w:r>
      <w:proofErr w:type="spellEnd"/>
      <w:r w:rsidRPr="00290C15">
        <w:rPr>
          <w:rFonts w:ascii="Times New Roman" w:hAnsi="Times New Roman"/>
          <w:i/>
          <w:sz w:val="22"/>
          <w:szCs w:val="22"/>
          <w:lang w:val="fr-FR"/>
        </w:rPr>
        <w:t xml:space="preserve"> </w:t>
      </w:r>
      <w:proofErr w:type="spellStart"/>
      <w:r w:rsidRPr="00290C15">
        <w:rPr>
          <w:rFonts w:ascii="Times New Roman" w:hAnsi="Times New Roman"/>
          <w:i/>
          <w:sz w:val="22"/>
          <w:szCs w:val="22"/>
          <w:lang w:val="fr-FR"/>
        </w:rPr>
        <w:t>strafvordering</w:t>
      </w:r>
      <w:proofErr w:type="spellEnd"/>
      <w:r w:rsidRPr="00290C15">
        <w:rPr>
          <w:rFonts w:ascii="Times New Roman" w:hAnsi="Times New Roman"/>
          <w:sz w:val="22"/>
          <w:szCs w:val="22"/>
          <w:lang w:val="fr-FR"/>
        </w:rPr>
        <w:t xml:space="preserve">, Anvers, </w:t>
      </w:r>
      <w:proofErr w:type="spellStart"/>
      <w:r w:rsidRPr="00290C15">
        <w:rPr>
          <w:rFonts w:ascii="Times New Roman" w:hAnsi="Times New Roman"/>
          <w:sz w:val="22"/>
          <w:szCs w:val="22"/>
          <w:lang w:val="fr-FR"/>
        </w:rPr>
        <w:t>Maklu</w:t>
      </w:r>
      <w:proofErr w:type="spellEnd"/>
      <w:r w:rsidRPr="00290C15">
        <w:rPr>
          <w:rFonts w:ascii="Times New Roman" w:hAnsi="Times New Roman"/>
          <w:sz w:val="22"/>
          <w:szCs w:val="22"/>
          <w:lang w:val="fr-FR"/>
        </w:rPr>
        <w:t xml:space="preserve">, p. 985 ; Beernaert M.-A. </w:t>
      </w:r>
      <w:r w:rsidRPr="00290C15">
        <w:rPr>
          <w:rFonts w:ascii="Times New Roman" w:hAnsi="Times New Roman"/>
          <w:i/>
          <w:sz w:val="22"/>
          <w:szCs w:val="22"/>
          <w:lang w:val="fr-FR"/>
        </w:rPr>
        <w:t>et al</w:t>
      </w:r>
      <w:r w:rsidRPr="00290C15">
        <w:rPr>
          <w:rFonts w:ascii="Times New Roman" w:hAnsi="Times New Roman"/>
          <w:sz w:val="22"/>
          <w:szCs w:val="22"/>
          <w:lang w:val="fr-FR"/>
        </w:rPr>
        <w:t xml:space="preserve"> (2014), </w:t>
      </w:r>
      <w:r w:rsidRPr="00290C15">
        <w:rPr>
          <w:rFonts w:ascii="Times New Roman" w:hAnsi="Times New Roman"/>
          <w:i/>
          <w:sz w:val="22"/>
          <w:szCs w:val="22"/>
          <w:lang w:val="fr-FR"/>
        </w:rPr>
        <w:t>Droit de la procédure pénale</w:t>
      </w:r>
      <w:r w:rsidRPr="00290C15">
        <w:rPr>
          <w:rFonts w:ascii="Times New Roman" w:hAnsi="Times New Roman"/>
          <w:sz w:val="22"/>
          <w:szCs w:val="22"/>
          <w:lang w:val="fr-FR"/>
        </w:rPr>
        <w:t xml:space="preserve">, Bruxelles, La Charte, p. </w:t>
      </w:r>
      <w:r w:rsidRPr="00290C15">
        <w:rPr>
          <w:rFonts w:ascii="Times New Roman" w:hAnsi="Times New Roman"/>
          <w:sz w:val="22"/>
          <w:szCs w:val="22"/>
          <w:lang w:val="fr-BE"/>
        </w:rPr>
        <w:t>1171.</w:t>
      </w:r>
    </w:p>
    <w:p w:rsidR="007502FC" w:rsidRPr="00290C15" w:rsidRDefault="007502FC" w:rsidP="00946F28">
      <w:pPr>
        <w:pStyle w:val="Paragraphedeliste"/>
        <w:numPr>
          <w:ilvl w:val="0"/>
          <w:numId w:val="1"/>
        </w:numPr>
        <w:tabs>
          <w:tab w:val="left" w:pos="709"/>
        </w:tabs>
        <w:spacing w:after="20"/>
        <w:ind w:left="709" w:hanging="709"/>
        <w:jc w:val="both"/>
        <w:rPr>
          <w:sz w:val="22"/>
          <w:szCs w:val="22"/>
          <w:lang w:val="fr-BE"/>
        </w:rPr>
      </w:pPr>
      <w:r w:rsidRPr="00290C15">
        <w:rPr>
          <w:sz w:val="22"/>
          <w:szCs w:val="22"/>
        </w:rPr>
        <w:t xml:space="preserve">Cass., </w:t>
      </w:r>
      <w:r w:rsidRPr="00290C15">
        <w:rPr>
          <w:bCs/>
          <w:sz w:val="22"/>
          <w:szCs w:val="22"/>
        </w:rPr>
        <w:t xml:space="preserve">11 décembre 2013, RG P.13.1150.F, P.13.1151.F, P.13.1152.F et P.13.1153.F, </w:t>
      </w:r>
      <w:r w:rsidRPr="00290C15">
        <w:rPr>
          <w:bCs/>
          <w:i/>
          <w:sz w:val="22"/>
          <w:szCs w:val="22"/>
        </w:rPr>
        <w:t>Pas</w:t>
      </w:r>
      <w:r w:rsidRPr="00290C15">
        <w:rPr>
          <w:bCs/>
          <w:sz w:val="22"/>
          <w:szCs w:val="22"/>
        </w:rPr>
        <w:t xml:space="preserve">., 2013, n° 676, avec </w:t>
      </w:r>
      <w:proofErr w:type="spellStart"/>
      <w:r w:rsidRPr="00290C15">
        <w:rPr>
          <w:bCs/>
          <w:sz w:val="22"/>
          <w:szCs w:val="22"/>
        </w:rPr>
        <w:t>concl</w:t>
      </w:r>
      <w:proofErr w:type="spellEnd"/>
      <w:r w:rsidRPr="00290C15">
        <w:rPr>
          <w:bCs/>
          <w:sz w:val="22"/>
          <w:szCs w:val="22"/>
        </w:rPr>
        <w:t xml:space="preserve">. M.P. </w:t>
      </w:r>
      <w:r w:rsidRPr="00290C15">
        <w:rPr>
          <w:sz w:val="22"/>
          <w:szCs w:val="22"/>
        </w:rPr>
        <w:t xml:space="preserve">Un arrêt du 1 avril 2014 de la Cour de cassation souligne qu’avant d’admettre une déclaration d’un </w:t>
      </w:r>
      <w:proofErr w:type="spellStart"/>
      <w:r w:rsidRPr="00290C15">
        <w:rPr>
          <w:sz w:val="22"/>
          <w:szCs w:val="22"/>
        </w:rPr>
        <w:t>coprévenu</w:t>
      </w:r>
      <w:proofErr w:type="spellEnd"/>
      <w:r w:rsidRPr="00290C15">
        <w:rPr>
          <w:sz w:val="22"/>
          <w:szCs w:val="22"/>
        </w:rPr>
        <w:t xml:space="preserve">, il y a lieu de vérifier qu’il n’est pas porté atteinte à la fiabilité de la déclaration du </w:t>
      </w:r>
      <w:proofErr w:type="spellStart"/>
      <w:r w:rsidRPr="00290C15">
        <w:rPr>
          <w:sz w:val="22"/>
          <w:szCs w:val="22"/>
        </w:rPr>
        <w:t>coprévenu</w:t>
      </w:r>
      <w:proofErr w:type="spellEnd"/>
      <w:r w:rsidRPr="00290C15">
        <w:rPr>
          <w:sz w:val="22"/>
          <w:szCs w:val="22"/>
        </w:rPr>
        <w:t xml:space="preserve"> et que son usage violerait les droits de défense du prévenu dès lors que la déclaration du </w:t>
      </w:r>
      <w:proofErr w:type="spellStart"/>
      <w:r w:rsidRPr="00290C15">
        <w:rPr>
          <w:sz w:val="22"/>
          <w:szCs w:val="22"/>
        </w:rPr>
        <w:t>coprévenu</w:t>
      </w:r>
      <w:proofErr w:type="spellEnd"/>
      <w:r w:rsidRPr="00290C15">
        <w:rPr>
          <w:sz w:val="22"/>
          <w:szCs w:val="22"/>
        </w:rPr>
        <w:t xml:space="preserve"> aurait été obtenue à l’aide d’une pression, contrainte ou torture prohibée (Cass. 1 avril 2014, RG P.12.1334.N, </w:t>
      </w:r>
      <w:r w:rsidRPr="00290C15">
        <w:rPr>
          <w:i/>
          <w:sz w:val="22"/>
          <w:szCs w:val="22"/>
        </w:rPr>
        <w:t>Pas</w:t>
      </w:r>
      <w:r w:rsidRPr="00290C15">
        <w:rPr>
          <w:sz w:val="22"/>
          <w:szCs w:val="22"/>
        </w:rPr>
        <w:t>. 2014, n° 252).</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Le texte a été publié le 12 mars 2018 et est entré en vigueur le 22 mars 2018.</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Loi « étrangers » du 15 décembre 1980 </w:t>
      </w:r>
      <w:r w:rsidRPr="00290C15">
        <w:rPr>
          <w:rFonts w:ascii="Times New Roman" w:hAnsi="Times New Roman"/>
          <w:i/>
          <w:sz w:val="22"/>
          <w:szCs w:val="22"/>
          <w:lang w:val="fr-FR"/>
        </w:rPr>
        <w:t xml:space="preserve">op. </w:t>
      </w:r>
      <w:proofErr w:type="spellStart"/>
      <w:r w:rsidRPr="00290C15">
        <w:rPr>
          <w:rFonts w:ascii="Times New Roman" w:hAnsi="Times New Roman"/>
          <w:i/>
          <w:sz w:val="22"/>
          <w:szCs w:val="22"/>
          <w:lang w:val="fr-FR"/>
        </w:rPr>
        <w:t>cit</w:t>
      </w:r>
      <w:proofErr w:type="spellEnd"/>
      <w:r w:rsidRPr="00290C15">
        <w:rPr>
          <w:rFonts w:ascii="Times New Roman" w:hAnsi="Times New Roman"/>
          <w:i/>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FR"/>
        </w:rPr>
        <w:t xml:space="preserve">Art. 57/6, para. 1 , al. 1°, 9° à 14° de la Loi « étrangers » du 15 décembre 1980 </w:t>
      </w:r>
      <w:r w:rsidRPr="00290C15">
        <w:rPr>
          <w:rFonts w:ascii="Times New Roman" w:hAnsi="Times New Roman"/>
          <w:i/>
          <w:sz w:val="22"/>
          <w:szCs w:val="22"/>
          <w:lang w:val="fr-FR"/>
        </w:rPr>
        <w:t xml:space="preserve">op. </w:t>
      </w:r>
      <w:proofErr w:type="spellStart"/>
      <w:r w:rsidRPr="00290C15">
        <w:rPr>
          <w:rFonts w:ascii="Times New Roman" w:hAnsi="Times New Roman"/>
          <w:i/>
          <w:sz w:val="22"/>
          <w:szCs w:val="22"/>
          <w:lang w:val="fr-FR"/>
        </w:rPr>
        <w:t>cit</w:t>
      </w:r>
      <w:proofErr w:type="spellEnd"/>
      <w:r w:rsidRPr="00290C15">
        <w:rPr>
          <w:rFonts w:ascii="Times New Roman" w:hAnsi="Times New Roman"/>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48/3 </w:t>
      </w:r>
      <w:r w:rsidRPr="00290C15">
        <w:rPr>
          <w:rFonts w:ascii="Times New Roman" w:hAnsi="Times New Roman"/>
          <w:sz w:val="22"/>
          <w:szCs w:val="22"/>
          <w:lang w:val="fr-FR"/>
        </w:rPr>
        <w:t xml:space="preserve">de la Loi « étrangers » du 15 décembre 1980 </w:t>
      </w:r>
      <w:r w:rsidRPr="00290C15">
        <w:rPr>
          <w:rFonts w:ascii="Times New Roman" w:hAnsi="Times New Roman"/>
          <w:i/>
          <w:sz w:val="22"/>
          <w:szCs w:val="22"/>
          <w:lang w:val="fr-FR"/>
        </w:rPr>
        <w:t xml:space="preserve">op. </w:t>
      </w:r>
      <w:proofErr w:type="spellStart"/>
      <w:r w:rsidRPr="00290C15">
        <w:rPr>
          <w:rFonts w:ascii="Times New Roman" w:hAnsi="Times New Roman"/>
          <w:i/>
          <w:sz w:val="22"/>
          <w:szCs w:val="22"/>
          <w:lang w:val="fr-FR"/>
        </w:rPr>
        <w:t>cit</w:t>
      </w:r>
      <w:proofErr w:type="spellEnd"/>
      <w:r w:rsidRPr="00290C15">
        <w:rPr>
          <w:rFonts w:ascii="Times New Roman" w:hAnsi="Times New Roman"/>
          <w:i/>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48/4 </w:t>
      </w:r>
      <w:r w:rsidRPr="00290C15">
        <w:rPr>
          <w:rFonts w:ascii="Times New Roman" w:hAnsi="Times New Roman"/>
          <w:sz w:val="22"/>
          <w:szCs w:val="22"/>
          <w:lang w:val="fr-FR"/>
        </w:rPr>
        <w:t xml:space="preserve">de la Loi « étrangers » du 15 décembre 1980 </w:t>
      </w:r>
      <w:r w:rsidRPr="00290C15">
        <w:rPr>
          <w:rFonts w:ascii="Times New Roman" w:hAnsi="Times New Roman"/>
          <w:i/>
          <w:sz w:val="22"/>
          <w:szCs w:val="22"/>
          <w:lang w:val="fr-FR"/>
        </w:rPr>
        <w:t xml:space="preserve">op. </w:t>
      </w:r>
      <w:proofErr w:type="spellStart"/>
      <w:r w:rsidRPr="00290C15">
        <w:rPr>
          <w:rFonts w:ascii="Times New Roman" w:hAnsi="Times New Roman"/>
          <w:i/>
          <w:sz w:val="22"/>
          <w:szCs w:val="22"/>
          <w:lang w:val="fr-FR"/>
        </w:rPr>
        <w:t>cit</w:t>
      </w:r>
      <w:proofErr w:type="spellEnd"/>
      <w:r w:rsidRPr="00290C15">
        <w:rPr>
          <w:rFonts w:ascii="Times New Roman" w:hAnsi="Times New Roman"/>
          <w:i/>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39/82 </w:t>
      </w:r>
      <w:r w:rsidRPr="00290C15">
        <w:rPr>
          <w:rFonts w:ascii="Times New Roman" w:hAnsi="Times New Roman"/>
          <w:sz w:val="22"/>
          <w:szCs w:val="22"/>
          <w:lang w:val="fr-FR"/>
        </w:rPr>
        <w:t xml:space="preserve">de la Loi « étrangers » du 15 décembre 1980 </w:t>
      </w:r>
      <w:r w:rsidRPr="00290C15">
        <w:rPr>
          <w:rFonts w:ascii="Times New Roman" w:hAnsi="Times New Roman"/>
          <w:i/>
          <w:sz w:val="22"/>
          <w:szCs w:val="22"/>
          <w:lang w:val="fr-FR"/>
        </w:rPr>
        <w:t xml:space="preserve">op. </w:t>
      </w:r>
      <w:proofErr w:type="spellStart"/>
      <w:r w:rsidRPr="00290C15">
        <w:rPr>
          <w:rFonts w:ascii="Times New Roman" w:hAnsi="Times New Roman"/>
          <w:i/>
          <w:sz w:val="22"/>
          <w:szCs w:val="22"/>
          <w:lang w:val="fr-FR"/>
        </w:rPr>
        <w:t>cit</w:t>
      </w:r>
      <w:proofErr w:type="spellEnd"/>
      <w:r w:rsidRPr="00290C15">
        <w:rPr>
          <w:rFonts w:ascii="Times New Roman" w:hAnsi="Times New Roman"/>
          <w:i/>
          <w:sz w:val="22"/>
          <w:szCs w:val="22"/>
          <w:lang w:val="fr-FR"/>
        </w:rPr>
        <w:t>.</w:t>
      </w:r>
      <w:r w:rsidRPr="00290C15">
        <w:rPr>
          <w:rFonts w:ascii="Times New Roman" w:hAnsi="Times New Roman"/>
          <w:sz w:val="22"/>
          <w:szCs w:val="22"/>
          <w:lang w:val="fr-BE"/>
        </w:rPr>
        <w:t>, en cas d’éloignement imminent.</w:t>
      </w:r>
    </w:p>
    <w:p w:rsidR="00BC7A01"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Directive du Ministre de la Justice du 22 septembre 2011 (notamment répartition tâches entre le service d’enquêtes P, l’Inspection générale de la Police fédérale et la Police locale (AIG) et les autres services de police) : </w:t>
      </w:r>
      <w:r w:rsidRPr="00290C15">
        <w:rPr>
          <w:rFonts w:ascii="Times New Roman" w:hAnsi="Times New Roman"/>
          <w:b/>
          <w:sz w:val="22"/>
          <w:szCs w:val="22"/>
          <w:lang w:val="fr-BE"/>
        </w:rPr>
        <w:t>les enquêtes sur une violation des articles 2 et 3 de la CEDH sont, en principe, attribuées au service d’enquêtes P</w:t>
      </w:r>
      <w:r w:rsidRPr="00290C15">
        <w:rPr>
          <w:rFonts w:ascii="Times New Roman" w:hAnsi="Times New Roman"/>
          <w:sz w:val="22"/>
          <w:szCs w:val="22"/>
          <w:lang w:val="fr-BE"/>
        </w:rPr>
        <w:t>.</w:t>
      </w:r>
    </w:p>
    <w:p w:rsidR="00BC7A01" w:rsidRDefault="00BC7A01" w:rsidP="00BC7A01">
      <w:pPr>
        <w:pStyle w:val="Notedebasdepage"/>
        <w:tabs>
          <w:tab w:val="left" w:pos="709"/>
        </w:tabs>
        <w:spacing w:after="20" w:line="240" w:lineRule="auto"/>
        <w:jc w:val="both"/>
        <w:rPr>
          <w:rFonts w:ascii="Times New Roman" w:hAnsi="Times New Roman"/>
          <w:sz w:val="22"/>
          <w:szCs w:val="22"/>
          <w:lang w:val="fr-FR"/>
        </w:rPr>
      </w:pPr>
      <w:r>
        <w:rPr>
          <w:rFonts w:ascii="Times New Roman" w:hAnsi="Times New Roman"/>
          <w:sz w:val="22"/>
          <w:szCs w:val="22"/>
          <w:lang w:val="fr-BE"/>
        </w:rPr>
        <w:t>145</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t>P</w:t>
      </w:r>
      <w:proofErr w:type="spellStart"/>
      <w:r w:rsidRPr="00804273">
        <w:rPr>
          <w:rFonts w:ascii="Times New Roman" w:hAnsi="Times New Roman"/>
          <w:sz w:val="22"/>
          <w:szCs w:val="22"/>
          <w:lang w:val="fr-FR"/>
        </w:rPr>
        <w:t>rocédure</w:t>
      </w:r>
      <w:proofErr w:type="spellEnd"/>
      <w:r w:rsidRPr="00804273">
        <w:rPr>
          <w:rFonts w:ascii="Times New Roman" w:hAnsi="Times New Roman"/>
          <w:sz w:val="22"/>
          <w:szCs w:val="22"/>
          <w:lang w:val="fr-FR"/>
        </w:rPr>
        <w:t xml:space="preserve"> en extrême urgence avec procédure en annulation.</w:t>
      </w:r>
    </w:p>
    <w:p w:rsidR="007502FC" w:rsidRPr="00290C15" w:rsidRDefault="00BC7A01" w:rsidP="00804273">
      <w:pPr>
        <w:pStyle w:val="Notedebasdepage"/>
        <w:tabs>
          <w:tab w:val="left" w:pos="709"/>
        </w:tabs>
        <w:spacing w:after="20" w:line="240" w:lineRule="auto"/>
        <w:jc w:val="both"/>
        <w:rPr>
          <w:rFonts w:ascii="Times New Roman" w:hAnsi="Times New Roman"/>
          <w:sz w:val="22"/>
          <w:szCs w:val="22"/>
          <w:lang w:val="fr-BE"/>
        </w:rPr>
      </w:pPr>
      <w:r>
        <w:rPr>
          <w:rFonts w:ascii="Times New Roman" w:hAnsi="Times New Roman"/>
          <w:sz w:val="22"/>
          <w:szCs w:val="22"/>
          <w:lang w:val="fr-FR"/>
        </w:rPr>
        <w:t>145</w:t>
      </w:r>
      <w:r>
        <w:rPr>
          <w:rFonts w:ascii="Times New Roman" w:hAnsi="Times New Roman"/>
          <w:i/>
          <w:sz w:val="22"/>
          <w:szCs w:val="22"/>
          <w:lang w:val="fr-FR"/>
        </w:rPr>
        <w:t>ter</w:t>
      </w:r>
      <w:r>
        <w:rPr>
          <w:rFonts w:ascii="Times New Roman" w:hAnsi="Times New Roman"/>
          <w:sz w:val="22"/>
          <w:szCs w:val="22"/>
          <w:lang w:val="fr-FR"/>
        </w:rPr>
        <w:t>.</w:t>
      </w:r>
      <w:r>
        <w:rPr>
          <w:rFonts w:ascii="Times New Roman" w:hAnsi="Times New Roman"/>
          <w:sz w:val="22"/>
          <w:szCs w:val="22"/>
          <w:lang w:val="fr-FR"/>
        </w:rPr>
        <w:tab/>
      </w:r>
      <w:r w:rsidRPr="00BC7A01">
        <w:rPr>
          <w:rFonts w:ascii="Times New Roman" w:hAnsi="Times New Roman"/>
          <w:sz w:val="22"/>
          <w:szCs w:val="22"/>
          <w:lang w:val="fr-BE"/>
        </w:rPr>
        <w:t>Pendant la détention, l’intervention policière ou en phase d’arrestation.</w:t>
      </w:r>
    </w:p>
    <w:p w:rsidR="007502FC" w:rsidRPr="00290C15" w:rsidRDefault="007502FC" w:rsidP="00946F28">
      <w:pPr>
        <w:pStyle w:val="CATRponsesparagraphes"/>
        <w:numPr>
          <w:ilvl w:val="0"/>
          <w:numId w:val="1"/>
        </w:numPr>
        <w:tabs>
          <w:tab w:val="left" w:pos="709"/>
        </w:tabs>
        <w:spacing w:after="20"/>
        <w:ind w:left="709" w:hanging="709"/>
        <w:rPr>
          <w:sz w:val="22"/>
          <w:szCs w:val="22"/>
        </w:rPr>
      </w:pPr>
      <w:r w:rsidRPr="00290C15">
        <w:rPr>
          <w:sz w:val="22"/>
          <w:szCs w:val="22"/>
        </w:rPr>
        <w:t xml:space="preserve">A rappeler qu’il existe une circonstance aggravante de l’usage de violences sans motif légitime dans l’exercice ou à l’occasion de l’exercice de ses fonctions (art. 257 et 266 du Code pénal). </w:t>
      </w:r>
      <w:r w:rsidRPr="00290C15">
        <w:rPr>
          <w:sz w:val="22"/>
          <w:szCs w:val="22"/>
          <w:lang w:val="fr-BE"/>
        </w:rPr>
        <w:t xml:space="preserve">A titre exemplatif, on compte en 2014 les condamnations suivantes : 7 suspensions du prononcé ; 3 peines de travail ; 13 peines de prison avec sursis partiel et 3 peines fermes de prison (2 pour meurtre/homicide).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 rappeler que </w:t>
      </w:r>
      <w:r w:rsidRPr="00290C15">
        <w:rPr>
          <w:rFonts w:ascii="Times New Roman" w:hAnsi="Times New Roman"/>
          <w:b/>
          <w:sz w:val="22"/>
          <w:szCs w:val="22"/>
          <w:lang w:val="fr-BE"/>
        </w:rPr>
        <w:t>ces données ne sont pas exhaustives </w:t>
      </w:r>
      <w:r w:rsidRPr="00290C15">
        <w:rPr>
          <w:rFonts w:ascii="Times New Roman" w:hAnsi="Times New Roman"/>
          <w:sz w:val="22"/>
          <w:szCs w:val="22"/>
          <w:lang w:val="fr-BE"/>
        </w:rPr>
        <w:t>:</w:t>
      </w:r>
      <w:r w:rsidRPr="00290C15">
        <w:rPr>
          <w:rFonts w:ascii="Times New Roman" w:hAnsi="Times New Roman"/>
          <w:b/>
          <w:sz w:val="22"/>
          <w:szCs w:val="22"/>
          <w:lang w:val="fr-BE"/>
        </w:rPr>
        <w:t xml:space="preserve"> </w:t>
      </w:r>
      <w:r w:rsidRPr="00290C15">
        <w:rPr>
          <w:rFonts w:ascii="Times New Roman" w:hAnsi="Times New Roman"/>
          <w:sz w:val="22"/>
          <w:szCs w:val="22"/>
          <w:lang w:val="fr-BE"/>
        </w:rPr>
        <w:t>tous les jugements et arrêts n’étant pas systématiquement transmis au Comité P malgré l’obligation légale des Procureurs et Auditeurs généraux.</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Comité P (2013), </w:t>
      </w:r>
      <w:hyperlink r:id="rId31" w:history="1">
        <w:r w:rsidRPr="00290C15">
          <w:rPr>
            <w:rStyle w:val="Lienhypertexte"/>
            <w:rFonts w:ascii="Times New Roman" w:hAnsi="Times New Roman"/>
            <w:i/>
            <w:sz w:val="22"/>
            <w:szCs w:val="22"/>
            <w:lang w:val="fr-BE"/>
          </w:rPr>
          <w:t>Rapport annuel 2012</w:t>
        </w:r>
      </w:hyperlink>
      <w:r w:rsidRPr="00290C15">
        <w:rPr>
          <w:rFonts w:ascii="Times New Roman" w:hAnsi="Times New Roman"/>
          <w:sz w:val="22"/>
          <w:szCs w:val="22"/>
          <w:lang w:val="fr-BE"/>
        </w:rPr>
        <w:t>, pp. 105-135.</w:t>
      </w:r>
    </w:p>
    <w:p w:rsidR="00BC7A01" w:rsidRPr="00BC7A01" w:rsidRDefault="00BC7A01" w:rsidP="00804273">
      <w:pPr>
        <w:pStyle w:val="Notedebasdepage"/>
        <w:tabs>
          <w:tab w:val="left" w:pos="709"/>
        </w:tabs>
        <w:spacing w:after="20" w:line="240" w:lineRule="auto"/>
        <w:jc w:val="both"/>
        <w:rPr>
          <w:rFonts w:ascii="Times New Roman" w:hAnsi="Times New Roman"/>
          <w:sz w:val="22"/>
          <w:szCs w:val="22"/>
          <w:lang w:val="fr-BE"/>
        </w:rPr>
      </w:pPr>
      <w:r>
        <w:rPr>
          <w:rFonts w:ascii="Times New Roman" w:hAnsi="Times New Roman"/>
          <w:sz w:val="22"/>
          <w:szCs w:val="22"/>
          <w:lang w:val="fr-BE"/>
        </w:rPr>
        <w:t>148</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r>
      <w:r w:rsidRPr="00BC7A01">
        <w:rPr>
          <w:rFonts w:ascii="Times New Roman" w:hAnsi="Times New Roman"/>
          <w:sz w:val="22"/>
          <w:szCs w:val="22"/>
          <w:lang w:val="fr-FR"/>
        </w:rPr>
        <w:t xml:space="preserve">Evolution depuis 2011 : </w:t>
      </w:r>
      <w:r w:rsidRPr="00BC7A01">
        <w:rPr>
          <w:rFonts w:ascii="Times New Roman" w:hAnsi="Times New Roman"/>
          <w:sz w:val="22"/>
          <w:szCs w:val="22"/>
          <w:lang w:val="fr-BE"/>
        </w:rPr>
        <w:t>127 (2011), 95 (2012), 89 (2013), 87 (2014), 92 (2015) et 104 (2016).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lastRenderedPageBreak/>
        <w:t>Avertissements, blâmes.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Retenues sur salaires, suspensions, rétrogradations dans l’échelle salariale pour 2 ans. </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Démissions d’office, révocations.</w:t>
      </w:r>
    </w:p>
    <w:p w:rsidR="00BC7A01" w:rsidRPr="00804273" w:rsidRDefault="00BC7A01" w:rsidP="00804273">
      <w:pPr>
        <w:pStyle w:val="Notedebasdepage"/>
        <w:tabs>
          <w:tab w:val="left" w:pos="709"/>
        </w:tabs>
        <w:spacing w:after="20" w:line="240" w:lineRule="auto"/>
        <w:jc w:val="both"/>
        <w:rPr>
          <w:rFonts w:ascii="Times New Roman" w:hAnsi="Times New Roman"/>
          <w:sz w:val="22"/>
          <w:szCs w:val="22"/>
          <w:lang w:val="fr-FR"/>
        </w:rPr>
      </w:pPr>
      <w:r>
        <w:rPr>
          <w:rFonts w:ascii="Times New Roman" w:hAnsi="Times New Roman"/>
          <w:sz w:val="22"/>
          <w:szCs w:val="22"/>
          <w:lang w:val="fr-BE"/>
        </w:rPr>
        <w:t>151</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t>D</w:t>
      </w:r>
      <w:r w:rsidRPr="00804273">
        <w:rPr>
          <w:rFonts w:ascii="Times New Roman" w:hAnsi="Times New Roman"/>
          <w:sz w:val="22"/>
          <w:szCs w:val="22"/>
          <w:lang w:val="fr-FR"/>
        </w:rPr>
        <w:t>ès la privation de liberté préalable à la mise en cellule</w:t>
      </w:r>
      <w:r>
        <w:rPr>
          <w:rFonts w:ascii="Times New Roman" w:hAnsi="Times New Roman"/>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Arrêté royal du 2 octobre 1937 </w:t>
      </w:r>
      <w:r w:rsidRPr="00290C15">
        <w:rPr>
          <w:rFonts w:ascii="Times New Roman" w:hAnsi="Times New Roman"/>
          <w:i/>
          <w:sz w:val="22"/>
          <w:szCs w:val="22"/>
          <w:lang w:val="fr-BE"/>
        </w:rPr>
        <w:t xml:space="preserve">op. </w:t>
      </w:r>
      <w:proofErr w:type="spellStart"/>
      <w:r w:rsidRPr="00290C15">
        <w:rPr>
          <w:rFonts w:ascii="Times New Roman" w:hAnsi="Times New Roman"/>
          <w:i/>
          <w:sz w:val="22"/>
          <w:szCs w:val="22"/>
          <w:lang w:val="fr-BE"/>
        </w:rPr>
        <w:t>cit</w:t>
      </w:r>
      <w:proofErr w:type="spellEnd"/>
      <w:r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Cass. (2 chambre), 24 mars 2015, P.14.1298.N/1.</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N</w:t>
      </w:r>
      <w:proofErr w:type="spellStart"/>
      <w:r w:rsidRPr="00290C15">
        <w:rPr>
          <w:rFonts w:ascii="Times New Roman" w:hAnsi="Times New Roman"/>
          <w:sz w:val="22"/>
          <w:szCs w:val="22"/>
          <w:lang w:val="fr-FR"/>
        </w:rPr>
        <w:t>on-lieu</w:t>
      </w:r>
      <w:proofErr w:type="spellEnd"/>
      <w:r w:rsidRPr="00290C15">
        <w:rPr>
          <w:rFonts w:ascii="Times New Roman" w:hAnsi="Times New Roman"/>
          <w:sz w:val="22"/>
          <w:szCs w:val="22"/>
          <w:lang w:val="fr-FR"/>
        </w:rPr>
        <w:t xml:space="preserve"> envers 10 policiers poursuivis pour violences contre 3 personnes lors de leur arrestation et </w:t>
      </w:r>
      <w:r w:rsidR="00A8568C" w:rsidRPr="00290C15">
        <w:rPr>
          <w:rFonts w:ascii="Times New Roman" w:hAnsi="Times New Roman"/>
          <w:sz w:val="22"/>
          <w:szCs w:val="22"/>
          <w:lang w:val="fr-FR"/>
        </w:rPr>
        <w:t>t</w:t>
      </w:r>
      <w:r w:rsidRPr="00290C15">
        <w:rPr>
          <w:rFonts w:ascii="Times New Roman" w:hAnsi="Times New Roman"/>
          <w:sz w:val="22"/>
          <w:szCs w:val="22"/>
          <w:lang w:val="fr-FR"/>
        </w:rPr>
        <w:t>ransfert au commissariat de police et à l’hôpital.</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CAT/C/BEL/CO/3/Add.1, point D, §§39-70 : Introduction, I) Indépendance du contrôle (1) un organe de contrôle externe, 2) les garanties d’indépendance des membres du collège, 3) la manière de rendre compte, 4) les garanties d’indépendance des membres du service d’enquêtes P), II) Efficacité du contrôle (1) différents moyens d’investigation, une exigence de qualité par un niveau de recrutement élevé, une formation permanente pointue et des procédures de travail modernes.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CAT/C/BEL/CO/3/Add.1, point D, « Mécanisme de contrôle et de supervision de la police : le Comité P », §§39 à 70.</w:t>
      </w:r>
    </w:p>
    <w:p w:rsidR="007502FC" w:rsidRPr="00290C15" w:rsidRDefault="007502FC" w:rsidP="00946F28">
      <w:pPr>
        <w:pStyle w:val="CATRponsesparagraphes"/>
        <w:numPr>
          <w:ilvl w:val="0"/>
          <w:numId w:val="1"/>
        </w:numPr>
        <w:tabs>
          <w:tab w:val="left" w:pos="709"/>
        </w:tabs>
        <w:spacing w:after="20"/>
        <w:ind w:left="709" w:hanging="709"/>
        <w:rPr>
          <w:sz w:val="22"/>
          <w:szCs w:val="22"/>
          <w:lang w:val="en-GB"/>
        </w:rPr>
      </w:pPr>
      <w:r w:rsidRPr="00290C15">
        <w:rPr>
          <w:sz w:val="22"/>
          <w:szCs w:val="22"/>
          <w:lang w:val="en-GB"/>
        </w:rPr>
        <w:t xml:space="preserve">A/HRC/32/8/Add.1 </w:t>
      </w:r>
      <w:r w:rsidRPr="00290C15">
        <w:rPr>
          <w:i/>
          <w:sz w:val="22"/>
          <w:szCs w:val="22"/>
          <w:lang w:val="en-GB"/>
        </w:rPr>
        <w:t xml:space="preserve">op. </w:t>
      </w:r>
      <w:proofErr w:type="spellStart"/>
      <w:r w:rsidRPr="00290C15">
        <w:rPr>
          <w:i/>
          <w:sz w:val="22"/>
          <w:szCs w:val="22"/>
          <w:lang w:val="en-GB"/>
        </w:rPr>
        <w:t>cit</w:t>
      </w:r>
      <w:proofErr w:type="spellEnd"/>
      <w:r w:rsidRPr="00290C15">
        <w:rPr>
          <w:sz w:val="22"/>
          <w:szCs w:val="22"/>
          <w:lang w:val="en-GB"/>
        </w:rPr>
        <w:t>, §9.</w:t>
      </w:r>
    </w:p>
    <w:p w:rsidR="00290C15" w:rsidRPr="00290C15" w:rsidRDefault="00290C15" w:rsidP="00946F28">
      <w:pPr>
        <w:pStyle w:val="CATRponsesparagraphes"/>
        <w:tabs>
          <w:tab w:val="left" w:pos="709"/>
        </w:tabs>
        <w:spacing w:after="20"/>
        <w:ind w:left="709" w:hanging="709"/>
        <w:rPr>
          <w:sz w:val="22"/>
          <w:szCs w:val="22"/>
          <w:lang w:val="en-GB"/>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lang w:val="fr-BE"/>
        </w:rPr>
      </w:pPr>
      <w:bookmarkStart w:id="29" w:name="_Toc503444760"/>
      <w:bookmarkStart w:id="30" w:name="_Toc503444775"/>
      <w:bookmarkStart w:id="31" w:name="_Toc519074804"/>
      <w:r w:rsidRPr="00290C15">
        <w:rPr>
          <w:b/>
          <w:color w:val="000000"/>
          <w:sz w:val="22"/>
          <w:szCs w:val="22"/>
        </w:rPr>
        <w:t>Sécurité de la personne et traitement des prisonniers (arts. 7, 9, 10)</w:t>
      </w:r>
      <w:bookmarkEnd w:id="29"/>
      <w:bookmarkEnd w:id="30"/>
      <w:bookmarkEnd w:id="31"/>
    </w:p>
    <w:p w:rsidR="00290C15" w:rsidRPr="00290C15" w:rsidRDefault="00290C15" w:rsidP="00946F28">
      <w:pPr>
        <w:pStyle w:val="CATRponsesparagraphes"/>
        <w:tabs>
          <w:tab w:val="left" w:pos="709"/>
        </w:tabs>
        <w:spacing w:after="20"/>
        <w:ind w:left="709" w:hanging="709"/>
        <w:rPr>
          <w:sz w:val="22"/>
          <w:szCs w:val="22"/>
          <w:lang w:val="en-GB"/>
        </w:rPr>
      </w:pPr>
    </w:p>
    <w:p w:rsidR="007502FC" w:rsidRPr="00290C15" w:rsidRDefault="00515798"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Pr>
          <w:rFonts w:ascii="Times New Roman" w:hAnsi="Times New Roman"/>
          <w:sz w:val="22"/>
          <w:szCs w:val="22"/>
          <w:lang w:val="fr-FR"/>
        </w:rPr>
        <w:t xml:space="preserve">Cette réforme est mise en place </w:t>
      </w:r>
      <w:r w:rsidRPr="00515798">
        <w:rPr>
          <w:rFonts w:ascii="Times New Roman" w:hAnsi="Times New Roman"/>
          <w:sz w:val="22"/>
          <w:szCs w:val="22"/>
          <w:lang w:val="fr-FR"/>
        </w:rPr>
        <w:t xml:space="preserve">via les Plans pluriannuels de l’Autorité Fédérale en matière d’internement (2007 et 2009), les </w:t>
      </w:r>
      <w:proofErr w:type="spellStart"/>
      <w:r w:rsidRPr="00515798">
        <w:rPr>
          <w:rFonts w:ascii="Times New Roman" w:hAnsi="Times New Roman"/>
          <w:sz w:val="22"/>
          <w:szCs w:val="22"/>
          <w:lang w:val="fr-FR"/>
        </w:rPr>
        <w:t>Masterplans</w:t>
      </w:r>
      <w:proofErr w:type="spellEnd"/>
      <w:r w:rsidRPr="00515798">
        <w:rPr>
          <w:rFonts w:ascii="Times New Roman" w:hAnsi="Times New Roman"/>
          <w:sz w:val="22"/>
          <w:szCs w:val="22"/>
          <w:lang w:val="fr-FR"/>
        </w:rPr>
        <w:t xml:space="preserve"> </w:t>
      </w:r>
      <w:r w:rsidRPr="00515798">
        <w:rPr>
          <w:rFonts w:ascii="Times New Roman" w:hAnsi="Times New Roman"/>
          <w:b/>
          <w:sz w:val="22"/>
          <w:szCs w:val="22"/>
          <w:lang w:val="fr-FR"/>
        </w:rPr>
        <w:t xml:space="preserve">visant à sortir </w:t>
      </w:r>
      <w:r>
        <w:rPr>
          <w:rFonts w:ascii="Times New Roman" w:hAnsi="Times New Roman"/>
          <w:b/>
          <w:sz w:val="22"/>
          <w:szCs w:val="22"/>
          <w:lang w:val="fr-FR"/>
        </w:rPr>
        <w:t xml:space="preserve">les internés </w:t>
      </w:r>
      <w:r w:rsidRPr="00515798">
        <w:rPr>
          <w:rFonts w:ascii="Times New Roman" w:hAnsi="Times New Roman"/>
          <w:b/>
          <w:sz w:val="22"/>
          <w:szCs w:val="22"/>
          <w:lang w:val="fr-FR"/>
        </w:rPr>
        <w:t>de prison</w:t>
      </w:r>
      <w:r w:rsidRPr="00515798">
        <w:rPr>
          <w:rFonts w:ascii="Times New Roman" w:hAnsi="Times New Roman"/>
          <w:sz w:val="22"/>
          <w:szCs w:val="22"/>
          <w:lang w:val="fr-FR"/>
        </w:rPr>
        <w:t xml:space="preserve"> (2008, 2012 et 2016) et la loi du </w:t>
      </w:r>
      <w:r w:rsidR="007502FC" w:rsidRPr="00290C15">
        <w:rPr>
          <w:rFonts w:ascii="Times New Roman" w:hAnsi="Times New Roman"/>
          <w:sz w:val="22"/>
          <w:szCs w:val="22"/>
          <w:lang w:val="fr-BE"/>
        </w:rPr>
        <w:t>5 mai 2014 relative à l’internement des personnes, comme modifiée par la loi du 4 mai 2016 (M.B 09.07.2014)</w:t>
      </w:r>
      <w:r>
        <w:rPr>
          <w:rFonts w:ascii="Times New Roman" w:hAnsi="Times New Roman"/>
          <w:sz w:val="22"/>
          <w:szCs w:val="22"/>
          <w:lang w:val="fr-BE"/>
        </w:rPr>
        <w:t xml:space="preserve">, </w:t>
      </w:r>
      <w:r w:rsidRPr="00515798">
        <w:rPr>
          <w:rFonts w:ascii="Times New Roman" w:hAnsi="Times New Roman"/>
          <w:sz w:val="22"/>
          <w:szCs w:val="22"/>
          <w:lang w:val="fr-FR"/>
        </w:rPr>
        <w:t>remplaçant la loi de défense sociale</w:t>
      </w:r>
      <w:r w:rsidR="007502FC" w:rsidRPr="00290C15">
        <w:rPr>
          <w:rFonts w:ascii="Times New Roman" w:hAnsi="Times New Roman"/>
          <w:sz w:val="22"/>
          <w:szCs w:val="22"/>
          <w:lang w:val="fr-BE"/>
        </w:rPr>
        <w:t xml:space="preserve">. </w:t>
      </w:r>
    </w:p>
    <w:p w:rsidR="00BC7A01"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FR"/>
        </w:rPr>
        <w:t>Il importe d’observer que la question de l’</w:t>
      </w:r>
      <w:r w:rsidR="00515798" w:rsidRPr="00290C15">
        <w:rPr>
          <w:rFonts w:ascii="Times New Roman" w:hAnsi="Times New Roman"/>
          <w:sz w:val="22"/>
          <w:szCs w:val="22"/>
          <w:lang w:val="fr-FR"/>
        </w:rPr>
        <w:t>internement</w:t>
      </w:r>
      <w:r w:rsidRPr="00290C15">
        <w:rPr>
          <w:rFonts w:ascii="Times New Roman" w:hAnsi="Times New Roman"/>
          <w:sz w:val="22"/>
          <w:szCs w:val="22"/>
          <w:lang w:val="fr-FR"/>
        </w:rPr>
        <w:t xml:space="preserve"> fait aussi l’objet d’une attention particulière de la CEDH. L’arrêt-pilote </w:t>
      </w:r>
      <w:r w:rsidRPr="00290C15">
        <w:rPr>
          <w:rFonts w:ascii="Times New Roman" w:hAnsi="Times New Roman"/>
          <w:i/>
          <w:sz w:val="22"/>
          <w:szCs w:val="22"/>
          <w:lang w:val="fr-FR"/>
        </w:rPr>
        <w:t>W.D. c. Belgique</w:t>
      </w:r>
      <w:r w:rsidRPr="00290C15">
        <w:rPr>
          <w:rFonts w:ascii="Times New Roman" w:hAnsi="Times New Roman"/>
          <w:sz w:val="22"/>
          <w:szCs w:val="22"/>
          <w:lang w:val="fr-FR"/>
        </w:rPr>
        <w:t xml:space="preserve"> du 06/09/2016 </w:t>
      </w:r>
      <w:r w:rsidRPr="00290C15">
        <w:rPr>
          <w:rFonts w:ascii="Times New Roman" w:hAnsi="Times New Roman"/>
          <w:sz w:val="22"/>
          <w:szCs w:val="22"/>
          <w:lang w:val="fr-BE"/>
        </w:rPr>
        <w:t>suspend l’examen de requêtes introduites par des internés faisant grief de ne pas bénéficier d’une prise en charge médicale adéquate et fixant un délai de deux ans à la Belgique pour mettre en œuvre les réformes nécessaires.</w:t>
      </w:r>
    </w:p>
    <w:p w:rsidR="007502FC" w:rsidRPr="00804273" w:rsidRDefault="00BC7A01"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BE"/>
        </w:rPr>
        <w:t>159</w:t>
      </w:r>
      <w:r>
        <w:rPr>
          <w:rFonts w:ascii="Times New Roman" w:hAnsi="Times New Roman"/>
          <w:i/>
          <w:sz w:val="22"/>
          <w:szCs w:val="22"/>
          <w:lang w:val="fr-BE"/>
        </w:rPr>
        <w:t>bis.</w:t>
      </w:r>
      <w:r>
        <w:rPr>
          <w:rFonts w:ascii="Times New Roman" w:hAnsi="Times New Roman"/>
          <w:sz w:val="22"/>
          <w:szCs w:val="22"/>
          <w:lang w:val="fr-BE"/>
        </w:rPr>
        <w:tab/>
      </w:r>
      <w:r w:rsidRPr="00804273">
        <w:rPr>
          <w:rFonts w:ascii="Times New Roman" w:hAnsi="Times New Roman"/>
          <w:sz w:val="22"/>
          <w:szCs w:val="22"/>
          <w:lang w:val="fr-FR"/>
        </w:rPr>
        <w:t>Elles sont composées d’un juge–président, d’un assesseur spécialisé en réinsertion sociale et d’un assesseur spécialisé en psychologie clinique.</w:t>
      </w:r>
      <w:r w:rsidR="007502FC" w:rsidRPr="00290C15">
        <w:rPr>
          <w:rFonts w:ascii="Times New Roman" w:hAnsi="Times New Roman"/>
          <w:sz w:val="22"/>
          <w:szCs w:val="22"/>
          <w:lang w:val="fr-BE"/>
        </w:rPr>
        <w:t xml:space="preserve"> </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Arrêté royal du 26 septembre 2016 exécutant l'article 3, 9° de la loi sur les règles selon lesquelles les victimes peuvent demander à être informées, entendues et formuler des conditions dans leur intérêt (M.B. 28.09.2016) ; ainsi que arrêté ministériel du 27 septembre 2016 fixant le modèle de la déclaration de la victime visé à l'article 1er, 3°, de l'arrêté royal du 26 septembre 2016 portant exécution de l'article 3, 9°, de la loi du 5 mai 2014 relative à l'internement, portant sur les règles selon lesquelles les victimes peuvent demander à être informées, à être entendues et à formuler des conditions dans leur intérêt (M.B. 30.09.2016). Arrêté royal du 28 septembre 2017 portant exécution de l’article 41 §1 al2 de la loi du 5 mai 2014 relative à l’internement, en vue de déterminer le contenu concret au programme de détention limitée et de surveillance électronique (M.B. 04.10.2017).</w:t>
      </w:r>
    </w:p>
    <w:p w:rsidR="00BC7A01" w:rsidRPr="00BC7A01" w:rsidRDefault="00BC7A01" w:rsidP="00804273">
      <w:pPr>
        <w:pStyle w:val="Notedebasdepage"/>
        <w:tabs>
          <w:tab w:val="left" w:pos="709"/>
        </w:tabs>
        <w:spacing w:after="20" w:line="240" w:lineRule="auto"/>
        <w:ind w:left="709" w:hanging="709"/>
        <w:jc w:val="both"/>
        <w:rPr>
          <w:rFonts w:ascii="Times New Roman" w:hAnsi="Times New Roman"/>
          <w:sz w:val="22"/>
          <w:szCs w:val="22"/>
          <w:lang w:val="fr-BE"/>
        </w:rPr>
      </w:pPr>
      <w:r>
        <w:rPr>
          <w:rFonts w:ascii="Times New Roman" w:hAnsi="Times New Roman"/>
          <w:sz w:val="22"/>
          <w:szCs w:val="22"/>
          <w:lang w:val="fr-BE"/>
        </w:rPr>
        <w:t>160</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r>
      <w:r w:rsidRPr="00BC7A01">
        <w:rPr>
          <w:rFonts w:ascii="Times New Roman" w:hAnsi="Times New Roman"/>
          <w:sz w:val="22"/>
          <w:szCs w:val="22"/>
          <w:lang w:val="fr-FR"/>
        </w:rPr>
        <w:t xml:space="preserve">Y compris dans les sections de défense sociale et l’établissement de défense sociale de </w:t>
      </w:r>
      <w:proofErr w:type="spellStart"/>
      <w:r w:rsidRPr="00BC7A01">
        <w:rPr>
          <w:rFonts w:ascii="Times New Roman" w:hAnsi="Times New Roman"/>
          <w:sz w:val="22"/>
          <w:szCs w:val="22"/>
          <w:lang w:val="fr-FR"/>
        </w:rPr>
        <w:t>Paifve</w:t>
      </w:r>
      <w:proofErr w:type="spellEnd"/>
      <w:r w:rsidRPr="00BC7A01">
        <w:rPr>
          <w:rFonts w:ascii="Times New Roman" w:hAnsi="Times New Roman"/>
          <w:sz w:val="22"/>
          <w:szCs w:val="22"/>
          <w:lang w:val="fr-FR"/>
        </w:rPr>
        <w:t xml:space="preserve"> pour l’accueil spécifique d’internés et relevant du SPF Justice (en avril 2018, 189 à l’établissement de défense sociale de </w:t>
      </w:r>
      <w:proofErr w:type="spellStart"/>
      <w:r w:rsidRPr="00BC7A01">
        <w:rPr>
          <w:rFonts w:ascii="Times New Roman" w:hAnsi="Times New Roman"/>
          <w:sz w:val="22"/>
          <w:szCs w:val="22"/>
          <w:lang w:val="fr-FR"/>
        </w:rPr>
        <w:t>Paifve</w:t>
      </w:r>
      <w:proofErr w:type="spellEnd"/>
      <w:r w:rsidRPr="00BC7A01">
        <w:rPr>
          <w:rFonts w:ascii="Times New Roman" w:hAnsi="Times New Roman"/>
          <w:sz w:val="22"/>
          <w:szCs w:val="22"/>
          <w:lang w:val="fr-FR"/>
        </w:rPr>
        <w:t>).</w:t>
      </w:r>
    </w:p>
    <w:p w:rsidR="007502FC" w:rsidRPr="00290C15" w:rsidRDefault="007502FC" w:rsidP="00946F28">
      <w:pPr>
        <w:pStyle w:val="Paragraphedeliste"/>
        <w:numPr>
          <w:ilvl w:val="0"/>
          <w:numId w:val="1"/>
        </w:numPr>
        <w:tabs>
          <w:tab w:val="left" w:pos="709"/>
        </w:tabs>
        <w:suppressAutoHyphens/>
        <w:spacing w:after="20"/>
        <w:ind w:left="709" w:hanging="709"/>
        <w:jc w:val="both"/>
        <w:rPr>
          <w:sz w:val="22"/>
          <w:szCs w:val="22"/>
        </w:rPr>
      </w:pPr>
      <w:r w:rsidRPr="00290C15">
        <w:rPr>
          <w:sz w:val="22"/>
          <w:szCs w:val="22"/>
        </w:rPr>
        <w:t>Il s’agit principalement de : Arrêté royal du 3 juin 2007 relatif à l'armement de la police intégrée, structurée à deux niveaux, ainsi qu'à l'armement des membres des Services d'Enquêtes des Comités permanents P et R et du personnel de l'Inspection générale de la police fédérale et de la police locale (M.B. 22.06.2007) ; Art. 416 du Code pénal (légitime défense) ; Art. 417</w:t>
      </w:r>
      <w:r w:rsidRPr="00290C15">
        <w:rPr>
          <w:i/>
          <w:sz w:val="22"/>
          <w:szCs w:val="22"/>
        </w:rPr>
        <w:t>bis</w:t>
      </w:r>
      <w:r w:rsidRPr="00290C15">
        <w:rPr>
          <w:sz w:val="22"/>
          <w:szCs w:val="22"/>
        </w:rPr>
        <w:t xml:space="preserve"> du Code pénal (torture et traitements inhumains et dégradants) ; Art. 1 (respect des droits et libertés des citoyens) et Art. 37 (usage de la contrainte) de la Loi du 5 août 1992 sur la fonction de police (M.B. 22.12.1992) ; Circulaire du 14 février 2008 GPI 62 relative à l'armement de la police intégrée, structurée à deux niveaux (M.B. 29.02.2008) ; Circulaire du 17 mars 2006 GPI 48 relative à la formation et l'entraînement en maîtrise de la violence des membres du personnel du cadre opérationnel des services de police (M.B. 14.04.2006).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Il s’agit de personnes détenues sur base d’un titre de détention tel qu’un mandat d’arrêt extraditionnel ou incarcérées à l’expiration de la peine dans l’attente d’une expulsion.</w:t>
      </w:r>
    </w:p>
    <w:p w:rsidR="00D77576" w:rsidRPr="00804273" w:rsidRDefault="00804273" w:rsidP="00946F28">
      <w:pPr>
        <w:pStyle w:val="Paragraphedeliste"/>
        <w:numPr>
          <w:ilvl w:val="0"/>
          <w:numId w:val="1"/>
        </w:numPr>
        <w:tabs>
          <w:tab w:val="left" w:pos="709"/>
        </w:tabs>
        <w:spacing w:after="20"/>
        <w:ind w:left="709" w:hanging="709"/>
        <w:jc w:val="both"/>
        <w:rPr>
          <w:color w:val="0000FF"/>
          <w:sz w:val="22"/>
          <w:szCs w:val="22"/>
          <w:u w:val="single"/>
        </w:rPr>
      </w:pPr>
      <w:hyperlink r:id="rId32" w:history="1">
        <w:proofErr w:type="spellStart"/>
        <w:r w:rsidR="007502FC" w:rsidRPr="00290C15">
          <w:rPr>
            <w:rStyle w:val="Lienhypertexte"/>
            <w:sz w:val="22"/>
            <w:szCs w:val="22"/>
          </w:rPr>
          <w:t>Masterplan</w:t>
        </w:r>
        <w:proofErr w:type="spellEnd"/>
        <w:r w:rsidR="007502FC" w:rsidRPr="00290C15">
          <w:rPr>
            <w:rStyle w:val="Lienhypertexte"/>
            <w:sz w:val="22"/>
            <w:szCs w:val="22"/>
          </w:rPr>
          <w:t xml:space="preserve"> prisons et internement</w:t>
        </w:r>
      </w:hyperlink>
      <w:r w:rsidR="00515798">
        <w:rPr>
          <w:sz w:val="22"/>
          <w:szCs w:val="22"/>
        </w:rPr>
        <w:t xml:space="preserve"> de 2008, 2012 et 2016</w:t>
      </w:r>
      <w:r w:rsidR="00D77576">
        <w:rPr>
          <w:sz w:val="22"/>
          <w:szCs w:val="22"/>
        </w:rPr>
        <w:t>.</w:t>
      </w:r>
    </w:p>
    <w:p w:rsidR="007502FC" w:rsidRPr="00D77576" w:rsidRDefault="00D77576" w:rsidP="00804273">
      <w:pPr>
        <w:tabs>
          <w:tab w:val="left" w:pos="709"/>
        </w:tabs>
        <w:spacing w:after="20"/>
        <w:ind w:left="709" w:hanging="709"/>
        <w:jc w:val="both"/>
        <w:rPr>
          <w:rStyle w:val="Lienhypertexte"/>
          <w:sz w:val="22"/>
          <w:szCs w:val="22"/>
        </w:rPr>
      </w:pPr>
      <w:r>
        <w:rPr>
          <w:sz w:val="22"/>
          <w:szCs w:val="22"/>
        </w:rPr>
        <w:lastRenderedPageBreak/>
        <w:t>163</w:t>
      </w:r>
      <w:r>
        <w:rPr>
          <w:i/>
          <w:sz w:val="22"/>
          <w:szCs w:val="22"/>
        </w:rPr>
        <w:t>bis</w:t>
      </w:r>
      <w:r>
        <w:rPr>
          <w:sz w:val="22"/>
          <w:szCs w:val="22"/>
        </w:rPr>
        <w:t>.</w:t>
      </w:r>
      <w:r>
        <w:rPr>
          <w:sz w:val="22"/>
          <w:szCs w:val="22"/>
        </w:rPr>
        <w:tab/>
        <w:t>E</w:t>
      </w:r>
      <w:r w:rsidRPr="00D77576">
        <w:rPr>
          <w:sz w:val="22"/>
          <w:szCs w:val="22"/>
        </w:rPr>
        <w:t>x. : des détenus en fin de peine peuvent être transférés dans des établissements de basse sécurité avec un accompagnement pour leur réinsertion.</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Cette perte a évidemment été compensée par les nouvelles prisons mises en service, tout en permettant une grande amélioration des conditions de détention.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Voir </w:t>
      </w:r>
      <w:r w:rsidRPr="00290C15">
        <w:rPr>
          <w:rFonts w:ascii="Times New Roman" w:hAnsi="Times New Roman"/>
          <w:i/>
          <w:sz w:val="22"/>
          <w:szCs w:val="22"/>
          <w:lang w:val="fr-FR" w:eastAsia="en-GB"/>
        </w:rPr>
        <w:t>supra</w:t>
      </w:r>
      <w:r w:rsidRPr="00290C15">
        <w:rPr>
          <w:rFonts w:ascii="Times New Roman" w:hAnsi="Times New Roman"/>
          <w:sz w:val="22"/>
          <w:szCs w:val="22"/>
          <w:lang w:val="fr-FR" w:eastAsia="en-GB"/>
        </w:rPr>
        <w:t xml:space="preserve"> (question 3) : réserve exprimée par la Belgique à l’art. 10§2 a) du Pacte et </w:t>
      </w:r>
      <w:r w:rsidRPr="00290C15">
        <w:rPr>
          <w:rFonts w:ascii="Times New Roman" w:hAnsi="Times New Roman"/>
          <w:sz w:val="22"/>
          <w:szCs w:val="22"/>
          <w:lang w:val="fr-BE"/>
        </w:rPr>
        <w:t>art. 11 de la Loi « Dupont ».</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Voir </w:t>
      </w:r>
      <w:r w:rsidRPr="00290C15">
        <w:rPr>
          <w:rFonts w:ascii="Times New Roman" w:hAnsi="Times New Roman"/>
          <w:i/>
          <w:sz w:val="22"/>
          <w:szCs w:val="22"/>
          <w:lang w:val="fr-BE"/>
        </w:rPr>
        <w:t>infra </w:t>
      </w:r>
      <w:r w:rsidRPr="00290C15">
        <w:rPr>
          <w:rFonts w:ascii="Times New Roman" w:hAnsi="Times New Roman"/>
          <w:sz w:val="22"/>
          <w:szCs w:val="22"/>
          <w:lang w:val="fr-BE"/>
        </w:rPr>
        <w:t>(question 22).</w:t>
      </w:r>
    </w:p>
    <w:p w:rsidR="00D77576" w:rsidRPr="00D77576" w:rsidRDefault="00D77576"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BE"/>
        </w:rPr>
        <w:t>166</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t>C</w:t>
      </w:r>
      <w:r w:rsidRPr="00D77576">
        <w:rPr>
          <w:rFonts w:ascii="Times New Roman" w:hAnsi="Times New Roman"/>
          <w:sz w:val="22"/>
          <w:szCs w:val="22"/>
          <w:lang w:val="fr-BE"/>
        </w:rPr>
        <w:t xml:space="preserve">omme l’allocation des cellules sur la base de critères afin d’identifier le mieux possible la compatibilité entre détenus. Les prisons évitent aussi, si possible, de placer ensemble des détenus fumeurs et </w:t>
      </w:r>
      <w:proofErr w:type="spellStart"/>
      <w:r w:rsidRPr="00D77576">
        <w:rPr>
          <w:rFonts w:ascii="Times New Roman" w:hAnsi="Times New Roman"/>
          <w:sz w:val="22"/>
          <w:szCs w:val="22"/>
          <w:lang w:val="fr-BE"/>
        </w:rPr>
        <w:t>non fumeurs</w:t>
      </w:r>
      <w:proofErr w:type="spellEnd"/>
      <w:r w:rsidRPr="00D77576">
        <w:rPr>
          <w:rFonts w:ascii="Times New Roman" w:hAnsi="Times New Roman"/>
          <w:sz w:val="22"/>
          <w:szCs w:val="22"/>
          <w:lang w:val="fr-BE"/>
        </w:rPr>
        <w:t xml:space="preserve"> et essayent de grouper des détenus de même nationalité/</w:t>
      </w:r>
      <w:r w:rsidRPr="00804273">
        <w:rPr>
          <w:rFonts w:ascii="Times New Roman" w:hAnsi="Times New Roman"/>
          <w:sz w:val="22"/>
          <w:szCs w:val="22"/>
          <w:lang w:val="fr-FR"/>
        </w:rPr>
        <w:t>même langue, membres de la même famille, etc</w:t>
      </w:r>
      <w:r>
        <w:rPr>
          <w:rFonts w:ascii="Times New Roman" w:hAnsi="Times New Roman"/>
          <w:sz w:val="22"/>
          <w:szCs w:val="22"/>
          <w:lang w:val="fr-FR"/>
        </w:rPr>
        <w:t>.</w:t>
      </w:r>
    </w:p>
    <w:p w:rsidR="007502FC" w:rsidRDefault="00804273" w:rsidP="00946F28">
      <w:pPr>
        <w:pStyle w:val="Paragraphedeliste"/>
        <w:numPr>
          <w:ilvl w:val="0"/>
          <w:numId w:val="1"/>
        </w:numPr>
        <w:tabs>
          <w:tab w:val="left" w:pos="709"/>
        </w:tabs>
        <w:autoSpaceDE w:val="0"/>
        <w:autoSpaceDN w:val="0"/>
        <w:adjustRightInd w:val="0"/>
        <w:spacing w:after="20"/>
        <w:ind w:left="709" w:hanging="709"/>
        <w:jc w:val="both"/>
        <w:rPr>
          <w:sz w:val="22"/>
          <w:szCs w:val="22"/>
          <w:lang w:val="fr-BE"/>
        </w:rPr>
      </w:pPr>
      <w:hyperlink r:id="rId33" w:history="1">
        <w:r w:rsidR="007502FC" w:rsidRPr="00290C15">
          <w:rPr>
            <w:rStyle w:val="Lienhypertexte"/>
            <w:sz w:val="22"/>
            <w:szCs w:val="22"/>
            <w:lang w:val="fr-BE"/>
          </w:rPr>
          <w:t>Soins de santé dans les prisons belges : situation actuelle et scénarios pour le futur</w:t>
        </w:r>
      </w:hyperlink>
      <w:r w:rsidR="007502FC" w:rsidRPr="00290C15">
        <w:rPr>
          <w:sz w:val="22"/>
          <w:szCs w:val="22"/>
          <w:lang w:val="fr-BE"/>
        </w:rPr>
        <w:t>.</w:t>
      </w:r>
    </w:p>
    <w:p w:rsidR="007F0070" w:rsidRPr="00804273" w:rsidRDefault="007F0070" w:rsidP="00804273">
      <w:pPr>
        <w:tabs>
          <w:tab w:val="left" w:pos="709"/>
        </w:tabs>
        <w:autoSpaceDE w:val="0"/>
        <w:autoSpaceDN w:val="0"/>
        <w:adjustRightInd w:val="0"/>
        <w:spacing w:after="20"/>
        <w:ind w:left="709" w:hanging="709"/>
        <w:jc w:val="both"/>
        <w:rPr>
          <w:sz w:val="22"/>
          <w:szCs w:val="22"/>
          <w:lang w:val="fr-BE"/>
        </w:rPr>
      </w:pPr>
      <w:r>
        <w:rPr>
          <w:sz w:val="22"/>
          <w:szCs w:val="22"/>
          <w:lang w:val="fr-BE"/>
        </w:rPr>
        <w:t>167</w:t>
      </w:r>
      <w:r>
        <w:rPr>
          <w:i/>
          <w:sz w:val="22"/>
          <w:szCs w:val="22"/>
          <w:lang w:val="fr-BE"/>
        </w:rPr>
        <w:t>bis</w:t>
      </w:r>
      <w:r>
        <w:rPr>
          <w:sz w:val="22"/>
          <w:szCs w:val="22"/>
          <w:lang w:val="fr-BE"/>
        </w:rPr>
        <w:t>.</w:t>
      </w:r>
      <w:r>
        <w:rPr>
          <w:sz w:val="22"/>
          <w:szCs w:val="22"/>
          <w:lang w:val="fr-BE"/>
        </w:rPr>
        <w:tab/>
      </w:r>
      <w:r w:rsidRPr="007F0070">
        <w:rPr>
          <w:sz w:val="22"/>
          <w:szCs w:val="22"/>
        </w:rPr>
        <w:t>L</w:t>
      </w:r>
      <w:r w:rsidRPr="007F0070">
        <w:rPr>
          <w:sz w:val="22"/>
          <w:szCs w:val="22"/>
          <w:lang w:val="fr-BE"/>
        </w:rPr>
        <w:t>e Groupe de pilotage Santé-Justice a été le dernier auquel l’étude KCE a été présentée, le 29 janvier 2018.</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Loi du 27 décembre 2012 portant des dispositions diverse en matière de justice (M.B. 31.01.2013) ; </w:t>
      </w:r>
      <w:r w:rsidR="00A8568C" w:rsidRPr="00290C15">
        <w:rPr>
          <w:rFonts w:ascii="Times New Roman" w:hAnsi="Times New Roman"/>
          <w:sz w:val="22"/>
          <w:szCs w:val="22"/>
          <w:lang w:val="fr-BE"/>
        </w:rPr>
        <w:t>A</w:t>
      </w:r>
      <w:r w:rsidRPr="00290C15">
        <w:rPr>
          <w:rFonts w:ascii="Times New Roman" w:hAnsi="Times New Roman"/>
          <w:sz w:val="22"/>
          <w:szCs w:val="22"/>
          <w:lang w:val="fr-BE"/>
        </w:rPr>
        <w:t xml:space="preserve">rrêté royal d’exécution du 26 décembre 2013 </w:t>
      </w:r>
      <w:r w:rsidRPr="00290C15">
        <w:rPr>
          <w:rFonts w:ascii="Times New Roman" w:hAnsi="Times New Roman"/>
          <w:sz w:val="22"/>
          <w:szCs w:val="22"/>
          <w:lang w:val="fr-FR"/>
        </w:rPr>
        <w:t>portant exécution du Titre II de la loi du 27 décembre 2012 portant des dispositions diverses en matière de justice (M.B. 31.12.2013).</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Transposition de la décision-cadre 2009/829/JAI du Conseil du 23 octobre 2009 concernant l’application entre les Etats membres de l’Union européenne, du principe de reconnaissance mutuelle aux décisions relatives à des mesures de contrôle en tant qu’alternative à la détention provisoire.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17 avril 2002 instaurant la peine de travail comme peine autonome en matière correctionnelle et de police (M.B. 07.05.2002).</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07 février 2014 instaurant la surveillance électronique comme peine autonome (MB. 07.02.2014) ; Loi du 10 avril 2014 insérant la probation comme peine autonome dans le Code pénal, et modifiant le code d’instruction criminelle, et la loi du 29 juin 1964 concernant la suspension, le sursis et la probation (M.B 19.06.2014).</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b/>
          <w:sz w:val="22"/>
          <w:szCs w:val="22"/>
          <w:lang w:val="fr-FR"/>
        </w:rPr>
        <w:t>Les dispositions suivantes sont actuellement en vigueur</w:t>
      </w:r>
      <w:r w:rsidRPr="00290C15">
        <w:rPr>
          <w:rFonts w:ascii="Times New Roman" w:hAnsi="Times New Roman"/>
          <w:sz w:val="22"/>
          <w:szCs w:val="22"/>
          <w:lang w:val="fr-FR"/>
        </w:rPr>
        <w:t> : dispositions générales (art. 1-2) ; principes de base (art. 4 à 6, 8 à 13) ; règlement d’ordre intérieur (art. 16) ; accueil (art. 19) ; conditions de vie matérielles (art. 41§1 , 42 et 44 à 47) ; contacts avec le monde extérieur (art. 53 à 70) </w:t>
      </w:r>
      <w:r w:rsidRPr="00290C15">
        <w:rPr>
          <w:rFonts w:ascii="Times New Roman" w:hAnsi="Times New Roman"/>
          <w:sz w:val="22"/>
          <w:szCs w:val="22"/>
          <w:lang w:val="fr-FR" w:eastAsia="en-GB"/>
        </w:rPr>
        <w:t>; s</w:t>
      </w:r>
      <w:r w:rsidRPr="00290C15">
        <w:rPr>
          <w:rFonts w:ascii="Times New Roman" w:hAnsi="Times New Roman"/>
          <w:sz w:val="22"/>
          <w:szCs w:val="22"/>
          <w:lang w:val="fr-FR"/>
        </w:rPr>
        <w:t>ervices religieux et pratiques philosophiques (art. 71 à 74§4) ; formations et loisirs (art. 76 à 80) ; aide sociale (art. 103) ; aide juridique/assistance judiciaire (art. 104) </w:t>
      </w:r>
      <w:r w:rsidRPr="00290C15">
        <w:rPr>
          <w:rFonts w:ascii="Times New Roman" w:hAnsi="Times New Roman"/>
          <w:sz w:val="22"/>
          <w:szCs w:val="22"/>
          <w:lang w:val="fr-FR" w:eastAsia="en-GB"/>
        </w:rPr>
        <w:t xml:space="preserve">; le </w:t>
      </w:r>
      <w:r w:rsidRPr="00290C15">
        <w:rPr>
          <w:rFonts w:ascii="Times New Roman" w:hAnsi="Times New Roman"/>
          <w:sz w:val="22"/>
          <w:szCs w:val="22"/>
          <w:lang w:val="fr-FR"/>
        </w:rPr>
        <w:t>prélèvement sur les sommes dues par l'administration pénitentiaire (art. 104/1) ; ordre, sécurité et usage de la force (art. 105 à 118 – sauf art. 118§10, 119 à 121) ; régime disciplinaire (art. 122 à 146, 167§4)</w:t>
      </w:r>
      <w:r w:rsidRPr="00290C15">
        <w:rPr>
          <w:rFonts w:ascii="Times New Roman" w:hAnsi="Times New Roman"/>
          <w:sz w:val="22"/>
          <w:szCs w:val="22"/>
          <w:lang w:val="fr-FR" w:eastAsia="en-GB"/>
        </w:rPr>
        <w:t xml:space="preserve"> ; </w:t>
      </w:r>
      <w:r w:rsidRPr="00290C15">
        <w:rPr>
          <w:rFonts w:ascii="Times New Roman" w:hAnsi="Times New Roman"/>
          <w:sz w:val="22"/>
          <w:szCs w:val="22"/>
          <w:lang w:val="fr-FR"/>
        </w:rPr>
        <w:t>disposition temporaire pour les internés (art. 167§1).</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Loi du 25 décembre 2016 modifiant le statut juridique des détenus et la surveillance des prisons et portant des dispositions diverses en matière de justice (M.B. 30.12.2016). </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Arrêté royal du 21 mai 1965 portant règlement général des établissements pénitentiaires (M.B 25.05.1965). </w:t>
      </w:r>
    </w:p>
    <w:p w:rsid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BE"/>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rPr>
      </w:pPr>
      <w:bookmarkStart w:id="32" w:name="_Toc503444761"/>
      <w:bookmarkStart w:id="33" w:name="_Toc503444776"/>
      <w:bookmarkStart w:id="34" w:name="_Toc519074805"/>
      <w:r w:rsidRPr="00290C15">
        <w:rPr>
          <w:b/>
          <w:color w:val="000000"/>
          <w:sz w:val="22"/>
          <w:szCs w:val="22"/>
        </w:rPr>
        <w:t>Interdiction de l’esclavage et de la servitude (art. 8)</w:t>
      </w:r>
      <w:bookmarkEnd w:id="32"/>
      <w:bookmarkEnd w:id="33"/>
      <w:bookmarkEnd w:id="34"/>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FR"/>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bCs/>
          <w:sz w:val="22"/>
          <w:szCs w:val="22"/>
          <w:lang w:val="fr-BE"/>
        </w:rPr>
        <w:t xml:space="preserve">Dans les instruments internationaux, le </w:t>
      </w:r>
      <w:r w:rsidRPr="00290C15">
        <w:rPr>
          <w:rFonts w:ascii="Times New Roman" w:hAnsi="Times New Roman"/>
          <w:bCs/>
          <w:i/>
          <w:iCs/>
          <w:sz w:val="22"/>
          <w:szCs w:val="22"/>
          <w:lang w:val="fr-BE"/>
        </w:rPr>
        <w:t>modus operandi</w:t>
      </w:r>
      <w:r w:rsidRPr="00290C15">
        <w:rPr>
          <w:rFonts w:ascii="Times New Roman" w:hAnsi="Times New Roman"/>
          <w:bCs/>
          <w:sz w:val="22"/>
          <w:szCs w:val="22"/>
          <w:lang w:val="fr-BE"/>
        </w:rPr>
        <w:t xml:space="preserve"> est un élément constitutif de l’infraction de traite lorsque celle-ci est commise sur une victime majeure.</w:t>
      </w:r>
      <w:r w:rsidR="009D7997">
        <w:rPr>
          <w:rFonts w:ascii="Times New Roman" w:hAnsi="Times New Roman"/>
          <w:bCs/>
          <w:sz w:val="22"/>
          <w:szCs w:val="22"/>
          <w:lang w:val="fr-BE"/>
        </w:rPr>
        <w:t xml:space="preserve"> En Belgique, s</w:t>
      </w:r>
      <w:r w:rsidR="009D7997" w:rsidRPr="009D7997">
        <w:rPr>
          <w:rFonts w:ascii="Times New Roman" w:hAnsi="Times New Roman"/>
          <w:bCs/>
          <w:sz w:val="22"/>
          <w:szCs w:val="22"/>
          <w:lang w:val="fr-BE"/>
        </w:rPr>
        <w:t xml:space="preserve">i la preuve du </w:t>
      </w:r>
      <w:r w:rsidR="009D7997" w:rsidRPr="009D7997">
        <w:rPr>
          <w:rFonts w:ascii="Times New Roman" w:hAnsi="Times New Roman"/>
          <w:bCs/>
          <w:i/>
          <w:iCs/>
          <w:sz w:val="22"/>
          <w:szCs w:val="22"/>
          <w:lang w:val="fr-BE"/>
        </w:rPr>
        <w:t>modus operandi</w:t>
      </w:r>
      <w:r w:rsidR="009D7997" w:rsidRPr="009D7997">
        <w:rPr>
          <w:rFonts w:ascii="Times New Roman" w:hAnsi="Times New Roman"/>
          <w:bCs/>
          <w:sz w:val="22"/>
          <w:szCs w:val="22"/>
          <w:lang w:val="fr-BE"/>
        </w:rPr>
        <w:t xml:space="preserve"> peut néanmoins être apportée, une augmentation de peine est prévue.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Les finalités d’exploitation énumérées sont l’exploitation sexuelle au sens large (pas seulement l’exploitation de la prostitution), l’exploitation de la mendicité, le travail ou par les services dans des conditions contraires à la dignité humaine, le prélèvement d’organes, de tissus et de cellules, et la délinquance forcée. Par l’expression « travail ou services dans des conditions contraires à la dignité humaine », le législateur belge a souhaité viser la finalité d’exploitation économique de manière plus large que les instruments internationaux qui se réfèrent au travail forcé, à l’esclavage et aux pratiques analogues et à la servitude.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color w:val="000000"/>
          <w:sz w:val="22"/>
          <w:szCs w:val="22"/>
          <w:lang w:val="fr-FR"/>
        </w:rPr>
        <w:t>Loi du 29 avril 2013 visant à modifier l'article 433quinquies du Code pénal en vue de clarifier et d'étendre la définition de la traite des êtres humains (M.B. 23.07.2013).</w:t>
      </w:r>
    </w:p>
    <w:p w:rsidR="007502FC" w:rsidRPr="00290C15" w:rsidRDefault="009D7997"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bCs/>
          <w:color w:val="000000"/>
          <w:sz w:val="22"/>
          <w:szCs w:val="22"/>
          <w:lang w:val="fr-FR"/>
        </w:rPr>
        <w:t xml:space="preserve">C’est en particulier important dans le cas de la </w:t>
      </w:r>
      <w:r w:rsidRPr="009D7997">
        <w:rPr>
          <w:rFonts w:ascii="Times New Roman" w:hAnsi="Times New Roman"/>
          <w:bCs/>
          <w:color w:val="000000"/>
          <w:sz w:val="22"/>
          <w:szCs w:val="22"/>
          <w:lang w:val="fr-FR"/>
        </w:rPr>
        <w:t xml:space="preserve">traite et </w:t>
      </w:r>
      <w:r>
        <w:rPr>
          <w:rFonts w:ascii="Times New Roman" w:hAnsi="Times New Roman"/>
          <w:bCs/>
          <w:color w:val="000000"/>
          <w:sz w:val="22"/>
          <w:szCs w:val="22"/>
          <w:lang w:val="fr-FR"/>
        </w:rPr>
        <w:t xml:space="preserve">du trafic des êtres humains ou de </w:t>
      </w:r>
      <w:r>
        <w:rPr>
          <w:rFonts w:ascii="Times New Roman" w:hAnsi="Times New Roman"/>
          <w:bCs/>
          <w:color w:val="000000"/>
          <w:sz w:val="22"/>
          <w:szCs w:val="22"/>
          <w:lang w:val="fr-FR"/>
        </w:rPr>
        <w:lastRenderedPageBreak/>
        <w:t>l’</w:t>
      </w:r>
      <w:r w:rsidRPr="009D7997">
        <w:rPr>
          <w:rFonts w:ascii="Times New Roman" w:hAnsi="Times New Roman"/>
          <w:bCs/>
          <w:color w:val="000000"/>
          <w:sz w:val="22"/>
          <w:szCs w:val="22"/>
          <w:lang w:val="fr-FR"/>
        </w:rPr>
        <w:t xml:space="preserve">exploitation de </w:t>
      </w:r>
      <w:r>
        <w:rPr>
          <w:rFonts w:ascii="Times New Roman" w:hAnsi="Times New Roman"/>
          <w:bCs/>
          <w:color w:val="000000"/>
          <w:sz w:val="22"/>
          <w:szCs w:val="22"/>
          <w:lang w:val="fr-FR"/>
        </w:rPr>
        <w:t xml:space="preserve">la </w:t>
      </w:r>
      <w:r w:rsidRPr="009D7997">
        <w:rPr>
          <w:rFonts w:ascii="Times New Roman" w:hAnsi="Times New Roman"/>
          <w:bCs/>
          <w:color w:val="000000"/>
          <w:sz w:val="22"/>
          <w:szCs w:val="22"/>
          <w:lang w:val="fr-FR"/>
        </w:rPr>
        <w:t>mendicité</w:t>
      </w:r>
      <w:r>
        <w:rPr>
          <w:rFonts w:ascii="Times New Roman" w:hAnsi="Times New Roman"/>
          <w:bCs/>
          <w:color w:val="000000"/>
          <w:sz w:val="22"/>
          <w:szCs w:val="22"/>
          <w:lang w:val="fr-FR"/>
        </w:rPr>
        <w:t xml:space="preserve"> ou de la </w:t>
      </w:r>
      <w:r w:rsidRPr="009D7997">
        <w:rPr>
          <w:rFonts w:ascii="Times New Roman" w:hAnsi="Times New Roman"/>
          <w:bCs/>
          <w:color w:val="000000"/>
          <w:sz w:val="22"/>
          <w:szCs w:val="22"/>
          <w:lang w:val="fr-FR"/>
        </w:rPr>
        <w:t>prostitution</w:t>
      </w:r>
      <w:r>
        <w:rPr>
          <w:rFonts w:ascii="Times New Roman" w:hAnsi="Times New Roman"/>
          <w:bCs/>
          <w:color w:val="000000"/>
          <w:sz w:val="22"/>
          <w:szCs w:val="22"/>
          <w:lang w:val="fr-FR"/>
        </w:rPr>
        <w:t xml:space="preserve">. </w:t>
      </w:r>
      <w:r w:rsidR="007502FC" w:rsidRPr="00290C15">
        <w:rPr>
          <w:rFonts w:ascii="Times New Roman" w:hAnsi="Times New Roman"/>
          <w:color w:val="000000"/>
          <w:sz w:val="22"/>
          <w:szCs w:val="22"/>
          <w:lang w:val="fr-FR"/>
        </w:rPr>
        <w:t>Loi du 24 juin 2013 portant répression de l'exploitation de la mendicité et de la prostitution, de la traite et du trafic des êtres humains en fonction du nombre de victimes (M.B. 23.07.2013).</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Loi du 27 novembre 2013 complétant les articles 43bis, 382ter et 433novies du Code pénal, ainsi que l'article 77sexies de la loi du 15 décembre 1980 sur l'accès au territoire, le séjour, l'établissement et l'éloignement des étrangers, relativement à la confiscation spéciale (M.B. 13.12.2013).</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BE"/>
        </w:rPr>
        <w:t>Loi du 31 mai 2016 complétant la mise en œuvre des obligations européennes en matière d'exploitation sexuelle des enfants, de pédopornographie, de traite des êtres humains et d'aide à l'entrée, au transit et au séjour irréguliers (M.B. 08.06.2016).</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P</w:t>
      </w:r>
      <w:proofErr w:type="spellStart"/>
      <w:r w:rsidRPr="00290C15">
        <w:rPr>
          <w:rFonts w:ascii="Times New Roman" w:hAnsi="Times New Roman"/>
          <w:sz w:val="22"/>
          <w:szCs w:val="22"/>
          <w:lang w:val="fr-BE"/>
        </w:rPr>
        <w:t>rivation</w:t>
      </w:r>
      <w:proofErr w:type="spellEnd"/>
      <w:r w:rsidRPr="00290C15">
        <w:rPr>
          <w:rFonts w:ascii="Times New Roman" w:hAnsi="Times New Roman"/>
          <w:sz w:val="22"/>
          <w:szCs w:val="22"/>
          <w:lang w:val="fr-BE"/>
        </w:rPr>
        <w:t xml:space="preserve"> des droits et peines accessoires des interdictions d’exploiter et d’activités.</w:t>
      </w:r>
    </w:p>
    <w:p w:rsidR="007F0070" w:rsidRPr="007F0070" w:rsidRDefault="007F0070" w:rsidP="00804273">
      <w:pPr>
        <w:pStyle w:val="Notedebasdepage"/>
        <w:tabs>
          <w:tab w:val="left" w:pos="709"/>
        </w:tabs>
        <w:spacing w:after="20" w:line="240" w:lineRule="auto"/>
        <w:jc w:val="both"/>
        <w:rPr>
          <w:rFonts w:ascii="Times New Roman" w:hAnsi="Times New Roman"/>
          <w:sz w:val="22"/>
          <w:szCs w:val="22"/>
          <w:lang w:val="fr-FR"/>
        </w:rPr>
      </w:pPr>
      <w:r>
        <w:rPr>
          <w:rFonts w:ascii="Times New Roman" w:hAnsi="Times New Roman"/>
          <w:sz w:val="22"/>
          <w:szCs w:val="22"/>
          <w:lang w:val="fr-BE"/>
        </w:rPr>
        <w:t>181</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r>
      <w:r w:rsidRPr="00804273">
        <w:rPr>
          <w:rFonts w:ascii="Times New Roman" w:hAnsi="Times New Roman"/>
          <w:sz w:val="22"/>
          <w:szCs w:val="22"/>
          <w:lang w:val="fr-FR"/>
        </w:rPr>
        <w:t>Entrée en vigueur le 1er mai 2015.</w:t>
      </w:r>
    </w:p>
    <w:p w:rsidR="007502FC" w:rsidRDefault="0044300F"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hyperlink r:id="rId34" w:history="1">
        <w:r w:rsidR="007502FC" w:rsidRPr="00290C15">
          <w:rPr>
            <w:rStyle w:val="Lienhypertexte"/>
            <w:rFonts w:ascii="Times New Roman" w:hAnsi="Times New Roman"/>
            <w:sz w:val="22"/>
            <w:szCs w:val="22"/>
            <w:lang w:val="fr-BE"/>
          </w:rPr>
          <w:t>Plan d’action Lutte contre le trafic d’êtres humains 2015-2018</w:t>
        </w:r>
      </w:hyperlink>
      <w:r w:rsidR="007502FC" w:rsidRPr="00290C15">
        <w:rPr>
          <w:rFonts w:ascii="Times New Roman" w:hAnsi="Times New Roman"/>
          <w:sz w:val="22"/>
          <w:szCs w:val="22"/>
          <w:lang w:val="fr-BE"/>
        </w:rPr>
        <w:t>.</w:t>
      </w:r>
    </w:p>
    <w:p w:rsidR="007F0070" w:rsidRDefault="007F0070"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BE"/>
        </w:rPr>
        <w:t>182</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r>
      <w:r w:rsidRPr="00804273">
        <w:rPr>
          <w:rFonts w:ascii="Times New Roman" w:hAnsi="Times New Roman"/>
          <w:sz w:val="22"/>
          <w:szCs w:val="22"/>
          <w:lang w:val="fr-FR"/>
        </w:rPr>
        <w:t>Une brochure a été donnée dans tous les hôpitaux du pays (notamment aux services d’urgences et gynécologiques) pour informer sur les caractéristiques et traumas des victimes. Une brochure a également été distribuée dans les centres d’observation et d’orientation des demandeurs de protection internationale pour les informer des conditions de travail en Belgique et des acteurs à joindre en cas d’exploitation.</w:t>
      </w:r>
    </w:p>
    <w:p w:rsidR="007F0070" w:rsidRPr="00804273" w:rsidRDefault="007F0070"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FR"/>
        </w:rPr>
        <w:t>182</w:t>
      </w:r>
      <w:r>
        <w:rPr>
          <w:rFonts w:ascii="Times New Roman" w:hAnsi="Times New Roman"/>
          <w:i/>
          <w:sz w:val="22"/>
          <w:szCs w:val="22"/>
          <w:lang w:val="fr-FR"/>
        </w:rPr>
        <w:t>ter</w:t>
      </w:r>
      <w:r>
        <w:rPr>
          <w:rFonts w:ascii="Times New Roman" w:hAnsi="Times New Roman"/>
          <w:sz w:val="22"/>
          <w:szCs w:val="22"/>
          <w:lang w:val="fr-FR"/>
        </w:rPr>
        <w:t>.</w:t>
      </w:r>
      <w:r>
        <w:rPr>
          <w:rFonts w:ascii="Times New Roman" w:hAnsi="Times New Roman"/>
          <w:sz w:val="22"/>
          <w:szCs w:val="22"/>
          <w:lang w:val="fr-FR"/>
        </w:rPr>
        <w:tab/>
        <w:t>I</w:t>
      </w:r>
      <w:r w:rsidRPr="007F0070">
        <w:rPr>
          <w:rFonts w:ascii="Times New Roman" w:hAnsi="Times New Roman"/>
          <w:sz w:val="22"/>
          <w:szCs w:val="22"/>
          <w:lang w:val="fr-FR"/>
        </w:rPr>
        <w:t>ntégré dans la Direction centrale de lutte contre la criminalité grave et organisée.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w:t>
      </w:r>
      <w:proofErr w:type="spellStart"/>
      <w:r w:rsidRPr="00290C15">
        <w:rPr>
          <w:rFonts w:ascii="Times New Roman" w:hAnsi="Times New Roman"/>
          <w:sz w:val="22"/>
          <w:szCs w:val="22"/>
          <w:lang w:val="fr-FR"/>
        </w:rPr>
        <w:t>oi</w:t>
      </w:r>
      <w:proofErr w:type="spellEnd"/>
      <w:r w:rsidRPr="00290C15">
        <w:rPr>
          <w:rFonts w:ascii="Times New Roman" w:hAnsi="Times New Roman"/>
          <w:sz w:val="22"/>
          <w:szCs w:val="22"/>
          <w:lang w:val="fr-FR"/>
        </w:rPr>
        <w:t xml:space="preserve"> du 12 mai 2014 modifiant le titre XIII, chapitre VI, de la loi-programme (I) du 24 décembre 2002 relative à la tutelle des mineurs étrangers non accompagnés (M.B. 31.12.2002).</w:t>
      </w:r>
    </w:p>
    <w:p w:rsidR="007502FC" w:rsidRPr="00290C15"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rPr>
        <w:t>Loi du 30 mars 2017</w:t>
      </w:r>
      <w:r w:rsidRPr="00290C15">
        <w:rPr>
          <w:rFonts w:eastAsia="Calibri"/>
          <w:sz w:val="22"/>
          <w:szCs w:val="22"/>
          <w:lang w:eastAsia="en-US"/>
        </w:rPr>
        <w:t xml:space="preserve"> modifiant l'article 61/2 de la loi du 15 décembre 1980 sur l'accès au territoire, le séjour, l'établissement et l'éloignement des étrangers afin de remplacer l'ordre de quitter le territoire par un document de séjour temporaire dans le cadre de la procédure traite des êtres humains (M.B. 10.05.2017).</w:t>
      </w:r>
    </w:p>
    <w:p w:rsidR="00290C15" w:rsidRDefault="00290C15" w:rsidP="00946F28">
      <w:pPr>
        <w:tabs>
          <w:tab w:val="left" w:pos="709"/>
        </w:tabs>
        <w:spacing w:after="20"/>
        <w:ind w:left="709" w:hanging="709"/>
        <w:jc w:val="both"/>
        <w:rPr>
          <w:sz w:val="22"/>
          <w:szCs w:val="22"/>
        </w:rPr>
      </w:pPr>
    </w:p>
    <w:p w:rsidR="00290C15" w:rsidRDefault="00290C15" w:rsidP="00946F28">
      <w:pPr>
        <w:tabs>
          <w:tab w:val="left" w:pos="709"/>
        </w:tabs>
        <w:autoSpaceDE w:val="0"/>
        <w:autoSpaceDN w:val="0"/>
        <w:adjustRightInd w:val="0"/>
        <w:ind w:left="709" w:hanging="709"/>
        <w:jc w:val="both"/>
        <w:outlineLvl w:val="1"/>
        <w:rPr>
          <w:b/>
          <w:color w:val="000000"/>
          <w:sz w:val="22"/>
          <w:szCs w:val="22"/>
        </w:rPr>
      </w:pPr>
      <w:bookmarkStart w:id="35" w:name="_Toc503444762"/>
      <w:bookmarkStart w:id="36" w:name="_Toc503444777"/>
      <w:bookmarkStart w:id="37" w:name="_Toc519074806"/>
      <w:r w:rsidRPr="00290C15">
        <w:rPr>
          <w:b/>
          <w:color w:val="000000"/>
          <w:sz w:val="22"/>
          <w:szCs w:val="22"/>
        </w:rPr>
        <w:t>Légalité de la détention et sécurité de la personne (arts. 2, 9, 10)</w:t>
      </w:r>
      <w:bookmarkEnd w:id="35"/>
      <w:bookmarkEnd w:id="36"/>
      <w:bookmarkEnd w:id="37"/>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Ces mesures sont réglées par la Loi du 13 août 2011 dont un exposé est détaillé dans CAT/C/BEL/3.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Cette loi est entrée en vigueur le 27 novembre 2016.</w:t>
      </w:r>
      <w:r w:rsidRPr="00290C15">
        <w:rPr>
          <w:rFonts w:ascii="Times New Roman" w:eastAsia="Times New Roman" w:hAnsi="Times New Roman"/>
          <w:sz w:val="22"/>
          <w:szCs w:val="22"/>
          <w:lang w:val="fr-BE" w:eastAsia="fr-FR"/>
        </w:rPr>
        <w:t xml:space="preserve"> Elle permet à</w:t>
      </w:r>
      <w:r w:rsidRPr="00290C15">
        <w:rPr>
          <w:rFonts w:ascii="Times New Roman" w:hAnsi="Times New Roman"/>
          <w:sz w:val="22"/>
          <w:szCs w:val="22"/>
          <w:lang w:val="fr-BE"/>
        </w:rPr>
        <w:t xml:space="preserve"> la Belgique de se mettre en conformité avec la Directive 2013/48/UE. Au sujet de cette loi voir : </w:t>
      </w:r>
      <w:hyperlink r:id="rId35" w:history="1">
        <w:r w:rsidRPr="00290C15">
          <w:rPr>
            <w:rStyle w:val="Lienhypertexte"/>
            <w:rFonts w:ascii="Times New Roman" w:hAnsi="Times New Roman"/>
            <w:sz w:val="22"/>
            <w:szCs w:val="22"/>
            <w:lang w:val="fr-BE"/>
          </w:rPr>
          <w:t>http://www.ejustice.just.fgov.be/loi/loi.htm</w:t>
        </w:r>
      </w:hyperlink>
      <w:r w:rsidRPr="00290C15">
        <w:rPr>
          <w:rFonts w:ascii="Times New Roman" w:hAnsi="Times New Roman"/>
          <w:sz w:val="22"/>
          <w:szCs w:val="22"/>
          <w:lang w:val="fr-BE"/>
        </w:rPr>
        <w:t xml:space="preserve">. </w:t>
      </w:r>
    </w:p>
    <w:p w:rsidR="007502FC" w:rsidRPr="00290C15" w:rsidRDefault="007F0070" w:rsidP="007F0070">
      <w:pPr>
        <w:pStyle w:val="Notedebasdepage"/>
        <w:tabs>
          <w:tab w:val="left" w:pos="709"/>
        </w:tabs>
        <w:spacing w:after="20" w:line="240" w:lineRule="auto"/>
        <w:ind w:left="709" w:hanging="709"/>
        <w:jc w:val="both"/>
        <w:rPr>
          <w:rFonts w:ascii="Times New Roman" w:hAnsi="Times New Roman"/>
          <w:sz w:val="22"/>
          <w:szCs w:val="22"/>
          <w:lang w:val="fr-BE"/>
        </w:rPr>
      </w:pPr>
      <w:r>
        <w:rPr>
          <w:rFonts w:ascii="Times New Roman" w:hAnsi="Times New Roman"/>
          <w:sz w:val="22"/>
          <w:szCs w:val="22"/>
          <w:lang w:val="fr-BE"/>
        </w:rPr>
        <w:tab/>
      </w:r>
      <w:r w:rsidR="007502FC" w:rsidRPr="00290C15">
        <w:rPr>
          <w:rFonts w:ascii="Times New Roman" w:hAnsi="Times New Roman"/>
          <w:sz w:val="22"/>
          <w:szCs w:val="22"/>
          <w:lang w:val="fr-BE"/>
        </w:rPr>
        <w:t xml:space="preserve">Voir également le nouvel article 12 de la Constitution (revue par la loi du 24 octobre 2017, </w:t>
      </w:r>
      <w:r w:rsidR="007502FC" w:rsidRPr="00290C15">
        <w:rPr>
          <w:rFonts w:ascii="Times New Roman" w:hAnsi="Times New Roman"/>
          <w:i/>
          <w:sz w:val="22"/>
          <w:szCs w:val="22"/>
          <w:lang w:val="fr-BE"/>
        </w:rPr>
        <w:t>M.B</w:t>
      </w:r>
      <w:r w:rsidR="007502FC" w:rsidRPr="00290C15">
        <w:rPr>
          <w:rFonts w:ascii="Times New Roman" w:hAnsi="Times New Roman"/>
          <w:sz w:val="22"/>
          <w:szCs w:val="22"/>
          <w:lang w:val="fr-BE"/>
        </w:rPr>
        <w:t xml:space="preserve">.29.11.2017) </w:t>
      </w:r>
      <w:r w:rsidR="007502FC" w:rsidRPr="00290C15">
        <w:rPr>
          <w:rFonts w:ascii="Times New Roman" w:hAnsi="Times New Roman"/>
          <w:bCs/>
          <w:sz w:val="22"/>
          <w:szCs w:val="22"/>
          <w:lang w:val="fr-FR"/>
        </w:rPr>
        <w:t>"Hors le cas de flagrant délit, nul ne peut être arrêté qu'en vertu d'une ordonnance motivée du juge qui doit être signifiée au plus tard dans les quarante-huit heures de la privation de liberté et ne peut emporter qu'une mise en détention préventive."</w:t>
      </w:r>
      <w:r w:rsidR="007502FC" w:rsidRPr="00290C15">
        <w:rPr>
          <w:rFonts w:ascii="Times New Roman" w:hAnsi="Times New Roman"/>
          <w:sz w:val="22"/>
          <w:szCs w:val="22"/>
          <w:lang w:val="fr-BE"/>
        </w:rPr>
        <w:t> ; Loi du 31 octobre 2017 modifiant la loi du 20 juillet 1990 relative à la détention préventive, la loi du 7 juin 1969 fixant le temps pendant lequel il ne peut être procédé à des perquisitions, visites domiciliaires ou arrestations, la loi du 5 août 1992 sur la fonction de police et la loi du 19 décembre 2003 relative au mandat d’arrêt européen (</w:t>
      </w:r>
      <w:r w:rsidR="007502FC" w:rsidRPr="00290C15">
        <w:rPr>
          <w:rFonts w:ascii="Times New Roman" w:hAnsi="Times New Roman"/>
          <w:i/>
          <w:sz w:val="22"/>
          <w:szCs w:val="22"/>
          <w:lang w:val="fr-BE"/>
        </w:rPr>
        <w:t>M.B.</w:t>
      </w:r>
      <w:r w:rsidR="007502FC" w:rsidRPr="00290C15">
        <w:rPr>
          <w:rFonts w:ascii="Times New Roman" w:hAnsi="Times New Roman"/>
          <w:sz w:val="22"/>
          <w:szCs w:val="22"/>
          <w:lang w:val="fr-BE"/>
        </w:rPr>
        <w:t xml:space="preserve"> 29.11.2017) ; Arrêté royal remplaçant les annexes de l’arrêté royal du 23 novembre 2016 portant exécution de l’article 47</w:t>
      </w:r>
      <w:r w:rsidR="007502FC" w:rsidRPr="00290C15">
        <w:rPr>
          <w:rFonts w:ascii="Times New Roman" w:hAnsi="Times New Roman"/>
          <w:i/>
          <w:sz w:val="22"/>
          <w:szCs w:val="22"/>
          <w:lang w:val="fr-BE"/>
        </w:rPr>
        <w:t>bis</w:t>
      </w:r>
      <w:r w:rsidR="007502FC" w:rsidRPr="00290C15">
        <w:rPr>
          <w:rFonts w:ascii="Times New Roman" w:hAnsi="Times New Roman"/>
          <w:sz w:val="22"/>
          <w:szCs w:val="22"/>
          <w:lang w:val="fr-BE"/>
        </w:rPr>
        <w:t xml:space="preserve"> §5 du code d’instruction criminelle (</w:t>
      </w:r>
      <w:r w:rsidR="007502FC" w:rsidRPr="00290C15">
        <w:rPr>
          <w:rFonts w:ascii="Times New Roman" w:hAnsi="Times New Roman"/>
          <w:i/>
          <w:sz w:val="22"/>
          <w:szCs w:val="22"/>
          <w:lang w:val="fr-BE"/>
        </w:rPr>
        <w:t>M.B.</w:t>
      </w:r>
      <w:r w:rsidR="007502FC" w:rsidRPr="00290C15">
        <w:rPr>
          <w:rFonts w:ascii="Times New Roman" w:hAnsi="Times New Roman"/>
          <w:sz w:val="22"/>
          <w:szCs w:val="22"/>
          <w:lang w:val="fr-BE"/>
        </w:rPr>
        <w:t xml:space="preserve"> 29.11.2017).</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Services des Polices fédérale et locale, magistrature et juges d’instruction, Cabinet du Ministre de la Justice et membres du SPF Justice.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Collège des Procureurs généraux, les Ordres des Barreaux des avocats et le SPF Finances.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Le rapport final date de février 2013.</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Collège des Procureurs généraux, Conseil des procureurs du Roi, les services des Police fédérale et locale </w:t>
      </w:r>
      <w:r w:rsidR="00A8568C" w:rsidRPr="00290C15">
        <w:rPr>
          <w:rFonts w:ascii="Times New Roman" w:hAnsi="Times New Roman"/>
          <w:sz w:val="22"/>
          <w:szCs w:val="22"/>
          <w:lang w:val="fr-BE"/>
        </w:rPr>
        <w:t>a</w:t>
      </w:r>
      <w:r w:rsidRPr="00290C15">
        <w:rPr>
          <w:rFonts w:ascii="Times New Roman" w:hAnsi="Times New Roman"/>
          <w:sz w:val="22"/>
          <w:szCs w:val="22"/>
          <w:lang w:val="fr-BE"/>
        </w:rPr>
        <w:t>insi que les Ordres des Barreaux des avocats.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Le droit d’accès à un avocat comprend tant la concertation confidentielle avec ce dernier préalablement à une audition que l’assistance lors de chaque audition.</w:t>
      </w:r>
    </w:p>
    <w:p w:rsidR="007502FC" w:rsidRPr="00290C15" w:rsidRDefault="007502FC" w:rsidP="00946F28">
      <w:pPr>
        <w:pStyle w:val="Paragraphedeliste"/>
        <w:numPr>
          <w:ilvl w:val="0"/>
          <w:numId w:val="1"/>
        </w:numPr>
        <w:tabs>
          <w:tab w:val="left" w:pos="709"/>
        </w:tabs>
        <w:spacing w:after="20"/>
        <w:ind w:left="709" w:hanging="709"/>
        <w:jc w:val="both"/>
        <w:rPr>
          <w:rFonts w:eastAsia="Calibri"/>
          <w:sz w:val="22"/>
          <w:szCs w:val="22"/>
          <w:lang w:val="fr-BE" w:eastAsia="en-US"/>
        </w:rPr>
      </w:pPr>
      <w:r w:rsidRPr="00290C15">
        <w:rPr>
          <w:rFonts w:eastAsia="Calibri"/>
          <w:sz w:val="22"/>
          <w:szCs w:val="22"/>
          <w:lang w:val="fr-BE" w:eastAsia="en-US"/>
        </w:rPr>
        <w:t>La loi du 19 décembre 2003 relative au mandat d’arrêt européen a également été mise en conformité avec les exigences de la Directive précitée.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Arrêté royal du 23 novembre 2016 portant exécution de l'article 47bis, § 5, du Code d'instruction criminelle (M.B. 25.11.2016).</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BE"/>
        </w:rPr>
        <w:lastRenderedPageBreak/>
        <w:t xml:space="preserve">SPF Justice, </w:t>
      </w:r>
      <w:hyperlink r:id="rId36" w:history="1">
        <w:r w:rsidRPr="00290C15">
          <w:rPr>
            <w:rStyle w:val="Lienhypertexte"/>
            <w:rFonts w:ascii="Times New Roman" w:hAnsi="Times New Roman"/>
            <w:sz w:val="22"/>
            <w:szCs w:val="22"/>
            <w:lang w:val="fr-BE"/>
          </w:rPr>
          <w:t>Vos droits si vous n’êtes pas privé de liberté</w:t>
        </w:r>
      </w:hyperlink>
      <w:r w:rsidRPr="00290C15">
        <w:rPr>
          <w:rFonts w:ascii="Times New Roman" w:hAnsi="Times New Roman"/>
          <w:sz w:val="22"/>
          <w:szCs w:val="22"/>
          <w:lang w:val="fr-FR"/>
        </w:rPr>
        <w:t xml:space="preserv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Qui bénéficie désormais d’une base juridique solide dans l’article 112</w:t>
      </w:r>
      <w:r w:rsidRPr="00290C15">
        <w:rPr>
          <w:rFonts w:ascii="Times New Roman" w:hAnsi="Times New Roman"/>
          <w:i/>
          <w:sz w:val="22"/>
          <w:szCs w:val="22"/>
          <w:lang w:val="fr-BE"/>
        </w:rPr>
        <w:t>ter</w:t>
      </w:r>
      <w:r w:rsidRPr="00290C15">
        <w:rPr>
          <w:rFonts w:ascii="Times New Roman" w:hAnsi="Times New Roman"/>
          <w:sz w:val="22"/>
          <w:szCs w:val="22"/>
          <w:lang w:val="fr-BE"/>
        </w:rPr>
        <w:t xml:space="preserve"> du Code d’instruction </w:t>
      </w:r>
      <w:r w:rsidR="00A8568C" w:rsidRPr="00290C15">
        <w:rPr>
          <w:rFonts w:ascii="Times New Roman" w:hAnsi="Times New Roman"/>
          <w:sz w:val="22"/>
          <w:szCs w:val="22"/>
          <w:lang w:val="fr-BE"/>
        </w:rPr>
        <w:t>c</w:t>
      </w:r>
      <w:r w:rsidRPr="00290C15">
        <w:rPr>
          <w:rFonts w:ascii="Times New Roman" w:hAnsi="Times New Roman"/>
          <w:sz w:val="22"/>
          <w:szCs w:val="22"/>
          <w:lang w:val="fr-BE"/>
        </w:rPr>
        <w:t>riminelle.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Les autres dispositions de ces Directives sont transposées par la Loi du 28 octobre 2016 complétant la transposition de la Directive 2010/64/UE du Parlement européen et du Conseil du 20 octobre 2010 relative au droit à l'interprétation et à la traduction dans le cadre des procédures pénales et de la Directive 2012/29/UE du Parlement européen et du Conseil du 25 octobre 2012 établissant des normes minimales concernant les droits, le soutien et la protection des victimes de la criminalité et remplaçant la décision-cadre 2001/220/JAI (M.B. 24.11.2016).</w:t>
      </w:r>
    </w:p>
    <w:p w:rsidR="007502FC" w:rsidRDefault="007502FC" w:rsidP="00946F28">
      <w:pPr>
        <w:pStyle w:val="Paragraphedeliste"/>
        <w:numPr>
          <w:ilvl w:val="0"/>
          <w:numId w:val="1"/>
        </w:numPr>
        <w:tabs>
          <w:tab w:val="left" w:pos="709"/>
        </w:tabs>
        <w:spacing w:after="20"/>
        <w:ind w:left="709" w:hanging="709"/>
        <w:jc w:val="both"/>
        <w:rPr>
          <w:sz w:val="22"/>
          <w:szCs w:val="22"/>
        </w:rPr>
      </w:pPr>
      <w:r w:rsidRPr="00290C15">
        <w:rPr>
          <w:sz w:val="22"/>
          <w:szCs w:val="22"/>
          <w:lang w:val="fr-BE"/>
        </w:rPr>
        <w:t xml:space="preserve">Registre dont la </w:t>
      </w:r>
      <w:r w:rsidRPr="00290C15">
        <w:rPr>
          <w:sz w:val="22"/>
          <w:szCs w:val="22"/>
        </w:rPr>
        <w:t>tenue est imposée par l’article 33</w:t>
      </w:r>
      <w:r w:rsidRPr="00290C15">
        <w:rPr>
          <w:i/>
          <w:sz w:val="22"/>
          <w:szCs w:val="22"/>
        </w:rPr>
        <w:t>bis</w:t>
      </w:r>
      <w:r w:rsidRPr="00290C15">
        <w:rPr>
          <w:sz w:val="22"/>
          <w:szCs w:val="22"/>
        </w:rPr>
        <w:t xml:space="preserve"> de la Loi du 5 août 1992 </w:t>
      </w:r>
      <w:r w:rsidRPr="00290C15">
        <w:rPr>
          <w:i/>
          <w:sz w:val="22"/>
          <w:szCs w:val="22"/>
        </w:rPr>
        <w:t xml:space="preserve">op. </w:t>
      </w:r>
      <w:proofErr w:type="spellStart"/>
      <w:r w:rsidRPr="00290C15">
        <w:rPr>
          <w:i/>
          <w:sz w:val="22"/>
          <w:szCs w:val="22"/>
        </w:rPr>
        <w:t>cit</w:t>
      </w:r>
      <w:proofErr w:type="spellEnd"/>
      <w:r w:rsidRPr="00290C15">
        <w:rPr>
          <w:i/>
          <w:sz w:val="22"/>
          <w:szCs w:val="22"/>
        </w:rPr>
        <w:t>.</w:t>
      </w:r>
      <w:r w:rsidRPr="00290C15">
        <w:rPr>
          <w:sz w:val="22"/>
          <w:szCs w:val="22"/>
        </w:rPr>
        <w:t>, utilisé dans tous les lieux de privation de liberté.</w:t>
      </w:r>
    </w:p>
    <w:p w:rsidR="0013122A" w:rsidRPr="00804273" w:rsidRDefault="0013122A" w:rsidP="00804273">
      <w:pPr>
        <w:tabs>
          <w:tab w:val="left" w:pos="709"/>
        </w:tabs>
        <w:spacing w:after="20"/>
        <w:ind w:left="709" w:hanging="709"/>
        <w:jc w:val="both"/>
        <w:rPr>
          <w:sz w:val="22"/>
          <w:szCs w:val="22"/>
        </w:rPr>
      </w:pPr>
      <w:r>
        <w:rPr>
          <w:sz w:val="22"/>
          <w:szCs w:val="22"/>
        </w:rPr>
        <w:t>197</w:t>
      </w:r>
      <w:r>
        <w:rPr>
          <w:i/>
          <w:sz w:val="22"/>
          <w:szCs w:val="22"/>
        </w:rPr>
        <w:t>bis</w:t>
      </w:r>
      <w:r>
        <w:rPr>
          <w:sz w:val="22"/>
          <w:szCs w:val="22"/>
        </w:rPr>
        <w:t>.</w:t>
      </w:r>
      <w:r>
        <w:rPr>
          <w:sz w:val="22"/>
          <w:szCs w:val="22"/>
        </w:rPr>
        <w:tab/>
      </w:r>
      <w:r w:rsidRPr="0013122A">
        <w:rPr>
          <w:sz w:val="22"/>
          <w:szCs w:val="22"/>
        </w:rPr>
        <w:t>L</w:t>
      </w:r>
      <w:r w:rsidRPr="0013122A">
        <w:rPr>
          <w:bCs/>
          <w:sz w:val="22"/>
          <w:szCs w:val="22"/>
        </w:rPr>
        <w:t xml:space="preserve">oi de principes du 12 janvier 2005 concernant </w:t>
      </w:r>
      <w:r w:rsidRPr="0013122A">
        <w:rPr>
          <w:bCs/>
          <w:i/>
          <w:sz w:val="22"/>
          <w:szCs w:val="22"/>
        </w:rPr>
        <w:t>l'administration pénitentiaire ainsi que le statut juridique des détenus</w:t>
      </w:r>
      <w:r w:rsidRPr="0013122A">
        <w:rPr>
          <w:bCs/>
          <w:sz w:val="22"/>
          <w:szCs w:val="22"/>
        </w:rPr>
        <w:t xml:space="preserve"> (« loi de principes », communément appelée « loi Dupont »).</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w:t>
      </w:r>
      <w:r w:rsidRPr="00290C15">
        <w:rPr>
          <w:rFonts w:ascii="Times New Roman" w:hAnsi="Times New Roman"/>
          <w:sz w:val="22"/>
          <w:szCs w:val="22"/>
          <w:lang w:val="fr-FR"/>
        </w:rPr>
        <w:t>S]</w:t>
      </w:r>
      <w:proofErr w:type="spellStart"/>
      <w:r w:rsidRPr="00290C15">
        <w:rPr>
          <w:rFonts w:ascii="Times New Roman" w:hAnsi="Times New Roman"/>
          <w:sz w:val="22"/>
          <w:szCs w:val="22"/>
          <w:lang w:val="fr-FR"/>
        </w:rPr>
        <w:t>uspend</w:t>
      </w:r>
      <w:proofErr w:type="spellEnd"/>
      <w:r w:rsidRPr="00290C15">
        <w:rPr>
          <w:rFonts w:ascii="Times New Roman" w:hAnsi="Times New Roman"/>
          <w:sz w:val="22"/>
          <w:szCs w:val="22"/>
          <w:lang w:val="fr-FR"/>
        </w:rPr>
        <w:t xml:space="preserve"> l’article 108§2 al.1er, de la loi de principes du 12 janvier 2005 concernant l’administration pénitentiaire ainsi que le statut juridique des détenus, tel qu’il a été remplacé par l’article 5 de la loi du 1er juillet 2013 modifiant la loi de principes du 12 janvier 2005 concernant l’administration pénitentiaire ainsi que le statut juridique des détenus. »</w:t>
      </w:r>
    </w:p>
    <w:p w:rsidR="00D8598C" w:rsidRPr="00804273" w:rsidRDefault="0013122A"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BE"/>
        </w:rPr>
        <w:tab/>
      </w:r>
      <w:r w:rsidR="00D8598C">
        <w:rPr>
          <w:rFonts w:ascii="Times New Roman" w:hAnsi="Times New Roman"/>
          <w:sz w:val="22"/>
          <w:szCs w:val="22"/>
          <w:lang w:val="fr-BE"/>
        </w:rPr>
        <w:t xml:space="preserve">Cet article </w:t>
      </w:r>
      <w:r w:rsidR="00D8598C" w:rsidRPr="00D8598C">
        <w:rPr>
          <w:rFonts w:ascii="Times New Roman" w:hAnsi="Times New Roman"/>
          <w:sz w:val="22"/>
          <w:szCs w:val="22"/>
          <w:lang w:val="fr-FR"/>
        </w:rPr>
        <w:t>prévoyait la pratique systématique de la fouille au corps sur tous les détenus à leur entrée dans la prison</w:t>
      </w:r>
      <w:r w:rsidR="00D8598C">
        <w:rPr>
          <w:rFonts w:ascii="Times New Roman" w:hAnsi="Times New Roman"/>
          <w:sz w:val="22"/>
          <w:szCs w:val="22"/>
          <w:lang w:val="fr-FR"/>
        </w:rPr>
        <w:t xml:space="preserve">, </w:t>
      </w:r>
      <w:r w:rsidR="00D8598C" w:rsidRPr="00D8598C">
        <w:rPr>
          <w:rFonts w:ascii="Times New Roman" w:hAnsi="Times New Roman"/>
          <w:sz w:val="22"/>
          <w:szCs w:val="22"/>
          <w:lang w:val="fr-FR"/>
        </w:rPr>
        <w:t>préalablement au placement dans une cellule sécurisée ou à l'enfermement dans une cellule de punition</w:t>
      </w:r>
      <w:r w:rsidR="00D8598C">
        <w:rPr>
          <w:rFonts w:ascii="Times New Roman" w:hAnsi="Times New Roman"/>
          <w:sz w:val="22"/>
          <w:szCs w:val="22"/>
          <w:lang w:val="fr-FR"/>
        </w:rPr>
        <w:t xml:space="preserve">, </w:t>
      </w:r>
      <w:r w:rsidR="00D8598C" w:rsidRPr="00D8598C">
        <w:rPr>
          <w:rFonts w:ascii="Times New Roman" w:hAnsi="Times New Roman"/>
          <w:sz w:val="22"/>
          <w:szCs w:val="22"/>
          <w:lang w:val="fr-FR"/>
        </w:rPr>
        <w:t>ou après une visite avec un proche dans un local non pourvu d'une paroi transparente séparant les visiteurs des détenus.</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color w:val="000000"/>
          <w:sz w:val="22"/>
          <w:szCs w:val="22"/>
          <w:lang w:val="fr-BE"/>
        </w:rPr>
        <w:t>Arrêté royal du 3 août 2016 modifiant l’arrêté royal du 18 décembre 2003 déterminant les conditions de la gratuité totale ou partielle de l’aide juridique de deuxième ligne et de l’assistance judiciaire (M.B. 10.08.2016) ; Arrêté royal du 21 juillet 2016 modifiant l’arrêté royal du 20 décembre 1999 quant aux modalités d’exécution de l’indemnisation accordée aux avocats dans le cadre de l’aide juridique de deuxième ligne et quant au subside pour les frais liés à l’organisation des bureaux d’aide juridique (M.B. 10.08.2016).</w:t>
      </w:r>
    </w:p>
    <w:p w:rsidR="0013122A" w:rsidRPr="0013122A" w:rsidRDefault="0013122A" w:rsidP="00804273">
      <w:pPr>
        <w:pStyle w:val="Notedebasdepage"/>
        <w:tabs>
          <w:tab w:val="left" w:pos="709"/>
        </w:tabs>
        <w:spacing w:after="20" w:line="240" w:lineRule="auto"/>
        <w:jc w:val="both"/>
        <w:rPr>
          <w:rFonts w:ascii="Times New Roman" w:hAnsi="Times New Roman"/>
          <w:sz w:val="22"/>
          <w:szCs w:val="22"/>
          <w:lang w:val="fr-BE"/>
        </w:rPr>
      </w:pPr>
      <w:r>
        <w:rPr>
          <w:rFonts w:ascii="Times New Roman" w:hAnsi="Times New Roman"/>
          <w:color w:val="000000"/>
          <w:sz w:val="22"/>
          <w:szCs w:val="22"/>
          <w:lang w:val="fr-BE"/>
        </w:rPr>
        <w:t>199</w:t>
      </w:r>
      <w:r>
        <w:rPr>
          <w:rFonts w:ascii="Times New Roman" w:hAnsi="Times New Roman"/>
          <w:i/>
          <w:color w:val="000000"/>
          <w:sz w:val="22"/>
          <w:szCs w:val="22"/>
          <w:lang w:val="fr-BE"/>
        </w:rPr>
        <w:t>bis.</w:t>
      </w:r>
      <w:r w:rsidRPr="00804273">
        <w:rPr>
          <w:rFonts w:ascii="Times New Roman" w:hAnsi="Times New Roman"/>
          <w:color w:val="000000"/>
          <w:sz w:val="22"/>
          <w:szCs w:val="22"/>
          <w:lang w:val="fr-BE"/>
        </w:rPr>
        <w:tab/>
      </w:r>
      <w:r>
        <w:rPr>
          <w:rFonts w:ascii="Times New Roman" w:hAnsi="Times New Roman"/>
          <w:color w:val="000000"/>
          <w:sz w:val="22"/>
          <w:szCs w:val="22"/>
          <w:lang w:val="fr-BE"/>
        </w:rPr>
        <w:t>T</w:t>
      </w:r>
      <w:r w:rsidRPr="00804273">
        <w:rPr>
          <w:rFonts w:ascii="Times New Roman" w:hAnsi="Times New Roman"/>
          <w:color w:val="000000"/>
          <w:sz w:val="22"/>
          <w:szCs w:val="22"/>
          <w:lang w:val="fr-FR"/>
        </w:rPr>
        <w:t>els les revenus du travail, de biens immobiliers/mobiliers, les capitaux épargnés.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FR"/>
        </w:rPr>
        <w:t>Afin d’encourager le recours aux types alternatifs de résolution des conflits, de responsabiliser le bénéficiaire et l’avocat désigné en vue d’éviter des procédures inutiles.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La loi distingue deux formes d’aide juridique : d’une part le conseil gratuit (aide juridique de première ligne) : il s’agit d’une brève consultation durant laquelle le justiciable reçoit des informations pratiques et juridiques et un premier avis juridique ; et d’autre part, la désignation d’un avocat (aide juridique de deuxième ligne) : permet d’obtenir sous certaines conditions l’assistance entièrement ou partiellement gratuite d’un avocat (anciennement appelé </w:t>
      </w:r>
      <w:r w:rsidRPr="00290C15">
        <w:rPr>
          <w:rFonts w:ascii="Times New Roman" w:hAnsi="Times New Roman"/>
          <w:i/>
          <w:sz w:val="22"/>
          <w:szCs w:val="22"/>
          <w:lang w:val="fr-BE"/>
        </w:rPr>
        <w:t>pro deo</w:t>
      </w:r>
      <w:r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Loi du 19 mars 2017 instituant un fonds budgétaire relatif à l'aide juridique de deuxième ligne </w:t>
      </w:r>
      <w:r w:rsidRPr="00290C15">
        <w:rPr>
          <w:rFonts w:ascii="Times New Roman" w:hAnsi="Times New Roman"/>
          <w:sz w:val="22"/>
          <w:szCs w:val="22"/>
          <w:lang w:val="fr-FR"/>
        </w:rPr>
        <w:t>(M.B. 31.03.2017).</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Loi du 26 avril 2017 réglant l'institution d'un fonds budgétaire relatif à l'aide juridique de deuxième ligne en ce qui concerne le Conseil d'Etat et le Conseil du Contentieux des Etrangers (M.B. 22.05.2017</w:t>
      </w:r>
      <w:r w:rsidRPr="00290C15">
        <w:rPr>
          <w:rFonts w:ascii="Times New Roman" w:hAnsi="Times New Roman"/>
          <w:sz w:val="22"/>
          <w:szCs w:val="22"/>
          <w:lang w:val="fr-FR"/>
        </w:rPr>
        <w:t>)</w:t>
      </w:r>
      <w:r w:rsidRPr="00290C15">
        <w:rPr>
          <w:rFonts w:ascii="Times New Roman" w:hAnsi="Times New Roman"/>
          <w:sz w:val="22"/>
          <w:szCs w:val="22"/>
          <w:lang w:val="fr-BE"/>
        </w:rPr>
        <w:t>.</w:t>
      </w:r>
    </w:p>
    <w:p w:rsidR="0013122A" w:rsidRPr="00804273" w:rsidRDefault="0013122A"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BE"/>
        </w:rPr>
        <w:t>203</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r>
      <w:r>
        <w:rPr>
          <w:rFonts w:ascii="Times New Roman" w:hAnsi="Times New Roman"/>
          <w:sz w:val="22"/>
          <w:szCs w:val="22"/>
          <w:lang w:val="fr-FR"/>
        </w:rPr>
        <w:t>C</w:t>
      </w:r>
      <w:r w:rsidRPr="00804273">
        <w:rPr>
          <w:rFonts w:ascii="Times New Roman" w:hAnsi="Times New Roman"/>
          <w:sz w:val="22"/>
          <w:szCs w:val="22"/>
          <w:lang w:val="fr-FR"/>
        </w:rPr>
        <w:t>onstat d’accès discriminatoire au tribunal</w:t>
      </w:r>
      <w:r w:rsidRPr="0013122A">
        <w:rPr>
          <w:rFonts w:ascii="Times New Roman" w:hAnsi="Times New Roman"/>
          <w:sz w:val="22"/>
          <w:szCs w:val="22"/>
          <w:lang w:val="fr-BE"/>
        </w:rPr>
        <w:t xml:space="preserve"> concernant les étrangers en séjour irrégulier, exception faite des procédures spécifiques à la loi « étrangers »</w:t>
      </w:r>
      <w:r w:rsidRPr="00804273">
        <w:rPr>
          <w:rFonts w:ascii="Times New Roman" w:hAnsi="Times New Roman"/>
          <w:sz w:val="22"/>
          <w:szCs w:val="22"/>
          <w:lang w:val="fr-FR"/>
        </w:rPr>
        <w:t>.</w:t>
      </w:r>
    </w:p>
    <w:p w:rsid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BE"/>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lang w:eastAsia="en-US"/>
        </w:rPr>
      </w:pPr>
      <w:bookmarkStart w:id="38" w:name="_Toc503444763"/>
      <w:bookmarkStart w:id="39" w:name="_Toc503444778"/>
      <w:bookmarkStart w:id="40" w:name="_Toc519074807"/>
      <w:r w:rsidRPr="00290C15">
        <w:rPr>
          <w:b/>
          <w:color w:val="000000"/>
          <w:sz w:val="22"/>
          <w:szCs w:val="22"/>
          <w:lang w:eastAsia="en-US"/>
        </w:rPr>
        <w:t>Réfugiés et demandeurs d’asile (art. 7, 9, 10, 12 à 14 et 24)</w:t>
      </w:r>
      <w:bookmarkEnd w:id="38"/>
      <w:bookmarkEnd w:id="39"/>
      <w:bookmarkEnd w:id="40"/>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BE"/>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color w:val="000000"/>
          <w:sz w:val="22"/>
          <w:szCs w:val="22"/>
          <w:lang w:val="fr-FR"/>
        </w:rPr>
        <w:t>CAT/C/BEL/3, §§ 66-67.</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51/5 de la Loi « étrangers » du 15 décembre 1980 </w:t>
      </w:r>
      <w:r w:rsidRPr="00290C15">
        <w:rPr>
          <w:rFonts w:ascii="Times New Roman" w:hAnsi="Times New Roman"/>
          <w:i/>
          <w:sz w:val="22"/>
          <w:szCs w:val="22"/>
          <w:lang w:val="fr-BE"/>
        </w:rPr>
        <w:t xml:space="preserve">op. </w:t>
      </w:r>
      <w:proofErr w:type="spellStart"/>
      <w:r w:rsidRPr="00290C15">
        <w:rPr>
          <w:rFonts w:ascii="Times New Roman" w:hAnsi="Times New Roman"/>
          <w:i/>
          <w:sz w:val="22"/>
          <w:szCs w:val="22"/>
          <w:lang w:val="fr-BE"/>
        </w:rPr>
        <w:t>cit</w:t>
      </w:r>
      <w:proofErr w:type="spellEnd"/>
      <w:r w:rsidRPr="00290C15">
        <w:rPr>
          <w:rFonts w:ascii="Times New Roman" w:hAnsi="Times New Roman"/>
          <w:sz w:val="22"/>
          <w:szCs w:val="22"/>
          <w:lang w:val="fr-BE"/>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28 du Règlement (UE) n° 604/2013.</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color w:val="000000"/>
          <w:sz w:val="22"/>
          <w:szCs w:val="22"/>
          <w:lang w:val="fr-FR"/>
        </w:rPr>
        <w:t>Arrêté royal du 8 mai 2014 modifiant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1er, de la loi du 15 décembre 1980 sur l'accès au territoire, le séjour, l'établissement et l'éloignement des étrangers (M.B. 16.05.2014).</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Art. 83/1-83/3 de </w:t>
      </w:r>
      <w:r w:rsidRPr="00290C15">
        <w:rPr>
          <w:rFonts w:ascii="Times New Roman" w:hAnsi="Times New Roman"/>
          <w:sz w:val="22"/>
          <w:szCs w:val="22"/>
          <w:lang w:val="fr-FR"/>
        </w:rPr>
        <w:t xml:space="preserve">l'Arrêté royal du 2 août 2002 fixant le régime et les règles de fonctionnement applicables aux lieux situés sur le territoire belge, gérés par l'Office des étrangers, où un étranger </w:t>
      </w:r>
      <w:r w:rsidRPr="00290C15">
        <w:rPr>
          <w:rFonts w:ascii="Times New Roman" w:hAnsi="Times New Roman"/>
          <w:sz w:val="22"/>
          <w:szCs w:val="22"/>
          <w:lang w:val="fr-FR"/>
        </w:rPr>
        <w:lastRenderedPageBreak/>
        <w:t>est détenu, mis à la disposition du gouvernement ou maintenu, en application des dispositions citées dans l'article 74/8, § 1er, de la loi du 15 décembre 1980 sur l'accès au territoire, le séjour, l'établissement et l'éloignement des étrangers (M.B. 12.09.2002)</w:t>
      </w:r>
      <w:r w:rsidRPr="00290C15">
        <w:rPr>
          <w:rFonts w:ascii="Times New Roman" w:hAnsi="Times New Roman"/>
          <w:sz w:val="22"/>
          <w:szCs w:val="22"/>
          <w:lang w:val="fr-BE"/>
        </w:rPr>
        <w:t>.</w:t>
      </w:r>
    </w:p>
    <w:p w:rsidR="0013122A" w:rsidRPr="0013122A" w:rsidRDefault="0013122A" w:rsidP="00804273">
      <w:pPr>
        <w:pStyle w:val="Notedebasdepage"/>
        <w:tabs>
          <w:tab w:val="left" w:pos="709"/>
        </w:tabs>
        <w:spacing w:after="20" w:line="240" w:lineRule="auto"/>
        <w:ind w:left="709" w:hanging="709"/>
        <w:jc w:val="both"/>
        <w:rPr>
          <w:rFonts w:ascii="Times New Roman" w:hAnsi="Times New Roman"/>
          <w:sz w:val="22"/>
          <w:szCs w:val="22"/>
          <w:lang w:val="fr-BE"/>
        </w:rPr>
      </w:pPr>
      <w:r>
        <w:rPr>
          <w:rFonts w:ascii="Times New Roman" w:hAnsi="Times New Roman"/>
          <w:sz w:val="22"/>
          <w:szCs w:val="22"/>
          <w:lang w:val="fr-BE"/>
        </w:rPr>
        <w:t>208</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t>C</w:t>
      </w:r>
      <w:r w:rsidRPr="0013122A">
        <w:rPr>
          <w:rFonts w:ascii="Times New Roman" w:hAnsi="Times New Roman"/>
          <w:sz w:val="22"/>
          <w:szCs w:val="22"/>
          <w:lang w:val="fr-FR"/>
        </w:rPr>
        <w:t>as psychiatriques ou psychologiques, personnes agressives ou violentes, intégristes, ex-détenus habitués à la vie cellulaire quasi autonome et ne s’intégrant pas dans le régime collectif normal, personnes ayant des problèmes d’hygiène sérieux, meneurs de groupes posant des problèmes collectifs, ou encore personnes radicalisées.</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w:t>
      </w:r>
      <w:proofErr w:type="spellStart"/>
      <w:r w:rsidRPr="00290C15">
        <w:rPr>
          <w:rFonts w:ascii="Times New Roman" w:hAnsi="Times New Roman"/>
          <w:sz w:val="22"/>
          <w:szCs w:val="22"/>
          <w:lang w:val="fr-FR"/>
        </w:rPr>
        <w:t>rt</w:t>
      </w:r>
      <w:proofErr w:type="spellEnd"/>
      <w:r w:rsidRPr="00290C15">
        <w:rPr>
          <w:rFonts w:ascii="Times New Roman" w:hAnsi="Times New Roman"/>
          <w:sz w:val="22"/>
          <w:szCs w:val="22"/>
          <w:lang w:val="fr-FR"/>
        </w:rPr>
        <w:t xml:space="preserve">. 74/9 de la </w:t>
      </w:r>
      <w:r w:rsidRPr="00290C15">
        <w:rPr>
          <w:rFonts w:ascii="Times New Roman" w:hAnsi="Times New Roman"/>
          <w:sz w:val="22"/>
          <w:szCs w:val="22"/>
          <w:lang w:val="fr-BE"/>
        </w:rPr>
        <w:t xml:space="preserve">Loi « étrangers » du 15 décembre 1980 </w:t>
      </w:r>
      <w:r w:rsidRPr="00290C15">
        <w:rPr>
          <w:rFonts w:ascii="Times New Roman" w:hAnsi="Times New Roman"/>
          <w:i/>
          <w:sz w:val="22"/>
          <w:szCs w:val="22"/>
          <w:lang w:val="fr-BE"/>
        </w:rPr>
        <w:t xml:space="preserve">op. </w:t>
      </w:r>
      <w:proofErr w:type="spellStart"/>
      <w:r w:rsidRPr="00290C15">
        <w:rPr>
          <w:rFonts w:ascii="Times New Roman" w:hAnsi="Times New Roman"/>
          <w:i/>
          <w:sz w:val="22"/>
          <w:szCs w:val="22"/>
          <w:lang w:val="fr-BE"/>
        </w:rPr>
        <w:t>cit</w:t>
      </w:r>
      <w:proofErr w:type="spellEnd"/>
      <w:r w:rsidRPr="00290C15">
        <w:rPr>
          <w:rFonts w:ascii="Times New Roman" w:hAnsi="Times New Roman"/>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Arrêté royal du 17 septembre 2014 déterminant le contenu de la convention et les sanctions pouvant être prises en exécution de l'article 74/9, § 3, de la loi du 15 décembre 1980 sur l'accès au territoire, le séjour, l'établissement et l'éloignement des étrangers (M.B. 25.09.2014).</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Arrêté royal du 14 mai 2009 fixant le régime et les règles de fonctionnement applicables aux lieux d'hébergement au sens de l'article 74/8, § 1er, de la loi du 15 décembre 1980 sur l'accès au territoire, le séjour, l'établissement et l'éloignement des étrangers (M.B. 27.05.2009).</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color w:val="000000"/>
          <w:sz w:val="22"/>
          <w:szCs w:val="22"/>
          <w:lang w:val="fr-FR"/>
        </w:rPr>
        <w:t>Arrêté royal du 7 octobre 2014 modifiant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1er, de la loi du 15 décembre 1980 sur l'accès au territoire, le séjour, l'établissement et l'éloignement des étrangers (M.B. 21.10.2014).</w:t>
      </w:r>
    </w:p>
    <w:p w:rsidR="0013122A" w:rsidRPr="00804273" w:rsidRDefault="0013122A" w:rsidP="00804273">
      <w:pPr>
        <w:pStyle w:val="Notedebasdepage"/>
        <w:tabs>
          <w:tab w:val="left" w:pos="709"/>
        </w:tabs>
        <w:spacing w:after="20" w:line="240" w:lineRule="auto"/>
        <w:ind w:left="709" w:hanging="709"/>
        <w:jc w:val="both"/>
        <w:rPr>
          <w:rFonts w:ascii="Times New Roman" w:hAnsi="Times New Roman"/>
          <w:color w:val="000000"/>
          <w:sz w:val="22"/>
          <w:szCs w:val="22"/>
          <w:lang w:val="fr-FR"/>
        </w:rPr>
      </w:pPr>
      <w:r>
        <w:rPr>
          <w:rFonts w:ascii="Times New Roman" w:hAnsi="Times New Roman"/>
          <w:color w:val="000000"/>
          <w:sz w:val="22"/>
          <w:szCs w:val="22"/>
          <w:lang w:val="fr-FR"/>
        </w:rPr>
        <w:t>212</w:t>
      </w:r>
      <w:r>
        <w:rPr>
          <w:rFonts w:ascii="Times New Roman" w:hAnsi="Times New Roman"/>
          <w:i/>
          <w:color w:val="000000"/>
          <w:sz w:val="22"/>
          <w:szCs w:val="22"/>
          <w:lang w:val="fr-FR"/>
        </w:rPr>
        <w:t>bis</w:t>
      </w:r>
      <w:r>
        <w:rPr>
          <w:rFonts w:ascii="Times New Roman" w:hAnsi="Times New Roman"/>
          <w:color w:val="000000"/>
          <w:sz w:val="22"/>
          <w:szCs w:val="22"/>
          <w:lang w:val="fr-FR"/>
        </w:rPr>
        <w:t>.</w:t>
      </w:r>
      <w:r>
        <w:rPr>
          <w:rFonts w:ascii="Times New Roman" w:hAnsi="Times New Roman"/>
          <w:color w:val="000000"/>
          <w:sz w:val="22"/>
          <w:szCs w:val="22"/>
          <w:lang w:val="fr-FR"/>
        </w:rPr>
        <w:tab/>
        <w:t>T</w:t>
      </w:r>
      <w:r w:rsidRPr="00804273">
        <w:rPr>
          <w:rFonts w:ascii="Times New Roman" w:hAnsi="Times New Roman"/>
          <w:color w:val="000000"/>
          <w:sz w:val="22"/>
          <w:szCs w:val="22"/>
          <w:lang w:val="fr-FR"/>
        </w:rPr>
        <w:t>ransfert, différend avec le personnel, perte de biens personnels, utilisation GSM, répartition des chambres, etc.</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color w:val="000000"/>
          <w:sz w:val="22"/>
          <w:szCs w:val="22"/>
          <w:lang w:val="fr-FR"/>
        </w:rPr>
        <w:t xml:space="preserve">Arrêté royal du 2 août 2002 </w:t>
      </w:r>
      <w:r w:rsidRPr="00290C15">
        <w:rPr>
          <w:rFonts w:ascii="Times New Roman" w:hAnsi="Times New Roman"/>
          <w:i/>
          <w:color w:val="000000"/>
          <w:sz w:val="22"/>
          <w:szCs w:val="22"/>
          <w:lang w:val="fr-FR"/>
        </w:rPr>
        <w:t>op.cit.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Arrêté ministériel du 23 janvier 2009 </w:t>
      </w:r>
      <w:r w:rsidRPr="00290C15">
        <w:rPr>
          <w:rFonts w:ascii="Times New Roman" w:hAnsi="Times New Roman"/>
          <w:color w:val="000000"/>
          <w:sz w:val="22"/>
          <w:szCs w:val="22"/>
          <w:lang w:val="fr-FR"/>
        </w:rPr>
        <w:t>établissant la procédure et les règles de fonctionnement de la Commission et du secrétariat permanent, visé à l'article 130 de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à l'article 74/8, § 1er, de la loi du 15 décembre 1980 sur l'accès au territoire, le séjour, l'établissement et l'éloignement des étrangers (M.B. 27.01.2009).</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Pas </w:t>
      </w:r>
      <w:r w:rsidRPr="00290C15">
        <w:rPr>
          <w:rFonts w:ascii="Times New Roman" w:hAnsi="Times New Roman"/>
          <w:color w:val="000000"/>
          <w:sz w:val="22"/>
          <w:szCs w:val="22"/>
          <w:lang w:val="fr-BE"/>
        </w:rPr>
        <w:t>d’informations concernant l’âge des plaignants.</w:t>
      </w:r>
    </w:p>
    <w:p w:rsidR="0013122A" w:rsidRPr="00804273" w:rsidRDefault="0013122A" w:rsidP="00804273">
      <w:pPr>
        <w:pStyle w:val="Notedebasdepage"/>
        <w:tabs>
          <w:tab w:val="left" w:pos="709"/>
        </w:tabs>
        <w:spacing w:after="20" w:line="240" w:lineRule="auto"/>
        <w:jc w:val="both"/>
        <w:rPr>
          <w:rFonts w:ascii="Times New Roman" w:hAnsi="Times New Roman"/>
          <w:color w:val="000000"/>
          <w:sz w:val="22"/>
          <w:szCs w:val="22"/>
          <w:lang w:val="fr-FR"/>
        </w:rPr>
      </w:pPr>
      <w:r>
        <w:rPr>
          <w:rFonts w:ascii="Times New Roman" w:hAnsi="Times New Roman"/>
          <w:color w:val="000000"/>
          <w:sz w:val="22"/>
          <w:szCs w:val="22"/>
          <w:lang w:val="fr-BE"/>
        </w:rPr>
        <w:t>215</w:t>
      </w:r>
      <w:r>
        <w:rPr>
          <w:rFonts w:ascii="Times New Roman" w:hAnsi="Times New Roman"/>
          <w:i/>
          <w:color w:val="000000"/>
          <w:sz w:val="22"/>
          <w:szCs w:val="22"/>
          <w:lang w:val="fr-BE"/>
        </w:rPr>
        <w:t>bis</w:t>
      </w:r>
      <w:r>
        <w:rPr>
          <w:rFonts w:ascii="Times New Roman" w:hAnsi="Times New Roman"/>
          <w:color w:val="000000"/>
          <w:sz w:val="22"/>
          <w:szCs w:val="22"/>
          <w:lang w:val="fr-BE"/>
        </w:rPr>
        <w:t>.</w:t>
      </w:r>
      <w:r>
        <w:rPr>
          <w:rFonts w:ascii="Times New Roman" w:hAnsi="Times New Roman"/>
          <w:color w:val="000000"/>
          <w:sz w:val="22"/>
          <w:szCs w:val="22"/>
          <w:lang w:val="fr-BE"/>
        </w:rPr>
        <w:tab/>
        <w:t xml:space="preserve">Nombre de plaintes par an : </w:t>
      </w:r>
      <w:r w:rsidRPr="00804273">
        <w:rPr>
          <w:rFonts w:ascii="Times New Roman" w:hAnsi="Times New Roman"/>
          <w:color w:val="000000"/>
          <w:sz w:val="22"/>
          <w:szCs w:val="22"/>
          <w:lang w:val="fr-FR"/>
        </w:rPr>
        <w:t xml:space="preserve">5 </w:t>
      </w:r>
      <w:r>
        <w:rPr>
          <w:rFonts w:ascii="Times New Roman" w:hAnsi="Times New Roman"/>
          <w:color w:val="000000"/>
          <w:sz w:val="22"/>
          <w:szCs w:val="22"/>
          <w:lang w:val="fr-FR"/>
        </w:rPr>
        <w:t>(</w:t>
      </w:r>
      <w:r w:rsidRPr="00804273">
        <w:rPr>
          <w:rFonts w:ascii="Times New Roman" w:hAnsi="Times New Roman"/>
          <w:color w:val="000000"/>
          <w:sz w:val="22"/>
          <w:szCs w:val="22"/>
          <w:lang w:val="fr-FR"/>
        </w:rPr>
        <w:t>2010</w:t>
      </w:r>
      <w:r>
        <w:rPr>
          <w:rFonts w:ascii="Times New Roman" w:hAnsi="Times New Roman"/>
          <w:color w:val="000000"/>
          <w:sz w:val="22"/>
          <w:szCs w:val="22"/>
          <w:lang w:val="fr-FR"/>
        </w:rPr>
        <w:t>), 4 (2011), 1 (2012), 1 (2013), 5 (2014), 1 (2015), 2 (2016).</w:t>
      </w:r>
    </w:p>
    <w:p w:rsidR="007502FC" w:rsidRPr="00804273"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Cette plainte concernait </w:t>
      </w:r>
      <w:r w:rsidRPr="00290C15">
        <w:rPr>
          <w:rFonts w:ascii="Times New Roman" w:hAnsi="Times New Roman"/>
          <w:color w:val="000000"/>
          <w:sz w:val="22"/>
          <w:szCs w:val="22"/>
          <w:lang w:val="fr-BE"/>
        </w:rPr>
        <w:t>la récupération de frais de rapatriement.</w:t>
      </w:r>
    </w:p>
    <w:p w:rsidR="00A11FEF" w:rsidRPr="00A11FEF" w:rsidRDefault="00A11FEF" w:rsidP="00804273">
      <w:pPr>
        <w:pStyle w:val="Notedebasdepage"/>
        <w:tabs>
          <w:tab w:val="left" w:pos="709"/>
        </w:tabs>
        <w:spacing w:after="20" w:line="240" w:lineRule="auto"/>
        <w:jc w:val="both"/>
        <w:rPr>
          <w:rFonts w:ascii="Times New Roman" w:hAnsi="Times New Roman"/>
          <w:sz w:val="22"/>
          <w:szCs w:val="22"/>
          <w:lang w:val="fr-BE"/>
        </w:rPr>
      </w:pPr>
      <w:r>
        <w:rPr>
          <w:rFonts w:ascii="Times New Roman" w:hAnsi="Times New Roman"/>
          <w:sz w:val="22"/>
          <w:szCs w:val="22"/>
          <w:lang w:val="fr-BE"/>
        </w:rPr>
        <w:t>216</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t>S</w:t>
      </w:r>
      <w:proofErr w:type="spellStart"/>
      <w:r w:rsidRPr="00A11FEF">
        <w:rPr>
          <w:rFonts w:ascii="Times New Roman" w:hAnsi="Times New Roman"/>
          <w:sz w:val="22"/>
          <w:szCs w:val="22"/>
          <w:lang w:val="fr-FR"/>
        </w:rPr>
        <w:t>ur</w:t>
      </w:r>
      <w:proofErr w:type="spellEnd"/>
      <w:r w:rsidRPr="00A11FEF">
        <w:rPr>
          <w:rFonts w:ascii="Times New Roman" w:hAnsi="Times New Roman"/>
          <w:sz w:val="22"/>
          <w:szCs w:val="22"/>
          <w:lang w:val="fr-FR"/>
        </w:rPr>
        <w:t xml:space="preserve"> la base de déclarations de plusieurs témoins et certificat médical dressé peu après les faits</w:t>
      </w:r>
      <w:r>
        <w:rPr>
          <w:rFonts w:ascii="Times New Roman" w:hAnsi="Times New Roman"/>
          <w:sz w:val="22"/>
          <w:szCs w:val="22"/>
          <w:lang w:val="fr-FR"/>
        </w:rPr>
        <w:t>.</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D</w:t>
      </w:r>
      <w:proofErr w:type="spellStart"/>
      <w:r w:rsidRPr="00290C15">
        <w:rPr>
          <w:rFonts w:ascii="Times New Roman" w:hAnsi="Times New Roman"/>
          <w:sz w:val="22"/>
          <w:szCs w:val="22"/>
          <w:lang w:val="fr-FR"/>
        </w:rPr>
        <w:t>irectives</w:t>
      </w:r>
      <w:proofErr w:type="spellEnd"/>
      <w:r w:rsidRPr="00290C15">
        <w:rPr>
          <w:rFonts w:ascii="Times New Roman" w:hAnsi="Times New Roman"/>
          <w:sz w:val="22"/>
          <w:szCs w:val="22"/>
          <w:lang w:val="fr-FR"/>
        </w:rPr>
        <w:t xml:space="preserve"> des autorités judiciaires et policières sur les procédures d’éloignements avec référence au Code de déontologie de la Police.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De 2010 à 2016, le Conseil de discipline de la Police n’a enregistré aucune sanction pour recours inadéquat ou abusif de la force lors d’opérations d’éloignement.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Loi du 19 janvier 2012 modifiant la législation concernant l'accueil des demandeurs d'asile (M.B. 17.05.2012). Cette loi transpose l’art. 8§6 de la Directive UE 2008/115 du 16 décembre 2008 obligeant les Etats à mettre en place un système efficace des retours forcés. Jusqu’en 2012, le Comité P contrôlait aussi les éloignements forcés mais de manière limitée puisqu’en 2004, le Ministre de l’Intérieur a, spécifiquement, confié cette mission à l’AIG. </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eastAsia="fr-FR"/>
        </w:rPr>
      </w:pPr>
      <w:r w:rsidRPr="00290C15">
        <w:rPr>
          <w:rFonts w:ascii="Times New Roman" w:hAnsi="Times New Roman"/>
          <w:sz w:val="22"/>
          <w:szCs w:val="22"/>
          <w:lang w:val="fr-BE"/>
        </w:rPr>
        <w:t xml:space="preserve">Art. 9, al. 1 de l’Arrêt royal du 20 juillet </w:t>
      </w:r>
      <w:r w:rsidRPr="00290C15">
        <w:rPr>
          <w:rFonts w:ascii="Times New Roman" w:hAnsi="Times New Roman"/>
          <w:sz w:val="22"/>
          <w:szCs w:val="22"/>
          <w:lang w:val="fr-FR"/>
        </w:rPr>
        <w:t>2001 relatif au fonctionnement et au personnel de l'inspection générale de la police fédérale et de la police locale (M.B. 18.08.2001)</w:t>
      </w:r>
      <w:r w:rsidRPr="00290C15">
        <w:rPr>
          <w:rFonts w:ascii="Times New Roman" w:hAnsi="Times New Roman"/>
          <w:sz w:val="22"/>
          <w:szCs w:val="22"/>
          <w:lang w:val="fr-BE"/>
        </w:rPr>
        <w:t>.</w:t>
      </w:r>
    </w:p>
    <w:p w:rsidR="00961D32" w:rsidRPr="00804273" w:rsidRDefault="00961D32" w:rsidP="00804273">
      <w:pPr>
        <w:pStyle w:val="Notedebasdepage"/>
        <w:tabs>
          <w:tab w:val="left" w:pos="709"/>
        </w:tabs>
        <w:spacing w:after="20" w:line="240" w:lineRule="auto"/>
        <w:ind w:left="709" w:hanging="709"/>
        <w:jc w:val="both"/>
        <w:rPr>
          <w:rFonts w:ascii="Times New Roman" w:hAnsi="Times New Roman"/>
          <w:sz w:val="22"/>
          <w:szCs w:val="22"/>
          <w:lang w:val="fr-FR"/>
        </w:rPr>
      </w:pPr>
      <w:r>
        <w:rPr>
          <w:rFonts w:ascii="Times New Roman" w:hAnsi="Times New Roman"/>
          <w:sz w:val="22"/>
          <w:szCs w:val="22"/>
          <w:lang w:val="fr-BE"/>
        </w:rPr>
        <w:t>220</w:t>
      </w:r>
      <w:r>
        <w:rPr>
          <w:rFonts w:ascii="Times New Roman" w:hAnsi="Times New Roman"/>
          <w:i/>
          <w:sz w:val="22"/>
          <w:szCs w:val="22"/>
          <w:lang w:val="fr-BE"/>
        </w:rPr>
        <w:t>bis</w:t>
      </w:r>
      <w:r>
        <w:rPr>
          <w:rFonts w:ascii="Times New Roman" w:hAnsi="Times New Roman"/>
          <w:sz w:val="22"/>
          <w:szCs w:val="22"/>
          <w:lang w:val="fr-BE"/>
        </w:rPr>
        <w:t>.</w:t>
      </w:r>
      <w:r>
        <w:rPr>
          <w:rFonts w:ascii="Times New Roman" w:hAnsi="Times New Roman"/>
          <w:sz w:val="22"/>
          <w:szCs w:val="22"/>
          <w:lang w:val="fr-BE"/>
        </w:rPr>
        <w:tab/>
        <w:t>P</w:t>
      </w:r>
      <w:r w:rsidRPr="00804273">
        <w:rPr>
          <w:rFonts w:ascii="Times New Roman" w:hAnsi="Times New Roman"/>
          <w:sz w:val="22"/>
          <w:szCs w:val="22"/>
          <w:lang w:val="fr-FR"/>
        </w:rPr>
        <w:t>ré-départ, procédure de vol, phase de vol, phase de transit, ‘arrivée et réception dans le pays de retour’.</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BE"/>
        </w:rPr>
        <w:t xml:space="preserve">Nombre de contrôles par le passé : 36 (2007), 18 (2008), 19 (2009), 12 (2010) et 54 (2011). </w:t>
      </w:r>
      <w:r w:rsidRPr="00290C15">
        <w:rPr>
          <w:rFonts w:ascii="Times New Roman" w:hAnsi="Times New Roman"/>
          <w:sz w:val="22"/>
          <w:szCs w:val="22"/>
          <w:lang w:val="fr-FR"/>
        </w:rPr>
        <w:t>A noter également, il y a eu 1 contrôle à bord d’un bateau en 2012, en 2014 et en 2015.</w:t>
      </w:r>
    </w:p>
    <w:p w:rsidR="00961D32" w:rsidRDefault="00961D32" w:rsidP="00804273">
      <w:pPr>
        <w:pStyle w:val="Notedebasdepage"/>
        <w:tabs>
          <w:tab w:val="left" w:pos="709"/>
        </w:tabs>
        <w:spacing w:after="20" w:line="240" w:lineRule="auto"/>
        <w:ind w:left="709"/>
        <w:jc w:val="both"/>
        <w:rPr>
          <w:rFonts w:ascii="Times New Roman" w:hAnsi="Times New Roman"/>
          <w:sz w:val="22"/>
          <w:szCs w:val="22"/>
          <w:lang w:val="fr-FR"/>
        </w:rPr>
      </w:pPr>
      <w:r>
        <w:rPr>
          <w:rFonts w:ascii="Times New Roman" w:hAnsi="Times New Roman"/>
          <w:sz w:val="22"/>
          <w:szCs w:val="22"/>
          <w:lang w:val="fr-FR"/>
        </w:rPr>
        <w:t xml:space="preserve">Les chiffres pour 2012 à 2016 sont détaillés comme suit : </w:t>
      </w:r>
    </w:p>
    <w:p w:rsidR="00961D32" w:rsidRPr="00804273" w:rsidRDefault="00961D32" w:rsidP="00804273">
      <w:pPr>
        <w:pStyle w:val="Notedebasdepage"/>
        <w:numPr>
          <w:ilvl w:val="0"/>
          <w:numId w:val="2"/>
        </w:numPr>
        <w:tabs>
          <w:tab w:val="left" w:pos="709"/>
        </w:tabs>
        <w:spacing w:after="20" w:line="240" w:lineRule="auto"/>
        <w:jc w:val="both"/>
        <w:rPr>
          <w:rFonts w:ascii="Times New Roman" w:hAnsi="Times New Roman"/>
          <w:sz w:val="22"/>
          <w:szCs w:val="22"/>
          <w:lang w:val="fr-FR"/>
        </w:rPr>
      </w:pPr>
      <w:r w:rsidRPr="00961D32">
        <w:rPr>
          <w:rFonts w:ascii="Times New Roman" w:hAnsi="Times New Roman"/>
          <w:sz w:val="22"/>
          <w:szCs w:val="22"/>
          <w:lang w:val="fr-FR"/>
        </w:rPr>
        <w:t xml:space="preserve">contrôles </w:t>
      </w:r>
      <w:proofErr w:type="spellStart"/>
      <w:r w:rsidRPr="00961D32">
        <w:rPr>
          <w:rFonts w:ascii="Times New Roman" w:hAnsi="Times New Roman"/>
          <w:sz w:val="22"/>
          <w:szCs w:val="22"/>
          <w:lang w:val="fr-FR"/>
        </w:rPr>
        <w:t>boarding</w:t>
      </w:r>
      <w:proofErr w:type="spellEnd"/>
      <w:r>
        <w:rPr>
          <w:rFonts w:ascii="Times New Roman" w:hAnsi="Times New Roman"/>
          <w:sz w:val="22"/>
          <w:szCs w:val="22"/>
          <w:lang w:val="fr-FR"/>
        </w:rPr>
        <w:t xml:space="preserve"> : </w:t>
      </w:r>
      <w:r w:rsidRPr="00804273">
        <w:rPr>
          <w:rFonts w:ascii="Times New Roman" w:hAnsi="Times New Roman"/>
          <w:color w:val="000000"/>
          <w:lang w:val="fr-FR"/>
        </w:rPr>
        <w:t>124 (2012), 138 (2013), 109</w:t>
      </w:r>
      <w:r>
        <w:rPr>
          <w:rFonts w:ascii="Times New Roman" w:hAnsi="Times New Roman"/>
          <w:color w:val="000000"/>
          <w:lang w:val="fr-FR"/>
        </w:rPr>
        <w:t xml:space="preserve"> (2014), 83 (2015) et 61 (2016) ;</w:t>
      </w:r>
    </w:p>
    <w:p w:rsidR="00961D32" w:rsidRPr="00961D32" w:rsidRDefault="00961D32" w:rsidP="00804273">
      <w:pPr>
        <w:pStyle w:val="Notedebasdepage"/>
        <w:numPr>
          <w:ilvl w:val="0"/>
          <w:numId w:val="2"/>
        </w:numPr>
        <w:tabs>
          <w:tab w:val="left" w:pos="709"/>
        </w:tabs>
        <w:spacing w:after="20" w:line="240" w:lineRule="auto"/>
        <w:jc w:val="both"/>
        <w:rPr>
          <w:rFonts w:ascii="Times New Roman" w:hAnsi="Times New Roman"/>
          <w:sz w:val="22"/>
          <w:szCs w:val="22"/>
          <w:lang w:val="fr-FR"/>
        </w:rPr>
      </w:pPr>
      <w:r w:rsidRPr="00961D32">
        <w:rPr>
          <w:rFonts w:ascii="Times New Roman" w:hAnsi="Times New Roman"/>
          <w:sz w:val="22"/>
          <w:szCs w:val="22"/>
          <w:lang w:val="fr-FR"/>
        </w:rPr>
        <w:t xml:space="preserve">contrôles de vols réguliers jusqu’à destination : 12 (2012), 13 (2013), </w:t>
      </w:r>
      <w:r>
        <w:rPr>
          <w:rFonts w:ascii="Times New Roman" w:hAnsi="Times New Roman"/>
          <w:sz w:val="22"/>
          <w:szCs w:val="22"/>
          <w:lang w:val="fr-FR"/>
        </w:rPr>
        <w:t xml:space="preserve">14 (2014), 4 (2015) et 7 </w:t>
      </w:r>
      <w:r w:rsidRPr="00961D32">
        <w:rPr>
          <w:rFonts w:ascii="Times New Roman" w:hAnsi="Times New Roman"/>
          <w:sz w:val="22"/>
          <w:szCs w:val="22"/>
          <w:lang w:val="fr-FR"/>
        </w:rPr>
        <w:t xml:space="preserve">(2016) ; </w:t>
      </w:r>
    </w:p>
    <w:p w:rsidR="00961D32" w:rsidRPr="00804273" w:rsidRDefault="00961D32" w:rsidP="00804273">
      <w:pPr>
        <w:pStyle w:val="Notedebasdepage"/>
        <w:numPr>
          <w:ilvl w:val="0"/>
          <w:numId w:val="2"/>
        </w:numPr>
        <w:tabs>
          <w:tab w:val="left" w:pos="709"/>
        </w:tabs>
        <w:spacing w:after="20" w:line="240" w:lineRule="auto"/>
        <w:jc w:val="both"/>
        <w:rPr>
          <w:rFonts w:ascii="Times New Roman" w:hAnsi="Times New Roman"/>
          <w:sz w:val="22"/>
          <w:szCs w:val="22"/>
          <w:lang w:val="fr-FR"/>
        </w:rPr>
      </w:pPr>
      <w:r w:rsidRPr="00961D32">
        <w:rPr>
          <w:rFonts w:ascii="Times New Roman" w:hAnsi="Times New Roman"/>
          <w:sz w:val="22"/>
          <w:szCs w:val="22"/>
          <w:lang w:val="fr-FR"/>
        </w:rPr>
        <w:t>contrôles « </w:t>
      </w:r>
      <w:proofErr w:type="spellStart"/>
      <w:r w:rsidRPr="00961D32">
        <w:rPr>
          <w:rFonts w:ascii="Times New Roman" w:hAnsi="Times New Roman"/>
          <w:sz w:val="22"/>
          <w:szCs w:val="22"/>
          <w:lang w:val="fr-FR"/>
        </w:rPr>
        <w:t>special</w:t>
      </w:r>
      <w:proofErr w:type="spellEnd"/>
      <w:r w:rsidRPr="00961D32">
        <w:rPr>
          <w:rFonts w:ascii="Times New Roman" w:hAnsi="Times New Roman"/>
          <w:sz w:val="22"/>
          <w:szCs w:val="22"/>
          <w:lang w:val="fr-FR"/>
        </w:rPr>
        <w:t xml:space="preserve"> </w:t>
      </w:r>
      <w:proofErr w:type="spellStart"/>
      <w:r w:rsidRPr="00961D32">
        <w:rPr>
          <w:rFonts w:ascii="Times New Roman" w:hAnsi="Times New Roman"/>
          <w:sz w:val="22"/>
          <w:szCs w:val="22"/>
          <w:lang w:val="fr-FR"/>
        </w:rPr>
        <w:t>flights</w:t>
      </w:r>
      <w:proofErr w:type="spellEnd"/>
      <w:r w:rsidRPr="00961D32">
        <w:rPr>
          <w:rFonts w:ascii="Times New Roman" w:hAnsi="Times New Roman"/>
          <w:sz w:val="22"/>
          <w:szCs w:val="22"/>
          <w:lang w:val="fr-FR"/>
        </w:rPr>
        <w:t xml:space="preserve"> » uniquement </w:t>
      </w:r>
      <w:proofErr w:type="spellStart"/>
      <w:r w:rsidRPr="00961D32">
        <w:rPr>
          <w:rFonts w:ascii="Times New Roman" w:hAnsi="Times New Roman"/>
          <w:sz w:val="22"/>
          <w:szCs w:val="22"/>
          <w:lang w:val="fr-FR"/>
        </w:rPr>
        <w:t>boarding</w:t>
      </w:r>
      <w:proofErr w:type="spellEnd"/>
      <w:r w:rsidRPr="00961D32">
        <w:rPr>
          <w:rFonts w:ascii="Times New Roman" w:hAnsi="Times New Roman"/>
          <w:sz w:val="22"/>
          <w:szCs w:val="22"/>
          <w:lang w:val="fr-FR"/>
        </w:rPr>
        <w:t> : 1</w:t>
      </w:r>
      <w:r w:rsidRPr="00804273">
        <w:rPr>
          <w:rFonts w:ascii="Times New Roman" w:hAnsi="Times New Roman"/>
          <w:color w:val="000000"/>
          <w:sz w:val="22"/>
          <w:szCs w:val="22"/>
          <w:lang w:val="fr-FR"/>
        </w:rPr>
        <w:t xml:space="preserve"> (2012), 3 (2013), 4 (2014), 7 (2015) et 21 (2016) ; et</w:t>
      </w:r>
    </w:p>
    <w:p w:rsidR="00961D32" w:rsidRPr="00961D32" w:rsidRDefault="00961D32" w:rsidP="00804273">
      <w:pPr>
        <w:pStyle w:val="Notedebasdepage"/>
        <w:numPr>
          <w:ilvl w:val="0"/>
          <w:numId w:val="2"/>
        </w:numPr>
        <w:tabs>
          <w:tab w:val="left" w:pos="709"/>
        </w:tabs>
        <w:spacing w:after="20" w:line="240" w:lineRule="auto"/>
        <w:jc w:val="both"/>
        <w:rPr>
          <w:rFonts w:ascii="Times New Roman" w:hAnsi="Times New Roman"/>
          <w:sz w:val="22"/>
          <w:szCs w:val="22"/>
          <w:lang w:val="fr-FR"/>
        </w:rPr>
      </w:pPr>
      <w:r w:rsidRPr="00961D32">
        <w:rPr>
          <w:rFonts w:ascii="Times New Roman" w:hAnsi="Times New Roman"/>
          <w:sz w:val="22"/>
          <w:szCs w:val="22"/>
          <w:lang w:val="fr-FR"/>
        </w:rPr>
        <w:t>contrôles « </w:t>
      </w:r>
      <w:proofErr w:type="spellStart"/>
      <w:r w:rsidRPr="00961D32">
        <w:rPr>
          <w:rFonts w:ascii="Times New Roman" w:hAnsi="Times New Roman"/>
          <w:sz w:val="22"/>
          <w:szCs w:val="22"/>
          <w:lang w:val="fr-FR"/>
        </w:rPr>
        <w:t>special</w:t>
      </w:r>
      <w:proofErr w:type="spellEnd"/>
      <w:r w:rsidRPr="00961D32">
        <w:rPr>
          <w:rFonts w:ascii="Times New Roman" w:hAnsi="Times New Roman"/>
          <w:sz w:val="22"/>
          <w:szCs w:val="22"/>
          <w:lang w:val="fr-FR"/>
        </w:rPr>
        <w:t xml:space="preserve"> </w:t>
      </w:r>
      <w:proofErr w:type="spellStart"/>
      <w:r w:rsidRPr="00961D32">
        <w:rPr>
          <w:rFonts w:ascii="Times New Roman" w:hAnsi="Times New Roman"/>
          <w:sz w:val="22"/>
          <w:szCs w:val="22"/>
          <w:lang w:val="fr-FR"/>
        </w:rPr>
        <w:t>flights</w:t>
      </w:r>
      <w:proofErr w:type="spellEnd"/>
      <w:r w:rsidRPr="00961D32">
        <w:rPr>
          <w:rFonts w:ascii="Times New Roman" w:hAnsi="Times New Roman"/>
          <w:sz w:val="22"/>
          <w:szCs w:val="22"/>
          <w:lang w:val="fr-FR"/>
        </w:rPr>
        <w:t> » jusqu’à destination</w:t>
      </w:r>
      <w:r>
        <w:rPr>
          <w:rFonts w:ascii="Times New Roman" w:hAnsi="Times New Roman"/>
          <w:sz w:val="22"/>
          <w:szCs w:val="22"/>
          <w:lang w:val="fr-FR"/>
        </w:rPr>
        <w:t xml:space="preserve"> : </w:t>
      </w:r>
      <w:r w:rsidRPr="00961D32">
        <w:rPr>
          <w:rFonts w:ascii="Times New Roman" w:hAnsi="Times New Roman"/>
          <w:sz w:val="22"/>
          <w:szCs w:val="22"/>
          <w:lang w:val="fr-FR"/>
        </w:rPr>
        <w:t xml:space="preserve">9 (2012), 9 (2013), 5 (2014), 14 (2015) et 8 </w:t>
      </w:r>
      <w:r w:rsidRPr="00961D32">
        <w:rPr>
          <w:rFonts w:ascii="Times New Roman" w:hAnsi="Times New Roman"/>
          <w:sz w:val="22"/>
          <w:szCs w:val="22"/>
          <w:lang w:val="fr-FR"/>
        </w:rPr>
        <w:lastRenderedPageBreak/>
        <w:t>(2016).</w:t>
      </w:r>
    </w:p>
    <w:p w:rsid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FR"/>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rPr>
      </w:pPr>
      <w:bookmarkStart w:id="41" w:name="_Toc503444764"/>
      <w:bookmarkStart w:id="42" w:name="_Toc503444779"/>
      <w:bookmarkStart w:id="43" w:name="_Toc519074808"/>
      <w:r w:rsidRPr="00290C15">
        <w:rPr>
          <w:b/>
          <w:color w:val="000000"/>
          <w:sz w:val="22"/>
          <w:szCs w:val="22"/>
        </w:rPr>
        <w:t>Droit à un procès équitable (art. 2, 14, 26)</w:t>
      </w:r>
      <w:bookmarkEnd w:id="41"/>
      <w:bookmarkEnd w:id="42"/>
      <w:bookmarkEnd w:id="43"/>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FR"/>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Article 57</w:t>
      </w:r>
      <w:r w:rsidRPr="00290C15">
        <w:rPr>
          <w:rFonts w:ascii="Times New Roman" w:hAnsi="Times New Roman"/>
          <w:i/>
          <w:sz w:val="22"/>
          <w:szCs w:val="22"/>
          <w:lang w:val="fr-BE"/>
        </w:rPr>
        <w:t>bis</w:t>
      </w:r>
      <w:r w:rsidRPr="00290C15">
        <w:rPr>
          <w:rFonts w:ascii="Times New Roman" w:hAnsi="Times New Roman"/>
          <w:sz w:val="22"/>
          <w:szCs w:val="22"/>
          <w:lang w:val="fr-BE"/>
        </w:rPr>
        <w:t xml:space="preserve"> de la Loi du 8 avril 1965 sur la protection de la jeunesse, la prise en charge des mineurs ayant commis un fait qualifié infraction et la réparation du dommage causé par ce fait (M.B. 15.04.1965) (loi réformée 2006) : chambres spéciales de la jeunesse, composées de magistrats formés à cet effet, pour se prononcer sur les dessaisissements.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Voyez la </w:t>
      </w:r>
      <w:r w:rsidRPr="00290C15">
        <w:rPr>
          <w:rFonts w:ascii="Times New Roman" w:hAnsi="Times New Roman"/>
          <w:color w:val="000000"/>
          <w:sz w:val="22"/>
          <w:szCs w:val="22"/>
          <w:lang w:val="fr-FR"/>
        </w:rPr>
        <w:t xml:space="preserve">note de politique </w:t>
      </w:r>
      <w:proofErr w:type="spellStart"/>
      <w:r w:rsidRPr="00290C15">
        <w:rPr>
          <w:rFonts w:ascii="Times New Roman" w:hAnsi="Times New Roman"/>
          <w:color w:val="000000"/>
          <w:sz w:val="22"/>
          <w:szCs w:val="22"/>
          <w:lang w:val="fr-FR"/>
        </w:rPr>
        <w:t>Welzijn</w:t>
      </w:r>
      <w:proofErr w:type="spellEnd"/>
      <w:r w:rsidRPr="00290C15">
        <w:rPr>
          <w:rFonts w:ascii="Times New Roman" w:hAnsi="Times New Roman"/>
          <w:color w:val="000000"/>
          <w:sz w:val="22"/>
          <w:szCs w:val="22"/>
          <w:lang w:val="fr-FR"/>
        </w:rPr>
        <w:t xml:space="preserve">, </w:t>
      </w:r>
      <w:proofErr w:type="spellStart"/>
      <w:r w:rsidRPr="00290C15">
        <w:rPr>
          <w:rFonts w:ascii="Times New Roman" w:hAnsi="Times New Roman"/>
          <w:color w:val="000000"/>
          <w:sz w:val="22"/>
          <w:szCs w:val="22"/>
          <w:lang w:val="fr-FR"/>
        </w:rPr>
        <w:t>Volksgezondheid</w:t>
      </w:r>
      <w:proofErr w:type="spellEnd"/>
      <w:r w:rsidRPr="00290C15">
        <w:rPr>
          <w:rFonts w:ascii="Times New Roman" w:hAnsi="Times New Roman"/>
          <w:color w:val="000000"/>
          <w:sz w:val="22"/>
          <w:szCs w:val="22"/>
          <w:lang w:val="fr-FR"/>
        </w:rPr>
        <w:t xml:space="preserve"> en </w:t>
      </w:r>
      <w:proofErr w:type="spellStart"/>
      <w:r w:rsidRPr="00290C15">
        <w:rPr>
          <w:rFonts w:ascii="Times New Roman" w:hAnsi="Times New Roman"/>
          <w:color w:val="000000"/>
          <w:sz w:val="22"/>
          <w:szCs w:val="22"/>
          <w:lang w:val="fr-FR"/>
        </w:rPr>
        <w:t>Gezin</w:t>
      </w:r>
      <w:proofErr w:type="spellEnd"/>
      <w:r w:rsidRPr="00290C15">
        <w:rPr>
          <w:rFonts w:ascii="Times New Roman" w:hAnsi="Times New Roman"/>
          <w:color w:val="000000"/>
          <w:sz w:val="22"/>
          <w:szCs w:val="22"/>
          <w:lang w:val="fr-FR"/>
        </w:rPr>
        <w:t xml:space="preserve"> 2014-2019 reprenant l’objectif d’un décret du nouveau droit pour les jeunes (notamment droit à l’assistance et droit aux garanties procédurales) et la note de conception du Gouvernement Flamand du 20 mars 2015 intitulée « </w:t>
      </w:r>
      <w:proofErr w:type="spellStart"/>
      <w:r w:rsidRPr="00290C15">
        <w:rPr>
          <w:rFonts w:ascii="Times New Roman" w:hAnsi="Times New Roman"/>
          <w:i/>
          <w:color w:val="000000"/>
          <w:sz w:val="22"/>
          <w:szCs w:val="22"/>
          <w:lang w:val="fr-FR"/>
        </w:rPr>
        <w:t>Contouren</w:t>
      </w:r>
      <w:proofErr w:type="spellEnd"/>
      <w:r w:rsidRPr="00290C15">
        <w:rPr>
          <w:rFonts w:ascii="Times New Roman" w:hAnsi="Times New Roman"/>
          <w:i/>
          <w:color w:val="000000"/>
          <w:sz w:val="22"/>
          <w:szCs w:val="22"/>
          <w:lang w:val="fr-FR"/>
        </w:rPr>
        <w:t xml:space="preserve"> en plan van </w:t>
      </w:r>
      <w:proofErr w:type="spellStart"/>
      <w:r w:rsidRPr="00290C15">
        <w:rPr>
          <w:rFonts w:ascii="Times New Roman" w:hAnsi="Times New Roman"/>
          <w:i/>
          <w:color w:val="000000"/>
          <w:sz w:val="22"/>
          <w:szCs w:val="22"/>
          <w:lang w:val="fr-FR"/>
        </w:rPr>
        <w:t>aanpak</w:t>
      </w:r>
      <w:proofErr w:type="spellEnd"/>
      <w:r w:rsidRPr="00290C15">
        <w:rPr>
          <w:rFonts w:ascii="Times New Roman" w:hAnsi="Times New Roman"/>
          <w:i/>
          <w:color w:val="000000"/>
          <w:sz w:val="22"/>
          <w:szCs w:val="22"/>
          <w:lang w:val="fr-FR"/>
        </w:rPr>
        <w:t xml:space="preserve"> </w:t>
      </w:r>
      <w:proofErr w:type="spellStart"/>
      <w:r w:rsidRPr="00290C15">
        <w:rPr>
          <w:rFonts w:ascii="Times New Roman" w:hAnsi="Times New Roman"/>
          <w:i/>
          <w:color w:val="000000"/>
          <w:sz w:val="22"/>
          <w:szCs w:val="22"/>
          <w:lang w:val="fr-FR"/>
        </w:rPr>
        <w:t>voor</w:t>
      </w:r>
      <w:proofErr w:type="spellEnd"/>
      <w:r w:rsidRPr="00290C15">
        <w:rPr>
          <w:rFonts w:ascii="Times New Roman" w:hAnsi="Times New Roman"/>
          <w:i/>
          <w:color w:val="000000"/>
          <w:sz w:val="22"/>
          <w:szCs w:val="22"/>
          <w:lang w:val="fr-FR"/>
        </w:rPr>
        <w:t xml:space="preserve"> </w:t>
      </w:r>
      <w:proofErr w:type="spellStart"/>
      <w:r w:rsidRPr="00290C15">
        <w:rPr>
          <w:rFonts w:ascii="Times New Roman" w:hAnsi="Times New Roman"/>
          <w:i/>
          <w:color w:val="000000"/>
          <w:sz w:val="22"/>
          <w:szCs w:val="22"/>
          <w:lang w:val="fr-FR"/>
        </w:rPr>
        <w:t>een</w:t>
      </w:r>
      <w:proofErr w:type="spellEnd"/>
      <w:r w:rsidRPr="00290C15">
        <w:rPr>
          <w:rFonts w:ascii="Times New Roman" w:hAnsi="Times New Roman"/>
          <w:i/>
          <w:color w:val="000000"/>
          <w:sz w:val="22"/>
          <w:szCs w:val="22"/>
          <w:lang w:val="fr-FR"/>
        </w:rPr>
        <w:t xml:space="preserve"> Vlaams </w:t>
      </w:r>
      <w:proofErr w:type="spellStart"/>
      <w:r w:rsidRPr="00290C15">
        <w:rPr>
          <w:rFonts w:ascii="Times New Roman" w:hAnsi="Times New Roman"/>
          <w:i/>
          <w:color w:val="000000"/>
          <w:sz w:val="22"/>
          <w:szCs w:val="22"/>
          <w:lang w:val="fr-FR"/>
        </w:rPr>
        <w:t>beleid</w:t>
      </w:r>
      <w:proofErr w:type="spellEnd"/>
      <w:r w:rsidRPr="00290C15">
        <w:rPr>
          <w:rFonts w:ascii="Times New Roman" w:hAnsi="Times New Roman"/>
          <w:i/>
          <w:color w:val="000000"/>
          <w:sz w:val="22"/>
          <w:szCs w:val="22"/>
          <w:lang w:val="fr-FR"/>
        </w:rPr>
        <w:t xml:space="preserve"> </w:t>
      </w:r>
      <w:proofErr w:type="spellStart"/>
      <w:r w:rsidRPr="00290C15">
        <w:rPr>
          <w:rFonts w:ascii="Times New Roman" w:hAnsi="Times New Roman"/>
          <w:i/>
          <w:color w:val="000000"/>
          <w:sz w:val="22"/>
          <w:szCs w:val="22"/>
          <w:lang w:val="fr-FR"/>
        </w:rPr>
        <w:t>inzake</w:t>
      </w:r>
      <w:proofErr w:type="spellEnd"/>
      <w:r w:rsidRPr="00290C15">
        <w:rPr>
          <w:rFonts w:ascii="Times New Roman" w:hAnsi="Times New Roman"/>
          <w:i/>
          <w:color w:val="000000"/>
          <w:sz w:val="22"/>
          <w:szCs w:val="22"/>
          <w:lang w:val="fr-FR"/>
        </w:rPr>
        <w:t xml:space="preserve"> </w:t>
      </w:r>
      <w:proofErr w:type="spellStart"/>
      <w:r w:rsidRPr="00290C15">
        <w:rPr>
          <w:rFonts w:ascii="Times New Roman" w:hAnsi="Times New Roman"/>
          <w:i/>
          <w:color w:val="000000"/>
          <w:sz w:val="22"/>
          <w:szCs w:val="22"/>
          <w:lang w:val="fr-FR"/>
        </w:rPr>
        <w:t>een</w:t>
      </w:r>
      <w:proofErr w:type="spellEnd"/>
      <w:r w:rsidRPr="00290C15">
        <w:rPr>
          <w:rFonts w:ascii="Times New Roman" w:hAnsi="Times New Roman"/>
          <w:i/>
          <w:color w:val="000000"/>
          <w:sz w:val="22"/>
          <w:szCs w:val="22"/>
          <w:lang w:val="fr-FR"/>
        </w:rPr>
        <w:t xml:space="preserve"> </w:t>
      </w:r>
      <w:proofErr w:type="spellStart"/>
      <w:r w:rsidRPr="00290C15">
        <w:rPr>
          <w:rFonts w:ascii="Times New Roman" w:hAnsi="Times New Roman"/>
          <w:i/>
          <w:color w:val="000000"/>
          <w:sz w:val="22"/>
          <w:szCs w:val="22"/>
          <w:lang w:val="fr-FR"/>
        </w:rPr>
        <w:t>gedifferentieerde</w:t>
      </w:r>
      <w:proofErr w:type="spellEnd"/>
      <w:r w:rsidRPr="00290C15">
        <w:rPr>
          <w:rFonts w:ascii="Times New Roman" w:hAnsi="Times New Roman"/>
          <w:i/>
          <w:color w:val="000000"/>
          <w:sz w:val="22"/>
          <w:szCs w:val="22"/>
          <w:lang w:val="fr-FR"/>
        </w:rPr>
        <w:t xml:space="preserve"> </w:t>
      </w:r>
      <w:proofErr w:type="spellStart"/>
      <w:r w:rsidRPr="00290C15">
        <w:rPr>
          <w:rFonts w:ascii="Times New Roman" w:hAnsi="Times New Roman"/>
          <w:i/>
          <w:color w:val="000000"/>
          <w:sz w:val="22"/>
          <w:szCs w:val="22"/>
          <w:lang w:val="fr-FR"/>
        </w:rPr>
        <w:t>aanpak</w:t>
      </w:r>
      <w:proofErr w:type="spellEnd"/>
      <w:r w:rsidRPr="00290C15">
        <w:rPr>
          <w:rFonts w:ascii="Times New Roman" w:hAnsi="Times New Roman"/>
          <w:i/>
          <w:color w:val="000000"/>
          <w:sz w:val="22"/>
          <w:szCs w:val="22"/>
          <w:lang w:val="fr-FR"/>
        </w:rPr>
        <w:t xml:space="preserve"> van </w:t>
      </w:r>
      <w:proofErr w:type="spellStart"/>
      <w:r w:rsidRPr="00290C15">
        <w:rPr>
          <w:rFonts w:ascii="Times New Roman" w:hAnsi="Times New Roman"/>
          <w:i/>
          <w:color w:val="000000"/>
          <w:sz w:val="22"/>
          <w:szCs w:val="22"/>
          <w:lang w:val="fr-FR"/>
        </w:rPr>
        <w:t>jeugddelinquentie</w:t>
      </w:r>
      <w:proofErr w:type="spellEnd"/>
      <w:r w:rsidRPr="00290C15">
        <w:rPr>
          <w:rFonts w:ascii="Times New Roman" w:hAnsi="Times New Roman"/>
          <w:color w:val="000000"/>
          <w:sz w:val="22"/>
          <w:szCs w:val="22"/>
          <w:lang w:val="fr-FR"/>
        </w:rPr>
        <w:t> ».</w:t>
      </w:r>
    </w:p>
    <w:p w:rsidR="00290C15" w:rsidRDefault="00290C15" w:rsidP="00946F28">
      <w:pPr>
        <w:pStyle w:val="Notedebasdepage"/>
        <w:tabs>
          <w:tab w:val="left" w:pos="709"/>
        </w:tabs>
        <w:spacing w:after="20" w:line="240" w:lineRule="auto"/>
        <w:ind w:left="709" w:hanging="709"/>
        <w:jc w:val="both"/>
        <w:rPr>
          <w:rFonts w:ascii="Times New Roman" w:hAnsi="Times New Roman"/>
          <w:color w:val="000000"/>
          <w:sz w:val="22"/>
          <w:szCs w:val="22"/>
          <w:lang w:val="fr-FR"/>
        </w:rPr>
      </w:pPr>
    </w:p>
    <w:p w:rsidR="00290C15" w:rsidRPr="00290C15" w:rsidRDefault="00290C15" w:rsidP="00946F28">
      <w:pPr>
        <w:tabs>
          <w:tab w:val="left" w:pos="709"/>
        </w:tabs>
        <w:autoSpaceDE w:val="0"/>
        <w:autoSpaceDN w:val="0"/>
        <w:adjustRightInd w:val="0"/>
        <w:ind w:left="709" w:hanging="709"/>
        <w:jc w:val="both"/>
        <w:outlineLvl w:val="1"/>
        <w:rPr>
          <w:b/>
          <w:color w:val="000000"/>
          <w:sz w:val="22"/>
          <w:szCs w:val="22"/>
        </w:rPr>
      </w:pPr>
      <w:bookmarkStart w:id="44" w:name="_Toc503444765"/>
      <w:bookmarkStart w:id="45" w:name="_Toc503444780"/>
      <w:bookmarkStart w:id="46" w:name="_Toc519074809"/>
      <w:r w:rsidRPr="00290C15">
        <w:rPr>
          <w:b/>
          <w:color w:val="000000"/>
          <w:sz w:val="22"/>
          <w:szCs w:val="22"/>
        </w:rPr>
        <w:t>Droits de l’enfant (arts. 7, 24)</w:t>
      </w:r>
      <w:bookmarkEnd w:id="44"/>
      <w:bookmarkEnd w:id="45"/>
      <w:bookmarkEnd w:id="46"/>
    </w:p>
    <w:p w:rsidR="00290C15" w:rsidRPr="00290C15" w:rsidRDefault="00290C15" w:rsidP="00946F28">
      <w:pPr>
        <w:pStyle w:val="Notedebasdepage"/>
        <w:tabs>
          <w:tab w:val="left" w:pos="709"/>
        </w:tabs>
        <w:spacing w:after="20" w:line="240" w:lineRule="auto"/>
        <w:ind w:left="709" w:hanging="709"/>
        <w:jc w:val="both"/>
        <w:rPr>
          <w:rFonts w:ascii="Times New Roman" w:hAnsi="Times New Roman"/>
          <w:sz w:val="22"/>
          <w:szCs w:val="22"/>
          <w:lang w:val="fr-BE"/>
        </w:rPr>
      </w:pP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FR"/>
        </w:rPr>
        <w:t xml:space="preserve">Art. 398 et </w:t>
      </w:r>
      <w:proofErr w:type="spellStart"/>
      <w:r w:rsidRPr="00290C15">
        <w:rPr>
          <w:rFonts w:ascii="Times New Roman" w:hAnsi="Times New Roman"/>
          <w:sz w:val="22"/>
          <w:szCs w:val="22"/>
          <w:lang w:val="fr-FR"/>
        </w:rPr>
        <w:t>ss</w:t>
      </w:r>
      <w:proofErr w:type="spellEnd"/>
      <w:r w:rsidRPr="00290C15">
        <w:rPr>
          <w:rFonts w:ascii="Times New Roman" w:hAnsi="Times New Roman"/>
          <w:sz w:val="22"/>
          <w:szCs w:val="22"/>
          <w:lang w:val="fr-FR"/>
        </w:rPr>
        <w:t>. du Code pénal.</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Art. 417</w:t>
      </w:r>
      <w:r w:rsidRPr="00290C15">
        <w:rPr>
          <w:rFonts w:ascii="Times New Roman" w:hAnsi="Times New Roman"/>
          <w:i/>
          <w:sz w:val="22"/>
          <w:szCs w:val="22"/>
          <w:lang w:val="fr-BE"/>
        </w:rPr>
        <w:t>bis</w:t>
      </w:r>
      <w:r w:rsidRPr="00290C15">
        <w:rPr>
          <w:rFonts w:ascii="Times New Roman" w:hAnsi="Times New Roman"/>
          <w:sz w:val="22"/>
          <w:szCs w:val="22"/>
          <w:lang w:val="fr-BE"/>
        </w:rPr>
        <w:t xml:space="preserve"> et </w:t>
      </w:r>
      <w:proofErr w:type="spellStart"/>
      <w:r w:rsidRPr="00290C15">
        <w:rPr>
          <w:rFonts w:ascii="Times New Roman" w:hAnsi="Times New Roman"/>
          <w:sz w:val="22"/>
          <w:szCs w:val="22"/>
          <w:lang w:val="fr-BE"/>
        </w:rPr>
        <w:t>ss</w:t>
      </w:r>
      <w:proofErr w:type="spellEnd"/>
      <w:r w:rsidRPr="00290C15">
        <w:rPr>
          <w:rFonts w:ascii="Times New Roman" w:hAnsi="Times New Roman"/>
          <w:sz w:val="22"/>
          <w:szCs w:val="22"/>
          <w:lang w:val="fr-BE"/>
        </w:rPr>
        <w:t>. du Code pénal.</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Pour rappel, en octobre 2008, une circulaire reprenant la définition des châtiments corporels du Comité des droits de l’enfant et venant appuyer la jurisprudence belge a été adoptée afin de rappeler aux Parquets que « </w:t>
      </w:r>
      <w:r w:rsidRPr="00290C15">
        <w:rPr>
          <w:rFonts w:ascii="Times New Roman" w:hAnsi="Times New Roman"/>
          <w:i/>
          <w:sz w:val="22"/>
          <w:szCs w:val="22"/>
          <w:lang w:val="fr-BE"/>
        </w:rPr>
        <w:t>les châtiments corporels administrés aux enfants sont susceptibles selon les circonstances de constituer des coups et blessures et/ou des traitements dégradants incriminés</w:t>
      </w:r>
      <w:r w:rsidRPr="00290C15">
        <w:rPr>
          <w:rFonts w:ascii="Times New Roman" w:hAnsi="Times New Roman"/>
          <w:sz w:val="22"/>
          <w:szCs w:val="22"/>
          <w:lang w:val="fr-BE"/>
        </w:rPr>
        <w:t xml:space="preserve">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w:t>
      </w:r>
      <w:r w:rsidRPr="00290C15">
        <w:rPr>
          <w:rFonts w:ascii="Times New Roman" w:hAnsi="Times New Roman"/>
          <w:i/>
          <w:sz w:val="22"/>
          <w:szCs w:val="22"/>
          <w:lang w:val="fr-BE"/>
        </w:rPr>
        <w:t>L’enfant et ses pères et mères se doivent à tout âge mutuellement respect</w:t>
      </w:r>
      <w:r w:rsidRPr="00290C15">
        <w:rPr>
          <w:rFonts w:ascii="Times New Roman" w:hAnsi="Times New Roman"/>
          <w:sz w:val="22"/>
          <w:szCs w:val="22"/>
          <w:lang w:val="fr-BE"/>
        </w:rPr>
        <w:t>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Droit de l’enfant au respect de son intégrité physique et mentale.</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w:t>
      </w:r>
      <w:r w:rsidRPr="00290C15">
        <w:rPr>
          <w:rFonts w:ascii="Times New Roman" w:hAnsi="Times New Roman"/>
          <w:bCs/>
          <w:sz w:val="22"/>
          <w:szCs w:val="22"/>
          <w:lang w:val="fr-BE"/>
        </w:rPr>
        <w:t>Article 17</w:t>
      </w:r>
      <w:r w:rsidRPr="00290C15">
        <w:rPr>
          <w:rFonts w:ascii="Times New Roman" w:hAnsi="Times New Roman"/>
          <w:b/>
          <w:bCs/>
          <w:sz w:val="22"/>
          <w:szCs w:val="22"/>
          <w:lang w:val="fr-BE"/>
        </w:rPr>
        <w:t> – </w:t>
      </w:r>
      <w:r w:rsidRPr="00290C15">
        <w:rPr>
          <w:rFonts w:ascii="Times New Roman" w:hAnsi="Times New Roman"/>
          <w:sz w:val="22"/>
          <w:szCs w:val="22"/>
          <w:lang w:val="fr-BE"/>
        </w:rPr>
        <w:t>Droit des enfants et des adolescents</w:t>
      </w:r>
      <w:bookmarkStart w:id="47" w:name="_GoBack"/>
      <w:bookmarkEnd w:id="47"/>
      <w:r w:rsidRPr="00290C15">
        <w:rPr>
          <w:rFonts w:ascii="Times New Roman" w:hAnsi="Times New Roman"/>
          <w:sz w:val="22"/>
          <w:szCs w:val="22"/>
          <w:lang w:val="fr-BE"/>
        </w:rPr>
        <w:t xml:space="preserve"> a une protection sociale, juridique et économique : En vue d’assurer aux enfants et aux adolescents l’exercice effectif du droit de grandir dans un milieu favorable à l’épanouissement de leur personnalité et au développement de leurs aptitudes physiques et mentales, les Parties s’engagent à prendre, soit directement, soit en coopération avec les organisations publiques ou privées, toutes les mesures nécessaires et appropriées tendant : 1. </w:t>
      </w:r>
      <w:r w:rsidRPr="00290C15">
        <w:rPr>
          <w:rFonts w:ascii="Times New Roman" w:hAnsi="Times New Roman"/>
          <w:i/>
          <w:iCs/>
          <w:sz w:val="22"/>
          <w:szCs w:val="22"/>
          <w:lang w:val="fr-BE"/>
        </w:rPr>
        <w:t>a</w:t>
      </w:r>
      <w:r w:rsidRPr="00290C15">
        <w:rPr>
          <w:rFonts w:ascii="Times New Roman" w:hAnsi="Times New Roman"/>
          <w:sz w:val="22"/>
          <w:szCs w:val="22"/>
          <w:lang w:val="fr-BE"/>
        </w:rPr>
        <w:t xml:space="preserve">. à assurer aux enfants et aux adolescents, compte tenu des droits et des devoirs des parents, les soins, l’assistance, l’éducation et la formation dont ils ont besoin, notamment en prévoyant la création ou le maintien d’institutions ou de services adéquats et suffisants à cette fin ; </w:t>
      </w:r>
      <w:r w:rsidRPr="00290C15">
        <w:rPr>
          <w:rFonts w:ascii="Times New Roman" w:hAnsi="Times New Roman"/>
          <w:i/>
          <w:iCs/>
          <w:sz w:val="22"/>
          <w:szCs w:val="22"/>
          <w:lang w:val="fr-BE"/>
        </w:rPr>
        <w:t>b</w:t>
      </w:r>
      <w:r w:rsidRPr="00290C15">
        <w:rPr>
          <w:rFonts w:ascii="Times New Roman" w:hAnsi="Times New Roman"/>
          <w:sz w:val="22"/>
          <w:szCs w:val="22"/>
          <w:lang w:val="fr-BE"/>
        </w:rPr>
        <w:t xml:space="preserve">. à protéger les enfants et les adolescents contre la négligence, la violence ou l’exploitation ; </w:t>
      </w:r>
      <w:r w:rsidRPr="00290C15">
        <w:rPr>
          <w:rFonts w:ascii="Times New Roman" w:hAnsi="Times New Roman"/>
          <w:i/>
          <w:iCs/>
          <w:sz w:val="22"/>
          <w:szCs w:val="22"/>
          <w:lang w:val="fr-BE"/>
        </w:rPr>
        <w:t>c</w:t>
      </w:r>
      <w:r w:rsidRPr="00290C15">
        <w:rPr>
          <w:rFonts w:ascii="Times New Roman" w:hAnsi="Times New Roman"/>
          <w:sz w:val="22"/>
          <w:szCs w:val="22"/>
          <w:lang w:val="fr-BE"/>
        </w:rPr>
        <w:t>. à assurer une protection et une aide spéciale de l’Etat vis-à-vis de l’enfant ou de l’adolescent temporairement ou définitivement privé de son soutien familial (…).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BE"/>
        </w:rPr>
      </w:pPr>
      <w:r w:rsidRPr="00290C15">
        <w:rPr>
          <w:rFonts w:ascii="Times New Roman" w:hAnsi="Times New Roman"/>
          <w:sz w:val="22"/>
          <w:szCs w:val="22"/>
          <w:lang w:val="fr-BE"/>
        </w:rPr>
        <w:t xml:space="preserve">Résolution </w:t>
      </w:r>
      <w:hyperlink r:id="rId37" w:history="1">
        <w:r w:rsidRPr="00290C15">
          <w:rPr>
            <w:rStyle w:val="Lienhypertexte"/>
            <w:rFonts w:ascii="Times New Roman" w:hAnsi="Times New Roman"/>
            <w:sz w:val="22"/>
            <w:szCs w:val="22"/>
            <w:lang w:val="fr-BE"/>
          </w:rPr>
          <w:t>CM/</w:t>
        </w:r>
        <w:proofErr w:type="spellStart"/>
        <w:r w:rsidRPr="00290C15">
          <w:rPr>
            <w:rStyle w:val="Lienhypertexte"/>
            <w:rFonts w:ascii="Times New Roman" w:hAnsi="Times New Roman"/>
            <w:sz w:val="22"/>
            <w:szCs w:val="22"/>
            <w:lang w:val="fr-BE"/>
          </w:rPr>
          <w:t>ResChS</w:t>
        </w:r>
        <w:proofErr w:type="spellEnd"/>
        <w:r w:rsidRPr="00290C15">
          <w:rPr>
            <w:rStyle w:val="Lienhypertexte"/>
            <w:rFonts w:ascii="Times New Roman" w:hAnsi="Times New Roman"/>
            <w:sz w:val="22"/>
            <w:szCs w:val="22"/>
            <w:lang w:val="fr-BE"/>
          </w:rPr>
          <w:t>(2015)12</w:t>
        </w:r>
      </w:hyperlink>
      <w:r w:rsidRPr="00290C15">
        <w:rPr>
          <w:rFonts w:ascii="Times New Roman" w:hAnsi="Times New Roman"/>
          <w:sz w:val="22"/>
          <w:szCs w:val="22"/>
          <w:lang w:val="fr-BE"/>
        </w:rPr>
        <w:t xml:space="preserve"> du Comité des Ministres, 17 juin 2015. </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CAT/C//BEL/3, §§155-156.</w:t>
      </w:r>
    </w:p>
    <w:p w:rsidR="007502FC" w:rsidRPr="00290C15" w:rsidRDefault="007502FC" w:rsidP="00946F28">
      <w:pPr>
        <w:pStyle w:val="Paragraphedeliste"/>
        <w:numPr>
          <w:ilvl w:val="0"/>
          <w:numId w:val="1"/>
        </w:numPr>
        <w:tabs>
          <w:tab w:val="left" w:pos="709"/>
        </w:tabs>
        <w:autoSpaceDE w:val="0"/>
        <w:autoSpaceDN w:val="0"/>
        <w:adjustRightInd w:val="0"/>
        <w:spacing w:after="20"/>
        <w:ind w:left="709" w:hanging="709"/>
        <w:jc w:val="both"/>
        <w:rPr>
          <w:color w:val="000000"/>
          <w:sz w:val="22"/>
          <w:szCs w:val="22"/>
        </w:rPr>
      </w:pPr>
      <w:r w:rsidRPr="00290C15">
        <w:rPr>
          <w:color w:val="000000"/>
          <w:sz w:val="22"/>
          <w:szCs w:val="22"/>
        </w:rPr>
        <w:t xml:space="preserve">Ses activités devant couvrir au moins : la coordination des actions menées ; la centralisation de l’information et sa mise à disposition ; la préparation et le suivi des </w:t>
      </w:r>
      <w:r w:rsidRPr="00290C15">
        <w:rPr>
          <w:sz w:val="22"/>
          <w:szCs w:val="22"/>
        </w:rPr>
        <w:t>opérations d’information des</w:t>
      </w:r>
      <w:r w:rsidRPr="00290C15">
        <w:rPr>
          <w:color w:val="000000"/>
          <w:sz w:val="22"/>
          <w:szCs w:val="22"/>
        </w:rPr>
        <w:t xml:space="preserve"> publics concernés (enfants et personnel) ; la prévision des programmes de formation éventuels ; et les relations avec les diverses administrations et services publics et en particulier avec l’ONE (Office national de l’enfance). </w:t>
      </w:r>
    </w:p>
    <w:p w:rsidR="007502FC"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color w:val="0070C0"/>
          <w:sz w:val="22"/>
          <w:szCs w:val="22"/>
          <w:lang w:val="fr-FR"/>
        </w:rPr>
      </w:pPr>
      <w:r w:rsidRPr="00290C15">
        <w:rPr>
          <w:rFonts w:ascii="Times New Roman" w:hAnsi="Times New Roman"/>
          <w:sz w:val="22"/>
          <w:szCs w:val="22"/>
          <w:lang w:val="fr-FR"/>
        </w:rPr>
        <w:t xml:space="preserve">Secrétariat général </w:t>
      </w:r>
      <w:r w:rsidRPr="00290C15">
        <w:rPr>
          <w:rFonts w:ascii="Times New Roman" w:hAnsi="Times New Roman"/>
          <w:sz w:val="22"/>
          <w:szCs w:val="22"/>
          <w:lang w:val="fr-FR"/>
        </w:rPr>
        <w:softHyphen/>
        <w:t xml:space="preserve">– Coordination de la prévention de la maltraitance (2017), </w:t>
      </w:r>
      <w:hyperlink r:id="rId38" w:history="1">
        <w:r w:rsidRPr="00290C15">
          <w:rPr>
            <w:rStyle w:val="Lienhypertexte"/>
            <w:rFonts w:ascii="Times New Roman" w:hAnsi="Times New Roman"/>
            <w:i/>
            <w:sz w:val="22"/>
            <w:szCs w:val="22"/>
            <w:lang w:val="fr-FR"/>
          </w:rPr>
          <w:t>Programme transversal de prévention de la maltraitance 2014-2017</w:t>
        </w:r>
      </w:hyperlink>
      <w:r w:rsidRPr="00290C15">
        <w:rPr>
          <w:rFonts w:ascii="Times New Roman" w:hAnsi="Times New Roman"/>
          <w:color w:val="0070C0"/>
          <w:sz w:val="22"/>
          <w:szCs w:val="22"/>
          <w:lang w:val="fr-FR"/>
        </w:rPr>
        <w:t xml:space="preserve">. </w:t>
      </w:r>
    </w:p>
    <w:p w:rsidR="00961D32" w:rsidRPr="00804273" w:rsidRDefault="00961D32" w:rsidP="00804273">
      <w:pPr>
        <w:pStyle w:val="Notedebasdepage"/>
        <w:tabs>
          <w:tab w:val="left" w:pos="709"/>
        </w:tabs>
        <w:spacing w:after="20" w:line="240" w:lineRule="auto"/>
        <w:jc w:val="both"/>
        <w:rPr>
          <w:rFonts w:ascii="Times New Roman" w:hAnsi="Times New Roman"/>
          <w:sz w:val="22"/>
          <w:szCs w:val="22"/>
          <w:lang w:val="fr-FR"/>
        </w:rPr>
      </w:pPr>
      <w:r w:rsidRPr="00804273">
        <w:rPr>
          <w:rFonts w:ascii="Times New Roman" w:hAnsi="Times New Roman"/>
          <w:sz w:val="22"/>
          <w:szCs w:val="22"/>
          <w:lang w:val="fr-FR"/>
        </w:rPr>
        <w:t>233</w:t>
      </w:r>
      <w:r w:rsidRPr="00804273">
        <w:rPr>
          <w:rFonts w:ascii="Times New Roman" w:hAnsi="Times New Roman"/>
          <w:i/>
          <w:sz w:val="22"/>
          <w:szCs w:val="22"/>
          <w:lang w:val="fr-FR"/>
        </w:rPr>
        <w:t>bis</w:t>
      </w:r>
      <w:r w:rsidRPr="00804273">
        <w:rPr>
          <w:rFonts w:ascii="Times New Roman" w:hAnsi="Times New Roman"/>
          <w:sz w:val="22"/>
          <w:szCs w:val="22"/>
          <w:lang w:val="fr-FR"/>
        </w:rPr>
        <w:t>.</w:t>
      </w:r>
      <w:r w:rsidRPr="00804273">
        <w:rPr>
          <w:rFonts w:ascii="Times New Roman" w:hAnsi="Times New Roman"/>
          <w:sz w:val="22"/>
          <w:szCs w:val="22"/>
          <w:lang w:val="fr-FR"/>
        </w:rPr>
        <w:tab/>
        <w:t>Moniteurs sportifs, enseignants, infirmières ONE, animateurs mouvements de jeunesse, etc.</w:t>
      </w:r>
    </w:p>
    <w:p w:rsidR="007502FC" w:rsidRPr="00290C15" w:rsidRDefault="007502FC" w:rsidP="00946F28">
      <w:pPr>
        <w:pStyle w:val="Notedebasdepage"/>
        <w:numPr>
          <w:ilvl w:val="0"/>
          <w:numId w:val="1"/>
        </w:numPr>
        <w:tabs>
          <w:tab w:val="left" w:pos="709"/>
        </w:tabs>
        <w:spacing w:after="20" w:line="240" w:lineRule="auto"/>
        <w:ind w:left="709" w:hanging="709"/>
        <w:jc w:val="both"/>
        <w:rPr>
          <w:rFonts w:ascii="Times New Roman" w:hAnsi="Times New Roman"/>
          <w:sz w:val="22"/>
          <w:szCs w:val="22"/>
          <w:lang w:val="fr-FR"/>
        </w:rPr>
      </w:pPr>
      <w:r w:rsidRPr="00290C15">
        <w:rPr>
          <w:rFonts w:ascii="Times New Roman" w:hAnsi="Times New Roman"/>
          <w:sz w:val="22"/>
          <w:szCs w:val="22"/>
          <w:lang w:val="fr-FR"/>
        </w:rPr>
        <w:t xml:space="preserve">Offre des Centres pour le bien-être général et des Centres de confiance pour maltraitance infantile, lancée le 12 mars 2012. </w:t>
      </w:r>
      <w:r w:rsidRPr="00290C15">
        <w:rPr>
          <w:rFonts w:ascii="Times New Roman" w:hAnsi="Times New Roman"/>
          <w:sz w:val="22"/>
          <w:szCs w:val="22"/>
          <w:lang w:val="fr-BE"/>
        </w:rPr>
        <w:t>Subside total : 6.089.942,07€ (augmenté depuis 2010 de 1.591.306,24€). A noter le développement d’une nouvelle règlementation pour la reconnaissance ainsi que le subventionnement de ces Centres, y compris d’organisations partenaires, ainsi qu’une affirmation du rôle de ces Centres en matière de sensibilisation.</w:t>
      </w:r>
    </w:p>
    <w:p w:rsidR="009C1DA9" w:rsidRPr="00804273" w:rsidRDefault="007502FC" w:rsidP="00946F28">
      <w:pPr>
        <w:pStyle w:val="Notedebasdepage"/>
        <w:numPr>
          <w:ilvl w:val="0"/>
          <w:numId w:val="1"/>
        </w:numPr>
        <w:tabs>
          <w:tab w:val="left" w:pos="709"/>
        </w:tabs>
        <w:spacing w:after="20" w:line="240" w:lineRule="auto"/>
        <w:ind w:left="709" w:hanging="709"/>
        <w:jc w:val="both"/>
        <w:rPr>
          <w:rStyle w:val="Lienhypertexte"/>
          <w:rFonts w:ascii="Times New Roman" w:hAnsi="Times New Roman"/>
          <w:color w:val="auto"/>
          <w:sz w:val="22"/>
          <w:szCs w:val="22"/>
          <w:u w:val="none"/>
          <w:lang w:val="fr-FR"/>
        </w:rPr>
      </w:pPr>
      <w:r w:rsidRPr="00290C15">
        <w:rPr>
          <w:rFonts w:ascii="Times New Roman" w:hAnsi="Times New Roman"/>
          <w:sz w:val="22"/>
          <w:szCs w:val="22"/>
          <w:lang w:val="fr-FR"/>
        </w:rPr>
        <w:t xml:space="preserve">Un nouveau site a également été développé : </w:t>
      </w:r>
      <w:hyperlink r:id="rId39" w:history="1">
        <w:r w:rsidRPr="00290C15">
          <w:rPr>
            <w:rStyle w:val="Lienhypertexte"/>
            <w:rFonts w:ascii="Times New Roman" w:hAnsi="Times New Roman"/>
            <w:sz w:val="22"/>
            <w:szCs w:val="22"/>
            <w:lang w:val="fr-FR"/>
          </w:rPr>
          <w:t>www.slachtofferzorg.be</w:t>
        </w:r>
      </w:hyperlink>
      <w:r w:rsidRPr="00290C15">
        <w:rPr>
          <w:rStyle w:val="Lienhypertexte"/>
          <w:rFonts w:ascii="Times New Roman" w:hAnsi="Times New Roman"/>
          <w:sz w:val="22"/>
          <w:szCs w:val="22"/>
          <w:lang w:val="fr-FR"/>
        </w:rPr>
        <w:t>.</w:t>
      </w:r>
    </w:p>
    <w:p w:rsidR="00961D32" w:rsidRPr="00961D32" w:rsidRDefault="00961D32" w:rsidP="00804273">
      <w:pPr>
        <w:pStyle w:val="Notedebasdepage"/>
        <w:tabs>
          <w:tab w:val="left" w:pos="709"/>
        </w:tabs>
        <w:spacing w:after="20" w:line="240" w:lineRule="auto"/>
        <w:ind w:left="709" w:hanging="709"/>
        <w:jc w:val="both"/>
        <w:rPr>
          <w:rFonts w:ascii="Times New Roman" w:hAnsi="Times New Roman"/>
          <w:sz w:val="22"/>
          <w:szCs w:val="22"/>
          <w:lang w:val="fr-FR"/>
        </w:rPr>
      </w:pPr>
      <w:r w:rsidRPr="00804273">
        <w:rPr>
          <w:rStyle w:val="Lienhypertexte"/>
          <w:rFonts w:ascii="Times New Roman" w:hAnsi="Times New Roman"/>
          <w:color w:val="auto"/>
          <w:sz w:val="22"/>
          <w:szCs w:val="22"/>
          <w:u w:val="none"/>
          <w:lang w:val="fr-FR"/>
        </w:rPr>
        <w:t>235</w:t>
      </w:r>
      <w:r w:rsidRPr="00804273">
        <w:rPr>
          <w:rStyle w:val="Lienhypertexte"/>
          <w:rFonts w:ascii="Times New Roman" w:hAnsi="Times New Roman"/>
          <w:i/>
          <w:color w:val="auto"/>
          <w:sz w:val="22"/>
          <w:szCs w:val="22"/>
          <w:u w:val="none"/>
          <w:lang w:val="fr-FR"/>
        </w:rPr>
        <w:t>bis</w:t>
      </w:r>
      <w:r w:rsidRPr="00804273">
        <w:rPr>
          <w:rStyle w:val="Lienhypertexte"/>
          <w:rFonts w:ascii="Times New Roman" w:hAnsi="Times New Roman"/>
          <w:color w:val="auto"/>
          <w:sz w:val="22"/>
          <w:szCs w:val="22"/>
          <w:u w:val="none"/>
          <w:lang w:val="fr-FR"/>
        </w:rPr>
        <w:t>.</w:t>
      </w:r>
      <w:r w:rsidRPr="00804273">
        <w:rPr>
          <w:rStyle w:val="Lienhypertexte"/>
          <w:rFonts w:ascii="Times New Roman" w:hAnsi="Times New Roman"/>
          <w:color w:val="auto"/>
          <w:sz w:val="22"/>
          <w:szCs w:val="22"/>
          <w:u w:val="none"/>
          <w:lang w:val="fr-FR"/>
        </w:rPr>
        <w:tab/>
      </w:r>
      <w:r w:rsidRPr="00804273">
        <w:rPr>
          <w:rFonts w:ascii="Times New Roman" w:hAnsi="Times New Roman"/>
          <w:sz w:val="22"/>
          <w:szCs w:val="22"/>
          <w:lang w:val="fr-FR"/>
        </w:rPr>
        <w:t xml:space="preserve">Des brochures sont publiées pour les professionnels de la santé, les services sociaux et psychologiques et pour les professeurs et écoles. Un dépliant pour les travailleurs de la jeunesse et les gardiennes d’enfants est également proposé. En outre, le groupe organise des formations pour </w:t>
      </w:r>
      <w:r w:rsidRPr="00804273">
        <w:rPr>
          <w:rFonts w:ascii="Times New Roman" w:hAnsi="Times New Roman"/>
          <w:sz w:val="22"/>
          <w:szCs w:val="22"/>
          <w:lang w:val="fr-FR"/>
        </w:rPr>
        <w:lastRenderedPageBreak/>
        <w:t>ces différents groupes.</w:t>
      </w:r>
    </w:p>
    <w:sectPr w:rsidR="00961D32" w:rsidRPr="00961D32" w:rsidSect="00804273">
      <w:footerReference w:type="default" r:id="rId40"/>
      <w:pgSz w:w="11906" w:h="16838"/>
      <w:pgMar w:top="1134" w:right="1247" w:bottom="1134"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273" w:rsidRDefault="00804273" w:rsidP="00886381">
      <w:r>
        <w:separator/>
      </w:r>
    </w:p>
  </w:endnote>
  <w:endnote w:type="continuationSeparator" w:id="0">
    <w:p w:rsidR="00804273" w:rsidRDefault="00804273" w:rsidP="00886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360223"/>
      <w:docPartObj>
        <w:docPartGallery w:val="Page Numbers (Bottom of Page)"/>
        <w:docPartUnique/>
      </w:docPartObj>
    </w:sdtPr>
    <w:sdtContent>
      <w:p w:rsidR="00804273" w:rsidRDefault="00804273">
        <w:pPr>
          <w:pStyle w:val="Pieddepage"/>
          <w:jc w:val="right"/>
        </w:pPr>
        <w:r>
          <w:fldChar w:fldCharType="begin"/>
        </w:r>
        <w:r>
          <w:instrText>PAGE   \* MERGEFORMAT</w:instrText>
        </w:r>
        <w:r>
          <w:fldChar w:fldCharType="separate"/>
        </w:r>
        <w:r w:rsidR="00291B7C">
          <w:rPr>
            <w:noProof/>
          </w:rPr>
          <w:t>12</w:t>
        </w:r>
        <w:r>
          <w:fldChar w:fldCharType="end"/>
        </w:r>
      </w:p>
    </w:sdtContent>
  </w:sdt>
  <w:p w:rsidR="00804273" w:rsidRDefault="0080427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273" w:rsidRDefault="00804273" w:rsidP="00886381">
      <w:r>
        <w:separator/>
      </w:r>
    </w:p>
  </w:footnote>
  <w:footnote w:type="continuationSeparator" w:id="0">
    <w:p w:rsidR="00804273" w:rsidRDefault="00804273" w:rsidP="008863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F6413"/>
    <w:multiLevelType w:val="hybridMultilevel"/>
    <w:tmpl w:val="0C6A988A"/>
    <w:lvl w:ilvl="0" w:tplc="1E36689E">
      <w:start w:val="1"/>
      <w:numFmt w:val="decimal"/>
      <w:lvlText w:val="%1."/>
      <w:lvlJc w:val="left"/>
      <w:pPr>
        <w:ind w:left="794" w:hanging="434"/>
      </w:pPr>
      <w:rPr>
        <w:rFonts w:hint="default"/>
        <w:b w:val="0"/>
        <w:i w:val="0"/>
        <w:color w:val="auto"/>
        <w:u w:val="none"/>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123B68"/>
    <w:multiLevelType w:val="hybridMultilevel"/>
    <w:tmpl w:val="E424C46E"/>
    <w:lvl w:ilvl="0" w:tplc="4FFE24C4">
      <w:start w:val="515"/>
      <w:numFmt w:val="bullet"/>
      <w:lvlText w:val="-"/>
      <w:lvlJc w:val="left"/>
      <w:pPr>
        <w:ind w:left="1065" w:hanging="360"/>
      </w:pPr>
      <w:rPr>
        <w:rFonts w:ascii="Times New Roman" w:eastAsia="Calibri" w:hAnsi="Times New Roman" w:cs="Times New Roman"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2FC"/>
    <w:rsid w:val="0013122A"/>
    <w:rsid w:val="001D040B"/>
    <w:rsid w:val="00290C15"/>
    <w:rsid w:val="00291B7C"/>
    <w:rsid w:val="002D70CF"/>
    <w:rsid w:val="0044300F"/>
    <w:rsid w:val="00515798"/>
    <w:rsid w:val="0066412F"/>
    <w:rsid w:val="007502FC"/>
    <w:rsid w:val="007D4EFB"/>
    <w:rsid w:val="007F0070"/>
    <w:rsid w:val="00804273"/>
    <w:rsid w:val="00886381"/>
    <w:rsid w:val="00946F28"/>
    <w:rsid w:val="00961D32"/>
    <w:rsid w:val="009B39C1"/>
    <w:rsid w:val="009C1DA9"/>
    <w:rsid w:val="009D7997"/>
    <w:rsid w:val="00A11FEF"/>
    <w:rsid w:val="00A8568C"/>
    <w:rsid w:val="00B30524"/>
    <w:rsid w:val="00BC7A01"/>
    <w:rsid w:val="00D77576"/>
    <w:rsid w:val="00D8598C"/>
    <w:rsid w:val="00DA6DF9"/>
    <w:rsid w:val="00F16623"/>
    <w:rsid w:val="00F55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9DA83F-1F20-4DE6-A645-A8FB041C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2FC"/>
    <w:pPr>
      <w:spacing w:after="0" w:line="240" w:lineRule="auto"/>
    </w:pPr>
    <w:rPr>
      <w:rFonts w:ascii="Times New Roman" w:eastAsia="Times New Roman" w:hAnsi="Times New Roman" w:cs="Times New Roman"/>
      <w:sz w:val="24"/>
      <w:szCs w:val="24"/>
      <w:lang w:val="fr-FR" w:eastAsia="fr-FR"/>
    </w:rPr>
  </w:style>
  <w:style w:type="paragraph" w:styleId="Titre1">
    <w:name w:val="heading 1"/>
    <w:basedOn w:val="Normal"/>
    <w:next w:val="Normal"/>
    <w:link w:val="Titre1Car"/>
    <w:uiPriority w:val="9"/>
    <w:qFormat/>
    <w:rsid w:val="00B3052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semiHidden/>
    <w:unhideWhenUsed/>
    <w:qFormat/>
    <w:rsid w:val="00B3052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7502FC"/>
    <w:rPr>
      <w:color w:val="0000FF"/>
      <w:u w:val="single"/>
    </w:rPr>
  </w:style>
  <w:style w:type="paragraph" w:customStyle="1" w:styleId="CATRponsesparagraphes">
    <w:name w:val="CAT Réponses paragraphes"/>
    <w:basedOn w:val="Normal"/>
    <w:link w:val="CATRponsesparagraphesCar"/>
    <w:rsid w:val="007502FC"/>
    <w:pPr>
      <w:autoSpaceDE w:val="0"/>
      <w:autoSpaceDN w:val="0"/>
      <w:adjustRightInd w:val="0"/>
      <w:jc w:val="both"/>
    </w:pPr>
    <w:rPr>
      <w:color w:val="000000"/>
      <w:sz w:val="20"/>
      <w:szCs w:val="20"/>
    </w:rPr>
  </w:style>
  <w:style w:type="character" w:customStyle="1" w:styleId="CATRponsesparagraphesCar">
    <w:name w:val="CAT Réponses paragraphes Car"/>
    <w:link w:val="CATRponsesparagraphes"/>
    <w:rsid w:val="007502FC"/>
    <w:rPr>
      <w:rFonts w:ascii="Times New Roman" w:eastAsia="Times New Roman" w:hAnsi="Times New Roman" w:cs="Times New Roman"/>
      <w:color w:val="000000"/>
      <w:sz w:val="20"/>
      <w:szCs w:val="20"/>
      <w:lang w:val="fr-FR" w:eastAsia="fr-FR"/>
    </w:rPr>
  </w:style>
  <w:style w:type="paragraph" w:styleId="Notedebasdepage">
    <w:name w:val="footnote text"/>
    <w:aliases w:val="5_G,Char,Voetnoottekst1"/>
    <w:basedOn w:val="Normal"/>
    <w:link w:val="NotedebasdepageCar1"/>
    <w:uiPriority w:val="99"/>
    <w:rsid w:val="007502FC"/>
    <w:pPr>
      <w:widowControl w:val="0"/>
      <w:spacing w:after="200" w:line="276" w:lineRule="auto"/>
    </w:pPr>
    <w:rPr>
      <w:rFonts w:ascii="Calibri" w:eastAsia="Calibri" w:hAnsi="Calibri"/>
      <w:sz w:val="20"/>
      <w:szCs w:val="20"/>
      <w:lang w:val="en-US" w:eastAsia="en-US"/>
    </w:rPr>
  </w:style>
  <w:style w:type="character" w:customStyle="1" w:styleId="NotedebasdepageCar">
    <w:name w:val="Note de bas de page Car"/>
    <w:basedOn w:val="Policepardfaut"/>
    <w:uiPriority w:val="99"/>
    <w:semiHidden/>
    <w:rsid w:val="007502FC"/>
    <w:rPr>
      <w:rFonts w:ascii="Times New Roman" w:eastAsia="Times New Roman" w:hAnsi="Times New Roman" w:cs="Times New Roman"/>
      <w:sz w:val="20"/>
      <w:szCs w:val="20"/>
      <w:lang w:val="fr-FR" w:eastAsia="fr-FR"/>
    </w:rPr>
  </w:style>
  <w:style w:type="character" w:customStyle="1" w:styleId="NotedebasdepageCar1">
    <w:name w:val="Note de bas de page Car1"/>
    <w:aliases w:val="5_G Car,Char Car,Voetnoottekst1 Car"/>
    <w:link w:val="Notedebasdepage"/>
    <w:uiPriority w:val="99"/>
    <w:locked/>
    <w:rsid w:val="007502FC"/>
    <w:rPr>
      <w:rFonts w:ascii="Calibri" w:eastAsia="Calibri" w:hAnsi="Calibri" w:cs="Times New Roman"/>
      <w:sz w:val="20"/>
      <w:szCs w:val="20"/>
      <w:lang w:val="en-US"/>
    </w:rPr>
  </w:style>
  <w:style w:type="character" w:styleId="Appelnotedebasdep">
    <w:name w:val="footnote reference"/>
    <w:aliases w:val="Footnote Refernece,4_G,Voetnootmarkering1"/>
    <w:uiPriority w:val="99"/>
    <w:rsid w:val="007502FC"/>
    <w:rPr>
      <w:rFonts w:cs="Times New Roman"/>
      <w:vertAlign w:val="superscript"/>
    </w:rPr>
  </w:style>
  <w:style w:type="paragraph" w:styleId="Paragraphedeliste">
    <w:name w:val="List Paragraph"/>
    <w:basedOn w:val="Normal"/>
    <w:uiPriority w:val="34"/>
    <w:qFormat/>
    <w:rsid w:val="007502FC"/>
    <w:pPr>
      <w:ind w:left="720"/>
      <w:contextualSpacing/>
    </w:pPr>
  </w:style>
  <w:style w:type="paragraph" w:styleId="Titre">
    <w:name w:val="Title"/>
    <w:basedOn w:val="Titre1"/>
    <w:next w:val="Normal"/>
    <w:link w:val="TitreCar"/>
    <w:qFormat/>
    <w:rsid w:val="00290C15"/>
    <w:pPr>
      <w:keepLines w:val="0"/>
      <w:spacing w:before="0"/>
      <w:jc w:val="both"/>
    </w:pPr>
    <w:rPr>
      <w:rFonts w:ascii="Times New Roman" w:eastAsia="Times New Roman" w:hAnsi="Times New Roman" w:cs="Times New Roman"/>
      <w:b/>
      <w:bCs/>
      <w:color w:val="auto"/>
      <w:kern w:val="32"/>
      <w:sz w:val="22"/>
      <w:szCs w:val="22"/>
    </w:rPr>
  </w:style>
  <w:style w:type="character" w:customStyle="1" w:styleId="TitreCar">
    <w:name w:val="Titre Car"/>
    <w:basedOn w:val="Policepardfaut"/>
    <w:link w:val="Titre"/>
    <w:rsid w:val="00290C15"/>
    <w:rPr>
      <w:rFonts w:ascii="Times New Roman" w:eastAsia="Times New Roman" w:hAnsi="Times New Roman" w:cs="Times New Roman"/>
      <w:b/>
      <w:bCs/>
      <w:kern w:val="32"/>
      <w:lang w:val="fr-FR" w:eastAsia="fr-FR"/>
    </w:rPr>
  </w:style>
  <w:style w:type="character" w:customStyle="1" w:styleId="Titre1Car">
    <w:name w:val="Titre 1 Car"/>
    <w:basedOn w:val="Policepardfaut"/>
    <w:link w:val="Titre1"/>
    <w:uiPriority w:val="9"/>
    <w:rsid w:val="00B30524"/>
    <w:rPr>
      <w:rFonts w:asciiTheme="majorHAnsi" w:eastAsiaTheme="majorEastAsia" w:hAnsiTheme="majorHAnsi" w:cstheme="majorBidi"/>
      <w:color w:val="2E74B5" w:themeColor="accent1" w:themeShade="BF"/>
      <w:sz w:val="32"/>
      <w:szCs w:val="32"/>
      <w:lang w:val="fr-FR" w:eastAsia="fr-FR"/>
    </w:rPr>
  </w:style>
  <w:style w:type="character" w:customStyle="1" w:styleId="Titre2Car">
    <w:name w:val="Titre 2 Car"/>
    <w:basedOn w:val="Policepardfaut"/>
    <w:link w:val="Titre2"/>
    <w:uiPriority w:val="9"/>
    <w:semiHidden/>
    <w:rsid w:val="00B30524"/>
    <w:rPr>
      <w:rFonts w:asciiTheme="majorHAnsi" w:eastAsiaTheme="majorEastAsia" w:hAnsiTheme="majorHAnsi" w:cstheme="majorBidi"/>
      <w:color w:val="2E74B5" w:themeColor="accent1" w:themeShade="BF"/>
      <w:sz w:val="26"/>
      <w:szCs w:val="26"/>
      <w:lang w:val="fr-FR" w:eastAsia="fr-FR"/>
    </w:rPr>
  </w:style>
  <w:style w:type="paragraph" w:styleId="En-tte">
    <w:name w:val="header"/>
    <w:basedOn w:val="Normal"/>
    <w:link w:val="En-tteCar"/>
    <w:uiPriority w:val="99"/>
    <w:unhideWhenUsed/>
    <w:rsid w:val="00886381"/>
    <w:pPr>
      <w:tabs>
        <w:tab w:val="center" w:pos="4513"/>
        <w:tab w:val="right" w:pos="9026"/>
      </w:tabs>
    </w:pPr>
  </w:style>
  <w:style w:type="character" w:customStyle="1" w:styleId="En-tteCar">
    <w:name w:val="En-tête Car"/>
    <w:basedOn w:val="Policepardfaut"/>
    <w:link w:val="En-tte"/>
    <w:uiPriority w:val="99"/>
    <w:rsid w:val="00886381"/>
    <w:rPr>
      <w:rFonts w:ascii="Times New Roman" w:eastAsia="Times New Roman" w:hAnsi="Times New Roman" w:cs="Times New Roman"/>
      <w:sz w:val="24"/>
      <w:szCs w:val="24"/>
      <w:lang w:val="fr-FR" w:eastAsia="fr-FR"/>
    </w:rPr>
  </w:style>
  <w:style w:type="paragraph" w:styleId="Pieddepage">
    <w:name w:val="footer"/>
    <w:basedOn w:val="Normal"/>
    <w:link w:val="PieddepageCar"/>
    <w:uiPriority w:val="99"/>
    <w:unhideWhenUsed/>
    <w:rsid w:val="00886381"/>
    <w:pPr>
      <w:tabs>
        <w:tab w:val="center" w:pos="4513"/>
        <w:tab w:val="right" w:pos="9026"/>
      </w:tabs>
    </w:pPr>
  </w:style>
  <w:style w:type="character" w:customStyle="1" w:styleId="PieddepageCar">
    <w:name w:val="Pied de page Car"/>
    <w:basedOn w:val="Policepardfaut"/>
    <w:link w:val="Pieddepage"/>
    <w:uiPriority w:val="99"/>
    <w:rsid w:val="00886381"/>
    <w:rPr>
      <w:rFonts w:ascii="Times New Roman" w:eastAsia="Times New Roman" w:hAnsi="Times New Roman" w:cs="Times New Roman"/>
      <w:sz w:val="24"/>
      <w:szCs w:val="24"/>
      <w:lang w:val="fr-FR" w:eastAsia="fr-FR"/>
    </w:rPr>
  </w:style>
  <w:style w:type="paragraph" w:styleId="Textedebulles">
    <w:name w:val="Balloon Text"/>
    <w:basedOn w:val="Normal"/>
    <w:link w:val="TextedebullesCar"/>
    <w:uiPriority w:val="99"/>
    <w:semiHidden/>
    <w:unhideWhenUsed/>
    <w:rsid w:val="0044300F"/>
    <w:rPr>
      <w:rFonts w:ascii="Segoe UI" w:hAnsi="Segoe UI" w:cs="Segoe UI"/>
      <w:sz w:val="18"/>
      <w:szCs w:val="18"/>
    </w:rPr>
  </w:style>
  <w:style w:type="character" w:customStyle="1" w:styleId="TextedebullesCar">
    <w:name w:val="Texte de bulles Car"/>
    <w:basedOn w:val="Policepardfaut"/>
    <w:link w:val="Textedebulles"/>
    <w:uiPriority w:val="99"/>
    <w:semiHidden/>
    <w:rsid w:val="0044300F"/>
    <w:rPr>
      <w:rFonts w:ascii="Segoe UI" w:eastAsia="Times New Roman" w:hAnsi="Segoe UI" w:cs="Segoe UI"/>
      <w:sz w:val="18"/>
      <w:szCs w:val="18"/>
      <w:lang w:val="fr-FR" w:eastAsia="fr-FR"/>
    </w:rPr>
  </w:style>
  <w:style w:type="character" w:styleId="Marquedecommentaire">
    <w:name w:val="annotation reference"/>
    <w:uiPriority w:val="99"/>
    <w:rsid w:val="0044300F"/>
    <w:rPr>
      <w:sz w:val="16"/>
      <w:szCs w:val="16"/>
    </w:rPr>
  </w:style>
  <w:style w:type="paragraph" w:styleId="Commentaire">
    <w:name w:val="annotation text"/>
    <w:basedOn w:val="Normal"/>
    <w:link w:val="CommentaireCar"/>
    <w:rsid w:val="0044300F"/>
    <w:rPr>
      <w:sz w:val="20"/>
      <w:szCs w:val="20"/>
    </w:rPr>
  </w:style>
  <w:style w:type="character" w:customStyle="1" w:styleId="CommentaireCar">
    <w:name w:val="Commentaire Car"/>
    <w:basedOn w:val="Policepardfaut"/>
    <w:link w:val="Commentaire"/>
    <w:rsid w:val="0044300F"/>
    <w:rPr>
      <w:rFonts w:ascii="Times New Roman" w:eastAsia="Times New Roman" w:hAnsi="Times New Roman" w:cs="Times New Roman"/>
      <w:sz w:val="20"/>
      <w:szCs w:val="20"/>
      <w:lang w:val="fr-FR" w:eastAsia="fr-FR"/>
    </w:rPr>
  </w:style>
  <w:style w:type="character" w:styleId="Lienhypertextesuivivisit">
    <w:name w:val="FollowedHyperlink"/>
    <w:basedOn w:val="Policepardfaut"/>
    <w:uiPriority w:val="99"/>
    <w:semiHidden/>
    <w:unhideWhenUsed/>
    <w:rsid w:val="008042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clvb.be/nl/artikels/racism-game-over" TargetMode="External"/><Relationship Id="rId18" Type="http://schemas.openxmlformats.org/officeDocument/2006/relationships/hyperlink" Target="http://igvm-iefh.belgium.be/fr/publications/lecart_salarial_entre_les_femmes_et_les_hommes_en_belgique_rapport_2017" TargetMode="External"/><Relationship Id="rId26" Type="http://schemas.openxmlformats.org/officeDocument/2006/relationships/hyperlink" Target="http://www.risicotaxatie.be" TargetMode="External"/><Relationship Id="rId39" Type="http://schemas.openxmlformats.org/officeDocument/2006/relationships/hyperlink" Target="http://www.slachtofferzorg.be" TargetMode="External"/><Relationship Id="rId21" Type="http://schemas.openxmlformats.org/officeDocument/2006/relationships/hyperlink" Target="https://www.violencessexuelles.be/centres-prise-charge-violences-sexuelles" TargetMode="External"/><Relationship Id="rId34" Type="http://schemas.openxmlformats.org/officeDocument/2006/relationships/hyperlink" Target="http://www.dsb-spc.be/doc/pdf/TEH%20Plan%20action%202015-18%20FR.pdf" TargetMode="External"/><Relationship Id="rId42" Type="http://schemas.openxmlformats.org/officeDocument/2006/relationships/theme" Target="theme/theme1.xml"/><Relationship Id="rId7" Type="http://schemas.openxmlformats.org/officeDocument/2006/relationships/hyperlink" Target="http://www.const-court.be/" TargetMode="External"/><Relationship Id="rId2" Type="http://schemas.openxmlformats.org/officeDocument/2006/relationships/styles" Target="styles.xml"/><Relationship Id="rId16" Type="http://schemas.openxmlformats.org/officeDocument/2006/relationships/hyperlink" Target="http://igvm-iefh.belgium.be/fr/publications/guide_daccompagnement_pour_les_personnes_trans_au_travail" TargetMode="External"/><Relationship Id="rId29" Type="http://schemas.openxmlformats.org/officeDocument/2006/relationships/hyperlink" Target="http://www.sosviolence.bruss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hate.be" TargetMode="External"/><Relationship Id="rId24" Type="http://schemas.openxmlformats.org/officeDocument/2006/relationships/hyperlink" Target="http://igvm-iefh.belgium.be/fr/actualite/prevalence_des_mutilations_genitales_feminines_en_belgique" TargetMode="External"/><Relationship Id="rId32" Type="http://schemas.openxmlformats.org/officeDocument/2006/relationships/hyperlink" Target="https://www.koengeens.be/news/2016/05/13/masterplan-prisons-et-internement-reduction-de-la-surpopulation-dans-les-prisons-et-accue" TargetMode="External"/><Relationship Id="rId37" Type="http://schemas.openxmlformats.org/officeDocument/2006/relationships/hyperlink" Target="https://search.coe.int/cm/Pages/result_details.aspx?ObjectID=09000016805c31f8" TargetMode="External"/><Relationship Id="rId40" Type="http://schemas.openxmlformats.org/officeDocument/2006/relationships/footer" Target="footer1.xml"/><Relationship Id="rId45"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glimp.brussels/" TargetMode="External"/><Relationship Id="rId23" Type="http://schemas.openxmlformats.org/officeDocument/2006/relationships/hyperlink" Target="http://menspeakout.eu/" TargetMode="External"/><Relationship Id="rId28" Type="http://schemas.openxmlformats.org/officeDocument/2006/relationships/hyperlink" Target="http://www.sosviolence.brussels" TargetMode="External"/><Relationship Id="rId36" Type="http://schemas.openxmlformats.org/officeDocument/2006/relationships/hyperlink" Target="https://justice.belgium.be/fr/themes_et_dossiers/documents/telecharger_des_documents/declaration_de_droits/vos_droits_si_vous" TargetMode="External"/><Relationship Id="rId10" Type="http://schemas.openxmlformats.org/officeDocument/2006/relationships/hyperlink" Target="https://www.unia.be/files/Rapport_chiffres_2016_def.pdf" TargetMode="External"/><Relationship Id="rId19" Type="http://schemas.openxmlformats.org/officeDocument/2006/relationships/hyperlink" Target="http://www.genderklik.be" TargetMode="External"/><Relationship Id="rId31" Type="http://schemas.openxmlformats.org/officeDocument/2006/relationships/hyperlink" Target="http://www.comitep.be/2012/2012FR.pdf" TargetMode="External"/><Relationship Id="rId44"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unia.be/files/Z_ARCHIEF/getfile.pdf" TargetMode="External"/><Relationship Id="rId14" Type="http://schemas.openxmlformats.org/officeDocument/2006/relationships/hyperlink" Target="https://reagis-au-racisme.brussels/" TargetMode="External"/><Relationship Id="rId22" Type="http://schemas.openxmlformats.org/officeDocument/2006/relationships/hyperlink" Target="http://www.violencessexuelles.be" TargetMode="External"/><Relationship Id="rId27" Type="http://schemas.openxmlformats.org/officeDocument/2006/relationships/hyperlink" Target="http://www.aimesansviolence.be" TargetMode="External"/><Relationship Id="rId30" Type="http://schemas.openxmlformats.org/officeDocument/2006/relationships/hyperlink" Target="http://equal.brussels/-tude-la-violence-faite-aux-femmes" TargetMode="External"/><Relationship Id="rId35" Type="http://schemas.openxmlformats.org/officeDocument/2006/relationships/hyperlink" Target="http://www.ejustice.just.fgov.be/loi/loi.htm" TargetMode="External"/><Relationship Id="rId43" Type="http://schemas.openxmlformats.org/officeDocument/2006/relationships/customXml" Target="../customXml/item1.xml"/><Relationship Id="rId8" Type="http://schemas.openxmlformats.org/officeDocument/2006/relationships/hyperlink" Target="https://www.besafe.be/fr/base-de-connaissance/plan-daction-radicalisme" TargetMode="External"/><Relationship Id="rId3" Type="http://schemas.openxmlformats.org/officeDocument/2006/relationships/settings" Target="settings.xml"/><Relationship Id="rId12" Type="http://schemas.openxmlformats.org/officeDocument/2006/relationships/hyperlink" Target="http://www.fgtbbruxelles.be/nl/campagne-racism-game-over/" TargetMode="External"/><Relationship Id="rId17" Type="http://schemas.openxmlformats.org/officeDocument/2006/relationships/hyperlink" Target="http://igvm-iefh.belgium.be/fr/publications/conclure_une_assurance_hospitalisation_conseils_pour_les_personnes_transgenres" TargetMode="External"/><Relationship Id="rId25" Type="http://schemas.openxmlformats.org/officeDocument/2006/relationships/hyperlink" Target="http://www.om-mp.be/?q=fr/slidesnews/journee-etude-violences-liees-honneur" TargetMode="External"/><Relationship Id="rId33" Type="http://schemas.openxmlformats.org/officeDocument/2006/relationships/hyperlink" Target="https://kce.fgov.be/sites/default/files/atoms/files/KCE_293Bs_Soins_de_sante_prisons_belge_Synthese.pdf" TargetMode="External"/><Relationship Id="rId38" Type="http://schemas.openxmlformats.org/officeDocument/2006/relationships/hyperlink" Target="http://www.yapaka.be/sites/yapaka.be/files/page/plan_2017_def.pdf" TargetMode="External"/><Relationship Id="rId20" Type="http://schemas.openxmlformats.org/officeDocument/2006/relationships/hyperlink" Target="http://igvm-iefh.belgium.be/fr/publications/plan_daction_national_de_lutte_contre_toutes_les_formes_de_violence_basee_sur_le_genre" TargetMode="External"/><Relationship Id="rId4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7AD785-00C4-41C3-801E-696CE27A731D}"/>
</file>

<file path=customXml/itemProps2.xml><?xml version="1.0" encoding="utf-8"?>
<ds:datastoreItem xmlns:ds="http://schemas.openxmlformats.org/officeDocument/2006/customXml" ds:itemID="{4EC1AC79-792D-4400-AB69-0606C33FCEDC}"/>
</file>

<file path=customXml/itemProps3.xml><?xml version="1.0" encoding="utf-8"?>
<ds:datastoreItem xmlns:ds="http://schemas.openxmlformats.org/officeDocument/2006/customXml" ds:itemID="{B2B5BCA4-B987-401F-A763-1D40611E585E}"/>
</file>

<file path=docProps/app.xml><?xml version="1.0" encoding="utf-8"?>
<Properties xmlns="http://schemas.openxmlformats.org/officeDocument/2006/extended-properties" xmlns:vt="http://schemas.openxmlformats.org/officeDocument/2006/docPropsVTypes">
  <Template>A401147D.dotm</Template>
  <TotalTime>0</TotalTime>
  <Pages>15</Pages>
  <Words>10342</Words>
  <Characters>56676</Characters>
  <Application>Microsoft Office Word</Application>
  <DocSecurity>0</DocSecurity>
  <Lines>845</Lines>
  <Paragraphs>138</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66880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Lefebvre (FOD Justitie - SPF Justice)</dc:creator>
  <cp:keywords/>
  <dc:description/>
  <cp:lastModifiedBy>Justine Lefebvre (FOD Justitie - SPF Justice)</cp:lastModifiedBy>
  <cp:revision>7</cp:revision>
  <dcterms:created xsi:type="dcterms:W3CDTF">2018-08-31T07:49:00Z</dcterms:created>
  <dcterms:modified xsi:type="dcterms:W3CDTF">2018-09-03T08:06:00Z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