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96C02E" w14:textId="77777777" w:rsidR="005B71BC" w:rsidRDefault="005B71BC">
      <w:pPr>
        <w:rPr>
          <w:color w:val="000000"/>
          <w:sz w:val="24"/>
          <w:szCs w:val="24"/>
        </w:rPr>
      </w:pPr>
      <w:bookmarkStart w:id="0" w:name="_GoBack"/>
      <w:bookmarkEnd w:id="0"/>
    </w:p>
    <w:p w14:paraId="2B578C90" w14:textId="77777777" w:rsidR="005B71BC" w:rsidRDefault="003369B5">
      <w:pPr>
        <w:tabs>
          <w:tab w:val="left" w:pos="5790"/>
        </w:tabs>
        <w:rPr>
          <w:sz w:val="24"/>
          <w:szCs w:val="24"/>
        </w:rPr>
      </w:pPr>
      <w:r>
        <w:rPr>
          <w:noProof/>
          <w:lang w:val="en-GB" w:eastAsia="en-GB"/>
        </w:rPr>
        <w:drawing>
          <wp:anchor distT="0" distB="0" distL="0" distR="0" simplePos="0" relativeHeight="17" behindDoc="1" locked="0" layoutInCell="1" allowOverlap="1" wp14:anchorId="59F588B9" wp14:editId="3B8B15F2">
            <wp:simplePos x="0" y="0"/>
            <wp:positionH relativeFrom="column">
              <wp:posOffset>2200275</wp:posOffset>
            </wp:positionH>
            <wp:positionV relativeFrom="paragraph">
              <wp:posOffset>170815</wp:posOffset>
            </wp:positionV>
            <wp:extent cx="1571625" cy="457200"/>
            <wp:effectExtent l="0" t="0" r="0" b="0"/>
            <wp:wrapNone/>
            <wp:docPr id="1" name="Image1" descr="Logo ECO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Logo ECOM 2020"/>
                    <pic:cNvPicPr>
                      <a:picLocks noChangeAspect="1" noChangeArrowheads="1"/>
                    </pic:cNvPicPr>
                  </pic:nvPicPr>
                  <pic:blipFill>
                    <a:blip r:embed="rId8"/>
                    <a:stretch>
                      <a:fillRect/>
                    </a:stretch>
                  </pic:blipFill>
                  <pic:spPr bwMode="auto">
                    <a:xfrm>
                      <a:off x="0" y="0"/>
                      <a:ext cx="1571625" cy="457200"/>
                    </a:xfrm>
                    <a:prstGeom prst="rect">
                      <a:avLst/>
                    </a:prstGeom>
                  </pic:spPr>
                </pic:pic>
              </a:graphicData>
            </a:graphic>
          </wp:anchor>
        </w:drawing>
      </w:r>
      <w:r>
        <w:rPr>
          <w:sz w:val="24"/>
          <w:szCs w:val="24"/>
        </w:rPr>
        <w:tab/>
      </w:r>
    </w:p>
    <w:p w14:paraId="58B840B6" w14:textId="77777777" w:rsidR="005B71BC" w:rsidRDefault="003369B5">
      <w:pPr>
        <w:tabs>
          <w:tab w:val="left" w:pos="7740"/>
        </w:tabs>
        <w:rPr>
          <w:b/>
        </w:rPr>
      </w:pPr>
      <w:r>
        <w:rPr>
          <w:b/>
          <w:sz w:val="24"/>
          <w:szCs w:val="24"/>
        </w:rPr>
        <w:t xml:space="preserve">                                                                                                                 </w:t>
      </w:r>
      <w:r>
        <w:rPr>
          <w:b/>
          <w:sz w:val="24"/>
          <w:szCs w:val="24"/>
        </w:rPr>
        <w:tab/>
      </w:r>
    </w:p>
    <w:p w14:paraId="2F975C23" w14:textId="77777777" w:rsidR="005B71BC" w:rsidRDefault="003369B5">
      <w:pPr>
        <w:tabs>
          <w:tab w:val="left" w:pos="8715"/>
        </w:tabs>
        <w:rPr>
          <w:rFonts w:ascii="Tahoma" w:hAnsi="Tahoma" w:cs="Tahoma"/>
          <w:sz w:val="24"/>
          <w:szCs w:val="24"/>
        </w:rPr>
      </w:pPr>
      <w:r>
        <w:rPr>
          <w:rFonts w:ascii="Tahoma" w:hAnsi="Tahoma" w:cs="Tahoma"/>
          <w:sz w:val="24"/>
          <w:szCs w:val="24"/>
        </w:rPr>
        <w:tab/>
      </w:r>
    </w:p>
    <w:p w14:paraId="5CB67245" w14:textId="77777777" w:rsidR="005B71BC" w:rsidRDefault="005B71BC">
      <w:pPr>
        <w:rPr>
          <w:sz w:val="24"/>
          <w:szCs w:val="24"/>
        </w:rPr>
      </w:pPr>
    </w:p>
    <w:p w14:paraId="5E4AACD0" w14:textId="77777777" w:rsidR="005B71BC" w:rsidRDefault="003369B5">
      <w:pPr>
        <w:jc w:val="center"/>
        <w:rPr>
          <w:sz w:val="24"/>
          <w:szCs w:val="24"/>
        </w:rPr>
      </w:pPr>
      <w:r>
        <w:rPr>
          <w:sz w:val="24"/>
          <w:szCs w:val="24"/>
        </w:rPr>
        <w:t xml:space="preserve">                  </w:t>
      </w:r>
    </w:p>
    <w:p w14:paraId="71D4890B" w14:textId="77777777" w:rsidR="005B71BC" w:rsidRDefault="005B71BC">
      <w:pPr>
        <w:rPr>
          <w:sz w:val="24"/>
          <w:szCs w:val="24"/>
        </w:rPr>
      </w:pPr>
    </w:p>
    <w:p w14:paraId="019A50E7" w14:textId="77777777" w:rsidR="005B71BC" w:rsidRDefault="005B71BC">
      <w:pPr>
        <w:rPr>
          <w:sz w:val="24"/>
          <w:szCs w:val="24"/>
        </w:rPr>
      </w:pPr>
    </w:p>
    <w:p w14:paraId="181E6298" w14:textId="77777777" w:rsidR="005B71BC" w:rsidRDefault="003369B5">
      <w:pPr>
        <w:spacing w:before="120" w:after="120"/>
        <w:jc w:val="center"/>
        <w:rPr>
          <w:rFonts w:ascii="Tahoma" w:hAnsi="Tahoma" w:cs="Tahoma"/>
          <w:b/>
          <w:sz w:val="24"/>
          <w:szCs w:val="24"/>
        </w:rPr>
      </w:pPr>
      <w:r>
        <w:rPr>
          <w:rFonts w:ascii="Tahoma" w:hAnsi="Tahoma" w:cs="Tahoma"/>
          <w:b/>
          <w:sz w:val="32"/>
          <w:szCs w:val="24"/>
        </w:rPr>
        <w:t>Human Rights Violations Based on Sexual Orientation and Gender Identity in Tajikistan</w:t>
      </w:r>
    </w:p>
    <w:p w14:paraId="60B92F4B" w14:textId="77777777" w:rsidR="005B71BC" w:rsidRDefault="005B71BC">
      <w:pPr>
        <w:rPr>
          <w:sz w:val="24"/>
          <w:szCs w:val="24"/>
        </w:rPr>
      </w:pPr>
    </w:p>
    <w:p w14:paraId="3B583FED" w14:textId="77777777" w:rsidR="005B71BC" w:rsidRPr="000139C7" w:rsidRDefault="005B71BC">
      <w:pPr>
        <w:rPr>
          <w:rFonts w:ascii="Tahoma" w:hAnsi="Tahoma" w:cs="Tahoma"/>
        </w:rPr>
      </w:pPr>
    </w:p>
    <w:p w14:paraId="685C52F9" w14:textId="77777777" w:rsidR="000139C7" w:rsidRPr="0038189A" w:rsidRDefault="000139C7" w:rsidP="000139C7">
      <w:pPr>
        <w:spacing w:before="120" w:after="120"/>
        <w:jc w:val="center"/>
        <w:rPr>
          <w:rFonts w:ascii="Tahoma" w:hAnsi="Tahoma" w:cs="Tahoma"/>
        </w:rPr>
      </w:pPr>
      <w:r w:rsidRPr="0038189A">
        <w:rPr>
          <w:rFonts w:ascii="Tahoma" w:eastAsia="Calibri" w:hAnsi="Tahoma" w:cs="Tahoma"/>
          <w:i/>
          <w:iCs/>
          <w:color w:val="000000"/>
          <w:lang w:eastAsia="zh-CN"/>
        </w:rPr>
        <w:t>A</w:t>
      </w:r>
      <w:r w:rsidRPr="0038189A">
        <w:rPr>
          <w:rFonts w:ascii="Tahoma" w:hAnsi="Tahoma" w:cs="Tahoma"/>
          <w:i/>
          <w:iCs/>
        </w:rPr>
        <w:t xml:space="preserve"> commentary on the List of Issues</w:t>
      </w:r>
    </w:p>
    <w:p w14:paraId="239B1DA2" w14:textId="77777777" w:rsidR="000139C7" w:rsidRPr="0038189A" w:rsidRDefault="000139C7" w:rsidP="000139C7">
      <w:pPr>
        <w:spacing w:before="120" w:after="120"/>
        <w:rPr>
          <w:rFonts w:ascii="Tahoma" w:hAnsi="Tahoma" w:cs="Tahoma"/>
        </w:rPr>
      </w:pPr>
    </w:p>
    <w:p w14:paraId="10CC86DA" w14:textId="06B88387" w:rsidR="000139C7" w:rsidRPr="0038189A" w:rsidRDefault="000139C7" w:rsidP="000139C7">
      <w:pPr>
        <w:spacing w:before="120" w:after="120"/>
        <w:jc w:val="center"/>
        <w:rPr>
          <w:rFonts w:ascii="Tahoma" w:hAnsi="Tahoma" w:cs="Tahoma"/>
        </w:rPr>
      </w:pPr>
      <w:r w:rsidRPr="0038189A">
        <w:rPr>
          <w:rFonts w:ascii="Tahoma" w:hAnsi="Tahoma" w:cs="Tahoma"/>
        </w:rPr>
        <w:t>Submitted to 72</w:t>
      </w:r>
      <w:r w:rsidRPr="0038189A">
        <w:rPr>
          <w:rFonts w:ascii="Tahoma" w:hAnsi="Tahoma" w:cs="Tahoma"/>
          <w:vertAlign w:val="superscript"/>
        </w:rPr>
        <w:t>nd</w:t>
      </w:r>
      <w:r w:rsidRPr="0038189A">
        <w:rPr>
          <w:rFonts w:ascii="Tahoma" w:hAnsi="Tahoma" w:cs="Tahoma"/>
        </w:rPr>
        <w:t xml:space="preserve"> Session</w:t>
      </w:r>
    </w:p>
    <w:p w14:paraId="115E249D" w14:textId="77777777" w:rsidR="000139C7" w:rsidRPr="0038189A" w:rsidRDefault="000139C7" w:rsidP="000139C7">
      <w:pPr>
        <w:spacing w:before="120" w:after="120"/>
        <w:jc w:val="center"/>
        <w:rPr>
          <w:rFonts w:ascii="Tahoma" w:hAnsi="Tahoma" w:cs="Tahoma"/>
        </w:rPr>
      </w:pPr>
      <w:r w:rsidRPr="0038189A">
        <w:rPr>
          <w:rFonts w:ascii="Tahoma" w:eastAsia="Calibri" w:hAnsi="Tahoma" w:cs="Tahoma"/>
          <w:color w:val="000000"/>
          <w:lang w:eastAsia="zh-CN"/>
        </w:rPr>
        <w:t>the Committee on Economic, Social, and Cultural Rights</w:t>
      </w:r>
    </w:p>
    <w:p w14:paraId="63AF5AD6" w14:textId="77777777" w:rsidR="000139C7" w:rsidRPr="0038189A" w:rsidRDefault="000139C7" w:rsidP="000139C7">
      <w:pPr>
        <w:spacing w:before="120" w:after="120"/>
        <w:jc w:val="center"/>
        <w:rPr>
          <w:rFonts w:ascii="Tahoma" w:hAnsi="Tahoma" w:cs="Tahoma"/>
        </w:rPr>
      </w:pPr>
    </w:p>
    <w:p w14:paraId="593CA3FD" w14:textId="77777777" w:rsidR="000139C7" w:rsidRPr="0038189A" w:rsidRDefault="000139C7" w:rsidP="000139C7">
      <w:pPr>
        <w:spacing w:before="120" w:after="120"/>
        <w:jc w:val="center"/>
        <w:rPr>
          <w:rFonts w:ascii="Tahoma" w:hAnsi="Tahoma" w:cs="Tahoma"/>
        </w:rPr>
      </w:pPr>
      <w:r w:rsidRPr="0038189A">
        <w:rPr>
          <w:rFonts w:ascii="Tahoma" w:eastAsia="Calibri" w:hAnsi="Tahoma" w:cs="Tahoma"/>
          <w:i/>
          <w:iCs/>
          <w:color w:val="000000"/>
          <w:lang w:eastAsia="zh-CN"/>
        </w:rPr>
        <w:t>Review of the fourth periodic report of Tajikistan</w:t>
      </w:r>
    </w:p>
    <w:p w14:paraId="066BF3C9" w14:textId="77777777" w:rsidR="000139C7" w:rsidRPr="000139C7" w:rsidRDefault="000139C7" w:rsidP="000139C7">
      <w:pPr>
        <w:spacing w:before="120" w:after="120"/>
        <w:jc w:val="center"/>
        <w:rPr>
          <w:rFonts w:ascii="Tahoma" w:hAnsi="Tahoma" w:cs="Tahoma"/>
          <w:b/>
          <w:sz w:val="24"/>
          <w:szCs w:val="24"/>
        </w:rPr>
      </w:pPr>
    </w:p>
    <w:p w14:paraId="5E67B5CA" w14:textId="77777777" w:rsidR="000139C7" w:rsidRPr="000139C7" w:rsidRDefault="000139C7" w:rsidP="000139C7">
      <w:pPr>
        <w:spacing w:before="120" w:after="120"/>
        <w:jc w:val="center"/>
        <w:rPr>
          <w:rFonts w:ascii="Tahoma" w:hAnsi="Tahoma" w:cs="Tahoma"/>
          <w:b/>
          <w:sz w:val="24"/>
          <w:szCs w:val="24"/>
        </w:rPr>
      </w:pPr>
    </w:p>
    <w:p w14:paraId="08AC4D96" w14:textId="77777777" w:rsidR="005B71BC" w:rsidRDefault="005B71BC">
      <w:pPr>
        <w:rPr>
          <w:color w:val="000000"/>
          <w:sz w:val="24"/>
          <w:szCs w:val="24"/>
        </w:rPr>
      </w:pPr>
    </w:p>
    <w:p w14:paraId="55291C2D" w14:textId="77777777" w:rsidR="005B71BC" w:rsidRDefault="005B71BC">
      <w:pPr>
        <w:rPr>
          <w:color w:val="000000"/>
          <w:sz w:val="24"/>
          <w:szCs w:val="24"/>
        </w:rPr>
      </w:pPr>
    </w:p>
    <w:p w14:paraId="252ADC64" w14:textId="77777777" w:rsidR="005B71BC" w:rsidRDefault="005B71BC">
      <w:pPr>
        <w:rPr>
          <w:color w:val="000000"/>
          <w:sz w:val="24"/>
          <w:szCs w:val="24"/>
        </w:rPr>
      </w:pPr>
    </w:p>
    <w:p w14:paraId="7855AD55" w14:textId="77777777" w:rsidR="005B71BC" w:rsidRDefault="005B71BC">
      <w:pPr>
        <w:rPr>
          <w:color w:val="000000"/>
          <w:sz w:val="24"/>
          <w:szCs w:val="24"/>
        </w:rPr>
      </w:pPr>
    </w:p>
    <w:p w14:paraId="09E7A140" w14:textId="77777777" w:rsidR="005B71BC" w:rsidRDefault="005B71BC">
      <w:pPr>
        <w:rPr>
          <w:color w:val="000000"/>
          <w:sz w:val="24"/>
          <w:szCs w:val="24"/>
        </w:rPr>
      </w:pPr>
    </w:p>
    <w:p w14:paraId="1621C209" w14:textId="77777777" w:rsidR="005B71BC" w:rsidRDefault="005B71BC">
      <w:pPr>
        <w:rPr>
          <w:color w:val="000000"/>
          <w:sz w:val="24"/>
          <w:szCs w:val="24"/>
        </w:rPr>
      </w:pPr>
    </w:p>
    <w:p w14:paraId="281D8613" w14:textId="77777777" w:rsidR="005B71BC" w:rsidRDefault="005B71BC">
      <w:pPr>
        <w:rPr>
          <w:color w:val="000000"/>
          <w:sz w:val="24"/>
          <w:szCs w:val="24"/>
        </w:rPr>
      </w:pPr>
    </w:p>
    <w:p w14:paraId="0FAD403A" w14:textId="77777777" w:rsidR="005B71BC" w:rsidRDefault="005B71BC">
      <w:pPr>
        <w:rPr>
          <w:color w:val="000000"/>
          <w:sz w:val="24"/>
          <w:szCs w:val="24"/>
        </w:rPr>
      </w:pPr>
    </w:p>
    <w:p w14:paraId="0485A2D4" w14:textId="77777777" w:rsidR="005B71BC" w:rsidRDefault="005B71BC">
      <w:pPr>
        <w:rPr>
          <w:color w:val="000000"/>
          <w:sz w:val="24"/>
          <w:szCs w:val="24"/>
        </w:rPr>
      </w:pPr>
    </w:p>
    <w:p w14:paraId="15C44382" w14:textId="77777777" w:rsidR="005B71BC" w:rsidRDefault="005B71BC">
      <w:pPr>
        <w:rPr>
          <w:color w:val="000000"/>
          <w:sz w:val="24"/>
          <w:szCs w:val="24"/>
        </w:rPr>
      </w:pPr>
    </w:p>
    <w:p w14:paraId="255E9750" w14:textId="77777777" w:rsidR="005B71BC" w:rsidRDefault="005B71BC">
      <w:pPr>
        <w:rPr>
          <w:color w:val="000000"/>
          <w:sz w:val="24"/>
          <w:szCs w:val="24"/>
        </w:rPr>
      </w:pPr>
    </w:p>
    <w:p w14:paraId="38DF9DAC" w14:textId="77777777" w:rsidR="005B71BC" w:rsidRDefault="005B71BC">
      <w:pPr>
        <w:rPr>
          <w:color w:val="000000"/>
          <w:sz w:val="24"/>
          <w:szCs w:val="24"/>
        </w:rPr>
      </w:pPr>
    </w:p>
    <w:p w14:paraId="75B09F81" w14:textId="77777777" w:rsidR="005B71BC" w:rsidRDefault="005B71BC">
      <w:pPr>
        <w:rPr>
          <w:color w:val="000000"/>
          <w:sz w:val="24"/>
          <w:szCs w:val="24"/>
        </w:rPr>
      </w:pPr>
    </w:p>
    <w:p w14:paraId="13E417C5" w14:textId="77777777" w:rsidR="005B71BC" w:rsidRDefault="005B71BC">
      <w:pPr>
        <w:rPr>
          <w:color w:val="000000"/>
          <w:sz w:val="24"/>
          <w:szCs w:val="24"/>
        </w:rPr>
      </w:pPr>
    </w:p>
    <w:p w14:paraId="30709671" w14:textId="77777777" w:rsidR="005B71BC" w:rsidRDefault="005B71BC">
      <w:pPr>
        <w:rPr>
          <w:color w:val="000000"/>
          <w:sz w:val="24"/>
          <w:szCs w:val="24"/>
        </w:rPr>
      </w:pPr>
    </w:p>
    <w:p w14:paraId="6A483787" w14:textId="77777777" w:rsidR="005B71BC" w:rsidRDefault="005B71BC">
      <w:pPr>
        <w:rPr>
          <w:color w:val="000000"/>
          <w:sz w:val="24"/>
          <w:szCs w:val="24"/>
        </w:rPr>
      </w:pPr>
    </w:p>
    <w:p w14:paraId="6F872502" w14:textId="77777777" w:rsidR="005B71BC" w:rsidRDefault="005B71BC">
      <w:pPr>
        <w:rPr>
          <w:color w:val="000000"/>
          <w:sz w:val="24"/>
          <w:szCs w:val="24"/>
        </w:rPr>
      </w:pPr>
    </w:p>
    <w:p w14:paraId="3B5154D9" w14:textId="77777777" w:rsidR="005B71BC" w:rsidRDefault="005B71BC">
      <w:pPr>
        <w:widowControl w:val="0"/>
        <w:spacing w:line="276" w:lineRule="auto"/>
      </w:pPr>
    </w:p>
    <w:p w14:paraId="3A30E0E0" w14:textId="77777777" w:rsidR="005B71BC" w:rsidRDefault="005B71BC">
      <w:pPr>
        <w:widowControl w:val="0"/>
        <w:spacing w:line="276" w:lineRule="auto"/>
      </w:pPr>
    </w:p>
    <w:p w14:paraId="002FB544" w14:textId="77777777" w:rsidR="005B71BC" w:rsidRDefault="005B71BC">
      <w:pPr>
        <w:widowControl w:val="0"/>
        <w:spacing w:line="276" w:lineRule="auto"/>
      </w:pPr>
    </w:p>
    <w:p w14:paraId="4149948C" w14:textId="6F9A7D20" w:rsidR="005B71BC" w:rsidRDefault="005B71BC">
      <w:pPr>
        <w:widowControl w:val="0"/>
        <w:spacing w:line="276" w:lineRule="auto"/>
      </w:pPr>
    </w:p>
    <w:p w14:paraId="14BF1F7A" w14:textId="03273FB3" w:rsidR="000139C7" w:rsidRDefault="000139C7">
      <w:pPr>
        <w:widowControl w:val="0"/>
        <w:spacing w:line="276" w:lineRule="auto"/>
      </w:pPr>
    </w:p>
    <w:p w14:paraId="13C3683B" w14:textId="4A826DBC" w:rsidR="000139C7" w:rsidRDefault="000139C7">
      <w:pPr>
        <w:widowControl w:val="0"/>
        <w:spacing w:line="276" w:lineRule="auto"/>
      </w:pPr>
    </w:p>
    <w:p w14:paraId="08B8AF06" w14:textId="00DDC8E0" w:rsidR="000139C7" w:rsidRDefault="000139C7">
      <w:pPr>
        <w:widowControl w:val="0"/>
        <w:spacing w:line="276" w:lineRule="auto"/>
      </w:pPr>
    </w:p>
    <w:p w14:paraId="576FF1B8" w14:textId="77777777" w:rsidR="0038189A" w:rsidRDefault="0038189A">
      <w:pPr>
        <w:widowControl w:val="0"/>
        <w:spacing w:line="276" w:lineRule="auto"/>
      </w:pPr>
    </w:p>
    <w:p w14:paraId="3ED48418" w14:textId="77777777" w:rsidR="005B71BC" w:rsidRDefault="005B71BC">
      <w:pPr>
        <w:widowControl w:val="0"/>
        <w:spacing w:line="276" w:lineRule="auto"/>
      </w:pPr>
    </w:p>
    <w:p w14:paraId="79DC6EA6" w14:textId="0C2CE804" w:rsidR="005B71BC" w:rsidRDefault="003369B5">
      <w:pPr>
        <w:widowControl w:val="0"/>
        <w:spacing w:line="276" w:lineRule="auto"/>
        <w:jc w:val="center"/>
        <w:rPr>
          <w:rFonts w:ascii="Tahoma" w:hAnsi="Tahoma" w:cs="Tahoma"/>
        </w:rPr>
      </w:pPr>
      <w:r>
        <w:rPr>
          <w:rFonts w:ascii="Tahoma" w:hAnsi="Tahoma" w:cs="Tahoma"/>
        </w:rPr>
        <w:t>August 202</w:t>
      </w:r>
      <w:r w:rsidR="000139C7">
        <w:rPr>
          <w:rFonts w:ascii="Tahoma" w:hAnsi="Tahoma" w:cs="Tahoma"/>
        </w:rPr>
        <w:t>2</w:t>
      </w:r>
    </w:p>
    <w:p w14:paraId="31CDAAF5" w14:textId="77777777" w:rsidR="0038189A" w:rsidRDefault="0038189A">
      <w:pPr>
        <w:widowControl w:val="0"/>
        <w:spacing w:line="276" w:lineRule="auto"/>
        <w:jc w:val="center"/>
        <w:rPr>
          <w:rFonts w:ascii="Tahoma" w:hAnsi="Tahoma" w:cs="Tahoma"/>
        </w:rPr>
      </w:pPr>
    </w:p>
    <w:p w14:paraId="188DBFA8" w14:textId="77777777" w:rsidR="005B71BC" w:rsidRDefault="005B71BC">
      <w:pPr>
        <w:ind w:right="15"/>
        <w:rPr>
          <w:rFonts w:ascii="Tahoma" w:hAnsi="Tahoma" w:cs="Tahoma"/>
          <w:b/>
          <w:sz w:val="20"/>
        </w:rPr>
      </w:pPr>
    </w:p>
    <w:p w14:paraId="10FE527F" w14:textId="77777777" w:rsidR="005B71BC" w:rsidRDefault="003369B5">
      <w:pPr>
        <w:ind w:right="15"/>
        <w:rPr>
          <w:rFonts w:ascii="Tahoma" w:hAnsi="Tahoma" w:cs="Tahoma"/>
          <w:sz w:val="20"/>
          <w:szCs w:val="20"/>
        </w:rPr>
      </w:pPr>
      <w:r>
        <w:rPr>
          <w:rFonts w:ascii="Tahoma" w:hAnsi="Tahoma" w:cs="Tahoma"/>
          <w:b/>
          <w:sz w:val="20"/>
        </w:rPr>
        <w:t>Human Rights Violations Based on Sexual Orientation and Gender Identity in Tajikistan</w:t>
      </w:r>
      <w:r>
        <w:rPr>
          <w:rFonts w:ascii="Tahoma" w:hAnsi="Tahoma" w:cs="Tahoma"/>
          <w:b/>
          <w:sz w:val="20"/>
          <w:szCs w:val="20"/>
        </w:rPr>
        <w:t>.</w:t>
      </w:r>
      <w:r>
        <w:rPr>
          <w:rFonts w:ascii="Tahoma" w:hAnsi="Tahoma" w:cs="Tahoma"/>
          <w:sz w:val="20"/>
          <w:szCs w:val="20"/>
        </w:rPr>
        <w:t xml:space="preserve">  </w:t>
      </w:r>
    </w:p>
    <w:p w14:paraId="744F4213" w14:textId="60F073EA" w:rsidR="005B71BC" w:rsidRDefault="003369B5">
      <w:pPr>
        <w:rPr>
          <w:rFonts w:ascii="Tahoma" w:hAnsi="Tahoma" w:cs="Tahoma"/>
          <w:sz w:val="20"/>
          <w:szCs w:val="20"/>
        </w:rPr>
      </w:pPr>
      <w:r>
        <w:rPr>
          <w:rFonts w:ascii="Tahoma" w:hAnsi="Tahoma" w:cs="Tahoma"/>
          <w:sz w:val="20"/>
          <w:szCs w:val="20"/>
        </w:rPr>
        <w:t xml:space="preserve">An “alternative report” as a commentary on Report </w:t>
      </w:r>
      <w:r w:rsidR="0038189A" w:rsidRPr="0038189A">
        <w:rPr>
          <w:rFonts w:ascii="Tahoma" w:hAnsi="Tahoma" w:cs="Tahoma"/>
          <w:sz w:val="20"/>
          <w:szCs w:val="20"/>
          <w:lang w:eastAsia="en-GB"/>
        </w:rPr>
        <w:t>E/C.12/TJK/RQ/4</w:t>
      </w:r>
      <w:r w:rsidR="0038189A">
        <w:rPr>
          <w:rFonts w:ascii="Tahoma" w:hAnsi="Tahoma" w:cs="Tahoma"/>
          <w:sz w:val="20"/>
          <w:szCs w:val="20"/>
        </w:rPr>
        <w:t>. 72nd</w:t>
      </w:r>
      <w:r>
        <w:rPr>
          <w:rFonts w:ascii="Tahoma" w:hAnsi="Tahoma" w:cs="Tahoma"/>
          <w:sz w:val="20"/>
          <w:szCs w:val="20"/>
        </w:rPr>
        <w:t xml:space="preserve"> </w:t>
      </w:r>
      <w:r w:rsidR="0038189A">
        <w:rPr>
          <w:rFonts w:ascii="Tahoma" w:hAnsi="Tahoma" w:cs="Tahoma"/>
          <w:sz w:val="20"/>
          <w:szCs w:val="20"/>
        </w:rPr>
        <w:t>Session</w:t>
      </w:r>
      <w:r>
        <w:rPr>
          <w:rFonts w:ascii="Tahoma" w:hAnsi="Tahoma" w:cs="Tahoma"/>
          <w:sz w:val="20"/>
          <w:szCs w:val="20"/>
        </w:rPr>
        <w:t xml:space="preserve"> of the Committee on Economic, Social, and Cultural Rights. Review of the fourth periodic report of Tajikistan</w:t>
      </w:r>
    </w:p>
    <w:p w14:paraId="1FA6C5B2" w14:textId="77777777" w:rsidR="005B71BC" w:rsidRDefault="005B71BC">
      <w:pPr>
        <w:ind w:right="15"/>
        <w:rPr>
          <w:rFonts w:ascii="Tahoma" w:hAnsi="Tahoma" w:cs="Tahoma"/>
          <w:sz w:val="20"/>
          <w:szCs w:val="24"/>
        </w:rPr>
      </w:pPr>
    </w:p>
    <w:p w14:paraId="5BFAFBA1" w14:textId="77777777" w:rsidR="005B71BC" w:rsidRDefault="005B71BC">
      <w:pPr>
        <w:rPr>
          <w:rFonts w:ascii="Tahoma" w:hAnsi="Tahoma" w:cs="Tahoma"/>
          <w:sz w:val="20"/>
          <w:szCs w:val="24"/>
        </w:rPr>
      </w:pPr>
    </w:p>
    <w:tbl>
      <w:tblPr>
        <w:tblStyle w:val="TableGrid"/>
        <w:tblW w:w="5000" w:type="pct"/>
        <w:tblLook w:val="04A0" w:firstRow="1" w:lastRow="0" w:firstColumn="1" w:lastColumn="0" w:noHBand="0" w:noVBand="1"/>
      </w:tblPr>
      <w:tblGrid>
        <w:gridCol w:w="4608"/>
        <w:gridCol w:w="425"/>
        <w:gridCol w:w="4607"/>
      </w:tblGrid>
      <w:tr w:rsidR="005B71BC" w14:paraId="43B6FD85" w14:textId="77777777">
        <w:tc>
          <w:tcPr>
            <w:tcW w:w="4607" w:type="dxa"/>
            <w:tcBorders>
              <w:top w:val="nil"/>
              <w:left w:val="nil"/>
              <w:bottom w:val="nil"/>
              <w:right w:val="nil"/>
            </w:tcBorders>
            <w:shd w:val="clear" w:color="auto" w:fill="auto"/>
          </w:tcPr>
          <w:p w14:paraId="469431A5" w14:textId="77777777" w:rsidR="005B71BC" w:rsidRDefault="003369B5">
            <w:pPr>
              <w:jc w:val="both"/>
              <w:rPr>
                <w:rFonts w:ascii="Tahoma" w:hAnsi="Tahoma" w:cs="Tahoma"/>
                <w:sz w:val="20"/>
              </w:rPr>
            </w:pPr>
            <w:r>
              <w:rPr>
                <w:rFonts w:ascii="Tahoma" w:hAnsi="Tahoma" w:cs="Tahoma"/>
                <w:b/>
                <w:sz w:val="20"/>
              </w:rPr>
              <w:t>ECOM</w:t>
            </w:r>
            <w:r>
              <w:rPr>
                <w:rFonts w:ascii="Tahoma" w:hAnsi="Tahoma" w:cs="Tahoma"/>
                <w:sz w:val="20"/>
              </w:rPr>
              <w:t xml:space="preserve"> - Eurasian Coalition on Health, Rights, Gender and Sexual Diversity</w:t>
            </w:r>
          </w:p>
          <w:p w14:paraId="3E415ED5" w14:textId="77777777" w:rsidR="005B71BC" w:rsidRDefault="00D737E7">
            <w:pPr>
              <w:jc w:val="both"/>
            </w:pPr>
            <w:hyperlink r:id="rId9">
              <w:r w:rsidR="003369B5">
                <w:rPr>
                  <w:rStyle w:val="Hyperlink"/>
                  <w:rFonts w:ascii="Tahoma" w:hAnsi="Tahoma" w:cs="Tahoma"/>
                  <w:sz w:val="20"/>
                </w:rPr>
                <w:t>www.ecom.ngo</w:t>
              </w:r>
            </w:hyperlink>
          </w:p>
          <w:p w14:paraId="6CDFEDB0" w14:textId="77777777" w:rsidR="005B71BC" w:rsidRDefault="003369B5">
            <w:pPr>
              <w:jc w:val="both"/>
              <w:rPr>
                <w:rFonts w:ascii="Tahoma" w:hAnsi="Tahoma" w:cs="Tahoma"/>
                <w:sz w:val="20"/>
              </w:rPr>
            </w:pPr>
            <w:r>
              <w:rPr>
                <w:rFonts w:ascii="Tahoma" w:hAnsi="Tahoma" w:cs="Tahoma"/>
                <w:sz w:val="20"/>
              </w:rPr>
              <w:t>Pärnu mnt 142, Room 13502, </w:t>
            </w:r>
          </w:p>
          <w:p w14:paraId="65AE70BF" w14:textId="77777777" w:rsidR="005B71BC" w:rsidRDefault="003369B5">
            <w:pPr>
              <w:jc w:val="both"/>
              <w:rPr>
                <w:rFonts w:ascii="Tahoma" w:hAnsi="Tahoma" w:cs="Tahoma"/>
                <w:sz w:val="20"/>
              </w:rPr>
            </w:pPr>
            <w:r>
              <w:rPr>
                <w:rFonts w:ascii="Tahoma" w:hAnsi="Tahoma" w:cs="Tahoma"/>
                <w:sz w:val="20"/>
              </w:rPr>
              <w:t>Tallinn, Estonia, 11317</w:t>
            </w:r>
          </w:p>
          <w:p w14:paraId="70283A4F" w14:textId="77777777" w:rsidR="005B71BC" w:rsidRDefault="003369B5">
            <w:pPr>
              <w:jc w:val="both"/>
              <w:rPr>
                <w:rFonts w:ascii="Tahoma" w:hAnsi="Tahoma" w:cs="Tahoma"/>
                <w:sz w:val="20"/>
                <w:szCs w:val="24"/>
              </w:rPr>
            </w:pPr>
            <w:r>
              <w:rPr>
                <w:rFonts w:ascii="Tahoma" w:hAnsi="Tahoma" w:cs="Tahoma"/>
                <w:sz w:val="20"/>
                <w:szCs w:val="24"/>
              </w:rPr>
              <w:t xml:space="preserve">Contact: Yuri Yoursky </w:t>
            </w:r>
          </w:p>
          <w:p w14:paraId="5251CA41" w14:textId="77777777" w:rsidR="005B71BC" w:rsidRDefault="003369B5">
            <w:pPr>
              <w:jc w:val="both"/>
            </w:pPr>
            <w:r>
              <w:rPr>
                <w:rFonts w:ascii="Tahoma" w:hAnsi="Tahoma" w:cs="Tahoma"/>
                <w:sz w:val="20"/>
                <w:szCs w:val="24"/>
              </w:rPr>
              <w:t>(</w:t>
            </w:r>
            <w:hyperlink r:id="rId10">
              <w:r>
                <w:rPr>
                  <w:rStyle w:val="Hyperlink"/>
                  <w:rFonts w:ascii="Tahoma" w:hAnsi="Tahoma" w:cs="Tahoma"/>
                  <w:sz w:val="20"/>
                  <w:szCs w:val="24"/>
                </w:rPr>
                <w:t>yuri@ecom.ngo</w:t>
              </w:r>
            </w:hyperlink>
            <w:r>
              <w:rPr>
                <w:rFonts w:ascii="Tahoma" w:hAnsi="Tahoma" w:cs="Tahoma"/>
                <w:sz w:val="20"/>
                <w:szCs w:val="24"/>
              </w:rPr>
              <w:t>)</w:t>
            </w:r>
          </w:p>
          <w:p w14:paraId="26C90CA3" w14:textId="77777777" w:rsidR="005B71BC" w:rsidRDefault="003369B5">
            <w:pPr>
              <w:jc w:val="both"/>
              <w:rPr>
                <w:rFonts w:ascii="Tahoma" w:hAnsi="Tahoma" w:cs="Tahoma"/>
                <w:b/>
                <w:sz w:val="20"/>
                <w:szCs w:val="24"/>
              </w:rPr>
            </w:pPr>
            <w:r>
              <w:rPr>
                <w:rFonts w:ascii="Tahoma" w:hAnsi="Tahoma" w:cs="Tahoma"/>
                <w:b/>
                <w:sz w:val="20"/>
                <w:szCs w:val="24"/>
              </w:rPr>
              <w:t xml:space="preserve"> </w:t>
            </w:r>
          </w:p>
          <w:p w14:paraId="09F687B5" w14:textId="77777777" w:rsidR="005B71BC" w:rsidRDefault="005B71BC">
            <w:pPr>
              <w:jc w:val="both"/>
              <w:rPr>
                <w:rFonts w:ascii="Tahoma" w:hAnsi="Tahoma" w:cs="Tahoma"/>
                <w:b/>
                <w:sz w:val="20"/>
                <w:szCs w:val="24"/>
              </w:rPr>
            </w:pPr>
          </w:p>
          <w:p w14:paraId="51C0F0F6" w14:textId="77777777" w:rsidR="005B71BC" w:rsidRDefault="005B71BC">
            <w:pPr>
              <w:jc w:val="both"/>
              <w:rPr>
                <w:rFonts w:ascii="Tahoma" w:hAnsi="Tahoma" w:cs="Tahoma"/>
                <w:sz w:val="20"/>
                <w:szCs w:val="24"/>
              </w:rPr>
            </w:pPr>
          </w:p>
        </w:tc>
        <w:tc>
          <w:tcPr>
            <w:tcW w:w="5032" w:type="dxa"/>
            <w:gridSpan w:val="2"/>
            <w:tcBorders>
              <w:top w:val="nil"/>
              <w:left w:val="nil"/>
              <w:bottom w:val="nil"/>
              <w:right w:val="nil"/>
            </w:tcBorders>
            <w:shd w:val="clear" w:color="auto" w:fill="auto"/>
          </w:tcPr>
          <w:p w14:paraId="101D00DE" w14:textId="77777777" w:rsidR="005B71BC" w:rsidRDefault="005B71BC" w:rsidP="0038189A">
            <w:pPr>
              <w:ind w:left="393"/>
              <w:jc w:val="both"/>
              <w:rPr>
                <w:rFonts w:ascii="Tahoma" w:hAnsi="Tahoma" w:cs="Tahoma"/>
                <w:b/>
                <w:sz w:val="20"/>
                <w:szCs w:val="24"/>
                <w:highlight w:val="yellow"/>
              </w:rPr>
            </w:pPr>
          </w:p>
        </w:tc>
      </w:tr>
      <w:tr w:rsidR="005B71BC" w14:paraId="0A6FA2D4" w14:textId="77777777">
        <w:tc>
          <w:tcPr>
            <w:tcW w:w="5032" w:type="dxa"/>
            <w:gridSpan w:val="2"/>
            <w:tcBorders>
              <w:top w:val="nil"/>
              <w:left w:val="nil"/>
              <w:bottom w:val="nil"/>
              <w:right w:val="nil"/>
            </w:tcBorders>
            <w:shd w:val="clear" w:color="auto" w:fill="auto"/>
          </w:tcPr>
          <w:p w14:paraId="5E28ABFC" w14:textId="77777777" w:rsidR="005B71BC" w:rsidRDefault="005B71BC">
            <w:pPr>
              <w:ind w:left="393"/>
              <w:jc w:val="both"/>
              <w:rPr>
                <w:rFonts w:ascii="Tahoma" w:hAnsi="Tahoma" w:cs="Tahoma"/>
                <w:sz w:val="20"/>
                <w:szCs w:val="20"/>
                <w:highlight w:val="yellow"/>
              </w:rPr>
            </w:pPr>
          </w:p>
        </w:tc>
        <w:tc>
          <w:tcPr>
            <w:tcW w:w="4607" w:type="dxa"/>
            <w:tcBorders>
              <w:top w:val="nil"/>
              <w:left w:val="nil"/>
              <w:bottom w:val="nil"/>
              <w:right w:val="nil"/>
            </w:tcBorders>
          </w:tcPr>
          <w:p w14:paraId="595AC620" w14:textId="77777777" w:rsidR="005B71BC" w:rsidRDefault="005B71BC"/>
        </w:tc>
      </w:tr>
    </w:tbl>
    <w:p w14:paraId="77C65363" w14:textId="77777777" w:rsidR="005B71BC" w:rsidRDefault="005B71BC">
      <w:pPr>
        <w:rPr>
          <w:rFonts w:ascii="Tahoma" w:hAnsi="Tahoma" w:cs="Tahoma"/>
          <w:sz w:val="20"/>
          <w:szCs w:val="24"/>
        </w:rPr>
      </w:pPr>
    </w:p>
    <w:p w14:paraId="0E79FBE6" w14:textId="77777777" w:rsidR="005B71BC" w:rsidRDefault="005B71BC">
      <w:pPr>
        <w:rPr>
          <w:rFonts w:ascii="Tahoma" w:hAnsi="Tahoma" w:cs="Tahoma"/>
          <w:b/>
          <w:szCs w:val="24"/>
        </w:rPr>
      </w:pPr>
    </w:p>
    <w:p w14:paraId="78C14EA3" w14:textId="77777777" w:rsidR="005B71BC" w:rsidRDefault="005B71BC">
      <w:pPr>
        <w:rPr>
          <w:rFonts w:ascii="Tahoma" w:hAnsi="Tahoma" w:cs="Tahoma"/>
        </w:rPr>
      </w:pPr>
    </w:p>
    <w:p w14:paraId="2AF2CA3D" w14:textId="77777777" w:rsidR="005B71BC" w:rsidRDefault="005B71BC">
      <w:pPr>
        <w:widowControl w:val="0"/>
        <w:spacing w:line="276" w:lineRule="auto"/>
        <w:jc w:val="center"/>
        <w:rPr>
          <w:rFonts w:ascii="Tahoma" w:hAnsi="Tahoma" w:cs="Tahoma"/>
        </w:rPr>
      </w:pPr>
    </w:p>
    <w:p w14:paraId="5F985EAD" w14:textId="039BD451" w:rsidR="005B71BC" w:rsidRDefault="003369B5" w:rsidP="0038189A">
      <w:pPr>
        <w:rPr>
          <w:rFonts w:ascii="Tahoma" w:hAnsi="Tahoma" w:cs="Tahoma"/>
        </w:rPr>
      </w:pPr>
      <w:r>
        <w:br w:type="page"/>
      </w:r>
    </w:p>
    <w:p w14:paraId="7374FAEC" w14:textId="77777777" w:rsidR="005B71BC" w:rsidRDefault="005B71BC">
      <w:pPr>
        <w:sectPr w:rsidR="005B71BC">
          <w:headerReference w:type="default" r:id="rId11"/>
          <w:headerReference w:type="first" r:id="rId12"/>
          <w:pgSz w:w="11906" w:h="16838"/>
          <w:pgMar w:top="1135" w:right="1126" w:bottom="567" w:left="1140" w:header="0" w:footer="0" w:gutter="0"/>
          <w:pgNumType w:start="1"/>
          <w:cols w:space="720"/>
          <w:formProt w:val="0"/>
          <w:titlePg/>
          <w:docGrid w:linePitch="100" w:charSpace="12288"/>
        </w:sectPr>
      </w:pPr>
    </w:p>
    <w:p w14:paraId="69CB1509" w14:textId="77777777" w:rsidR="005B71BC" w:rsidRDefault="005B71BC"/>
    <w:p w14:paraId="2EF2EA4A" w14:textId="77777777" w:rsidR="005B71BC" w:rsidRDefault="005B71BC">
      <w:pPr>
        <w:sectPr w:rsidR="005B71BC">
          <w:type w:val="continuous"/>
          <w:pgSz w:w="11906" w:h="16838"/>
          <w:pgMar w:top="1135" w:right="1126" w:bottom="567" w:left="1140" w:header="0" w:footer="0" w:gutter="0"/>
          <w:cols w:space="720"/>
          <w:formProt w:val="0"/>
          <w:docGrid w:linePitch="100" w:charSpace="12288"/>
        </w:sectPr>
      </w:pPr>
    </w:p>
    <w:p w14:paraId="3812E190" w14:textId="77777777" w:rsidR="005B71BC" w:rsidRDefault="003369B5">
      <w:r>
        <w:rPr>
          <w:rFonts w:ascii="Tahoma" w:hAnsi="Tahoma" w:cs="Tahoma"/>
          <w:b/>
          <w:szCs w:val="20"/>
        </w:rPr>
        <w:t>Introduction</w:t>
      </w:r>
    </w:p>
    <w:p w14:paraId="4764327F" w14:textId="77777777" w:rsidR="005B71BC" w:rsidRDefault="005B71BC">
      <w:pPr>
        <w:rPr>
          <w:rFonts w:ascii="Tahoma" w:hAnsi="Tahoma" w:cs="Tahoma"/>
          <w:sz w:val="20"/>
          <w:szCs w:val="20"/>
        </w:rPr>
      </w:pPr>
    </w:p>
    <w:p w14:paraId="403508FD"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sz w:val="20"/>
          <w:szCs w:val="20"/>
        </w:rPr>
        <w:t>1. The report is prepared by ECOM – Eurasian Coalition on Health, Rights, Gender and Sexual Diversity. It critically assesses the fulfillment of recommendations issued by the Committee within the framework of the fourth monitoring cycle. Information and assessments in the report are based on research, field work, strategic cases litigated by the organization.</w:t>
      </w:r>
    </w:p>
    <w:p w14:paraId="4DA6A5D4"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sz w:val="20"/>
          <w:szCs w:val="20"/>
        </w:rPr>
        <w:t xml:space="preserve">2. ECOM is a regional NGO that is adept in working with gay men, other MSM, and trans people specifically in the area of ensuring their right to health, which makes it competent in revealing drawbacks in state healthcare services and offering professional recommendations to amend them, which public servants may lack due to not having the necessary training. </w:t>
      </w:r>
      <w:r w:rsidRPr="000139C7">
        <w:rPr>
          <w:rFonts w:ascii="Tahoma" w:eastAsia="Calibri" w:hAnsi="Tahoma" w:cs="Tahoma"/>
          <w:sz w:val="20"/>
          <w:szCs w:val="20"/>
          <w:lang w:eastAsia="zh-CN"/>
        </w:rPr>
        <w:t>W</w:t>
      </w:r>
      <w:r w:rsidRPr="000139C7">
        <w:rPr>
          <w:rFonts w:ascii="Tahoma" w:hAnsi="Tahoma" w:cs="Tahoma"/>
          <w:sz w:val="20"/>
          <w:szCs w:val="20"/>
        </w:rPr>
        <w:t>e forward the following commentary in the hope to participate in tackling the ongoing stigmatization and discrimination of the LGBT+.</w:t>
      </w:r>
    </w:p>
    <w:p w14:paraId="0D34A0A4" w14:textId="77777777" w:rsidR="000139C7" w:rsidRPr="000139C7" w:rsidRDefault="000139C7" w:rsidP="000139C7">
      <w:pPr>
        <w:spacing w:before="120" w:after="120"/>
        <w:ind w:firstLine="567"/>
        <w:jc w:val="both"/>
        <w:rPr>
          <w:rFonts w:ascii="Tahoma" w:hAnsi="Tahoma" w:cs="Tahoma"/>
          <w:sz w:val="20"/>
          <w:szCs w:val="20"/>
        </w:rPr>
      </w:pPr>
    </w:p>
    <w:p w14:paraId="37037943"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
          <w:sz w:val="20"/>
          <w:szCs w:val="20"/>
          <w:u w:val="single"/>
        </w:rPr>
        <w:t>Background information</w:t>
      </w:r>
    </w:p>
    <w:p w14:paraId="1B4FD656"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sz w:val="20"/>
          <w:szCs w:val="20"/>
        </w:rPr>
        <w:t>3. Tajikistan acceded to the International Covenant on Economic, Social, and Cultural Rights in 1999 and has a “State Party” status within the framework of the Covenant. Tajikistan submitted its fourth periodic report on 30 March 2020, which included its response to the Concluding Observations (CO) issued by the Committee after the State Party’s previous reports in 2015.</w:t>
      </w:r>
    </w:p>
    <w:p w14:paraId="60DE504C"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sz w:val="20"/>
          <w:szCs w:val="20"/>
        </w:rPr>
        <w:t>4. In its C</w:t>
      </w:r>
      <w:r w:rsidRPr="000139C7">
        <w:rPr>
          <w:rFonts w:ascii="Tahoma" w:eastAsia="Calibri" w:hAnsi="Tahoma" w:cs="Tahoma"/>
          <w:sz w:val="20"/>
          <w:szCs w:val="20"/>
          <w:lang w:eastAsia="zh-CN"/>
        </w:rPr>
        <w:t>O</w:t>
      </w:r>
      <w:r w:rsidRPr="000139C7">
        <w:rPr>
          <w:rFonts w:ascii="Tahoma" w:hAnsi="Tahoma" w:cs="Tahoma"/>
          <w:sz w:val="20"/>
          <w:szCs w:val="20"/>
        </w:rPr>
        <w:t xml:space="preserve"> (</w:t>
      </w:r>
      <w:hyperlink r:id="rId13" w:history="1">
        <w:r w:rsidRPr="000139C7">
          <w:rPr>
            <w:rStyle w:val="Hyperlink"/>
            <w:rFonts w:ascii="Tahoma" w:hAnsi="Tahoma" w:cs="Tahoma"/>
            <w:sz w:val="20"/>
            <w:szCs w:val="20"/>
          </w:rPr>
          <w:t>E/C.12/TJK/CO/2-3</w:t>
        </w:r>
      </w:hyperlink>
      <w:r w:rsidRPr="000139C7">
        <w:rPr>
          <w:rFonts w:ascii="Tahoma" w:hAnsi="Tahoma" w:cs="Tahoma"/>
          <w:sz w:val="20"/>
          <w:szCs w:val="20"/>
        </w:rPr>
        <w:t>, 25 March 2015), the Committee expressed its concern with Tajikistan’s laws and activities that hinder the freedom of civil society (para. 10). The Committee had to bring Tajikistan’s attention to the absence of an effective non-discrimination framework. It urge</w:t>
      </w:r>
      <w:r w:rsidRPr="000139C7">
        <w:rPr>
          <w:rFonts w:ascii="Tahoma" w:eastAsia="Calibri" w:hAnsi="Tahoma" w:cs="Tahoma"/>
          <w:sz w:val="20"/>
          <w:szCs w:val="20"/>
          <w:lang w:eastAsia="zh-CN"/>
        </w:rPr>
        <w:t>d</w:t>
      </w:r>
      <w:r w:rsidRPr="000139C7">
        <w:rPr>
          <w:rFonts w:ascii="Tahoma" w:hAnsi="Tahoma" w:cs="Tahoma"/>
          <w:sz w:val="20"/>
          <w:szCs w:val="20"/>
        </w:rPr>
        <w:t xml:space="preserve"> the State party to expedite the adoption of a comprehensive anti-discrimination law that provides a definition of direct and indirect discrimination and includes all the grounds for discrimination set out in article 2, paragraph 2, of the Covenant. The Committee also recommend</w:t>
      </w:r>
      <w:r w:rsidRPr="000139C7">
        <w:rPr>
          <w:rFonts w:ascii="Tahoma" w:eastAsia="Calibri" w:hAnsi="Tahoma" w:cs="Tahoma"/>
          <w:sz w:val="20"/>
          <w:szCs w:val="20"/>
          <w:lang w:eastAsia="zh-CN"/>
        </w:rPr>
        <w:t>ed</w:t>
      </w:r>
      <w:r w:rsidRPr="000139C7">
        <w:rPr>
          <w:rFonts w:ascii="Tahoma" w:hAnsi="Tahoma" w:cs="Tahoma"/>
          <w:sz w:val="20"/>
          <w:szCs w:val="20"/>
        </w:rPr>
        <w:t xml:space="preserve"> to step up efforts to combat HIV/AIDS, including through more targeted programmes, and the strengthening of sexual and reproductive health education (para. 32).</w:t>
      </w:r>
    </w:p>
    <w:p w14:paraId="4BBB5025"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sz w:val="20"/>
          <w:szCs w:val="20"/>
        </w:rPr>
        <w:t>5. Unfortunately, as visible from Report (</w:t>
      </w:r>
      <w:hyperlink r:id="rId14" w:history="1">
        <w:r w:rsidRPr="000139C7">
          <w:rPr>
            <w:rStyle w:val="Hyperlink"/>
            <w:rFonts w:ascii="Tahoma" w:hAnsi="Tahoma" w:cs="Tahoma"/>
            <w:sz w:val="20"/>
            <w:szCs w:val="20"/>
          </w:rPr>
          <w:t>E/C.12/TJK/4</w:t>
        </w:r>
      </w:hyperlink>
      <w:r w:rsidRPr="000139C7">
        <w:rPr>
          <w:rFonts w:ascii="Tahoma" w:hAnsi="Tahoma" w:cs="Tahoma"/>
          <w:sz w:val="20"/>
          <w:szCs w:val="20"/>
        </w:rPr>
        <w:t xml:space="preserve">, distributed 18 May 2020, paras. 43-44), Tajikistan did not fully heed the above recommendations. </w:t>
      </w:r>
      <w:r w:rsidRPr="000139C7">
        <w:rPr>
          <w:rFonts w:ascii="Tahoma" w:eastAsia="Calibri" w:hAnsi="Tahoma" w:cs="Tahoma"/>
          <w:sz w:val="20"/>
          <w:szCs w:val="20"/>
          <w:lang w:eastAsia="zh-CN"/>
        </w:rPr>
        <w:t>T</w:t>
      </w:r>
      <w:r w:rsidRPr="000139C7">
        <w:rPr>
          <w:rFonts w:ascii="Tahoma" w:hAnsi="Tahoma" w:cs="Tahoma"/>
          <w:sz w:val="20"/>
          <w:szCs w:val="20"/>
        </w:rPr>
        <w:t xml:space="preserve">he authorities referred to the provisions of the </w:t>
      </w:r>
      <w:r w:rsidRPr="000139C7">
        <w:rPr>
          <w:rFonts w:ascii="Tahoma" w:eastAsia="Calibri" w:hAnsi="Tahoma" w:cs="Tahoma"/>
          <w:sz w:val="20"/>
          <w:szCs w:val="20"/>
          <w:lang w:eastAsia="zh-CN"/>
        </w:rPr>
        <w:t>C</w:t>
      </w:r>
      <w:r w:rsidRPr="000139C7">
        <w:rPr>
          <w:rFonts w:ascii="Tahoma" w:hAnsi="Tahoma" w:cs="Tahoma"/>
          <w:sz w:val="20"/>
          <w:szCs w:val="20"/>
        </w:rPr>
        <w:t>onstitution and</w:t>
      </w:r>
      <w:r w:rsidRPr="000139C7">
        <w:rPr>
          <w:rFonts w:ascii="Tahoma" w:eastAsia="Calibri" w:hAnsi="Tahoma" w:cs="Tahoma"/>
          <w:color w:val="000000"/>
          <w:sz w:val="20"/>
          <w:szCs w:val="20"/>
          <w:lang w:eastAsia="zh-CN"/>
        </w:rPr>
        <w:t xml:space="preserve"> relied on the article 143 of the Criminal Code that prohibits the </w:t>
      </w:r>
      <w:r w:rsidRPr="000139C7">
        <w:rPr>
          <w:rFonts w:ascii="Tahoma" w:hAnsi="Tahoma" w:cs="Tahoma"/>
          <w:sz w:val="20"/>
          <w:szCs w:val="20"/>
        </w:rPr>
        <w:t xml:space="preserve">violation of citizens’ equal rights. </w:t>
      </w:r>
      <w:r w:rsidRPr="000139C7">
        <w:rPr>
          <w:rFonts w:ascii="Tahoma" w:eastAsia="Calibri" w:hAnsi="Tahoma" w:cs="Tahoma"/>
          <w:color w:val="000000"/>
          <w:sz w:val="20"/>
          <w:szCs w:val="20"/>
          <w:lang w:eastAsia="zh-CN"/>
        </w:rPr>
        <w:t>According to the Government,</w:t>
      </w:r>
      <w:r w:rsidRPr="000139C7">
        <w:rPr>
          <w:rFonts w:ascii="Tahoma" w:hAnsi="Tahoma" w:cs="Tahoma"/>
          <w:sz w:val="20"/>
          <w:szCs w:val="20"/>
        </w:rPr>
        <w:t xml:space="preserve"> the country ha</w:t>
      </w:r>
      <w:r w:rsidRPr="000139C7">
        <w:rPr>
          <w:rFonts w:ascii="Tahoma" w:eastAsia="Calibri" w:hAnsi="Tahoma" w:cs="Tahoma"/>
          <w:color w:val="000000"/>
          <w:sz w:val="20"/>
          <w:szCs w:val="20"/>
          <w:lang w:eastAsia="zh-CN"/>
        </w:rPr>
        <w:t>d</w:t>
      </w:r>
      <w:r w:rsidRPr="000139C7">
        <w:rPr>
          <w:rFonts w:ascii="Tahoma" w:hAnsi="Tahoma" w:cs="Tahoma"/>
          <w:sz w:val="20"/>
          <w:szCs w:val="20"/>
        </w:rPr>
        <w:t xml:space="preserve"> a firm policy of non-discrimination on the grounds of race, sex, language, ethnicity and religion.</w:t>
      </w:r>
    </w:p>
    <w:p w14:paraId="6BFE81CB"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sz w:val="20"/>
          <w:szCs w:val="20"/>
        </w:rPr>
        <w:t>6. In the L</w:t>
      </w:r>
      <w:r w:rsidRPr="000139C7">
        <w:rPr>
          <w:rFonts w:ascii="Tahoma" w:eastAsia="Calibri" w:hAnsi="Tahoma" w:cs="Tahoma"/>
          <w:color w:val="000000"/>
          <w:sz w:val="20"/>
          <w:szCs w:val="20"/>
          <w:lang w:eastAsia="zh-CN"/>
        </w:rPr>
        <w:t>ist of Issues</w:t>
      </w:r>
      <w:r w:rsidRPr="000139C7">
        <w:rPr>
          <w:rFonts w:ascii="Tahoma" w:hAnsi="Tahoma" w:cs="Tahoma"/>
          <w:sz w:val="20"/>
          <w:szCs w:val="20"/>
        </w:rPr>
        <w:t xml:space="preserve"> (</w:t>
      </w:r>
      <w:hyperlink r:id="rId15" w:history="1">
        <w:r w:rsidRPr="000139C7">
          <w:rPr>
            <w:rStyle w:val="Hyperlink"/>
            <w:rFonts w:ascii="Tahoma" w:hAnsi="Tahoma" w:cs="Tahoma"/>
            <w:sz w:val="20"/>
            <w:szCs w:val="20"/>
          </w:rPr>
          <w:t>E/C.12/TJK/Q/4</w:t>
        </w:r>
      </w:hyperlink>
      <w:r w:rsidRPr="000139C7">
        <w:rPr>
          <w:rFonts w:ascii="Tahoma" w:hAnsi="Tahoma" w:cs="Tahoma"/>
          <w:sz w:val="20"/>
          <w:szCs w:val="20"/>
        </w:rPr>
        <w:t xml:space="preserve">) the Committee asked several questions that intersect with the problems of the situation of LGBT+ people in Tajikistan. </w:t>
      </w:r>
      <w:r w:rsidRPr="000139C7">
        <w:rPr>
          <w:rFonts w:ascii="Tahoma" w:eastAsia="Calibri" w:hAnsi="Tahoma" w:cs="Tahoma"/>
          <w:sz w:val="20"/>
          <w:szCs w:val="20"/>
          <w:lang w:eastAsia="zh-CN"/>
        </w:rPr>
        <w:t>For instance, the Committee inquired about the activities of CSOs, especially those working for the rights of LGBT+ (para. 4). The Committee also requested information on the measures taken to mitigate the impact of the coronavirus disease on disadvantaged and marginalized individuals and groups (para. 5). Furthermore, the State was to clarify whether the bill on protection against discrimination</w:t>
      </w:r>
      <w:r w:rsidRPr="000139C7">
        <w:rPr>
          <w:rFonts w:ascii="Tahoma" w:hAnsi="Tahoma" w:cs="Tahoma"/>
          <w:sz w:val="20"/>
          <w:szCs w:val="20"/>
        </w:rPr>
        <w:t xml:space="preserve"> </w:t>
      </w:r>
      <w:r w:rsidRPr="000139C7">
        <w:rPr>
          <w:rFonts w:ascii="Tahoma" w:eastAsia="Calibri" w:hAnsi="Tahoma" w:cs="Tahoma"/>
          <w:sz w:val="20"/>
          <w:szCs w:val="20"/>
          <w:lang w:eastAsia="zh-CN"/>
        </w:rPr>
        <w:t xml:space="preserve">gave a comprehensive list of prohibited grounds of discrimination, including </w:t>
      </w:r>
      <w:r w:rsidRPr="000139C7">
        <w:rPr>
          <w:rFonts w:ascii="Tahoma" w:eastAsia="Calibri" w:hAnsi="Tahoma" w:cs="Tahoma"/>
          <w:bCs/>
          <w:color w:val="000000"/>
          <w:sz w:val="20"/>
          <w:szCs w:val="20"/>
          <w:lang w:eastAsia="zh-CN"/>
        </w:rPr>
        <w:t>sexual orientation, gender identity and gender expression (</w:t>
      </w:r>
      <w:r w:rsidRPr="000139C7">
        <w:rPr>
          <w:rFonts w:ascii="Tahoma" w:eastAsia="Calibri" w:hAnsi="Tahoma" w:cs="Tahoma"/>
          <w:sz w:val="20"/>
          <w:szCs w:val="20"/>
          <w:lang w:eastAsia="zh-CN"/>
        </w:rPr>
        <w:t xml:space="preserve">SOGIGE) (para. 9). The Committee asked about steps taken to adopt legislation and procedures for legal recognition of gender of transgender persons and the efforts made to combat social stigma, misconceptions and discrimination against LGBT+ (para. 9). </w:t>
      </w:r>
    </w:p>
    <w:p w14:paraId="1DC6273C" w14:textId="77777777" w:rsidR="000139C7" w:rsidRPr="000139C7" w:rsidRDefault="000139C7" w:rsidP="000139C7">
      <w:pPr>
        <w:pStyle w:val="H23G"/>
        <w:spacing w:before="120" w:line="240" w:lineRule="auto"/>
        <w:ind w:left="0" w:right="0" w:firstLine="567"/>
        <w:jc w:val="both"/>
        <w:rPr>
          <w:rFonts w:ascii="Tahoma" w:hAnsi="Tahoma" w:cs="Tahoma"/>
          <w:sz w:val="20"/>
          <w:szCs w:val="20"/>
          <w:lang w:val="en-US"/>
        </w:rPr>
      </w:pPr>
      <w:r w:rsidRPr="000139C7">
        <w:rPr>
          <w:rFonts w:ascii="Tahoma" w:hAnsi="Tahoma" w:cs="Tahoma"/>
          <w:b w:val="0"/>
          <w:sz w:val="20"/>
          <w:szCs w:val="20"/>
          <w:lang w:val="en-US"/>
        </w:rPr>
        <w:t>7. As to the right to physical and mental health (art. 12), the Committee requested to indicate measures taken to improve sexual and reproductive health education and services, steps taken to review legislation relating to the transmission of HIV/AIDS, efforts undertaken to combat discrimination against PLHIV (para. 25). As to the right to education (arts. 13–14), the State was to provide information on the measures taken to enable all persons to participate effectively in a free society, promote understanding, tolerance and friendship among all nations and all racial, ethnic or religious groups (para. 27).</w:t>
      </w:r>
    </w:p>
    <w:p w14:paraId="55DBDE38"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sz w:val="20"/>
          <w:szCs w:val="20"/>
        </w:rPr>
        <w:t xml:space="preserve">8. Unfortunately, at the time of </w:t>
      </w:r>
      <w:r w:rsidRPr="000139C7">
        <w:rPr>
          <w:rFonts w:ascii="Tahoma" w:eastAsia="Calibri" w:hAnsi="Tahoma" w:cs="Tahoma"/>
          <w:sz w:val="20"/>
          <w:szCs w:val="20"/>
          <w:lang w:eastAsia="zh-CN"/>
        </w:rPr>
        <w:t>preparing</w:t>
      </w:r>
      <w:r w:rsidRPr="000139C7">
        <w:rPr>
          <w:rFonts w:ascii="Tahoma" w:hAnsi="Tahoma" w:cs="Tahoma"/>
          <w:sz w:val="20"/>
          <w:szCs w:val="20"/>
        </w:rPr>
        <w:t xml:space="preserve"> this report, Tajikistan's responses to the Committee's questions had not yet been received. In this regard, it seems rather difficult to speculate about what information the authorities will provide. However, some points are worth to </w:t>
      </w:r>
      <w:r w:rsidRPr="000139C7">
        <w:rPr>
          <w:rFonts w:ascii="Tahoma" w:eastAsia="Calibri" w:hAnsi="Tahoma" w:cs="Tahoma"/>
          <w:sz w:val="20"/>
          <w:szCs w:val="20"/>
          <w:lang w:eastAsia="zh-CN"/>
        </w:rPr>
        <w:t>mention</w:t>
      </w:r>
      <w:r w:rsidRPr="000139C7">
        <w:rPr>
          <w:rFonts w:ascii="Tahoma" w:hAnsi="Tahoma" w:cs="Tahoma"/>
          <w:sz w:val="20"/>
          <w:szCs w:val="20"/>
        </w:rPr>
        <w:t xml:space="preserve">. In the report, we will try to formulate questions that may be asked to the </w:t>
      </w:r>
      <w:r w:rsidRPr="000139C7">
        <w:rPr>
          <w:rFonts w:ascii="Tahoma" w:eastAsia="Calibri" w:hAnsi="Tahoma" w:cs="Tahoma"/>
          <w:sz w:val="20"/>
          <w:szCs w:val="20"/>
          <w:lang w:eastAsia="zh-CN"/>
        </w:rPr>
        <w:t>official</w:t>
      </w:r>
      <w:r w:rsidRPr="000139C7">
        <w:rPr>
          <w:rFonts w:ascii="Tahoma" w:hAnsi="Tahoma" w:cs="Tahoma"/>
          <w:sz w:val="20"/>
          <w:szCs w:val="20"/>
        </w:rPr>
        <w:t xml:space="preserve"> delegation, as well as recommendations that may be included in the </w:t>
      </w:r>
      <w:r w:rsidRPr="000139C7">
        <w:rPr>
          <w:rFonts w:ascii="Tahoma" w:eastAsia="Calibri" w:hAnsi="Tahoma" w:cs="Tahoma"/>
          <w:sz w:val="20"/>
          <w:szCs w:val="20"/>
          <w:lang w:eastAsia="zh-CN"/>
        </w:rPr>
        <w:t>CO</w:t>
      </w:r>
      <w:r w:rsidRPr="000139C7">
        <w:rPr>
          <w:rFonts w:ascii="Tahoma" w:hAnsi="Tahoma" w:cs="Tahoma"/>
          <w:sz w:val="20"/>
          <w:szCs w:val="20"/>
        </w:rPr>
        <w:t>.</w:t>
      </w:r>
    </w:p>
    <w:p w14:paraId="6EE8F7BD"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sz w:val="20"/>
          <w:szCs w:val="20"/>
        </w:rPr>
        <w:t xml:space="preserve">9. ECOM expresses its full comprehension of the state of economic development that the country is in and a wide area of issues the government requires to improve. ECOM understands the insurmountable effects that the COVID-19 pandemic has induced upon the entire international community, Tajikistan included. </w:t>
      </w:r>
      <w:r w:rsidRPr="000139C7">
        <w:rPr>
          <w:rFonts w:ascii="Tahoma" w:eastAsia="Calibri" w:hAnsi="Tahoma" w:cs="Tahoma"/>
          <w:sz w:val="20"/>
          <w:szCs w:val="20"/>
          <w:lang w:eastAsia="zh-CN"/>
        </w:rPr>
        <w:t>T</w:t>
      </w:r>
      <w:r w:rsidRPr="000139C7">
        <w:rPr>
          <w:rFonts w:ascii="Tahoma" w:hAnsi="Tahoma" w:cs="Tahoma"/>
          <w:sz w:val="20"/>
          <w:szCs w:val="20"/>
        </w:rPr>
        <w:t xml:space="preserve">he following commentary </w:t>
      </w:r>
      <w:r w:rsidRPr="000139C7">
        <w:rPr>
          <w:rFonts w:ascii="Tahoma" w:eastAsia="Calibri" w:hAnsi="Tahoma" w:cs="Tahoma"/>
          <w:sz w:val="20"/>
          <w:szCs w:val="20"/>
          <w:lang w:eastAsia="zh-CN"/>
        </w:rPr>
        <w:t>is</w:t>
      </w:r>
      <w:r w:rsidRPr="000139C7">
        <w:rPr>
          <w:rFonts w:ascii="Tahoma" w:hAnsi="Tahoma" w:cs="Tahoma"/>
          <w:sz w:val="20"/>
          <w:szCs w:val="20"/>
        </w:rPr>
        <w:t xml:space="preserve"> provided in the hope to participate in alleviating the burden that befalls gay men, other MSM, and trans people in this country due to the ongoing lack of understanding of and even enmity towards this marginalised group by the general public, and because of the absent legal mechanisms that would help decrease their discrimination and stigma.</w:t>
      </w:r>
    </w:p>
    <w:p w14:paraId="7A74EEFD" w14:textId="77777777" w:rsidR="000139C7" w:rsidRPr="000139C7" w:rsidRDefault="000139C7" w:rsidP="000139C7">
      <w:pPr>
        <w:spacing w:before="120" w:after="120"/>
        <w:ind w:firstLine="567"/>
        <w:jc w:val="both"/>
        <w:rPr>
          <w:rFonts w:ascii="Tahoma" w:hAnsi="Tahoma" w:cs="Tahoma"/>
          <w:b/>
          <w:bCs/>
          <w:sz w:val="20"/>
          <w:szCs w:val="20"/>
          <w:u w:val="single"/>
        </w:rPr>
      </w:pPr>
    </w:p>
    <w:p w14:paraId="73015E50"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
          <w:bCs/>
          <w:sz w:val="20"/>
          <w:szCs w:val="20"/>
          <w:u w:val="single"/>
        </w:rPr>
        <w:t>Article 2 — Right to Non-Discrimination</w:t>
      </w:r>
    </w:p>
    <w:p w14:paraId="168C0D63"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
          <w:bCs/>
          <w:color w:val="000000"/>
          <w:sz w:val="20"/>
          <w:szCs w:val="20"/>
          <w:lang w:eastAsia="zh-CN"/>
        </w:rPr>
        <w:t>The issue of a</w:t>
      </w:r>
      <w:r w:rsidRPr="000139C7">
        <w:rPr>
          <w:rFonts w:ascii="Tahoma" w:hAnsi="Tahoma" w:cs="Tahoma"/>
          <w:b/>
          <w:bCs/>
          <w:color w:val="000000"/>
          <w:sz w:val="20"/>
          <w:szCs w:val="20"/>
        </w:rPr>
        <w:t>nti-discrimination legislation</w:t>
      </w:r>
    </w:p>
    <w:p w14:paraId="15EA5F37"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color w:val="000000"/>
          <w:sz w:val="20"/>
          <w:szCs w:val="20"/>
        </w:rPr>
        <w:t>10. Article 17 of the Constitution of Tajikistan “guarantees the rights and freedoms of everyone, regardless of their nationality, race, sex, language, religion, political beliefs, education, social or property status”. This is the finite list of attributes; since there is no mention of “other status” or “other grounds,” there is no possibility to expand this list of protected attributes to SOGIGE.</w:t>
      </w:r>
    </w:p>
    <w:p w14:paraId="5B53890F"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color w:val="000000"/>
          <w:sz w:val="20"/>
          <w:szCs w:val="20"/>
        </w:rPr>
        <w:t xml:space="preserve">11. After several years of refinement and coordination, </w:t>
      </w:r>
      <w:hyperlink r:id="rId16" w:history="1">
        <w:r w:rsidRPr="000139C7">
          <w:rPr>
            <w:rStyle w:val="Hyperlink"/>
            <w:rFonts w:ascii="Tahoma" w:hAnsi="Tahoma" w:cs="Tahoma"/>
            <w:bCs/>
            <w:color w:val="2A6099"/>
            <w:sz w:val="20"/>
            <w:szCs w:val="20"/>
          </w:rPr>
          <w:t>the Law</w:t>
        </w:r>
      </w:hyperlink>
      <w:r w:rsidRPr="000139C7">
        <w:rPr>
          <w:rFonts w:ascii="Tahoma" w:hAnsi="Tahoma" w:cs="Tahoma"/>
          <w:bCs/>
          <w:color w:val="000000"/>
          <w:sz w:val="20"/>
          <w:szCs w:val="20"/>
        </w:rPr>
        <w:t xml:space="preserve"> dated July 19, 2022 </w:t>
      </w:r>
      <w:r w:rsidRPr="000139C7">
        <w:rPr>
          <w:rFonts w:ascii="Tahoma" w:eastAsia="Calibri" w:hAnsi="Tahoma" w:cs="Tahoma"/>
          <w:bCs/>
          <w:color w:val="000000"/>
          <w:sz w:val="20"/>
          <w:szCs w:val="20"/>
          <w:lang w:eastAsia="zh-CN"/>
        </w:rPr>
        <w:t>n</w:t>
      </w:r>
      <w:r w:rsidRPr="000139C7">
        <w:rPr>
          <w:rFonts w:ascii="Tahoma" w:hAnsi="Tahoma" w:cs="Tahoma"/>
          <w:bCs/>
          <w:color w:val="000000"/>
          <w:sz w:val="20"/>
          <w:szCs w:val="20"/>
        </w:rPr>
        <w:t xml:space="preserve">o. 1890 “On equality and the elimination of all forms of discrimination” was finally adopted. Unfortunately, </w:t>
      </w:r>
      <w:r w:rsidRPr="000139C7">
        <w:rPr>
          <w:rFonts w:ascii="Tahoma" w:eastAsia="Calibri" w:hAnsi="Tahoma" w:cs="Tahoma"/>
          <w:bCs/>
          <w:color w:val="000000"/>
          <w:sz w:val="20"/>
          <w:szCs w:val="20"/>
          <w:lang w:eastAsia="zh-CN"/>
        </w:rPr>
        <w:t>the law</w:t>
      </w:r>
      <w:r w:rsidRPr="000139C7">
        <w:rPr>
          <w:rFonts w:ascii="Tahoma" w:hAnsi="Tahoma" w:cs="Tahoma"/>
          <w:bCs/>
          <w:color w:val="000000"/>
          <w:sz w:val="20"/>
          <w:szCs w:val="20"/>
        </w:rPr>
        <w:t>, by analogy with the Constitution, does not mention SOGIGE among signs of discrimination. Article 1 reads: “</w:t>
      </w:r>
      <w:r w:rsidRPr="000139C7">
        <w:rPr>
          <w:rFonts w:ascii="Tahoma" w:hAnsi="Tahoma" w:cs="Tahoma"/>
          <w:bCs/>
          <w:i/>
          <w:iCs/>
          <w:color w:val="000000"/>
          <w:sz w:val="20"/>
          <w:szCs w:val="20"/>
        </w:rPr>
        <w:t>Discrimination is any distinction, exclusion, restriction or preference formed on real and (or) alleged grounds in relation to any natural and legal person or group of persons, their relatives or persons otherwise associated with them and is based on race, color, origin, sex, language, religion or belief, national or ethnic origin, disability, state of health, age, citizenship, opinion, property status or other circumstance</w:t>
      </w:r>
      <w:r w:rsidRPr="000139C7">
        <w:rPr>
          <w:rFonts w:ascii="Tahoma" w:hAnsi="Tahoma" w:cs="Tahoma"/>
          <w:bCs/>
          <w:color w:val="000000"/>
          <w:sz w:val="20"/>
          <w:szCs w:val="20"/>
        </w:rPr>
        <w:t xml:space="preserve"> ...”.</w:t>
      </w:r>
    </w:p>
    <w:p w14:paraId="2EBDFA9D"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color w:val="000000"/>
          <w:sz w:val="20"/>
          <w:szCs w:val="20"/>
        </w:rPr>
        <w:t xml:space="preserve">12. Indeed, the definition contains the words “other circumstance”, which allows to hope that SOGIGE is included in the notion of discrimination. However, this conjecture can only be confirmed by the </w:t>
      </w:r>
      <w:r w:rsidRPr="000139C7">
        <w:rPr>
          <w:rFonts w:ascii="Tahoma" w:eastAsia="Calibri" w:hAnsi="Tahoma" w:cs="Tahoma"/>
          <w:bCs/>
          <w:color w:val="000000"/>
          <w:sz w:val="20"/>
          <w:szCs w:val="20"/>
          <w:lang w:eastAsia="zh-CN"/>
        </w:rPr>
        <w:t>case-law</w:t>
      </w:r>
      <w:r w:rsidRPr="000139C7">
        <w:rPr>
          <w:rFonts w:ascii="Tahoma" w:hAnsi="Tahoma" w:cs="Tahoma"/>
          <w:bCs/>
          <w:color w:val="000000"/>
          <w:sz w:val="20"/>
          <w:szCs w:val="20"/>
        </w:rPr>
        <w:t xml:space="preserve"> of applying and interpreting th</w:t>
      </w:r>
      <w:r w:rsidRPr="000139C7">
        <w:rPr>
          <w:rFonts w:ascii="Tahoma" w:eastAsia="Calibri" w:hAnsi="Tahoma" w:cs="Tahoma"/>
          <w:bCs/>
          <w:color w:val="000000"/>
          <w:sz w:val="20"/>
          <w:szCs w:val="20"/>
          <w:lang w:eastAsia="zh-CN"/>
        </w:rPr>
        <w:t>e</w:t>
      </w:r>
      <w:r w:rsidRPr="000139C7">
        <w:rPr>
          <w:rFonts w:ascii="Tahoma" w:hAnsi="Tahoma" w:cs="Tahoma"/>
          <w:bCs/>
          <w:color w:val="000000"/>
          <w:sz w:val="20"/>
          <w:szCs w:val="20"/>
        </w:rPr>
        <w:t xml:space="preserve"> law. </w:t>
      </w:r>
      <w:r w:rsidRPr="000139C7">
        <w:rPr>
          <w:rFonts w:ascii="Tahoma" w:eastAsia="Calibri" w:hAnsi="Tahoma" w:cs="Tahoma"/>
          <w:bCs/>
          <w:color w:val="000000"/>
          <w:sz w:val="20"/>
          <w:szCs w:val="20"/>
          <w:lang w:eastAsia="zh-CN"/>
        </w:rPr>
        <w:t>It would be detrimental to</w:t>
      </w:r>
      <w:r w:rsidRPr="000139C7">
        <w:rPr>
          <w:rFonts w:ascii="Tahoma" w:hAnsi="Tahoma" w:cs="Tahoma"/>
          <w:bCs/>
          <w:color w:val="000000"/>
          <w:sz w:val="20"/>
          <w:szCs w:val="20"/>
        </w:rPr>
        <w:t xml:space="preserve"> leave the decision of this issue exclusively to the executive authorities and the courts, therefore we believe that the definition of the law is incomplete and needs to be improved almost immediately after adoption.</w:t>
      </w:r>
    </w:p>
    <w:p w14:paraId="49441DAB"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color w:val="000000"/>
          <w:sz w:val="20"/>
          <w:szCs w:val="20"/>
        </w:rPr>
        <w:t>13. Other laws also need to be changed. Article 143 of the Criminal Code stipulates: “</w:t>
      </w:r>
      <w:r w:rsidRPr="000139C7">
        <w:rPr>
          <w:rFonts w:ascii="Tahoma" w:hAnsi="Tahoma" w:cs="Tahoma"/>
          <w:bCs/>
          <w:i/>
          <w:iCs/>
          <w:color w:val="000000"/>
          <w:sz w:val="20"/>
          <w:szCs w:val="20"/>
        </w:rPr>
        <w:t>Intentional direct or indirect violation or limitation of rights and freedoms, or adoption of direct or indirect privileges for citizens based on sex, race, nationality, language, social heritage, personal, property or professional status, residency, religion, beliefs, political partisanship, [or] affiliation with public associations that caused harm to the rights and legal interests of a citizen</w:t>
      </w:r>
      <w:r w:rsidRPr="000139C7">
        <w:rPr>
          <w:rFonts w:ascii="Tahoma" w:hAnsi="Tahoma" w:cs="Tahoma"/>
          <w:bCs/>
          <w:color w:val="000000"/>
          <w:sz w:val="20"/>
          <w:szCs w:val="20"/>
        </w:rPr>
        <w:t xml:space="preserve">” are punished by a respective form of liability. </w:t>
      </w:r>
      <w:r w:rsidRPr="000139C7">
        <w:rPr>
          <w:rFonts w:ascii="Tahoma" w:eastAsia="Calibri" w:hAnsi="Tahoma" w:cs="Tahoma"/>
          <w:bCs/>
          <w:color w:val="000000"/>
          <w:sz w:val="20"/>
          <w:szCs w:val="20"/>
          <w:lang w:eastAsia="zh-CN"/>
        </w:rPr>
        <w:t>The</w:t>
      </w:r>
      <w:r w:rsidRPr="000139C7">
        <w:rPr>
          <w:rFonts w:ascii="Tahoma" w:hAnsi="Tahoma" w:cs="Tahoma"/>
          <w:bCs/>
          <w:color w:val="000000"/>
          <w:sz w:val="20"/>
          <w:szCs w:val="20"/>
        </w:rPr>
        <w:t xml:space="preserve"> list is exhaustive and has no room for interpretation. </w:t>
      </w:r>
      <w:r w:rsidRPr="000139C7">
        <w:rPr>
          <w:rFonts w:ascii="Tahoma" w:eastAsia="Calibri" w:hAnsi="Tahoma" w:cs="Tahoma"/>
          <w:bCs/>
          <w:color w:val="000000"/>
          <w:sz w:val="20"/>
          <w:szCs w:val="20"/>
          <w:lang w:eastAsia="zh-CN"/>
        </w:rPr>
        <w:t>Besides</w:t>
      </w:r>
      <w:r w:rsidRPr="000139C7">
        <w:rPr>
          <w:rFonts w:ascii="Tahoma" w:hAnsi="Tahoma" w:cs="Tahoma"/>
          <w:bCs/>
          <w:color w:val="000000"/>
          <w:sz w:val="20"/>
          <w:szCs w:val="20"/>
        </w:rPr>
        <w:t xml:space="preserve">, this article is formulated in a way that places the burden of proof on the victim of discrimination and requires her or him to prove the “infliction of harm”. </w:t>
      </w:r>
    </w:p>
    <w:p w14:paraId="553311A5"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Cs/>
          <w:color w:val="000000"/>
          <w:sz w:val="20"/>
          <w:szCs w:val="20"/>
          <w:lang w:eastAsia="zh-CN"/>
        </w:rPr>
        <w:t>14. Besides,</w:t>
      </w:r>
      <w:r w:rsidRPr="000139C7">
        <w:rPr>
          <w:rFonts w:ascii="Tahoma" w:hAnsi="Tahoma" w:cs="Tahoma"/>
          <w:bCs/>
          <w:color w:val="000000"/>
          <w:sz w:val="20"/>
          <w:szCs w:val="20"/>
        </w:rPr>
        <w:t xml:space="preserve"> there is no criminal liability for hate crimes committed against representatives of the LGBT+ community, although there are circumstances in the Criminal Code that aggravate liability for committing crimes “motivated by social, national, racial or religious hatred”.</w:t>
      </w:r>
    </w:p>
    <w:p w14:paraId="2338CFB1" w14:textId="77777777" w:rsidR="000139C7" w:rsidRPr="000139C7" w:rsidRDefault="000139C7" w:rsidP="000139C7">
      <w:pPr>
        <w:spacing w:before="120" w:after="120"/>
        <w:ind w:firstLine="567"/>
        <w:jc w:val="both"/>
        <w:rPr>
          <w:rFonts w:ascii="Tahoma" w:hAnsi="Tahoma" w:cs="Tahoma"/>
          <w:sz w:val="20"/>
          <w:szCs w:val="20"/>
        </w:rPr>
      </w:pPr>
    </w:p>
    <w:p w14:paraId="55849097"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
          <w:bCs/>
          <w:sz w:val="20"/>
          <w:szCs w:val="20"/>
        </w:rPr>
        <w:t>The issue of violence and hate speech combined with the ineffective investigations</w:t>
      </w:r>
    </w:p>
    <w:p w14:paraId="59ABE225"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sz w:val="20"/>
          <w:szCs w:val="20"/>
        </w:rPr>
        <w:t>15. In Tajikistan, cases of abuse of power, harassment, and violence (both psychological and physical) by law enforcement agencies are the most common among documented cases</w:t>
      </w:r>
      <w:r w:rsidRPr="000139C7">
        <w:rPr>
          <w:rStyle w:val="FootnoteReference"/>
          <w:rFonts w:ascii="Tahoma" w:hAnsi="Tahoma" w:cs="Tahoma"/>
          <w:sz w:val="20"/>
          <w:szCs w:val="20"/>
        </w:rPr>
        <w:footnoteReference w:id="1"/>
      </w:r>
      <w:r w:rsidRPr="000139C7">
        <w:rPr>
          <w:rFonts w:ascii="Tahoma" w:hAnsi="Tahoma" w:cs="Tahoma"/>
          <w:sz w:val="20"/>
          <w:szCs w:val="20"/>
        </w:rPr>
        <w:t xml:space="preserve">. Police </w:t>
      </w:r>
      <w:hyperlink r:id="rId17" w:history="1">
        <w:r w:rsidRPr="000139C7">
          <w:rPr>
            <w:rStyle w:val="Hyperlink"/>
            <w:rFonts w:ascii="Tahoma" w:hAnsi="Tahoma" w:cs="Tahoma"/>
            <w:sz w:val="20"/>
            <w:szCs w:val="20"/>
          </w:rPr>
          <w:t>raids</w:t>
        </w:r>
      </w:hyperlink>
      <w:r w:rsidRPr="000139C7">
        <w:rPr>
          <w:rFonts w:ascii="Tahoma" w:hAnsi="Tahoma" w:cs="Tahoma"/>
          <w:sz w:val="20"/>
          <w:szCs w:val="20"/>
        </w:rPr>
        <w:t xml:space="preserve"> are still widespread. A common scenario is when members of the LGBT+ community are </w:t>
      </w:r>
      <w:r w:rsidRPr="000139C7">
        <w:rPr>
          <w:rFonts w:ascii="Tahoma" w:eastAsia="Calibri" w:hAnsi="Tahoma" w:cs="Tahoma"/>
          <w:sz w:val="20"/>
          <w:szCs w:val="20"/>
          <w:lang w:eastAsia="zh-CN"/>
        </w:rPr>
        <w:t>arrested</w:t>
      </w:r>
      <w:r w:rsidRPr="000139C7">
        <w:rPr>
          <w:rFonts w:ascii="Tahoma" w:hAnsi="Tahoma" w:cs="Tahoma"/>
          <w:sz w:val="20"/>
          <w:szCs w:val="20"/>
        </w:rPr>
        <w:t xml:space="preserve">, taken to the police station, threatened or </w:t>
      </w:r>
      <w:r w:rsidRPr="000139C7">
        <w:rPr>
          <w:rFonts w:ascii="Tahoma" w:eastAsia="Calibri" w:hAnsi="Tahoma" w:cs="Tahoma"/>
          <w:sz w:val="20"/>
          <w:szCs w:val="20"/>
          <w:lang w:eastAsia="zh-CN"/>
        </w:rPr>
        <w:t>beaten</w:t>
      </w:r>
      <w:r w:rsidRPr="000139C7">
        <w:rPr>
          <w:rFonts w:ascii="Tahoma" w:hAnsi="Tahoma" w:cs="Tahoma"/>
          <w:sz w:val="20"/>
          <w:szCs w:val="20"/>
        </w:rPr>
        <w:t>, asked to become an informant and report on other members of the community. Similarly, there could be an extort</w:t>
      </w:r>
      <w:r w:rsidRPr="000139C7">
        <w:rPr>
          <w:rFonts w:ascii="Tahoma" w:eastAsia="Calibri" w:hAnsi="Tahoma" w:cs="Tahoma"/>
          <w:sz w:val="20"/>
          <w:szCs w:val="20"/>
          <w:lang w:eastAsia="zh-CN"/>
        </w:rPr>
        <w:t>ion of</w:t>
      </w:r>
      <w:r w:rsidRPr="000139C7">
        <w:rPr>
          <w:rFonts w:ascii="Tahoma" w:hAnsi="Tahoma" w:cs="Tahoma"/>
          <w:sz w:val="20"/>
          <w:szCs w:val="20"/>
        </w:rPr>
        <w:t xml:space="preserve"> money under the threat of blackmail, and </w:t>
      </w:r>
      <w:r w:rsidRPr="000139C7">
        <w:rPr>
          <w:rFonts w:ascii="Tahoma" w:eastAsia="Calibri" w:hAnsi="Tahoma" w:cs="Tahoma"/>
          <w:sz w:val="20"/>
          <w:szCs w:val="20"/>
          <w:lang w:eastAsia="zh-CN"/>
        </w:rPr>
        <w:t xml:space="preserve">even forced </w:t>
      </w:r>
      <w:r w:rsidRPr="000139C7">
        <w:rPr>
          <w:rFonts w:ascii="Tahoma" w:hAnsi="Tahoma" w:cs="Tahoma"/>
          <w:sz w:val="20"/>
          <w:szCs w:val="20"/>
        </w:rPr>
        <w:t xml:space="preserve">sexual intercourse. </w:t>
      </w:r>
      <w:r w:rsidRPr="000139C7">
        <w:rPr>
          <w:rFonts w:ascii="Tahoma" w:hAnsi="Tahoma" w:cs="Tahoma"/>
          <w:bCs/>
          <w:color w:val="000000"/>
          <w:sz w:val="20"/>
          <w:szCs w:val="20"/>
        </w:rPr>
        <w:t xml:space="preserve">In 2019, there </w:t>
      </w:r>
      <w:r w:rsidRPr="000139C7">
        <w:rPr>
          <w:rFonts w:ascii="Tahoma" w:hAnsi="Tahoma" w:cs="Tahoma"/>
          <w:bCs/>
          <w:color w:val="2A6099"/>
          <w:sz w:val="20"/>
          <w:szCs w:val="20"/>
          <w:u w:val="single"/>
        </w:rPr>
        <w:t xml:space="preserve">were </w:t>
      </w:r>
      <w:hyperlink r:id="rId18" w:history="1">
        <w:r w:rsidRPr="000139C7">
          <w:rPr>
            <w:rStyle w:val="Hyperlink"/>
            <w:rFonts w:ascii="Tahoma" w:hAnsi="Tahoma" w:cs="Tahoma"/>
            <w:bCs/>
            <w:color w:val="2A6099"/>
            <w:sz w:val="20"/>
            <w:szCs w:val="20"/>
          </w:rPr>
          <w:t>documented</w:t>
        </w:r>
      </w:hyperlink>
      <w:r w:rsidRPr="000139C7">
        <w:rPr>
          <w:rFonts w:ascii="Tahoma" w:hAnsi="Tahoma" w:cs="Tahoma"/>
          <w:bCs/>
          <w:color w:val="000000"/>
          <w:sz w:val="20"/>
          <w:szCs w:val="20"/>
        </w:rPr>
        <w:t xml:space="preserve"> 12 hate crimes committed against LGBT+ , including three murders.</w:t>
      </w:r>
    </w:p>
    <w:p w14:paraId="320F97DC"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sz w:val="20"/>
          <w:szCs w:val="20"/>
        </w:rPr>
        <w:t xml:space="preserve">16. Given the political situation, the high level of impunity for law enforcement agencies, the data obtained shows that, while in other countries of the region, gay, other MSM, and trans people are more often victims of extortion by random people, in Tajikistan, the main perpetrators are law enforcement officers, and victims are more often trans women and cross-dressers, including those involved in sex work. </w:t>
      </w:r>
      <w:r w:rsidRPr="000139C7">
        <w:rPr>
          <w:rFonts w:ascii="Tahoma" w:hAnsi="Tahoma" w:cs="Tahoma"/>
          <w:bCs/>
          <w:color w:val="000000"/>
          <w:sz w:val="20"/>
          <w:szCs w:val="20"/>
        </w:rPr>
        <w:t>This circumstance inevitably creates the problem of fear of victims of crime turning to law enforcement agencies for protection and leads to the fact that hate crimes are investigated ineffectively.</w:t>
      </w:r>
    </w:p>
    <w:p w14:paraId="1B419469" w14:textId="77777777" w:rsidR="000139C7" w:rsidRPr="000139C7" w:rsidRDefault="000139C7" w:rsidP="000139C7">
      <w:pPr>
        <w:pStyle w:val="LO-normal"/>
        <w:spacing w:before="120" w:after="120" w:line="240" w:lineRule="auto"/>
        <w:ind w:firstLine="566"/>
        <w:jc w:val="both"/>
        <w:rPr>
          <w:rFonts w:ascii="Tahoma" w:hAnsi="Tahoma" w:cs="Tahoma"/>
          <w:sz w:val="20"/>
          <w:szCs w:val="20"/>
          <w:lang w:val="en-US"/>
        </w:rPr>
      </w:pPr>
      <w:r w:rsidRPr="000139C7">
        <w:rPr>
          <w:rFonts w:ascii="Tahoma" w:eastAsia="Times New Roman" w:hAnsi="Tahoma" w:cs="Tahoma"/>
          <w:bCs/>
          <w:color w:val="000000"/>
          <w:sz w:val="20"/>
          <w:szCs w:val="20"/>
          <w:lang w:val="en-US"/>
        </w:rPr>
        <w:t xml:space="preserve">17. Public attitudes in the </w:t>
      </w:r>
      <w:r w:rsidRPr="000139C7">
        <w:rPr>
          <w:rFonts w:ascii="Tahoma" w:eastAsia="Times New Roman" w:hAnsi="Tahoma" w:cs="Tahoma"/>
          <w:bCs/>
          <w:sz w:val="20"/>
          <w:szCs w:val="20"/>
          <w:lang w:val="en-US"/>
        </w:rPr>
        <w:t>country</w:t>
      </w:r>
      <w:r w:rsidRPr="000139C7">
        <w:rPr>
          <w:rFonts w:ascii="Tahoma" w:eastAsia="Times New Roman" w:hAnsi="Tahoma" w:cs="Tahoma"/>
          <w:bCs/>
          <w:color w:val="000000"/>
          <w:sz w:val="20"/>
          <w:szCs w:val="20"/>
          <w:lang w:val="en-US"/>
        </w:rPr>
        <w:t xml:space="preserve"> are characterized with a high level of homophobia and transphobia, which, together with legal barriers, leads to exclusion of the LGBT+ individuals from active social life. It may also be a reason for avoiding seeking medical care.</w:t>
      </w:r>
    </w:p>
    <w:p w14:paraId="3DE7508B"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color w:val="000000"/>
          <w:sz w:val="20"/>
          <w:szCs w:val="20"/>
        </w:rPr>
        <w:t>18. Gay and trans people may be subject to accusations of “obsession” and attempts at “healing”, which are accompanied by some rituals of</w:t>
      </w:r>
      <w:r w:rsidRPr="000139C7">
        <w:rPr>
          <w:rFonts w:ascii="Tahoma" w:hAnsi="Tahoma" w:cs="Tahoma"/>
          <w:bCs/>
          <w:color w:val="2A6099"/>
          <w:sz w:val="20"/>
          <w:szCs w:val="20"/>
        </w:rPr>
        <w:t xml:space="preserve"> </w:t>
      </w:r>
      <w:hyperlink r:id="rId19" w:history="1">
        <w:r w:rsidRPr="000139C7">
          <w:rPr>
            <w:rStyle w:val="Hyperlink"/>
            <w:rFonts w:ascii="Tahoma" w:hAnsi="Tahoma" w:cs="Tahoma"/>
            <w:bCs/>
            <w:color w:val="2A6099"/>
            <w:sz w:val="20"/>
            <w:szCs w:val="20"/>
          </w:rPr>
          <w:t>exorcism</w:t>
        </w:r>
      </w:hyperlink>
      <w:r w:rsidRPr="000139C7">
        <w:rPr>
          <w:rFonts w:ascii="Tahoma" w:hAnsi="Tahoma" w:cs="Tahoma"/>
          <w:bCs/>
          <w:color w:val="000000"/>
          <w:sz w:val="20"/>
          <w:szCs w:val="20"/>
        </w:rPr>
        <w:t>, forced marriage and, often, physical and psychological abuse. When covering news related LGBT</w:t>
      </w:r>
      <w:r w:rsidRPr="000139C7">
        <w:rPr>
          <w:rFonts w:ascii="Tahoma" w:eastAsia="Calibri" w:hAnsi="Tahoma" w:cs="Tahoma"/>
          <w:bCs/>
          <w:color w:val="000000"/>
          <w:sz w:val="20"/>
          <w:szCs w:val="20"/>
          <w:lang w:eastAsia="zh-CN"/>
        </w:rPr>
        <w:t>+</w:t>
      </w:r>
      <w:r w:rsidRPr="000139C7">
        <w:rPr>
          <w:rFonts w:ascii="Tahoma" w:hAnsi="Tahoma" w:cs="Tahoma"/>
          <w:bCs/>
          <w:color w:val="000000"/>
          <w:sz w:val="20"/>
          <w:szCs w:val="20"/>
        </w:rPr>
        <w:t xml:space="preserve">, the media use </w:t>
      </w:r>
      <w:hyperlink r:id="rId20" w:history="1">
        <w:r w:rsidRPr="000139C7">
          <w:rPr>
            <w:rStyle w:val="Hyperlink"/>
            <w:rFonts w:ascii="Tahoma" w:hAnsi="Tahoma" w:cs="Tahoma"/>
            <w:bCs/>
            <w:color w:val="2A6099"/>
            <w:sz w:val="20"/>
            <w:szCs w:val="20"/>
          </w:rPr>
          <w:t>negative language</w:t>
        </w:r>
      </w:hyperlink>
      <w:r w:rsidRPr="000139C7">
        <w:rPr>
          <w:rFonts w:ascii="Tahoma" w:hAnsi="Tahoma" w:cs="Tahoma"/>
          <w:bCs/>
          <w:color w:val="2A6099"/>
          <w:sz w:val="20"/>
          <w:szCs w:val="20"/>
        </w:rPr>
        <w:t>.</w:t>
      </w:r>
    </w:p>
    <w:p w14:paraId="6E09BA83" w14:textId="77777777" w:rsidR="000139C7" w:rsidRPr="000139C7" w:rsidRDefault="000139C7" w:rsidP="000139C7">
      <w:pPr>
        <w:pStyle w:val="LO-normal"/>
        <w:spacing w:before="120" w:after="120" w:line="240" w:lineRule="auto"/>
        <w:ind w:firstLine="566"/>
        <w:jc w:val="both"/>
        <w:rPr>
          <w:rFonts w:ascii="Tahoma" w:hAnsi="Tahoma" w:cs="Tahoma"/>
          <w:sz w:val="20"/>
          <w:szCs w:val="20"/>
          <w:lang w:val="en-US"/>
        </w:rPr>
      </w:pPr>
      <w:r w:rsidRPr="000139C7">
        <w:rPr>
          <w:rFonts w:ascii="Tahoma" w:eastAsia="Times New Roman" w:hAnsi="Tahoma" w:cs="Tahoma"/>
          <w:bCs/>
          <w:color w:val="000000"/>
          <w:sz w:val="20"/>
          <w:szCs w:val="20"/>
          <w:lang w:val="en-US"/>
        </w:rPr>
        <w:lastRenderedPageBreak/>
        <w:t>19. In the Report the authorities provided detailed information on the fulfillment by Tajikistan of its obligations in the area of combating domestic violence and violence against women (paras. 91-101). Unfortunately, the State avoids to provide such data in the field of protecting the rights of LGBT+.</w:t>
      </w:r>
    </w:p>
    <w:p w14:paraId="06452183" w14:textId="77777777" w:rsidR="000139C7" w:rsidRPr="000139C7" w:rsidRDefault="000139C7" w:rsidP="000139C7">
      <w:pPr>
        <w:pStyle w:val="LO-normal"/>
        <w:spacing w:before="120" w:after="120" w:line="240" w:lineRule="auto"/>
        <w:ind w:firstLine="566"/>
        <w:jc w:val="both"/>
        <w:rPr>
          <w:rFonts w:ascii="Tahoma" w:hAnsi="Tahoma" w:cs="Tahoma"/>
          <w:sz w:val="20"/>
          <w:szCs w:val="20"/>
          <w:lang w:val="en-US"/>
        </w:rPr>
      </w:pPr>
      <w:r w:rsidRPr="000139C7">
        <w:rPr>
          <w:rFonts w:ascii="Tahoma" w:eastAsia="Times New Roman" w:hAnsi="Tahoma" w:cs="Tahoma"/>
          <w:sz w:val="20"/>
          <w:szCs w:val="20"/>
          <w:lang w:val="en-US"/>
        </w:rPr>
        <w:t xml:space="preserve">20. The State must develop effective mechanisms for registering and investigating complaints against the actions of both medical workers and law enforcement officials. </w:t>
      </w:r>
      <w:r w:rsidRPr="000139C7">
        <w:rPr>
          <w:rFonts w:ascii="Tahoma" w:eastAsia="Times New Roman" w:hAnsi="Tahoma" w:cs="Tahoma"/>
          <w:bCs/>
          <w:color w:val="000000"/>
          <w:sz w:val="20"/>
          <w:szCs w:val="20"/>
          <w:lang w:val="en-US"/>
        </w:rPr>
        <w:t>It is also crucial to conduct ongoing training for government representatives on the ethics of providing services in order to reduce the level of homophobia. The State should train the police, representatives of prosecutor's offices and judges to effectively document, investigate, qualify and handle reports on hate crimes.</w:t>
      </w:r>
    </w:p>
    <w:p w14:paraId="2523640D" w14:textId="77777777" w:rsidR="000139C7" w:rsidRPr="000139C7" w:rsidRDefault="000139C7" w:rsidP="000139C7">
      <w:pPr>
        <w:pStyle w:val="LO-normal"/>
        <w:spacing w:before="120" w:after="120" w:line="240" w:lineRule="auto"/>
        <w:ind w:firstLine="566"/>
        <w:jc w:val="both"/>
        <w:rPr>
          <w:rFonts w:ascii="Tahoma" w:hAnsi="Tahoma" w:cs="Tahoma"/>
          <w:sz w:val="20"/>
          <w:szCs w:val="20"/>
          <w:lang w:val="en-US"/>
        </w:rPr>
      </w:pPr>
    </w:p>
    <w:p w14:paraId="59C208CF" w14:textId="77777777" w:rsidR="000139C7" w:rsidRPr="000139C7" w:rsidRDefault="000139C7" w:rsidP="000139C7">
      <w:pPr>
        <w:pStyle w:val="LO-normal"/>
        <w:spacing w:before="120" w:after="120" w:line="240" w:lineRule="auto"/>
        <w:ind w:firstLine="566"/>
        <w:jc w:val="both"/>
        <w:rPr>
          <w:rFonts w:ascii="Tahoma" w:hAnsi="Tahoma" w:cs="Tahoma"/>
          <w:sz w:val="20"/>
          <w:szCs w:val="20"/>
          <w:lang w:val="en-US"/>
        </w:rPr>
      </w:pPr>
      <w:r w:rsidRPr="000139C7">
        <w:rPr>
          <w:rFonts w:ascii="Tahoma" w:hAnsi="Tahoma" w:cs="Tahoma"/>
          <w:b/>
          <w:bCs/>
          <w:sz w:val="20"/>
          <w:szCs w:val="20"/>
          <w:lang w:val="en-US"/>
        </w:rPr>
        <w:t>The issue of CSOs’ activities</w:t>
      </w:r>
    </w:p>
    <w:p w14:paraId="03D8CEFC"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color w:val="000000"/>
          <w:sz w:val="20"/>
          <w:szCs w:val="20"/>
        </w:rPr>
        <w:t xml:space="preserve">21. It should be noted that there are practically no LGBT+ organizations in the country due to the </w:t>
      </w:r>
      <w:r w:rsidRPr="000139C7">
        <w:rPr>
          <w:rFonts w:ascii="Tahoma" w:eastAsia="Calibri" w:hAnsi="Tahoma" w:cs="Tahoma"/>
          <w:bCs/>
          <w:color w:val="000000"/>
          <w:sz w:val="20"/>
          <w:szCs w:val="20"/>
          <w:lang w:eastAsia="zh-CN"/>
        </w:rPr>
        <w:t>tightened</w:t>
      </w:r>
      <w:r w:rsidRPr="000139C7">
        <w:rPr>
          <w:rFonts w:ascii="Tahoma" w:hAnsi="Tahoma" w:cs="Tahoma"/>
          <w:bCs/>
          <w:color w:val="000000"/>
          <w:sz w:val="20"/>
          <w:szCs w:val="20"/>
        </w:rPr>
        <w:t xml:space="preserve"> policy of the</w:t>
      </w:r>
      <w:r w:rsidRPr="000139C7">
        <w:rPr>
          <w:rFonts w:ascii="Tahoma" w:eastAsia="Calibri" w:hAnsi="Tahoma" w:cs="Tahoma"/>
          <w:bCs/>
          <w:color w:val="000000"/>
          <w:sz w:val="20"/>
          <w:szCs w:val="20"/>
          <w:lang w:eastAsia="zh-CN"/>
        </w:rPr>
        <w:t xml:space="preserve"> S</w:t>
      </w:r>
      <w:r w:rsidRPr="000139C7">
        <w:rPr>
          <w:rFonts w:ascii="Tahoma" w:hAnsi="Tahoma" w:cs="Tahoma"/>
          <w:bCs/>
          <w:color w:val="000000"/>
          <w:sz w:val="20"/>
          <w:szCs w:val="20"/>
        </w:rPr>
        <w:t xml:space="preserve">tate. The </w:t>
      </w:r>
      <w:r w:rsidRPr="000139C7">
        <w:rPr>
          <w:rFonts w:ascii="Tahoma" w:eastAsia="Calibri" w:hAnsi="Tahoma" w:cs="Tahoma"/>
          <w:bCs/>
          <w:color w:val="000000"/>
          <w:sz w:val="20"/>
          <w:szCs w:val="20"/>
          <w:lang w:eastAsia="zh-CN"/>
        </w:rPr>
        <w:t>l</w:t>
      </w:r>
      <w:r w:rsidRPr="000139C7">
        <w:rPr>
          <w:rFonts w:ascii="Tahoma" w:hAnsi="Tahoma" w:cs="Tahoma"/>
          <w:bCs/>
          <w:color w:val="000000"/>
          <w:sz w:val="20"/>
          <w:szCs w:val="20"/>
        </w:rPr>
        <w:t xml:space="preserve">aw “On public associations” requires the mandatory registration of civil associations. The registration of NGOs is carried out by the Ministry of Justice. Even registered NGOs can be shut down for the slightest technical violation. They are required to disclose information about funding from foreign sources, which continues to be the main source of funding for the civil sector. All foreign funds must be registered in a separate government registry, before organizations can gain access to them, and the government monitors the activities supported by these funds. </w:t>
      </w:r>
      <w:r w:rsidRPr="000139C7">
        <w:rPr>
          <w:rFonts w:ascii="Tahoma" w:eastAsia="Calibri" w:hAnsi="Tahoma" w:cs="Tahoma"/>
          <w:bCs/>
          <w:color w:val="000000"/>
          <w:sz w:val="20"/>
          <w:szCs w:val="20"/>
          <w:lang w:eastAsia="zh-CN"/>
        </w:rPr>
        <w:t>In 2019, legislative amendments came into force requiring NGOs to maintain websites and openly publish financial reporting, allegedly to ensure transparency and avoid accusations of “financial terrorism” or “money laundering”.</w:t>
      </w:r>
    </w:p>
    <w:p w14:paraId="2F894E99"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Cs/>
          <w:color w:val="000000"/>
          <w:sz w:val="20"/>
          <w:szCs w:val="20"/>
          <w:lang w:eastAsia="zh-CN"/>
        </w:rPr>
        <w:t>22. The NGOs</w:t>
      </w:r>
      <w:r w:rsidRPr="000139C7">
        <w:rPr>
          <w:rFonts w:ascii="Tahoma" w:hAnsi="Tahoma" w:cs="Tahoma"/>
          <w:bCs/>
          <w:color w:val="000000"/>
          <w:sz w:val="20"/>
          <w:szCs w:val="20"/>
        </w:rPr>
        <w:t xml:space="preserve"> working for the protection and promotion of the rights of LGBT+ face difficulty in registering, as duly noted by the C</w:t>
      </w:r>
      <w:r w:rsidRPr="000139C7">
        <w:rPr>
          <w:rFonts w:ascii="Tahoma" w:eastAsia="Calibri" w:hAnsi="Tahoma" w:cs="Tahoma"/>
          <w:bCs/>
          <w:color w:val="000000"/>
          <w:sz w:val="20"/>
          <w:szCs w:val="20"/>
          <w:lang w:eastAsia="zh-CN"/>
        </w:rPr>
        <w:t>ommittee</w:t>
      </w:r>
      <w:r w:rsidRPr="000139C7">
        <w:rPr>
          <w:rFonts w:ascii="Tahoma" w:hAnsi="Tahoma" w:cs="Tahoma"/>
          <w:bCs/>
          <w:color w:val="000000"/>
          <w:sz w:val="20"/>
          <w:szCs w:val="20"/>
        </w:rPr>
        <w:t xml:space="preserve"> (CO, para. 10). In addition, LGBT+ organizations are afraid of persecution on the government’s part, considering how the articles of the criminal code can be twisted and the high levels of stigma that permeate the general public, law-enforcement, and medical workers. While there is no formal ban to register LGBT+ NGOs in Tajikistan, it is not possible to register an NGO, if in its statutory documents it is mentioned that it works with gay men, other MSM and trans people as it would be considered as a violation of the Law, in particular article 14 thereof (“infringing public health and morals”). Most organizations are forced to help LGBT+ individuals in secrecy, especially when it comes to HIV. </w:t>
      </w:r>
    </w:p>
    <w:p w14:paraId="41990E23"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Cs/>
          <w:sz w:val="20"/>
          <w:szCs w:val="20"/>
          <w:lang w:eastAsia="zh-CN"/>
        </w:rPr>
        <w:t>23. E</w:t>
      </w:r>
      <w:r w:rsidRPr="000139C7">
        <w:rPr>
          <w:rFonts w:ascii="Tahoma" w:hAnsi="Tahoma" w:cs="Tahoma"/>
          <w:bCs/>
          <w:color w:val="000000"/>
          <w:sz w:val="20"/>
          <w:szCs w:val="20"/>
        </w:rPr>
        <w:t xml:space="preserve">nforcing stringent and heavily bureaucratic procedures upon </w:t>
      </w:r>
      <w:r w:rsidRPr="000139C7">
        <w:rPr>
          <w:rFonts w:ascii="Tahoma" w:eastAsia="Calibri" w:hAnsi="Tahoma" w:cs="Tahoma"/>
          <w:bCs/>
          <w:color w:val="000000"/>
          <w:sz w:val="20"/>
          <w:szCs w:val="20"/>
          <w:lang w:eastAsia="zh-CN"/>
        </w:rPr>
        <w:t>CSOs</w:t>
      </w:r>
      <w:r w:rsidRPr="000139C7">
        <w:rPr>
          <w:rFonts w:ascii="Tahoma" w:hAnsi="Tahoma" w:cs="Tahoma"/>
          <w:bCs/>
          <w:color w:val="000000"/>
          <w:sz w:val="20"/>
          <w:szCs w:val="20"/>
        </w:rPr>
        <w:t xml:space="preserve"> goes against the purpose of freedom of association, which </w:t>
      </w:r>
      <w:r w:rsidRPr="000139C7">
        <w:rPr>
          <w:rFonts w:ascii="Tahoma" w:eastAsia="Calibri" w:hAnsi="Tahoma" w:cs="Tahoma"/>
          <w:bCs/>
          <w:color w:val="000000"/>
          <w:sz w:val="20"/>
          <w:szCs w:val="20"/>
          <w:lang w:eastAsia="zh-CN"/>
        </w:rPr>
        <w:t xml:space="preserve">is </w:t>
      </w:r>
      <w:r w:rsidRPr="000139C7">
        <w:rPr>
          <w:rFonts w:ascii="Tahoma" w:hAnsi="Tahoma" w:cs="Tahoma"/>
          <w:bCs/>
          <w:color w:val="000000"/>
          <w:sz w:val="20"/>
          <w:szCs w:val="20"/>
        </w:rPr>
        <w:t>crucial to promoting the equality of economic, social, and cultural rights. Unsolicited and uber-controlling governmental vigilance has no meaning or necessity when it comes to peaceful civil society activities.</w:t>
      </w:r>
    </w:p>
    <w:p w14:paraId="27C0244A"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color w:val="000000"/>
          <w:sz w:val="20"/>
          <w:szCs w:val="20"/>
        </w:rPr>
        <w:t xml:space="preserve">24. Another barrier is the tightening of control over the activities of lawyers in the country. New legislation imposes unreasonably strict criteria for admission to the bar and instructs the official state body to conduct certification and periodic re-certification of lawyers. In addition, there have been reports of harassment of human rights lawyers. </w:t>
      </w:r>
      <w:r w:rsidRPr="000139C7">
        <w:rPr>
          <w:rFonts w:ascii="Tahoma" w:eastAsia="SimSun" w:hAnsi="Tahoma" w:cs="Tahoma"/>
          <w:bCs/>
          <w:color w:val="000000"/>
          <w:sz w:val="20"/>
          <w:szCs w:val="20"/>
          <w:lang w:eastAsia="zh-CN"/>
        </w:rPr>
        <w:t xml:space="preserve">Consequently, there are few lawyers in Tajikistan and access to free legal aid </w:t>
      </w:r>
      <w:hyperlink r:id="rId21" w:history="1">
        <w:r w:rsidRPr="000139C7">
          <w:rPr>
            <w:rStyle w:val="Hyperlink"/>
            <w:rFonts w:ascii="Tahoma" w:eastAsia="SimSun" w:hAnsi="Tahoma" w:cs="Tahoma"/>
            <w:bCs/>
            <w:color w:val="000000"/>
            <w:sz w:val="20"/>
            <w:szCs w:val="20"/>
            <w:lang w:eastAsia="zh-CN"/>
          </w:rPr>
          <w:t>is limited</w:t>
        </w:r>
      </w:hyperlink>
      <w:r w:rsidRPr="000139C7">
        <w:rPr>
          <w:rFonts w:ascii="Tahoma" w:eastAsia="SimSun" w:hAnsi="Tahoma" w:cs="Tahoma"/>
          <w:bCs/>
          <w:color w:val="000000"/>
          <w:sz w:val="20"/>
          <w:szCs w:val="20"/>
          <w:lang w:eastAsia="zh-CN"/>
        </w:rPr>
        <w:t>.</w:t>
      </w:r>
    </w:p>
    <w:p w14:paraId="113D00FB" w14:textId="77777777" w:rsidR="000139C7" w:rsidRPr="000139C7" w:rsidRDefault="000139C7" w:rsidP="000139C7">
      <w:pPr>
        <w:spacing w:before="120" w:after="120"/>
        <w:ind w:firstLine="567"/>
        <w:jc w:val="both"/>
        <w:rPr>
          <w:rFonts w:ascii="Tahoma" w:hAnsi="Tahoma" w:cs="Tahoma"/>
          <w:sz w:val="20"/>
          <w:szCs w:val="20"/>
        </w:rPr>
      </w:pPr>
    </w:p>
    <w:p w14:paraId="6C5B4558" w14:textId="77777777" w:rsidR="000139C7" w:rsidRPr="000139C7" w:rsidRDefault="000139C7" w:rsidP="000139C7">
      <w:pPr>
        <w:spacing w:before="120" w:after="120"/>
        <w:ind w:firstLine="567"/>
        <w:jc w:val="both"/>
        <w:rPr>
          <w:rFonts w:ascii="Tahoma" w:hAnsi="Tahoma" w:cs="Tahoma"/>
          <w:b/>
          <w:bCs/>
          <w:color w:val="000000"/>
          <w:sz w:val="20"/>
          <w:szCs w:val="20"/>
          <w:u w:val="single"/>
        </w:rPr>
      </w:pPr>
    </w:p>
    <w:p w14:paraId="04802899" w14:textId="77777777" w:rsidR="000139C7" w:rsidRPr="000139C7" w:rsidRDefault="000139C7" w:rsidP="000139C7">
      <w:pPr>
        <w:spacing w:before="120" w:after="120"/>
        <w:ind w:firstLine="567"/>
        <w:jc w:val="both"/>
        <w:rPr>
          <w:rFonts w:ascii="Tahoma" w:hAnsi="Tahoma" w:cs="Tahoma"/>
          <w:b/>
          <w:bCs/>
          <w:color w:val="000000"/>
          <w:sz w:val="20"/>
          <w:szCs w:val="20"/>
          <w:u w:val="single"/>
        </w:rPr>
      </w:pPr>
    </w:p>
    <w:p w14:paraId="1FA1CD99" w14:textId="77777777" w:rsidR="0038189A" w:rsidRDefault="0038189A">
      <w:pPr>
        <w:rPr>
          <w:rFonts w:ascii="Tahoma" w:hAnsi="Tahoma" w:cs="Tahoma"/>
          <w:b/>
          <w:bCs/>
          <w:color w:val="000000"/>
          <w:sz w:val="20"/>
          <w:szCs w:val="20"/>
          <w:u w:val="single"/>
        </w:rPr>
      </w:pPr>
      <w:r>
        <w:rPr>
          <w:rFonts w:ascii="Tahoma" w:hAnsi="Tahoma" w:cs="Tahoma"/>
          <w:b/>
          <w:bCs/>
          <w:color w:val="000000"/>
          <w:sz w:val="20"/>
          <w:szCs w:val="20"/>
          <w:u w:val="single"/>
        </w:rPr>
        <w:br w:type="page"/>
      </w:r>
    </w:p>
    <w:p w14:paraId="43A23126" w14:textId="3A245A1D"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
          <w:bCs/>
          <w:color w:val="000000"/>
          <w:sz w:val="20"/>
          <w:szCs w:val="20"/>
          <w:u w:val="single"/>
        </w:rPr>
        <w:lastRenderedPageBreak/>
        <w:t>Article 12 — Right to Health</w:t>
      </w:r>
    </w:p>
    <w:p w14:paraId="40446827"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
          <w:bCs/>
          <w:color w:val="000000"/>
          <w:sz w:val="20"/>
          <w:szCs w:val="20"/>
        </w:rPr>
        <w:t xml:space="preserve">The </w:t>
      </w:r>
      <w:r w:rsidRPr="000139C7">
        <w:rPr>
          <w:rFonts w:ascii="Tahoma" w:eastAsia="Calibri" w:hAnsi="Tahoma" w:cs="Tahoma"/>
          <w:b/>
          <w:bCs/>
          <w:color w:val="000000"/>
          <w:sz w:val="20"/>
          <w:szCs w:val="20"/>
          <w:lang w:eastAsia="zh-CN"/>
        </w:rPr>
        <w:t>issues linked to the rights</w:t>
      </w:r>
      <w:r w:rsidRPr="000139C7">
        <w:rPr>
          <w:rFonts w:ascii="Tahoma" w:hAnsi="Tahoma" w:cs="Tahoma"/>
          <w:b/>
          <w:bCs/>
          <w:color w:val="000000"/>
          <w:sz w:val="20"/>
          <w:szCs w:val="20"/>
        </w:rPr>
        <w:t xml:space="preserve"> of transgender people</w:t>
      </w:r>
    </w:p>
    <w:p w14:paraId="1B5C88D8"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Cs/>
          <w:color w:val="000000"/>
          <w:sz w:val="20"/>
          <w:szCs w:val="20"/>
          <w:lang w:eastAsia="zh-CN"/>
        </w:rPr>
        <w:t>25. T</w:t>
      </w:r>
      <w:r w:rsidRPr="000139C7">
        <w:rPr>
          <w:rFonts w:ascii="Tahoma" w:hAnsi="Tahoma" w:cs="Tahoma"/>
          <w:bCs/>
          <w:color w:val="000000"/>
          <w:sz w:val="20"/>
          <w:szCs w:val="20"/>
        </w:rPr>
        <w:t xml:space="preserve">rans persons in Tajikistan remain to be the most vulnerable minority group, one that is virtually absent from the national legislation. At present, Tajikistan law has no procedure that would ensure a trans person’s right to receive a civil document that conforms to their chosen gender identity. There is no legislation that would govern the procedure of gender confirmation and/or sex reassignment in terms of medical, social, and legal assistance. There is no possibility for trans people to acquire civil registrar or other legal documents that would reflect their transition and confirm the gender identity of their choice if they have decided to transition. </w:t>
      </w:r>
    </w:p>
    <w:p w14:paraId="47FA96CB"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Cs/>
          <w:color w:val="000000"/>
          <w:sz w:val="20"/>
          <w:szCs w:val="20"/>
          <w:lang w:eastAsia="zh-CN"/>
        </w:rPr>
        <w:t>26. T</w:t>
      </w:r>
      <w:r w:rsidRPr="000139C7">
        <w:rPr>
          <w:rFonts w:ascii="Tahoma" w:hAnsi="Tahoma" w:cs="Tahoma"/>
          <w:bCs/>
          <w:color w:val="000000"/>
          <w:sz w:val="20"/>
          <w:szCs w:val="20"/>
        </w:rPr>
        <w:t>he only case when gender reassignment option is mentioned in laws is the Law “On the Civil Registration Procedure.” Article 74 of that law states: “</w:t>
      </w:r>
      <w:r w:rsidRPr="000139C7">
        <w:rPr>
          <w:rFonts w:ascii="Tahoma" w:hAnsi="Tahoma" w:cs="Tahoma"/>
          <w:bCs/>
          <w:i/>
          <w:iCs/>
          <w:color w:val="000000"/>
          <w:sz w:val="20"/>
          <w:szCs w:val="20"/>
        </w:rPr>
        <w:t>Conclusion of the civil registration office on introducing corrections, amendments or additions to the civil status act shall be made by a civil registration body if [...] a document on gender reassignment issued by a healthcare institution in a set format is submitted</w:t>
      </w:r>
      <w:r w:rsidRPr="000139C7">
        <w:rPr>
          <w:rFonts w:ascii="Tahoma" w:hAnsi="Tahoma" w:cs="Tahoma"/>
          <w:bCs/>
          <w:color w:val="000000"/>
          <w:sz w:val="20"/>
          <w:szCs w:val="20"/>
        </w:rPr>
        <w:t>.” All other aspects remain unsettled as there is no procedure to issue such documents “in the set format”, no agency authorized to issue such documents, and, finally, no set format for such documents to be issued.</w:t>
      </w:r>
    </w:p>
    <w:p w14:paraId="7377B8CB"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color w:val="000000"/>
          <w:sz w:val="20"/>
          <w:szCs w:val="20"/>
        </w:rPr>
        <w:t>27. Apart from this, there are also no medical protocols for managing trans patients and no doctors qualified to provide medical services to trans people. Besides, doctors refuse to work with trans* people arguing that they lack the necessary regulatory framework</w:t>
      </w:r>
      <w:r w:rsidRPr="000139C7">
        <w:rPr>
          <w:rStyle w:val="FootnoteReference"/>
          <w:rFonts w:ascii="Tahoma" w:hAnsi="Tahoma" w:cs="Tahoma"/>
          <w:bCs/>
          <w:color w:val="000000"/>
          <w:sz w:val="20"/>
          <w:szCs w:val="20"/>
        </w:rPr>
        <w:footnoteReference w:id="2"/>
      </w:r>
      <w:r w:rsidRPr="000139C7">
        <w:rPr>
          <w:rFonts w:ascii="Tahoma" w:hAnsi="Tahoma" w:cs="Tahoma"/>
          <w:bCs/>
          <w:color w:val="000000"/>
          <w:sz w:val="20"/>
          <w:szCs w:val="20"/>
        </w:rPr>
        <w:t>.</w:t>
      </w:r>
    </w:p>
    <w:p w14:paraId="3D914B8B" w14:textId="6A0CF283" w:rsidR="000139C7" w:rsidRPr="000139C7" w:rsidRDefault="000139C7" w:rsidP="0038189A">
      <w:pPr>
        <w:spacing w:before="120" w:after="120"/>
        <w:ind w:firstLine="567"/>
        <w:jc w:val="both"/>
        <w:rPr>
          <w:rFonts w:ascii="Tahoma" w:hAnsi="Tahoma" w:cs="Tahoma"/>
          <w:sz w:val="20"/>
          <w:szCs w:val="20"/>
        </w:rPr>
      </w:pPr>
      <w:r w:rsidRPr="000139C7">
        <w:rPr>
          <w:rFonts w:ascii="Tahoma" w:eastAsia="Calibri" w:hAnsi="Tahoma" w:cs="Tahoma"/>
          <w:bCs/>
          <w:color w:val="000000"/>
          <w:sz w:val="20"/>
          <w:szCs w:val="20"/>
          <w:lang w:eastAsia="zh-CN"/>
        </w:rPr>
        <w:t xml:space="preserve">28. </w:t>
      </w:r>
      <w:r w:rsidRPr="000139C7">
        <w:rPr>
          <w:rFonts w:ascii="Tahoma" w:hAnsi="Tahoma" w:cs="Tahoma"/>
          <w:bCs/>
          <w:color w:val="000000"/>
          <w:sz w:val="20"/>
          <w:szCs w:val="20"/>
        </w:rPr>
        <w:t>Taking into account the current situation, the State should review the procedures for gender-reassignment surgery and sex change with a view to ensuring their compatibility with the Covenant.</w:t>
      </w:r>
    </w:p>
    <w:p w14:paraId="0A0BE014"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
          <w:bCs/>
          <w:color w:val="000000"/>
          <w:sz w:val="20"/>
          <w:szCs w:val="20"/>
          <w:lang w:eastAsia="zh-CN"/>
        </w:rPr>
        <w:t>The issues of combating HIV</w:t>
      </w:r>
    </w:p>
    <w:p w14:paraId="04A004CF"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sz w:val="20"/>
          <w:szCs w:val="20"/>
          <w:lang w:eastAsia="zh-CN"/>
        </w:rPr>
        <w:t>29. In its Report</w:t>
      </w:r>
      <w:r w:rsidRPr="000139C7">
        <w:rPr>
          <w:rFonts w:ascii="Tahoma" w:eastAsia="Calibri" w:hAnsi="Tahoma" w:cs="Tahoma"/>
          <w:bCs/>
          <w:color w:val="000000"/>
          <w:sz w:val="20"/>
          <w:szCs w:val="20"/>
          <w:lang w:eastAsia="zh-CN"/>
        </w:rPr>
        <w:t xml:space="preserve"> </w:t>
      </w:r>
      <w:r w:rsidRPr="000139C7">
        <w:rPr>
          <w:rFonts w:ascii="Tahoma" w:eastAsia="Calibri" w:hAnsi="Tahoma" w:cs="Tahoma"/>
          <w:sz w:val="20"/>
          <w:szCs w:val="20"/>
          <w:lang w:eastAsia="zh-CN"/>
        </w:rPr>
        <w:t>t</w:t>
      </w:r>
      <w:r w:rsidRPr="000139C7">
        <w:rPr>
          <w:rFonts w:ascii="Tahoma" w:hAnsi="Tahoma" w:cs="Tahoma"/>
          <w:sz w:val="20"/>
          <w:szCs w:val="20"/>
        </w:rPr>
        <w:t xml:space="preserve">he State allocates special attention to its national programme for HIV-prevention </w:t>
      </w:r>
      <w:r w:rsidRPr="000139C7">
        <w:rPr>
          <w:rFonts w:ascii="Tahoma" w:hAnsi="Tahoma" w:cs="Tahoma"/>
          <w:bCs/>
          <w:color w:val="000000"/>
          <w:sz w:val="20"/>
          <w:szCs w:val="20"/>
        </w:rPr>
        <w:t>(paras. 135-147)</w:t>
      </w:r>
      <w:r w:rsidRPr="000139C7">
        <w:rPr>
          <w:rFonts w:ascii="Tahoma" w:hAnsi="Tahoma" w:cs="Tahoma"/>
          <w:sz w:val="20"/>
          <w:szCs w:val="20"/>
        </w:rPr>
        <w:t xml:space="preserve">. ECOM expresses high regard and commends Tajikistan’s results and efforts when it comes to HIV-prevention for the general population. </w:t>
      </w:r>
      <w:r w:rsidRPr="000139C7">
        <w:rPr>
          <w:rFonts w:ascii="Tahoma" w:eastAsia="Calibri" w:hAnsi="Tahoma" w:cs="Tahoma"/>
          <w:sz w:val="20"/>
          <w:szCs w:val="20"/>
          <w:lang w:eastAsia="zh-CN"/>
        </w:rPr>
        <w:t>However, t</w:t>
      </w:r>
      <w:r w:rsidRPr="000139C7">
        <w:rPr>
          <w:rFonts w:ascii="Tahoma" w:hAnsi="Tahoma" w:cs="Tahoma"/>
          <w:sz w:val="20"/>
          <w:szCs w:val="20"/>
        </w:rPr>
        <w:t>he present national HIV-prevention legislation does not gather any data on MSM and trans people and does not have any programmes to provide HIV-services for those disadvantaged communities who have very distinct needs that are diverse from the heteronormative general public. States must recognize and provide for the differences and specific needs of groups that generally face particular health challenges, such as higher mortality rates or vulnerability to specific diseases</w:t>
      </w:r>
      <w:r w:rsidRPr="000139C7">
        <w:rPr>
          <w:rStyle w:val="FootnoteReference"/>
          <w:rFonts w:ascii="Tahoma" w:hAnsi="Tahoma" w:cs="Tahoma"/>
          <w:sz w:val="20"/>
          <w:szCs w:val="20"/>
        </w:rPr>
        <w:footnoteReference w:id="3"/>
      </w:r>
      <w:r w:rsidRPr="000139C7">
        <w:rPr>
          <w:rFonts w:ascii="Tahoma" w:hAnsi="Tahoma" w:cs="Tahoma"/>
          <w:sz w:val="20"/>
          <w:szCs w:val="20"/>
        </w:rPr>
        <w:t>.</w:t>
      </w:r>
    </w:p>
    <w:p w14:paraId="09E52CC1"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sz w:val="20"/>
          <w:szCs w:val="20"/>
        </w:rPr>
        <w:t>30. The breach of confidentiality when it comes to HIV and SOGIGE status is an alarming issue in Tajikistan. Non-heterosexual people are afraid to turn to medical facilities for any kind of medical help, including treating their injuries, or to law-enforcement for protection because they are afraid of receiving further abuse.</w:t>
      </w:r>
    </w:p>
    <w:p w14:paraId="37F29A64"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sz w:val="20"/>
          <w:szCs w:val="20"/>
        </w:rPr>
        <w:t>31. No funds under the Tajikistan national HIV-prevention policy are allocated to raise the awareness and education of the police and medical workers regarding sexual orientation, gender identity and nuances of working with this vulnerable group, particularly, in terms of HIV-prevention.</w:t>
      </w:r>
    </w:p>
    <w:p w14:paraId="7119C398" w14:textId="77777777" w:rsidR="000139C7" w:rsidRPr="000139C7" w:rsidRDefault="000139C7" w:rsidP="000139C7">
      <w:pPr>
        <w:pStyle w:val="LO-normal"/>
        <w:spacing w:before="120" w:after="120" w:line="240" w:lineRule="auto"/>
        <w:ind w:firstLine="566"/>
        <w:jc w:val="both"/>
        <w:rPr>
          <w:rFonts w:ascii="Tahoma" w:hAnsi="Tahoma" w:cs="Tahoma"/>
          <w:sz w:val="20"/>
          <w:szCs w:val="20"/>
          <w:lang w:val="en-US"/>
        </w:rPr>
      </w:pPr>
      <w:r w:rsidRPr="000139C7">
        <w:rPr>
          <w:rFonts w:ascii="Tahoma" w:eastAsia="Times New Roman" w:hAnsi="Tahoma" w:cs="Tahoma"/>
          <w:bCs/>
          <w:color w:val="000000"/>
          <w:sz w:val="20"/>
          <w:szCs w:val="20"/>
          <w:lang w:val="en-US"/>
        </w:rPr>
        <w:t xml:space="preserve">32. Another unresolved issue is the </w:t>
      </w:r>
      <w:hyperlink r:id="rId22" w:history="1">
        <w:r w:rsidRPr="000139C7">
          <w:rPr>
            <w:rStyle w:val="Hyperlink"/>
            <w:rFonts w:ascii="Tahoma" w:eastAsia="Times New Roman" w:hAnsi="Tahoma" w:cs="Tahoma"/>
            <w:bCs/>
            <w:color w:val="000000"/>
            <w:sz w:val="20"/>
            <w:szCs w:val="20"/>
            <w:lang w:val="en-US"/>
          </w:rPr>
          <w:t>criminalization</w:t>
        </w:r>
      </w:hyperlink>
      <w:r w:rsidRPr="000139C7">
        <w:rPr>
          <w:rFonts w:ascii="Tahoma" w:eastAsia="Times New Roman" w:hAnsi="Tahoma" w:cs="Tahoma"/>
          <w:bCs/>
          <w:color w:val="000000"/>
          <w:sz w:val="20"/>
          <w:szCs w:val="20"/>
          <w:lang w:val="en-US"/>
        </w:rPr>
        <w:t xml:space="preserve"> of HIV transmission. The existence of </w:t>
      </w:r>
      <w:hyperlink r:id="rId23" w:history="1">
        <w:r w:rsidRPr="000139C7">
          <w:rPr>
            <w:rStyle w:val="Hyperlink"/>
            <w:rFonts w:ascii="Tahoma" w:eastAsia="Times New Roman" w:hAnsi="Tahoma" w:cs="Tahoma"/>
            <w:bCs/>
            <w:color w:val="000000"/>
            <w:sz w:val="20"/>
            <w:szCs w:val="20"/>
            <w:lang w:val="en-US"/>
          </w:rPr>
          <w:t>criminal liability</w:t>
        </w:r>
      </w:hyperlink>
      <w:r w:rsidRPr="000139C7">
        <w:rPr>
          <w:rFonts w:ascii="Tahoma" w:eastAsia="Times New Roman" w:hAnsi="Tahoma" w:cs="Tahoma"/>
          <w:bCs/>
          <w:color w:val="000000"/>
          <w:sz w:val="20"/>
          <w:szCs w:val="20"/>
          <w:lang w:val="en-US"/>
        </w:rPr>
        <w:t xml:space="preserve"> leaves room for the stigmatization of PLHIV, as well as for abuse of power, blackmail, and intimidation of LGBT+ people. The UN principles strongly recommend that such laws should be applied only in cases of intentional transmission of the virus. We recall the</w:t>
      </w:r>
      <w:hyperlink r:id="rId24" w:history="1">
        <w:r w:rsidRPr="000139C7">
          <w:rPr>
            <w:rStyle w:val="Hyperlink"/>
            <w:rFonts w:ascii="Tahoma" w:eastAsia="Times New Roman" w:hAnsi="Tahoma" w:cs="Tahoma"/>
            <w:bCs/>
            <w:color w:val="000000"/>
            <w:sz w:val="20"/>
            <w:szCs w:val="20"/>
            <w:lang w:val="en-US"/>
          </w:rPr>
          <w:t xml:space="preserve"> </w:t>
        </w:r>
      </w:hyperlink>
      <w:hyperlink r:id="rId25" w:history="1">
        <w:r w:rsidRPr="000139C7">
          <w:rPr>
            <w:rStyle w:val="Hyperlink"/>
            <w:rFonts w:ascii="Tahoma" w:eastAsia="Times New Roman" w:hAnsi="Tahoma" w:cs="Tahoma"/>
            <w:bCs/>
            <w:sz w:val="20"/>
            <w:szCs w:val="20"/>
            <w:lang w:val="en-US"/>
          </w:rPr>
          <w:t>Oslo Declaration</w:t>
        </w:r>
      </w:hyperlink>
      <w:r w:rsidRPr="000139C7">
        <w:rPr>
          <w:rFonts w:ascii="Tahoma" w:eastAsia="Times New Roman" w:hAnsi="Tahoma" w:cs="Tahoma"/>
          <w:bCs/>
          <w:color w:val="000000"/>
          <w:sz w:val="20"/>
          <w:szCs w:val="20"/>
          <w:lang w:val="en-US"/>
        </w:rPr>
        <w:t>, adopted by international civil society on 13 February 2012, and urge the State to abolish criminal liability for HIV transmissions.</w:t>
      </w:r>
    </w:p>
    <w:p w14:paraId="04719330" w14:textId="77777777" w:rsidR="000139C7" w:rsidRPr="000139C7" w:rsidRDefault="000139C7" w:rsidP="000139C7">
      <w:pPr>
        <w:pStyle w:val="LO-normal"/>
        <w:spacing w:before="120" w:after="120" w:line="240" w:lineRule="auto"/>
        <w:ind w:firstLine="566"/>
        <w:jc w:val="both"/>
        <w:rPr>
          <w:rFonts w:ascii="Tahoma" w:hAnsi="Tahoma" w:cs="Tahoma"/>
          <w:sz w:val="20"/>
          <w:szCs w:val="20"/>
          <w:lang w:val="en-US"/>
        </w:rPr>
      </w:pPr>
    </w:p>
    <w:p w14:paraId="14283A62"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
          <w:bCs/>
          <w:color w:val="000000"/>
          <w:sz w:val="20"/>
          <w:szCs w:val="20"/>
        </w:rPr>
        <w:t>COVID-19 and its consequences on the life of LGBT+ people</w:t>
      </w:r>
    </w:p>
    <w:p w14:paraId="66547FF1" w14:textId="77777777" w:rsidR="000139C7" w:rsidRPr="000139C7" w:rsidRDefault="000139C7" w:rsidP="000139C7">
      <w:pPr>
        <w:pStyle w:val="LO-normal"/>
        <w:spacing w:before="120" w:after="120" w:line="240" w:lineRule="auto"/>
        <w:ind w:firstLine="566"/>
        <w:jc w:val="both"/>
        <w:rPr>
          <w:rFonts w:ascii="Tahoma" w:hAnsi="Tahoma" w:cs="Tahoma"/>
          <w:sz w:val="20"/>
          <w:szCs w:val="20"/>
          <w:lang w:val="en-US"/>
        </w:rPr>
      </w:pPr>
      <w:r w:rsidRPr="000139C7">
        <w:rPr>
          <w:rFonts w:ascii="Tahoma" w:eastAsia="Times New Roman" w:hAnsi="Tahoma" w:cs="Tahoma"/>
          <w:sz w:val="20"/>
          <w:szCs w:val="20"/>
          <w:lang w:val="en-US"/>
        </w:rPr>
        <w:t>33. COVID-19 has severely</w:t>
      </w:r>
      <w:hyperlink r:id="rId26" w:history="1">
        <w:r w:rsidRPr="000139C7">
          <w:rPr>
            <w:rStyle w:val="Hyperlink"/>
            <w:rFonts w:ascii="Tahoma" w:eastAsia="Times New Roman" w:hAnsi="Tahoma" w:cs="Tahoma"/>
            <w:sz w:val="20"/>
            <w:szCs w:val="20"/>
            <w:lang w:val="en-US"/>
          </w:rPr>
          <w:t xml:space="preserve"> </w:t>
        </w:r>
      </w:hyperlink>
      <w:hyperlink r:id="rId27" w:history="1">
        <w:r w:rsidRPr="000139C7">
          <w:rPr>
            <w:rStyle w:val="Hyperlink"/>
            <w:rFonts w:ascii="Tahoma" w:eastAsia="Times New Roman" w:hAnsi="Tahoma" w:cs="Tahoma"/>
            <w:sz w:val="20"/>
            <w:szCs w:val="20"/>
            <w:lang w:val="en-US"/>
          </w:rPr>
          <w:t>reduced the availability of HIV services</w:t>
        </w:r>
      </w:hyperlink>
      <w:r w:rsidRPr="000139C7">
        <w:rPr>
          <w:rFonts w:ascii="Tahoma" w:eastAsia="Times New Roman" w:hAnsi="Tahoma" w:cs="Tahoma"/>
          <w:sz w:val="20"/>
          <w:szCs w:val="20"/>
          <w:lang w:val="en-US"/>
        </w:rPr>
        <w:t xml:space="preserve">, especially for key populations. The diversion of financial, human and technical resources from health systems to combat COVID-19, the overburdening and repurposing of health facilities, shortages of health workers, and quarantine restrictions, including travel bans, all present new barriers to achieving the goal of ending the AIDS epidemic. </w:t>
      </w:r>
    </w:p>
    <w:p w14:paraId="3C6237B9" w14:textId="0DC0705F" w:rsidR="000139C7" w:rsidRPr="000139C7" w:rsidRDefault="000139C7" w:rsidP="0038189A">
      <w:pPr>
        <w:pStyle w:val="LO-normal"/>
        <w:spacing w:before="120" w:after="120" w:line="240" w:lineRule="auto"/>
        <w:ind w:firstLine="566"/>
        <w:jc w:val="both"/>
        <w:rPr>
          <w:rFonts w:ascii="Tahoma" w:hAnsi="Tahoma" w:cs="Tahoma"/>
          <w:sz w:val="20"/>
          <w:szCs w:val="20"/>
          <w:lang w:val="en-US"/>
        </w:rPr>
      </w:pPr>
      <w:r w:rsidRPr="000139C7">
        <w:rPr>
          <w:rFonts w:ascii="Tahoma" w:eastAsia="Times New Roman" w:hAnsi="Tahoma" w:cs="Tahoma"/>
          <w:sz w:val="20"/>
          <w:szCs w:val="20"/>
          <w:lang w:val="en-US"/>
        </w:rPr>
        <w:t>34. Members of LGBT communities are among those most affected in this regard. HIV prevention and testing services have become much less accessible, due to the fact that they are also not classified as elements of critical infrastructure in the response to COVID-19. Domestic and gender-based violence have increased pervasively during times of forced isolation, which has affected cisgender and trans women to a great extent. In this regard, it will be useful to find out how the authorities reacted to the crisis, which also deeply affected LGBT+ communities.</w:t>
      </w:r>
    </w:p>
    <w:p w14:paraId="1F009265"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
          <w:bCs/>
          <w:color w:val="000000"/>
          <w:sz w:val="20"/>
          <w:szCs w:val="20"/>
          <w:u w:val="single"/>
        </w:rPr>
        <w:lastRenderedPageBreak/>
        <w:t xml:space="preserve">Article 13 – Right to </w:t>
      </w:r>
      <w:r w:rsidRPr="000139C7">
        <w:rPr>
          <w:rFonts w:ascii="Tahoma" w:eastAsia="Calibri" w:hAnsi="Tahoma" w:cs="Tahoma"/>
          <w:b/>
          <w:bCs/>
          <w:color w:val="000000"/>
          <w:sz w:val="20"/>
          <w:szCs w:val="20"/>
          <w:u w:val="single"/>
          <w:lang w:eastAsia="zh-CN"/>
        </w:rPr>
        <w:t>E</w:t>
      </w:r>
      <w:r w:rsidRPr="000139C7">
        <w:rPr>
          <w:rFonts w:ascii="Tahoma" w:hAnsi="Tahoma" w:cs="Tahoma"/>
          <w:b/>
          <w:bCs/>
          <w:color w:val="000000"/>
          <w:sz w:val="20"/>
          <w:szCs w:val="20"/>
          <w:u w:val="single"/>
        </w:rPr>
        <w:t>ducation</w:t>
      </w:r>
    </w:p>
    <w:p w14:paraId="73FCEC87"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color w:val="000000"/>
          <w:sz w:val="20"/>
          <w:szCs w:val="20"/>
        </w:rPr>
        <w:t>35. In the Report the authorities provided statistics about students and information about educational programs (</w:t>
      </w:r>
      <w:r w:rsidRPr="000139C7">
        <w:rPr>
          <w:rFonts w:ascii="Tahoma" w:eastAsia="Calibri" w:hAnsi="Tahoma" w:cs="Tahoma"/>
          <w:bCs/>
          <w:color w:val="000000"/>
          <w:sz w:val="20"/>
          <w:szCs w:val="20"/>
          <w:lang w:eastAsia="zh-CN"/>
        </w:rPr>
        <w:t>paras.</w:t>
      </w:r>
      <w:r w:rsidRPr="000139C7">
        <w:rPr>
          <w:rFonts w:ascii="Tahoma" w:hAnsi="Tahoma" w:cs="Tahoma"/>
          <w:bCs/>
          <w:color w:val="000000"/>
          <w:sz w:val="20"/>
          <w:szCs w:val="20"/>
        </w:rPr>
        <w:t xml:space="preserve"> 154-156). However, this is only one side of the coin. </w:t>
      </w:r>
      <w:r w:rsidRPr="000139C7">
        <w:rPr>
          <w:rFonts w:ascii="Tahoma" w:eastAsia="Calibri" w:hAnsi="Tahoma" w:cs="Tahoma"/>
          <w:bCs/>
          <w:color w:val="000000"/>
          <w:sz w:val="20"/>
          <w:szCs w:val="20"/>
          <w:lang w:eastAsia="zh-CN"/>
        </w:rPr>
        <w:t>T</w:t>
      </w:r>
      <w:r w:rsidRPr="000139C7">
        <w:rPr>
          <w:rFonts w:ascii="Tahoma" w:hAnsi="Tahoma" w:cs="Tahoma"/>
          <w:bCs/>
          <w:color w:val="000000"/>
          <w:sz w:val="20"/>
          <w:szCs w:val="20"/>
        </w:rPr>
        <w:t>opics of sexual and reproductive health are frowned upon during family meetings, in public, in schools, and o</w:t>
      </w:r>
      <w:r w:rsidRPr="000139C7">
        <w:rPr>
          <w:rFonts w:ascii="Tahoma" w:hAnsi="Tahoma" w:cs="Tahoma"/>
          <w:bCs/>
          <w:color w:val="000000"/>
          <w:sz w:val="20"/>
          <w:szCs w:val="20"/>
          <w:shd w:val="clear" w:color="auto" w:fill="FFFFFF"/>
        </w:rPr>
        <w:t xml:space="preserve">n television. There is no room for contemporary progressive and scientifically based conversation when it comes to sex education in Tajikistan. Topics of sexual and reproductive health are still an area of discomfort and hostility. As usual, “traditional values” and “morality” are taken up against the LGBT+ and sex education. </w:t>
      </w:r>
      <w:r w:rsidRPr="000139C7">
        <w:rPr>
          <w:rFonts w:ascii="Tahoma" w:eastAsia="Calibri" w:hAnsi="Tahoma" w:cs="Tahoma"/>
          <w:bCs/>
          <w:color w:val="000000"/>
          <w:sz w:val="20"/>
          <w:szCs w:val="20"/>
          <w:shd w:val="clear" w:color="auto" w:fill="FFFFFF"/>
          <w:lang w:eastAsia="zh-CN"/>
        </w:rPr>
        <w:t>However, a</w:t>
      </w:r>
      <w:r w:rsidRPr="000139C7">
        <w:rPr>
          <w:rFonts w:ascii="Tahoma" w:hAnsi="Tahoma" w:cs="Tahoma"/>
          <w:bCs/>
          <w:color w:val="000000"/>
          <w:sz w:val="20"/>
          <w:szCs w:val="20"/>
          <w:shd w:val="clear" w:color="auto" w:fill="FFFFFF"/>
        </w:rPr>
        <w:t xml:space="preserve">ny appellation to </w:t>
      </w:r>
      <w:r w:rsidRPr="000139C7">
        <w:rPr>
          <w:rFonts w:ascii="Tahoma" w:hAnsi="Tahoma" w:cs="Tahoma"/>
          <w:bCs/>
          <w:color w:val="000000"/>
          <w:sz w:val="20"/>
          <w:szCs w:val="20"/>
        </w:rPr>
        <w:t>the</w:t>
      </w:r>
      <w:r w:rsidRPr="000139C7">
        <w:rPr>
          <w:rFonts w:ascii="Tahoma" w:eastAsia="Calibri" w:hAnsi="Tahoma" w:cs="Tahoma"/>
          <w:bCs/>
          <w:color w:val="000000"/>
          <w:sz w:val="20"/>
          <w:szCs w:val="20"/>
          <w:lang w:eastAsia="zh-CN"/>
        </w:rPr>
        <w:t xml:space="preserve">se </w:t>
      </w:r>
      <w:r w:rsidRPr="000139C7">
        <w:rPr>
          <w:rFonts w:ascii="Tahoma" w:hAnsi="Tahoma" w:cs="Tahoma"/>
          <w:bCs/>
          <w:color w:val="000000"/>
          <w:sz w:val="20"/>
          <w:szCs w:val="20"/>
        </w:rPr>
        <w:t>“values” or “morality” to limit the rights of the LGBT+ contradicts the obligations</w:t>
      </w:r>
      <w:r w:rsidRPr="000139C7">
        <w:rPr>
          <w:rStyle w:val="FootnoteReference"/>
          <w:rFonts w:ascii="Tahoma" w:hAnsi="Tahoma" w:cs="Tahoma"/>
          <w:bCs/>
          <w:color w:val="000000"/>
          <w:sz w:val="20"/>
          <w:szCs w:val="20"/>
        </w:rPr>
        <w:footnoteReference w:id="4"/>
      </w:r>
      <w:r w:rsidRPr="000139C7">
        <w:rPr>
          <w:rFonts w:ascii="Tahoma" w:hAnsi="Tahoma" w:cs="Tahoma"/>
          <w:bCs/>
          <w:color w:val="000000"/>
          <w:sz w:val="20"/>
          <w:szCs w:val="20"/>
        </w:rPr>
        <w:t xml:space="preserve"> Ta</w:t>
      </w:r>
      <w:r w:rsidRPr="000139C7">
        <w:rPr>
          <w:rFonts w:ascii="Tahoma" w:hAnsi="Tahoma" w:cs="Tahoma"/>
          <w:bCs/>
          <w:color w:val="000000"/>
          <w:sz w:val="20"/>
          <w:szCs w:val="20"/>
          <w:shd w:val="clear" w:color="auto" w:fill="FFFFFF"/>
        </w:rPr>
        <w:t xml:space="preserve">jikistan took upon itself under the Covenant. </w:t>
      </w:r>
    </w:p>
    <w:p w14:paraId="490AEDF4"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color w:val="000000"/>
          <w:sz w:val="20"/>
          <w:szCs w:val="20"/>
          <w:shd w:val="clear" w:color="auto" w:fill="FFFFFF"/>
        </w:rPr>
        <w:t xml:space="preserve">36. It becomes apparent that the predominant reason for stigma and discrimination of the LGBT in Tajikistan is absence of education and low awareness on the matters of sexual and reproductive health, as well as gender and SOGIGE awareness. </w:t>
      </w:r>
      <w:r w:rsidRPr="000139C7">
        <w:rPr>
          <w:rFonts w:ascii="Tahoma" w:eastAsia="Calibri" w:hAnsi="Tahoma" w:cs="Tahoma"/>
          <w:bCs/>
          <w:color w:val="000000"/>
          <w:sz w:val="20"/>
          <w:szCs w:val="20"/>
          <w:shd w:val="clear" w:color="auto" w:fill="FFFFFF"/>
          <w:lang w:eastAsia="zh-CN"/>
        </w:rPr>
        <w:t>C</w:t>
      </w:r>
      <w:r w:rsidRPr="000139C7">
        <w:rPr>
          <w:rFonts w:ascii="Tahoma" w:hAnsi="Tahoma" w:cs="Tahoma"/>
          <w:bCs/>
          <w:color w:val="000000"/>
          <w:sz w:val="20"/>
          <w:szCs w:val="20"/>
          <w:shd w:val="clear" w:color="auto" w:fill="FFFFFF"/>
        </w:rPr>
        <w:t xml:space="preserve">hildren are often scared to ask questions related to that area; the school staff is undereducated as well. The discriminatory stereotypes that are voiced by the family, media, or public figures are taken at face value. The </w:t>
      </w:r>
      <w:r w:rsidRPr="000139C7">
        <w:rPr>
          <w:rFonts w:ascii="Tahoma" w:eastAsia="Calibri" w:hAnsi="Tahoma" w:cs="Tahoma"/>
          <w:bCs/>
          <w:color w:val="000000"/>
          <w:sz w:val="20"/>
          <w:szCs w:val="20"/>
          <w:shd w:val="clear" w:color="auto" w:fill="FFFFFF"/>
          <w:lang w:eastAsia="zh-CN"/>
        </w:rPr>
        <w:t>G</w:t>
      </w:r>
      <w:r w:rsidRPr="000139C7">
        <w:rPr>
          <w:rFonts w:ascii="Tahoma" w:hAnsi="Tahoma" w:cs="Tahoma"/>
          <w:bCs/>
          <w:color w:val="000000"/>
          <w:sz w:val="20"/>
          <w:szCs w:val="20"/>
          <w:shd w:val="clear" w:color="auto" w:fill="FFFFFF"/>
        </w:rPr>
        <w:t>overnment needs to adopt a contemporary, scientifically driven educational curriculum regarding sexual and reproductive health and SOGIGE issues awareness for children at schools. This has to be a positively educational curriculum that will encompass issues of sexual identity, hygiene, gender, gender identity and expression, sexual orientation, friendliness and non-hostility towards people who have different sexual needs, and, of course, sexual health and reproductive health and safety during sex, and other sex health related issues.</w:t>
      </w:r>
    </w:p>
    <w:p w14:paraId="43578DAC" w14:textId="77777777" w:rsidR="000139C7" w:rsidRPr="000139C7" w:rsidRDefault="000139C7" w:rsidP="000139C7">
      <w:pPr>
        <w:tabs>
          <w:tab w:val="left" w:pos="1689"/>
        </w:tabs>
        <w:spacing w:before="120" w:after="120"/>
        <w:ind w:right="850" w:firstLine="567"/>
        <w:jc w:val="both"/>
        <w:rPr>
          <w:rFonts w:ascii="Tahoma" w:hAnsi="Tahoma" w:cs="Tahoma"/>
          <w:b/>
          <w:sz w:val="20"/>
          <w:szCs w:val="20"/>
          <w:u w:val="single"/>
          <w:shd w:val="clear" w:color="auto" w:fill="FFFFFF"/>
        </w:rPr>
      </w:pPr>
    </w:p>
    <w:p w14:paraId="10E2C5C5" w14:textId="77777777" w:rsidR="000139C7" w:rsidRPr="000139C7" w:rsidRDefault="000139C7" w:rsidP="000139C7">
      <w:pPr>
        <w:tabs>
          <w:tab w:val="left" w:pos="1689"/>
        </w:tabs>
        <w:spacing w:before="120" w:after="120"/>
        <w:ind w:right="850" w:firstLine="567"/>
        <w:jc w:val="both"/>
        <w:rPr>
          <w:rFonts w:ascii="Tahoma" w:hAnsi="Tahoma" w:cs="Tahoma"/>
          <w:sz w:val="20"/>
          <w:szCs w:val="20"/>
        </w:rPr>
      </w:pPr>
      <w:r w:rsidRPr="000139C7">
        <w:rPr>
          <w:rFonts w:ascii="Tahoma" w:hAnsi="Tahoma" w:cs="Tahoma"/>
          <w:b/>
          <w:sz w:val="20"/>
          <w:szCs w:val="20"/>
          <w:u w:val="single"/>
          <w:shd w:val="clear" w:color="auto" w:fill="FFFFFF"/>
        </w:rPr>
        <w:t>Concluding Note</w:t>
      </w:r>
    </w:p>
    <w:p w14:paraId="66C9D894" w14:textId="77777777" w:rsidR="000139C7" w:rsidRPr="000139C7" w:rsidRDefault="000139C7" w:rsidP="000139C7">
      <w:pPr>
        <w:tabs>
          <w:tab w:val="left" w:pos="1689"/>
        </w:tabs>
        <w:spacing w:before="120" w:after="120"/>
        <w:ind w:right="57" w:firstLine="567"/>
        <w:jc w:val="both"/>
        <w:rPr>
          <w:rFonts w:ascii="Tahoma" w:hAnsi="Tahoma" w:cs="Tahoma"/>
          <w:sz w:val="20"/>
          <w:szCs w:val="20"/>
        </w:rPr>
      </w:pPr>
      <w:r w:rsidRPr="000139C7">
        <w:rPr>
          <w:rFonts w:ascii="Tahoma" w:hAnsi="Tahoma" w:cs="Tahoma"/>
          <w:sz w:val="20"/>
          <w:szCs w:val="20"/>
        </w:rPr>
        <w:t xml:space="preserve">37. Based on the Committee’s practice and the Covenant, the LGBT+ are protected equally like any other people. In light of the above, the LGBT in Tajikistan are denied their right to non-discrimination, right to health, right to education. Because they are denied a framework of protection of their rights based on </w:t>
      </w:r>
      <w:r w:rsidRPr="000139C7">
        <w:rPr>
          <w:rFonts w:ascii="Tahoma" w:eastAsia="Calibri" w:hAnsi="Tahoma" w:cs="Tahoma"/>
          <w:sz w:val="20"/>
          <w:szCs w:val="20"/>
          <w:lang w:eastAsia="zh-CN"/>
        </w:rPr>
        <w:t>SOGIGE</w:t>
      </w:r>
      <w:r w:rsidRPr="000139C7">
        <w:rPr>
          <w:rFonts w:ascii="Tahoma" w:hAnsi="Tahoma" w:cs="Tahoma"/>
          <w:sz w:val="20"/>
          <w:szCs w:val="20"/>
        </w:rPr>
        <w:t xml:space="preserve"> as attributes that are universally protected by the Covenant, it allows for the cases of violation to happen to these innocent people who are denied their natural, fundamental rights and freedoms.</w:t>
      </w:r>
    </w:p>
    <w:p w14:paraId="68868094" w14:textId="77777777" w:rsidR="000139C7" w:rsidRPr="000139C7" w:rsidRDefault="000139C7" w:rsidP="000139C7">
      <w:pPr>
        <w:tabs>
          <w:tab w:val="left" w:pos="1689"/>
        </w:tabs>
        <w:spacing w:before="120" w:after="120"/>
        <w:ind w:right="57" w:firstLine="567"/>
        <w:jc w:val="both"/>
        <w:rPr>
          <w:rFonts w:ascii="Tahoma" w:hAnsi="Tahoma" w:cs="Tahoma"/>
          <w:sz w:val="20"/>
          <w:szCs w:val="20"/>
        </w:rPr>
      </w:pPr>
    </w:p>
    <w:p w14:paraId="6400CA47" w14:textId="77777777" w:rsidR="0038189A" w:rsidRDefault="0038189A">
      <w:pPr>
        <w:rPr>
          <w:rFonts w:ascii="Tahoma" w:hAnsi="Tahoma" w:cs="Tahoma"/>
          <w:b/>
          <w:sz w:val="20"/>
          <w:szCs w:val="20"/>
          <w:u w:val="single"/>
        </w:rPr>
      </w:pPr>
      <w:r>
        <w:rPr>
          <w:rFonts w:ascii="Tahoma" w:hAnsi="Tahoma" w:cs="Tahoma"/>
          <w:b/>
          <w:sz w:val="20"/>
          <w:szCs w:val="20"/>
          <w:u w:val="single"/>
        </w:rPr>
        <w:br w:type="page"/>
      </w:r>
    </w:p>
    <w:p w14:paraId="0AFF8D4E" w14:textId="2AA3ABC1" w:rsidR="000139C7" w:rsidRPr="000139C7" w:rsidRDefault="000139C7" w:rsidP="000139C7">
      <w:pPr>
        <w:tabs>
          <w:tab w:val="left" w:pos="1689"/>
        </w:tabs>
        <w:ind w:right="826"/>
        <w:jc w:val="center"/>
        <w:rPr>
          <w:rFonts w:ascii="Tahoma" w:hAnsi="Tahoma" w:cs="Tahoma"/>
          <w:sz w:val="20"/>
          <w:szCs w:val="20"/>
        </w:rPr>
      </w:pPr>
      <w:r w:rsidRPr="000139C7">
        <w:rPr>
          <w:rFonts w:ascii="Tahoma" w:hAnsi="Tahoma" w:cs="Tahoma"/>
          <w:b/>
          <w:sz w:val="20"/>
          <w:szCs w:val="20"/>
          <w:u w:val="single"/>
        </w:rPr>
        <w:lastRenderedPageBreak/>
        <w:t>QUESTIONS AND RECOMMENDATIONS</w:t>
      </w:r>
    </w:p>
    <w:p w14:paraId="08DC8D28"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
          <w:bCs/>
          <w:sz w:val="20"/>
          <w:szCs w:val="20"/>
          <w:u w:val="single"/>
        </w:rPr>
        <w:t xml:space="preserve">38. Regarding </w:t>
      </w:r>
      <w:r w:rsidRPr="000139C7">
        <w:rPr>
          <w:rFonts w:ascii="Tahoma" w:eastAsia="Calibri" w:hAnsi="Tahoma" w:cs="Tahoma"/>
          <w:b/>
          <w:bCs/>
          <w:color w:val="000000"/>
          <w:sz w:val="20"/>
          <w:szCs w:val="20"/>
          <w:u w:val="single"/>
          <w:lang w:eastAsia="zh-CN"/>
        </w:rPr>
        <w:t>a</w:t>
      </w:r>
      <w:r w:rsidRPr="000139C7">
        <w:rPr>
          <w:rFonts w:ascii="Tahoma" w:hAnsi="Tahoma" w:cs="Tahoma"/>
          <w:b/>
          <w:bCs/>
          <w:color w:val="000000"/>
          <w:sz w:val="20"/>
          <w:szCs w:val="20"/>
          <w:u w:val="single"/>
        </w:rPr>
        <w:t>nti-discrimination legislation</w:t>
      </w:r>
    </w:p>
    <w:p w14:paraId="101FE444"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
          <w:bCs/>
          <w:sz w:val="20"/>
          <w:szCs w:val="20"/>
        </w:rPr>
        <w:t>Suggested Questions for the session</w:t>
      </w:r>
    </w:p>
    <w:p w14:paraId="3284C90A"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sz w:val="20"/>
          <w:szCs w:val="20"/>
          <w:bdr w:val="none" w:sz="0" w:space="0" w:color="000000"/>
          <w:lang w:eastAsia="zh-CN"/>
        </w:rPr>
        <w:t>- Please provide information on whether SOGIGE is included in the open list contained in article 1 of the 2022 Anti-discrimination law.</w:t>
      </w:r>
    </w:p>
    <w:p w14:paraId="2B215149"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Cs/>
          <w:sz w:val="20"/>
          <w:szCs w:val="20"/>
          <w:lang w:eastAsia="zh-CN"/>
        </w:rPr>
        <w:t xml:space="preserve">- Please explain what measures has the State undertaken to amend its Criminal Code on crimes committed on the grounds of discrimination. What steps have been taken to introduce SOGIGE as aggravating circumstances to all crimes in its Criminal Code that may be committed based on hate? </w:t>
      </w:r>
    </w:p>
    <w:p w14:paraId="38383064"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
          <w:bCs/>
          <w:sz w:val="20"/>
          <w:szCs w:val="20"/>
          <w:lang w:eastAsia="zh-CN"/>
        </w:rPr>
        <w:t>Recommendations</w:t>
      </w:r>
    </w:p>
    <w:p w14:paraId="5EA5421F"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sz w:val="20"/>
          <w:szCs w:val="20"/>
        </w:rPr>
        <w:t xml:space="preserve"> - To adopt comprehensive legislation safeguarding the basic principles of equality and non-discrimination, in accordance with the requirements of the Covenant as set out by the Committee in its General Comment № 20 (2009).</w:t>
      </w:r>
    </w:p>
    <w:p w14:paraId="04E67848"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sz w:val="20"/>
          <w:szCs w:val="20"/>
        </w:rPr>
        <w:t xml:space="preserve">- To include </w:t>
      </w:r>
      <w:r w:rsidRPr="000139C7">
        <w:rPr>
          <w:rFonts w:ascii="Tahoma" w:hAnsi="Tahoma" w:cs="Tahoma"/>
          <w:bCs/>
          <w:sz w:val="20"/>
          <w:szCs w:val="20"/>
          <w:lang w:eastAsia="zh-CN"/>
        </w:rPr>
        <w:t>SOGIGE</w:t>
      </w:r>
      <w:r w:rsidRPr="000139C7">
        <w:rPr>
          <w:rFonts w:ascii="Tahoma" w:hAnsi="Tahoma" w:cs="Tahoma"/>
          <w:bCs/>
          <w:sz w:val="20"/>
          <w:szCs w:val="20"/>
        </w:rPr>
        <w:t xml:space="preserve"> into the 2022 Anti-discrimination law.</w:t>
      </w:r>
    </w:p>
    <w:p w14:paraId="18A10D8B" w14:textId="77777777" w:rsidR="000139C7" w:rsidRPr="000139C7" w:rsidRDefault="000139C7" w:rsidP="000139C7">
      <w:pPr>
        <w:spacing w:before="120" w:after="120"/>
        <w:ind w:firstLine="567"/>
        <w:jc w:val="both"/>
        <w:rPr>
          <w:rFonts w:ascii="Tahoma" w:hAnsi="Tahoma" w:cs="Tahoma"/>
          <w:bCs/>
          <w:sz w:val="20"/>
          <w:szCs w:val="20"/>
        </w:rPr>
      </w:pPr>
    </w:p>
    <w:p w14:paraId="7591477D"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
          <w:bCs/>
          <w:sz w:val="20"/>
          <w:szCs w:val="20"/>
          <w:u w:val="single"/>
          <w:lang w:eastAsia="zh-CN"/>
        </w:rPr>
        <w:t>39. Regarding violence and hate speech combined with the ineffective investigations</w:t>
      </w:r>
    </w:p>
    <w:p w14:paraId="617076E0"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
          <w:bCs/>
          <w:sz w:val="20"/>
          <w:szCs w:val="20"/>
          <w:lang w:eastAsia="zh-CN"/>
        </w:rPr>
        <w:t>Suggested Questions for the session</w:t>
      </w:r>
    </w:p>
    <w:p w14:paraId="328D61F1"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sz w:val="20"/>
          <w:szCs w:val="20"/>
          <w:bdr w:val="none" w:sz="0" w:space="0" w:color="000000"/>
          <w:lang w:eastAsia="zh-CN"/>
        </w:rPr>
        <w:t xml:space="preserve">- </w:t>
      </w:r>
      <w:r w:rsidRPr="000139C7">
        <w:rPr>
          <w:rFonts w:ascii="Tahoma" w:eastAsia="Calibri" w:hAnsi="Tahoma" w:cs="Tahoma"/>
          <w:bCs/>
          <w:color w:val="000000"/>
          <w:sz w:val="20"/>
          <w:szCs w:val="20"/>
          <w:bdr w:val="none" w:sz="0" w:space="0" w:color="000000"/>
          <w:lang w:eastAsia="zh-CN"/>
        </w:rPr>
        <w:t xml:space="preserve">What concrete steps </w:t>
      </w:r>
      <w:r w:rsidRPr="000139C7">
        <w:rPr>
          <w:rFonts w:ascii="Tahoma" w:hAnsi="Tahoma" w:cs="Tahoma"/>
          <w:bCs/>
          <w:color w:val="000000"/>
          <w:sz w:val="20"/>
          <w:szCs w:val="20"/>
          <w:bdr w:val="none" w:sz="0" w:space="0" w:color="000000"/>
        </w:rPr>
        <w:t>has</w:t>
      </w:r>
      <w:r w:rsidRPr="000139C7">
        <w:rPr>
          <w:rFonts w:ascii="Tahoma" w:eastAsia="Calibri" w:hAnsi="Tahoma" w:cs="Tahoma"/>
          <w:bCs/>
          <w:color w:val="000000"/>
          <w:sz w:val="20"/>
          <w:szCs w:val="20"/>
          <w:bdr w:val="none" w:sz="0" w:space="0" w:color="000000"/>
          <w:lang w:eastAsia="zh-CN"/>
        </w:rPr>
        <w:t xml:space="preserve"> the government taken to ensure that law enforcement officers consistently register and investigate hate crimes complaints, that perpetrators are prosecuted and held accountable, and that victims have streamlined access to services and protection and to effective remedies, including compensation?</w:t>
      </w:r>
    </w:p>
    <w:p w14:paraId="74F329F9"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sz w:val="20"/>
          <w:szCs w:val="20"/>
          <w:bdr w:val="none" w:sz="0" w:space="0" w:color="000000"/>
          <w:lang w:eastAsia="zh-CN"/>
        </w:rPr>
        <w:t>- W</w:t>
      </w:r>
      <w:r w:rsidRPr="000139C7">
        <w:rPr>
          <w:rFonts w:ascii="Tahoma" w:eastAsia="Calibri" w:hAnsi="Tahoma" w:cs="Tahoma"/>
          <w:bCs/>
          <w:sz w:val="20"/>
          <w:szCs w:val="20"/>
          <w:bdr w:val="none" w:sz="0" w:space="0" w:color="000000"/>
          <w:lang w:eastAsia="zh-CN"/>
        </w:rPr>
        <w:t>hat activities has the State concluded to develop comprehensive, diversified, publicly available statistics regarding hate crimes based on SOGIGE?</w:t>
      </w:r>
    </w:p>
    <w:p w14:paraId="2F9E23FA"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
          <w:bCs/>
          <w:sz w:val="20"/>
          <w:szCs w:val="20"/>
          <w:lang w:eastAsia="zh-CN"/>
        </w:rPr>
        <w:t>Recommendations</w:t>
      </w:r>
    </w:p>
    <w:p w14:paraId="60D704A9"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Cs/>
          <w:color w:val="000000"/>
          <w:sz w:val="20"/>
          <w:szCs w:val="20"/>
          <w:bdr w:val="none" w:sz="0" w:space="0" w:color="000000"/>
          <w:lang w:eastAsia="zh-CN"/>
        </w:rPr>
        <w:t>- To implement coherent policies to ensure adequate measures to counteract sexual exploitation by law enforcement agencies, upholding the rule of law, protection against discrimination and basic principles of equality.</w:t>
      </w:r>
    </w:p>
    <w:p w14:paraId="33DAB53E"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sz w:val="20"/>
          <w:szCs w:val="20"/>
        </w:rPr>
        <w:t xml:space="preserve">- To strengthen institutional measures within the law enforcement system to effectively fight, investigate, and prevent hate crimes based on SOGIGE, </w:t>
      </w:r>
      <w:r w:rsidRPr="000139C7">
        <w:rPr>
          <w:rFonts w:ascii="Tahoma" w:eastAsia="NSimSun" w:hAnsi="Tahoma" w:cs="Tahoma"/>
          <w:bCs/>
          <w:kern w:val="2"/>
          <w:sz w:val="20"/>
          <w:szCs w:val="20"/>
          <w:lang w:eastAsia="zh-CN" w:bidi="hi-IN"/>
        </w:rPr>
        <w:t>using</w:t>
      </w:r>
      <w:r w:rsidRPr="000139C7">
        <w:rPr>
          <w:rFonts w:ascii="Tahoma" w:hAnsi="Tahoma" w:cs="Tahoma"/>
          <w:bCs/>
          <w:sz w:val="20"/>
          <w:szCs w:val="20"/>
        </w:rPr>
        <w:t xml:space="preserve"> interagency and multispectral victim-based approach, t</w:t>
      </w:r>
      <w:r w:rsidRPr="000139C7">
        <w:rPr>
          <w:rFonts w:ascii="Tahoma" w:eastAsia="Calibri" w:hAnsi="Tahoma" w:cs="Tahoma"/>
          <w:bCs/>
          <w:sz w:val="20"/>
          <w:szCs w:val="20"/>
          <w:lang w:eastAsia="zh-CN"/>
        </w:rPr>
        <w:t xml:space="preserve">o establish a dedicated </w:t>
      </w:r>
      <w:r w:rsidRPr="000139C7">
        <w:rPr>
          <w:rFonts w:ascii="Tahoma" w:eastAsia="Calibri" w:hAnsi="Tahoma" w:cs="Tahoma"/>
          <w:bCs/>
          <w:color w:val="000000"/>
          <w:sz w:val="20"/>
          <w:szCs w:val="20"/>
          <w:lang w:eastAsia="zh-CN"/>
        </w:rPr>
        <w:t>hate crime investigation</w:t>
      </w:r>
      <w:r w:rsidRPr="000139C7">
        <w:rPr>
          <w:rFonts w:ascii="Tahoma" w:eastAsia="Calibri" w:hAnsi="Tahoma" w:cs="Tahoma"/>
          <w:bCs/>
          <w:sz w:val="20"/>
          <w:szCs w:val="20"/>
          <w:lang w:eastAsia="zh-CN"/>
        </w:rPr>
        <w:t xml:space="preserve"> unit</w:t>
      </w:r>
      <w:r w:rsidRPr="000139C7">
        <w:rPr>
          <w:rFonts w:ascii="Tahoma" w:eastAsia="Calibri" w:hAnsi="Tahoma" w:cs="Tahoma"/>
          <w:bCs/>
          <w:color w:val="000000"/>
          <w:sz w:val="20"/>
          <w:szCs w:val="20"/>
          <w:lang w:eastAsia="zh-CN"/>
        </w:rPr>
        <w:t>.</w:t>
      </w:r>
    </w:p>
    <w:p w14:paraId="6867C9F0"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sz w:val="20"/>
          <w:szCs w:val="20"/>
        </w:rPr>
        <w:t xml:space="preserve">- To gather disaggregated data on </w:t>
      </w:r>
      <w:r w:rsidRPr="000139C7">
        <w:rPr>
          <w:rFonts w:ascii="Tahoma" w:eastAsia="Calibri" w:hAnsi="Tahoma" w:cs="Tahoma"/>
          <w:bCs/>
          <w:sz w:val="20"/>
          <w:szCs w:val="20"/>
          <w:lang w:eastAsia="zh-CN"/>
        </w:rPr>
        <w:t>hate-motivated</w:t>
      </w:r>
      <w:r w:rsidRPr="000139C7">
        <w:rPr>
          <w:rFonts w:ascii="Tahoma" w:hAnsi="Tahoma" w:cs="Tahoma"/>
          <w:bCs/>
          <w:sz w:val="20"/>
          <w:szCs w:val="20"/>
        </w:rPr>
        <w:t xml:space="preserve"> violence, t</w:t>
      </w:r>
      <w:r w:rsidRPr="000139C7">
        <w:rPr>
          <w:rFonts w:ascii="Tahoma" w:eastAsia="Calibri" w:hAnsi="Tahoma" w:cs="Tahoma"/>
          <w:bCs/>
          <w:kern w:val="2"/>
          <w:sz w:val="20"/>
          <w:szCs w:val="20"/>
          <w:lang w:eastAsia="zh-CN"/>
        </w:rPr>
        <w:t>o s</w:t>
      </w:r>
      <w:r w:rsidRPr="000139C7">
        <w:rPr>
          <w:rFonts w:ascii="Tahoma" w:eastAsia="Calibri" w:hAnsi="Tahoma" w:cs="Tahoma"/>
          <w:bCs/>
          <w:sz w:val="20"/>
          <w:szCs w:val="20"/>
          <w:lang w:eastAsia="zh-CN"/>
        </w:rPr>
        <w:t>et up an electronic system of data collection in order to ensure the accuracy and coherence of the data collected.</w:t>
      </w:r>
    </w:p>
    <w:p w14:paraId="70BAE1CA"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Cs/>
          <w:sz w:val="20"/>
          <w:szCs w:val="20"/>
          <w:lang w:eastAsia="zh-CN"/>
        </w:rPr>
        <w:t xml:space="preserve">- To </w:t>
      </w:r>
      <w:r w:rsidRPr="000139C7">
        <w:rPr>
          <w:rFonts w:ascii="Tahoma" w:eastAsia="Calibri" w:hAnsi="Tahoma" w:cs="Tahoma"/>
          <w:bCs/>
          <w:kern w:val="2"/>
          <w:sz w:val="20"/>
          <w:szCs w:val="20"/>
          <w:lang w:eastAsia="zh-CN"/>
        </w:rPr>
        <w:t>make sure that ho</w:t>
      </w:r>
      <w:r w:rsidRPr="000139C7">
        <w:rPr>
          <w:rFonts w:ascii="Tahoma" w:eastAsia="Calibri" w:hAnsi="Tahoma" w:cs="Tahoma"/>
          <w:bCs/>
          <w:sz w:val="20"/>
          <w:szCs w:val="20"/>
          <w:lang w:eastAsia="zh-CN"/>
        </w:rPr>
        <w:t>mo-/transphobic motivations are considered from the outset of judicial proceedings.</w:t>
      </w:r>
    </w:p>
    <w:p w14:paraId="4C74E7E9"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Cs/>
          <w:color w:val="000000"/>
          <w:sz w:val="20"/>
          <w:szCs w:val="20"/>
          <w:bdr w:val="none" w:sz="0" w:space="0" w:color="000000"/>
          <w:lang w:eastAsia="zh-CN"/>
        </w:rPr>
        <w:t>- To a</w:t>
      </w:r>
      <w:r w:rsidRPr="000139C7">
        <w:rPr>
          <w:rFonts w:ascii="Tahoma" w:eastAsia="Calibri" w:hAnsi="Tahoma" w:cs="Tahoma"/>
          <w:bCs/>
          <w:sz w:val="20"/>
          <w:szCs w:val="20"/>
          <w:bdr w:val="none" w:sz="0" w:space="0" w:color="000000"/>
          <w:lang w:eastAsia="zh-CN"/>
        </w:rPr>
        <w:t xml:space="preserve">dopt a zero-tolerance policy in relation to hate speech, publicly condemn such </w:t>
      </w:r>
      <w:r w:rsidRPr="000139C7">
        <w:rPr>
          <w:rFonts w:ascii="Tahoma" w:hAnsi="Tahoma" w:cs="Tahoma"/>
          <w:bCs/>
          <w:sz w:val="20"/>
          <w:szCs w:val="20"/>
          <w:bdr w:val="none" w:sz="0" w:space="0" w:color="000000"/>
        </w:rPr>
        <w:t>acts, to</w:t>
      </w:r>
      <w:r w:rsidRPr="000139C7">
        <w:rPr>
          <w:rFonts w:ascii="Tahoma" w:eastAsia="Calibri" w:hAnsi="Tahoma" w:cs="Tahoma"/>
          <w:bCs/>
          <w:sz w:val="20"/>
          <w:szCs w:val="20"/>
          <w:lang w:eastAsia="zh-CN"/>
        </w:rPr>
        <w:t xml:space="preserve"> r</w:t>
      </w:r>
      <w:r w:rsidRPr="000139C7">
        <w:rPr>
          <w:rFonts w:ascii="Tahoma" w:hAnsi="Tahoma" w:cs="Tahoma"/>
          <w:bCs/>
          <w:color w:val="000000"/>
          <w:sz w:val="20"/>
          <w:szCs w:val="20"/>
        </w:rPr>
        <w:t>eflect the principles of prohibition of hate speech, harassment and discrimination in the professional ethics codes.</w:t>
      </w:r>
    </w:p>
    <w:p w14:paraId="3BF1B448" w14:textId="77777777" w:rsidR="000139C7" w:rsidRPr="000139C7" w:rsidRDefault="000139C7" w:rsidP="000139C7">
      <w:pPr>
        <w:spacing w:before="120" w:after="120"/>
        <w:ind w:firstLine="567"/>
        <w:jc w:val="both"/>
        <w:rPr>
          <w:rFonts w:ascii="Tahoma" w:hAnsi="Tahoma" w:cs="Tahoma"/>
          <w:sz w:val="20"/>
          <w:szCs w:val="20"/>
        </w:rPr>
      </w:pPr>
    </w:p>
    <w:p w14:paraId="429DF171"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
          <w:bCs/>
          <w:sz w:val="20"/>
          <w:szCs w:val="20"/>
          <w:u w:val="single"/>
        </w:rPr>
        <w:t>40. Regarding freedom of association</w:t>
      </w:r>
    </w:p>
    <w:p w14:paraId="40445A3C"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
          <w:bCs/>
          <w:sz w:val="20"/>
          <w:szCs w:val="20"/>
          <w:lang w:val="en-GB"/>
        </w:rPr>
        <w:t>Suggested Questions for the session</w:t>
      </w:r>
    </w:p>
    <w:p w14:paraId="19469600"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sz w:val="20"/>
          <w:szCs w:val="20"/>
        </w:rPr>
        <w:t xml:space="preserve">- What steps has the </w:t>
      </w:r>
      <w:r w:rsidRPr="000139C7">
        <w:rPr>
          <w:rFonts w:ascii="Tahoma" w:eastAsia="Calibri" w:hAnsi="Tahoma" w:cs="Tahoma"/>
          <w:sz w:val="20"/>
          <w:szCs w:val="20"/>
          <w:lang w:eastAsia="zh-CN"/>
        </w:rPr>
        <w:t>G</w:t>
      </w:r>
      <w:r w:rsidRPr="000139C7">
        <w:rPr>
          <w:rFonts w:ascii="Tahoma" w:hAnsi="Tahoma" w:cs="Tahoma"/>
          <w:sz w:val="20"/>
          <w:szCs w:val="20"/>
        </w:rPr>
        <w:t xml:space="preserve">overnment taken to </w:t>
      </w:r>
      <w:r w:rsidRPr="000139C7">
        <w:rPr>
          <w:rFonts w:ascii="Tahoma" w:eastAsia="Calibri" w:hAnsi="Tahoma" w:cs="Tahoma"/>
          <w:sz w:val="20"/>
          <w:szCs w:val="20"/>
          <w:lang w:eastAsia="zh-CN"/>
        </w:rPr>
        <w:t>si</w:t>
      </w:r>
      <w:r w:rsidRPr="000139C7">
        <w:rPr>
          <w:rFonts w:ascii="Tahoma" w:hAnsi="Tahoma" w:cs="Tahoma"/>
          <w:sz w:val="20"/>
          <w:szCs w:val="20"/>
        </w:rPr>
        <w:t>mplify and make accessible the procedure for registering and monitoring the work of NGOs providing services to PLHIV and LGBT+ people, and guarantee their access to competitions for funding from national and local budgets on an equal basis with other NGOs?</w:t>
      </w:r>
    </w:p>
    <w:p w14:paraId="43F54E8C"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
          <w:bCs/>
          <w:sz w:val="20"/>
          <w:szCs w:val="20"/>
          <w:lang w:eastAsia="zh-CN"/>
        </w:rPr>
        <w:t>Recommendations</w:t>
      </w:r>
    </w:p>
    <w:p w14:paraId="34D334D1"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sz w:val="20"/>
          <w:szCs w:val="20"/>
          <w:lang w:eastAsia="zh-CN"/>
        </w:rPr>
        <w:t xml:space="preserve">- To guarantee an enabling environment for NGOs engaged in the promotion and protection of economic, social and cultural rights, including a functional and accommodating registration procedure. </w:t>
      </w:r>
    </w:p>
    <w:p w14:paraId="259DF53E"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sz w:val="20"/>
          <w:szCs w:val="20"/>
        </w:rPr>
        <w:t>- To adopt a law guaranteeing access to free legal aid.</w:t>
      </w:r>
    </w:p>
    <w:p w14:paraId="37D611A8" w14:textId="0D5CE45B" w:rsidR="000139C7" w:rsidRDefault="000139C7" w:rsidP="000139C7">
      <w:pPr>
        <w:spacing w:before="120" w:after="120"/>
        <w:ind w:firstLine="567"/>
        <w:jc w:val="both"/>
        <w:rPr>
          <w:rFonts w:ascii="Tahoma" w:hAnsi="Tahoma" w:cs="Tahoma"/>
          <w:sz w:val="20"/>
          <w:szCs w:val="20"/>
        </w:rPr>
      </w:pPr>
    </w:p>
    <w:p w14:paraId="3FB13360" w14:textId="0C0CCC2F" w:rsidR="0038189A" w:rsidRDefault="0038189A" w:rsidP="000139C7">
      <w:pPr>
        <w:spacing w:before="120" w:after="120"/>
        <w:ind w:firstLine="567"/>
        <w:jc w:val="both"/>
        <w:rPr>
          <w:rFonts w:ascii="Tahoma" w:hAnsi="Tahoma" w:cs="Tahoma"/>
          <w:sz w:val="20"/>
          <w:szCs w:val="20"/>
        </w:rPr>
      </w:pPr>
    </w:p>
    <w:p w14:paraId="6201E689" w14:textId="77777777" w:rsidR="0038189A" w:rsidRPr="000139C7" w:rsidRDefault="0038189A" w:rsidP="000139C7">
      <w:pPr>
        <w:spacing w:before="120" w:after="120"/>
        <w:ind w:firstLine="567"/>
        <w:jc w:val="both"/>
        <w:rPr>
          <w:rFonts w:ascii="Tahoma" w:hAnsi="Tahoma" w:cs="Tahoma"/>
          <w:sz w:val="20"/>
          <w:szCs w:val="20"/>
        </w:rPr>
      </w:pPr>
    </w:p>
    <w:p w14:paraId="2A703479"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
          <w:bCs/>
          <w:sz w:val="20"/>
          <w:szCs w:val="20"/>
          <w:u w:val="single"/>
        </w:rPr>
        <w:lastRenderedPageBreak/>
        <w:t>41. Regarding the rights of transgender people</w:t>
      </w:r>
    </w:p>
    <w:p w14:paraId="2D99C2A7"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
          <w:bCs/>
          <w:sz w:val="20"/>
          <w:szCs w:val="20"/>
        </w:rPr>
        <w:t>Suggested Questions for the session</w:t>
      </w:r>
    </w:p>
    <w:p w14:paraId="7ECD3916"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sz w:val="20"/>
          <w:szCs w:val="20"/>
        </w:rPr>
        <w:t xml:space="preserve"> - What has been done to develop and pass a regulation that would create the ability for trans persons to be able to acquire their gender confirmation, reassignment, and be allowed to transition, once necessary, with respect and dignity while having the chance to officially use the necessary medical procedures and acquire respective civil documents that would confirm their transition and legitimize their transitioned identity?</w:t>
      </w:r>
    </w:p>
    <w:p w14:paraId="2213F894"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
          <w:bCs/>
          <w:sz w:val="20"/>
          <w:szCs w:val="20"/>
          <w:lang w:eastAsia="zh-CN"/>
        </w:rPr>
        <w:t>Recommendations</w:t>
      </w:r>
    </w:p>
    <w:p w14:paraId="73341BB5"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sz w:val="20"/>
          <w:szCs w:val="20"/>
        </w:rPr>
        <w:t>- To create transparent, accessible and effective administrative mechanisms for legal recognition of gender, to facilitate the enjoyment of Covenant rights by transgender persons, to make these procedures available for all people who seek to use them, irrespective of age, medical status, financial situation or police record.</w:t>
      </w:r>
    </w:p>
    <w:p w14:paraId="3117D5B5"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sz w:val="20"/>
          <w:szCs w:val="20"/>
        </w:rPr>
        <w:t>- To train medical and social service providers/individuals, to d</w:t>
      </w:r>
      <w:r w:rsidRPr="000139C7">
        <w:rPr>
          <w:rFonts w:ascii="Tahoma" w:hAnsi="Tahoma" w:cs="Tahoma"/>
          <w:sz w:val="20"/>
          <w:szCs w:val="20"/>
        </w:rPr>
        <w:t>evelop trans-specific protocols and guidelines.</w:t>
      </w:r>
    </w:p>
    <w:p w14:paraId="7A6E4A68" w14:textId="77777777" w:rsidR="000139C7" w:rsidRPr="000139C7" w:rsidRDefault="000139C7" w:rsidP="000139C7">
      <w:pPr>
        <w:spacing w:before="120" w:after="120"/>
        <w:ind w:firstLine="567"/>
        <w:jc w:val="both"/>
        <w:rPr>
          <w:rFonts w:ascii="Tahoma" w:eastAsia="Calibri" w:hAnsi="Tahoma" w:cs="Tahoma"/>
          <w:sz w:val="20"/>
          <w:szCs w:val="20"/>
          <w:lang w:eastAsia="zh-CN"/>
        </w:rPr>
      </w:pPr>
    </w:p>
    <w:p w14:paraId="742966D2"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
          <w:bCs/>
          <w:sz w:val="20"/>
          <w:szCs w:val="20"/>
          <w:u w:val="single"/>
          <w:lang w:eastAsia="zh-CN"/>
        </w:rPr>
        <w:t xml:space="preserve">42. </w:t>
      </w:r>
      <w:r w:rsidRPr="000139C7">
        <w:rPr>
          <w:rFonts w:ascii="Tahoma" w:eastAsia="Calibri" w:hAnsi="Tahoma" w:cs="Tahoma"/>
          <w:b/>
          <w:bCs/>
          <w:color w:val="000000"/>
          <w:sz w:val="20"/>
          <w:szCs w:val="20"/>
          <w:u w:val="single"/>
          <w:lang w:eastAsia="zh-CN"/>
        </w:rPr>
        <w:t xml:space="preserve">Regarding </w:t>
      </w:r>
      <w:r w:rsidRPr="000139C7">
        <w:rPr>
          <w:rFonts w:ascii="Tahoma" w:hAnsi="Tahoma" w:cs="Tahoma"/>
          <w:b/>
          <w:bCs/>
          <w:color w:val="000000"/>
          <w:sz w:val="20"/>
          <w:szCs w:val="20"/>
          <w:u w:val="single"/>
        </w:rPr>
        <w:t>HIV / AIDS social stigma and COVID-19</w:t>
      </w:r>
    </w:p>
    <w:p w14:paraId="735A8DFB"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
          <w:bCs/>
          <w:sz w:val="20"/>
          <w:szCs w:val="20"/>
        </w:rPr>
        <w:t>Suggested Questions for the session</w:t>
      </w:r>
    </w:p>
    <w:p w14:paraId="7405D496"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Cs/>
          <w:color w:val="000000"/>
          <w:sz w:val="20"/>
          <w:szCs w:val="20"/>
          <w:lang w:eastAsia="zh-CN"/>
        </w:rPr>
        <w:t>- Please provide updated information on the impact of the measures taken to ensure adequate access to health care (including to technologically advanced treatment) by persons with HIV/AIDS, including those held in detention facilities.</w:t>
      </w:r>
    </w:p>
    <w:p w14:paraId="1EB968D1"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color w:val="000000"/>
          <w:sz w:val="20"/>
          <w:szCs w:val="20"/>
        </w:rPr>
        <w:t>- Please inform the Committee about the statistics related to the use of the articles of the Criminal Code prohibiting HIV transmission (the number of investigations launched, convictions and penalties imposed on those responsible</w:t>
      </w:r>
      <w:r w:rsidRPr="000139C7">
        <w:rPr>
          <w:rFonts w:ascii="Tahoma" w:eastAsia="Calibri" w:hAnsi="Tahoma" w:cs="Tahoma"/>
          <w:bCs/>
          <w:color w:val="000000"/>
          <w:sz w:val="20"/>
          <w:szCs w:val="20"/>
          <w:lang w:eastAsia="zh-CN"/>
        </w:rPr>
        <w:t>).</w:t>
      </w:r>
    </w:p>
    <w:p w14:paraId="49F6EA2C"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Cs/>
          <w:color w:val="000000"/>
          <w:sz w:val="20"/>
          <w:szCs w:val="20"/>
          <w:lang w:eastAsia="zh-CN"/>
        </w:rPr>
        <w:t>- Please provide information on the measures taken to remove practical obstacles faced by LGBT+ in access to health-care services, due to stereotyping and prejudices, including among medical personnel.</w:t>
      </w:r>
    </w:p>
    <w:p w14:paraId="2082886E"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Cs/>
          <w:color w:val="000000"/>
          <w:sz w:val="20"/>
          <w:szCs w:val="20"/>
          <w:lang w:eastAsia="zh-CN"/>
        </w:rPr>
        <w:t>- Please comment on the steps taken by the authorities while combating COVID-19 pandemic, which affected LGBT+ communities.</w:t>
      </w:r>
    </w:p>
    <w:p w14:paraId="4AB8B3C2"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
          <w:bCs/>
          <w:sz w:val="20"/>
          <w:szCs w:val="20"/>
          <w:lang w:eastAsia="zh-CN"/>
        </w:rPr>
        <w:t>Recommendations</w:t>
      </w:r>
    </w:p>
    <w:p w14:paraId="2AD5047A"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sz w:val="20"/>
          <w:szCs w:val="20"/>
          <w:lang w:eastAsia="zh-CN"/>
        </w:rPr>
        <w:t>- To revise national HIV treatment programmes with the aim of inclusion of LGBT+ people in these programmes.</w:t>
      </w:r>
    </w:p>
    <w:p w14:paraId="49197E7B"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sz w:val="20"/>
          <w:szCs w:val="20"/>
          <w:lang w:eastAsia="zh-CN"/>
        </w:rPr>
        <w:t xml:space="preserve">- To abolish criminal liability for the transmission of HIV </w:t>
      </w:r>
      <w:r w:rsidRPr="000139C7">
        <w:rPr>
          <w:rFonts w:ascii="Tahoma" w:eastAsia="Calibri" w:hAnsi="Tahoma" w:cs="Tahoma"/>
          <w:bCs/>
          <w:color w:val="000000"/>
          <w:sz w:val="20"/>
          <w:szCs w:val="20"/>
          <w:lang w:eastAsia="zh-CN"/>
        </w:rPr>
        <w:t>in conformity with UNAIDS guidelines.</w:t>
      </w:r>
    </w:p>
    <w:p w14:paraId="72161D6E"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sz w:val="20"/>
          <w:szCs w:val="20"/>
          <w:lang w:eastAsia="zh-CN"/>
        </w:rPr>
        <w:t>- To ensure that sex workers they can fully access health-care services and information, including treatment and prevention of HIV/AIDS, without discrimination.</w:t>
      </w:r>
    </w:p>
    <w:p w14:paraId="5574029D"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color w:val="000000"/>
          <w:sz w:val="20"/>
          <w:szCs w:val="20"/>
        </w:rPr>
        <w:t xml:space="preserve">- To raise health professionals’ awareness about sexual orientation and gender identity and make sure that </w:t>
      </w:r>
      <w:r w:rsidRPr="000139C7">
        <w:rPr>
          <w:rFonts w:ascii="Tahoma" w:eastAsia="Calibri" w:hAnsi="Tahoma" w:cs="Tahoma"/>
          <w:bCs/>
          <w:color w:val="000000"/>
          <w:sz w:val="20"/>
          <w:szCs w:val="20"/>
          <w:lang w:eastAsia="zh-CN"/>
        </w:rPr>
        <w:t>LGBT+</w:t>
      </w:r>
      <w:r w:rsidRPr="000139C7">
        <w:rPr>
          <w:rFonts w:ascii="Tahoma" w:hAnsi="Tahoma" w:cs="Tahoma"/>
          <w:bCs/>
          <w:color w:val="000000"/>
          <w:sz w:val="20"/>
          <w:szCs w:val="20"/>
        </w:rPr>
        <w:t xml:space="preserve"> persons can access stigma-free treatment at health centers, including HIV/AIDS testing and counseling services.</w:t>
      </w:r>
    </w:p>
    <w:p w14:paraId="5E953266"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color w:val="000000"/>
          <w:sz w:val="20"/>
          <w:szCs w:val="20"/>
        </w:rPr>
        <w:t xml:space="preserve">- </w:t>
      </w:r>
      <w:r w:rsidRPr="000139C7">
        <w:rPr>
          <w:rFonts w:ascii="Tahoma" w:eastAsia="Calibri" w:hAnsi="Tahoma" w:cs="Tahoma"/>
          <w:bCs/>
          <w:color w:val="000000"/>
          <w:sz w:val="20"/>
          <w:szCs w:val="20"/>
          <w:lang w:eastAsia="zh-CN"/>
        </w:rPr>
        <w:t>To e</w:t>
      </w:r>
      <w:r w:rsidRPr="000139C7">
        <w:rPr>
          <w:rFonts w:ascii="Tahoma" w:hAnsi="Tahoma" w:cs="Tahoma"/>
          <w:bCs/>
          <w:color w:val="000000"/>
          <w:sz w:val="20"/>
          <w:szCs w:val="20"/>
        </w:rPr>
        <w:t>nsure the participation of the trans community in the design and implementation of the national HIV/AIDS strategic plan.</w:t>
      </w:r>
    </w:p>
    <w:p w14:paraId="1CBB6C71" w14:textId="77777777" w:rsidR="000139C7" w:rsidRPr="000139C7" w:rsidRDefault="000139C7" w:rsidP="000139C7">
      <w:pPr>
        <w:spacing w:before="120" w:after="120"/>
        <w:jc w:val="both"/>
        <w:rPr>
          <w:rFonts w:ascii="Tahoma" w:eastAsia="Calibri" w:hAnsi="Tahoma" w:cs="Tahoma"/>
          <w:sz w:val="20"/>
          <w:szCs w:val="20"/>
          <w:lang w:eastAsia="zh-CN"/>
        </w:rPr>
      </w:pPr>
    </w:p>
    <w:p w14:paraId="5D3BE86A"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
          <w:bCs/>
          <w:sz w:val="20"/>
          <w:szCs w:val="20"/>
          <w:u w:val="single"/>
          <w:lang w:eastAsia="zh-CN"/>
        </w:rPr>
        <w:t xml:space="preserve">43. </w:t>
      </w:r>
      <w:r w:rsidRPr="000139C7">
        <w:rPr>
          <w:rFonts w:ascii="Tahoma" w:eastAsia="Calibri" w:hAnsi="Tahoma" w:cs="Tahoma"/>
          <w:b/>
          <w:bCs/>
          <w:color w:val="000000"/>
          <w:sz w:val="20"/>
          <w:szCs w:val="20"/>
          <w:u w:val="single"/>
          <w:lang w:eastAsia="zh-CN"/>
        </w:rPr>
        <w:t>Regarding sex e</w:t>
      </w:r>
      <w:r w:rsidRPr="000139C7">
        <w:rPr>
          <w:rFonts w:ascii="Tahoma" w:hAnsi="Tahoma" w:cs="Tahoma"/>
          <w:b/>
          <w:bCs/>
          <w:sz w:val="20"/>
          <w:szCs w:val="20"/>
          <w:u w:val="single"/>
        </w:rPr>
        <w:t>ducation</w:t>
      </w:r>
    </w:p>
    <w:p w14:paraId="5E5021A4"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
          <w:bCs/>
          <w:sz w:val="20"/>
          <w:szCs w:val="20"/>
          <w:lang w:eastAsia="zh-CN"/>
        </w:rPr>
        <w:t>Suggested Questions for the session</w:t>
      </w:r>
    </w:p>
    <w:p w14:paraId="43278970"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sz w:val="20"/>
          <w:szCs w:val="20"/>
          <w:lang w:eastAsia="zh-CN"/>
        </w:rPr>
        <w:t>- What steps have been taken to arrange and carry out comprehensive statewide training events for medical workers of healthcare facilities and law-enforcement officers that would raise their education and awareness about SOGIGE and HIV issues to lower the social stigma and discrimination related to LGBT+?</w:t>
      </w:r>
    </w:p>
    <w:p w14:paraId="5ED06700"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eastAsia="Calibri" w:hAnsi="Tahoma" w:cs="Tahoma"/>
          <w:b/>
          <w:bCs/>
          <w:sz w:val="20"/>
          <w:szCs w:val="20"/>
          <w:lang w:eastAsia="zh-CN"/>
        </w:rPr>
        <w:t>Recommendations</w:t>
      </w:r>
    </w:p>
    <w:p w14:paraId="7C0C589E" w14:textId="77777777" w:rsidR="000139C7" w:rsidRPr="000139C7" w:rsidRDefault="000139C7" w:rsidP="000139C7">
      <w:pPr>
        <w:spacing w:before="120" w:after="120"/>
        <w:ind w:firstLine="567"/>
        <w:jc w:val="both"/>
        <w:rPr>
          <w:rFonts w:ascii="Tahoma" w:hAnsi="Tahoma" w:cs="Tahoma"/>
          <w:sz w:val="20"/>
          <w:szCs w:val="20"/>
        </w:rPr>
      </w:pPr>
      <w:r w:rsidRPr="000139C7">
        <w:rPr>
          <w:rFonts w:ascii="Tahoma" w:hAnsi="Tahoma" w:cs="Tahoma"/>
          <w:bCs/>
          <w:sz w:val="20"/>
          <w:szCs w:val="20"/>
        </w:rPr>
        <w:t>- To adopt specific policies or programs to promote tolerance towards diverse sexual orientations or gender identities in educational settings, and regulatory documents with regard to bullying based on these grounds.</w:t>
      </w:r>
    </w:p>
    <w:p w14:paraId="56F6ED2C" w14:textId="63D86D16" w:rsidR="005B71BC" w:rsidRPr="0038189A" w:rsidRDefault="000139C7" w:rsidP="0038189A">
      <w:pPr>
        <w:spacing w:before="120" w:after="120"/>
        <w:ind w:firstLine="567"/>
        <w:jc w:val="both"/>
        <w:rPr>
          <w:rFonts w:ascii="Tahoma" w:hAnsi="Tahoma" w:cs="Tahoma"/>
          <w:sz w:val="20"/>
          <w:szCs w:val="20"/>
        </w:rPr>
      </w:pPr>
      <w:r w:rsidRPr="000139C7">
        <w:rPr>
          <w:rFonts w:ascii="Tahoma" w:hAnsi="Tahoma" w:cs="Tahoma"/>
          <w:bCs/>
          <w:sz w:val="20"/>
          <w:szCs w:val="20"/>
        </w:rPr>
        <w:t>- To ensure that mechanisms to address bullying based on sexual orientation and gender identity are available and accessible in educational settings.</w:t>
      </w:r>
    </w:p>
    <w:sectPr w:rsidR="005B71BC" w:rsidRPr="0038189A">
      <w:type w:val="continuous"/>
      <w:pgSz w:w="11906" w:h="16838"/>
      <w:pgMar w:top="1135" w:right="1126" w:bottom="567" w:left="1140" w:header="0" w:footer="0" w:gutter="0"/>
      <w:cols w:space="720"/>
      <w:formProt w:val="0"/>
      <w:docGrid w:linePitch="100"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C46E6" w14:textId="77777777" w:rsidR="004047EC" w:rsidRDefault="004047EC">
      <w:r>
        <w:separator/>
      </w:r>
    </w:p>
  </w:endnote>
  <w:endnote w:type="continuationSeparator" w:id="0">
    <w:p w14:paraId="335E5011" w14:textId="77777777" w:rsidR="004047EC" w:rsidRDefault="00404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altName w:val="Times New Roman"/>
    <w:charset w:val="01"/>
    <w:family w:val="auto"/>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PingFang SC">
    <w:panose1 w:val="00000000000000000000"/>
    <w:charset w:val="86"/>
    <w:family w:val="swiss"/>
    <w:notTrueType/>
    <w:pitch w:val="variable"/>
    <w:sig w:usb0="A00002FF" w:usb1="7ACFFDFB" w:usb2="00000017" w:usb3="00000000" w:csb0="00040001"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0AA9DF" w14:textId="77777777" w:rsidR="004047EC" w:rsidRDefault="004047EC">
      <w:pPr>
        <w:rPr>
          <w:sz w:val="12"/>
        </w:rPr>
      </w:pPr>
      <w:r>
        <w:separator/>
      </w:r>
    </w:p>
  </w:footnote>
  <w:footnote w:type="continuationSeparator" w:id="0">
    <w:p w14:paraId="5F509035" w14:textId="77777777" w:rsidR="004047EC" w:rsidRDefault="004047EC">
      <w:pPr>
        <w:rPr>
          <w:sz w:val="12"/>
        </w:rPr>
      </w:pPr>
      <w:r>
        <w:continuationSeparator/>
      </w:r>
    </w:p>
  </w:footnote>
  <w:footnote w:id="1">
    <w:p w14:paraId="124F87F8" w14:textId="77777777" w:rsidR="000139C7" w:rsidRPr="0038189A" w:rsidRDefault="000139C7" w:rsidP="000139C7">
      <w:pPr>
        <w:pStyle w:val="FootnoteText"/>
        <w:spacing w:after="160" w:line="252" w:lineRule="auto"/>
        <w:ind w:firstLine="567"/>
        <w:jc w:val="both"/>
        <w:rPr>
          <w:rFonts w:ascii="Tahoma" w:hAnsi="Tahoma" w:cs="Tahoma"/>
        </w:rPr>
      </w:pPr>
      <w:r w:rsidRPr="0038189A">
        <w:rPr>
          <w:rStyle w:val="a"/>
          <w:rFonts w:ascii="Tahoma" w:hAnsi="Tahoma" w:cs="Tahoma"/>
          <w:sz w:val="16"/>
          <w:szCs w:val="16"/>
        </w:rPr>
        <w:footnoteRef/>
      </w:r>
      <w:r w:rsidRPr="0038189A">
        <w:rPr>
          <w:rFonts w:ascii="Tahoma" w:hAnsi="Tahoma" w:cs="Tahoma"/>
          <w:sz w:val="16"/>
          <w:szCs w:val="16"/>
        </w:rPr>
        <w:t xml:space="preserve"> Fedorovich I., Yoursky Y. Regional Report on Violations of the Right to Health of Gay men, other MSM, and Trans people in the CEECA region in 2019 / ECOM — Eurasian Coalition on Health, Rights, Gender and Sexual Diversity. Tallinn, 2020. Page 26.</w:t>
      </w:r>
    </w:p>
  </w:footnote>
  <w:footnote w:id="2">
    <w:p w14:paraId="10200113" w14:textId="77777777" w:rsidR="000139C7" w:rsidRPr="0038189A" w:rsidRDefault="000139C7" w:rsidP="0038189A">
      <w:pPr>
        <w:pStyle w:val="FootnoteText"/>
        <w:rPr>
          <w:rFonts w:ascii="Tahoma" w:hAnsi="Tahoma" w:cs="Tahoma"/>
          <w:sz w:val="16"/>
          <w:szCs w:val="16"/>
        </w:rPr>
      </w:pPr>
      <w:r w:rsidRPr="0038189A">
        <w:rPr>
          <w:rStyle w:val="a"/>
          <w:rFonts w:ascii="Tahoma" w:hAnsi="Tahoma" w:cs="Tahoma"/>
          <w:sz w:val="16"/>
          <w:szCs w:val="16"/>
        </w:rPr>
        <w:footnoteRef/>
      </w:r>
      <w:r w:rsidRPr="0038189A">
        <w:rPr>
          <w:rFonts w:ascii="Tahoma" w:hAnsi="Tahoma" w:cs="Tahoma"/>
          <w:sz w:val="16"/>
          <w:szCs w:val="16"/>
        </w:rPr>
        <w:t xml:space="preserve">  For more details, see: An “</w:t>
      </w:r>
      <w:hyperlink r:id="rId1" w:history="1">
        <w:r w:rsidRPr="0038189A">
          <w:rPr>
            <w:rStyle w:val="Hyperlink"/>
            <w:rFonts w:ascii="Tahoma" w:hAnsi="Tahoma" w:cs="Tahoma"/>
            <w:sz w:val="16"/>
            <w:szCs w:val="16"/>
          </w:rPr>
          <w:t>alternative report</w:t>
        </w:r>
      </w:hyperlink>
      <w:r w:rsidRPr="0038189A">
        <w:rPr>
          <w:rFonts w:ascii="Tahoma" w:hAnsi="Tahoma" w:cs="Tahoma"/>
          <w:sz w:val="16"/>
          <w:szCs w:val="16"/>
        </w:rPr>
        <w:t xml:space="preserve">” as a commentary on Report E/C.12/TJK/4. August 2020. Pages </w:t>
      </w:r>
      <w:r w:rsidRPr="0038189A">
        <w:rPr>
          <w:rFonts w:ascii="Tahoma" w:eastAsia="Calibri" w:hAnsi="Tahoma" w:cs="Tahoma"/>
          <w:color w:val="000000"/>
          <w:sz w:val="16"/>
          <w:szCs w:val="16"/>
          <w:lang w:eastAsia="zh-CN"/>
        </w:rPr>
        <w:t>7</w:t>
      </w:r>
      <w:r w:rsidRPr="0038189A">
        <w:rPr>
          <w:rFonts w:ascii="Tahoma" w:hAnsi="Tahoma" w:cs="Tahoma"/>
          <w:sz w:val="16"/>
          <w:szCs w:val="16"/>
        </w:rPr>
        <w:t>-</w:t>
      </w:r>
      <w:r w:rsidRPr="0038189A">
        <w:rPr>
          <w:rFonts w:ascii="Tahoma" w:eastAsia="Calibri" w:hAnsi="Tahoma" w:cs="Tahoma"/>
          <w:color w:val="000000"/>
          <w:sz w:val="16"/>
          <w:szCs w:val="16"/>
          <w:lang w:eastAsia="zh-CN"/>
        </w:rPr>
        <w:t>9</w:t>
      </w:r>
      <w:r w:rsidRPr="0038189A">
        <w:rPr>
          <w:rFonts w:ascii="Tahoma" w:hAnsi="Tahoma" w:cs="Tahoma"/>
          <w:sz w:val="16"/>
          <w:szCs w:val="16"/>
        </w:rPr>
        <w:t>.</w:t>
      </w:r>
    </w:p>
  </w:footnote>
  <w:footnote w:id="3">
    <w:p w14:paraId="36D5FBEC" w14:textId="77777777" w:rsidR="000139C7" w:rsidRPr="00AF6DF4" w:rsidRDefault="000139C7" w:rsidP="0038189A">
      <w:pPr>
        <w:pStyle w:val="FootnoteText"/>
        <w:jc w:val="both"/>
      </w:pPr>
      <w:r w:rsidRPr="0038189A">
        <w:rPr>
          <w:rStyle w:val="a"/>
          <w:rFonts w:ascii="Tahoma" w:hAnsi="Tahoma" w:cs="Tahoma"/>
          <w:sz w:val="16"/>
          <w:szCs w:val="16"/>
        </w:rPr>
        <w:footnoteRef/>
      </w:r>
      <w:r w:rsidRPr="0038189A">
        <w:rPr>
          <w:rFonts w:ascii="Tahoma" w:hAnsi="Tahoma" w:cs="Tahoma"/>
          <w:sz w:val="16"/>
          <w:szCs w:val="16"/>
        </w:rPr>
        <w:t xml:space="preserve"> OHCHR Fact Sheet No. 31: Right to Health,  https://www.ohchr.org/Documents/Publications/Factsheet31.pdf, </w:t>
      </w:r>
      <w:r w:rsidRPr="0038189A">
        <w:rPr>
          <w:rFonts w:ascii="Tahoma" w:eastAsia="Calibri" w:hAnsi="Tahoma" w:cs="Tahoma"/>
          <w:sz w:val="16"/>
          <w:szCs w:val="16"/>
          <w:lang w:eastAsia="zh-CN"/>
        </w:rPr>
        <w:t>Pages</w:t>
      </w:r>
      <w:r w:rsidRPr="0038189A">
        <w:rPr>
          <w:rFonts w:ascii="Tahoma" w:hAnsi="Tahoma" w:cs="Tahoma"/>
          <w:sz w:val="16"/>
          <w:szCs w:val="16"/>
        </w:rPr>
        <w:t xml:space="preserve"> 4, 7.</w:t>
      </w:r>
    </w:p>
  </w:footnote>
  <w:footnote w:id="4">
    <w:p w14:paraId="4A2E6FE7" w14:textId="77777777" w:rsidR="000139C7" w:rsidRPr="0038189A" w:rsidRDefault="000139C7" w:rsidP="000139C7">
      <w:pPr>
        <w:pStyle w:val="FootnoteText"/>
        <w:spacing w:after="160"/>
        <w:jc w:val="both"/>
        <w:rPr>
          <w:rFonts w:ascii="Tahoma" w:hAnsi="Tahoma" w:cs="Tahoma"/>
          <w:sz w:val="16"/>
          <w:szCs w:val="16"/>
        </w:rPr>
      </w:pPr>
      <w:r w:rsidRPr="0038189A">
        <w:rPr>
          <w:rStyle w:val="a"/>
          <w:rFonts w:ascii="Tahoma" w:hAnsi="Tahoma" w:cs="Tahoma"/>
          <w:sz w:val="16"/>
          <w:szCs w:val="16"/>
        </w:rPr>
        <w:footnoteRef/>
      </w:r>
      <w:r w:rsidRPr="0038189A">
        <w:rPr>
          <w:rFonts w:ascii="Tahoma" w:hAnsi="Tahoma" w:cs="Tahoma"/>
          <w:sz w:val="16"/>
          <w:szCs w:val="16"/>
        </w:rPr>
        <w:t xml:space="preserve"> For more details, see: An “</w:t>
      </w:r>
      <w:hyperlink r:id="rId2" w:history="1">
        <w:r w:rsidRPr="0038189A">
          <w:rPr>
            <w:rStyle w:val="Hyperlink"/>
            <w:rFonts w:ascii="Tahoma" w:hAnsi="Tahoma" w:cs="Tahoma"/>
            <w:sz w:val="16"/>
            <w:szCs w:val="16"/>
          </w:rPr>
          <w:t>alternative report</w:t>
        </w:r>
      </w:hyperlink>
      <w:r w:rsidRPr="0038189A">
        <w:rPr>
          <w:rFonts w:ascii="Tahoma" w:hAnsi="Tahoma" w:cs="Tahoma"/>
          <w:sz w:val="16"/>
          <w:szCs w:val="16"/>
        </w:rPr>
        <w:t>” as a commentary on Report E/C.12/TJK/4. August 2020. Pages 11-14.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61869" w14:textId="77777777" w:rsidR="005B71BC" w:rsidRDefault="003369B5">
    <w:pPr>
      <w:jc w:val="right"/>
      <w:rPr>
        <w:sz w:val="20"/>
        <w:szCs w:val="20"/>
      </w:rPr>
    </w:pPr>
    <w:r>
      <w:rPr>
        <w:noProof/>
        <w:sz w:val="20"/>
        <w:szCs w:val="20"/>
        <w:lang w:val="en-GB" w:eastAsia="en-GB"/>
      </w:rPr>
      <w:drawing>
        <wp:anchor distT="0" distB="0" distL="0" distR="0" simplePos="0" relativeHeight="16" behindDoc="1" locked="0" layoutInCell="1" allowOverlap="1" wp14:anchorId="60E57181" wp14:editId="5D4048D0">
          <wp:simplePos x="0" y="0"/>
          <wp:positionH relativeFrom="column">
            <wp:posOffset>1147445</wp:posOffset>
          </wp:positionH>
          <wp:positionV relativeFrom="paragraph">
            <wp:posOffset>635</wp:posOffset>
          </wp:positionV>
          <wp:extent cx="5674360" cy="1069213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7"/>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D0BA3" w14:textId="77777777" w:rsidR="005B71BC" w:rsidRDefault="003369B5">
    <w:pPr>
      <w:jc w:val="right"/>
      <w:rPr>
        <w:sz w:val="20"/>
        <w:szCs w:val="20"/>
      </w:rPr>
    </w:pPr>
    <w:r>
      <w:rPr>
        <w:noProof/>
        <w:sz w:val="20"/>
        <w:szCs w:val="20"/>
        <w:lang w:val="en-GB" w:eastAsia="en-GB"/>
      </w:rPr>
      <w:drawing>
        <wp:anchor distT="0" distB="0" distL="0" distR="0" simplePos="0" relativeHeight="2" behindDoc="1" locked="0" layoutInCell="1" allowOverlap="1" wp14:anchorId="0636436F" wp14:editId="6AC5B411">
          <wp:simplePos x="0" y="0"/>
          <wp:positionH relativeFrom="column">
            <wp:posOffset>1171575</wp:posOffset>
          </wp:positionH>
          <wp:positionV relativeFrom="paragraph">
            <wp:posOffset>-44450</wp:posOffset>
          </wp:positionV>
          <wp:extent cx="5674360" cy="10692130"/>
          <wp:effectExtent l="0" t="0" r="0" b="0"/>
          <wp:wrapNone/>
          <wp:docPr id="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4"/>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p w14:paraId="4AB4198C" w14:textId="77777777" w:rsidR="005B71BC" w:rsidRDefault="005B71BC">
    <w:pPr>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55645"/>
    <w:multiLevelType w:val="multilevel"/>
    <w:tmpl w:val="BC0C9EDC"/>
    <w:lvl w:ilvl="0">
      <w:start w:val="1"/>
      <w:numFmt w:val="bullet"/>
      <w:lvlText w:val="-"/>
      <w:lvlJc w:val="left"/>
      <w:pPr>
        <w:ind w:left="2880" w:hanging="360"/>
      </w:pPr>
      <w:rPr>
        <w:rFonts w:ascii="OpenSymbol" w:hAnsi="OpenSymbol" w:cs="OpenSymbol" w:hint="default"/>
        <w:strike w:val="0"/>
        <w:dstrike w:val="0"/>
        <w:u w:val="none"/>
        <w:effect w:val="none"/>
      </w:rPr>
    </w:lvl>
    <w:lvl w:ilvl="1">
      <w:start w:val="1"/>
      <w:numFmt w:val="bullet"/>
      <w:lvlText w:val="-"/>
      <w:lvlJc w:val="left"/>
      <w:pPr>
        <w:ind w:left="3600" w:hanging="360"/>
      </w:pPr>
      <w:rPr>
        <w:rFonts w:ascii="OpenSymbol" w:hAnsi="OpenSymbol" w:cs="OpenSymbol" w:hint="default"/>
        <w:strike w:val="0"/>
        <w:dstrike w:val="0"/>
        <w:u w:val="none"/>
        <w:effect w:val="none"/>
      </w:rPr>
    </w:lvl>
    <w:lvl w:ilvl="2">
      <w:start w:val="1"/>
      <w:numFmt w:val="bullet"/>
      <w:lvlText w:val="-"/>
      <w:lvlJc w:val="left"/>
      <w:pPr>
        <w:ind w:left="4320" w:hanging="360"/>
      </w:pPr>
      <w:rPr>
        <w:rFonts w:ascii="OpenSymbol" w:hAnsi="OpenSymbol" w:cs="OpenSymbol" w:hint="default"/>
        <w:strike w:val="0"/>
        <w:dstrike w:val="0"/>
        <w:u w:val="none"/>
        <w:effect w:val="none"/>
      </w:rPr>
    </w:lvl>
    <w:lvl w:ilvl="3">
      <w:start w:val="1"/>
      <w:numFmt w:val="bullet"/>
      <w:lvlText w:val="-"/>
      <w:lvlJc w:val="left"/>
      <w:pPr>
        <w:ind w:left="5040" w:hanging="360"/>
      </w:pPr>
      <w:rPr>
        <w:rFonts w:ascii="OpenSymbol" w:hAnsi="OpenSymbol" w:cs="OpenSymbol" w:hint="default"/>
        <w:strike w:val="0"/>
        <w:dstrike w:val="0"/>
        <w:u w:val="none"/>
        <w:effect w:val="none"/>
      </w:rPr>
    </w:lvl>
    <w:lvl w:ilvl="4">
      <w:start w:val="1"/>
      <w:numFmt w:val="bullet"/>
      <w:lvlText w:val="-"/>
      <w:lvlJc w:val="left"/>
      <w:pPr>
        <w:ind w:left="5760" w:hanging="360"/>
      </w:pPr>
      <w:rPr>
        <w:rFonts w:ascii="OpenSymbol" w:hAnsi="OpenSymbol" w:cs="OpenSymbol" w:hint="default"/>
        <w:strike w:val="0"/>
        <w:dstrike w:val="0"/>
        <w:u w:val="none"/>
        <w:effect w:val="none"/>
      </w:rPr>
    </w:lvl>
    <w:lvl w:ilvl="5">
      <w:start w:val="1"/>
      <w:numFmt w:val="bullet"/>
      <w:lvlText w:val="-"/>
      <w:lvlJc w:val="left"/>
      <w:pPr>
        <w:ind w:left="6480" w:hanging="360"/>
      </w:pPr>
      <w:rPr>
        <w:rFonts w:ascii="OpenSymbol" w:hAnsi="OpenSymbol" w:cs="OpenSymbol" w:hint="default"/>
        <w:strike w:val="0"/>
        <w:dstrike w:val="0"/>
        <w:u w:val="none"/>
        <w:effect w:val="none"/>
      </w:rPr>
    </w:lvl>
    <w:lvl w:ilvl="6">
      <w:start w:val="1"/>
      <w:numFmt w:val="bullet"/>
      <w:lvlText w:val="-"/>
      <w:lvlJc w:val="left"/>
      <w:pPr>
        <w:ind w:left="7200" w:hanging="360"/>
      </w:pPr>
      <w:rPr>
        <w:rFonts w:ascii="OpenSymbol" w:hAnsi="OpenSymbol" w:cs="OpenSymbol" w:hint="default"/>
        <w:strike w:val="0"/>
        <w:dstrike w:val="0"/>
        <w:u w:val="none"/>
        <w:effect w:val="none"/>
      </w:rPr>
    </w:lvl>
    <w:lvl w:ilvl="7">
      <w:start w:val="1"/>
      <w:numFmt w:val="bullet"/>
      <w:lvlText w:val="-"/>
      <w:lvlJc w:val="left"/>
      <w:pPr>
        <w:ind w:left="7920" w:hanging="360"/>
      </w:pPr>
      <w:rPr>
        <w:rFonts w:ascii="OpenSymbol" w:hAnsi="OpenSymbol" w:cs="OpenSymbol" w:hint="default"/>
        <w:strike w:val="0"/>
        <w:dstrike w:val="0"/>
        <w:u w:val="none"/>
        <w:effect w:val="none"/>
      </w:rPr>
    </w:lvl>
    <w:lvl w:ilvl="8">
      <w:start w:val="1"/>
      <w:numFmt w:val="bullet"/>
      <w:lvlText w:val="-"/>
      <w:lvlJc w:val="left"/>
      <w:pPr>
        <w:ind w:left="8640" w:hanging="360"/>
      </w:pPr>
      <w:rPr>
        <w:rFonts w:ascii="OpenSymbol" w:hAnsi="OpenSymbol" w:cs="OpenSymbol" w:hint="default"/>
        <w:strike w:val="0"/>
        <w:dstrike w:val="0"/>
        <w:u w:val="none"/>
        <w:effect w:val="none"/>
      </w:rPr>
    </w:lvl>
  </w:abstractNum>
  <w:abstractNum w:abstractNumId="1" w15:restartNumberingAfterBreak="0">
    <w:nsid w:val="403D1CD8"/>
    <w:multiLevelType w:val="multilevel"/>
    <w:tmpl w:val="7C8441A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53680D69"/>
    <w:multiLevelType w:val="multilevel"/>
    <w:tmpl w:val="4BE4DA0A"/>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3" w15:restartNumberingAfterBreak="0">
    <w:nsid w:val="68042497"/>
    <w:multiLevelType w:val="multilevel"/>
    <w:tmpl w:val="F1748DC0"/>
    <w:lvl w:ilvl="0">
      <w:start w:val="1"/>
      <w:numFmt w:val="bullet"/>
      <w:lvlText w:val="-"/>
      <w:lvlJc w:val="left"/>
      <w:pPr>
        <w:ind w:left="1440" w:hanging="360"/>
      </w:pPr>
      <w:rPr>
        <w:rFonts w:ascii="OpenSymbol" w:hAnsi="OpenSymbol" w:cs="OpenSymbol" w:hint="default"/>
        <w:strike w:val="0"/>
        <w:dstrike w:val="0"/>
        <w:u w:val="none"/>
        <w:effect w:val="none"/>
      </w:rPr>
    </w:lvl>
    <w:lvl w:ilvl="1">
      <w:start w:val="1"/>
      <w:numFmt w:val="bullet"/>
      <w:lvlText w:val="-"/>
      <w:lvlJc w:val="left"/>
      <w:pPr>
        <w:ind w:left="2160" w:hanging="360"/>
      </w:pPr>
      <w:rPr>
        <w:rFonts w:ascii="OpenSymbol" w:hAnsi="OpenSymbol" w:cs="OpenSymbol" w:hint="default"/>
        <w:strike w:val="0"/>
        <w:dstrike w:val="0"/>
        <w:u w:val="none"/>
        <w:effect w:val="none"/>
      </w:rPr>
    </w:lvl>
    <w:lvl w:ilvl="2">
      <w:start w:val="1"/>
      <w:numFmt w:val="bullet"/>
      <w:lvlText w:val="-"/>
      <w:lvlJc w:val="left"/>
      <w:pPr>
        <w:ind w:left="2880" w:hanging="360"/>
      </w:pPr>
      <w:rPr>
        <w:rFonts w:ascii="OpenSymbol" w:hAnsi="OpenSymbol" w:cs="OpenSymbol" w:hint="default"/>
        <w:strike w:val="0"/>
        <w:dstrike w:val="0"/>
        <w:u w:val="none"/>
        <w:effect w:val="none"/>
      </w:rPr>
    </w:lvl>
    <w:lvl w:ilvl="3">
      <w:start w:val="1"/>
      <w:numFmt w:val="bullet"/>
      <w:lvlText w:val="-"/>
      <w:lvlJc w:val="left"/>
      <w:pPr>
        <w:ind w:left="3600" w:hanging="360"/>
      </w:pPr>
      <w:rPr>
        <w:rFonts w:ascii="OpenSymbol" w:hAnsi="OpenSymbol" w:cs="OpenSymbol" w:hint="default"/>
        <w:strike w:val="0"/>
        <w:dstrike w:val="0"/>
        <w:u w:val="none"/>
        <w:effect w:val="none"/>
      </w:rPr>
    </w:lvl>
    <w:lvl w:ilvl="4">
      <w:start w:val="1"/>
      <w:numFmt w:val="bullet"/>
      <w:lvlText w:val="-"/>
      <w:lvlJc w:val="left"/>
      <w:pPr>
        <w:ind w:left="4320" w:hanging="360"/>
      </w:pPr>
      <w:rPr>
        <w:rFonts w:ascii="OpenSymbol" w:hAnsi="OpenSymbol" w:cs="OpenSymbol" w:hint="default"/>
        <w:strike w:val="0"/>
        <w:dstrike w:val="0"/>
        <w:u w:val="none"/>
        <w:effect w:val="none"/>
      </w:rPr>
    </w:lvl>
    <w:lvl w:ilvl="5">
      <w:start w:val="1"/>
      <w:numFmt w:val="bullet"/>
      <w:lvlText w:val="-"/>
      <w:lvlJc w:val="left"/>
      <w:pPr>
        <w:ind w:left="5040" w:hanging="360"/>
      </w:pPr>
      <w:rPr>
        <w:rFonts w:ascii="OpenSymbol" w:hAnsi="OpenSymbol" w:cs="OpenSymbol" w:hint="default"/>
        <w:strike w:val="0"/>
        <w:dstrike w:val="0"/>
        <w:u w:val="none"/>
        <w:effect w:val="none"/>
      </w:rPr>
    </w:lvl>
    <w:lvl w:ilvl="6">
      <w:start w:val="1"/>
      <w:numFmt w:val="bullet"/>
      <w:lvlText w:val="-"/>
      <w:lvlJc w:val="left"/>
      <w:pPr>
        <w:ind w:left="5760" w:hanging="360"/>
      </w:pPr>
      <w:rPr>
        <w:rFonts w:ascii="OpenSymbol" w:hAnsi="OpenSymbol" w:cs="OpenSymbol" w:hint="default"/>
        <w:strike w:val="0"/>
        <w:dstrike w:val="0"/>
        <w:u w:val="none"/>
        <w:effect w:val="none"/>
      </w:rPr>
    </w:lvl>
    <w:lvl w:ilvl="7">
      <w:start w:val="1"/>
      <w:numFmt w:val="bullet"/>
      <w:lvlText w:val="-"/>
      <w:lvlJc w:val="left"/>
      <w:pPr>
        <w:ind w:left="6480" w:hanging="360"/>
      </w:pPr>
      <w:rPr>
        <w:rFonts w:ascii="OpenSymbol" w:hAnsi="OpenSymbol" w:cs="OpenSymbol" w:hint="default"/>
        <w:strike w:val="0"/>
        <w:dstrike w:val="0"/>
        <w:u w:val="none"/>
        <w:effect w:val="none"/>
      </w:rPr>
    </w:lvl>
    <w:lvl w:ilvl="8">
      <w:start w:val="1"/>
      <w:numFmt w:val="bullet"/>
      <w:lvlText w:val="-"/>
      <w:lvlJc w:val="left"/>
      <w:pPr>
        <w:ind w:left="7200" w:hanging="360"/>
      </w:pPr>
      <w:rPr>
        <w:rFonts w:ascii="OpenSymbol" w:hAnsi="OpenSymbol" w:cs="OpenSymbol" w:hint="default"/>
        <w:strike w:val="0"/>
        <w:dstrike w:val="0"/>
        <w:u w:val="none"/>
        <w:effect w:val="none"/>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1BC"/>
    <w:rsid w:val="000139C7"/>
    <w:rsid w:val="003211F1"/>
    <w:rsid w:val="003369B5"/>
    <w:rsid w:val="0038189A"/>
    <w:rsid w:val="004047EC"/>
    <w:rsid w:val="005B71BC"/>
    <w:rsid w:val="00865AAD"/>
    <w:rsid w:val="00D737E7"/>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3FD08"/>
  <w15:docId w15:val="{0E2318D3-DA2C-4C9E-8C25-C30BC414D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keepLines/>
      <w:spacing w:before="480" w:after="120"/>
      <w:outlineLvl w:val="0"/>
    </w:pPr>
    <w:rPr>
      <w:b/>
      <w:sz w:val="48"/>
      <w:szCs w:val="48"/>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6E238A"/>
  </w:style>
  <w:style w:type="character" w:customStyle="1" w:styleId="FooterChar">
    <w:name w:val="Footer Char"/>
    <w:basedOn w:val="DefaultParagraphFont"/>
    <w:link w:val="Footer"/>
    <w:uiPriority w:val="99"/>
    <w:qFormat/>
    <w:rsid w:val="006E238A"/>
  </w:style>
  <w:style w:type="character" w:styleId="Hyperlink">
    <w:name w:val="Hyperlink"/>
    <w:basedOn w:val="DefaultParagraphFont"/>
    <w:uiPriority w:val="99"/>
    <w:unhideWhenUsed/>
    <w:rsid w:val="00C27516"/>
    <w:rPr>
      <w:color w:val="0000FF"/>
      <w:u w:val="single"/>
    </w:rPr>
  </w:style>
  <w:style w:type="character" w:customStyle="1" w:styleId="gd">
    <w:name w:val="gd"/>
    <w:basedOn w:val="DefaultParagraphFont"/>
    <w:qFormat/>
    <w:rsid w:val="003B4EB7"/>
  </w:style>
  <w:style w:type="character" w:customStyle="1" w:styleId="FootnoteTextChar">
    <w:name w:val="Footnote Text Char"/>
    <w:basedOn w:val="DefaultParagraphFont"/>
    <w:link w:val="FootnoteText"/>
    <w:uiPriority w:val="99"/>
    <w:semiHidden/>
    <w:qFormat/>
    <w:rsid w:val="002450D8"/>
    <w:rPr>
      <w:sz w:val="20"/>
      <w:szCs w:val="20"/>
    </w:rPr>
  </w:style>
  <w:style w:type="character" w:customStyle="1" w:styleId="FootnoteCharacters">
    <w:name w:val="Footnote Characters"/>
    <w:basedOn w:val="DefaultParagraphFont"/>
    <w:uiPriority w:val="99"/>
    <w:semiHidden/>
    <w:unhideWhenUsed/>
    <w:qFormat/>
    <w:rsid w:val="002450D8"/>
    <w:rPr>
      <w:vertAlign w:val="superscript"/>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character" w:customStyle="1" w:styleId="BalloonTextChar">
    <w:name w:val="Balloon Text Char"/>
    <w:basedOn w:val="DefaultParagraphFont"/>
    <w:link w:val="BalloonText"/>
    <w:uiPriority w:val="99"/>
    <w:semiHidden/>
    <w:qFormat/>
    <w:rsid w:val="00B9658F"/>
    <w:rPr>
      <w:rFonts w:ascii="Segoe UI" w:hAnsi="Segoe UI" w:cs="Segoe UI"/>
      <w:sz w:val="18"/>
      <w:szCs w:val="18"/>
    </w:rPr>
  </w:style>
  <w:style w:type="character" w:styleId="FollowedHyperlink">
    <w:name w:val="FollowedHyperlink"/>
    <w:basedOn w:val="DefaultParagraphFont"/>
    <w:uiPriority w:val="99"/>
    <w:semiHidden/>
    <w:unhideWhenUsed/>
    <w:rsid w:val="00837D82"/>
    <w:rPr>
      <w:color w:val="800080" w:themeColor="followedHyperlink"/>
      <w:u w:val="single"/>
    </w:rPr>
  </w:style>
  <w:style w:type="character" w:customStyle="1" w:styleId="UnresolvedMention1">
    <w:name w:val="Unresolved Mention1"/>
    <w:basedOn w:val="DefaultParagraphFont"/>
    <w:uiPriority w:val="99"/>
    <w:semiHidden/>
    <w:unhideWhenUsed/>
    <w:qFormat/>
    <w:rsid w:val="00837D82"/>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qFormat/>
    <w:pPr>
      <w:keepNext/>
      <w:keepLines/>
      <w:spacing w:before="480" w:after="120"/>
    </w:pPr>
    <w:rPr>
      <w:b/>
      <w:sz w:val="72"/>
      <w:szCs w:val="72"/>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customStyle="1" w:styleId="HeaderandFooter">
    <w:name w:val="Header and Footer"/>
    <w:basedOn w:val="Normal"/>
    <w:qFormat/>
  </w:style>
  <w:style w:type="paragraph" w:styleId="Header">
    <w:name w:val="header"/>
    <w:basedOn w:val="Normal"/>
    <w:link w:val="HeaderChar"/>
    <w:uiPriority w:val="99"/>
    <w:unhideWhenUsed/>
    <w:rsid w:val="006E238A"/>
    <w:pPr>
      <w:tabs>
        <w:tab w:val="center" w:pos="4680"/>
        <w:tab w:val="right" w:pos="9360"/>
      </w:tabs>
    </w:pPr>
  </w:style>
  <w:style w:type="paragraph" w:styleId="Footer">
    <w:name w:val="footer"/>
    <w:basedOn w:val="Normal"/>
    <w:link w:val="FooterChar"/>
    <w:uiPriority w:val="99"/>
    <w:unhideWhenUsed/>
    <w:rsid w:val="006E238A"/>
    <w:pPr>
      <w:tabs>
        <w:tab w:val="center" w:pos="4680"/>
        <w:tab w:val="right" w:pos="9360"/>
      </w:tabs>
    </w:pPr>
  </w:style>
  <w:style w:type="paragraph" w:styleId="ListParagraph">
    <w:name w:val="List Paragraph"/>
    <w:basedOn w:val="Normal"/>
    <w:uiPriority w:val="34"/>
    <w:qFormat/>
    <w:rsid w:val="007008AB"/>
    <w:pPr>
      <w:ind w:left="720"/>
      <w:contextualSpacing/>
    </w:pPr>
  </w:style>
  <w:style w:type="paragraph" w:styleId="FootnoteText">
    <w:name w:val="footnote text"/>
    <w:basedOn w:val="Normal"/>
    <w:link w:val="FootnoteTextChar"/>
    <w:unhideWhenUsed/>
    <w:rsid w:val="002450D8"/>
    <w:rPr>
      <w:sz w:val="20"/>
      <w:szCs w:val="20"/>
    </w:rPr>
  </w:style>
  <w:style w:type="paragraph" w:styleId="CommentText">
    <w:name w:val="annotation text"/>
    <w:basedOn w:val="Normal"/>
    <w:link w:val="CommentTextChar"/>
    <w:uiPriority w:val="99"/>
    <w:semiHidden/>
    <w:unhideWhenUsed/>
    <w:qFormat/>
    <w:rPr>
      <w:sz w:val="20"/>
      <w:szCs w:val="20"/>
    </w:rPr>
  </w:style>
  <w:style w:type="paragraph" w:styleId="BalloonText">
    <w:name w:val="Balloon Text"/>
    <w:basedOn w:val="Normal"/>
    <w:link w:val="BalloonTextChar"/>
    <w:uiPriority w:val="99"/>
    <w:semiHidden/>
    <w:unhideWhenUsed/>
    <w:qFormat/>
    <w:rsid w:val="00B9658F"/>
    <w:rPr>
      <w:rFonts w:ascii="Segoe UI" w:hAnsi="Segoe UI" w:cs="Segoe UI"/>
      <w:sz w:val="18"/>
      <w:szCs w:val="18"/>
    </w:rPr>
  </w:style>
  <w:style w:type="table" w:styleId="TableGrid">
    <w:name w:val="Table Grid"/>
    <w:basedOn w:val="TableNormal"/>
    <w:uiPriority w:val="39"/>
    <w:rsid w:val="00375F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Символ сноски"/>
    <w:rsid w:val="000139C7"/>
    <w:rPr>
      <w:vertAlign w:val="superscript"/>
    </w:rPr>
  </w:style>
  <w:style w:type="character" w:styleId="FootnoteReference">
    <w:name w:val="footnote reference"/>
    <w:rsid w:val="000139C7"/>
    <w:rPr>
      <w:vertAlign w:val="superscript"/>
    </w:rPr>
  </w:style>
  <w:style w:type="paragraph" w:customStyle="1" w:styleId="H23G">
    <w:name w:val="_ H_2/3_G"/>
    <w:basedOn w:val="Normal"/>
    <w:next w:val="Normal"/>
    <w:rsid w:val="000139C7"/>
    <w:pPr>
      <w:keepNext/>
      <w:keepLines/>
      <w:tabs>
        <w:tab w:val="right" w:pos="851"/>
      </w:tabs>
      <w:spacing w:before="240" w:after="120" w:line="240" w:lineRule="exact"/>
      <w:ind w:left="1134" w:right="1134" w:hanging="1134"/>
    </w:pPr>
    <w:rPr>
      <w:rFonts w:ascii="Calibri" w:eastAsia="Calibri" w:hAnsi="Calibri"/>
      <w:b/>
      <w:lang w:val="ru-RU" w:eastAsia="zh-CN"/>
    </w:rPr>
  </w:style>
  <w:style w:type="paragraph" w:customStyle="1" w:styleId="LO-normal">
    <w:name w:val="LO-normal"/>
    <w:rsid w:val="000139C7"/>
    <w:pPr>
      <w:spacing w:line="276" w:lineRule="auto"/>
    </w:pPr>
    <w:rPr>
      <w:rFonts w:ascii="Liberation Serif" w:eastAsia="NSimSun" w:hAnsi="Liberation Serif" w:cs="Lucida Sans"/>
      <w:sz w:val="24"/>
      <w:szCs w:val="24"/>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06852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binternet.ohchr.org/_layouts/15/treatybodyexternal/Download.aspx?symbolno=E%2FC.12%2FTJK%2FCO%2F2-3&amp;Lang=en" TargetMode="External"/><Relationship Id="rId18" Type="http://schemas.openxmlformats.org/officeDocument/2006/relationships/hyperlink" Target="https://www.ilga-europe.org/sites/default/files/2020/full_annual_review.pdf" TargetMode="External"/><Relationship Id="rId26" Type="http://schemas.openxmlformats.org/officeDocument/2006/relationships/hyperlink" Target="https://tgeu.org/wp-content/uploads/2021/01/impact-assessment-covid19-and-trans-people-in-europe-and-central-asia.pdf" TargetMode="External"/><Relationship Id="rId3" Type="http://schemas.openxmlformats.org/officeDocument/2006/relationships/styles" Target="styles.xml"/><Relationship Id="rId21" Type="http://schemas.openxmlformats.org/officeDocument/2006/relationships/hyperlink" Target="https://www.hrw.org/news/2016/10/06/tajikistan-long-prison-terms-rights-lawyers"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vkd.tj/old/index.php/ru/glavnaya/4585-press-konferentsiya-v-mvd" TargetMode="External"/><Relationship Id="rId25" Type="http://schemas.openxmlformats.org/officeDocument/2006/relationships/hyperlink" Target="https://www.hivjustice.net/oslo/oslo-declaration/" TargetMode="External"/><Relationship Id="rId2" Type="http://schemas.openxmlformats.org/officeDocument/2006/relationships/numbering" Target="numbering.xml"/><Relationship Id="rId16" Type="http://schemas.openxmlformats.org/officeDocument/2006/relationships/hyperlink" Target="http://adlia.tj/show_doc.fwx?rgn=142623" TargetMode="External"/><Relationship Id="rId20" Type="http://schemas.openxmlformats.org/officeDocument/2006/relationships/hyperlink" Target="https://iphronline.org/wp-content/uploads/2017/06/LGBT-ru-for-web.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hivjustice.net/oslo/oslo-declaration/" TargetMode="External"/><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tbinternet.ohchr.org/_layouts/15/treatybodyexternal/Download.aspx?symbolno=E%2FC.12%2FTJK%2FQ%2F4&amp;Lang=en" TargetMode="External"/><Relationship Id="rId23" Type="http://schemas.openxmlformats.org/officeDocument/2006/relationships/hyperlink" Target="https://tj.sputniknews.ru/20191226/tajikistan-uzhestochili-nakazanie-umyshlennoe-zarazhenie-spid-1030454337.html" TargetMode="External"/><Relationship Id="rId28" Type="http://schemas.openxmlformats.org/officeDocument/2006/relationships/fontTable" Target="fontTable.xml"/><Relationship Id="rId10" Type="http://schemas.openxmlformats.org/officeDocument/2006/relationships/hyperlink" Target="mailto:yuri@ecom.ngo" TargetMode="External"/><Relationship Id="rId19" Type="http://schemas.openxmlformats.org/officeDocument/2006/relationships/hyperlink" Target="https://www.bbc.com/russian/features-39792258" TargetMode="External"/><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ecom.ngo/" TargetMode="External"/><Relationship Id="rId14" Type="http://schemas.openxmlformats.org/officeDocument/2006/relationships/hyperlink" Target="https://tbinternet.ohchr.org/_layouts/15/treatybodyexternal/Download.aspx?symbolno=E%2FC.12%2FTJK%2F4&amp;Lang=en" TargetMode="External"/><Relationship Id="rId22" Type="http://schemas.openxmlformats.org/officeDocument/2006/relationships/hyperlink" Target="https://asiaplustj.info/ru/news/tajikistan/society/20200414/kak-spasti-14-tisyach-tadzhikov-ot-ugrozi-tyurmi-a-stranu-ot-epidemii" TargetMode="External"/><Relationship Id="rId27" Type="http://schemas.openxmlformats.org/officeDocument/2006/relationships/hyperlink" Target="https://tgeu.org/wp-content/uploads/2021/01/impact-assessment-covid19-and-trans-people-in-europe-and-central-asia.pdf" TargetMode="External"/><Relationship Id="rId30"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INT%2FCESCR%2FICO%2FTJK%2F42895&amp;Lang=en" TargetMode="External"/><Relationship Id="rId1" Type="http://schemas.openxmlformats.org/officeDocument/2006/relationships/hyperlink" Target="https://tbinternet.ohchr.org/_layouts/15/treatybodyexternal/Download.aspx?symbolno=INT%2FCESCR%2FICO%2FTJK%2F42895&amp;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648908-C326-40B5-9831-491F601320B2}">
  <ds:schemaRefs>
    <ds:schemaRef ds:uri="http://schemas.openxmlformats.org/officeDocument/2006/bibliography"/>
  </ds:schemaRefs>
</ds:datastoreItem>
</file>

<file path=customXml/itemProps2.xml><?xml version="1.0" encoding="utf-8"?>
<ds:datastoreItem xmlns:ds="http://schemas.openxmlformats.org/officeDocument/2006/customXml" ds:itemID="{B72CB7D5-A7F1-4C0B-8F59-7CB0C0F73E95}"/>
</file>

<file path=customXml/itemProps3.xml><?xml version="1.0" encoding="utf-8"?>
<ds:datastoreItem xmlns:ds="http://schemas.openxmlformats.org/officeDocument/2006/customXml" ds:itemID="{6358E884-88EA-40AD-8AA1-FF112CB2AA51}"/>
</file>

<file path=customXml/itemProps4.xml><?xml version="1.0" encoding="utf-8"?>
<ds:datastoreItem xmlns:ds="http://schemas.openxmlformats.org/officeDocument/2006/customXml" ds:itemID="{93D2EE30-FFDD-4A0F-AD18-ACCF652C7A93}"/>
</file>

<file path=docProps/app.xml><?xml version="1.0" encoding="utf-8"?>
<Properties xmlns="http://schemas.openxmlformats.org/officeDocument/2006/extended-properties" xmlns:vt="http://schemas.openxmlformats.org/officeDocument/2006/docPropsVTypes">
  <Template>Normal.dotm</Template>
  <TotalTime>0</TotalTime>
  <Pages>9</Pages>
  <Words>4370</Words>
  <Characters>24910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REYNAUD Céline</cp:lastModifiedBy>
  <cp:revision>2</cp:revision>
  <dcterms:created xsi:type="dcterms:W3CDTF">2022-08-30T13:33:00Z</dcterms:created>
  <dcterms:modified xsi:type="dcterms:W3CDTF">2022-08-30T13:33:00Z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0x010100FAE5DBF0ADA998469064B64F53A76F3C</vt:lpwstr>
  </property>
</Properties>
</file>