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9E71D"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color w:val="222222"/>
          <w:kern w:val="0"/>
          <w:sz w:val="24"/>
          <w:szCs w:val="24"/>
          <w:lang w:val="sr-Latn-BA" w:eastAsia="sr-Latn-BA"/>
          <w14:ligatures w14:val="none"/>
        </w:rPr>
        <w:t>Human Rights Committee (CCPR)​- Secretariat</w:t>
      </w:r>
    </w:p>
    <w:p w14:paraId="05D44192"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3AE41F3C"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United Nations – Office of the High Commissioner for Human Rights</w:t>
      </w:r>
    </w:p>
    <w:p w14:paraId="5C8F062E"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75ECF431"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1E60E1B5"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color w:val="222222"/>
          <w:kern w:val="0"/>
          <w:sz w:val="24"/>
          <w:szCs w:val="24"/>
          <w:lang w:val="sr-Latn-BA" w:eastAsia="sr-Latn-BA"/>
          <w14:ligatures w14:val="none"/>
        </w:rPr>
        <w:t>​Bosnia and Herzegovina - Expanded NGO Submission for the preparation of the List of Issues prior to reporting (LOIPR)</w:t>
      </w:r>
    </w:p>
    <w:p w14:paraId="05BF916F"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under the International Covenant on Civil and Political Rights (ICCPR)</w:t>
      </w:r>
    </w:p>
    <w:p w14:paraId="213AF70A"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6E23F872"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i/>
          <w:iCs/>
          <w:color w:val="222222"/>
          <w:kern w:val="0"/>
          <w:sz w:val="24"/>
          <w:szCs w:val="24"/>
          <w:lang w:val="sr-Latn-BA" w:eastAsia="sr-Latn-BA"/>
          <w14:ligatures w14:val="none"/>
        </w:rPr>
        <w:t>Submitted by</w:t>
      </w:r>
      <w:r w:rsidRPr="00977111">
        <w:rPr>
          <w:rFonts w:ascii="Arial" w:eastAsia="Times New Roman" w:hAnsi="Arial" w:cs="Arial"/>
          <w:color w:val="222222"/>
          <w:kern w:val="0"/>
          <w:sz w:val="24"/>
          <w:szCs w:val="24"/>
          <w:lang w:val="sr-Latn-BA" w:eastAsia="sr-Latn-BA"/>
          <w14:ligatures w14:val="none"/>
        </w:rPr>
        <w:t>:</w:t>
      </w:r>
    </w:p>
    <w:p w14:paraId="74FF27FE"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Helsinki Committee for Human Rights</w:t>
      </w:r>
    </w:p>
    <w:p w14:paraId="7BAE41C4"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671DFE34"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i/>
          <w:iCs/>
          <w:color w:val="222222"/>
          <w:kern w:val="0"/>
          <w:sz w:val="24"/>
          <w:szCs w:val="24"/>
          <w:lang w:val="sr-Latn-BA" w:eastAsia="sr-Latn-BA"/>
          <w14:ligatures w14:val="none"/>
        </w:rPr>
        <w:t>Author and signatory</w:t>
      </w:r>
      <w:r w:rsidRPr="00977111">
        <w:rPr>
          <w:rFonts w:ascii="Arial" w:eastAsia="Times New Roman" w:hAnsi="Arial" w:cs="Arial"/>
          <w:color w:val="222222"/>
          <w:kern w:val="0"/>
          <w:sz w:val="24"/>
          <w:szCs w:val="24"/>
          <w:lang w:val="sr-Latn-BA" w:eastAsia="sr-Latn-BA"/>
          <w14:ligatures w14:val="none"/>
        </w:rPr>
        <w:t>:</w:t>
      </w:r>
    </w:p>
    <w:p w14:paraId="04ADF06E"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Branko Todorović</w:t>
      </w:r>
    </w:p>
    <w:p w14:paraId="1FED4FC7"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Executive Director</w:t>
      </w:r>
    </w:p>
    <w:p w14:paraId="6E1A5863"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03BDB8AB"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i/>
          <w:iCs/>
          <w:color w:val="222222"/>
          <w:kern w:val="0"/>
          <w:sz w:val="24"/>
          <w:szCs w:val="24"/>
          <w:lang w:val="sr-Latn-BA" w:eastAsia="sr-Latn-BA"/>
          <w14:ligatures w14:val="none"/>
        </w:rPr>
        <w:t>Nature of submission</w:t>
      </w:r>
      <w:r w:rsidRPr="00977111">
        <w:rPr>
          <w:rFonts w:ascii="Arial" w:eastAsia="Times New Roman" w:hAnsi="Arial" w:cs="Arial"/>
          <w:color w:val="222222"/>
          <w:kern w:val="0"/>
          <w:sz w:val="24"/>
          <w:szCs w:val="24"/>
          <w:lang w:val="sr-Latn-BA" w:eastAsia="sr-Latn-BA"/>
          <w14:ligatures w14:val="none"/>
        </w:rPr>
        <w:t>:</w:t>
      </w:r>
    </w:p>
    <w:p w14:paraId="20621E69"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Individual NGO submission (non-coalition)</w:t>
      </w:r>
    </w:p>
    <w:p w14:paraId="6F357503"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70D6F03E"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i/>
          <w:iCs/>
          <w:color w:val="222222"/>
          <w:kern w:val="0"/>
          <w:sz w:val="24"/>
          <w:szCs w:val="24"/>
          <w:lang w:val="sr-Latn-BA" w:eastAsia="sr-Latn-BA"/>
          <w14:ligatures w14:val="none"/>
        </w:rPr>
        <w:t>Reporting cycle</w:t>
      </w:r>
      <w:r w:rsidRPr="00977111">
        <w:rPr>
          <w:rFonts w:ascii="Arial" w:eastAsia="Times New Roman" w:hAnsi="Arial" w:cs="Arial"/>
          <w:color w:val="222222"/>
          <w:kern w:val="0"/>
          <w:sz w:val="24"/>
          <w:szCs w:val="24"/>
          <w:lang w:val="sr-Latn-BA" w:eastAsia="sr-Latn-BA"/>
          <w14:ligatures w14:val="none"/>
        </w:rPr>
        <w:t>:</w:t>
      </w:r>
    </w:p>
    <w:p w14:paraId="00CB79FB"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Fourth periodic review of Bosnia and Herzegovina</w:t>
      </w:r>
    </w:p>
    <w:p w14:paraId="1913449D"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i/>
          <w:iCs/>
          <w:color w:val="222222"/>
          <w:kern w:val="0"/>
          <w:sz w:val="24"/>
          <w:szCs w:val="24"/>
          <w:lang w:val="sr-Latn-BA" w:eastAsia="sr-Latn-BA"/>
          <w14:ligatures w14:val="none"/>
        </w:rPr>
        <w:t>Date</w:t>
      </w:r>
      <w:r w:rsidRPr="00977111">
        <w:rPr>
          <w:rFonts w:ascii="Arial" w:eastAsia="Times New Roman" w:hAnsi="Arial" w:cs="Arial"/>
          <w:color w:val="222222"/>
          <w:kern w:val="0"/>
          <w:sz w:val="24"/>
          <w:szCs w:val="24"/>
          <w:lang w:val="sr-Latn-BA" w:eastAsia="sr-Latn-BA"/>
          <w14:ligatures w14:val="none"/>
        </w:rPr>
        <w:t>:</w:t>
      </w:r>
    </w:p>
    <w:p w14:paraId="133BF7E2"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5 January 2026</w:t>
      </w:r>
    </w:p>
    <w:p w14:paraId="7EA14498"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0BD17937"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color w:val="222222"/>
          <w:kern w:val="0"/>
          <w:sz w:val="24"/>
          <w:szCs w:val="24"/>
          <w:lang w:val="sr-Latn-BA" w:eastAsia="sr-Latn-BA"/>
          <w14:ligatures w14:val="none"/>
        </w:rPr>
        <w:t>1. Executive Summary</w:t>
      </w:r>
    </w:p>
    <w:p w14:paraId="7E23E3C1"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41E56CD5"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1. This submission is respectfully submitted by the Helsinki Committee for Human Rights to assist the Human Rights Committee in preparing the List of Issues prior to reporting (LOIPR) for Bosnia and Herzegovina under the ICCPR.</w:t>
      </w:r>
    </w:p>
    <w:p w14:paraId="198CFBD3"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2. It focuses on areas where previous recommendations of the Committee have not been implemented and where recent legislative and institutional developments indicate a regression in the protection of civil and political rights, particularly affecting freedom of expression, association, peaceful assembly and the space for civil society.</w:t>
      </w:r>
    </w:p>
    <w:p w14:paraId="50A59C54"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3. The submission builds on the Committee’s Concluding Observations (2017) and its follow-up assessment (2020), and proposes clear, legally grounded questions aimed at enabling the Committee to assess compliance with the Covenant in law and in practice.</w:t>
      </w:r>
    </w:p>
    <w:p w14:paraId="7C6B11B6"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32937319"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color w:val="222222"/>
          <w:kern w:val="0"/>
          <w:sz w:val="24"/>
          <w:szCs w:val="24"/>
          <w:lang w:val="sr-Latn-BA" w:eastAsia="sr-Latn-BA"/>
          <w14:ligatures w14:val="none"/>
        </w:rPr>
        <w:t>2. Methodology and Legal Framework</w:t>
      </w:r>
    </w:p>
    <w:p w14:paraId="5DB342D9"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41186496"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4. This submission follows the standard treaty-body methodology used by the Human Rights Committee. Each thematic section includes:</w:t>
      </w:r>
    </w:p>
    <w:p w14:paraId="5FD79B97"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a) relevant ICCPR provisions,</w:t>
      </w:r>
    </w:p>
    <w:p w14:paraId="6D78EC89"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b) reference to the Committee’s jurisprudence and General Comments,</w:t>
      </w:r>
    </w:p>
    <w:p w14:paraId="53172733"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c) concise factual and legal context,</w:t>
      </w:r>
    </w:p>
    <w:p w14:paraId="3A47AADE"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d) a clearly separated block of suggested questions for the LOIPR.</w:t>
      </w:r>
    </w:p>
    <w:p w14:paraId="6A72CA3B"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50C5337E"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lastRenderedPageBreak/>
        <w:t>5. Particular attention is given to the principles of legality, necessity and proportionality, which the Committee consistently applies when assessing restrictions on Covenant rights.</w:t>
      </w:r>
    </w:p>
    <w:p w14:paraId="38553E7E"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394B39D2"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color w:val="222222"/>
          <w:kern w:val="0"/>
          <w:sz w:val="24"/>
          <w:szCs w:val="24"/>
          <w:lang w:val="sr-Latn-BA" w:eastAsia="sr-Latn-BA"/>
          <w14:ligatures w14:val="none"/>
        </w:rPr>
        <w:t>3. General Implementation of the Covenant and Effective Remedies</w:t>
      </w:r>
    </w:p>
    <w:p w14:paraId="15F60329"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(Articles 2 and 50 ICCPR)</w:t>
      </w:r>
    </w:p>
    <w:p w14:paraId="19E3F584"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594E9694"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6. In its 2017 Concluding Observations, the Committee expressed concern that the complex constitutional structure of Bosnia and Herzegovina hampers the uniform implementation of Covenant rights and the availability of effective remedies.</w:t>
      </w:r>
    </w:p>
    <w:p w14:paraId="36F38C80"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7. Since that time, no permanent and effective coordination mechanism has been established to ensure consistent application of the ICCPR across all jurisdictions, despite the adoption of legislation with significant human rights implications at entity level.</w:t>
      </w:r>
    </w:p>
    <w:p w14:paraId="3861D115"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1B9EF084"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Suggested questions for the List of Issues</w:t>
      </w:r>
      <w:r w:rsidRPr="00977111">
        <w:rPr>
          <w:rFonts w:ascii="Arial" w:eastAsia="Times New Roman" w:hAnsi="Arial" w:cs="Arial"/>
          <w:color w:val="222222"/>
          <w:kern w:val="0"/>
          <w:sz w:val="24"/>
          <w:szCs w:val="24"/>
          <w:lang w:val="sr-Latn-BA" w:eastAsia="sr-Latn-BA"/>
          <w14:ligatures w14:val="none"/>
        </w:rPr>
        <w:t> (LOIPR)</w:t>
      </w:r>
    </w:p>
    <w:p w14:paraId="3B7DC248"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62932530"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1.</w:t>
      </w:r>
      <w:r w:rsidRPr="00977111">
        <w:rPr>
          <w:rFonts w:ascii="Arial" w:eastAsia="Times New Roman" w:hAnsi="Arial" w:cs="Arial"/>
          <w:color w:val="222222"/>
          <w:kern w:val="0"/>
          <w:sz w:val="24"/>
          <w:szCs w:val="24"/>
          <w:lang w:val="sr-Latn-BA" w:eastAsia="sr-Latn-BA"/>
          <w14:ligatures w14:val="none"/>
        </w:rPr>
        <w:t> Please explain how the State party ensures the effective and consistent implementation of the ICCPR across all levels of government, including the State level, entities, cantons, Brčko District and municipalities.</w:t>
      </w:r>
    </w:p>
    <w:p w14:paraId="420684E5"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2.</w:t>
      </w:r>
      <w:r w:rsidRPr="00977111">
        <w:rPr>
          <w:rFonts w:ascii="Arial" w:eastAsia="Times New Roman" w:hAnsi="Arial" w:cs="Arial"/>
          <w:color w:val="222222"/>
          <w:kern w:val="0"/>
          <w:sz w:val="24"/>
          <w:szCs w:val="24"/>
          <w:lang w:val="sr-Latn-BA" w:eastAsia="sr-Latn-BA"/>
          <w14:ligatures w14:val="none"/>
        </w:rPr>
        <w:t> Please provide information on judicial and administrative remedies available for alleged violations of Covenant rights, including data on accessibility, average duration of proceedings, enforcement of final decisions and availability of interim measures.</w:t>
      </w:r>
    </w:p>
    <w:p w14:paraId="0F251298"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3. </w:t>
      </w:r>
      <w:r w:rsidRPr="00977111">
        <w:rPr>
          <w:rFonts w:ascii="Arial" w:eastAsia="Times New Roman" w:hAnsi="Arial" w:cs="Arial"/>
          <w:color w:val="222222"/>
          <w:kern w:val="0"/>
          <w:sz w:val="24"/>
          <w:szCs w:val="24"/>
          <w:lang w:val="sr-Latn-BA" w:eastAsia="sr-Latn-BA"/>
          <w14:ligatures w14:val="none"/>
        </w:rPr>
        <w:t>Please clarify whether a permanent institutional mechanism exists to coordinate and monitor the implementation of treaty body recommendations, including those of the Human Rights Committee, and if not, what steps are being taken to establish such a mechanism.</w:t>
      </w:r>
    </w:p>
    <w:p w14:paraId="1C471D0C"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6F32284D"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color w:val="222222"/>
          <w:kern w:val="0"/>
          <w:sz w:val="24"/>
          <w:szCs w:val="24"/>
          <w:lang w:val="sr-Latn-BA" w:eastAsia="sr-Latn-BA"/>
          <w14:ligatures w14:val="none"/>
        </w:rPr>
        <w:t>4. Independence and Effectiveness of the National Human Rights Institution</w:t>
      </w:r>
    </w:p>
    <w:p w14:paraId="72411518"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(Article 2 ICCPR)</w:t>
      </w:r>
    </w:p>
    <w:p w14:paraId="45D33520"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52A9ECC2"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8. An independent and adequately resourced national human rights institution is essential for the domestic implementation of the Covenant.</w:t>
      </w:r>
    </w:p>
    <w:p w14:paraId="5BECAA0A"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9. Despite previous recommendations, concerns persist regarding the financial autonomy, staffing levels and operational independence of the Ombudsperson Institution.</w:t>
      </w:r>
    </w:p>
    <w:p w14:paraId="21441A20"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4CAB04F5"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Suggested questions for the List of Issues</w:t>
      </w:r>
      <w:r w:rsidRPr="00977111">
        <w:rPr>
          <w:rFonts w:ascii="Arial" w:eastAsia="Times New Roman" w:hAnsi="Arial" w:cs="Arial"/>
          <w:color w:val="222222"/>
          <w:kern w:val="0"/>
          <w:sz w:val="24"/>
          <w:szCs w:val="24"/>
          <w:lang w:val="sr-Latn-BA" w:eastAsia="sr-Latn-BA"/>
          <w14:ligatures w14:val="none"/>
        </w:rPr>
        <w:t> (LOIPR)</w:t>
      </w:r>
    </w:p>
    <w:p w14:paraId="57EA01D8"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4755A950"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4.</w:t>
      </w:r>
      <w:r w:rsidRPr="00977111">
        <w:rPr>
          <w:rFonts w:ascii="Arial" w:eastAsia="Times New Roman" w:hAnsi="Arial" w:cs="Arial"/>
          <w:color w:val="222222"/>
          <w:kern w:val="0"/>
          <w:sz w:val="24"/>
          <w:szCs w:val="24"/>
          <w:lang w:val="sr-Latn-BA" w:eastAsia="sr-Latn-BA"/>
          <w14:ligatures w14:val="none"/>
        </w:rPr>
        <w:t> Please provide updated information on measures taken since 2017 to ensure the financial autonomy, institutional independence and adequate staffing of the Ombudsperson Institution.</w:t>
      </w:r>
    </w:p>
    <w:p w14:paraId="3C4D46D7"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5. </w:t>
      </w:r>
      <w:r w:rsidRPr="00977111">
        <w:rPr>
          <w:rFonts w:ascii="Arial" w:eastAsia="Times New Roman" w:hAnsi="Arial" w:cs="Arial"/>
          <w:color w:val="222222"/>
          <w:kern w:val="0"/>
          <w:sz w:val="24"/>
          <w:szCs w:val="24"/>
          <w:lang w:val="sr-Latn-BA" w:eastAsia="sr-Latn-BA"/>
          <w14:ligatures w14:val="none"/>
        </w:rPr>
        <w:t>Please explain what safeguards exist to prevent political interference in the work of the Ombudsperson Institution, particularly in cases involving sensitive or controversial human rights issues.</w:t>
      </w:r>
    </w:p>
    <w:p w14:paraId="7BA38BB4"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4C338448"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color w:val="222222"/>
          <w:kern w:val="0"/>
          <w:sz w:val="24"/>
          <w:szCs w:val="24"/>
          <w:lang w:val="sr-Latn-BA" w:eastAsia="sr-Latn-BA"/>
          <w14:ligatures w14:val="none"/>
        </w:rPr>
        <w:lastRenderedPageBreak/>
        <w:t>5. Freedom of Opinion and Expression, Media Freedom and Criminal Defamation</w:t>
      </w:r>
    </w:p>
    <w:p w14:paraId="6F669CCA"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(Article 19 ICCPR)</w:t>
      </w:r>
    </w:p>
    <w:p w14:paraId="4E99DB08"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7F74A03D"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10. Freedom of expression is a cornerstone of democratic society and a prerequisite for the enjoyment of other Covenant rights.</w:t>
      </w:r>
    </w:p>
    <w:p w14:paraId="3834384D"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11. In its General Comment No. 34, the Committee emphasized that criminal sanctions for defamation are inherently problematic and should be avoided due to their chilling effect on public debate.</w:t>
      </w:r>
    </w:p>
    <w:p w14:paraId="4660AA6E"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12. Since the previous review, renewed reliance on criminal-law measures related to defamation and reputation in parts of the State party raises serious concerns regarding compliance with Article 19.</w:t>
      </w:r>
    </w:p>
    <w:p w14:paraId="05770A3E"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42D09C8D"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Suggested questions for the List of Issues</w:t>
      </w:r>
      <w:r w:rsidRPr="00977111">
        <w:rPr>
          <w:rFonts w:ascii="Arial" w:eastAsia="Times New Roman" w:hAnsi="Arial" w:cs="Arial"/>
          <w:color w:val="222222"/>
          <w:kern w:val="0"/>
          <w:sz w:val="24"/>
          <w:szCs w:val="24"/>
          <w:lang w:val="sr-Latn-BA" w:eastAsia="sr-Latn-BA"/>
          <w14:ligatures w14:val="none"/>
        </w:rPr>
        <w:t> (LOIPR)</w:t>
      </w:r>
    </w:p>
    <w:p w14:paraId="5812B79F"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611B25E7"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6.</w:t>
      </w:r>
      <w:r w:rsidRPr="00977111">
        <w:rPr>
          <w:rFonts w:ascii="Arial" w:eastAsia="Times New Roman" w:hAnsi="Arial" w:cs="Arial"/>
          <w:color w:val="222222"/>
          <w:kern w:val="0"/>
          <w:sz w:val="24"/>
          <w:szCs w:val="24"/>
          <w:lang w:val="sr-Latn-BA" w:eastAsia="sr-Latn-BA"/>
          <w14:ligatures w14:val="none"/>
        </w:rPr>
        <w:t> Please explain how criminal-law provisions on defamation and related offences currently in force across the State party comply with Article 19(3) of the ICCPR, in particular with the requirements of necessity and proportionality.</w:t>
      </w:r>
    </w:p>
    <w:p w14:paraId="6989F245"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7.</w:t>
      </w:r>
      <w:r w:rsidRPr="00977111">
        <w:rPr>
          <w:rFonts w:ascii="Arial" w:eastAsia="Times New Roman" w:hAnsi="Arial" w:cs="Arial"/>
          <w:color w:val="222222"/>
          <w:kern w:val="0"/>
          <w:sz w:val="24"/>
          <w:szCs w:val="24"/>
          <w:lang w:val="sr-Latn-BA" w:eastAsia="sr-Latn-BA"/>
          <w14:ligatures w14:val="none"/>
        </w:rPr>
        <w:t> Please clarify whether imprisonment or other criminal sanctions remain applicable to defamation-related offences and, if so, how their use is justified under the Covenant.</w:t>
      </w:r>
    </w:p>
    <w:p w14:paraId="6C203BB9"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8.</w:t>
      </w:r>
      <w:r w:rsidRPr="00977111">
        <w:rPr>
          <w:rFonts w:ascii="Arial" w:eastAsia="Times New Roman" w:hAnsi="Arial" w:cs="Arial"/>
          <w:color w:val="222222"/>
          <w:kern w:val="0"/>
          <w:sz w:val="24"/>
          <w:szCs w:val="24"/>
          <w:lang w:val="sr-Latn-BA" w:eastAsia="sr-Latn-BA"/>
          <w14:ligatures w14:val="none"/>
        </w:rPr>
        <w:t> Please provide disaggregated data for the period 2019–2025 on investigations, prosecutions and convictions for expression-related offences, including their impact on journalists and human rights defenders.</w:t>
      </w:r>
    </w:p>
    <w:p w14:paraId="2BA00F4F"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9.</w:t>
      </w:r>
      <w:r w:rsidRPr="00977111">
        <w:rPr>
          <w:rFonts w:ascii="Arial" w:eastAsia="Times New Roman" w:hAnsi="Arial" w:cs="Arial"/>
          <w:color w:val="222222"/>
          <w:kern w:val="0"/>
          <w:sz w:val="24"/>
          <w:szCs w:val="24"/>
          <w:lang w:val="sr-Latn-BA" w:eastAsia="sr-Latn-BA"/>
          <w14:ligatures w14:val="none"/>
        </w:rPr>
        <w:t> Please explain what safeguards exist to prevent the misuse of defamation laws to silence criticism of public officials or matters of public interest.</w:t>
      </w:r>
    </w:p>
    <w:p w14:paraId="36782124"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10.</w:t>
      </w:r>
      <w:r w:rsidRPr="00977111">
        <w:rPr>
          <w:rFonts w:ascii="Arial" w:eastAsia="Times New Roman" w:hAnsi="Arial" w:cs="Arial"/>
          <w:color w:val="222222"/>
          <w:kern w:val="0"/>
          <w:sz w:val="24"/>
          <w:szCs w:val="24"/>
          <w:lang w:val="sr-Latn-BA" w:eastAsia="sr-Latn-BA"/>
          <w14:ligatures w14:val="none"/>
        </w:rPr>
        <w:t>Please indicate what measures have been taken to investigate threats, attacks and harassment against journalists and to ensure accountability.</w:t>
      </w:r>
    </w:p>
    <w:p w14:paraId="399C3AF2"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398E19BA"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color w:val="222222"/>
          <w:kern w:val="0"/>
          <w:sz w:val="24"/>
          <w:szCs w:val="24"/>
          <w:lang w:val="sr-Latn-BA" w:eastAsia="sr-Latn-BA"/>
          <w14:ligatures w14:val="none"/>
        </w:rPr>
        <w:t>6. Freedom of Association and Protection of Civil Society</w:t>
      </w:r>
    </w:p>
    <w:p w14:paraId="1B7DB6CF"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(Article 22 ICCPR)</w:t>
      </w:r>
    </w:p>
    <w:p w14:paraId="40DAEC8E"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29B1D6C2"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13. Article 22 protects not only the formal existence of associations, but also their ability to operate freely, seek funding and participate in public debate.</w:t>
      </w:r>
    </w:p>
    <w:p w14:paraId="26889BC8"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14. Legislative and administrative measures affecting civil society organisations, particularly those engaged in advocacy or receiving foreign funding, raise concerns of stigmatization and undue restriction.</w:t>
      </w:r>
    </w:p>
    <w:p w14:paraId="61CD102F"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12F2D4B0"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Suggested questions for the List of Issues</w:t>
      </w:r>
      <w:r w:rsidRPr="00977111">
        <w:rPr>
          <w:rFonts w:ascii="Arial" w:eastAsia="Times New Roman" w:hAnsi="Arial" w:cs="Arial"/>
          <w:color w:val="222222"/>
          <w:kern w:val="0"/>
          <w:sz w:val="24"/>
          <w:szCs w:val="24"/>
          <w:lang w:val="sr-Latn-BA" w:eastAsia="sr-Latn-BA"/>
          <w14:ligatures w14:val="none"/>
        </w:rPr>
        <w:t> (LOIPR)</w:t>
      </w:r>
    </w:p>
    <w:p w14:paraId="08D60FD9"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172ABC3F"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11.</w:t>
      </w:r>
      <w:r w:rsidRPr="00977111">
        <w:rPr>
          <w:rFonts w:ascii="Arial" w:eastAsia="Times New Roman" w:hAnsi="Arial" w:cs="Arial"/>
          <w:color w:val="222222"/>
          <w:kern w:val="0"/>
          <w:sz w:val="24"/>
          <w:szCs w:val="24"/>
          <w:lang w:val="sr-Latn-BA" w:eastAsia="sr-Latn-BA"/>
          <w14:ligatures w14:val="none"/>
        </w:rPr>
        <w:t> Please list all laws, amendments, by-laws and administrative measures adopted or proposed since 2017 that regulate the registration, operation, funding or oversight of non-profit organisations.</w:t>
      </w:r>
    </w:p>
    <w:p w14:paraId="5D846A24"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12.</w:t>
      </w:r>
      <w:r w:rsidRPr="00977111">
        <w:rPr>
          <w:rFonts w:ascii="Arial" w:eastAsia="Times New Roman" w:hAnsi="Arial" w:cs="Arial"/>
          <w:color w:val="222222"/>
          <w:kern w:val="0"/>
          <w:sz w:val="24"/>
          <w:szCs w:val="24"/>
          <w:lang w:val="sr-Latn-BA" w:eastAsia="sr-Latn-BA"/>
          <w14:ligatures w14:val="none"/>
        </w:rPr>
        <w:t> Please explain how these measures comply with Article 22(2) of the ICCPR, including safeguards against arbitrary application and disproportionate sanctions.</w:t>
      </w:r>
    </w:p>
    <w:p w14:paraId="3BE8DC31"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13.</w:t>
      </w:r>
      <w:r w:rsidRPr="00977111">
        <w:rPr>
          <w:rFonts w:ascii="Arial" w:eastAsia="Times New Roman" w:hAnsi="Arial" w:cs="Arial"/>
          <w:color w:val="222222"/>
          <w:kern w:val="0"/>
          <w:sz w:val="24"/>
          <w:szCs w:val="24"/>
          <w:lang w:val="sr-Latn-BA" w:eastAsia="sr-Latn-BA"/>
          <w14:ligatures w14:val="none"/>
        </w:rPr>
        <w:t> Please clarify whether and how civil society organisations are restricted from engaging in public advocacy, policy critique, anti-corruption work or human rights monitoring.</w:t>
      </w:r>
    </w:p>
    <w:p w14:paraId="6F5419F7"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lastRenderedPageBreak/>
        <w:t>14.</w:t>
      </w:r>
      <w:r w:rsidRPr="00977111">
        <w:rPr>
          <w:rFonts w:ascii="Arial" w:eastAsia="Times New Roman" w:hAnsi="Arial" w:cs="Arial"/>
          <w:color w:val="222222"/>
          <w:kern w:val="0"/>
          <w:sz w:val="24"/>
          <w:szCs w:val="24"/>
          <w:lang w:val="sr-Latn-BA" w:eastAsia="sr-Latn-BA"/>
          <w14:ligatures w14:val="none"/>
        </w:rPr>
        <w:t> Please provide data for the period 2019–2025 on inspections, sanctions, deregistrations or dissolutions of civil society organisations and the outcomes of any judicial challenges.</w:t>
      </w:r>
    </w:p>
    <w:p w14:paraId="08751497"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15.</w:t>
      </w:r>
      <w:r w:rsidRPr="00977111">
        <w:rPr>
          <w:rFonts w:ascii="Arial" w:eastAsia="Times New Roman" w:hAnsi="Arial" w:cs="Arial"/>
          <w:color w:val="222222"/>
          <w:kern w:val="0"/>
          <w:sz w:val="24"/>
          <w:szCs w:val="24"/>
          <w:lang w:val="sr-Latn-BA" w:eastAsia="sr-Latn-BA"/>
          <w14:ligatures w14:val="none"/>
        </w:rPr>
        <w:t> Please describe measures taken to protect human rights defenders and civil society actors from threats, harassment, reprisals or misuse of administrative or judicial procedures.</w:t>
      </w:r>
    </w:p>
    <w:p w14:paraId="0EA3A213"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368D75BD"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color w:val="222222"/>
          <w:kern w:val="0"/>
          <w:sz w:val="24"/>
          <w:szCs w:val="24"/>
          <w:lang w:val="sr-Latn-BA" w:eastAsia="sr-Latn-BA"/>
          <w14:ligatures w14:val="none"/>
        </w:rPr>
        <w:t>7. Freedom of Peaceful Assembly</w:t>
      </w:r>
    </w:p>
    <w:p w14:paraId="6BEAAE65"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(Article 21 ICCPR)</w:t>
      </w:r>
    </w:p>
    <w:p w14:paraId="2531579F"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70FB3D35"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16. In General Comment No. 37, the Committee affirmed that peaceful assemblies enjoy a presumption in favour of facilitation rather than restriction.</w:t>
      </w:r>
    </w:p>
    <w:p w14:paraId="71682146"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42D1608F"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Suggested questions for the List of Issues</w:t>
      </w:r>
      <w:r w:rsidRPr="00977111">
        <w:rPr>
          <w:rFonts w:ascii="Arial" w:eastAsia="Times New Roman" w:hAnsi="Arial" w:cs="Arial"/>
          <w:color w:val="222222"/>
          <w:kern w:val="0"/>
          <w:sz w:val="24"/>
          <w:szCs w:val="24"/>
          <w:lang w:val="sr-Latn-BA" w:eastAsia="sr-Latn-BA"/>
          <w14:ligatures w14:val="none"/>
        </w:rPr>
        <w:t> (LOIPR)</w:t>
      </w:r>
    </w:p>
    <w:p w14:paraId="7572179A"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35005DFD"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16. </w:t>
      </w:r>
      <w:r w:rsidRPr="00977111">
        <w:rPr>
          <w:rFonts w:ascii="Arial" w:eastAsia="Times New Roman" w:hAnsi="Arial" w:cs="Arial"/>
          <w:color w:val="222222"/>
          <w:kern w:val="0"/>
          <w:sz w:val="24"/>
          <w:szCs w:val="24"/>
          <w:lang w:val="sr-Latn-BA" w:eastAsia="sr-Latn-BA"/>
          <w14:ligatures w14:val="none"/>
        </w:rPr>
        <w:t>Please provide an overview of the legal framework governing peaceful assemblies across all jurisdictions and explain how restrictions are assessed for legality, necessity and proportionality.</w:t>
      </w:r>
    </w:p>
    <w:p w14:paraId="6A22943D"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17.</w:t>
      </w:r>
      <w:r w:rsidRPr="00977111">
        <w:rPr>
          <w:rFonts w:ascii="Arial" w:eastAsia="Times New Roman" w:hAnsi="Arial" w:cs="Arial"/>
          <w:color w:val="222222"/>
          <w:kern w:val="0"/>
          <w:sz w:val="24"/>
          <w:szCs w:val="24"/>
          <w:lang w:val="sr-Latn-BA" w:eastAsia="sr-Latn-BA"/>
          <w14:ligatures w14:val="none"/>
        </w:rPr>
        <w:t> Please provide statistical data for the period 2019–2025 on assemblies notified, restricted, banned or dispersed, including reasons for restrictions, use of force, complaints and accountability outcomes. </w:t>
      </w:r>
    </w:p>
    <w:p w14:paraId="4B9DE67D"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03A02CB2"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color w:val="222222"/>
          <w:kern w:val="0"/>
          <w:sz w:val="24"/>
          <w:szCs w:val="24"/>
          <w:lang w:val="sr-Latn-BA" w:eastAsia="sr-Latn-BA"/>
          <w14:ligatures w14:val="none"/>
        </w:rPr>
        <w:t>8. Independence of the Judiciary and Fair Trial Guarantees</w:t>
      </w:r>
    </w:p>
    <w:p w14:paraId="32DF4FA1"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(Article 14 ICCPR)</w:t>
      </w:r>
    </w:p>
    <w:p w14:paraId="3BFE9859"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31276566"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17. Effective protection of Covenant rights requires an independent judiciary and impartial prosecution services. </w:t>
      </w:r>
    </w:p>
    <w:p w14:paraId="4F69D671"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2A548578"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Suggested questions for the List of Issues</w:t>
      </w:r>
      <w:r w:rsidRPr="00977111">
        <w:rPr>
          <w:rFonts w:ascii="Arial" w:eastAsia="Times New Roman" w:hAnsi="Arial" w:cs="Arial"/>
          <w:color w:val="222222"/>
          <w:kern w:val="0"/>
          <w:sz w:val="24"/>
          <w:szCs w:val="24"/>
          <w:lang w:val="sr-Latn-BA" w:eastAsia="sr-Latn-BA"/>
          <w14:ligatures w14:val="none"/>
        </w:rPr>
        <w:t> (LOIPR)</w:t>
      </w:r>
    </w:p>
    <w:p w14:paraId="07910CF6"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62AAEDF7"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18.</w:t>
      </w:r>
      <w:r w:rsidRPr="00977111">
        <w:rPr>
          <w:rFonts w:ascii="Arial" w:eastAsia="Times New Roman" w:hAnsi="Arial" w:cs="Arial"/>
          <w:color w:val="222222"/>
          <w:kern w:val="0"/>
          <w:sz w:val="24"/>
          <w:szCs w:val="24"/>
          <w:lang w:val="sr-Latn-BA" w:eastAsia="sr-Latn-BA"/>
          <w14:ligatures w14:val="none"/>
        </w:rPr>
        <w:t> Please explain measures taken to strengthen judicial independence and prevent undue influence on judges and prosecutors, particularly in politically sensitive cases.</w:t>
      </w:r>
    </w:p>
    <w:p w14:paraId="52780A33"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19.</w:t>
      </w:r>
      <w:r w:rsidRPr="00977111">
        <w:rPr>
          <w:rFonts w:ascii="Arial" w:eastAsia="Times New Roman" w:hAnsi="Arial" w:cs="Arial"/>
          <w:color w:val="222222"/>
          <w:kern w:val="0"/>
          <w:sz w:val="24"/>
          <w:szCs w:val="24"/>
          <w:lang w:val="sr-Latn-BA" w:eastAsia="sr-Latn-BA"/>
          <w14:ligatures w14:val="none"/>
        </w:rPr>
        <w:t> Please provide information on access to legal aid, including budgetary allocations, staffing, geographic coverage and uptake by vulnerable groups.</w:t>
      </w:r>
    </w:p>
    <w:p w14:paraId="622C2ED3"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540D4EDC"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color w:val="222222"/>
          <w:kern w:val="0"/>
          <w:sz w:val="24"/>
          <w:szCs w:val="24"/>
          <w:lang w:val="sr-Latn-BA" w:eastAsia="sr-Latn-BA"/>
          <w14:ligatures w14:val="none"/>
        </w:rPr>
        <w:t>9. Non-Discrimination, Hate Speech and Protection of Vulnerable Groups</w:t>
      </w:r>
    </w:p>
    <w:p w14:paraId="1D973194"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(Articles 2, 20, 26 and 27 ICCPR)</w:t>
      </w:r>
    </w:p>
    <w:p w14:paraId="4C55C492"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1162EBA9"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Suggested questions for the List of Issues</w:t>
      </w:r>
      <w:r w:rsidRPr="00977111">
        <w:rPr>
          <w:rFonts w:ascii="Arial" w:eastAsia="Times New Roman" w:hAnsi="Arial" w:cs="Arial"/>
          <w:color w:val="222222"/>
          <w:kern w:val="0"/>
          <w:sz w:val="24"/>
          <w:szCs w:val="24"/>
          <w:lang w:val="sr-Latn-BA" w:eastAsia="sr-Latn-BA"/>
          <w14:ligatures w14:val="none"/>
        </w:rPr>
        <w:t> (LOIPR)</w:t>
      </w:r>
    </w:p>
    <w:p w14:paraId="1AF764F9"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1FE96F3D"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20.</w:t>
      </w:r>
      <w:r w:rsidRPr="00977111">
        <w:rPr>
          <w:rFonts w:ascii="Arial" w:eastAsia="Times New Roman" w:hAnsi="Arial" w:cs="Arial"/>
          <w:color w:val="222222"/>
          <w:kern w:val="0"/>
          <w:sz w:val="24"/>
          <w:szCs w:val="24"/>
          <w:lang w:val="sr-Latn-BA" w:eastAsia="sr-Latn-BA"/>
          <w14:ligatures w14:val="none"/>
        </w:rPr>
        <w:t> Please provide data for the period 2019–2025 on hate crimes and hate speech cases, including investigations, prosecutions and convictions, disaggregated by ground and jurisdiction.</w:t>
      </w:r>
    </w:p>
    <w:p w14:paraId="595D3546"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21.</w:t>
      </w:r>
      <w:r w:rsidRPr="00977111">
        <w:rPr>
          <w:rFonts w:ascii="Arial" w:eastAsia="Times New Roman" w:hAnsi="Arial" w:cs="Arial"/>
          <w:color w:val="222222"/>
          <w:kern w:val="0"/>
          <w:sz w:val="24"/>
          <w:szCs w:val="24"/>
          <w:lang w:val="sr-Latn-BA" w:eastAsia="sr-Latn-BA"/>
          <w14:ligatures w14:val="none"/>
        </w:rPr>
        <w:t> Please explain how legislation addresses online hate speech while ensuring compliance with Articles 19 and 20 of the ICCPR.</w:t>
      </w:r>
    </w:p>
    <w:p w14:paraId="67D1AE85"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lastRenderedPageBreak/>
        <w:t>22.</w:t>
      </w:r>
      <w:r w:rsidRPr="00977111">
        <w:rPr>
          <w:rFonts w:ascii="Arial" w:eastAsia="Times New Roman" w:hAnsi="Arial" w:cs="Arial"/>
          <w:color w:val="222222"/>
          <w:kern w:val="0"/>
          <w:sz w:val="24"/>
          <w:szCs w:val="24"/>
          <w:lang w:val="sr-Latn-BA" w:eastAsia="sr-Latn-BA"/>
          <w14:ligatures w14:val="none"/>
        </w:rPr>
        <w:t> Please provide information on measures taken to protect vulnerable groups, including LGBTI persons, and to ensure accountability for violence and discrimination.</w:t>
      </w:r>
    </w:p>
    <w:p w14:paraId="72211A53"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7AFBE593"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color w:val="222222"/>
          <w:kern w:val="0"/>
          <w:sz w:val="24"/>
          <w:szCs w:val="24"/>
          <w:lang w:val="sr-Latn-BA" w:eastAsia="sr-Latn-BA"/>
          <w14:ligatures w14:val="none"/>
        </w:rPr>
        <w:t>10. War Crimes Accountability, Missing Persons and Displaced Persons</w:t>
      </w:r>
    </w:p>
    <w:p w14:paraId="2CA32952"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(Articles 2, 6, 7, 9, 12 and 14 ICCPR)</w:t>
      </w:r>
    </w:p>
    <w:p w14:paraId="0A74FE71"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4551EBC0"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23. In its 2020 follow-up assessment, the Committee found insufficient progress in several priority areas, including war crimes prosecution and missing persons.</w:t>
      </w:r>
    </w:p>
    <w:p w14:paraId="72CDEF27"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615C932B"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color w:val="222222"/>
          <w:kern w:val="0"/>
          <w:sz w:val="24"/>
          <w:szCs w:val="24"/>
          <w:lang w:val="sr-Latn-BA" w:eastAsia="sr-Latn-BA"/>
          <w14:ligatures w14:val="none"/>
        </w:rPr>
        <w:t>Suggested questions for the List of Issues</w:t>
      </w:r>
      <w:r w:rsidRPr="00977111">
        <w:rPr>
          <w:rFonts w:ascii="Arial" w:eastAsia="Times New Roman" w:hAnsi="Arial" w:cs="Arial"/>
          <w:color w:val="222222"/>
          <w:kern w:val="0"/>
          <w:sz w:val="24"/>
          <w:szCs w:val="24"/>
          <w:lang w:val="sr-Latn-BA" w:eastAsia="sr-Latn-BA"/>
          <w14:ligatures w14:val="none"/>
        </w:rPr>
        <w:t> (LOIPR)</w:t>
      </w:r>
    </w:p>
    <w:p w14:paraId="3786B6F5"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4625A2C8"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23.</w:t>
      </w:r>
      <w:r w:rsidRPr="00977111">
        <w:rPr>
          <w:rFonts w:ascii="Arial" w:eastAsia="Times New Roman" w:hAnsi="Arial" w:cs="Arial"/>
          <w:color w:val="222222"/>
          <w:kern w:val="0"/>
          <w:sz w:val="24"/>
          <w:szCs w:val="24"/>
          <w:lang w:val="sr-Latn-BA" w:eastAsia="sr-Latn-BA"/>
          <w14:ligatures w14:val="none"/>
        </w:rPr>
        <w:t> Please provide updated information on the implementation of the National War Crimes Prosecution Strategy, including backlog, resources and timelines.</w:t>
      </w:r>
    </w:p>
    <w:p w14:paraId="2CE29AF7"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24.</w:t>
      </w:r>
      <w:r w:rsidRPr="00977111">
        <w:rPr>
          <w:rFonts w:ascii="Arial" w:eastAsia="Times New Roman" w:hAnsi="Arial" w:cs="Arial"/>
          <w:color w:val="222222"/>
          <w:kern w:val="0"/>
          <w:sz w:val="24"/>
          <w:szCs w:val="24"/>
          <w:lang w:val="sr-Latn-BA" w:eastAsia="sr-Latn-BA"/>
          <w14:ligatures w14:val="none"/>
        </w:rPr>
        <w:t> Please clarify whether statutes of limitation apply to civil claims for conflict-related non-pecuniary damage and what measures exist to remove barriers to effective reparation.</w:t>
      </w:r>
    </w:p>
    <w:p w14:paraId="0C5FB413"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25.</w:t>
      </w:r>
      <w:r w:rsidRPr="00977111">
        <w:rPr>
          <w:rFonts w:ascii="Arial" w:eastAsia="Times New Roman" w:hAnsi="Arial" w:cs="Arial"/>
          <w:color w:val="222222"/>
          <w:kern w:val="0"/>
          <w:sz w:val="24"/>
          <w:szCs w:val="24"/>
          <w:lang w:val="sr-Latn-BA" w:eastAsia="sr-Latn-BA"/>
          <w14:ligatures w14:val="none"/>
        </w:rPr>
        <w:t> Please provide updated data on unresolved cases of missing persons and measures taken to ensure adequate funding and capacity of the Missing Persons Institute, including steps taken to establish a fund for families of missing persons.</w:t>
      </w:r>
    </w:p>
    <w:p w14:paraId="4E8BF52C"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26. </w:t>
      </w:r>
      <w:r w:rsidRPr="00977111">
        <w:rPr>
          <w:rFonts w:ascii="Arial" w:eastAsia="Times New Roman" w:hAnsi="Arial" w:cs="Arial"/>
          <w:color w:val="222222"/>
          <w:kern w:val="0"/>
          <w:sz w:val="24"/>
          <w:szCs w:val="24"/>
          <w:lang w:val="sr-Latn-BA" w:eastAsia="sr-Latn-BA"/>
          <w14:ligatures w14:val="none"/>
        </w:rPr>
        <w:t>Please provide information on measures to ensure non-discriminatory return and reintegration of refugees and internally displaced persons.</w:t>
      </w:r>
    </w:p>
    <w:p w14:paraId="6A4982A2"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21255F0A"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color w:val="222222"/>
          <w:kern w:val="0"/>
          <w:sz w:val="24"/>
          <w:szCs w:val="24"/>
          <w:lang w:val="sr-Latn-BA" w:eastAsia="sr-Latn-BA"/>
          <w14:ligatures w14:val="none"/>
        </w:rPr>
        <w:t>11. Closing</w:t>
      </w:r>
    </w:p>
    <w:p w14:paraId="31BBC279"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0B206C82"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The Helsinki Committee for Human Rights respectfully submits this contribution for the Committee’s consideration and remains at its disposal for any clarification or additional information required in the preparation of the List of Issues prior to reporting for Bosnia and Herzegovina.</w:t>
      </w:r>
    </w:p>
    <w:p w14:paraId="75EF74D1"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7E615B9A"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78040F83" w14:textId="77777777" w:rsidR="00977111" w:rsidRPr="00977111" w:rsidRDefault="00977111" w:rsidP="00977111">
      <w:pPr>
        <w:spacing w:after="0" w:line="240" w:lineRule="auto"/>
        <w:rPr>
          <w:rFonts w:ascii="Times New Roman" w:eastAsia="Times New Roman" w:hAnsi="Times New Roman" w:cs="Times New Roman"/>
          <w:kern w:val="0"/>
          <w:sz w:val="24"/>
          <w:szCs w:val="24"/>
          <w:lang w:val="sr-Latn-BA" w:eastAsia="sr-Latn-BA"/>
          <w14:ligatures w14:val="none"/>
        </w:rPr>
      </w:pPr>
    </w:p>
    <w:p w14:paraId="4ED41C6F"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i/>
          <w:iCs/>
          <w:color w:val="222222"/>
          <w:kern w:val="0"/>
          <w:sz w:val="24"/>
          <w:szCs w:val="24"/>
          <w:lang w:val="sr-Latn-BA" w:eastAsia="sr-Latn-BA"/>
          <w14:ligatures w14:val="none"/>
        </w:rPr>
        <w:t>​</w:t>
      </w:r>
      <w:r w:rsidRPr="00977111">
        <w:rPr>
          <w:rFonts w:ascii="Arial" w:eastAsia="Times New Roman" w:hAnsi="Arial" w:cs="Arial"/>
          <w:i/>
          <w:iCs/>
          <w:color w:val="222222"/>
          <w:kern w:val="0"/>
          <w:sz w:val="27"/>
          <w:szCs w:val="27"/>
          <w:lang w:val="sr-Latn-BA" w:eastAsia="sr-Latn-BA"/>
          <w14:ligatures w14:val="none"/>
        </w:rPr>
        <w:t>Branko Todorović</w:t>
      </w:r>
    </w:p>
    <w:p w14:paraId="3A53B44D"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​Executive director</w:t>
      </w:r>
    </w:p>
    <w:p w14:paraId="3838CFFB"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768F9A23"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7E191544"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color w:val="222222"/>
          <w:kern w:val="0"/>
          <w:sz w:val="24"/>
          <w:szCs w:val="24"/>
          <w:lang w:val="sr-Latn-BA" w:eastAsia="sr-Latn-BA"/>
          <w14:ligatures w14:val="none"/>
        </w:rPr>
        <w:t>Annex</w:t>
      </w:r>
    </w:p>
    <w:p w14:paraId="2351C8EB"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Additional Priority Questions related to Articles 19, 21 and 22 of the ICCPR</w:t>
      </w:r>
    </w:p>
    <w:p w14:paraId="1395928D"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This annex provides a limited number of additional priority questions which the Helsinki Committee for Human Rights respectfully submits for the Committee’s consideration, should it wish to further elaborate the List of Issues prior to reporting in relation to freedom of expression, peaceful assembly and association.</w:t>
      </w:r>
    </w:p>
    <w:p w14:paraId="6C23E105"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377C66B1"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Article 19 – Freedom of opinion and expression</w:t>
      </w:r>
    </w:p>
    <w:p w14:paraId="3A7C611A"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1.</w:t>
      </w:r>
      <w:r w:rsidRPr="00977111">
        <w:rPr>
          <w:rFonts w:ascii="Arial" w:eastAsia="Times New Roman" w:hAnsi="Arial" w:cs="Arial"/>
          <w:color w:val="222222"/>
          <w:kern w:val="0"/>
          <w:sz w:val="24"/>
          <w:szCs w:val="24"/>
          <w:lang w:val="sr-Latn-BA" w:eastAsia="sr-Latn-BA"/>
          <w14:ligatures w14:val="none"/>
        </w:rPr>
        <w:t xml:space="preserve"> Please indicate whether domestic legislation or judicial practice provides enhanced protection to public officials or institutions against criticism, and how this is reconciled </w:t>
      </w:r>
      <w:r w:rsidRPr="00977111">
        <w:rPr>
          <w:rFonts w:ascii="Arial" w:eastAsia="Times New Roman" w:hAnsi="Arial" w:cs="Arial"/>
          <w:color w:val="222222"/>
          <w:kern w:val="0"/>
          <w:sz w:val="24"/>
          <w:szCs w:val="24"/>
          <w:lang w:val="sr-Latn-BA" w:eastAsia="sr-Latn-BA"/>
          <w14:ligatures w14:val="none"/>
        </w:rPr>
        <w:lastRenderedPageBreak/>
        <w:t>with the Committee’s jurisprudence concerning public-interest speech and political expression.</w:t>
      </w:r>
    </w:p>
    <w:p w14:paraId="50A60341"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2.</w:t>
      </w:r>
      <w:r w:rsidRPr="00977111">
        <w:rPr>
          <w:rFonts w:ascii="Arial" w:eastAsia="Times New Roman" w:hAnsi="Arial" w:cs="Arial"/>
          <w:color w:val="222222"/>
          <w:kern w:val="0"/>
          <w:sz w:val="24"/>
          <w:szCs w:val="24"/>
          <w:lang w:val="sr-Latn-BA" w:eastAsia="sr-Latn-BA"/>
          <w14:ligatures w14:val="none"/>
        </w:rPr>
        <w:t> Please clarify whether courts are required to apply a public-interest test and a proportionality assessment when adjudicating defamation cases involving journalists, media outlets or human rights defenders.</w:t>
      </w:r>
    </w:p>
    <w:p w14:paraId="0BD7A22B"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6A74FF05"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Article 21 – Freedom of peaceful assembly</w:t>
      </w:r>
    </w:p>
    <w:p w14:paraId="256853E3"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3.</w:t>
      </w:r>
      <w:r w:rsidRPr="00977111">
        <w:rPr>
          <w:rFonts w:ascii="Arial" w:eastAsia="Times New Roman" w:hAnsi="Arial" w:cs="Arial"/>
          <w:color w:val="222222"/>
          <w:kern w:val="0"/>
          <w:sz w:val="24"/>
          <w:szCs w:val="24"/>
          <w:lang w:val="sr-Latn-BA" w:eastAsia="sr-Latn-BA"/>
          <w14:ligatures w14:val="none"/>
        </w:rPr>
        <w:t> Please explain whether spontaneous assemblies are explicitly protected in law and in practice, and how authorities assess their legality in situations where prior notification is not possible.</w:t>
      </w:r>
    </w:p>
    <w:p w14:paraId="2E66E29D"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4.</w:t>
      </w:r>
      <w:r w:rsidRPr="00977111">
        <w:rPr>
          <w:rFonts w:ascii="Arial" w:eastAsia="Times New Roman" w:hAnsi="Arial" w:cs="Arial"/>
          <w:color w:val="222222"/>
          <w:kern w:val="0"/>
          <w:sz w:val="24"/>
          <w:szCs w:val="24"/>
          <w:lang w:val="sr-Latn-BA" w:eastAsia="sr-Latn-BA"/>
          <w14:ligatures w14:val="none"/>
        </w:rPr>
        <w:t> Please provide information on whether administrative or misdemeanor sanctions imposed on organisers or participants of peaceful assemblies have a deterrent effect on the exercise of rights under Article 21, and what safeguards exist to prevent such effects.</w:t>
      </w:r>
    </w:p>
    <w:p w14:paraId="3C106EE3"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5D7AC9BD"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Article 22 – Freedom of association</w:t>
      </w:r>
    </w:p>
    <w:p w14:paraId="4A9A383E"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5.</w:t>
      </w:r>
      <w:r w:rsidRPr="00977111">
        <w:rPr>
          <w:rFonts w:ascii="Arial" w:eastAsia="Times New Roman" w:hAnsi="Arial" w:cs="Arial"/>
          <w:color w:val="222222"/>
          <w:kern w:val="0"/>
          <w:sz w:val="24"/>
          <w:szCs w:val="24"/>
          <w:lang w:val="sr-Latn-BA" w:eastAsia="sr-Latn-BA"/>
          <w14:ligatures w14:val="none"/>
        </w:rPr>
        <w:t> Please clarify whether civil society organisations subject to special regulatory, labelling or designation regimes have access to prompt, independent and effective judicial review of such measures.</w:t>
      </w:r>
    </w:p>
    <w:p w14:paraId="196C8189" w14:textId="77777777" w:rsid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4"/>
          <w:szCs w:val="24"/>
          <w:lang w:val="sr-Latn-BA" w:eastAsia="sr-Latn-BA"/>
          <w14:ligatures w14:val="none"/>
        </w:rPr>
        <w:t>6.</w:t>
      </w:r>
      <w:r w:rsidRPr="00977111">
        <w:rPr>
          <w:rFonts w:ascii="Arial" w:eastAsia="Times New Roman" w:hAnsi="Arial" w:cs="Arial"/>
          <w:color w:val="222222"/>
          <w:kern w:val="0"/>
          <w:sz w:val="24"/>
          <w:szCs w:val="24"/>
          <w:lang w:val="sr-Latn-BA" w:eastAsia="sr-Latn-BA"/>
          <w14:ligatures w14:val="none"/>
        </w:rPr>
        <w:t> Please explain how authorities assess necessity and proportionality when imposing restrictive measures on civil society organisations engaged in public-interest advocacy, human rights monitoring or anti-corruption activities.</w:t>
      </w:r>
    </w:p>
    <w:p w14:paraId="4B3935D6"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72B22488" w14:textId="77777777" w:rsid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Status of this Annex</w:t>
      </w:r>
    </w:p>
    <w:p w14:paraId="7A68388F"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3730655A"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color w:val="222222"/>
          <w:kern w:val="0"/>
          <w:sz w:val="24"/>
          <w:szCs w:val="24"/>
          <w:lang w:val="sr-Latn-BA" w:eastAsia="sr-Latn-BA"/>
          <w14:ligatures w14:val="none"/>
        </w:rPr>
        <w:t>This annex is submitted as a supplementary and optional set of questions, intended to assist the Committee should it decide to further prioritise issues related to civic space and democratic freedoms in the preparation of the List of Issues prior to reporting for Bosnia and Herzegovina.</w:t>
      </w:r>
    </w:p>
    <w:p w14:paraId="56ACEF8E" w14:textId="77777777" w:rsid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2B280993"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436F0DD3"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7"/>
          <w:szCs w:val="27"/>
          <w:lang w:val="sr-Latn-BA" w:eastAsia="sr-Latn-BA"/>
          <w14:ligatures w14:val="none"/>
        </w:rPr>
        <w:t>Helsinški odbor za ljudska prava</w:t>
      </w:r>
    </w:p>
    <w:p w14:paraId="16723F6E"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7"/>
          <w:szCs w:val="27"/>
          <w:lang w:val="sr-Latn-BA" w:eastAsia="sr-Latn-BA"/>
          <w14:ligatures w14:val="none"/>
        </w:rPr>
        <w:t>​Helsinki Committee for Human Rights</w:t>
      </w:r>
    </w:p>
    <w:p w14:paraId="37F82864"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7"/>
          <w:szCs w:val="27"/>
          <w:lang w:val="sr-Latn-BA" w:eastAsia="sr-Latn-BA"/>
          <w14:ligatures w14:val="none"/>
        </w:rPr>
        <w:t>P.fah 126</w:t>
      </w:r>
    </w:p>
    <w:p w14:paraId="46325E78"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7"/>
          <w:szCs w:val="27"/>
          <w:lang w:val="sr-Latn-BA" w:eastAsia="sr-Latn-BA"/>
          <w14:ligatures w14:val="none"/>
        </w:rPr>
        <w:t>76300 Bijeljina,</w:t>
      </w:r>
    </w:p>
    <w:p w14:paraId="155EE8C7"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7"/>
          <w:szCs w:val="27"/>
          <w:lang w:val="sr-Latn-BA" w:eastAsia="sr-Latn-BA"/>
          <w14:ligatures w14:val="none"/>
        </w:rPr>
        <w:t>Bosna i Hercegovina</w:t>
      </w:r>
    </w:p>
    <w:p w14:paraId="7514E332"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hyperlink r:id="rId4" w:tgtFrame="_blank" w:history="1">
        <w:r w:rsidRPr="00977111">
          <w:rPr>
            <w:rFonts w:ascii="Arial" w:eastAsia="Times New Roman" w:hAnsi="Arial" w:cs="Arial"/>
            <w:b/>
            <w:bCs/>
            <w:i/>
            <w:iCs/>
            <w:color w:val="1155CC"/>
            <w:kern w:val="0"/>
            <w:sz w:val="27"/>
            <w:szCs w:val="27"/>
            <w:u w:val="single"/>
            <w:lang w:val="sr-Latn-BA" w:eastAsia="sr-Latn-BA"/>
            <w14:ligatures w14:val="none"/>
          </w:rPr>
          <w:t>helcomm.hchr@gmail.com</w:t>
        </w:r>
      </w:hyperlink>
    </w:p>
    <w:p w14:paraId="3D5CEB40"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7"/>
          <w:szCs w:val="27"/>
          <w:lang w:val="sr-Latn-BA" w:eastAsia="sr-Latn-BA"/>
          <w14:ligatures w14:val="none"/>
        </w:rPr>
        <w:t>Mobilni:  +38765539499</w:t>
      </w:r>
    </w:p>
    <w:p w14:paraId="30B9DA48" w14:textId="77777777" w:rsidR="00977111" w:rsidRPr="00977111" w:rsidRDefault="00977111" w:rsidP="00977111">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977111">
        <w:rPr>
          <w:rFonts w:ascii="Arial" w:eastAsia="Times New Roman" w:hAnsi="Arial" w:cs="Arial"/>
          <w:b/>
          <w:bCs/>
          <w:i/>
          <w:iCs/>
          <w:color w:val="222222"/>
          <w:kern w:val="0"/>
          <w:sz w:val="27"/>
          <w:szCs w:val="27"/>
          <w:lang w:val="sr-Latn-BA" w:eastAsia="sr-Latn-BA"/>
          <w14:ligatures w14:val="none"/>
        </w:rPr>
        <w:t>               +38766688731</w:t>
      </w:r>
    </w:p>
    <w:p w14:paraId="7DDD43E2" w14:textId="77777777" w:rsidR="008820F4" w:rsidRDefault="008820F4"/>
    <w:sectPr w:rsidR="008820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BEF"/>
    <w:rsid w:val="001B7DC7"/>
    <w:rsid w:val="00811BEF"/>
    <w:rsid w:val="008820F4"/>
    <w:rsid w:val="00977111"/>
    <w:rsid w:val="00B93DF0"/>
    <w:rsid w:val="00CA3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FDFA0"/>
  <w15:chartTrackingRefBased/>
  <w15:docId w15:val="{CB89665E-FE6F-44C4-B55C-229A76C56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1B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1B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1B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1B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1B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1B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B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B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B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BE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11BE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1BE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1BE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1BE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1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BEF"/>
    <w:rPr>
      <w:rFonts w:eastAsiaTheme="majorEastAsia" w:cstheme="majorBidi"/>
      <w:color w:val="272727" w:themeColor="text1" w:themeTint="D8"/>
    </w:rPr>
  </w:style>
  <w:style w:type="paragraph" w:styleId="Title">
    <w:name w:val="Title"/>
    <w:basedOn w:val="Normal"/>
    <w:next w:val="Normal"/>
    <w:link w:val="TitleChar"/>
    <w:uiPriority w:val="10"/>
    <w:qFormat/>
    <w:rsid w:val="00811B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B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B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B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BEF"/>
    <w:pPr>
      <w:spacing w:before="160"/>
      <w:jc w:val="center"/>
    </w:pPr>
    <w:rPr>
      <w:i/>
      <w:iCs/>
      <w:color w:val="404040" w:themeColor="text1" w:themeTint="BF"/>
    </w:rPr>
  </w:style>
  <w:style w:type="character" w:customStyle="1" w:styleId="QuoteChar">
    <w:name w:val="Quote Char"/>
    <w:basedOn w:val="DefaultParagraphFont"/>
    <w:link w:val="Quote"/>
    <w:uiPriority w:val="29"/>
    <w:rsid w:val="00811BEF"/>
    <w:rPr>
      <w:i/>
      <w:iCs/>
      <w:color w:val="404040" w:themeColor="text1" w:themeTint="BF"/>
    </w:rPr>
  </w:style>
  <w:style w:type="paragraph" w:styleId="ListParagraph">
    <w:name w:val="List Paragraph"/>
    <w:basedOn w:val="Normal"/>
    <w:uiPriority w:val="34"/>
    <w:qFormat/>
    <w:rsid w:val="00811BEF"/>
    <w:pPr>
      <w:ind w:left="720"/>
      <w:contextualSpacing/>
    </w:pPr>
  </w:style>
  <w:style w:type="character" w:styleId="IntenseEmphasis">
    <w:name w:val="Intense Emphasis"/>
    <w:basedOn w:val="DefaultParagraphFont"/>
    <w:uiPriority w:val="21"/>
    <w:qFormat/>
    <w:rsid w:val="00811BEF"/>
    <w:rPr>
      <w:i/>
      <w:iCs/>
      <w:color w:val="2F5496" w:themeColor="accent1" w:themeShade="BF"/>
    </w:rPr>
  </w:style>
  <w:style w:type="paragraph" w:styleId="IntenseQuote">
    <w:name w:val="Intense Quote"/>
    <w:basedOn w:val="Normal"/>
    <w:next w:val="Normal"/>
    <w:link w:val="IntenseQuoteChar"/>
    <w:uiPriority w:val="30"/>
    <w:qFormat/>
    <w:rsid w:val="00811B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1BEF"/>
    <w:rPr>
      <w:i/>
      <w:iCs/>
      <w:color w:val="2F5496" w:themeColor="accent1" w:themeShade="BF"/>
    </w:rPr>
  </w:style>
  <w:style w:type="character" w:styleId="IntenseReference">
    <w:name w:val="Intense Reference"/>
    <w:basedOn w:val="DefaultParagraphFont"/>
    <w:uiPriority w:val="32"/>
    <w:qFormat/>
    <w:rsid w:val="00811BE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helcomm.hchr@gmail.com" TargetMode="Externa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e107e6f211ead594866b1d1c6ba5dc7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79dee33a9e16c31cbeeca88582d26f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2026-01-06T12:38:47+00:00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EE930BA-AD99-4DA5-B129-E51BA08EE214}"/>
</file>

<file path=customXml/itemProps2.xml><?xml version="1.0" encoding="utf-8"?>
<ds:datastoreItem xmlns:ds="http://schemas.openxmlformats.org/officeDocument/2006/customXml" ds:itemID="{F23E9330-B75D-460A-A9EB-0074A1B44B21}"/>
</file>

<file path=customXml/itemProps3.xml><?xml version="1.0" encoding="utf-8"?>
<ds:datastoreItem xmlns:ds="http://schemas.openxmlformats.org/officeDocument/2006/customXml" ds:itemID="{C6BDB98D-3DB8-4B47-95FD-3D083467E225}"/>
</file>

<file path=docProps/app.xml><?xml version="1.0" encoding="utf-8"?>
<Properties xmlns="http://schemas.openxmlformats.org/officeDocument/2006/extended-properties" xmlns:vt="http://schemas.openxmlformats.org/officeDocument/2006/docPropsVTypes">
  <Template>Normal</Template>
  <TotalTime>3</TotalTime>
  <Pages>6</Pages>
  <Words>1924</Words>
  <Characters>10967</Characters>
  <Application>Microsoft Office Word</Application>
  <DocSecurity>0</DocSecurity>
  <Lines>91</Lines>
  <Paragraphs>25</Paragraphs>
  <ScaleCrop>false</ScaleCrop>
  <Company/>
  <LinksUpToDate>false</LinksUpToDate>
  <CharactersWithSpaces>12866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branko todorovic</dc:creator>
  <cp:keywords/>
  <dc:description/>
  <cp:lastModifiedBy>branko todorovic</cp:lastModifiedBy>
  <cp:revision>2</cp:revision>
  <dcterms:created xsi:type="dcterms:W3CDTF">2026-01-05T19:24:00Z</dcterms:created>
  <dcterms:modified xsi:type="dcterms:W3CDTF">2026-01-05T19:27:00Z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