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54CB" w14:textId="04535BA6" w:rsidR="00664A7D" w:rsidRPr="000D555F" w:rsidRDefault="00893DFC" w:rsidP="00893DFC">
      <w:pPr>
        <w:tabs>
          <w:tab w:val="left" w:pos="1365"/>
        </w:tabs>
        <w:spacing w:before="100" w:beforeAutospacing="1" w:after="100" w:afterAutospacing="1" w:line="240" w:lineRule="auto"/>
        <w:rPr>
          <w:rFonts w:ascii="Arial" w:eastAsia="Times New Roman" w:hAnsi="Arial" w:cs="Arial"/>
          <w:b/>
          <w:bCs/>
          <w:lang w:val="en-GB" w:eastAsia="fr-FR"/>
        </w:rPr>
      </w:pPr>
      <w:r w:rsidRPr="000D555F">
        <w:rPr>
          <w:rFonts w:ascii="Arial" w:eastAsia="Times New Roman" w:hAnsi="Arial" w:cs="Arial"/>
          <w:b/>
          <w:bCs/>
          <w:lang w:val="en-GB" w:eastAsia="fr-FR"/>
        </w:rPr>
        <w:tab/>
      </w:r>
    </w:p>
    <w:p w14:paraId="6CB9A9AA" w14:textId="77777777" w:rsidR="00893DFC" w:rsidRPr="000D555F" w:rsidRDefault="00893DFC" w:rsidP="00DD60B0">
      <w:pPr>
        <w:spacing w:before="100" w:beforeAutospacing="1" w:after="100" w:afterAutospacing="1" w:line="240" w:lineRule="auto"/>
        <w:jc w:val="center"/>
        <w:rPr>
          <w:rFonts w:ascii="Arial" w:eastAsia="Times New Roman" w:hAnsi="Arial" w:cs="Arial"/>
          <w:b/>
          <w:bCs/>
          <w:lang w:val="en-GB" w:eastAsia="fr-FR"/>
        </w:rPr>
      </w:pPr>
    </w:p>
    <w:p w14:paraId="29AEC842" w14:textId="77777777" w:rsidR="00EB0340" w:rsidRPr="000D555F" w:rsidRDefault="00EB0340" w:rsidP="00893DFC">
      <w:pPr>
        <w:jc w:val="center"/>
        <w:rPr>
          <w:rFonts w:ascii="Arial" w:hAnsi="Arial" w:cs="Arial"/>
          <w:b/>
          <w:color w:val="CC3300"/>
          <w:lang w:val="en-US"/>
        </w:rPr>
      </w:pPr>
    </w:p>
    <w:p w14:paraId="31455C3A" w14:textId="77777777" w:rsidR="00EB0340" w:rsidRPr="000D555F" w:rsidRDefault="00EB0340" w:rsidP="00893DFC">
      <w:pPr>
        <w:jc w:val="center"/>
        <w:rPr>
          <w:rFonts w:ascii="Arial" w:hAnsi="Arial" w:cs="Arial"/>
          <w:b/>
          <w:color w:val="CC3300"/>
          <w:lang w:val="en-US"/>
        </w:rPr>
      </w:pPr>
    </w:p>
    <w:p w14:paraId="4CEFE527" w14:textId="44F91C27" w:rsidR="00893DFC" w:rsidRPr="000D555F" w:rsidRDefault="00893DFC" w:rsidP="00893DFC">
      <w:pPr>
        <w:jc w:val="center"/>
        <w:rPr>
          <w:rFonts w:ascii="Arial" w:hAnsi="Arial" w:cs="Arial"/>
          <w:color w:val="CC3300"/>
          <w:sz w:val="30"/>
          <w:szCs w:val="30"/>
          <w:lang w:val="en-US"/>
        </w:rPr>
      </w:pPr>
      <w:r w:rsidRPr="000D555F">
        <w:rPr>
          <w:rFonts w:ascii="Arial" w:hAnsi="Arial" w:cs="Arial"/>
          <w:b/>
          <w:color w:val="CC3300"/>
          <w:sz w:val="30"/>
          <w:szCs w:val="30"/>
          <w:lang w:val="en-US"/>
        </w:rPr>
        <w:t xml:space="preserve">Situation of persons with Down syndrome in </w:t>
      </w:r>
      <w:r w:rsidR="0086724F" w:rsidRPr="000D555F">
        <w:rPr>
          <w:rFonts w:ascii="Arial" w:hAnsi="Arial" w:cs="Arial"/>
          <w:b/>
          <w:color w:val="CC3300"/>
          <w:sz w:val="30"/>
          <w:szCs w:val="30"/>
          <w:lang w:val="en-US"/>
        </w:rPr>
        <w:t>Lithuania</w:t>
      </w:r>
    </w:p>
    <w:p w14:paraId="2A36D8F8" w14:textId="77777777" w:rsidR="00893DFC" w:rsidRPr="000D555F" w:rsidRDefault="00893DFC" w:rsidP="00893DFC">
      <w:pPr>
        <w:jc w:val="center"/>
        <w:rPr>
          <w:rFonts w:ascii="Arial" w:hAnsi="Arial" w:cs="Arial"/>
          <w:color w:val="000000" w:themeColor="text1"/>
          <w:sz w:val="30"/>
          <w:szCs w:val="30"/>
          <w:lang w:val="en-US"/>
        </w:rPr>
      </w:pPr>
    </w:p>
    <w:p w14:paraId="152E66BB" w14:textId="4DC3B97F" w:rsidR="00893DFC" w:rsidRPr="000D555F" w:rsidRDefault="00893DFC" w:rsidP="00893DFC">
      <w:pPr>
        <w:jc w:val="center"/>
        <w:rPr>
          <w:rFonts w:ascii="Arial" w:hAnsi="Arial" w:cs="Arial"/>
          <w:color w:val="000000" w:themeColor="text1"/>
          <w:sz w:val="30"/>
          <w:szCs w:val="30"/>
          <w:lang w:val="en-US"/>
        </w:rPr>
      </w:pPr>
      <w:r w:rsidRPr="000D555F">
        <w:rPr>
          <w:rFonts w:ascii="Arial" w:hAnsi="Arial" w:cs="Arial"/>
          <w:color w:val="000000" w:themeColor="text1"/>
          <w:sz w:val="30"/>
          <w:szCs w:val="30"/>
          <w:lang w:val="en-US"/>
        </w:rPr>
        <w:t xml:space="preserve">Written Contribution: CRPD Examination of </w:t>
      </w:r>
      <w:r w:rsidR="0086724F" w:rsidRPr="000D555F">
        <w:rPr>
          <w:rFonts w:ascii="Arial" w:hAnsi="Arial" w:cs="Arial"/>
          <w:b/>
          <w:bCs/>
          <w:color w:val="000000" w:themeColor="text1"/>
          <w:sz w:val="30"/>
          <w:szCs w:val="30"/>
          <w:lang w:val="en-US"/>
        </w:rPr>
        <w:t>Lithuania</w:t>
      </w:r>
      <w:r w:rsidRPr="000D555F">
        <w:rPr>
          <w:rFonts w:ascii="Arial" w:hAnsi="Arial" w:cs="Arial"/>
          <w:color w:val="000000" w:themeColor="text1"/>
          <w:sz w:val="30"/>
          <w:szCs w:val="30"/>
          <w:lang w:val="en-US"/>
        </w:rPr>
        <w:t xml:space="preserve"> prior to the Session</w:t>
      </w:r>
      <w:r w:rsidR="0086724F" w:rsidRPr="000D555F">
        <w:rPr>
          <w:rFonts w:ascii="Arial" w:hAnsi="Arial" w:cs="Arial"/>
          <w:color w:val="000000" w:themeColor="text1"/>
          <w:sz w:val="30"/>
          <w:szCs w:val="30"/>
          <w:lang w:val="en-US"/>
        </w:rPr>
        <w:t xml:space="preserve"> August</w:t>
      </w:r>
      <w:r w:rsidRPr="000D555F">
        <w:rPr>
          <w:rFonts w:ascii="Arial" w:hAnsi="Arial" w:cs="Arial"/>
          <w:color w:val="000000" w:themeColor="text1"/>
          <w:sz w:val="30"/>
          <w:szCs w:val="30"/>
          <w:lang w:val="en-US"/>
        </w:rPr>
        <w:t xml:space="preserve"> 202</w:t>
      </w:r>
      <w:r w:rsidR="0086724F" w:rsidRPr="000D555F">
        <w:rPr>
          <w:rFonts w:ascii="Arial" w:hAnsi="Arial" w:cs="Arial"/>
          <w:color w:val="000000" w:themeColor="text1"/>
          <w:sz w:val="30"/>
          <w:szCs w:val="30"/>
          <w:lang w:val="en-US"/>
        </w:rPr>
        <w:t>6</w:t>
      </w:r>
    </w:p>
    <w:p w14:paraId="3027D619" w14:textId="77777777" w:rsidR="00664A7D" w:rsidRPr="000D555F" w:rsidRDefault="00664A7D">
      <w:pPr>
        <w:rPr>
          <w:rFonts w:ascii="Arial" w:eastAsia="Times New Roman" w:hAnsi="Arial" w:cs="Arial"/>
          <w:b/>
          <w:bCs/>
          <w:lang w:val="en-US" w:eastAsia="fr-FR"/>
        </w:rPr>
      </w:pPr>
    </w:p>
    <w:p w14:paraId="034D3F79" w14:textId="77777777" w:rsidR="00664A7D" w:rsidRPr="000D555F" w:rsidRDefault="00664A7D">
      <w:pPr>
        <w:rPr>
          <w:rFonts w:ascii="Arial" w:eastAsia="Times New Roman" w:hAnsi="Arial" w:cs="Arial"/>
          <w:b/>
          <w:bCs/>
          <w:lang w:val="en-GB" w:eastAsia="fr-FR"/>
        </w:rPr>
      </w:pPr>
    </w:p>
    <w:p w14:paraId="4588B5E3" w14:textId="77777777" w:rsidR="00664A7D" w:rsidRPr="000D555F" w:rsidRDefault="00664A7D">
      <w:pPr>
        <w:rPr>
          <w:rFonts w:ascii="Arial" w:eastAsia="Times New Roman" w:hAnsi="Arial" w:cs="Arial"/>
          <w:b/>
          <w:bCs/>
          <w:lang w:val="en-GB" w:eastAsia="fr-FR"/>
        </w:rPr>
      </w:pPr>
    </w:p>
    <w:p w14:paraId="28B69066" w14:textId="77777777" w:rsidR="00664A7D" w:rsidRPr="000D555F" w:rsidRDefault="00664A7D">
      <w:pPr>
        <w:rPr>
          <w:rFonts w:ascii="Arial" w:eastAsia="Times New Roman" w:hAnsi="Arial" w:cs="Arial"/>
          <w:b/>
          <w:bCs/>
          <w:lang w:val="en-GB" w:eastAsia="fr-FR"/>
        </w:rPr>
      </w:pPr>
    </w:p>
    <w:p w14:paraId="7ECE55BE" w14:textId="77777777" w:rsidR="00664A7D" w:rsidRPr="000D555F" w:rsidRDefault="00664A7D" w:rsidP="00664A7D">
      <w:pPr>
        <w:spacing w:after="0" w:line="240" w:lineRule="auto"/>
        <w:rPr>
          <w:rFonts w:ascii="Arial" w:eastAsia="Times New Roman" w:hAnsi="Arial" w:cs="Arial"/>
          <w:lang w:val="en-GB" w:eastAsia="fr-FR"/>
        </w:rPr>
      </w:pPr>
    </w:p>
    <w:p w14:paraId="05C46312" w14:textId="77777777" w:rsidR="00664A7D" w:rsidRPr="000D555F" w:rsidRDefault="00664A7D" w:rsidP="00664A7D">
      <w:pPr>
        <w:spacing w:after="0" w:line="240" w:lineRule="auto"/>
        <w:rPr>
          <w:rFonts w:ascii="Arial" w:eastAsia="Times New Roman" w:hAnsi="Arial" w:cs="Arial"/>
          <w:lang w:val="en-GB" w:eastAsia="fr-FR"/>
        </w:rPr>
      </w:pPr>
    </w:p>
    <w:p w14:paraId="5A196601" w14:textId="77777777" w:rsidR="00664A7D" w:rsidRPr="000D555F" w:rsidRDefault="00664A7D" w:rsidP="00664A7D">
      <w:pPr>
        <w:spacing w:after="0" w:line="240" w:lineRule="auto"/>
        <w:rPr>
          <w:rFonts w:ascii="Arial" w:eastAsia="Times New Roman" w:hAnsi="Arial" w:cs="Arial"/>
          <w:lang w:val="en-GB" w:eastAsia="fr-FR"/>
        </w:rPr>
      </w:pPr>
    </w:p>
    <w:p w14:paraId="1B6B249C" w14:textId="006C9095" w:rsidR="00664A7D" w:rsidRPr="000D555F" w:rsidRDefault="0086724F" w:rsidP="00EB0340">
      <w:pPr>
        <w:spacing w:after="0" w:line="240" w:lineRule="auto"/>
        <w:jc w:val="right"/>
        <w:rPr>
          <w:rFonts w:ascii="Arial" w:eastAsia="Times New Roman" w:hAnsi="Arial" w:cs="Arial"/>
          <w:lang w:val="en-GB" w:eastAsia="fr-FR"/>
        </w:rPr>
      </w:pPr>
      <w:r w:rsidRPr="000D555F">
        <w:rPr>
          <w:rFonts w:ascii="Arial" w:eastAsia="Times New Roman" w:hAnsi="Arial" w:cs="Arial"/>
          <w:lang w:val="en-GB" w:eastAsia="fr-FR"/>
        </w:rPr>
        <w:t>July</w:t>
      </w:r>
      <w:r w:rsidR="00EB0340" w:rsidRPr="000D555F">
        <w:rPr>
          <w:rFonts w:ascii="Arial" w:eastAsia="Times New Roman" w:hAnsi="Arial" w:cs="Arial"/>
          <w:lang w:val="en-GB" w:eastAsia="fr-FR"/>
        </w:rPr>
        <w:t xml:space="preserve"> 202</w:t>
      </w:r>
      <w:r w:rsidRPr="000D555F">
        <w:rPr>
          <w:rFonts w:ascii="Arial" w:eastAsia="Times New Roman" w:hAnsi="Arial" w:cs="Arial"/>
          <w:lang w:val="en-GB" w:eastAsia="fr-FR"/>
        </w:rPr>
        <w:t>6</w:t>
      </w:r>
    </w:p>
    <w:p w14:paraId="78682BE4" w14:textId="77777777" w:rsidR="00664A7D" w:rsidRDefault="00664A7D" w:rsidP="00664A7D">
      <w:pPr>
        <w:spacing w:after="0" w:line="240" w:lineRule="auto"/>
        <w:rPr>
          <w:rFonts w:ascii="Arial" w:eastAsia="Times New Roman" w:hAnsi="Arial" w:cs="Arial"/>
          <w:lang w:val="en-GB" w:eastAsia="fr-FR"/>
        </w:rPr>
      </w:pPr>
    </w:p>
    <w:p w14:paraId="2C43AD85" w14:textId="77777777" w:rsidR="000D555F" w:rsidRDefault="000D555F" w:rsidP="00664A7D">
      <w:pPr>
        <w:spacing w:after="0" w:line="240" w:lineRule="auto"/>
        <w:rPr>
          <w:rFonts w:ascii="Arial" w:eastAsia="Times New Roman" w:hAnsi="Arial" w:cs="Arial"/>
          <w:lang w:val="en-GB" w:eastAsia="fr-FR"/>
        </w:rPr>
      </w:pPr>
    </w:p>
    <w:p w14:paraId="1D3F9BF3" w14:textId="77777777" w:rsidR="000D555F" w:rsidRDefault="000D555F" w:rsidP="00664A7D">
      <w:pPr>
        <w:spacing w:after="0" w:line="240" w:lineRule="auto"/>
        <w:rPr>
          <w:rFonts w:ascii="Arial" w:eastAsia="Times New Roman" w:hAnsi="Arial" w:cs="Arial"/>
          <w:lang w:val="en-GB" w:eastAsia="fr-FR"/>
        </w:rPr>
      </w:pPr>
    </w:p>
    <w:p w14:paraId="5907EA44" w14:textId="77777777" w:rsidR="000D555F" w:rsidRDefault="000D555F" w:rsidP="00664A7D">
      <w:pPr>
        <w:spacing w:after="0" w:line="240" w:lineRule="auto"/>
        <w:rPr>
          <w:rFonts w:ascii="Arial" w:eastAsia="Times New Roman" w:hAnsi="Arial" w:cs="Arial"/>
          <w:lang w:val="en-GB" w:eastAsia="fr-FR"/>
        </w:rPr>
      </w:pPr>
    </w:p>
    <w:p w14:paraId="3384BBB4" w14:textId="77777777" w:rsidR="000D555F" w:rsidRDefault="000D555F" w:rsidP="00664A7D">
      <w:pPr>
        <w:spacing w:after="0" w:line="240" w:lineRule="auto"/>
        <w:rPr>
          <w:rFonts w:ascii="Arial" w:eastAsia="Times New Roman" w:hAnsi="Arial" w:cs="Arial"/>
          <w:lang w:val="en-GB" w:eastAsia="fr-FR"/>
        </w:rPr>
      </w:pPr>
    </w:p>
    <w:p w14:paraId="55F1BC74" w14:textId="77777777" w:rsidR="000D555F" w:rsidRDefault="000D555F" w:rsidP="00664A7D">
      <w:pPr>
        <w:spacing w:after="0" w:line="240" w:lineRule="auto"/>
        <w:rPr>
          <w:rFonts w:ascii="Arial" w:eastAsia="Times New Roman" w:hAnsi="Arial" w:cs="Arial"/>
          <w:lang w:val="en-GB" w:eastAsia="fr-FR"/>
        </w:rPr>
      </w:pPr>
    </w:p>
    <w:p w14:paraId="28C7B703" w14:textId="77777777" w:rsidR="000D555F" w:rsidRDefault="000D555F" w:rsidP="00664A7D">
      <w:pPr>
        <w:spacing w:after="0" w:line="240" w:lineRule="auto"/>
        <w:rPr>
          <w:rFonts w:ascii="Arial" w:eastAsia="Times New Roman" w:hAnsi="Arial" w:cs="Arial"/>
          <w:lang w:val="en-GB" w:eastAsia="fr-FR"/>
        </w:rPr>
      </w:pPr>
    </w:p>
    <w:p w14:paraId="660EDFF6" w14:textId="77777777" w:rsidR="000D555F" w:rsidRDefault="000D555F" w:rsidP="00664A7D">
      <w:pPr>
        <w:spacing w:after="0" w:line="240" w:lineRule="auto"/>
        <w:rPr>
          <w:rFonts w:ascii="Arial" w:eastAsia="Times New Roman" w:hAnsi="Arial" w:cs="Arial"/>
          <w:lang w:val="en-GB" w:eastAsia="fr-FR"/>
        </w:rPr>
      </w:pPr>
    </w:p>
    <w:p w14:paraId="5E24EC51" w14:textId="77777777" w:rsidR="000D555F" w:rsidRDefault="000D555F" w:rsidP="00664A7D">
      <w:pPr>
        <w:spacing w:after="0" w:line="240" w:lineRule="auto"/>
        <w:rPr>
          <w:rFonts w:ascii="Arial" w:eastAsia="Times New Roman" w:hAnsi="Arial" w:cs="Arial"/>
          <w:lang w:val="en-GB" w:eastAsia="fr-FR"/>
        </w:rPr>
      </w:pPr>
    </w:p>
    <w:p w14:paraId="6B6DA64D" w14:textId="77777777" w:rsidR="000D555F" w:rsidRDefault="000D555F" w:rsidP="00664A7D">
      <w:pPr>
        <w:spacing w:after="0" w:line="240" w:lineRule="auto"/>
        <w:rPr>
          <w:rFonts w:ascii="Arial" w:eastAsia="Times New Roman" w:hAnsi="Arial" w:cs="Arial"/>
          <w:lang w:val="en-GB" w:eastAsia="fr-FR"/>
        </w:rPr>
      </w:pPr>
    </w:p>
    <w:p w14:paraId="3D0554C5" w14:textId="77777777" w:rsidR="000D555F" w:rsidRDefault="000D555F" w:rsidP="00664A7D">
      <w:pPr>
        <w:spacing w:after="0" w:line="240" w:lineRule="auto"/>
        <w:rPr>
          <w:rFonts w:ascii="Arial" w:eastAsia="Times New Roman" w:hAnsi="Arial" w:cs="Arial"/>
          <w:lang w:val="en-GB" w:eastAsia="fr-FR"/>
        </w:rPr>
      </w:pPr>
    </w:p>
    <w:p w14:paraId="46105280" w14:textId="77777777" w:rsidR="000D555F" w:rsidRDefault="000D555F" w:rsidP="00664A7D">
      <w:pPr>
        <w:spacing w:after="0" w:line="240" w:lineRule="auto"/>
        <w:rPr>
          <w:rFonts w:ascii="Arial" w:eastAsia="Times New Roman" w:hAnsi="Arial" w:cs="Arial"/>
          <w:lang w:val="en-GB" w:eastAsia="fr-FR"/>
        </w:rPr>
      </w:pPr>
    </w:p>
    <w:p w14:paraId="72335D33" w14:textId="77777777" w:rsidR="000D555F" w:rsidRDefault="000D555F" w:rsidP="00664A7D">
      <w:pPr>
        <w:spacing w:after="0" w:line="240" w:lineRule="auto"/>
        <w:rPr>
          <w:rFonts w:ascii="Arial" w:eastAsia="Times New Roman" w:hAnsi="Arial" w:cs="Arial"/>
          <w:lang w:val="en-GB" w:eastAsia="fr-FR"/>
        </w:rPr>
      </w:pPr>
    </w:p>
    <w:p w14:paraId="7A3439BB" w14:textId="77777777" w:rsidR="000D555F" w:rsidRDefault="000D555F" w:rsidP="00664A7D">
      <w:pPr>
        <w:spacing w:after="0" w:line="240" w:lineRule="auto"/>
        <w:rPr>
          <w:rFonts w:ascii="Arial" w:eastAsia="Times New Roman" w:hAnsi="Arial" w:cs="Arial"/>
          <w:lang w:val="en-GB" w:eastAsia="fr-FR"/>
        </w:rPr>
      </w:pPr>
    </w:p>
    <w:p w14:paraId="1629F3F4" w14:textId="77777777" w:rsidR="000D555F" w:rsidRDefault="000D555F" w:rsidP="00664A7D">
      <w:pPr>
        <w:spacing w:after="0" w:line="240" w:lineRule="auto"/>
        <w:rPr>
          <w:rFonts w:ascii="Arial" w:eastAsia="Times New Roman" w:hAnsi="Arial" w:cs="Arial"/>
          <w:lang w:val="en-GB" w:eastAsia="fr-FR"/>
        </w:rPr>
      </w:pPr>
    </w:p>
    <w:p w14:paraId="78CA6B0A" w14:textId="77777777" w:rsidR="000D555F" w:rsidRDefault="000D555F" w:rsidP="00664A7D">
      <w:pPr>
        <w:spacing w:after="0" w:line="240" w:lineRule="auto"/>
        <w:rPr>
          <w:rFonts w:ascii="Arial" w:eastAsia="Times New Roman" w:hAnsi="Arial" w:cs="Arial"/>
          <w:lang w:val="en-GB" w:eastAsia="fr-FR"/>
        </w:rPr>
      </w:pPr>
    </w:p>
    <w:p w14:paraId="06E5ED82" w14:textId="77777777" w:rsidR="000D555F" w:rsidRPr="000D555F" w:rsidRDefault="000D555F" w:rsidP="00664A7D">
      <w:pPr>
        <w:spacing w:after="0" w:line="240" w:lineRule="auto"/>
        <w:rPr>
          <w:rFonts w:ascii="Arial" w:eastAsia="Times New Roman" w:hAnsi="Arial" w:cs="Arial"/>
          <w:lang w:val="en-GB" w:eastAsia="fr-FR"/>
        </w:rPr>
      </w:pPr>
    </w:p>
    <w:p w14:paraId="4F68C502" w14:textId="3CEB42BE" w:rsidR="00664A7D" w:rsidRPr="000D555F" w:rsidRDefault="00664A7D" w:rsidP="00664A7D">
      <w:pPr>
        <w:spacing w:after="0" w:line="240" w:lineRule="auto"/>
        <w:rPr>
          <w:rFonts w:ascii="Arial" w:eastAsia="Times New Roman" w:hAnsi="Arial" w:cs="Arial"/>
          <w:lang w:val="en-GB" w:eastAsia="fr-FR"/>
        </w:rPr>
      </w:pPr>
    </w:p>
    <w:p w14:paraId="015ACF3F" w14:textId="286C4213" w:rsidR="00664A7D" w:rsidRPr="000D555F" w:rsidRDefault="00735C68" w:rsidP="00664A7D">
      <w:pPr>
        <w:spacing w:after="0" w:line="240" w:lineRule="auto"/>
        <w:rPr>
          <w:rFonts w:ascii="Arial" w:eastAsia="Times New Roman" w:hAnsi="Arial" w:cs="Arial"/>
          <w:lang w:val="en-GB" w:eastAsia="fr-FR"/>
        </w:rPr>
      </w:pPr>
      <w:r w:rsidRPr="000D555F">
        <w:rPr>
          <w:rFonts w:ascii="Arial" w:hAnsi="Arial" w:cs="Arial"/>
          <w:noProof/>
        </w:rPr>
        <w:drawing>
          <wp:anchor distT="0" distB="0" distL="114300" distR="114300" simplePos="0" relativeHeight="251659264" behindDoc="0" locked="0" layoutInCell="1" hidden="0" allowOverlap="1" wp14:anchorId="63EC79E2" wp14:editId="2CA94402">
            <wp:simplePos x="0" y="0"/>
            <wp:positionH relativeFrom="column">
              <wp:posOffset>1814635</wp:posOffset>
            </wp:positionH>
            <wp:positionV relativeFrom="paragraph">
              <wp:posOffset>7620</wp:posOffset>
            </wp:positionV>
            <wp:extent cx="1911765" cy="458192"/>
            <wp:effectExtent l="0" t="0" r="0" b="0"/>
            <wp:wrapNone/>
            <wp:docPr id="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911765" cy="458192"/>
                    </a:xfrm>
                    <a:prstGeom prst="rect">
                      <a:avLst/>
                    </a:prstGeom>
                    <a:ln/>
                  </pic:spPr>
                </pic:pic>
              </a:graphicData>
            </a:graphic>
            <wp14:sizeRelH relativeFrom="margin">
              <wp14:pctWidth>0</wp14:pctWidth>
            </wp14:sizeRelH>
            <wp14:sizeRelV relativeFrom="margin">
              <wp14:pctHeight>0</wp14:pctHeight>
            </wp14:sizeRelV>
          </wp:anchor>
        </w:drawing>
      </w:r>
    </w:p>
    <w:p w14:paraId="13CD5E7C" w14:textId="77777777" w:rsidR="00664A7D" w:rsidRPr="000D555F" w:rsidRDefault="00664A7D" w:rsidP="00664A7D">
      <w:pPr>
        <w:spacing w:after="0" w:line="240" w:lineRule="auto"/>
        <w:rPr>
          <w:rFonts w:ascii="Arial" w:eastAsia="Times New Roman" w:hAnsi="Arial" w:cs="Arial"/>
          <w:lang w:val="en-GB" w:eastAsia="fr-FR"/>
        </w:rPr>
      </w:pPr>
    </w:p>
    <w:p w14:paraId="48AE702C" w14:textId="74A2C702" w:rsidR="00664A7D" w:rsidRDefault="00664A7D" w:rsidP="00664A7D">
      <w:pPr>
        <w:spacing w:after="0" w:line="240" w:lineRule="auto"/>
        <w:rPr>
          <w:rFonts w:ascii="Arial" w:eastAsia="Times New Roman" w:hAnsi="Arial" w:cs="Arial"/>
          <w:lang w:val="en-GB" w:eastAsia="fr-FR"/>
        </w:rPr>
      </w:pPr>
    </w:p>
    <w:p w14:paraId="665514F4" w14:textId="77777777" w:rsidR="000D555F" w:rsidRDefault="000D555F" w:rsidP="00664A7D">
      <w:pPr>
        <w:spacing w:after="0" w:line="240" w:lineRule="auto"/>
        <w:rPr>
          <w:rFonts w:ascii="Arial" w:eastAsia="Times New Roman" w:hAnsi="Arial" w:cs="Arial"/>
          <w:lang w:val="en-GB" w:eastAsia="fr-FR"/>
        </w:rPr>
      </w:pPr>
    </w:p>
    <w:p w14:paraId="03130A28" w14:textId="77777777" w:rsidR="000D555F" w:rsidRPr="00B50033" w:rsidRDefault="000D555F" w:rsidP="000D555F">
      <w:pPr>
        <w:spacing w:after="0"/>
        <w:jc w:val="center"/>
        <w:rPr>
          <w:rFonts w:ascii="Arial" w:hAnsi="Arial" w:cs="Arial"/>
          <w:b/>
          <w:bCs/>
          <w:color w:val="EE0000"/>
          <w:lang w:val="en-US"/>
        </w:rPr>
      </w:pPr>
      <w:proofErr w:type="spellStart"/>
      <w:r w:rsidRPr="00B50033">
        <w:rPr>
          <w:rFonts w:ascii="Arial" w:hAnsi="Arial" w:cs="Arial"/>
          <w:b/>
          <w:bCs/>
          <w:color w:val="EE0000"/>
          <w:lang w:val="en-US"/>
        </w:rPr>
        <w:t>Fondation</w:t>
      </w:r>
      <w:proofErr w:type="spellEnd"/>
      <w:r w:rsidRPr="00B50033">
        <w:rPr>
          <w:rFonts w:ascii="Arial" w:hAnsi="Arial" w:cs="Arial"/>
          <w:b/>
          <w:bCs/>
          <w:color w:val="EE0000"/>
          <w:lang w:val="en-US"/>
        </w:rPr>
        <w:t xml:space="preserve"> Jérôme Lejeune</w:t>
      </w:r>
    </w:p>
    <w:p w14:paraId="0C795044" w14:textId="77777777" w:rsidR="000D555F" w:rsidRPr="00B50033" w:rsidRDefault="000D555F" w:rsidP="000D555F">
      <w:pPr>
        <w:spacing w:after="0"/>
        <w:jc w:val="center"/>
        <w:rPr>
          <w:rFonts w:ascii="Arial" w:hAnsi="Arial" w:cs="Arial"/>
          <w:lang w:val="en-US"/>
        </w:rPr>
      </w:pPr>
      <w:proofErr w:type="spellStart"/>
      <w:r w:rsidRPr="00B50033">
        <w:rPr>
          <w:rFonts w:ascii="Arial" w:hAnsi="Arial" w:cs="Arial"/>
          <w:lang w:val="en-US"/>
        </w:rPr>
        <w:t>Recognised</w:t>
      </w:r>
      <w:proofErr w:type="spellEnd"/>
      <w:r w:rsidRPr="00B50033">
        <w:rPr>
          <w:rFonts w:ascii="Arial" w:hAnsi="Arial" w:cs="Arial"/>
          <w:lang w:val="en-US"/>
        </w:rPr>
        <w:t xml:space="preserve"> of Public Benefit in France</w:t>
      </w:r>
    </w:p>
    <w:p w14:paraId="2508E8DE" w14:textId="77777777" w:rsidR="000D555F" w:rsidRPr="00B50033" w:rsidRDefault="000D555F" w:rsidP="000D555F">
      <w:pPr>
        <w:spacing w:after="0"/>
        <w:jc w:val="center"/>
        <w:rPr>
          <w:rFonts w:ascii="Arial" w:hAnsi="Arial" w:cs="Arial"/>
          <w:lang w:val="en-US"/>
        </w:rPr>
      </w:pPr>
      <w:r w:rsidRPr="00B50033">
        <w:rPr>
          <w:rFonts w:ascii="Arial" w:hAnsi="Arial" w:cs="Arial"/>
          <w:lang w:val="en-US"/>
        </w:rPr>
        <w:t>With Special Consultative Status (ECOSOC) to the United Nations</w:t>
      </w:r>
    </w:p>
    <w:p w14:paraId="61DA64E7" w14:textId="77777777" w:rsidR="000D555F" w:rsidRPr="00B50033" w:rsidRDefault="000D555F" w:rsidP="000D555F">
      <w:pPr>
        <w:spacing w:after="0"/>
        <w:jc w:val="center"/>
        <w:rPr>
          <w:rFonts w:ascii="Arial" w:hAnsi="Arial" w:cs="Arial"/>
          <w:lang w:val="en-US"/>
        </w:rPr>
      </w:pPr>
      <w:r w:rsidRPr="00B50033">
        <w:rPr>
          <w:rFonts w:ascii="Arial" w:hAnsi="Arial" w:cs="Arial"/>
          <w:lang w:val="en-US"/>
        </w:rPr>
        <w:t>Member of the World Health Organization (WHO) Disability Health Equity Network</w:t>
      </w:r>
    </w:p>
    <w:p w14:paraId="125DE1D4" w14:textId="77777777" w:rsidR="000D555F" w:rsidRPr="00B50033" w:rsidRDefault="000D555F" w:rsidP="000D555F">
      <w:pPr>
        <w:spacing w:after="0"/>
        <w:jc w:val="center"/>
        <w:rPr>
          <w:rFonts w:ascii="Arial" w:hAnsi="Arial" w:cs="Arial"/>
        </w:rPr>
      </w:pPr>
      <w:proofErr w:type="spellStart"/>
      <w:proofErr w:type="gramStart"/>
      <w:r w:rsidRPr="00B50033">
        <w:rPr>
          <w:rFonts w:ascii="Arial" w:hAnsi="Arial" w:cs="Arial"/>
        </w:rPr>
        <w:t>Headquarters</w:t>
      </w:r>
      <w:proofErr w:type="spellEnd"/>
      <w:r w:rsidRPr="00B50033">
        <w:rPr>
          <w:rFonts w:ascii="Arial" w:hAnsi="Arial" w:cs="Arial"/>
        </w:rPr>
        <w:t>:</w:t>
      </w:r>
      <w:proofErr w:type="gramEnd"/>
      <w:r w:rsidRPr="00B50033">
        <w:rPr>
          <w:rFonts w:ascii="Arial" w:hAnsi="Arial" w:cs="Arial"/>
        </w:rPr>
        <w:t xml:space="preserve"> 37 rue des Volontaires 75015 Paris – </w:t>
      </w:r>
      <w:proofErr w:type="gramStart"/>
      <w:r w:rsidRPr="00B50033">
        <w:rPr>
          <w:rFonts w:ascii="Arial" w:hAnsi="Arial" w:cs="Arial"/>
        </w:rPr>
        <w:t>Tel:</w:t>
      </w:r>
      <w:proofErr w:type="gramEnd"/>
      <w:r w:rsidRPr="00B50033">
        <w:rPr>
          <w:rFonts w:ascii="Arial" w:hAnsi="Arial" w:cs="Arial"/>
        </w:rPr>
        <w:t xml:space="preserve"> +33 (0)1 44 49 74 53</w:t>
      </w:r>
    </w:p>
    <w:p w14:paraId="36AD2D1A" w14:textId="77777777" w:rsidR="000D555F" w:rsidRPr="00B50033" w:rsidRDefault="000D555F" w:rsidP="000D555F">
      <w:pPr>
        <w:spacing w:after="0"/>
        <w:jc w:val="center"/>
        <w:rPr>
          <w:rFonts w:ascii="Arial" w:hAnsi="Arial" w:cs="Arial"/>
          <w:lang w:val="en-US"/>
        </w:rPr>
      </w:pPr>
      <w:r w:rsidRPr="00B50033">
        <w:rPr>
          <w:rFonts w:ascii="Arial" w:hAnsi="Arial" w:cs="Arial"/>
          <w:lang w:val="en-US"/>
        </w:rPr>
        <w:t>Contact: mgouaida@fondationlejeune.org</w:t>
      </w:r>
    </w:p>
    <w:p w14:paraId="3E2297CA" w14:textId="7068CD94" w:rsidR="00664A7D" w:rsidRPr="000D555F" w:rsidRDefault="00664A7D" w:rsidP="00EB0340">
      <w:pPr>
        <w:rPr>
          <w:rFonts w:ascii="Arial" w:hAnsi="Arial" w:cs="Arial"/>
          <w:color w:val="FF0000"/>
          <w:lang w:val="en-US"/>
        </w:rPr>
      </w:pPr>
      <w:r w:rsidRPr="000D555F">
        <w:rPr>
          <w:rFonts w:ascii="Arial" w:eastAsia="Times New Roman" w:hAnsi="Arial" w:cs="Arial"/>
          <w:b/>
          <w:color w:val="FF0000"/>
          <w:lang w:val="en-GB" w:eastAsia="fr-FR"/>
        </w:rPr>
        <w:lastRenderedPageBreak/>
        <w:t>Introduction</w:t>
      </w:r>
    </w:p>
    <w:p w14:paraId="502606F5" w14:textId="77777777" w:rsidR="00D5777A" w:rsidRPr="000D555F" w:rsidRDefault="00D5777A" w:rsidP="00D5777A">
      <w:pPr>
        <w:jc w:val="both"/>
        <w:rPr>
          <w:rFonts w:ascii="Arial" w:hAnsi="Arial" w:cs="Arial"/>
          <w:lang w:val="en-US"/>
        </w:rPr>
      </w:pPr>
      <w:r w:rsidRPr="000D555F">
        <w:rPr>
          <w:rFonts w:ascii="Arial" w:hAnsi="Arial" w:cs="Arial"/>
          <w:lang w:val="en-US"/>
        </w:rPr>
        <w:t xml:space="preserve">The Jérôme Lejeune Foundation is an international foundation with headquarters in Paris, France Created in 1995, after the death of Professor Jérôme Lejeune, the doctor who co-discovered the chromosomal origin of Down syndrome, it has been </w:t>
      </w:r>
      <w:proofErr w:type="spellStart"/>
      <w:r w:rsidRPr="000D555F">
        <w:rPr>
          <w:rFonts w:ascii="Arial" w:hAnsi="Arial" w:cs="Arial"/>
          <w:lang w:val="en-US"/>
        </w:rPr>
        <w:t>recognised</w:t>
      </w:r>
      <w:proofErr w:type="spellEnd"/>
      <w:r w:rsidRPr="000D555F">
        <w:rPr>
          <w:rFonts w:ascii="Arial" w:hAnsi="Arial" w:cs="Arial"/>
          <w:lang w:val="en-US"/>
        </w:rPr>
        <w:t xml:space="preserve"> as </w:t>
      </w:r>
      <w:r w:rsidRPr="000D555F">
        <w:rPr>
          <w:rFonts w:ascii="Arial" w:hAnsi="Arial" w:cs="Arial"/>
          <w:b/>
          <w:lang w:val="en-US"/>
        </w:rPr>
        <w:t xml:space="preserve">an </w:t>
      </w:r>
      <w:proofErr w:type="spellStart"/>
      <w:r w:rsidRPr="000D555F">
        <w:rPr>
          <w:rFonts w:ascii="Arial" w:hAnsi="Arial" w:cs="Arial"/>
          <w:b/>
          <w:lang w:val="en-US"/>
        </w:rPr>
        <w:t>organisation</w:t>
      </w:r>
      <w:proofErr w:type="spellEnd"/>
      <w:r w:rsidRPr="000D555F">
        <w:rPr>
          <w:rFonts w:ascii="Arial" w:hAnsi="Arial" w:cs="Arial"/>
          <w:b/>
          <w:lang w:val="en-US"/>
        </w:rPr>
        <w:t xml:space="preserve"> of public benefit</w:t>
      </w:r>
      <w:r w:rsidRPr="000D555F">
        <w:rPr>
          <w:rFonts w:ascii="Arial" w:hAnsi="Arial" w:cs="Arial"/>
          <w:vertAlign w:val="superscript"/>
        </w:rPr>
        <w:footnoteReference w:id="1"/>
      </w:r>
      <w:r w:rsidRPr="000D555F">
        <w:rPr>
          <w:rFonts w:ascii="Arial" w:hAnsi="Arial" w:cs="Arial"/>
          <w:b/>
          <w:lang w:val="en-US"/>
        </w:rPr>
        <w:t xml:space="preserve"> </w:t>
      </w:r>
      <w:r w:rsidRPr="000D555F">
        <w:rPr>
          <w:rFonts w:ascii="Arial" w:hAnsi="Arial" w:cs="Arial"/>
          <w:lang w:val="en-US"/>
        </w:rPr>
        <w:t xml:space="preserve">since 1996. The Lejeune Foundation has delegations Spain, Argentina, and in the United States of America. Being at the service of the </w:t>
      </w:r>
      <w:r w:rsidRPr="000D555F">
        <w:rPr>
          <w:rFonts w:ascii="Arial" w:hAnsi="Arial" w:cs="Arial"/>
          <w:b/>
          <w:lang w:val="en-US"/>
        </w:rPr>
        <w:t>right to health</w:t>
      </w:r>
      <w:r w:rsidRPr="000D555F">
        <w:rPr>
          <w:rFonts w:ascii="Arial" w:hAnsi="Arial" w:cs="Arial"/>
          <w:lang w:val="en-US"/>
        </w:rPr>
        <w:t xml:space="preserve"> of </w:t>
      </w:r>
      <w:r w:rsidRPr="000D555F">
        <w:rPr>
          <w:rFonts w:ascii="Arial" w:hAnsi="Arial" w:cs="Arial"/>
          <w:b/>
          <w:lang w:val="en-US"/>
        </w:rPr>
        <w:t>persons with intellectual disabilities of genetic origin</w:t>
      </w:r>
      <w:r w:rsidRPr="000D555F">
        <w:rPr>
          <w:rFonts w:ascii="Arial" w:hAnsi="Arial" w:cs="Arial"/>
          <w:lang w:val="en-US"/>
        </w:rPr>
        <w:t xml:space="preserve">: Fragile X, Rett and Angelman syndromes, etc. The most common and best known is Down syndrome (also called trisomy 21). The Jérôme Lejeune Foundation has three missions: </w:t>
      </w:r>
    </w:p>
    <w:p w14:paraId="5DE5D864" w14:textId="77777777" w:rsidR="00D5777A" w:rsidRPr="000D555F" w:rsidRDefault="00D5777A" w:rsidP="00D5777A">
      <w:pPr>
        <w:ind w:firstLine="720"/>
        <w:jc w:val="both"/>
        <w:rPr>
          <w:rFonts w:ascii="Arial" w:hAnsi="Arial" w:cs="Arial"/>
          <w:lang w:val="en-US"/>
        </w:rPr>
      </w:pPr>
      <w:r w:rsidRPr="000D555F">
        <w:rPr>
          <w:rFonts w:ascii="Arial" w:hAnsi="Arial" w:cs="Arial"/>
          <w:lang w:val="en-US"/>
        </w:rPr>
        <w:t xml:space="preserve">- medical research aimed at facilitating daily life and autonomy of persons with disabilities. </w:t>
      </w:r>
    </w:p>
    <w:p w14:paraId="55AB6A0A" w14:textId="77777777" w:rsidR="00D5777A" w:rsidRPr="000D555F" w:rsidRDefault="00D5777A" w:rsidP="00D5777A">
      <w:pPr>
        <w:ind w:firstLine="720"/>
        <w:jc w:val="both"/>
        <w:rPr>
          <w:rFonts w:ascii="Arial" w:hAnsi="Arial" w:cs="Arial"/>
          <w:lang w:val="en-US"/>
        </w:rPr>
      </w:pPr>
      <w:r w:rsidRPr="000D555F">
        <w:rPr>
          <w:rFonts w:ascii="Arial" w:hAnsi="Arial" w:cs="Arial"/>
          <w:lang w:val="en-US"/>
        </w:rPr>
        <w:t>- make the right to health a reality by offering medical consultations with qualified doctors.</w:t>
      </w:r>
    </w:p>
    <w:p w14:paraId="2C0FE92F" w14:textId="77777777" w:rsidR="00D5777A" w:rsidRPr="000D555F" w:rsidRDefault="00D5777A" w:rsidP="00D5777A">
      <w:pPr>
        <w:ind w:firstLine="720"/>
        <w:jc w:val="both"/>
        <w:rPr>
          <w:rFonts w:ascii="Arial" w:hAnsi="Arial" w:cs="Arial"/>
          <w:lang w:val="en-US"/>
        </w:rPr>
      </w:pPr>
      <w:r w:rsidRPr="000D555F">
        <w:rPr>
          <w:rFonts w:ascii="Arial" w:hAnsi="Arial" w:cs="Arial"/>
          <w:lang w:val="en-US"/>
        </w:rPr>
        <w:t>- protect the dignity of persons with disabilities.</w:t>
      </w:r>
    </w:p>
    <w:p w14:paraId="79718AF6" w14:textId="1BA4ECC5" w:rsidR="00D5777A" w:rsidRPr="000D555F" w:rsidRDefault="00B96FB4" w:rsidP="00D5777A">
      <w:pPr>
        <w:jc w:val="both"/>
        <w:rPr>
          <w:rFonts w:ascii="Arial" w:hAnsi="Arial" w:cs="Arial"/>
          <w:lang w:val="en-US"/>
        </w:rPr>
      </w:pPr>
      <w:r w:rsidRPr="000D555F">
        <w:rPr>
          <w:rFonts w:ascii="Arial" w:hAnsi="Arial" w:cs="Arial"/>
          <w:lang w:val="en-US"/>
        </w:rPr>
        <w:t xml:space="preserve">The Jerome Lejeune </w:t>
      </w:r>
      <w:r w:rsidR="00935061" w:rsidRPr="000D555F">
        <w:rPr>
          <w:rFonts w:ascii="Arial" w:hAnsi="Arial" w:cs="Arial"/>
          <w:lang w:val="en-US"/>
        </w:rPr>
        <w:t>F</w:t>
      </w:r>
      <w:r w:rsidRPr="000D555F">
        <w:rPr>
          <w:rFonts w:ascii="Arial" w:hAnsi="Arial" w:cs="Arial"/>
          <w:lang w:val="en-US"/>
        </w:rPr>
        <w:t xml:space="preserve">oundation is a global expert and leader advocate for the rights of persons with genetic intellectual disabilities. </w:t>
      </w:r>
    </w:p>
    <w:p w14:paraId="13ECE5DF" w14:textId="12373D50" w:rsidR="00664A7D" w:rsidRPr="000D555F" w:rsidRDefault="0086724F" w:rsidP="0086724F">
      <w:pPr>
        <w:spacing w:after="140" w:line="276" w:lineRule="auto"/>
        <w:jc w:val="both"/>
        <w:rPr>
          <w:rFonts w:ascii="Arial" w:hAnsi="Arial" w:cs="Arial"/>
          <w:lang w:val="en-GB"/>
        </w:rPr>
      </w:pPr>
      <w:r w:rsidRPr="000D555F">
        <w:rPr>
          <w:rFonts w:ascii="Arial" w:hAnsi="Arial" w:cs="Arial"/>
          <w:lang w:val="en-GB"/>
        </w:rPr>
        <w:t xml:space="preserve">The </w:t>
      </w:r>
      <w:proofErr w:type="spellStart"/>
      <w:r w:rsidRPr="000D555F">
        <w:rPr>
          <w:rFonts w:ascii="Arial" w:hAnsi="Arial" w:cs="Arial"/>
          <w:lang w:val="en-GB"/>
        </w:rPr>
        <w:t>Fondation</w:t>
      </w:r>
      <w:proofErr w:type="spellEnd"/>
      <w:r w:rsidRPr="000D555F">
        <w:rPr>
          <w:rFonts w:ascii="Arial" w:hAnsi="Arial" w:cs="Arial"/>
          <w:lang w:val="en-GB"/>
        </w:rPr>
        <w:t xml:space="preserve"> Jérôme Lejeune welcomes the examination of Lithuania by the Committee on the Rights of Persons with Disabilities at its 35th session and respectfully submits the following observations. Lithuania's initial report was examined in 2016 (concluding observations CRPD/C/LTU/CO/1), and the State party subsequently submitted its combined second and third periodic report. This contribution focuses on equality and non-discrimination (article 5) and health (article 25</w:t>
      </w:r>
      <w:proofErr w:type="gramStart"/>
      <w:r w:rsidRPr="000D555F">
        <w:rPr>
          <w:rFonts w:ascii="Arial" w:hAnsi="Arial" w:cs="Arial"/>
          <w:lang w:val="en-GB"/>
        </w:rPr>
        <w:t>), and</w:t>
      </w:r>
      <w:proofErr w:type="gramEnd"/>
      <w:r w:rsidRPr="000D555F">
        <w:rPr>
          <w:rFonts w:ascii="Arial" w:hAnsi="Arial" w:cs="Arial"/>
          <w:lang w:val="en-GB"/>
        </w:rPr>
        <w:t xml:space="preserve"> identifies several other Convention articles — legal capacity (article 12), liberty and security of the person (article 14), freedom from ill-treatment and abuse (articles 15 and 16), and independent living (article 19) — where the evidence indicates Lithuania continues to fall short of its obligations.</w:t>
      </w:r>
    </w:p>
    <w:p w14:paraId="023B6213" w14:textId="211BF040" w:rsidR="00D5777A" w:rsidRPr="000D555F" w:rsidRDefault="00D5777A" w:rsidP="00D5777A">
      <w:pPr>
        <w:spacing w:before="100" w:beforeAutospacing="1" w:after="100" w:afterAutospacing="1" w:line="240" w:lineRule="auto"/>
        <w:rPr>
          <w:rFonts w:ascii="Arial" w:eastAsia="Times New Roman" w:hAnsi="Arial" w:cs="Arial"/>
          <w:color w:val="FF0000"/>
          <w:lang w:val="en-GB" w:eastAsia="fr-FR"/>
        </w:rPr>
      </w:pPr>
      <w:r w:rsidRPr="000D555F">
        <w:rPr>
          <w:rFonts w:ascii="Arial" w:eastAsia="Times New Roman" w:hAnsi="Arial" w:cs="Arial"/>
          <w:b/>
          <w:bCs/>
          <w:color w:val="FF0000"/>
          <w:lang w:val="en-GB" w:eastAsia="fr-FR"/>
        </w:rPr>
        <w:t>Article 5</w:t>
      </w:r>
      <w:r w:rsidR="00935061" w:rsidRPr="000D555F">
        <w:rPr>
          <w:rFonts w:ascii="Arial" w:eastAsia="Times New Roman" w:hAnsi="Arial" w:cs="Arial"/>
          <w:b/>
          <w:bCs/>
          <w:color w:val="FF0000"/>
          <w:lang w:val="en-GB" w:eastAsia="fr-FR"/>
        </w:rPr>
        <w:t>:</w:t>
      </w:r>
      <w:r w:rsidRPr="000D555F">
        <w:rPr>
          <w:rFonts w:ascii="Arial" w:eastAsia="Times New Roman" w:hAnsi="Arial" w:cs="Arial"/>
          <w:b/>
          <w:bCs/>
          <w:color w:val="FF0000"/>
          <w:lang w:val="en-GB" w:eastAsia="fr-FR"/>
        </w:rPr>
        <w:t xml:space="preserve"> Equality and non-discrimination </w:t>
      </w:r>
    </w:p>
    <w:p w14:paraId="57381298"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Ten years after the Committee's initial review, reasonable accommodation remains inconsistently regulated in Lithuania. It is established in employment law, but the European Disability Forum's 2025 assessment found that in education, healthcare and public services the concept is rarely applied in legislation or practice, and public awareness of the duty to provide it remains low. Lithuania's new Law on the Rights of Persons with Disabilities, in force since 2023, names reasonable accommodation as a guiding principle but has been criticised for lacking the detail needed for consistent implementation. A more positive development came in September 2025, when the Seimas adopted a reform moving disability assessment away from a purely medical model toward one based on individual needs and environmental barriers, together with new independent-living services — a step the Foundation welcomes and encourages the Committee to monitor closely for implementation.</w:t>
      </w:r>
    </w:p>
    <w:p w14:paraId="1D2E3B65"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Substantive inequality remains stark in employment. According to Lithuania's own Social Insurance Fund (</w:t>
      </w:r>
      <w:proofErr w:type="spellStart"/>
      <w:r w:rsidRPr="000D555F">
        <w:rPr>
          <w:rFonts w:ascii="Arial" w:hAnsi="Arial" w:cs="Arial"/>
          <w:lang w:val="en-GB"/>
        </w:rPr>
        <w:t>Sodra</w:t>
      </w:r>
      <w:proofErr w:type="spellEnd"/>
      <w:r w:rsidRPr="000D555F">
        <w:rPr>
          <w:rFonts w:ascii="Arial" w:hAnsi="Arial" w:cs="Arial"/>
          <w:lang w:val="en-GB"/>
        </w:rPr>
        <w:t xml:space="preserve">) data cited in the Equal Opportunities Ombudsperson's 2024 annual report, only 30.4% of the roughly 150,000 working-age persons with disabilities in Lithuania are in employment, compared with an EU average of 51% for persons with disabilities in 2024. </w:t>
      </w:r>
      <w:r w:rsidRPr="000D555F">
        <w:rPr>
          <w:rFonts w:ascii="Arial" w:hAnsi="Arial" w:cs="Arial"/>
          <w:lang w:val="en-GB"/>
        </w:rPr>
        <w:lastRenderedPageBreak/>
        <w:t>This gap of more than 20 percentage points indicates that formal non-discrimination guarantees are not translating into equal access to work.</w:t>
      </w:r>
    </w:p>
    <w:p w14:paraId="11A953EE"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 xml:space="preserve">The Committee's 2016 concluding observations specifically called on Lithuania to remove discriminatory restrictions on the right to vote for persons under guardianship. Recent academic analysis (2025) confirms that Lithuanian law continues to allow restriction of voting rights for persons placed under </w:t>
      </w:r>
      <w:proofErr w:type="gramStart"/>
      <w:r w:rsidRPr="000D555F">
        <w:rPr>
          <w:rFonts w:ascii="Arial" w:hAnsi="Arial" w:cs="Arial"/>
          <w:lang w:val="en-GB"/>
        </w:rPr>
        <w:t>guardianship, and</w:t>
      </w:r>
      <w:proofErr w:type="gramEnd"/>
      <w:r w:rsidRPr="000D555F">
        <w:rPr>
          <w:rFonts w:ascii="Arial" w:hAnsi="Arial" w:cs="Arial"/>
          <w:lang w:val="en-GB"/>
        </w:rPr>
        <w:t xml:space="preserve"> identifies unresolved tension between this practice and the Convention's equal-recognition standard. The Committee in 2016 also raised concerns about intersecting and multiple discrimination — including against women with disabilities, whose employment rate is lower still than that of men with disabilities — and about misconceptions and stereotypes regarding persons with disabilities, particularly in the media, which the Foundation understands remain only partially addressed.</w:t>
      </w:r>
    </w:p>
    <w:p w14:paraId="28059AD1" w14:textId="77777777" w:rsidR="0086724F" w:rsidRPr="000D555F" w:rsidRDefault="0086724F" w:rsidP="0086724F">
      <w:pPr>
        <w:pStyle w:val="ListParagraph"/>
        <w:numPr>
          <w:ilvl w:val="0"/>
          <w:numId w:val="32"/>
        </w:numPr>
        <w:spacing w:after="80" w:line="276" w:lineRule="auto"/>
        <w:contextualSpacing w:val="0"/>
        <w:rPr>
          <w:rFonts w:ascii="Arial" w:hAnsi="Arial" w:cs="Arial"/>
          <w:lang w:val="en-GB"/>
        </w:rPr>
      </w:pPr>
      <w:r w:rsidRPr="000D555F">
        <w:rPr>
          <w:rFonts w:ascii="Arial" w:hAnsi="Arial" w:cs="Arial"/>
          <w:lang w:val="en-GB"/>
        </w:rPr>
        <w:t>Reasonable accommodation should be established as an enforceable, cross-sectoral right, not confined to employment.</w:t>
      </w:r>
    </w:p>
    <w:p w14:paraId="66DB12E4" w14:textId="5C701873" w:rsidR="0086724F" w:rsidRPr="000D555F" w:rsidRDefault="0086724F" w:rsidP="0086724F">
      <w:pPr>
        <w:pStyle w:val="ListParagraph"/>
        <w:numPr>
          <w:ilvl w:val="0"/>
          <w:numId w:val="32"/>
        </w:numPr>
        <w:spacing w:after="80" w:line="276" w:lineRule="auto"/>
        <w:contextualSpacing w:val="0"/>
        <w:rPr>
          <w:rFonts w:ascii="Arial" w:hAnsi="Arial" w:cs="Arial"/>
          <w:lang w:val="en-GB"/>
        </w:rPr>
      </w:pPr>
      <w:r w:rsidRPr="000D555F">
        <w:rPr>
          <w:rFonts w:ascii="Arial" w:hAnsi="Arial" w:cs="Arial"/>
          <w:lang w:val="en-GB"/>
        </w:rPr>
        <w:t>Discriminatory restrictions on political participation tied to guardianship status should be repealed in line with the Committee's 2016 recommendation, not merely debated in academic literature.</w:t>
      </w:r>
    </w:p>
    <w:p w14:paraId="3A712644" w14:textId="2BF6C32D" w:rsidR="0086724F" w:rsidRPr="000D555F" w:rsidRDefault="0086724F" w:rsidP="0086724F">
      <w:pPr>
        <w:spacing w:after="140" w:line="276" w:lineRule="auto"/>
        <w:jc w:val="both"/>
        <w:rPr>
          <w:rFonts w:ascii="Arial" w:eastAsia="Times New Roman" w:hAnsi="Arial" w:cs="Arial"/>
          <w:b/>
          <w:bCs/>
          <w:color w:val="FF0000"/>
          <w:lang w:val="en-GB" w:eastAsia="fr-FR"/>
        </w:rPr>
      </w:pPr>
      <w:r w:rsidRPr="000D555F">
        <w:rPr>
          <w:rFonts w:ascii="Arial" w:eastAsia="Times New Roman" w:hAnsi="Arial" w:cs="Arial"/>
          <w:b/>
          <w:bCs/>
          <w:color w:val="FF0000"/>
          <w:lang w:val="en-GB" w:eastAsia="fr-FR"/>
        </w:rPr>
        <w:t xml:space="preserve">Articles 12, 14, 15–16 and 19: legal capacity, liberty, freedom from ill-treatment, and Independent Living </w:t>
      </w:r>
    </w:p>
    <w:p w14:paraId="67AA07E7" w14:textId="0663B706"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These articles are best read together in Lithuania's case, because the evidence shows they fail in combination. As of 2023, Lithuania's segregated social care homes for persons with disabilities had a capacity of 5,830 residents with zero available places and 321 people on the waiting list — a tighter bottleneck than five years earlier, when 6,583 places existed with 10 vacancies and 197 people waiting. Independent researchers estimate approximately 6,000 people still live in these segregated institutions. This trend indicates that deinstitutionalisation, formally underway since 2014, is not reducing reliance on institutional care in practice, and may in places be replaced by "</w:t>
      </w:r>
      <w:proofErr w:type="spellStart"/>
      <w:r w:rsidRPr="000D555F">
        <w:rPr>
          <w:rFonts w:ascii="Arial" w:hAnsi="Arial" w:cs="Arial"/>
          <w:lang w:val="en-GB"/>
        </w:rPr>
        <w:t>transinstitutionalisation</w:t>
      </w:r>
      <w:proofErr w:type="spellEnd"/>
      <w:r w:rsidRPr="000D555F">
        <w:rPr>
          <w:rFonts w:ascii="Arial" w:hAnsi="Arial" w:cs="Arial"/>
          <w:lang w:val="en-GB"/>
        </w:rPr>
        <w:t>" — smaller group or independent-living homes that reproduce institutional patterns of control rather than genuine community inclusion, a risk the January 2025 study explicitly flags.</w:t>
      </w:r>
    </w:p>
    <w:p w14:paraId="00FE2621"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The same study found that, across virtually all 11 assessed facilities regardless of type, standards concerning legal capacity and personal liberty (article 12/14), freedom from ill-treatment and abuse (articles 15–16), and independent living (article 19) scored consistently at the lowest levels of achievement, with only one facility reaching a higher standard on any of these three themes. Documented practices included routine use of physical restraint and seclusion in psychiatric wards, an absence of reliable recording for so-called chemical restraint through medication adjustment, overnight transfers of unsupervised patients to isolation wards, and derogatory language used by some staff toward residents. Legal representation for people in long-term institutional or psychiatric care was found to be largely absent, and supported decision-making mechanisms — required under article 12 — were rarely used in practice. Discharge from psychiatric hospitals frequently leads not to the community but to further institutional placement, undermining the purpose of deinstitutionalisation itself.</w:t>
      </w:r>
    </w:p>
    <w:p w14:paraId="452311BD" w14:textId="34D419D7" w:rsidR="00664A7D" w:rsidRPr="000D555F" w:rsidRDefault="0086724F" w:rsidP="0086724F">
      <w:pPr>
        <w:spacing w:after="140" w:line="276" w:lineRule="auto"/>
        <w:jc w:val="both"/>
        <w:rPr>
          <w:rFonts w:ascii="Arial" w:hAnsi="Arial" w:cs="Arial"/>
          <w:lang w:val="en-GB"/>
        </w:rPr>
      </w:pPr>
      <w:r w:rsidRPr="000D555F">
        <w:rPr>
          <w:rFonts w:ascii="Arial" w:hAnsi="Arial" w:cs="Arial"/>
          <w:lang w:val="en-GB"/>
        </w:rPr>
        <w:t xml:space="preserve">The Committee's 2016 concluding observations already raised guardianship and legal capacity, slow deinstitutionalisation, and violence and abuse in closed institutions as central concerns. The Foundation notes that a study published nine years later, in 2025, explicitly concludes that none of the Committee's 2016 recommendations on article 19 have yet been </w:t>
      </w:r>
      <w:r w:rsidRPr="000D555F">
        <w:rPr>
          <w:rFonts w:ascii="Arial" w:hAnsi="Arial" w:cs="Arial"/>
          <w:lang w:val="en-GB"/>
        </w:rPr>
        <w:lastRenderedPageBreak/>
        <w:t>effectively addressed, and that the underlying problems remain as relevant in 2025 as they were in 2016.</w:t>
      </w:r>
    </w:p>
    <w:p w14:paraId="6D6C5740" w14:textId="77777777" w:rsidR="00664A7D" w:rsidRPr="000D555F" w:rsidRDefault="00664A7D" w:rsidP="00664A7D">
      <w:pPr>
        <w:spacing w:before="100" w:beforeAutospacing="1" w:after="100" w:afterAutospacing="1" w:line="240" w:lineRule="auto"/>
        <w:outlineLvl w:val="2"/>
        <w:rPr>
          <w:rFonts w:ascii="Arial" w:eastAsia="Times New Roman" w:hAnsi="Arial" w:cs="Arial"/>
          <w:b/>
          <w:bCs/>
          <w:color w:val="FF0000"/>
          <w:lang w:val="en-GB" w:eastAsia="fr-FR"/>
        </w:rPr>
      </w:pPr>
      <w:r w:rsidRPr="000D555F">
        <w:rPr>
          <w:rFonts w:ascii="Arial" w:eastAsia="Times New Roman" w:hAnsi="Arial" w:cs="Arial"/>
          <w:b/>
          <w:bCs/>
          <w:color w:val="FF0000"/>
          <w:lang w:val="en-GB" w:eastAsia="fr-FR"/>
        </w:rPr>
        <w:t>Article 25: Health</w:t>
      </w:r>
    </w:p>
    <w:p w14:paraId="6BBDEB59"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The right to the highest attainable standard of health, without discrimination on the basis of disability, is foundational: without it, the exercise of every other Convention right — legal capacity, independent living, family life, education — is compromised. The Foundation considers Lithuania's record on this article to be a priority concern, particularly for persons with intellectual and psychosocial disabilities living in institutional or psychiatric settings.</w:t>
      </w:r>
    </w:p>
    <w:p w14:paraId="6FFAB588"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 xml:space="preserve">A peer-reviewed, mixed-methods study published in January 2025 (International Journal for Quality in Health Care), using the WHO </w:t>
      </w:r>
      <w:proofErr w:type="spellStart"/>
      <w:r w:rsidRPr="000D555F">
        <w:rPr>
          <w:rFonts w:ascii="Arial" w:hAnsi="Arial" w:cs="Arial"/>
          <w:lang w:val="en-GB"/>
        </w:rPr>
        <w:t>QualityRights</w:t>
      </w:r>
      <w:proofErr w:type="spellEnd"/>
      <w:r w:rsidRPr="000D555F">
        <w:rPr>
          <w:rFonts w:ascii="Arial" w:hAnsi="Arial" w:cs="Arial"/>
          <w:lang w:val="en-GB"/>
        </w:rPr>
        <w:t xml:space="preserve"> Toolkit, assessed 11 Lithuanian facilities — psychiatric hospitals, psychiatric units in general hospitals, segregated social care homes, and community-based group living homes — between 2017 and 2022, interviewing 123 residents and 120 staff. It found that while physical healthcare needs were generally monitored and medication was available, access to psychosocial rehabilitation and counselling was limited, individualised recovery plans and advance directives were essentially unused, and patients frequently received medication without being informed of its purpose or side effects in an understandable format. The study also documented that staff in social care homes lacked training on reproductive healthcare beyond providing contraception, with residents on the receiving end of value-laden judgments about their sexuality — a finding the Committee may wish to explore further given its direct relevance to the dignity and bodily autonomy of women and girls with disabilities in institutional care.</w:t>
      </w:r>
    </w:p>
    <w:p w14:paraId="00131A85" w14:textId="77777777" w:rsidR="0086724F" w:rsidRPr="000D555F" w:rsidRDefault="0086724F" w:rsidP="0086724F">
      <w:pPr>
        <w:spacing w:after="140" w:line="276" w:lineRule="auto"/>
        <w:jc w:val="both"/>
        <w:rPr>
          <w:rFonts w:ascii="Arial" w:hAnsi="Arial" w:cs="Arial"/>
          <w:lang w:val="en-GB"/>
        </w:rPr>
      </w:pPr>
      <w:r w:rsidRPr="000D555F">
        <w:rPr>
          <w:rFonts w:ascii="Arial" w:hAnsi="Arial" w:cs="Arial"/>
          <w:lang w:val="en-GB"/>
        </w:rPr>
        <w:t>The same study found that involuntary psychiatric hospitalisation and treatment without consent remain common, and that admission to social care services is not always based on the free will of the resident, particularly once a person has been declared legally incapable. This is consistent with the Committee's 2016 concluding observations, which strongly urged Lithuania to abolish forced hospitalisation and treatment without consent, and expressed deep concern about human rights violations in closed institutions, including social care homes and psychiatric wards.</w:t>
      </w:r>
    </w:p>
    <w:p w14:paraId="38040BBE" w14:textId="77777777" w:rsidR="00664A7D" w:rsidRPr="000D555F" w:rsidRDefault="0082715E" w:rsidP="00664A7D">
      <w:pPr>
        <w:spacing w:after="0" w:line="240" w:lineRule="auto"/>
        <w:rPr>
          <w:rFonts w:ascii="Arial" w:eastAsia="Times New Roman" w:hAnsi="Arial" w:cs="Arial"/>
          <w:b/>
          <w:color w:val="FF0000"/>
          <w:lang w:val="en-GB" w:eastAsia="fr-FR"/>
        </w:rPr>
      </w:pPr>
      <w:r w:rsidRPr="000D555F">
        <w:rPr>
          <w:rFonts w:ascii="Arial" w:eastAsia="Times New Roman" w:hAnsi="Arial" w:cs="Arial"/>
          <w:b/>
          <w:color w:val="FF0000"/>
          <w:lang w:val="en-GB" w:eastAsia="fr-FR"/>
        </w:rPr>
        <w:t xml:space="preserve">Conclusions </w:t>
      </w:r>
    </w:p>
    <w:p w14:paraId="57F1E24C" w14:textId="77777777" w:rsidR="0086724F" w:rsidRPr="000D555F" w:rsidRDefault="0086724F" w:rsidP="0086724F">
      <w:pPr>
        <w:pStyle w:val="isselectedend"/>
        <w:rPr>
          <w:rFonts w:ascii="Arial" w:hAnsi="Arial" w:cs="Arial"/>
          <w:sz w:val="22"/>
          <w:szCs w:val="22"/>
        </w:rPr>
      </w:pPr>
      <w:r w:rsidRPr="000D555F">
        <w:rPr>
          <w:rFonts w:ascii="Arial" w:hAnsi="Arial" w:cs="Arial"/>
          <w:sz w:val="22"/>
          <w:szCs w:val="22"/>
        </w:rPr>
        <w:t>The Jérôme Lejeune Foundation welcomes Lithuania's continued engagement with the Committee on the Rights of Persons with Disabilities and acknowledges the important legislative and policy reforms undertaken in recent years, including the transition towards a needs-based model of disability assessment and the adoption of measures intended to strengthen independent living and the rights of persons with disabilities.</w:t>
      </w:r>
    </w:p>
    <w:p w14:paraId="75835DE4" w14:textId="77777777" w:rsidR="0086724F" w:rsidRPr="000D555F" w:rsidRDefault="0086724F" w:rsidP="0086724F">
      <w:pPr>
        <w:pStyle w:val="isselectedend"/>
        <w:rPr>
          <w:rFonts w:ascii="Arial" w:hAnsi="Arial" w:cs="Arial"/>
          <w:sz w:val="22"/>
          <w:szCs w:val="22"/>
        </w:rPr>
      </w:pPr>
      <w:r w:rsidRPr="000D555F">
        <w:rPr>
          <w:rFonts w:ascii="Arial" w:hAnsi="Arial" w:cs="Arial"/>
          <w:sz w:val="22"/>
          <w:szCs w:val="22"/>
        </w:rPr>
        <w:t>The Foundation also welcomes Lithuania's recognition of the inherent dignity and equal worth of every person, a principle that lies at the heart of both the Constitution of the Republic of Lithuania and the Convention on the Rights of Persons with Disabilities. Respect for human dignity constitutes the foundation of all human rights and must guide every law, policy and practice affecting persons with disabilities.</w:t>
      </w:r>
    </w:p>
    <w:p w14:paraId="4BB5DD54" w14:textId="77777777" w:rsidR="0086724F" w:rsidRPr="000D555F" w:rsidRDefault="0086724F" w:rsidP="0086724F">
      <w:pPr>
        <w:pStyle w:val="isselectedend"/>
        <w:rPr>
          <w:rFonts w:ascii="Arial" w:hAnsi="Arial" w:cs="Arial"/>
          <w:sz w:val="22"/>
          <w:szCs w:val="22"/>
        </w:rPr>
      </w:pPr>
      <w:r w:rsidRPr="000D555F">
        <w:rPr>
          <w:rFonts w:ascii="Arial" w:hAnsi="Arial" w:cs="Arial"/>
          <w:sz w:val="22"/>
          <w:szCs w:val="22"/>
        </w:rPr>
        <w:t xml:space="preserve">Nevertheless, the evidence presented in this submission demonstrates that significant gaps remain between Lithuania's legal commitments and the lived reality of many persons with disabilities, particularly persons with intellectual disabilities and persons with Down syndrome. Ten years after the Committee's previous review, institutionalisation continues to expose many individuals to restrictions on their liberty, legal capacity and bodily autonomy; </w:t>
      </w:r>
      <w:r w:rsidRPr="000D555F">
        <w:rPr>
          <w:rFonts w:ascii="Arial" w:hAnsi="Arial" w:cs="Arial"/>
          <w:sz w:val="22"/>
          <w:szCs w:val="22"/>
        </w:rPr>
        <w:lastRenderedPageBreak/>
        <w:t>reasonable accommodation remains inconsistently implemented; discrimination persists in employment and political participation; and access to healthcare is too often compromised by substitute decision-making, inadequate information, insufficient community-based services and a lack of respect for free and informed consent.</w:t>
      </w:r>
    </w:p>
    <w:p w14:paraId="1AF8AFC4" w14:textId="77777777" w:rsidR="0086724F" w:rsidRPr="000D555F" w:rsidRDefault="0086724F" w:rsidP="0086724F">
      <w:pPr>
        <w:pStyle w:val="isselectedend"/>
        <w:rPr>
          <w:rFonts w:ascii="Arial" w:hAnsi="Arial" w:cs="Arial"/>
          <w:sz w:val="22"/>
          <w:szCs w:val="22"/>
        </w:rPr>
      </w:pPr>
      <w:r w:rsidRPr="000D555F">
        <w:rPr>
          <w:rFonts w:ascii="Arial" w:hAnsi="Arial" w:cs="Arial"/>
          <w:sz w:val="22"/>
          <w:szCs w:val="22"/>
        </w:rPr>
        <w:t>For persons with Down syndrome and other genetic intellectual disabilities, these shortcomings are particularly concerning. Many require lifelong multidisciplinary healthcare, effective communication, individualised support and continuity of care to enjoy the highest attainable standard of health on an equal basis with others. Ensuring these rights is not solely a matter of healthcare policy; it is a prerequisite for the effective enjoyment of all rights guaranteed by the Convention.</w:t>
      </w:r>
    </w:p>
    <w:p w14:paraId="517BBA49" w14:textId="77777777" w:rsidR="0086724F" w:rsidRPr="000D555F" w:rsidRDefault="0086724F" w:rsidP="0086724F">
      <w:pPr>
        <w:pStyle w:val="NormalWeb"/>
        <w:rPr>
          <w:rFonts w:ascii="Arial" w:hAnsi="Arial" w:cs="Arial"/>
          <w:sz w:val="22"/>
          <w:szCs w:val="22"/>
          <w:lang w:val="en-GB"/>
        </w:rPr>
      </w:pPr>
      <w:r w:rsidRPr="000D555F">
        <w:rPr>
          <w:rFonts w:ascii="Arial" w:hAnsi="Arial" w:cs="Arial"/>
          <w:sz w:val="22"/>
          <w:szCs w:val="22"/>
          <w:lang w:val="en-GB"/>
        </w:rPr>
        <w:t>The Jérôme Lejeune Foundation respectfully encourages the Committee to urge Lithuania to build upon its recent reforms by ensuring that every person with a disability is recognised first and foremost as a holder of equal rights, whose inherent dignity, autonomy, health and inclusion are fully protected throughout every stage of life.</w:t>
      </w:r>
    </w:p>
    <w:p w14:paraId="257D90E0" w14:textId="77777777" w:rsidR="0086724F" w:rsidRPr="000D555F" w:rsidRDefault="0086724F" w:rsidP="0086724F">
      <w:pPr>
        <w:pStyle w:val="Heading2"/>
        <w:rPr>
          <w:rFonts w:ascii="Arial" w:hAnsi="Arial" w:cs="Arial"/>
          <w:b/>
          <w:bCs/>
          <w:color w:val="EE0000"/>
          <w:sz w:val="22"/>
          <w:szCs w:val="22"/>
          <w:lang w:val="en-GB"/>
        </w:rPr>
      </w:pPr>
      <w:r w:rsidRPr="000D555F">
        <w:rPr>
          <w:rFonts w:ascii="Arial" w:hAnsi="Arial" w:cs="Arial"/>
          <w:b/>
          <w:bCs/>
          <w:color w:val="EE0000"/>
          <w:sz w:val="22"/>
          <w:szCs w:val="22"/>
          <w:lang w:val="en-GB"/>
        </w:rPr>
        <w:t>Recommendations</w:t>
      </w:r>
    </w:p>
    <w:p w14:paraId="5D2BB212" w14:textId="77777777" w:rsidR="0086724F" w:rsidRPr="000D555F" w:rsidRDefault="0086724F" w:rsidP="0086724F">
      <w:pPr>
        <w:pStyle w:val="isselectedend"/>
        <w:rPr>
          <w:rFonts w:ascii="Arial" w:hAnsi="Arial" w:cs="Arial"/>
          <w:sz w:val="22"/>
          <w:szCs w:val="22"/>
        </w:rPr>
      </w:pPr>
      <w:r w:rsidRPr="000D555F">
        <w:rPr>
          <w:rFonts w:ascii="Arial" w:hAnsi="Arial" w:cs="Arial"/>
          <w:sz w:val="22"/>
          <w:szCs w:val="22"/>
        </w:rPr>
        <w:t>The Jérôme Lejeune Foundation respectfully recommends that the Committee encourage Lithuania to:</w:t>
      </w:r>
    </w:p>
    <w:p w14:paraId="705B4E6D"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Fully implement the Convention by ensuring that the inherent dignity, equality and autonomy of every person with a disability guide all legislation, policies and practices</w:t>
      </w:r>
      <w:r w:rsidRPr="000D555F">
        <w:rPr>
          <w:rFonts w:ascii="Arial" w:hAnsi="Arial" w:cs="Arial"/>
          <w:lang w:val="en-GB"/>
        </w:rPr>
        <w:t>, in accordance with Articles 1, 3 and 5 of the Convention.</w:t>
      </w:r>
    </w:p>
    <w:p w14:paraId="79DCAF65"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Establish reasonable accommodation as an enforceable right across all sectors</w:t>
      </w:r>
      <w:r w:rsidRPr="000D555F">
        <w:rPr>
          <w:rFonts w:ascii="Arial" w:hAnsi="Arial" w:cs="Arial"/>
          <w:lang w:val="en-GB"/>
        </w:rPr>
        <w:t>, including healthcare, education, justice, housing and public services, with effective remedies where accommodation is denied.</w:t>
      </w:r>
    </w:p>
    <w:p w14:paraId="2241A304"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Complete the transition from substitute decision-making to supported decision-making</w:t>
      </w:r>
      <w:r w:rsidRPr="000D555F">
        <w:rPr>
          <w:rFonts w:ascii="Arial" w:hAnsi="Arial" w:cs="Arial"/>
          <w:lang w:val="en-GB"/>
        </w:rPr>
        <w:t>, abolishing legal frameworks that permit deprivation of legal capacity and ensuring that all medical decisions are based on the free, prior and informed consent of the person concerned.</w:t>
      </w:r>
    </w:p>
    <w:p w14:paraId="4B178487"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Accelerate genuine deinstitutionalisation</w:t>
      </w:r>
      <w:r w:rsidRPr="000D555F">
        <w:rPr>
          <w:rFonts w:ascii="Arial" w:hAnsi="Arial" w:cs="Arial"/>
          <w:lang w:val="en-GB"/>
        </w:rPr>
        <w:t xml:space="preserve">, accompanied by adequate investment in community-based services, accessible housing and personalised support, while preventing </w:t>
      </w:r>
      <w:proofErr w:type="spellStart"/>
      <w:r w:rsidRPr="000D555F">
        <w:rPr>
          <w:rFonts w:ascii="Arial" w:hAnsi="Arial" w:cs="Arial"/>
          <w:lang w:val="en-GB"/>
        </w:rPr>
        <w:t>transinstitutionalisation</w:t>
      </w:r>
      <w:proofErr w:type="spellEnd"/>
      <w:r w:rsidRPr="000D555F">
        <w:rPr>
          <w:rFonts w:ascii="Arial" w:hAnsi="Arial" w:cs="Arial"/>
          <w:lang w:val="en-GB"/>
        </w:rPr>
        <w:t xml:space="preserve"> and ensuring that no person is compelled to live in an institutional setting because of disability.</w:t>
      </w:r>
    </w:p>
    <w:p w14:paraId="60441219"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End involuntary treatment and non-consensual psychiatric interventions</w:t>
      </w:r>
      <w:r w:rsidRPr="000D555F">
        <w:rPr>
          <w:rFonts w:ascii="Arial" w:hAnsi="Arial" w:cs="Arial"/>
          <w:lang w:val="en-GB"/>
        </w:rPr>
        <w:t>, ensuring that healthcare and social services fully respect personal autonomy, bodily integrity and the right to liberty, in accordance with the Convention.</w:t>
      </w:r>
    </w:p>
    <w:p w14:paraId="2E7727DE"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Guarantee equal access to the highest attainable standard of health</w:t>
      </w:r>
      <w:r w:rsidRPr="000D555F">
        <w:rPr>
          <w:rFonts w:ascii="Arial" w:hAnsi="Arial" w:cs="Arial"/>
          <w:lang w:val="en-GB"/>
        </w:rPr>
        <w:t xml:space="preserve"> by providing accessible information, reasonable accommodation, effective communication and person-centred healthcare for persons with disabilities throughout the life course.</w:t>
      </w:r>
    </w:p>
    <w:p w14:paraId="2C4140DF"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Develop national multidisciplinary healthcare pathways for persons with Down syndrome and other intellectual disabilities</w:t>
      </w:r>
      <w:r w:rsidRPr="000D555F">
        <w:rPr>
          <w:rFonts w:ascii="Arial" w:hAnsi="Arial" w:cs="Arial"/>
          <w:lang w:val="en-GB"/>
        </w:rPr>
        <w:t>, ensuring timely preventive care, specialist follow-up, mental health support and coordinated lifelong healthcare based on internationally recognised clinical standards.</w:t>
      </w:r>
    </w:p>
    <w:p w14:paraId="5E6280F4"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Provide mandatory training for healthcare professionals, social workers, judges and public authorities</w:t>
      </w:r>
      <w:r w:rsidRPr="000D555F">
        <w:rPr>
          <w:rFonts w:ascii="Arial" w:hAnsi="Arial" w:cs="Arial"/>
          <w:lang w:val="en-GB"/>
        </w:rPr>
        <w:t xml:space="preserve"> on the rights of persons with disabilities, supported decision-making, informed consent, accessible communication and the specific healthcare needs of persons with intellectual disabilities and Down syndrome.</w:t>
      </w:r>
    </w:p>
    <w:p w14:paraId="03F9F799"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Strengthen independent monitoring of psychiatric hospitals, social care institutions and community-based services</w:t>
      </w:r>
      <w:r w:rsidRPr="000D555F">
        <w:rPr>
          <w:rFonts w:ascii="Arial" w:hAnsi="Arial" w:cs="Arial"/>
          <w:lang w:val="en-GB"/>
        </w:rPr>
        <w:t>, ensuring effective safeguards against ill-treatment, inappropriate restraint, overmedication and violations of bodily integrity.</w:t>
      </w:r>
    </w:p>
    <w:p w14:paraId="279C4BBA"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lastRenderedPageBreak/>
        <w:t>Collect, analyse and publish comprehensive disability-disaggregated data</w:t>
      </w:r>
      <w:r w:rsidRPr="000D555F">
        <w:rPr>
          <w:rFonts w:ascii="Arial" w:hAnsi="Arial" w:cs="Arial"/>
          <w:lang w:val="en-GB"/>
        </w:rPr>
        <w:t>, including data concerning persons with intellectual disabilities and persons with Down syndrome, relating to healthcare, institutionalisation, violence, legal capacity, employment and independent living, in accordance with Article 31 of the Convention.</w:t>
      </w:r>
    </w:p>
    <w:p w14:paraId="3211D951" w14:textId="77777777" w:rsidR="0086724F" w:rsidRPr="000D555F" w:rsidRDefault="0086724F" w:rsidP="0086724F">
      <w:pPr>
        <w:numPr>
          <w:ilvl w:val="0"/>
          <w:numId w:val="33"/>
        </w:numPr>
        <w:spacing w:before="100" w:beforeAutospacing="1" w:after="100" w:afterAutospacing="1" w:line="240" w:lineRule="auto"/>
        <w:rPr>
          <w:rFonts w:ascii="Arial" w:hAnsi="Arial" w:cs="Arial"/>
          <w:lang w:val="en-GB"/>
        </w:rPr>
      </w:pPr>
      <w:r w:rsidRPr="000D555F">
        <w:rPr>
          <w:rStyle w:val="Strong"/>
          <w:rFonts w:ascii="Arial" w:hAnsi="Arial" w:cs="Arial"/>
          <w:lang w:val="en-GB"/>
        </w:rPr>
        <w:t>Ensure the full and effective participation of organisations representing persons with disabilities, including organisations representing persons with intellectual disabilities and Down syndrome, in the design, implementation and evaluation of all disability-related legislation, policies and services.</w:t>
      </w:r>
    </w:p>
    <w:p w14:paraId="71CABB7C" w14:textId="77777777" w:rsidR="0086724F" w:rsidRPr="000D555F" w:rsidRDefault="0086724F" w:rsidP="0086724F">
      <w:pPr>
        <w:pStyle w:val="NormalWeb"/>
        <w:rPr>
          <w:rFonts w:ascii="Arial" w:hAnsi="Arial" w:cs="Arial"/>
          <w:sz w:val="22"/>
          <w:szCs w:val="22"/>
          <w:lang w:val="en-GB"/>
        </w:rPr>
      </w:pPr>
      <w:r w:rsidRPr="000D555F">
        <w:rPr>
          <w:rFonts w:ascii="Arial" w:hAnsi="Arial" w:cs="Arial"/>
          <w:sz w:val="22"/>
          <w:szCs w:val="22"/>
          <w:lang w:val="en-GB"/>
        </w:rPr>
        <w:t>The Foundation respectfully invites the Committee to encourage Lithuania to ensure that future disability reforms are firmly grounded in the recognition that every human being possesses inherent dignity and equal worth, and that persons with intellectual disabilities and persons with Down syndrome must enjoy all human rights and fundamental freedoms on an equal basis with others, without discrimination and throughout every stage of life.</w:t>
      </w:r>
    </w:p>
    <w:p w14:paraId="6FB7CBDF" w14:textId="7598C8BE" w:rsidR="000D555F" w:rsidRPr="000D555F" w:rsidRDefault="000D555F" w:rsidP="0086724F">
      <w:pPr>
        <w:pStyle w:val="NormalWeb"/>
        <w:rPr>
          <w:rFonts w:ascii="Arial" w:hAnsi="Arial" w:cs="Arial"/>
          <w:b/>
          <w:bCs/>
          <w:color w:val="EE0000"/>
          <w:sz w:val="22"/>
          <w:szCs w:val="22"/>
          <w:lang w:val="en-GB"/>
        </w:rPr>
      </w:pPr>
      <w:r w:rsidRPr="000D555F">
        <w:rPr>
          <w:rFonts w:ascii="Arial" w:hAnsi="Arial" w:cs="Arial"/>
          <w:b/>
          <w:bCs/>
          <w:color w:val="EE0000"/>
          <w:sz w:val="22"/>
          <w:szCs w:val="22"/>
          <w:lang w:val="en-GB"/>
        </w:rPr>
        <w:t>Sources:</w:t>
      </w:r>
    </w:p>
    <w:p w14:paraId="35A5221E"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1. OHCHR, CRPD/C/LTU/CO/1 (Concluding observations on the initial report of Lithuania, 2016), ohchr.org; Committee on the Rights of Persons with Disabilities, 35th session country list, ohchr.org.</w:t>
      </w:r>
    </w:p>
    <w:p w14:paraId="1B1A9824"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2. European Disability Forum, "Fifteen years on: Progress and persistent gaps in disability rights in Lithuania", 1 October 2025, edf-feph.org.</w:t>
      </w:r>
    </w:p>
    <w:p w14:paraId="664B5C3E"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3. European Equality Law Network, "Lithuania — Parliament adopted a new model for disability assessment and independent living services (disability reform)", 17 September 2025, equalitylaw.eu.</w:t>
      </w:r>
    </w:p>
    <w:p w14:paraId="741E9515"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 xml:space="preserve">4. Office of the Equal Opportunities Ombudsperson of the Republic of Lithuania, 2024 Annual Report, </w:t>
      </w:r>
      <w:proofErr w:type="spellStart"/>
      <w:r w:rsidRPr="000D555F">
        <w:rPr>
          <w:rFonts w:ascii="Arial" w:hAnsi="Arial" w:cs="Arial"/>
          <w:color w:val="000000" w:themeColor="text1"/>
          <w:sz w:val="18"/>
          <w:szCs w:val="18"/>
          <w:lang w:val="en-GB"/>
        </w:rPr>
        <w:t>lygybe.lt</w:t>
      </w:r>
      <w:proofErr w:type="spellEnd"/>
      <w:r w:rsidRPr="000D555F">
        <w:rPr>
          <w:rFonts w:ascii="Arial" w:hAnsi="Arial" w:cs="Arial"/>
          <w:color w:val="000000" w:themeColor="text1"/>
          <w:sz w:val="18"/>
          <w:szCs w:val="18"/>
          <w:lang w:val="en-GB"/>
        </w:rPr>
        <w:t xml:space="preserve">, citing </w:t>
      </w:r>
      <w:proofErr w:type="spellStart"/>
      <w:r w:rsidRPr="000D555F">
        <w:rPr>
          <w:rFonts w:ascii="Arial" w:hAnsi="Arial" w:cs="Arial"/>
          <w:color w:val="000000" w:themeColor="text1"/>
          <w:sz w:val="18"/>
          <w:szCs w:val="18"/>
          <w:lang w:val="en-GB"/>
        </w:rPr>
        <w:t>Sodra</w:t>
      </w:r>
      <w:proofErr w:type="spellEnd"/>
      <w:r w:rsidRPr="000D555F">
        <w:rPr>
          <w:rFonts w:ascii="Arial" w:hAnsi="Arial" w:cs="Arial"/>
          <w:color w:val="000000" w:themeColor="text1"/>
          <w:sz w:val="18"/>
          <w:szCs w:val="18"/>
          <w:lang w:val="en-GB"/>
        </w:rPr>
        <w:t xml:space="preserve"> data; Eurostat/EU disability employment data, 2024.</w:t>
      </w:r>
    </w:p>
    <w:p w14:paraId="544A294F"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 xml:space="preserve">5. </w:t>
      </w:r>
      <w:proofErr w:type="spellStart"/>
      <w:r w:rsidRPr="000D555F">
        <w:rPr>
          <w:rFonts w:ascii="Arial" w:hAnsi="Arial" w:cs="Arial"/>
          <w:color w:val="000000" w:themeColor="text1"/>
          <w:sz w:val="18"/>
          <w:szCs w:val="18"/>
          <w:lang w:val="en-GB"/>
        </w:rPr>
        <w:t>Pūraitė-Andrikienė</w:t>
      </w:r>
      <w:proofErr w:type="spellEnd"/>
      <w:r w:rsidRPr="000D555F">
        <w:rPr>
          <w:rFonts w:ascii="Arial" w:hAnsi="Arial" w:cs="Arial"/>
          <w:color w:val="000000" w:themeColor="text1"/>
          <w:sz w:val="18"/>
          <w:szCs w:val="18"/>
          <w:lang w:val="en-GB"/>
        </w:rPr>
        <w:t>, D., "Legal Capacity and Electoral Rights in Lithuania: The Issue of Compatibility between the Constitution and the UN Convention on the Rights of Persons with Disabilities", 2025.</w:t>
      </w:r>
    </w:p>
    <w:p w14:paraId="3C1F9E15"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 xml:space="preserve">6. Grigaitė, U., </w:t>
      </w:r>
      <w:proofErr w:type="spellStart"/>
      <w:r w:rsidRPr="000D555F">
        <w:rPr>
          <w:rFonts w:ascii="Arial" w:hAnsi="Arial" w:cs="Arial"/>
          <w:color w:val="000000" w:themeColor="text1"/>
          <w:sz w:val="18"/>
          <w:szCs w:val="18"/>
          <w:lang w:val="en-GB"/>
        </w:rPr>
        <w:t>Levickaitė</w:t>
      </w:r>
      <w:proofErr w:type="spellEnd"/>
      <w:r w:rsidRPr="000D555F">
        <w:rPr>
          <w:rFonts w:ascii="Arial" w:hAnsi="Arial" w:cs="Arial"/>
          <w:color w:val="000000" w:themeColor="text1"/>
          <w:sz w:val="18"/>
          <w:szCs w:val="18"/>
          <w:lang w:val="en-GB"/>
        </w:rPr>
        <w:t xml:space="preserve">, K., </w:t>
      </w:r>
      <w:proofErr w:type="spellStart"/>
      <w:r w:rsidRPr="000D555F">
        <w:rPr>
          <w:rFonts w:ascii="Arial" w:hAnsi="Arial" w:cs="Arial"/>
          <w:color w:val="000000" w:themeColor="text1"/>
          <w:sz w:val="18"/>
          <w:szCs w:val="18"/>
          <w:lang w:val="en-GB"/>
        </w:rPr>
        <w:t>Juodkaitė</w:t>
      </w:r>
      <w:proofErr w:type="spellEnd"/>
      <w:r w:rsidRPr="000D555F">
        <w:rPr>
          <w:rFonts w:ascii="Arial" w:hAnsi="Arial" w:cs="Arial"/>
          <w:color w:val="000000" w:themeColor="text1"/>
          <w:sz w:val="18"/>
          <w:szCs w:val="18"/>
          <w:lang w:val="en-GB"/>
        </w:rPr>
        <w:t xml:space="preserve">, D., </w:t>
      </w:r>
      <w:proofErr w:type="spellStart"/>
      <w:r w:rsidRPr="000D555F">
        <w:rPr>
          <w:rFonts w:ascii="Arial" w:hAnsi="Arial" w:cs="Arial"/>
          <w:color w:val="000000" w:themeColor="text1"/>
          <w:sz w:val="18"/>
          <w:szCs w:val="18"/>
          <w:lang w:val="en-GB"/>
        </w:rPr>
        <w:t>Goštautaitė</w:t>
      </w:r>
      <w:proofErr w:type="spellEnd"/>
      <w:r w:rsidRPr="000D555F">
        <w:rPr>
          <w:rFonts w:ascii="Arial" w:hAnsi="Arial" w:cs="Arial"/>
          <w:color w:val="000000" w:themeColor="text1"/>
          <w:sz w:val="18"/>
          <w:szCs w:val="18"/>
          <w:lang w:val="en-GB"/>
        </w:rPr>
        <w:t xml:space="preserve">-Midttun, N., "Promoting human rights-based deinstitutionalization in Lithuania by applying the World Health Organization's </w:t>
      </w:r>
      <w:proofErr w:type="spellStart"/>
      <w:r w:rsidRPr="000D555F">
        <w:rPr>
          <w:rFonts w:ascii="Arial" w:hAnsi="Arial" w:cs="Arial"/>
          <w:color w:val="000000" w:themeColor="text1"/>
          <w:sz w:val="18"/>
          <w:szCs w:val="18"/>
          <w:lang w:val="en-GB"/>
        </w:rPr>
        <w:t>QualityRights</w:t>
      </w:r>
      <w:proofErr w:type="spellEnd"/>
      <w:r w:rsidRPr="000D555F">
        <w:rPr>
          <w:rFonts w:ascii="Arial" w:hAnsi="Arial" w:cs="Arial"/>
          <w:color w:val="000000" w:themeColor="text1"/>
          <w:sz w:val="18"/>
          <w:szCs w:val="18"/>
          <w:lang w:val="en-GB"/>
        </w:rPr>
        <w:t xml:space="preserve"> Assessments", International Journal for Quality in Health Care, Vol. 37, Issue 1, mzae118, published 13 January 2025.</w:t>
      </w:r>
    </w:p>
    <w:p w14:paraId="24005210"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7. Liberties.eu, "Forced Hospitalization Among UN Criticisms of Disability Rights in Lithuania", summarising CRPD/C/LTU/CO/1 (2016).</w:t>
      </w:r>
    </w:p>
    <w:p w14:paraId="3B58FFC3" w14:textId="77777777" w:rsidR="000D555F" w:rsidRPr="000D555F" w:rsidRDefault="000D555F" w:rsidP="000D555F">
      <w:pPr>
        <w:spacing w:after="40"/>
        <w:rPr>
          <w:rFonts w:ascii="Arial" w:hAnsi="Arial" w:cs="Arial"/>
          <w:color w:val="000000" w:themeColor="text1"/>
          <w:sz w:val="18"/>
          <w:szCs w:val="18"/>
          <w:lang w:val="en-GB"/>
        </w:rPr>
      </w:pPr>
      <w:r w:rsidRPr="000D555F">
        <w:rPr>
          <w:rFonts w:ascii="Arial" w:hAnsi="Arial" w:cs="Arial"/>
          <w:color w:val="000000" w:themeColor="text1"/>
          <w:sz w:val="18"/>
          <w:szCs w:val="18"/>
          <w:lang w:val="en-GB"/>
        </w:rPr>
        <w:t>8. Ministry of Social Security and Labour of Lithuania, capacity and waiting-list data for segregated social care homes (2018 and 2023), as cited in Grigaitė et al., 2025.</w:t>
      </w:r>
    </w:p>
    <w:p w14:paraId="511F4CDC" w14:textId="26459F02" w:rsidR="009D1899" w:rsidRPr="000D555F" w:rsidRDefault="009D1899" w:rsidP="0086724F">
      <w:pPr>
        <w:pStyle w:val="NormalWeb"/>
        <w:jc w:val="both"/>
        <w:rPr>
          <w:rFonts w:ascii="Arial" w:hAnsi="Arial" w:cs="Arial"/>
          <w:sz w:val="22"/>
          <w:szCs w:val="22"/>
          <w:lang w:val="en-GB"/>
        </w:rPr>
      </w:pPr>
    </w:p>
    <w:sectPr w:rsidR="009D1899" w:rsidRPr="000D555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2D647" w14:textId="77777777" w:rsidR="00C87E19" w:rsidRDefault="00C87E19" w:rsidP="00D5777A">
      <w:pPr>
        <w:spacing w:after="0" w:line="240" w:lineRule="auto"/>
      </w:pPr>
      <w:r>
        <w:separator/>
      </w:r>
    </w:p>
  </w:endnote>
  <w:endnote w:type="continuationSeparator" w:id="0">
    <w:p w14:paraId="7E7E5F1D" w14:textId="77777777" w:rsidR="00C87E19" w:rsidRDefault="00C87E19" w:rsidP="00D57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A4516" w14:textId="77777777" w:rsidR="00C87E19" w:rsidRDefault="00C87E19" w:rsidP="00D5777A">
      <w:pPr>
        <w:spacing w:after="0" w:line="240" w:lineRule="auto"/>
      </w:pPr>
      <w:r>
        <w:separator/>
      </w:r>
    </w:p>
  </w:footnote>
  <w:footnote w:type="continuationSeparator" w:id="0">
    <w:p w14:paraId="7CB5465B" w14:textId="77777777" w:rsidR="00C87E19" w:rsidRDefault="00C87E19" w:rsidP="00D5777A">
      <w:pPr>
        <w:spacing w:after="0" w:line="240" w:lineRule="auto"/>
      </w:pPr>
      <w:r>
        <w:continuationSeparator/>
      </w:r>
    </w:p>
  </w:footnote>
  <w:footnote w:id="1">
    <w:p w14:paraId="40D50C65" w14:textId="77777777" w:rsidR="00D5777A" w:rsidRPr="00E25FF6" w:rsidRDefault="00D5777A" w:rsidP="00D5777A">
      <w:pPr>
        <w:pBdr>
          <w:top w:val="nil"/>
          <w:left w:val="nil"/>
          <w:bottom w:val="nil"/>
          <w:right w:val="nil"/>
          <w:between w:val="nil"/>
        </w:pBdr>
        <w:rPr>
          <w:rFonts w:cstheme="minorHAnsi"/>
          <w:color w:val="000000"/>
          <w:sz w:val="18"/>
          <w:szCs w:val="18"/>
          <w:lang w:val="en-US"/>
        </w:rPr>
      </w:pPr>
      <w:r w:rsidRPr="00E25FF6">
        <w:rPr>
          <w:rStyle w:val="FootnoteReference"/>
          <w:rFonts w:cstheme="minorHAnsi"/>
          <w:sz w:val="18"/>
          <w:szCs w:val="18"/>
        </w:rPr>
        <w:footnoteRef/>
      </w:r>
      <w:r w:rsidRPr="00E25FF6">
        <w:rPr>
          <w:rFonts w:eastAsia="Cambria" w:cstheme="minorHAnsi"/>
          <w:color w:val="000000"/>
          <w:sz w:val="18"/>
          <w:szCs w:val="18"/>
          <w:lang w:val="en-US"/>
        </w:rPr>
        <w:t xml:space="preserve"> </w:t>
      </w:r>
      <w:r w:rsidRPr="00E25FF6">
        <w:rPr>
          <w:rFonts w:eastAsia="Calibri" w:cstheme="minorHAnsi"/>
          <w:color w:val="000000"/>
          <w:sz w:val="18"/>
          <w:szCs w:val="18"/>
          <w:lang w:val="en-US"/>
        </w:rPr>
        <w:t>with a general interest mission.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53E"/>
    <w:multiLevelType w:val="multilevel"/>
    <w:tmpl w:val="56A46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EB6"/>
    <w:multiLevelType w:val="multilevel"/>
    <w:tmpl w:val="BCEA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54749"/>
    <w:multiLevelType w:val="multilevel"/>
    <w:tmpl w:val="1C789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B2C96"/>
    <w:multiLevelType w:val="multilevel"/>
    <w:tmpl w:val="7EA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D408B"/>
    <w:multiLevelType w:val="hybridMultilevel"/>
    <w:tmpl w:val="8DCA1370"/>
    <w:lvl w:ilvl="0" w:tplc="08867C60">
      <w:start w:val="1"/>
      <w:numFmt w:val="bullet"/>
      <w:lvlText w:val="•"/>
      <w:lvlJc w:val="left"/>
      <w:pPr>
        <w:ind w:left="400" w:hanging="260"/>
      </w:pPr>
    </w:lvl>
    <w:lvl w:ilvl="1" w:tplc="FFA86B8E">
      <w:numFmt w:val="decimal"/>
      <w:lvlText w:val=""/>
      <w:lvlJc w:val="left"/>
    </w:lvl>
    <w:lvl w:ilvl="2" w:tplc="7F7C5478">
      <w:numFmt w:val="decimal"/>
      <w:lvlText w:val=""/>
      <w:lvlJc w:val="left"/>
    </w:lvl>
    <w:lvl w:ilvl="3" w:tplc="13E6A872">
      <w:numFmt w:val="decimal"/>
      <w:lvlText w:val=""/>
      <w:lvlJc w:val="left"/>
    </w:lvl>
    <w:lvl w:ilvl="4" w:tplc="BC50DA02">
      <w:numFmt w:val="decimal"/>
      <w:lvlText w:val=""/>
      <w:lvlJc w:val="left"/>
    </w:lvl>
    <w:lvl w:ilvl="5" w:tplc="06C4EB46">
      <w:numFmt w:val="decimal"/>
      <w:lvlText w:val=""/>
      <w:lvlJc w:val="left"/>
    </w:lvl>
    <w:lvl w:ilvl="6" w:tplc="7084D8BE">
      <w:numFmt w:val="decimal"/>
      <w:lvlText w:val=""/>
      <w:lvlJc w:val="left"/>
    </w:lvl>
    <w:lvl w:ilvl="7" w:tplc="B1803112">
      <w:numFmt w:val="decimal"/>
      <w:lvlText w:val=""/>
      <w:lvlJc w:val="left"/>
    </w:lvl>
    <w:lvl w:ilvl="8" w:tplc="DF2AD7E8">
      <w:numFmt w:val="decimal"/>
      <w:lvlText w:val=""/>
      <w:lvlJc w:val="left"/>
    </w:lvl>
  </w:abstractNum>
  <w:abstractNum w:abstractNumId="5" w15:restartNumberingAfterBreak="0">
    <w:nsid w:val="17042295"/>
    <w:multiLevelType w:val="multilevel"/>
    <w:tmpl w:val="E03E4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EF0"/>
    <w:multiLevelType w:val="multilevel"/>
    <w:tmpl w:val="2542C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A90F7E"/>
    <w:multiLevelType w:val="multilevel"/>
    <w:tmpl w:val="30047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820888"/>
    <w:multiLevelType w:val="multilevel"/>
    <w:tmpl w:val="041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8E519D"/>
    <w:multiLevelType w:val="multilevel"/>
    <w:tmpl w:val="55E00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977640"/>
    <w:multiLevelType w:val="multilevel"/>
    <w:tmpl w:val="0A2C951A"/>
    <w:lvl w:ilvl="0">
      <w:start w:val="1"/>
      <w:numFmt w:val="decimal"/>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03639"/>
    <w:multiLevelType w:val="multilevel"/>
    <w:tmpl w:val="C1A20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821EFD"/>
    <w:multiLevelType w:val="multilevel"/>
    <w:tmpl w:val="004A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E578A7"/>
    <w:multiLevelType w:val="multilevel"/>
    <w:tmpl w:val="BBCC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902FC1"/>
    <w:multiLevelType w:val="multilevel"/>
    <w:tmpl w:val="6FBAB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6F7854"/>
    <w:multiLevelType w:val="multilevel"/>
    <w:tmpl w:val="F084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F37D19"/>
    <w:multiLevelType w:val="multilevel"/>
    <w:tmpl w:val="12408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64223F"/>
    <w:multiLevelType w:val="multilevel"/>
    <w:tmpl w:val="0AA0F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956374"/>
    <w:multiLevelType w:val="multilevel"/>
    <w:tmpl w:val="6C70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B359BC"/>
    <w:multiLevelType w:val="multilevel"/>
    <w:tmpl w:val="A72E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966657"/>
    <w:multiLevelType w:val="multilevel"/>
    <w:tmpl w:val="C012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8373F0"/>
    <w:multiLevelType w:val="multilevel"/>
    <w:tmpl w:val="11F4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667B4F"/>
    <w:multiLevelType w:val="multilevel"/>
    <w:tmpl w:val="CA98A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CE76E3"/>
    <w:multiLevelType w:val="multilevel"/>
    <w:tmpl w:val="5180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AA2C43"/>
    <w:multiLevelType w:val="multilevel"/>
    <w:tmpl w:val="9AB22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EF565C"/>
    <w:multiLevelType w:val="multilevel"/>
    <w:tmpl w:val="9C70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BD6D03"/>
    <w:multiLevelType w:val="multilevel"/>
    <w:tmpl w:val="C332E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8D027C"/>
    <w:multiLevelType w:val="multilevel"/>
    <w:tmpl w:val="20D2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1B3580"/>
    <w:multiLevelType w:val="multilevel"/>
    <w:tmpl w:val="4002F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197BDE"/>
    <w:multiLevelType w:val="multilevel"/>
    <w:tmpl w:val="7EE2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EE6E7E"/>
    <w:multiLevelType w:val="multilevel"/>
    <w:tmpl w:val="3D54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F60F4D"/>
    <w:multiLevelType w:val="multilevel"/>
    <w:tmpl w:val="66509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D76C80"/>
    <w:multiLevelType w:val="multilevel"/>
    <w:tmpl w:val="5532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290183">
    <w:abstractNumId w:val="18"/>
  </w:num>
  <w:num w:numId="2" w16cid:durableId="169368677">
    <w:abstractNumId w:val="28"/>
  </w:num>
  <w:num w:numId="3" w16cid:durableId="1364287897">
    <w:abstractNumId w:val="2"/>
  </w:num>
  <w:num w:numId="4" w16cid:durableId="1908609053">
    <w:abstractNumId w:val="21"/>
  </w:num>
  <w:num w:numId="5" w16cid:durableId="436753636">
    <w:abstractNumId w:val="25"/>
  </w:num>
  <w:num w:numId="6" w16cid:durableId="1966231670">
    <w:abstractNumId w:val="16"/>
  </w:num>
  <w:num w:numId="7" w16cid:durableId="1603148424">
    <w:abstractNumId w:val="22"/>
  </w:num>
  <w:num w:numId="8" w16cid:durableId="447359652">
    <w:abstractNumId w:val="7"/>
  </w:num>
  <w:num w:numId="9" w16cid:durableId="1410691755">
    <w:abstractNumId w:val="30"/>
  </w:num>
  <w:num w:numId="10" w16cid:durableId="364797211">
    <w:abstractNumId w:val="8"/>
  </w:num>
  <w:num w:numId="11" w16cid:durableId="541864242">
    <w:abstractNumId w:val="27"/>
  </w:num>
  <w:num w:numId="12" w16cid:durableId="798765582">
    <w:abstractNumId w:val="19"/>
  </w:num>
  <w:num w:numId="13" w16cid:durableId="1414547410">
    <w:abstractNumId w:val="12"/>
  </w:num>
  <w:num w:numId="14" w16cid:durableId="358704903">
    <w:abstractNumId w:val="6"/>
  </w:num>
  <w:num w:numId="15" w16cid:durableId="400980638">
    <w:abstractNumId w:val="29"/>
  </w:num>
  <w:num w:numId="16" w16cid:durableId="538513138">
    <w:abstractNumId w:val="17"/>
  </w:num>
  <w:num w:numId="17" w16cid:durableId="130949325">
    <w:abstractNumId w:val="15"/>
  </w:num>
  <w:num w:numId="18" w16cid:durableId="745803069">
    <w:abstractNumId w:val="20"/>
  </w:num>
  <w:num w:numId="19" w16cid:durableId="179399827">
    <w:abstractNumId w:val="24"/>
  </w:num>
  <w:num w:numId="20" w16cid:durableId="1992517935">
    <w:abstractNumId w:val="32"/>
  </w:num>
  <w:num w:numId="21" w16cid:durableId="367998977">
    <w:abstractNumId w:val="1"/>
  </w:num>
  <w:num w:numId="22" w16cid:durableId="636495243">
    <w:abstractNumId w:val="9"/>
  </w:num>
  <w:num w:numId="23" w16cid:durableId="1238517002">
    <w:abstractNumId w:val="13"/>
  </w:num>
  <w:num w:numId="24" w16cid:durableId="56436713">
    <w:abstractNumId w:val="0"/>
  </w:num>
  <w:num w:numId="25" w16cid:durableId="943535417">
    <w:abstractNumId w:val="5"/>
  </w:num>
  <w:num w:numId="26" w16cid:durableId="621225968">
    <w:abstractNumId w:val="31"/>
  </w:num>
  <w:num w:numId="27" w16cid:durableId="281347702">
    <w:abstractNumId w:val="26"/>
  </w:num>
  <w:num w:numId="28" w16cid:durableId="641540172">
    <w:abstractNumId w:val="11"/>
  </w:num>
  <w:num w:numId="29" w16cid:durableId="1741321078">
    <w:abstractNumId w:val="23"/>
  </w:num>
  <w:num w:numId="30" w16cid:durableId="1611548792">
    <w:abstractNumId w:val="3"/>
  </w:num>
  <w:num w:numId="31" w16cid:durableId="327863">
    <w:abstractNumId w:val="10"/>
  </w:num>
  <w:num w:numId="32" w16cid:durableId="104420941">
    <w:abstractNumId w:val="4"/>
    <w:lvlOverride w:ilvl="0">
      <w:startOverride w:val="1"/>
    </w:lvlOverride>
  </w:num>
  <w:num w:numId="33" w16cid:durableId="6387303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7D"/>
    <w:rsid w:val="00040C88"/>
    <w:rsid w:val="00056DEC"/>
    <w:rsid w:val="000956DF"/>
    <w:rsid w:val="000D555F"/>
    <w:rsid w:val="000E229B"/>
    <w:rsid w:val="001128E5"/>
    <w:rsid w:val="00127C25"/>
    <w:rsid w:val="00190297"/>
    <w:rsid w:val="001D4DA6"/>
    <w:rsid w:val="001F552E"/>
    <w:rsid w:val="003A20FB"/>
    <w:rsid w:val="003D0DA4"/>
    <w:rsid w:val="0045443F"/>
    <w:rsid w:val="00455DAB"/>
    <w:rsid w:val="00493C93"/>
    <w:rsid w:val="005079DF"/>
    <w:rsid w:val="005D16A2"/>
    <w:rsid w:val="00645238"/>
    <w:rsid w:val="00664A7D"/>
    <w:rsid w:val="00735C68"/>
    <w:rsid w:val="00735E1B"/>
    <w:rsid w:val="007720C0"/>
    <w:rsid w:val="007B3CB1"/>
    <w:rsid w:val="007B6AEA"/>
    <w:rsid w:val="00815215"/>
    <w:rsid w:val="0082715E"/>
    <w:rsid w:val="00857467"/>
    <w:rsid w:val="0086724F"/>
    <w:rsid w:val="00893DFC"/>
    <w:rsid w:val="008A55F6"/>
    <w:rsid w:val="008C0AA1"/>
    <w:rsid w:val="00935061"/>
    <w:rsid w:val="009B37C7"/>
    <w:rsid w:val="009C7C28"/>
    <w:rsid w:val="009D1899"/>
    <w:rsid w:val="009D3085"/>
    <w:rsid w:val="009F2EB6"/>
    <w:rsid w:val="00A1495E"/>
    <w:rsid w:val="00A57815"/>
    <w:rsid w:val="00A642A4"/>
    <w:rsid w:val="00AE2595"/>
    <w:rsid w:val="00B62C4C"/>
    <w:rsid w:val="00B96FB4"/>
    <w:rsid w:val="00B97FAE"/>
    <w:rsid w:val="00BE6F95"/>
    <w:rsid w:val="00C33AC2"/>
    <w:rsid w:val="00C5393D"/>
    <w:rsid w:val="00C87E19"/>
    <w:rsid w:val="00CA42E0"/>
    <w:rsid w:val="00D5777A"/>
    <w:rsid w:val="00D904E1"/>
    <w:rsid w:val="00DD60B0"/>
    <w:rsid w:val="00E22E4F"/>
    <w:rsid w:val="00E25FF6"/>
    <w:rsid w:val="00E32AAB"/>
    <w:rsid w:val="00EA24BA"/>
    <w:rsid w:val="00EB0340"/>
    <w:rsid w:val="00F27ACF"/>
    <w:rsid w:val="00FE71C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54007"/>
  <w15:chartTrackingRefBased/>
  <w15:docId w15:val="{BA4498F3-D12D-4CD3-9E3C-A2D0B633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72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64A7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664A7D"/>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4A7D"/>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664A7D"/>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664A7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664A7D"/>
    <w:rPr>
      <w:b/>
      <w:bCs/>
    </w:rPr>
  </w:style>
  <w:style w:type="character" w:styleId="Emphasis">
    <w:name w:val="Emphasis"/>
    <w:basedOn w:val="DefaultParagraphFont"/>
    <w:uiPriority w:val="20"/>
    <w:qFormat/>
    <w:rsid w:val="00664A7D"/>
    <w:rPr>
      <w:i/>
      <w:iCs/>
    </w:rPr>
  </w:style>
  <w:style w:type="character" w:styleId="Hyperlink">
    <w:name w:val="Hyperlink"/>
    <w:basedOn w:val="DefaultParagraphFont"/>
    <w:uiPriority w:val="99"/>
    <w:unhideWhenUsed/>
    <w:rsid w:val="00664A7D"/>
    <w:rPr>
      <w:color w:val="0000FF"/>
      <w:u w:val="single"/>
    </w:rPr>
  </w:style>
  <w:style w:type="character" w:styleId="FootnoteReference">
    <w:name w:val="footnote reference"/>
    <w:basedOn w:val="DefaultParagraphFont"/>
    <w:uiPriority w:val="99"/>
    <w:unhideWhenUsed/>
    <w:rsid w:val="00D5777A"/>
    <w:rPr>
      <w:vertAlign w:val="superscript"/>
    </w:rPr>
  </w:style>
  <w:style w:type="paragraph" w:styleId="FootnoteText">
    <w:name w:val="footnote text"/>
    <w:basedOn w:val="Normal"/>
    <w:link w:val="FootnoteTextChar"/>
    <w:uiPriority w:val="99"/>
    <w:semiHidden/>
    <w:unhideWhenUsed/>
    <w:rsid w:val="00D57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777A"/>
    <w:rPr>
      <w:sz w:val="20"/>
      <w:szCs w:val="20"/>
    </w:rPr>
  </w:style>
  <w:style w:type="character" w:customStyle="1" w:styleId="Heading1Char">
    <w:name w:val="Heading 1 Char"/>
    <w:basedOn w:val="DefaultParagraphFont"/>
    <w:link w:val="Heading1"/>
    <w:uiPriority w:val="9"/>
    <w:rsid w:val="005D16A2"/>
    <w:rPr>
      <w:rFonts w:asciiTheme="majorHAnsi" w:eastAsiaTheme="majorEastAsia" w:hAnsiTheme="majorHAnsi" w:cstheme="majorBidi"/>
      <w:color w:val="2F5496" w:themeColor="accent1" w:themeShade="BF"/>
      <w:sz w:val="32"/>
      <w:szCs w:val="32"/>
    </w:rPr>
  </w:style>
  <w:style w:type="character" w:customStyle="1" w:styleId="truncate">
    <w:name w:val="truncate"/>
    <w:basedOn w:val="DefaultParagraphFont"/>
    <w:rsid w:val="00F27ACF"/>
  </w:style>
  <w:style w:type="paragraph" w:styleId="ListParagraph">
    <w:name w:val="List Paragraph"/>
    <w:basedOn w:val="Normal"/>
    <w:qFormat/>
    <w:rsid w:val="00AE2595"/>
    <w:pPr>
      <w:ind w:left="720"/>
      <w:contextualSpacing/>
    </w:pPr>
  </w:style>
  <w:style w:type="character" w:styleId="UnresolvedMention">
    <w:name w:val="Unresolved Mention"/>
    <w:basedOn w:val="DefaultParagraphFont"/>
    <w:uiPriority w:val="99"/>
    <w:semiHidden/>
    <w:unhideWhenUsed/>
    <w:rsid w:val="001128E5"/>
    <w:rPr>
      <w:color w:val="605E5C"/>
      <w:shd w:val="clear" w:color="auto" w:fill="E1DFDD"/>
    </w:rPr>
  </w:style>
  <w:style w:type="character" w:styleId="FollowedHyperlink">
    <w:name w:val="FollowedHyperlink"/>
    <w:basedOn w:val="DefaultParagraphFont"/>
    <w:uiPriority w:val="99"/>
    <w:semiHidden/>
    <w:unhideWhenUsed/>
    <w:rsid w:val="001128E5"/>
    <w:rPr>
      <w:color w:val="954F72" w:themeColor="followedHyperlink"/>
      <w:u w:val="single"/>
    </w:rPr>
  </w:style>
  <w:style w:type="paragraph" w:customStyle="1" w:styleId="isselectedend">
    <w:name w:val="isselectedend"/>
    <w:basedOn w:val="Normal"/>
    <w:rsid w:val="008672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6724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F2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EB6"/>
  </w:style>
  <w:style w:type="paragraph" w:styleId="Footer">
    <w:name w:val="footer"/>
    <w:basedOn w:val="Normal"/>
    <w:link w:val="FooterChar"/>
    <w:uiPriority w:val="99"/>
    <w:unhideWhenUsed/>
    <w:rsid w:val="009F2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30451">
      <w:bodyDiv w:val="1"/>
      <w:marLeft w:val="0"/>
      <w:marRight w:val="0"/>
      <w:marTop w:val="0"/>
      <w:marBottom w:val="0"/>
      <w:divBdr>
        <w:top w:val="none" w:sz="0" w:space="0" w:color="auto"/>
        <w:left w:val="none" w:sz="0" w:space="0" w:color="auto"/>
        <w:bottom w:val="none" w:sz="0" w:space="0" w:color="auto"/>
        <w:right w:val="none" w:sz="0" w:space="0" w:color="auto"/>
      </w:divBdr>
      <w:divsChild>
        <w:div w:id="295720478">
          <w:marLeft w:val="0"/>
          <w:marRight w:val="0"/>
          <w:marTop w:val="0"/>
          <w:marBottom w:val="0"/>
          <w:divBdr>
            <w:top w:val="none" w:sz="0" w:space="0" w:color="auto"/>
            <w:left w:val="none" w:sz="0" w:space="0" w:color="auto"/>
            <w:bottom w:val="none" w:sz="0" w:space="0" w:color="auto"/>
            <w:right w:val="none" w:sz="0" w:space="0" w:color="auto"/>
          </w:divBdr>
        </w:div>
        <w:div w:id="1310407224">
          <w:marLeft w:val="0"/>
          <w:marRight w:val="0"/>
          <w:marTop w:val="0"/>
          <w:marBottom w:val="0"/>
          <w:divBdr>
            <w:top w:val="none" w:sz="0" w:space="0" w:color="auto"/>
            <w:left w:val="none" w:sz="0" w:space="0" w:color="auto"/>
            <w:bottom w:val="none" w:sz="0" w:space="0" w:color="auto"/>
            <w:right w:val="none" w:sz="0" w:space="0" w:color="auto"/>
          </w:divBdr>
        </w:div>
        <w:div w:id="121581388">
          <w:marLeft w:val="0"/>
          <w:marRight w:val="0"/>
          <w:marTop w:val="0"/>
          <w:marBottom w:val="0"/>
          <w:divBdr>
            <w:top w:val="none" w:sz="0" w:space="0" w:color="auto"/>
            <w:left w:val="none" w:sz="0" w:space="0" w:color="auto"/>
            <w:bottom w:val="none" w:sz="0" w:space="0" w:color="auto"/>
            <w:right w:val="none" w:sz="0" w:space="0" w:color="auto"/>
          </w:divBdr>
        </w:div>
      </w:divsChild>
    </w:div>
    <w:div w:id="280232880">
      <w:bodyDiv w:val="1"/>
      <w:marLeft w:val="0"/>
      <w:marRight w:val="0"/>
      <w:marTop w:val="0"/>
      <w:marBottom w:val="0"/>
      <w:divBdr>
        <w:top w:val="none" w:sz="0" w:space="0" w:color="auto"/>
        <w:left w:val="none" w:sz="0" w:space="0" w:color="auto"/>
        <w:bottom w:val="none" w:sz="0" w:space="0" w:color="auto"/>
        <w:right w:val="none" w:sz="0" w:space="0" w:color="auto"/>
      </w:divBdr>
    </w:div>
    <w:div w:id="457384141">
      <w:bodyDiv w:val="1"/>
      <w:marLeft w:val="0"/>
      <w:marRight w:val="0"/>
      <w:marTop w:val="0"/>
      <w:marBottom w:val="0"/>
      <w:divBdr>
        <w:top w:val="none" w:sz="0" w:space="0" w:color="auto"/>
        <w:left w:val="none" w:sz="0" w:space="0" w:color="auto"/>
        <w:bottom w:val="none" w:sz="0" w:space="0" w:color="auto"/>
        <w:right w:val="none" w:sz="0" w:space="0" w:color="auto"/>
      </w:divBdr>
      <w:divsChild>
        <w:div w:id="289557053">
          <w:marLeft w:val="0"/>
          <w:marRight w:val="0"/>
          <w:marTop w:val="0"/>
          <w:marBottom w:val="0"/>
          <w:divBdr>
            <w:top w:val="none" w:sz="0" w:space="0" w:color="auto"/>
            <w:left w:val="none" w:sz="0" w:space="0" w:color="auto"/>
            <w:bottom w:val="none" w:sz="0" w:space="0" w:color="auto"/>
            <w:right w:val="none" w:sz="0" w:space="0" w:color="auto"/>
          </w:divBdr>
          <w:divsChild>
            <w:div w:id="452600067">
              <w:marLeft w:val="0"/>
              <w:marRight w:val="0"/>
              <w:marTop w:val="0"/>
              <w:marBottom w:val="0"/>
              <w:divBdr>
                <w:top w:val="none" w:sz="0" w:space="0" w:color="auto"/>
                <w:left w:val="none" w:sz="0" w:space="0" w:color="auto"/>
                <w:bottom w:val="none" w:sz="0" w:space="0" w:color="auto"/>
                <w:right w:val="none" w:sz="0" w:space="0" w:color="auto"/>
              </w:divBdr>
              <w:divsChild>
                <w:div w:id="904410240">
                  <w:marLeft w:val="0"/>
                  <w:marRight w:val="0"/>
                  <w:marTop w:val="0"/>
                  <w:marBottom w:val="0"/>
                  <w:divBdr>
                    <w:top w:val="none" w:sz="0" w:space="0" w:color="auto"/>
                    <w:left w:val="none" w:sz="0" w:space="0" w:color="auto"/>
                    <w:bottom w:val="none" w:sz="0" w:space="0" w:color="auto"/>
                    <w:right w:val="none" w:sz="0" w:space="0" w:color="auto"/>
                  </w:divBdr>
                  <w:divsChild>
                    <w:div w:id="1730420489">
                      <w:marLeft w:val="0"/>
                      <w:marRight w:val="0"/>
                      <w:marTop w:val="0"/>
                      <w:marBottom w:val="0"/>
                      <w:divBdr>
                        <w:top w:val="none" w:sz="0" w:space="0" w:color="auto"/>
                        <w:left w:val="none" w:sz="0" w:space="0" w:color="auto"/>
                        <w:bottom w:val="none" w:sz="0" w:space="0" w:color="auto"/>
                        <w:right w:val="none" w:sz="0" w:space="0" w:color="auto"/>
                      </w:divBdr>
                      <w:divsChild>
                        <w:div w:id="1354646242">
                          <w:marLeft w:val="0"/>
                          <w:marRight w:val="0"/>
                          <w:marTop w:val="0"/>
                          <w:marBottom w:val="0"/>
                          <w:divBdr>
                            <w:top w:val="none" w:sz="0" w:space="0" w:color="auto"/>
                            <w:left w:val="none" w:sz="0" w:space="0" w:color="auto"/>
                            <w:bottom w:val="none" w:sz="0" w:space="0" w:color="auto"/>
                            <w:right w:val="none" w:sz="0" w:space="0" w:color="auto"/>
                          </w:divBdr>
                          <w:divsChild>
                            <w:div w:id="18170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384131">
      <w:bodyDiv w:val="1"/>
      <w:marLeft w:val="0"/>
      <w:marRight w:val="0"/>
      <w:marTop w:val="0"/>
      <w:marBottom w:val="0"/>
      <w:divBdr>
        <w:top w:val="none" w:sz="0" w:space="0" w:color="auto"/>
        <w:left w:val="none" w:sz="0" w:space="0" w:color="auto"/>
        <w:bottom w:val="none" w:sz="0" w:space="0" w:color="auto"/>
        <w:right w:val="none" w:sz="0" w:space="0" w:color="auto"/>
      </w:divBdr>
      <w:divsChild>
        <w:div w:id="1535076458">
          <w:marLeft w:val="0"/>
          <w:marRight w:val="0"/>
          <w:marTop w:val="0"/>
          <w:marBottom w:val="0"/>
          <w:divBdr>
            <w:top w:val="none" w:sz="0" w:space="0" w:color="auto"/>
            <w:left w:val="none" w:sz="0" w:space="0" w:color="auto"/>
            <w:bottom w:val="none" w:sz="0" w:space="0" w:color="auto"/>
            <w:right w:val="none" w:sz="0" w:space="0" w:color="auto"/>
          </w:divBdr>
        </w:div>
        <w:div w:id="1644045258">
          <w:marLeft w:val="0"/>
          <w:marRight w:val="0"/>
          <w:marTop w:val="0"/>
          <w:marBottom w:val="0"/>
          <w:divBdr>
            <w:top w:val="none" w:sz="0" w:space="0" w:color="auto"/>
            <w:left w:val="none" w:sz="0" w:space="0" w:color="auto"/>
            <w:bottom w:val="none" w:sz="0" w:space="0" w:color="auto"/>
            <w:right w:val="none" w:sz="0" w:space="0" w:color="auto"/>
          </w:divBdr>
        </w:div>
        <w:div w:id="1190948264">
          <w:marLeft w:val="0"/>
          <w:marRight w:val="0"/>
          <w:marTop w:val="0"/>
          <w:marBottom w:val="0"/>
          <w:divBdr>
            <w:top w:val="none" w:sz="0" w:space="0" w:color="auto"/>
            <w:left w:val="none" w:sz="0" w:space="0" w:color="auto"/>
            <w:bottom w:val="none" w:sz="0" w:space="0" w:color="auto"/>
            <w:right w:val="none" w:sz="0" w:space="0" w:color="auto"/>
          </w:divBdr>
        </w:div>
        <w:div w:id="1649631775">
          <w:marLeft w:val="0"/>
          <w:marRight w:val="0"/>
          <w:marTop w:val="0"/>
          <w:marBottom w:val="0"/>
          <w:divBdr>
            <w:top w:val="none" w:sz="0" w:space="0" w:color="auto"/>
            <w:left w:val="none" w:sz="0" w:space="0" w:color="auto"/>
            <w:bottom w:val="none" w:sz="0" w:space="0" w:color="auto"/>
            <w:right w:val="none" w:sz="0" w:space="0" w:color="auto"/>
          </w:divBdr>
        </w:div>
        <w:div w:id="1776170896">
          <w:marLeft w:val="0"/>
          <w:marRight w:val="0"/>
          <w:marTop w:val="0"/>
          <w:marBottom w:val="0"/>
          <w:divBdr>
            <w:top w:val="none" w:sz="0" w:space="0" w:color="auto"/>
            <w:left w:val="none" w:sz="0" w:space="0" w:color="auto"/>
            <w:bottom w:val="none" w:sz="0" w:space="0" w:color="auto"/>
            <w:right w:val="none" w:sz="0" w:space="0" w:color="auto"/>
          </w:divBdr>
        </w:div>
      </w:divsChild>
    </w:div>
    <w:div w:id="645163528">
      <w:bodyDiv w:val="1"/>
      <w:marLeft w:val="0"/>
      <w:marRight w:val="0"/>
      <w:marTop w:val="0"/>
      <w:marBottom w:val="0"/>
      <w:divBdr>
        <w:top w:val="none" w:sz="0" w:space="0" w:color="auto"/>
        <w:left w:val="none" w:sz="0" w:space="0" w:color="auto"/>
        <w:bottom w:val="none" w:sz="0" w:space="0" w:color="auto"/>
        <w:right w:val="none" w:sz="0" w:space="0" w:color="auto"/>
      </w:divBdr>
    </w:div>
    <w:div w:id="771433094">
      <w:bodyDiv w:val="1"/>
      <w:marLeft w:val="0"/>
      <w:marRight w:val="0"/>
      <w:marTop w:val="0"/>
      <w:marBottom w:val="0"/>
      <w:divBdr>
        <w:top w:val="none" w:sz="0" w:space="0" w:color="auto"/>
        <w:left w:val="none" w:sz="0" w:space="0" w:color="auto"/>
        <w:bottom w:val="none" w:sz="0" w:space="0" w:color="auto"/>
        <w:right w:val="none" w:sz="0" w:space="0" w:color="auto"/>
      </w:divBdr>
    </w:div>
    <w:div w:id="881593235">
      <w:bodyDiv w:val="1"/>
      <w:marLeft w:val="0"/>
      <w:marRight w:val="0"/>
      <w:marTop w:val="0"/>
      <w:marBottom w:val="0"/>
      <w:divBdr>
        <w:top w:val="none" w:sz="0" w:space="0" w:color="auto"/>
        <w:left w:val="none" w:sz="0" w:space="0" w:color="auto"/>
        <w:bottom w:val="none" w:sz="0" w:space="0" w:color="auto"/>
        <w:right w:val="none" w:sz="0" w:space="0" w:color="auto"/>
      </w:divBdr>
      <w:divsChild>
        <w:div w:id="1572613548">
          <w:marLeft w:val="0"/>
          <w:marRight w:val="0"/>
          <w:marTop w:val="0"/>
          <w:marBottom w:val="0"/>
          <w:divBdr>
            <w:top w:val="none" w:sz="0" w:space="0" w:color="auto"/>
            <w:left w:val="none" w:sz="0" w:space="0" w:color="auto"/>
            <w:bottom w:val="none" w:sz="0" w:space="0" w:color="auto"/>
            <w:right w:val="none" w:sz="0" w:space="0" w:color="auto"/>
          </w:divBdr>
          <w:divsChild>
            <w:div w:id="1878659019">
              <w:marLeft w:val="0"/>
              <w:marRight w:val="0"/>
              <w:marTop w:val="0"/>
              <w:marBottom w:val="0"/>
              <w:divBdr>
                <w:top w:val="none" w:sz="0" w:space="0" w:color="auto"/>
                <w:left w:val="none" w:sz="0" w:space="0" w:color="auto"/>
                <w:bottom w:val="none" w:sz="0" w:space="0" w:color="auto"/>
                <w:right w:val="none" w:sz="0" w:space="0" w:color="auto"/>
              </w:divBdr>
              <w:divsChild>
                <w:div w:id="2024165544">
                  <w:marLeft w:val="0"/>
                  <w:marRight w:val="0"/>
                  <w:marTop w:val="0"/>
                  <w:marBottom w:val="0"/>
                  <w:divBdr>
                    <w:top w:val="none" w:sz="0" w:space="0" w:color="auto"/>
                    <w:left w:val="none" w:sz="0" w:space="0" w:color="auto"/>
                    <w:bottom w:val="none" w:sz="0" w:space="0" w:color="auto"/>
                    <w:right w:val="none" w:sz="0" w:space="0" w:color="auto"/>
                  </w:divBdr>
                  <w:divsChild>
                    <w:div w:id="986973601">
                      <w:marLeft w:val="0"/>
                      <w:marRight w:val="0"/>
                      <w:marTop w:val="0"/>
                      <w:marBottom w:val="0"/>
                      <w:divBdr>
                        <w:top w:val="none" w:sz="0" w:space="0" w:color="auto"/>
                        <w:left w:val="none" w:sz="0" w:space="0" w:color="auto"/>
                        <w:bottom w:val="none" w:sz="0" w:space="0" w:color="auto"/>
                        <w:right w:val="none" w:sz="0" w:space="0" w:color="auto"/>
                      </w:divBdr>
                      <w:divsChild>
                        <w:div w:id="977733224">
                          <w:marLeft w:val="0"/>
                          <w:marRight w:val="0"/>
                          <w:marTop w:val="0"/>
                          <w:marBottom w:val="0"/>
                          <w:divBdr>
                            <w:top w:val="none" w:sz="0" w:space="0" w:color="auto"/>
                            <w:left w:val="none" w:sz="0" w:space="0" w:color="auto"/>
                            <w:bottom w:val="none" w:sz="0" w:space="0" w:color="auto"/>
                            <w:right w:val="none" w:sz="0" w:space="0" w:color="auto"/>
                          </w:divBdr>
                          <w:divsChild>
                            <w:div w:id="135823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332731">
      <w:bodyDiv w:val="1"/>
      <w:marLeft w:val="0"/>
      <w:marRight w:val="0"/>
      <w:marTop w:val="0"/>
      <w:marBottom w:val="0"/>
      <w:divBdr>
        <w:top w:val="none" w:sz="0" w:space="0" w:color="auto"/>
        <w:left w:val="none" w:sz="0" w:space="0" w:color="auto"/>
        <w:bottom w:val="none" w:sz="0" w:space="0" w:color="auto"/>
        <w:right w:val="none" w:sz="0" w:space="0" w:color="auto"/>
      </w:divBdr>
    </w:div>
    <w:div w:id="1186676310">
      <w:bodyDiv w:val="1"/>
      <w:marLeft w:val="0"/>
      <w:marRight w:val="0"/>
      <w:marTop w:val="0"/>
      <w:marBottom w:val="0"/>
      <w:divBdr>
        <w:top w:val="none" w:sz="0" w:space="0" w:color="auto"/>
        <w:left w:val="none" w:sz="0" w:space="0" w:color="auto"/>
        <w:bottom w:val="none" w:sz="0" w:space="0" w:color="auto"/>
        <w:right w:val="none" w:sz="0" w:space="0" w:color="auto"/>
      </w:divBdr>
      <w:divsChild>
        <w:div w:id="1528568616">
          <w:marLeft w:val="0"/>
          <w:marRight w:val="0"/>
          <w:marTop w:val="0"/>
          <w:marBottom w:val="0"/>
          <w:divBdr>
            <w:top w:val="none" w:sz="0" w:space="0" w:color="auto"/>
            <w:left w:val="none" w:sz="0" w:space="0" w:color="auto"/>
            <w:bottom w:val="none" w:sz="0" w:space="0" w:color="auto"/>
            <w:right w:val="none" w:sz="0" w:space="0" w:color="auto"/>
          </w:divBdr>
        </w:div>
        <w:div w:id="1813061790">
          <w:marLeft w:val="0"/>
          <w:marRight w:val="0"/>
          <w:marTop w:val="0"/>
          <w:marBottom w:val="0"/>
          <w:divBdr>
            <w:top w:val="none" w:sz="0" w:space="0" w:color="auto"/>
            <w:left w:val="none" w:sz="0" w:space="0" w:color="auto"/>
            <w:bottom w:val="none" w:sz="0" w:space="0" w:color="auto"/>
            <w:right w:val="none" w:sz="0" w:space="0" w:color="auto"/>
          </w:divBdr>
        </w:div>
        <w:div w:id="394744046">
          <w:marLeft w:val="0"/>
          <w:marRight w:val="0"/>
          <w:marTop w:val="0"/>
          <w:marBottom w:val="0"/>
          <w:divBdr>
            <w:top w:val="none" w:sz="0" w:space="0" w:color="auto"/>
            <w:left w:val="none" w:sz="0" w:space="0" w:color="auto"/>
            <w:bottom w:val="none" w:sz="0" w:space="0" w:color="auto"/>
            <w:right w:val="none" w:sz="0" w:space="0" w:color="auto"/>
          </w:divBdr>
        </w:div>
        <w:div w:id="529951934">
          <w:marLeft w:val="0"/>
          <w:marRight w:val="0"/>
          <w:marTop w:val="0"/>
          <w:marBottom w:val="0"/>
          <w:divBdr>
            <w:top w:val="none" w:sz="0" w:space="0" w:color="auto"/>
            <w:left w:val="none" w:sz="0" w:space="0" w:color="auto"/>
            <w:bottom w:val="none" w:sz="0" w:space="0" w:color="auto"/>
            <w:right w:val="none" w:sz="0" w:space="0" w:color="auto"/>
          </w:divBdr>
        </w:div>
        <w:div w:id="1327057497">
          <w:marLeft w:val="0"/>
          <w:marRight w:val="0"/>
          <w:marTop w:val="0"/>
          <w:marBottom w:val="0"/>
          <w:divBdr>
            <w:top w:val="none" w:sz="0" w:space="0" w:color="auto"/>
            <w:left w:val="none" w:sz="0" w:space="0" w:color="auto"/>
            <w:bottom w:val="none" w:sz="0" w:space="0" w:color="auto"/>
            <w:right w:val="none" w:sz="0" w:space="0" w:color="auto"/>
          </w:divBdr>
        </w:div>
      </w:divsChild>
    </w:div>
    <w:div w:id="1220478379">
      <w:bodyDiv w:val="1"/>
      <w:marLeft w:val="0"/>
      <w:marRight w:val="0"/>
      <w:marTop w:val="0"/>
      <w:marBottom w:val="0"/>
      <w:divBdr>
        <w:top w:val="none" w:sz="0" w:space="0" w:color="auto"/>
        <w:left w:val="none" w:sz="0" w:space="0" w:color="auto"/>
        <w:bottom w:val="none" w:sz="0" w:space="0" w:color="auto"/>
        <w:right w:val="none" w:sz="0" w:space="0" w:color="auto"/>
      </w:divBdr>
    </w:div>
    <w:div w:id="1367099659">
      <w:bodyDiv w:val="1"/>
      <w:marLeft w:val="0"/>
      <w:marRight w:val="0"/>
      <w:marTop w:val="0"/>
      <w:marBottom w:val="0"/>
      <w:divBdr>
        <w:top w:val="none" w:sz="0" w:space="0" w:color="auto"/>
        <w:left w:val="none" w:sz="0" w:space="0" w:color="auto"/>
        <w:bottom w:val="none" w:sz="0" w:space="0" w:color="auto"/>
        <w:right w:val="none" w:sz="0" w:space="0" w:color="auto"/>
      </w:divBdr>
    </w:div>
    <w:div w:id="1532569682">
      <w:bodyDiv w:val="1"/>
      <w:marLeft w:val="0"/>
      <w:marRight w:val="0"/>
      <w:marTop w:val="0"/>
      <w:marBottom w:val="0"/>
      <w:divBdr>
        <w:top w:val="none" w:sz="0" w:space="0" w:color="auto"/>
        <w:left w:val="none" w:sz="0" w:space="0" w:color="auto"/>
        <w:bottom w:val="none" w:sz="0" w:space="0" w:color="auto"/>
        <w:right w:val="none" w:sz="0" w:space="0" w:color="auto"/>
      </w:divBdr>
      <w:divsChild>
        <w:div w:id="787627078">
          <w:marLeft w:val="0"/>
          <w:marRight w:val="0"/>
          <w:marTop w:val="0"/>
          <w:marBottom w:val="0"/>
          <w:divBdr>
            <w:top w:val="none" w:sz="0" w:space="0" w:color="auto"/>
            <w:left w:val="none" w:sz="0" w:space="0" w:color="auto"/>
            <w:bottom w:val="none" w:sz="0" w:space="0" w:color="auto"/>
            <w:right w:val="none" w:sz="0" w:space="0" w:color="auto"/>
          </w:divBdr>
        </w:div>
        <w:div w:id="1662350127">
          <w:marLeft w:val="0"/>
          <w:marRight w:val="0"/>
          <w:marTop w:val="0"/>
          <w:marBottom w:val="0"/>
          <w:divBdr>
            <w:top w:val="none" w:sz="0" w:space="0" w:color="auto"/>
            <w:left w:val="none" w:sz="0" w:space="0" w:color="auto"/>
            <w:bottom w:val="none" w:sz="0" w:space="0" w:color="auto"/>
            <w:right w:val="none" w:sz="0" w:space="0" w:color="auto"/>
          </w:divBdr>
        </w:div>
        <w:div w:id="469513974">
          <w:marLeft w:val="0"/>
          <w:marRight w:val="0"/>
          <w:marTop w:val="0"/>
          <w:marBottom w:val="0"/>
          <w:divBdr>
            <w:top w:val="none" w:sz="0" w:space="0" w:color="auto"/>
            <w:left w:val="none" w:sz="0" w:space="0" w:color="auto"/>
            <w:bottom w:val="none" w:sz="0" w:space="0" w:color="auto"/>
            <w:right w:val="none" w:sz="0" w:space="0" w:color="auto"/>
          </w:divBdr>
        </w:div>
        <w:div w:id="1231815736">
          <w:marLeft w:val="0"/>
          <w:marRight w:val="0"/>
          <w:marTop w:val="0"/>
          <w:marBottom w:val="0"/>
          <w:divBdr>
            <w:top w:val="none" w:sz="0" w:space="0" w:color="auto"/>
            <w:left w:val="none" w:sz="0" w:space="0" w:color="auto"/>
            <w:bottom w:val="none" w:sz="0" w:space="0" w:color="auto"/>
            <w:right w:val="none" w:sz="0" w:space="0" w:color="auto"/>
          </w:divBdr>
        </w:div>
        <w:div w:id="1396010091">
          <w:marLeft w:val="0"/>
          <w:marRight w:val="0"/>
          <w:marTop w:val="0"/>
          <w:marBottom w:val="0"/>
          <w:divBdr>
            <w:top w:val="none" w:sz="0" w:space="0" w:color="auto"/>
            <w:left w:val="none" w:sz="0" w:space="0" w:color="auto"/>
            <w:bottom w:val="none" w:sz="0" w:space="0" w:color="auto"/>
            <w:right w:val="none" w:sz="0" w:space="0" w:color="auto"/>
          </w:divBdr>
        </w:div>
      </w:divsChild>
    </w:div>
    <w:div w:id="1548956428">
      <w:bodyDiv w:val="1"/>
      <w:marLeft w:val="0"/>
      <w:marRight w:val="0"/>
      <w:marTop w:val="0"/>
      <w:marBottom w:val="0"/>
      <w:divBdr>
        <w:top w:val="none" w:sz="0" w:space="0" w:color="auto"/>
        <w:left w:val="none" w:sz="0" w:space="0" w:color="auto"/>
        <w:bottom w:val="none" w:sz="0" w:space="0" w:color="auto"/>
        <w:right w:val="none" w:sz="0" w:space="0" w:color="auto"/>
      </w:divBdr>
    </w:div>
    <w:div w:id="1799372632">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2026-07-20T10:03:58+00:00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32A190-4617-4CB6-BAD1-6AC96DB86BD9}">
  <ds:schemaRefs>
    <ds:schemaRef ds:uri="http://schemas.openxmlformats.org/officeDocument/2006/bibliography"/>
  </ds:schemaRefs>
</ds:datastoreItem>
</file>

<file path=customXml/itemProps2.xml><?xml version="1.0" encoding="utf-8"?>
<ds:datastoreItem xmlns:ds="http://schemas.openxmlformats.org/officeDocument/2006/customXml" ds:itemID="{E1659408-3896-43B1-9298-3079DB38F702}"/>
</file>

<file path=customXml/itemProps3.xml><?xml version="1.0" encoding="utf-8"?>
<ds:datastoreItem xmlns:ds="http://schemas.openxmlformats.org/officeDocument/2006/customXml" ds:itemID="{D7C78A1E-0C2C-4639-A5A7-AF0ABD9AEA7E}"/>
</file>

<file path=customXml/itemProps4.xml><?xml version="1.0" encoding="utf-8"?>
<ds:datastoreItem xmlns:ds="http://schemas.openxmlformats.org/officeDocument/2006/customXml" ds:itemID="{65BB1D27-8863-47EF-9810-10A0C6546F3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2354</Words>
  <Characters>14908</Characters>
  <Application>Microsoft Office Word</Application>
  <DocSecurity>4</DocSecurity>
  <Lines>252</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Jorge Araya</cp:lastModifiedBy>
  <cp:revision>2</cp:revision>
  <dcterms:created xsi:type="dcterms:W3CDTF">2026-07-20T10:03:00Z</dcterms:created>
  <dcterms:modified xsi:type="dcterms:W3CDTF">2026-07-20T10:03:00Z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