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6E5D9" w14:textId="77777777" w:rsidR="00924C8B" w:rsidRDefault="00924C8B">
      <w:pPr>
        <w:spacing w:line="240" w:lineRule="auto"/>
        <w:rPr>
          <w:rFonts w:ascii="Times New Roman" w:eastAsia="Times New Roman" w:hAnsi="Times New Roman" w:cs="Times New Roman"/>
          <w:sz w:val="24"/>
          <w:szCs w:val="24"/>
        </w:rPr>
      </w:pPr>
    </w:p>
    <w:p w14:paraId="1816E5DA" w14:textId="77777777" w:rsidR="00924C8B" w:rsidRDefault="00924C8B">
      <w:pPr>
        <w:spacing w:line="240" w:lineRule="auto"/>
        <w:rPr>
          <w:rFonts w:ascii="Times New Roman" w:eastAsia="Times New Roman" w:hAnsi="Times New Roman" w:cs="Times New Roman"/>
          <w:sz w:val="24"/>
          <w:szCs w:val="24"/>
        </w:rPr>
      </w:pPr>
    </w:p>
    <w:p w14:paraId="1816E5DB" w14:textId="20D08741" w:rsidR="00924C8B" w:rsidRDefault="000A65A1">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Committee on the Rights of the Child </w:t>
      </w:r>
      <w:r w:rsidR="006A47A0">
        <w:rPr>
          <w:rFonts w:ascii="Times New Roman" w:eastAsia="Times New Roman" w:hAnsi="Times New Roman" w:cs="Times New Roman"/>
          <w:sz w:val="24"/>
          <w:szCs w:val="24"/>
        </w:rPr>
        <w:t>Secretariat</w:t>
      </w:r>
      <w:r>
        <w:rPr>
          <w:rFonts w:ascii="Times New Roman" w:eastAsia="Times New Roman" w:hAnsi="Times New Roman" w:cs="Times New Roman"/>
          <w:sz w:val="24"/>
          <w:szCs w:val="24"/>
        </w:rPr>
        <w:br/>
        <w:t xml:space="preserve">Office of the United Nations High Commissioner for Human Rights (OHCHR) </w:t>
      </w:r>
    </w:p>
    <w:p w14:paraId="1816E5DC" w14:textId="77777777" w:rsidR="00924C8B" w:rsidRDefault="000A65A1">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Palais Wilson - 52 rue des </w:t>
      </w:r>
      <w:proofErr w:type="spellStart"/>
      <w:r>
        <w:rPr>
          <w:rFonts w:ascii="Times New Roman" w:eastAsia="Times New Roman" w:hAnsi="Times New Roman" w:cs="Times New Roman"/>
          <w:sz w:val="24"/>
          <w:szCs w:val="24"/>
        </w:rPr>
        <w:t>Pâquis</w:t>
      </w:r>
      <w:proofErr w:type="spellEnd"/>
      <w:r>
        <w:rPr>
          <w:rFonts w:ascii="Times New Roman" w:eastAsia="Times New Roman" w:hAnsi="Times New Roman" w:cs="Times New Roman"/>
          <w:sz w:val="24"/>
          <w:szCs w:val="24"/>
        </w:rPr>
        <w:br/>
        <w:t>CH-1201 Geneva</w:t>
      </w:r>
      <w:r>
        <w:rPr>
          <w:rFonts w:ascii="Times New Roman" w:eastAsia="Times New Roman" w:hAnsi="Times New Roman" w:cs="Times New Roman"/>
          <w:sz w:val="24"/>
          <w:szCs w:val="24"/>
        </w:rPr>
        <w:br/>
        <w:t>Switzerland</w:t>
      </w:r>
      <w:r>
        <w:rPr>
          <w:rFonts w:ascii="Times New Roman" w:eastAsia="Times New Roman" w:hAnsi="Times New Roman" w:cs="Times New Roman"/>
          <w:sz w:val="24"/>
          <w:szCs w:val="24"/>
        </w:rPr>
        <w:br/>
        <w:t>Submitted through Child Rights Connect</w:t>
      </w:r>
    </w:p>
    <w:p w14:paraId="1816E5DD" w14:textId="77777777" w:rsidR="00924C8B" w:rsidRDefault="00924C8B">
      <w:pPr>
        <w:spacing w:line="240" w:lineRule="auto"/>
        <w:rPr>
          <w:rFonts w:ascii="Times New Roman" w:eastAsia="Times New Roman" w:hAnsi="Times New Roman" w:cs="Times New Roman"/>
          <w:sz w:val="24"/>
          <w:szCs w:val="24"/>
        </w:rPr>
      </w:pPr>
    </w:p>
    <w:p w14:paraId="1816E5DE" w14:textId="77777777" w:rsidR="00924C8B" w:rsidRDefault="000A65A1">
      <w:pPr>
        <w:spacing w:line="240" w:lineRule="auto"/>
        <w:ind w:left="7200"/>
        <w:rPr>
          <w:rFonts w:ascii="Times New Roman" w:eastAsia="Times New Roman" w:hAnsi="Times New Roman" w:cs="Times New Roman"/>
          <w:sz w:val="24"/>
          <w:szCs w:val="24"/>
        </w:rPr>
      </w:pPr>
      <w:r>
        <w:rPr>
          <w:rFonts w:ascii="Times New Roman" w:eastAsia="Times New Roman" w:hAnsi="Times New Roman" w:cs="Times New Roman"/>
          <w:sz w:val="24"/>
          <w:szCs w:val="24"/>
        </w:rPr>
        <w:t>15 August 2024</w:t>
      </w:r>
    </w:p>
    <w:p w14:paraId="1816E5DF" w14:textId="77777777" w:rsidR="00924C8B" w:rsidRDefault="00924C8B">
      <w:pPr>
        <w:spacing w:line="240" w:lineRule="auto"/>
        <w:jc w:val="right"/>
        <w:rPr>
          <w:rFonts w:ascii="Times New Roman" w:eastAsia="Times New Roman" w:hAnsi="Times New Roman" w:cs="Times New Roman"/>
          <w:sz w:val="24"/>
          <w:szCs w:val="24"/>
        </w:rPr>
      </w:pPr>
    </w:p>
    <w:p w14:paraId="1816E5E0" w14:textId="77777777" w:rsidR="00924C8B" w:rsidRDefault="000A65A1">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Information on Armenia for Consideration by the Committee on the Rights of the Child at its 97th Session (26 Aug 2024 - 13 Sep 2024)</w:t>
      </w:r>
    </w:p>
    <w:p w14:paraId="1816E5E1" w14:textId="3EBCA079" w:rsidR="00924C8B" w:rsidRDefault="000A65A1">
      <w:pPr>
        <w:pStyle w:val="Heading1"/>
        <w:rPr>
          <w:rFonts w:ascii="Times New Roman" w:eastAsia="Times New Roman" w:hAnsi="Times New Roman" w:cs="Times New Roman"/>
        </w:rPr>
      </w:pPr>
      <w:bookmarkStart w:id="0" w:name="_Toc174648982"/>
      <w:r>
        <w:rPr>
          <w:rFonts w:ascii="Times New Roman" w:eastAsia="Times New Roman" w:hAnsi="Times New Roman" w:cs="Times New Roman"/>
        </w:rPr>
        <w:t>Table of Contents</w:t>
      </w:r>
      <w:bookmarkEnd w:id="0"/>
    </w:p>
    <w:sdt>
      <w:sdtPr>
        <w:rPr>
          <w:rFonts w:ascii="Arial" w:hAnsi="Arial" w:cs="Arial"/>
          <w:noProof w:val="0"/>
        </w:rPr>
        <w:id w:val="-1424110118"/>
        <w:docPartObj>
          <w:docPartGallery w:val="Table of Contents"/>
          <w:docPartUnique/>
        </w:docPartObj>
      </w:sdtPr>
      <w:sdtContent>
        <w:p w14:paraId="336881FD" w14:textId="66A57EDE" w:rsidR="00B66B22" w:rsidRDefault="000A65A1" w:rsidP="002A62F8">
          <w:pPr>
            <w:pStyle w:val="TOC1"/>
            <w:rPr>
              <w:rFonts w:asciiTheme="minorHAnsi" w:eastAsiaTheme="minorEastAsia" w:hAnsiTheme="minorHAnsi" w:cstheme="minorBidi"/>
              <w:kern w:val="2"/>
              <w:sz w:val="24"/>
              <w:szCs w:val="24"/>
              <w:lang w:val="en-MY"/>
              <w14:ligatures w14:val="standardContextual"/>
            </w:rPr>
          </w:pPr>
          <w:r>
            <w:fldChar w:fldCharType="begin"/>
          </w:r>
          <w:r>
            <w:instrText xml:space="preserve"> TOC \h \u \z \t "Heading 1,1,Heading 2,2,Heading 3,3,Heading 4,4,Heading 5,5,Heading 6,6,"</w:instrText>
          </w:r>
          <w:r>
            <w:fldChar w:fldCharType="separate"/>
          </w:r>
          <w:hyperlink w:anchor="_Toc174648982" w:history="1">
            <w:r w:rsidR="00B66B22" w:rsidRPr="008B3168">
              <w:rPr>
                <w:rStyle w:val="Hyperlink"/>
                <w:rFonts w:eastAsia="Times New Roman"/>
              </w:rPr>
              <w:t xml:space="preserve">Table of </w:t>
            </w:r>
            <w:r>
              <w:rPr>
                <w:rStyle w:val="Hyperlink"/>
                <w:rFonts w:eastAsia="Times New Roman"/>
              </w:rPr>
              <w:t>Contents</w:t>
            </w:r>
            <w:r w:rsidR="00B66B22">
              <w:rPr>
                <w:webHidden/>
              </w:rPr>
              <w:tab/>
            </w:r>
            <w:r w:rsidR="00B66B22">
              <w:rPr>
                <w:webHidden/>
              </w:rPr>
              <w:fldChar w:fldCharType="begin"/>
            </w:r>
            <w:r w:rsidR="00B66B22">
              <w:rPr>
                <w:webHidden/>
              </w:rPr>
              <w:instrText xml:space="preserve"> PAGEREF _Toc174648982 \h </w:instrText>
            </w:r>
            <w:r w:rsidR="00B66B22">
              <w:rPr>
                <w:webHidden/>
              </w:rPr>
            </w:r>
            <w:r w:rsidR="00B66B22">
              <w:rPr>
                <w:webHidden/>
              </w:rPr>
              <w:fldChar w:fldCharType="separate"/>
            </w:r>
            <w:r w:rsidR="00B66B22">
              <w:rPr>
                <w:webHidden/>
              </w:rPr>
              <w:t>1</w:t>
            </w:r>
            <w:r w:rsidR="00B66B22">
              <w:rPr>
                <w:webHidden/>
              </w:rPr>
              <w:fldChar w:fldCharType="end"/>
            </w:r>
          </w:hyperlink>
        </w:p>
        <w:p w14:paraId="4B4F85A0" w14:textId="79B0485D" w:rsidR="00B66B22" w:rsidRDefault="00000000" w:rsidP="002A62F8">
          <w:pPr>
            <w:pStyle w:val="TOC1"/>
            <w:rPr>
              <w:rFonts w:asciiTheme="minorHAnsi" w:eastAsiaTheme="minorEastAsia" w:hAnsiTheme="minorHAnsi" w:cstheme="minorBidi"/>
              <w:kern w:val="2"/>
              <w:sz w:val="24"/>
              <w:szCs w:val="24"/>
              <w:lang w:val="en-MY"/>
              <w14:ligatures w14:val="standardContextual"/>
            </w:rPr>
          </w:pPr>
          <w:hyperlink w:anchor="_Toc174648983" w:history="1">
            <w:r w:rsidR="00B66B22" w:rsidRPr="008B3168">
              <w:rPr>
                <w:rStyle w:val="Hyperlink"/>
                <w:rFonts w:eastAsia="Times New Roman"/>
              </w:rPr>
              <w:t>Introduction</w:t>
            </w:r>
            <w:r w:rsidR="00B66B22">
              <w:rPr>
                <w:webHidden/>
              </w:rPr>
              <w:tab/>
            </w:r>
            <w:r w:rsidR="00B66B22">
              <w:rPr>
                <w:webHidden/>
              </w:rPr>
              <w:fldChar w:fldCharType="begin"/>
            </w:r>
            <w:r w:rsidR="00B66B22">
              <w:rPr>
                <w:webHidden/>
              </w:rPr>
              <w:instrText xml:space="preserve"> PAGEREF _Toc174648983 \h </w:instrText>
            </w:r>
            <w:r w:rsidR="00B66B22">
              <w:rPr>
                <w:webHidden/>
              </w:rPr>
            </w:r>
            <w:r w:rsidR="00B66B22">
              <w:rPr>
                <w:webHidden/>
              </w:rPr>
              <w:fldChar w:fldCharType="separate"/>
            </w:r>
            <w:r w:rsidR="00B66B22">
              <w:rPr>
                <w:webHidden/>
              </w:rPr>
              <w:t>2</w:t>
            </w:r>
            <w:r w:rsidR="00B66B22">
              <w:rPr>
                <w:webHidden/>
              </w:rPr>
              <w:fldChar w:fldCharType="end"/>
            </w:r>
          </w:hyperlink>
        </w:p>
        <w:p w14:paraId="44C6263D" w14:textId="148FAC1D" w:rsidR="00B66B22" w:rsidRDefault="00000000" w:rsidP="002A62F8">
          <w:pPr>
            <w:pStyle w:val="TOC1"/>
            <w:rPr>
              <w:rFonts w:asciiTheme="minorHAnsi" w:eastAsiaTheme="minorEastAsia" w:hAnsiTheme="minorHAnsi" w:cstheme="minorBidi"/>
              <w:kern w:val="2"/>
              <w:sz w:val="24"/>
              <w:szCs w:val="24"/>
              <w:lang w:val="en-MY"/>
              <w14:ligatures w14:val="standardContextual"/>
            </w:rPr>
          </w:pPr>
          <w:hyperlink w:anchor="_Toc174648984" w:history="1">
            <w:r w:rsidR="00B66B22" w:rsidRPr="008B3168">
              <w:rPr>
                <w:rStyle w:val="Hyperlink"/>
                <w:rFonts w:eastAsia="Times New Roman"/>
              </w:rPr>
              <w:t>Information about the authors of the submission</w:t>
            </w:r>
            <w:r w:rsidR="00B66B22">
              <w:rPr>
                <w:webHidden/>
              </w:rPr>
              <w:tab/>
            </w:r>
            <w:r w:rsidR="00B66B22">
              <w:rPr>
                <w:webHidden/>
              </w:rPr>
              <w:fldChar w:fldCharType="begin"/>
            </w:r>
            <w:r w:rsidR="00B66B22">
              <w:rPr>
                <w:webHidden/>
              </w:rPr>
              <w:instrText xml:space="preserve"> PAGEREF _Toc174648984 \h </w:instrText>
            </w:r>
            <w:r w:rsidR="00B66B22">
              <w:rPr>
                <w:webHidden/>
              </w:rPr>
            </w:r>
            <w:r w:rsidR="00B66B22">
              <w:rPr>
                <w:webHidden/>
              </w:rPr>
              <w:fldChar w:fldCharType="separate"/>
            </w:r>
            <w:r w:rsidR="00B66B22">
              <w:rPr>
                <w:webHidden/>
              </w:rPr>
              <w:t>2</w:t>
            </w:r>
            <w:r w:rsidR="00B66B22">
              <w:rPr>
                <w:webHidden/>
              </w:rPr>
              <w:fldChar w:fldCharType="end"/>
            </w:r>
          </w:hyperlink>
        </w:p>
        <w:p w14:paraId="00B5C735" w14:textId="0E7BA451" w:rsidR="00B66B22" w:rsidRDefault="00000000" w:rsidP="002A62F8">
          <w:pPr>
            <w:pStyle w:val="TOC1"/>
            <w:rPr>
              <w:rFonts w:asciiTheme="minorHAnsi" w:eastAsiaTheme="minorEastAsia" w:hAnsiTheme="minorHAnsi" w:cstheme="minorBidi"/>
              <w:kern w:val="2"/>
              <w:sz w:val="24"/>
              <w:szCs w:val="24"/>
              <w:lang w:val="en-MY"/>
              <w14:ligatures w14:val="standardContextual"/>
            </w:rPr>
          </w:pPr>
          <w:hyperlink w:anchor="_Toc174648985" w:history="1">
            <w:r w:rsidR="00B66B22" w:rsidRPr="008B3168">
              <w:rPr>
                <w:rStyle w:val="Hyperlink"/>
                <w:rFonts w:eastAsia="Times New Roman"/>
              </w:rPr>
              <w:t>Previous recommendations of CRC and other UN TBs to Armenia</w:t>
            </w:r>
            <w:r w:rsidR="00B66B22">
              <w:rPr>
                <w:webHidden/>
              </w:rPr>
              <w:tab/>
            </w:r>
            <w:r w:rsidR="00B66B22">
              <w:rPr>
                <w:webHidden/>
              </w:rPr>
              <w:fldChar w:fldCharType="begin"/>
            </w:r>
            <w:r w:rsidR="00B66B22">
              <w:rPr>
                <w:webHidden/>
              </w:rPr>
              <w:instrText xml:space="preserve"> PAGEREF _Toc174648985 \h </w:instrText>
            </w:r>
            <w:r w:rsidR="00B66B22">
              <w:rPr>
                <w:webHidden/>
              </w:rPr>
            </w:r>
            <w:r w:rsidR="00B66B22">
              <w:rPr>
                <w:webHidden/>
              </w:rPr>
              <w:fldChar w:fldCharType="separate"/>
            </w:r>
            <w:r w:rsidR="00B66B22">
              <w:rPr>
                <w:webHidden/>
              </w:rPr>
              <w:t>3</w:t>
            </w:r>
            <w:r w:rsidR="00B66B22">
              <w:rPr>
                <w:webHidden/>
              </w:rPr>
              <w:fldChar w:fldCharType="end"/>
            </w:r>
          </w:hyperlink>
        </w:p>
        <w:p w14:paraId="58A7F5F3" w14:textId="4B529095" w:rsidR="00B66B22" w:rsidRPr="002A62F8" w:rsidRDefault="00000000" w:rsidP="002A62F8">
          <w:pPr>
            <w:pStyle w:val="TOC1"/>
            <w:rPr>
              <w:rFonts w:eastAsiaTheme="minorEastAsia"/>
              <w:kern w:val="2"/>
              <w:sz w:val="24"/>
              <w:szCs w:val="24"/>
              <w:lang w:val="en-MY"/>
              <w14:ligatures w14:val="standardContextual"/>
            </w:rPr>
          </w:pPr>
          <w:hyperlink w:anchor="_Toc174648986" w:history="1">
            <w:r w:rsidR="00B66B22" w:rsidRPr="002A62F8">
              <w:rPr>
                <w:rStyle w:val="Hyperlink"/>
              </w:rPr>
              <w:t>Summary of the submission</w:t>
            </w:r>
            <w:r w:rsidR="00B66B22" w:rsidRPr="002A62F8">
              <w:rPr>
                <w:webHidden/>
              </w:rPr>
              <w:tab/>
            </w:r>
            <w:r w:rsidR="00B66B22" w:rsidRPr="002A62F8">
              <w:rPr>
                <w:webHidden/>
              </w:rPr>
              <w:fldChar w:fldCharType="begin"/>
            </w:r>
            <w:r w:rsidR="00B66B22" w:rsidRPr="002A62F8">
              <w:rPr>
                <w:webHidden/>
              </w:rPr>
              <w:instrText xml:space="preserve"> PAGEREF _Toc174648986 \h </w:instrText>
            </w:r>
            <w:r w:rsidR="00B66B22" w:rsidRPr="002A62F8">
              <w:rPr>
                <w:webHidden/>
              </w:rPr>
            </w:r>
            <w:r w:rsidR="00B66B22" w:rsidRPr="002A62F8">
              <w:rPr>
                <w:webHidden/>
              </w:rPr>
              <w:fldChar w:fldCharType="separate"/>
            </w:r>
            <w:r w:rsidR="00B66B22" w:rsidRPr="002A62F8">
              <w:rPr>
                <w:webHidden/>
              </w:rPr>
              <w:t>4</w:t>
            </w:r>
            <w:r w:rsidR="00B66B22" w:rsidRPr="002A62F8">
              <w:rPr>
                <w:webHidden/>
              </w:rPr>
              <w:fldChar w:fldCharType="end"/>
            </w:r>
          </w:hyperlink>
        </w:p>
        <w:p w14:paraId="3E933FDF" w14:textId="7BC5AE45" w:rsidR="00B66B22" w:rsidRDefault="00000000" w:rsidP="002A62F8">
          <w:pPr>
            <w:pStyle w:val="TOC1"/>
            <w:rPr>
              <w:rFonts w:asciiTheme="minorHAnsi" w:eastAsiaTheme="minorEastAsia" w:hAnsiTheme="minorHAnsi" w:cstheme="minorBidi"/>
              <w:kern w:val="2"/>
              <w:sz w:val="24"/>
              <w:szCs w:val="24"/>
              <w:lang w:val="en-MY"/>
              <w14:ligatures w14:val="standardContextual"/>
            </w:rPr>
          </w:pPr>
          <w:hyperlink w:anchor="_Toc174648987" w:history="1">
            <w:r w:rsidR="00B66B22" w:rsidRPr="008B3168">
              <w:rPr>
                <w:rStyle w:val="Hyperlink"/>
                <w:rFonts w:eastAsia="Times New Roman"/>
              </w:rPr>
              <w:t>i. Prevalence of sexual violence against girls in Armenia and societal attitudes</w:t>
            </w:r>
            <w:r w:rsidR="00B66B22">
              <w:rPr>
                <w:webHidden/>
              </w:rPr>
              <w:tab/>
            </w:r>
            <w:r w:rsidR="00B66B22">
              <w:rPr>
                <w:webHidden/>
              </w:rPr>
              <w:fldChar w:fldCharType="begin"/>
            </w:r>
            <w:r w:rsidR="00B66B22">
              <w:rPr>
                <w:webHidden/>
              </w:rPr>
              <w:instrText xml:space="preserve"> PAGEREF _Toc174648987 \h </w:instrText>
            </w:r>
            <w:r w:rsidR="00B66B22">
              <w:rPr>
                <w:webHidden/>
              </w:rPr>
            </w:r>
            <w:r w:rsidR="00B66B22">
              <w:rPr>
                <w:webHidden/>
              </w:rPr>
              <w:fldChar w:fldCharType="separate"/>
            </w:r>
            <w:r w:rsidR="00B66B22">
              <w:rPr>
                <w:webHidden/>
              </w:rPr>
              <w:t>5</w:t>
            </w:r>
            <w:r w:rsidR="00B66B22">
              <w:rPr>
                <w:webHidden/>
              </w:rPr>
              <w:fldChar w:fldCharType="end"/>
            </w:r>
          </w:hyperlink>
        </w:p>
        <w:p w14:paraId="32063617" w14:textId="08C8443E" w:rsidR="00B66B22" w:rsidRDefault="00000000" w:rsidP="002A62F8">
          <w:pPr>
            <w:pStyle w:val="TOC1"/>
            <w:rPr>
              <w:rFonts w:asciiTheme="minorHAnsi" w:eastAsiaTheme="minorEastAsia" w:hAnsiTheme="minorHAnsi" w:cstheme="minorBidi"/>
              <w:kern w:val="2"/>
              <w:sz w:val="24"/>
              <w:szCs w:val="24"/>
              <w:lang w:val="en-MY"/>
              <w14:ligatures w14:val="standardContextual"/>
            </w:rPr>
          </w:pPr>
          <w:hyperlink w:anchor="_Toc174648988" w:history="1">
            <w:r w:rsidR="00B66B22" w:rsidRPr="008B3168">
              <w:rPr>
                <w:rStyle w:val="Hyperlink"/>
                <w:rFonts w:eastAsia="Times New Roman"/>
              </w:rPr>
              <w:t>ii. Legal barriers to securing justice for girl survivors of sexual violence</w:t>
            </w:r>
            <w:r w:rsidR="00B66B22">
              <w:rPr>
                <w:webHidden/>
              </w:rPr>
              <w:tab/>
            </w:r>
            <w:r w:rsidR="00B66B22">
              <w:rPr>
                <w:webHidden/>
              </w:rPr>
              <w:fldChar w:fldCharType="begin"/>
            </w:r>
            <w:r w:rsidR="00B66B22">
              <w:rPr>
                <w:webHidden/>
              </w:rPr>
              <w:instrText xml:space="preserve"> PAGEREF _Toc174648988 \h </w:instrText>
            </w:r>
            <w:r w:rsidR="00B66B22">
              <w:rPr>
                <w:webHidden/>
              </w:rPr>
            </w:r>
            <w:r w:rsidR="00B66B22">
              <w:rPr>
                <w:webHidden/>
              </w:rPr>
              <w:fldChar w:fldCharType="separate"/>
            </w:r>
            <w:r w:rsidR="00B66B22">
              <w:rPr>
                <w:webHidden/>
              </w:rPr>
              <w:t>6</w:t>
            </w:r>
            <w:r w:rsidR="00B66B22">
              <w:rPr>
                <w:webHidden/>
              </w:rPr>
              <w:fldChar w:fldCharType="end"/>
            </w:r>
          </w:hyperlink>
        </w:p>
        <w:p w14:paraId="3355CF4C" w14:textId="5A999266" w:rsidR="00B66B22" w:rsidRDefault="00000000" w:rsidP="002A62F8">
          <w:pPr>
            <w:pStyle w:val="TOC1"/>
            <w:rPr>
              <w:rFonts w:asciiTheme="minorHAnsi" w:eastAsiaTheme="minorEastAsia" w:hAnsiTheme="minorHAnsi" w:cstheme="minorBidi"/>
              <w:kern w:val="2"/>
              <w:sz w:val="24"/>
              <w:szCs w:val="24"/>
              <w:lang w:val="en-MY"/>
              <w14:ligatures w14:val="standardContextual"/>
            </w:rPr>
          </w:pPr>
          <w:hyperlink w:anchor="_Toc174648989" w:history="1">
            <w:r w:rsidR="00B66B22" w:rsidRPr="008B3168">
              <w:rPr>
                <w:rStyle w:val="Hyperlink"/>
                <w:rFonts w:eastAsia="Times New Roman"/>
              </w:rPr>
              <w:t>iii. Child, early, and forced marriages</w:t>
            </w:r>
            <w:r w:rsidR="00B66B22">
              <w:rPr>
                <w:webHidden/>
              </w:rPr>
              <w:tab/>
            </w:r>
            <w:r w:rsidR="00B66B22">
              <w:rPr>
                <w:webHidden/>
              </w:rPr>
              <w:fldChar w:fldCharType="begin"/>
            </w:r>
            <w:r w:rsidR="00B66B22">
              <w:rPr>
                <w:webHidden/>
              </w:rPr>
              <w:instrText xml:space="preserve"> PAGEREF _Toc174648989 \h </w:instrText>
            </w:r>
            <w:r w:rsidR="00B66B22">
              <w:rPr>
                <w:webHidden/>
              </w:rPr>
            </w:r>
            <w:r w:rsidR="00B66B22">
              <w:rPr>
                <w:webHidden/>
              </w:rPr>
              <w:fldChar w:fldCharType="separate"/>
            </w:r>
            <w:r w:rsidR="00B66B22">
              <w:rPr>
                <w:webHidden/>
              </w:rPr>
              <w:t>8</w:t>
            </w:r>
            <w:r w:rsidR="00B66B22">
              <w:rPr>
                <w:webHidden/>
              </w:rPr>
              <w:fldChar w:fldCharType="end"/>
            </w:r>
          </w:hyperlink>
        </w:p>
        <w:p w14:paraId="7DFE6043" w14:textId="7955A249" w:rsidR="00B66B22" w:rsidRDefault="00000000" w:rsidP="002A62F8">
          <w:pPr>
            <w:pStyle w:val="TOC1"/>
            <w:rPr>
              <w:rFonts w:asciiTheme="minorHAnsi" w:eastAsiaTheme="minorEastAsia" w:hAnsiTheme="minorHAnsi" w:cstheme="minorBidi"/>
              <w:kern w:val="2"/>
              <w:sz w:val="24"/>
              <w:szCs w:val="24"/>
              <w:lang w:val="en-MY"/>
              <w14:ligatures w14:val="standardContextual"/>
            </w:rPr>
          </w:pPr>
          <w:hyperlink w:anchor="_Toc174648990" w:history="1">
            <w:r w:rsidR="00B66B22" w:rsidRPr="008B3168">
              <w:rPr>
                <w:rStyle w:val="Hyperlink"/>
                <w:rFonts w:eastAsia="Times New Roman"/>
              </w:rPr>
              <w:t>iv. Grounds for release from criminal liability and/or punishment</w:t>
            </w:r>
            <w:r w:rsidR="00B66B22">
              <w:rPr>
                <w:webHidden/>
              </w:rPr>
              <w:tab/>
            </w:r>
            <w:r w:rsidR="00B66B22">
              <w:rPr>
                <w:webHidden/>
              </w:rPr>
              <w:fldChar w:fldCharType="begin"/>
            </w:r>
            <w:r w:rsidR="00B66B22">
              <w:rPr>
                <w:webHidden/>
              </w:rPr>
              <w:instrText xml:space="preserve"> PAGEREF _Toc174648990 \h </w:instrText>
            </w:r>
            <w:r w:rsidR="00B66B22">
              <w:rPr>
                <w:webHidden/>
              </w:rPr>
            </w:r>
            <w:r w:rsidR="00B66B22">
              <w:rPr>
                <w:webHidden/>
              </w:rPr>
              <w:fldChar w:fldCharType="separate"/>
            </w:r>
            <w:r w:rsidR="00B66B22">
              <w:rPr>
                <w:webHidden/>
              </w:rPr>
              <w:t>9</w:t>
            </w:r>
            <w:r w:rsidR="00B66B22">
              <w:rPr>
                <w:webHidden/>
              </w:rPr>
              <w:fldChar w:fldCharType="end"/>
            </w:r>
          </w:hyperlink>
        </w:p>
        <w:p w14:paraId="22BFD963" w14:textId="17D2220B" w:rsidR="00B66B22" w:rsidRDefault="00000000" w:rsidP="002A62F8">
          <w:pPr>
            <w:pStyle w:val="TOC1"/>
            <w:rPr>
              <w:rFonts w:asciiTheme="minorHAnsi" w:eastAsiaTheme="minorEastAsia" w:hAnsiTheme="minorHAnsi" w:cstheme="minorBidi"/>
              <w:kern w:val="2"/>
              <w:sz w:val="24"/>
              <w:szCs w:val="24"/>
              <w:lang w:val="en-MY"/>
              <w14:ligatures w14:val="standardContextual"/>
            </w:rPr>
          </w:pPr>
          <w:hyperlink w:anchor="_Toc174648991" w:history="1">
            <w:r w:rsidR="00B66B22" w:rsidRPr="008B3168">
              <w:rPr>
                <w:rStyle w:val="Hyperlink"/>
                <w:rFonts w:eastAsia="Times New Roman"/>
              </w:rPr>
              <w:t>v. Gender stereotyping, secondary victimization of girl survivors of sexual violence during criminal proceedings</w:t>
            </w:r>
            <w:r w:rsidR="002A62F8">
              <w:rPr>
                <w:rStyle w:val="Hyperlink"/>
                <w:rFonts w:eastAsia="Times New Roman"/>
              </w:rPr>
              <w:t>,</w:t>
            </w:r>
            <w:r w:rsidR="00B66B22" w:rsidRPr="008B3168">
              <w:rPr>
                <w:rStyle w:val="Hyperlink"/>
                <w:rFonts w:eastAsia="Times New Roman"/>
              </w:rPr>
              <w:t xml:space="preserve"> and lack of child-sensitive justice</w:t>
            </w:r>
            <w:r w:rsidR="00B66B22">
              <w:rPr>
                <w:webHidden/>
              </w:rPr>
              <w:tab/>
            </w:r>
            <w:r w:rsidR="00B66B22">
              <w:rPr>
                <w:webHidden/>
              </w:rPr>
              <w:fldChar w:fldCharType="begin"/>
            </w:r>
            <w:r w:rsidR="00B66B22">
              <w:rPr>
                <w:webHidden/>
              </w:rPr>
              <w:instrText xml:space="preserve"> PAGEREF _Toc174648991 \h </w:instrText>
            </w:r>
            <w:r w:rsidR="00B66B22">
              <w:rPr>
                <w:webHidden/>
              </w:rPr>
            </w:r>
            <w:r w:rsidR="00B66B22">
              <w:rPr>
                <w:webHidden/>
              </w:rPr>
              <w:fldChar w:fldCharType="separate"/>
            </w:r>
            <w:r w:rsidR="00B66B22">
              <w:rPr>
                <w:webHidden/>
              </w:rPr>
              <w:t>10</w:t>
            </w:r>
            <w:r w:rsidR="00B66B22">
              <w:rPr>
                <w:webHidden/>
              </w:rPr>
              <w:fldChar w:fldCharType="end"/>
            </w:r>
          </w:hyperlink>
        </w:p>
        <w:p w14:paraId="350365EF" w14:textId="6ECDA99C" w:rsidR="00B66B22" w:rsidRDefault="00000000" w:rsidP="002A62F8">
          <w:pPr>
            <w:pStyle w:val="TOC1"/>
            <w:rPr>
              <w:rFonts w:asciiTheme="minorHAnsi" w:eastAsiaTheme="minorEastAsia" w:hAnsiTheme="minorHAnsi" w:cstheme="minorBidi"/>
              <w:kern w:val="2"/>
              <w:sz w:val="24"/>
              <w:szCs w:val="24"/>
              <w:lang w:val="en-MY"/>
              <w14:ligatures w14:val="standardContextual"/>
            </w:rPr>
          </w:pPr>
          <w:hyperlink w:anchor="_Toc174648992" w:history="1">
            <w:r w:rsidR="00B66B22" w:rsidRPr="008B3168">
              <w:rPr>
                <w:rStyle w:val="Hyperlink"/>
                <w:rFonts w:eastAsia="Times New Roman"/>
              </w:rPr>
              <w:t>vii. Intersecting forms of discrimination against vulnerable girl victims of sexual violence</w:t>
            </w:r>
            <w:r w:rsidR="00B66B22">
              <w:rPr>
                <w:webHidden/>
              </w:rPr>
              <w:tab/>
            </w:r>
            <w:r w:rsidR="00B66B22">
              <w:rPr>
                <w:webHidden/>
              </w:rPr>
              <w:fldChar w:fldCharType="begin"/>
            </w:r>
            <w:r w:rsidR="00B66B22">
              <w:rPr>
                <w:webHidden/>
              </w:rPr>
              <w:instrText xml:space="preserve"> PAGEREF _Toc174648992 \h </w:instrText>
            </w:r>
            <w:r w:rsidR="00B66B22">
              <w:rPr>
                <w:webHidden/>
              </w:rPr>
            </w:r>
            <w:r w:rsidR="00B66B22">
              <w:rPr>
                <w:webHidden/>
              </w:rPr>
              <w:fldChar w:fldCharType="separate"/>
            </w:r>
            <w:r w:rsidR="00B66B22">
              <w:rPr>
                <w:webHidden/>
              </w:rPr>
              <w:t>12</w:t>
            </w:r>
            <w:r w:rsidR="00B66B22">
              <w:rPr>
                <w:webHidden/>
              </w:rPr>
              <w:fldChar w:fldCharType="end"/>
            </w:r>
          </w:hyperlink>
        </w:p>
        <w:p w14:paraId="5E6A59CA" w14:textId="52F61563" w:rsidR="00B66B22" w:rsidRDefault="00000000" w:rsidP="002A62F8">
          <w:pPr>
            <w:pStyle w:val="TOC1"/>
            <w:rPr>
              <w:rFonts w:asciiTheme="minorHAnsi" w:eastAsiaTheme="minorEastAsia" w:hAnsiTheme="minorHAnsi" w:cstheme="minorBidi"/>
              <w:kern w:val="2"/>
              <w:sz w:val="24"/>
              <w:szCs w:val="24"/>
              <w:lang w:val="en-MY"/>
              <w14:ligatures w14:val="standardContextual"/>
            </w:rPr>
          </w:pPr>
          <w:hyperlink w:anchor="_Toc174648993" w:history="1">
            <w:r w:rsidR="00B66B22" w:rsidRPr="008B3168">
              <w:rPr>
                <w:rStyle w:val="Hyperlink"/>
                <w:rFonts w:eastAsia="Times New Roman"/>
              </w:rPr>
              <w:t>viii. Lack of support services for girl survivors of sexual violence</w:t>
            </w:r>
            <w:r w:rsidR="00B66B22">
              <w:rPr>
                <w:webHidden/>
              </w:rPr>
              <w:tab/>
            </w:r>
            <w:r w:rsidR="00B66B22">
              <w:rPr>
                <w:webHidden/>
              </w:rPr>
              <w:fldChar w:fldCharType="begin"/>
            </w:r>
            <w:r w:rsidR="00B66B22">
              <w:rPr>
                <w:webHidden/>
              </w:rPr>
              <w:instrText xml:space="preserve"> PAGEREF _Toc174648993 \h </w:instrText>
            </w:r>
            <w:r w:rsidR="00B66B22">
              <w:rPr>
                <w:webHidden/>
              </w:rPr>
            </w:r>
            <w:r w:rsidR="00B66B22">
              <w:rPr>
                <w:webHidden/>
              </w:rPr>
              <w:fldChar w:fldCharType="separate"/>
            </w:r>
            <w:r w:rsidR="00B66B22">
              <w:rPr>
                <w:webHidden/>
              </w:rPr>
              <w:t>14</w:t>
            </w:r>
            <w:r w:rsidR="00B66B22">
              <w:rPr>
                <w:webHidden/>
              </w:rPr>
              <w:fldChar w:fldCharType="end"/>
            </w:r>
          </w:hyperlink>
        </w:p>
        <w:p w14:paraId="31037DAA" w14:textId="67D5B9C8" w:rsidR="00B66B22" w:rsidRDefault="00000000" w:rsidP="002A62F8">
          <w:pPr>
            <w:pStyle w:val="TOC1"/>
            <w:rPr>
              <w:rFonts w:asciiTheme="minorHAnsi" w:eastAsiaTheme="minorEastAsia" w:hAnsiTheme="minorHAnsi" w:cstheme="minorBidi"/>
              <w:kern w:val="2"/>
              <w:sz w:val="24"/>
              <w:szCs w:val="24"/>
              <w:lang w:val="en-MY"/>
              <w14:ligatures w14:val="standardContextual"/>
            </w:rPr>
          </w:pPr>
          <w:hyperlink w:anchor="_Toc174648994" w:history="1">
            <w:r w:rsidR="00B66B22" w:rsidRPr="008B3168">
              <w:rPr>
                <w:rStyle w:val="Hyperlink"/>
                <w:rFonts w:eastAsia="Times New Roman"/>
              </w:rPr>
              <w:t>ix. Recommendations</w:t>
            </w:r>
            <w:r w:rsidR="00B66B22">
              <w:rPr>
                <w:webHidden/>
              </w:rPr>
              <w:tab/>
            </w:r>
            <w:r w:rsidR="00B66B22">
              <w:rPr>
                <w:webHidden/>
              </w:rPr>
              <w:fldChar w:fldCharType="begin"/>
            </w:r>
            <w:r w:rsidR="00B66B22">
              <w:rPr>
                <w:webHidden/>
              </w:rPr>
              <w:instrText xml:space="preserve"> PAGEREF _Toc174648994 \h </w:instrText>
            </w:r>
            <w:r w:rsidR="00B66B22">
              <w:rPr>
                <w:webHidden/>
              </w:rPr>
            </w:r>
            <w:r w:rsidR="00B66B22">
              <w:rPr>
                <w:webHidden/>
              </w:rPr>
              <w:fldChar w:fldCharType="separate"/>
            </w:r>
            <w:r w:rsidR="00B66B22">
              <w:rPr>
                <w:webHidden/>
              </w:rPr>
              <w:t>14</w:t>
            </w:r>
            <w:r w:rsidR="00B66B22">
              <w:rPr>
                <w:webHidden/>
              </w:rPr>
              <w:fldChar w:fldCharType="end"/>
            </w:r>
          </w:hyperlink>
        </w:p>
        <w:p w14:paraId="1816E5EE" w14:textId="6DF8B015" w:rsidR="00924C8B" w:rsidRDefault="000A65A1">
          <w:pPr>
            <w:widowControl w:val="0"/>
            <w:tabs>
              <w:tab w:val="right" w:pos="12000"/>
            </w:tabs>
            <w:spacing w:before="60" w:line="240" w:lineRule="auto"/>
            <w:rPr>
              <w:b/>
              <w:color w:val="000000"/>
            </w:rPr>
          </w:pPr>
          <w:r>
            <w:lastRenderedPageBreak/>
            <w:fldChar w:fldCharType="end"/>
          </w:r>
        </w:p>
      </w:sdtContent>
    </w:sdt>
    <w:p w14:paraId="1816E5EF" w14:textId="77777777" w:rsidR="00924C8B" w:rsidRDefault="000A65A1">
      <w:pPr>
        <w:pStyle w:val="Heading1"/>
        <w:rPr>
          <w:rFonts w:ascii="Times New Roman" w:eastAsia="Times New Roman" w:hAnsi="Times New Roman" w:cs="Times New Roman"/>
        </w:rPr>
      </w:pPr>
      <w:bookmarkStart w:id="1" w:name="_Toc174648983"/>
      <w:r>
        <w:rPr>
          <w:rFonts w:ascii="Times New Roman" w:eastAsia="Times New Roman" w:hAnsi="Times New Roman" w:cs="Times New Roman"/>
        </w:rPr>
        <w:t>Introduction</w:t>
      </w:r>
      <w:bookmarkEnd w:id="1"/>
    </w:p>
    <w:p w14:paraId="1816E5F0" w14:textId="77777777"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Equality Now and partners submit this report for consideration during the Committee on the Rights of the Child (‘the Committee’) review of Armenia at its 97th Session (26 Aug 2024 - 13 Sep 2024).</w:t>
      </w:r>
    </w:p>
    <w:p w14:paraId="1816E5F1" w14:textId="77777777" w:rsidR="00924C8B" w:rsidRDefault="00924C8B">
      <w:pPr>
        <w:spacing w:line="240" w:lineRule="auto"/>
        <w:jc w:val="both"/>
        <w:rPr>
          <w:rFonts w:ascii="Times New Roman" w:eastAsia="Times New Roman" w:hAnsi="Times New Roman" w:cs="Times New Roman"/>
          <w:sz w:val="24"/>
          <w:szCs w:val="24"/>
        </w:rPr>
      </w:pPr>
    </w:p>
    <w:p w14:paraId="1816E5F2" w14:textId="6A04F245"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 xml:space="preserve">In our submission, Equality Now, Sexual Assault Crisis Centre NGO, the Women’s Resource </w:t>
      </w:r>
      <w:proofErr w:type="spellStart"/>
      <w:r>
        <w:rPr>
          <w:rFonts w:ascii="Times New Roman" w:eastAsia="Times New Roman" w:hAnsi="Times New Roman" w:cs="Times New Roman"/>
          <w:sz w:val="24"/>
          <w:szCs w:val="24"/>
        </w:rPr>
        <w:t>Center</w:t>
      </w:r>
      <w:proofErr w:type="spellEnd"/>
      <w:r>
        <w:rPr>
          <w:rFonts w:ascii="Times New Roman" w:eastAsia="Times New Roman" w:hAnsi="Times New Roman" w:cs="Times New Roman"/>
          <w:sz w:val="24"/>
          <w:szCs w:val="24"/>
        </w:rPr>
        <w:t xml:space="preserve">, and Safe YOU detail concerns </w:t>
      </w:r>
      <w:proofErr w:type="gramStart"/>
      <w:r>
        <w:rPr>
          <w:rFonts w:ascii="Times New Roman" w:eastAsia="Times New Roman" w:hAnsi="Times New Roman" w:cs="Times New Roman"/>
          <w:sz w:val="24"/>
          <w:szCs w:val="24"/>
        </w:rPr>
        <w:t>with regard to</w:t>
      </w:r>
      <w:proofErr w:type="gramEnd"/>
      <w:r>
        <w:rPr>
          <w:rFonts w:ascii="Times New Roman" w:eastAsia="Times New Roman" w:hAnsi="Times New Roman" w:cs="Times New Roman"/>
          <w:sz w:val="24"/>
          <w:szCs w:val="24"/>
        </w:rPr>
        <w:t xml:space="preserve"> laws related to sexual violence and procedures and practices which effectively deny access to justice for girl survivors of sexual violence. Specifically, Armenia’s legal system provides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opportunities for perpetrators to escape criminal liability or punishment, namely through the way sexual violence crimes are defined and through the way sexual violence crimes are investigated and prosecuted. This submission covers issues particularly relevant to Article 19 (protection from all forms of violence and sexual abuse); Article 24 (right to health and protection from harmful practices); and Article 34 (protection from sexual exploitation and sexual abuse) of the Convention on the Rights of the Child and the Committee’s General Comments No. 13 (2011) ‘The right of the child to freedom from all forms of violence’; and Joint General Recommendation No. 31 of the Committee on the Elimination of Discrimination against Women/General Comment No. 18 of the Committee on the Rights of the Child (2019) on harmful practices.</w:t>
      </w:r>
    </w:p>
    <w:p w14:paraId="1816E5F3" w14:textId="77777777" w:rsidR="00924C8B" w:rsidRDefault="000A65A1">
      <w:pPr>
        <w:pStyle w:val="Heading1"/>
        <w:rPr>
          <w:rFonts w:ascii="Times New Roman" w:eastAsia="Times New Roman" w:hAnsi="Times New Roman" w:cs="Times New Roman"/>
        </w:rPr>
      </w:pPr>
      <w:bookmarkStart w:id="2" w:name="_Toc174648984"/>
      <w:r>
        <w:rPr>
          <w:rFonts w:ascii="Times New Roman" w:eastAsia="Times New Roman" w:hAnsi="Times New Roman" w:cs="Times New Roman"/>
        </w:rPr>
        <w:t>Information about the authors of the submission</w:t>
      </w:r>
      <w:bookmarkEnd w:id="2"/>
    </w:p>
    <w:p w14:paraId="1816E5F4" w14:textId="6DC5089E" w:rsidR="00924C8B" w:rsidRDefault="000A65A1">
      <w:pPr>
        <w:numPr>
          <w:ilvl w:val="0"/>
          <w:numId w:val="4"/>
        </w:numPr>
        <w:spacing w:line="240" w:lineRule="auto"/>
        <w:jc w:val="both"/>
        <w:rPr>
          <w:sz w:val="24"/>
          <w:szCs w:val="24"/>
        </w:rPr>
      </w:pPr>
      <w:r>
        <w:rPr>
          <w:rFonts w:ascii="Times New Roman" w:eastAsia="Times New Roman" w:hAnsi="Times New Roman" w:cs="Times New Roman"/>
          <w:b/>
          <w:sz w:val="24"/>
          <w:szCs w:val="24"/>
        </w:rPr>
        <w:t>Equality Now</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is an international human rights </w:t>
      </w:r>
      <w:r w:rsidR="0093617A">
        <w:rPr>
          <w:rFonts w:ascii="Times New Roman" w:eastAsia="Times New Roman" w:hAnsi="Times New Roman" w:cs="Times New Roman"/>
          <w:sz w:val="24"/>
          <w:szCs w:val="24"/>
        </w:rPr>
        <w:t>organization with ECOSOC status working to protect and promote the rights of women and girls worldwide since 1992, including through our network of individuals and organi</w:t>
      </w:r>
      <w:r w:rsidR="00E16728">
        <w:rPr>
          <w:rFonts w:ascii="Times New Roman" w:eastAsia="Times New Roman" w:hAnsi="Times New Roman" w:cs="Times New Roman"/>
          <w:sz w:val="24"/>
          <w:szCs w:val="24"/>
        </w:rPr>
        <w:t>zations</w:t>
      </w:r>
      <w:r w:rsidR="0093617A">
        <w:rPr>
          <w:rFonts w:ascii="Times New Roman" w:eastAsia="Times New Roman" w:hAnsi="Times New Roman" w:cs="Times New Roman"/>
          <w:sz w:val="24"/>
          <w:szCs w:val="24"/>
        </w:rPr>
        <w:t xml:space="preserve"> in every region</w:t>
      </w:r>
      <w:r w:rsidR="00E1672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Ending sexual violence, ending sexual exploitation, ending harmful practices and achieving legal equality are the main areas of Equality Now’s work. In January 2019, Equality Now released a report, </w:t>
      </w:r>
      <w:r>
        <w:rPr>
          <w:rFonts w:ascii="Times New Roman" w:eastAsia="Times New Roman" w:hAnsi="Times New Roman" w:cs="Times New Roman"/>
          <w:i/>
          <w:sz w:val="24"/>
          <w:szCs w:val="24"/>
        </w:rPr>
        <w:t>“Roadblocks To Justice: How The Law Is Failing Survivors Of Sexual Violence In Eurasia”</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which contains an overview of the laws on sexual violence in the 15 countries of Eurasia, including Armenia, and an analysis of gaps in the law and examples of practice allowing for impunity for perpetrators of sexual violence crimes. Since then, Equality Now has been persistently analysing laws, policies and procedures on violence against women in the region.</w:t>
      </w:r>
    </w:p>
    <w:p w14:paraId="1816E5F5" w14:textId="77777777" w:rsidR="00924C8B" w:rsidRDefault="00924C8B">
      <w:pPr>
        <w:spacing w:line="240" w:lineRule="auto"/>
        <w:ind w:left="720"/>
        <w:jc w:val="both"/>
        <w:rPr>
          <w:rFonts w:ascii="Times New Roman" w:eastAsia="Times New Roman" w:hAnsi="Times New Roman" w:cs="Times New Roman"/>
          <w:sz w:val="24"/>
          <w:szCs w:val="24"/>
        </w:rPr>
      </w:pPr>
    </w:p>
    <w:p w14:paraId="1816E5F6" w14:textId="77777777" w:rsidR="00924C8B" w:rsidRDefault="000A65A1">
      <w:pPr>
        <w:numPr>
          <w:ilvl w:val="0"/>
          <w:numId w:val="4"/>
        </w:numPr>
        <w:spacing w:line="240" w:lineRule="auto"/>
        <w:jc w:val="both"/>
        <w:rPr>
          <w:sz w:val="24"/>
          <w:szCs w:val="24"/>
        </w:rPr>
      </w:pPr>
      <w:r>
        <w:rPr>
          <w:rFonts w:ascii="Times New Roman" w:eastAsia="Times New Roman" w:hAnsi="Times New Roman" w:cs="Times New Roman"/>
          <w:b/>
          <w:sz w:val="24"/>
          <w:szCs w:val="24"/>
        </w:rPr>
        <w:t>Sexual Assault Crisis Centre NGO (SACC)</w:t>
      </w:r>
      <w:r>
        <w:rPr>
          <w:rFonts w:ascii="Times New Roman" w:eastAsia="Times New Roman" w:hAnsi="Times New Roman" w:cs="Times New Roman"/>
          <w:b/>
          <w:sz w:val="24"/>
          <w:szCs w:val="24"/>
          <w:vertAlign w:val="superscript"/>
        </w:rPr>
        <w:footnoteReference w:id="3"/>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in Armenia was established in 2008 and focuses on three primary areas of intervention: service provision, awareness initiatives and advocacy. The SACC offers specialised support to those affected by sexual violence, encompassing social, psychological and legal assistance. SACC is committed to fostering </w:t>
      </w:r>
      <w:r>
        <w:rPr>
          <w:rFonts w:ascii="Times New Roman" w:eastAsia="Times New Roman" w:hAnsi="Times New Roman" w:cs="Times New Roman"/>
          <w:sz w:val="24"/>
          <w:szCs w:val="24"/>
        </w:rPr>
        <w:lastRenderedPageBreak/>
        <w:t>a more gender-sensitive perspective on sexual violence. A central aim is to encourage the legal system to adopt a survivor-centred approach and to enhance systemic responses to the issue.</w:t>
      </w:r>
    </w:p>
    <w:p w14:paraId="1816E5F7" w14:textId="77777777" w:rsidR="00924C8B" w:rsidRDefault="00924C8B">
      <w:pPr>
        <w:spacing w:line="240" w:lineRule="auto"/>
        <w:jc w:val="both"/>
        <w:rPr>
          <w:rFonts w:ascii="Times New Roman" w:eastAsia="Times New Roman" w:hAnsi="Times New Roman" w:cs="Times New Roman"/>
          <w:sz w:val="24"/>
          <w:szCs w:val="24"/>
        </w:rPr>
      </w:pPr>
    </w:p>
    <w:p w14:paraId="1816E5F8" w14:textId="366EA212" w:rsidR="00924C8B" w:rsidRDefault="000A65A1">
      <w:pPr>
        <w:numPr>
          <w:ilvl w:val="0"/>
          <w:numId w:val="4"/>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The Women’s Resource </w:t>
      </w:r>
      <w:proofErr w:type="spellStart"/>
      <w:r>
        <w:rPr>
          <w:rFonts w:ascii="Times New Roman" w:eastAsia="Times New Roman" w:hAnsi="Times New Roman" w:cs="Times New Roman"/>
          <w:b/>
          <w:sz w:val="24"/>
          <w:szCs w:val="24"/>
        </w:rPr>
        <w:t>Center</w:t>
      </w:r>
      <w:proofErr w:type="spellEnd"/>
      <w:r>
        <w:rPr>
          <w:rFonts w:ascii="Times New Roman" w:eastAsia="Times New Roman" w:hAnsi="Times New Roman" w:cs="Times New Roman"/>
          <w:sz w:val="24"/>
          <w:szCs w:val="24"/>
        </w:rPr>
        <w:t xml:space="preserve"> (hereafter WRC)</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was established in 2003 and works </w:t>
      </w:r>
      <w:r w:rsidR="005E02B2">
        <w:rPr>
          <w:rFonts w:ascii="Times New Roman" w:eastAsia="Times New Roman" w:hAnsi="Times New Roman" w:cs="Times New Roman"/>
          <w:sz w:val="24"/>
          <w:szCs w:val="24"/>
        </w:rPr>
        <w:t xml:space="preserve">on women’s human rights, women’s empowerment, and </w:t>
      </w:r>
      <w:r>
        <w:rPr>
          <w:rFonts w:ascii="Times New Roman" w:eastAsia="Times New Roman" w:hAnsi="Times New Roman" w:cs="Times New Roman"/>
          <w:sz w:val="24"/>
          <w:szCs w:val="24"/>
        </w:rPr>
        <w:t xml:space="preserve">reproductive and sexual rights. WRC is a member of several local and international networks and coalitions. Since 2006, the </w:t>
      </w:r>
      <w:r w:rsidR="005E02B2">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has submitted shadow reports and stakeholders’ reports to different UN treaty bodies.</w:t>
      </w:r>
    </w:p>
    <w:p w14:paraId="1816E5F9" w14:textId="77777777" w:rsidR="00924C8B" w:rsidRDefault="00924C8B">
      <w:pPr>
        <w:spacing w:line="240" w:lineRule="auto"/>
        <w:jc w:val="both"/>
        <w:rPr>
          <w:rFonts w:ascii="Times New Roman" w:eastAsia="Times New Roman" w:hAnsi="Times New Roman" w:cs="Times New Roman"/>
          <w:sz w:val="24"/>
          <w:szCs w:val="24"/>
        </w:rPr>
      </w:pPr>
    </w:p>
    <w:p w14:paraId="1816E5FA" w14:textId="15AE89A5" w:rsidR="00924C8B" w:rsidRDefault="000A65A1">
      <w:pPr>
        <w:numPr>
          <w:ilvl w:val="0"/>
          <w:numId w:val="4"/>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Safe YOU</w:t>
      </w:r>
      <w:r>
        <w:rPr>
          <w:rFonts w:ascii="Times New Roman" w:eastAsia="Times New Roman" w:hAnsi="Times New Roman" w:cs="Times New Roman"/>
          <w:b/>
          <w:sz w:val="24"/>
          <w:szCs w:val="24"/>
          <w:vertAlign w:val="superscript"/>
        </w:rPr>
        <w:footnoteReference w:id="5"/>
      </w:r>
      <w:r>
        <w:rPr>
          <w:rFonts w:ascii="Times New Roman" w:eastAsia="Times New Roman" w:hAnsi="Times New Roman" w:cs="Times New Roman"/>
          <w:b/>
          <w:sz w:val="24"/>
          <w:szCs w:val="24"/>
        </w:rPr>
        <w:t xml:space="preserve">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an AI-powered multi-stakeholder platform </w:t>
      </w:r>
      <w:r w:rsidR="005E02B2">
        <w:rPr>
          <w:rFonts w:ascii="Times New Roman" w:eastAsia="Times New Roman" w:hAnsi="Times New Roman" w:cs="Times New Roman"/>
          <w:sz w:val="24"/>
          <w:szCs w:val="24"/>
        </w:rPr>
        <w:t>that brings together NGOs, international organizations, government agencies,</w:t>
      </w:r>
      <w:r>
        <w:rPr>
          <w:rFonts w:ascii="Times New Roman" w:eastAsia="Times New Roman" w:hAnsi="Times New Roman" w:cs="Times New Roman"/>
          <w:sz w:val="24"/>
          <w:szCs w:val="24"/>
        </w:rPr>
        <w:t xml:space="preserve"> and other relevant institutions to facilitate effective support services to women and </w:t>
      </w:r>
      <w:r w:rsidR="000B70F0">
        <w:rPr>
          <w:rFonts w:ascii="Times New Roman" w:eastAsia="Times New Roman" w:hAnsi="Times New Roman" w:cs="Times New Roman"/>
          <w:sz w:val="24"/>
          <w:szCs w:val="24"/>
        </w:rPr>
        <w:t>girls</w:t>
      </w:r>
      <w:r>
        <w:rPr>
          <w:rFonts w:ascii="Times New Roman" w:eastAsia="Times New Roman" w:hAnsi="Times New Roman" w:cs="Times New Roman"/>
          <w:sz w:val="24"/>
          <w:szCs w:val="24"/>
        </w:rPr>
        <w:t xml:space="preserve">, including gender-based and domestic violence survivors. Additionally, it leverages real-time monitoring data on reported cases to inform preventive programs and policies. As the burden of proof often falls on the victims of gender-based violence, the recording and geolocation data collected through the Safe </w:t>
      </w:r>
      <w:proofErr w:type="gramStart"/>
      <w:r>
        <w:rPr>
          <w:rFonts w:ascii="Times New Roman" w:eastAsia="Times New Roman" w:hAnsi="Times New Roman" w:cs="Times New Roman"/>
          <w:sz w:val="24"/>
          <w:szCs w:val="24"/>
        </w:rPr>
        <w:t>YOU</w:t>
      </w:r>
      <w:proofErr w:type="gramEnd"/>
      <w:r>
        <w:rPr>
          <w:rFonts w:ascii="Times New Roman" w:eastAsia="Times New Roman" w:hAnsi="Times New Roman" w:cs="Times New Roman"/>
          <w:sz w:val="24"/>
          <w:szCs w:val="24"/>
        </w:rPr>
        <w:t xml:space="preserve"> mobile app can also be harnessed in investigative and judicial proceedings as objective evidence. Safe YOU also </w:t>
      </w:r>
      <w:proofErr w:type="gramStart"/>
      <w:r w:rsidR="004A677A">
        <w:rPr>
          <w:rFonts w:ascii="Times New Roman" w:eastAsia="Times New Roman" w:hAnsi="Times New Roman" w:cs="Times New Roman"/>
          <w:sz w:val="24"/>
          <w:szCs w:val="24"/>
        </w:rPr>
        <w:t>features</w:t>
      </w:r>
      <w:proofErr w:type="gramEnd"/>
      <w:r>
        <w:rPr>
          <w:rFonts w:ascii="Times New Roman" w:eastAsia="Times New Roman" w:hAnsi="Times New Roman" w:cs="Times New Roman"/>
          <w:sz w:val="24"/>
          <w:szCs w:val="24"/>
        </w:rPr>
        <w:t xml:space="preserve"> educational and awareness-raising resources, peer-to-peer learning opportunities</w:t>
      </w:r>
      <w:r w:rsidR="005E02B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open surveys to gather user feedback and conduct different research projects. With a number of success stories and a real impact on people’s lives, Safe YOU </w:t>
      </w:r>
      <w:proofErr w:type="gramStart"/>
      <w:r w:rsidR="0054255C">
        <w:rPr>
          <w:rFonts w:ascii="Times New Roman" w:eastAsia="Times New Roman" w:hAnsi="Times New Roman" w:cs="Times New Roman"/>
          <w:sz w:val="24"/>
          <w:szCs w:val="24"/>
        </w:rPr>
        <w:t>continues</w:t>
      </w:r>
      <w:proofErr w:type="gramEnd"/>
      <w:r>
        <w:rPr>
          <w:rFonts w:ascii="Times New Roman" w:eastAsia="Times New Roman" w:hAnsi="Times New Roman" w:cs="Times New Roman"/>
          <w:sz w:val="24"/>
          <w:szCs w:val="24"/>
        </w:rPr>
        <w:t xml:space="preserve"> </w:t>
      </w:r>
      <w:r w:rsidR="0054255C">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 xml:space="preserve">empower women and girls through its innovative technological approaches.  </w:t>
      </w:r>
    </w:p>
    <w:p w14:paraId="1816E5FB" w14:textId="77777777" w:rsidR="00924C8B" w:rsidRDefault="000A65A1">
      <w:pPr>
        <w:pStyle w:val="Heading1"/>
        <w:rPr>
          <w:rFonts w:ascii="Times New Roman" w:eastAsia="Times New Roman" w:hAnsi="Times New Roman" w:cs="Times New Roman"/>
        </w:rPr>
      </w:pPr>
      <w:bookmarkStart w:id="3" w:name="_Toc174648985"/>
      <w:r>
        <w:rPr>
          <w:rFonts w:ascii="Times New Roman" w:eastAsia="Times New Roman" w:hAnsi="Times New Roman" w:cs="Times New Roman"/>
        </w:rPr>
        <w:t>Previous recommendations of CRC and other UN TBs to Armenia</w:t>
      </w:r>
      <w:bookmarkEnd w:id="3"/>
    </w:p>
    <w:p w14:paraId="1816E5FC" w14:textId="77777777"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In its Concluding Observations on the combined third and fourth periodic reports of Armenia (2013),</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the Committee recommended the Government of Armenia develop a comprehensive national strategy to prevent and address all forms of violence against children; adopt a national coordinating framework to address all forms of violence against children; and pay particular attention to the gender dimension of violence.</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w:t>
      </w:r>
    </w:p>
    <w:p w14:paraId="1816E5FD" w14:textId="77777777" w:rsidR="00924C8B" w:rsidRDefault="00924C8B">
      <w:pPr>
        <w:spacing w:line="240" w:lineRule="auto"/>
        <w:jc w:val="both"/>
        <w:rPr>
          <w:rFonts w:ascii="Times New Roman" w:eastAsia="Times New Roman" w:hAnsi="Times New Roman" w:cs="Times New Roman"/>
          <w:sz w:val="24"/>
          <w:szCs w:val="24"/>
        </w:rPr>
      </w:pPr>
    </w:p>
    <w:p w14:paraId="1816E5FE" w14:textId="1A1C17FC"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 xml:space="preserve">The Committee was concerned with the </w:t>
      </w:r>
      <w:r w:rsidR="0052093D">
        <w:rPr>
          <w:rFonts w:ascii="Times New Roman" w:eastAsia="Times New Roman" w:hAnsi="Times New Roman" w:cs="Times New Roman"/>
          <w:sz w:val="24"/>
          <w:szCs w:val="24"/>
        </w:rPr>
        <w:t>institutionalization</w:t>
      </w:r>
      <w:r>
        <w:rPr>
          <w:rFonts w:ascii="Times New Roman" w:eastAsia="Times New Roman" w:hAnsi="Times New Roman" w:cs="Times New Roman"/>
          <w:sz w:val="24"/>
          <w:szCs w:val="24"/>
        </w:rPr>
        <w:t xml:space="preserve"> of children with disabilities and with the information that children in closed and partially closed institutions were subjected to ill-treatment and violence.</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Additionally, child marriages, prevalent among the Yezidi community, were a matter of concern.</w:t>
      </w:r>
      <w:r>
        <w:rPr>
          <w:rFonts w:ascii="Times New Roman" w:eastAsia="Times New Roman" w:hAnsi="Times New Roman" w:cs="Times New Roman"/>
          <w:sz w:val="24"/>
          <w:szCs w:val="24"/>
          <w:vertAlign w:val="superscript"/>
        </w:rPr>
        <w:footnoteReference w:id="9"/>
      </w:r>
    </w:p>
    <w:p w14:paraId="1816E5FF" w14:textId="77777777" w:rsidR="00924C8B" w:rsidRDefault="00924C8B">
      <w:pPr>
        <w:spacing w:line="240" w:lineRule="auto"/>
        <w:jc w:val="both"/>
        <w:rPr>
          <w:rFonts w:ascii="Times New Roman" w:eastAsia="Times New Roman" w:hAnsi="Times New Roman" w:cs="Times New Roman"/>
          <w:sz w:val="24"/>
          <w:szCs w:val="24"/>
        </w:rPr>
      </w:pPr>
    </w:p>
    <w:p w14:paraId="1816E600" w14:textId="77777777"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lastRenderedPageBreak/>
        <w:t>The CEDAW Committee, in its Concluding observations on the seventh periodic report of Armenia (2022),</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expressed its concerns regarding the inadequate protection from gender-based violence afforded to women and girls facing intersecting forms of discrimination, including women and girls belonging to religious and ethnic minorities, women and girls with disabilities</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and the high level of child marriage.</w:t>
      </w:r>
      <w:r>
        <w:rPr>
          <w:rFonts w:ascii="Times New Roman" w:eastAsia="Times New Roman" w:hAnsi="Times New Roman" w:cs="Times New Roman"/>
          <w:sz w:val="24"/>
          <w:szCs w:val="24"/>
          <w:vertAlign w:val="superscript"/>
        </w:rPr>
        <w:footnoteReference w:id="12"/>
      </w:r>
    </w:p>
    <w:p w14:paraId="1816E601" w14:textId="77777777" w:rsidR="00924C8B" w:rsidRDefault="00924C8B">
      <w:pPr>
        <w:spacing w:line="240" w:lineRule="auto"/>
        <w:jc w:val="both"/>
        <w:rPr>
          <w:rFonts w:ascii="Times New Roman" w:eastAsia="Times New Roman" w:hAnsi="Times New Roman" w:cs="Times New Roman"/>
          <w:sz w:val="24"/>
          <w:szCs w:val="24"/>
        </w:rPr>
      </w:pPr>
    </w:p>
    <w:p w14:paraId="1816E602" w14:textId="77777777"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 xml:space="preserve">As will be elaborated below, these problems persist. </w:t>
      </w:r>
    </w:p>
    <w:p w14:paraId="1816E603" w14:textId="77777777" w:rsidR="00924C8B" w:rsidRDefault="000A65A1">
      <w:pPr>
        <w:pStyle w:val="Heading1"/>
        <w:spacing w:line="240" w:lineRule="auto"/>
        <w:jc w:val="both"/>
        <w:rPr>
          <w:rFonts w:ascii="Times New Roman" w:eastAsia="Times New Roman" w:hAnsi="Times New Roman" w:cs="Times New Roman"/>
        </w:rPr>
      </w:pPr>
      <w:bookmarkStart w:id="4" w:name="_Toc174648986"/>
      <w:r>
        <w:t>Summary of the submission</w:t>
      </w:r>
      <w:bookmarkEnd w:id="4"/>
      <w:r>
        <w:t xml:space="preserve"> </w:t>
      </w:r>
    </w:p>
    <w:tbl>
      <w:tblPr>
        <w:tblStyle w:val="a6"/>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924C8B" w14:paraId="1816E61A" w14:textId="77777777">
        <w:tc>
          <w:tcPr>
            <w:tcW w:w="9360" w:type="dxa"/>
            <w:shd w:val="clear" w:color="auto" w:fill="auto"/>
            <w:tcMar>
              <w:top w:w="100" w:type="dxa"/>
              <w:left w:w="100" w:type="dxa"/>
              <w:bottom w:w="100" w:type="dxa"/>
              <w:right w:w="100" w:type="dxa"/>
            </w:tcMar>
          </w:tcPr>
          <w:p w14:paraId="1816E604" w14:textId="77777777" w:rsidR="00924C8B" w:rsidRDefault="000A65A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Sexual violence against girls in Armenia is a severe issue. Despite this, official data and statistics are either unavailable or unreliable.</w:t>
            </w:r>
          </w:p>
          <w:p w14:paraId="1816E605" w14:textId="77777777" w:rsidR="00924C8B" w:rsidRDefault="00924C8B">
            <w:pPr>
              <w:spacing w:line="240" w:lineRule="auto"/>
              <w:jc w:val="both"/>
              <w:rPr>
                <w:rFonts w:ascii="Times New Roman" w:eastAsia="Times New Roman" w:hAnsi="Times New Roman" w:cs="Times New Roman"/>
                <w:sz w:val="24"/>
                <w:szCs w:val="24"/>
              </w:rPr>
            </w:pPr>
          </w:p>
          <w:p w14:paraId="1816E606" w14:textId="77777777" w:rsidR="00924C8B" w:rsidRDefault="000A65A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Pervasive gender stereotypes and victim-blaming further deter survivors from seeking help. Armenia's lack of comprehensive sexuality education exacerbates the problem.</w:t>
            </w:r>
          </w:p>
          <w:p w14:paraId="1816E607" w14:textId="77777777" w:rsidR="00924C8B" w:rsidRDefault="00924C8B">
            <w:pPr>
              <w:spacing w:line="240" w:lineRule="auto"/>
              <w:jc w:val="both"/>
              <w:rPr>
                <w:rFonts w:ascii="Times New Roman" w:eastAsia="Times New Roman" w:hAnsi="Times New Roman" w:cs="Times New Roman"/>
                <w:sz w:val="24"/>
                <w:szCs w:val="24"/>
              </w:rPr>
            </w:pPr>
          </w:p>
          <w:p w14:paraId="1816E608" w14:textId="77777777" w:rsidR="00924C8B" w:rsidRDefault="000A65A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definition and enforcement of crimes of sexual violence against girls remain problematic. Some criminal law provisions imply that a girl under 16 somehow consented to or initiated sexual intercourse by an adult, which disregards the power dynamics and vulnerabilities inherent in such situations and provides opportunities for perpetrators to escape accountability and appropriate punishment. </w:t>
            </w:r>
          </w:p>
          <w:p w14:paraId="1816E609" w14:textId="77777777" w:rsidR="00924C8B" w:rsidRDefault="00924C8B">
            <w:pPr>
              <w:spacing w:line="240" w:lineRule="auto"/>
              <w:jc w:val="both"/>
              <w:rPr>
                <w:rFonts w:ascii="Times New Roman" w:eastAsia="Times New Roman" w:hAnsi="Times New Roman" w:cs="Times New Roman"/>
                <w:sz w:val="24"/>
                <w:szCs w:val="24"/>
              </w:rPr>
            </w:pPr>
          </w:p>
          <w:p w14:paraId="1816E60A" w14:textId="77777777" w:rsidR="00924C8B" w:rsidRDefault="000A65A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Harmful practices such as child and forced marriages (CEFM) remain a significant issue in Armenia. While the minimum age of marriage is 18, the Family Code allows marriage at 16 and 17 with consent of parents or other individuals. A concerning issue is the under-identification of CEFM and informal unions equal to marriage. </w:t>
            </w:r>
          </w:p>
          <w:p w14:paraId="1816E60B" w14:textId="77777777" w:rsidR="00924C8B" w:rsidRDefault="00924C8B">
            <w:pPr>
              <w:spacing w:line="240" w:lineRule="auto"/>
              <w:jc w:val="both"/>
              <w:rPr>
                <w:rFonts w:ascii="Times New Roman" w:eastAsia="Times New Roman" w:hAnsi="Times New Roman" w:cs="Times New Roman"/>
                <w:sz w:val="24"/>
                <w:szCs w:val="24"/>
              </w:rPr>
            </w:pPr>
          </w:p>
          <w:p w14:paraId="1816E60C" w14:textId="59FE5FAB" w:rsidR="00924C8B" w:rsidRDefault="000A65A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Armenia lacks a comprehensive gender and child-sensitive methodology to investigate sexual violence crimes, resulting in </w:t>
            </w:r>
            <w:r w:rsidR="0052093D">
              <w:rPr>
                <w:rFonts w:ascii="Times New Roman" w:eastAsia="Times New Roman" w:hAnsi="Times New Roman" w:cs="Times New Roman"/>
                <w:sz w:val="24"/>
                <w:szCs w:val="24"/>
              </w:rPr>
              <w:t>re-victimization</w:t>
            </w:r>
            <w:r>
              <w:rPr>
                <w:rFonts w:ascii="Times New Roman" w:eastAsia="Times New Roman" w:hAnsi="Times New Roman" w:cs="Times New Roman"/>
                <w:sz w:val="24"/>
                <w:szCs w:val="24"/>
              </w:rPr>
              <w:t xml:space="preserve"> during the investigative process. Gender stereotyping among law enforcement authorities and discriminatory investigation procedures applied in practice constitute a significant barrier to justice for survivors of sexual violence. Investigative procedures often lack gender sensitivity and understanding of the trauma experienced by minors, subjecting them to intrusive interviews, forced confrontations, invasive forensic examinations</w:t>
            </w:r>
            <w:r w:rsidR="0052093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virginity testing. </w:t>
            </w:r>
          </w:p>
          <w:p w14:paraId="1816E60D" w14:textId="77777777" w:rsidR="00924C8B" w:rsidRDefault="00924C8B">
            <w:pPr>
              <w:spacing w:line="240" w:lineRule="auto"/>
              <w:jc w:val="both"/>
              <w:rPr>
                <w:rFonts w:ascii="Times New Roman" w:eastAsia="Times New Roman" w:hAnsi="Times New Roman" w:cs="Times New Roman"/>
                <w:sz w:val="24"/>
                <w:szCs w:val="24"/>
              </w:rPr>
            </w:pPr>
          </w:p>
          <w:p w14:paraId="1816E60E" w14:textId="0AE86E34" w:rsidR="00924C8B" w:rsidRDefault="000A65A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Girls from vulnerable and </w:t>
            </w:r>
            <w:r w:rsidR="0052093D">
              <w:rPr>
                <w:rFonts w:ascii="Times New Roman" w:eastAsia="Times New Roman" w:hAnsi="Times New Roman" w:cs="Times New Roman"/>
                <w:sz w:val="24"/>
                <w:szCs w:val="24"/>
              </w:rPr>
              <w:t>marginalized</w:t>
            </w:r>
            <w:r>
              <w:rPr>
                <w:rFonts w:ascii="Times New Roman" w:eastAsia="Times New Roman" w:hAnsi="Times New Roman" w:cs="Times New Roman"/>
                <w:sz w:val="24"/>
                <w:szCs w:val="24"/>
              </w:rPr>
              <w:t xml:space="preserve"> groups experience intersecting forms of discrimination and serious barriers </w:t>
            </w:r>
            <w:r w:rsidR="0052093D">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accessing justice for sexual violence. Girls with disabilities, particularly those with psycho-social needs, face significant barriers to accessing justice for various forms of violence, including sexual violence.</w:t>
            </w:r>
          </w:p>
          <w:p w14:paraId="1816E60F" w14:textId="77777777" w:rsidR="00924C8B" w:rsidRDefault="00924C8B">
            <w:pPr>
              <w:spacing w:line="240" w:lineRule="auto"/>
              <w:jc w:val="both"/>
              <w:rPr>
                <w:rFonts w:ascii="Times New Roman" w:eastAsia="Times New Roman" w:hAnsi="Times New Roman" w:cs="Times New Roman"/>
                <w:sz w:val="24"/>
                <w:szCs w:val="24"/>
              </w:rPr>
            </w:pPr>
          </w:p>
          <w:p w14:paraId="1816E610" w14:textId="77777777" w:rsidR="00924C8B" w:rsidRDefault="000A65A1">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Key recommendations:</w:t>
            </w:r>
          </w:p>
          <w:p w14:paraId="1816E611" w14:textId="77777777" w:rsidR="00924C8B" w:rsidRDefault="00924C8B">
            <w:pPr>
              <w:spacing w:line="240" w:lineRule="auto"/>
              <w:jc w:val="both"/>
              <w:rPr>
                <w:rFonts w:ascii="Times New Roman" w:eastAsia="Times New Roman" w:hAnsi="Times New Roman" w:cs="Times New Roman"/>
                <w:sz w:val="24"/>
                <w:szCs w:val="24"/>
              </w:rPr>
            </w:pPr>
          </w:p>
          <w:p w14:paraId="1816E612" w14:textId="0EDBFB9F" w:rsidR="00924C8B" w:rsidRDefault="000A65A1">
            <w:pPr>
              <w:numPr>
                <w:ilvl w:val="0"/>
                <w:numId w:val="2"/>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Amend the Criminal Code of Armenia to ensure that the consent of a minor under 16 is not examined and that the </w:t>
            </w:r>
            <w:r w:rsidR="0052093D">
              <w:rPr>
                <w:rFonts w:ascii="Times New Roman" w:eastAsia="Times New Roman" w:hAnsi="Times New Roman" w:cs="Times New Roman"/>
                <w:sz w:val="24"/>
                <w:szCs w:val="24"/>
              </w:rPr>
              <w:t>offense</w:t>
            </w:r>
            <w:r>
              <w:rPr>
                <w:rFonts w:ascii="Times New Roman" w:eastAsia="Times New Roman" w:hAnsi="Times New Roman" w:cs="Times New Roman"/>
                <w:sz w:val="24"/>
                <w:szCs w:val="24"/>
              </w:rPr>
              <w:t xml:space="preserve"> is classified as rape, with appropriate penalties and ensuring robust criminal justice response. </w:t>
            </w:r>
          </w:p>
          <w:p w14:paraId="1816E613" w14:textId="77777777" w:rsidR="00924C8B" w:rsidRDefault="000A65A1">
            <w:pPr>
              <w:numPr>
                <w:ilvl w:val="0"/>
                <w:numId w:val="2"/>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Amend the Family Code to set 18 as the minimum age of marriage without any exceptions. </w:t>
            </w:r>
          </w:p>
          <w:p w14:paraId="1816E614" w14:textId="60D54F19" w:rsidR="00924C8B" w:rsidRDefault="000A65A1">
            <w:pPr>
              <w:numPr>
                <w:ilvl w:val="0"/>
                <w:numId w:val="2"/>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 a comprehensive and child and gender-sensitive methodology, guidelines</w:t>
            </w:r>
            <w:r w:rsidR="00DB23C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protocols to investigate sexual violence crimes.</w:t>
            </w:r>
          </w:p>
          <w:p w14:paraId="1816E615" w14:textId="1D1BFDB3" w:rsidR="00924C8B" w:rsidRDefault="000A65A1">
            <w:pPr>
              <w:numPr>
                <w:ilvl w:val="0"/>
                <w:numId w:val="2"/>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Abolish the practice of intrusive interviews, forced confrontations, invasive forensic examinations</w:t>
            </w:r>
            <w:r w:rsidR="00DB23C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virginity testing; avoid adverse and unscientific inferences from a hymen’s condition; ensure that investigative actions involving minors are properly recorded (including video recording if necessary) to avoid repeated interviews.</w:t>
            </w:r>
          </w:p>
          <w:p w14:paraId="1816E616" w14:textId="4AB3D4A0" w:rsidR="00924C8B" w:rsidRDefault="000A65A1">
            <w:pPr>
              <w:numPr>
                <w:ilvl w:val="0"/>
                <w:numId w:val="2"/>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 a comprehensive government strategy and action plan to prevent and address sexual violence against girls and child marriage, including with </w:t>
            </w:r>
            <w:r w:rsidR="00DB23C4">
              <w:rPr>
                <w:rFonts w:ascii="Times New Roman" w:eastAsia="Times New Roman" w:hAnsi="Times New Roman" w:cs="Times New Roman"/>
                <w:sz w:val="24"/>
                <w:szCs w:val="24"/>
              </w:rPr>
              <w:t>particular</w:t>
            </w:r>
            <w:r>
              <w:rPr>
                <w:rFonts w:ascii="Times New Roman" w:eastAsia="Times New Roman" w:hAnsi="Times New Roman" w:cs="Times New Roman"/>
                <w:sz w:val="24"/>
                <w:szCs w:val="24"/>
              </w:rPr>
              <w:t xml:space="preserve"> emphasis on girls with disabilities, </w:t>
            </w:r>
            <w:r w:rsidR="00DB23C4">
              <w:rPr>
                <w:rFonts w:ascii="Times New Roman" w:eastAsia="Times New Roman" w:hAnsi="Times New Roman" w:cs="Times New Roman"/>
                <w:sz w:val="24"/>
                <w:szCs w:val="24"/>
              </w:rPr>
              <w:t>minoritized, migrant, and displaced girls (including from Nagorno Karabakh),</w:t>
            </w:r>
            <w:r>
              <w:rPr>
                <w:rFonts w:ascii="Times New Roman" w:eastAsia="Times New Roman" w:hAnsi="Times New Roman" w:cs="Times New Roman"/>
                <w:sz w:val="24"/>
                <w:szCs w:val="24"/>
              </w:rPr>
              <w:t xml:space="preserve"> and those made vulnerable by other circumstances.</w:t>
            </w:r>
          </w:p>
          <w:p w14:paraId="1816E617" w14:textId="720B66E4" w:rsidR="00924C8B" w:rsidRDefault="000A65A1">
            <w:pPr>
              <w:numPr>
                <w:ilvl w:val="0"/>
                <w:numId w:val="2"/>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 targeted, mandatory capacity-building activities on the prevention and detection of, and the response to, all forms of gender-based violence, including sexual violence and child and forced marriage, for law enforcement and judicial officials, health and social workers</w:t>
            </w:r>
            <w:r w:rsidR="00DB23C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other professionals, including in rural areas.</w:t>
            </w:r>
          </w:p>
          <w:p w14:paraId="1816E618" w14:textId="77777777" w:rsidR="00924C8B" w:rsidRDefault="000A65A1">
            <w:pPr>
              <w:numPr>
                <w:ilvl w:val="0"/>
                <w:numId w:val="2"/>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Improve the collection of data on all forms of violence against women and girls.</w:t>
            </w:r>
          </w:p>
          <w:p w14:paraId="1816E619" w14:textId="2E3B0390" w:rsidR="00924C8B" w:rsidRDefault="000A65A1">
            <w:pPr>
              <w:numPr>
                <w:ilvl w:val="0"/>
                <w:numId w:val="2"/>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Strengthen victim support services and protection, including 24 / 7 hotlines, free legal aid, adequate shelters, medical treatment, psychosocial </w:t>
            </w:r>
            <w:proofErr w:type="spellStart"/>
            <w:r w:rsidR="00DB23C4">
              <w:rPr>
                <w:rFonts w:ascii="Times New Roman" w:eastAsia="Times New Roman" w:hAnsi="Times New Roman" w:cs="Times New Roman"/>
                <w:sz w:val="24"/>
                <w:szCs w:val="24"/>
              </w:rPr>
              <w:t>counseling</w:t>
            </w:r>
            <w:proofErr w:type="spellEnd"/>
            <w:r w:rsidR="00DB23C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economic support throughout Armenia, tailored to the needs of girl survivors of sexual violence and child and forced marriage. </w:t>
            </w:r>
          </w:p>
        </w:tc>
      </w:tr>
    </w:tbl>
    <w:p w14:paraId="1816E61B" w14:textId="77777777" w:rsidR="00924C8B" w:rsidRDefault="00924C8B">
      <w:pPr>
        <w:spacing w:line="240" w:lineRule="auto"/>
        <w:jc w:val="both"/>
      </w:pPr>
    </w:p>
    <w:p w14:paraId="1816E61C" w14:textId="77777777" w:rsidR="00924C8B" w:rsidRDefault="000A65A1">
      <w:pPr>
        <w:pStyle w:val="Heading1"/>
        <w:rPr>
          <w:rFonts w:ascii="Times New Roman" w:eastAsia="Times New Roman" w:hAnsi="Times New Roman" w:cs="Times New Roman"/>
        </w:rPr>
      </w:pPr>
      <w:bookmarkStart w:id="5" w:name="_Toc174648987"/>
      <w:proofErr w:type="spellStart"/>
      <w:r>
        <w:rPr>
          <w:rFonts w:ascii="Times New Roman" w:eastAsia="Times New Roman" w:hAnsi="Times New Roman" w:cs="Times New Roman"/>
        </w:rPr>
        <w:t>i</w:t>
      </w:r>
      <w:proofErr w:type="spellEnd"/>
      <w:r>
        <w:rPr>
          <w:rFonts w:ascii="Times New Roman" w:eastAsia="Times New Roman" w:hAnsi="Times New Roman" w:cs="Times New Roman"/>
        </w:rPr>
        <w:t>. Prevalence of sexual violence against girls in Armenia and societal attitudes</w:t>
      </w:r>
      <w:bookmarkEnd w:id="5"/>
      <w:r>
        <w:rPr>
          <w:rFonts w:ascii="Times New Roman" w:eastAsia="Times New Roman" w:hAnsi="Times New Roman" w:cs="Times New Roman"/>
        </w:rPr>
        <w:t xml:space="preserve"> </w:t>
      </w:r>
    </w:p>
    <w:tbl>
      <w:tblPr>
        <w:tblStyle w:val="a7"/>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924C8B" w14:paraId="1816E620" w14:textId="77777777">
        <w:tc>
          <w:tcPr>
            <w:tcW w:w="9360" w:type="dxa"/>
            <w:shd w:val="clear" w:color="auto" w:fill="auto"/>
            <w:tcMar>
              <w:top w:w="100" w:type="dxa"/>
              <w:left w:w="100" w:type="dxa"/>
              <w:bottom w:w="100" w:type="dxa"/>
              <w:right w:w="100" w:type="dxa"/>
            </w:tcMar>
          </w:tcPr>
          <w:p w14:paraId="1816E61D" w14:textId="77777777" w:rsidR="00924C8B" w:rsidRDefault="000A65A1">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Summary of the section: </w:t>
            </w:r>
          </w:p>
          <w:p w14:paraId="1816E61E" w14:textId="77777777" w:rsidR="00924C8B" w:rsidRDefault="00924C8B">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p>
          <w:p w14:paraId="1816E61F" w14:textId="05A9AFCF" w:rsidR="00924C8B" w:rsidRDefault="000A65A1">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Sexual violence against girls in Armenia is a severe issue. Despite this, official data and statistics are either unavailable or incomplete, coupled with significant underreporting driven by societal stigma and fear of retribution. Pervasive gender stereotypes and victim-blaming further deter survivors from seeking help. Armenia's lack of comprehensive sexuality education exacerbates the problem, as current programmes inadequately address consent and sexual health, leaving many young people without the knowledge to recogni</w:t>
            </w:r>
            <w:r w:rsidR="004C6863">
              <w:rPr>
                <w:rFonts w:ascii="Times New Roman" w:eastAsia="Times New Roman" w:hAnsi="Times New Roman" w:cs="Times New Roman"/>
                <w:sz w:val="24"/>
                <w:szCs w:val="24"/>
              </w:rPr>
              <w:t>z</w:t>
            </w:r>
            <w:r>
              <w:rPr>
                <w:rFonts w:ascii="Times New Roman" w:eastAsia="Times New Roman" w:hAnsi="Times New Roman" w:cs="Times New Roman"/>
                <w:sz w:val="24"/>
                <w:szCs w:val="24"/>
              </w:rPr>
              <w:t xml:space="preserve">e and report sexual violence. </w:t>
            </w:r>
          </w:p>
        </w:tc>
      </w:tr>
    </w:tbl>
    <w:p w14:paraId="1816E621" w14:textId="77777777" w:rsidR="00924C8B" w:rsidRDefault="00924C8B">
      <w:pPr>
        <w:spacing w:line="240" w:lineRule="auto"/>
        <w:jc w:val="both"/>
        <w:rPr>
          <w:rFonts w:ascii="Times New Roman" w:eastAsia="Times New Roman" w:hAnsi="Times New Roman" w:cs="Times New Roman"/>
          <w:sz w:val="24"/>
          <w:szCs w:val="24"/>
        </w:rPr>
      </w:pPr>
    </w:p>
    <w:p w14:paraId="1816E622" w14:textId="77777777"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u w:val="single"/>
        </w:rPr>
        <w:t>Sexual violence against girls in Armenia remains a deeply concerning issue.</w:t>
      </w:r>
      <w:r>
        <w:rPr>
          <w:rFonts w:ascii="Times New Roman" w:eastAsia="Times New Roman" w:hAnsi="Times New Roman" w:cs="Times New Roman"/>
          <w:sz w:val="24"/>
          <w:szCs w:val="24"/>
        </w:rPr>
        <w:t xml:space="preserve"> Official statistics are either unavailable or incomplete, and the true scale of sexual violence against girls in Armenia is likely much higher due to underreporting driven by societal stigma, fear of retribution, or lack of trust that perpetrators will be held to account.</w:t>
      </w:r>
    </w:p>
    <w:p w14:paraId="1816E623" w14:textId="77777777" w:rsidR="00924C8B" w:rsidRDefault="00924C8B">
      <w:pPr>
        <w:spacing w:line="240" w:lineRule="auto"/>
        <w:jc w:val="both"/>
        <w:rPr>
          <w:rFonts w:ascii="Times New Roman" w:eastAsia="Times New Roman" w:hAnsi="Times New Roman" w:cs="Times New Roman"/>
          <w:sz w:val="24"/>
          <w:szCs w:val="24"/>
        </w:rPr>
      </w:pPr>
    </w:p>
    <w:p w14:paraId="1816E624" w14:textId="08D8852E"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For example, the Investigative Committee of Armenia reported that in 2023, 1159 criminal proceedings on crimes committed against minors were investigated by the Committee</w:t>
      </w:r>
      <w:r w:rsidR="004C6863">
        <w:rPr>
          <w:rFonts w:ascii="Times New Roman" w:eastAsia="Times New Roman" w:hAnsi="Times New Roman" w:cs="Times New Roman"/>
          <w:sz w:val="24"/>
          <w:szCs w:val="24"/>
        </w:rPr>
        <w:t>, compared with 545 proceedings of the previous year. In 2023, 14 of the proceedings sent to court were on sexual acts, compared with 11 in 2022</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13"/>
      </w:r>
    </w:p>
    <w:p w14:paraId="1816E625" w14:textId="77777777" w:rsidR="00924C8B" w:rsidRDefault="00924C8B">
      <w:pPr>
        <w:spacing w:line="240" w:lineRule="auto"/>
        <w:jc w:val="both"/>
        <w:rPr>
          <w:rFonts w:ascii="Times New Roman" w:eastAsia="Times New Roman" w:hAnsi="Times New Roman" w:cs="Times New Roman"/>
          <w:sz w:val="24"/>
          <w:szCs w:val="24"/>
        </w:rPr>
      </w:pPr>
    </w:p>
    <w:p w14:paraId="1816E626" w14:textId="77777777"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 xml:space="preserve">Between 2022 and 2023, the Sexual Assault Crisis </w:t>
      </w:r>
      <w:proofErr w:type="spellStart"/>
      <w:r>
        <w:rPr>
          <w:rFonts w:ascii="Times New Roman" w:eastAsia="Times New Roman" w:hAnsi="Times New Roman" w:cs="Times New Roman"/>
          <w:sz w:val="24"/>
          <w:szCs w:val="24"/>
        </w:rPr>
        <w:t>Center</w:t>
      </w:r>
      <w:proofErr w:type="spellEnd"/>
      <w:r>
        <w:rPr>
          <w:rFonts w:ascii="Times New Roman" w:eastAsia="Times New Roman" w:hAnsi="Times New Roman" w:cs="Times New Roman"/>
          <w:sz w:val="24"/>
          <w:szCs w:val="24"/>
        </w:rPr>
        <w:t xml:space="preserve"> (SACC) recorded 23 cases of sexual violence against minors, 20 of which were committed against girls. Given that SACC is a small NGO without government funding and limited reach, the actual number of unreported cases of sexual violence against minors is likely much higher.</w:t>
      </w:r>
    </w:p>
    <w:p w14:paraId="1816E627" w14:textId="77777777" w:rsidR="00924C8B" w:rsidRDefault="00924C8B">
      <w:pPr>
        <w:spacing w:line="240" w:lineRule="auto"/>
        <w:ind w:left="720"/>
        <w:jc w:val="both"/>
        <w:rPr>
          <w:rFonts w:ascii="Times New Roman" w:eastAsia="Times New Roman" w:hAnsi="Times New Roman" w:cs="Times New Roman"/>
          <w:sz w:val="24"/>
          <w:szCs w:val="24"/>
        </w:rPr>
      </w:pPr>
    </w:p>
    <w:p w14:paraId="1816E628" w14:textId="77777777" w:rsidR="00924C8B" w:rsidRDefault="00924C8B">
      <w:pPr>
        <w:spacing w:line="240" w:lineRule="auto"/>
        <w:jc w:val="both"/>
        <w:rPr>
          <w:rFonts w:ascii="Times New Roman" w:eastAsia="Times New Roman" w:hAnsi="Times New Roman" w:cs="Times New Roman"/>
          <w:sz w:val="24"/>
          <w:szCs w:val="24"/>
        </w:rPr>
      </w:pPr>
    </w:p>
    <w:p w14:paraId="1816E629" w14:textId="7540E950"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u w:val="single"/>
        </w:rPr>
        <w:t>Societal attitudes towards sexual violence, as well as attitudes of criminal justice actors, further complicate the situation.</w:t>
      </w:r>
      <w:r>
        <w:rPr>
          <w:rFonts w:ascii="Times New Roman" w:eastAsia="Times New Roman" w:hAnsi="Times New Roman" w:cs="Times New Roman"/>
          <w:sz w:val="24"/>
          <w:szCs w:val="24"/>
        </w:rPr>
        <w:t xml:space="preserve"> Gender stereotypes and victim-blaming often deter survivors from coming forward. Survivors frequently face secondary </w:t>
      </w:r>
      <w:r w:rsidR="0013667F">
        <w:rPr>
          <w:rFonts w:ascii="Times New Roman" w:eastAsia="Times New Roman" w:hAnsi="Times New Roman" w:cs="Times New Roman"/>
          <w:sz w:val="24"/>
          <w:szCs w:val="24"/>
        </w:rPr>
        <w:t>victimization</w:t>
      </w:r>
      <w:r>
        <w:rPr>
          <w:rFonts w:ascii="Times New Roman" w:eastAsia="Times New Roman" w:hAnsi="Times New Roman" w:cs="Times New Roman"/>
          <w:sz w:val="24"/>
          <w:szCs w:val="24"/>
        </w:rPr>
        <w:t xml:space="preserve"> from law enforcement and judicial authorities, who may question their credibility or suggest that they provoked the assault (see Section iv below). These societal attitudes are reflected in the media and public discourse, where gender stereotypes are reinforced, and discussions of sexual violence are often suppressed or </w:t>
      </w:r>
      <w:r w:rsidR="0013667F">
        <w:rPr>
          <w:rFonts w:ascii="Times New Roman" w:eastAsia="Times New Roman" w:hAnsi="Times New Roman" w:cs="Times New Roman"/>
          <w:sz w:val="24"/>
          <w:szCs w:val="24"/>
        </w:rPr>
        <w:t>minimized</w:t>
      </w:r>
      <w:r>
        <w:rPr>
          <w:rFonts w:ascii="Times New Roman" w:eastAsia="Times New Roman" w:hAnsi="Times New Roman" w:cs="Times New Roman"/>
          <w:sz w:val="24"/>
          <w:szCs w:val="24"/>
        </w:rPr>
        <w:t>. The Armenian media continue to air programmes that normali</w:t>
      </w:r>
      <w:r w:rsidR="0013667F">
        <w:rPr>
          <w:rFonts w:ascii="Times New Roman" w:eastAsia="Times New Roman" w:hAnsi="Times New Roman" w:cs="Times New Roman"/>
          <w:sz w:val="24"/>
          <w:szCs w:val="24"/>
        </w:rPr>
        <w:t>z</w:t>
      </w:r>
      <w:r>
        <w:rPr>
          <w:rFonts w:ascii="Times New Roman" w:eastAsia="Times New Roman" w:hAnsi="Times New Roman" w:cs="Times New Roman"/>
          <w:sz w:val="24"/>
          <w:szCs w:val="24"/>
        </w:rPr>
        <w:t>e violence against women, and there is a lack of comprehensive education and awareness campaigns to challenge these harmful norms.</w:t>
      </w:r>
    </w:p>
    <w:p w14:paraId="1816E62A" w14:textId="77777777" w:rsidR="00924C8B" w:rsidRDefault="00924C8B">
      <w:pPr>
        <w:spacing w:line="240" w:lineRule="auto"/>
        <w:jc w:val="both"/>
        <w:rPr>
          <w:rFonts w:ascii="Times New Roman" w:eastAsia="Times New Roman" w:hAnsi="Times New Roman" w:cs="Times New Roman"/>
          <w:sz w:val="24"/>
          <w:szCs w:val="24"/>
        </w:rPr>
      </w:pPr>
    </w:p>
    <w:p w14:paraId="1816E62B" w14:textId="77777777"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u w:val="single"/>
        </w:rPr>
        <w:t>The lack of comprehensive sexuality education in Armenia significantly contributes to the prevalence of sexual violence against girls</w:t>
      </w:r>
      <w:r>
        <w:rPr>
          <w:rFonts w:ascii="Times New Roman" w:eastAsia="Times New Roman" w:hAnsi="Times New Roman" w:cs="Times New Roman"/>
          <w:sz w:val="24"/>
          <w:szCs w:val="24"/>
        </w:rPr>
        <w:t xml:space="preserve">. Current educational programmes inadequately address issues of consent, sexual health and gender equality. The subject “Healthy Lifestyles”, which includes some aspects of reproductive health, is taught in schools within a framework that emphasises abstinence and employs fear-based approaches, failing to provide students with a clear understanding of consent and healthy relationships. This educational gap leaves many young people, especially girls, without the necessary knowledge to identify and report sexual violence. </w:t>
      </w:r>
    </w:p>
    <w:p w14:paraId="1816E62C" w14:textId="56439AB2" w:rsidR="00924C8B" w:rsidRDefault="000A65A1">
      <w:pPr>
        <w:pStyle w:val="Heading1"/>
        <w:rPr>
          <w:rFonts w:ascii="Times New Roman" w:eastAsia="Times New Roman" w:hAnsi="Times New Roman" w:cs="Times New Roman"/>
          <w:sz w:val="24"/>
          <w:szCs w:val="24"/>
        </w:rPr>
      </w:pPr>
      <w:bookmarkStart w:id="6" w:name="_Toc174648988"/>
      <w:r>
        <w:rPr>
          <w:rFonts w:ascii="Times New Roman" w:eastAsia="Times New Roman" w:hAnsi="Times New Roman" w:cs="Times New Roman"/>
        </w:rPr>
        <w:t>ii. Legal barriers to securing justice for girl survivors of sexual violence</w:t>
      </w:r>
      <w:bookmarkEnd w:id="6"/>
    </w:p>
    <w:tbl>
      <w:tblPr>
        <w:tblStyle w:val="a8"/>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924C8B" w14:paraId="1816E632" w14:textId="77777777">
        <w:tc>
          <w:tcPr>
            <w:tcW w:w="9360" w:type="dxa"/>
            <w:shd w:val="clear" w:color="auto" w:fill="auto"/>
            <w:tcMar>
              <w:top w:w="100" w:type="dxa"/>
              <w:left w:w="100" w:type="dxa"/>
              <w:bottom w:w="100" w:type="dxa"/>
              <w:right w:w="100" w:type="dxa"/>
            </w:tcMar>
          </w:tcPr>
          <w:p w14:paraId="1816E62D" w14:textId="77777777" w:rsidR="00924C8B" w:rsidRDefault="000A65A1">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Summary of the section: </w:t>
            </w:r>
          </w:p>
          <w:p w14:paraId="1816E62E" w14:textId="77777777" w:rsidR="00924C8B" w:rsidRDefault="00924C8B">
            <w:pPr>
              <w:widowControl w:val="0"/>
              <w:spacing w:line="240" w:lineRule="auto"/>
              <w:jc w:val="both"/>
              <w:rPr>
                <w:rFonts w:ascii="Times New Roman" w:eastAsia="Times New Roman" w:hAnsi="Times New Roman" w:cs="Times New Roman"/>
                <w:sz w:val="24"/>
                <w:szCs w:val="24"/>
              </w:rPr>
            </w:pPr>
          </w:p>
          <w:p w14:paraId="1816E62F" w14:textId="77777777" w:rsidR="00924C8B" w:rsidRDefault="000A65A1">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definition and enforcement of crimes of sexual violence against girls remain problematic. Article 200 of the Criminal Code addresses sexual acts with a person under sixteen years of age committed by an adult. The way the article is interpreted and enacted implies that the minor somehow consented to or initiated the sexual intercourse, which disregards the power dynamics and vulnerabilities inherent in such situations and provides opportunities for lenient treatment of perpetrators by the justice system. Furthermore, instances where rape or assault of a sexual nature occur without evidence of additional serious physical harm are often inadequately charged under Article 200, which carries significantly lesser penalties compared to crimes that are classified under the article of rape against a minor.</w:t>
            </w:r>
          </w:p>
          <w:p w14:paraId="1816E630" w14:textId="77777777" w:rsidR="00924C8B" w:rsidRDefault="00924C8B">
            <w:pPr>
              <w:widowControl w:val="0"/>
              <w:spacing w:line="240" w:lineRule="auto"/>
              <w:jc w:val="both"/>
              <w:rPr>
                <w:rFonts w:ascii="Times New Roman" w:eastAsia="Times New Roman" w:hAnsi="Times New Roman" w:cs="Times New Roman"/>
                <w:sz w:val="24"/>
                <w:szCs w:val="24"/>
              </w:rPr>
            </w:pPr>
          </w:p>
          <w:p w14:paraId="1816E631" w14:textId="58C677B5" w:rsidR="00924C8B" w:rsidRDefault="000A65A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provisions regarding the statute of limitations and the classification of </w:t>
            </w:r>
            <w:r w:rsidR="0086689F">
              <w:rPr>
                <w:rFonts w:ascii="Times New Roman" w:eastAsia="Times New Roman" w:hAnsi="Times New Roman" w:cs="Times New Roman"/>
                <w:sz w:val="24"/>
                <w:szCs w:val="24"/>
              </w:rPr>
              <w:t>offenses fail to adequately reflect the severity of sexual crimes against minors, leading to insufficient time for victims to report offenses</w:t>
            </w:r>
            <w:r>
              <w:rPr>
                <w:rFonts w:ascii="Times New Roman" w:eastAsia="Times New Roman" w:hAnsi="Times New Roman" w:cs="Times New Roman"/>
                <w:sz w:val="24"/>
                <w:szCs w:val="24"/>
              </w:rPr>
              <w:t xml:space="preserve"> and disproportionately light sentences. </w:t>
            </w:r>
          </w:p>
        </w:tc>
      </w:tr>
    </w:tbl>
    <w:p w14:paraId="1816E633" w14:textId="77777777" w:rsidR="00924C8B" w:rsidRDefault="00924C8B">
      <w:pPr>
        <w:spacing w:line="240" w:lineRule="auto"/>
        <w:jc w:val="both"/>
        <w:rPr>
          <w:rFonts w:ascii="Times New Roman" w:eastAsia="Times New Roman" w:hAnsi="Times New Roman" w:cs="Times New Roman"/>
          <w:sz w:val="24"/>
          <w:szCs w:val="24"/>
        </w:rPr>
      </w:pPr>
    </w:p>
    <w:p w14:paraId="1816E634" w14:textId="77777777"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There are several main types of crimes of sexual violence in the Criminal Code of Armenia that affect minors:</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performance of actions of a sexual nature towards a person under 16 years (Article 200); violent actions of a sexual nature (Article 198); compelling to actions of a sexual nature (Article 199); committing a lecherous act (Article 201); and offering a person under 16 sexual intercourse or other actions of a sexual nature (grooming) (Article 202). </w:t>
      </w:r>
    </w:p>
    <w:p w14:paraId="1816E635" w14:textId="77777777" w:rsidR="00924C8B" w:rsidRDefault="00924C8B">
      <w:pPr>
        <w:spacing w:line="240" w:lineRule="auto"/>
        <w:jc w:val="both"/>
        <w:rPr>
          <w:rFonts w:ascii="Times New Roman" w:eastAsia="Times New Roman" w:hAnsi="Times New Roman" w:cs="Times New Roman"/>
          <w:sz w:val="24"/>
          <w:szCs w:val="24"/>
        </w:rPr>
      </w:pPr>
    </w:p>
    <w:p w14:paraId="1816E636" w14:textId="1ABF9506"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Contrary to international standards requiring that definitions of sexual crimes should be based on “lack of freely given consent, and takes account of coercive circumstances</w:t>
      </w:r>
      <w:r w:rsidR="00720500">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the constituent elements of the definitions of violent actions of a sexual nature in the Criminal Code of Armenia (Article 198) against women and girls are violence, threat of violence, or abusing the helpless condition of the victim. However, Article 198(4) provides that sexual intercourse or other acts of a sexual nature, including imitation of sexual intercourse or satisfaction of sexual needs, committed against a person under the age of twelve, whether committed with violence, threat of violence, or abusing the helpless condition of the victim or not, are considered as violent actions of a sexual nature.</w:t>
      </w:r>
    </w:p>
    <w:p w14:paraId="1816E637" w14:textId="77777777" w:rsidR="00924C8B" w:rsidRDefault="00924C8B">
      <w:pPr>
        <w:spacing w:line="240" w:lineRule="auto"/>
        <w:ind w:left="720"/>
        <w:jc w:val="both"/>
        <w:rPr>
          <w:rFonts w:ascii="Times New Roman" w:eastAsia="Times New Roman" w:hAnsi="Times New Roman" w:cs="Times New Roman"/>
          <w:sz w:val="24"/>
          <w:szCs w:val="24"/>
        </w:rPr>
      </w:pPr>
    </w:p>
    <w:p w14:paraId="1816E638" w14:textId="1EB23B5D"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 xml:space="preserve">If the child is over 12 but under 16, sexual actions with the child (not involving violence or threats) are still a criminal </w:t>
      </w:r>
      <w:r w:rsidR="0086689F">
        <w:rPr>
          <w:rFonts w:ascii="Times New Roman" w:eastAsia="Times New Roman" w:hAnsi="Times New Roman" w:cs="Times New Roman"/>
          <w:sz w:val="24"/>
          <w:szCs w:val="24"/>
        </w:rPr>
        <w:t>offense</w:t>
      </w:r>
      <w:r>
        <w:rPr>
          <w:rFonts w:ascii="Times New Roman" w:eastAsia="Times New Roman" w:hAnsi="Times New Roman" w:cs="Times New Roman"/>
          <w:sz w:val="24"/>
          <w:szCs w:val="24"/>
        </w:rPr>
        <w:t xml:space="preserve"> (Article 200), but they are no longer classified as violent actions of a sexual nature (Article 198), resulting in significantly lesser sentences for the perpetrator. </w:t>
      </w:r>
    </w:p>
    <w:p w14:paraId="1816E639" w14:textId="77777777" w:rsidR="00924C8B" w:rsidRDefault="00924C8B">
      <w:pPr>
        <w:spacing w:line="240" w:lineRule="auto"/>
        <w:jc w:val="both"/>
        <w:rPr>
          <w:rFonts w:ascii="Times New Roman" w:eastAsia="Times New Roman" w:hAnsi="Times New Roman" w:cs="Times New Roman"/>
          <w:sz w:val="24"/>
          <w:szCs w:val="24"/>
        </w:rPr>
      </w:pPr>
    </w:p>
    <w:p w14:paraId="1816E63A" w14:textId="340469ED"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 xml:space="preserve">Article 200 of the Criminal Code </w:t>
      </w:r>
      <w:r w:rsidR="0086689F">
        <w:rPr>
          <w:rFonts w:ascii="Times New Roman" w:eastAsia="Times New Roman" w:hAnsi="Times New Roman" w:cs="Times New Roman"/>
          <w:sz w:val="24"/>
          <w:szCs w:val="24"/>
        </w:rPr>
        <w:t>criminalizes</w:t>
      </w:r>
      <w:r>
        <w:rPr>
          <w:rFonts w:ascii="Times New Roman" w:eastAsia="Times New Roman" w:hAnsi="Times New Roman" w:cs="Times New Roman"/>
          <w:sz w:val="24"/>
          <w:szCs w:val="24"/>
        </w:rPr>
        <w:t xml:space="preserve"> sexual actions by an adult with someone under 16. Even though the word “consent” is not mentioned in the article, </w:t>
      </w:r>
      <w:r>
        <w:rPr>
          <w:rFonts w:ascii="Times New Roman" w:eastAsia="Times New Roman" w:hAnsi="Times New Roman" w:cs="Times New Roman"/>
          <w:sz w:val="24"/>
          <w:szCs w:val="24"/>
          <w:u w:val="single"/>
        </w:rPr>
        <w:t>there is a problematic assumption in the implementation of this article that the minor consented</w:t>
      </w:r>
      <w:r>
        <w:rPr>
          <w:rFonts w:ascii="Times New Roman" w:eastAsia="Times New Roman" w:hAnsi="Times New Roman" w:cs="Times New Roman"/>
          <w:sz w:val="24"/>
          <w:szCs w:val="24"/>
        </w:rPr>
        <w:t xml:space="preserve"> (even though they were legally incapable of consent), which can place blame on the minor instead of the perpetrator and affect the way the criminal justice system might treat the perpetrator. At the same time, the Report of the Special Rapporteur on </w:t>
      </w:r>
      <w:r w:rsidR="00720500">
        <w:rPr>
          <w:rFonts w:ascii="Times New Roman" w:eastAsia="Times New Roman" w:hAnsi="Times New Roman" w:cs="Times New Roman"/>
          <w:sz w:val="24"/>
          <w:szCs w:val="24"/>
        </w:rPr>
        <w:t>Violence against Women, its Causes and Consequences, “A Framework for Legislation on Rape (model rape law),”</w:t>
      </w:r>
      <w:r>
        <w:rPr>
          <w:rFonts w:ascii="Times New Roman" w:eastAsia="Times New Roman" w:hAnsi="Times New Roman" w:cs="Times New Roman"/>
          <w:sz w:val="24"/>
          <w:szCs w:val="24"/>
        </w:rPr>
        <w:t xml:space="preserve"> provides that a person is considered incapable of giving genuine consent when they are a person below the age of 16.</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w:t>
      </w:r>
    </w:p>
    <w:p w14:paraId="1816E63B" w14:textId="77777777" w:rsidR="00924C8B" w:rsidRDefault="00924C8B">
      <w:pPr>
        <w:spacing w:line="240" w:lineRule="auto"/>
        <w:jc w:val="both"/>
        <w:rPr>
          <w:rFonts w:ascii="Times New Roman" w:eastAsia="Times New Roman" w:hAnsi="Times New Roman" w:cs="Times New Roman"/>
          <w:sz w:val="24"/>
          <w:szCs w:val="24"/>
        </w:rPr>
      </w:pPr>
    </w:p>
    <w:p w14:paraId="1816E63C" w14:textId="2600484C" w:rsidR="00924C8B" w:rsidRDefault="000A65A1">
      <w:pPr>
        <w:numPr>
          <w:ilvl w:val="0"/>
          <w:numId w:val="4"/>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Girls are particularly vulnerable to online and technology-facilitated violence</w:t>
      </w:r>
      <w:r w:rsidR="0072050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is exacerbated by the absence of specific legislation to combat it.</w:t>
      </w:r>
    </w:p>
    <w:p w14:paraId="1816E63D" w14:textId="2474F715" w:rsidR="00924C8B" w:rsidRDefault="000A65A1">
      <w:pPr>
        <w:pStyle w:val="Heading1"/>
        <w:rPr>
          <w:rFonts w:ascii="Times New Roman" w:eastAsia="Times New Roman" w:hAnsi="Times New Roman" w:cs="Times New Roman"/>
        </w:rPr>
      </w:pPr>
      <w:bookmarkStart w:id="7" w:name="_Toc174648989"/>
      <w:r>
        <w:rPr>
          <w:rFonts w:ascii="Times New Roman" w:eastAsia="Times New Roman" w:hAnsi="Times New Roman" w:cs="Times New Roman"/>
        </w:rPr>
        <w:t>iii. Child, early</w:t>
      </w:r>
      <w:r w:rsidR="00720500">
        <w:rPr>
          <w:rFonts w:ascii="Times New Roman" w:eastAsia="Times New Roman" w:hAnsi="Times New Roman" w:cs="Times New Roman"/>
        </w:rPr>
        <w:t>,</w:t>
      </w:r>
      <w:r>
        <w:rPr>
          <w:rFonts w:ascii="Times New Roman" w:eastAsia="Times New Roman" w:hAnsi="Times New Roman" w:cs="Times New Roman"/>
        </w:rPr>
        <w:t xml:space="preserve"> and forced marriages</w:t>
      </w:r>
      <w:bookmarkEnd w:id="7"/>
    </w:p>
    <w:tbl>
      <w:tblPr>
        <w:tblStyle w:val="a9"/>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924C8B" w14:paraId="1816E643" w14:textId="77777777">
        <w:tc>
          <w:tcPr>
            <w:tcW w:w="9360" w:type="dxa"/>
            <w:shd w:val="clear" w:color="auto" w:fill="auto"/>
            <w:tcMar>
              <w:top w:w="100" w:type="dxa"/>
              <w:left w:w="100" w:type="dxa"/>
              <w:bottom w:w="100" w:type="dxa"/>
              <w:right w:w="100" w:type="dxa"/>
            </w:tcMar>
          </w:tcPr>
          <w:p w14:paraId="1816E63E" w14:textId="77777777" w:rsidR="00924C8B" w:rsidRDefault="000A65A1">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Summary of the section: </w:t>
            </w:r>
          </w:p>
          <w:p w14:paraId="1816E63F" w14:textId="77777777" w:rsidR="00924C8B" w:rsidRDefault="00924C8B">
            <w:pPr>
              <w:widowControl w:val="0"/>
              <w:spacing w:line="240" w:lineRule="auto"/>
              <w:jc w:val="both"/>
              <w:rPr>
                <w:rFonts w:ascii="Times New Roman" w:eastAsia="Times New Roman" w:hAnsi="Times New Roman" w:cs="Times New Roman"/>
                <w:sz w:val="24"/>
                <w:szCs w:val="24"/>
              </w:rPr>
            </w:pPr>
          </w:p>
          <w:p w14:paraId="1816E640" w14:textId="1757F9DE" w:rsidR="00924C8B" w:rsidRDefault="000A65A1">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Harmful practices such as child and forced marriages remain a significant issue in Armenia. While it is established that the minimum age of marriage is 18, Article 11 of the Family Code allows marriage at 16 and 17 with consent of parents, adoptive parents</w:t>
            </w:r>
            <w:r w:rsidR="0072050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or legal guardians.</w:t>
            </w:r>
          </w:p>
          <w:p w14:paraId="1816E641" w14:textId="77777777" w:rsidR="00924C8B" w:rsidRDefault="00924C8B">
            <w:pPr>
              <w:widowControl w:val="0"/>
              <w:spacing w:line="240" w:lineRule="auto"/>
              <w:jc w:val="both"/>
              <w:rPr>
                <w:rFonts w:ascii="Times New Roman" w:eastAsia="Times New Roman" w:hAnsi="Times New Roman" w:cs="Times New Roman"/>
                <w:sz w:val="24"/>
                <w:szCs w:val="24"/>
              </w:rPr>
            </w:pPr>
          </w:p>
          <w:p w14:paraId="1816E642" w14:textId="74FDA4EA" w:rsidR="00924C8B" w:rsidRDefault="000A65A1">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most problematic issues is under-identification of CEFM and informal unions. Victims themselves are often isolated</w:t>
            </w:r>
            <w:r w:rsidR="00720500">
              <w:rPr>
                <w:rFonts w:ascii="Times New Roman" w:eastAsia="Times New Roman" w:hAnsi="Times New Roman" w:cs="Times New Roman"/>
                <w:sz w:val="24"/>
                <w:szCs w:val="24"/>
              </w:rPr>
              <w:t>; they fear reprisals, face social stigma,</w:t>
            </w:r>
            <w:r>
              <w:rPr>
                <w:rFonts w:ascii="Times New Roman" w:eastAsia="Times New Roman" w:hAnsi="Times New Roman" w:cs="Times New Roman"/>
                <w:sz w:val="24"/>
                <w:szCs w:val="24"/>
              </w:rPr>
              <w:t xml:space="preserve"> and lack awareness of available support mechanisms. Victims and their families (e.g., in forced marriages, as well as abductions for forced marriage (“bride kidnapping”) cases) often hesitate to come forward due to concerns about facing direct or indirect backlash from perpetrators or their own communities. All of these contribute to widespread underreporting of child and forced marriages, as well as abductions for forced marriage.</w:t>
            </w:r>
          </w:p>
        </w:tc>
      </w:tr>
    </w:tbl>
    <w:p w14:paraId="1816E644" w14:textId="77777777" w:rsidR="00924C8B" w:rsidRDefault="00924C8B">
      <w:pPr>
        <w:spacing w:line="240" w:lineRule="auto"/>
        <w:jc w:val="both"/>
        <w:rPr>
          <w:rFonts w:ascii="Times New Roman" w:eastAsia="Times New Roman" w:hAnsi="Times New Roman" w:cs="Times New Roman"/>
          <w:sz w:val="24"/>
          <w:szCs w:val="24"/>
        </w:rPr>
      </w:pPr>
    </w:p>
    <w:p w14:paraId="1816E645" w14:textId="77777777"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The legal framework surrounding marriage is outlined in the Family Code, specifically in Article 10.</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This article stipulates that mutual voluntary consent and reaching the age of marriage—eighteen for both men and women—are necessary conditions for the conclusion of marriage, with certain exceptions.</w:t>
      </w:r>
    </w:p>
    <w:p w14:paraId="1816E646" w14:textId="77777777" w:rsidR="00924C8B" w:rsidRDefault="00924C8B">
      <w:pPr>
        <w:spacing w:line="240" w:lineRule="auto"/>
        <w:jc w:val="both"/>
        <w:rPr>
          <w:rFonts w:ascii="Times New Roman" w:eastAsia="Times New Roman" w:hAnsi="Times New Roman" w:cs="Times New Roman"/>
          <w:sz w:val="24"/>
          <w:szCs w:val="24"/>
        </w:rPr>
      </w:pPr>
    </w:p>
    <w:p w14:paraId="1816E647" w14:textId="77777777"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 xml:space="preserve">However, there is an exception under the law, where a person can also marry at the age of 17 with the consent of their parents, adoptive parents, or guardian. Furthermore, a person can marry at age 16 if they have the consent of their parents, adoptive parents, or guardian and the other person getting married is at least 18 years old. </w:t>
      </w:r>
      <w:r>
        <w:rPr>
          <w:rFonts w:ascii="Times New Roman" w:eastAsia="Times New Roman" w:hAnsi="Times New Roman" w:cs="Times New Roman"/>
          <w:sz w:val="24"/>
          <w:szCs w:val="24"/>
          <w:u w:val="single"/>
        </w:rPr>
        <w:t>This clause effectively undermines the legal age requirement and facilitates child marriage</w:t>
      </w:r>
      <w:r>
        <w:rPr>
          <w:rFonts w:ascii="Times New Roman" w:eastAsia="Times New Roman" w:hAnsi="Times New Roman" w:cs="Times New Roman"/>
          <w:sz w:val="24"/>
          <w:szCs w:val="24"/>
        </w:rPr>
        <w:t>.</w:t>
      </w:r>
    </w:p>
    <w:p w14:paraId="1816E648" w14:textId="77777777" w:rsidR="00924C8B" w:rsidRDefault="00924C8B">
      <w:pPr>
        <w:spacing w:line="240" w:lineRule="auto"/>
        <w:jc w:val="both"/>
        <w:rPr>
          <w:rFonts w:ascii="Times New Roman" w:eastAsia="Times New Roman" w:hAnsi="Times New Roman" w:cs="Times New Roman"/>
          <w:sz w:val="24"/>
          <w:szCs w:val="24"/>
        </w:rPr>
      </w:pPr>
    </w:p>
    <w:p w14:paraId="1816E649" w14:textId="3A35EB31"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According to the 2015-2016 Demographic and Health Survey</w:t>
      </w:r>
      <w:r w:rsidR="00C848BE">
        <w:rPr>
          <w:rFonts w:ascii="Times New Roman" w:eastAsia="Times New Roman" w:hAnsi="Times New Roman" w:cs="Times New Roman"/>
          <w:sz w:val="24"/>
          <w:szCs w:val="24"/>
        </w:rPr>
        <w:t>, conducted jointly by the State Statistical Service and the Ministry of Health, 5.3 percent</w:t>
      </w:r>
      <w:r>
        <w:rPr>
          <w:rFonts w:ascii="Times New Roman" w:eastAsia="Times New Roman" w:hAnsi="Times New Roman" w:cs="Times New Roman"/>
          <w:sz w:val="24"/>
          <w:szCs w:val="24"/>
        </w:rPr>
        <w:t xml:space="preserve"> of women aged 20-24 in Armenia were married by 18.</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This data underscores the prevalence of child marriage in Armenia despite legislative measures.</w:t>
      </w:r>
    </w:p>
    <w:p w14:paraId="1816E64A" w14:textId="77777777" w:rsidR="00924C8B" w:rsidRDefault="00924C8B">
      <w:pPr>
        <w:spacing w:line="240" w:lineRule="auto"/>
        <w:jc w:val="both"/>
        <w:rPr>
          <w:rFonts w:ascii="Times New Roman" w:eastAsia="Times New Roman" w:hAnsi="Times New Roman" w:cs="Times New Roman"/>
          <w:sz w:val="24"/>
          <w:szCs w:val="24"/>
        </w:rPr>
      </w:pPr>
    </w:p>
    <w:p w14:paraId="1816E64B" w14:textId="77777777"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u w:val="single"/>
        </w:rPr>
        <w:t>There is a notable absence of data and procedures to identify forced marriages (committed not only against minors, but adults), as well as a lack of prevention programmes addressing early marriage</w:t>
      </w:r>
      <w:r>
        <w:rPr>
          <w:rFonts w:ascii="Times New Roman" w:eastAsia="Times New Roman" w:hAnsi="Times New Roman" w:cs="Times New Roman"/>
          <w:sz w:val="24"/>
          <w:szCs w:val="24"/>
        </w:rPr>
        <w:t>.</w:t>
      </w:r>
    </w:p>
    <w:p w14:paraId="1816E64C" w14:textId="77777777" w:rsidR="00924C8B" w:rsidRDefault="00924C8B">
      <w:pPr>
        <w:spacing w:line="240" w:lineRule="auto"/>
        <w:jc w:val="both"/>
        <w:rPr>
          <w:rFonts w:ascii="Times New Roman" w:eastAsia="Times New Roman" w:hAnsi="Times New Roman" w:cs="Times New Roman"/>
          <w:sz w:val="24"/>
          <w:szCs w:val="24"/>
        </w:rPr>
      </w:pPr>
    </w:p>
    <w:p w14:paraId="1816E64D" w14:textId="77777777"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A joint study conducted by the Investigative Committee and the Sexual Assault Crisis Centre (SACC) in 2017 examined criminal cases related to crimes against sexual immunity and sexual freedom during 2015-2016.</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The study revealed that in cases investigated under Article 141 of the Criminal Code,</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where one party was a minor aged 12-16, parents or legal representatives were often aware of their child's relationship with a person aged 18 or older and had given their consent for the marital relationship. In some instances, they even concealed the actual age of the minor. Despite this, parents or legal representatives were not brought to account in these cases.</w:t>
      </w:r>
    </w:p>
    <w:p w14:paraId="1816E64E" w14:textId="77777777" w:rsidR="00924C8B" w:rsidRDefault="00924C8B">
      <w:pPr>
        <w:spacing w:line="240" w:lineRule="auto"/>
        <w:jc w:val="both"/>
        <w:rPr>
          <w:rFonts w:ascii="Times New Roman" w:eastAsia="Times New Roman" w:hAnsi="Times New Roman" w:cs="Times New Roman"/>
          <w:sz w:val="24"/>
          <w:szCs w:val="24"/>
        </w:rPr>
      </w:pPr>
    </w:p>
    <w:p w14:paraId="1816E64F" w14:textId="6EF94EC2"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Existing reports</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and anecdotal evidence </w:t>
      </w:r>
      <w:r w:rsidR="00C848BE">
        <w:rPr>
          <w:rFonts w:ascii="Times New Roman" w:eastAsia="Times New Roman" w:hAnsi="Times New Roman" w:cs="Times New Roman"/>
          <w:sz w:val="24"/>
          <w:szCs w:val="24"/>
        </w:rPr>
        <w:t xml:space="preserve">suggests the </w:t>
      </w:r>
      <w:r>
        <w:rPr>
          <w:rFonts w:ascii="Times New Roman" w:eastAsia="Times New Roman" w:hAnsi="Times New Roman" w:cs="Times New Roman"/>
          <w:sz w:val="24"/>
          <w:szCs w:val="24"/>
        </w:rPr>
        <w:t>existence of abductions for forced marriage in Armenia involving girls under 18. These cases range from romantic elopements to coercive abductions. Nonetheless, the official statistics available are outdated and likely do not reflect the true scale of the issue.</w:t>
      </w:r>
    </w:p>
    <w:p w14:paraId="1816E650" w14:textId="77777777" w:rsidR="00924C8B" w:rsidRDefault="000A65A1">
      <w:pPr>
        <w:pStyle w:val="Heading1"/>
        <w:rPr>
          <w:rFonts w:ascii="Times New Roman" w:eastAsia="Times New Roman" w:hAnsi="Times New Roman" w:cs="Times New Roman"/>
        </w:rPr>
      </w:pPr>
      <w:bookmarkStart w:id="8" w:name="_Toc174648990"/>
      <w:r>
        <w:rPr>
          <w:rFonts w:ascii="Times New Roman" w:eastAsia="Times New Roman" w:hAnsi="Times New Roman" w:cs="Times New Roman"/>
        </w:rPr>
        <w:t>iv. Grounds for release from criminal liability and/or punishment</w:t>
      </w:r>
      <w:bookmarkEnd w:id="8"/>
    </w:p>
    <w:tbl>
      <w:tblPr>
        <w:tblStyle w:val="a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924C8B" w14:paraId="1816E654" w14:textId="77777777">
        <w:tc>
          <w:tcPr>
            <w:tcW w:w="9360" w:type="dxa"/>
            <w:shd w:val="clear" w:color="auto" w:fill="auto"/>
            <w:tcMar>
              <w:top w:w="100" w:type="dxa"/>
              <w:left w:w="100" w:type="dxa"/>
              <w:bottom w:w="100" w:type="dxa"/>
              <w:right w:w="100" w:type="dxa"/>
            </w:tcMar>
          </w:tcPr>
          <w:p w14:paraId="1816E651" w14:textId="77777777" w:rsidR="00924C8B" w:rsidRDefault="000A65A1">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Summary of the section: </w:t>
            </w:r>
          </w:p>
          <w:p w14:paraId="1816E652" w14:textId="77777777" w:rsidR="00924C8B" w:rsidRDefault="00924C8B">
            <w:pPr>
              <w:widowControl w:val="0"/>
              <w:spacing w:line="240" w:lineRule="auto"/>
              <w:jc w:val="both"/>
              <w:rPr>
                <w:rFonts w:ascii="Times New Roman" w:eastAsia="Times New Roman" w:hAnsi="Times New Roman" w:cs="Times New Roman"/>
                <w:sz w:val="24"/>
                <w:szCs w:val="24"/>
              </w:rPr>
            </w:pPr>
          </w:p>
          <w:p w14:paraId="1816E653" w14:textId="77777777" w:rsidR="00924C8B" w:rsidRDefault="000A65A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legislation of Armenia does not provide sufficient clarity or robust mechanisms to ensure that perpetrators of sexual violence cannot evade criminal liability or punishment. </w:t>
            </w:r>
          </w:p>
        </w:tc>
      </w:tr>
    </w:tbl>
    <w:p w14:paraId="1816E655" w14:textId="77777777" w:rsidR="00924C8B" w:rsidRDefault="00924C8B">
      <w:pPr>
        <w:spacing w:line="240" w:lineRule="auto"/>
        <w:jc w:val="both"/>
        <w:rPr>
          <w:rFonts w:ascii="Times New Roman" w:eastAsia="Times New Roman" w:hAnsi="Times New Roman" w:cs="Times New Roman"/>
          <w:sz w:val="24"/>
          <w:szCs w:val="24"/>
        </w:rPr>
      </w:pPr>
    </w:p>
    <w:p w14:paraId="1816E656" w14:textId="558B5E40"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 xml:space="preserve">For example, </w:t>
      </w:r>
      <w:r>
        <w:rPr>
          <w:rFonts w:ascii="Times New Roman" w:eastAsia="Times New Roman" w:hAnsi="Times New Roman" w:cs="Times New Roman"/>
          <w:sz w:val="24"/>
          <w:szCs w:val="24"/>
          <w:u w:val="single"/>
        </w:rPr>
        <w:t>Article 82 allows for the release from criminal liability if there is reconciliation between the perpetrator and the victim</w:t>
      </w:r>
      <w:r>
        <w:rPr>
          <w:rFonts w:ascii="Times New Roman" w:eastAsia="Times New Roman" w:hAnsi="Times New Roman" w:cs="Times New Roman"/>
          <w:sz w:val="24"/>
          <w:szCs w:val="24"/>
        </w:rPr>
        <w:t xml:space="preserve"> for minor or medium-gravity </w:t>
      </w:r>
      <w:r w:rsidR="00C848BE">
        <w:rPr>
          <w:rFonts w:ascii="Times New Roman" w:eastAsia="Times New Roman" w:hAnsi="Times New Roman" w:cs="Times New Roman"/>
          <w:sz w:val="24"/>
          <w:szCs w:val="24"/>
        </w:rPr>
        <w:t>offenses</w:t>
      </w:r>
      <w:r>
        <w:rPr>
          <w:rFonts w:ascii="Times New Roman" w:eastAsia="Times New Roman" w:hAnsi="Times New Roman" w:cs="Times New Roman"/>
          <w:sz w:val="24"/>
          <w:szCs w:val="24"/>
        </w:rPr>
        <w:t xml:space="preserve">. It means that perpetrators of the following crimes can be released from criminal liability due to reconciliation: </w:t>
      </w:r>
    </w:p>
    <w:p w14:paraId="1816E657" w14:textId="4016463D" w:rsidR="00924C8B" w:rsidRDefault="000A65A1">
      <w:pPr>
        <w:numPr>
          <w:ilvl w:val="1"/>
          <w:numId w:val="4"/>
        </w:numPr>
        <w:spacing w:line="240" w:lineRule="auto"/>
        <w:jc w:val="both"/>
        <w:rPr>
          <w:sz w:val="24"/>
          <w:szCs w:val="24"/>
        </w:rPr>
      </w:pPr>
      <w:r>
        <w:rPr>
          <w:rFonts w:ascii="Times New Roman" w:eastAsia="Times New Roman" w:hAnsi="Times New Roman" w:cs="Times New Roman"/>
          <w:sz w:val="24"/>
          <w:szCs w:val="24"/>
        </w:rPr>
        <w:t xml:space="preserve">Sexual intercourse or other actions of </w:t>
      </w:r>
      <w:r w:rsidR="00C848BE">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sexual nature, including imitation of sexual intercourse or satisfaction of sexual needs, in cases where they were committed by a person having attained 18 years towards a person having attained the age of 14 but not having attained 16 years (Article 200(1) of the Criminal Code);</w:t>
      </w:r>
    </w:p>
    <w:p w14:paraId="1816E658" w14:textId="77777777" w:rsidR="00924C8B" w:rsidRDefault="000A65A1">
      <w:pPr>
        <w:numPr>
          <w:ilvl w:val="1"/>
          <w:numId w:val="4"/>
        </w:numPr>
        <w:spacing w:line="240" w:lineRule="auto"/>
        <w:jc w:val="both"/>
        <w:rPr>
          <w:sz w:val="24"/>
          <w:szCs w:val="24"/>
        </w:rPr>
      </w:pPr>
      <w:r>
        <w:rPr>
          <w:rFonts w:ascii="Times New Roman" w:eastAsia="Times New Roman" w:hAnsi="Times New Roman" w:cs="Times New Roman"/>
          <w:sz w:val="24"/>
          <w:szCs w:val="24"/>
        </w:rPr>
        <w:t>Committing a Lecherous Act (Article 201(1) of the Criminal Code);</w:t>
      </w:r>
    </w:p>
    <w:p w14:paraId="1816E659" w14:textId="77777777" w:rsidR="00924C8B" w:rsidRDefault="000A65A1">
      <w:pPr>
        <w:numPr>
          <w:ilvl w:val="1"/>
          <w:numId w:val="4"/>
        </w:numPr>
        <w:spacing w:line="240" w:lineRule="auto"/>
        <w:jc w:val="both"/>
        <w:rPr>
          <w:sz w:val="24"/>
          <w:szCs w:val="24"/>
        </w:rPr>
      </w:pPr>
      <w:r>
        <w:rPr>
          <w:rFonts w:ascii="Times New Roman" w:eastAsia="Times New Roman" w:hAnsi="Times New Roman" w:cs="Times New Roman"/>
          <w:sz w:val="24"/>
          <w:szCs w:val="24"/>
        </w:rPr>
        <w:t>Grooming (Article 202 of the Criminal Code);</w:t>
      </w:r>
    </w:p>
    <w:p w14:paraId="1816E65A" w14:textId="3F92844D" w:rsidR="00924C8B" w:rsidRDefault="000A65A1">
      <w:pPr>
        <w:numPr>
          <w:ilvl w:val="1"/>
          <w:numId w:val="4"/>
        </w:numPr>
        <w:spacing w:line="240" w:lineRule="auto"/>
        <w:jc w:val="both"/>
        <w:rPr>
          <w:sz w:val="24"/>
          <w:szCs w:val="24"/>
        </w:rPr>
      </w:pPr>
      <w:r>
        <w:rPr>
          <w:rFonts w:ascii="Times New Roman" w:eastAsia="Times New Roman" w:hAnsi="Times New Roman" w:cs="Times New Roman"/>
          <w:sz w:val="24"/>
          <w:szCs w:val="24"/>
        </w:rPr>
        <w:t>Coercion to Marry, Divorce</w:t>
      </w:r>
      <w:r w:rsidR="00C848B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or have a Child (Article 197 of the Criminal Code). </w:t>
      </w:r>
    </w:p>
    <w:p w14:paraId="1816E65B" w14:textId="77777777" w:rsidR="00924C8B" w:rsidRDefault="00924C8B">
      <w:pPr>
        <w:spacing w:line="240" w:lineRule="auto"/>
        <w:jc w:val="both"/>
        <w:rPr>
          <w:rFonts w:ascii="Times New Roman" w:eastAsia="Times New Roman" w:hAnsi="Times New Roman" w:cs="Times New Roman"/>
          <w:sz w:val="24"/>
          <w:szCs w:val="24"/>
        </w:rPr>
      </w:pPr>
    </w:p>
    <w:p w14:paraId="1816E65C" w14:textId="0ECA3016"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 xml:space="preserve">Also, </w:t>
      </w:r>
      <w:r>
        <w:rPr>
          <w:rFonts w:ascii="Times New Roman" w:eastAsia="Times New Roman" w:hAnsi="Times New Roman" w:cs="Times New Roman"/>
          <w:sz w:val="24"/>
          <w:szCs w:val="24"/>
          <w:u w:val="single"/>
        </w:rPr>
        <w:t>a perpetrator can be released from criminal liability in the event of active repentance</w:t>
      </w:r>
      <w:r>
        <w:rPr>
          <w:rFonts w:ascii="Times New Roman" w:eastAsia="Times New Roman" w:hAnsi="Times New Roman" w:cs="Times New Roman"/>
          <w:sz w:val="24"/>
          <w:szCs w:val="24"/>
        </w:rPr>
        <w:t xml:space="preserve"> (Article 81 of the Criminal Code), i.e., the person </w:t>
      </w:r>
      <w:r w:rsidR="00C848BE">
        <w:rPr>
          <w:rFonts w:ascii="Times New Roman" w:eastAsia="Times New Roman" w:hAnsi="Times New Roman" w:cs="Times New Roman"/>
          <w:sz w:val="24"/>
          <w:szCs w:val="24"/>
        </w:rPr>
        <w:t>has</w:t>
      </w:r>
      <w:r>
        <w:rPr>
          <w:rFonts w:ascii="Times New Roman" w:eastAsia="Times New Roman" w:hAnsi="Times New Roman" w:cs="Times New Roman"/>
          <w:sz w:val="24"/>
          <w:szCs w:val="24"/>
        </w:rPr>
        <w:t xml:space="preserve"> committed a criminal </w:t>
      </w:r>
      <w:r w:rsidR="006231A2">
        <w:rPr>
          <w:rFonts w:ascii="Times New Roman" w:eastAsia="Times New Roman" w:hAnsi="Times New Roman" w:cs="Times New Roman"/>
          <w:sz w:val="24"/>
          <w:szCs w:val="24"/>
        </w:rPr>
        <w:t>offense</w:t>
      </w:r>
      <w:r>
        <w:rPr>
          <w:rFonts w:ascii="Times New Roman" w:eastAsia="Times New Roman" w:hAnsi="Times New Roman" w:cs="Times New Roman"/>
          <w:sz w:val="24"/>
          <w:szCs w:val="24"/>
        </w:rPr>
        <w:t xml:space="preserve"> for the first time may be released from criminal liability if the act committed by them is a minor or medium gravity criminal </w:t>
      </w:r>
      <w:r w:rsidR="006231A2">
        <w:rPr>
          <w:rFonts w:ascii="Times New Roman" w:eastAsia="Times New Roman" w:hAnsi="Times New Roman" w:cs="Times New Roman"/>
          <w:sz w:val="24"/>
          <w:szCs w:val="24"/>
        </w:rPr>
        <w:t>offense</w:t>
      </w:r>
      <w:r>
        <w:rPr>
          <w:rFonts w:ascii="Times New Roman" w:eastAsia="Times New Roman" w:hAnsi="Times New Roman" w:cs="Times New Roman"/>
          <w:sz w:val="24"/>
          <w:szCs w:val="24"/>
        </w:rPr>
        <w:t xml:space="preserve"> and they have been cooperating with the criminal prosecution bodies, not arguing the act incriminating them and having compensated or otherwise remedied the damage caused by the crime.</w:t>
      </w:r>
    </w:p>
    <w:p w14:paraId="1816E65D" w14:textId="77777777" w:rsidR="00924C8B" w:rsidRDefault="00924C8B">
      <w:pPr>
        <w:spacing w:line="240" w:lineRule="auto"/>
        <w:jc w:val="both"/>
        <w:rPr>
          <w:rFonts w:ascii="Times New Roman" w:eastAsia="Times New Roman" w:hAnsi="Times New Roman" w:cs="Times New Roman"/>
          <w:sz w:val="24"/>
          <w:szCs w:val="24"/>
        </w:rPr>
      </w:pPr>
    </w:p>
    <w:p w14:paraId="1816E65E" w14:textId="77777777"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 xml:space="preserve">Article 81 of the Criminal Code provides that if the court, at the time of the assignment of punishment, </w:t>
      </w:r>
      <w:proofErr w:type="gramStart"/>
      <w:r>
        <w:rPr>
          <w:rFonts w:ascii="Times New Roman" w:eastAsia="Times New Roman" w:hAnsi="Times New Roman" w:cs="Times New Roman"/>
          <w:sz w:val="24"/>
          <w:szCs w:val="24"/>
        </w:rPr>
        <w:t>comes to the conclusion</w:t>
      </w:r>
      <w:proofErr w:type="gramEnd"/>
      <w:r>
        <w:rPr>
          <w:rFonts w:ascii="Times New Roman" w:eastAsia="Times New Roman" w:hAnsi="Times New Roman" w:cs="Times New Roman"/>
          <w:sz w:val="24"/>
          <w:szCs w:val="24"/>
        </w:rPr>
        <w:t xml:space="preserve"> that the purposes of punishment can be achieved without serving punishment, </w:t>
      </w:r>
      <w:r>
        <w:rPr>
          <w:rFonts w:ascii="Times New Roman" w:eastAsia="Times New Roman" w:hAnsi="Times New Roman" w:cs="Times New Roman"/>
          <w:sz w:val="24"/>
          <w:szCs w:val="24"/>
          <w:u w:val="single"/>
        </w:rPr>
        <w:t>the court can hand down a suspended sentence.</w:t>
      </w:r>
    </w:p>
    <w:p w14:paraId="1816E65F" w14:textId="77777777" w:rsidR="00924C8B" w:rsidRDefault="00924C8B">
      <w:pPr>
        <w:spacing w:line="240" w:lineRule="auto"/>
        <w:jc w:val="both"/>
        <w:rPr>
          <w:rFonts w:ascii="Times New Roman" w:eastAsia="Times New Roman" w:hAnsi="Times New Roman" w:cs="Times New Roman"/>
          <w:sz w:val="24"/>
          <w:szCs w:val="24"/>
          <w:u w:val="single"/>
        </w:rPr>
      </w:pPr>
    </w:p>
    <w:p w14:paraId="1816E660" w14:textId="67F41640"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 xml:space="preserve">All of these can be problematic as </w:t>
      </w:r>
      <w:r w:rsidR="006231A2">
        <w:rPr>
          <w:rFonts w:ascii="Times New Roman" w:eastAsia="Times New Roman" w:hAnsi="Times New Roman" w:cs="Times New Roman"/>
          <w:sz w:val="24"/>
          <w:szCs w:val="24"/>
        </w:rPr>
        <w:t>they</w:t>
      </w:r>
      <w:r>
        <w:rPr>
          <w:rFonts w:ascii="Times New Roman" w:eastAsia="Times New Roman" w:hAnsi="Times New Roman" w:cs="Times New Roman"/>
          <w:sz w:val="24"/>
          <w:szCs w:val="24"/>
        </w:rPr>
        <w:t xml:space="preserve"> may lead to the misuse of these grounds to avoid accountability, especially in cases where the power dynamics and trauma involved can compromise the victim's ability to consent to make decisions related to criminal proceedings freely.</w:t>
      </w:r>
    </w:p>
    <w:p w14:paraId="1816E661" w14:textId="77777777" w:rsidR="00924C8B" w:rsidRDefault="00924C8B">
      <w:pPr>
        <w:spacing w:line="240" w:lineRule="auto"/>
        <w:jc w:val="both"/>
        <w:rPr>
          <w:rFonts w:ascii="Times New Roman" w:eastAsia="Times New Roman" w:hAnsi="Times New Roman" w:cs="Times New Roman"/>
          <w:sz w:val="24"/>
          <w:szCs w:val="24"/>
        </w:rPr>
      </w:pPr>
    </w:p>
    <w:p w14:paraId="1816E662" w14:textId="36D9EC6A"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 xml:space="preserve">Additionally, </w:t>
      </w:r>
      <w:r>
        <w:rPr>
          <w:rFonts w:ascii="Times New Roman" w:eastAsia="Times New Roman" w:hAnsi="Times New Roman" w:cs="Times New Roman"/>
          <w:sz w:val="24"/>
          <w:szCs w:val="24"/>
          <w:u w:val="single"/>
        </w:rPr>
        <w:t>the statute of limitations in Armenian law does not adequately account for the complexities surrounding the reporting of sexual abuse by child victims.</w:t>
      </w:r>
      <w:r>
        <w:rPr>
          <w:rFonts w:ascii="Times New Roman" w:eastAsia="Times New Roman" w:hAnsi="Times New Roman" w:cs="Times New Roman"/>
          <w:sz w:val="24"/>
          <w:szCs w:val="24"/>
        </w:rPr>
        <w:t xml:space="preserve"> Article 83 stipulates that the statute of limitations for criminal </w:t>
      </w:r>
      <w:r w:rsidR="006231A2">
        <w:rPr>
          <w:rFonts w:ascii="Times New Roman" w:eastAsia="Times New Roman" w:hAnsi="Times New Roman" w:cs="Times New Roman"/>
          <w:sz w:val="24"/>
          <w:szCs w:val="24"/>
        </w:rPr>
        <w:t>offenses ranges from 5 years for minor offenses to 20 years for particularly grave offenses</w:t>
      </w:r>
      <w:r>
        <w:rPr>
          <w:rFonts w:ascii="Times New Roman" w:eastAsia="Times New Roman" w:hAnsi="Times New Roman" w:cs="Times New Roman"/>
          <w:sz w:val="24"/>
          <w:szCs w:val="24"/>
        </w:rPr>
        <w:t xml:space="preserve">. The limitations period starts when the victim reaches the age of 18 for crimes under Articles 198-202, which include sexual </w:t>
      </w:r>
      <w:r w:rsidR="006231A2">
        <w:rPr>
          <w:rFonts w:ascii="Times New Roman" w:eastAsia="Times New Roman" w:hAnsi="Times New Roman" w:cs="Times New Roman"/>
          <w:sz w:val="24"/>
          <w:szCs w:val="24"/>
        </w:rPr>
        <w:t>offenses</w:t>
      </w:r>
      <w:r>
        <w:rPr>
          <w:rFonts w:ascii="Times New Roman" w:eastAsia="Times New Roman" w:hAnsi="Times New Roman" w:cs="Times New Roman"/>
          <w:sz w:val="24"/>
          <w:szCs w:val="24"/>
        </w:rPr>
        <w:t xml:space="preserve"> against minors. While this provides some extended time for reporting, it may still not be sufficient for all victims who face delays due to fear, trauma, or other factors.</w:t>
      </w:r>
    </w:p>
    <w:p w14:paraId="1816E663" w14:textId="1ECBDB71" w:rsidR="00924C8B" w:rsidRDefault="000A65A1">
      <w:pPr>
        <w:pStyle w:val="Heading1"/>
        <w:rPr>
          <w:rFonts w:ascii="Times New Roman" w:eastAsia="Times New Roman" w:hAnsi="Times New Roman" w:cs="Times New Roman"/>
        </w:rPr>
      </w:pPr>
      <w:bookmarkStart w:id="9" w:name="_Toc174648991"/>
      <w:r>
        <w:rPr>
          <w:rFonts w:ascii="Times New Roman" w:eastAsia="Times New Roman" w:hAnsi="Times New Roman" w:cs="Times New Roman"/>
        </w:rPr>
        <w:t xml:space="preserve">v. Gender stereotyping, secondary </w:t>
      </w:r>
      <w:r w:rsidR="006231A2">
        <w:rPr>
          <w:rFonts w:ascii="Times New Roman" w:eastAsia="Times New Roman" w:hAnsi="Times New Roman" w:cs="Times New Roman"/>
        </w:rPr>
        <w:t>victimization</w:t>
      </w:r>
      <w:r>
        <w:rPr>
          <w:rFonts w:ascii="Times New Roman" w:eastAsia="Times New Roman" w:hAnsi="Times New Roman" w:cs="Times New Roman"/>
        </w:rPr>
        <w:t xml:space="preserve"> of girl survivors of sexual violence during criminal proceedings and lack of child-sensitive justice</w:t>
      </w:r>
      <w:bookmarkEnd w:id="9"/>
    </w:p>
    <w:tbl>
      <w:tblPr>
        <w:tblStyle w:val="ab"/>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924C8B" w14:paraId="1816E66B" w14:textId="77777777">
        <w:tc>
          <w:tcPr>
            <w:tcW w:w="9360" w:type="dxa"/>
            <w:shd w:val="clear" w:color="auto" w:fill="auto"/>
            <w:tcMar>
              <w:top w:w="100" w:type="dxa"/>
              <w:left w:w="100" w:type="dxa"/>
              <w:bottom w:w="100" w:type="dxa"/>
              <w:right w:w="100" w:type="dxa"/>
            </w:tcMar>
          </w:tcPr>
          <w:p w14:paraId="1816E664" w14:textId="77777777" w:rsidR="00924C8B" w:rsidRDefault="000A65A1">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Summary of the section: </w:t>
            </w:r>
          </w:p>
          <w:p w14:paraId="1816E665" w14:textId="77777777" w:rsidR="00924C8B" w:rsidRDefault="00924C8B">
            <w:pPr>
              <w:widowControl w:val="0"/>
              <w:spacing w:line="240" w:lineRule="auto"/>
              <w:jc w:val="both"/>
              <w:rPr>
                <w:rFonts w:ascii="Times New Roman" w:eastAsia="Times New Roman" w:hAnsi="Times New Roman" w:cs="Times New Roman"/>
                <w:sz w:val="24"/>
                <w:szCs w:val="24"/>
              </w:rPr>
            </w:pPr>
          </w:p>
          <w:p w14:paraId="1816E666" w14:textId="4C9EEE31" w:rsidR="00924C8B" w:rsidRDefault="000A65A1">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Armenia lacks a comprehensive gender and child-sensitive methodology to investigate sexual violence crimes, resulting in </w:t>
            </w:r>
            <w:r w:rsidR="006231A2">
              <w:rPr>
                <w:rFonts w:ascii="Times New Roman" w:eastAsia="Times New Roman" w:hAnsi="Times New Roman" w:cs="Times New Roman"/>
                <w:sz w:val="24"/>
                <w:szCs w:val="24"/>
              </w:rPr>
              <w:t>re-victimization</w:t>
            </w:r>
            <w:r>
              <w:rPr>
                <w:rFonts w:ascii="Times New Roman" w:eastAsia="Times New Roman" w:hAnsi="Times New Roman" w:cs="Times New Roman"/>
                <w:sz w:val="24"/>
                <w:szCs w:val="24"/>
              </w:rPr>
              <w:t xml:space="preserve"> during the investigative process. </w:t>
            </w:r>
          </w:p>
          <w:p w14:paraId="1816E667" w14:textId="77777777" w:rsidR="00924C8B" w:rsidRDefault="00924C8B">
            <w:pPr>
              <w:widowControl w:val="0"/>
              <w:spacing w:line="240" w:lineRule="auto"/>
              <w:jc w:val="both"/>
              <w:rPr>
                <w:rFonts w:ascii="Times New Roman" w:eastAsia="Times New Roman" w:hAnsi="Times New Roman" w:cs="Times New Roman"/>
                <w:sz w:val="24"/>
                <w:szCs w:val="24"/>
              </w:rPr>
            </w:pPr>
          </w:p>
          <w:p w14:paraId="1816E668" w14:textId="2EDF379C" w:rsidR="00924C8B" w:rsidRDefault="000A65A1">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Cultural norms and stereotypes in the criminal justice system often </w:t>
            </w:r>
            <w:proofErr w:type="gramStart"/>
            <w:r>
              <w:rPr>
                <w:rFonts w:ascii="Times New Roman" w:eastAsia="Times New Roman" w:hAnsi="Times New Roman" w:cs="Times New Roman"/>
                <w:sz w:val="24"/>
                <w:szCs w:val="24"/>
              </w:rPr>
              <w:t>lead</w:t>
            </w:r>
            <w:proofErr w:type="gramEnd"/>
            <w:r>
              <w:rPr>
                <w:rFonts w:ascii="Times New Roman" w:eastAsia="Times New Roman" w:hAnsi="Times New Roman" w:cs="Times New Roman"/>
                <w:sz w:val="24"/>
                <w:szCs w:val="24"/>
              </w:rPr>
              <w:t xml:space="preserve"> to victim-blaming, questioning the credibility of child survivors</w:t>
            </w:r>
            <w:r w:rsidR="006231A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deterring them from reporting crimes. Investigations are often conducted by untrained professionals</w:t>
            </w:r>
            <w:r w:rsidR="006231A2">
              <w:rPr>
                <w:rFonts w:ascii="Times New Roman" w:eastAsia="Times New Roman" w:hAnsi="Times New Roman" w:cs="Times New Roman"/>
                <w:sz w:val="24"/>
                <w:szCs w:val="24"/>
              </w:rPr>
              <w:t>, which leads</w:t>
            </w:r>
            <w:r>
              <w:rPr>
                <w:rFonts w:ascii="Times New Roman" w:eastAsia="Times New Roman" w:hAnsi="Times New Roman" w:cs="Times New Roman"/>
                <w:sz w:val="24"/>
                <w:szCs w:val="24"/>
              </w:rPr>
              <w:t xml:space="preserve"> to poor evidence collection.</w:t>
            </w:r>
          </w:p>
          <w:p w14:paraId="1816E669" w14:textId="77777777" w:rsidR="00924C8B" w:rsidRDefault="00924C8B">
            <w:pPr>
              <w:widowControl w:val="0"/>
              <w:spacing w:line="240" w:lineRule="auto"/>
              <w:jc w:val="both"/>
              <w:rPr>
                <w:rFonts w:ascii="Times New Roman" w:eastAsia="Times New Roman" w:hAnsi="Times New Roman" w:cs="Times New Roman"/>
                <w:sz w:val="24"/>
                <w:szCs w:val="24"/>
              </w:rPr>
            </w:pPr>
          </w:p>
          <w:p w14:paraId="1816E66A" w14:textId="36584E58" w:rsidR="00924C8B" w:rsidRDefault="000A65A1">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Girls are often subjected to intrusive interviews, forced confrontations</w:t>
            </w:r>
            <w:r w:rsidR="006231A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invasive forensic examinations without appropriate psychological support. The continued practice of virginity testing, despite its scientific invalidity and ethical violations, exacerbates survivors' trauma and reinforces harmful myths about female sexuality. </w:t>
            </w:r>
          </w:p>
        </w:tc>
      </w:tr>
    </w:tbl>
    <w:p w14:paraId="1816E66C" w14:textId="77777777" w:rsidR="00924C8B" w:rsidRDefault="00924C8B">
      <w:pPr>
        <w:spacing w:line="240" w:lineRule="auto"/>
        <w:jc w:val="both"/>
        <w:rPr>
          <w:rFonts w:ascii="Times New Roman" w:eastAsia="Times New Roman" w:hAnsi="Times New Roman" w:cs="Times New Roman"/>
          <w:sz w:val="24"/>
          <w:szCs w:val="24"/>
        </w:rPr>
      </w:pPr>
    </w:p>
    <w:p w14:paraId="1816E66D" w14:textId="77777777"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In Armenia, there is a lack of child- and gender-sensitive justice processes. Throughout the country, the lack of specially trained investigators for handling sexual violence cases is evident. Investigations are often conducted by individuals without specific training in child trauma-informed approaches. The language used by investigators is often not understandable to a child, leading to confusion and further trauma. Consequently, relevant evidence for filing charges may not be adequately collected.</w:t>
      </w:r>
    </w:p>
    <w:p w14:paraId="1816E66E" w14:textId="77777777" w:rsidR="00924C8B" w:rsidRDefault="00924C8B">
      <w:pPr>
        <w:spacing w:line="240" w:lineRule="auto"/>
        <w:jc w:val="both"/>
        <w:rPr>
          <w:rFonts w:ascii="Times New Roman" w:eastAsia="Times New Roman" w:hAnsi="Times New Roman" w:cs="Times New Roman"/>
          <w:sz w:val="24"/>
          <w:szCs w:val="24"/>
        </w:rPr>
      </w:pPr>
    </w:p>
    <w:p w14:paraId="1816E66F" w14:textId="65A0DB7B"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 xml:space="preserve">Gender stereotyping and discriminatory investigation procedures further exacerbate barriers to access to justice for girl survivors of sexual violence. Cultural attitudes and societal norms often dictate the roles and </w:t>
      </w:r>
      <w:proofErr w:type="spellStart"/>
      <w:r w:rsidR="00333E7C">
        <w:rPr>
          <w:rFonts w:ascii="Times New Roman" w:eastAsia="Times New Roman" w:hAnsi="Times New Roman" w:cs="Times New Roman"/>
          <w:sz w:val="24"/>
          <w:szCs w:val="24"/>
        </w:rPr>
        <w:t>behaviors</w:t>
      </w:r>
      <w:proofErr w:type="spellEnd"/>
      <w:r>
        <w:rPr>
          <w:rFonts w:ascii="Times New Roman" w:eastAsia="Times New Roman" w:hAnsi="Times New Roman" w:cs="Times New Roman"/>
          <w:sz w:val="24"/>
          <w:szCs w:val="24"/>
        </w:rPr>
        <w:t xml:space="preserve"> deemed acceptable or otherwise for girls, which heavily influence the judicial and investigative processes. These stereotypes perpetuate a culture of victim-blaming and disbelief, where biases and prejudices frequently undermine the credibility of a young survivor's testimony. For instance, girls who report sexual violence are often </w:t>
      </w:r>
      <w:r w:rsidR="00333E7C">
        <w:rPr>
          <w:rFonts w:ascii="Times New Roman" w:eastAsia="Times New Roman" w:hAnsi="Times New Roman" w:cs="Times New Roman"/>
          <w:sz w:val="24"/>
          <w:szCs w:val="24"/>
        </w:rPr>
        <w:t xml:space="preserve">scrutinized based on their </w:t>
      </w:r>
      <w:proofErr w:type="spellStart"/>
      <w:r w:rsidR="00333E7C">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appearance, or even their family's reputation rather than focusing on the perpetrator's actions. Such practices not only </w:t>
      </w:r>
      <w:r w:rsidR="00333E7C">
        <w:rPr>
          <w:rFonts w:ascii="Times New Roman" w:eastAsia="Times New Roman" w:hAnsi="Times New Roman" w:cs="Times New Roman"/>
          <w:sz w:val="24"/>
          <w:szCs w:val="24"/>
        </w:rPr>
        <w:t>re-traumatize</w:t>
      </w:r>
      <w:r>
        <w:rPr>
          <w:rFonts w:ascii="Times New Roman" w:eastAsia="Times New Roman" w:hAnsi="Times New Roman" w:cs="Times New Roman"/>
          <w:sz w:val="24"/>
          <w:szCs w:val="24"/>
        </w:rPr>
        <w:t xml:space="preserve"> survivors but also deter many from coming forward to report crimes.</w:t>
      </w:r>
    </w:p>
    <w:p w14:paraId="1816E670" w14:textId="77777777" w:rsidR="00924C8B" w:rsidRDefault="00924C8B">
      <w:pPr>
        <w:spacing w:line="240" w:lineRule="auto"/>
        <w:jc w:val="both"/>
        <w:rPr>
          <w:rFonts w:ascii="Times New Roman" w:eastAsia="Times New Roman" w:hAnsi="Times New Roman" w:cs="Times New Roman"/>
          <w:sz w:val="24"/>
          <w:szCs w:val="24"/>
        </w:rPr>
      </w:pPr>
    </w:p>
    <w:p w14:paraId="1816E671" w14:textId="77777777"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The key challenges are:</w:t>
      </w:r>
    </w:p>
    <w:p w14:paraId="1816E672" w14:textId="77777777" w:rsidR="00924C8B" w:rsidRDefault="00924C8B">
      <w:pPr>
        <w:spacing w:line="240" w:lineRule="auto"/>
        <w:jc w:val="both"/>
        <w:rPr>
          <w:rFonts w:ascii="Times New Roman" w:eastAsia="Times New Roman" w:hAnsi="Times New Roman" w:cs="Times New Roman"/>
          <w:sz w:val="24"/>
          <w:szCs w:val="24"/>
        </w:rPr>
      </w:pPr>
    </w:p>
    <w:p w14:paraId="1816E673" w14:textId="10C3C859" w:rsidR="00924C8B" w:rsidRDefault="000A65A1">
      <w:pPr>
        <w:numPr>
          <w:ilvl w:val="1"/>
          <w:numId w:val="4"/>
        </w:numPr>
        <w:spacing w:line="240" w:lineRule="auto"/>
        <w:jc w:val="both"/>
        <w:rPr>
          <w:sz w:val="24"/>
          <w:szCs w:val="24"/>
        </w:rPr>
      </w:pPr>
      <w:r>
        <w:rPr>
          <w:rFonts w:ascii="Times New Roman" w:eastAsia="Times New Roman" w:hAnsi="Times New Roman" w:cs="Times New Roman"/>
          <w:sz w:val="24"/>
          <w:szCs w:val="24"/>
        </w:rPr>
        <w:t>Children are frequently interviewed multiple times and are made to repeat traumatic facts and events, which can be highly distressing. According to Article 214 of the Armenian Criminal Procedure Code,</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investigative actions involving minors must be </w:t>
      </w:r>
      <w:r w:rsidR="00333E7C">
        <w:rPr>
          <w:rFonts w:ascii="Times New Roman" w:eastAsia="Times New Roman" w:hAnsi="Times New Roman" w:cs="Times New Roman"/>
          <w:sz w:val="24"/>
          <w:szCs w:val="24"/>
        </w:rPr>
        <w:t>video recorded</w:t>
      </w:r>
      <w:r>
        <w:rPr>
          <w:rFonts w:ascii="Times New Roman" w:eastAsia="Times New Roman" w:hAnsi="Times New Roman" w:cs="Times New Roman"/>
          <w:sz w:val="24"/>
          <w:szCs w:val="24"/>
        </w:rPr>
        <w:t xml:space="preserve"> to prevent the need for repeated questioning. However, this provision is not always effectively implemented</w:t>
      </w:r>
      <w:r w:rsidR="00333E7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legal representatives are sometimes discouraged from ensuring these protections.</w:t>
      </w:r>
    </w:p>
    <w:p w14:paraId="1816E674" w14:textId="77777777" w:rsidR="00924C8B" w:rsidRDefault="00924C8B">
      <w:pPr>
        <w:spacing w:line="240" w:lineRule="auto"/>
        <w:ind w:left="720"/>
        <w:jc w:val="both"/>
        <w:rPr>
          <w:rFonts w:ascii="Times New Roman" w:eastAsia="Times New Roman" w:hAnsi="Times New Roman" w:cs="Times New Roman"/>
          <w:sz w:val="24"/>
          <w:szCs w:val="24"/>
        </w:rPr>
      </w:pPr>
    </w:p>
    <w:p w14:paraId="1816E675" w14:textId="77777777" w:rsidR="00924C8B" w:rsidRDefault="000A65A1">
      <w:pPr>
        <w:numPr>
          <w:ilvl w:val="1"/>
          <w:numId w:val="4"/>
        </w:numPr>
        <w:spacing w:line="240" w:lineRule="auto"/>
        <w:jc w:val="both"/>
        <w:rPr>
          <w:sz w:val="24"/>
          <w:szCs w:val="24"/>
        </w:rPr>
      </w:pPr>
      <w:r>
        <w:rPr>
          <w:rFonts w:ascii="Times New Roman" w:eastAsia="Times New Roman" w:hAnsi="Times New Roman" w:cs="Times New Roman"/>
          <w:sz w:val="24"/>
          <w:szCs w:val="24"/>
        </w:rPr>
        <w:t>Confrontations, as defined in Article 224, involve questioning the victim and the accused together to examine their accounts,  which can be extremely distressing for survivors.</w:t>
      </w:r>
    </w:p>
    <w:p w14:paraId="1816E676" w14:textId="77777777" w:rsidR="00924C8B" w:rsidRDefault="00924C8B">
      <w:pPr>
        <w:spacing w:line="240" w:lineRule="auto"/>
        <w:jc w:val="both"/>
        <w:rPr>
          <w:rFonts w:ascii="Times New Roman" w:eastAsia="Times New Roman" w:hAnsi="Times New Roman" w:cs="Times New Roman"/>
          <w:sz w:val="24"/>
          <w:szCs w:val="24"/>
        </w:rPr>
      </w:pPr>
    </w:p>
    <w:p w14:paraId="1816E677" w14:textId="77777777" w:rsidR="00924C8B" w:rsidRDefault="000A65A1">
      <w:pPr>
        <w:numPr>
          <w:ilvl w:val="1"/>
          <w:numId w:val="4"/>
        </w:numPr>
        <w:spacing w:line="240" w:lineRule="auto"/>
        <w:jc w:val="both"/>
        <w:rPr>
          <w:sz w:val="24"/>
          <w:szCs w:val="24"/>
        </w:rPr>
      </w:pPr>
      <w:r>
        <w:rPr>
          <w:rFonts w:ascii="Times New Roman" w:eastAsia="Times New Roman" w:hAnsi="Times New Roman" w:cs="Times New Roman"/>
          <w:sz w:val="24"/>
          <w:szCs w:val="24"/>
        </w:rPr>
        <w:t xml:space="preserve">Invasive forensic examinations that do not consider children’s trauma. </w:t>
      </w:r>
    </w:p>
    <w:p w14:paraId="1816E678" w14:textId="77777777" w:rsidR="00924C8B" w:rsidRDefault="00924C8B">
      <w:pPr>
        <w:spacing w:line="240" w:lineRule="auto"/>
        <w:jc w:val="both"/>
        <w:rPr>
          <w:rFonts w:ascii="Times New Roman" w:eastAsia="Times New Roman" w:hAnsi="Times New Roman" w:cs="Times New Roman"/>
          <w:sz w:val="24"/>
          <w:szCs w:val="24"/>
        </w:rPr>
      </w:pPr>
    </w:p>
    <w:p w14:paraId="1816E679" w14:textId="77777777" w:rsidR="00924C8B" w:rsidRDefault="000A65A1">
      <w:pPr>
        <w:numPr>
          <w:ilvl w:val="1"/>
          <w:numId w:val="4"/>
        </w:numPr>
        <w:spacing w:line="240" w:lineRule="auto"/>
        <w:jc w:val="both"/>
        <w:rPr>
          <w:sz w:val="24"/>
          <w:szCs w:val="24"/>
        </w:rPr>
      </w:pPr>
      <w:r>
        <w:rPr>
          <w:rFonts w:ascii="Times New Roman" w:eastAsia="Times New Roman" w:hAnsi="Times New Roman" w:cs="Times New Roman"/>
          <w:sz w:val="24"/>
          <w:szCs w:val="24"/>
        </w:rPr>
        <w:t xml:space="preserve">There is no legal requirement for the victim to be interviewed by an investigator of the same sex, or to have the option to choose the sex of the investigator, which can further traumatise the child. </w:t>
      </w:r>
    </w:p>
    <w:p w14:paraId="1816E67A" w14:textId="77777777" w:rsidR="00924C8B" w:rsidRDefault="00924C8B">
      <w:pPr>
        <w:spacing w:line="240" w:lineRule="auto"/>
        <w:jc w:val="both"/>
        <w:rPr>
          <w:rFonts w:ascii="Times New Roman" w:eastAsia="Times New Roman" w:hAnsi="Times New Roman" w:cs="Times New Roman"/>
          <w:sz w:val="24"/>
          <w:szCs w:val="24"/>
        </w:rPr>
      </w:pPr>
    </w:p>
    <w:p w14:paraId="1816E67B" w14:textId="77777777" w:rsidR="00924C8B" w:rsidRDefault="000A65A1">
      <w:pPr>
        <w:numPr>
          <w:ilvl w:val="1"/>
          <w:numId w:val="4"/>
        </w:numPr>
        <w:spacing w:line="240" w:lineRule="auto"/>
        <w:jc w:val="both"/>
        <w:rPr>
          <w:sz w:val="24"/>
          <w:szCs w:val="24"/>
        </w:rPr>
      </w:pPr>
      <w:r>
        <w:rPr>
          <w:rFonts w:ascii="Times New Roman" w:eastAsia="Times New Roman" w:hAnsi="Times New Roman" w:cs="Times New Roman"/>
          <w:sz w:val="24"/>
          <w:szCs w:val="24"/>
        </w:rPr>
        <w:t>Article 212 mandates the presence of a qualified psychologist during investigative actions involving minors. However, there is a significant shortage of trauma-informed and trained psychologists, particularly in rural and remote regions. Often, psychologists involved in such investigations lack the necessary knowledge and skills to provide adequate support to the child and the investigation.</w:t>
      </w:r>
    </w:p>
    <w:p w14:paraId="1816E67C" w14:textId="77777777" w:rsidR="00924C8B" w:rsidRDefault="00924C8B">
      <w:pPr>
        <w:spacing w:line="240" w:lineRule="auto"/>
        <w:jc w:val="both"/>
        <w:rPr>
          <w:rFonts w:ascii="Times New Roman" w:eastAsia="Times New Roman" w:hAnsi="Times New Roman" w:cs="Times New Roman"/>
          <w:sz w:val="24"/>
          <w:szCs w:val="24"/>
        </w:rPr>
      </w:pPr>
    </w:p>
    <w:p w14:paraId="1816E67D" w14:textId="77777777" w:rsidR="00924C8B" w:rsidRDefault="000A65A1">
      <w:pPr>
        <w:numPr>
          <w:ilvl w:val="1"/>
          <w:numId w:val="4"/>
        </w:numPr>
        <w:spacing w:line="240" w:lineRule="auto"/>
        <w:jc w:val="both"/>
        <w:rPr>
          <w:sz w:val="24"/>
          <w:szCs w:val="24"/>
        </w:rPr>
      </w:pPr>
      <w:r>
        <w:rPr>
          <w:rFonts w:ascii="Times New Roman" w:eastAsia="Times New Roman" w:hAnsi="Times New Roman" w:cs="Times New Roman"/>
          <w:sz w:val="24"/>
          <w:szCs w:val="24"/>
        </w:rPr>
        <w:t>It is not a rare incident when applicants’ full name and other personal data are publicly accessible online in official judicial databases, despite survivors’ specific request not to publish that information.</w:t>
      </w:r>
      <w:r>
        <w:rPr>
          <w:rFonts w:ascii="Times New Roman" w:eastAsia="Times New Roman" w:hAnsi="Times New Roman" w:cs="Times New Roman"/>
          <w:sz w:val="24"/>
          <w:szCs w:val="24"/>
          <w:vertAlign w:val="superscript"/>
        </w:rPr>
        <w:footnoteReference w:id="23"/>
      </w:r>
    </w:p>
    <w:p w14:paraId="1816E67E" w14:textId="77777777" w:rsidR="00924C8B" w:rsidRDefault="00924C8B">
      <w:pPr>
        <w:spacing w:line="240" w:lineRule="auto"/>
        <w:jc w:val="both"/>
        <w:rPr>
          <w:rFonts w:ascii="Times New Roman" w:eastAsia="Times New Roman" w:hAnsi="Times New Roman" w:cs="Times New Roman"/>
          <w:sz w:val="24"/>
          <w:szCs w:val="24"/>
        </w:rPr>
      </w:pPr>
    </w:p>
    <w:p w14:paraId="1816E67F" w14:textId="77777777"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Virginity testing is a practice deeply rooted in ancient and medieval history. It is based on the erroneous belief that an intact hymen is proof of virginity and that its absence indicates prior sexual activity. The World Health Organisation has declared that no examination can prove a girl or woman has had vaginal intercourse.</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However, in Armenia, virginity tests are still conducted as part of the forensic examination to determine whether an individual has had sexual intercourse through penetration to prove rape. The Ministry of Health’s Order No. 92 stipulates that forensic medical examinations include the identification of “sexual integrity - virgin or not” (para. 24(5a).</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w:t>
      </w:r>
    </w:p>
    <w:p w14:paraId="1816E680" w14:textId="77777777" w:rsidR="00924C8B" w:rsidRDefault="00924C8B">
      <w:pPr>
        <w:spacing w:line="240" w:lineRule="auto"/>
        <w:jc w:val="both"/>
        <w:rPr>
          <w:rFonts w:ascii="Times New Roman" w:eastAsia="Times New Roman" w:hAnsi="Times New Roman" w:cs="Times New Roman"/>
          <w:sz w:val="24"/>
          <w:szCs w:val="24"/>
        </w:rPr>
      </w:pPr>
    </w:p>
    <w:p w14:paraId="1816E681" w14:textId="77777777"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u w:val="single"/>
        </w:rPr>
        <w:t xml:space="preserve">Therefore, virginity tests are always conducted in cases of sexual violence involving girls. Girls are subjected to virginity testing even in cases of sexual violence that do not have the component of penile-vaginal penetration or any penetration at all. </w:t>
      </w:r>
      <w:r>
        <w:rPr>
          <w:rFonts w:ascii="Times New Roman" w:eastAsia="Times New Roman" w:hAnsi="Times New Roman" w:cs="Times New Roman"/>
          <w:sz w:val="24"/>
          <w:szCs w:val="24"/>
        </w:rPr>
        <w:t>This is an invasive and humiliating procedure, exacerbating the trauma girls have already experienced. In many cases, victims are not informed that a virginity test will be conducted, denying them the opportunity to provide informed consent and further violating their autonomy. These examinations often result in biased attitudes among law enforcement and judicial authorities, affecting the pursuit of justice. If it is posited that a girl has lost her virginity before the reported instance of rape, her account is often discredited, making it difficult for her to access justice.</w:t>
      </w:r>
    </w:p>
    <w:p w14:paraId="1816E682" w14:textId="77777777" w:rsidR="00924C8B" w:rsidRDefault="00924C8B">
      <w:pPr>
        <w:spacing w:line="240" w:lineRule="auto"/>
        <w:jc w:val="both"/>
        <w:rPr>
          <w:rFonts w:ascii="Times New Roman" w:eastAsia="Times New Roman" w:hAnsi="Times New Roman" w:cs="Times New Roman"/>
          <w:sz w:val="24"/>
          <w:szCs w:val="24"/>
        </w:rPr>
      </w:pPr>
    </w:p>
    <w:p w14:paraId="1816E683" w14:textId="3AC0CCBF"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 xml:space="preserve">These inadequacies are reflected in the way cases are processed, often leading to the dismissal of critical evidence or the downplaying of the severity of the assault. As a result, perpetrators may receive lighter sentences, or cases may not proceed to prosecution at all, thereby perpetuating a cycle of impunity and further </w:t>
      </w:r>
      <w:r w:rsidR="00EE2569">
        <w:rPr>
          <w:rFonts w:ascii="Times New Roman" w:eastAsia="Times New Roman" w:hAnsi="Times New Roman" w:cs="Times New Roman"/>
          <w:sz w:val="24"/>
          <w:szCs w:val="24"/>
        </w:rPr>
        <w:t>victimizing</w:t>
      </w:r>
      <w:r>
        <w:rPr>
          <w:rFonts w:ascii="Times New Roman" w:eastAsia="Times New Roman" w:hAnsi="Times New Roman" w:cs="Times New Roman"/>
          <w:sz w:val="24"/>
          <w:szCs w:val="24"/>
        </w:rPr>
        <w:t xml:space="preserve"> young girls.</w:t>
      </w:r>
    </w:p>
    <w:p w14:paraId="1816E684" w14:textId="1AADCE17" w:rsidR="00924C8B" w:rsidRDefault="000A65A1">
      <w:pPr>
        <w:pStyle w:val="Heading1"/>
        <w:rPr>
          <w:rFonts w:ascii="Times New Roman" w:eastAsia="Times New Roman" w:hAnsi="Times New Roman" w:cs="Times New Roman"/>
        </w:rPr>
      </w:pPr>
      <w:bookmarkStart w:id="10" w:name="_Toc174648992"/>
      <w:r>
        <w:rPr>
          <w:rFonts w:ascii="Times New Roman" w:eastAsia="Times New Roman" w:hAnsi="Times New Roman" w:cs="Times New Roman"/>
        </w:rPr>
        <w:t>vii. Intersecting forms of discrimination against vulnerable girl victims of sexual violence</w:t>
      </w:r>
      <w:bookmarkEnd w:id="10"/>
    </w:p>
    <w:tbl>
      <w:tblPr>
        <w:tblStyle w:val="ac"/>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924C8B" w14:paraId="1816E688" w14:textId="77777777">
        <w:tc>
          <w:tcPr>
            <w:tcW w:w="9360" w:type="dxa"/>
            <w:shd w:val="clear" w:color="auto" w:fill="auto"/>
            <w:tcMar>
              <w:top w:w="100" w:type="dxa"/>
              <w:left w:w="100" w:type="dxa"/>
              <w:bottom w:w="100" w:type="dxa"/>
              <w:right w:w="100" w:type="dxa"/>
            </w:tcMar>
          </w:tcPr>
          <w:p w14:paraId="1816E685" w14:textId="77777777" w:rsidR="00924C8B" w:rsidRDefault="000A65A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Summary of the section: </w:t>
            </w:r>
          </w:p>
          <w:p w14:paraId="1816E686" w14:textId="77777777" w:rsidR="00924C8B" w:rsidRDefault="00924C8B">
            <w:pPr>
              <w:spacing w:line="240" w:lineRule="auto"/>
              <w:jc w:val="both"/>
              <w:rPr>
                <w:rFonts w:ascii="Times New Roman" w:eastAsia="Times New Roman" w:hAnsi="Times New Roman" w:cs="Times New Roman"/>
                <w:sz w:val="24"/>
                <w:szCs w:val="24"/>
              </w:rPr>
            </w:pPr>
          </w:p>
          <w:p w14:paraId="1816E687" w14:textId="0684B926" w:rsidR="00924C8B" w:rsidRDefault="000A65A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Girls from vulnerable and </w:t>
            </w:r>
            <w:r w:rsidR="00EE2569">
              <w:rPr>
                <w:rFonts w:ascii="Times New Roman" w:eastAsia="Times New Roman" w:hAnsi="Times New Roman" w:cs="Times New Roman"/>
                <w:sz w:val="24"/>
                <w:szCs w:val="24"/>
              </w:rPr>
              <w:t>marginalized</w:t>
            </w:r>
            <w:r>
              <w:rPr>
                <w:rFonts w:ascii="Times New Roman" w:eastAsia="Times New Roman" w:hAnsi="Times New Roman" w:cs="Times New Roman"/>
                <w:sz w:val="24"/>
                <w:szCs w:val="24"/>
              </w:rPr>
              <w:t xml:space="preserve"> groups experience intersecting forms of discrimination and serious barriers </w:t>
            </w:r>
            <w:r w:rsidR="00B04197">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accessing justice for sexual violence. Girls with disabilities, particularly those with psycho-social needs, face significant barriers to accessing justice for various forms of violence, including sexual violence. Challenges include </w:t>
            </w:r>
            <w:r w:rsidR="00B04197">
              <w:rPr>
                <w:rFonts w:ascii="Times New Roman" w:eastAsia="Times New Roman" w:hAnsi="Times New Roman" w:cs="Times New Roman"/>
                <w:sz w:val="24"/>
                <w:szCs w:val="24"/>
              </w:rPr>
              <w:t>a lack of accessible support services, societal stigmatization and prejudice, communication barriers,</w:t>
            </w:r>
            <w:r>
              <w:rPr>
                <w:rFonts w:ascii="Times New Roman" w:eastAsia="Times New Roman" w:hAnsi="Times New Roman" w:cs="Times New Roman"/>
                <w:sz w:val="24"/>
                <w:szCs w:val="24"/>
              </w:rPr>
              <w:t xml:space="preserve"> and inadequate professional training.</w:t>
            </w:r>
          </w:p>
        </w:tc>
      </w:tr>
    </w:tbl>
    <w:p w14:paraId="1816E689" w14:textId="77777777" w:rsidR="00924C8B" w:rsidRDefault="00924C8B">
      <w:pPr>
        <w:spacing w:line="240" w:lineRule="auto"/>
        <w:jc w:val="both"/>
        <w:rPr>
          <w:rFonts w:ascii="Times New Roman" w:eastAsia="Times New Roman" w:hAnsi="Times New Roman" w:cs="Times New Roman"/>
          <w:sz w:val="24"/>
          <w:szCs w:val="24"/>
        </w:rPr>
      </w:pPr>
    </w:p>
    <w:p w14:paraId="1816E68A" w14:textId="20967CD5"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 xml:space="preserve">Girls from vulnerable and </w:t>
      </w:r>
      <w:r w:rsidR="00B04197">
        <w:rPr>
          <w:rFonts w:ascii="Times New Roman" w:eastAsia="Times New Roman" w:hAnsi="Times New Roman" w:cs="Times New Roman"/>
          <w:sz w:val="24"/>
          <w:szCs w:val="24"/>
        </w:rPr>
        <w:t>marginalized</w:t>
      </w:r>
      <w:r>
        <w:rPr>
          <w:rFonts w:ascii="Times New Roman" w:eastAsia="Times New Roman" w:hAnsi="Times New Roman" w:cs="Times New Roman"/>
          <w:sz w:val="24"/>
          <w:szCs w:val="24"/>
        </w:rPr>
        <w:t xml:space="preserve"> groups face significant barriers in accessing justice for sexual violence. Girls with psycho-social needs, particularly those with disabilities, encounter challenges due to inaccessible support services, societal </w:t>
      </w:r>
      <w:r w:rsidR="00B04197">
        <w:rPr>
          <w:rFonts w:ascii="Times New Roman" w:eastAsia="Times New Roman" w:hAnsi="Times New Roman" w:cs="Times New Roman"/>
          <w:sz w:val="24"/>
          <w:szCs w:val="24"/>
        </w:rPr>
        <w:t>stigmatization,</w:t>
      </w:r>
      <w:r>
        <w:rPr>
          <w:rFonts w:ascii="Times New Roman" w:eastAsia="Times New Roman" w:hAnsi="Times New Roman" w:cs="Times New Roman"/>
          <w:sz w:val="24"/>
          <w:szCs w:val="24"/>
        </w:rPr>
        <w:t xml:space="preserve"> and communication barriers. </w:t>
      </w:r>
      <w:r w:rsidR="00B04197">
        <w:rPr>
          <w:rFonts w:ascii="Times New Roman" w:eastAsia="Times New Roman" w:hAnsi="Times New Roman" w:cs="Times New Roman"/>
          <w:sz w:val="24"/>
          <w:szCs w:val="24"/>
        </w:rPr>
        <w:t>The lack</w:t>
      </w:r>
      <w:r>
        <w:rPr>
          <w:rFonts w:ascii="Times New Roman" w:eastAsia="Times New Roman" w:hAnsi="Times New Roman" w:cs="Times New Roman"/>
          <w:sz w:val="24"/>
          <w:szCs w:val="24"/>
        </w:rPr>
        <w:t xml:space="preserve"> of reasonable and procedural accommodations to ensure access to justice remains </w:t>
      </w:r>
      <w:r w:rsidR="00B04197">
        <w:rPr>
          <w:rFonts w:ascii="Times New Roman" w:eastAsia="Times New Roman" w:hAnsi="Times New Roman" w:cs="Times New Roman"/>
          <w:sz w:val="24"/>
          <w:szCs w:val="24"/>
        </w:rPr>
        <w:t>challenging</w:t>
      </w:r>
      <w:r>
        <w:rPr>
          <w:rFonts w:ascii="Times New Roman" w:eastAsia="Times New Roman" w:hAnsi="Times New Roman" w:cs="Times New Roman"/>
          <w:sz w:val="24"/>
          <w:szCs w:val="24"/>
        </w:rPr>
        <w:t xml:space="preserve">. Physical barriers within law enforcement and judicial systems further complicate their pursuit of justice, as many facilities are not accessible. Additionally, a lack of </w:t>
      </w:r>
      <w:r w:rsidR="00B04197">
        <w:rPr>
          <w:rFonts w:ascii="Times New Roman" w:eastAsia="Times New Roman" w:hAnsi="Times New Roman" w:cs="Times New Roman"/>
          <w:sz w:val="24"/>
          <w:szCs w:val="24"/>
        </w:rPr>
        <w:t>specialized training for professionals dealing with girls with disabilities leads to inadequate responses and secondary victimization</w:t>
      </w:r>
      <w:r>
        <w:rPr>
          <w:rFonts w:ascii="Times New Roman" w:eastAsia="Times New Roman" w:hAnsi="Times New Roman" w:cs="Times New Roman"/>
          <w:sz w:val="24"/>
          <w:szCs w:val="24"/>
        </w:rPr>
        <w:t>, worsening the trauma.</w:t>
      </w:r>
    </w:p>
    <w:p w14:paraId="1816E68B" w14:textId="77777777" w:rsidR="00924C8B" w:rsidRDefault="00924C8B">
      <w:pPr>
        <w:spacing w:line="240" w:lineRule="auto"/>
        <w:jc w:val="both"/>
        <w:rPr>
          <w:rFonts w:ascii="Times New Roman" w:eastAsia="Times New Roman" w:hAnsi="Times New Roman" w:cs="Times New Roman"/>
          <w:sz w:val="24"/>
          <w:szCs w:val="24"/>
        </w:rPr>
      </w:pPr>
    </w:p>
    <w:p w14:paraId="1816E68C" w14:textId="4F6D9379"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 xml:space="preserve">The </w:t>
      </w:r>
      <w:r w:rsidR="00B04197">
        <w:rPr>
          <w:rFonts w:ascii="Times New Roman" w:eastAsia="Times New Roman" w:hAnsi="Times New Roman" w:cs="Times New Roman"/>
          <w:sz w:val="24"/>
          <w:szCs w:val="24"/>
        </w:rPr>
        <w:t>institutionalization</w:t>
      </w:r>
      <w:r>
        <w:rPr>
          <w:rFonts w:ascii="Times New Roman" w:eastAsia="Times New Roman" w:hAnsi="Times New Roman" w:cs="Times New Roman"/>
          <w:sz w:val="24"/>
          <w:szCs w:val="24"/>
        </w:rPr>
        <w:t xml:space="preserve"> of children with disabilities and ill-treatment and violence in these institutions is still a major issue.</w:t>
      </w:r>
    </w:p>
    <w:p w14:paraId="1816E68D" w14:textId="77777777" w:rsidR="00924C8B" w:rsidRDefault="00924C8B">
      <w:pPr>
        <w:spacing w:line="240" w:lineRule="auto"/>
        <w:jc w:val="both"/>
        <w:rPr>
          <w:rFonts w:ascii="Times New Roman" w:eastAsia="Times New Roman" w:hAnsi="Times New Roman" w:cs="Times New Roman"/>
          <w:sz w:val="24"/>
          <w:szCs w:val="24"/>
        </w:rPr>
      </w:pPr>
    </w:p>
    <w:p w14:paraId="1816E68E" w14:textId="0FD9FF22"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 xml:space="preserve">The recent ECtHR </w:t>
      </w:r>
      <w:r w:rsidR="00B04197">
        <w:rPr>
          <w:rFonts w:ascii="Times New Roman" w:eastAsia="Times New Roman" w:hAnsi="Times New Roman" w:cs="Times New Roman"/>
          <w:sz w:val="24"/>
          <w:szCs w:val="24"/>
        </w:rPr>
        <w:t>judgment</w:t>
      </w:r>
      <w:r>
        <w:rPr>
          <w:rFonts w:ascii="Times New Roman" w:eastAsia="Times New Roman" w:hAnsi="Times New Roman" w:cs="Times New Roman"/>
          <w:sz w:val="24"/>
          <w:szCs w:val="24"/>
        </w:rPr>
        <w:t xml:space="preserve"> in </w:t>
      </w:r>
      <w:r>
        <w:rPr>
          <w:rFonts w:ascii="Times New Roman" w:eastAsia="Times New Roman" w:hAnsi="Times New Roman" w:cs="Times New Roman"/>
          <w:i/>
          <w:sz w:val="24"/>
          <w:szCs w:val="24"/>
        </w:rPr>
        <w:t>A.P. v. Armenia</w:t>
      </w:r>
      <w:r>
        <w:rPr>
          <w:rFonts w:ascii="Times New Roman" w:eastAsia="Times New Roman" w:hAnsi="Times New Roman" w:cs="Times New Roman"/>
          <w:sz w:val="24"/>
          <w:szCs w:val="24"/>
        </w:rPr>
        <w:t xml:space="preserve"> (2024), concerning the State’s failure to protect a fourteen-year-old pupil with intellectual disability from sexual abuse in her State school by a teacher, also a public official, highlights the severe shortcomings in Armenia's criminal justice system regarding the treatment of girl survivors of sexual violence, particularly those with disabilities.</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The Court found that the investigative and judicial processes not only failed to protect the survivor but also contributed to her secondary </w:t>
      </w:r>
      <w:r w:rsidR="00B04197">
        <w:rPr>
          <w:rFonts w:ascii="Times New Roman" w:eastAsia="Times New Roman" w:hAnsi="Times New Roman" w:cs="Times New Roman"/>
          <w:sz w:val="24"/>
          <w:szCs w:val="24"/>
        </w:rPr>
        <w:t>victimization</w:t>
      </w:r>
      <w:r>
        <w:rPr>
          <w:rFonts w:ascii="Times New Roman" w:eastAsia="Times New Roman" w:hAnsi="Times New Roman" w:cs="Times New Roman"/>
          <w:sz w:val="24"/>
          <w:szCs w:val="24"/>
        </w:rPr>
        <w:t>. It also highlighted the lack of any mechanisms designed to ensure the prevention, detection</w:t>
      </w:r>
      <w:r w:rsidR="00B0419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reporting of any ill-treatment (including sexual abuse) in educational institutions at the time of the material events, such procedures being fundamental to the enforcement of the criminal laws and the prevention of such ill-treatment. </w:t>
      </w:r>
    </w:p>
    <w:p w14:paraId="1816E68F" w14:textId="77777777" w:rsidR="00924C8B" w:rsidRDefault="00924C8B">
      <w:pPr>
        <w:spacing w:line="240" w:lineRule="auto"/>
        <w:ind w:left="720"/>
        <w:jc w:val="both"/>
        <w:rPr>
          <w:rFonts w:ascii="Times New Roman" w:eastAsia="Times New Roman" w:hAnsi="Times New Roman" w:cs="Times New Roman"/>
          <w:sz w:val="24"/>
          <w:szCs w:val="24"/>
        </w:rPr>
      </w:pPr>
    </w:p>
    <w:p w14:paraId="1816E690" w14:textId="05CA8FD0"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 xml:space="preserve">Challenges include the lack of accessible support services, societal </w:t>
      </w:r>
      <w:r w:rsidR="00BC5F21">
        <w:rPr>
          <w:rFonts w:ascii="Times New Roman" w:eastAsia="Times New Roman" w:hAnsi="Times New Roman" w:cs="Times New Roman"/>
          <w:sz w:val="24"/>
          <w:szCs w:val="24"/>
        </w:rPr>
        <w:t>stigmatization and prejudice, communication barriers,</w:t>
      </w:r>
      <w:r>
        <w:rPr>
          <w:rFonts w:ascii="Times New Roman" w:eastAsia="Times New Roman" w:hAnsi="Times New Roman" w:cs="Times New Roman"/>
          <w:sz w:val="24"/>
          <w:szCs w:val="24"/>
        </w:rPr>
        <w:t xml:space="preserve"> and inadequate professional training. For girls with psycho-social needs, there is a significant shortage of mental health services and trained personnel</w:t>
      </w:r>
      <w:r w:rsidR="00BC5F21">
        <w:rPr>
          <w:rFonts w:ascii="Times New Roman" w:eastAsia="Times New Roman" w:hAnsi="Times New Roman" w:cs="Times New Roman"/>
          <w:sz w:val="24"/>
          <w:szCs w:val="24"/>
        </w:rPr>
        <w:t xml:space="preserve">, and they are often refused admission to child crisis </w:t>
      </w:r>
      <w:proofErr w:type="spellStart"/>
      <w:r w:rsidR="00BC5F21">
        <w:rPr>
          <w:rFonts w:ascii="Times New Roman" w:eastAsia="Times New Roman" w:hAnsi="Times New Roman" w:cs="Times New Roman"/>
          <w:sz w:val="24"/>
          <w:szCs w:val="24"/>
        </w:rPr>
        <w:t>centers</w:t>
      </w:r>
      <w:proofErr w:type="spellEnd"/>
      <w:r>
        <w:rPr>
          <w:rFonts w:ascii="Times New Roman" w:eastAsia="Times New Roman" w:hAnsi="Times New Roman" w:cs="Times New Roman"/>
          <w:sz w:val="24"/>
          <w:szCs w:val="24"/>
        </w:rPr>
        <w:t xml:space="preserve">, which exacerbates their trauma and discourages reporting. Physical barriers in legal institutions prevent girls with disabilities from participating fully in the justice process. </w:t>
      </w:r>
    </w:p>
    <w:p w14:paraId="1816E691" w14:textId="77777777" w:rsidR="00924C8B" w:rsidRDefault="00924C8B">
      <w:pPr>
        <w:spacing w:line="240" w:lineRule="auto"/>
        <w:jc w:val="both"/>
        <w:rPr>
          <w:rFonts w:ascii="Times New Roman" w:eastAsia="Times New Roman" w:hAnsi="Times New Roman" w:cs="Times New Roman"/>
          <w:sz w:val="24"/>
          <w:szCs w:val="24"/>
        </w:rPr>
      </w:pPr>
    </w:p>
    <w:p w14:paraId="1816E692" w14:textId="6A14B1B2"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Girls from Nagorno-Karabakh (NK) also face severe barriers due to the ongoing conflict. The region has been severely impacted by the blockade and military operations, leading to shortages of essential supplies, including food, medicine</w:t>
      </w:r>
      <w:r w:rsidR="00BC5F2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hygiene products. The latest enforced displacement in September 2023 has exacerbated these challenges, causing significant instability and heightened risks of gender-based violence.</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Displaced girls from NK endure increased vulnerability due to these factors, alongside societal stigmas around mental health and trauma, which hinder their ability to seek help and access justice. </w:t>
      </w:r>
    </w:p>
    <w:p w14:paraId="1816E693" w14:textId="77777777" w:rsidR="00924C8B" w:rsidRDefault="000A65A1">
      <w:pPr>
        <w:pStyle w:val="Heading1"/>
        <w:spacing w:line="240" w:lineRule="auto"/>
        <w:rPr>
          <w:rFonts w:ascii="Times New Roman" w:eastAsia="Times New Roman" w:hAnsi="Times New Roman" w:cs="Times New Roman"/>
        </w:rPr>
      </w:pPr>
      <w:bookmarkStart w:id="11" w:name="_Toc174648993"/>
      <w:r>
        <w:rPr>
          <w:rFonts w:ascii="Times New Roman" w:eastAsia="Times New Roman" w:hAnsi="Times New Roman" w:cs="Times New Roman"/>
        </w:rPr>
        <w:t>viii. Lack of support services for girl survivors of sexual violence</w:t>
      </w:r>
      <w:bookmarkEnd w:id="11"/>
    </w:p>
    <w:p w14:paraId="1816E694" w14:textId="77777777"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 xml:space="preserve">In Armenia, there is a significant deficiency in support services for girl survivors of sexual violence. There is an emerging practice of so-called ‘safe corners’ where children are questioned not directly by investigators but by psychologists and social workers. However, it is not widespread and has not been multiplied throughout Armenia. </w:t>
      </w:r>
    </w:p>
    <w:p w14:paraId="1816E695" w14:textId="77777777" w:rsidR="00924C8B" w:rsidRDefault="00924C8B">
      <w:pPr>
        <w:spacing w:line="240" w:lineRule="auto"/>
        <w:jc w:val="both"/>
        <w:rPr>
          <w:rFonts w:ascii="Times New Roman" w:eastAsia="Times New Roman" w:hAnsi="Times New Roman" w:cs="Times New Roman"/>
          <w:sz w:val="24"/>
          <w:szCs w:val="24"/>
        </w:rPr>
      </w:pPr>
    </w:p>
    <w:p w14:paraId="1816E696" w14:textId="0F73A239"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 xml:space="preserve">Children are often referred to the Fund for Armenian Relief (FAR) Child Protection Centre (NGO) or the "ZATIK" Yerevan Child Assistance Centre (state body). While these </w:t>
      </w:r>
      <w:proofErr w:type="spellStart"/>
      <w:r w:rsidR="00BC5F21">
        <w:rPr>
          <w:rFonts w:ascii="Times New Roman" w:eastAsia="Times New Roman" w:hAnsi="Times New Roman" w:cs="Times New Roman"/>
          <w:sz w:val="24"/>
          <w:szCs w:val="24"/>
        </w:rPr>
        <w:t>centers</w:t>
      </w:r>
      <w:proofErr w:type="spellEnd"/>
      <w:r w:rsidR="00BC5F21">
        <w:rPr>
          <w:rFonts w:ascii="Times New Roman" w:eastAsia="Times New Roman" w:hAnsi="Times New Roman" w:cs="Times New Roman"/>
          <w:sz w:val="24"/>
          <w:szCs w:val="24"/>
        </w:rPr>
        <w:t xml:space="preserve"> provide essential services such as shelter, basic medical care, and </w:t>
      </w:r>
      <w:proofErr w:type="spellStart"/>
      <w:r w:rsidR="00BC5F21">
        <w:rPr>
          <w:rFonts w:ascii="Times New Roman" w:eastAsia="Times New Roman" w:hAnsi="Times New Roman" w:cs="Times New Roman"/>
          <w:sz w:val="24"/>
          <w:szCs w:val="24"/>
        </w:rPr>
        <w:t>counseling</w:t>
      </w:r>
      <w:proofErr w:type="spellEnd"/>
      <w:r w:rsidR="00BC5F21">
        <w:rPr>
          <w:rFonts w:ascii="Times New Roman" w:eastAsia="Times New Roman" w:hAnsi="Times New Roman" w:cs="Times New Roman"/>
          <w:sz w:val="24"/>
          <w:szCs w:val="24"/>
        </w:rPr>
        <w:t>, they are not specialized</w:t>
      </w:r>
      <w:r>
        <w:rPr>
          <w:rFonts w:ascii="Times New Roman" w:eastAsia="Times New Roman" w:hAnsi="Times New Roman" w:cs="Times New Roman"/>
          <w:sz w:val="24"/>
          <w:szCs w:val="24"/>
        </w:rPr>
        <w:t xml:space="preserve"> in supporting children who have been subjected to sexual violence. </w:t>
      </w:r>
    </w:p>
    <w:p w14:paraId="1816E697" w14:textId="77777777" w:rsidR="00924C8B" w:rsidRDefault="00924C8B">
      <w:pPr>
        <w:spacing w:line="240" w:lineRule="auto"/>
        <w:jc w:val="both"/>
        <w:rPr>
          <w:rFonts w:ascii="Times New Roman" w:eastAsia="Times New Roman" w:hAnsi="Times New Roman" w:cs="Times New Roman"/>
          <w:sz w:val="24"/>
          <w:szCs w:val="24"/>
        </w:rPr>
      </w:pPr>
    </w:p>
    <w:p w14:paraId="1816E698" w14:textId="7922A3C9" w:rsidR="00924C8B" w:rsidRDefault="000A65A1">
      <w:pPr>
        <w:numPr>
          <w:ilvl w:val="0"/>
          <w:numId w:val="4"/>
        </w:numPr>
        <w:spacing w:line="240" w:lineRule="auto"/>
        <w:jc w:val="both"/>
        <w:rPr>
          <w:sz w:val="24"/>
          <w:szCs w:val="24"/>
        </w:rPr>
      </w:pPr>
      <w:r>
        <w:rPr>
          <w:rFonts w:ascii="Times New Roman" w:eastAsia="Times New Roman" w:hAnsi="Times New Roman" w:cs="Times New Roman"/>
          <w:sz w:val="24"/>
          <w:szCs w:val="24"/>
        </w:rPr>
        <w:t>The absence of shelters and rehabilitation services specifically tailored to the needs of child victims of sexual violence is a critical gap. It results in children lacking access to essential psychological support, medical care</w:t>
      </w:r>
      <w:r w:rsidR="00BC5F2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other necessary services. The system fails to address the mental health needs of these children adequately, leaving them without appropriate care and support. Furthermore, children with mental health issues face additional barriers, as many </w:t>
      </w:r>
      <w:proofErr w:type="spellStart"/>
      <w:r w:rsidR="00BC5F21">
        <w:rPr>
          <w:rFonts w:ascii="Times New Roman" w:eastAsia="Times New Roman" w:hAnsi="Times New Roman" w:cs="Times New Roman"/>
          <w:sz w:val="24"/>
          <w:szCs w:val="24"/>
        </w:rPr>
        <w:t>centers</w:t>
      </w:r>
      <w:proofErr w:type="spellEnd"/>
      <w:r w:rsidR="00BC5F21">
        <w:rPr>
          <w:rFonts w:ascii="Times New Roman" w:eastAsia="Times New Roman" w:hAnsi="Times New Roman" w:cs="Times New Roman"/>
          <w:sz w:val="24"/>
          <w:szCs w:val="24"/>
        </w:rPr>
        <w:t xml:space="preserve"> are reluctant to accept them, exacerbating their vulnerability and the risk of secondary victimization</w:t>
      </w:r>
      <w:r>
        <w:rPr>
          <w:rFonts w:ascii="Times New Roman" w:eastAsia="Times New Roman" w:hAnsi="Times New Roman" w:cs="Times New Roman"/>
          <w:sz w:val="24"/>
          <w:szCs w:val="24"/>
        </w:rPr>
        <w:t>.</w:t>
      </w:r>
    </w:p>
    <w:p w14:paraId="1816E699" w14:textId="77777777" w:rsidR="00924C8B" w:rsidRDefault="000A65A1">
      <w:pPr>
        <w:pStyle w:val="Heading1"/>
        <w:rPr>
          <w:rFonts w:ascii="Times New Roman" w:eastAsia="Times New Roman" w:hAnsi="Times New Roman" w:cs="Times New Roman"/>
        </w:rPr>
      </w:pPr>
      <w:bookmarkStart w:id="12" w:name="_Toc174648994"/>
      <w:r>
        <w:rPr>
          <w:rFonts w:ascii="Times New Roman" w:eastAsia="Times New Roman" w:hAnsi="Times New Roman" w:cs="Times New Roman"/>
        </w:rPr>
        <w:t>ix. Recommendations</w:t>
      </w:r>
      <w:bookmarkEnd w:id="12"/>
    </w:p>
    <w:p w14:paraId="1816E69A" w14:textId="77777777" w:rsidR="00924C8B" w:rsidRDefault="000A65A1">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We respectfully urge the Committee to recommend that the Government of Armenia:</w:t>
      </w:r>
    </w:p>
    <w:p w14:paraId="1816E69B" w14:textId="77777777" w:rsidR="00924C8B" w:rsidRDefault="00924C8B">
      <w:pPr>
        <w:spacing w:line="240" w:lineRule="auto"/>
        <w:rPr>
          <w:rFonts w:ascii="Times New Roman" w:eastAsia="Times New Roman" w:hAnsi="Times New Roman" w:cs="Times New Roman"/>
          <w:b/>
          <w:sz w:val="24"/>
          <w:szCs w:val="24"/>
        </w:rPr>
      </w:pPr>
    </w:p>
    <w:p w14:paraId="1816E69C" w14:textId="77777777" w:rsidR="00924C8B" w:rsidRDefault="000A65A1">
      <w:pPr>
        <w:numPr>
          <w:ilvl w:val="0"/>
          <w:numId w:val="3"/>
        </w:num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Substantive law</w:t>
      </w:r>
    </w:p>
    <w:p w14:paraId="1816E69D" w14:textId="4DCFCD39" w:rsidR="00924C8B" w:rsidRDefault="000A65A1">
      <w:pPr>
        <w:numPr>
          <w:ilvl w:val="1"/>
          <w:numId w:val="3"/>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Amend the Criminal Code of Armenia to ensure that the consent of a minor under 16 by an adult is not examined and that the </w:t>
      </w:r>
      <w:r w:rsidR="00BC5F21">
        <w:rPr>
          <w:rFonts w:ascii="Times New Roman" w:eastAsia="Times New Roman" w:hAnsi="Times New Roman" w:cs="Times New Roman"/>
          <w:sz w:val="24"/>
          <w:szCs w:val="24"/>
        </w:rPr>
        <w:t>offense</w:t>
      </w:r>
      <w:r>
        <w:rPr>
          <w:rFonts w:ascii="Times New Roman" w:eastAsia="Times New Roman" w:hAnsi="Times New Roman" w:cs="Times New Roman"/>
          <w:sz w:val="24"/>
          <w:szCs w:val="24"/>
        </w:rPr>
        <w:t xml:space="preserve"> is classified as rape, with appropriate penalties and ensuring a robust criminal justice response. </w:t>
      </w:r>
    </w:p>
    <w:p w14:paraId="1816E69E" w14:textId="77777777" w:rsidR="00924C8B" w:rsidRDefault="000A65A1">
      <w:pPr>
        <w:numPr>
          <w:ilvl w:val="1"/>
          <w:numId w:val="3"/>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Amend the Family Code to set 18 as the minimum age of marriage without any exceptions. </w:t>
      </w:r>
    </w:p>
    <w:p w14:paraId="1816E69F" w14:textId="77777777" w:rsidR="00924C8B" w:rsidRDefault="000A65A1">
      <w:pPr>
        <w:numPr>
          <w:ilvl w:val="1"/>
          <w:numId w:val="3"/>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Adopt specific legislation to combat online and technology-facilitated violence against girls. </w:t>
      </w:r>
    </w:p>
    <w:p w14:paraId="1816E6A0" w14:textId="77777777" w:rsidR="00924C8B" w:rsidRDefault="00924C8B">
      <w:pPr>
        <w:spacing w:line="240" w:lineRule="auto"/>
        <w:jc w:val="both"/>
        <w:rPr>
          <w:rFonts w:ascii="Times New Roman" w:eastAsia="Times New Roman" w:hAnsi="Times New Roman" w:cs="Times New Roman"/>
          <w:sz w:val="24"/>
          <w:szCs w:val="24"/>
        </w:rPr>
      </w:pPr>
    </w:p>
    <w:p w14:paraId="1816E6A1" w14:textId="77777777" w:rsidR="00924C8B" w:rsidRDefault="000A65A1">
      <w:pPr>
        <w:numPr>
          <w:ilvl w:val="0"/>
          <w:numId w:val="3"/>
        </w:num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Practice and procedural changes</w:t>
      </w:r>
    </w:p>
    <w:p w14:paraId="1816E6A2" w14:textId="64A9EE25" w:rsidR="00924C8B" w:rsidRDefault="000A65A1">
      <w:pPr>
        <w:numPr>
          <w:ilvl w:val="1"/>
          <w:numId w:val="3"/>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 a comprehensive and child and gender-sensitive methodology, guidelines</w:t>
      </w:r>
      <w:r w:rsidR="00BC5F2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protocols to investigate sexual violence crimes.</w:t>
      </w:r>
    </w:p>
    <w:p w14:paraId="1816E6A3" w14:textId="2EA0BDBB" w:rsidR="00924C8B" w:rsidRDefault="000A65A1">
      <w:pPr>
        <w:numPr>
          <w:ilvl w:val="1"/>
          <w:numId w:val="3"/>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Abolish the practice of intrusive interviews, forced confrontations, invasive forensic examinations</w:t>
      </w:r>
      <w:r w:rsidR="00BC5F2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virginity testing; avoid adverse and unscientific inferences from a hymen’s condition; ensure that investigative actions involving minors are properly recorded (including video recording if necessary) to avoid repeated interviews;</w:t>
      </w:r>
    </w:p>
    <w:p w14:paraId="1816E6A4" w14:textId="77777777" w:rsidR="00924C8B" w:rsidRDefault="000A65A1">
      <w:pPr>
        <w:numPr>
          <w:ilvl w:val="1"/>
          <w:numId w:val="3"/>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Introduce effective mechanisms for preventing and detecting sexual violence of minors; </w:t>
      </w:r>
    </w:p>
    <w:p w14:paraId="1816E6A5" w14:textId="77777777" w:rsidR="00924C8B" w:rsidRDefault="000A65A1">
      <w:pPr>
        <w:numPr>
          <w:ilvl w:val="1"/>
          <w:numId w:val="3"/>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Intensify efforts to combat child marriage, particularly in rural areas, by addressing the root causes and ensuring systemic accountability of responsible Government bodies and individuals, including law enforcement officers, family members, and religious or community leaders.</w:t>
      </w:r>
    </w:p>
    <w:p w14:paraId="1816E6A6" w14:textId="77777777" w:rsidR="00924C8B" w:rsidRDefault="00924C8B">
      <w:pPr>
        <w:spacing w:line="240" w:lineRule="auto"/>
        <w:jc w:val="both"/>
        <w:rPr>
          <w:rFonts w:ascii="Times New Roman" w:eastAsia="Times New Roman" w:hAnsi="Times New Roman" w:cs="Times New Roman"/>
          <w:sz w:val="24"/>
          <w:szCs w:val="24"/>
        </w:rPr>
      </w:pPr>
    </w:p>
    <w:p w14:paraId="1816E6A7" w14:textId="77777777" w:rsidR="00924C8B" w:rsidRDefault="000A65A1">
      <w:pPr>
        <w:numPr>
          <w:ilvl w:val="0"/>
          <w:numId w:val="1"/>
        </w:num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Government policies and programmes</w:t>
      </w:r>
    </w:p>
    <w:p w14:paraId="1816E6A8" w14:textId="1EEBC904" w:rsidR="00924C8B" w:rsidRDefault="000A65A1">
      <w:pPr>
        <w:numPr>
          <w:ilvl w:val="1"/>
          <w:numId w:val="1"/>
        </w:num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Develop a comprehensive government strategy and action plan to prevent and address sexual violence against girls and child marriage, including with special emphasis on girls with disabilities, </w:t>
      </w:r>
      <w:r w:rsidR="00491A1B">
        <w:rPr>
          <w:rFonts w:ascii="Times New Roman" w:eastAsia="Times New Roman" w:hAnsi="Times New Roman" w:cs="Times New Roman"/>
          <w:sz w:val="24"/>
          <w:szCs w:val="24"/>
        </w:rPr>
        <w:t>minoritized, migrant, and displaced girls (including from Nagorno Karabakh),</w:t>
      </w:r>
      <w:r>
        <w:rPr>
          <w:rFonts w:ascii="Times New Roman" w:eastAsia="Times New Roman" w:hAnsi="Times New Roman" w:cs="Times New Roman"/>
          <w:sz w:val="24"/>
          <w:szCs w:val="24"/>
        </w:rPr>
        <w:t xml:space="preserve"> and those made particularly vulnerable by other circumstances. This plan should include effective coordination among government authorities, participation from civil society</w:t>
      </w:r>
      <w:r w:rsidR="00491A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adequate resource allocation. </w:t>
      </w:r>
    </w:p>
    <w:p w14:paraId="1816E6A9" w14:textId="77777777" w:rsidR="00924C8B" w:rsidRDefault="00924C8B">
      <w:pPr>
        <w:spacing w:line="240" w:lineRule="auto"/>
        <w:jc w:val="both"/>
        <w:rPr>
          <w:rFonts w:ascii="Times New Roman" w:eastAsia="Times New Roman" w:hAnsi="Times New Roman" w:cs="Times New Roman"/>
          <w:sz w:val="24"/>
          <w:szCs w:val="24"/>
        </w:rPr>
      </w:pPr>
    </w:p>
    <w:p w14:paraId="1816E6AA" w14:textId="77777777" w:rsidR="00924C8B" w:rsidRDefault="000A65A1">
      <w:pPr>
        <w:numPr>
          <w:ilvl w:val="0"/>
          <w:numId w:val="3"/>
        </w:num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Intersecting forms of discrimination against vulnerable girls, victims of sexual violence</w:t>
      </w:r>
    </w:p>
    <w:p w14:paraId="1816E6AB" w14:textId="24945468" w:rsidR="00924C8B" w:rsidRDefault="000A65A1">
      <w:pPr>
        <w:numPr>
          <w:ilvl w:val="1"/>
          <w:numId w:val="3"/>
        </w:num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Provide girls with disabilities with reasonable and procedural accommodations for reporting violence and navigating the justice process; </w:t>
      </w:r>
      <w:r w:rsidR="00491A1B">
        <w:rPr>
          <w:rFonts w:ascii="Times New Roman" w:eastAsia="Times New Roman" w:hAnsi="Times New Roman" w:cs="Times New Roman"/>
          <w:sz w:val="24"/>
          <w:szCs w:val="24"/>
        </w:rPr>
        <w:t>prioritize</w:t>
      </w:r>
      <w:r>
        <w:rPr>
          <w:rFonts w:ascii="Times New Roman" w:eastAsia="Times New Roman" w:hAnsi="Times New Roman" w:cs="Times New Roman"/>
          <w:sz w:val="24"/>
          <w:szCs w:val="24"/>
        </w:rPr>
        <w:t xml:space="preserve"> social service visits to families of girls with disabilities to detect abuse; safeguard girls with disabilities who live in institutions, ensure reporting of violations and hold perpetrators accountable.</w:t>
      </w:r>
    </w:p>
    <w:p w14:paraId="1816E6AC" w14:textId="77777777" w:rsidR="00924C8B" w:rsidRDefault="00924C8B">
      <w:pPr>
        <w:spacing w:line="240" w:lineRule="auto"/>
        <w:jc w:val="both"/>
        <w:rPr>
          <w:rFonts w:ascii="Times New Roman" w:eastAsia="Times New Roman" w:hAnsi="Times New Roman" w:cs="Times New Roman"/>
          <w:sz w:val="24"/>
          <w:szCs w:val="24"/>
        </w:rPr>
      </w:pPr>
    </w:p>
    <w:p w14:paraId="1816E6AD" w14:textId="77777777" w:rsidR="00924C8B" w:rsidRDefault="000A65A1">
      <w:pPr>
        <w:numPr>
          <w:ilvl w:val="0"/>
          <w:numId w:val="3"/>
        </w:num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Training of professionals</w:t>
      </w:r>
    </w:p>
    <w:p w14:paraId="1816E6AE" w14:textId="7DAEE493" w:rsidR="00924C8B" w:rsidRDefault="000A65A1">
      <w:pPr>
        <w:numPr>
          <w:ilvl w:val="1"/>
          <w:numId w:val="3"/>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 targeted, mandatory capacity-building activities on the prevention and detection of, and the response to, all forms of gender-based violence, including sexual violence and child and forced marriage, for law enforcement and judicial officials, health and social workers</w:t>
      </w:r>
      <w:r w:rsidR="00BC5F2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other professionals, including in rural areas.</w:t>
      </w:r>
    </w:p>
    <w:p w14:paraId="1816E6AF" w14:textId="77777777" w:rsidR="00924C8B" w:rsidRDefault="00924C8B">
      <w:pPr>
        <w:spacing w:line="240" w:lineRule="auto"/>
        <w:ind w:left="1440"/>
        <w:jc w:val="both"/>
        <w:rPr>
          <w:rFonts w:ascii="Times New Roman" w:eastAsia="Times New Roman" w:hAnsi="Times New Roman" w:cs="Times New Roman"/>
          <w:sz w:val="24"/>
          <w:szCs w:val="24"/>
        </w:rPr>
      </w:pPr>
    </w:p>
    <w:p w14:paraId="1816E6B0" w14:textId="77777777" w:rsidR="00924C8B" w:rsidRDefault="000A65A1">
      <w:pPr>
        <w:numPr>
          <w:ilvl w:val="0"/>
          <w:numId w:val="3"/>
        </w:num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Collecting and maintaining data on cases of sexual violence and child and forced marriage</w:t>
      </w:r>
    </w:p>
    <w:p w14:paraId="1816E6B1" w14:textId="3F8F4CD6" w:rsidR="00924C8B" w:rsidRDefault="000A65A1">
      <w:pPr>
        <w:numPr>
          <w:ilvl w:val="1"/>
          <w:numId w:val="3"/>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Improve the collection of data on all forms of violence against women and girls, including sexual violence and child and forced marriage, by the authorities, disaggregated based on the type of violence, perpetrator, age, sex, disability, ethnicity</w:t>
      </w:r>
      <w:r w:rsidR="00491A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other vulnerabilities, the outcome of such cases and the number of complaints received, investigations carried out, prosecutions conducted, the sentences imposed on perpetrators, as well as attrition rates.</w:t>
      </w:r>
    </w:p>
    <w:p w14:paraId="1816E6B2" w14:textId="77777777" w:rsidR="00924C8B" w:rsidRDefault="00924C8B">
      <w:pPr>
        <w:spacing w:line="240" w:lineRule="auto"/>
        <w:jc w:val="both"/>
        <w:rPr>
          <w:rFonts w:ascii="Times New Roman" w:eastAsia="Times New Roman" w:hAnsi="Times New Roman" w:cs="Times New Roman"/>
          <w:sz w:val="24"/>
          <w:szCs w:val="24"/>
        </w:rPr>
      </w:pPr>
    </w:p>
    <w:p w14:paraId="1816E6B3" w14:textId="77777777" w:rsidR="00924C8B" w:rsidRDefault="000A65A1">
      <w:pPr>
        <w:numPr>
          <w:ilvl w:val="0"/>
          <w:numId w:val="3"/>
        </w:num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Education and awareness</w:t>
      </w:r>
    </w:p>
    <w:p w14:paraId="1816E6B4" w14:textId="559D865B" w:rsidR="00924C8B" w:rsidRDefault="000A65A1">
      <w:pPr>
        <w:numPr>
          <w:ilvl w:val="1"/>
          <w:numId w:val="3"/>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Introduce comprehensive sexuality education, incorporating evidence-based information on consent and respectful relationships, </w:t>
      </w:r>
      <w:r w:rsidR="0062385C">
        <w:rPr>
          <w:rFonts w:ascii="Times New Roman" w:eastAsia="Times New Roman" w:hAnsi="Times New Roman" w:cs="Times New Roman"/>
          <w:sz w:val="24"/>
          <w:szCs w:val="24"/>
        </w:rPr>
        <w:t>to combat sexual violence and foster</w:t>
      </w:r>
      <w:r>
        <w:rPr>
          <w:rFonts w:ascii="Times New Roman" w:eastAsia="Times New Roman" w:hAnsi="Times New Roman" w:cs="Times New Roman"/>
          <w:sz w:val="24"/>
          <w:szCs w:val="24"/>
        </w:rPr>
        <w:t xml:space="preserve"> a safer environment for all children in Armenia.</w:t>
      </w:r>
    </w:p>
    <w:p w14:paraId="1816E6B5" w14:textId="77777777" w:rsidR="00924C8B" w:rsidRDefault="000A65A1">
      <w:pPr>
        <w:numPr>
          <w:ilvl w:val="1"/>
          <w:numId w:val="3"/>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continuous awareness-raising campaigns about the illegal and unacceptable nature of sexual violence, child and forced marriage, as well as the legal measures in place to address them.</w:t>
      </w:r>
    </w:p>
    <w:p w14:paraId="1816E6B6" w14:textId="77777777" w:rsidR="00924C8B" w:rsidRDefault="00924C8B">
      <w:pPr>
        <w:spacing w:line="240" w:lineRule="auto"/>
        <w:jc w:val="both"/>
        <w:rPr>
          <w:rFonts w:ascii="Times New Roman" w:eastAsia="Times New Roman" w:hAnsi="Times New Roman" w:cs="Times New Roman"/>
          <w:sz w:val="24"/>
          <w:szCs w:val="24"/>
        </w:rPr>
      </w:pPr>
    </w:p>
    <w:p w14:paraId="1816E6B7" w14:textId="77777777" w:rsidR="00924C8B" w:rsidRDefault="000A65A1">
      <w:pPr>
        <w:numPr>
          <w:ilvl w:val="0"/>
          <w:numId w:val="3"/>
        </w:num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Support services</w:t>
      </w:r>
    </w:p>
    <w:p w14:paraId="1816E6B8" w14:textId="0454089C" w:rsidR="00924C8B" w:rsidRDefault="000A65A1">
      <w:pPr>
        <w:numPr>
          <w:ilvl w:val="1"/>
          <w:numId w:val="3"/>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Strengthen victim support services and protection, including 24 / 7 hotlines, free legal aid, adequate shelters, medical treatment, psychosocial </w:t>
      </w:r>
      <w:proofErr w:type="spellStart"/>
      <w:r w:rsidR="0062385C">
        <w:rPr>
          <w:rFonts w:ascii="Times New Roman" w:eastAsia="Times New Roman" w:hAnsi="Times New Roman" w:cs="Times New Roman"/>
          <w:sz w:val="24"/>
          <w:szCs w:val="24"/>
        </w:rPr>
        <w:t>counseling</w:t>
      </w:r>
      <w:proofErr w:type="spellEnd"/>
      <w:r w:rsidR="0062385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economic support throughout Armenia, tailored to the needs of girl survivors of sexual violence and child and forced marriage. </w:t>
      </w:r>
    </w:p>
    <w:sectPr w:rsidR="00924C8B">
      <w:footerReference w:type="default" r:id="rId8"/>
      <w:headerReference w:type="firs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88F2F" w14:textId="77777777" w:rsidR="00CA68EB" w:rsidRDefault="00CA68EB">
      <w:pPr>
        <w:spacing w:line="240" w:lineRule="auto"/>
      </w:pPr>
      <w:r>
        <w:separator/>
      </w:r>
    </w:p>
  </w:endnote>
  <w:endnote w:type="continuationSeparator" w:id="0">
    <w:p w14:paraId="7FDA080D" w14:textId="77777777" w:rsidR="00CA68EB" w:rsidRDefault="00CA68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6E6B9" w14:textId="7CDD3E6E" w:rsidR="00924C8B" w:rsidRDefault="000A65A1">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Page </w:t>
    </w: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93617A">
      <w:rPr>
        <w:rFonts w:ascii="Times New Roman" w:eastAsia="Times New Roman" w:hAnsi="Times New Roman" w:cs="Times New Roman"/>
        <w:noProof/>
        <w:sz w:val="20"/>
        <w:szCs w:val="20"/>
      </w:rPr>
      <w:t>2</w:t>
    </w:r>
    <w:r>
      <w:rPr>
        <w:rFonts w:ascii="Times New Roman" w:eastAsia="Times New Roman" w:hAnsi="Times New Roman" w:cs="Times New Roman"/>
        <w:sz w:val="20"/>
        <w:szCs w:val="20"/>
      </w:rPr>
      <w:fldChar w:fldCharType="end"/>
    </w:r>
    <w:r>
      <w:rPr>
        <w:rFonts w:ascii="Times New Roman" w:eastAsia="Times New Roman" w:hAnsi="Times New Roman" w:cs="Times New Roman"/>
        <w:sz w:val="20"/>
        <w:szCs w:val="20"/>
      </w:rPr>
      <w:t xml:space="preserve"> of </w:t>
    </w: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NUMPAGES</w:instrText>
    </w:r>
    <w:r>
      <w:rPr>
        <w:rFonts w:ascii="Times New Roman" w:eastAsia="Times New Roman" w:hAnsi="Times New Roman" w:cs="Times New Roman"/>
        <w:sz w:val="20"/>
        <w:szCs w:val="20"/>
      </w:rPr>
      <w:fldChar w:fldCharType="separate"/>
    </w:r>
    <w:r w:rsidR="0093617A">
      <w:rPr>
        <w:rFonts w:ascii="Times New Roman" w:eastAsia="Times New Roman" w:hAnsi="Times New Roman" w:cs="Times New Roman"/>
        <w:noProof/>
        <w:sz w:val="20"/>
        <w:szCs w:val="20"/>
      </w:rPr>
      <w:t>3</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696F7" w14:textId="77777777" w:rsidR="00CA68EB" w:rsidRDefault="00CA68EB">
      <w:pPr>
        <w:spacing w:line="240" w:lineRule="auto"/>
      </w:pPr>
      <w:r>
        <w:separator/>
      </w:r>
    </w:p>
  </w:footnote>
  <w:footnote w:type="continuationSeparator" w:id="0">
    <w:p w14:paraId="2517243A" w14:textId="77777777" w:rsidR="00CA68EB" w:rsidRDefault="00CA68EB">
      <w:pPr>
        <w:spacing w:line="240" w:lineRule="auto"/>
      </w:pPr>
      <w:r>
        <w:continuationSeparator/>
      </w:r>
    </w:p>
  </w:footnote>
  <w:footnote w:id="1">
    <w:p w14:paraId="1816E6C5" w14:textId="77777777" w:rsidR="00924C8B" w:rsidRDefault="000A65A1">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1">
        <w:r>
          <w:rPr>
            <w:rFonts w:ascii="Times New Roman" w:eastAsia="Times New Roman" w:hAnsi="Times New Roman" w:cs="Times New Roman"/>
            <w:color w:val="1155CC"/>
            <w:sz w:val="20"/>
            <w:szCs w:val="20"/>
            <w:u w:val="single"/>
          </w:rPr>
          <w:t>https://www.equalitynow.org/</w:t>
        </w:r>
      </w:hyperlink>
      <w:r>
        <w:rPr>
          <w:rFonts w:ascii="Times New Roman" w:eastAsia="Times New Roman" w:hAnsi="Times New Roman" w:cs="Times New Roman"/>
          <w:sz w:val="20"/>
          <w:szCs w:val="20"/>
        </w:rPr>
        <w:t xml:space="preserve"> </w:t>
      </w:r>
    </w:p>
  </w:footnote>
  <w:footnote w:id="2">
    <w:p w14:paraId="1816E6C6" w14:textId="77777777" w:rsidR="00924C8B" w:rsidRDefault="000A65A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2">
        <w:r>
          <w:rPr>
            <w:rFonts w:ascii="Times New Roman" w:eastAsia="Times New Roman" w:hAnsi="Times New Roman" w:cs="Times New Roman"/>
            <w:color w:val="1155CC"/>
            <w:sz w:val="20"/>
            <w:szCs w:val="20"/>
            <w:u w:val="single"/>
          </w:rPr>
          <w:t>https://www.equalitynow.org/resource/roadblocks_to_justice/</w:t>
        </w:r>
      </w:hyperlink>
      <w:r>
        <w:rPr>
          <w:rFonts w:ascii="Times New Roman" w:eastAsia="Times New Roman" w:hAnsi="Times New Roman" w:cs="Times New Roman"/>
          <w:sz w:val="20"/>
          <w:szCs w:val="20"/>
        </w:rPr>
        <w:t xml:space="preserve"> </w:t>
      </w:r>
    </w:p>
  </w:footnote>
  <w:footnote w:id="3">
    <w:p w14:paraId="1816E6C7" w14:textId="77777777" w:rsidR="00924C8B" w:rsidRDefault="000A65A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3">
        <w:r>
          <w:rPr>
            <w:rFonts w:ascii="Times New Roman" w:eastAsia="Times New Roman" w:hAnsi="Times New Roman" w:cs="Times New Roman"/>
            <w:color w:val="1155CC"/>
            <w:sz w:val="20"/>
            <w:szCs w:val="20"/>
            <w:u w:val="single"/>
          </w:rPr>
          <w:t>https://saccarmenia.org/</w:t>
        </w:r>
      </w:hyperlink>
      <w:r>
        <w:rPr>
          <w:rFonts w:ascii="Times New Roman" w:eastAsia="Times New Roman" w:hAnsi="Times New Roman" w:cs="Times New Roman"/>
          <w:sz w:val="20"/>
          <w:szCs w:val="20"/>
        </w:rPr>
        <w:t xml:space="preserve"> </w:t>
      </w:r>
    </w:p>
  </w:footnote>
  <w:footnote w:id="4">
    <w:p w14:paraId="1816E6C8" w14:textId="77777777" w:rsidR="00924C8B" w:rsidRDefault="000A65A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4">
        <w:r>
          <w:rPr>
            <w:rFonts w:ascii="Times New Roman" w:eastAsia="Times New Roman" w:hAnsi="Times New Roman" w:cs="Times New Roman"/>
            <w:color w:val="1155CC"/>
            <w:sz w:val="20"/>
            <w:szCs w:val="20"/>
            <w:u w:val="single"/>
          </w:rPr>
          <w:t>https://womenofarmenia.org/</w:t>
        </w:r>
      </w:hyperlink>
    </w:p>
  </w:footnote>
  <w:footnote w:id="5">
    <w:p w14:paraId="1816E6C9" w14:textId="77777777" w:rsidR="00924C8B" w:rsidRDefault="000A65A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5">
        <w:r>
          <w:rPr>
            <w:rFonts w:ascii="Times New Roman" w:eastAsia="Times New Roman" w:hAnsi="Times New Roman" w:cs="Times New Roman"/>
            <w:color w:val="800080"/>
            <w:sz w:val="20"/>
            <w:szCs w:val="20"/>
            <w:u w:val="single"/>
          </w:rPr>
          <w:t>https://safeyou.space/en</w:t>
        </w:r>
      </w:hyperlink>
      <w:r>
        <w:rPr>
          <w:rFonts w:ascii="Times New Roman" w:eastAsia="Times New Roman" w:hAnsi="Times New Roman" w:cs="Times New Roman"/>
          <w:sz w:val="20"/>
          <w:szCs w:val="20"/>
        </w:rPr>
        <w:t xml:space="preserve"> </w:t>
      </w:r>
    </w:p>
  </w:footnote>
  <w:footnote w:id="6">
    <w:p w14:paraId="1816E6CA" w14:textId="77777777" w:rsidR="00924C8B" w:rsidRDefault="000A65A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CRC/C/ARM/CO/3-4</w:t>
      </w:r>
    </w:p>
  </w:footnote>
  <w:footnote w:id="7">
    <w:p w14:paraId="1816E6CB" w14:textId="77777777" w:rsidR="00924C8B" w:rsidRDefault="000A65A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 para. 26</w:t>
      </w:r>
    </w:p>
  </w:footnote>
  <w:footnote w:id="8">
    <w:p w14:paraId="1816E6CC" w14:textId="77777777" w:rsidR="00924C8B" w:rsidRDefault="000A65A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 paras. 24 and 36(a)</w:t>
      </w:r>
    </w:p>
  </w:footnote>
  <w:footnote w:id="9">
    <w:p w14:paraId="1816E6CD" w14:textId="77777777" w:rsidR="00924C8B" w:rsidRDefault="000A65A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 paras. 27-28</w:t>
      </w:r>
    </w:p>
  </w:footnote>
  <w:footnote w:id="10">
    <w:p w14:paraId="1816E6CE" w14:textId="77777777" w:rsidR="00924C8B" w:rsidRDefault="000A65A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CEDAW/C/ARM/CO/7</w:t>
      </w:r>
    </w:p>
  </w:footnote>
  <w:footnote w:id="11">
    <w:p w14:paraId="1816E6CF" w14:textId="77777777" w:rsidR="00924C8B" w:rsidRDefault="000A65A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 paras. 25, 43, </w:t>
      </w:r>
    </w:p>
  </w:footnote>
  <w:footnote w:id="12">
    <w:p w14:paraId="1816E6D0" w14:textId="77777777" w:rsidR="00924C8B" w:rsidRDefault="000A65A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 para. 53</w:t>
      </w:r>
    </w:p>
  </w:footnote>
  <w:footnote w:id="13">
    <w:p w14:paraId="1816E6D3" w14:textId="77777777" w:rsidR="00924C8B" w:rsidRDefault="000A65A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6">
        <w:r>
          <w:rPr>
            <w:rFonts w:ascii="Times New Roman" w:eastAsia="Times New Roman" w:hAnsi="Times New Roman" w:cs="Times New Roman"/>
            <w:color w:val="1155CC"/>
            <w:sz w:val="20"/>
            <w:szCs w:val="20"/>
            <w:u w:val="single"/>
          </w:rPr>
          <w:t>https://www.investigative.am/en/news/information-on-criminal-proceedings-investigated-in-the-ra-investigative-committee-in-2022-on-crimes-committed-against-minors</w:t>
        </w:r>
      </w:hyperlink>
      <w:r>
        <w:rPr>
          <w:rFonts w:ascii="Times New Roman" w:eastAsia="Times New Roman" w:hAnsi="Times New Roman" w:cs="Times New Roman"/>
          <w:sz w:val="20"/>
          <w:szCs w:val="20"/>
        </w:rPr>
        <w:t xml:space="preserve"> </w:t>
      </w:r>
    </w:p>
  </w:footnote>
  <w:footnote w:id="14">
    <w:p w14:paraId="1816E6D4" w14:textId="77777777" w:rsidR="00924C8B" w:rsidRDefault="000A65A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7">
        <w:r>
          <w:rPr>
            <w:rFonts w:ascii="Times New Roman" w:eastAsia="Times New Roman" w:hAnsi="Times New Roman" w:cs="Times New Roman"/>
            <w:color w:val="1155CC"/>
            <w:sz w:val="20"/>
            <w:szCs w:val="20"/>
            <w:u w:val="single"/>
          </w:rPr>
          <w:t>https://foi.am/u_files/file/legislation/CRIMINAL%20CODE%20OF%20THE%20REPUBLIC%20OF%20ARMENIA.pdf</w:t>
        </w:r>
      </w:hyperlink>
    </w:p>
  </w:footnote>
  <w:footnote w:id="15">
    <w:p w14:paraId="1816E6D5" w14:textId="77777777" w:rsidR="00924C8B" w:rsidRDefault="000A65A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CEDAW Committee, ‘General recommendation No. 35’ (2017), para. 29(e)</w:t>
      </w:r>
    </w:p>
  </w:footnote>
  <w:footnote w:id="16">
    <w:p w14:paraId="1816E6D6" w14:textId="77777777" w:rsidR="00924C8B" w:rsidRDefault="000A65A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A/HRC/47/26/Add.1, Article 3(a)</w:t>
      </w:r>
    </w:p>
  </w:footnote>
  <w:footnote w:id="17">
    <w:p w14:paraId="1816E6D7" w14:textId="77777777" w:rsidR="00924C8B" w:rsidRDefault="000A65A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https://www.arlis.am/,This issue is currently being discussed as to introduce the prohibition of the marriage before the age of 18 per the Family Code</w:t>
      </w:r>
    </w:p>
  </w:footnote>
  <w:footnote w:id="18">
    <w:p w14:paraId="1816E6D8" w14:textId="77777777" w:rsidR="00924C8B" w:rsidRDefault="000A65A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8">
        <w:r>
          <w:rPr>
            <w:rFonts w:ascii="Times New Roman" w:eastAsia="Times New Roman" w:hAnsi="Times New Roman" w:cs="Times New Roman"/>
            <w:color w:val="1155CC"/>
            <w:sz w:val="20"/>
            <w:szCs w:val="20"/>
            <w:u w:val="single"/>
          </w:rPr>
          <w:t>https://dhsprogram.com/pubs/pdf/FR325/FR325.pdf</w:t>
        </w:r>
      </w:hyperlink>
      <w:r>
        <w:rPr>
          <w:rFonts w:ascii="Times New Roman" w:eastAsia="Times New Roman" w:hAnsi="Times New Roman" w:cs="Times New Roman"/>
          <w:sz w:val="20"/>
          <w:szCs w:val="20"/>
        </w:rPr>
        <w:t xml:space="preserve">, p. 49 </w:t>
      </w:r>
    </w:p>
  </w:footnote>
  <w:footnote w:id="19">
    <w:p w14:paraId="1816E6D9" w14:textId="77777777" w:rsidR="00924C8B" w:rsidRDefault="000A65A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9">
        <w:r>
          <w:rPr>
            <w:rFonts w:ascii="Times New Roman" w:eastAsia="Times New Roman" w:hAnsi="Times New Roman" w:cs="Times New Roman"/>
            <w:color w:val="1155CC"/>
            <w:sz w:val="20"/>
            <w:szCs w:val="20"/>
            <w:u w:val="single"/>
          </w:rPr>
          <w:t>https://www.investigative.am/news/serakan-andzernmkhelivouthyan-ev-serakan-azatvouthyan-dem-voughghvats-hancagvortsvouthyvounneri-thivn-avelacel-e-vousvoumnasirvouthyvoun</w:t>
        </w:r>
      </w:hyperlink>
      <w:r>
        <w:rPr>
          <w:rFonts w:ascii="Times New Roman" w:eastAsia="Times New Roman" w:hAnsi="Times New Roman" w:cs="Times New Roman"/>
          <w:sz w:val="20"/>
          <w:szCs w:val="20"/>
        </w:rPr>
        <w:t xml:space="preserve"> </w:t>
      </w:r>
    </w:p>
  </w:footnote>
  <w:footnote w:id="20">
    <w:p w14:paraId="1816E6DA" w14:textId="77777777" w:rsidR="00924C8B" w:rsidRDefault="000A65A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Criminal Code of Armenia adopted on 18 April 2003 (unoperative), available at: </w:t>
      </w:r>
      <w:hyperlink r:id="rId10">
        <w:r>
          <w:rPr>
            <w:rFonts w:ascii="Times New Roman" w:eastAsia="Times New Roman" w:hAnsi="Times New Roman" w:cs="Times New Roman"/>
            <w:color w:val="1155CC"/>
            <w:sz w:val="20"/>
            <w:szCs w:val="20"/>
            <w:u w:val="single"/>
          </w:rPr>
          <w:t>http://www.parliament.am/legislation.php?sel=show&amp;ID=1349&amp;lang=eng</w:t>
        </w:r>
      </w:hyperlink>
      <w:r>
        <w:rPr>
          <w:rFonts w:ascii="Times New Roman" w:eastAsia="Times New Roman" w:hAnsi="Times New Roman" w:cs="Times New Roman"/>
          <w:sz w:val="20"/>
          <w:szCs w:val="20"/>
        </w:rPr>
        <w:t xml:space="preserve"> </w:t>
      </w:r>
    </w:p>
    <w:p w14:paraId="1816E6DB" w14:textId="77777777" w:rsidR="00924C8B" w:rsidRDefault="000A65A1">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Article 141 Sexual acts with a person under 16</w:t>
      </w:r>
    </w:p>
    <w:p w14:paraId="1816E6DC" w14:textId="77777777" w:rsidR="00924C8B" w:rsidRDefault="000A65A1">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Sexual intercourse or other sexual acts with a person obviously under 16, by a person who reached 18 years of age, in the absence of elements of crime envisaged in  Articles 138, 139 or 140 of this Code, </w:t>
      </w:r>
    </w:p>
    <w:p w14:paraId="1816E6DD" w14:textId="77777777" w:rsidR="00924C8B" w:rsidRDefault="000A65A1">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Is punished with correctional labor for the term of up to 2 years, or with imprisonment for the term of up to 2 years.</w:t>
      </w:r>
    </w:p>
  </w:footnote>
  <w:footnote w:id="21">
    <w:p w14:paraId="1816E6DE" w14:textId="77777777" w:rsidR="00924C8B" w:rsidRDefault="000A65A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 addition to the reports already mentioned in this section, see also </w:t>
      </w:r>
      <w:hyperlink r:id="rId11">
        <w:r>
          <w:rPr>
            <w:rFonts w:ascii="Times New Roman" w:eastAsia="Times New Roman" w:hAnsi="Times New Roman" w:cs="Times New Roman"/>
            <w:color w:val="1155CC"/>
            <w:sz w:val="20"/>
            <w:szCs w:val="20"/>
            <w:u w:val="single"/>
          </w:rPr>
          <w:t>https://eeca.unfpa.org/sites/default/files/pub-pdf/unfpa%20armenia%20overview.pdf</w:t>
        </w:r>
      </w:hyperlink>
      <w:r>
        <w:rPr>
          <w:rFonts w:ascii="Times New Roman" w:eastAsia="Times New Roman" w:hAnsi="Times New Roman" w:cs="Times New Roman"/>
          <w:sz w:val="20"/>
          <w:szCs w:val="20"/>
        </w:rPr>
        <w:t xml:space="preserve"> </w:t>
      </w:r>
    </w:p>
  </w:footnote>
  <w:footnote w:id="22">
    <w:p w14:paraId="1816E6DF" w14:textId="77777777" w:rsidR="00924C8B" w:rsidRDefault="000A65A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12">
        <w:r>
          <w:rPr>
            <w:rFonts w:ascii="Times New Roman" w:eastAsia="Times New Roman" w:hAnsi="Times New Roman" w:cs="Times New Roman"/>
            <w:color w:val="1155CC"/>
            <w:sz w:val="20"/>
            <w:szCs w:val="20"/>
            <w:u w:val="single"/>
          </w:rPr>
          <w:t>https://www.arlis.am/DocumentView.aspx?DocID=166538</w:t>
        </w:r>
      </w:hyperlink>
    </w:p>
  </w:footnote>
  <w:footnote w:id="23">
    <w:p w14:paraId="1816E6E0" w14:textId="77777777" w:rsidR="00924C8B" w:rsidRDefault="000A65A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13">
        <w:r>
          <w:rPr>
            <w:rFonts w:ascii="Times New Roman" w:eastAsia="Times New Roman" w:hAnsi="Times New Roman" w:cs="Times New Roman"/>
            <w:color w:val="1155CC"/>
            <w:sz w:val="20"/>
            <w:szCs w:val="20"/>
            <w:u w:val="single"/>
          </w:rPr>
          <w:t>https://hudoc.echr.coe.int/eng?i=001-234259</w:t>
        </w:r>
      </w:hyperlink>
      <w:r>
        <w:rPr>
          <w:rFonts w:ascii="Times New Roman" w:eastAsia="Times New Roman" w:hAnsi="Times New Roman" w:cs="Times New Roman"/>
          <w:sz w:val="20"/>
          <w:szCs w:val="20"/>
        </w:rPr>
        <w:t xml:space="preserve"> </w:t>
      </w:r>
    </w:p>
  </w:footnote>
  <w:footnote w:id="24">
    <w:p w14:paraId="1816E6E1" w14:textId="77777777" w:rsidR="00924C8B" w:rsidRDefault="000A65A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14">
        <w:r>
          <w:rPr>
            <w:rFonts w:ascii="Times New Roman" w:eastAsia="Times New Roman" w:hAnsi="Times New Roman" w:cs="Times New Roman"/>
            <w:color w:val="1155CC"/>
            <w:sz w:val="20"/>
            <w:szCs w:val="20"/>
            <w:u w:val="single"/>
          </w:rPr>
          <w:t>https://www.who.int/news/item/17-10-2018-interagency-statement-calls-for-the-elimination-of-virginity-testing</w:t>
        </w:r>
      </w:hyperlink>
      <w:r>
        <w:rPr>
          <w:rFonts w:ascii="Times New Roman" w:eastAsia="Times New Roman" w:hAnsi="Times New Roman" w:cs="Times New Roman"/>
          <w:sz w:val="20"/>
          <w:szCs w:val="20"/>
        </w:rPr>
        <w:t xml:space="preserve"> </w:t>
      </w:r>
    </w:p>
  </w:footnote>
  <w:footnote w:id="25">
    <w:p w14:paraId="1816E6E2" w14:textId="77777777" w:rsidR="00924C8B" w:rsidRDefault="000A65A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15">
        <w:r>
          <w:rPr>
            <w:rFonts w:ascii="Times New Roman" w:eastAsia="Times New Roman" w:hAnsi="Times New Roman" w:cs="Times New Roman"/>
            <w:color w:val="1155CC"/>
            <w:sz w:val="20"/>
            <w:szCs w:val="20"/>
            <w:u w:val="single"/>
          </w:rPr>
          <w:t xml:space="preserve">https://www.arlis.am/DocumentView.aspx?docid=158667 </w:t>
        </w:r>
      </w:hyperlink>
    </w:p>
  </w:footnote>
  <w:footnote w:id="26">
    <w:p w14:paraId="1816E6E3" w14:textId="77777777" w:rsidR="00924C8B" w:rsidRDefault="000A65A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16">
        <w:r>
          <w:rPr>
            <w:rFonts w:ascii="Times New Roman" w:eastAsia="Times New Roman" w:hAnsi="Times New Roman" w:cs="Times New Roman"/>
            <w:color w:val="1155CC"/>
            <w:sz w:val="20"/>
            <w:szCs w:val="20"/>
            <w:u w:val="single"/>
          </w:rPr>
          <w:t>https://hudoc.echr.coe.int/eng?i=001-234259</w:t>
        </w:r>
      </w:hyperlink>
    </w:p>
  </w:footnote>
  <w:footnote w:id="27">
    <w:p w14:paraId="1816E6E4" w14:textId="77777777" w:rsidR="00924C8B" w:rsidRDefault="000A65A1">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17">
        <w:r>
          <w:rPr>
            <w:rFonts w:ascii="Times New Roman" w:eastAsia="Times New Roman" w:hAnsi="Times New Roman" w:cs="Times New Roman"/>
            <w:color w:val="1155CC"/>
            <w:sz w:val="20"/>
            <w:szCs w:val="20"/>
            <w:u w:val="single"/>
          </w:rPr>
          <w:t>https://wave-network.org/wave-statement-on-the-nagorno-karabakh-humanitarian-crisis/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6E6BA" w14:textId="77777777" w:rsidR="00924C8B" w:rsidRDefault="00924C8B">
    <w:pPr>
      <w:spacing w:line="240" w:lineRule="auto"/>
      <w:jc w:val="center"/>
    </w:pPr>
  </w:p>
  <w:p w14:paraId="1816E6BB" w14:textId="77777777" w:rsidR="00924C8B" w:rsidRDefault="000A65A1">
    <w:pPr>
      <w:spacing w:line="240" w:lineRule="auto"/>
      <w:jc w:val="center"/>
    </w:pPr>
    <w:r>
      <w:rPr>
        <w:noProof/>
      </w:rPr>
      <w:drawing>
        <wp:inline distT="0" distB="0" distL="114300" distR="114300" wp14:anchorId="1816E6BD" wp14:editId="1816E6BE">
          <wp:extent cx="3010812" cy="1003604"/>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010812" cy="1003604"/>
                  </a:xfrm>
                  <a:prstGeom prst="rect">
                    <a:avLst/>
                  </a:prstGeom>
                  <a:ln/>
                </pic:spPr>
              </pic:pic>
            </a:graphicData>
          </a:graphic>
        </wp:inline>
      </w:drawing>
    </w:r>
    <w:r>
      <w:rPr>
        <w:noProof/>
      </w:rPr>
      <w:drawing>
        <wp:inline distT="114300" distB="114300" distL="114300" distR="114300" wp14:anchorId="1816E6BF" wp14:editId="1816E6C0">
          <wp:extent cx="2486025" cy="625171"/>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2486025" cy="625171"/>
                  </a:xfrm>
                  <a:prstGeom prst="rect">
                    <a:avLst/>
                  </a:prstGeom>
                  <a:ln/>
                </pic:spPr>
              </pic:pic>
            </a:graphicData>
          </a:graphic>
        </wp:inline>
      </w:drawing>
    </w:r>
    <w:r>
      <w:rPr>
        <w:noProof/>
      </w:rPr>
      <w:drawing>
        <wp:inline distT="114300" distB="114300" distL="114300" distR="114300" wp14:anchorId="1816E6C1" wp14:editId="14D5582D">
          <wp:extent cx="1236345" cy="1198245"/>
          <wp:effectExtent l="0" t="0" r="1905" b="1905"/>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
                  <a:srcRect/>
                  <a:stretch>
                    <a:fillRect/>
                  </a:stretch>
                </pic:blipFill>
                <pic:spPr>
                  <a:xfrm>
                    <a:off x="0" y="0"/>
                    <a:ext cx="1236648" cy="1198539"/>
                  </a:xfrm>
                  <a:prstGeom prst="rect">
                    <a:avLst/>
                  </a:prstGeom>
                  <a:ln/>
                </pic:spPr>
              </pic:pic>
            </a:graphicData>
          </a:graphic>
        </wp:inline>
      </w:drawing>
    </w:r>
    <w:r>
      <w:rPr>
        <w:noProof/>
      </w:rPr>
      <w:drawing>
        <wp:inline distT="114300" distB="114300" distL="114300" distR="114300" wp14:anchorId="1816E6C3" wp14:editId="1816E6C4">
          <wp:extent cx="3486150" cy="747967"/>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
                  <a:srcRect/>
                  <a:stretch>
                    <a:fillRect/>
                  </a:stretch>
                </pic:blipFill>
                <pic:spPr>
                  <a:xfrm>
                    <a:off x="0" y="0"/>
                    <a:ext cx="3486150" cy="74796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47D86"/>
    <w:multiLevelType w:val="multilevel"/>
    <w:tmpl w:val="9FF270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DFC635B"/>
    <w:multiLevelType w:val="multilevel"/>
    <w:tmpl w:val="CF7A36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17B5CC3"/>
    <w:multiLevelType w:val="multilevel"/>
    <w:tmpl w:val="D0E45E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88F56D4"/>
    <w:multiLevelType w:val="multilevel"/>
    <w:tmpl w:val="7A883020"/>
    <w:lvl w:ilvl="0">
      <w:start w:val="1"/>
      <w:numFmt w:val="decimal"/>
      <w:lvlText w:val="%1."/>
      <w:lvlJc w:val="left"/>
      <w:pPr>
        <w:ind w:left="720" w:hanging="360"/>
      </w:pPr>
      <w:rPr>
        <w:rFonts w:ascii="Times New Roman" w:eastAsia="Times New Roman" w:hAnsi="Times New Roman" w:cs="Times New Roman"/>
        <w:b w:val="0"/>
        <w:u w:val="none"/>
      </w:rPr>
    </w:lvl>
    <w:lvl w:ilvl="1">
      <w:start w:val="1"/>
      <w:numFmt w:val="lowerLetter"/>
      <w:lvlText w:val="%2."/>
      <w:lvlJc w:val="left"/>
      <w:pPr>
        <w:ind w:left="1440" w:hanging="360"/>
      </w:pPr>
      <w:rPr>
        <w:rFonts w:ascii="Times New Roman" w:eastAsia="Times New Roman" w:hAnsi="Times New Roman" w:cs="Times New Roman"/>
        <w:b w:val="0"/>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186944359">
    <w:abstractNumId w:val="2"/>
  </w:num>
  <w:num w:numId="2" w16cid:durableId="1245410771">
    <w:abstractNumId w:val="0"/>
  </w:num>
  <w:num w:numId="3" w16cid:durableId="729495792">
    <w:abstractNumId w:val="1"/>
  </w:num>
  <w:num w:numId="4" w16cid:durableId="12200971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C8B"/>
    <w:rsid w:val="000A65A1"/>
    <w:rsid w:val="000B70F0"/>
    <w:rsid w:val="0013667F"/>
    <w:rsid w:val="002A62F8"/>
    <w:rsid w:val="00333E7C"/>
    <w:rsid w:val="00491A1B"/>
    <w:rsid w:val="004A677A"/>
    <w:rsid w:val="004C6863"/>
    <w:rsid w:val="0052093D"/>
    <w:rsid w:val="0054255C"/>
    <w:rsid w:val="005E02B2"/>
    <w:rsid w:val="006231A2"/>
    <w:rsid w:val="0062385C"/>
    <w:rsid w:val="006A47A0"/>
    <w:rsid w:val="00700B2C"/>
    <w:rsid w:val="00720500"/>
    <w:rsid w:val="0086689F"/>
    <w:rsid w:val="00924C8B"/>
    <w:rsid w:val="0093617A"/>
    <w:rsid w:val="00B04197"/>
    <w:rsid w:val="00B66B22"/>
    <w:rsid w:val="00BC5F21"/>
    <w:rsid w:val="00C848BE"/>
    <w:rsid w:val="00CA68EB"/>
    <w:rsid w:val="00D269F3"/>
    <w:rsid w:val="00D33CFF"/>
    <w:rsid w:val="00DB23C4"/>
    <w:rsid w:val="00E16728"/>
    <w:rsid w:val="00EE2569"/>
    <w:rsid w:val="00F00351"/>
    <w:rsid w:val="00F67E79"/>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16E5D9"/>
  <w15:docId w15:val="{023C5123-49B4-40D3-8E34-8AB10188F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MY"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0A2D5A"/>
    <w:pPr>
      <w:tabs>
        <w:tab w:val="center" w:pos="4680"/>
        <w:tab w:val="right" w:pos="9360"/>
      </w:tabs>
      <w:spacing w:line="240" w:lineRule="auto"/>
    </w:pPr>
  </w:style>
  <w:style w:type="character" w:customStyle="1" w:styleId="HeaderChar">
    <w:name w:val="Header Char"/>
    <w:basedOn w:val="DefaultParagraphFont"/>
    <w:link w:val="Header"/>
    <w:uiPriority w:val="99"/>
    <w:rsid w:val="000A2D5A"/>
  </w:style>
  <w:style w:type="paragraph" w:styleId="Footer">
    <w:name w:val="footer"/>
    <w:basedOn w:val="Normal"/>
    <w:link w:val="FooterChar"/>
    <w:uiPriority w:val="99"/>
    <w:unhideWhenUsed/>
    <w:rsid w:val="000A2D5A"/>
    <w:pPr>
      <w:tabs>
        <w:tab w:val="center" w:pos="4680"/>
        <w:tab w:val="right" w:pos="9360"/>
      </w:tabs>
      <w:spacing w:line="240" w:lineRule="auto"/>
    </w:pPr>
  </w:style>
  <w:style w:type="character" w:customStyle="1" w:styleId="FooterChar">
    <w:name w:val="Footer Char"/>
    <w:basedOn w:val="DefaultParagraphFont"/>
    <w:link w:val="Footer"/>
    <w:uiPriority w:val="99"/>
    <w:rsid w:val="000A2D5A"/>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2A62F8"/>
    <w:pPr>
      <w:tabs>
        <w:tab w:val="right" w:pos="9350"/>
      </w:tabs>
      <w:spacing w:after="100"/>
    </w:pPr>
    <w:rPr>
      <w:rFonts w:ascii="Times New Roman" w:hAnsi="Times New Roman" w:cs="Times New Roman"/>
      <w:noProof/>
    </w:rPr>
  </w:style>
  <w:style w:type="character" w:styleId="Hyperlink">
    <w:name w:val="Hyperlink"/>
    <w:basedOn w:val="DefaultParagraphFont"/>
    <w:uiPriority w:val="99"/>
    <w:unhideWhenUsed/>
    <w:rsid w:val="00B66B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dhsprogram.com/pubs/pdf/FR325/FR325.pdf" TargetMode="External"/><Relationship Id="rId13" Type="http://schemas.openxmlformats.org/officeDocument/2006/relationships/hyperlink" Target="https://hudoc.echr.coe.int/eng?i=001-234259" TargetMode="External"/><Relationship Id="rId3" Type="http://schemas.openxmlformats.org/officeDocument/2006/relationships/hyperlink" Target="https://saccarmenia.org/" TargetMode="External"/><Relationship Id="rId7" Type="http://schemas.openxmlformats.org/officeDocument/2006/relationships/hyperlink" Target="https://foi.am/u_files/file/legislation/CRIMINAL%20CODE%20OF%20THE%20REPUBLIC%20OF%20ARMENIA.pdf" TargetMode="External"/><Relationship Id="rId12" Type="http://schemas.openxmlformats.org/officeDocument/2006/relationships/hyperlink" Target="https://www.arlis.am/DocumentView.aspx?DocID=166538" TargetMode="External"/><Relationship Id="rId17" Type="http://schemas.openxmlformats.org/officeDocument/2006/relationships/hyperlink" Target="https://wave-network.org/wave-statement-on-the-nagorno-karabakh-humanitarian-crisis/" TargetMode="External"/><Relationship Id="rId2" Type="http://schemas.openxmlformats.org/officeDocument/2006/relationships/hyperlink" Target="https://www.equalitynow.org/resource/roadblocks_to_justice/" TargetMode="External"/><Relationship Id="rId16" Type="http://schemas.openxmlformats.org/officeDocument/2006/relationships/hyperlink" Target="https://hudoc.echr.coe.int/eng?i=001-234259" TargetMode="External"/><Relationship Id="rId1" Type="http://schemas.openxmlformats.org/officeDocument/2006/relationships/hyperlink" Target="https://www.equalitynow.org/" TargetMode="External"/><Relationship Id="rId6" Type="http://schemas.openxmlformats.org/officeDocument/2006/relationships/hyperlink" Target="https://www.investigative.am/en/news/information-on-criminal-proceedings-investigated-in-the-ra-investigative-committee-in-2022-on-crimes-committed-against-minors" TargetMode="External"/><Relationship Id="rId11" Type="http://schemas.openxmlformats.org/officeDocument/2006/relationships/hyperlink" Target="https://eeca.unfpa.org/sites/default/files/pub-pdf/unfpa%20armenia%20overview.pdf" TargetMode="External"/><Relationship Id="rId5" Type="http://schemas.openxmlformats.org/officeDocument/2006/relationships/hyperlink" Target="https://safeyou.space/en" TargetMode="External"/><Relationship Id="rId15" Type="http://schemas.openxmlformats.org/officeDocument/2006/relationships/hyperlink" Target="https://www.arlis.am/DocumentView.aspx?docid=158667" TargetMode="External"/><Relationship Id="rId10" Type="http://schemas.openxmlformats.org/officeDocument/2006/relationships/hyperlink" Target="http://www.parliament.am/legislation.php?sel=show&amp;ID=1349&amp;lang=eng" TargetMode="External"/><Relationship Id="rId4" Type="http://schemas.openxmlformats.org/officeDocument/2006/relationships/hyperlink" Target="https://womenofarmenia.org/about-us/" TargetMode="External"/><Relationship Id="rId9" Type="http://schemas.openxmlformats.org/officeDocument/2006/relationships/hyperlink" Target="https://www.investigative.am/news/serakan-andzernmkhelivouthyan-ev-serakan-azatvouthyan-dem-voughghvats-hancagvortsvouthyvounneri-thivn-avelacel-e-vousvoumnasirvouthyvoun" TargetMode="External"/><Relationship Id="rId14" Type="http://schemas.openxmlformats.org/officeDocument/2006/relationships/hyperlink" Target="https://www.who.int/news/item/17-10-2018-interagency-statement-calls-for-the-elimination-of-virginity-testin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y/w6aY4R8IS8vX3rJTOiRrD2NA==">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5616</Words>
  <Characters>32967</Characters>
  <Application>Microsoft Office Word</Application>
  <DocSecurity>0</DocSecurity>
  <Lines>558</Lines>
  <Paragraphs>154</Paragraphs>
  <ScaleCrop>false</ScaleCrop>
  <Company/>
  <LinksUpToDate>false</LinksUpToDate>
  <CharactersWithSpaces>38429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James Boit</cp:lastModifiedBy>
  <cp:revision>2</cp:revision>
  <dcterms:created xsi:type="dcterms:W3CDTF">2024-09-26T13:57:00Z</dcterms:created>
  <dcterms:modified xsi:type="dcterms:W3CDTF">2024-09-26T13:57:00Z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6738f9877a0aa02043b1afdb69141afa30fe945ee4d15900bc1f8a116b19e6af</vt:lpwstr>
  </property>
</Properties>
</file>