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C9F02" w14:textId="77777777" w:rsidR="00293421" w:rsidRPr="002F3056" w:rsidRDefault="00293421" w:rsidP="00293421">
      <w:pPr>
        <w:spacing w:after="0" w:line="360" w:lineRule="auto"/>
        <w:jc w:val="center"/>
        <w:rPr>
          <w:rFonts w:ascii="Arial" w:hAnsi="Arial" w:cs="Arial"/>
          <w:b/>
          <w:sz w:val="28"/>
        </w:rPr>
      </w:pPr>
    </w:p>
    <w:p w14:paraId="427CCEAB" w14:textId="77777777" w:rsidR="00293421" w:rsidRPr="002F3056" w:rsidRDefault="00293421" w:rsidP="00293421">
      <w:pPr>
        <w:spacing w:after="0" w:line="360" w:lineRule="auto"/>
        <w:jc w:val="center"/>
        <w:rPr>
          <w:rFonts w:ascii="Arial" w:hAnsi="Arial" w:cs="Arial"/>
          <w:b/>
          <w:sz w:val="28"/>
        </w:rPr>
      </w:pPr>
    </w:p>
    <w:p w14:paraId="49113FC6" w14:textId="77777777" w:rsidR="00293421" w:rsidRPr="002F3056" w:rsidRDefault="00293421" w:rsidP="00293421">
      <w:pPr>
        <w:spacing w:after="0" w:line="360" w:lineRule="auto"/>
        <w:jc w:val="center"/>
        <w:rPr>
          <w:rFonts w:ascii="Arial" w:hAnsi="Arial" w:cs="Arial"/>
          <w:b/>
          <w:sz w:val="28"/>
        </w:rPr>
      </w:pPr>
    </w:p>
    <w:p w14:paraId="35C87DF9" w14:textId="77777777" w:rsidR="00293421" w:rsidRPr="002F3056" w:rsidRDefault="00293421" w:rsidP="00293421">
      <w:pPr>
        <w:spacing w:after="0" w:line="360" w:lineRule="auto"/>
        <w:jc w:val="center"/>
        <w:rPr>
          <w:rFonts w:ascii="Arial" w:hAnsi="Arial" w:cs="Arial"/>
          <w:b/>
          <w:sz w:val="28"/>
        </w:rPr>
      </w:pPr>
    </w:p>
    <w:p w14:paraId="67959AA3" w14:textId="77777777" w:rsidR="00293421" w:rsidRPr="002F3056" w:rsidRDefault="00293421" w:rsidP="00293421">
      <w:pPr>
        <w:spacing w:after="0" w:line="360" w:lineRule="auto"/>
        <w:jc w:val="center"/>
        <w:rPr>
          <w:rFonts w:ascii="Arial" w:hAnsi="Arial" w:cs="Arial"/>
          <w:b/>
          <w:sz w:val="28"/>
        </w:rPr>
      </w:pPr>
    </w:p>
    <w:p w14:paraId="327B752A" w14:textId="77777777" w:rsidR="00C47CC7" w:rsidRDefault="00C47CC7" w:rsidP="00293421">
      <w:pPr>
        <w:spacing w:after="0" w:line="360" w:lineRule="auto"/>
        <w:jc w:val="center"/>
        <w:rPr>
          <w:rFonts w:ascii="Arial" w:hAnsi="Arial" w:cs="Arial"/>
          <w:b/>
          <w:sz w:val="28"/>
        </w:rPr>
      </w:pPr>
    </w:p>
    <w:p w14:paraId="5B4BC4D5" w14:textId="77777777" w:rsidR="00C47CC7" w:rsidRDefault="00C47CC7" w:rsidP="00293421">
      <w:pPr>
        <w:spacing w:after="0" w:line="360" w:lineRule="auto"/>
        <w:jc w:val="center"/>
        <w:rPr>
          <w:rFonts w:ascii="Arial" w:hAnsi="Arial" w:cs="Arial"/>
          <w:b/>
          <w:sz w:val="28"/>
        </w:rPr>
      </w:pPr>
    </w:p>
    <w:p w14:paraId="79FE488E" w14:textId="77777777" w:rsidR="00C47CC7" w:rsidRDefault="00C47CC7" w:rsidP="00293421">
      <w:pPr>
        <w:spacing w:after="0" w:line="360" w:lineRule="auto"/>
        <w:jc w:val="center"/>
        <w:rPr>
          <w:rFonts w:ascii="Arial" w:hAnsi="Arial" w:cs="Arial"/>
          <w:b/>
          <w:sz w:val="28"/>
        </w:rPr>
      </w:pPr>
    </w:p>
    <w:p w14:paraId="715A4F9B" w14:textId="04CAFAA5" w:rsidR="00293421" w:rsidRPr="002F3056" w:rsidRDefault="00293421" w:rsidP="00293421">
      <w:pPr>
        <w:spacing w:after="0" w:line="360" w:lineRule="auto"/>
        <w:jc w:val="center"/>
        <w:rPr>
          <w:rFonts w:ascii="Arial" w:hAnsi="Arial" w:cs="Arial"/>
          <w:b/>
          <w:sz w:val="28"/>
        </w:rPr>
      </w:pPr>
      <w:r w:rsidRPr="002F3056">
        <w:rPr>
          <w:rFonts w:ascii="Arial" w:hAnsi="Arial" w:cs="Arial"/>
          <w:b/>
          <w:sz w:val="28"/>
        </w:rPr>
        <w:t>Informe alternativo sobre la aplicación de la Convención Internacional sobre la Protección de los Derechos de todos los Trabajadores Migratorios y de sus Familiares en la República Bolivariana de Venezuela</w:t>
      </w:r>
    </w:p>
    <w:p w14:paraId="48A9CD8C" w14:textId="77777777" w:rsidR="00C47CC7" w:rsidRDefault="00C47CC7" w:rsidP="00293421">
      <w:pPr>
        <w:spacing w:after="0" w:line="360" w:lineRule="auto"/>
        <w:jc w:val="center"/>
        <w:rPr>
          <w:rFonts w:ascii="Arial" w:hAnsi="Arial" w:cs="Arial"/>
          <w:b/>
          <w:sz w:val="28"/>
        </w:rPr>
      </w:pPr>
    </w:p>
    <w:p w14:paraId="57F0C512" w14:textId="77777777" w:rsidR="00C47CC7" w:rsidRDefault="00C47CC7" w:rsidP="00293421">
      <w:pPr>
        <w:spacing w:after="0" w:line="360" w:lineRule="auto"/>
        <w:jc w:val="center"/>
        <w:rPr>
          <w:rFonts w:ascii="Arial" w:hAnsi="Arial" w:cs="Arial"/>
          <w:b/>
          <w:sz w:val="28"/>
        </w:rPr>
      </w:pPr>
    </w:p>
    <w:p w14:paraId="07A8BC8B" w14:textId="77777777" w:rsidR="00C47CC7" w:rsidRDefault="00C47CC7" w:rsidP="00293421">
      <w:pPr>
        <w:spacing w:after="0" w:line="360" w:lineRule="auto"/>
        <w:jc w:val="center"/>
        <w:rPr>
          <w:rFonts w:ascii="Arial" w:hAnsi="Arial" w:cs="Arial"/>
          <w:b/>
          <w:sz w:val="28"/>
        </w:rPr>
      </w:pPr>
    </w:p>
    <w:p w14:paraId="49EB720D" w14:textId="77777777" w:rsidR="00C47CC7" w:rsidRDefault="00C47CC7" w:rsidP="00293421">
      <w:pPr>
        <w:spacing w:after="0" w:line="360" w:lineRule="auto"/>
        <w:jc w:val="center"/>
        <w:rPr>
          <w:rFonts w:ascii="Arial" w:hAnsi="Arial" w:cs="Arial"/>
          <w:b/>
          <w:sz w:val="28"/>
        </w:rPr>
      </w:pPr>
    </w:p>
    <w:p w14:paraId="30ACD8D5" w14:textId="688345FF" w:rsidR="00C47CC7" w:rsidRDefault="00293421" w:rsidP="00293421">
      <w:pPr>
        <w:spacing w:after="0" w:line="360" w:lineRule="auto"/>
        <w:jc w:val="center"/>
        <w:rPr>
          <w:rFonts w:ascii="Arial" w:hAnsi="Arial" w:cs="Arial"/>
          <w:b/>
          <w:sz w:val="28"/>
        </w:rPr>
      </w:pPr>
      <w:r w:rsidRPr="002F3056">
        <w:rPr>
          <w:rFonts w:ascii="Arial" w:hAnsi="Arial" w:cs="Arial"/>
          <w:b/>
          <w:sz w:val="28"/>
        </w:rPr>
        <w:t>Asociación Civil Sures</w:t>
      </w:r>
    </w:p>
    <w:p w14:paraId="0F212959" w14:textId="063BE96B" w:rsidR="00C47CC7" w:rsidRDefault="00C47CC7" w:rsidP="00293421">
      <w:pPr>
        <w:spacing w:after="0" w:line="360" w:lineRule="auto"/>
        <w:jc w:val="center"/>
        <w:rPr>
          <w:rFonts w:ascii="Arial" w:hAnsi="Arial" w:cs="Arial"/>
          <w:b/>
          <w:sz w:val="28"/>
        </w:rPr>
      </w:pPr>
    </w:p>
    <w:p w14:paraId="4376562F" w14:textId="3BA75BF1" w:rsidR="00C47CC7" w:rsidRDefault="00C47CC7" w:rsidP="00293421">
      <w:pPr>
        <w:spacing w:after="0" w:line="360" w:lineRule="auto"/>
        <w:jc w:val="center"/>
        <w:rPr>
          <w:rFonts w:ascii="Arial" w:hAnsi="Arial" w:cs="Arial"/>
          <w:b/>
          <w:sz w:val="28"/>
        </w:rPr>
      </w:pPr>
      <w:r>
        <w:rPr>
          <w:rFonts w:ascii="Arial" w:hAnsi="Arial" w:cs="Arial"/>
          <w:b/>
          <w:sz w:val="28"/>
        </w:rPr>
        <w:t>Agosto 2022</w:t>
      </w:r>
      <w:permStart w:id="461115449" w:edGrp="everyone"/>
      <w:permEnd w:id="461115449"/>
    </w:p>
    <w:p w14:paraId="108BB0DC" w14:textId="77777777" w:rsidR="00C47CC7" w:rsidRDefault="00C47CC7">
      <w:pPr>
        <w:rPr>
          <w:rFonts w:ascii="Arial" w:hAnsi="Arial" w:cs="Arial"/>
          <w:b/>
          <w:sz w:val="28"/>
        </w:rPr>
      </w:pPr>
      <w:r>
        <w:rPr>
          <w:rFonts w:ascii="Arial" w:hAnsi="Arial" w:cs="Arial"/>
          <w:b/>
          <w:sz w:val="28"/>
        </w:rPr>
        <w:br w:type="page"/>
      </w:r>
    </w:p>
    <w:p w14:paraId="7E0106CA" w14:textId="77777777" w:rsidR="00293421" w:rsidRPr="002F3056" w:rsidRDefault="00293421" w:rsidP="00293421">
      <w:pPr>
        <w:spacing w:after="0" w:line="360" w:lineRule="auto"/>
        <w:jc w:val="center"/>
        <w:rPr>
          <w:rFonts w:ascii="Arial" w:hAnsi="Arial" w:cs="Arial"/>
          <w:b/>
          <w:sz w:val="28"/>
        </w:rPr>
      </w:pPr>
    </w:p>
    <w:p w14:paraId="18CA75C8" w14:textId="77777777" w:rsidR="00293421" w:rsidRPr="002F3056" w:rsidRDefault="00293421" w:rsidP="00293421">
      <w:pPr>
        <w:spacing w:line="360" w:lineRule="auto"/>
        <w:jc w:val="both"/>
        <w:rPr>
          <w:rFonts w:ascii="Arial" w:eastAsia="Times New Roman" w:hAnsi="Arial" w:cs="Arial"/>
          <w:sz w:val="24"/>
          <w:szCs w:val="24"/>
        </w:rPr>
      </w:pPr>
      <w:r w:rsidRPr="002F3056">
        <w:rPr>
          <w:rFonts w:ascii="Arial" w:eastAsia="Times New Roman" w:hAnsi="Arial" w:cs="Arial"/>
          <w:sz w:val="24"/>
          <w:szCs w:val="24"/>
        </w:rPr>
        <w:t xml:space="preserve">Tenemos el agrado de dirigirnos al </w:t>
      </w:r>
      <w:r w:rsidRPr="002F3056">
        <w:rPr>
          <w:rFonts w:ascii="Arial" w:hAnsi="Arial" w:cs="Arial"/>
          <w:sz w:val="24"/>
        </w:rPr>
        <w:t>Comité de Protección de los Derechos de todos los Trabajadores Migratorios y de sus Familiares</w:t>
      </w:r>
      <w:r w:rsidRPr="002F3056">
        <w:rPr>
          <w:rFonts w:ascii="Arial" w:eastAsia="Times New Roman" w:hAnsi="Arial" w:cs="Arial"/>
          <w:sz w:val="24"/>
          <w:szCs w:val="24"/>
        </w:rPr>
        <w:t xml:space="preserve">, como organización de la sociedad civil, a fin de hacerle formal entrega del informe sobre la aplicación de la Convención en la República Bolivariana de Venezuela en el marco del 35° período de sesiones, </w:t>
      </w:r>
      <w:r w:rsidRPr="002F3056">
        <w:rPr>
          <w:rFonts w:ascii="Arial" w:eastAsia="SimSun" w:hAnsi="Arial" w:cs="Arial"/>
          <w:bCs/>
          <w:sz w:val="24"/>
          <w:szCs w:val="24"/>
          <w:lang w:eastAsia="zh-CN"/>
        </w:rPr>
        <w:t>a realizarse del 19 al 30 de septiembre de 2022</w:t>
      </w:r>
      <w:r w:rsidRPr="002F3056">
        <w:rPr>
          <w:rFonts w:ascii="Arial" w:hAnsi="Arial" w:cs="Arial"/>
          <w:sz w:val="24"/>
        </w:rPr>
        <w:t>, donde se examinará el informe inicial de la República Bolivariana de Venezuela.</w:t>
      </w:r>
      <w:r w:rsidRPr="002F3056">
        <w:rPr>
          <w:rFonts w:ascii="Arial" w:eastAsia="Times New Roman" w:hAnsi="Arial" w:cs="Arial"/>
          <w:sz w:val="24"/>
          <w:szCs w:val="24"/>
        </w:rPr>
        <w:t xml:space="preserve"> </w:t>
      </w:r>
    </w:p>
    <w:p w14:paraId="2A15293D" w14:textId="77777777" w:rsidR="00293421" w:rsidRPr="002F3056" w:rsidRDefault="00293421" w:rsidP="00293421">
      <w:pPr>
        <w:pBdr>
          <w:top w:val="nil"/>
          <w:left w:val="nil"/>
          <w:bottom w:val="nil"/>
          <w:right w:val="nil"/>
          <w:between w:val="nil"/>
        </w:pBdr>
        <w:shd w:val="clear" w:color="auto" w:fill="FFFFFF"/>
        <w:spacing w:after="300" w:line="360" w:lineRule="auto"/>
        <w:jc w:val="both"/>
        <w:rPr>
          <w:rFonts w:ascii="Arial" w:eastAsia="Times New Roman" w:hAnsi="Arial" w:cs="Arial"/>
          <w:color w:val="000000"/>
          <w:sz w:val="24"/>
          <w:szCs w:val="24"/>
        </w:rPr>
      </w:pPr>
      <w:r w:rsidRPr="002F3056">
        <w:rPr>
          <w:rFonts w:ascii="Arial" w:eastAsia="Times New Roman" w:hAnsi="Arial" w:cs="Arial"/>
          <w:color w:val="000000"/>
          <w:sz w:val="24"/>
          <w:szCs w:val="24"/>
        </w:rPr>
        <w:t xml:space="preserve">La </w:t>
      </w:r>
      <w:r w:rsidRPr="002F3056">
        <w:rPr>
          <w:rFonts w:ascii="Arial" w:eastAsia="Times New Roman" w:hAnsi="Arial" w:cs="Arial"/>
          <w:i/>
          <w:color w:val="000000"/>
          <w:sz w:val="24"/>
          <w:szCs w:val="24"/>
        </w:rPr>
        <w:t xml:space="preserve">Asociación Civil Sures </w:t>
      </w:r>
      <w:r w:rsidRPr="002F3056">
        <w:rPr>
          <w:rFonts w:ascii="Arial" w:eastAsia="Times New Roman" w:hAnsi="Arial" w:cs="Arial"/>
          <w:color w:val="000000"/>
          <w:sz w:val="24"/>
          <w:szCs w:val="24"/>
        </w:rPr>
        <w:t xml:space="preserve">es una asociación civil venezolana dedicada al estudio, promoción, educación y defensa de los derechos humanos, desde visiones críticas, emancipadoras y alternativas. Es una organización no gubernamental sin fines de lucro, independiente, no partidista y no confesional. Nuestro mandato se extiende a todos los derechos humanos ambientales, civiles, culturales, económicos, sociales y políticos reconocidos en la Constitución de la República Bolivariana de Venezuela y en los tratados internacionales ratificados por nuestro país. </w:t>
      </w:r>
    </w:p>
    <w:p w14:paraId="08DBC9C1" w14:textId="77777777" w:rsidR="00293421" w:rsidRPr="002F3056" w:rsidRDefault="00293421" w:rsidP="00293421">
      <w:pPr>
        <w:rPr>
          <w:rFonts w:ascii="Arial" w:hAnsi="Arial" w:cs="Arial"/>
          <w:b/>
          <w:sz w:val="24"/>
          <w:szCs w:val="24"/>
          <w:lang w:val="es-VE"/>
        </w:rPr>
      </w:pPr>
      <w:r w:rsidRPr="002F3056">
        <w:rPr>
          <w:rFonts w:ascii="Arial" w:hAnsi="Arial" w:cs="Arial"/>
          <w:b/>
          <w:sz w:val="24"/>
          <w:szCs w:val="24"/>
          <w:lang w:val="es-VE"/>
        </w:rPr>
        <w:br w:type="page"/>
      </w:r>
    </w:p>
    <w:p w14:paraId="72D79440" w14:textId="77777777" w:rsidR="00293421" w:rsidRPr="002F3056" w:rsidRDefault="00293421" w:rsidP="00293421">
      <w:pPr>
        <w:spacing w:line="360" w:lineRule="auto"/>
        <w:jc w:val="both"/>
        <w:rPr>
          <w:rFonts w:ascii="Arial" w:hAnsi="Arial" w:cs="Arial"/>
          <w:b/>
          <w:sz w:val="24"/>
          <w:szCs w:val="24"/>
          <w:lang w:val="es-VE"/>
        </w:rPr>
      </w:pPr>
      <w:r w:rsidRPr="002F3056">
        <w:rPr>
          <w:rFonts w:ascii="Arial" w:hAnsi="Arial" w:cs="Arial"/>
          <w:b/>
          <w:sz w:val="24"/>
          <w:szCs w:val="24"/>
          <w:lang w:val="es-VE"/>
        </w:rPr>
        <w:lastRenderedPageBreak/>
        <w:t>I Introducción</w:t>
      </w:r>
    </w:p>
    <w:p w14:paraId="535F62B8" w14:textId="77777777" w:rsidR="00293421" w:rsidRPr="002F3056" w:rsidRDefault="00293421" w:rsidP="00293421">
      <w:pPr>
        <w:spacing w:line="360" w:lineRule="auto"/>
        <w:jc w:val="both"/>
        <w:rPr>
          <w:rFonts w:ascii="Arial" w:hAnsi="Arial" w:cs="Arial"/>
          <w:sz w:val="24"/>
          <w:szCs w:val="24"/>
          <w:lang w:val="es-VE"/>
        </w:rPr>
      </w:pPr>
      <w:r w:rsidRPr="002F3056">
        <w:rPr>
          <w:rFonts w:ascii="Arial" w:hAnsi="Arial" w:cs="Arial"/>
          <w:sz w:val="24"/>
          <w:szCs w:val="24"/>
          <w:lang w:val="es-VE"/>
        </w:rPr>
        <w:t xml:space="preserve">1. Desde hace poco más de un lustro en Venezuela se ha producido un flujo migratorio sin precedentes que se explica a razón de la crisis económica, política y social que tuvo sus primeras manifestaciones en 2014. A partir de entonces dio inicio un inédito proceso de movilidad humana de personas venezolanas y de otras nacionalidades establecidas en territorio venezolano, dejando como resultado la movilización transfronteriza de un grupo considerable de residentes locales a otros destinos migratorios, siendo Colombia, Perú, Ecuador y Brasil los principales países elegidos. </w:t>
      </w:r>
    </w:p>
    <w:p w14:paraId="0D5B1645" w14:textId="77777777" w:rsidR="00293421" w:rsidRPr="002F3056" w:rsidRDefault="00293421" w:rsidP="00293421">
      <w:pPr>
        <w:spacing w:line="360" w:lineRule="auto"/>
        <w:jc w:val="both"/>
        <w:rPr>
          <w:rFonts w:ascii="Arial" w:hAnsi="Arial" w:cs="Arial"/>
          <w:sz w:val="24"/>
          <w:szCs w:val="24"/>
        </w:rPr>
      </w:pPr>
      <w:r w:rsidRPr="002F3056">
        <w:rPr>
          <w:rFonts w:ascii="Arial" w:hAnsi="Arial" w:cs="Arial"/>
          <w:sz w:val="24"/>
          <w:szCs w:val="24"/>
          <w:lang w:val="es-VE"/>
        </w:rPr>
        <w:t xml:space="preserve">2. Cifras de la División de Población del </w:t>
      </w:r>
      <w:r w:rsidRPr="002F3056">
        <w:rPr>
          <w:rFonts w:ascii="Arial" w:hAnsi="Arial" w:cs="Arial"/>
          <w:sz w:val="24"/>
          <w:szCs w:val="24"/>
        </w:rPr>
        <w:t>Departamento de Asuntos Económicos y Sociales de Naciones Unidas (DAES) revelan que el fenómeno de emigración en Venezuela alteró su comportamiento en 2019, registrándose un incremento desmesurado que supera los 2,5 millones de personas en el exterior. Este aumento que puede explicarse como un efecto directo de la aplicación de las medidas coercitivas unilaterales en contra de la economía venezolana, y sobre todo de la industria petrolera nacional.</w:t>
      </w:r>
    </w:p>
    <w:p w14:paraId="7A721E58" w14:textId="77777777" w:rsidR="00293421" w:rsidRPr="002F3056" w:rsidRDefault="00293421" w:rsidP="00293421">
      <w:pPr>
        <w:spacing w:line="360" w:lineRule="auto"/>
        <w:jc w:val="both"/>
        <w:rPr>
          <w:rFonts w:ascii="Arial" w:hAnsi="Arial" w:cs="Arial"/>
          <w:sz w:val="24"/>
          <w:szCs w:val="24"/>
        </w:rPr>
      </w:pPr>
      <w:r w:rsidRPr="002F3056">
        <w:rPr>
          <w:rFonts w:ascii="Arial" w:hAnsi="Arial" w:cs="Arial"/>
          <w:sz w:val="24"/>
          <w:szCs w:val="24"/>
        </w:rPr>
        <w:t>3. El Estado venezolano ha presentado cifras no actualizadas del número de población migrante venezolana, lo que dificulta la posibilidad de estimación de personas venezolanas en situación de retorno, un proceso que empezó a registrarse con mayor magnitud a inicios de la pandemia, en marzo de 2020, tal como reportaron diversos medios de comunicación.</w:t>
      </w:r>
    </w:p>
    <w:p w14:paraId="0703088A" w14:textId="77777777" w:rsidR="00293421" w:rsidRPr="002F3056" w:rsidRDefault="00293421" w:rsidP="00293421">
      <w:pPr>
        <w:spacing w:line="360" w:lineRule="auto"/>
        <w:jc w:val="both"/>
        <w:rPr>
          <w:rFonts w:ascii="Arial" w:hAnsi="Arial" w:cs="Arial"/>
          <w:sz w:val="24"/>
          <w:szCs w:val="24"/>
        </w:rPr>
      </w:pPr>
      <w:r w:rsidRPr="002F3056">
        <w:rPr>
          <w:rFonts w:ascii="Arial" w:hAnsi="Arial" w:cs="Arial"/>
          <w:sz w:val="24"/>
          <w:szCs w:val="24"/>
        </w:rPr>
        <w:t xml:space="preserve">4. A pesar de ello, el Estado ha implementado una serie de medidas orientadas a adecuar su marco jurídico y aparato institucional para responder al movimiento de este flujo de personas en acompañamiento de otras de orden logístico y operativo, destinadas en su conjunto a dar cumplimiento a los derechos a circular libremente dentro del país en el que se reside legalmente, la libertad de salir de cualquier </w:t>
      </w:r>
      <w:r w:rsidRPr="002F3056">
        <w:rPr>
          <w:rFonts w:ascii="Arial" w:hAnsi="Arial" w:cs="Arial"/>
          <w:sz w:val="24"/>
          <w:szCs w:val="24"/>
        </w:rPr>
        <w:lastRenderedPageBreak/>
        <w:t>Estado, incluido el propio país de origen, y el derecho de regresar al propio país. No obstante, aún se observan limitaciones para la protección de los derechos humanos de la población venezolana en el exterior, por lo que resulta imperativo la generación de un marco legal más sólido que p</w:t>
      </w:r>
      <w:r w:rsidRPr="002F3056">
        <w:rPr>
          <w:rFonts w:ascii="Arial" w:hAnsi="Arial" w:cs="Arial"/>
          <w:sz w:val="24"/>
          <w:szCs w:val="24"/>
          <w:shd w:val="clear" w:color="auto" w:fill="FFFFFF"/>
        </w:rPr>
        <w:t>roteja a los connacionales contra diversos delitos.</w:t>
      </w:r>
    </w:p>
    <w:p w14:paraId="1A6B3F45" w14:textId="77777777" w:rsidR="00293421" w:rsidRPr="002F3056" w:rsidRDefault="00293421" w:rsidP="00293421">
      <w:pPr>
        <w:spacing w:line="360" w:lineRule="auto"/>
        <w:jc w:val="both"/>
        <w:rPr>
          <w:rFonts w:ascii="Arial" w:hAnsi="Arial" w:cs="Arial"/>
          <w:sz w:val="24"/>
          <w:szCs w:val="24"/>
        </w:rPr>
      </w:pPr>
      <w:r w:rsidRPr="002F3056">
        <w:rPr>
          <w:rFonts w:ascii="Arial" w:hAnsi="Arial" w:cs="Arial"/>
          <w:sz w:val="24"/>
          <w:szCs w:val="24"/>
        </w:rPr>
        <w:t xml:space="preserve">5. Asimismo, es fundamental que los Estados Parte de la Convención </w:t>
      </w:r>
      <w:r w:rsidRPr="002F3056">
        <w:rPr>
          <w:rFonts w:ascii="Arial" w:hAnsi="Arial" w:cs="Arial"/>
          <w:sz w:val="24"/>
          <w:szCs w:val="24"/>
          <w:shd w:val="clear" w:color="auto" w:fill="FFFFFF"/>
        </w:rPr>
        <w:t xml:space="preserve">se comprometan a aplicar sus disposiciones adoptando las medidas necesarias, pues son preocupantes los reportes que medios de comunicaciones, organizaciones de la sociedad civil y agencias de instancias internacionales hacen sobre la situación humanitaria, violencia física, xenofobia, discriminación y desigualdad laboral a los que un número considerable de migrantes venezolanos enfrentan actualmente en los principales países de destino. Es en el marco de esta situación que urgimos a todas las representaciones gubernamentales a establecer y mantener espacios de diálogo binacional desideologizados para garantizar el goce efectivo de los derechos humanos de estas poblaciones, indistintamente del estatus de su situación migratoria.  </w:t>
      </w:r>
    </w:p>
    <w:p w14:paraId="1F670931" w14:textId="77777777" w:rsidR="00293421" w:rsidRPr="002F3056" w:rsidRDefault="00293421" w:rsidP="00293421">
      <w:pPr>
        <w:spacing w:line="360" w:lineRule="auto"/>
        <w:jc w:val="both"/>
        <w:rPr>
          <w:rFonts w:ascii="Arial" w:hAnsi="Arial" w:cs="Arial"/>
          <w:b/>
          <w:sz w:val="24"/>
          <w:szCs w:val="24"/>
          <w:lang w:val="es-VE"/>
        </w:rPr>
      </w:pPr>
      <w:r w:rsidRPr="002F3056">
        <w:rPr>
          <w:rFonts w:ascii="Arial" w:hAnsi="Arial" w:cs="Arial"/>
          <w:b/>
          <w:sz w:val="24"/>
          <w:szCs w:val="24"/>
          <w:lang w:val="es-VE"/>
        </w:rPr>
        <w:t>III: Derechos humanos de todos los trabajadores migratorios y de sus familiares</w:t>
      </w:r>
    </w:p>
    <w:p w14:paraId="4ED86F72" w14:textId="77777777" w:rsidR="00293421" w:rsidRPr="002F3056" w:rsidRDefault="00293421" w:rsidP="00293421">
      <w:pPr>
        <w:spacing w:line="360" w:lineRule="auto"/>
        <w:jc w:val="both"/>
        <w:rPr>
          <w:rFonts w:ascii="Arial" w:hAnsi="Arial" w:cs="Arial"/>
          <w:b/>
          <w:i/>
          <w:sz w:val="24"/>
          <w:szCs w:val="24"/>
        </w:rPr>
      </w:pPr>
      <w:r w:rsidRPr="002F3056">
        <w:rPr>
          <w:rFonts w:ascii="Arial" w:hAnsi="Arial" w:cs="Arial"/>
          <w:b/>
          <w:i/>
          <w:sz w:val="24"/>
          <w:szCs w:val="24"/>
        </w:rPr>
        <w:t>Artículo 8</w:t>
      </w:r>
    </w:p>
    <w:p w14:paraId="60384FAA" w14:textId="77777777" w:rsidR="00293421" w:rsidRPr="002F3056" w:rsidRDefault="00293421" w:rsidP="00293421">
      <w:pPr>
        <w:spacing w:line="360" w:lineRule="auto"/>
        <w:jc w:val="both"/>
        <w:rPr>
          <w:rFonts w:ascii="Arial" w:hAnsi="Arial" w:cs="Arial"/>
          <w:sz w:val="24"/>
          <w:szCs w:val="24"/>
          <w:shd w:val="clear" w:color="auto" w:fill="FFFFFF"/>
        </w:rPr>
      </w:pPr>
      <w:r w:rsidRPr="002F3056">
        <w:rPr>
          <w:rFonts w:ascii="Arial" w:hAnsi="Arial" w:cs="Arial"/>
          <w:sz w:val="24"/>
          <w:szCs w:val="24"/>
        </w:rPr>
        <w:t xml:space="preserve">6. Si bien el gobierno de Venezuela puso en marcha en 2018 el programa de repatriación para migrantes venezolanos “Plan Vuelta a La Patria”, el cual permitió el retorno al país de alrededor de 30 mil personas hasta mayo del corriente, debe adoptar medidas para garantizar su derecho a permanecer en el territorio nacional. Las instancias gubernamentales deben dirigir políticas públicas orientadas a facilitar a los trabajadores migratorios y sus familiares retornados la reinserción laboral, educativa y a la seguridad social, así como su acceso a los </w:t>
      </w:r>
      <w:r w:rsidRPr="002F3056">
        <w:rPr>
          <w:rFonts w:ascii="Arial" w:hAnsi="Arial" w:cs="Arial"/>
          <w:sz w:val="24"/>
          <w:szCs w:val="24"/>
          <w:shd w:val="clear" w:color="auto" w:fill="FFFFFF"/>
        </w:rPr>
        <w:lastRenderedPageBreak/>
        <w:t>servicios de capacitación laboral y emprendimiento promovidos desde instancias públicas y privadas. También debe velar por su derecho a ser incluidos en el sistema de seguridad social y programas sociales del Estado sin discriminación y su acceso al sistema financiero.</w:t>
      </w:r>
    </w:p>
    <w:p w14:paraId="6B551222" w14:textId="77777777" w:rsidR="00293421" w:rsidRPr="002F3056" w:rsidRDefault="00293421" w:rsidP="00293421">
      <w:pPr>
        <w:pStyle w:val="NormalWeb"/>
        <w:shd w:val="clear" w:color="auto" w:fill="FFFFFF"/>
        <w:spacing w:before="0" w:beforeAutospacing="0" w:after="240" w:afterAutospacing="0" w:line="360" w:lineRule="auto"/>
        <w:jc w:val="both"/>
        <w:rPr>
          <w:rFonts w:ascii="Arial" w:hAnsi="Arial" w:cs="Arial"/>
          <w:color w:val="222222"/>
        </w:rPr>
      </w:pPr>
      <w:r w:rsidRPr="002F3056">
        <w:rPr>
          <w:rFonts w:ascii="Arial" w:hAnsi="Arial" w:cs="Arial"/>
          <w:shd w:val="clear" w:color="auto" w:fill="FFFFFF"/>
        </w:rPr>
        <w:t xml:space="preserve">7. Saludamos las acciones de la Defensoría del Pueblo de Venezuela de exhortar </w:t>
      </w:r>
      <w:r w:rsidRPr="002F3056">
        <w:rPr>
          <w:rFonts w:ascii="Arial" w:hAnsi="Arial" w:cs="Arial"/>
          <w:color w:val="222222"/>
        </w:rPr>
        <w:t>a los padres, representantes o familiares a velar por los derechos fundamentales de los niños, niñas y adolescentes a su cargo, en caso que decidan emigrar del país. El ente ha instado a que este proceso se haga de una manera planificada, segura, ordenada y regular, de acuerdo a lo establecido en la Convención de los Derechos del Niño y en la Ley Orgánica para la Protección del Niño, Niña y Adolescente (</w:t>
      </w:r>
      <w:proofErr w:type="spellStart"/>
      <w:r w:rsidRPr="002F3056">
        <w:rPr>
          <w:rFonts w:ascii="Arial" w:hAnsi="Arial" w:cs="Arial"/>
          <w:color w:val="222222"/>
        </w:rPr>
        <w:t>Lopnna</w:t>
      </w:r>
      <w:proofErr w:type="spellEnd"/>
      <w:r w:rsidRPr="002F3056">
        <w:rPr>
          <w:rFonts w:ascii="Arial" w:hAnsi="Arial" w:cs="Arial"/>
          <w:color w:val="222222"/>
        </w:rPr>
        <w:t>). La institución trabaja conjuntamente con el F</w:t>
      </w:r>
      <w:r w:rsidRPr="002F3056">
        <w:rPr>
          <w:rFonts w:ascii="Arial" w:hAnsi="Arial" w:cs="Arial"/>
          <w:color w:val="222222"/>
          <w:shd w:val="clear" w:color="auto" w:fill="FFFFFF"/>
        </w:rPr>
        <w:t xml:space="preserve">ondo de las Naciones Unidas para la Infancia (Unicef) en brindar información oportuna sobre </w:t>
      </w:r>
      <w:r w:rsidRPr="002F3056">
        <w:rPr>
          <w:rFonts w:ascii="Arial" w:hAnsi="Arial" w:cs="Arial"/>
          <w:color w:val="222222"/>
          <w:sz w:val="26"/>
          <w:szCs w:val="26"/>
          <w:shd w:val="clear" w:color="auto" w:fill="FFFFFF"/>
        </w:rPr>
        <w:t>las medidas y acciones que se deben abordar con los niños, niñas y adolescentes al momento de emigrar a otra nación y los trámites legales establecidos en las instituciones competentes al momento de tomar la decisión.</w:t>
      </w:r>
      <w:r w:rsidRPr="002F3056">
        <w:rPr>
          <w:rStyle w:val="FootnoteReference"/>
          <w:rFonts w:ascii="Arial" w:hAnsi="Arial" w:cs="Arial"/>
          <w:color w:val="222222"/>
          <w:sz w:val="26"/>
          <w:szCs w:val="26"/>
          <w:shd w:val="clear" w:color="auto" w:fill="FFFFFF"/>
        </w:rPr>
        <w:footnoteReference w:id="1"/>
      </w:r>
    </w:p>
    <w:p w14:paraId="39A59957" w14:textId="77777777" w:rsidR="00293421" w:rsidRPr="002F3056" w:rsidRDefault="00293421" w:rsidP="00293421">
      <w:pPr>
        <w:spacing w:after="240" w:line="360" w:lineRule="auto"/>
        <w:jc w:val="both"/>
        <w:rPr>
          <w:rFonts w:ascii="Arial" w:hAnsi="Arial" w:cs="Arial"/>
          <w:b/>
          <w:i/>
          <w:spacing w:val="4"/>
          <w:sz w:val="24"/>
          <w:szCs w:val="24"/>
        </w:rPr>
      </w:pPr>
      <w:r w:rsidRPr="002F3056">
        <w:rPr>
          <w:rFonts w:ascii="Arial" w:hAnsi="Arial" w:cs="Arial"/>
          <w:b/>
          <w:i/>
          <w:spacing w:val="4"/>
          <w:sz w:val="24"/>
          <w:szCs w:val="24"/>
        </w:rPr>
        <w:t>Artículo 9</w:t>
      </w:r>
    </w:p>
    <w:p w14:paraId="20F8632B" w14:textId="77777777" w:rsidR="00293421" w:rsidRPr="002F3056" w:rsidRDefault="00293421" w:rsidP="00293421">
      <w:pPr>
        <w:spacing w:line="360" w:lineRule="auto"/>
        <w:jc w:val="both"/>
        <w:rPr>
          <w:rFonts w:ascii="Arial" w:hAnsi="Arial" w:cs="Arial"/>
          <w:spacing w:val="4"/>
          <w:sz w:val="24"/>
          <w:szCs w:val="24"/>
        </w:rPr>
      </w:pPr>
      <w:r w:rsidRPr="002F3056">
        <w:rPr>
          <w:rFonts w:ascii="Arial" w:hAnsi="Arial" w:cs="Arial"/>
          <w:spacing w:val="4"/>
          <w:sz w:val="24"/>
          <w:szCs w:val="24"/>
        </w:rPr>
        <w:t>8. La Comisión Especial de la Asamblea Nacional de Venezuela determinó que durante la gestión del expresidente de Colombia Iván Duque se cometieron severas violaciones de derechos humanos fundamentales contra la población migrante venezolana. Un total de 4</w:t>
      </w:r>
      <w:r w:rsidRPr="002F3056">
        <w:rPr>
          <w:rStyle w:val="Emphasis"/>
          <w:rFonts w:ascii="Arial" w:hAnsi="Arial" w:cs="Arial"/>
          <w:color w:val="222222"/>
          <w:sz w:val="26"/>
          <w:szCs w:val="26"/>
          <w:shd w:val="clear" w:color="auto" w:fill="FFFFFF"/>
        </w:rPr>
        <w:t xml:space="preserve">101 personas fueron asesinados en territorio colombiano, resultando que </w:t>
      </w:r>
      <w:r w:rsidRPr="002F3056">
        <w:rPr>
          <w:rFonts w:ascii="Arial" w:hAnsi="Arial" w:cs="Arial"/>
          <w:color w:val="222222"/>
          <w:sz w:val="26"/>
          <w:szCs w:val="26"/>
          <w:shd w:val="clear" w:color="auto" w:fill="FFFFFF"/>
        </w:rPr>
        <w:t xml:space="preserve">más de 4 mil niños y niñas de nacionalidad venezolana quedaron en orfandad, a lo que se le suma la </w:t>
      </w:r>
      <w:r w:rsidRPr="002F3056">
        <w:rPr>
          <w:rFonts w:ascii="Arial" w:hAnsi="Arial" w:cs="Arial"/>
          <w:color w:val="222222"/>
          <w:sz w:val="26"/>
          <w:szCs w:val="26"/>
          <w:shd w:val="clear" w:color="auto" w:fill="FFFFFF"/>
        </w:rPr>
        <w:lastRenderedPageBreak/>
        <w:t>existencia al menos 3 fosas comunes documentadas en el sector de La Guajira donde son enterradas solo personas venezolanas.</w:t>
      </w:r>
      <w:r w:rsidRPr="002F3056">
        <w:rPr>
          <w:rStyle w:val="FootnoteReference"/>
          <w:rFonts w:ascii="Arial" w:hAnsi="Arial" w:cs="Arial"/>
          <w:color w:val="222222"/>
          <w:sz w:val="26"/>
          <w:szCs w:val="26"/>
          <w:shd w:val="clear" w:color="auto" w:fill="FFFFFF"/>
        </w:rPr>
        <w:footnoteReference w:id="2"/>
      </w:r>
      <w:r w:rsidRPr="002F3056">
        <w:rPr>
          <w:rFonts w:ascii="Arial" w:hAnsi="Arial" w:cs="Arial"/>
          <w:color w:val="222222"/>
          <w:sz w:val="26"/>
          <w:szCs w:val="26"/>
          <w:shd w:val="clear" w:color="auto" w:fill="FFFFFF"/>
        </w:rPr>
        <w:t xml:space="preserve"> </w:t>
      </w:r>
    </w:p>
    <w:p w14:paraId="740123D0" w14:textId="77777777" w:rsidR="00293421" w:rsidRPr="002F3056" w:rsidRDefault="00293421" w:rsidP="00293421">
      <w:pPr>
        <w:spacing w:line="360" w:lineRule="auto"/>
        <w:jc w:val="both"/>
        <w:rPr>
          <w:rFonts w:ascii="Arial" w:hAnsi="Arial" w:cs="Arial"/>
          <w:b/>
          <w:i/>
          <w:spacing w:val="4"/>
          <w:sz w:val="24"/>
          <w:szCs w:val="24"/>
        </w:rPr>
      </w:pPr>
      <w:r w:rsidRPr="002F3056">
        <w:rPr>
          <w:rFonts w:ascii="Arial" w:hAnsi="Arial" w:cs="Arial"/>
          <w:b/>
          <w:i/>
          <w:spacing w:val="4"/>
          <w:sz w:val="24"/>
          <w:szCs w:val="24"/>
        </w:rPr>
        <w:t>Artículo 16</w:t>
      </w:r>
    </w:p>
    <w:p w14:paraId="6AC7CF6E" w14:textId="77777777" w:rsidR="00293421" w:rsidRPr="002F3056" w:rsidRDefault="00293421" w:rsidP="00293421">
      <w:pPr>
        <w:spacing w:line="360" w:lineRule="auto"/>
        <w:jc w:val="both"/>
        <w:rPr>
          <w:rFonts w:ascii="Arial" w:hAnsi="Arial" w:cs="Arial"/>
          <w:sz w:val="24"/>
          <w:szCs w:val="24"/>
        </w:rPr>
      </w:pPr>
      <w:r w:rsidRPr="002F3056">
        <w:rPr>
          <w:rFonts w:ascii="Arial" w:hAnsi="Arial" w:cs="Arial"/>
          <w:spacing w:val="4"/>
          <w:sz w:val="24"/>
          <w:szCs w:val="24"/>
        </w:rPr>
        <w:t xml:space="preserve">9. Con preocupación observamos el grave contexto de vulnerabilidad y desprotección a los que se enfrenta la población migrante venezolana en el Estado colombiano. </w:t>
      </w:r>
      <w:r w:rsidRPr="002F3056">
        <w:rPr>
          <w:rFonts w:ascii="Arial" w:hAnsi="Arial" w:cs="Arial"/>
          <w:sz w:val="24"/>
          <w:szCs w:val="24"/>
        </w:rPr>
        <w:t>Un boletín de la Consultoría para los Derechos Humanos y el Desplazamiento (CODHES) de junio de 2021 alertó que la situación de irregularidad migratoria; el desconocimiento de las dinámicas territoriales y los niveles de riesgo en los territorios; y la presencia de actores armados ilegales asociados al conflicto armado y crimen organizado en territorio colombiano han expuesto a riesgos de amenazas, homicidios, desplazamiento, reclutamiento y desaparición forzada y violencia basada en género a los migrantes venezolanos (CODHES, 2021)</w:t>
      </w:r>
      <w:r w:rsidRPr="002F3056">
        <w:rPr>
          <w:rStyle w:val="FootnoteReference"/>
          <w:rFonts w:ascii="Arial" w:hAnsi="Arial" w:cs="Arial"/>
          <w:sz w:val="24"/>
          <w:szCs w:val="24"/>
        </w:rPr>
        <w:footnoteReference w:id="3"/>
      </w:r>
      <w:r w:rsidRPr="002F3056">
        <w:rPr>
          <w:rFonts w:ascii="Arial" w:hAnsi="Arial" w:cs="Arial"/>
          <w:sz w:val="24"/>
          <w:szCs w:val="24"/>
        </w:rPr>
        <w:t xml:space="preserve">. En este sentido, urge que las autoridades colombianas hagan cumplir el derecho a la seguridad personal de los trabajadores migrantes y sus familiares tal como está consagrado en el artículo 16 de la Convención. </w:t>
      </w:r>
    </w:p>
    <w:p w14:paraId="0E6DAC52" w14:textId="77777777" w:rsidR="00293421" w:rsidRPr="002F3056" w:rsidRDefault="00293421" w:rsidP="00293421">
      <w:pPr>
        <w:spacing w:line="360" w:lineRule="auto"/>
        <w:jc w:val="both"/>
        <w:rPr>
          <w:rFonts w:ascii="Arial" w:hAnsi="Arial" w:cs="Arial"/>
          <w:sz w:val="24"/>
          <w:szCs w:val="24"/>
          <w:shd w:val="clear" w:color="auto" w:fill="FFFFFF"/>
        </w:rPr>
      </w:pPr>
      <w:r w:rsidRPr="002F3056">
        <w:rPr>
          <w:rFonts w:ascii="Arial" w:hAnsi="Arial" w:cs="Arial"/>
          <w:spacing w:val="4"/>
          <w:sz w:val="24"/>
          <w:szCs w:val="24"/>
        </w:rPr>
        <w:t xml:space="preserve">10. De igual modo, preocupan </w:t>
      </w:r>
      <w:r w:rsidRPr="002F3056">
        <w:rPr>
          <w:rFonts w:ascii="Arial" w:hAnsi="Arial" w:cs="Arial"/>
          <w:sz w:val="24"/>
          <w:szCs w:val="24"/>
          <w:shd w:val="clear" w:color="auto" w:fill="FFFFFF"/>
        </w:rPr>
        <w:t xml:space="preserve">los operativos de desalojo realizados por las autoridades del Estado de Chile contra los migrantes venezolanos, pues constituyen una violación a los derechos humanos, en particular a la integridad personal. En septiembre de 2021, mediante un operativo del cuerpo policial de Carabineros de Chile, fueron desalojados violentamente alrededor de 130 familias migrantes -incluidos 20 niños y niñas-, en la ciudad norteña ciudad de Iquique, donde permanecían asentados desde hacía meses. Se trató de un desalojo sin </w:t>
      </w:r>
      <w:r w:rsidRPr="002F3056">
        <w:rPr>
          <w:rFonts w:ascii="Arial" w:hAnsi="Arial" w:cs="Arial"/>
          <w:sz w:val="24"/>
          <w:szCs w:val="24"/>
          <w:shd w:val="clear" w:color="auto" w:fill="FFFFFF"/>
        </w:rPr>
        <w:lastRenderedPageBreak/>
        <w:t xml:space="preserve">las debidas garantías legales y judiciales, donde hubo personas heridas y detenidas. </w:t>
      </w:r>
    </w:p>
    <w:p w14:paraId="207874EC" w14:textId="77777777" w:rsidR="00293421" w:rsidRPr="002F3056" w:rsidRDefault="00293421" w:rsidP="00293421">
      <w:pPr>
        <w:spacing w:line="360" w:lineRule="auto"/>
        <w:jc w:val="both"/>
        <w:rPr>
          <w:rFonts w:ascii="Arial" w:hAnsi="Arial" w:cs="Arial"/>
          <w:sz w:val="24"/>
          <w:szCs w:val="24"/>
          <w:shd w:val="clear" w:color="auto" w:fill="FFFFFF"/>
        </w:rPr>
      </w:pPr>
      <w:r w:rsidRPr="002F3056">
        <w:rPr>
          <w:rFonts w:ascii="Arial" w:hAnsi="Arial" w:cs="Arial"/>
          <w:sz w:val="24"/>
          <w:szCs w:val="24"/>
          <w:shd w:val="clear" w:color="auto" w:fill="FFFFFF"/>
        </w:rPr>
        <w:t>11. Estos hechos implican una vulneración de los derechos humanos reconocidos nacional e internacionalmente: Chile ha firmado y ratificado tanto la Pacto Internacional de Derechos Civiles y Políticos y su Protocolo Facultativo, la Convención internacional sobre la protección de los derechos de todos los trabajadores migratorios y de sus familiares y la Convención Americana sobre Derechos Humanos. En todos estos instrumentos se reconoce el derecho a la no discriminación de las personas por su nacionalidad o condición social (inclusive migratoria), y se establece expresamente el derecho a la integridad personal de los extranjeros. Igualmente, se encuentran en contradicción con lo establecido en la Constitución de Chile (artículo 19), la cual garantiza a todas las personas la igual protección de la ley en el ejercicio de sus derechos; señalando que ni la ley ni autoridad alguna podrán establecer diferencias arbitrarias.</w:t>
      </w:r>
      <w:r w:rsidRPr="002F3056">
        <w:rPr>
          <w:rStyle w:val="FootnoteReference"/>
          <w:rFonts w:ascii="Arial" w:hAnsi="Arial" w:cs="Arial"/>
          <w:sz w:val="24"/>
          <w:szCs w:val="24"/>
          <w:shd w:val="clear" w:color="auto" w:fill="FFFFFF"/>
        </w:rPr>
        <w:footnoteReference w:id="4"/>
      </w:r>
    </w:p>
    <w:p w14:paraId="482A3EE0" w14:textId="77777777" w:rsidR="00293421" w:rsidRPr="002F3056" w:rsidRDefault="00293421" w:rsidP="00293421">
      <w:pPr>
        <w:spacing w:line="360" w:lineRule="auto"/>
        <w:jc w:val="both"/>
        <w:rPr>
          <w:rFonts w:ascii="Arial" w:hAnsi="Arial" w:cs="Arial"/>
          <w:sz w:val="24"/>
          <w:szCs w:val="24"/>
          <w:shd w:val="clear" w:color="auto" w:fill="FFFFFF"/>
        </w:rPr>
      </w:pPr>
      <w:r w:rsidRPr="002F3056">
        <w:rPr>
          <w:rFonts w:ascii="Arial" w:hAnsi="Arial" w:cs="Arial"/>
          <w:sz w:val="24"/>
          <w:szCs w:val="24"/>
          <w:shd w:val="clear" w:color="auto" w:fill="FFFFFF"/>
        </w:rPr>
        <w:t xml:space="preserve">12. En incumplimiento del párrafo 4 del artículo 16 de la Convención, las autoridades de Trinidad y Tobago han incurrido en detenciones arbitrarias e ilegales de migrantes venezolanos. </w:t>
      </w:r>
      <w:r w:rsidRPr="002F3056">
        <w:rPr>
          <w:rFonts w:ascii="Arial" w:hAnsi="Arial" w:cs="Arial"/>
          <w:color w:val="000000"/>
          <w:sz w:val="24"/>
          <w:szCs w:val="24"/>
          <w:shd w:val="clear" w:color="auto" w:fill="FFFFFF"/>
        </w:rPr>
        <w:t>El 14 de julio el Consejo Privado de Trinidad y Tobago decretó que la detención del joven durante 19 meses era ilegal, ante lo que la jueza Mohammed determinó que tanto las detenciones del joven y la de su madre eran injustas. Mohammed aseguró además que el tiempo en que Martínez Hernández y su hijo estuvieron dentro de la cárcel militar les afectó su salud mental y física, y que el riesgo de fuga de la mujer y su hijo era "mínima", pues el padre del menor reside en Trinidad</w:t>
      </w:r>
      <w:r w:rsidRPr="002F3056">
        <w:rPr>
          <w:rStyle w:val="FootnoteReference"/>
          <w:rFonts w:ascii="Arial" w:hAnsi="Arial" w:cs="Arial"/>
          <w:color w:val="000000"/>
          <w:sz w:val="24"/>
          <w:szCs w:val="24"/>
          <w:shd w:val="clear" w:color="auto" w:fill="FFFFFF"/>
        </w:rPr>
        <w:footnoteReference w:id="5"/>
      </w:r>
      <w:r w:rsidRPr="002F3056">
        <w:rPr>
          <w:rFonts w:ascii="Arial" w:hAnsi="Arial" w:cs="Arial"/>
          <w:color w:val="000000"/>
          <w:sz w:val="24"/>
          <w:szCs w:val="24"/>
          <w:shd w:val="clear" w:color="auto" w:fill="FFFFFF"/>
        </w:rPr>
        <w:t xml:space="preserve">. </w:t>
      </w:r>
      <w:r w:rsidRPr="002F3056">
        <w:rPr>
          <w:rFonts w:ascii="Arial" w:hAnsi="Arial" w:cs="Arial"/>
          <w:color w:val="222222"/>
          <w:sz w:val="24"/>
          <w:szCs w:val="24"/>
          <w:shd w:val="clear" w:color="auto" w:fill="FFFFFF"/>
        </w:rPr>
        <w:t xml:space="preserve">Martínez Hernández y su hijo formaban parte </w:t>
      </w:r>
      <w:r w:rsidRPr="002F3056">
        <w:rPr>
          <w:rFonts w:ascii="Arial" w:hAnsi="Arial" w:cs="Arial"/>
          <w:color w:val="222222"/>
          <w:sz w:val="24"/>
          <w:szCs w:val="24"/>
          <w:shd w:val="clear" w:color="auto" w:fill="FFFFFF"/>
        </w:rPr>
        <w:lastRenderedPageBreak/>
        <w:t>de un grupo de venezolanos que entró de forma irregular a Trinidad y Tobago en noviembre de 2020. Ambos fueron detenidos y repatriados por la Guardia Costera varios días después, pero lograron regresar a Trinidad y Tobago, donde fueron nuevamente detenidos.</w:t>
      </w:r>
      <w:r w:rsidRPr="002F3056">
        <w:rPr>
          <w:rStyle w:val="FootnoteReference"/>
          <w:rFonts w:ascii="Arial" w:hAnsi="Arial" w:cs="Arial"/>
          <w:color w:val="222222"/>
          <w:sz w:val="24"/>
          <w:szCs w:val="24"/>
          <w:shd w:val="clear" w:color="auto" w:fill="FFFFFF"/>
        </w:rPr>
        <w:footnoteReference w:id="6"/>
      </w:r>
      <w:r w:rsidRPr="002F3056">
        <w:rPr>
          <w:rFonts w:ascii="Arial" w:hAnsi="Arial" w:cs="Arial"/>
          <w:color w:val="000000"/>
          <w:sz w:val="24"/>
          <w:szCs w:val="24"/>
          <w:shd w:val="clear" w:color="auto" w:fill="FFFFFF"/>
        </w:rPr>
        <w:t xml:space="preserve"> </w:t>
      </w:r>
    </w:p>
    <w:p w14:paraId="17BAF99C" w14:textId="77777777" w:rsidR="00293421" w:rsidRPr="002F3056" w:rsidRDefault="00293421" w:rsidP="00293421">
      <w:pPr>
        <w:spacing w:line="360" w:lineRule="auto"/>
        <w:jc w:val="both"/>
        <w:rPr>
          <w:rFonts w:ascii="Arial" w:hAnsi="Arial" w:cs="Arial"/>
          <w:sz w:val="24"/>
          <w:szCs w:val="24"/>
        </w:rPr>
      </w:pPr>
      <w:r w:rsidRPr="002F3056">
        <w:rPr>
          <w:rFonts w:ascii="Arial" w:hAnsi="Arial" w:cs="Arial"/>
          <w:sz w:val="24"/>
          <w:szCs w:val="24"/>
          <w:shd w:val="clear" w:color="auto" w:fill="FFFFFF"/>
        </w:rPr>
        <w:t xml:space="preserve">13. Situación similar se presenta en Colombia, donde </w:t>
      </w:r>
      <w:r w:rsidRPr="002F3056">
        <w:rPr>
          <w:rFonts w:ascii="Arial" w:hAnsi="Arial" w:cs="Arial"/>
          <w:sz w:val="24"/>
          <w:szCs w:val="24"/>
        </w:rPr>
        <w:t>un total de 250 migrantes venezolanos se encuentran detenidos sin juicio en las Unidades de Reacción Inmediata (URI) y puestos de policía del departamento de Norte de Santander. Se trata de una población que ha estado es situación en hacinamiento de entre al menos 8 y 10 meses, y que no ha podido ser judicializada porque no se conoce su identidad. Muchas de estas personas tienen cédula falsa, y debido a la ausencia de relaciones diplomáticas entre ambos países no existen mecanismos para corroborar su identidad. Organizaciones de Derechos Humanos indican que los delitos cometidos por esta población en su mayoría son delitos menores, es decir, excarcelables.</w:t>
      </w:r>
      <w:r w:rsidRPr="002F3056">
        <w:rPr>
          <w:rStyle w:val="FootnoteReference"/>
          <w:rFonts w:ascii="Arial" w:hAnsi="Arial" w:cs="Arial"/>
          <w:sz w:val="24"/>
          <w:szCs w:val="24"/>
        </w:rPr>
        <w:footnoteReference w:id="7"/>
      </w:r>
    </w:p>
    <w:p w14:paraId="7B068E2A" w14:textId="77777777" w:rsidR="00293421" w:rsidRPr="009B2EF5" w:rsidRDefault="00293421" w:rsidP="00293421">
      <w:pPr>
        <w:spacing w:line="360" w:lineRule="auto"/>
        <w:jc w:val="both"/>
        <w:rPr>
          <w:rFonts w:ascii="Arial" w:hAnsi="Arial" w:cs="Arial"/>
          <w:b/>
          <w:i/>
          <w:sz w:val="24"/>
          <w:szCs w:val="24"/>
          <w:shd w:val="clear" w:color="auto" w:fill="FFFFFF"/>
        </w:rPr>
      </w:pPr>
      <w:r w:rsidRPr="009B2EF5">
        <w:rPr>
          <w:rFonts w:ascii="Arial" w:hAnsi="Arial" w:cs="Arial"/>
          <w:b/>
          <w:i/>
          <w:sz w:val="24"/>
          <w:szCs w:val="24"/>
          <w:shd w:val="clear" w:color="auto" w:fill="FFFFFF"/>
        </w:rPr>
        <w:t>Artículo 22</w:t>
      </w:r>
    </w:p>
    <w:p w14:paraId="4588DFD0" w14:textId="77777777" w:rsidR="00293421" w:rsidRPr="002F3056" w:rsidRDefault="00293421" w:rsidP="00293421">
      <w:pPr>
        <w:spacing w:line="360" w:lineRule="auto"/>
        <w:jc w:val="both"/>
        <w:rPr>
          <w:rFonts w:ascii="Arial" w:hAnsi="Arial" w:cs="Arial"/>
          <w:sz w:val="24"/>
          <w:szCs w:val="24"/>
          <w:shd w:val="clear" w:color="auto" w:fill="FFFFFF"/>
        </w:rPr>
      </w:pPr>
      <w:r w:rsidRPr="002F3056">
        <w:rPr>
          <w:rFonts w:ascii="Arial" w:hAnsi="Arial" w:cs="Arial"/>
          <w:sz w:val="24"/>
          <w:szCs w:val="24"/>
          <w:shd w:val="clear" w:color="auto" w:fill="FFFFFF"/>
        </w:rPr>
        <w:t>14. En el mes de noviembre de 2021 las autoridades de Chile incurrieron en expulsiones colectivas de al menos 120 personas de nacionalidades venezolana y colombiana en situación de movilidad humana, que, según información pública, incluyó a personas condenadas por delitos en ese país, así como aquellas que ingresaron por fuera de los canales regulares de ingreso. La Comisión Interamericana de Derechos Humanos (CIDH) manifestó su preocupación ante esta acción y o</w:t>
      </w:r>
      <w:r w:rsidRPr="002F3056">
        <w:rPr>
          <w:rStyle w:val="Strong"/>
          <w:rFonts w:ascii="Arial" w:hAnsi="Arial" w:cs="Arial"/>
          <w:sz w:val="24"/>
          <w:szCs w:val="24"/>
          <w:shd w:val="clear" w:color="auto" w:fill="FFFFFF"/>
        </w:rPr>
        <w:t>rganizaciones de la sociedad civil señalaron que previo a la ejecución de los procedimientos administrativos de expulsión, las personas habrían sido detenidas e incomunicadas</w:t>
      </w:r>
      <w:r w:rsidRPr="002F3056">
        <w:rPr>
          <w:rFonts w:ascii="Arial" w:hAnsi="Arial" w:cs="Arial"/>
          <w:sz w:val="24"/>
          <w:szCs w:val="24"/>
          <w:shd w:val="clear" w:color="auto" w:fill="FFFFFF"/>
        </w:rPr>
        <w:t xml:space="preserve">. Además, como consecuencia de </w:t>
      </w:r>
      <w:r w:rsidRPr="002F3056">
        <w:rPr>
          <w:rFonts w:ascii="Arial" w:hAnsi="Arial" w:cs="Arial"/>
          <w:sz w:val="24"/>
          <w:szCs w:val="24"/>
          <w:shd w:val="clear" w:color="auto" w:fill="FFFFFF"/>
        </w:rPr>
        <w:lastRenderedPageBreak/>
        <w:t xml:space="preserve">estos procedimientos, reportaron casos de separación familiar, así como la falta de implementación de medidas para garantizar el principio de unidad familiar y de reunificación familiar. Indicaron además </w:t>
      </w:r>
      <w:proofErr w:type="gramStart"/>
      <w:r w:rsidRPr="002F3056">
        <w:rPr>
          <w:rFonts w:ascii="Arial" w:hAnsi="Arial" w:cs="Arial"/>
          <w:sz w:val="24"/>
          <w:szCs w:val="24"/>
          <w:shd w:val="clear" w:color="auto" w:fill="FFFFFF"/>
        </w:rPr>
        <w:t>de que</w:t>
      </w:r>
      <w:proofErr w:type="gramEnd"/>
      <w:r w:rsidRPr="002F3056">
        <w:rPr>
          <w:rFonts w:ascii="Arial" w:hAnsi="Arial" w:cs="Arial"/>
          <w:sz w:val="24"/>
          <w:szCs w:val="24"/>
          <w:shd w:val="clear" w:color="auto" w:fill="FFFFFF"/>
        </w:rPr>
        <w:t xml:space="preserve"> no brindó acceso a asistencia jurídica, ni a la posibilidad de presentar recursos judiciales efectivos contra las órdenes de expulsión</w:t>
      </w:r>
      <w:r w:rsidRPr="002F3056">
        <w:rPr>
          <w:rStyle w:val="FootnoteReference"/>
          <w:rFonts w:ascii="Arial" w:hAnsi="Arial" w:cs="Arial"/>
          <w:sz w:val="24"/>
          <w:szCs w:val="24"/>
          <w:shd w:val="clear" w:color="auto" w:fill="FFFFFF"/>
        </w:rPr>
        <w:footnoteReference w:id="8"/>
      </w:r>
      <w:r w:rsidRPr="002F3056">
        <w:rPr>
          <w:rFonts w:ascii="Arial" w:hAnsi="Arial" w:cs="Arial"/>
          <w:sz w:val="24"/>
          <w:szCs w:val="24"/>
          <w:shd w:val="clear" w:color="auto" w:fill="FFFFFF"/>
        </w:rPr>
        <w:t>. Urgimos al Estado chileno a garantizar el debido proceso y el acceso a mecanismos de protección efectivos en los procedimientos de expulsión o deportación de personas en movilidad.</w:t>
      </w:r>
    </w:p>
    <w:p w14:paraId="2EFF0076" w14:textId="77777777" w:rsidR="00293421" w:rsidRPr="00FA3399" w:rsidRDefault="00293421" w:rsidP="00293421">
      <w:pPr>
        <w:spacing w:line="360" w:lineRule="auto"/>
        <w:jc w:val="both"/>
        <w:rPr>
          <w:rFonts w:ascii="Arial" w:hAnsi="Arial" w:cs="Arial"/>
          <w:b/>
          <w:i/>
          <w:spacing w:val="4"/>
          <w:sz w:val="24"/>
          <w:szCs w:val="24"/>
        </w:rPr>
      </w:pPr>
      <w:r w:rsidRPr="00FA3399">
        <w:rPr>
          <w:rFonts w:ascii="Arial" w:hAnsi="Arial" w:cs="Arial"/>
          <w:b/>
          <w:i/>
          <w:spacing w:val="4"/>
          <w:sz w:val="24"/>
          <w:szCs w:val="24"/>
        </w:rPr>
        <w:t>Artículo 25</w:t>
      </w:r>
    </w:p>
    <w:p w14:paraId="07C176CD" w14:textId="77777777" w:rsidR="00293421" w:rsidRPr="002F3056" w:rsidRDefault="00293421" w:rsidP="00293421">
      <w:pPr>
        <w:spacing w:line="360" w:lineRule="auto"/>
        <w:jc w:val="both"/>
        <w:rPr>
          <w:rFonts w:ascii="Arial" w:hAnsi="Arial" w:cs="Arial"/>
          <w:sz w:val="24"/>
          <w:szCs w:val="24"/>
        </w:rPr>
      </w:pPr>
      <w:r w:rsidRPr="002F3056">
        <w:rPr>
          <w:rFonts w:ascii="Arial" w:hAnsi="Arial" w:cs="Arial"/>
          <w:spacing w:val="4"/>
          <w:sz w:val="24"/>
          <w:szCs w:val="24"/>
        </w:rPr>
        <w:t xml:space="preserve">16. Observamos con preocupación </w:t>
      </w:r>
      <w:r>
        <w:rPr>
          <w:rFonts w:ascii="Arial" w:hAnsi="Arial" w:cs="Arial"/>
          <w:spacing w:val="4"/>
          <w:sz w:val="24"/>
          <w:szCs w:val="24"/>
        </w:rPr>
        <w:t xml:space="preserve">en el caso de las personas venezolanas en condición de movilidad humana en Colombia las dificultadas para </w:t>
      </w:r>
      <w:r w:rsidRPr="002F3056">
        <w:rPr>
          <w:rFonts w:ascii="Arial" w:hAnsi="Arial" w:cs="Arial"/>
          <w:spacing w:val="4"/>
          <w:sz w:val="24"/>
          <w:szCs w:val="24"/>
        </w:rPr>
        <w:t>regularizar las condiciones laborales. Una encueta del Departamento Administrativo Nacional de Estadística (DANE) de ese país reveló que un alto porcentaje de esta población no suscribió un contrato escrito con su empleador, gana menos y está sujeta a una intensa jornada laboral, superior a la de los locales. M</w:t>
      </w:r>
      <w:r w:rsidRPr="002F3056">
        <w:rPr>
          <w:rFonts w:ascii="Arial" w:hAnsi="Arial" w:cs="Arial"/>
          <w:sz w:val="24"/>
          <w:szCs w:val="24"/>
        </w:rPr>
        <w:t>ientras que Colombia está dando pasos para reducir las horas de trabajo a la semana, el estudio del D</w:t>
      </w:r>
      <w:r>
        <w:rPr>
          <w:rFonts w:ascii="Arial" w:hAnsi="Arial" w:cs="Arial"/>
          <w:sz w:val="24"/>
          <w:szCs w:val="24"/>
        </w:rPr>
        <w:t>ANE</w:t>
      </w:r>
      <w:r w:rsidRPr="002F3056">
        <w:rPr>
          <w:rFonts w:ascii="Arial" w:hAnsi="Arial" w:cs="Arial"/>
          <w:sz w:val="24"/>
          <w:szCs w:val="24"/>
        </w:rPr>
        <w:t xml:space="preserve"> revela que el 77,9 por ciento de los venezolanos encuestados sobrepasan esta meta. Incluso, preocupa que dos de cada 10 migrantes trabaja más de 61 horas a la semana</w:t>
      </w:r>
      <w:r w:rsidRPr="002F3056">
        <w:rPr>
          <w:rStyle w:val="FootnoteReference"/>
          <w:rFonts w:ascii="Arial" w:hAnsi="Arial" w:cs="Arial"/>
          <w:sz w:val="24"/>
          <w:szCs w:val="24"/>
        </w:rPr>
        <w:footnoteReference w:id="9"/>
      </w:r>
      <w:r w:rsidRPr="002F3056">
        <w:rPr>
          <w:rFonts w:ascii="Arial" w:hAnsi="Arial" w:cs="Arial"/>
          <w:sz w:val="24"/>
          <w:szCs w:val="24"/>
        </w:rPr>
        <w:t xml:space="preserve">. Las autoridades colombianas deben dar cumplimiento a las obligaciones establecidas en los tratados internacionales sobre derechos humanos, con énfasis en la garantía de los derechos fundamentales de las personas extranjeras. </w:t>
      </w:r>
      <w:proofErr w:type="gramStart"/>
      <w:r>
        <w:rPr>
          <w:rFonts w:ascii="Arial" w:hAnsi="Arial" w:cs="Arial"/>
          <w:sz w:val="24"/>
          <w:szCs w:val="24"/>
        </w:rPr>
        <w:t>Igualmente</w:t>
      </w:r>
      <w:proofErr w:type="gramEnd"/>
      <w:r>
        <w:rPr>
          <w:rFonts w:ascii="Arial" w:hAnsi="Arial" w:cs="Arial"/>
          <w:sz w:val="24"/>
          <w:szCs w:val="24"/>
        </w:rPr>
        <w:t xml:space="preserve"> el Estado venezolano debe velar por el cumplimiento de los derechos humanos laborales de la población venezolana migrante. </w:t>
      </w:r>
    </w:p>
    <w:p w14:paraId="23F75856" w14:textId="77777777" w:rsidR="00293421" w:rsidRPr="002F3056" w:rsidRDefault="00293421" w:rsidP="00293421">
      <w:pPr>
        <w:spacing w:line="360" w:lineRule="auto"/>
        <w:jc w:val="both"/>
        <w:rPr>
          <w:rFonts w:ascii="Arial" w:hAnsi="Arial" w:cs="Arial"/>
          <w:b/>
          <w:sz w:val="24"/>
          <w:szCs w:val="24"/>
          <w:shd w:val="clear" w:color="auto" w:fill="FFFFFF"/>
        </w:rPr>
      </w:pPr>
      <w:r w:rsidRPr="002F3056">
        <w:rPr>
          <w:rFonts w:ascii="Arial" w:hAnsi="Arial" w:cs="Arial"/>
          <w:b/>
          <w:sz w:val="24"/>
          <w:szCs w:val="24"/>
          <w:shd w:val="clear" w:color="auto" w:fill="FFFFFF"/>
        </w:rPr>
        <w:lastRenderedPageBreak/>
        <w:t>Ante la información expuesta, solicitamos al Comité que urja al Estado venezolano:</w:t>
      </w:r>
    </w:p>
    <w:p w14:paraId="6304A81E" w14:textId="77777777" w:rsidR="00293421" w:rsidRPr="002F3056" w:rsidRDefault="00293421" w:rsidP="00293421">
      <w:pPr>
        <w:spacing w:line="360" w:lineRule="auto"/>
        <w:jc w:val="both"/>
        <w:rPr>
          <w:rFonts w:ascii="Arial" w:hAnsi="Arial" w:cs="Arial"/>
          <w:sz w:val="24"/>
          <w:szCs w:val="24"/>
          <w:shd w:val="clear" w:color="auto" w:fill="FFFFFF"/>
        </w:rPr>
      </w:pPr>
      <w:r w:rsidRPr="002F3056">
        <w:rPr>
          <w:rFonts w:ascii="Arial" w:hAnsi="Arial" w:cs="Arial"/>
          <w:sz w:val="24"/>
          <w:szCs w:val="24"/>
          <w:shd w:val="clear" w:color="auto" w:fill="FFFFFF"/>
        </w:rPr>
        <w:t>1. Publicar información oficial sobre el estatus actual del flujo migratorio venezolano en el exterior, así como el número de personas que han regresado por medios propios, ya sea mediante vías regulares como aeropuertos y pasos fronterizos con Colombia y Brasil, o a través de vías irregulares como los pasos informales u otras.</w:t>
      </w:r>
    </w:p>
    <w:p w14:paraId="44B26EAD" w14:textId="77777777" w:rsidR="00293421" w:rsidRPr="002F3056" w:rsidRDefault="00293421" w:rsidP="00293421">
      <w:pPr>
        <w:spacing w:line="360" w:lineRule="auto"/>
        <w:jc w:val="both"/>
        <w:rPr>
          <w:rFonts w:ascii="Arial" w:hAnsi="Arial" w:cs="Arial"/>
          <w:sz w:val="24"/>
          <w:szCs w:val="24"/>
          <w:shd w:val="clear" w:color="auto" w:fill="FFFFFF"/>
        </w:rPr>
      </w:pPr>
      <w:r w:rsidRPr="002F3056">
        <w:rPr>
          <w:rFonts w:ascii="Arial" w:hAnsi="Arial" w:cs="Arial"/>
          <w:sz w:val="24"/>
          <w:szCs w:val="24"/>
          <w:shd w:val="clear" w:color="auto" w:fill="FFFFFF"/>
        </w:rPr>
        <w:t>2. Continuar el fortalecimiento de su marco normativo para garantizar la protección de los derechos humanos de la población venezolana en el exterior, así como la instalación de espacios y oficinas de atención que permita a estas personas denunciar ante las instituciones del Estado cuando sean víctimas de maltrato, discriminación, desalojo o alguna otra acción que socave sus derechos fundamentales.</w:t>
      </w:r>
    </w:p>
    <w:p w14:paraId="0C4CAC48" w14:textId="77777777" w:rsidR="00293421" w:rsidRDefault="00293421" w:rsidP="00293421">
      <w:pPr>
        <w:spacing w:line="360" w:lineRule="auto"/>
        <w:jc w:val="both"/>
        <w:rPr>
          <w:rFonts w:ascii="Arial" w:hAnsi="Arial" w:cs="Arial"/>
          <w:sz w:val="24"/>
          <w:szCs w:val="24"/>
          <w:shd w:val="clear" w:color="auto" w:fill="FFFFFF"/>
        </w:rPr>
      </w:pPr>
      <w:r w:rsidRPr="002F3056">
        <w:rPr>
          <w:rFonts w:ascii="Arial" w:hAnsi="Arial" w:cs="Arial"/>
          <w:sz w:val="24"/>
          <w:szCs w:val="24"/>
          <w:shd w:val="clear" w:color="auto" w:fill="FFFFFF"/>
        </w:rPr>
        <w:t>3. Implementar una política de atención integral a la población migrante retornada, dirigida a permitir un proceso digno basado en el pleno goce de sus derechos y su integración o reintegración a la vida en el país. Entre las acciones a efectuar deben contemplarse la asistencia inmediata en el retorno al país; la ejecución de un protocolo de atención humanitaria para las personas que se encuentren en mayor grado de desprotección; la elaboración de un plan nacional de apoyo en los planos laboral, económico, educativo y de salud; y la realización de gestiones administrativas.</w:t>
      </w:r>
    </w:p>
    <w:p w14:paraId="7479F9EE" w14:textId="77777777" w:rsidR="00293421" w:rsidRPr="002F3056" w:rsidRDefault="00293421" w:rsidP="00293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4. Fortalecer y agilizar los procedimientos consulares en los países de destino, para facilitar el acceso a los derechos humanos de los migrantes venezolanos. </w:t>
      </w:r>
    </w:p>
    <w:p w14:paraId="06760D03" w14:textId="77777777" w:rsidR="00293421" w:rsidRPr="002F3056" w:rsidRDefault="00293421" w:rsidP="00293421">
      <w:pPr>
        <w:spacing w:line="360" w:lineRule="auto"/>
        <w:jc w:val="both"/>
        <w:rPr>
          <w:rFonts w:ascii="Arial" w:hAnsi="Arial" w:cs="Arial"/>
          <w:b/>
          <w:sz w:val="24"/>
          <w:szCs w:val="24"/>
          <w:shd w:val="clear" w:color="auto" w:fill="FFFFFF"/>
        </w:rPr>
      </w:pPr>
      <w:r w:rsidRPr="002F3056">
        <w:rPr>
          <w:rFonts w:ascii="Arial" w:hAnsi="Arial" w:cs="Arial"/>
          <w:b/>
          <w:sz w:val="24"/>
          <w:szCs w:val="24"/>
          <w:shd w:val="clear" w:color="auto" w:fill="FFFFFF"/>
        </w:rPr>
        <w:t>Y a los Estados Partes:</w:t>
      </w:r>
    </w:p>
    <w:p w14:paraId="79DDCEC7" w14:textId="77777777" w:rsidR="00293421" w:rsidRPr="002F3056" w:rsidRDefault="00293421" w:rsidP="00293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5</w:t>
      </w:r>
      <w:r w:rsidRPr="002F3056">
        <w:rPr>
          <w:rFonts w:ascii="Arial" w:hAnsi="Arial" w:cs="Arial"/>
          <w:sz w:val="24"/>
          <w:szCs w:val="24"/>
          <w:shd w:val="clear" w:color="auto" w:fill="FFFFFF"/>
        </w:rPr>
        <w:t xml:space="preserve">. Implementar los mecanismos necesarios para garantizar el cumplimiento de los principios consagrados en los instrumentos fundamentales en materia de </w:t>
      </w:r>
      <w:r w:rsidRPr="002F3056">
        <w:rPr>
          <w:rFonts w:ascii="Arial" w:hAnsi="Arial" w:cs="Arial"/>
          <w:sz w:val="24"/>
          <w:szCs w:val="24"/>
          <w:shd w:val="clear" w:color="auto" w:fill="FFFFFF"/>
        </w:rPr>
        <w:lastRenderedPageBreak/>
        <w:t>derechos humanos de la población migrante venezolana, así como abrir los canales diplomáticos con el gobierno de Venezuela para atender los requerimientos que en materia legal, económica y logística demanda esta población en situación de movilidad humana, así como para facilitar el retorno seguro y expedito a aquellas familias migrantes que deseen volver voluntariamente a su país de origen.</w:t>
      </w:r>
    </w:p>
    <w:p w14:paraId="4D52AC51" w14:textId="77777777" w:rsidR="00293421" w:rsidRPr="002F3056" w:rsidRDefault="00293421" w:rsidP="00293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6</w:t>
      </w:r>
      <w:r w:rsidRPr="002F3056">
        <w:rPr>
          <w:rFonts w:ascii="Arial" w:hAnsi="Arial" w:cs="Arial"/>
          <w:sz w:val="24"/>
          <w:szCs w:val="24"/>
          <w:shd w:val="clear" w:color="auto" w:fill="FFFFFF"/>
        </w:rPr>
        <w:t xml:space="preserve">. Apelar a políticas de cooperación bilateral con el Estado venezolano que permita retomar las relaciones diplomáticas para el restablecimiento de las embajadas y consulados en los países que han sido clausurados, </w:t>
      </w:r>
      <w:r>
        <w:rPr>
          <w:rFonts w:ascii="Arial" w:hAnsi="Arial" w:cs="Arial"/>
          <w:sz w:val="24"/>
          <w:szCs w:val="24"/>
          <w:shd w:val="clear" w:color="auto" w:fill="FFFFFF"/>
        </w:rPr>
        <w:t xml:space="preserve">para garantizar el acceso a los </w:t>
      </w:r>
      <w:r w:rsidRPr="002F3056">
        <w:rPr>
          <w:rFonts w:ascii="Arial" w:hAnsi="Arial" w:cs="Arial"/>
          <w:sz w:val="24"/>
          <w:szCs w:val="24"/>
          <w:shd w:val="clear" w:color="auto" w:fill="FFFFFF"/>
        </w:rPr>
        <w:t>derechos fundamentales en materia legal y administrativa de la población venezolana en situación de movilida</w:t>
      </w:r>
      <w:r>
        <w:rPr>
          <w:rFonts w:ascii="Arial" w:hAnsi="Arial" w:cs="Arial"/>
          <w:sz w:val="24"/>
          <w:szCs w:val="24"/>
          <w:shd w:val="clear" w:color="auto" w:fill="FFFFFF"/>
        </w:rPr>
        <w:t xml:space="preserve">d y dar cumplimiento a la presente Convención. </w:t>
      </w:r>
    </w:p>
    <w:p w14:paraId="77A97B5C" w14:textId="77777777" w:rsidR="00293421" w:rsidRPr="002F3056" w:rsidRDefault="00293421" w:rsidP="00293421">
      <w:pPr>
        <w:spacing w:line="360" w:lineRule="auto"/>
        <w:jc w:val="both"/>
        <w:rPr>
          <w:rFonts w:ascii="Arial" w:hAnsi="Arial" w:cs="Arial"/>
          <w:sz w:val="24"/>
          <w:szCs w:val="24"/>
          <w:shd w:val="clear" w:color="auto" w:fill="FFFFFF"/>
        </w:rPr>
      </w:pPr>
    </w:p>
    <w:p w14:paraId="3BEE73C1" w14:textId="77777777" w:rsidR="00293421" w:rsidRPr="002F3056" w:rsidRDefault="00293421" w:rsidP="00293421">
      <w:pPr>
        <w:spacing w:line="360" w:lineRule="auto"/>
        <w:jc w:val="both"/>
        <w:rPr>
          <w:rFonts w:ascii="Arial" w:hAnsi="Arial" w:cs="Arial"/>
          <w:sz w:val="24"/>
          <w:szCs w:val="24"/>
          <w:shd w:val="clear" w:color="auto" w:fill="FFFFFF"/>
        </w:rPr>
      </w:pPr>
    </w:p>
    <w:p w14:paraId="45DB8C5A" w14:textId="77777777" w:rsidR="00293421" w:rsidRPr="002F3056" w:rsidRDefault="00293421" w:rsidP="00293421">
      <w:pPr>
        <w:jc w:val="both"/>
        <w:rPr>
          <w:rFonts w:ascii="Arial" w:hAnsi="Arial" w:cs="Arial"/>
          <w:sz w:val="24"/>
          <w:szCs w:val="24"/>
        </w:rPr>
      </w:pPr>
    </w:p>
    <w:p w14:paraId="01E87C26" w14:textId="77777777" w:rsidR="00F03C7A" w:rsidRPr="00293421" w:rsidRDefault="00F03C7A" w:rsidP="00293421"/>
    <w:sectPr w:rsidR="00F03C7A" w:rsidRPr="00293421" w:rsidSect="00267BB6">
      <w:headerReference w:type="default" r:id="rId8"/>
      <w:footerReference w:type="default" r:id="rId9"/>
      <w:headerReference w:type="first" r:id="rId10"/>
      <w:footerReference w:type="first" r:id="rId11"/>
      <w:pgSz w:w="12240" w:h="15840"/>
      <w:pgMar w:top="1702" w:right="1800" w:bottom="2552" w:left="180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B930D8" w14:textId="77777777" w:rsidR="00AD61B6" w:rsidRDefault="00AD61B6" w:rsidP="00E37054">
      <w:r>
        <w:separator/>
      </w:r>
    </w:p>
  </w:endnote>
  <w:endnote w:type="continuationSeparator" w:id="0">
    <w:p w14:paraId="75510B87" w14:textId="77777777" w:rsidR="00AD61B6" w:rsidRDefault="00AD61B6" w:rsidP="00E3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5C2527" w14:textId="77777777" w:rsidR="00B608F7" w:rsidRPr="00B608F7" w:rsidRDefault="00B608F7" w:rsidP="00B608F7">
    <w:pPr>
      <w:pStyle w:val="Footer"/>
      <w:jc w:val="both"/>
      <w:rPr>
        <w:rFonts w:ascii="Franklin Gothic Medium" w:hAnsi="Franklin Gothic Medium"/>
        <w:bCs/>
        <w:color w:val="418AB3" w:themeColor="accent1"/>
        <w:sz w:val="16"/>
        <w:szCs w:val="16"/>
        <w:lang w:val="es-VE"/>
      </w:rPr>
    </w:pPr>
    <w:r w:rsidRPr="00DD0DBE">
      <w:rPr>
        <w:rFonts w:ascii="Franklin Gothic Medium" w:hAnsi="Franklin Gothic Medium"/>
        <w:b/>
        <w:color w:val="418AB3" w:themeColor="accent1"/>
        <w:sz w:val="16"/>
        <w:szCs w:val="16"/>
        <w:lang w:val="es-VE"/>
      </w:rPr>
      <w:t xml:space="preserve">Esquinas de Conde a Principal. Edificio Ambos Mundos, piso 3, oficina 405-407. Municipio Autónomo Bolivariano Libertador. Distrito Capital. República Bolivariana de Venezuela. </w:t>
    </w:r>
    <w:r>
      <w:rPr>
        <w:rFonts w:ascii="Franklin Gothic Medium" w:hAnsi="Franklin Gothic Medium"/>
        <w:b/>
        <w:noProof/>
        <w:color w:val="418AB3" w:themeColor="accent1"/>
        <w:sz w:val="16"/>
        <w:szCs w:val="16"/>
        <w:lang w:val="es-VE" w:eastAsia="es-VE"/>
      </w:rPr>
      <w:drawing>
        <wp:inline distT="0" distB="0" distL="0" distR="0" wp14:anchorId="620A312B" wp14:editId="3C0D1CF5">
          <wp:extent cx="214312" cy="10224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129" cy="107405"/>
                  </a:xfrm>
                  <a:prstGeom prst="rect">
                    <a:avLst/>
                  </a:prstGeom>
                  <a:noFill/>
                  <a:ln>
                    <a:noFill/>
                  </a:ln>
                </pic:spPr>
              </pic:pic>
            </a:graphicData>
          </a:graphic>
        </wp:inline>
      </w:drawing>
    </w:r>
    <w:r>
      <w:rPr>
        <w:rFonts w:ascii="Franklin Gothic Medium" w:hAnsi="Franklin Gothic Medium"/>
        <w:b/>
        <w:color w:val="418AB3" w:themeColor="accent1"/>
        <w:sz w:val="16"/>
        <w:szCs w:val="16"/>
        <w:lang w:val="es-VE"/>
      </w:rPr>
      <w:t xml:space="preserve"> </w:t>
    </w:r>
    <w:r w:rsidRPr="00B608F7">
      <w:rPr>
        <w:rFonts w:ascii="Franklin Gothic Medium" w:hAnsi="Franklin Gothic Medium"/>
        <w:b/>
        <w:color w:val="418AB3" w:themeColor="accent1"/>
        <w:sz w:val="16"/>
        <w:szCs w:val="16"/>
        <w:lang w:val="es-VE"/>
      </w:rPr>
      <w:t>@suresddh</w:t>
    </w:r>
    <w:r>
      <w:rPr>
        <w:rFonts w:ascii="Franklin Gothic Medium" w:hAnsi="Franklin Gothic Medium"/>
        <w:bCs/>
        <w:color w:val="418AB3" w:themeColor="accent1"/>
        <w:sz w:val="16"/>
        <w:szCs w:val="16"/>
        <w:lang w:val="es-VE"/>
      </w:rPr>
      <w:t xml:space="preserve"> </w:t>
    </w:r>
    <w:r>
      <w:rPr>
        <w:rFonts w:ascii="Franklin Gothic Medium" w:hAnsi="Franklin Gothic Medium"/>
        <w:b/>
        <w:noProof/>
        <w:color w:val="418AB3" w:themeColor="accent1"/>
        <w:sz w:val="16"/>
        <w:szCs w:val="16"/>
        <w:lang w:val="es-VE" w:eastAsia="es-VE"/>
      </w:rPr>
      <w:drawing>
        <wp:inline distT="0" distB="0" distL="0" distR="0" wp14:anchorId="5E1CB0C7" wp14:editId="0DB6B0F7">
          <wp:extent cx="85090" cy="85977"/>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492" cy="107602"/>
                  </a:xfrm>
                  <a:prstGeom prst="rect">
                    <a:avLst/>
                  </a:prstGeom>
                  <a:noFill/>
                  <a:ln>
                    <a:noFill/>
                  </a:ln>
                </pic:spPr>
              </pic:pic>
            </a:graphicData>
          </a:graphic>
        </wp:inline>
      </w:drawing>
    </w:r>
    <w:r>
      <w:rPr>
        <w:rFonts w:ascii="Franklin Gothic Medium" w:hAnsi="Franklin Gothic Medium"/>
        <w:b/>
        <w:noProof/>
        <w:color w:val="418AB3" w:themeColor="accent1"/>
        <w:sz w:val="16"/>
        <w:szCs w:val="16"/>
        <w:lang w:val="es-VE" w:eastAsia="es-VE"/>
      </w:rPr>
      <w:t xml:space="preserve"> </w:t>
    </w:r>
    <w:r w:rsidRPr="00B608F7">
      <w:rPr>
        <w:rFonts w:ascii="Franklin Gothic Medium" w:hAnsi="Franklin Gothic Medium"/>
        <w:b/>
        <w:noProof/>
        <w:color w:val="418AB3" w:themeColor="accent1"/>
        <w:sz w:val="16"/>
        <w:szCs w:val="16"/>
        <w:lang w:val="es-VE" w:eastAsia="es-VE"/>
      </w:rPr>
      <w:t>@Organización Sures</w:t>
    </w:r>
    <w:r>
      <w:rPr>
        <w:rFonts w:ascii="Franklin Gothic Medium" w:hAnsi="Franklin Gothic Medium"/>
        <w:bCs/>
        <w:noProof/>
        <w:color w:val="418AB3" w:themeColor="accent1"/>
        <w:sz w:val="16"/>
        <w:szCs w:val="16"/>
        <w:lang w:val="es-VE" w:eastAsia="es-VE"/>
      </w:rPr>
      <w:t xml:space="preserve"> </w:t>
    </w:r>
    <w:r>
      <w:rPr>
        <w:rFonts w:ascii="Franklin Gothic Medium" w:hAnsi="Franklin Gothic Medium"/>
        <w:bCs/>
        <w:noProof/>
        <w:color w:val="418AB3" w:themeColor="accent1"/>
        <w:sz w:val="16"/>
        <w:szCs w:val="16"/>
        <w:lang w:val="es-VE" w:eastAsia="es-VE"/>
      </w:rPr>
      <w:drawing>
        <wp:inline distT="0" distB="0" distL="0" distR="0" wp14:anchorId="34AFB212" wp14:editId="534F3B2C">
          <wp:extent cx="114300" cy="1143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236" cy="123236"/>
                  </a:xfrm>
                  <a:prstGeom prst="rect">
                    <a:avLst/>
                  </a:prstGeom>
                  <a:noFill/>
                  <a:ln>
                    <a:noFill/>
                  </a:ln>
                </pic:spPr>
              </pic:pic>
            </a:graphicData>
          </a:graphic>
        </wp:inline>
      </w:drawing>
    </w:r>
    <w:r>
      <w:rPr>
        <w:rFonts w:ascii="Franklin Gothic Medium" w:hAnsi="Franklin Gothic Medium"/>
        <w:b/>
        <w:noProof/>
        <w:color w:val="418AB3" w:themeColor="accent1"/>
        <w:sz w:val="16"/>
        <w:szCs w:val="16"/>
        <w:lang w:val="es-VE" w:eastAsia="es-VE"/>
      </w:rPr>
      <w:t xml:space="preserve"> </w:t>
    </w:r>
    <w:r w:rsidRPr="00B608F7">
      <w:rPr>
        <w:rFonts w:ascii="Franklin Gothic Medium" w:hAnsi="Franklin Gothic Medium"/>
        <w:b/>
        <w:color w:val="418AB3" w:themeColor="accent1"/>
        <w:sz w:val="16"/>
        <w:szCs w:val="16"/>
        <w:lang w:val="es-VE"/>
      </w:rPr>
      <w:t>0412-9968005 y 04169856183.</w:t>
    </w:r>
    <w:r w:rsidRPr="00DD0DBE">
      <w:rPr>
        <w:rFonts w:ascii="Franklin Gothic Medium" w:hAnsi="Franklin Gothic Medium"/>
        <w:b/>
        <w:color w:val="418AB3" w:themeColor="accent1"/>
        <w:sz w:val="16"/>
        <w:szCs w:val="16"/>
        <w:lang w:val="es-VE"/>
      </w:rPr>
      <w:t xml:space="preserve"> </w:t>
    </w:r>
    <w:r>
      <w:rPr>
        <w:rFonts w:ascii="Franklin Gothic Medium" w:hAnsi="Franklin Gothic Medium"/>
        <w:b/>
        <w:noProof/>
        <w:color w:val="418AB3" w:themeColor="accent1"/>
        <w:sz w:val="16"/>
        <w:szCs w:val="16"/>
        <w:lang w:val="es-VE"/>
      </w:rPr>
      <w:drawing>
        <wp:inline distT="0" distB="0" distL="0" distR="0" wp14:anchorId="219DF0A3" wp14:editId="43255509">
          <wp:extent cx="109538" cy="109538"/>
          <wp:effectExtent l="0" t="0" r="5080"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960" cy="112960"/>
                  </a:xfrm>
                  <a:prstGeom prst="rect">
                    <a:avLst/>
                  </a:prstGeom>
                  <a:noFill/>
                  <a:ln>
                    <a:noFill/>
                  </a:ln>
                </pic:spPr>
              </pic:pic>
            </a:graphicData>
          </a:graphic>
        </wp:inline>
      </w:drawing>
    </w:r>
    <w:r>
      <w:rPr>
        <w:rFonts w:ascii="Franklin Gothic Medium" w:hAnsi="Franklin Gothic Medium"/>
        <w:b/>
        <w:color w:val="418AB3" w:themeColor="accent1"/>
        <w:sz w:val="16"/>
        <w:szCs w:val="16"/>
        <w:lang w:val="es-VE"/>
      </w:rPr>
      <w:t xml:space="preserve"> Sures Estudio y Defensa en Derechos Humanos / </w:t>
    </w:r>
    <w:r w:rsidRPr="00DD0DBE">
      <w:rPr>
        <w:rFonts w:ascii="Franklin Gothic Medium" w:hAnsi="Franklin Gothic Medium"/>
        <w:b/>
        <w:color w:val="418AB3" w:themeColor="accent1"/>
        <w:sz w:val="16"/>
        <w:szCs w:val="16"/>
        <w:lang w:val="es-VE"/>
      </w:rPr>
      <w:t xml:space="preserve">Página Web: </w:t>
    </w:r>
    <w:hyperlink r:id="rId5" w:history="1">
      <w:r w:rsidRPr="00B608F7">
        <w:rPr>
          <w:rStyle w:val="Hyperlink"/>
          <w:rFonts w:ascii="Franklin Gothic Medium" w:hAnsi="Franklin Gothic Medium"/>
          <w:bCs/>
          <w:color w:val="418AB3" w:themeColor="accent1"/>
          <w:sz w:val="16"/>
          <w:szCs w:val="16"/>
          <w:lang w:val="es-VE"/>
        </w:rPr>
        <w:t>www.sures.org.ve</w:t>
      </w:r>
    </w:hyperlink>
    <w:r w:rsidRPr="00B608F7">
      <w:rPr>
        <w:rFonts w:ascii="Franklin Gothic Medium" w:hAnsi="Franklin Gothic Medium"/>
        <w:bCs/>
        <w:color w:val="418AB3" w:themeColor="accent1"/>
        <w:sz w:val="16"/>
        <w:szCs w:val="16"/>
        <w:lang w:val="es-VE"/>
      </w:rPr>
      <w:t xml:space="preserve"> </w:t>
    </w:r>
  </w:p>
  <w:p w14:paraId="2C8151A5" w14:textId="7D875A7C" w:rsidR="00C75ACE" w:rsidRPr="00C75ACE" w:rsidRDefault="00C75ACE" w:rsidP="000966A2">
    <w:pPr>
      <w:pStyle w:val="Footer"/>
      <w:tabs>
        <w:tab w:val="clear" w:pos="8504"/>
        <w:tab w:val="left" w:pos="7075"/>
      </w:tabs>
      <w:rPr>
        <w:lang w:val="es-VE"/>
      </w:rPr>
    </w:pPr>
  </w:p>
  <w:p w14:paraId="2CB2F4F8" w14:textId="1F2A1556" w:rsidR="001F3B4E" w:rsidRDefault="001F3B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08E15" w14:textId="67276EBE" w:rsidR="00DF45A7" w:rsidRPr="00B608F7" w:rsidRDefault="00DF45A7" w:rsidP="00206D64">
    <w:pPr>
      <w:pStyle w:val="Footer"/>
      <w:jc w:val="both"/>
      <w:rPr>
        <w:rFonts w:ascii="Franklin Gothic Medium" w:hAnsi="Franklin Gothic Medium"/>
        <w:bCs/>
        <w:color w:val="418AB3" w:themeColor="accent1"/>
        <w:sz w:val="16"/>
        <w:szCs w:val="16"/>
        <w:lang w:val="es-VE"/>
      </w:rPr>
    </w:pPr>
    <w:r w:rsidRPr="00DD0DBE">
      <w:rPr>
        <w:rFonts w:ascii="Franklin Gothic Medium" w:hAnsi="Franklin Gothic Medium"/>
        <w:b/>
        <w:color w:val="418AB3" w:themeColor="accent1"/>
        <w:sz w:val="16"/>
        <w:szCs w:val="16"/>
        <w:lang w:val="es-VE"/>
      </w:rPr>
      <w:t xml:space="preserve">Esquinas de Conde a Principal. Edificio Ambos Mundos, piso 3, oficina </w:t>
    </w:r>
    <w:r w:rsidR="00D519AF" w:rsidRPr="00DD0DBE">
      <w:rPr>
        <w:rFonts w:ascii="Franklin Gothic Medium" w:hAnsi="Franklin Gothic Medium"/>
        <w:b/>
        <w:color w:val="418AB3" w:themeColor="accent1"/>
        <w:sz w:val="16"/>
        <w:szCs w:val="16"/>
        <w:lang w:val="es-VE"/>
      </w:rPr>
      <w:t>405-4</w:t>
    </w:r>
    <w:r w:rsidRPr="00DD0DBE">
      <w:rPr>
        <w:rFonts w:ascii="Franklin Gothic Medium" w:hAnsi="Franklin Gothic Medium"/>
        <w:b/>
        <w:color w:val="418AB3" w:themeColor="accent1"/>
        <w:sz w:val="16"/>
        <w:szCs w:val="16"/>
        <w:lang w:val="es-VE"/>
      </w:rPr>
      <w:t xml:space="preserve">07. Municipio Autónomo Bolivariano Libertador. Distrito Capital. República Bolivariana de Venezuela. </w:t>
    </w:r>
    <w:r w:rsidR="009F670B">
      <w:rPr>
        <w:rFonts w:ascii="Franklin Gothic Medium" w:hAnsi="Franklin Gothic Medium"/>
        <w:b/>
        <w:noProof/>
        <w:color w:val="418AB3" w:themeColor="accent1"/>
        <w:sz w:val="16"/>
        <w:szCs w:val="16"/>
        <w:lang w:val="es-VE" w:eastAsia="es-VE"/>
      </w:rPr>
      <w:drawing>
        <wp:inline distT="0" distB="0" distL="0" distR="0" wp14:anchorId="16648E0E" wp14:editId="3CC7935B">
          <wp:extent cx="214312" cy="10224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129" cy="107405"/>
                  </a:xfrm>
                  <a:prstGeom prst="rect">
                    <a:avLst/>
                  </a:prstGeom>
                  <a:noFill/>
                  <a:ln>
                    <a:noFill/>
                  </a:ln>
                </pic:spPr>
              </pic:pic>
            </a:graphicData>
          </a:graphic>
        </wp:inline>
      </w:drawing>
    </w:r>
    <w:r w:rsidR="009F670B">
      <w:rPr>
        <w:rFonts w:ascii="Franklin Gothic Medium" w:hAnsi="Franklin Gothic Medium"/>
        <w:b/>
        <w:color w:val="418AB3" w:themeColor="accent1"/>
        <w:sz w:val="16"/>
        <w:szCs w:val="16"/>
        <w:lang w:val="es-VE"/>
      </w:rPr>
      <w:t xml:space="preserve"> </w:t>
    </w:r>
    <w:r w:rsidR="009F670B" w:rsidRPr="00B608F7">
      <w:rPr>
        <w:rFonts w:ascii="Franklin Gothic Medium" w:hAnsi="Franklin Gothic Medium"/>
        <w:b/>
        <w:color w:val="418AB3" w:themeColor="accent1"/>
        <w:sz w:val="16"/>
        <w:szCs w:val="16"/>
        <w:lang w:val="es-VE"/>
      </w:rPr>
      <w:t>@suresddh</w:t>
    </w:r>
    <w:r w:rsidR="00B608F7">
      <w:rPr>
        <w:rFonts w:ascii="Franklin Gothic Medium" w:hAnsi="Franklin Gothic Medium"/>
        <w:bCs/>
        <w:color w:val="418AB3" w:themeColor="accent1"/>
        <w:sz w:val="16"/>
        <w:szCs w:val="16"/>
        <w:lang w:val="es-VE"/>
      </w:rPr>
      <w:t xml:space="preserve"> </w:t>
    </w:r>
    <w:r w:rsidR="009F670B">
      <w:rPr>
        <w:rFonts w:ascii="Franklin Gothic Medium" w:hAnsi="Franklin Gothic Medium"/>
        <w:b/>
        <w:noProof/>
        <w:color w:val="418AB3" w:themeColor="accent1"/>
        <w:sz w:val="16"/>
        <w:szCs w:val="16"/>
        <w:lang w:val="es-VE" w:eastAsia="es-VE"/>
      </w:rPr>
      <w:drawing>
        <wp:inline distT="0" distB="0" distL="0" distR="0" wp14:anchorId="6C508E83" wp14:editId="69782548">
          <wp:extent cx="85090" cy="85977"/>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492" cy="107602"/>
                  </a:xfrm>
                  <a:prstGeom prst="rect">
                    <a:avLst/>
                  </a:prstGeom>
                  <a:noFill/>
                  <a:ln>
                    <a:noFill/>
                  </a:ln>
                </pic:spPr>
              </pic:pic>
            </a:graphicData>
          </a:graphic>
        </wp:inline>
      </w:drawing>
    </w:r>
    <w:r w:rsidR="009F670B">
      <w:rPr>
        <w:rFonts w:ascii="Franklin Gothic Medium" w:hAnsi="Franklin Gothic Medium"/>
        <w:b/>
        <w:noProof/>
        <w:color w:val="418AB3" w:themeColor="accent1"/>
        <w:sz w:val="16"/>
        <w:szCs w:val="16"/>
        <w:lang w:val="es-VE" w:eastAsia="es-VE"/>
      </w:rPr>
      <w:t xml:space="preserve"> </w:t>
    </w:r>
    <w:r w:rsidR="009F670B" w:rsidRPr="00B608F7">
      <w:rPr>
        <w:rFonts w:ascii="Franklin Gothic Medium" w:hAnsi="Franklin Gothic Medium"/>
        <w:b/>
        <w:noProof/>
        <w:color w:val="418AB3" w:themeColor="accent1"/>
        <w:sz w:val="16"/>
        <w:szCs w:val="16"/>
        <w:lang w:val="es-VE" w:eastAsia="es-VE"/>
      </w:rPr>
      <w:t>@Organización Sures</w:t>
    </w:r>
    <w:r w:rsidR="00B608F7">
      <w:rPr>
        <w:rFonts w:ascii="Franklin Gothic Medium" w:hAnsi="Franklin Gothic Medium"/>
        <w:bCs/>
        <w:noProof/>
        <w:color w:val="418AB3" w:themeColor="accent1"/>
        <w:sz w:val="16"/>
        <w:szCs w:val="16"/>
        <w:lang w:val="es-VE" w:eastAsia="es-VE"/>
      </w:rPr>
      <w:t xml:space="preserve"> </w:t>
    </w:r>
    <w:r w:rsidR="00B608F7">
      <w:rPr>
        <w:rFonts w:ascii="Franklin Gothic Medium" w:hAnsi="Franklin Gothic Medium"/>
        <w:bCs/>
        <w:noProof/>
        <w:color w:val="418AB3" w:themeColor="accent1"/>
        <w:sz w:val="16"/>
        <w:szCs w:val="16"/>
        <w:lang w:val="es-VE" w:eastAsia="es-VE"/>
      </w:rPr>
      <w:drawing>
        <wp:inline distT="0" distB="0" distL="0" distR="0" wp14:anchorId="76353F81" wp14:editId="28DCF17B">
          <wp:extent cx="114300" cy="1143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236" cy="123236"/>
                  </a:xfrm>
                  <a:prstGeom prst="rect">
                    <a:avLst/>
                  </a:prstGeom>
                  <a:noFill/>
                  <a:ln>
                    <a:noFill/>
                  </a:ln>
                </pic:spPr>
              </pic:pic>
            </a:graphicData>
          </a:graphic>
        </wp:inline>
      </w:drawing>
    </w:r>
    <w:r w:rsidR="009F670B">
      <w:rPr>
        <w:rFonts w:ascii="Franklin Gothic Medium" w:hAnsi="Franklin Gothic Medium"/>
        <w:b/>
        <w:noProof/>
        <w:color w:val="418AB3" w:themeColor="accent1"/>
        <w:sz w:val="16"/>
        <w:szCs w:val="16"/>
        <w:lang w:val="es-VE" w:eastAsia="es-VE"/>
      </w:rPr>
      <w:t xml:space="preserve"> </w:t>
    </w:r>
    <w:r w:rsidRPr="00B608F7">
      <w:rPr>
        <w:rFonts w:ascii="Franklin Gothic Medium" w:hAnsi="Franklin Gothic Medium"/>
        <w:b/>
        <w:color w:val="418AB3" w:themeColor="accent1"/>
        <w:sz w:val="16"/>
        <w:szCs w:val="16"/>
        <w:lang w:val="es-VE"/>
      </w:rPr>
      <w:t>0412-9968005 y 04169856183.</w:t>
    </w:r>
    <w:r w:rsidRPr="00DD0DBE">
      <w:rPr>
        <w:rFonts w:ascii="Franklin Gothic Medium" w:hAnsi="Franklin Gothic Medium"/>
        <w:b/>
        <w:color w:val="418AB3" w:themeColor="accent1"/>
        <w:sz w:val="16"/>
        <w:szCs w:val="16"/>
        <w:lang w:val="es-VE"/>
      </w:rPr>
      <w:t xml:space="preserve"> </w:t>
    </w:r>
    <w:r w:rsidR="00B608F7">
      <w:rPr>
        <w:rFonts w:ascii="Franklin Gothic Medium" w:hAnsi="Franklin Gothic Medium"/>
        <w:b/>
        <w:noProof/>
        <w:color w:val="418AB3" w:themeColor="accent1"/>
        <w:sz w:val="16"/>
        <w:szCs w:val="16"/>
        <w:lang w:val="es-VE"/>
      </w:rPr>
      <w:drawing>
        <wp:inline distT="0" distB="0" distL="0" distR="0" wp14:anchorId="61998AF5" wp14:editId="220BBBCF">
          <wp:extent cx="109538" cy="109538"/>
          <wp:effectExtent l="0" t="0" r="5080" b="508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960" cy="112960"/>
                  </a:xfrm>
                  <a:prstGeom prst="rect">
                    <a:avLst/>
                  </a:prstGeom>
                  <a:noFill/>
                  <a:ln>
                    <a:noFill/>
                  </a:ln>
                </pic:spPr>
              </pic:pic>
            </a:graphicData>
          </a:graphic>
        </wp:inline>
      </w:drawing>
    </w:r>
    <w:r w:rsidR="00B608F7">
      <w:rPr>
        <w:rFonts w:ascii="Franklin Gothic Medium" w:hAnsi="Franklin Gothic Medium"/>
        <w:b/>
        <w:color w:val="418AB3" w:themeColor="accent1"/>
        <w:sz w:val="16"/>
        <w:szCs w:val="16"/>
        <w:lang w:val="es-VE"/>
      </w:rPr>
      <w:t xml:space="preserve"> Sures Estudio y Defensa en Derechos Humanos / </w:t>
    </w:r>
    <w:r w:rsidRPr="00DD0DBE">
      <w:rPr>
        <w:rFonts w:ascii="Franklin Gothic Medium" w:hAnsi="Franklin Gothic Medium"/>
        <w:b/>
        <w:color w:val="418AB3" w:themeColor="accent1"/>
        <w:sz w:val="16"/>
        <w:szCs w:val="16"/>
        <w:lang w:val="es-VE"/>
      </w:rPr>
      <w:t xml:space="preserve">Página Web: </w:t>
    </w:r>
    <w:hyperlink r:id="rId5" w:history="1">
      <w:r w:rsidR="009F670B" w:rsidRPr="00B608F7">
        <w:rPr>
          <w:rStyle w:val="Hyperlink"/>
          <w:rFonts w:ascii="Franklin Gothic Medium" w:hAnsi="Franklin Gothic Medium"/>
          <w:bCs/>
          <w:color w:val="418AB3" w:themeColor="accent1"/>
          <w:sz w:val="16"/>
          <w:szCs w:val="16"/>
          <w:lang w:val="es-VE"/>
        </w:rPr>
        <w:t>www.sures.org.ve</w:t>
      </w:r>
    </w:hyperlink>
    <w:r w:rsidR="009F670B" w:rsidRPr="00B608F7">
      <w:rPr>
        <w:rFonts w:ascii="Franklin Gothic Medium" w:hAnsi="Franklin Gothic Medium"/>
        <w:bCs/>
        <w:color w:val="418AB3" w:themeColor="accent1"/>
        <w:sz w:val="16"/>
        <w:szCs w:val="16"/>
        <w:lang w:val="es-VE"/>
      </w:rPr>
      <w:t xml:space="preserve"> </w:t>
    </w:r>
  </w:p>
  <w:p w14:paraId="63D31644" w14:textId="7F60EA24" w:rsidR="001F3B4E" w:rsidRPr="00DD0DBE" w:rsidRDefault="001F3B4E" w:rsidP="00206D64">
    <w:pPr>
      <w:pStyle w:val="Footer"/>
      <w:jc w:val="center"/>
      <w:rPr>
        <w:sz w:val="16"/>
        <w:szCs w:val="16"/>
        <w:lang w:val="es-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BF549E" w14:textId="77777777" w:rsidR="00AD61B6" w:rsidRDefault="00AD61B6" w:rsidP="00E37054">
      <w:r>
        <w:separator/>
      </w:r>
    </w:p>
  </w:footnote>
  <w:footnote w:type="continuationSeparator" w:id="0">
    <w:p w14:paraId="5C06BBD0" w14:textId="77777777" w:rsidR="00AD61B6" w:rsidRDefault="00AD61B6" w:rsidP="00E37054">
      <w:r>
        <w:continuationSeparator/>
      </w:r>
    </w:p>
  </w:footnote>
  <w:footnote w:id="1">
    <w:p w14:paraId="12A43F5A" w14:textId="77777777" w:rsidR="00293421" w:rsidRPr="00FE6F7D" w:rsidRDefault="00293421" w:rsidP="00293421">
      <w:pPr>
        <w:pStyle w:val="FootnoteText"/>
        <w:jc w:val="both"/>
        <w:rPr>
          <w:rFonts w:ascii="Times New Roman" w:hAnsi="Times New Roman" w:cs="Times New Roman"/>
          <w:lang w:val="es-VE"/>
        </w:rPr>
      </w:pPr>
      <w:r w:rsidRPr="00FE6F7D">
        <w:rPr>
          <w:rStyle w:val="FootnoteReference"/>
          <w:rFonts w:ascii="Times New Roman" w:hAnsi="Times New Roman" w:cs="Times New Roman"/>
        </w:rPr>
        <w:footnoteRef/>
      </w:r>
      <w:r w:rsidRPr="00FE6F7D">
        <w:rPr>
          <w:rFonts w:ascii="Times New Roman" w:hAnsi="Times New Roman" w:cs="Times New Roman"/>
        </w:rPr>
        <w:t xml:space="preserve"> https://venezuela-news.com/defensoria-del-pueblo-vela-por-derechos-de-menores-hijos-de-migrantes/</w:t>
      </w:r>
    </w:p>
  </w:footnote>
  <w:footnote w:id="2">
    <w:p w14:paraId="421F0D54" w14:textId="77777777" w:rsidR="00293421" w:rsidRPr="007C0DBA" w:rsidRDefault="00293421" w:rsidP="00293421">
      <w:pPr>
        <w:pStyle w:val="FootnoteText"/>
        <w:jc w:val="both"/>
        <w:rPr>
          <w:rFonts w:ascii="Times New Roman" w:hAnsi="Times New Roman" w:cs="Times New Roman"/>
          <w:lang w:val="es-VE"/>
        </w:rPr>
      </w:pPr>
      <w:r w:rsidRPr="007C0DBA">
        <w:rPr>
          <w:rStyle w:val="FootnoteReference"/>
          <w:rFonts w:ascii="Times New Roman" w:hAnsi="Times New Roman" w:cs="Times New Roman"/>
        </w:rPr>
        <w:footnoteRef/>
      </w:r>
      <w:r w:rsidRPr="007C0DBA">
        <w:rPr>
          <w:rFonts w:ascii="Times New Roman" w:hAnsi="Times New Roman" w:cs="Times New Roman"/>
        </w:rPr>
        <w:t>https://venezuela-news.com/gilberto-gimenez-ivan-duque-pretendia-entregar-adopcion-mas-4-mil-ninos-venezolanos/</w:t>
      </w:r>
    </w:p>
  </w:footnote>
  <w:footnote w:id="3">
    <w:p w14:paraId="3C4F1ABF" w14:textId="77777777" w:rsidR="00293421" w:rsidRPr="000D25A1" w:rsidRDefault="00293421" w:rsidP="00293421">
      <w:pPr>
        <w:pStyle w:val="FootnoteText"/>
        <w:jc w:val="both"/>
        <w:rPr>
          <w:rFonts w:ascii="Times New Roman" w:hAnsi="Times New Roman" w:cs="Times New Roman"/>
          <w:lang w:val="es-VE"/>
        </w:rPr>
      </w:pPr>
      <w:r w:rsidRPr="000D25A1">
        <w:rPr>
          <w:rStyle w:val="FootnoteReference"/>
          <w:rFonts w:ascii="Times New Roman" w:hAnsi="Times New Roman" w:cs="Times New Roman"/>
        </w:rPr>
        <w:footnoteRef/>
      </w:r>
      <w:r w:rsidRPr="000D25A1">
        <w:rPr>
          <w:rFonts w:ascii="Times New Roman" w:hAnsi="Times New Roman" w:cs="Times New Roman"/>
        </w:rPr>
        <w:t xml:space="preserve"> https://sures.org.ve/wp-content/uploads/2022/07/ENTRE-TACHIRA-Y-CUCUTA.pdf</w:t>
      </w:r>
    </w:p>
  </w:footnote>
  <w:footnote w:id="4">
    <w:p w14:paraId="41C1D2F3" w14:textId="77777777" w:rsidR="00293421" w:rsidRPr="000D25A1" w:rsidRDefault="00293421" w:rsidP="00293421">
      <w:pPr>
        <w:pStyle w:val="FootnoteText"/>
        <w:jc w:val="both"/>
        <w:rPr>
          <w:rFonts w:ascii="Times New Roman" w:hAnsi="Times New Roman" w:cs="Times New Roman"/>
          <w:lang w:val="es-VE"/>
        </w:rPr>
      </w:pPr>
      <w:r w:rsidRPr="000D25A1">
        <w:rPr>
          <w:rStyle w:val="FootnoteReference"/>
          <w:rFonts w:ascii="Times New Roman" w:hAnsi="Times New Roman" w:cs="Times New Roman"/>
        </w:rPr>
        <w:footnoteRef/>
      </w:r>
      <w:r w:rsidRPr="000D25A1">
        <w:rPr>
          <w:rFonts w:ascii="Times New Roman" w:hAnsi="Times New Roman" w:cs="Times New Roman"/>
        </w:rPr>
        <w:t xml:space="preserve"> https://www.argosob.org/es/communique/argos-preocupacion-integridad-migrantes-chile/</w:t>
      </w:r>
    </w:p>
  </w:footnote>
  <w:footnote w:id="5">
    <w:p w14:paraId="43C68BA5" w14:textId="77777777" w:rsidR="00293421" w:rsidRPr="000D25A1" w:rsidRDefault="00293421" w:rsidP="00293421">
      <w:pPr>
        <w:pStyle w:val="FootnoteText"/>
        <w:jc w:val="both"/>
        <w:rPr>
          <w:rFonts w:ascii="Times New Roman" w:hAnsi="Times New Roman" w:cs="Times New Roman"/>
          <w:lang w:val="es-VE"/>
        </w:rPr>
      </w:pPr>
      <w:r w:rsidRPr="000D25A1">
        <w:rPr>
          <w:rStyle w:val="FootnoteReference"/>
          <w:rFonts w:ascii="Times New Roman" w:hAnsi="Times New Roman" w:cs="Times New Roman"/>
        </w:rPr>
        <w:footnoteRef/>
      </w:r>
      <w:r w:rsidRPr="000D25A1">
        <w:rPr>
          <w:rFonts w:ascii="Times New Roman" w:hAnsi="Times New Roman" w:cs="Times New Roman"/>
        </w:rPr>
        <w:t xml:space="preserve"> https://www.swissinfo.ch/spa/trinidad-y-tobago-justicia_migrantes-venezolanos-son-liberados-tras-dos-a%C3%B1os-presos-en-trinidad-y-tobago/47792856#:~:text=El%2014%20de%20julio%20pasado,de%20su%20madre%20eran%20injustas.</w:t>
      </w:r>
    </w:p>
  </w:footnote>
  <w:footnote w:id="6">
    <w:p w14:paraId="32E80AD7" w14:textId="77777777" w:rsidR="00293421" w:rsidRPr="000D25A1" w:rsidRDefault="00293421" w:rsidP="00293421">
      <w:pPr>
        <w:pStyle w:val="FootnoteText"/>
        <w:jc w:val="both"/>
        <w:rPr>
          <w:rFonts w:ascii="Times New Roman" w:hAnsi="Times New Roman" w:cs="Times New Roman"/>
          <w:lang w:val="es-VE"/>
        </w:rPr>
      </w:pPr>
      <w:r w:rsidRPr="000D25A1">
        <w:rPr>
          <w:rStyle w:val="FootnoteReference"/>
          <w:rFonts w:ascii="Times New Roman" w:hAnsi="Times New Roman" w:cs="Times New Roman"/>
        </w:rPr>
        <w:footnoteRef/>
      </w:r>
      <w:r w:rsidRPr="000D25A1">
        <w:rPr>
          <w:rFonts w:ascii="Times New Roman" w:hAnsi="Times New Roman" w:cs="Times New Roman"/>
        </w:rPr>
        <w:t xml:space="preserve"> https://www.fronteraviva.com/migrantes-venezolanos-son-liberados-tras-dos-anos-presos-en-trinidad-y-tobago/</w:t>
      </w:r>
    </w:p>
  </w:footnote>
  <w:footnote w:id="7">
    <w:p w14:paraId="0AF4A20A" w14:textId="77777777" w:rsidR="00293421" w:rsidRPr="000829FA" w:rsidRDefault="00293421" w:rsidP="00293421">
      <w:pPr>
        <w:pStyle w:val="FootnoteText"/>
        <w:jc w:val="both"/>
        <w:rPr>
          <w:rFonts w:ascii="Times New Roman" w:hAnsi="Times New Roman" w:cs="Times New Roman"/>
          <w:lang w:val="es-VE"/>
        </w:rPr>
      </w:pPr>
      <w:r w:rsidRPr="000D25A1">
        <w:rPr>
          <w:rStyle w:val="FootnoteReference"/>
          <w:rFonts w:ascii="Times New Roman" w:hAnsi="Times New Roman" w:cs="Times New Roman"/>
        </w:rPr>
        <w:footnoteRef/>
      </w:r>
      <w:r w:rsidRPr="000D25A1">
        <w:rPr>
          <w:rFonts w:ascii="Times New Roman" w:hAnsi="Times New Roman" w:cs="Times New Roman"/>
        </w:rPr>
        <w:t xml:space="preserve"> https://sures.org.ve/wp-content/uploads/2022/07/ENTRE-TACHIRA-Y-CUCUTA.pdf</w:t>
      </w:r>
    </w:p>
  </w:footnote>
  <w:footnote w:id="8">
    <w:p w14:paraId="65F91B7E" w14:textId="77777777" w:rsidR="00293421" w:rsidRPr="000829FA" w:rsidRDefault="00293421" w:rsidP="00293421">
      <w:pPr>
        <w:pStyle w:val="FootnoteText"/>
        <w:jc w:val="both"/>
        <w:rPr>
          <w:lang w:val="es-VE"/>
        </w:rPr>
      </w:pPr>
      <w:r w:rsidRPr="000829FA">
        <w:rPr>
          <w:rStyle w:val="FootnoteReference"/>
          <w:rFonts w:ascii="Times New Roman" w:hAnsi="Times New Roman" w:cs="Times New Roman"/>
        </w:rPr>
        <w:footnoteRef/>
      </w:r>
      <w:r w:rsidRPr="000829FA">
        <w:rPr>
          <w:rFonts w:ascii="Times New Roman" w:hAnsi="Times New Roman" w:cs="Times New Roman"/>
        </w:rPr>
        <w:t xml:space="preserve"> https://www.examenonuvenezuela.com/derechos-civiles-y-politicos/cidh-preocupada-por-las-expulsiones-de-personas-migrantes-de-chile</w:t>
      </w:r>
    </w:p>
  </w:footnote>
  <w:footnote w:id="9">
    <w:p w14:paraId="20A0A404" w14:textId="77777777" w:rsidR="00293421" w:rsidRPr="00B75A64" w:rsidRDefault="00293421" w:rsidP="00293421">
      <w:pPr>
        <w:pStyle w:val="FootnoteText"/>
        <w:jc w:val="both"/>
        <w:rPr>
          <w:lang w:val="es-VE"/>
        </w:rPr>
      </w:pPr>
      <w:r w:rsidRPr="00B75A64">
        <w:rPr>
          <w:rStyle w:val="FootnoteReference"/>
          <w:rFonts w:ascii="Times New Roman" w:hAnsi="Times New Roman" w:cs="Times New Roman"/>
        </w:rPr>
        <w:footnoteRef/>
      </w:r>
      <w:r w:rsidRPr="00B75A64">
        <w:rPr>
          <w:rFonts w:ascii="Times New Roman" w:hAnsi="Times New Roman" w:cs="Times New Roman"/>
        </w:rPr>
        <w:t xml:space="preserve"> https://www.eltiempo.com/justicia/servicios/el-78-por-ciento-de-los-venezolanos-trabajan-mas-de-40-horas-a-la-semana-665966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59C55" w14:textId="38442978" w:rsidR="001F3B4E" w:rsidRDefault="00B608F7">
    <w:pPr>
      <w:pStyle w:val="Header"/>
    </w:pPr>
    <w:r>
      <w:rPr>
        <w:noProof/>
        <w:lang w:val="es-VE" w:eastAsia="es-VE"/>
      </w:rPr>
      <w:drawing>
        <wp:inline distT="0" distB="0" distL="0" distR="0" wp14:anchorId="29F7AC33" wp14:editId="1D95DE92">
          <wp:extent cx="3106295"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6787" cy="36899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C7B21" w14:textId="4FF2C7F4" w:rsidR="001F3B4E" w:rsidRDefault="00B608F7">
    <w:pPr>
      <w:pStyle w:val="Header"/>
    </w:pPr>
    <w:r>
      <w:rPr>
        <w:noProof/>
        <w:lang w:val="es-VE" w:eastAsia="es-VE"/>
      </w:rPr>
      <w:drawing>
        <wp:inline distT="0" distB="0" distL="0" distR="0" wp14:anchorId="6B6C3FA7" wp14:editId="32D2E753">
          <wp:extent cx="3106295" cy="3619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6787" cy="36899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1290B"/>
    <w:multiLevelType w:val="hybridMultilevel"/>
    <w:tmpl w:val="83EEB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92946"/>
    <w:multiLevelType w:val="hybridMultilevel"/>
    <w:tmpl w:val="16AAD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D3BC7"/>
    <w:multiLevelType w:val="hybridMultilevel"/>
    <w:tmpl w:val="009CA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C3D06"/>
    <w:multiLevelType w:val="hybridMultilevel"/>
    <w:tmpl w:val="7E0C0D2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4" w15:restartNumberingAfterBreak="0">
    <w:nsid w:val="0900794F"/>
    <w:multiLevelType w:val="hybridMultilevel"/>
    <w:tmpl w:val="30709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5362F"/>
    <w:multiLevelType w:val="hybridMultilevel"/>
    <w:tmpl w:val="DC0424E4"/>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6" w15:restartNumberingAfterBreak="0">
    <w:nsid w:val="121E4070"/>
    <w:multiLevelType w:val="hybridMultilevel"/>
    <w:tmpl w:val="807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A937B4"/>
    <w:multiLevelType w:val="hybridMultilevel"/>
    <w:tmpl w:val="620A74D6"/>
    <w:lvl w:ilvl="0" w:tplc="28FA6BEA">
      <w:start w:val="1"/>
      <w:numFmt w:val="decimal"/>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1667157C"/>
    <w:multiLevelType w:val="hybridMultilevel"/>
    <w:tmpl w:val="311A0A4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9" w15:restartNumberingAfterBreak="0">
    <w:nsid w:val="183E4326"/>
    <w:multiLevelType w:val="hybridMultilevel"/>
    <w:tmpl w:val="8F7AA33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0" w15:restartNumberingAfterBreak="0">
    <w:nsid w:val="1E096FB6"/>
    <w:multiLevelType w:val="hybridMultilevel"/>
    <w:tmpl w:val="D0B65FC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1" w15:restartNumberingAfterBreak="0">
    <w:nsid w:val="1ECE7CC4"/>
    <w:multiLevelType w:val="hybridMultilevel"/>
    <w:tmpl w:val="5E98898A"/>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2" w15:restartNumberingAfterBreak="0">
    <w:nsid w:val="250E347B"/>
    <w:multiLevelType w:val="hybridMultilevel"/>
    <w:tmpl w:val="075C973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3" w15:restartNumberingAfterBreak="0">
    <w:nsid w:val="28B270AC"/>
    <w:multiLevelType w:val="hybridMultilevel"/>
    <w:tmpl w:val="80CA377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4" w15:restartNumberingAfterBreak="0">
    <w:nsid w:val="34ED22DF"/>
    <w:multiLevelType w:val="hybridMultilevel"/>
    <w:tmpl w:val="D73A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575A51"/>
    <w:multiLevelType w:val="hybridMultilevel"/>
    <w:tmpl w:val="632891A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6" w15:restartNumberingAfterBreak="0">
    <w:nsid w:val="3AF50ADB"/>
    <w:multiLevelType w:val="hybridMultilevel"/>
    <w:tmpl w:val="42EC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2B5FC5"/>
    <w:multiLevelType w:val="hybridMultilevel"/>
    <w:tmpl w:val="F3A0F63E"/>
    <w:lvl w:ilvl="0" w:tplc="5D0C2EE8">
      <w:start w:val="1"/>
      <w:numFmt w:val="decimal"/>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15:restartNumberingAfterBreak="0">
    <w:nsid w:val="469F1640"/>
    <w:multiLevelType w:val="hybridMultilevel"/>
    <w:tmpl w:val="2CCAA60C"/>
    <w:lvl w:ilvl="0" w:tplc="5ED21314">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5815F6"/>
    <w:multiLevelType w:val="hybridMultilevel"/>
    <w:tmpl w:val="6B18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C74D38"/>
    <w:multiLevelType w:val="hybridMultilevel"/>
    <w:tmpl w:val="7D46663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1" w15:restartNumberingAfterBreak="0">
    <w:nsid w:val="4DDF183D"/>
    <w:multiLevelType w:val="hybridMultilevel"/>
    <w:tmpl w:val="43104C9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2" w15:restartNumberingAfterBreak="0">
    <w:nsid w:val="50811D4B"/>
    <w:multiLevelType w:val="multilevel"/>
    <w:tmpl w:val="20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7F1ACB"/>
    <w:multiLevelType w:val="hybridMultilevel"/>
    <w:tmpl w:val="8A2E8E4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4" w15:restartNumberingAfterBreak="0">
    <w:nsid w:val="54417F70"/>
    <w:multiLevelType w:val="hybridMultilevel"/>
    <w:tmpl w:val="7BD282A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5" w15:restartNumberingAfterBreak="0">
    <w:nsid w:val="5F074A7F"/>
    <w:multiLevelType w:val="hybridMultilevel"/>
    <w:tmpl w:val="7A58E46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6" w15:restartNumberingAfterBreak="0">
    <w:nsid w:val="63161E45"/>
    <w:multiLevelType w:val="hybridMultilevel"/>
    <w:tmpl w:val="FA7620B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7" w15:restartNumberingAfterBreak="0">
    <w:nsid w:val="663E1F02"/>
    <w:multiLevelType w:val="hybridMultilevel"/>
    <w:tmpl w:val="C466F952"/>
    <w:lvl w:ilvl="0" w:tplc="D4041B82">
      <w:start w:val="1"/>
      <w:numFmt w:val="decimal"/>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8" w15:restartNumberingAfterBreak="0">
    <w:nsid w:val="67CC54C9"/>
    <w:multiLevelType w:val="hybridMultilevel"/>
    <w:tmpl w:val="E9E804B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9" w15:restartNumberingAfterBreak="0">
    <w:nsid w:val="69047E7F"/>
    <w:multiLevelType w:val="multilevel"/>
    <w:tmpl w:val="20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9B644AD"/>
    <w:multiLevelType w:val="multilevel"/>
    <w:tmpl w:val="E61E99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9E53D12"/>
    <w:multiLevelType w:val="hybridMultilevel"/>
    <w:tmpl w:val="44B437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F25A93"/>
    <w:multiLevelType w:val="hybridMultilevel"/>
    <w:tmpl w:val="E82C72B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3" w15:restartNumberingAfterBreak="0">
    <w:nsid w:val="6F42086B"/>
    <w:multiLevelType w:val="hybridMultilevel"/>
    <w:tmpl w:val="3E046A22"/>
    <w:lvl w:ilvl="0" w:tplc="352684DA">
      <w:start w:val="1"/>
      <w:numFmt w:val="decimal"/>
      <w:lvlText w:val="%1."/>
      <w:lvlJc w:val="left"/>
      <w:pPr>
        <w:ind w:left="360" w:hanging="360"/>
      </w:pPr>
      <w:rPr>
        <w:rFonts w:hint="default"/>
      </w:rPr>
    </w:lvl>
    <w:lvl w:ilvl="1" w:tplc="540A0019">
      <w:start w:val="1"/>
      <w:numFmt w:val="lowerLetter"/>
      <w:lvlText w:val="%2."/>
      <w:lvlJc w:val="left"/>
      <w:pPr>
        <w:ind w:left="1080" w:hanging="360"/>
      </w:pPr>
    </w:lvl>
    <w:lvl w:ilvl="2" w:tplc="540A001B" w:tentative="1">
      <w:start w:val="1"/>
      <w:numFmt w:val="lowerRoman"/>
      <w:lvlText w:val="%3."/>
      <w:lvlJc w:val="right"/>
      <w:pPr>
        <w:ind w:left="1800" w:hanging="180"/>
      </w:pPr>
    </w:lvl>
    <w:lvl w:ilvl="3" w:tplc="540A000F" w:tentative="1">
      <w:start w:val="1"/>
      <w:numFmt w:val="decimal"/>
      <w:lvlText w:val="%4."/>
      <w:lvlJc w:val="left"/>
      <w:pPr>
        <w:ind w:left="2520" w:hanging="360"/>
      </w:pPr>
    </w:lvl>
    <w:lvl w:ilvl="4" w:tplc="540A0019" w:tentative="1">
      <w:start w:val="1"/>
      <w:numFmt w:val="lowerLetter"/>
      <w:lvlText w:val="%5."/>
      <w:lvlJc w:val="left"/>
      <w:pPr>
        <w:ind w:left="3240" w:hanging="360"/>
      </w:pPr>
    </w:lvl>
    <w:lvl w:ilvl="5" w:tplc="540A001B" w:tentative="1">
      <w:start w:val="1"/>
      <w:numFmt w:val="lowerRoman"/>
      <w:lvlText w:val="%6."/>
      <w:lvlJc w:val="right"/>
      <w:pPr>
        <w:ind w:left="3960" w:hanging="180"/>
      </w:pPr>
    </w:lvl>
    <w:lvl w:ilvl="6" w:tplc="540A000F" w:tentative="1">
      <w:start w:val="1"/>
      <w:numFmt w:val="decimal"/>
      <w:lvlText w:val="%7."/>
      <w:lvlJc w:val="left"/>
      <w:pPr>
        <w:ind w:left="4680" w:hanging="360"/>
      </w:pPr>
    </w:lvl>
    <w:lvl w:ilvl="7" w:tplc="540A0019" w:tentative="1">
      <w:start w:val="1"/>
      <w:numFmt w:val="lowerLetter"/>
      <w:lvlText w:val="%8."/>
      <w:lvlJc w:val="left"/>
      <w:pPr>
        <w:ind w:left="5400" w:hanging="360"/>
      </w:pPr>
    </w:lvl>
    <w:lvl w:ilvl="8" w:tplc="540A001B" w:tentative="1">
      <w:start w:val="1"/>
      <w:numFmt w:val="lowerRoman"/>
      <w:lvlText w:val="%9."/>
      <w:lvlJc w:val="right"/>
      <w:pPr>
        <w:ind w:left="6120" w:hanging="180"/>
      </w:pPr>
    </w:lvl>
  </w:abstractNum>
  <w:abstractNum w:abstractNumId="34" w15:restartNumberingAfterBreak="0">
    <w:nsid w:val="716F06A6"/>
    <w:multiLevelType w:val="multilevel"/>
    <w:tmpl w:val="71F2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2817AA"/>
    <w:multiLevelType w:val="hybridMultilevel"/>
    <w:tmpl w:val="9CEEC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755BA4"/>
    <w:multiLevelType w:val="hybridMultilevel"/>
    <w:tmpl w:val="0E5058C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7" w15:restartNumberingAfterBreak="0">
    <w:nsid w:val="762544EA"/>
    <w:multiLevelType w:val="hybridMultilevel"/>
    <w:tmpl w:val="F71EF71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8" w15:restartNumberingAfterBreak="0">
    <w:nsid w:val="77D86DB9"/>
    <w:multiLevelType w:val="hybridMultilevel"/>
    <w:tmpl w:val="659C9EC4"/>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9" w15:restartNumberingAfterBreak="0">
    <w:nsid w:val="7AF72F64"/>
    <w:multiLevelType w:val="hybridMultilevel"/>
    <w:tmpl w:val="78362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DD2556"/>
    <w:multiLevelType w:val="hybridMultilevel"/>
    <w:tmpl w:val="093EECC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41" w15:restartNumberingAfterBreak="0">
    <w:nsid w:val="7BEA0C26"/>
    <w:multiLevelType w:val="hybridMultilevel"/>
    <w:tmpl w:val="753CECF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42" w15:restartNumberingAfterBreak="0">
    <w:nsid w:val="7D086ED5"/>
    <w:multiLevelType w:val="hybridMultilevel"/>
    <w:tmpl w:val="58B2268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3" w15:restartNumberingAfterBreak="0">
    <w:nsid w:val="7D7827F0"/>
    <w:multiLevelType w:val="hybridMultilevel"/>
    <w:tmpl w:val="94B423E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4" w15:restartNumberingAfterBreak="0">
    <w:nsid w:val="7DE33DA4"/>
    <w:multiLevelType w:val="hybridMultilevel"/>
    <w:tmpl w:val="0E68E69C"/>
    <w:lvl w:ilvl="0" w:tplc="200A0001">
      <w:start w:val="1"/>
      <w:numFmt w:val="bullet"/>
      <w:lvlText w:val=""/>
      <w:lvlJc w:val="left"/>
      <w:pPr>
        <w:ind w:left="1428" w:hanging="360"/>
      </w:pPr>
      <w:rPr>
        <w:rFonts w:ascii="Symbol" w:hAnsi="Symbol" w:hint="default"/>
      </w:rPr>
    </w:lvl>
    <w:lvl w:ilvl="1" w:tplc="200A0003" w:tentative="1">
      <w:start w:val="1"/>
      <w:numFmt w:val="bullet"/>
      <w:lvlText w:val="o"/>
      <w:lvlJc w:val="left"/>
      <w:pPr>
        <w:ind w:left="2148" w:hanging="360"/>
      </w:pPr>
      <w:rPr>
        <w:rFonts w:ascii="Courier New" w:hAnsi="Courier New" w:cs="Courier New" w:hint="default"/>
      </w:rPr>
    </w:lvl>
    <w:lvl w:ilvl="2" w:tplc="200A0005" w:tentative="1">
      <w:start w:val="1"/>
      <w:numFmt w:val="bullet"/>
      <w:lvlText w:val=""/>
      <w:lvlJc w:val="left"/>
      <w:pPr>
        <w:ind w:left="2868" w:hanging="360"/>
      </w:pPr>
      <w:rPr>
        <w:rFonts w:ascii="Wingdings" w:hAnsi="Wingdings" w:hint="default"/>
      </w:rPr>
    </w:lvl>
    <w:lvl w:ilvl="3" w:tplc="200A0001" w:tentative="1">
      <w:start w:val="1"/>
      <w:numFmt w:val="bullet"/>
      <w:lvlText w:val=""/>
      <w:lvlJc w:val="left"/>
      <w:pPr>
        <w:ind w:left="3588" w:hanging="360"/>
      </w:pPr>
      <w:rPr>
        <w:rFonts w:ascii="Symbol" w:hAnsi="Symbol" w:hint="default"/>
      </w:rPr>
    </w:lvl>
    <w:lvl w:ilvl="4" w:tplc="200A0003" w:tentative="1">
      <w:start w:val="1"/>
      <w:numFmt w:val="bullet"/>
      <w:lvlText w:val="o"/>
      <w:lvlJc w:val="left"/>
      <w:pPr>
        <w:ind w:left="4308" w:hanging="360"/>
      </w:pPr>
      <w:rPr>
        <w:rFonts w:ascii="Courier New" w:hAnsi="Courier New" w:cs="Courier New" w:hint="default"/>
      </w:rPr>
    </w:lvl>
    <w:lvl w:ilvl="5" w:tplc="200A0005" w:tentative="1">
      <w:start w:val="1"/>
      <w:numFmt w:val="bullet"/>
      <w:lvlText w:val=""/>
      <w:lvlJc w:val="left"/>
      <w:pPr>
        <w:ind w:left="5028" w:hanging="360"/>
      </w:pPr>
      <w:rPr>
        <w:rFonts w:ascii="Wingdings" w:hAnsi="Wingdings" w:hint="default"/>
      </w:rPr>
    </w:lvl>
    <w:lvl w:ilvl="6" w:tplc="200A0001" w:tentative="1">
      <w:start w:val="1"/>
      <w:numFmt w:val="bullet"/>
      <w:lvlText w:val=""/>
      <w:lvlJc w:val="left"/>
      <w:pPr>
        <w:ind w:left="5748" w:hanging="360"/>
      </w:pPr>
      <w:rPr>
        <w:rFonts w:ascii="Symbol" w:hAnsi="Symbol" w:hint="default"/>
      </w:rPr>
    </w:lvl>
    <w:lvl w:ilvl="7" w:tplc="200A0003" w:tentative="1">
      <w:start w:val="1"/>
      <w:numFmt w:val="bullet"/>
      <w:lvlText w:val="o"/>
      <w:lvlJc w:val="left"/>
      <w:pPr>
        <w:ind w:left="6468" w:hanging="360"/>
      </w:pPr>
      <w:rPr>
        <w:rFonts w:ascii="Courier New" w:hAnsi="Courier New" w:cs="Courier New" w:hint="default"/>
      </w:rPr>
    </w:lvl>
    <w:lvl w:ilvl="8" w:tplc="200A0005" w:tentative="1">
      <w:start w:val="1"/>
      <w:numFmt w:val="bullet"/>
      <w:lvlText w:val=""/>
      <w:lvlJc w:val="left"/>
      <w:pPr>
        <w:ind w:left="7188" w:hanging="360"/>
      </w:pPr>
      <w:rPr>
        <w:rFonts w:ascii="Wingdings" w:hAnsi="Wingdings" w:hint="default"/>
      </w:rPr>
    </w:lvl>
  </w:abstractNum>
  <w:num w:numId="1">
    <w:abstractNumId w:val="8"/>
  </w:num>
  <w:num w:numId="2">
    <w:abstractNumId w:val="43"/>
  </w:num>
  <w:num w:numId="3">
    <w:abstractNumId w:val="29"/>
  </w:num>
  <w:num w:numId="4">
    <w:abstractNumId w:val="22"/>
  </w:num>
  <w:num w:numId="5">
    <w:abstractNumId w:val="20"/>
  </w:num>
  <w:num w:numId="6">
    <w:abstractNumId w:val="38"/>
  </w:num>
  <w:num w:numId="7">
    <w:abstractNumId w:val="42"/>
  </w:num>
  <w:num w:numId="8">
    <w:abstractNumId w:val="33"/>
  </w:num>
  <w:num w:numId="9">
    <w:abstractNumId w:val="26"/>
  </w:num>
  <w:num w:numId="10">
    <w:abstractNumId w:val="17"/>
  </w:num>
  <w:num w:numId="11">
    <w:abstractNumId w:val="11"/>
  </w:num>
  <w:num w:numId="12">
    <w:abstractNumId w:val="27"/>
  </w:num>
  <w:num w:numId="13">
    <w:abstractNumId w:val="7"/>
  </w:num>
  <w:num w:numId="14">
    <w:abstractNumId w:val="34"/>
  </w:num>
  <w:num w:numId="15">
    <w:abstractNumId w:val="44"/>
  </w:num>
  <w:num w:numId="16">
    <w:abstractNumId w:val="19"/>
  </w:num>
  <w:num w:numId="17">
    <w:abstractNumId w:val="4"/>
  </w:num>
  <w:num w:numId="18">
    <w:abstractNumId w:val="1"/>
  </w:num>
  <w:num w:numId="19">
    <w:abstractNumId w:val="16"/>
  </w:num>
  <w:num w:numId="20">
    <w:abstractNumId w:val="14"/>
  </w:num>
  <w:num w:numId="21">
    <w:abstractNumId w:val="2"/>
  </w:num>
  <w:num w:numId="22">
    <w:abstractNumId w:val="6"/>
  </w:num>
  <w:num w:numId="23">
    <w:abstractNumId w:val="0"/>
  </w:num>
  <w:num w:numId="24">
    <w:abstractNumId w:val="31"/>
  </w:num>
  <w:num w:numId="25">
    <w:abstractNumId w:val="15"/>
  </w:num>
  <w:num w:numId="26">
    <w:abstractNumId w:val="41"/>
  </w:num>
  <w:num w:numId="27">
    <w:abstractNumId w:val="21"/>
  </w:num>
  <w:num w:numId="28">
    <w:abstractNumId w:val="30"/>
  </w:num>
  <w:num w:numId="29">
    <w:abstractNumId w:val="40"/>
  </w:num>
  <w:num w:numId="30">
    <w:abstractNumId w:val="28"/>
  </w:num>
  <w:num w:numId="31">
    <w:abstractNumId w:val="3"/>
  </w:num>
  <w:num w:numId="32">
    <w:abstractNumId w:val="24"/>
  </w:num>
  <w:num w:numId="33">
    <w:abstractNumId w:val="9"/>
  </w:num>
  <w:num w:numId="34">
    <w:abstractNumId w:val="25"/>
  </w:num>
  <w:num w:numId="35">
    <w:abstractNumId w:val="23"/>
  </w:num>
  <w:num w:numId="36">
    <w:abstractNumId w:val="12"/>
  </w:num>
  <w:num w:numId="37">
    <w:abstractNumId w:val="36"/>
  </w:num>
  <w:num w:numId="38">
    <w:abstractNumId w:val="13"/>
  </w:num>
  <w:num w:numId="39">
    <w:abstractNumId w:val="32"/>
  </w:num>
  <w:num w:numId="40">
    <w:abstractNumId w:val="10"/>
  </w:num>
  <w:num w:numId="41">
    <w:abstractNumId w:val="5"/>
  </w:num>
  <w:num w:numId="42">
    <w:abstractNumId w:val="37"/>
  </w:num>
  <w:num w:numId="43">
    <w:abstractNumId w:val="35"/>
  </w:num>
  <w:num w:numId="44">
    <w:abstractNumId w:val="39"/>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ocumentProtection w:edit="readOnly" w:formatting="1" w:enforcement="1" w:cryptProviderType="rsaAES" w:cryptAlgorithmClass="hash" w:cryptAlgorithmType="typeAny" w:cryptAlgorithmSid="14" w:cryptSpinCount="100000" w:hash="njjdkdGi3mlyM4yqubxXWAMdYHzAETW31NsLAvHdNHQsIcwZNSVF1kNex2776hthXwL5OWCatoymckYL4jE48A==" w:salt="3UDA7HShUkdusS9Y2jGGCg=="/>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6C8"/>
    <w:rsid w:val="00021C0E"/>
    <w:rsid w:val="00027CBE"/>
    <w:rsid w:val="00042B5D"/>
    <w:rsid w:val="00052918"/>
    <w:rsid w:val="00062DE4"/>
    <w:rsid w:val="00062FE7"/>
    <w:rsid w:val="00067350"/>
    <w:rsid w:val="00086037"/>
    <w:rsid w:val="000966A2"/>
    <w:rsid w:val="000D7CA5"/>
    <w:rsid w:val="000F4EC0"/>
    <w:rsid w:val="00102951"/>
    <w:rsid w:val="00120613"/>
    <w:rsid w:val="001377E2"/>
    <w:rsid w:val="001F3B4E"/>
    <w:rsid w:val="00200B24"/>
    <w:rsid w:val="00206D64"/>
    <w:rsid w:val="00207D72"/>
    <w:rsid w:val="002164A2"/>
    <w:rsid w:val="002316D3"/>
    <w:rsid w:val="00235AAC"/>
    <w:rsid w:val="00253046"/>
    <w:rsid w:val="00254BAD"/>
    <w:rsid w:val="00267BB6"/>
    <w:rsid w:val="0027200D"/>
    <w:rsid w:val="00281BD0"/>
    <w:rsid w:val="00293421"/>
    <w:rsid w:val="002B7CB8"/>
    <w:rsid w:val="002F39B7"/>
    <w:rsid w:val="003077C7"/>
    <w:rsid w:val="00320FEF"/>
    <w:rsid w:val="00352FB2"/>
    <w:rsid w:val="00357EFD"/>
    <w:rsid w:val="00366A94"/>
    <w:rsid w:val="00391E26"/>
    <w:rsid w:val="003F0AEC"/>
    <w:rsid w:val="0040126B"/>
    <w:rsid w:val="00401F1B"/>
    <w:rsid w:val="00410170"/>
    <w:rsid w:val="00446980"/>
    <w:rsid w:val="004777A2"/>
    <w:rsid w:val="00487197"/>
    <w:rsid w:val="00487559"/>
    <w:rsid w:val="0048783A"/>
    <w:rsid w:val="004B06B5"/>
    <w:rsid w:val="005029E1"/>
    <w:rsid w:val="00554221"/>
    <w:rsid w:val="005936B0"/>
    <w:rsid w:val="005D3852"/>
    <w:rsid w:val="00611E2D"/>
    <w:rsid w:val="00627EF1"/>
    <w:rsid w:val="00641AF2"/>
    <w:rsid w:val="006652BD"/>
    <w:rsid w:val="00707A09"/>
    <w:rsid w:val="00727183"/>
    <w:rsid w:val="0077028F"/>
    <w:rsid w:val="00780984"/>
    <w:rsid w:val="007E662C"/>
    <w:rsid w:val="00826B18"/>
    <w:rsid w:val="00846E28"/>
    <w:rsid w:val="00856BBD"/>
    <w:rsid w:val="00860D3A"/>
    <w:rsid w:val="008626D7"/>
    <w:rsid w:val="008732AB"/>
    <w:rsid w:val="00893150"/>
    <w:rsid w:val="008A60A3"/>
    <w:rsid w:val="008B6FD1"/>
    <w:rsid w:val="008F2AFD"/>
    <w:rsid w:val="00927A01"/>
    <w:rsid w:val="0093400E"/>
    <w:rsid w:val="00935E31"/>
    <w:rsid w:val="00937709"/>
    <w:rsid w:val="00945B25"/>
    <w:rsid w:val="009546C8"/>
    <w:rsid w:val="00975107"/>
    <w:rsid w:val="009F670B"/>
    <w:rsid w:val="00A1298D"/>
    <w:rsid w:val="00A155DC"/>
    <w:rsid w:val="00A275E4"/>
    <w:rsid w:val="00A31D0A"/>
    <w:rsid w:val="00A4504C"/>
    <w:rsid w:val="00A752E1"/>
    <w:rsid w:val="00AD61B6"/>
    <w:rsid w:val="00B163AE"/>
    <w:rsid w:val="00B608F7"/>
    <w:rsid w:val="00BA2EAC"/>
    <w:rsid w:val="00BB6A7C"/>
    <w:rsid w:val="00BC0F76"/>
    <w:rsid w:val="00BC106A"/>
    <w:rsid w:val="00BC1873"/>
    <w:rsid w:val="00BC5344"/>
    <w:rsid w:val="00BE3DF4"/>
    <w:rsid w:val="00C47CC7"/>
    <w:rsid w:val="00C75ACE"/>
    <w:rsid w:val="00C8381B"/>
    <w:rsid w:val="00C92008"/>
    <w:rsid w:val="00C94523"/>
    <w:rsid w:val="00CB5052"/>
    <w:rsid w:val="00D21ED2"/>
    <w:rsid w:val="00D519AF"/>
    <w:rsid w:val="00D64D90"/>
    <w:rsid w:val="00D92FF0"/>
    <w:rsid w:val="00DD0DBE"/>
    <w:rsid w:val="00DD6367"/>
    <w:rsid w:val="00DE168E"/>
    <w:rsid w:val="00DE7089"/>
    <w:rsid w:val="00DF45A7"/>
    <w:rsid w:val="00E26BB4"/>
    <w:rsid w:val="00E36464"/>
    <w:rsid w:val="00E37054"/>
    <w:rsid w:val="00EA349E"/>
    <w:rsid w:val="00EA3CE3"/>
    <w:rsid w:val="00EF4B71"/>
    <w:rsid w:val="00F03C7A"/>
    <w:rsid w:val="00F323EC"/>
    <w:rsid w:val="00F471D0"/>
    <w:rsid w:val="00F61D12"/>
    <w:rsid w:val="00FE3E6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E146C8"/>
  <w14:defaultImageDpi w14:val="300"/>
  <w15:docId w15:val="{EE1D7353-7837-4A6F-AB4B-31B55825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D64"/>
  </w:style>
  <w:style w:type="paragraph" w:styleId="Heading1">
    <w:name w:val="heading 1"/>
    <w:basedOn w:val="Normal"/>
    <w:next w:val="Normal"/>
    <w:link w:val="Heading1Char"/>
    <w:uiPriority w:val="9"/>
    <w:qFormat/>
    <w:rsid w:val="00206D64"/>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206D64"/>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206D64"/>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206D64"/>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206D64"/>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206D64"/>
    <w:pPr>
      <w:keepNext/>
      <w:keepLines/>
      <w:spacing w:before="40" w:after="0"/>
      <w:outlineLvl w:val="5"/>
    </w:pPr>
  </w:style>
  <w:style w:type="paragraph" w:styleId="Heading7">
    <w:name w:val="heading 7"/>
    <w:basedOn w:val="Normal"/>
    <w:next w:val="Normal"/>
    <w:link w:val="Heading7Char"/>
    <w:uiPriority w:val="9"/>
    <w:semiHidden/>
    <w:unhideWhenUsed/>
    <w:qFormat/>
    <w:rsid w:val="00206D64"/>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06D64"/>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206D6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054"/>
    <w:pPr>
      <w:tabs>
        <w:tab w:val="center" w:pos="4252"/>
        <w:tab w:val="right" w:pos="8504"/>
      </w:tabs>
    </w:pPr>
  </w:style>
  <w:style w:type="character" w:customStyle="1" w:styleId="HeaderChar">
    <w:name w:val="Header Char"/>
    <w:basedOn w:val="DefaultParagraphFont"/>
    <w:link w:val="Header"/>
    <w:uiPriority w:val="99"/>
    <w:rsid w:val="00E37054"/>
  </w:style>
  <w:style w:type="paragraph" w:styleId="Footer">
    <w:name w:val="footer"/>
    <w:basedOn w:val="Normal"/>
    <w:link w:val="FooterChar"/>
    <w:uiPriority w:val="99"/>
    <w:unhideWhenUsed/>
    <w:rsid w:val="00E37054"/>
    <w:pPr>
      <w:tabs>
        <w:tab w:val="center" w:pos="4252"/>
        <w:tab w:val="right" w:pos="8504"/>
      </w:tabs>
    </w:pPr>
  </w:style>
  <w:style w:type="character" w:customStyle="1" w:styleId="FooterChar">
    <w:name w:val="Footer Char"/>
    <w:basedOn w:val="DefaultParagraphFont"/>
    <w:link w:val="Footer"/>
    <w:uiPriority w:val="99"/>
    <w:rsid w:val="00E37054"/>
  </w:style>
  <w:style w:type="paragraph" w:styleId="BalloonText">
    <w:name w:val="Balloon Text"/>
    <w:basedOn w:val="Normal"/>
    <w:link w:val="BalloonTextChar"/>
    <w:uiPriority w:val="99"/>
    <w:semiHidden/>
    <w:unhideWhenUsed/>
    <w:rsid w:val="00E370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7054"/>
    <w:rPr>
      <w:rFonts w:ascii="Lucida Grande" w:hAnsi="Lucida Grande" w:cs="Lucida Grande"/>
      <w:sz w:val="18"/>
      <w:szCs w:val="18"/>
    </w:rPr>
  </w:style>
  <w:style w:type="paragraph" w:styleId="ListParagraph">
    <w:name w:val="List Paragraph"/>
    <w:basedOn w:val="Normal"/>
    <w:uiPriority w:val="34"/>
    <w:qFormat/>
    <w:rsid w:val="00EA3CE3"/>
    <w:pPr>
      <w:ind w:left="720"/>
      <w:contextualSpacing/>
    </w:pPr>
  </w:style>
  <w:style w:type="character" w:styleId="Emphasis">
    <w:name w:val="Emphasis"/>
    <w:basedOn w:val="DefaultParagraphFont"/>
    <w:uiPriority w:val="20"/>
    <w:qFormat/>
    <w:rsid w:val="00206D64"/>
    <w:rPr>
      <w:i/>
      <w:iCs/>
      <w:color w:val="auto"/>
    </w:rPr>
  </w:style>
  <w:style w:type="paragraph" w:customStyle="1" w:styleId="Default">
    <w:name w:val="Default"/>
    <w:rsid w:val="00EA3CE3"/>
    <w:pPr>
      <w:autoSpaceDE w:val="0"/>
      <w:autoSpaceDN w:val="0"/>
      <w:adjustRightInd w:val="0"/>
    </w:pPr>
    <w:rPr>
      <w:rFonts w:ascii="Verdana" w:eastAsiaTheme="minorHAnsi" w:hAnsi="Verdana" w:cs="Verdana"/>
      <w:color w:val="000000"/>
      <w:lang w:val="es-VE"/>
    </w:rPr>
  </w:style>
  <w:style w:type="character" w:styleId="Strong">
    <w:name w:val="Strong"/>
    <w:basedOn w:val="DefaultParagraphFont"/>
    <w:uiPriority w:val="22"/>
    <w:qFormat/>
    <w:rsid w:val="00206D64"/>
    <w:rPr>
      <w:b/>
      <w:bCs/>
      <w:color w:val="auto"/>
    </w:rPr>
  </w:style>
  <w:style w:type="paragraph" w:styleId="NormalWeb">
    <w:name w:val="Normal (Web)"/>
    <w:basedOn w:val="Normal"/>
    <w:uiPriority w:val="99"/>
    <w:unhideWhenUsed/>
    <w:rsid w:val="00052918"/>
    <w:pPr>
      <w:spacing w:before="100" w:beforeAutospacing="1" w:after="100" w:afterAutospacing="1"/>
    </w:pPr>
    <w:rPr>
      <w:rFonts w:ascii="Times New Roman" w:eastAsia="Times New Roman" w:hAnsi="Times New Roman" w:cs="Times New Roman"/>
      <w:lang w:val="es-VE" w:eastAsia="es-VE"/>
    </w:rPr>
  </w:style>
  <w:style w:type="character" w:customStyle="1" w:styleId="Heading1Char">
    <w:name w:val="Heading 1 Char"/>
    <w:basedOn w:val="DefaultParagraphFont"/>
    <w:link w:val="Heading1"/>
    <w:uiPriority w:val="9"/>
    <w:rsid w:val="00206D64"/>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206D64"/>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206D64"/>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206D64"/>
    <w:rPr>
      <w:i/>
      <w:iCs/>
    </w:rPr>
  </w:style>
  <w:style w:type="character" w:customStyle="1" w:styleId="Heading5Char">
    <w:name w:val="Heading 5 Char"/>
    <w:basedOn w:val="DefaultParagraphFont"/>
    <w:link w:val="Heading5"/>
    <w:uiPriority w:val="9"/>
    <w:semiHidden/>
    <w:rsid w:val="00206D64"/>
    <w:rPr>
      <w:color w:val="404040" w:themeColor="text1" w:themeTint="BF"/>
    </w:rPr>
  </w:style>
  <w:style w:type="character" w:customStyle="1" w:styleId="Heading6Char">
    <w:name w:val="Heading 6 Char"/>
    <w:basedOn w:val="DefaultParagraphFont"/>
    <w:link w:val="Heading6"/>
    <w:uiPriority w:val="9"/>
    <w:semiHidden/>
    <w:rsid w:val="00206D64"/>
  </w:style>
  <w:style w:type="character" w:customStyle="1" w:styleId="Heading7Char">
    <w:name w:val="Heading 7 Char"/>
    <w:basedOn w:val="DefaultParagraphFont"/>
    <w:link w:val="Heading7"/>
    <w:uiPriority w:val="9"/>
    <w:semiHidden/>
    <w:rsid w:val="00206D6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06D64"/>
    <w:rPr>
      <w:color w:val="262626" w:themeColor="text1" w:themeTint="D9"/>
      <w:sz w:val="21"/>
      <w:szCs w:val="21"/>
    </w:rPr>
  </w:style>
  <w:style w:type="character" w:customStyle="1" w:styleId="Heading9Char">
    <w:name w:val="Heading 9 Char"/>
    <w:basedOn w:val="DefaultParagraphFont"/>
    <w:link w:val="Heading9"/>
    <w:uiPriority w:val="9"/>
    <w:semiHidden/>
    <w:rsid w:val="00206D6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206D64"/>
    <w:pPr>
      <w:spacing w:after="200" w:line="240" w:lineRule="auto"/>
    </w:pPr>
    <w:rPr>
      <w:i/>
      <w:iCs/>
      <w:color w:val="5E5E5E" w:themeColor="text2"/>
      <w:sz w:val="18"/>
      <w:szCs w:val="18"/>
    </w:rPr>
  </w:style>
  <w:style w:type="paragraph" w:styleId="Title">
    <w:name w:val="Title"/>
    <w:basedOn w:val="Normal"/>
    <w:next w:val="Normal"/>
    <w:link w:val="TitleChar"/>
    <w:uiPriority w:val="10"/>
    <w:qFormat/>
    <w:rsid w:val="00206D64"/>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06D64"/>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206D6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06D64"/>
    <w:rPr>
      <w:color w:val="5A5A5A" w:themeColor="text1" w:themeTint="A5"/>
      <w:spacing w:val="15"/>
    </w:rPr>
  </w:style>
  <w:style w:type="paragraph" w:styleId="NoSpacing">
    <w:name w:val="No Spacing"/>
    <w:uiPriority w:val="1"/>
    <w:qFormat/>
    <w:rsid w:val="00206D64"/>
    <w:pPr>
      <w:spacing w:after="0" w:line="240" w:lineRule="auto"/>
    </w:pPr>
  </w:style>
  <w:style w:type="paragraph" w:styleId="Quote">
    <w:name w:val="Quote"/>
    <w:basedOn w:val="Normal"/>
    <w:next w:val="Normal"/>
    <w:link w:val="QuoteChar"/>
    <w:uiPriority w:val="29"/>
    <w:qFormat/>
    <w:rsid w:val="00206D6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206D64"/>
    <w:rPr>
      <w:i/>
      <w:iCs/>
      <w:color w:val="404040" w:themeColor="text1" w:themeTint="BF"/>
    </w:rPr>
  </w:style>
  <w:style w:type="paragraph" w:styleId="IntenseQuote">
    <w:name w:val="Intense Quote"/>
    <w:basedOn w:val="Normal"/>
    <w:next w:val="Normal"/>
    <w:link w:val="IntenseQuoteChar"/>
    <w:uiPriority w:val="30"/>
    <w:qFormat/>
    <w:rsid w:val="00206D64"/>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206D64"/>
    <w:rPr>
      <w:i/>
      <w:iCs/>
      <w:color w:val="404040" w:themeColor="text1" w:themeTint="BF"/>
    </w:rPr>
  </w:style>
  <w:style w:type="character" w:styleId="SubtleEmphasis">
    <w:name w:val="Subtle Emphasis"/>
    <w:basedOn w:val="DefaultParagraphFont"/>
    <w:uiPriority w:val="19"/>
    <w:qFormat/>
    <w:rsid w:val="00206D64"/>
    <w:rPr>
      <w:i/>
      <w:iCs/>
      <w:color w:val="404040" w:themeColor="text1" w:themeTint="BF"/>
    </w:rPr>
  </w:style>
  <w:style w:type="character" w:styleId="IntenseEmphasis">
    <w:name w:val="Intense Emphasis"/>
    <w:basedOn w:val="DefaultParagraphFont"/>
    <w:uiPriority w:val="21"/>
    <w:qFormat/>
    <w:rsid w:val="00206D64"/>
    <w:rPr>
      <w:b/>
      <w:bCs/>
      <w:i/>
      <w:iCs/>
      <w:color w:val="auto"/>
    </w:rPr>
  </w:style>
  <w:style w:type="character" w:styleId="SubtleReference">
    <w:name w:val="Subtle Reference"/>
    <w:basedOn w:val="DefaultParagraphFont"/>
    <w:uiPriority w:val="31"/>
    <w:qFormat/>
    <w:rsid w:val="00206D64"/>
    <w:rPr>
      <w:smallCaps/>
      <w:color w:val="404040" w:themeColor="text1" w:themeTint="BF"/>
    </w:rPr>
  </w:style>
  <w:style w:type="character" w:styleId="IntenseReference">
    <w:name w:val="Intense Reference"/>
    <w:basedOn w:val="DefaultParagraphFont"/>
    <w:uiPriority w:val="32"/>
    <w:qFormat/>
    <w:rsid w:val="00206D64"/>
    <w:rPr>
      <w:b/>
      <w:bCs/>
      <w:smallCaps/>
      <w:color w:val="404040" w:themeColor="text1" w:themeTint="BF"/>
      <w:spacing w:val="5"/>
    </w:rPr>
  </w:style>
  <w:style w:type="character" w:styleId="BookTitle">
    <w:name w:val="Book Title"/>
    <w:basedOn w:val="DefaultParagraphFont"/>
    <w:uiPriority w:val="33"/>
    <w:qFormat/>
    <w:rsid w:val="00206D64"/>
    <w:rPr>
      <w:b/>
      <w:bCs/>
      <w:i/>
      <w:iCs/>
      <w:spacing w:val="5"/>
    </w:rPr>
  </w:style>
  <w:style w:type="paragraph" w:styleId="TOCHeading">
    <w:name w:val="TOC Heading"/>
    <w:basedOn w:val="Heading1"/>
    <w:next w:val="Normal"/>
    <w:uiPriority w:val="39"/>
    <w:semiHidden/>
    <w:unhideWhenUsed/>
    <w:qFormat/>
    <w:rsid w:val="00206D64"/>
    <w:pPr>
      <w:outlineLvl w:val="9"/>
    </w:pPr>
  </w:style>
  <w:style w:type="character" w:styleId="Hyperlink">
    <w:name w:val="Hyperlink"/>
    <w:basedOn w:val="DefaultParagraphFont"/>
    <w:uiPriority w:val="99"/>
    <w:unhideWhenUsed/>
    <w:rsid w:val="009F670B"/>
    <w:rPr>
      <w:color w:val="F59E00" w:themeColor="hyperlink"/>
      <w:u w:val="single"/>
    </w:rPr>
  </w:style>
  <w:style w:type="character" w:styleId="UnresolvedMention">
    <w:name w:val="Unresolved Mention"/>
    <w:basedOn w:val="DefaultParagraphFont"/>
    <w:uiPriority w:val="99"/>
    <w:semiHidden/>
    <w:unhideWhenUsed/>
    <w:rsid w:val="009F670B"/>
    <w:rPr>
      <w:color w:val="605E5C"/>
      <w:shd w:val="clear" w:color="auto" w:fill="E1DFDD"/>
    </w:rPr>
  </w:style>
  <w:style w:type="paragraph" w:styleId="FootnoteText">
    <w:name w:val="footnote text"/>
    <w:basedOn w:val="Normal"/>
    <w:link w:val="FootnoteTextChar"/>
    <w:uiPriority w:val="99"/>
    <w:semiHidden/>
    <w:unhideWhenUsed/>
    <w:rsid w:val="00267BB6"/>
    <w:pPr>
      <w:spacing w:after="0" w:line="240" w:lineRule="auto"/>
    </w:pPr>
    <w:rPr>
      <w:rFonts w:eastAsiaTheme="minorHAnsi"/>
      <w:sz w:val="20"/>
      <w:szCs w:val="20"/>
      <w:lang w:val="es-ES"/>
    </w:rPr>
  </w:style>
  <w:style w:type="character" w:customStyle="1" w:styleId="FootnoteTextChar">
    <w:name w:val="Footnote Text Char"/>
    <w:basedOn w:val="DefaultParagraphFont"/>
    <w:link w:val="FootnoteText"/>
    <w:uiPriority w:val="99"/>
    <w:semiHidden/>
    <w:rsid w:val="00267BB6"/>
    <w:rPr>
      <w:rFonts w:eastAsiaTheme="minorHAnsi"/>
      <w:sz w:val="20"/>
      <w:szCs w:val="20"/>
      <w:lang w:val="es-ES"/>
    </w:rPr>
  </w:style>
  <w:style w:type="character" w:styleId="FootnoteReference">
    <w:name w:val="footnote reference"/>
    <w:basedOn w:val="DefaultParagraphFont"/>
    <w:uiPriority w:val="99"/>
    <w:semiHidden/>
    <w:unhideWhenUsed/>
    <w:rsid w:val="00267BB6"/>
    <w:rPr>
      <w:vertAlign w:val="superscript"/>
    </w:rPr>
  </w:style>
  <w:style w:type="table" w:styleId="TableGrid">
    <w:name w:val="Table Grid"/>
    <w:basedOn w:val="TableNormal"/>
    <w:uiPriority w:val="39"/>
    <w:rsid w:val="00267BB6"/>
    <w:pPr>
      <w:spacing w:after="0" w:line="240" w:lineRule="auto"/>
    </w:pPr>
    <w:rPr>
      <w:rFonts w:eastAsiaTheme="minorHAns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63060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hyperlink" Target="http://www.sures.org.ve" TargetMode="External"/><Relationship Id="rId4" Type="http://schemas.openxmlformats.org/officeDocument/2006/relationships/image" Target="media/image5.jpe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hyperlink" Target="http://www.sures.org.ve" TargetMode="External"/><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Marquesina">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B30701-70CB-42E3-980A-8F54FA71C512}">
  <ds:schemaRefs>
    <ds:schemaRef ds:uri="http://schemas.openxmlformats.org/officeDocument/2006/bibliography"/>
  </ds:schemaRefs>
</ds:datastoreItem>
</file>

<file path=customXml/itemProps2.xml><?xml version="1.0" encoding="utf-8"?>
<ds:datastoreItem xmlns:ds="http://schemas.openxmlformats.org/officeDocument/2006/customXml" ds:itemID="{790D298F-A6DB-4E12-AEDA-E6CD83E667F9}"/>
</file>

<file path=customXml/itemProps3.xml><?xml version="1.0" encoding="utf-8"?>
<ds:datastoreItem xmlns:ds="http://schemas.openxmlformats.org/officeDocument/2006/customXml" ds:itemID="{F360B551-8D84-4F32-B0DE-DFEBE874D71E}"/>
</file>

<file path=customXml/itemProps4.xml><?xml version="1.0" encoding="utf-8"?>
<ds:datastoreItem xmlns:ds="http://schemas.openxmlformats.org/officeDocument/2006/customXml" ds:itemID="{7A81F3D4-04A7-47E1-A70D-C1B22298DDBF}"/>
</file>

<file path=docProps/app.xml><?xml version="1.0" encoding="utf-8"?>
<Properties xmlns="http://schemas.openxmlformats.org/officeDocument/2006/extended-properties" xmlns:vt="http://schemas.openxmlformats.org/officeDocument/2006/docPropsVTypes">
  <Template>Normal.dotm</Template>
  <TotalTime>3</TotalTime>
  <Pages>11</Pages>
  <Words>2331</Words>
  <Characters>13293</Characters>
  <Application>Microsoft Office Word</Application>
  <DocSecurity>8</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Cazal</dc:creator>
  <cp:keywords/>
  <dc:description/>
  <cp:lastModifiedBy>FLECHE Isabelle</cp:lastModifiedBy>
  <cp:revision>5</cp:revision>
  <dcterms:created xsi:type="dcterms:W3CDTF">2022-08-27T13:53:00Z</dcterms:created>
  <dcterms:modified xsi:type="dcterms:W3CDTF">2022-09-02T15:50:00Z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