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F2160" w14:paraId="2276EBD8" w14:textId="77777777">
        <w:trPr>
          <w:cantSplit/>
          <w:trHeight w:hRule="exact" w:val="851"/>
        </w:trPr>
        <w:tc>
          <w:tcPr>
            <w:tcW w:w="1276" w:type="dxa"/>
            <w:tcBorders>
              <w:bottom w:val="single" w:sz="4" w:space="0" w:color="auto"/>
            </w:tcBorders>
            <w:vAlign w:val="bottom"/>
          </w:tcPr>
          <w:p w14:paraId="331507F6" w14:textId="77777777" w:rsidR="00BE3C14" w:rsidRDefault="00BE3C14"/>
        </w:tc>
        <w:tc>
          <w:tcPr>
            <w:tcW w:w="2268" w:type="dxa"/>
            <w:tcBorders>
              <w:bottom w:val="single" w:sz="4" w:space="0" w:color="auto"/>
            </w:tcBorders>
            <w:vAlign w:val="bottom"/>
          </w:tcPr>
          <w:p w14:paraId="48DF39BD" w14:textId="2B3AFF5C" w:rsidR="00BE3C14" w:rsidRDefault="00BE3C14">
            <w:pPr>
              <w:spacing w:after="80" w:line="300" w:lineRule="exact"/>
              <w:rPr>
                <w:b/>
                <w:sz w:val="24"/>
                <w:szCs w:val="24"/>
              </w:rPr>
            </w:pPr>
          </w:p>
        </w:tc>
        <w:tc>
          <w:tcPr>
            <w:tcW w:w="6095" w:type="dxa"/>
            <w:gridSpan w:val="2"/>
            <w:tcBorders>
              <w:bottom w:val="single" w:sz="4" w:space="0" w:color="auto"/>
            </w:tcBorders>
            <w:vAlign w:val="bottom"/>
          </w:tcPr>
          <w:p w14:paraId="36B6EB8A" w14:textId="7BC4EBD0" w:rsidR="00BE3C14" w:rsidRDefault="00BE3C14">
            <w:pPr>
              <w:suppressAutoHyphens w:val="0"/>
              <w:spacing w:after="20"/>
              <w:jc w:val="right"/>
            </w:pPr>
          </w:p>
        </w:tc>
      </w:tr>
      <w:tr w:rsidR="009F2160" w14:paraId="7F21E1C5" w14:textId="77777777">
        <w:trPr>
          <w:cantSplit/>
          <w:trHeight w:hRule="exact" w:val="2835"/>
        </w:trPr>
        <w:tc>
          <w:tcPr>
            <w:tcW w:w="1276" w:type="dxa"/>
            <w:tcBorders>
              <w:top w:val="single" w:sz="4" w:space="0" w:color="auto"/>
              <w:bottom w:val="single" w:sz="12" w:space="0" w:color="auto"/>
            </w:tcBorders>
          </w:tcPr>
          <w:p w14:paraId="474287B9" w14:textId="6180F4C4" w:rsidR="00BE3C14" w:rsidRDefault="00BE3C14">
            <w:pPr>
              <w:spacing w:before="120"/>
              <w:jc w:val="center"/>
            </w:pPr>
          </w:p>
        </w:tc>
        <w:tc>
          <w:tcPr>
            <w:tcW w:w="5528" w:type="dxa"/>
            <w:gridSpan w:val="2"/>
            <w:tcBorders>
              <w:top w:val="single" w:sz="4" w:space="0" w:color="auto"/>
              <w:bottom w:val="single" w:sz="12" w:space="0" w:color="auto"/>
            </w:tcBorders>
          </w:tcPr>
          <w:p w14:paraId="5E5D9E45" w14:textId="0B8DFF1F" w:rsidR="00BE3C14" w:rsidRDefault="0049644B">
            <w:pPr>
              <w:spacing w:before="120" w:line="380" w:lineRule="exact"/>
            </w:pPr>
            <w:r w:rsidRPr="0049644B">
              <w:rPr>
                <w:b/>
                <w:sz w:val="34"/>
                <w:szCs w:val="34"/>
              </w:rPr>
              <w:t>VERSION AVANCÉE NON ÉDITÉE</w:t>
            </w:r>
          </w:p>
        </w:tc>
        <w:tc>
          <w:tcPr>
            <w:tcW w:w="2835" w:type="dxa"/>
            <w:tcBorders>
              <w:top w:val="single" w:sz="4" w:space="0" w:color="auto"/>
              <w:bottom w:val="single" w:sz="12" w:space="0" w:color="auto"/>
            </w:tcBorders>
          </w:tcPr>
          <w:p w14:paraId="4B75BEB4" w14:textId="0430F601" w:rsidR="00BE3C14" w:rsidRDefault="00BE3C14">
            <w:pPr>
              <w:suppressAutoHyphens w:val="0"/>
            </w:pPr>
          </w:p>
        </w:tc>
      </w:tr>
    </w:tbl>
    <w:p w14:paraId="51DF2F5D" w14:textId="77777777" w:rsidR="00BE3C14" w:rsidRDefault="00C573D1">
      <w:pPr>
        <w:spacing w:before="120"/>
        <w:rPr>
          <w:b/>
          <w:sz w:val="24"/>
          <w:szCs w:val="24"/>
        </w:rPr>
      </w:pPr>
      <w:r>
        <w:rPr>
          <w:b/>
          <w:sz w:val="24"/>
          <w:szCs w:val="24"/>
        </w:rPr>
        <w:t>Comité contre la torture</w:t>
      </w:r>
    </w:p>
    <w:p w14:paraId="7A28D2BB" w14:textId="4957511D" w:rsidR="00BE3C14" w:rsidRDefault="00C573D1">
      <w:pPr>
        <w:pStyle w:val="HMG"/>
      </w:pPr>
      <w:r>
        <w:tab/>
      </w:r>
      <w:r>
        <w:tab/>
        <w:t xml:space="preserve">Cinquième rapport périodique soumis par la Belgique en application de l’article 19 de la Convention, attendu en </w:t>
      </w:r>
      <w:r w:rsidR="00BC2DDF" w:rsidRPr="00BC2DDF">
        <w:rPr>
          <w:color w:val="000000" w:themeColor="text1"/>
        </w:rPr>
        <w:t>2025</w:t>
      </w:r>
      <w:r>
        <w:rPr>
          <w:rStyle w:val="FootnoteReference"/>
          <w:b w:val="0"/>
          <w:sz w:val="20"/>
          <w:vertAlign w:val="baseline"/>
        </w:rPr>
        <w:footnoteReference w:customMarkFollows="1" w:id="2"/>
        <w:t>*</w:t>
      </w:r>
      <w:r w:rsidR="00A07D3C" w:rsidRPr="00D1384A">
        <w:rPr>
          <w:b w:val="0"/>
          <w:sz w:val="20"/>
          <w:vertAlign w:val="superscript"/>
        </w:rPr>
        <w:t>,</w:t>
      </w:r>
      <w:r w:rsidR="00A07D3C">
        <w:rPr>
          <w:b w:val="0"/>
          <w:sz w:val="20"/>
          <w:vertAlign w:val="superscript"/>
        </w:rPr>
        <w:t xml:space="preserve"> </w:t>
      </w:r>
      <w:r>
        <w:rPr>
          <w:rStyle w:val="FootnoteReference"/>
          <w:b w:val="0"/>
          <w:sz w:val="20"/>
          <w:vertAlign w:val="baseline"/>
        </w:rPr>
        <w:footnoteReference w:customMarkFollows="1" w:id="3"/>
        <w:t>**</w:t>
      </w:r>
    </w:p>
    <w:p w14:paraId="0B2948DF" w14:textId="4576D346" w:rsidR="00BE3C14" w:rsidRDefault="00C573D1">
      <w:pPr>
        <w:pStyle w:val="SingleTxtG"/>
        <w:jc w:val="right"/>
      </w:pPr>
      <w:r>
        <w:t>[Date de réception</w:t>
      </w:r>
      <w:r w:rsidR="000F1836">
        <w:t> </w:t>
      </w:r>
      <w:r>
        <w:t xml:space="preserve">: </w:t>
      </w:r>
      <w:r w:rsidR="0038535C" w:rsidRPr="0038535C">
        <w:rPr>
          <w:color w:val="000000" w:themeColor="text1"/>
        </w:rPr>
        <w:t>23 July 2025</w:t>
      </w:r>
      <w:r>
        <w:t>]</w:t>
      </w:r>
    </w:p>
    <w:p w14:paraId="49E2EFB3" w14:textId="6EC10979" w:rsidR="00647DB0" w:rsidRDefault="00647DB0">
      <w:pPr>
        <w:suppressAutoHyphens w:val="0"/>
        <w:kinsoku/>
        <w:overflowPunct/>
        <w:autoSpaceDE/>
        <w:autoSpaceDN/>
        <w:adjustRightInd/>
        <w:snapToGrid/>
        <w:spacing w:after="200" w:line="276" w:lineRule="auto"/>
        <w:rPr>
          <w:rFonts w:eastAsiaTheme="minorEastAsia"/>
          <w:color w:val="0000FF"/>
          <w:lang w:eastAsia="zh-CN"/>
        </w:rPr>
      </w:pPr>
      <w:r>
        <w:rPr>
          <w:color w:val="0000FF"/>
        </w:rPr>
        <w:br w:type="page"/>
      </w:r>
    </w:p>
    <w:p w14:paraId="7A9C0BD2" w14:textId="77777777" w:rsidR="003E0042" w:rsidRPr="00CA57A2" w:rsidRDefault="003E0042" w:rsidP="003E0042">
      <w:pPr>
        <w:pStyle w:val="HChG"/>
        <w:rPr>
          <w:noProof/>
          <w:lang w:val="fr-FR"/>
        </w:rPr>
      </w:pPr>
      <w:r w:rsidRPr="00CA57A2">
        <w:rPr>
          <w:noProof/>
          <w:lang w:val="fr-FR"/>
        </w:rPr>
        <w:lastRenderedPageBreak/>
        <w:tab/>
        <w:t>I.</w:t>
      </w:r>
      <w:r w:rsidRPr="00CA57A2">
        <w:rPr>
          <w:noProof/>
          <w:lang w:val="fr-FR"/>
        </w:rPr>
        <w:tab/>
        <w:t>Introduction</w:t>
      </w:r>
    </w:p>
    <w:p w14:paraId="12CF4C66" w14:textId="197A2566" w:rsidR="00282ADF" w:rsidRPr="00282ADF" w:rsidRDefault="00282ADF" w:rsidP="004C512B">
      <w:pPr>
        <w:pStyle w:val="SingleTxtG"/>
        <w:numPr>
          <w:ilvl w:val="0"/>
          <w:numId w:val="14"/>
        </w:numPr>
        <w:suppressAutoHyphens w:val="0"/>
        <w:kinsoku/>
        <w:overflowPunct/>
        <w:autoSpaceDE/>
        <w:autoSpaceDN/>
        <w:adjustRightInd/>
        <w:snapToGrid/>
        <w:ind w:left="1134" w:firstLine="0"/>
        <w:rPr>
          <w:rFonts w:eastAsia="Calibri"/>
          <w:lang w:val="fr-FR" w:eastAsia="en-US"/>
        </w:rPr>
      </w:pPr>
      <w:r w:rsidRPr="00282ADF">
        <w:rPr>
          <w:rFonts w:eastAsia="Calibri"/>
          <w:lang w:val="fr-FR" w:eastAsia="en-US"/>
        </w:rPr>
        <w:t>Ce rapport est soumis au titre de l’article 19§1er de la Convention contre la torture et autres peines ou traitements cruels, inhumains ou dégradants (la Convention) et répond à la liste préalable de points à traiter (CAT/C/BEL/QPR/5) adressée par le Comité.</w:t>
      </w:r>
    </w:p>
    <w:p w14:paraId="35B29203" w14:textId="77777777" w:rsidR="00282ADF" w:rsidRPr="00282ADF" w:rsidRDefault="00282ADF" w:rsidP="004C512B">
      <w:pPr>
        <w:pStyle w:val="SingleTxtG"/>
        <w:numPr>
          <w:ilvl w:val="0"/>
          <w:numId w:val="14"/>
        </w:numPr>
        <w:suppressAutoHyphens w:val="0"/>
        <w:kinsoku/>
        <w:overflowPunct/>
        <w:autoSpaceDE/>
        <w:autoSpaceDN/>
        <w:adjustRightInd/>
        <w:snapToGrid/>
        <w:ind w:left="1134" w:firstLine="0"/>
        <w:rPr>
          <w:rFonts w:eastAsia="Calibri"/>
          <w:lang w:val="fr-FR" w:eastAsia="en-US"/>
        </w:rPr>
      </w:pPr>
      <w:r w:rsidRPr="00282ADF">
        <w:rPr>
          <w:rFonts w:eastAsia="Calibri"/>
          <w:lang w:val="fr-FR" w:eastAsia="en-US"/>
        </w:rPr>
        <w:t>Il fait état de nouvelles politiques et de modifications législatives, réglementaires, de jurisprudence et de pratiques administratives, adoptées depuis le 4ème rapport de la Belgique en 2018 (CAT/C/BEL/4) jusqu’au 01/01/2025. Les avancées résultant de l’accord de coalition fédérale du 31/01/2025 seront discutées pendant le dialogue constructif.</w:t>
      </w:r>
    </w:p>
    <w:p w14:paraId="1E985655" w14:textId="77777777" w:rsidR="00282ADF" w:rsidRPr="00282ADF" w:rsidRDefault="00282ADF" w:rsidP="004C512B">
      <w:pPr>
        <w:pStyle w:val="SingleTxtG"/>
        <w:numPr>
          <w:ilvl w:val="0"/>
          <w:numId w:val="14"/>
        </w:numPr>
        <w:suppressAutoHyphens w:val="0"/>
        <w:kinsoku/>
        <w:overflowPunct/>
        <w:autoSpaceDE/>
        <w:autoSpaceDN/>
        <w:adjustRightInd/>
        <w:snapToGrid/>
        <w:ind w:left="1134" w:firstLine="0"/>
        <w:rPr>
          <w:rFonts w:eastAsia="Calibri"/>
          <w:lang w:val="fr-FR" w:eastAsia="en-US"/>
        </w:rPr>
      </w:pPr>
      <w:r w:rsidRPr="00282ADF">
        <w:rPr>
          <w:rFonts w:eastAsia="Calibri"/>
          <w:lang w:val="fr-FR" w:eastAsia="en-US"/>
        </w:rPr>
        <w:t>Pour une description générale du fonctionnement de la Belgique, il est renvoyé au Document de base commun.</w:t>
      </w:r>
      <w:r w:rsidRPr="00282ADF">
        <w:rPr>
          <w:vertAlign w:val="superscript"/>
          <w:lang w:val="en-GB"/>
        </w:rPr>
        <w:endnoteReference w:id="2"/>
      </w:r>
    </w:p>
    <w:p w14:paraId="5534BB2B" w14:textId="77777777" w:rsidR="00282ADF" w:rsidRPr="00282ADF" w:rsidRDefault="00282ADF" w:rsidP="004C512B">
      <w:pPr>
        <w:pStyle w:val="SingleTxtG"/>
        <w:numPr>
          <w:ilvl w:val="0"/>
          <w:numId w:val="14"/>
        </w:numPr>
        <w:suppressAutoHyphens w:val="0"/>
        <w:kinsoku/>
        <w:overflowPunct/>
        <w:autoSpaceDE/>
        <w:autoSpaceDN/>
        <w:adjustRightInd/>
        <w:snapToGrid/>
        <w:ind w:left="1134" w:firstLine="0"/>
        <w:rPr>
          <w:rFonts w:eastAsia="Calibri"/>
          <w:lang w:val="fr-FR" w:eastAsia="en-US"/>
        </w:rPr>
      </w:pPr>
      <w:r w:rsidRPr="00282ADF">
        <w:rPr>
          <w:rFonts w:eastAsia="Calibri"/>
          <w:lang w:val="fr-FR" w:eastAsia="en-US"/>
        </w:rPr>
        <w:t>Dans le cadre de la préparation de ce rapport, une réunion s’est tenue, le 04/07/2025, entre des représentants des autorités belges</w:t>
      </w:r>
      <w:r w:rsidRPr="00282ADF">
        <w:rPr>
          <w:vertAlign w:val="superscript"/>
          <w:lang w:val="en-GB"/>
        </w:rPr>
        <w:endnoteReference w:id="3"/>
      </w:r>
      <w:r w:rsidRPr="00282ADF">
        <w:rPr>
          <w:rFonts w:eastAsia="Calibri"/>
          <w:lang w:val="fr-FR" w:eastAsia="en-US"/>
        </w:rPr>
        <w:t xml:space="preserve">, des organisations indépendantes exerçant un mandat dans la protection des droits humains, </w:t>
      </w:r>
      <w:r w:rsidRPr="00282ADF">
        <w:rPr>
          <w:vertAlign w:val="superscript"/>
          <w:lang w:val="en-GB"/>
        </w:rPr>
        <w:endnoteReference w:id="4"/>
      </w:r>
      <w:r w:rsidRPr="00282ADF">
        <w:rPr>
          <w:vertAlign w:val="superscript"/>
          <w:lang w:val="en-GB"/>
        </w:rPr>
        <w:t xml:space="preserve"> </w:t>
      </w:r>
      <w:r w:rsidRPr="00282ADF">
        <w:rPr>
          <w:rFonts w:eastAsia="Calibri"/>
          <w:lang w:val="fr-FR" w:eastAsia="en-US"/>
        </w:rPr>
        <w:t>et de la société civile</w:t>
      </w:r>
      <w:r w:rsidRPr="00282ADF">
        <w:rPr>
          <w:rFonts w:eastAsia="Calibri"/>
          <w:lang w:val="fr-FR" w:eastAsia="en-US"/>
        </w:rPr>
        <w:endnoteReference w:id="5"/>
      </w:r>
      <w:r w:rsidRPr="00282ADF">
        <w:rPr>
          <w:rFonts w:eastAsia="Calibri"/>
          <w:lang w:val="fr-FR" w:eastAsia="en-US"/>
        </w:rPr>
        <w:t>.</w:t>
      </w:r>
    </w:p>
    <w:p w14:paraId="62FD349D" w14:textId="6B3FAF41" w:rsidR="00282ADF" w:rsidRPr="003E0042" w:rsidRDefault="003E0042" w:rsidP="003E0042">
      <w:pPr>
        <w:pStyle w:val="HChG"/>
        <w:rPr>
          <w:noProof/>
          <w:lang w:val="fr-FR"/>
        </w:rPr>
      </w:pPr>
      <w:bookmarkStart w:id="0" w:name="_Toc200464247"/>
      <w:r>
        <w:rPr>
          <w:noProof/>
          <w:lang w:val="fr-FR"/>
        </w:rPr>
        <w:tab/>
        <w:t>II.</w:t>
      </w:r>
      <w:r>
        <w:rPr>
          <w:noProof/>
          <w:lang w:val="fr-FR"/>
        </w:rPr>
        <w:tab/>
      </w:r>
      <w:r w:rsidR="00282ADF" w:rsidRPr="003E0042">
        <w:rPr>
          <w:noProof/>
          <w:lang w:val="fr-FR"/>
        </w:rPr>
        <w:t>Renseignements concernant spécifiquement la mise en œuvre des articles 1 à 16 de la Convention, notamment au regard des précédentes recommandations du Comité</w:t>
      </w:r>
      <w:bookmarkEnd w:id="0"/>
    </w:p>
    <w:p w14:paraId="26D85CA1" w14:textId="6B7374F1" w:rsidR="00282ADF" w:rsidRPr="00282ADF" w:rsidRDefault="00EC27D0" w:rsidP="00EC27D0">
      <w:pPr>
        <w:pStyle w:val="H1G"/>
        <w:rPr>
          <w:lang w:val="fr-BE"/>
        </w:rPr>
      </w:pPr>
      <w:bookmarkStart w:id="1" w:name="_Toc185259524"/>
      <w:bookmarkStart w:id="2" w:name="_Toc200464248"/>
      <w:r>
        <w:rPr>
          <w:lang w:val="fr-BE"/>
        </w:rPr>
        <w:tab/>
      </w:r>
      <w:r>
        <w:rPr>
          <w:lang w:val="fr-BE"/>
        </w:rPr>
        <w:tab/>
      </w:r>
      <w:r w:rsidR="00282ADF" w:rsidRPr="00282ADF">
        <w:rPr>
          <w:lang w:val="fr-BE"/>
        </w:rPr>
        <w:t>Questions retenues aux fins du suivi dans les précédentes observations finales</w:t>
      </w:r>
      <w:bookmarkEnd w:id="1"/>
      <w:bookmarkEnd w:id="2"/>
    </w:p>
    <w:p w14:paraId="55664E0D" w14:textId="1F1A079D" w:rsidR="00282ADF" w:rsidRPr="00282ADF" w:rsidRDefault="00B860EF" w:rsidP="00B860EF">
      <w:pPr>
        <w:pStyle w:val="H1G"/>
        <w:rPr>
          <w:lang w:val="fr-BE"/>
        </w:rPr>
      </w:pPr>
      <w:r>
        <w:rPr>
          <w:lang w:val="fr-BE"/>
        </w:rPr>
        <w:tab/>
      </w:r>
      <w:r>
        <w:rPr>
          <w:lang w:val="fr-BE"/>
        </w:rPr>
        <w:tab/>
      </w:r>
      <w:r w:rsidR="008A3759" w:rsidRPr="000626E9">
        <w:rPr>
          <w:rFonts w:eastAsia="Calibri"/>
          <w:noProof/>
          <w:lang w:val="fr-FR" w:eastAsia="es-GT"/>
        </w:rPr>
        <w:t xml:space="preserve">Réponse au paragraphe </w:t>
      </w:r>
      <w:r w:rsidR="00282ADF" w:rsidRPr="00282ADF">
        <w:rPr>
          <w:lang w:val="fr-BE"/>
        </w:rPr>
        <w:t>1 de la liste de questions</w:t>
      </w:r>
    </w:p>
    <w:p w14:paraId="50CD2017" w14:textId="5BABE4C0" w:rsidR="00282ADF" w:rsidRPr="00282ADF" w:rsidRDefault="00B860EF" w:rsidP="00B860EF">
      <w:pPr>
        <w:pStyle w:val="H23G"/>
        <w:rPr>
          <w:lang w:val="fr-BE"/>
        </w:rPr>
      </w:pPr>
      <w:r>
        <w:rPr>
          <w:lang w:val="fr-BE"/>
        </w:rPr>
        <w:tab/>
      </w:r>
      <w:r>
        <w:rPr>
          <w:lang w:val="fr-BE"/>
        </w:rPr>
        <w:tab/>
      </w:r>
      <w:r w:rsidR="00282ADF" w:rsidRPr="00282ADF">
        <w:rPr>
          <w:lang w:val="fr-BE"/>
        </w:rPr>
        <w:t>Protocole facultatif se rapportant à la Convention (OPCAT)</w:t>
      </w:r>
    </w:p>
    <w:p w14:paraId="6854E440" w14:textId="77777777" w:rsidR="00282ADF" w:rsidRPr="00282ADF" w:rsidRDefault="00282ADF" w:rsidP="00B860EF">
      <w:pPr>
        <w:pStyle w:val="SingleTxtG"/>
        <w:numPr>
          <w:ilvl w:val="0"/>
          <w:numId w:val="14"/>
        </w:numPr>
        <w:suppressAutoHyphens w:val="0"/>
        <w:kinsoku/>
        <w:overflowPunct/>
        <w:autoSpaceDE/>
        <w:autoSpaceDN/>
        <w:adjustRightInd/>
        <w:snapToGrid/>
        <w:ind w:left="1134" w:firstLine="0"/>
        <w:rPr>
          <w:lang w:val="fr-BE"/>
        </w:rPr>
      </w:pPr>
      <w:r w:rsidRPr="00282ADF">
        <w:rPr>
          <w:lang w:val="fr-BE"/>
        </w:rPr>
        <w:t>Au niveau fédéral, la Belgique a franchi une étape importante avec l’adoption de la loi du 21/04/2024</w:t>
      </w:r>
      <w:r w:rsidRPr="00282ADF">
        <w:rPr>
          <w:vertAlign w:val="superscript"/>
          <w:lang w:val="en-GB"/>
        </w:rPr>
        <w:endnoteReference w:id="6"/>
      </w:r>
      <w:r w:rsidRPr="00282ADF">
        <w:rPr>
          <w:lang w:val="fr-BE"/>
        </w:rPr>
        <w:t xml:space="preserve">, qui a instauré un Mécanisme de prévention indépendant conforme aux exigences du Protocole. Ce Mécanisme, mis en place au sein de l’Institut fédéral pour la protection et la promotion des droits humains (IFDH), est chargé d'examiner la situation des personnes privées de liberté dans les établissements relevant de la compétence fédérale. </w:t>
      </w:r>
    </w:p>
    <w:p w14:paraId="1BC5598C" w14:textId="77777777" w:rsidR="00282ADF" w:rsidRPr="00282ADF" w:rsidRDefault="00282ADF" w:rsidP="004F5A0B">
      <w:pPr>
        <w:pStyle w:val="SingleTxtG"/>
        <w:numPr>
          <w:ilvl w:val="0"/>
          <w:numId w:val="14"/>
        </w:numPr>
        <w:suppressAutoHyphens w:val="0"/>
        <w:kinsoku/>
        <w:overflowPunct/>
        <w:autoSpaceDE/>
        <w:autoSpaceDN/>
        <w:adjustRightInd/>
        <w:snapToGrid/>
        <w:ind w:left="1134" w:firstLine="0"/>
        <w:rPr>
          <w:lang w:val="fr-BE"/>
        </w:rPr>
      </w:pPr>
      <w:r w:rsidRPr="00282ADF">
        <w:rPr>
          <w:lang w:val="fr-BE"/>
        </w:rPr>
        <w:t>Cependant, pour la ratification formelle du Protocole facultatif, il convient d’attendre, conformément à la loi d’assentiment du 21/06/2018 relative au Protocole que les éléments constitutifs du Mécanisme national de prévention soient déterminés.</w:t>
      </w:r>
    </w:p>
    <w:p w14:paraId="7D0911B8" w14:textId="77777777" w:rsidR="00282ADF" w:rsidRPr="00282ADF" w:rsidRDefault="00282ADF" w:rsidP="004F5A0B">
      <w:pPr>
        <w:pStyle w:val="SingleTxtG"/>
        <w:numPr>
          <w:ilvl w:val="0"/>
          <w:numId w:val="14"/>
        </w:numPr>
        <w:suppressAutoHyphens w:val="0"/>
        <w:kinsoku/>
        <w:overflowPunct/>
        <w:autoSpaceDE/>
        <w:autoSpaceDN/>
        <w:adjustRightInd/>
        <w:snapToGrid/>
        <w:ind w:left="1134" w:firstLine="0"/>
        <w:rPr>
          <w:lang w:val="fr-BE"/>
        </w:rPr>
      </w:pPr>
      <w:r w:rsidRPr="00282ADF">
        <w:rPr>
          <w:lang w:val="fr-BE"/>
        </w:rPr>
        <w:t>Des discussions doivent encore être menées avec ces dernières en vue de concevoir un modèle de prévention cohérent et intégré à l’échelle nationale, couvrant l’ensemble des lieux de privation de liberté en Belgique. En mai 2023, le gouvernement flamand a choisi de confier le mécanisme de prévention OPCAT, pour ce qui relève de la Flandre, à l’Institut flamand des droits humains.</w:t>
      </w:r>
    </w:p>
    <w:p w14:paraId="5FF9B315" w14:textId="4DEA79CF" w:rsidR="00282ADF" w:rsidRPr="00282ADF" w:rsidRDefault="00C04C35" w:rsidP="00C04C35">
      <w:pPr>
        <w:pStyle w:val="H23G"/>
        <w:rPr>
          <w:lang w:val="fr-BE"/>
        </w:rPr>
      </w:pPr>
      <w:r>
        <w:rPr>
          <w:lang w:val="fr-BE"/>
        </w:rPr>
        <w:tab/>
      </w:r>
      <w:r>
        <w:rPr>
          <w:lang w:val="fr-BE"/>
        </w:rPr>
        <w:tab/>
      </w:r>
      <w:r w:rsidR="00282ADF" w:rsidRPr="00282ADF">
        <w:rPr>
          <w:lang w:val="fr-BE"/>
        </w:rPr>
        <w:t xml:space="preserve">Principe de non-refoulement </w:t>
      </w:r>
    </w:p>
    <w:p w14:paraId="0958148F" w14:textId="77777777" w:rsidR="00282ADF" w:rsidRPr="00282ADF" w:rsidRDefault="00282ADF" w:rsidP="00C04C3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Tout étranger est entendu préalablement à une décision d’éloignement, notamment pour évaluer le risque de torture et de traitement inhumain ou dégradant dans son pays d’origine au regard de sa situation personnelle. Toute décision de l’Office des étrangers (OE) peut faire l’objet de recours suspensif ordinaire ou en extrême urgence. La suspension de l’exécution peut être ordonnée si des moyens sérieux susceptibles de justifier l’annulation de l’acte sont invoqués et si l’exécution de l’acte risque de causer un préjudice grave difficilement réparable, notamment s’il existe un risque de violation de l’article 3 Convention européenne des droits de l’homme (CEDH). </w:t>
      </w:r>
    </w:p>
    <w:p w14:paraId="131962F5" w14:textId="77777777" w:rsidR="00282ADF" w:rsidRPr="00282ADF" w:rsidRDefault="00282ADF" w:rsidP="00C04C3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L’OE recommande la prise d’une nouvelle décision d’éloignement (pouvant prendre la forme d’une remise frontière par exemple) si un nouvel examen d’un risque de violation de l’article 3 CEDH s’avère nécessaire. </w:t>
      </w:r>
    </w:p>
    <w:p w14:paraId="4FF5FC89" w14:textId="77777777" w:rsidR="00282ADF" w:rsidRPr="00282ADF" w:rsidRDefault="00282ADF" w:rsidP="00282ADF">
      <w:pPr>
        <w:pStyle w:val="SingleTxtG"/>
        <w:rPr>
          <w:lang w:val="fr-BE"/>
        </w:rPr>
      </w:pPr>
      <w:r w:rsidRPr="00282ADF">
        <w:rPr>
          <w:lang w:val="fr-BE"/>
        </w:rPr>
        <w:lastRenderedPageBreak/>
        <w:t xml:space="preserve">Avant toute exécution forcée, est prise une mesure d’éloignement qui peut être attaquée devant le Conseil du Contentieux des </w:t>
      </w:r>
      <w:proofErr w:type="spellStart"/>
      <w:r w:rsidRPr="00282ADF">
        <w:rPr>
          <w:lang w:val="fr-BE"/>
        </w:rPr>
        <w:t>Etrangers</w:t>
      </w:r>
      <w:proofErr w:type="spellEnd"/>
      <w:r w:rsidRPr="00282ADF">
        <w:rPr>
          <w:lang w:val="fr-BE"/>
        </w:rPr>
        <w:t xml:space="preserve"> (CCE). </w:t>
      </w:r>
      <w:proofErr w:type="spellStart"/>
      <w:r w:rsidRPr="00282ADF">
        <w:rPr>
          <w:lang w:val="fr-BE"/>
        </w:rPr>
        <w:t>A</w:t>
      </w:r>
      <w:proofErr w:type="spellEnd"/>
      <w:r w:rsidRPr="00282ADF">
        <w:rPr>
          <w:lang w:val="fr-BE"/>
        </w:rPr>
        <w:t xml:space="preserve"> cet égard, il est possible, par le biais de mesures provisoires, de solliciter du CCE qu’il examine en urgence (recours suspensif de plein droit) la demande de suspension ordinaire préalablement introduite, qu’elle concerne une précédente mesure d’éloignement ou une décision relative à une demande d’autorisation de séjour basée sur des motifs médicaux. Dans le cadre de ces recours, le CCE opère un contrôle plus étendu qu’un simple contrôle de légalité. Il procède à un examen attentif et rigoureux de tout nouvel élément de preuve porté à sa connaissance, en particulier ceux de nature à indiquer qu’il existe des motifs de croire que l’exécution de la décision attaquée exposerait le requérant au risque d’être soumis à une violation de l’article 3 CEDH et plus généralement à une violation des droits fondamentaux auxquels aucune dérogation n’est possible en vertu de l’article 15§2 CEDH. </w:t>
      </w:r>
    </w:p>
    <w:p w14:paraId="2AE60211" w14:textId="77777777" w:rsidR="00282ADF" w:rsidRPr="00282ADF" w:rsidRDefault="00282ADF" w:rsidP="00C04C35">
      <w:pPr>
        <w:pStyle w:val="SingleTxtG"/>
        <w:numPr>
          <w:ilvl w:val="0"/>
          <w:numId w:val="14"/>
        </w:numPr>
        <w:suppressAutoHyphens w:val="0"/>
        <w:kinsoku/>
        <w:overflowPunct/>
        <w:autoSpaceDE/>
        <w:autoSpaceDN/>
        <w:adjustRightInd/>
        <w:snapToGrid/>
        <w:ind w:left="1134" w:firstLine="0"/>
        <w:rPr>
          <w:lang w:val="fr-BE"/>
        </w:rPr>
      </w:pPr>
      <w:r w:rsidRPr="00282ADF">
        <w:rPr>
          <w:lang w:val="fr-BE"/>
        </w:rPr>
        <w:t>En outre, l’étranger détenu en vue de l’exécution de la décision d’éloignement peut introduire une requête de mise en liberté devant les tribunaux correctionnels. Ceux-ci sont également compétents pour statuer sur la légalité de la mesure d’éloignement dont la privation de liberté n’est que l’accessoire et doivent avoir égard à tout élément relatif à l’article 3 CEDH.</w:t>
      </w:r>
    </w:p>
    <w:p w14:paraId="54EA0809" w14:textId="77777777" w:rsidR="00282ADF" w:rsidRPr="00282ADF" w:rsidRDefault="00282ADF" w:rsidP="00C04C3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Enfin, afin de prévenir toute atteinte à un droit subjectif, l’étranger a une possibilité, en cas d’urgence, de saisir le tribunal de première instance via un référé (et en cas d’absolue nécessité, sur requête unilatérale). Le tribunal procède alors à un examen complet et </w:t>
      </w:r>
      <w:r w:rsidRPr="00282ADF">
        <w:rPr>
          <w:i/>
          <w:iCs/>
          <w:lang w:val="fr-BE"/>
        </w:rPr>
        <w:t>ex nunc</w:t>
      </w:r>
      <w:r w:rsidRPr="00282ADF">
        <w:rPr>
          <w:lang w:val="fr-BE"/>
        </w:rPr>
        <w:t xml:space="preserve"> de l’ensemble des circonstances de la cause dont le risque encouru en cas d’éloignement. Ce tribunal peut alors notamment interdire l’éloignement. Cette décision est exécutoire nonobstant appel. La compétence du CCE en matière de référé n’enlève rien à cette compétence des cours et tribunaux. </w:t>
      </w:r>
    </w:p>
    <w:p w14:paraId="31433483" w14:textId="2292BFB7" w:rsidR="00282ADF" w:rsidRPr="00282ADF" w:rsidRDefault="00C04C35" w:rsidP="00C04C35">
      <w:pPr>
        <w:pStyle w:val="H23G"/>
        <w:rPr>
          <w:lang w:val="fr-BE"/>
        </w:rPr>
      </w:pPr>
      <w:r>
        <w:rPr>
          <w:lang w:val="fr-BE"/>
        </w:rPr>
        <w:tab/>
      </w:r>
      <w:r>
        <w:rPr>
          <w:lang w:val="fr-BE"/>
        </w:rPr>
        <w:tab/>
      </w:r>
      <w:r w:rsidR="00282ADF" w:rsidRPr="00282ADF">
        <w:rPr>
          <w:lang w:val="fr-BE"/>
        </w:rPr>
        <w:t>Rapatriement des enfants des zones de conflit</w:t>
      </w:r>
    </w:p>
    <w:p w14:paraId="7A424700" w14:textId="77777777" w:rsidR="00282ADF" w:rsidRPr="00282ADF" w:rsidRDefault="00282ADF" w:rsidP="00C04C35">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Belgique a mis à jour sa politique relative au rapatriement des enfants de combattants étrangers ayant la nationalité belge et poursuit ses efforts pour évaluer leur situation. Cette politique place l’intérêt supérieur de l’enfant au centre de son approche. Le rapatriement reste volontaire et soumis à des conditions légales d’âge et de nationalité des enfants. Jusqu’à présent (janvier 2025), 62 enfants ont été rapatriés volontairement en Belgique depuis le nord-est de la Syrie et la Turquie.</w:t>
      </w:r>
    </w:p>
    <w:p w14:paraId="5BAABACB" w14:textId="77777777" w:rsidR="00282ADF" w:rsidRPr="00282ADF" w:rsidRDefault="00282ADF" w:rsidP="00C04C35">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prise en charge de ces enfants fait l’objet d’une collaboration entre les autorités fédérales, judiciaires et communautaires. Les autorités belges décident de la tutelle des enfants, qui sont placés en priorité au sein de leur famille si les enquêtes sociales menées n’y révèlent aucun signe de danger. Une minorité a été placée dans des centres d’accueil pour jeunes.</w:t>
      </w:r>
    </w:p>
    <w:p w14:paraId="3FCCD7E3"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Les enfants sont suivis par les services de protection de la jeunesse communautaires. Une attention particulière est accordée à ce que la prise en charge de chaque enfant soit individualisée et réponde à leurs besoins et éventuel état de danger. Les enfants rapatriés peuvent notamment bénéficier d’une assistance médicale, </w:t>
      </w:r>
      <w:proofErr w:type="spellStart"/>
      <w:r w:rsidRPr="00282ADF">
        <w:rPr>
          <w:lang w:val="fr-BE"/>
        </w:rPr>
        <w:t>psychosociale</w:t>
      </w:r>
      <w:proofErr w:type="spellEnd"/>
      <w:r w:rsidRPr="00282ADF">
        <w:rPr>
          <w:lang w:val="fr-BE"/>
        </w:rPr>
        <w:t xml:space="preserve"> et juridique. </w:t>
      </w:r>
    </w:p>
    <w:p w14:paraId="3082E6A6"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réponse à la question 12 développe davantage la politique belge de rapatriement des enfants des zones de conflit et de prise en charge par les entités fédérées. </w:t>
      </w:r>
    </w:p>
    <w:p w14:paraId="28D73736" w14:textId="170A98B3" w:rsidR="00282ADF" w:rsidRPr="00282ADF" w:rsidRDefault="00091753" w:rsidP="00091753">
      <w:pPr>
        <w:pStyle w:val="H1G"/>
        <w:rPr>
          <w:lang w:val="fr-BE"/>
        </w:rPr>
      </w:pPr>
      <w:bookmarkStart w:id="3" w:name="_Toc185259525"/>
      <w:bookmarkStart w:id="4" w:name="_Toc200464249"/>
      <w:r>
        <w:rPr>
          <w:lang w:val="fr-BE"/>
        </w:rPr>
        <w:tab/>
      </w:r>
      <w:r>
        <w:rPr>
          <w:lang w:val="fr-BE"/>
        </w:rPr>
        <w:tab/>
      </w:r>
      <w:r w:rsidR="00282ADF" w:rsidRPr="00282ADF">
        <w:rPr>
          <w:lang w:val="fr-BE"/>
        </w:rPr>
        <w:t>Articles 1</w:t>
      </w:r>
      <w:r w:rsidR="00282ADF" w:rsidRPr="00282ADF">
        <w:rPr>
          <w:vertAlign w:val="superscript"/>
          <w:lang w:val="fr-BE"/>
        </w:rPr>
        <w:t>er</w:t>
      </w:r>
      <w:r w:rsidR="00282ADF" w:rsidRPr="00282ADF">
        <w:rPr>
          <w:lang w:val="fr-BE"/>
        </w:rPr>
        <w:t xml:space="preserve"> et 4</w:t>
      </w:r>
      <w:bookmarkEnd w:id="3"/>
      <w:bookmarkEnd w:id="4"/>
      <w:r w:rsidR="00282ADF" w:rsidRPr="00282ADF">
        <w:rPr>
          <w:lang w:val="fr-BE"/>
        </w:rPr>
        <w:t xml:space="preserve"> </w:t>
      </w:r>
    </w:p>
    <w:p w14:paraId="636DE257" w14:textId="5D5B656A" w:rsidR="00282ADF" w:rsidRPr="00282ADF" w:rsidRDefault="00091753" w:rsidP="00091753">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2 de la liste de questions</w:t>
      </w:r>
    </w:p>
    <w:p w14:paraId="099107A3"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 législateur belge a fait le choix délibéré de ne pas limiter l’incrimination des actes de torture à ceux impliquant une autorité publique ou des personnes agissant à titre officiel. Cette approche, inchangée depuis les précédents rapports</w:t>
      </w:r>
      <w:r w:rsidRPr="00282ADF">
        <w:rPr>
          <w:vertAlign w:val="superscript"/>
          <w:lang w:val="en-GB"/>
        </w:rPr>
        <w:endnoteReference w:id="7"/>
      </w:r>
      <w:r w:rsidRPr="00282ADF">
        <w:rPr>
          <w:lang w:val="fr-BE"/>
        </w:rPr>
        <w:t>, permet de couvrir également des actes de torture commis par des individus sans lien avec une autorité publique, allant ainsi au-delà des exigences minimales de l’article 1</w:t>
      </w:r>
      <w:r w:rsidRPr="00282ADF">
        <w:rPr>
          <w:vertAlign w:val="superscript"/>
          <w:lang w:val="fr-BE"/>
        </w:rPr>
        <w:t>er</w:t>
      </w:r>
      <w:r w:rsidRPr="00282ADF">
        <w:rPr>
          <w:lang w:val="fr-BE"/>
        </w:rPr>
        <w:t xml:space="preserve"> de la Convention. </w:t>
      </w:r>
    </w:p>
    <w:p w14:paraId="1BDEBE80"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lastRenderedPageBreak/>
        <w:t>Bien sûr, le cadre juridique prévoit une répression plus sévère lorsque les actes de torture sont commis par une personne liée à l'autorité publique. Cette circonstance aggravante reflète la gravité particulière des abus d’autorité et renforce la dissuasion et la sanction.</w:t>
      </w:r>
    </w:p>
    <w:p w14:paraId="4B3EF683"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Dans le cadre de la réforme du Code pénal qui entrera en vigueur le 08/04/2026, la définition de la torture a été modifiée pour inclure expressément les actes motivés par une forme de discrimination, quelle qu’elle soit</w:t>
      </w:r>
      <w:r w:rsidRPr="00282ADF">
        <w:rPr>
          <w:vertAlign w:val="superscript"/>
          <w:lang w:val="en-GB"/>
        </w:rPr>
        <w:endnoteReference w:id="8"/>
      </w:r>
      <w:r w:rsidRPr="00282ADF">
        <w:rPr>
          <w:lang w:val="fr-BE"/>
        </w:rPr>
        <w:t xml:space="preserve">. </w:t>
      </w:r>
    </w:p>
    <w:p w14:paraId="4983DA67"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tentative, la complicité et la corréité en matière de torture sont incriminées par le Code pénal actuel</w:t>
      </w:r>
      <w:r w:rsidRPr="00282ADF">
        <w:rPr>
          <w:vertAlign w:val="superscript"/>
          <w:lang w:val="en-GB"/>
        </w:rPr>
        <w:endnoteReference w:id="9"/>
      </w:r>
      <w:r w:rsidRPr="00282ADF">
        <w:rPr>
          <w:lang w:val="fr-BE"/>
        </w:rPr>
        <w:t>. La tentative étant punie de la peine immédiatement inférieure à la peine prévue pour l'infraction consommée. Aucune distinction n'est faite selon la qualité de la personne de sorte que toute personne peut être poursuivie et condamnée pour des actes de participation à un acte de torture.</w:t>
      </w:r>
    </w:p>
    <w:p w14:paraId="625E80F3"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Les règles en matière de prescription de l'action pénale ont été modifiées afin de simplifier le calcul du délai</w:t>
      </w:r>
      <w:r w:rsidRPr="00282ADF">
        <w:rPr>
          <w:lang w:val="fr-BE"/>
        </w:rPr>
        <w:endnoteReference w:id="10"/>
      </w:r>
      <w:r w:rsidRPr="00282ADF">
        <w:rPr>
          <w:lang w:val="fr-BE"/>
        </w:rPr>
        <w:t>. Afin de ménager le temps de mener et clôturer une enquête pénale, le délai de prescription est de 15 ans pour les actes de torture de base, et de 20 ans lorsqu’ils sont commis contre un mineur, par une personne ayant autorité ou qu’ils causent la mort de manière non intentionnelle. Les peines sont également soumises à des règles de prescription de la peine, calculées sur la base de la peine effectivement prononcée</w:t>
      </w:r>
      <w:r w:rsidRPr="00282ADF">
        <w:rPr>
          <w:lang w:val="fr-BE"/>
        </w:rPr>
        <w:endnoteReference w:id="11"/>
      </w:r>
      <w:r w:rsidRPr="00282ADF">
        <w:rPr>
          <w:lang w:val="fr-BE"/>
        </w:rPr>
        <w:t>. Le délai de prescription de l’action civile qui trouve sa cause dans une infraction pénale va de 5 à 20 ans, sans qu’il ne puisse être plus court que le délai de prescription de l’action publique</w:t>
      </w:r>
      <w:r w:rsidRPr="00282ADF">
        <w:rPr>
          <w:lang w:val="fr-BE"/>
        </w:rPr>
        <w:endnoteReference w:id="12"/>
      </w:r>
      <w:r w:rsidRPr="00282ADF">
        <w:rPr>
          <w:lang w:val="fr-BE"/>
        </w:rPr>
        <w:t>.</w:t>
      </w:r>
    </w:p>
    <w:p w14:paraId="5E85DAD1" w14:textId="77777777" w:rsidR="00282ADF" w:rsidRPr="00282ADF" w:rsidRDefault="00282ADF" w:rsidP="00091753">
      <w:pPr>
        <w:pStyle w:val="SingleTxtG"/>
        <w:numPr>
          <w:ilvl w:val="0"/>
          <w:numId w:val="14"/>
        </w:numPr>
        <w:suppressAutoHyphens w:val="0"/>
        <w:kinsoku/>
        <w:overflowPunct/>
        <w:autoSpaceDE/>
        <w:autoSpaceDN/>
        <w:adjustRightInd/>
        <w:snapToGrid/>
        <w:ind w:left="1134" w:firstLine="0"/>
        <w:rPr>
          <w:lang w:val="fr-BE"/>
        </w:rPr>
      </w:pPr>
      <w:r w:rsidRPr="00282ADF">
        <w:rPr>
          <w:lang w:val="fr-BE"/>
        </w:rPr>
        <w:t>Dans le cadre des crimes contre l’humanité ou des crimes de guerre, la responsabilité des supérieurs peut être engagée lorsqu’ils ont connaissance d’ordres ou d’actes initiaux conduisant à de tels crimes et s’abstiennent d’agir pour les prévenir ou y mettre fin. En dehors de ce contexte, la responsabilité du supérieur peut être engagée par les règles de participation. Selon la jurisprudence, une abstention peut constituer une participation punissable notamment lorsque la personne concernée a l’obligation légale positive de faire exécuter ou prévenir un acte et que son abstention est volontaire et favorise ainsi la commission du fait punissable</w:t>
      </w:r>
      <w:r w:rsidRPr="00282ADF">
        <w:rPr>
          <w:lang w:val="fr-BE"/>
        </w:rPr>
        <w:endnoteReference w:id="13"/>
      </w:r>
      <w:r w:rsidRPr="00282ADF">
        <w:rPr>
          <w:lang w:val="fr-BE"/>
        </w:rPr>
        <w:t>. Enfin, la responsabilité du supérieur peut également être engagée via les règles de responsabilité de la personne morale.</w:t>
      </w:r>
    </w:p>
    <w:p w14:paraId="50287D62" w14:textId="0E30E15D" w:rsidR="00282ADF" w:rsidRPr="00282ADF" w:rsidRDefault="00F9749F" w:rsidP="00F9749F">
      <w:pPr>
        <w:pStyle w:val="H1G"/>
        <w:rPr>
          <w:bCs/>
          <w:lang w:val="fr-BE"/>
        </w:rPr>
      </w:pPr>
      <w:bookmarkStart w:id="5" w:name="_Toc200464250"/>
      <w:r>
        <w:rPr>
          <w:lang w:val="fr-BE"/>
        </w:rPr>
        <w:tab/>
      </w:r>
      <w:r>
        <w:rPr>
          <w:lang w:val="fr-BE"/>
        </w:rPr>
        <w:tab/>
      </w:r>
      <w:r w:rsidR="00282ADF" w:rsidRPr="00282ADF">
        <w:rPr>
          <w:lang w:val="fr-BE"/>
        </w:rPr>
        <w:t>Article 2</w:t>
      </w:r>
      <w:bookmarkEnd w:id="5"/>
      <w:r w:rsidR="00282ADF" w:rsidRPr="00282ADF">
        <w:rPr>
          <w:lang w:val="fr-BE"/>
        </w:rPr>
        <w:t xml:space="preserve"> </w:t>
      </w:r>
    </w:p>
    <w:p w14:paraId="3C5F034D" w14:textId="2C27F310" w:rsidR="00282ADF" w:rsidRPr="00282ADF" w:rsidRDefault="00F9749F" w:rsidP="00F9749F">
      <w:pPr>
        <w:pStyle w:val="H23G"/>
        <w:rPr>
          <w:lang w:val="fr-BE"/>
        </w:rPr>
      </w:pPr>
      <w:r>
        <w:rPr>
          <w:lang w:val="fr-BE"/>
        </w:rPr>
        <w:tab/>
      </w:r>
      <w:r>
        <w:rPr>
          <w:lang w:val="fr-BE"/>
        </w:rPr>
        <w:tab/>
      </w:r>
      <w:r w:rsidR="003C33D8" w:rsidRPr="000626E9">
        <w:rPr>
          <w:rFonts w:eastAsia="Calibri"/>
          <w:noProof/>
          <w:lang w:val="fr-FR" w:eastAsia="es-GT"/>
        </w:rPr>
        <w:t>Réponse au paragraph</w:t>
      </w:r>
      <w:r w:rsidR="00282ADF" w:rsidRPr="00282ADF">
        <w:rPr>
          <w:lang w:val="fr-BE"/>
        </w:rPr>
        <w:t>e 3 de la liste de questions</w:t>
      </w:r>
    </w:p>
    <w:p w14:paraId="240E6DA0"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loi détermine les garanties juridiques fondamentales, incluant le droit d’accès à un avocat, dont doit bénéficier toute personne privée de liberté par les services de police, ainsi que les situations et conditions de leur application. Les services concernés doivent consigner les privations de liberté dans un registre reprenant divers éléments, comme l’état physique et de santé apparent de la personne tant au moment de sa privation de liberté qu’au moment de sa libération, ce qui garantit la possibilité de prouver d’éventuelles blessures subies durant la privation de liberté. Un officier de police administrative ou judiciaire vérifie régulièrement que ce registre est </w:t>
      </w:r>
      <w:proofErr w:type="spellStart"/>
      <w:r w:rsidRPr="00282ADF">
        <w:rPr>
          <w:lang w:val="fr-BE"/>
        </w:rPr>
        <w:t>complètement</w:t>
      </w:r>
      <w:proofErr w:type="spellEnd"/>
      <w:r w:rsidRPr="00282ADF">
        <w:rPr>
          <w:lang w:val="fr-BE"/>
        </w:rPr>
        <w:t xml:space="preserve"> rempli et qu’aucun préjudice n’a été porté aux droits de la personne privée de liberté.</w:t>
      </w:r>
    </w:p>
    <w:p w14:paraId="589065FF"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loi du 25/04/2024 a modifié la «législation </w:t>
      </w:r>
      <w:proofErr w:type="spellStart"/>
      <w:r w:rsidRPr="00282ADF">
        <w:rPr>
          <w:lang w:val="fr-BE"/>
        </w:rPr>
        <w:t>Salduz</w:t>
      </w:r>
      <w:proofErr w:type="spellEnd"/>
      <w:r w:rsidRPr="00282ADF">
        <w:rPr>
          <w:lang w:val="fr-BE"/>
        </w:rPr>
        <w:t xml:space="preserve">» et les dispositions relatives à la traduction suite à deux procédures d’infraction de la Commission européenne. </w:t>
      </w:r>
      <w:r w:rsidRPr="00282ADF">
        <w:rPr>
          <w:lang w:val="fr-FR"/>
        </w:rPr>
        <w:t xml:space="preserve">Il n’est ainsi plus possible de commencer une audition sans avocat si sa présence est requise, même après un délai d’attente de 2 heures, comme le permettait l’ancienne </w:t>
      </w:r>
      <w:proofErr w:type="spellStart"/>
      <w:r w:rsidRPr="00282ADF">
        <w:rPr>
          <w:lang w:val="fr-FR"/>
        </w:rPr>
        <w:t>règlementation</w:t>
      </w:r>
      <w:proofErr w:type="spellEnd"/>
      <w:r w:rsidRPr="00282ADF">
        <w:rPr>
          <w:lang w:val="fr-FR"/>
        </w:rPr>
        <w:t>, épinglée lors du dernier dialogue constructif. Les autorités judiciaires doivent désormais fournir proactivement une assistance en matière de traduction et informer les personnes privées de liberté de leur droit à obtenir gratuitement une traduction des passages pertinents de la citation, du mandat d’arrêt et de la décision judiciaire.</w:t>
      </w:r>
      <w:r w:rsidRPr="00282ADF">
        <w:rPr>
          <w:lang w:val="fr-BE"/>
        </w:rPr>
        <w:t xml:space="preserve"> Les déclarations des droits, </w:t>
      </w:r>
      <w:r w:rsidRPr="00282ADF">
        <w:rPr>
          <w:lang w:val="fr-FR"/>
        </w:rPr>
        <w:t>ainsi mises à jour, sont disponibles dans 59 langues</w:t>
      </w:r>
      <w:r w:rsidRPr="00282ADF">
        <w:rPr>
          <w:vertAlign w:val="superscript"/>
          <w:lang w:val="en-GB"/>
        </w:rPr>
        <w:endnoteReference w:id="14"/>
      </w:r>
      <w:r w:rsidRPr="00282ADF">
        <w:rPr>
          <w:lang w:val="fr-FR"/>
        </w:rPr>
        <w:t>.</w:t>
      </w:r>
    </w:p>
    <w:p w14:paraId="36A5BD6E"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législation belge ne prévoit pas le droit de consulter un avocat dans le cadre d’une arrestation administrative. Toutefois, si des éléments découverts au cours de l’arrestation administrative permettent de considérer l’intéressé comme «suspect», celle-ci devient une arrestation judiciaire et l’intéressé doit alors être entendu conformément à la procédure «</w:t>
      </w:r>
      <w:proofErr w:type="spellStart"/>
      <w:r w:rsidRPr="00282ADF">
        <w:rPr>
          <w:lang w:val="fr-BE"/>
        </w:rPr>
        <w:t>Salduz</w:t>
      </w:r>
      <w:proofErr w:type="spellEnd"/>
      <w:r w:rsidRPr="00282ADF">
        <w:rPr>
          <w:lang w:val="fr-BE"/>
        </w:rPr>
        <w:t>».</w:t>
      </w:r>
    </w:p>
    <w:p w14:paraId="0F60FDFB"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 juin 2022, la Belgique a signé une déclaration commune en faveur des </w:t>
      </w:r>
      <w:hyperlink r:id="rId10" w:history="1">
        <w:r w:rsidRPr="00282ADF">
          <w:rPr>
            <w:rStyle w:val="Hyperlink"/>
            <w:lang w:val="fr-BE"/>
          </w:rPr>
          <w:t>Principes de Méndez</w:t>
        </w:r>
      </w:hyperlink>
      <w:r w:rsidRPr="00282ADF">
        <w:rPr>
          <w:lang w:val="fr-BE"/>
        </w:rPr>
        <w:t xml:space="preserve">, qui proposent une alternative aux interrogatoires coercitifs et basés sur l’obtention d’aveux. Ils offrent notamment des orientations complètes sur la conduite d’entretiens efficaces et se focalisent sur les garanties fondamentales à mettre en œuvre dès la privation de liberté. </w:t>
      </w:r>
    </w:p>
    <w:p w14:paraId="16FC3192"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Outre les éventuelles poursuites pénales, le fonctionnaire de police qui ne respecte pas le cadre légal ou le code de déontologie policière peut faire l'objet d'une procédure disciplinaire. Des sanctions disciplinaires </w:t>
      </w:r>
      <w:r w:rsidRPr="00F9749F">
        <w:rPr>
          <w:lang w:val="fr-BE"/>
        </w:rPr>
        <w:t>sont</w:t>
      </w:r>
      <w:r w:rsidRPr="00282ADF">
        <w:rPr>
          <w:lang w:val="fr-FR"/>
        </w:rPr>
        <w:t xml:space="preserve"> notamment prises en cas de violation des règles applicables en matière de privation de liberté, pouvant inclure l’avertissement, le blâme, la retenue de traitement, la suspension, la rétrogradation, la démission d'office et la révocation. Du 01/07/2021 au 20/03/2025, on dénombre 3 sanctions disciplinaires pour arrestation/détention arbitraire, 3 </w:t>
      </w:r>
      <w:bookmarkStart w:id="6" w:name="_Hlk193454641"/>
      <w:r w:rsidRPr="00282ADF">
        <w:rPr>
          <w:lang w:val="fr-FR"/>
        </w:rPr>
        <w:t xml:space="preserve">pour </w:t>
      </w:r>
      <w:bookmarkEnd w:id="6"/>
      <w:r w:rsidRPr="00282ADF">
        <w:rPr>
          <w:lang w:val="fr-FR"/>
        </w:rPr>
        <w:t>manquement lié à une fouille, 16 pour mauvais traitements, 6 pour défaut de surveillance, 13 pour attitude incorrecte, 1 pour audition critiquable, 6 pour manquement lié au contrôle des personnes, 7 pour défaut d'aide ou d'assistance, 17 pour manquements divers et aucune pour torture</w:t>
      </w:r>
      <w:r w:rsidRPr="00282ADF">
        <w:rPr>
          <w:vertAlign w:val="superscript"/>
          <w:lang w:val="en-GB"/>
        </w:rPr>
        <w:endnoteReference w:id="15"/>
      </w:r>
      <w:r w:rsidRPr="00282ADF">
        <w:rPr>
          <w:lang w:val="fr-FR"/>
        </w:rPr>
        <w:t xml:space="preserve">. </w:t>
      </w:r>
    </w:p>
    <w:p w14:paraId="64066808"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Les occupants des centres fermés et des lieux d’hébergement</w:t>
      </w:r>
      <w:r w:rsidRPr="00282ADF">
        <w:rPr>
          <w:vertAlign w:val="superscript"/>
          <w:lang w:val="en-GB"/>
        </w:rPr>
        <w:endnoteReference w:id="16"/>
      </w:r>
      <w:r w:rsidRPr="00282ADF">
        <w:rPr>
          <w:lang w:val="fr-BE"/>
        </w:rPr>
        <w:t xml:space="preserve"> peuvent disposer d’une assistance juridique s’ils le souhaitent. S’ils n’ont pas de ressources financières, un avocat pratiquant l’aide juridique leur est proposé. La présomption d'insuffisance des moyens d’existence des étrangers, qui figurait </w:t>
      </w:r>
      <w:r w:rsidRPr="00F9749F">
        <w:rPr>
          <w:lang w:val="fr-FR"/>
        </w:rPr>
        <w:t>auparavant</w:t>
      </w:r>
      <w:r w:rsidRPr="00282ADF">
        <w:rPr>
          <w:lang w:val="fr-BE"/>
        </w:rPr>
        <w:t xml:space="preserve"> dans un arrêté royal, a été intégrée en 2020 dans le Code judiciaire</w:t>
      </w:r>
      <w:r w:rsidRPr="00282ADF">
        <w:rPr>
          <w:vertAlign w:val="superscript"/>
          <w:lang w:val="fr-BE"/>
        </w:rPr>
        <w:endnoteReference w:id="17"/>
      </w:r>
      <w:r w:rsidRPr="00282ADF">
        <w:rPr>
          <w:lang w:val="fr-BE"/>
        </w:rPr>
        <w:t xml:space="preserve">. Le principe reste inchangé : tout étranger est présumé ne pas disposer de moyens d’existence suffisants et a droit à une aide juridique de deuxième ligne - pour l’introduction d’une demande d’autorisation de séjour ou d’un recours administratif ou juridictionnel contre une décision prise en application de la loi du 15/12/1980 sur l’accès au territoire, le séjour, l’établissement et l’éloignement des étrangers. La direction des centres et des lieux d’hébergement veille au respect de ces garanties d’assistance juridique. Le cas échéant, tout résident peut porter plainte à cet égard auprès de la direction du centre ou de la Commission des plaintes. En outre, les centres disposent d’une cellule de coordination et de contrôle qui surveille l’accès des résidents aux avocats et le fonctionnement des permanences juridiques. À ce jour, aucune mesure disciplinaire n’a été prise contre le personnel pour défaut d’application de ces dispositions légales. </w:t>
      </w:r>
    </w:p>
    <w:p w14:paraId="64D1EB5F"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L’admissibilité à l’aide juridique de deuxième ligne (frais d’avocats) et à l’assistance judiciaire (frais de procédure) dépend du revenu réel de la personne</w:t>
      </w:r>
      <w:r w:rsidRPr="00282ADF">
        <w:rPr>
          <w:vertAlign w:val="superscript"/>
          <w:lang w:val="en-GB"/>
        </w:rPr>
        <w:endnoteReference w:id="18"/>
      </w:r>
      <w:r w:rsidRPr="00282ADF">
        <w:rPr>
          <w:lang w:val="fr-BE"/>
        </w:rPr>
        <w:t xml:space="preserve">. La commission d’office, qui est prévue par la loi, ne doit pas être confondue avec l’aide juridique de deuxième ligne. Sauf s’il s’agit d’un mineur, il est toujours vérifié si la personne satisfait aux conditions d’accès à l’aide juridique même en cas de désignation d’un avocat commis d’office. </w:t>
      </w:r>
    </w:p>
    <w:p w14:paraId="643F8E00"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L’aide juridique est accessible, elle peut être demandée par l’intermédiaire d’un avocat, ou par le justiciable lui-même directement au bureau d’aide juridique oralement ou par écrit. Cette aide est pérenne dans la mesure où son existence ainsi que ses conditions d’accès sont consacrées dans le Code judiciaire. </w:t>
      </w:r>
    </w:p>
    <w:p w14:paraId="753784D1" w14:textId="00AF6C1D" w:rsidR="00282ADF" w:rsidRPr="00282ADF" w:rsidRDefault="00F9749F" w:rsidP="00F9749F">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4 de la liste de questions</w:t>
      </w:r>
    </w:p>
    <w:p w14:paraId="6DEF3890"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
        </w:rPr>
      </w:pPr>
      <w:r w:rsidRPr="00282ADF">
        <w:rPr>
          <w:lang w:val="fr"/>
        </w:rPr>
        <w:t xml:space="preserve">L’Institut fédéral pour la protection et la promotion des droits humains (IFDH), créé par la loi du 12/05/2019, assure sa conformité avec les Principes de Paris à travers une structure garantissant son indépendance fonctionnelle et financière. Son conseil d’administration pluraliste compte 12 membres désignés selon un processus transparent, assurant la représentation équilibrée de différentes </w:t>
      </w:r>
      <w:r w:rsidRPr="00F9749F">
        <w:rPr>
          <w:lang w:val="fr-BE"/>
        </w:rPr>
        <w:t>sensibilités</w:t>
      </w:r>
      <w:r w:rsidRPr="00282ADF">
        <w:rPr>
          <w:lang w:val="fr"/>
        </w:rPr>
        <w:t xml:space="preserve">. Les ressources de l’Institut sont discutées et validées en commission parlementaire, avec des hausses régulières du budget, témoignant de l’engagement des autorités à renforcer ses capacités institutionnelles. </w:t>
      </w:r>
    </w:p>
    <w:p w14:paraId="0D59E939"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
        </w:rPr>
      </w:pPr>
      <w:r w:rsidRPr="00282ADF">
        <w:rPr>
          <w:lang w:val="fr"/>
        </w:rPr>
        <w:t xml:space="preserve">En mars 2023, l’IFDH a obtenu son accréditation en tant qu’Institut national des droits de l’homme, avec le statut B. </w:t>
      </w:r>
    </w:p>
    <w:p w14:paraId="4D54DB64"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L’IFDH exerce une compétence générale et résiduaire en matière de droits humains au niveau fédéral, couvrant toutes les questions non prises en charge par d’autres organes sectoriels. Il peut ainsi traiter les violations impliquant tant les autorités publiques que les acteurs privés. La coordination avec les institutions sectorielles telles que </w:t>
      </w:r>
      <w:proofErr w:type="spellStart"/>
      <w:r w:rsidRPr="00282ADF">
        <w:rPr>
          <w:lang w:val="fr-FR"/>
        </w:rPr>
        <w:t>Unia</w:t>
      </w:r>
      <w:proofErr w:type="spellEnd"/>
      <w:r w:rsidRPr="00282ADF">
        <w:rPr>
          <w:lang w:val="fr-FR"/>
        </w:rPr>
        <w:t xml:space="preserve"> et l’Institut pour l’égalité entre les femmes et les hommes (IEFH) est assurée via la </w:t>
      </w:r>
      <w:proofErr w:type="spellStart"/>
      <w:r w:rsidRPr="00282ADF">
        <w:rPr>
          <w:lang w:val="fr-FR"/>
        </w:rPr>
        <w:t>Plateforme</w:t>
      </w:r>
      <w:proofErr w:type="spellEnd"/>
      <w:r w:rsidRPr="00282ADF">
        <w:rPr>
          <w:lang w:val="fr-FR"/>
        </w:rPr>
        <w:t xml:space="preserve"> des Droits de l’Homme, active depuis 2015, qui facilite une approche concertée sur des thématiques transversales, tout en respectant l’autonomie de chaque acteur. Des discussions doivent encore être menées pour une </w:t>
      </w:r>
      <w:proofErr w:type="spellStart"/>
      <w:r w:rsidRPr="00282ADF">
        <w:rPr>
          <w:lang w:val="fr-FR"/>
        </w:rPr>
        <w:t>interfédéralisation</w:t>
      </w:r>
      <w:proofErr w:type="spellEnd"/>
      <w:r w:rsidRPr="00282ADF">
        <w:rPr>
          <w:lang w:val="fr-FR"/>
        </w:rPr>
        <w:t xml:space="preserve"> asymétrique du mandat de l’IFDH, couvrant l’ensemble du territoire, y compris les compétences des entités fédérées, et tenant compte de la création d’un institut flamand distinct.</w:t>
      </w:r>
    </w:p>
    <w:p w14:paraId="4B716132"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
        </w:rPr>
      </w:pPr>
      <w:r w:rsidRPr="00282ADF">
        <w:rPr>
          <w:lang w:val="fr"/>
        </w:rPr>
        <w:t xml:space="preserve">L’attribution d’un mandat en matière de traitement des plaintes individuelles représenterait une extension du rôle </w:t>
      </w:r>
      <w:r w:rsidRPr="00F9749F">
        <w:rPr>
          <w:lang w:val="fr-FR"/>
        </w:rPr>
        <w:t>institutionnel</w:t>
      </w:r>
      <w:r w:rsidRPr="00282ADF">
        <w:rPr>
          <w:lang w:val="fr"/>
        </w:rPr>
        <w:t xml:space="preserve"> et opérationnel de l’IFDH. Toute décision future à ce sujet dépendra de l’évolution du paysage institutionnel belge en matière de droits humains, ainsi que de son impact sur la complémentarité avec les institutions sectorielles existantes.</w:t>
      </w:r>
    </w:p>
    <w:p w14:paraId="57AA9B25" w14:textId="48FF9297" w:rsidR="00282ADF" w:rsidRPr="00282ADF" w:rsidRDefault="00F9749F" w:rsidP="00F9749F">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5 de la liste de questions</w:t>
      </w:r>
    </w:p>
    <w:p w14:paraId="470ECE6E"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Belgique a renforcé sa lutte contre les violences basées sur le genre grâce à un ensemble de réformes législatives, des initiatives politiques coordonnées et un financement accru.</w:t>
      </w:r>
    </w:p>
    <w:p w14:paraId="1E1232B2" w14:textId="079A2C49" w:rsidR="00282ADF" w:rsidRPr="00282ADF" w:rsidRDefault="00F9749F" w:rsidP="00F9749F">
      <w:pPr>
        <w:pStyle w:val="H23G"/>
        <w:rPr>
          <w:lang w:val="fr-FR"/>
        </w:rPr>
      </w:pPr>
      <w:r>
        <w:rPr>
          <w:lang w:val="fr-FR"/>
        </w:rPr>
        <w:tab/>
      </w:r>
      <w:r>
        <w:rPr>
          <w:lang w:val="fr-FR"/>
        </w:rPr>
        <w:tab/>
      </w:r>
      <w:r w:rsidR="00282ADF" w:rsidRPr="00282ADF">
        <w:rPr>
          <w:lang w:val="fr-FR"/>
        </w:rPr>
        <w:t>Réformes législatives</w:t>
      </w:r>
    </w:p>
    <w:p w14:paraId="3B2F9D3F"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a par exemple veillé à l’introduction de dispositions législatives et </w:t>
      </w:r>
      <w:proofErr w:type="spellStart"/>
      <w:r w:rsidRPr="00282ADF">
        <w:rPr>
          <w:lang w:val="fr-FR"/>
        </w:rPr>
        <w:t>règlementaires</w:t>
      </w:r>
      <w:proofErr w:type="spellEnd"/>
      <w:r w:rsidRPr="00282ADF">
        <w:rPr>
          <w:lang w:val="fr-FR"/>
        </w:rPr>
        <w:t xml:space="preserve"> relatives aux violences numériques. Ainsi, la loi du 04/05/2020 interdit la diffusion d’images de nus ou à caractère sexuel sans l’autorisation de la personne représentée</w:t>
      </w:r>
      <w:r w:rsidRPr="00282ADF">
        <w:rPr>
          <w:vertAlign w:val="superscript"/>
          <w:lang w:val="en-GB"/>
        </w:rPr>
        <w:endnoteReference w:id="19"/>
      </w:r>
      <w:r w:rsidRPr="00282ADF">
        <w:rPr>
          <w:lang w:val="fr-FR"/>
        </w:rPr>
        <w:t xml:space="preserve">. L’IEFH peut ester en justice et assister les victimes de voyeurisme et de diffusion non consensuelles d’images de nus ou à caractère sexuel au même titre que Child Focus pour les victimes mineures. </w:t>
      </w:r>
    </w:p>
    <w:p w14:paraId="2CB057C6"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 droit pénal sexuel a été réformé par la loi du 21/03/2022</w:t>
      </w:r>
      <w:r w:rsidRPr="00282ADF">
        <w:rPr>
          <w:vertAlign w:val="superscript"/>
          <w:lang w:val="en-GB"/>
        </w:rPr>
        <w:endnoteReference w:id="20"/>
      </w:r>
      <w:r w:rsidRPr="00282ADF">
        <w:rPr>
          <w:lang w:val="fr-FR"/>
        </w:rPr>
        <w:t>, qui élargit notamment la définition du partenaire, inscrit la notion de consentement, clarifie la majorité sexuelle, porte la peine pour viol de 10 à 15 ans d’emprisonnement et inclut des infractions sexuelles aggravées dont les actes sexuels non consensuels dans un contexte intrafamilial et l’inceste en tant qu’infraction sexuelle aggravée distincte.</w:t>
      </w:r>
    </w:p>
    <w:p w14:paraId="04241143"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S’il existe des indices sérieux que des violences, des menaces ou toute autre forme de pression sont ou ont été exercées par une partie à l’encontre de l’autre partie, le juge ne peut ordonner une médiation sans s’assurer que cette partie y consent librement</w:t>
      </w:r>
      <w:r w:rsidRPr="00282ADF">
        <w:rPr>
          <w:vertAlign w:val="superscript"/>
          <w:lang w:val="en-GB"/>
        </w:rPr>
        <w:endnoteReference w:id="21"/>
      </w:r>
      <w:r w:rsidRPr="00282ADF">
        <w:rPr>
          <w:lang w:val="fr-FR"/>
        </w:rPr>
        <w:t>.</w:t>
      </w:r>
    </w:p>
    <w:p w14:paraId="76B6F201"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bookmarkStart w:id="7" w:name="_Hlk191546456"/>
      <w:r w:rsidRPr="00282ADF">
        <w:rPr>
          <w:lang w:val="fr-FR"/>
        </w:rPr>
        <w:t>Le mobile discriminatoire de l'auteur est désormais un facteur aggravant pour toutes les infractions</w:t>
      </w:r>
      <w:r w:rsidRPr="00282ADF">
        <w:rPr>
          <w:vertAlign w:val="superscript"/>
          <w:lang w:val="en-GB"/>
        </w:rPr>
        <w:endnoteReference w:id="22"/>
      </w:r>
      <w:r w:rsidRPr="00282ADF">
        <w:rPr>
          <w:vertAlign w:val="superscript"/>
          <w:lang w:val="fr-FR"/>
        </w:rPr>
        <w:t xml:space="preserve"> </w:t>
      </w:r>
      <w:r w:rsidRPr="00282ADF">
        <w:rPr>
          <w:lang w:val="fr-BE"/>
        </w:rPr>
        <w:t xml:space="preserve">sauf quand la </w:t>
      </w:r>
      <w:r w:rsidRPr="00F9749F">
        <w:rPr>
          <w:lang w:val="fr-FR"/>
        </w:rPr>
        <w:t>circonstance</w:t>
      </w:r>
      <w:r w:rsidRPr="00282ADF">
        <w:rPr>
          <w:lang w:val="fr-BE"/>
        </w:rPr>
        <w:t xml:space="preserve"> aggravante est prévue</w:t>
      </w:r>
      <w:r w:rsidRPr="00282ADF">
        <w:rPr>
          <w:lang w:val="fr-FR"/>
        </w:rPr>
        <w:t xml:space="preserve">. En cas de facteur aggravant, le juge est tenu de le prendre en considération lorsqu’il fait le choix de la peine ou mesure et de la sévérité de celle-ci, sans pouvoir dépasser la peine maximale prévue pour l’infraction. </w:t>
      </w:r>
      <w:bookmarkEnd w:id="7"/>
      <w:r w:rsidRPr="00282ADF">
        <w:rPr>
          <w:lang w:val="fr-FR"/>
        </w:rPr>
        <w:t xml:space="preserve">Parmi ces mobiles discriminatoires </w:t>
      </w:r>
      <w:bookmarkStart w:id="8" w:name="_Hlk199257122"/>
      <w:r w:rsidRPr="00282ADF">
        <w:rPr>
          <w:lang w:val="fr-FR"/>
        </w:rPr>
        <w:t>figurent notamment le sexe, l’identité de genre, l’expression de genre et les caractéristiques sexuelles.</w:t>
      </w:r>
      <w:bookmarkEnd w:id="8"/>
    </w:p>
    <w:p w14:paraId="636F192E"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loi du 13/07/2023 sur la prévention et la lutte contre les féminicides, soit les homicides fondés sur le genre et les </w:t>
      </w:r>
      <w:r w:rsidRPr="00F9749F">
        <w:rPr>
          <w:lang w:val="fr-BE"/>
        </w:rPr>
        <w:t>violences</w:t>
      </w:r>
      <w:r w:rsidRPr="00282ADF">
        <w:rPr>
          <w:lang w:val="fr-FR"/>
        </w:rPr>
        <w:t xml:space="preserve"> qui les précèdent (dite «Loi Stop Féminicide»), est une avancée majeure faisant de la Belgique le premier pays européen à se doter d’un cadre législatif en la matière. La loi Stop Féminicide établit un cadre de référence conceptuel concernant la prévention et la lutte contre les féminicides, l’application d’une perspective de genre pour tous les niveaux politiques, la mise en place d’un comité scientifique d’analyse des féminicides, l’obligation d’utiliser des instruments d’évaluation et de gestion des risques, l’établissement de statistiques, le développement d’un cadastre de formation et l’obligation de formations pour les magistrats et la police. </w:t>
      </w:r>
    </w:p>
    <w:p w14:paraId="3825EDA0"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Dans le cadre de la refonte du Code pénal, les récentes modifications apportées au droit pénal sexuel ont été prises en compte et les éléments suivants ont été introduit:</w:t>
      </w:r>
    </w:p>
    <w:p w14:paraId="2219ECE4" w14:textId="77777777" w:rsidR="00282ADF" w:rsidRPr="00282ADF" w:rsidRDefault="00282ADF" w:rsidP="00F9749F">
      <w:pPr>
        <w:pStyle w:val="Bullet1G"/>
        <w:rPr>
          <w:lang w:val="fr-FR"/>
        </w:rPr>
      </w:pPr>
      <w:r w:rsidRPr="00282ADF">
        <w:rPr>
          <w:lang w:val="fr-FR"/>
        </w:rPr>
        <w:t>De nouvelles peines, comme le traitement sous privation et le suivi prolongé, ainsi que la mesure de sûreté pour la protection de la société;</w:t>
      </w:r>
    </w:p>
    <w:p w14:paraId="57A1B188" w14:textId="77777777" w:rsidR="00282ADF" w:rsidRPr="00282ADF" w:rsidRDefault="00282ADF" w:rsidP="00F9749F">
      <w:pPr>
        <w:pStyle w:val="Bullet1G"/>
        <w:rPr>
          <w:lang w:val="fr-BE"/>
        </w:rPr>
      </w:pPr>
      <w:r w:rsidRPr="00282ADF">
        <w:rPr>
          <w:lang w:val="fr-BE"/>
        </w:rPr>
        <w:t xml:space="preserve">Une peine d’homicide intrafamilial de niveau 8 (la peine la plus élevée); </w:t>
      </w:r>
    </w:p>
    <w:p w14:paraId="71248BEA" w14:textId="77777777" w:rsidR="00282ADF" w:rsidRPr="00282ADF" w:rsidRDefault="00282ADF" w:rsidP="00F9749F">
      <w:pPr>
        <w:pStyle w:val="Bullet1G"/>
        <w:rPr>
          <w:lang w:val="fr-FR"/>
        </w:rPr>
      </w:pPr>
      <w:r w:rsidRPr="00282ADF">
        <w:rPr>
          <w:lang w:val="fr-FR"/>
        </w:rPr>
        <w:t>L’introduction de facteurs aggravants susceptibles d’affecter la détermination de la peine et de son taux</w:t>
      </w:r>
      <w:r w:rsidRPr="00282ADF" w:rsidDel="00F97828">
        <w:rPr>
          <w:lang w:val="fr-FR"/>
        </w:rPr>
        <w:t xml:space="preserve"> </w:t>
      </w:r>
      <w:r w:rsidRPr="00282ADF">
        <w:rPr>
          <w:lang w:val="fr-FR"/>
        </w:rPr>
        <w:t>tenant compte du contexte des faits (situation de vulnérabilité de la victime, violence commise en présence d’un mineur, violence commise par un membre de la famille) et de l’identité de la victime (caractéristique discriminatoire présumée);</w:t>
      </w:r>
    </w:p>
    <w:p w14:paraId="22188439" w14:textId="77777777" w:rsidR="00282ADF" w:rsidRPr="00282ADF" w:rsidRDefault="00282ADF" w:rsidP="00F9749F">
      <w:pPr>
        <w:pStyle w:val="Bullet1G"/>
        <w:rPr>
          <w:lang w:val="fr-FR"/>
        </w:rPr>
      </w:pPr>
      <w:r w:rsidRPr="00282ADF">
        <w:rPr>
          <w:lang w:val="fr-FR"/>
        </w:rPr>
        <w:t>L’incrimination du vol entre partenaires qui, jusqu’à présent, ne pouvait donner lieu qu’à une réparation civile en raison d’une cause d’excuse absolutoire.</w:t>
      </w:r>
    </w:p>
    <w:p w14:paraId="77E056A2" w14:textId="24341A15" w:rsidR="00282ADF" w:rsidRPr="00282ADF" w:rsidRDefault="00F9749F" w:rsidP="00F9749F">
      <w:pPr>
        <w:pStyle w:val="H23G"/>
        <w:rPr>
          <w:lang w:val="fr-BE"/>
        </w:rPr>
      </w:pPr>
      <w:r>
        <w:rPr>
          <w:lang w:val="fr-BE"/>
        </w:rPr>
        <w:tab/>
      </w:r>
      <w:r>
        <w:rPr>
          <w:lang w:val="fr-BE"/>
        </w:rPr>
        <w:tab/>
      </w:r>
      <w:r w:rsidR="00282ADF" w:rsidRPr="00282ADF">
        <w:rPr>
          <w:lang w:val="fr-BE"/>
        </w:rPr>
        <w:t>Soutien aux victimes</w:t>
      </w:r>
    </w:p>
    <w:p w14:paraId="7468861A"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a considérablement renforcé le soutien aux victimes de violences sexuelles en étendant à 10 le nombre de Centres de Prise en charge des Violences Sexuelles (CPVS) en 2023. Ce déploiement des CPVS à l’échelle nationale offre la possibilité pour chaque victime de s’y rendre en 1 heure. Ils sont accessibles 24 heures sur 24 et 7 jours sur 7 et sont gratuit. Les CPVS offrent une prise en charge holistique aux victimes de violences sexuelles (post-)aiguës (dans le mois après la violence), dont des soins médicaux, un examen médico-légal, un suivi psychologique et la possibilité de déposer plainte </w:t>
      </w:r>
    </w:p>
    <w:p w14:paraId="68ED7A05"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Depuis 2024, une loi clarifie le statut et le fonctionnement des CPVS, garantit leur organisation et financement à long terme et décrit la collaboration et les responsabilités des 3 partenaires principaux (hôpital, police et Parquet)</w:t>
      </w:r>
      <w:r w:rsidRPr="00282ADF">
        <w:rPr>
          <w:vertAlign w:val="superscript"/>
          <w:lang w:val="en-GB"/>
        </w:rPr>
        <w:endnoteReference w:id="23"/>
      </w:r>
      <w:r w:rsidRPr="00282ADF">
        <w:rPr>
          <w:lang w:val="fr-FR"/>
        </w:rPr>
        <w:t xml:space="preserve">. </w:t>
      </w:r>
    </w:p>
    <w:p w14:paraId="796F0547"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L’offre des CPVS est complétée par des structures au niveau des Communautés qui offrent un accompagnement aux victimes sur le long terme. </w:t>
      </w:r>
    </w:p>
    <w:p w14:paraId="332A717A" w14:textId="6D740C95" w:rsidR="00282ADF" w:rsidRPr="00282ADF" w:rsidRDefault="00F9749F" w:rsidP="00F9749F">
      <w:pPr>
        <w:pStyle w:val="H23G"/>
        <w:rPr>
          <w:lang w:val="fr-FR"/>
        </w:rPr>
      </w:pPr>
      <w:r>
        <w:rPr>
          <w:lang w:val="fr-FR"/>
        </w:rPr>
        <w:tab/>
      </w:r>
      <w:r>
        <w:rPr>
          <w:lang w:val="fr-FR"/>
        </w:rPr>
        <w:tab/>
      </w:r>
      <w:r w:rsidR="00282ADF" w:rsidRPr="00282ADF">
        <w:rPr>
          <w:lang w:val="fr-FR"/>
        </w:rPr>
        <w:t>Initiatives politiques</w:t>
      </w:r>
    </w:p>
    <w:p w14:paraId="7E501262"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Depuis 2020, différents plans consacrés à la lutte contre les violences de genre ont été adoptés à tous les niveaux: le </w:t>
      </w:r>
      <w:hyperlink r:id="rId11" w:history="1">
        <w:r w:rsidRPr="00282ADF">
          <w:rPr>
            <w:rStyle w:val="Hyperlink"/>
            <w:lang w:val="fr-FR"/>
          </w:rPr>
          <w:t>Plan bruxellois de lutte contre les violences faite aux femmes</w:t>
        </w:r>
      </w:hyperlink>
      <w:r w:rsidRPr="00282ADF">
        <w:rPr>
          <w:lang w:val="fr-FR"/>
        </w:rPr>
        <w:t xml:space="preserve">, le </w:t>
      </w:r>
      <w:hyperlink r:id="rId12" w:history="1">
        <w:r w:rsidRPr="00282ADF">
          <w:rPr>
            <w:rStyle w:val="Hyperlink"/>
            <w:lang w:val="fr-FR"/>
          </w:rPr>
          <w:t>Plan d’Action flamand de lutte contre la violence sexuelle</w:t>
        </w:r>
      </w:hyperlink>
      <w:r w:rsidRPr="00282ADF">
        <w:rPr>
          <w:lang w:val="fr-FR"/>
        </w:rPr>
        <w:t xml:space="preserve">, le </w:t>
      </w:r>
      <w:hyperlink r:id="rId13" w:history="1">
        <w:r w:rsidRPr="00282ADF">
          <w:rPr>
            <w:rStyle w:val="Hyperlink"/>
            <w:lang w:val="fr-FR"/>
          </w:rPr>
          <w:t>Plan intra-francophone de lutte contre les violences faites aux femmes</w:t>
        </w:r>
      </w:hyperlink>
      <w:r w:rsidRPr="00282ADF">
        <w:rPr>
          <w:lang w:val="fr-FR"/>
        </w:rPr>
        <w:t xml:space="preserve"> ainsi que le </w:t>
      </w:r>
      <w:hyperlink r:id="rId14" w:history="1">
        <w:r w:rsidRPr="00282ADF">
          <w:rPr>
            <w:rStyle w:val="Hyperlink"/>
            <w:lang w:val="fr-FR"/>
          </w:rPr>
          <w:t>Plan Droits des Femmes</w:t>
        </w:r>
      </w:hyperlink>
      <w:r w:rsidRPr="00282ADF">
        <w:rPr>
          <w:lang w:val="fr-FR"/>
        </w:rPr>
        <w:t xml:space="preserve"> de la Communauté française. </w:t>
      </w:r>
    </w:p>
    <w:p w14:paraId="60DE3B3A"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 </w:t>
      </w:r>
      <w:hyperlink r:id="rId15" w:history="1">
        <w:r w:rsidRPr="00282ADF">
          <w:rPr>
            <w:rStyle w:val="Hyperlink"/>
            <w:lang w:val="fr-FR"/>
          </w:rPr>
          <w:t>Plan d’action national de lutte contre les violences basées sur le genre 2021-2025</w:t>
        </w:r>
      </w:hyperlink>
      <w:r w:rsidRPr="00282ADF">
        <w:rPr>
          <w:lang w:val="fr-FR"/>
        </w:rPr>
        <w:t xml:space="preserve"> (PAN 2021-2025) vise quant à lui, la mise en place d'une politique harmonisée en matière de violences fondées sur le genre. Il associe l’</w:t>
      </w:r>
      <w:proofErr w:type="spellStart"/>
      <w:r w:rsidRPr="00282ADF">
        <w:rPr>
          <w:lang w:val="fr-FR"/>
        </w:rPr>
        <w:t>Etat</w:t>
      </w:r>
      <w:proofErr w:type="spellEnd"/>
      <w:r w:rsidRPr="00282ADF">
        <w:rPr>
          <w:lang w:val="fr-FR"/>
        </w:rPr>
        <w:t xml:space="preserve"> fédéral, les Communautés et les Régions et est coordonné par l’IEFH. Il adopte une approche intersectorielle et a pour ambition d’appréhender l’intégralité des publics touchés par les violences, en tenant compte de la situation et des besoins spécifiques personnes. </w:t>
      </w:r>
    </w:p>
    <w:p w14:paraId="48930333"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Pour la première fois, une </w:t>
      </w:r>
      <w:proofErr w:type="spellStart"/>
      <w:r w:rsidRPr="00282ADF">
        <w:rPr>
          <w:lang w:val="fr-FR"/>
        </w:rPr>
        <w:t>Plateforme</w:t>
      </w:r>
      <w:proofErr w:type="spellEnd"/>
      <w:r w:rsidRPr="00282ADF">
        <w:rPr>
          <w:lang w:val="fr-FR"/>
        </w:rPr>
        <w:t xml:space="preserve"> nationale de la société civile (</w:t>
      </w:r>
      <w:proofErr w:type="spellStart"/>
      <w:r w:rsidRPr="00282ADF">
        <w:rPr>
          <w:lang w:val="fr-FR"/>
        </w:rPr>
        <w:t>Plateforme</w:t>
      </w:r>
      <w:proofErr w:type="spellEnd"/>
      <w:r w:rsidRPr="00282ADF">
        <w:rPr>
          <w:lang w:val="fr-FR"/>
        </w:rPr>
        <w:t xml:space="preserve">) a été chargée d’évaluer la mise en œuvre de la politique de lutte contre les violences fondées sur le genre. </w:t>
      </w:r>
    </w:p>
    <w:p w14:paraId="4AEEA148"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Les fonds consacrés à la lutte contre les violences basées sur le genre dans le cadre du PAN 2021-2025 s’élèvent à plus de 181 millions d’euros pour la période 2021 à 2023, avec une hausse des financements à tous les niveaux de pouvoir.</w:t>
      </w:r>
    </w:p>
    <w:p w14:paraId="3FAE1442" w14:textId="77777777" w:rsidR="00282ADF" w:rsidRPr="00282ADF" w:rsidRDefault="00282ADF" w:rsidP="00F9749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Plusieurs mesures du PAN 2021-2025 visent à actualiser la disponibilité des statistiques et à améliorer la collecte des statistiques administratives relatives aux violences basées sur le genre. </w:t>
      </w:r>
    </w:p>
    <w:p w14:paraId="144BFE4C" w14:textId="77777777" w:rsidR="00282ADF" w:rsidRPr="00282ADF" w:rsidRDefault="00282ADF" w:rsidP="00AD68F1">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Un aperçu des données relatives aux violences à l’égard des femmes figure dans le </w:t>
      </w:r>
      <w:r w:rsidRPr="00282ADF">
        <w:rPr>
          <w:lang w:val="fr-BE"/>
        </w:rPr>
        <w:t>rapport trimestriel</w:t>
      </w:r>
      <w:r w:rsidRPr="00282ADF">
        <w:rPr>
          <w:lang w:val="fr-FR"/>
        </w:rPr>
        <w:t xml:space="preserve"> de la police fédérale sur les statistiques de criminalité</w:t>
      </w:r>
      <w:r w:rsidRPr="00282ADF">
        <w:rPr>
          <w:vertAlign w:val="superscript"/>
          <w:lang w:val="en-GB"/>
        </w:rPr>
        <w:endnoteReference w:id="24"/>
      </w:r>
      <w:r w:rsidRPr="00282ADF">
        <w:rPr>
          <w:lang w:val="fr-FR"/>
        </w:rPr>
        <w:t xml:space="preserve">. Les statistiques judiciaires se retrouvent dans l’annexe 1. </w:t>
      </w:r>
    </w:p>
    <w:p w14:paraId="426766AD" w14:textId="77777777" w:rsidR="00282ADF" w:rsidRPr="00282ADF" w:rsidRDefault="00282ADF" w:rsidP="00AD68F1">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formation des professionnels susceptibles d’entrer en contact, dans l’exercice de leur fonction, avec des victimes et/ou auteurs de violences basées sur le genre constitue également un axe de travail essentiel du PAN 2021-2025. Depuis juillet 2020 la formation de la magistrature sur les violences sexuelles et intrafamiliales est obligatoire</w:t>
      </w:r>
      <w:r w:rsidRPr="00282ADF">
        <w:rPr>
          <w:vertAlign w:val="superscript"/>
          <w:lang w:val="en-GB"/>
        </w:rPr>
        <w:endnoteReference w:id="25"/>
      </w:r>
      <w:r w:rsidRPr="00282ADF">
        <w:rPr>
          <w:lang w:val="fr-FR"/>
        </w:rPr>
        <w:t xml:space="preserve">. La Loi Stop Féminicide exige également que les formations de la police et des magistrats sur les violences basées sur le genre accordent une attention particulière aux féminicides et aux homicides basés sur le genre. L’Institut de formation judiciaire organise également des formations sur les violences (sexuelles) numériques et sur les CPVS. Un aperçu global des formations dispensées à ce sujet figure à l’annexe 2. </w:t>
      </w:r>
    </w:p>
    <w:p w14:paraId="13DAD61D" w14:textId="77777777" w:rsidR="00282ADF" w:rsidRPr="00282ADF" w:rsidRDefault="00282ADF" w:rsidP="00AD68F1">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 PAN 2021-2025 prévoit diverses mesures pour améliorer l’accueil des victimes, dont l’aménagement de locaux adaptés. </w:t>
      </w:r>
      <w:proofErr w:type="spellStart"/>
      <w:r w:rsidRPr="00282ADF">
        <w:rPr>
          <w:lang w:val="fr-FR"/>
        </w:rPr>
        <w:t>Un·e</w:t>
      </w:r>
      <w:proofErr w:type="spellEnd"/>
      <w:r w:rsidRPr="00282ADF">
        <w:rPr>
          <w:lang w:val="fr-FR"/>
        </w:rPr>
        <w:t xml:space="preserve"> interprète est </w:t>
      </w:r>
      <w:proofErr w:type="spellStart"/>
      <w:r w:rsidRPr="00282ADF">
        <w:rPr>
          <w:lang w:val="fr-FR"/>
        </w:rPr>
        <w:t>requis·e</w:t>
      </w:r>
      <w:proofErr w:type="spellEnd"/>
      <w:r w:rsidRPr="00282ADF">
        <w:rPr>
          <w:lang w:val="fr-FR"/>
        </w:rPr>
        <w:t xml:space="preserve"> si la victime ne maîtrise aucune langue nationale, afin de garantir une prise en charge accessible et confidentielle. Les faits de coups et blessures, crimes/délits de haine, menaces ou harcèlement peuvent désormais être signalés en ligne via la </w:t>
      </w:r>
      <w:proofErr w:type="spellStart"/>
      <w:r w:rsidRPr="00282ADF">
        <w:rPr>
          <w:lang w:val="fr-FR"/>
        </w:rPr>
        <w:t>plateforme</w:t>
      </w:r>
      <w:proofErr w:type="spellEnd"/>
      <w:r w:rsidRPr="00282ADF">
        <w:rPr>
          <w:lang w:val="fr-FR"/>
        </w:rPr>
        <w:t xml:space="preserve"> «Police-on-web»</w:t>
      </w:r>
      <w:r w:rsidRPr="00282ADF">
        <w:rPr>
          <w:vertAlign w:val="superscript"/>
          <w:lang w:val="en-GB"/>
        </w:rPr>
        <w:endnoteReference w:id="26"/>
      </w:r>
      <w:r w:rsidRPr="00282ADF">
        <w:rPr>
          <w:lang w:val="fr-FR"/>
        </w:rPr>
        <w:t>.</w:t>
      </w:r>
    </w:p>
    <w:p w14:paraId="4D54D327" w14:textId="77777777" w:rsidR="00282ADF" w:rsidRPr="00282ADF" w:rsidRDefault="00282ADF" w:rsidP="00AD68F1">
      <w:pPr>
        <w:pStyle w:val="SingleTxtG"/>
        <w:numPr>
          <w:ilvl w:val="0"/>
          <w:numId w:val="14"/>
        </w:numPr>
        <w:suppressAutoHyphens w:val="0"/>
        <w:kinsoku/>
        <w:overflowPunct/>
        <w:autoSpaceDE/>
        <w:autoSpaceDN/>
        <w:adjustRightInd/>
        <w:snapToGrid/>
        <w:ind w:left="1134" w:firstLine="0"/>
        <w:rPr>
          <w:lang w:val="fr-FR"/>
        </w:rPr>
      </w:pPr>
      <w:r w:rsidRPr="00282ADF">
        <w:rPr>
          <w:lang w:val="fr-BE"/>
        </w:rPr>
        <w:t>Des initiatives se développent pour faciliter le dépôt de plainte auprès de la police, sans subir de victimisation secondaire. En Région Bruxelles-Capitale, les cellules EVA (</w:t>
      </w:r>
      <w:r w:rsidRPr="00282ADF">
        <w:rPr>
          <w:i/>
          <w:iCs/>
          <w:lang w:val="fr-BE"/>
        </w:rPr>
        <w:t xml:space="preserve">Emergency </w:t>
      </w:r>
      <w:proofErr w:type="spellStart"/>
      <w:r w:rsidRPr="00282ADF">
        <w:rPr>
          <w:i/>
          <w:iCs/>
          <w:lang w:val="fr-BE"/>
        </w:rPr>
        <w:t>Victim</w:t>
      </w:r>
      <w:proofErr w:type="spellEnd"/>
      <w:r w:rsidRPr="00282ADF">
        <w:rPr>
          <w:i/>
          <w:iCs/>
          <w:lang w:val="fr-BE"/>
        </w:rPr>
        <w:t xml:space="preserve"> Assistance</w:t>
      </w:r>
      <w:r w:rsidRPr="00282ADF">
        <w:rPr>
          <w:lang w:val="fr-BE"/>
        </w:rPr>
        <w:t xml:space="preserve">), </w:t>
      </w:r>
      <w:r w:rsidRPr="00AD68F1">
        <w:rPr>
          <w:lang w:val="fr-FR"/>
        </w:rPr>
        <w:t>composées</w:t>
      </w:r>
      <w:r w:rsidRPr="00282ADF">
        <w:rPr>
          <w:lang w:val="fr-BE"/>
        </w:rPr>
        <w:t xml:space="preserve"> de policiers formés et disposant de locaux adaptés, accueillent les victimes de violences intrafamiliales et sexuelles dans un cadre rassurant. </w:t>
      </w:r>
      <w:r w:rsidRPr="00282ADF">
        <w:rPr>
          <w:lang w:val="fr-FR"/>
        </w:rPr>
        <w:t xml:space="preserve">Les CPVS mettent également tout en œuvre pour sensibiliser les victimes de violences sexuelles au dépôt de plainte et faciliter celui-ci si les victimes souhaitent y avoir recours. </w:t>
      </w:r>
    </w:p>
    <w:p w14:paraId="4A3556FC" w14:textId="77777777" w:rsidR="00282ADF" w:rsidRPr="00282ADF" w:rsidRDefault="00282ADF" w:rsidP="00AD68F1">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Dans le cadre du suivi de la mise en œuvre de la Convention du Conseil de l’Europe sur la prévention et la lutte contre la violence à l’égard des femmes et la violence domestique, la Belgique a soumis en 2019 son </w:t>
      </w:r>
      <w:r w:rsidRPr="00282ADF">
        <w:rPr>
          <w:lang w:val="fr-BE"/>
        </w:rPr>
        <w:t>premier rapport de suivi</w:t>
      </w:r>
      <w:r w:rsidRPr="00282ADF">
        <w:rPr>
          <w:vertAlign w:val="superscript"/>
          <w:lang w:val="en-GB"/>
        </w:rPr>
        <w:endnoteReference w:id="27"/>
      </w:r>
      <w:r w:rsidRPr="00282ADF">
        <w:rPr>
          <w:lang w:val="fr-FR"/>
        </w:rPr>
        <w:t xml:space="preserve"> à l’examen du Groupe d’experts sur la lutte contre la violence à l’égard des femmes et la violence domestique. Ce rapport a servi de base pour une visite d’évaluation et le </w:t>
      </w:r>
      <w:r w:rsidRPr="00282ADF">
        <w:rPr>
          <w:lang w:val="fr-BE"/>
        </w:rPr>
        <w:t>rapport d’évaluation de référence</w:t>
      </w:r>
      <w:r w:rsidRPr="00282ADF">
        <w:rPr>
          <w:vertAlign w:val="superscript"/>
          <w:lang w:val="en-GB"/>
        </w:rPr>
        <w:endnoteReference w:id="28"/>
      </w:r>
      <w:r w:rsidRPr="00282ADF">
        <w:rPr>
          <w:lang w:val="fr-FR"/>
        </w:rPr>
        <w:t xml:space="preserve">. En 2024, la Belgique a soumis son </w:t>
      </w:r>
      <w:r w:rsidRPr="00282ADF">
        <w:rPr>
          <w:lang w:val="fr-BE"/>
        </w:rPr>
        <w:t>deuxième rapport de suivi</w:t>
      </w:r>
      <w:r w:rsidRPr="00282ADF">
        <w:rPr>
          <w:vertAlign w:val="superscript"/>
          <w:lang w:val="en-GB"/>
        </w:rPr>
        <w:endnoteReference w:id="29"/>
      </w:r>
      <w:r w:rsidRPr="00282ADF">
        <w:rPr>
          <w:lang w:val="fr-FR"/>
        </w:rPr>
        <w:t xml:space="preserve">. La deuxième évaluation de la Belgique est en cours.  </w:t>
      </w:r>
    </w:p>
    <w:p w14:paraId="7B56D6E3" w14:textId="73E9FE48" w:rsidR="00282ADF" w:rsidRPr="00282ADF" w:rsidRDefault="00AD68F1" w:rsidP="00AD68F1">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6 de la liste de questions</w:t>
      </w:r>
    </w:p>
    <w:p w14:paraId="4D7EBE65" w14:textId="77777777" w:rsidR="00282ADF" w:rsidRPr="00282ADF" w:rsidRDefault="00282ADF" w:rsidP="00C47678">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Dans le cadre des Plans d’action de lutte contre les violences basées sur le genre, des mesures soutenues financièrement par les différentes autorités du pays ont été mises en place pour garantir la poursuite des auteurs de violences commises à l’égard des femmes au nom de la culture, de la coutume, de la religion ou du prétendu «honneur» et la lutte contre les mariages forcés, et renforcer l’accueil, la prévention et la prise en charge des victimes, notamment via le soutien aux associations spécialisées. </w:t>
      </w:r>
    </w:p>
    <w:p w14:paraId="125B1351" w14:textId="77777777" w:rsidR="00282ADF" w:rsidRPr="00282ADF" w:rsidRDefault="00282ADF" w:rsidP="00C47678">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circulaire n°6/2017 fournit un cadre clair pour les fonctionnaires de police et les magistrats de parquet en matière de violences liées à l’honneur, mutilations génitales féminines (MGF), mariages forcés et mariages et cohabitations légales forcés, favorisant une approche policière et judiciaire commune</w:t>
      </w:r>
      <w:r w:rsidRPr="00282ADF">
        <w:rPr>
          <w:vertAlign w:val="superscript"/>
        </w:rPr>
        <w:endnoteReference w:id="30"/>
      </w:r>
      <w:r w:rsidRPr="00282ADF">
        <w:rPr>
          <w:lang w:val="fr-FR"/>
        </w:rPr>
        <w:t>. Elle prévoit notamment: la désignation de personnes de référence, la mise en place de plans d’approche, l’amélioration de l’enregistrement des cas, la formation des professionnels et une collaboration renforcée entre les acteurs concernés.</w:t>
      </w:r>
    </w:p>
    <w:p w14:paraId="4B00D01C" w14:textId="77777777" w:rsidR="00282ADF" w:rsidRPr="00282ADF" w:rsidRDefault="00282ADF" w:rsidP="00C47678">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En 2019, l’IEFH a publié un </w:t>
      </w:r>
      <w:r w:rsidRPr="00282ADF">
        <w:rPr>
          <w:lang w:val="fr-BE"/>
        </w:rPr>
        <w:t>Code de signalement des mariages forcés</w:t>
      </w:r>
      <w:r w:rsidRPr="00282ADF">
        <w:rPr>
          <w:lang w:val="fr-FR"/>
        </w:rPr>
        <w:t xml:space="preserve"> fournissant aux officiers d’état civil des outils concrets pour identifier et traiter ces situations de manière appropriée</w:t>
      </w:r>
      <w:r w:rsidRPr="00282ADF">
        <w:rPr>
          <w:vertAlign w:val="superscript"/>
          <w:lang w:val="en-GB"/>
        </w:rPr>
        <w:endnoteReference w:id="31"/>
      </w:r>
      <w:r w:rsidRPr="00282ADF">
        <w:rPr>
          <w:lang w:val="fr-FR"/>
        </w:rPr>
        <w:t>.</w:t>
      </w:r>
    </w:p>
    <w:p w14:paraId="793C9929" w14:textId="77777777" w:rsidR="00282ADF" w:rsidRPr="00282ADF" w:rsidRDefault="00282ADF" w:rsidP="00C47678">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loi du 18/06/2018 a étendu la possibilité de lever le secret professionnel et élargi le droit de signalement des professionnels</w:t>
      </w:r>
      <w:r w:rsidRPr="00282ADF">
        <w:rPr>
          <w:vertAlign w:val="superscript"/>
        </w:rPr>
        <w:endnoteReference w:id="32"/>
      </w:r>
      <w:r w:rsidRPr="00282ADF">
        <w:rPr>
          <w:lang w:val="fr-FR"/>
        </w:rPr>
        <w:t>. Ce droit ne s’applique plus uniquement aux MGF commises sur des mineures ou des personnes vulnérables, mais désormais également à celles perpétrées au nom de la culture, de la coutume, de la religion ou du prétendu « honneur ». Sur la base de ces signalements, le procureur du Roi peut ouvrir une information, facilitant ainsi une réaction judiciaire rapide et adaptée.</w:t>
      </w:r>
    </w:p>
    <w:p w14:paraId="24CCB5AE" w14:textId="77777777" w:rsidR="00282ADF" w:rsidRPr="00282ADF" w:rsidRDefault="00282ADF" w:rsidP="00C47678">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loi du 18/01/2024</w:t>
      </w:r>
      <w:r w:rsidRPr="00282ADF">
        <w:rPr>
          <w:vertAlign w:val="superscript"/>
          <w:lang w:val="en-GB"/>
        </w:rPr>
        <w:endnoteReference w:id="33"/>
      </w:r>
      <w:r w:rsidRPr="00282ADF">
        <w:rPr>
          <w:lang w:val="fr-FR"/>
        </w:rPr>
        <w:t xml:space="preserve"> intègre un facteur aggravant pour certaines infractions commises en présence d’</w:t>
      </w:r>
      <w:proofErr w:type="spellStart"/>
      <w:r w:rsidRPr="00282ADF">
        <w:rPr>
          <w:lang w:val="fr-FR"/>
        </w:rPr>
        <w:t>un·e</w:t>
      </w:r>
      <w:proofErr w:type="spellEnd"/>
      <w:r w:rsidRPr="00282ADF">
        <w:rPr>
          <w:lang w:val="fr-FR"/>
        </w:rPr>
        <w:t xml:space="preserve"> </w:t>
      </w:r>
      <w:proofErr w:type="spellStart"/>
      <w:r w:rsidRPr="00282ADF">
        <w:rPr>
          <w:lang w:val="fr-FR"/>
        </w:rPr>
        <w:t>mineur·e</w:t>
      </w:r>
      <w:proofErr w:type="spellEnd"/>
      <w:r w:rsidRPr="00282ADF">
        <w:rPr>
          <w:lang w:val="fr-FR"/>
        </w:rPr>
        <w:t xml:space="preserve"> comme la MGF, les coups et blessures commis dans le cadre de violences intrafamiliales, la torture, le traitement inhumain, le traitement dégradant ou le harcèlement.</w:t>
      </w:r>
    </w:p>
    <w:p w14:paraId="5C628A62" w14:textId="5D7758C5" w:rsidR="00282ADF" w:rsidRPr="00282ADF" w:rsidRDefault="00C47678" w:rsidP="00C47678">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7 de la liste de questions</w:t>
      </w:r>
    </w:p>
    <w:p w14:paraId="4B63B7F4"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Depuis de nombreuses années, le gouvernement belge coordonne la lutte contre la traite des êtres humains (TEH) au moyen de plans d’actions nationaux. Le </w:t>
      </w:r>
      <w:hyperlink r:id="rId16">
        <w:r w:rsidRPr="00282ADF">
          <w:rPr>
            <w:rStyle w:val="Hyperlink"/>
            <w:lang w:val="fr-FR"/>
          </w:rPr>
          <w:t>Plan d’action de lutte contre la traite des êtres humains 2021-2025</w:t>
        </w:r>
      </w:hyperlink>
      <w:r w:rsidRPr="00282ADF">
        <w:rPr>
          <w:lang w:val="fr-FR"/>
        </w:rPr>
        <w:t xml:space="preserve"> adopte une approche multidisciplinaire centrée sur la répression des auteurs et l’accompagnement des victimes. </w:t>
      </w:r>
    </w:p>
    <w:p w14:paraId="4B94EA20"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Malgré les efforts, le nombre de victimes identifiées reste faible et beaucoup ne reçoivent pas toujours l’aide à laquelle elles ont droit. Les statistiques sont disponibles dans les rapports publics du rapporteur national indépendant Myria</w:t>
      </w:r>
      <w:r w:rsidRPr="00282ADF">
        <w:rPr>
          <w:vertAlign w:val="superscript"/>
          <w:lang w:val="en-GB"/>
        </w:rPr>
        <w:endnoteReference w:id="34"/>
      </w:r>
      <w:r w:rsidRPr="00282ADF">
        <w:rPr>
          <w:lang w:val="fr-FR"/>
        </w:rPr>
        <w:t>.</w:t>
      </w:r>
    </w:p>
    <w:p w14:paraId="2AE6A957"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Trois centres d’accueil et d’accompagnement spécialisés offrent aux victimes du conseil, de l’information et du soutien gratuits et confidentiels. Ces centres sont subventionnés par le gouvernement fédéral, les communautés et les régions.</w:t>
      </w:r>
      <w:r w:rsidRPr="00282ADF">
        <w:rPr>
          <w:lang w:val="fr-BE"/>
        </w:rPr>
        <w:t xml:space="preserve"> </w:t>
      </w:r>
      <w:r w:rsidRPr="00282ADF">
        <w:rPr>
          <w:lang w:val="fr-FR"/>
        </w:rPr>
        <w:t>Les subsides fédéraux ont augmenté de 279.000€ par centre en 2021 à 460.000€ en 2025. Ces financements couvrent notamment le fonctionnement du point de contact centralisé mais incluent aussi une augmentation du budget de 50.000€ pour les autres missions des centres d’accueil.</w:t>
      </w:r>
    </w:p>
    <w:p w14:paraId="6DFB2EAB"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a intensifié sa lutte contre la TEH et développé de nouveaux outils d’information et de sensibilisation. </w:t>
      </w:r>
    </w:p>
    <w:p w14:paraId="583A3B93"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En 2022, un point de contact central a été créé: </w:t>
      </w:r>
      <w:hyperlink r:id="rId17">
        <w:r w:rsidRPr="00282ADF">
          <w:rPr>
            <w:rStyle w:val="Hyperlink"/>
            <w:lang w:val="fr-FR"/>
          </w:rPr>
          <w:t>www.stophumantrafficking.be/fr</w:t>
        </w:r>
      </w:hyperlink>
      <w:r w:rsidRPr="00282ADF">
        <w:rPr>
          <w:lang w:val="fr-FR"/>
        </w:rPr>
        <w:t>. Ce site, disponible en 24 langues, informe sur la TEH, permet les signalements et met en relation avec les centres d’accueil reconnus. Un signalement, en tant que victime ou témoin peut être effectué facilement, sans devoir préalablement faire une déclaration à la police. Les centres assurent la permanence, traitent les signalements, et peuvent relier les victimes à la police ou au Parquet.</w:t>
      </w:r>
    </w:p>
    <w:p w14:paraId="4D0C4E25"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2023, un nouveau numéro de téléphone unique (078.055.800) pour joindre le point contact central a été lancé. Ce numéro facilite la collaboration, l’accueil des victimes détectées, la demande d’informations et réduit les obstacles auxquels se heurtent les victimes en recherche d'aide. Les trois centres restent cependant toujours joignables 24/7, grâce à leurs numéros de téléphone fixe.</w:t>
      </w:r>
    </w:p>
    <w:p w14:paraId="6C1EAFD0"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mars 2023, les 3 centres ont coopéré avec le Centre fédéral migration (Myria) pour développer une application, «</w:t>
      </w:r>
      <w:proofErr w:type="spellStart"/>
      <w:r w:rsidRPr="00282ADF">
        <w:rPr>
          <w:lang w:val="fr-FR"/>
        </w:rPr>
        <w:t>MyEldo</w:t>
      </w:r>
      <w:proofErr w:type="spellEnd"/>
      <w:r w:rsidRPr="00282ADF">
        <w:rPr>
          <w:lang w:val="fr-FR"/>
        </w:rPr>
        <w:t xml:space="preserve">», pour améliorer la gestion des dossiers des victimes de la traite et de mieux comprendre leurs profils. Ce système de gestion de dossiers accessible et convivial, créé avec le soutien du Fonds de sécurité intérieure de l'UE, permettra d'améliorer l'analyse du phénomène de la traite en Belgique, en particulier les statistiques relatives aux victimes. </w:t>
      </w:r>
    </w:p>
    <w:p w14:paraId="704BBE9D"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Comme chaque année, les autorités belges et divers partenaires ont soutenu la campagne « Cœur bleu » visant à sensibiliser le grand public à la TEH et à son impact sur la société. À l’occasion de la campagne 2024, divers événements ont été organisés en Belgique. Des brochures et affiches ont été fournies aux autorités et partenaires de la campagne pour sensibiliser le grand public à percevoir la présence de victimes dans leur entourage. </w:t>
      </w:r>
    </w:p>
    <w:p w14:paraId="24DC7736" w14:textId="77777777" w:rsidR="00282ADF" w:rsidRPr="00282ADF" w:rsidRDefault="00282ADF" w:rsidP="003F7797">
      <w:pPr>
        <w:pStyle w:val="SingleTxtG"/>
        <w:numPr>
          <w:ilvl w:val="0"/>
          <w:numId w:val="14"/>
        </w:numPr>
        <w:suppressAutoHyphens w:val="0"/>
        <w:kinsoku/>
        <w:overflowPunct/>
        <w:autoSpaceDE/>
        <w:autoSpaceDN/>
        <w:adjustRightInd/>
        <w:snapToGrid/>
        <w:ind w:left="1134" w:firstLine="0"/>
        <w:rPr>
          <w:lang w:val="fr-FR"/>
        </w:rPr>
      </w:pPr>
      <w:r w:rsidRPr="00282ADF">
        <w:rPr>
          <w:lang w:val="fr-FR"/>
        </w:rPr>
        <w:t>Au niveau de la Région Bruxelles-Capitale et de sa périphérie, un folder a été distribué dans les hôtels en tant que projet pilote afin d’informer le personnel sur les signes de TEH, notamment à des fins d’exploitation sexuelle et de les conseiller.</w:t>
      </w:r>
    </w:p>
    <w:p w14:paraId="38D614EE" w14:textId="1C71BFA7" w:rsidR="00282ADF" w:rsidRPr="00282ADF" w:rsidRDefault="00B6786E" w:rsidP="00B6786E">
      <w:pPr>
        <w:pStyle w:val="H1G"/>
        <w:rPr>
          <w:lang w:val="fr-BE"/>
        </w:rPr>
      </w:pPr>
      <w:bookmarkStart w:id="9" w:name="_Toc200464251"/>
      <w:r>
        <w:rPr>
          <w:lang w:val="fr-BE"/>
        </w:rPr>
        <w:tab/>
      </w:r>
      <w:r>
        <w:rPr>
          <w:lang w:val="fr-BE"/>
        </w:rPr>
        <w:tab/>
      </w:r>
      <w:r w:rsidR="00282ADF" w:rsidRPr="00282ADF">
        <w:rPr>
          <w:lang w:val="fr-BE"/>
        </w:rPr>
        <w:t>Article 3</w:t>
      </w:r>
      <w:bookmarkEnd w:id="9"/>
    </w:p>
    <w:p w14:paraId="07EDBECA" w14:textId="0AC31817" w:rsidR="00282ADF" w:rsidRPr="00282ADF" w:rsidRDefault="00B6786E" w:rsidP="00B6786E">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8 de la liste de questions</w:t>
      </w:r>
    </w:p>
    <w:p w14:paraId="46BCF412" w14:textId="6E26CF64" w:rsidR="00282ADF" w:rsidRPr="00282ADF" w:rsidRDefault="00B6786E" w:rsidP="00B6786E">
      <w:pPr>
        <w:pStyle w:val="H23G"/>
        <w:rPr>
          <w:lang w:val="fr-BE"/>
        </w:rPr>
      </w:pPr>
      <w:r>
        <w:rPr>
          <w:lang w:val="fr-BE"/>
        </w:rPr>
        <w:tab/>
      </w:r>
      <w:r>
        <w:rPr>
          <w:lang w:val="fr-BE"/>
        </w:rPr>
        <w:tab/>
      </w:r>
      <w:r w:rsidR="00282ADF" w:rsidRPr="00282ADF">
        <w:rPr>
          <w:lang w:val="fr-BE"/>
        </w:rPr>
        <w:t>Garanties procédurales contre le refoulement</w:t>
      </w:r>
    </w:p>
    <w:p w14:paraId="59EC2237"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bookmarkStart w:id="10" w:name="_Hlk195706608"/>
      <w:r w:rsidRPr="00282ADF">
        <w:rPr>
          <w:lang w:val="fr-BE"/>
        </w:rPr>
        <w:t>Toute personne craignant un risque de refoulement, de persécution, ou d’atteinte grave, en ce compris un risque de torture</w:t>
      </w:r>
      <w:r w:rsidRPr="00282ADF">
        <w:rPr>
          <w:vertAlign w:val="superscript"/>
          <w:lang w:val="en-GB"/>
        </w:rPr>
        <w:endnoteReference w:id="35"/>
      </w:r>
      <w:r w:rsidRPr="00282ADF">
        <w:rPr>
          <w:lang w:val="fr-BE"/>
        </w:rPr>
        <w:t xml:space="preserve"> peut introduire une demande d’asile en Belgique (désormais officiellement «</w:t>
      </w:r>
      <w:r w:rsidRPr="00282ADF">
        <w:rPr>
          <w:i/>
          <w:lang w:val="fr-BE"/>
        </w:rPr>
        <w:t>demande de protection internationale</w:t>
      </w:r>
      <w:r w:rsidRPr="00282ADF">
        <w:rPr>
          <w:lang w:val="fr-BE"/>
        </w:rPr>
        <w:t>») auprès de l’Office des étrangers (OE)</w:t>
      </w:r>
      <w:r w:rsidRPr="00282ADF">
        <w:rPr>
          <w:vertAlign w:val="superscript"/>
          <w:lang w:val="en-GB"/>
        </w:rPr>
        <w:endnoteReference w:id="36"/>
      </w:r>
      <w:r w:rsidRPr="00282ADF">
        <w:rPr>
          <w:lang w:val="fr-BE"/>
        </w:rPr>
        <w:t xml:space="preserve">. La demande de protection </w:t>
      </w:r>
      <w:r w:rsidRPr="00B6786E">
        <w:rPr>
          <w:lang w:val="fr-FR"/>
        </w:rPr>
        <w:t>internationale</w:t>
      </w:r>
      <w:r w:rsidRPr="00282ADF">
        <w:rPr>
          <w:lang w:val="fr-BE"/>
        </w:rPr>
        <w:t xml:space="preserve"> est ensuite examinée par le CGRA (pour autant que le Règlement Dublin ne s’applique pas), une autorité administrative indépendante, et, en cas de recours, par le Conseil du contentieux des étrangers (CCE), une juridiction administrative. </w:t>
      </w:r>
    </w:p>
    <w:p w14:paraId="52E9835A"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Pendant l’examen de la demande par le CGRA, aucun éloignement forcé ne peut être exécuté, conformément au principe de non-refoulement qui doit être respecté dans le cadre de la procédure de protection internationale</w:t>
      </w:r>
      <w:r w:rsidRPr="00282ADF">
        <w:rPr>
          <w:vertAlign w:val="superscript"/>
          <w:lang w:val="en-GB"/>
        </w:rPr>
        <w:endnoteReference w:id="37"/>
      </w:r>
      <w:r w:rsidRPr="00282ADF">
        <w:rPr>
          <w:lang w:val="fr-BE"/>
        </w:rPr>
        <w:t xml:space="preserve">. </w:t>
      </w:r>
    </w:p>
    <w:p w14:paraId="6360F8B2"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Tous les demandeurs, y compris originaires de pays dits sûrs, sont entendus lors d’un entretien personnel par un officier de protection spécialisé du CGRA. Les demandeurs peuvent se faire assister par un avocat payé sur fonds publics et par une personne de confiance. Ils peuvent produire les documents qu’ils jugent susceptibles d’étayer leurs craintes de torture et/ou de mauvais traitements dans leur pays d’origine.  </w:t>
      </w:r>
    </w:p>
    <w:p w14:paraId="1A31BF2D"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protection internationale est octroyée par le CGRA (et en recours par le CCE) aux demandeurs ayant une crainte réelle de persécution ou qui sont exposés à un risque réel de torture ou de traitements ou sanctions inhumains ou dégradants dans leur pays d’origine. Dans certains cas, le CGRA doit donner un avis spécifique sur le risque de refoulement encouru par le demandeur, par exemple lorsqu’il est exclu de la protection internationale (notamment pour crime grave) ou que la protection lui est refusée ou retirée pour des raisons d’ordre public ou de sécurité nationale. L’objectif est d’alerter l’autorité en charge de l’éloignement (l’OE) des risques de refoulement encourus par le demandeur en cas de retour malgré que sa demande de protection internationale n’ait pu être acceptée.</w:t>
      </w:r>
    </w:p>
    <w:p w14:paraId="017FD427"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Pour assurer l’accessibilité de la procédure, le CGRA a élaboré un site web</w:t>
      </w:r>
      <w:r w:rsidRPr="00282ADF">
        <w:rPr>
          <w:vertAlign w:val="superscript"/>
          <w:lang w:val="en-GB"/>
        </w:rPr>
        <w:endnoteReference w:id="38"/>
      </w:r>
      <w:r w:rsidRPr="00282ADF">
        <w:rPr>
          <w:lang w:val="fr-BE"/>
        </w:rPr>
        <w:t xml:space="preserve">, disponible en 7 langues, expliquant, via des capsules vidéos et enregistrements audio, les démarches pour introduire valablement une demande de protection en Belgique. </w:t>
      </w:r>
      <w:bookmarkEnd w:id="10"/>
    </w:p>
    <w:p w14:paraId="1FFA957E" w14:textId="74E8C5E1" w:rsidR="00282ADF" w:rsidRPr="00282ADF" w:rsidRDefault="00B6786E" w:rsidP="00B6786E">
      <w:pPr>
        <w:pStyle w:val="H23G"/>
        <w:rPr>
          <w:lang w:val="fr-BE"/>
        </w:rPr>
      </w:pPr>
      <w:r>
        <w:rPr>
          <w:lang w:val="fr-BE"/>
        </w:rPr>
        <w:tab/>
      </w:r>
      <w:r>
        <w:rPr>
          <w:lang w:val="fr-BE"/>
        </w:rPr>
        <w:tab/>
      </w:r>
      <w:r w:rsidR="00282ADF" w:rsidRPr="00282ADF">
        <w:rPr>
          <w:lang w:val="fr-BE"/>
        </w:rPr>
        <w:t xml:space="preserve">Décision d’extradition et accès à des procédures d’asile équitables </w:t>
      </w:r>
    </w:p>
    <w:p w14:paraId="6B45B486"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FR"/>
        </w:rPr>
      </w:pPr>
      <w:r w:rsidRPr="00282ADF">
        <w:rPr>
          <w:lang w:val="fr-BE"/>
        </w:rPr>
        <w:t>En Belgique, toute personne faisant l’objet d’une demande d’extradition peut introduire une demande de protection internationale. Lorsqu’une procédure d’asile est en cours et que l’extradition a été accordée, la remise à la frontière est suspendue jusqu’à la fin de la procédure. L’extradition est refusée si la personne réclamée obtient ou a déjà obtenu le statut de réfugié.</w:t>
      </w:r>
    </w:p>
    <w:p w14:paraId="6C2B7565"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L’extradition est également refusée s’il existe des risques sérieux que la personne soit soumise à un déni flagrant de justice ou à des faits de torture ou de traitements inhumains et dégradants dans l’</w:t>
      </w:r>
      <w:proofErr w:type="spellStart"/>
      <w:r w:rsidRPr="00282ADF">
        <w:rPr>
          <w:lang w:val="fr-BE"/>
        </w:rPr>
        <w:t>Etat</w:t>
      </w:r>
      <w:proofErr w:type="spellEnd"/>
      <w:r w:rsidRPr="00282ADF">
        <w:rPr>
          <w:lang w:val="fr-BE"/>
        </w:rPr>
        <w:t xml:space="preserve"> requérant. Dans les traités bilatéraux d’extradition négociés récemment, la Belgique a systématiquement exigé l’insertion d’un motif de refus explicite lié à la torture et aux traitements inhumains et dégradants. Chaque procédure d’extradition fait l’objet d’une vérification </w:t>
      </w:r>
      <w:r w:rsidRPr="00282ADF">
        <w:rPr>
          <w:i/>
          <w:iCs/>
          <w:lang w:val="fr-BE"/>
        </w:rPr>
        <w:t>in</w:t>
      </w:r>
      <w:r w:rsidRPr="00282ADF">
        <w:rPr>
          <w:lang w:val="fr-BE"/>
        </w:rPr>
        <w:t xml:space="preserve"> </w:t>
      </w:r>
      <w:proofErr w:type="spellStart"/>
      <w:r w:rsidRPr="00282ADF">
        <w:rPr>
          <w:i/>
          <w:iCs/>
          <w:lang w:val="fr-BE"/>
        </w:rPr>
        <w:t>concreto</w:t>
      </w:r>
      <w:proofErr w:type="spellEnd"/>
      <w:r w:rsidRPr="00282ADF">
        <w:rPr>
          <w:lang w:val="fr-BE"/>
        </w:rPr>
        <w:t>.</w:t>
      </w:r>
    </w:p>
    <w:p w14:paraId="5A439DE6"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 respect des droits fondamentaux est garanti par un contrôle systématique – dans le cadre de la procédure d’</w:t>
      </w:r>
      <w:r w:rsidRPr="00282ADF">
        <w:rPr>
          <w:i/>
          <w:iCs/>
          <w:lang w:val="fr-BE"/>
        </w:rPr>
        <w:t>exequatur</w:t>
      </w:r>
      <w:r w:rsidRPr="00282ADF">
        <w:rPr>
          <w:lang w:val="fr-BE"/>
        </w:rPr>
        <w:t xml:space="preserve"> – par la Chambre du conseil ainsi que la Chambre des mises en accusation, avec possibilité de recours en cassation. Lors de l’audience précédant l’avis de la Chambre des mises en accusation, la personne peut démontrer un risque individuel, sérieux et actuel de torture ou de mauvais traitements en cas d’extradition vers le pays requérant. La Chambre évalue ce risque et émet un avis favorable ou défavorable, en mobilisant souvent les normes et rapports du Comité anti-torture du Conseil de l'Europe, les rapports des Nations Unies et d’ONG. En cas de doute, des contacts peuvent être pris avec les autorités du pays requérant pour obtenir des explications et/ou engagements écrits. La Chambre des mises en accusation peut aussi se prononcer favorablement sous réserve de l’obtention préalable de garanties, notamment concernant le régime qui serait appliqué i</w:t>
      </w:r>
      <w:r w:rsidRPr="00282ADF">
        <w:rPr>
          <w:i/>
          <w:iCs/>
          <w:lang w:val="fr-BE"/>
        </w:rPr>
        <w:t xml:space="preserve">n </w:t>
      </w:r>
      <w:proofErr w:type="spellStart"/>
      <w:r w:rsidRPr="00282ADF">
        <w:rPr>
          <w:i/>
          <w:iCs/>
          <w:lang w:val="fr-BE"/>
        </w:rPr>
        <w:t>concreto</w:t>
      </w:r>
      <w:proofErr w:type="spellEnd"/>
      <w:r w:rsidRPr="00282ADF">
        <w:rPr>
          <w:lang w:val="fr-BE"/>
        </w:rPr>
        <w:t xml:space="preserve"> à un individu. Un recours contre les arrêtés ministériels d’extradition est possible auprès du Conseil d’</w:t>
      </w:r>
      <w:proofErr w:type="spellStart"/>
      <w:r w:rsidRPr="00282ADF">
        <w:rPr>
          <w:lang w:val="fr-BE"/>
        </w:rPr>
        <w:t>Etat</w:t>
      </w:r>
      <w:proofErr w:type="spellEnd"/>
      <w:r w:rsidRPr="00282ADF">
        <w:rPr>
          <w:lang w:val="fr-BE"/>
        </w:rPr>
        <w:t xml:space="preserve">, qui peut prononcer leur suspension ou annulation. </w:t>
      </w:r>
    </w:p>
    <w:p w14:paraId="6F0D6448" w14:textId="77777777" w:rsidR="00282ADF" w:rsidRPr="00282ADF" w:rsidRDefault="00282ADF" w:rsidP="00B6786E">
      <w:pPr>
        <w:pStyle w:val="SingleTxtG"/>
        <w:numPr>
          <w:ilvl w:val="0"/>
          <w:numId w:val="14"/>
        </w:numPr>
        <w:suppressAutoHyphens w:val="0"/>
        <w:kinsoku/>
        <w:overflowPunct/>
        <w:autoSpaceDE/>
        <w:autoSpaceDN/>
        <w:adjustRightInd/>
        <w:snapToGrid/>
        <w:ind w:left="1134" w:firstLine="0"/>
        <w:rPr>
          <w:lang w:val="fr-BE"/>
        </w:rPr>
      </w:pPr>
      <w:r w:rsidRPr="00282ADF">
        <w:rPr>
          <w:lang w:val="fr-BE"/>
        </w:rPr>
        <w:t>En outre, lorsqu'une demande de protection internationale est introduite dans une situation de détention (prison, centre de détention, lieu d'hébergement), les garanties nécessaires sont toujours fournies concernant l'évaluation des besoins procéduraux au cours de la procédure.</w:t>
      </w:r>
    </w:p>
    <w:p w14:paraId="6FCD154A" w14:textId="63AB9558" w:rsidR="00282ADF" w:rsidRPr="00282ADF" w:rsidRDefault="009D75F2" w:rsidP="009D75F2">
      <w:pPr>
        <w:pStyle w:val="H23G"/>
        <w:rPr>
          <w:lang w:val="fr-BE"/>
        </w:rPr>
      </w:pPr>
      <w:r>
        <w:rPr>
          <w:lang w:val="fr-BE"/>
        </w:rPr>
        <w:tab/>
      </w:r>
      <w:r>
        <w:rPr>
          <w:lang w:val="fr-BE"/>
        </w:rPr>
        <w:tab/>
      </w:r>
      <w:r w:rsidR="00282ADF" w:rsidRPr="00282ADF">
        <w:rPr>
          <w:lang w:val="fr-BE"/>
        </w:rPr>
        <w:t>Identification et prise en charge des demandeurs</w:t>
      </w:r>
      <w:r w:rsidR="00282ADF" w:rsidRPr="00282ADF">
        <w:rPr>
          <w:lang w:val="fr-FR"/>
        </w:rPr>
        <w:t>·</w:t>
      </w:r>
      <w:proofErr w:type="spellStart"/>
      <w:r w:rsidR="00282ADF" w:rsidRPr="00282ADF">
        <w:rPr>
          <w:lang w:val="fr-BE"/>
        </w:rPr>
        <w:t>deuses</w:t>
      </w:r>
      <w:proofErr w:type="spellEnd"/>
      <w:r w:rsidR="00282ADF" w:rsidRPr="00282ADF">
        <w:rPr>
          <w:lang w:val="fr-BE"/>
        </w:rPr>
        <w:t xml:space="preserve"> de protection internationale en situation de vulnérabilité </w:t>
      </w:r>
    </w:p>
    <w:p w14:paraId="29B6B0E5" w14:textId="77777777" w:rsidR="00282ADF" w:rsidRPr="00282ADF" w:rsidRDefault="00282ADF" w:rsidP="009D75F2">
      <w:pPr>
        <w:pStyle w:val="SingleTxtG"/>
        <w:numPr>
          <w:ilvl w:val="0"/>
          <w:numId w:val="14"/>
        </w:numPr>
        <w:suppressAutoHyphens w:val="0"/>
        <w:kinsoku/>
        <w:overflowPunct/>
        <w:autoSpaceDE/>
        <w:autoSpaceDN/>
        <w:adjustRightInd/>
        <w:snapToGrid/>
        <w:ind w:left="1134" w:firstLine="0"/>
        <w:rPr>
          <w:lang w:val="fr-BE"/>
        </w:rPr>
      </w:pPr>
      <w:r w:rsidRPr="00282ADF">
        <w:rPr>
          <w:lang w:val="fr-BE"/>
        </w:rPr>
        <w:t>Lors de l'interception d'une personne en séjour irrégulier (et lors de la rédaction d'un rapport administratif sur le contrôle des étrangers), la police peut cocher la case prévue pour les victimes de TEH de sorte qu’en principe, aucune détention ne sera demandée et la victime potentielle sera/pourra être orientée vers un centre spécialisé.</w:t>
      </w:r>
    </w:p>
    <w:p w14:paraId="60AD0227"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L’identification des vulnérabilités et/ou besoins procéduraux est un processus continu qui peut avoir un impact sur le déroulement de la procédure d’asile et sur l'attribution d'un accueil approprié pendant la procédure.</w:t>
      </w:r>
    </w:p>
    <w:p w14:paraId="68387E83"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Dès l’enregistrement de la demande de protection internationale, les agents de l’OE effectuent un premier </w:t>
      </w:r>
      <w:r w:rsidRPr="00282ADF">
        <w:rPr>
          <w:i/>
          <w:lang w:val="fr-BE"/>
        </w:rPr>
        <w:t>screening</w:t>
      </w:r>
      <w:r w:rsidRPr="00282ADF">
        <w:rPr>
          <w:lang w:val="fr-BE"/>
        </w:rPr>
        <w:t xml:space="preserve"> des besoins procéduraux spéciaux et vulnérabilités éventuelles du demandeur via un questionnaire spécifique. Une nouvelle vérification est effectuée lors de l’audition qui se déroule par la suite. Ces besoins peuvent résulter de toute situation de vulnérabilité, tels que les troubles mentaux, les </w:t>
      </w:r>
      <w:r w:rsidRPr="00282ADF">
        <w:rPr>
          <w:i/>
          <w:lang w:val="fr-BE"/>
        </w:rPr>
        <w:t>PTSD</w:t>
      </w:r>
      <w:r w:rsidRPr="00282ADF">
        <w:rPr>
          <w:lang w:val="fr-BE"/>
        </w:rPr>
        <w:t>, ou les vulnérabilités propres aux victimes de violences de genre, ou de faits de torture. L’OE dispose de services spécialisés en matière de TEH et dans l’identification et le traitement des dossiers de personnes présentant des vulnérabilités spécifiques ou besoins particuliers. L’OE accorde une attention particulière aux mineurs étrangers non-accompagnés (MENA) et à leur victimisation potentielle dès l'enregistrement de leur demande de protection internationale. Pour les centres de détention, une libération et un transfert vers un centre d’accueil spécialisé peuvent être envisagés.</w:t>
      </w:r>
    </w:p>
    <w:p w14:paraId="5A5A5A74"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L’instance chargée de l’hébergement des demandeurs de protection internationale (</w:t>
      </w:r>
      <w:proofErr w:type="spellStart"/>
      <w:r w:rsidRPr="00282ADF">
        <w:rPr>
          <w:lang w:val="fr-BE"/>
        </w:rPr>
        <w:t>Fedasil</w:t>
      </w:r>
      <w:proofErr w:type="spellEnd"/>
      <w:r w:rsidRPr="00282ADF">
        <w:rPr>
          <w:lang w:val="fr-BE"/>
        </w:rPr>
        <w:t>) peut également indiquer qu’un demandeur a des besoins procéduraux spéciaux et/ou vulnérabilités. Les demandeurs peuvent aussi signaler des éléments complémentaires au CGRA lors de leur entretien personnel. L’objectif est que chaque demandeur puisse prendre pleinement part à sa procédure d’asile, notamment à son audition, et qu’il bénéficie correctement de tous les droits que la réglementation lui reconnaît en tant que demandeur de protection internationale, et qu’il puisse se conformer aux obligations qui pèsent sur lui à ce titre.</w:t>
      </w:r>
    </w:p>
    <w:p w14:paraId="574CFF70"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Depuis 2023, le CGRA a lancé un projet axé sur la santé physique et mentale des demandeurs de protection internationale</w:t>
      </w:r>
      <w:r w:rsidRPr="00282ADF">
        <w:rPr>
          <w:bCs/>
          <w:lang w:val="fr-BE"/>
        </w:rPr>
        <w:t xml:space="preserve"> présentant des vulnérabilités physiques ou mentales</w:t>
      </w:r>
      <w:r w:rsidRPr="00282ADF">
        <w:rPr>
          <w:lang w:val="fr-BE"/>
        </w:rPr>
        <w:t xml:space="preserve"> et sur leur </w:t>
      </w:r>
      <w:r w:rsidRPr="00282ADF">
        <w:rPr>
          <w:bCs/>
          <w:lang w:val="fr-BE"/>
        </w:rPr>
        <w:t xml:space="preserve">participation effective à la procédure. Ce </w:t>
      </w:r>
      <w:r w:rsidRPr="00551894">
        <w:rPr>
          <w:lang w:val="fr-BE"/>
        </w:rPr>
        <w:t>projet</w:t>
      </w:r>
      <w:r w:rsidRPr="00282ADF">
        <w:rPr>
          <w:bCs/>
          <w:lang w:val="fr-BE"/>
        </w:rPr>
        <w:t xml:space="preserve"> vise notamment à</w:t>
      </w:r>
      <w:r w:rsidRPr="00282ADF">
        <w:rPr>
          <w:lang w:val="fr-BE"/>
        </w:rPr>
        <w:t> </w:t>
      </w:r>
      <w:r w:rsidRPr="00282ADF">
        <w:rPr>
          <w:bCs/>
          <w:lang w:val="fr-BE"/>
        </w:rPr>
        <w:t>l’identification précoce</w:t>
      </w:r>
      <w:r w:rsidRPr="00282ADF">
        <w:rPr>
          <w:lang w:val="fr-BE"/>
        </w:rPr>
        <w:t xml:space="preserve"> des vulnérabilités médico-psychologiques, à la facilitation de la </w:t>
      </w:r>
      <w:r w:rsidRPr="00282ADF">
        <w:rPr>
          <w:bCs/>
          <w:lang w:val="fr-BE"/>
        </w:rPr>
        <w:t>circulation de l’information</w:t>
      </w:r>
      <w:r w:rsidRPr="00282ADF">
        <w:rPr>
          <w:lang w:val="fr-BE"/>
        </w:rPr>
        <w:t xml:space="preserve"> et au développement de</w:t>
      </w:r>
      <w:r w:rsidRPr="00282ADF">
        <w:rPr>
          <w:bCs/>
          <w:lang w:val="fr-BE"/>
        </w:rPr>
        <w:t xml:space="preserve"> formations et outils </w:t>
      </w:r>
      <w:r w:rsidRPr="00282ADF">
        <w:rPr>
          <w:lang w:val="fr-BE"/>
        </w:rPr>
        <w:t xml:space="preserve">à l’intention des officiers de protection. </w:t>
      </w:r>
    </w:p>
    <w:p w14:paraId="3FF049B9"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 juin 2024, le CGRA a élaboré des recommandations destinées aux professionnels de santé afin que les éléments d’ordre médical et psychologique qui lui sont transmis soient suffisamment clairs et complets pour appréhender correctement la situation des demandeurs et répondre efficacement à leurs besoins procéduraux. L’objectif est d’assurer une égalité de traitement pour tous les demandeurs, indépendamment de leur situation médicale. </w:t>
      </w:r>
    </w:p>
    <w:p w14:paraId="0049167A" w14:textId="489FE67A" w:rsidR="00282ADF" w:rsidRPr="00282ADF" w:rsidRDefault="00551894" w:rsidP="00551894">
      <w:pPr>
        <w:pStyle w:val="H23G"/>
        <w:rPr>
          <w:lang w:val="fr-BE"/>
        </w:rPr>
      </w:pPr>
      <w:r>
        <w:rPr>
          <w:lang w:val="fr-BE"/>
        </w:rPr>
        <w:tab/>
      </w:r>
      <w:r>
        <w:rPr>
          <w:lang w:val="fr-BE"/>
        </w:rPr>
        <w:tab/>
      </w:r>
      <w:r w:rsidR="00282ADF" w:rsidRPr="00282ADF">
        <w:rPr>
          <w:lang w:val="fr-BE"/>
        </w:rPr>
        <w:t>Identification et prise en charge des demandeurs</w:t>
      </w:r>
      <w:r w:rsidR="00282ADF" w:rsidRPr="00282ADF">
        <w:rPr>
          <w:lang w:val="fr-FR"/>
        </w:rPr>
        <w:t>·</w:t>
      </w:r>
      <w:proofErr w:type="spellStart"/>
      <w:r w:rsidR="00282ADF" w:rsidRPr="00282ADF">
        <w:rPr>
          <w:lang w:val="fr-BE"/>
        </w:rPr>
        <w:t>deuses</w:t>
      </w:r>
      <w:proofErr w:type="spellEnd"/>
      <w:r w:rsidR="00282ADF" w:rsidRPr="00282ADF">
        <w:rPr>
          <w:lang w:val="fr-BE"/>
        </w:rPr>
        <w:t xml:space="preserve"> de protection internationale victimes de violence fondées sur le genre</w:t>
      </w:r>
    </w:p>
    <w:p w14:paraId="0EEFF8C0"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Une attention particulière est également apportée à l’identification et à la prise en charge des demandeurs</w:t>
      </w:r>
      <w:r w:rsidRPr="00282ADF">
        <w:rPr>
          <w:lang w:val="fr-FR"/>
        </w:rPr>
        <w:t>·</w:t>
      </w:r>
      <w:proofErr w:type="spellStart"/>
      <w:r w:rsidRPr="00282ADF">
        <w:rPr>
          <w:lang w:val="fr-BE"/>
        </w:rPr>
        <w:t>deuses</w:t>
      </w:r>
      <w:proofErr w:type="spellEnd"/>
      <w:r w:rsidRPr="00282ADF">
        <w:rPr>
          <w:lang w:val="fr-BE"/>
        </w:rPr>
        <w:t xml:space="preserve"> de protection internationale victimes de violence fondées sur le genre. </w:t>
      </w:r>
    </w:p>
    <w:p w14:paraId="27269A98"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bCs/>
          <w:lang w:val="fr-BE"/>
        </w:rPr>
      </w:pPr>
      <w:r w:rsidRPr="00282ADF">
        <w:rPr>
          <w:lang w:val="fr-BE"/>
        </w:rPr>
        <w:t>Au sein de l’OE, une formation générique «</w:t>
      </w:r>
      <w:proofErr w:type="spellStart"/>
      <w:r w:rsidRPr="00282ADF">
        <w:rPr>
          <w:i/>
          <w:iCs/>
          <w:lang w:val="fr-BE"/>
        </w:rPr>
        <w:t>Gender</w:t>
      </w:r>
      <w:proofErr w:type="spellEnd"/>
      <w:r w:rsidRPr="00282ADF">
        <w:rPr>
          <w:i/>
          <w:iCs/>
          <w:lang w:val="fr-BE"/>
        </w:rPr>
        <w:t xml:space="preserve"> in the Practice of the Immigration Office</w:t>
      </w:r>
      <w:r w:rsidRPr="00282ADF">
        <w:rPr>
          <w:lang w:val="fr-BE"/>
        </w:rPr>
        <w:t xml:space="preserve">» a été suivie par 178 agents en 2023-2024. Les concepts de non-refoulement, d'exposition à des traitements </w:t>
      </w:r>
      <w:r w:rsidRPr="00282ADF">
        <w:rPr>
          <w:bCs/>
          <w:lang w:val="fr-BE"/>
        </w:rPr>
        <w:t xml:space="preserve">dégradants, les </w:t>
      </w:r>
      <w:r w:rsidRPr="00551894">
        <w:rPr>
          <w:lang w:val="fr-BE"/>
        </w:rPr>
        <w:t>différents</w:t>
      </w:r>
      <w:r w:rsidRPr="00282ADF">
        <w:rPr>
          <w:bCs/>
          <w:lang w:val="fr-BE"/>
        </w:rPr>
        <w:t xml:space="preserve"> types de victimes de violence et d'exploitation, les différents groupes vulnérables et les besoins spécifiques y sont notamment expliqués. </w:t>
      </w:r>
    </w:p>
    <w:p w14:paraId="0F058DF2"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bCs/>
          <w:lang w:val="fr-BE"/>
        </w:rPr>
        <w:t>Lors de l’audition par l’OE, des questions sont posées aux demandeurs</w:t>
      </w:r>
      <w:r w:rsidRPr="00282ADF">
        <w:rPr>
          <w:lang w:val="fr-FR"/>
        </w:rPr>
        <w:t>·</w:t>
      </w:r>
      <w:proofErr w:type="spellStart"/>
      <w:r w:rsidRPr="00282ADF">
        <w:rPr>
          <w:bCs/>
          <w:lang w:val="fr-BE"/>
        </w:rPr>
        <w:t>deuses</w:t>
      </w:r>
      <w:proofErr w:type="spellEnd"/>
      <w:r w:rsidRPr="00282ADF">
        <w:rPr>
          <w:bCs/>
          <w:lang w:val="fr-BE"/>
        </w:rPr>
        <w:t xml:space="preserve"> notamment quant au fait d’être entendu par un agent masculin ou féminin, d’indiquer s’il/elle a des problèmes à faire son audition avec un interprète masculin ou féminin désigné ou des difficultés à raconter son histoire et les motifs qui en sont à l’origine.</w:t>
      </w:r>
    </w:p>
    <w:p w14:paraId="632348F7"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bCs/>
          <w:lang w:val="fr-BE"/>
        </w:rPr>
        <w:t>Dans le cadre de la détention de personnes transgenres par l’OE, l'</w:t>
      </w:r>
      <w:proofErr w:type="spellStart"/>
      <w:r w:rsidRPr="00282ADF">
        <w:rPr>
          <w:bCs/>
          <w:lang w:val="fr-BE"/>
        </w:rPr>
        <w:t>auto-identification</w:t>
      </w:r>
      <w:proofErr w:type="spellEnd"/>
      <w:r w:rsidRPr="00282ADF">
        <w:rPr>
          <w:bCs/>
          <w:lang w:val="fr-BE"/>
        </w:rPr>
        <w:t xml:space="preserve"> est utilisée pour éviter tout traitement indésirable ou stigmatisant. Les centres de détention accueillant régulièrement des personnes transgenres disposent d'un groupe de travail interne sur le genre, d'un point de contact spécialisé sur le genre et d'une note de service formalisant l'attention portée à leurs besoins spécifiques. Depuis l’examen du précédent rapport, tous les officiers de protection du CGRA ont été formés pour mener des entretiens avec des personnes invoquant des violences liées au genre. </w:t>
      </w:r>
      <w:r w:rsidRPr="00282ADF">
        <w:rPr>
          <w:lang w:val="fr-BE"/>
        </w:rPr>
        <w:t>Les officiers spécialisés (aux thématiques liées au genre, aux vulnérabilités, etc.) se voient confier, en priorité, les dossiers de personnes ayant des besoins procéduraux spéciaux.</w:t>
      </w:r>
    </w:p>
    <w:p w14:paraId="5BB31394"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Des directives internes du CGRA traitent des différentes formes de violences liées au genre, devant être appliquées par tous les officiers de protection. Voici les principales instructions:</w:t>
      </w:r>
    </w:p>
    <w:p w14:paraId="00030B88" w14:textId="77777777" w:rsidR="00282ADF" w:rsidRPr="00282ADF" w:rsidRDefault="00282ADF" w:rsidP="00551894">
      <w:pPr>
        <w:pStyle w:val="Bullet1G"/>
        <w:rPr>
          <w:lang w:val="fr-BE"/>
        </w:rPr>
      </w:pPr>
      <w:r w:rsidRPr="00282ADF">
        <w:rPr>
          <w:lang w:val="fr-BE"/>
        </w:rPr>
        <w:t>Les femmes et filles demandeuses de protection peuvent demander à être entendues par une officier de protection de sexe féminin;</w:t>
      </w:r>
    </w:p>
    <w:p w14:paraId="0FDE1010" w14:textId="77777777" w:rsidR="00282ADF" w:rsidRPr="00282ADF" w:rsidRDefault="00282ADF" w:rsidP="00551894">
      <w:pPr>
        <w:pStyle w:val="Bullet1G"/>
        <w:rPr>
          <w:lang w:val="fr-BE"/>
        </w:rPr>
      </w:pPr>
      <w:r w:rsidRPr="00282ADF">
        <w:rPr>
          <w:lang w:val="fr-BE"/>
        </w:rPr>
        <w:t>Les officiers de protection doivent instaurer un climat de confiance, dès le début de l’entretien, insister sur la neutralité de l’interprète et le caractère strictement confidentiel des informations révélées pendant l’entretien;</w:t>
      </w:r>
    </w:p>
    <w:p w14:paraId="551AFD5F" w14:textId="77777777" w:rsidR="00282ADF" w:rsidRPr="00282ADF" w:rsidRDefault="00282ADF" w:rsidP="00551894">
      <w:pPr>
        <w:pStyle w:val="Bullet1G"/>
        <w:rPr>
          <w:lang w:val="fr-BE"/>
        </w:rPr>
      </w:pPr>
      <w:r w:rsidRPr="00282ADF">
        <w:rPr>
          <w:lang w:val="fr-BE"/>
        </w:rPr>
        <w:t>Les officiers doivent rester attentifs au fait que les parcours migratoires peuvent être extrêmement dangereux en termes de risque de violences sexuelles pour certains groupes vulnérables tels que les femmes seules, les mères célibataires ou les mineur</w:t>
      </w:r>
      <w:r w:rsidRPr="00282ADF">
        <w:rPr>
          <w:lang w:val="fr-FR"/>
        </w:rPr>
        <w:t>·</w:t>
      </w:r>
      <w:r w:rsidRPr="00282ADF">
        <w:rPr>
          <w:lang w:val="fr-BE"/>
        </w:rPr>
        <w:t>e</w:t>
      </w:r>
      <w:r w:rsidRPr="00282ADF">
        <w:rPr>
          <w:lang w:val="fr-FR"/>
        </w:rPr>
        <w:t>·</w:t>
      </w:r>
      <w:r w:rsidRPr="00282ADF">
        <w:rPr>
          <w:lang w:val="fr-BE"/>
        </w:rPr>
        <w:t xml:space="preserve">s; </w:t>
      </w:r>
    </w:p>
    <w:p w14:paraId="0776F8B9" w14:textId="77777777" w:rsidR="00282ADF" w:rsidRPr="00282ADF" w:rsidRDefault="00282ADF" w:rsidP="00551894">
      <w:pPr>
        <w:pStyle w:val="Bullet1G"/>
        <w:rPr>
          <w:lang w:val="fr-BE"/>
        </w:rPr>
      </w:pPr>
      <w:r w:rsidRPr="00282ADF">
        <w:rPr>
          <w:lang w:val="fr-BE"/>
        </w:rPr>
        <w:t>Lorsque des demandeurs et demandeuses de protection internationale proviennent de pays présentant un très haut taux de prévalence de MGF (plus de 85%) et incluent des filles mineures, les officiers doivent proactivement aborder le sujet, même s’il n’est pas invoqué spontanément;</w:t>
      </w:r>
    </w:p>
    <w:p w14:paraId="7A308CD9" w14:textId="77777777" w:rsidR="00282ADF" w:rsidRPr="00282ADF" w:rsidRDefault="00282ADF" w:rsidP="00551894">
      <w:pPr>
        <w:pStyle w:val="Bullet1G"/>
        <w:rPr>
          <w:lang w:val="fr-BE"/>
        </w:rPr>
      </w:pPr>
      <w:r w:rsidRPr="00282ADF">
        <w:rPr>
          <w:lang w:val="fr-BE"/>
        </w:rPr>
        <w:t xml:space="preserve">Les entretiens au cours duquel un parent doit aborder des violences sexuelles subies ne peut jamais se tenir en présence d’un enfant en âge de comprendre les déclarations. </w:t>
      </w:r>
    </w:p>
    <w:p w14:paraId="756E036E" w14:textId="1FCE008D"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 Plus de 150 interprètes travaillant pour le CGRA ont reçu une formation les sensibilisant aux besoins et spécificités des victimes de violences liées au genre et leur fournissant des instructions adéquates en matière de traduction/interprétation. </w:t>
      </w:r>
    </w:p>
    <w:p w14:paraId="7D7527D4"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bCs/>
          <w:lang w:val="fr-BE"/>
        </w:rPr>
      </w:pPr>
      <w:r w:rsidRPr="00282ADF">
        <w:rPr>
          <w:lang w:val="fr-BE"/>
        </w:rPr>
        <w:t xml:space="preserve">Des formations spécifiques évoquent les violences sexuelles (y compris pendant le parcours migratoire), leurs conséquences sur les victimes, </w:t>
      </w:r>
      <w:r w:rsidRPr="00282ADF">
        <w:rPr>
          <w:bCs/>
          <w:lang w:val="fr-BE"/>
        </w:rPr>
        <w:t xml:space="preserve">la manière d’aborder cette question pendant l’entretien personnel et </w:t>
      </w:r>
      <w:r w:rsidRPr="00282ADF">
        <w:rPr>
          <w:lang w:val="fr-BE"/>
        </w:rPr>
        <w:t xml:space="preserve">les </w:t>
      </w:r>
      <w:r w:rsidRPr="00282ADF">
        <w:rPr>
          <w:bCs/>
          <w:lang w:val="fr-BE"/>
        </w:rPr>
        <w:t xml:space="preserve">méthodes </w:t>
      </w:r>
      <w:r w:rsidRPr="00551894">
        <w:rPr>
          <w:lang w:val="fr-BE"/>
        </w:rPr>
        <w:t>pour</w:t>
      </w:r>
      <w:r w:rsidRPr="00282ADF">
        <w:rPr>
          <w:bCs/>
          <w:lang w:val="fr-BE"/>
        </w:rPr>
        <w:t xml:space="preserve"> faciliter la verbalisation</w:t>
      </w:r>
      <w:r w:rsidRPr="00282ADF">
        <w:rPr>
          <w:lang w:val="fr-BE"/>
        </w:rPr>
        <w:t>.</w:t>
      </w:r>
      <w:r w:rsidRPr="00282ADF">
        <w:rPr>
          <w:bCs/>
          <w:lang w:val="fr-BE"/>
        </w:rPr>
        <w:t xml:space="preserve"> </w:t>
      </w:r>
      <w:r w:rsidRPr="00282ADF">
        <w:rPr>
          <w:lang w:val="fr-BE"/>
        </w:rPr>
        <w:t>Le CGRA diffuse une brochure d’information en plusieurs langues destinées aux femmes et jeunes filles susceptibles de demander l’asile en Belgique</w:t>
      </w:r>
      <w:r w:rsidRPr="00282ADF">
        <w:rPr>
          <w:vertAlign w:val="superscript"/>
          <w:lang w:val="en-US"/>
        </w:rPr>
        <w:endnoteReference w:id="39"/>
      </w:r>
      <w:r w:rsidRPr="00282ADF">
        <w:rPr>
          <w:lang w:val="fr-BE"/>
        </w:rPr>
        <w:t>.</w:t>
      </w:r>
    </w:p>
    <w:p w14:paraId="1285DBC4" w14:textId="0DF19C47" w:rsidR="00282ADF" w:rsidRPr="00282ADF" w:rsidRDefault="00551894" w:rsidP="00551894">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9 de la liste de questions</w:t>
      </w:r>
      <w:r w:rsidR="00282ADF" w:rsidRPr="00282ADF">
        <w:rPr>
          <w:lang w:val="fr-BE"/>
        </w:rPr>
        <w:tab/>
      </w:r>
    </w:p>
    <w:p w14:paraId="344CA979"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FR"/>
        </w:rPr>
        <w:t xml:space="preserve">Les données relatives au nombre de demandes de protection internationale et de décisions de protection subsidiaire se trouvent à l’annexe 3. Celles concernant les retours (forcés et volontaires) se trouvent dans l’annexe 4. Des statistiques plus détaillées sur les retours forcés sont reprises dans l’annexe 5. </w:t>
      </w:r>
      <w:r w:rsidRPr="00282ADF">
        <w:rPr>
          <w:lang w:val="fr-BE"/>
        </w:rPr>
        <w:t xml:space="preserve">L’OE n’est pas en mesure de donner le nombre de recours visant des mesures d’éloignement motivés par un risque de torture ou mauvais traitement. </w:t>
      </w:r>
    </w:p>
    <w:p w14:paraId="7C0E546E"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L'OE a déjà reçu des informations concernant d'éventuels problèmes survenus après le retour des personnes expulsées dans leurs pays de destination. Lorsque cela se produit, l’OE enquête sur place, souvent avec l’aide de partenaires locaux comme l'OIM, des ONG, de l’ambassade de Belgique ou exceptionnellement de la représentation diplomatique d’un autre état membre. Dans certains cas, l’OE </w:t>
      </w:r>
      <w:r w:rsidRPr="00551894">
        <w:rPr>
          <w:lang w:val="fr-FR"/>
        </w:rPr>
        <w:t>fournit</w:t>
      </w:r>
      <w:r w:rsidRPr="00282ADF">
        <w:rPr>
          <w:lang w:val="fr-BE"/>
        </w:rPr>
        <w:t xml:space="preserve"> également des accompagnements dans le pays d'origine, qui restent en contact avec le réseau local et suivent la transition à la frontière et/ou les éventuels problèmes ultérieurs. Ce suivi est effectué au cas par cas et peut être demandé au préalable. </w:t>
      </w:r>
    </w:p>
    <w:p w14:paraId="4CC9F91F"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Dans le cadre de l’organisation du retour forcé, l’OE peut prévoir un support financier pour les personnes vulnérables couvrant les soins médicaux et/ou psychologiques ainsi que la recherche et/ou l’adaptation du domicile selon la vulnérabilité. Ces services, payés directement aux instances qui fournissent le support, peuvent être résidentiels ou ambulatoires, selon les disponibilités dans le pays d’origine. En fonction de la préparation du retour, ces </w:t>
      </w:r>
      <w:proofErr w:type="spellStart"/>
      <w:r w:rsidRPr="00282ADF">
        <w:rPr>
          <w:i/>
          <w:iCs/>
          <w:lang w:val="fr-BE"/>
        </w:rPr>
        <w:t>special</w:t>
      </w:r>
      <w:proofErr w:type="spellEnd"/>
      <w:r w:rsidRPr="00282ADF">
        <w:rPr>
          <w:i/>
          <w:iCs/>
          <w:lang w:val="fr-BE"/>
        </w:rPr>
        <w:t xml:space="preserve"> </w:t>
      </w:r>
      <w:proofErr w:type="spellStart"/>
      <w:r w:rsidRPr="00282ADF">
        <w:rPr>
          <w:i/>
          <w:iCs/>
          <w:lang w:val="fr-BE"/>
        </w:rPr>
        <w:t>needs</w:t>
      </w:r>
      <w:proofErr w:type="spellEnd"/>
      <w:r w:rsidRPr="00282ADF">
        <w:rPr>
          <w:lang w:val="fr-BE"/>
        </w:rPr>
        <w:t xml:space="preserve"> peuvent être prévus pendant et/ou après le retour, pour une durée maximale d’un an. À cette fin, l’OE conclut des partenariats dans les pays de provenance avec des ONG, des médecins, des hôpitaux, des institutions spécialisées ou des autorités locales. La personne concernée reçoit les informations nécessaires et les coordonnées des partenaires locaux bien avant le départ et peut accepter l’offre jusqu’à quelques semaines après son retour.</w:t>
      </w:r>
    </w:p>
    <w:p w14:paraId="7B66E928"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Belgique n’a procédé à aucun refoulement ou expulsion sur la foi d’assurances diplomatiques au cours des 5 dernières années.</w:t>
      </w:r>
    </w:p>
    <w:p w14:paraId="360BAE00"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Les bases de données ne permettent pas de fournir de précisions sur les raisons des extraditions ni sur  les </w:t>
      </w:r>
      <w:r w:rsidRPr="00551894">
        <w:rPr>
          <w:lang w:val="fr-BE"/>
        </w:rPr>
        <w:t>pays</w:t>
      </w:r>
      <w:r w:rsidRPr="00282ADF">
        <w:rPr>
          <w:lang w:val="fr-FR"/>
        </w:rPr>
        <w:t xml:space="preserve"> de destination</w:t>
      </w:r>
      <w:r w:rsidRPr="00282ADF">
        <w:rPr>
          <w:vertAlign w:val="superscript"/>
          <w:lang w:val="en-GB"/>
        </w:rPr>
        <w:endnoteReference w:id="40"/>
      </w:r>
      <w:r w:rsidRPr="00282ADF">
        <w:rPr>
          <w:lang w:val="fr-FR"/>
        </w:rPr>
        <w:t xml:space="preserve">. </w:t>
      </w:r>
    </w:p>
    <w:p w14:paraId="791F033F" w14:textId="6AD84312" w:rsidR="00282ADF" w:rsidRPr="00282ADF" w:rsidRDefault="00551894" w:rsidP="00551894">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10 de la liste de questions</w:t>
      </w:r>
    </w:p>
    <w:p w14:paraId="35CC9281"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En septembre 2020, la Commission </w:t>
      </w:r>
      <w:proofErr w:type="spellStart"/>
      <w:r w:rsidRPr="00282ADF">
        <w:rPr>
          <w:lang w:val="fr-FR"/>
        </w:rPr>
        <w:t>Bossuyt</w:t>
      </w:r>
      <w:proofErr w:type="spellEnd"/>
      <w:r w:rsidRPr="00282ADF">
        <w:rPr>
          <w:lang w:val="fr-FR"/>
        </w:rPr>
        <w:t xml:space="preserve"> chargée de l’évaluation de la politique du retour volontaire et de l’éloignement forcé d’étrangers a présenté son </w:t>
      </w:r>
      <w:r w:rsidRPr="00282ADF">
        <w:rPr>
          <w:lang w:val="fr-BE"/>
        </w:rPr>
        <w:t>rapport final</w:t>
      </w:r>
      <w:r w:rsidRPr="00282ADF">
        <w:rPr>
          <w:vertAlign w:val="superscript"/>
          <w:lang w:val="en-GB"/>
        </w:rPr>
        <w:endnoteReference w:id="41"/>
      </w:r>
      <w:r w:rsidRPr="00282ADF">
        <w:t xml:space="preserve"> </w:t>
      </w:r>
      <w:r w:rsidRPr="00282ADF">
        <w:rPr>
          <w:lang w:val="fr-FR"/>
        </w:rPr>
        <w:t xml:space="preserve">évaluant l’application des dispositions légales et réglementaires relatives à la politique de retour ainsi que la collaboration entre les acteurs concernés. Ce rapport contient des recommandations dont l’implémentation est suivie par différentes instances. </w:t>
      </w:r>
    </w:p>
    <w:p w14:paraId="041D3A34"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Il n’y a actuellement pas de projet politique d’instaurer une commission permanente pour le suivi des opérations </w:t>
      </w:r>
      <w:r w:rsidRPr="00551894">
        <w:rPr>
          <w:lang w:val="fr-FR"/>
        </w:rPr>
        <w:t>d’éloignement</w:t>
      </w:r>
      <w:r w:rsidRPr="00282ADF">
        <w:rPr>
          <w:lang w:val="fr-BE"/>
        </w:rPr>
        <w:t xml:space="preserve">. </w:t>
      </w:r>
    </w:p>
    <w:p w14:paraId="704EA079"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FR"/>
        </w:rPr>
        <w:t>Toutes les opérations policières d’éloignement peuvent faire l’objet d’un contrôle de l’Inspection générale de la police (AIG).</w:t>
      </w:r>
      <w:r w:rsidRPr="00282ADF">
        <w:rPr>
          <w:lang w:val="fr-BE"/>
        </w:rPr>
        <w:t xml:space="preserve"> Actuellement, ces contrôles sont principalement orientés sur les opérations d’éloignement aériennes. Celles-ci font l’objet d’une analyse de risques préalables et d’un </w:t>
      </w:r>
      <w:r w:rsidRPr="00551894">
        <w:rPr>
          <w:lang w:val="fr-FR"/>
        </w:rPr>
        <w:t>contrôle</w:t>
      </w:r>
      <w:r w:rsidRPr="00282ADF">
        <w:rPr>
          <w:lang w:val="fr-BE"/>
        </w:rPr>
        <w:t xml:space="preserve"> par les dirigeants policiers et l’AIG. L’AIG peut exercer un contrôle sur toute mission d’éloignement à tout moment et sans préavis, soit pour la phase préparatoire (jusqu'à l'embarquement), soit pour la totalité incluant le vol jusqu'à destination. Les rapports qui en découlent, conclusions et éventuelles recommandations sont transmis mensuellement au service compétent de la Police qui adapte, le cas échéant, les procédures et formations sur cette base.</w:t>
      </w:r>
    </w:p>
    <w:p w14:paraId="136F3C05"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 2024, avec une capacité moyenne de 2,5 équivalents temps plein, l’AIG a réalisé 90 contrôles, dont 8 jusqu’à destination. Plusieurs </w:t>
      </w:r>
      <w:bookmarkStart w:id="11" w:name="_Hlk193816765"/>
      <w:r w:rsidRPr="00282ADF">
        <w:rPr>
          <w:lang w:val="fr-BE"/>
        </w:rPr>
        <w:t>missions concernant des «</w:t>
      </w:r>
      <w:proofErr w:type="spellStart"/>
      <w:r w:rsidRPr="00282ADF">
        <w:rPr>
          <w:i/>
          <w:iCs/>
          <w:lang w:val="fr-BE"/>
        </w:rPr>
        <w:t>Deported</w:t>
      </w:r>
      <w:proofErr w:type="spellEnd"/>
      <w:r w:rsidRPr="00282ADF">
        <w:rPr>
          <w:i/>
          <w:iCs/>
          <w:lang w:val="fr-BE"/>
        </w:rPr>
        <w:t xml:space="preserve"> Person </w:t>
      </w:r>
      <w:proofErr w:type="spellStart"/>
      <w:r w:rsidRPr="00282ADF">
        <w:rPr>
          <w:i/>
          <w:iCs/>
          <w:lang w:val="fr-BE"/>
        </w:rPr>
        <w:t>Accompanied</w:t>
      </w:r>
      <w:bookmarkEnd w:id="11"/>
      <w:proofErr w:type="spellEnd"/>
      <w:r w:rsidRPr="00282ADF">
        <w:rPr>
          <w:lang w:val="fr-BE"/>
        </w:rPr>
        <w:t>» vers Casablanca sur un vol commercial ont fait l’objet d’un contrôle ainsi que plusieurs vols répertoriés comme spéciaux.</w:t>
      </w:r>
    </w:p>
    <w:p w14:paraId="2D5E3B3F"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FR"/>
        </w:rPr>
      </w:pPr>
      <w:r w:rsidRPr="00282ADF">
        <w:rPr>
          <w:lang w:val="fr-FR"/>
        </w:rPr>
        <w:t>Une procédure spécifique existe pour le signalement et le traitement des éventuels incidents lors des opérations d’éloignement menées par la Police.</w:t>
      </w:r>
      <w:bookmarkStart w:id="12" w:name="_Hlk193110300"/>
      <w:r w:rsidRPr="00282ADF">
        <w:rPr>
          <w:lang w:val="fr-FR"/>
        </w:rPr>
        <w:t xml:space="preserve"> En outre, les procédures habituelles de contrôle sont </w:t>
      </w:r>
      <w:r w:rsidRPr="00551894">
        <w:rPr>
          <w:lang w:val="fr-BE"/>
        </w:rPr>
        <w:t>applicables</w:t>
      </w:r>
      <w:r w:rsidRPr="00282ADF">
        <w:rPr>
          <w:lang w:val="fr-FR"/>
        </w:rPr>
        <w:t>, soit au niveau interne policier (notamment procédure disciplinaire), soit au niveau des organes externes (Comité permanent de contrôle des services de police, AIG, autorités judiciaires).</w:t>
      </w:r>
      <w:bookmarkEnd w:id="12"/>
      <w:r w:rsidRPr="00282ADF">
        <w:rPr>
          <w:lang w:val="fr-BE"/>
        </w:rPr>
        <w:t xml:space="preserve"> Les plaintes éventuelles relatives aux opérations policières d’éloignement sont reprises dans le cadre du rapport annuel relatif à la mission de contrôle des retours forcés de l’AIG. </w:t>
      </w:r>
      <w:r w:rsidRPr="00282ADF">
        <w:rPr>
          <w:lang w:val="fr-FR"/>
        </w:rPr>
        <w:t xml:space="preserve">Aucune plainte n’a été enregistrée en 2021, 1 en 2022, aucune en 2023 et 2 en 2024. </w:t>
      </w:r>
    </w:p>
    <w:p w14:paraId="1313B8E8"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BE"/>
        </w:rPr>
      </w:pPr>
      <w:r w:rsidRPr="00282ADF">
        <w:rPr>
          <w:lang w:val="fr-BE"/>
        </w:rPr>
        <w:t>Lors de chaque opération d’éloignement, le départ sans contrainte est toujours visé, en privilégiant une approche humaine centrée sur la communication. Les compétences en communication et influence sont recherchées dès la sélection des escorteurs et développées lors de leur formation. Un assistant social est également présent lors de chaque éloignement pour soutenir et échanger avec la personne.</w:t>
      </w:r>
    </w:p>
    <w:p w14:paraId="76A947A9"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b/>
          <w:bCs/>
          <w:lang w:val="fr-BE"/>
        </w:rPr>
      </w:pPr>
      <w:r w:rsidRPr="00282ADF">
        <w:rPr>
          <w:lang w:val="fr-BE"/>
        </w:rPr>
        <w:t>Si nécessaire et dans certaines situations, les escorteurs peuvent utiliser des moyens de contrainte lors de l’éloignement, dans le respect des principes de légalité, subsidiarité et proportionnalité, sous surveillance d’un superviseur et sous contrôle éventuel de l'AIG.</w:t>
      </w:r>
    </w:p>
    <w:p w14:paraId="572F251D" w14:textId="401FCC48" w:rsidR="00282ADF" w:rsidRPr="00282ADF" w:rsidRDefault="00551894" w:rsidP="00551894">
      <w:pPr>
        <w:pStyle w:val="H1G"/>
        <w:rPr>
          <w:lang w:val="fr-BE"/>
        </w:rPr>
      </w:pPr>
      <w:bookmarkStart w:id="13" w:name="_Toc200464252"/>
      <w:r>
        <w:rPr>
          <w:lang w:val="fr-BE"/>
        </w:rPr>
        <w:tab/>
      </w:r>
      <w:r>
        <w:rPr>
          <w:lang w:val="fr-BE"/>
        </w:rPr>
        <w:tab/>
      </w:r>
      <w:r w:rsidR="00282ADF" w:rsidRPr="00282ADF">
        <w:rPr>
          <w:lang w:val="fr-BE"/>
        </w:rPr>
        <w:t>Article 5 à 9</w:t>
      </w:r>
      <w:bookmarkEnd w:id="13"/>
    </w:p>
    <w:p w14:paraId="46AFBA27" w14:textId="1712C308" w:rsidR="00282ADF" w:rsidRPr="00282ADF" w:rsidRDefault="00551894" w:rsidP="00551894">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11 de la liste de questions</w:t>
      </w:r>
    </w:p>
    <w:p w14:paraId="5E85443B"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n’a pas pris de nouvelles mesures ou lois pour établir sa compétence aux fins de connaître des infractions visées à </w:t>
      </w:r>
      <w:r w:rsidRPr="00551894">
        <w:rPr>
          <w:lang w:val="fr-BE"/>
        </w:rPr>
        <w:t>l'article</w:t>
      </w:r>
      <w:r w:rsidRPr="00282ADF">
        <w:rPr>
          <w:lang w:val="fr-FR"/>
        </w:rPr>
        <w:t xml:space="preserve"> 4 de la Convention.</w:t>
      </w:r>
    </w:p>
    <w:p w14:paraId="39977203" w14:textId="77777777" w:rsidR="00282ADF" w:rsidRPr="00282ADF" w:rsidRDefault="00282ADF" w:rsidP="00551894">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Toutefois, elle a conclu plusieurs accords internationaux facilitant la coopération judiciaire. Le traité avec les </w:t>
      </w:r>
      <w:proofErr w:type="spellStart"/>
      <w:r w:rsidRPr="00282ADF">
        <w:rPr>
          <w:lang w:val="fr-FR"/>
        </w:rPr>
        <w:t>Emirats</w:t>
      </w:r>
      <w:proofErr w:type="spellEnd"/>
      <w:r w:rsidRPr="00282ADF">
        <w:rPr>
          <w:lang w:val="fr-FR"/>
        </w:rPr>
        <w:t xml:space="preserve"> arabes unis sur l’extradition (conclu le 9/12/2021, entrée en vigueur le 01/11/2022) prévoit un champ d’application général fondé sur un seuil de peine, ce qui inclut les infractions visées par l’article 4 de la Convention</w:t>
      </w:r>
      <w:r w:rsidRPr="00282ADF">
        <w:rPr>
          <w:lang w:val="fr-BE"/>
        </w:rPr>
        <w:t>.</w:t>
      </w:r>
    </w:p>
    <w:p w14:paraId="01FDAA1F" w14:textId="77777777" w:rsidR="00282ADF" w:rsidRPr="00282ADF" w:rsidRDefault="00282ADF" w:rsidP="00721377">
      <w:pPr>
        <w:pStyle w:val="SingleTxtG"/>
        <w:numPr>
          <w:ilvl w:val="0"/>
          <w:numId w:val="14"/>
        </w:numPr>
        <w:suppressAutoHyphens w:val="0"/>
        <w:kinsoku/>
        <w:overflowPunct/>
        <w:autoSpaceDE/>
        <w:autoSpaceDN/>
        <w:adjustRightInd/>
        <w:snapToGrid/>
        <w:ind w:left="1134" w:firstLine="0"/>
        <w:rPr>
          <w:lang w:val="fr-FR"/>
        </w:rPr>
      </w:pPr>
      <w:r w:rsidRPr="00282ADF">
        <w:rPr>
          <w:lang w:val="fr-FR"/>
        </w:rPr>
        <w:t>Une extradition par la Belgique n’est possible que si un traité (bilatéral ou multilatéral) existe avec l’État demandeur</w:t>
      </w:r>
      <w:r w:rsidRPr="00282ADF">
        <w:rPr>
          <w:vertAlign w:val="superscript"/>
          <w:lang w:val="en-GB"/>
        </w:rPr>
        <w:endnoteReference w:id="42"/>
      </w:r>
      <w:r w:rsidRPr="00282ADF">
        <w:rPr>
          <w:lang w:val="fr-FR"/>
        </w:rPr>
        <w:t>. En l’absence d’accord, la Belgique ne peut extrader une personne pour des faits de torture, mais invite l’État concerné à dénoncer les faits aux autorités belges. Si une extradition est refusée par la Belgique, la Belgique en informe l’</w:t>
      </w:r>
      <w:proofErr w:type="spellStart"/>
      <w:r w:rsidRPr="00282ADF">
        <w:rPr>
          <w:lang w:val="fr-FR"/>
        </w:rPr>
        <w:t>Etat</w:t>
      </w:r>
      <w:proofErr w:type="spellEnd"/>
      <w:r w:rsidRPr="00282ADF">
        <w:rPr>
          <w:lang w:val="fr-FR"/>
        </w:rPr>
        <w:t xml:space="preserve"> requérant et invite ce dernier à dénoncer les faits aux fins de poursuites à la Belgique.</w:t>
      </w:r>
    </w:p>
    <w:p w14:paraId="7B74103F" w14:textId="77777777" w:rsidR="00282ADF" w:rsidRPr="00282ADF" w:rsidRDefault="00282ADF" w:rsidP="00721377">
      <w:pPr>
        <w:pStyle w:val="SingleTxtG"/>
        <w:numPr>
          <w:ilvl w:val="0"/>
          <w:numId w:val="14"/>
        </w:numPr>
        <w:suppressAutoHyphens w:val="0"/>
        <w:kinsoku/>
        <w:overflowPunct/>
        <w:autoSpaceDE/>
        <w:autoSpaceDN/>
        <w:adjustRightInd/>
        <w:snapToGrid/>
        <w:ind w:left="1134" w:firstLine="0"/>
        <w:rPr>
          <w:lang w:val="fr-BE"/>
        </w:rPr>
      </w:pPr>
      <w:r w:rsidRPr="00282ADF">
        <w:rPr>
          <w:lang w:val="fr-FR"/>
        </w:rPr>
        <w:t>Depuis le précédent rapport, 2 traités d’entraide judiciaire en matière pénale ont été conclus: avec les Émirats arabes unis (conclu le 09/12/2021, entrée en vigueur le 01/11/2022) et l’Inde (conclu le 16/09/2021, entrée en vigueur le 04/03/2023). Bien que principalement utilisés hors du contexte de la torture, leur champ d’application est général et couvre également les infractions visées à l’article 4 de la Convention.</w:t>
      </w:r>
    </w:p>
    <w:p w14:paraId="2EA02871" w14:textId="7EC5DE23" w:rsidR="00282ADF" w:rsidRPr="00282ADF" w:rsidRDefault="00721377" w:rsidP="00721377">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12 de la liste de questions</w:t>
      </w:r>
    </w:p>
    <w:p w14:paraId="513C42A7" w14:textId="77777777" w:rsidR="00282ADF" w:rsidRPr="00282ADF" w:rsidRDefault="00282ADF" w:rsidP="00721377">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politique belge concernant le rapatriement des enfants de combattants étrangers ayant la nationalité belge a été mise à jour en mars 2021, plaçant l'intérêt supérieur de l'enfant au centre de son approche. Cette </w:t>
      </w:r>
      <w:r w:rsidRPr="00721377">
        <w:rPr>
          <w:lang w:val="fr-FR"/>
        </w:rPr>
        <w:t>politique</w:t>
      </w:r>
      <w:r w:rsidRPr="00282ADF">
        <w:rPr>
          <w:lang w:val="fr-BE"/>
        </w:rPr>
        <w:t>, toujours valable aujourd’hui, peut-être synthétisée comme suit:</w:t>
      </w:r>
    </w:p>
    <w:p w14:paraId="0FD5E513" w14:textId="77777777" w:rsidR="00282ADF" w:rsidRPr="00282ADF" w:rsidRDefault="00282ADF" w:rsidP="00721377">
      <w:pPr>
        <w:pStyle w:val="Bullet1G"/>
        <w:rPr>
          <w:lang w:val="fr-BE"/>
        </w:rPr>
      </w:pPr>
      <w:r w:rsidRPr="00282ADF">
        <w:rPr>
          <w:lang w:val="fr-BE"/>
        </w:rPr>
        <w:t xml:space="preserve">Le rapatriement reste volontaire. </w:t>
      </w:r>
    </w:p>
    <w:p w14:paraId="1BC1CCAA" w14:textId="77777777" w:rsidR="00282ADF" w:rsidRPr="00282ADF" w:rsidRDefault="00282ADF" w:rsidP="00721377">
      <w:pPr>
        <w:pStyle w:val="Bullet1G"/>
        <w:rPr>
          <w:lang w:val="fr-BE"/>
        </w:rPr>
      </w:pPr>
      <w:r w:rsidRPr="00282ADF">
        <w:rPr>
          <w:lang w:val="fr-BE"/>
        </w:rPr>
        <w:t>Les enfants de nationalité belge jusqu’à l’âge de 12 ans, ou les enfants dont on peut raisonnablement penser qu'ils pourront acquérir la nationalité belge, peuvent être rapatriés depuis la Syrie et l'Irak</w:t>
      </w:r>
      <w:r w:rsidRPr="00282ADF">
        <w:rPr>
          <w:vertAlign w:val="superscript"/>
          <w:lang w:val="fr-BE"/>
        </w:rPr>
        <w:endnoteReference w:id="43"/>
      </w:r>
      <w:r w:rsidRPr="00282ADF">
        <w:rPr>
          <w:lang w:val="fr-BE"/>
        </w:rPr>
        <w:t xml:space="preserve"> sur la base de l'intérêt supérieur de l'enfant. Dans le droit belge de la jeunesse et  le droit international, l'âge de 12 ans constitue, en effet, un âge pivot, à partir duquel le mineur est considéré comme ayant un certain discernement permettant de le consulter pour les affaires qui le concernent. </w:t>
      </w:r>
    </w:p>
    <w:p w14:paraId="74D56986" w14:textId="77777777" w:rsidR="00282ADF" w:rsidRPr="00282ADF" w:rsidRDefault="00282ADF" w:rsidP="00721377">
      <w:pPr>
        <w:pStyle w:val="Bullet1G"/>
        <w:rPr>
          <w:lang w:val="fr-BE"/>
        </w:rPr>
      </w:pPr>
      <w:r w:rsidRPr="00282ADF">
        <w:rPr>
          <w:lang w:val="fr-BE"/>
        </w:rPr>
        <w:t xml:space="preserve">Le retour de mineurs âgés de plus de 12 ans est traité au cas par cas. Jusqu'à présent, tous les enfants belges de plus de 12 ans qui répondaient aux critères de rapatriement ont été rapatriés. </w:t>
      </w:r>
    </w:p>
    <w:p w14:paraId="3A3E3CBB" w14:textId="77777777" w:rsidR="00282ADF" w:rsidRPr="00282ADF" w:rsidRDefault="00282ADF" w:rsidP="00721377">
      <w:pPr>
        <w:pStyle w:val="Bullet1G"/>
        <w:rPr>
          <w:lang w:val="fr-BE"/>
        </w:rPr>
      </w:pPr>
      <w:r w:rsidRPr="00282ADF">
        <w:rPr>
          <w:lang w:val="fr-BE"/>
        </w:rPr>
        <w:t xml:space="preserve">Si l'enfant est né à l'étranger et qu'aucun document officiel n'est disponible, un test ADN pour déterminer le lien biologique de l'enfant avec un parent belge est en principe requis. </w:t>
      </w:r>
    </w:p>
    <w:p w14:paraId="00AC9FF0" w14:textId="77777777" w:rsidR="00282ADF" w:rsidRPr="00282ADF" w:rsidRDefault="00282ADF" w:rsidP="00721377">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Les mères de ces mineurs, qui ont la nationalité belge, qui souhaitent un retour volontaire, et dont le retour est dans l'intérêt supérieur de l'enfant, font l'objet d'une analyse préalable, individuelle et approfondie de la menace, y compris quant au risque sécuritaire du non-rapatriement. Leur demande de retour est traitée au cas par cas, sur la base d'une évaluation de l'intérêt de l'enfant, du risque pour la sécurité publique belge et des incidences opérationnelles.</w:t>
      </w:r>
    </w:p>
    <w:p w14:paraId="79807108"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Si la mère a déjà été condamnée par contumace, elle doit purger sa peine mais a la possibilité de faire appel de cette condamnation ou d’y faire opposition. Les enfants jusqu'à l’âge de 3 ans peuvent rester avec leur mère dans des ailes de prison spécialement adaptées. Des contacts réguliers entre les enfants plus âgés et leurs parents détenus sont garantis. </w:t>
      </w:r>
    </w:p>
    <w:p w14:paraId="4F7D3E9C"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Si la mère n'est pas condamnée, la mère (considérée comme </w:t>
      </w:r>
      <w:proofErr w:type="spellStart"/>
      <w:r w:rsidRPr="00282ADF">
        <w:rPr>
          <w:i/>
          <w:iCs/>
          <w:lang w:val="fr-BE"/>
        </w:rPr>
        <w:t>foreign</w:t>
      </w:r>
      <w:proofErr w:type="spellEnd"/>
      <w:r w:rsidRPr="00282ADF">
        <w:rPr>
          <w:i/>
          <w:iCs/>
          <w:lang w:val="fr-BE"/>
        </w:rPr>
        <w:t xml:space="preserve"> </w:t>
      </w:r>
      <w:proofErr w:type="spellStart"/>
      <w:r w:rsidRPr="00282ADF">
        <w:rPr>
          <w:i/>
          <w:iCs/>
          <w:lang w:val="fr-BE"/>
        </w:rPr>
        <w:t>terrorist</w:t>
      </w:r>
      <w:proofErr w:type="spellEnd"/>
      <w:r w:rsidRPr="00282ADF">
        <w:rPr>
          <w:i/>
          <w:iCs/>
          <w:lang w:val="fr-BE"/>
        </w:rPr>
        <w:t xml:space="preserve"> fighter</w:t>
      </w:r>
      <w:r w:rsidRPr="00282ADF">
        <w:rPr>
          <w:lang w:val="fr-BE"/>
        </w:rPr>
        <w:t>) sera présentée aux autorités judiciaires compétentes qui décident d'engager ou non des poursuites et d'une éventuelle détention provisoire.</w:t>
      </w:r>
    </w:p>
    <w:p w14:paraId="12D7D20C"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BE"/>
        </w:rPr>
      </w:pPr>
      <w:r w:rsidRPr="00282ADF">
        <w:rPr>
          <w:lang w:val="fr-BE"/>
        </w:rPr>
        <w:t>Jusqu’à présent (janvier 2025), 4 opérations de rapatriement ont été organisées et ont permis le retour de:</w:t>
      </w:r>
    </w:p>
    <w:p w14:paraId="7CA1D4FF" w14:textId="77777777" w:rsidR="00282ADF" w:rsidRPr="00282ADF" w:rsidRDefault="00282ADF" w:rsidP="00BC174E">
      <w:pPr>
        <w:pStyle w:val="Bullet1G"/>
        <w:rPr>
          <w:lang w:val="fr-FR"/>
        </w:rPr>
      </w:pPr>
      <w:r w:rsidRPr="00282ADF">
        <w:rPr>
          <w:lang w:val="fr-BE"/>
        </w:rPr>
        <w:t>6 enfants via un rapatriement depuis le nord-est de la Syrie à l'été 2019;</w:t>
      </w:r>
    </w:p>
    <w:p w14:paraId="67753524" w14:textId="77777777" w:rsidR="00282ADF" w:rsidRPr="00282ADF" w:rsidRDefault="00282ADF" w:rsidP="00BC174E">
      <w:pPr>
        <w:pStyle w:val="Bullet1G"/>
        <w:rPr>
          <w:lang w:val="fr-FR"/>
        </w:rPr>
      </w:pPr>
      <w:r w:rsidRPr="00282ADF">
        <w:rPr>
          <w:lang w:val="fr-BE"/>
        </w:rPr>
        <w:t>1 enfant par un rapatriement du nord-est de la Syrie en décembre 2020;</w:t>
      </w:r>
    </w:p>
    <w:p w14:paraId="1684A5AF" w14:textId="77777777" w:rsidR="00282ADF" w:rsidRPr="00282ADF" w:rsidRDefault="00282ADF" w:rsidP="00BC174E">
      <w:pPr>
        <w:pStyle w:val="Bullet1G"/>
        <w:rPr>
          <w:lang w:val="fr-FR"/>
        </w:rPr>
      </w:pPr>
      <w:r w:rsidRPr="00282ADF">
        <w:rPr>
          <w:lang w:val="fr-BE"/>
        </w:rPr>
        <w:t>10 enfants et 6 mères du nord-est de la Syrie en juin 2021;</w:t>
      </w:r>
    </w:p>
    <w:p w14:paraId="79D4EADC" w14:textId="77777777" w:rsidR="00282ADF" w:rsidRPr="00282ADF" w:rsidRDefault="00282ADF" w:rsidP="00BC174E">
      <w:pPr>
        <w:pStyle w:val="Bullet1G"/>
        <w:rPr>
          <w:lang w:val="fr-FR"/>
        </w:rPr>
      </w:pPr>
      <w:r w:rsidRPr="00282ADF">
        <w:rPr>
          <w:lang w:val="fr-FR"/>
        </w:rPr>
        <w:t xml:space="preserve">16 enfants et 6 mères du </w:t>
      </w:r>
      <w:r w:rsidRPr="00282ADF">
        <w:rPr>
          <w:lang w:val="fr-BE"/>
        </w:rPr>
        <w:t>nord-est de la Syrie en juin 2022.</w:t>
      </w:r>
    </w:p>
    <w:p w14:paraId="7842F447"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FR"/>
        </w:rPr>
      </w:pPr>
      <w:r w:rsidRPr="00282ADF">
        <w:rPr>
          <w:lang w:val="fr-BE"/>
        </w:rPr>
        <w:t>De plus, 29 enfants sont rentrés de Turquie via la procédure HOTSPOT (retour administratif).</w:t>
      </w:r>
      <w:r w:rsidRPr="00282ADF">
        <w:rPr>
          <w:lang w:val="fr-FR"/>
        </w:rPr>
        <w:t xml:space="preserve"> </w:t>
      </w:r>
      <w:r w:rsidRPr="00282ADF">
        <w:rPr>
          <w:lang w:val="fr-BE"/>
        </w:rPr>
        <w:t>Au total, 62 enfants sont rentrés en Belgique. Tous les rapatriements sont volontaires.</w:t>
      </w:r>
    </w:p>
    <w:p w14:paraId="3BA23976"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Belgique continue d’évaluer la situation des ressortissants belges se trouvant encore dans le nord-est syrien en application des critères définis par la décision de mars 2021. Les autorités belges restent extrêmement vigilantes à toute nouvelle évolution à cet égard. Elles cherchent constamment à se renseigner sur la situation des belges sur place et notamment, sur les mesures prises pour protéger leur intégrité physique et mentale. Les raisons pour lesquelles certaines personnes n’ont pas été rapatriées sont liées aux critères fixés qui ne sont généralement pas remplis: (1)le refus d'être rapatrié, (2)la révocation de la nationalité ou (3)être une femme sans enfant. </w:t>
      </w:r>
    </w:p>
    <w:p w14:paraId="184DF82C"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FR"/>
        </w:rPr>
      </w:pPr>
      <w:r w:rsidRPr="00282ADF">
        <w:rPr>
          <w:lang w:val="fr-BE"/>
        </w:rPr>
        <w:t>Les services de la police fédérale organisent l'accueil des mères et des enfants une fois en Belgique, où les Communautés assurent ensuite la poursuite de la prise en charge et du soutien des enfants, sauf si le parent est déjà condamné par contumace. Ce soutien implique une coopération avec des acteurs fédéraux comme le ministère public, la justice et l'Organe de Coordination pour l'Analyse de la Menace (OCAM).</w:t>
      </w:r>
    </w:p>
    <w:p w14:paraId="02367E24"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BE"/>
        </w:rPr>
      </w:pPr>
      <w:r w:rsidRPr="00282ADF">
        <w:rPr>
          <w:lang w:val="fr-BE"/>
        </w:rPr>
        <w:t>Une feuille de route a été élaborée pour un déploiement rapide et intégré en cas de retour d'un enfant, en partenariat avec divers acteurs. Les services de protection de la jeunesse suivent l'enfant à son arrivée en Belgique. Les autorités belges (tribunal de la famille et de la jeunesse et service des tutelles du SPF Justice) décident de la tutelle des enfants, privilégiant le placement en famille, souvent chez les grands-parents. Exceptionnellement, une petite minorité d'enfants est placée dans un autre type de soins.</w:t>
      </w:r>
    </w:p>
    <w:p w14:paraId="7F91C97F"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Le service des tutelles du SPF Justice désigne des tuteurs expérimentés dans les problématiques spécifiques rencontrées par les MENA (mineurs en transit, en errance, etc.). Si un enfant rapatrié d’une zone de conflit devait être reconnu comme tel, un tuteur expérimenté (et le cas échéant familier des problématiques </w:t>
      </w:r>
      <w:proofErr w:type="spellStart"/>
      <w:r w:rsidRPr="00282ADF">
        <w:rPr>
          <w:lang w:val="fr-BE"/>
        </w:rPr>
        <w:t>psychosociales</w:t>
      </w:r>
      <w:proofErr w:type="spellEnd"/>
      <w:r w:rsidRPr="00282ADF">
        <w:rPr>
          <w:lang w:val="fr-BE"/>
        </w:rPr>
        <w:t xml:space="preserve"> rencontrées par ce MENA) serait désigné afin de l’accompagner.</w:t>
      </w:r>
    </w:p>
    <w:p w14:paraId="16EC039B"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Le bien-être de la jeunesse relève de la responsabilité des Communautés, ce qui peut entraîner des variations juridiques selon le groupe linguistique de l'enfant. </w:t>
      </w:r>
    </w:p>
    <w:p w14:paraId="7752FC17" w14:textId="77777777" w:rsidR="00282ADF" w:rsidRPr="00282ADF" w:rsidRDefault="00282ADF" w:rsidP="00BC174E">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Communauté flamande a développé une approche intégrée multi-acteurs et une feuille de route pour guider et soutenir les mineurs revenant de Syrie et leurs familles. L’aide à la jeunesse est centrale dans cette approche, avec une collaboration étroite entre les autorités fédérales, judiciaires et communales. Des accords de coopération existent avec divers partenaires, notamment des administrations locales (police, personne de contact pour la déradicalisation), l'aide à la jeunesse, l'assistance aux détenus, l'enseignement et le gouvernement fédéral. Le soutien des jeunes dans le cadre de l’aide à la jeunesse est réalisé sur mesure et chaque mineur revenant en Région flamande est suivi par un juge de la jeunesse. Au même titre que tous les mineurs, les mineurs rapatriés sont placés au sein de leur famille avant toute autre solution, si les enquêtes sociales menées n’y révèlent aucun signe de danger ou de traitement préjudiciable pour les enfants, comme la radicalisation. S’il existe des doutes quant à la sécurité des enfants, ils sont placés dans des centres d’accueil pour jeunes.</w:t>
      </w:r>
    </w:p>
    <w:p w14:paraId="459DF3B1" w14:textId="77777777" w:rsidR="00282ADF" w:rsidRPr="00282ADF" w:rsidRDefault="00282ADF" w:rsidP="00585C08">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Entre 2017 et 2022, 36 enfants ont été rapatriés en Région flamande (la plupart de moins de 12 ans et 2 de plus de 12 ans).  L’aide a été principalement fournie par le placement en famille d'accueil ou dans certains cas, par un placement dans un établissement résidentiel temporairement ou non, dans l'attente d'un placement en famille d'accueil. Aucun rapatrié n'a été considéré comme terroriste étranger et placé dans un centre de détention pour mineurs. </w:t>
      </w:r>
    </w:p>
    <w:p w14:paraId="579AB886" w14:textId="77777777" w:rsidR="00282ADF" w:rsidRPr="00282ADF" w:rsidRDefault="00282ADF" w:rsidP="00585C08">
      <w:pPr>
        <w:pStyle w:val="SingleTxtG"/>
        <w:numPr>
          <w:ilvl w:val="0"/>
          <w:numId w:val="14"/>
        </w:numPr>
        <w:suppressAutoHyphens w:val="0"/>
        <w:kinsoku/>
        <w:overflowPunct/>
        <w:autoSpaceDE/>
        <w:autoSpaceDN/>
        <w:adjustRightInd/>
        <w:snapToGrid/>
        <w:ind w:left="1134" w:firstLine="0"/>
        <w:rPr>
          <w:i/>
          <w:iCs/>
          <w:lang w:val="fr-BE"/>
        </w:rPr>
      </w:pPr>
      <w:r w:rsidRPr="00282ADF">
        <w:rPr>
          <w:lang w:val="fr-BE"/>
        </w:rPr>
        <w:t>En Communauté française, dès qu’un enfant rapatrié est signalé par l’OCAM, une fiche d’information  est transmise à l’administratrice générale de l’aide à la jeunesse. Elle s’assure que le Service d’aide à la jeunesse (SAJ) ou le Service de la protection de la jeunesse (SPJ) prépare l’accueil et la prise en charge de l’enfant. Dès le retour de l’enfant, un conseiller, un délégué en chef et un délégué sont désignés pour gérer la situation en urgence et prioritairement. Chaque SAJ ou SPJ a un référent pour les extrémismes violents. Parallèlement, le parquet du Procureur du Roi contacte le service pour confirmer l’arrivée de l’enfant et lui organiser un accueil qui réponde à l’état de difficulté ou de danger potentiel auquel il peut être confronté. L’enfant est d’abord envoyé à l’hôpital, pour un premier bilan médico-psychologique, visant notamment à décider de son retour en famille, avec ou sans accompagnement, ou de son placement. Le dispositif prévoit une prise en charge urgente et prioritaire, sans que cela ne présage de son état de danger</w:t>
      </w:r>
      <w:r w:rsidRPr="00282ADF">
        <w:rPr>
          <w:i/>
          <w:iCs/>
          <w:lang w:val="fr-BE"/>
        </w:rPr>
        <w:t>.</w:t>
      </w:r>
      <w:r w:rsidRPr="00282ADF">
        <w:rPr>
          <w:lang w:val="fr-BE"/>
        </w:rPr>
        <w:t xml:space="preserve"> </w:t>
      </w:r>
    </w:p>
    <w:p w14:paraId="65A5C3BF" w14:textId="77777777" w:rsidR="00282ADF" w:rsidRPr="00282ADF" w:rsidRDefault="00282ADF" w:rsidP="00585C08">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Tous les enfants rentrés en Région wallonne ou en Région de Bruxelles-Capitale ont été majoritairement pris en charge par le SAJ ou le SPJ de Bruxelles. Certains dossiers sont clôturés et d’autres sont toujours suivis. Selon leurs besoins et au même titre que l’ensemble des jeunes pris en charge par l’aide à la jeunesse, les jeunes rapatriés peuvent notamment bénéficier d’accompagnement et de suivis </w:t>
      </w:r>
      <w:proofErr w:type="spellStart"/>
      <w:r w:rsidRPr="00282ADF">
        <w:rPr>
          <w:lang w:val="fr-BE"/>
        </w:rPr>
        <w:t>psychosociaux</w:t>
      </w:r>
      <w:proofErr w:type="spellEnd"/>
      <w:r w:rsidRPr="00282ADF">
        <w:rPr>
          <w:lang w:val="fr-BE"/>
        </w:rPr>
        <w:t>, de suivis juridiques et de mesure d’hébergement. Ils peuvent également bénéficier de l’intervention du service du Délégué général aux droits de l’enfant et/ou du Centre d’Aide et de Prise en charge de toute personne concernée par les Radicalismes et Extrémismes Violents (CAPREV).</w:t>
      </w:r>
    </w:p>
    <w:p w14:paraId="235352C6" w14:textId="14FDB975" w:rsidR="00282ADF" w:rsidRPr="00282ADF" w:rsidRDefault="00585C08" w:rsidP="00585C08">
      <w:pPr>
        <w:pStyle w:val="H1G"/>
        <w:rPr>
          <w:lang w:val="fr-BE"/>
        </w:rPr>
      </w:pPr>
      <w:bookmarkStart w:id="14" w:name="_Toc200464253"/>
      <w:r>
        <w:rPr>
          <w:lang w:val="fr-BE"/>
        </w:rPr>
        <w:tab/>
      </w:r>
      <w:r>
        <w:rPr>
          <w:lang w:val="fr-BE"/>
        </w:rPr>
        <w:tab/>
      </w:r>
      <w:r w:rsidR="00282ADF" w:rsidRPr="00282ADF">
        <w:rPr>
          <w:lang w:val="fr-BE"/>
        </w:rPr>
        <w:t>Article 10</w:t>
      </w:r>
      <w:bookmarkEnd w:id="14"/>
    </w:p>
    <w:p w14:paraId="4E9B4E58" w14:textId="4E8B4C6B" w:rsidR="00282ADF" w:rsidRPr="00282ADF" w:rsidRDefault="00585C08" w:rsidP="00585C08">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13 de la liste de questions</w:t>
      </w:r>
    </w:p>
    <w:p w14:paraId="37196CB2" w14:textId="77777777" w:rsidR="00282ADF" w:rsidRPr="00282ADF" w:rsidRDefault="00282ADF" w:rsidP="00585C08">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 personnel des services de police reçoit une formation générale et transversale relative aux droits humains et aux libertés </w:t>
      </w:r>
      <w:r w:rsidRPr="00585C08">
        <w:rPr>
          <w:lang w:val="fr-BE"/>
        </w:rPr>
        <w:t>fondamentales</w:t>
      </w:r>
      <w:r w:rsidRPr="00282ADF">
        <w:rPr>
          <w:lang w:val="fr-FR"/>
        </w:rPr>
        <w:t xml:space="preserve">, tant théorique que pratique, portant notamment sur les privations de liberté policières et l’assistance aux victimes et intégrant l’interdiction absolue de la torture également reprise </w:t>
      </w:r>
      <w:r w:rsidRPr="00282ADF">
        <w:t>dans le</w:t>
      </w:r>
      <w:r w:rsidRPr="00282ADF">
        <w:rPr>
          <w:lang w:val="fr-FR"/>
        </w:rPr>
        <w:t xml:space="preserve"> code de déontologie policière. Les </w:t>
      </w:r>
      <w:proofErr w:type="spellStart"/>
      <w:r w:rsidRPr="00282ADF">
        <w:rPr>
          <w:lang w:val="fr-FR"/>
        </w:rPr>
        <w:t>garde-frontières</w:t>
      </w:r>
      <w:proofErr w:type="spellEnd"/>
      <w:r w:rsidRPr="00282ADF">
        <w:rPr>
          <w:lang w:val="fr-FR"/>
        </w:rPr>
        <w:t xml:space="preserve"> suivent en outre une formation spécifique à l’exercice de leur mission. </w:t>
      </w:r>
    </w:p>
    <w:p w14:paraId="656BC3A0" w14:textId="77777777" w:rsidR="00282ADF" w:rsidRPr="00282ADF" w:rsidRDefault="00282ADF" w:rsidP="00585C08">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Police aéronautique compte 103 fonctionnaires formés comme escorteurs sur les 690 membres du personnel (chiffres février 2025). Les escorteurs ont notamment suivi la formation policière de base, la formation fonctionnelle police aéronautique, la formation contrôleur frontières, la formation escorteur, la formation annuelle de </w:t>
      </w:r>
      <w:proofErr w:type="spellStart"/>
      <w:r w:rsidRPr="00282ADF">
        <w:rPr>
          <w:lang w:val="fr-BE"/>
        </w:rPr>
        <w:t>maitrise</w:t>
      </w:r>
      <w:proofErr w:type="spellEnd"/>
      <w:r w:rsidRPr="00282ADF">
        <w:rPr>
          <w:lang w:val="fr-BE"/>
        </w:rPr>
        <w:t xml:space="preserve"> de la violence, la formation «</w:t>
      </w:r>
      <w:proofErr w:type="spellStart"/>
      <w:r w:rsidRPr="00282ADF">
        <w:rPr>
          <w:i/>
          <w:iCs/>
          <w:lang w:val="fr-BE"/>
        </w:rPr>
        <w:t>behaviour</w:t>
      </w:r>
      <w:proofErr w:type="spellEnd"/>
      <w:r w:rsidRPr="00282ADF">
        <w:rPr>
          <w:i/>
          <w:iCs/>
          <w:lang w:val="fr-BE"/>
        </w:rPr>
        <w:t xml:space="preserve"> </w:t>
      </w:r>
      <w:proofErr w:type="spellStart"/>
      <w:r w:rsidRPr="00282ADF">
        <w:rPr>
          <w:i/>
          <w:iCs/>
          <w:lang w:val="fr-BE"/>
        </w:rPr>
        <w:t>detection</w:t>
      </w:r>
      <w:proofErr w:type="spellEnd"/>
      <w:r w:rsidRPr="00282ADF">
        <w:rPr>
          <w:i/>
          <w:iCs/>
          <w:lang w:val="fr-BE"/>
        </w:rPr>
        <w:t xml:space="preserve"> </w:t>
      </w:r>
      <w:proofErr w:type="spellStart"/>
      <w:r w:rsidRPr="00282ADF">
        <w:rPr>
          <w:i/>
          <w:iCs/>
          <w:lang w:val="fr-BE"/>
        </w:rPr>
        <w:t>officer</w:t>
      </w:r>
      <w:proofErr w:type="spellEnd"/>
      <w:r w:rsidRPr="00282ADF">
        <w:rPr>
          <w:lang w:val="fr-BE"/>
        </w:rPr>
        <w:t>» ainsi que la formation «</w:t>
      </w:r>
      <w:proofErr w:type="spellStart"/>
      <w:r w:rsidRPr="00282ADF">
        <w:rPr>
          <w:i/>
          <w:iCs/>
          <w:lang w:val="fr-BE"/>
        </w:rPr>
        <w:t>excited</w:t>
      </w:r>
      <w:proofErr w:type="spellEnd"/>
      <w:r w:rsidRPr="00282ADF">
        <w:rPr>
          <w:i/>
          <w:iCs/>
          <w:lang w:val="fr-BE"/>
        </w:rPr>
        <w:t xml:space="preserve"> delirium syndrome</w:t>
      </w:r>
      <w:r w:rsidRPr="00282ADF">
        <w:rPr>
          <w:lang w:val="fr-BE"/>
        </w:rPr>
        <w:t>» et sont suivis périodiquement par un psychologue.</w:t>
      </w:r>
    </w:p>
    <w:p w14:paraId="723CBE98" w14:textId="77777777" w:rsidR="00282ADF" w:rsidRPr="00282ADF" w:rsidRDefault="00282ADF" w:rsidP="00585C08">
      <w:pPr>
        <w:pStyle w:val="SingleTxtG"/>
        <w:numPr>
          <w:ilvl w:val="0"/>
          <w:numId w:val="14"/>
        </w:numPr>
        <w:suppressAutoHyphens w:val="0"/>
        <w:kinsoku/>
        <w:overflowPunct/>
        <w:autoSpaceDE/>
        <w:autoSpaceDN/>
        <w:adjustRightInd/>
        <w:snapToGrid/>
        <w:ind w:left="1134" w:firstLine="0"/>
      </w:pPr>
      <w:r w:rsidRPr="00282ADF">
        <w:t>Pour ce qui est du personnel pénitentiaire, l’interdiction de la torture est abordée explicitement dans la formation des nouveaux collaborateurs sur le « statut juridique interne des détenus ». Dans le cadre de la formation de base obligatoire du personnel de surveillance, plusieurs modules sont prévus concernant le cadre juridique et l'intégrité. Les collaborateurs du service médical et médecins pénitentiaires indépendants reçoivent également une formation interne couvrant ces aspects.</w:t>
      </w:r>
    </w:p>
    <w:p w14:paraId="1F68B585" w14:textId="77777777" w:rsidR="00282ADF" w:rsidRPr="00282ADF" w:rsidRDefault="00282ADF" w:rsidP="00E75BF3">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Au niveau du CGRA, les nouveaux agents chargés de statuer sur les demandes de protection internationale reçoivent des </w:t>
      </w:r>
      <w:r w:rsidRPr="00E75BF3">
        <w:t>formations</w:t>
      </w:r>
      <w:r w:rsidRPr="00282ADF">
        <w:rPr>
          <w:lang w:val="fr-BE"/>
        </w:rPr>
        <w:t xml:space="preserve"> qui abordent la Convention et une formation approfondie sur la notion de traitements et sanctions inhumains et dégradants en tant que motif d’octroi de la protection subsidiaire.  </w:t>
      </w:r>
    </w:p>
    <w:p w14:paraId="0F08832A" w14:textId="77777777" w:rsidR="00282ADF" w:rsidRPr="00282ADF" w:rsidRDefault="00282ADF" w:rsidP="00E75BF3">
      <w:pPr>
        <w:pStyle w:val="SingleTxtG"/>
        <w:numPr>
          <w:ilvl w:val="0"/>
          <w:numId w:val="14"/>
        </w:numPr>
        <w:suppressAutoHyphens w:val="0"/>
        <w:kinsoku/>
        <w:overflowPunct/>
        <w:autoSpaceDE/>
        <w:autoSpaceDN/>
        <w:adjustRightInd/>
        <w:snapToGrid/>
        <w:ind w:left="1134" w:firstLine="0"/>
        <w:rPr>
          <w:bCs/>
          <w:lang w:val="fr-BE"/>
        </w:rPr>
      </w:pPr>
      <w:r w:rsidRPr="00282ADF">
        <w:rPr>
          <w:bCs/>
          <w:lang w:val="fr-BE"/>
        </w:rPr>
        <w:t xml:space="preserve">Les agents de l’OE en contact avec les demandeurs de protection suivent un programme de formation annuel qui aborde notamment une mise à niveau de l’arrêté sur le régime et le fonctionnement des </w:t>
      </w:r>
      <w:r w:rsidRPr="00E75BF3">
        <w:rPr>
          <w:lang w:val="fr-BE"/>
        </w:rPr>
        <w:t>centres</w:t>
      </w:r>
      <w:r w:rsidRPr="00282ADF">
        <w:rPr>
          <w:bCs/>
          <w:lang w:val="fr-BE"/>
        </w:rPr>
        <w:t xml:space="preserve">, la gestion de l’agressivité et de la violence, la communication interculturelle, </w:t>
      </w:r>
      <w:r w:rsidRPr="00282ADF">
        <w:rPr>
          <w:lang w:val="fr-BE"/>
        </w:rPr>
        <w:t xml:space="preserve">la </w:t>
      </w:r>
      <w:r w:rsidRPr="00282ADF">
        <w:rPr>
          <w:bCs/>
          <w:lang w:val="fr-BE"/>
        </w:rPr>
        <w:t xml:space="preserve">persuasion </w:t>
      </w:r>
      <w:r w:rsidRPr="00282ADF">
        <w:rPr>
          <w:lang w:val="fr-BE"/>
        </w:rPr>
        <w:t>et</w:t>
      </w:r>
      <w:r w:rsidRPr="00282ADF">
        <w:rPr>
          <w:bCs/>
          <w:lang w:val="fr-BE"/>
        </w:rPr>
        <w:t xml:space="preserve"> la communication bienveillante. Les règles de base de la Convention sont reprises dans les formations. Au niveau des services centraux de l’OE, des formations sont données sur l’application des articles 3 et 8 CEDH et les décisions de détention en fonction du retour sont évaluées par des collaborateurs spécialisés sur l’application de l’article 3 CEDH.</w:t>
      </w:r>
    </w:p>
    <w:p w14:paraId="17A1AE08" w14:textId="77777777" w:rsidR="00282ADF" w:rsidRPr="00282ADF" w:rsidRDefault="00282ADF" w:rsidP="00E75BF3">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Les procédures et règlements militaires intègrent également l'interdiction de la torture et des traitements inhumains ou dégradants. Les circonstances dans lesquelles un militaire peut retenir/détenir une personne sont déterminées par le droit national et, en temps de conflit armé, par le droit international liant la Belgique. L'interdiction de la torture et des traitements inhumains ou dégradants et </w:t>
      </w:r>
      <w:r w:rsidRPr="00E75BF3">
        <w:rPr>
          <w:bCs/>
          <w:lang w:val="fr-BE"/>
        </w:rPr>
        <w:t>l'obligation</w:t>
      </w:r>
      <w:r w:rsidRPr="00282ADF">
        <w:rPr>
          <w:lang w:val="fr-BE"/>
        </w:rPr>
        <w:t xml:space="preserve"> incombant à tout militaire d'informer le Parquet fédéral de sa connaissance d’un crime ou délit sont systématiquement mentionnées lors des formations dispensées aux militaires partant en opération aussi bien sur le territoire national qu'à l'étranger. Cette interdiction est également rappelée lors des </w:t>
      </w:r>
      <w:r w:rsidRPr="00282ADF">
        <w:rPr>
          <w:i/>
          <w:iCs/>
          <w:lang w:val="fr-BE"/>
        </w:rPr>
        <w:t>briefings</w:t>
      </w:r>
      <w:r w:rsidRPr="00282ADF">
        <w:rPr>
          <w:lang w:val="fr-BE"/>
        </w:rPr>
        <w:t xml:space="preserve"> au personnel de la garde des quartiers militaires, étant la catégorie de personnel la plus susceptible de devoir faire usage du droit de rétention des personnes prises en flagrant crime ou délit. En outre, tous les militaires reçoivent une formation continuée et obligatoire en droit international humanitaire. </w:t>
      </w:r>
    </w:p>
    <w:p w14:paraId="309E1929" w14:textId="38B666AE" w:rsidR="00282ADF" w:rsidRPr="00282ADF" w:rsidRDefault="00E75BF3" w:rsidP="00E75BF3">
      <w:pPr>
        <w:pStyle w:val="H1G"/>
        <w:rPr>
          <w:lang w:val="fr-BE"/>
        </w:rPr>
      </w:pPr>
      <w:bookmarkStart w:id="15" w:name="_Toc200464254"/>
      <w:r>
        <w:rPr>
          <w:lang w:val="fr-BE"/>
        </w:rPr>
        <w:tab/>
      </w:r>
      <w:r>
        <w:rPr>
          <w:lang w:val="fr-BE"/>
        </w:rPr>
        <w:tab/>
      </w:r>
      <w:r w:rsidR="00282ADF" w:rsidRPr="00282ADF">
        <w:rPr>
          <w:lang w:val="fr-BE"/>
        </w:rPr>
        <w:t>Article 11</w:t>
      </w:r>
      <w:bookmarkEnd w:id="15"/>
    </w:p>
    <w:p w14:paraId="3C3812D6" w14:textId="4E3614D2" w:rsidR="00282ADF" w:rsidRPr="00282ADF" w:rsidRDefault="00E75BF3" w:rsidP="00E75BF3">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14 de la liste de questions</w:t>
      </w:r>
    </w:p>
    <w:p w14:paraId="4E376685" w14:textId="77777777" w:rsidR="00282ADF" w:rsidRPr="00282ADF" w:rsidRDefault="00282ADF" w:rsidP="00E75BF3">
      <w:pPr>
        <w:pStyle w:val="SingleTxtG"/>
        <w:numPr>
          <w:ilvl w:val="0"/>
          <w:numId w:val="14"/>
        </w:numPr>
        <w:suppressAutoHyphens w:val="0"/>
        <w:kinsoku/>
        <w:overflowPunct/>
        <w:autoSpaceDE/>
        <w:autoSpaceDN/>
        <w:adjustRightInd/>
        <w:snapToGrid/>
        <w:ind w:left="1134" w:firstLine="0"/>
        <w:rPr>
          <w:lang w:val="fr-FR"/>
        </w:rPr>
      </w:pPr>
      <w:r w:rsidRPr="00282ADF">
        <w:rPr>
          <w:lang w:val="fr-FR"/>
        </w:rPr>
        <w:t>Quant aux procédures mises en place pour garantir le respect de l’article 11 de la Convention et aux règles et pratiques en matière d’interrogatoire, il est renvoyé à la réponse à la question 3.</w:t>
      </w:r>
    </w:p>
    <w:p w14:paraId="3E64E0CC" w14:textId="77777777" w:rsidR="00282ADF" w:rsidRPr="00282ADF" w:rsidRDefault="00282ADF" w:rsidP="00E75BF3">
      <w:pPr>
        <w:pStyle w:val="SingleTxtG"/>
        <w:numPr>
          <w:ilvl w:val="0"/>
          <w:numId w:val="14"/>
        </w:numPr>
        <w:suppressAutoHyphens w:val="0"/>
        <w:kinsoku/>
        <w:overflowPunct/>
        <w:autoSpaceDE/>
        <w:autoSpaceDN/>
        <w:adjustRightInd/>
        <w:snapToGrid/>
        <w:ind w:left="1134" w:firstLine="0"/>
        <w:rPr>
          <w:b/>
          <w:bCs/>
          <w:lang w:val="fr-FR"/>
        </w:rPr>
      </w:pPr>
      <w:r w:rsidRPr="00282ADF">
        <w:rPr>
          <w:lang w:val="fr-FR"/>
        </w:rPr>
        <w:t>Quant aux procédures de contrôle concernant la Police, il est renvoyé à la réponse à la question 10.</w:t>
      </w:r>
    </w:p>
    <w:p w14:paraId="3F10BBD7" w14:textId="0A295437" w:rsidR="00282ADF" w:rsidRPr="00282ADF" w:rsidRDefault="00F60D45" w:rsidP="00F60D45">
      <w:pPr>
        <w:pStyle w:val="H23G"/>
        <w:rPr>
          <w:lang w:val="fr-BE"/>
        </w:rPr>
      </w:pPr>
      <w:r>
        <w:rPr>
          <w:lang w:val="fr-BE"/>
        </w:rPr>
        <w:tab/>
      </w:r>
      <w:r>
        <w:rPr>
          <w:lang w:val="fr-BE"/>
        </w:rPr>
        <w:tab/>
      </w:r>
      <w:r w:rsidR="003C33D8" w:rsidRPr="000626E9">
        <w:rPr>
          <w:rFonts w:eastAsia="Calibri"/>
          <w:noProof/>
          <w:lang w:val="fr-FR" w:eastAsia="es-GT"/>
        </w:rPr>
        <w:t xml:space="preserve">Réponse au paragraphe </w:t>
      </w:r>
      <w:r w:rsidR="00282ADF" w:rsidRPr="00282ADF">
        <w:rPr>
          <w:lang w:val="fr-BE"/>
        </w:rPr>
        <w:t>15 de la liste de questions</w:t>
      </w:r>
    </w:p>
    <w:p w14:paraId="0002F6C2" w14:textId="77777777" w:rsidR="00282ADF" w:rsidRPr="00282ADF" w:rsidRDefault="00282ADF" w:rsidP="00F60D4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Belgique lutte activement contre la surpopulation carcérale et cherche à améliorer les conditions de </w:t>
      </w:r>
      <w:r w:rsidRPr="00F60D45">
        <w:rPr>
          <w:lang w:val="fr-FR"/>
        </w:rPr>
        <w:t>détention</w:t>
      </w:r>
      <w:r w:rsidRPr="00282ADF">
        <w:rPr>
          <w:lang w:val="fr-BE"/>
        </w:rPr>
        <w:t xml:space="preserve"> ainsi que les conditions de travail du personnel pénitentiaire. </w:t>
      </w:r>
    </w:p>
    <w:p w14:paraId="0CC1272D" w14:textId="77777777" w:rsidR="00282ADF" w:rsidRPr="00282ADF" w:rsidRDefault="00282ADF" w:rsidP="00F60D4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Entre 2012 et 2015, la population carcérale moyenne dépassait 11.000 détenus, avec un pic à 11.644 détenus en 2013 (pour seulement 9.384 places disponibles). Entre 2016 et 2021, ce nombre a </w:t>
      </w:r>
      <w:r w:rsidRPr="00F60D45">
        <w:rPr>
          <w:lang w:val="fr-FR"/>
        </w:rPr>
        <w:t>nettement</w:t>
      </w:r>
      <w:r w:rsidRPr="00282ADF">
        <w:rPr>
          <w:lang w:val="fr-BE"/>
        </w:rPr>
        <w:t xml:space="preserve"> diminué, oscillant entre 10.000 et 10.600 détenus. Cependant, en 2022, le nombre de détenus a de nouveau dépassé </w:t>
      </w:r>
      <w:bookmarkStart w:id="16" w:name="_Hlk191560760"/>
      <w:r w:rsidRPr="00282ADF">
        <w:rPr>
          <w:lang w:val="fr-BE"/>
        </w:rPr>
        <w:t>11.000, atteignant 12.000 en 2024 (pour une capacité de 11.020 places fin 2024). Ces données sont détaillées dans l’annexe 6.</w:t>
      </w:r>
      <w:bookmarkEnd w:id="16"/>
    </w:p>
    <w:p w14:paraId="6908B3C0" w14:textId="77777777" w:rsidR="00282ADF" w:rsidRPr="00282ADF" w:rsidRDefault="00282ADF" w:rsidP="00F60D45">
      <w:pPr>
        <w:pStyle w:val="SingleTxtG"/>
        <w:numPr>
          <w:ilvl w:val="0"/>
          <w:numId w:val="14"/>
        </w:numPr>
        <w:suppressAutoHyphens w:val="0"/>
        <w:kinsoku/>
        <w:overflowPunct/>
        <w:autoSpaceDE/>
        <w:autoSpaceDN/>
        <w:adjustRightInd/>
        <w:snapToGrid/>
        <w:ind w:left="1134" w:firstLine="0"/>
        <w:rPr>
          <w:lang w:val="fr-FR"/>
        </w:rPr>
      </w:pPr>
      <w:r w:rsidRPr="00282ADF">
        <w:rPr>
          <w:lang w:val="fr-BE"/>
        </w:rPr>
        <w:t>Pour faire face à cette surpopulation carcérale, la Belgique a pris des mesures pour</w:t>
      </w:r>
      <w:r w:rsidRPr="00282ADF">
        <w:rPr>
          <w:lang w:val="fr-FR"/>
        </w:rPr>
        <w:t xml:space="preserve"> augmenter la capacité carcérale, </w:t>
      </w:r>
      <w:r w:rsidRPr="00F60D45">
        <w:rPr>
          <w:lang w:val="fr-BE"/>
        </w:rPr>
        <w:t>rénover</w:t>
      </w:r>
      <w:r w:rsidRPr="00282ADF">
        <w:rPr>
          <w:lang w:val="fr-FR"/>
        </w:rPr>
        <w:t xml:space="preserve"> et remplacer les établissements vétustes et diminuer l’afflux de nouveaux détenus.</w:t>
      </w:r>
    </w:p>
    <w:p w14:paraId="0DE4C296" w14:textId="77777777" w:rsidR="00282ADF" w:rsidRPr="00282ADF" w:rsidRDefault="00282ADF" w:rsidP="00F60D45">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continue de suivre les </w:t>
      </w:r>
      <w:proofErr w:type="spellStart"/>
      <w:r w:rsidRPr="00282ADF">
        <w:rPr>
          <w:i/>
          <w:iCs/>
          <w:lang w:val="fr-FR"/>
        </w:rPr>
        <w:t>Masterplans</w:t>
      </w:r>
      <w:proofErr w:type="spellEnd"/>
      <w:r w:rsidRPr="00282ADF">
        <w:rPr>
          <w:lang w:val="fr-FR"/>
        </w:rPr>
        <w:t xml:space="preserve"> de 2008, 2012 et 2016. L’état d’avancement de ces plans est détaillé dans l’annexe 7. </w:t>
      </w:r>
    </w:p>
    <w:p w14:paraId="3C85C3D9" w14:textId="77777777" w:rsidR="00282ADF" w:rsidRPr="00282ADF" w:rsidRDefault="00282ADF" w:rsidP="00F60D45">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octobre 2022, le village pénitentiaire d’</w:t>
      </w:r>
      <w:proofErr w:type="spellStart"/>
      <w:r w:rsidRPr="00282ADF">
        <w:rPr>
          <w:lang w:val="fr-FR"/>
        </w:rPr>
        <w:t>Haren</w:t>
      </w:r>
      <w:proofErr w:type="spellEnd"/>
      <w:r w:rsidRPr="00282ADF">
        <w:rPr>
          <w:lang w:val="fr-FR"/>
        </w:rPr>
        <w:t xml:space="preserve"> a ouvert, pouvant accueillir 1.190 détenus. Il comprend une maison d'arrêt et une maison de peine pour hommes, un centre ouvert et un centre fermé pour femmes, un centre d'observation, un centre médical et psychiatrique, des ateliers de travail et des locaux de formation. Les détenus occupent des unités de vie plus petites de manière à améliorer la qualité de vie, tant des détenus que du personnel. </w:t>
      </w:r>
    </w:p>
    <w:p w14:paraId="72B73512" w14:textId="77777777" w:rsidR="00282ADF" w:rsidRPr="00282ADF" w:rsidRDefault="00282ADF" w:rsidP="00F60D45">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a également investi dans des institutions pénitentiaires de petite échelle: </w:t>
      </w:r>
    </w:p>
    <w:p w14:paraId="797BDA30" w14:textId="77777777" w:rsidR="00282ADF" w:rsidRPr="00282ADF" w:rsidRDefault="00282ADF" w:rsidP="0014657D">
      <w:pPr>
        <w:pStyle w:val="Bullet1G"/>
        <w:rPr>
          <w:lang w:val="fr-FR"/>
        </w:rPr>
      </w:pPr>
      <w:r w:rsidRPr="00282ADF">
        <w:rPr>
          <w:lang w:val="fr-FR"/>
        </w:rPr>
        <w:t>Dans les maisons de transition, certains condamnés de longue durée ont la possibilité de passer la dernière partie de leur peine afin de bénéficier d’un accompagnement intensif et personnalisé pour réintégrer la société et réduire leur risque de récidive. La 5</w:t>
      </w:r>
      <w:r w:rsidRPr="00282ADF">
        <w:rPr>
          <w:vertAlign w:val="superscript"/>
          <w:lang w:val="fr-FR"/>
        </w:rPr>
        <w:t>ème</w:t>
      </w:r>
      <w:r w:rsidRPr="00282ADF">
        <w:rPr>
          <w:lang w:val="fr-FR"/>
        </w:rPr>
        <w:t xml:space="preserve"> maison de transition ouvrira fin 2025.</w:t>
      </w:r>
    </w:p>
    <w:p w14:paraId="1F6E5DF3" w14:textId="77777777" w:rsidR="00282ADF" w:rsidRPr="00282ADF" w:rsidRDefault="00282ADF" w:rsidP="0014657D">
      <w:pPr>
        <w:pStyle w:val="Bullet1G"/>
        <w:rPr>
          <w:lang w:val="fr-FR"/>
        </w:rPr>
      </w:pPr>
      <w:r w:rsidRPr="00282ADF">
        <w:rPr>
          <w:lang w:val="fr-FR"/>
        </w:rPr>
        <w:t>Les maisons de détention accueillent un nombre limité de personnes qui ont été condamnées à des peines d'emprisonnement de 3 ans ou moins. Les résidents y conservent un maximum d'autonomie et de contrôle sur leur vie, restent responsables de la satisfaction de leurs besoins et travaillent activement à leur réinsertion avec l’aide des accompagnateurs de détention. Actuellement, 2 maisons de détention sont opérationnelles.</w:t>
      </w:r>
    </w:p>
    <w:p w14:paraId="6816E627"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En mars 2024, le Conseil des ministres a approuvé le </w:t>
      </w:r>
      <w:proofErr w:type="spellStart"/>
      <w:r w:rsidRPr="00282ADF">
        <w:rPr>
          <w:i/>
          <w:iCs/>
          <w:lang w:val="fr-FR"/>
        </w:rPr>
        <w:t>Masterplan</w:t>
      </w:r>
      <w:proofErr w:type="spellEnd"/>
      <w:r w:rsidRPr="00282ADF">
        <w:rPr>
          <w:lang w:val="fr-FR"/>
        </w:rPr>
        <w:t xml:space="preserve"> </w:t>
      </w:r>
      <w:proofErr w:type="spellStart"/>
      <w:r w:rsidRPr="00282ADF">
        <w:rPr>
          <w:lang w:val="fr-FR"/>
        </w:rPr>
        <w:t>III</w:t>
      </w:r>
      <w:r w:rsidRPr="00282ADF">
        <w:rPr>
          <w:i/>
          <w:iCs/>
          <w:lang w:val="fr-FR"/>
        </w:rPr>
        <w:t>bis</w:t>
      </w:r>
      <w:proofErr w:type="spellEnd"/>
      <w:r w:rsidRPr="00282ADF">
        <w:rPr>
          <w:lang w:val="fr-FR"/>
        </w:rPr>
        <w:t xml:space="preserve"> qui définit un certain nombre de principes importants pour le futur de l’infrastructure pénitentiaire. Ce plan prévoit notamment la construction de deux centres de détention légale offrant 500 places pour détenus (non internés) ayant des troubles mentaux. </w:t>
      </w:r>
    </w:p>
    <w:p w14:paraId="74F7E848"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outre, diverses mesures ont été prises tant contre la surpopulation carcérale que pour l'amélioration des conditions de détention et du traitement des détenus par le personnel pénitentiaire. Parmi les mesures importantes:</w:t>
      </w:r>
    </w:p>
    <w:p w14:paraId="659703BF" w14:textId="77777777" w:rsidR="00282ADF" w:rsidRPr="00282ADF" w:rsidRDefault="00282ADF" w:rsidP="0014657D">
      <w:pPr>
        <w:pStyle w:val="Bullet1G"/>
        <w:rPr>
          <w:lang w:val="fr-FR"/>
        </w:rPr>
      </w:pPr>
      <w:r w:rsidRPr="00282ADF">
        <w:rPr>
          <w:lang w:val="fr-FR"/>
        </w:rPr>
        <w:t>La loi de principes du 12/01/2005 concernant l'administration pénitentiaire ainsi que le statut juridique des détenus</w:t>
      </w:r>
      <w:r w:rsidRPr="00282ADF" w:rsidDel="00CD6666">
        <w:rPr>
          <w:lang w:val="fr-FR"/>
        </w:rPr>
        <w:t xml:space="preserve"> </w:t>
      </w:r>
      <w:r w:rsidRPr="00282ADF">
        <w:rPr>
          <w:lang w:val="fr-FR"/>
        </w:rPr>
        <w:t>(ci-après Loi de principes de 2005) définit clairement la position juridique interne et les droits fondamentaux des détenus, en accord avec les Règles Nelson Mandela. Elle inclut aussi des nouveaux recours (administratifs) pour les détenus, comme le droit de plainte (en vigueur depuis 2019). Cette loi est désormais intégralement en vigueur.</w:t>
      </w:r>
    </w:p>
    <w:p w14:paraId="6D779E4F" w14:textId="77777777" w:rsidR="00282ADF" w:rsidRPr="00282ADF" w:rsidRDefault="00282ADF" w:rsidP="0014657D">
      <w:pPr>
        <w:pStyle w:val="Bullet1G"/>
        <w:rPr>
          <w:lang w:val="fr-FR"/>
        </w:rPr>
      </w:pPr>
      <w:r w:rsidRPr="00282ADF">
        <w:rPr>
          <w:lang w:val="fr-FR"/>
        </w:rPr>
        <w:t>Des instructions internes, lettres collectives et circulaires ministérielles précisent la méthode de travail requise et le traitement correct des détenus par le personnel pénitentiaire, notamment lors des fouilles au corps et autres mesures de sécurité.</w:t>
      </w:r>
    </w:p>
    <w:p w14:paraId="21013A6E" w14:textId="77777777" w:rsidR="00282ADF" w:rsidRPr="00282ADF" w:rsidRDefault="00282ADF" w:rsidP="0014657D">
      <w:pPr>
        <w:pStyle w:val="Bullet1G"/>
        <w:rPr>
          <w:lang w:val="fr-FR"/>
        </w:rPr>
      </w:pPr>
      <w:r w:rsidRPr="00282ADF">
        <w:rPr>
          <w:lang w:val="fr-FR"/>
        </w:rPr>
        <w:t>Concernant les soins médicaux, la Loi de principes de 2005 garantit aux détenus des soins de santé équivalents aux soins dispensés dans la société libre. Chaque prison dispose d'une section médicale bien équipée. Pour les internés qui, jusqu'à leur placement dans un établissement de soins extra-pénitentiaire, séjournent dans les annexes psychiatriques ou les sections de défense sociale de la prison, des équipes de soins avec un personnel de soins spécifique sont prévues et renforcées.</w:t>
      </w:r>
    </w:p>
    <w:p w14:paraId="472B6002"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Les normes de superficie minimale des cellules et normes strictes pour la luminosité, ventilation, équipements sanitaires, entretien des cellules et espaces destinés aux activités communes sont fixées par l’arrêté royal du 3 février 2019</w:t>
      </w:r>
      <w:r w:rsidRPr="00282ADF">
        <w:rPr>
          <w:vertAlign w:val="superscript"/>
          <w:lang w:val="en-GB"/>
        </w:rPr>
        <w:endnoteReference w:id="44"/>
      </w:r>
      <w:r w:rsidRPr="00282ADF">
        <w:rPr>
          <w:lang w:val="fr-FR"/>
        </w:rPr>
        <w:t xml:space="preserve">. L’espace de séjour d’une cellule doit notamment avoir une superficie minimale de 10 m² pour un détenu, 12 m² pour 2, 15 m² pour 3, 25 m² pour 4 et de 38 m² pour 5 ou 6 détenus. Les blocs sanitaires doivent être </w:t>
      </w:r>
      <w:proofErr w:type="spellStart"/>
      <w:r w:rsidRPr="00282ADF">
        <w:rPr>
          <w:lang w:val="fr-FR"/>
        </w:rPr>
        <w:t>complètement</w:t>
      </w:r>
      <w:proofErr w:type="spellEnd"/>
      <w:r w:rsidRPr="00282ADF">
        <w:rPr>
          <w:lang w:val="fr-FR"/>
        </w:rPr>
        <w:t xml:space="preserve"> séparés de l’espace de séjour lorsque la cellule est partagée. Une période de transition de 20 ans est prévue pour le réaménagement de toutes les cellules. Tous les nouveaux établissements sont construits selon ces normes. </w:t>
      </w:r>
    </w:p>
    <w:p w14:paraId="660F0298"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plus d’augmenter la capacité carcérale, la Belgique a pris des mesures pour freiner l'admission de nouveaux détenus dans les prisons.</w:t>
      </w:r>
    </w:p>
    <w:p w14:paraId="68E36133"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proofErr w:type="spellStart"/>
      <w:r w:rsidRPr="00282ADF">
        <w:rPr>
          <w:lang w:val="fr-FR"/>
        </w:rPr>
        <w:t>A</w:t>
      </w:r>
      <w:proofErr w:type="spellEnd"/>
      <w:r w:rsidRPr="00282ADF">
        <w:rPr>
          <w:lang w:val="fr-FR"/>
        </w:rPr>
        <w:t xml:space="preserve"> ce titre, le nouveau Code pénal établit le principe que les peines d’emprisonnement sont l’</w:t>
      </w:r>
      <w:proofErr w:type="spellStart"/>
      <w:r w:rsidRPr="00282ADF">
        <w:rPr>
          <w:i/>
          <w:iCs/>
          <w:lang w:val="fr-FR"/>
        </w:rPr>
        <w:t>ultimum</w:t>
      </w:r>
      <w:proofErr w:type="spellEnd"/>
      <w:r w:rsidRPr="00282ADF">
        <w:rPr>
          <w:i/>
          <w:iCs/>
          <w:lang w:val="fr-FR"/>
        </w:rPr>
        <w:t xml:space="preserve"> </w:t>
      </w:r>
      <w:proofErr w:type="spellStart"/>
      <w:r w:rsidRPr="00282ADF">
        <w:rPr>
          <w:i/>
          <w:iCs/>
          <w:lang w:val="fr-FR"/>
        </w:rPr>
        <w:t>remedium</w:t>
      </w:r>
      <w:proofErr w:type="spellEnd"/>
      <w:r w:rsidRPr="00282ADF">
        <w:rPr>
          <w:lang w:val="fr-FR"/>
        </w:rPr>
        <w:t>. Il introduit une nouvelle échelle de peines principales, réparties en 8 niveaux, dont le niveau 1 ne prévoit plus d’emprisonnement. Au niveau 2 (pour des infractions comme la discrimination ou la violation de domicile), la peine minimale d’emprisonnement est de 6 mois. Les objectifs de la peine sont ancrés dans l’article 27. Une peine d’emprisonnement ne peut être prononcée que si les objectifs de la sanction ne peuvent être atteints par d’autres peines ou mesures prévues par la loi (peine de travail, peine probatoire, amende, etc.). Si le juge opte pour la peine d'emprisonnement, il doit indiquer les raisons pour lesquelles les objectifs de la peine ne sont pas atteints par une des autres peines prévues pour le niveau 2.</w:t>
      </w:r>
    </w:p>
    <w:p w14:paraId="7614D583"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Malgré les mesures susmentionnées, la population carcérale et le taux de surpopulation ont fortement augmenté ces dernières années. </w:t>
      </w:r>
    </w:p>
    <w:p w14:paraId="185009B0"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Compte tenu de l'impact négatif de ces augmentations sur les conditions de détention et les conditions de travail du personnel, l'administration pénitentiaire a pris en mars 2024 des mesures temporaires pour réduire la surpopulation et le nombre de détenus dormant sur des matelas au sol. Après une baisse initiale à 45 (au 06/08/2024), le nombre de détenus dormant au sol a de nouveau augmenté pour atteindre 145 (au 31/12/2024). Pour optimiser la capacité, 287 lits d'urgence ont été ajoutés en dehors de la capacité officielle, la politique de transfert interne a été améliorée pour que chaque lit soit occupé au maximum et des mesures d'urgence temporaires ont été mises en place. Un nouveau système de congé pénitentiaire prolongé a été mis en place et étendu à plusieurs reprises (notamment en assouplissant les conditions d'application, bien que certaines catégories de détenus en soient exclues, telles que les délinquants sexuels, les détenus condamnés pour des faits de terrorisme et les condamnés purgeant une ou plusieurs peines privatives de liberté dont le total dépasse 15 ans). </w:t>
      </w:r>
    </w:p>
    <w:p w14:paraId="51906B98"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Une loi d’urgence est en préparation par la ministre de la Justice. L’objectif est de proposer </w:t>
      </w:r>
      <w:r w:rsidRPr="00282ADF">
        <w:rPr>
          <w:lang w:val="fr-FR"/>
        </w:rPr>
        <w:t>des mesures d'urgence pour diminuer la surpopulation actuelle à un niveau gérable, améliorer la préparation à la réinsertion des détenus et éviter que des détenus ne dorment sur des matelas au sol.</w:t>
      </w:r>
    </w:p>
    <w:p w14:paraId="2C7C8B13"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Des modifications </w:t>
      </w:r>
      <w:r w:rsidRPr="0014657D">
        <w:rPr>
          <w:lang w:val="fr-FR"/>
        </w:rPr>
        <w:t>législatives</w:t>
      </w:r>
      <w:r w:rsidRPr="00282ADF">
        <w:rPr>
          <w:lang w:val="fr-BE"/>
        </w:rPr>
        <w:t xml:space="preserve"> ont été apportées au recours à la détention préventive</w:t>
      </w:r>
      <w:r w:rsidRPr="00282ADF">
        <w:rPr>
          <w:vertAlign w:val="superscript"/>
          <w:lang w:val="en-GB"/>
        </w:rPr>
        <w:endnoteReference w:id="45"/>
      </w:r>
      <w:r w:rsidRPr="00282ADF">
        <w:rPr>
          <w:lang w:val="fr-BE"/>
        </w:rPr>
        <w:t xml:space="preserve">: </w:t>
      </w:r>
    </w:p>
    <w:p w14:paraId="40F01E1C" w14:textId="77777777" w:rsidR="00282ADF" w:rsidRPr="00282ADF" w:rsidRDefault="00282ADF" w:rsidP="0014657D">
      <w:pPr>
        <w:pStyle w:val="Bullet1G"/>
        <w:rPr>
          <w:lang w:val="fr-BE"/>
        </w:rPr>
      </w:pPr>
      <w:r w:rsidRPr="00282ADF">
        <w:rPr>
          <w:lang w:val="fr-BE"/>
        </w:rPr>
        <w:t>Les critères pour délivrer un mandat d’arrêt ont été renforcés. Le risque d’ «entrer en collusion avec des tiers» ne peut plus justifier le maintien de la détention préventive à partir de la deuxième comparution mensuelle, sauf dans certains cas spécifiques</w:t>
      </w:r>
      <w:r w:rsidRPr="00282ADF">
        <w:rPr>
          <w:vertAlign w:val="superscript"/>
          <w:lang w:val="en-GB"/>
        </w:rPr>
        <w:endnoteReference w:id="46"/>
      </w:r>
      <w:r w:rsidRPr="00282ADF">
        <w:rPr>
          <w:lang w:val="fr-BE"/>
        </w:rPr>
        <w:t>;</w:t>
      </w:r>
    </w:p>
    <w:p w14:paraId="56BFF994" w14:textId="77777777" w:rsidR="00282ADF" w:rsidRPr="00282ADF" w:rsidRDefault="00282ADF" w:rsidP="0014657D">
      <w:pPr>
        <w:pStyle w:val="Bullet1G"/>
        <w:rPr>
          <w:lang w:val="fr-BE"/>
        </w:rPr>
      </w:pPr>
      <w:r w:rsidRPr="00282ADF">
        <w:rPr>
          <w:lang w:val="fr-BE"/>
        </w:rPr>
        <w:t>Un troisième contrôle mensuel par la chambre du conseil a été ajouté</w:t>
      </w:r>
      <w:r w:rsidRPr="00282ADF">
        <w:rPr>
          <w:vertAlign w:val="superscript"/>
          <w:lang w:val="en-GB"/>
        </w:rPr>
        <w:endnoteReference w:id="47"/>
      </w:r>
      <w:r w:rsidRPr="00282ADF">
        <w:rPr>
          <w:lang w:val="fr-BE"/>
        </w:rPr>
        <w:t xml:space="preserve">; </w:t>
      </w:r>
    </w:p>
    <w:p w14:paraId="1DD681B4" w14:textId="77777777" w:rsidR="00282ADF" w:rsidRPr="00282ADF" w:rsidRDefault="00282ADF" w:rsidP="0014657D">
      <w:pPr>
        <w:pStyle w:val="Bullet1G"/>
        <w:rPr>
          <w:lang w:val="fr-BE"/>
        </w:rPr>
      </w:pPr>
      <w:r w:rsidRPr="00282ADF">
        <w:rPr>
          <w:lang w:val="fr-BE"/>
        </w:rPr>
        <w:t xml:space="preserve">Les articles relatifs à l’appel devant la chambre des mises en accusation et au pourvoi en cassation ont été modifiés en conséquence pour suivre le rythme des contrôles mensuels; </w:t>
      </w:r>
    </w:p>
    <w:p w14:paraId="493A8F30" w14:textId="77777777" w:rsidR="00282ADF" w:rsidRPr="00282ADF" w:rsidRDefault="00282ADF" w:rsidP="0014657D">
      <w:pPr>
        <w:pStyle w:val="Bullet1G"/>
        <w:rPr>
          <w:lang w:val="fr-BE"/>
        </w:rPr>
      </w:pPr>
      <w:r w:rsidRPr="00282ADF">
        <w:rPr>
          <w:lang w:val="fr-BE"/>
        </w:rPr>
        <w:t xml:space="preserve">Une nouvelle possibilité de libération immédiate a été introduite en cas de condamnation pas encore définitive: lorsque le suspect arrêté est condamné à une peine inférieure à 3 ans ou, pour des faits de terrorisme ou de mœurs, à une peine inférieure à 1 an la suspect est en principe libéré, nonobstant appel. </w:t>
      </w:r>
    </w:p>
    <w:p w14:paraId="6693F223"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Belgique travaille également à la réduction de la surpopulation carcérale par la formation et la sensibilisation des magistrats à l'imposition de peines alternatives à l'emprisonnement, entre autres lors de plusieurs tables rondes thématiques en 2022 et 2023, regroupant le monde académique, des magistrats (</w:t>
      </w:r>
      <w:r w:rsidRPr="0014657D">
        <w:rPr>
          <w:lang w:val="fr-BE"/>
        </w:rPr>
        <w:t>instruction</w:t>
      </w:r>
      <w:r w:rsidRPr="00282ADF">
        <w:rPr>
          <w:lang w:val="fr-FR"/>
        </w:rPr>
        <w:t xml:space="preserve">, parquet, parquet général et siège), l’administration pénitentiaire et des acteurs externes. </w:t>
      </w:r>
    </w:p>
    <w:p w14:paraId="54BD106A"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La question de la surpopulation et les conclusions de ces tables rondes ont été approfondies par le Conseil pénitentiaire. Ce conseil pluridisciplinaire, chargé de conseiller la ministre de la Justice sur les questions de politique pénitentiaire, de sa propre initiative ou à la demande du ministre, a été constitué en 2024. Dans son premier avis de décembre 2024, il a souligné la nécessité de mesures drastiques contre la surpopulation et recommandé la mise en œuvre d’un mécanisme de régulation carcérale qui fixerait une limite légale au nombre de places dans chaque établissement pénitentiaire</w:t>
      </w:r>
      <w:r w:rsidRPr="00282ADF">
        <w:rPr>
          <w:vertAlign w:val="superscript"/>
          <w:lang w:val="en-GB"/>
        </w:rPr>
        <w:endnoteReference w:id="48"/>
      </w:r>
      <w:r w:rsidRPr="00282ADF">
        <w:rPr>
          <w:lang w:val="fr-FR"/>
        </w:rPr>
        <w:t>.</w:t>
      </w:r>
    </w:p>
    <w:p w14:paraId="742B9B54" w14:textId="77777777" w:rsidR="00282ADF" w:rsidRPr="00282ADF" w:rsidRDefault="00282ADF" w:rsidP="0014657D">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plus des formations liées aux mesures alternatives, les magistrats et principalement ceux en charge de l’instruction des affaires et de leurs poursuites, ont également été sensibilisés aux difficultés du monde pénitentiaire et à la réalité de l’incarcération, notamment lors d’une formation «régimes pénitentiaires» et de moments d'immersion dans une prison.</w:t>
      </w:r>
    </w:p>
    <w:p w14:paraId="47F2EA23" w14:textId="409434CD" w:rsidR="00282ADF" w:rsidRPr="00282ADF" w:rsidRDefault="0014657D" w:rsidP="0014657D">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15 a) de la liste de questions</w:t>
      </w:r>
    </w:p>
    <w:p w14:paraId="4D0D2E09"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Comme développé </w:t>
      </w:r>
      <w:r w:rsidRPr="00282ADF">
        <w:rPr>
          <w:i/>
          <w:iCs/>
          <w:lang w:val="fr-BE"/>
        </w:rPr>
        <w:t>supra</w:t>
      </w:r>
      <w:r w:rsidRPr="00282ADF">
        <w:rPr>
          <w:lang w:val="fr-BE"/>
        </w:rPr>
        <w:t xml:space="preserve">, la Belgique a pris différentes mesures pour augmenter la capacité carcérale, rénover et remplacer les établissements vétustes. Les conditions pour la superficie minimale, la luminosité, la ventilation, les équipements sanitaires et l’entretien des cellules et espaces destinés aux activités </w:t>
      </w:r>
      <w:r w:rsidRPr="009C73E2">
        <w:rPr>
          <w:lang w:val="fr-FR"/>
        </w:rPr>
        <w:t>communes</w:t>
      </w:r>
      <w:r w:rsidRPr="00282ADF">
        <w:rPr>
          <w:lang w:val="fr-BE"/>
        </w:rPr>
        <w:t xml:space="preserve"> ont également été fixées légalement.</w:t>
      </w:r>
    </w:p>
    <w:p w14:paraId="0DABE9A3" w14:textId="44F4EF92" w:rsidR="00282ADF" w:rsidRPr="00282ADF" w:rsidRDefault="009C73E2" w:rsidP="009C73E2">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15 b) de la liste de questions</w:t>
      </w:r>
    </w:p>
    <w:p w14:paraId="172EC7F1"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Afin d’augmenter l’offre de soins médicaux, psychiatriques et dentaires dans les établissements pénitentiaires, les cadres prévus du personnel médical et autre personnel de soins sont</w:t>
      </w:r>
      <w:r w:rsidRPr="00282ADF" w:rsidDel="00CA4FE9">
        <w:rPr>
          <w:lang w:val="fr-BE"/>
        </w:rPr>
        <w:t xml:space="preserve"> </w:t>
      </w:r>
      <w:r w:rsidRPr="00282ADF">
        <w:rPr>
          <w:lang w:val="fr-BE"/>
        </w:rPr>
        <w:t>systématiquement complétés. En outre, les projets de réforme des soins de santé pénitentiaires pour les détenus, tels que le transfert de la Justice à la Santé publique et l’application de la réforme des règles de l'INAMI (Institut national d’assurance maladie invalidité) aux détenus sont mis en œuvre sans relâche.</w:t>
      </w:r>
    </w:p>
    <w:p w14:paraId="78B92517" w14:textId="6344B71A" w:rsidR="00282ADF" w:rsidRPr="00282ADF" w:rsidRDefault="009C73E2" w:rsidP="009C73E2">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15 c) de la liste de questions</w:t>
      </w:r>
    </w:p>
    <w:p w14:paraId="71D0DA90"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Il est généralement admis qu’il y a une augmentation des personnes ayant des problèmes psychiatriques ou de vulnérabilité psychologique dans la société et que ces situations deviennent de plus en plus complexes. Il s’avère donc nécessaire de fournir des soins accessibles et variés, y compris des soins de proximité pour les personnes qui ne demandent et/ou n’acceptent pas d’aide par elles-mêmes.</w:t>
      </w:r>
    </w:p>
    <w:p w14:paraId="745DC636"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Pour les personnes internées, la capacité d’accueil dans des structures de soins extra-</w:t>
      </w:r>
      <w:proofErr w:type="spellStart"/>
      <w:r w:rsidRPr="00282ADF">
        <w:rPr>
          <w:lang w:val="fr-BE"/>
        </w:rPr>
        <w:t>pénitentaires</w:t>
      </w:r>
      <w:proofErr w:type="spellEnd"/>
      <w:r w:rsidRPr="00282ADF">
        <w:rPr>
          <w:lang w:val="fr-BE"/>
        </w:rPr>
        <w:t>, à différents niveaux de sécurité et sous différentes formes de soins, a déjà été substantiellement augmentée. Toutefois, pour favoriser une réintégration sociale maximale, des efforts restent nécessaires pour assurer le passage vers un cadre de soins «classique». Cette transition est également importante pour libérer de la place pour les nouvelles personnes internées.</w:t>
      </w:r>
    </w:p>
    <w:p w14:paraId="4C8A0837"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Pour les détenus qui n’ont pas le statut d’interné, des efforts sont encore nécessaires pour leur permettre d’accéder plus facilement à une offre de soins extra-pénitentiaires.</w:t>
      </w:r>
    </w:p>
    <w:p w14:paraId="666A16E5"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Ces différents défis sont abordés dans l’accord de coalition fédérale 2025-2029, notamment à travers un plan interfédéral de soins médico-légaux, qui prévoit un accord de coopération entre le gouvernement fédéral et les entités fédérées afin d'organiser l'entrée, le transit et la sortie nécessaires aux personnes hospitalisées d’office, internées ou détenues.</w:t>
      </w:r>
    </w:p>
    <w:p w14:paraId="0EFD4522" w14:textId="3F9E15AE" w:rsidR="00282ADF" w:rsidRPr="00282ADF" w:rsidRDefault="009C73E2" w:rsidP="009C73E2">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15 d) de la liste de questions</w:t>
      </w:r>
    </w:p>
    <w:p w14:paraId="2551D915"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procédure de grève en prison concilie le respect des droits fondamentaux des détenus et le respect du droit de grève des membres du personnel pénitentiaire</w:t>
      </w:r>
      <w:r w:rsidRPr="00282ADF">
        <w:rPr>
          <w:vertAlign w:val="superscript"/>
          <w:lang w:val="en-GB"/>
        </w:rPr>
        <w:endnoteReference w:id="49"/>
      </w:r>
      <w:r w:rsidRPr="00282ADF">
        <w:rPr>
          <w:lang w:val="fr-BE"/>
        </w:rPr>
        <w:t>. Les dispositions concernant la continuité du service pénitentiaire durant une grève sont entrées en vigueur le 01/07/2019.</w:t>
      </w:r>
    </w:p>
    <w:p w14:paraId="5001C927"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Ces dispositions s’articulent en deux axes: 1)la mise en place d’une procédure en cas de conflit social pour le résoudre en priorité par le biais de la concertation sociale et; 2)si la concertation sociale échoue, encadrer l’exercice du droit de grève des agents pénitentiaires, tout en respectant les droits des détenus.</w:t>
      </w:r>
    </w:p>
    <w:p w14:paraId="6F8EC4CB" w14:textId="77777777" w:rsidR="00282ADF" w:rsidRPr="00282ADF" w:rsidRDefault="00282ADF" w:rsidP="009C73E2">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loi du 23/03/2019 détermine notamment des principes relatifs à la continuité du service pénitentiaire durant une grève, la manière dont le personnel pénitentiaire peut être mobilisé, les services minimaux à garantir aux détenus et comment chaque prison doit établir un plan d’action individuel pour assurer ces services.</w:t>
      </w:r>
    </w:p>
    <w:p w14:paraId="5320819A" w14:textId="77777777" w:rsidR="00282ADF" w:rsidRPr="00282ADF" w:rsidRDefault="00282ADF" w:rsidP="00681141">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Ces mesures législatives s'ajoutent aux efforts nombreux et continus pour renforcer le personnel dans les prisons par le recrutement et la formation de nouveau personnel pénitentiaire dans les différentes fonctions. Davantage de mesures prises pour recruter et former le personnel sont détaillées </w:t>
      </w:r>
      <w:r w:rsidRPr="00282ADF">
        <w:rPr>
          <w:i/>
          <w:iCs/>
          <w:lang w:val="fr-BE"/>
        </w:rPr>
        <w:t>infra</w:t>
      </w:r>
      <w:r w:rsidRPr="00282ADF">
        <w:rPr>
          <w:lang w:val="fr-BE"/>
        </w:rPr>
        <w:t xml:space="preserve"> à la question 18.  </w:t>
      </w:r>
    </w:p>
    <w:p w14:paraId="2118D37A" w14:textId="5D97BA67" w:rsidR="00282ADF" w:rsidRPr="00282ADF" w:rsidRDefault="00681141" w:rsidP="00681141">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15 e) de la liste de questions</w:t>
      </w:r>
    </w:p>
    <w:p w14:paraId="5075C3B0" w14:textId="77777777" w:rsidR="00282ADF" w:rsidRPr="00282ADF" w:rsidRDefault="00282ADF" w:rsidP="00681141">
      <w:pPr>
        <w:pStyle w:val="SingleTxtG"/>
        <w:numPr>
          <w:ilvl w:val="0"/>
          <w:numId w:val="14"/>
        </w:numPr>
        <w:suppressAutoHyphens w:val="0"/>
        <w:kinsoku/>
        <w:overflowPunct/>
        <w:autoSpaceDE/>
        <w:autoSpaceDN/>
        <w:adjustRightInd/>
        <w:snapToGrid/>
        <w:ind w:left="1134" w:firstLine="0"/>
        <w:rPr>
          <w:lang w:val="fr-BE"/>
        </w:rPr>
      </w:pPr>
      <w:r w:rsidRPr="00282ADF">
        <w:rPr>
          <w:lang w:val="fr-BE"/>
        </w:rPr>
        <w:t>Dans les établissements pénitentiaires de la Région flamande, de la Région wallonne</w:t>
      </w:r>
      <w:r w:rsidRPr="00282ADF" w:rsidDel="00506A80">
        <w:rPr>
          <w:lang w:val="fr-BE"/>
        </w:rPr>
        <w:t xml:space="preserve"> </w:t>
      </w:r>
      <w:r w:rsidRPr="00282ADF">
        <w:rPr>
          <w:lang w:val="fr-BE"/>
        </w:rPr>
        <w:t xml:space="preserve">et de la Région Bruxelles-Capitale, différents opérateurs des communautés et des régions offrent une aide aux détenus et internés. Cette aide individuelle les accompagne pour faire face aux conséquences directes de leur incarcération et les prépare à leur retour en société. </w:t>
      </w:r>
    </w:p>
    <w:p w14:paraId="50E12502" w14:textId="77777777" w:rsidR="00282ADF" w:rsidRPr="00282ADF" w:rsidRDefault="00282ADF" w:rsidP="00F94457">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Les partenaires agréés ou coordonnés par des administrations communautaires (l’Administration générale des Maisons de Justice pour la Communauté française et l’Agence de la Justice et du Maintien pour la Communauté flamande) proposent principalement une aide sociale, psychologique, de maintien du lien, à la communication restaurative et à la réinsertion socio-professionnelle. Certains partenaires organisent aussi une offre collective avec d’autres opérateurs, dans les domaines de la culture, du sport, de la formation, de l’enseignement, de la promotion à la santé, etc. </w:t>
      </w:r>
    </w:p>
    <w:p w14:paraId="6855910B" w14:textId="77777777" w:rsidR="00282ADF" w:rsidRPr="00282ADF" w:rsidRDefault="00282ADF" w:rsidP="00F94457">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Pendant la pandémie de COVID-19, la majorité des activités collectives ont été suspendues avant de reprendre progressivement avec des règles strictes. L’offre d’aide individuelle </w:t>
      </w:r>
      <w:proofErr w:type="spellStart"/>
      <w:r w:rsidRPr="00282ADF">
        <w:rPr>
          <w:lang w:val="fr-BE"/>
        </w:rPr>
        <w:t>à</w:t>
      </w:r>
      <w:proofErr w:type="spellEnd"/>
      <w:r w:rsidRPr="00282ADF">
        <w:rPr>
          <w:lang w:val="fr-BE"/>
        </w:rPr>
        <w:t xml:space="preserve"> été moins affectée mais a toutefois connu un fort ralentissement. Depuis la fin de la pandémie, la situation est revenue à la normale. Certains moyens de communication ont toutefois été maintenus comme l’utilisation des </w:t>
      </w:r>
      <w:proofErr w:type="spellStart"/>
      <w:r w:rsidRPr="00282ADF">
        <w:rPr>
          <w:lang w:val="fr-BE"/>
        </w:rPr>
        <w:t>visioconférences</w:t>
      </w:r>
      <w:proofErr w:type="spellEnd"/>
      <w:r w:rsidRPr="00282ADF">
        <w:rPr>
          <w:lang w:val="fr-BE"/>
        </w:rPr>
        <w:t xml:space="preserve"> pour soutenir l’aide individuelle. </w:t>
      </w:r>
    </w:p>
    <w:p w14:paraId="35AA529A" w14:textId="77777777" w:rsidR="00282ADF" w:rsidRPr="00282ADF" w:rsidRDefault="00282ADF" w:rsidP="00F94457">
      <w:pPr>
        <w:pStyle w:val="SingleTxtG"/>
        <w:numPr>
          <w:ilvl w:val="0"/>
          <w:numId w:val="14"/>
        </w:numPr>
        <w:suppressAutoHyphens w:val="0"/>
        <w:kinsoku/>
        <w:overflowPunct/>
        <w:autoSpaceDE/>
        <w:autoSpaceDN/>
        <w:adjustRightInd/>
        <w:snapToGrid/>
        <w:ind w:left="1134" w:firstLine="0"/>
        <w:rPr>
          <w:lang w:val="fr-BE"/>
        </w:rPr>
      </w:pPr>
      <w:r w:rsidRPr="00282ADF">
        <w:rPr>
          <w:lang w:val="fr-BE"/>
        </w:rPr>
        <w:t>L</w:t>
      </w:r>
      <w:r w:rsidRPr="00282ADF" w:rsidDel="00820F74">
        <w:rPr>
          <w:lang w:val="fr-BE"/>
        </w:rPr>
        <w:t xml:space="preserve">’offre d’aide aux détenus rencontre </w:t>
      </w:r>
      <w:r w:rsidRPr="00282ADF">
        <w:rPr>
          <w:lang w:val="fr-BE"/>
        </w:rPr>
        <w:t xml:space="preserve">cependant </w:t>
      </w:r>
      <w:r w:rsidRPr="00282ADF" w:rsidDel="00820F74">
        <w:rPr>
          <w:lang w:val="fr-BE"/>
        </w:rPr>
        <w:t xml:space="preserve">certains </w:t>
      </w:r>
      <w:r w:rsidRPr="00282ADF">
        <w:rPr>
          <w:lang w:val="fr-BE"/>
        </w:rPr>
        <w:t>obstacles</w:t>
      </w:r>
      <w:r w:rsidRPr="00282ADF" w:rsidDel="00820F74">
        <w:rPr>
          <w:lang w:val="fr-BE"/>
        </w:rPr>
        <w:t xml:space="preserve"> comme le manque de moyens pour certaines </w:t>
      </w:r>
      <w:r w:rsidRPr="00282ADF">
        <w:rPr>
          <w:lang w:val="fr-BE"/>
        </w:rPr>
        <w:t>activités</w:t>
      </w:r>
      <w:r w:rsidRPr="00282ADF" w:rsidDel="00820F74">
        <w:rPr>
          <w:lang w:val="fr-BE"/>
        </w:rPr>
        <w:t xml:space="preserve"> et </w:t>
      </w:r>
      <w:r w:rsidRPr="00282ADF">
        <w:rPr>
          <w:lang w:val="fr-BE"/>
        </w:rPr>
        <w:t xml:space="preserve">des </w:t>
      </w:r>
      <w:r w:rsidRPr="00282ADF" w:rsidDel="00820F74">
        <w:rPr>
          <w:lang w:val="fr-BE"/>
        </w:rPr>
        <w:t>infrastructure</w:t>
      </w:r>
      <w:r w:rsidRPr="00282ADF">
        <w:rPr>
          <w:lang w:val="fr-BE"/>
        </w:rPr>
        <w:t>s</w:t>
      </w:r>
      <w:r w:rsidRPr="00282ADF" w:rsidDel="00820F74">
        <w:rPr>
          <w:lang w:val="fr-BE"/>
        </w:rPr>
        <w:t xml:space="preserve"> </w:t>
      </w:r>
      <w:r w:rsidRPr="00282ADF">
        <w:rPr>
          <w:lang w:val="fr-BE"/>
        </w:rPr>
        <w:t>inadaptées</w:t>
      </w:r>
      <w:r w:rsidRPr="00282ADF" w:rsidDel="00820F74">
        <w:rPr>
          <w:lang w:val="fr-BE"/>
        </w:rPr>
        <w:t xml:space="preserve"> d</w:t>
      </w:r>
      <w:r w:rsidRPr="00282ADF">
        <w:rPr>
          <w:lang w:val="fr-BE"/>
        </w:rPr>
        <w:t>ans certains</w:t>
      </w:r>
      <w:r w:rsidRPr="00282ADF" w:rsidDel="00820F74">
        <w:rPr>
          <w:lang w:val="fr-BE"/>
        </w:rPr>
        <w:t xml:space="preserve"> établissements pénitentiaires. </w:t>
      </w:r>
      <w:r w:rsidRPr="00282ADF">
        <w:rPr>
          <w:lang w:val="fr-BE"/>
        </w:rPr>
        <w:t>L</w:t>
      </w:r>
      <w:r w:rsidRPr="00282ADF" w:rsidDel="00820F74">
        <w:rPr>
          <w:lang w:val="fr-BE"/>
        </w:rPr>
        <w:t xml:space="preserve">a surpopulation carcérale couplée au manque </w:t>
      </w:r>
      <w:r w:rsidRPr="00282ADF">
        <w:rPr>
          <w:lang w:val="fr-BE"/>
        </w:rPr>
        <w:t xml:space="preserve">et absence </w:t>
      </w:r>
      <w:r w:rsidRPr="00282ADF" w:rsidDel="00820F74">
        <w:rPr>
          <w:lang w:val="fr-BE"/>
        </w:rPr>
        <w:t xml:space="preserve">d’agents </w:t>
      </w:r>
      <w:r w:rsidRPr="00282ADF">
        <w:rPr>
          <w:lang w:val="fr-BE"/>
        </w:rPr>
        <w:t>pénitentiaires</w:t>
      </w:r>
      <w:r w:rsidRPr="00282ADF" w:rsidDel="00820F74">
        <w:rPr>
          <w:lang w:val="fr-BE"/>
        </w:rPr>
        <w:t xml:space="preserve"> </w:t>
      </w:r>
      <w:r w:rsidRPr="00282ADF">
        <w:rPr>
          <w:lang w:val="fr-BE"/>
        </w:rPr>
        <w:t>compliquent également</w:t>
      </w:r>
      <w:r w:rsidRPr="00282ADF" w:rsidDel="00820F74">
        <w:rPr>
          <w:lang w:val="fr-BE"/>
        </w:rPr>
        <w:t xml:space="preserve"> la mise en place efficiente d’activités individuelles et collectives.</w:t>
      </w:r>
      <w:r w:rsidRPr="00282ADF" w:rsidDel="00820F74">
        <w:rPr>
          <w:i/>
          <w:lang w:val="fr-BE"/>
        </w:rPr>
        <w:t xml:space="preserve"> </w:t>
      </w:r>
      <w:r w:rsidRPr="00282ADF" w:rsidDel="00820F74">
        <w:rPr>
          <w:lang w:val="fr-BE"/>
        </w:rPr>
        <w:t xml:space="preserve"> </w:t>
      </w:r>
    </w:p>
    <w:p w14:paraId="622F9E3B" w14:textId="77777777" w:rsidR="00282ADF" w:rsidRPr="00282ADF" w:rsidRDefault="00282ADF" w:rsidP="00F94457">
      <w:pPr>
        <w:pStyle w:val="SingleTxtG"/>
        <w:numPr>
          <w:ilvl w:val="0"/>
          <w:numId w:val="14"/>
        </w:numPr>
        <w:suppressAutoHyphens w:val="0"/>
        <w:kinsoku/>
        <w:overflowPunct/>
        <w:autoSpaceDE/>
        <w:autoSpaceDN/>
        <w:adjustRightInd/>
        <w:snapToGrid/>
        <w:ind w:left="1134" w:firstLine="0"/>
        <w:rPr>
          <w:lang w:val="fr-BE"/>
        </w:rPr>
      </w:pPr>
      <w:r w:rsidRPr="00282ADF">
        <w:rPr>
          <w:lang w:val="fr-BE"/>
        </w:rPr>
        <w:t>En Communauté flamande, un Plan stratégique</w:t>
      </w:r>
      <w:r w:rsidRPr="00282ADF">
        <w:rPr>
          <w:vertAlign w:val="superscript"/>
          <w:lang w:val="en-GB"/>
        </w:rPr>
        <w:endnoteReference w:id="50"/>
      </w:r>
      <w:r w:rsidRPr="00282ADF">
        <w:rPr>
          <w:lang w:val="fr-BE"/>
        </w:rPr>
        <w:t xml:space="preserve"> met l’accent sur les activités récréatives et de réadaptation. Chaque prison établit un plan d’action local avec des prestataires de services et d’aide pour la mise en place d’activités. En 2023, 16 actions ont été ajoutées en réponse à l’évaluation à mi-parcours du plan stratégique et aux évolutions sur le terrain.</w:t>
      </w:r>
    </w:p>
    <w:p w14:paraId="57D637CA" w14:textId="77777777" w:rsidR="00282ADF" w:rsidRPr="00282ADF" w:rsidRDefault="00282ADF" w:rsidP="00F94457">
      <w:pPr>
        <w:pStyle w:val="SingleTxtG"/>
        <w:numPr>
          <w:ilvl w:val="0"/>
          <w:numId w:val="14"/>
        </w:numPr>
        <w:suppressAutoHyphens w:val="0"/>
        <w:kinsoku/>
        <w:overflowPunct/>
        <w:autoSpaceDE/>
        <w:autoSpaceDN/>
        <w:adjustRightInd/>
        <w:snapToGrid/>
        <w:ind w:left="1134" w:firstLine="0"/>
        <w:rPr>
          <w:lang w:val="fr-BE"/>
        </w:rPr>
      </w:pPr>
      <w:r w:rsidRPr="00282ADF">
        <w:rPr>
          <w:lang w:val="fr-BE"/>
        </w:rPr>
        <w:t>En Communauté française, il a décidé en 2024 de donner l’opportunité aux 19 établissements pénitentiaires situés en Région wallonne, et relevant de l'</w:t>
      </w:r>
      <w:proofErr w:type="spellStart"/>
      <w:r w:rsidRPr="00282ADF">
        <w:rPr>
          <w:lang w:val="fr-BE"/>
        </w:rPr>
        <w:t>Etat</w:t>
      </w:r>
      <w:proofErr w:type="spellEnd"/>
      <w:r w:rsidRPr="00282ADF">
        <w:rPr>
          <w:lang w:val="fr-BE"/>
        </w:rPr>
        <w:t xml:space="preserve"> fédéral, et aux 6 institutions publiques de protection de la jeunesse, relevant de la Communauté française, de pouvoir bénéficier d’un programme d’activités physiques et sportives.</w:t>
      </w:r>
      <w:r w:rsidRPr="00282ADF" w:rsidDel="00B17105">
        <w:rPr>
          <w:lang w:val="fr-BE"/>
        </w:rPr>
        <w:t xml:space="preserve"> </w:t>
      </w:r>
    </w:p>
    <w:p w14:paraId="502731F9" w14:textId="77777777" w:rsidR="00282ADF" w:rsidRPr="00282ADF" w:rsidRDefault="00282ADF" w:rsidP="00F94457">
      <w:pPr>
        <w:pStyle w:val="SingleTxtG"/>
        <w:numPr>
          <w:ilvl w:val="0"/>
          <w:numId w:val="14"/>
        </w:numPr>
        <w:suppressAutoHyphens w:val="0"/>
        <w:kinsoku/>
        <w:overflowPunct/>
        <w:autoSpaceDE/>
        <w:autoSpaceDN/>
        <w:adjustRightInd/>
        <w:snapToGrid/>
        <w:ind w:left="1134" w:firstLine="0"/>
        <w:rPr>
          <w:lang w:val="fr-BE"/>
        </w:rPr>
      </w:pPr>
      <w:r w:rsidRPr="00282ADF">
        <w:rPr>
          <w:lang w:val="fr-BE"/>
        </w:rPr>
        <w:t>Des activités similaires sont proposées au sein des prisons de la Région de Bruxelles-Capitale.</w:t>
      </w:r>
    </w:p>
    <w:p w14:paraId="0AB50563" w14:textId="67C319E6" w:rsidR="00282ADF" w:rsidRPr="00282ADF" w:rsidRDefault="00F94457" w:rsidP="00F94457">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16 de la liste de questions</w:t>
      </w:r>
    </w:p>
    <w:p w14:paraId="5D9C57F7" w14:textId="77777777" w:rsidR="00282ADF" w:rsidRPr="00282ADF" w:rsidRDefault="00282ADF" w:rsidP="00D303CF">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Les données ventilées par sexe, âge et nationalité sur le nombre de personnes en détention provisoire, condamnées et internées ainsi que sur les taux d’occupation de chaque lieu de détention se trouvent dans l’annexe 6.</w:t>
      </w:r>
    </w:p>
    <w:p w14:paraId="51E796FD" w14:textId="77777777" w:rsidR="00282ADF" w:rsidRPr="00282ADF" w:rsidRDefault="00282ADF" w:rsidP="00D303CF">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Belgique, l</w:t>
      </w:r>
      <w:r w:rsidRPr="00282ADF">
        <w:rPr>
          <w:lang w:val="fr-BE"/>
        </w:rPr>
        <w:t xml:space="preserve">es personnes en détention préventive et celles purgeant une peine d’emprisonnement sont soumises à des régimes distincts de détention et sont détenues dans des ailes voire des </w:t>
      </w:r>
      <w:r w:rsidRPr="00D303CF">
        <w:rPr>
          <w:lang w:val="fr-FR"/>
        </w:rPr>
        <w:t>établissements</w:t>
      </w:r>
      <w:r w:rsidRPr="00282ADF">
        <w:rPr>
          <w:lang w:val="fr-BE"/>
        </w:rPr>
        <w:t xml:space="preserve"> distincts. La Loi de principes de 2005 prévoit que les inculpés sont maintenus à l'écart des condamnés, sauf lorsqu'ils acceptent le contraire par écrit en vue de participer à des activités communes. </w:t>
      </w:r>
    </w:p>
    <w:p w14:paraId="3C985635" w14:textId="77777777" w:rsidR="00282ADF" w:rsidRPr="00282ADF" w:rsidRDefault="00282ADF" w:rsidP="00D303CF">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Les femmes sont détenues dans des sections spécifiques des prisons, il n’y a pas de sections mixtes. Il est possible de placer une personne dans une section correspondant à son identité de genre, en tenant compte des éléments de son dossier individuel. Les services dans les prisons (Service </w:t>
      </w:r>
      <w:proofErr w:type="spellStart"/>
      <w:r w:rsidRPr="00282ADF">
        <w:rPr>
          <w:lang w:val="fr-FR"/>
        </w:rPr>
        <w:t>psychosocial</w:t>
      </w:r>
      <w:proofErr w:type="spellEnd"/>
      <w:r w:rsidRPr="00282ADF">
        <w:rPr>
          <w:lang w:val="fr-FR"/>
        </w:rPr>
        <w:t>, Service médical, Équipes de soins) prêtent également attention aux vulnérabilités particulières et peuvent, en tenant compte du niveau de sécurité du dossier concerné, prendre des mesures spéciales de protection. Des efforts sont également déployés pour répondre aux besoins spécifiques des détenues femmes ou des détenus du groupe LGBTQIA+, tels que des listes de cantine adaptées, une offre spécifique d'activités et la fourniture de produits hygiéniques.</w:t>
      </w:r>
    </w:p>
    <w:p w14:paraId="3B2FF11E" w14:textId="77777777" w:rsidR="00282ADF" w:rsidRPr="00282ADF" w:rsidRDefault="00282ADF" w:rsidP="00D303CF">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Aucun mineur n’est incarcéré dans les prisons belges. Les mineurs poursuivis pour un fait qualifié infraction commis avant leurs 18 ans dont le juge de la jeunesse estime qu’une mesure privative de liberté est </w:t>
      </w:r>
      <w:r w:rsidRPr="00D303CF">
        <w:rPr>
          <w:lang w:val="fr-FR"/>
        </w:rPr>
        <w:t>nécessaire</w:t>
      </w:r>
      <w:r w:rsidRPr="00282ADF">
        <w:rPr>
          <w:lang w:val="fr-BE"/>
        </w:rPr>
        <w:t xml:space="preserve"> sont placés dans une institution communautaire («IPPJ» en Communauté française). Les mineurs âgés entre 16 et 18 ans au moment de l’infraction peuvent exceptionnellement, selon des conditions législatives strictes, faire l’objet d’une décision de dessaisissement et sont alors placés dans un centre communautaire spécifique («CCMD» en Communauté française). Ces jeunes peuvent toutefois être détenus dans une prison pour adultes s’ils sont déjà majeurs au moment du placement et que le nombre de places en centre est insuffisant ou s’ils sont majeurs et qu’ils causent des troubles graves ou mettent en danger les jeunes/personnel du centre communautaire. Ils sont également transférés d’office dans une prison pour adultes lorsqu’ils atteignent 23 ans.</w:t>
      </w:r>
    </w:p>
    <w:p w14:paraId="3941D8C7"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Un projet pilote a été lancé en 2024 permettant aux juges de la jeunesse d’Anvers d’imposer une surveillance électronique aux mineurs ayant commis une infraction. Les jeunes et leur environnement immédiat font l’objet d’une guidance sur mesure, tout en étant surveillés par un bracelet électronique à la cheville. Si l’évaluation est positive, ce suivi électronique sera progressivement étendu en Région flamande. </w:t>
      </w:r>
    </w:p>
    <w:p w14:paraId="2E260BB5"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Enfin, il existe également des sections spécifiques avec des aménagements adaptés pour les détenus plus </w:t>
      </w:r>
      <w:r w:rsidRPr="00FD0C20">
        <w:rPr>
          <w:lang w:val="fr-BE"/>
        </w:rPr>
        <w:t>âgés</w:t>
      </w:r>
      <w:r w:rsidRPr="00282ADF">
        <w:rPr>
          <w:lang w:val="fr-FR"/>
        </w:rPr>
        <w:t xml:space="preserve"> et/ou ayant des besoins de soins spécifiques. Une attention particulière est toujours accordée à cet aspect lors de la construction de nouveaux bâtiments et de la rénovation des prisons.</w:t>
      </w:r>
    </w:p>
    <w:p w14:paraId="049BE830"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L’Agence flamande pour les personnes en situation de handicap fournit un soutien en prison, aux personnes en situation de handicap, avec un accompagnement pendant la journée dans les prisons et une aide directe accessible. Un projet est également en cours pour adapter les prisons aux </w:t>
      </w:r>
      <w:r w:rsidRPr="00FD0C20">
        <w:rPr>
          <w:lang w:val="fr-FR"/>
        </w:rPr>
        <w:t>personnes</w:t>
      </w:r>
      <w:r w:rsidRPr="00282ADF">
        <w:rPr>
          <w:lang w:val="fr-BE"/>
        </w:rPr>
        <w:t xml:space="preserve"> autistes.</w:t>
      </w:r>
    </w:p>
    <w:p w14:paraId="6C272D36"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bookmarkStart w:id="17" w:name="_Hlk191905504"/>
      <w:r w:rsidRPr="00282ADF">
        <w:rPr>
          <w:lang w:val="fr-BE"/>
        </w:rPr>
        <w:t>La Communauté française accorde une attention particulière à la réorientation des jeunes souffrant d’un trouble ou handicap mental et poursuivis pour des infractions vers des services de soins adéquats, grâce à des accords de collaboration avec les autorités compétentes. Le personnel des IPPJ et CCMD est formé pour garantir le respect de l’identité de genre des mineurs en condition d’hébergement, en principe non mixte. La Communauté française a mis en place un mécanisme de traitement des plaintes des jeunes privés de liberté en 2018 (pour les jeunes hébergés en IPPJ) et 2019 (pour les jeunes détenus au CCMD), pleinement opérationnel depuis mars 2025.</w:t>
      </w:r>
      <w:bookmarkEnd w:id="17"/>
    </w:p>
    <w:p w14:paraId="35FE5E2A" w14:textId="0873875E" w:rsidR="00282ADF" w:rsidRPr="00282ADF" w:rsidRDefault="00FD0C20" w:rsidP="00FD0C20">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17 de la liste de questions</w:t>
      </w:r>
    </w:p>
    <w:p w14:paraId="7A6F3A4F"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fouille au corps ne peut être effectuée que sur décision motivée du directeur de la prison, lorsque des indices individualisés montrent que la fouille des vêtements n’est pas suffisante pour le maintien de l’ordre et de la sécurité</w:t>
      </w:r>
      <w:r w:rsidRPr="00282ADF">
        <w:rPr>
          <w:vertAlign w:val="superscript"/>
          <w:lang w:val="en-GB"/>
        </w:rPr>
        <w:endnoteReference w:id="51"/>
      </w:r>
      <w:r w:rsidRPr="00282ADF">
        <w:rPr>
          <w:lang w:val="fr-BE"/>
        </w:rPr>
        <w:t xml:space="preserve">. </w:t>
      </w:r>
    </w:p>
    <w:p w14:paraId="181CECBA"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Pour donner suite aux recommandations du Médiateur fédéral sur les fouilles à nu et à la jurisprudence des Commissions des plaintes, le directeur général des établissements pénitentiaires a diffusé des communications, en février 2021 et avril 2024, concernant la motivation des décisions de fouille au corps. Ces communications rappellent que la décision de procéder à une fouille au corps doit être basée sur des indices individualisés et suffisamment concrétisés permettant de penser que le détenu pourrait être en possession d’objets ou de substances pouvant être interdits ou dangereux et expliquer spécifiquement les raisons précises pour lesquelles une fouille de vêtements n’est pas suffisante. Si une sanction disciplinaire imposée en raison d’objets ou substances retrouvées à la suite d’une décision de fouille au corps est incorrectement motivée, elle peut être annulée par les Commissions de plaintes et d’appel. Il est rappelé que la fouille au corps revêt un caractère subsidiaire et doit être considérée comme l’</w:t>
      </w:r>
      <w:proofErr w:type="spellStart"/>
      <w:r w:rsidRPr="00282ADF">
        <w:rPr>
          <w:i/>
          <w:iCs/>
          <w:lang w:val="fr-BE"/>
        </w:rPr>
        <w:t>ultimum</w:t>
      </w:r>
      <w:proofErr w:type="spellEnd"/>
      <w:r w:rsidRPr="00282ADF">
        <w:rPr>
          <w:i/>
          <w:iCs/>
          <w:lang w:val="fr-BE"/>
        </w:rPr>
        <w:t xml:space="preserve"> </w:t>
      </w:r>
      <w:proofErr w:type="spellStart"/>
      <w:r w:rsidRPr="00282ADF">
        <w:rPr>
          <w:i/>
          <w:iCs/>
          <w:lang w:val="fr-BE"/>
        </w:rPr>
        <w:t>remedium</w:t>
      </w:r>
      <w:proofErr w:type="spellEnd"/>
      <w:r w:rsidRPr="00282ADF">
        <w:rPr>
          <w:lang w:val="fr-BE"/>
        </w:rPr>
        <w:t>. Cette mesure de sécurité doit être appliquée selon les instructions communiquées aux établissements pénitentiaires en 2018 (sur l’interprétation des indices individualisés permettant de penser que la fouille des vêtements n’est pas suffisante) et en 2021 (sur la motivation de la décision de fouille au corps).</w:t>
      </w:r>
    </w:p>
    <w:p w14:paraId="28B25125" w14:textId="110DF294" w:rsidR="00282ADF" w:rsidRPr="00282ADF" w:rsidRDefault="00FD0C20" w:rsidP="00FD0C20">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18 de la liste de questions</w:t>
      </w:r>
    </w:p>
    <w:p w14:paraId="5BDFCD69"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b/>
          <w:bCs/>
          <w:lang w:val="fr-BE"/>
        </w:rPr>
      </w:pPr>
      <w:r w:rsidRPr="00282ADF">
        <w:rPr>
          <w:lang w:val="fr-BE"/>
        </w:rPr>
        <w:t xml:space="preserve">Les données concernant les décès et suicides en détention se trouvent dans l’annexe 8. </w:t>
      </w:r>
    </w:p>
    <w:p w14:paraId="33D80E3C"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Lorsqu'un décès survient en détention, le parquet est informé et peut décider d'ouvrir une enquête. L'administration ne </w:t>
      </w:r>
      <w:r w:rsidRPr="00FD0C20">
        <w:rPr>
          <w:lang w:val="fr-BE"/>
        </w:rPr>
        <w:t>dispose</w:t>
      </w:r>
      <w:r w:rsidRPr="00282ADF">
        <w:rPr>
          <w:lang w:val="fr-FR"/>
        </w:rPr>
        <w:t xml:space="preserve"> pas d'informations concernant les enquêtes en cours.</w:t>
      </w:r>
    </w:p>
    <w:p w14:paraId="02A6EC84"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FR"/>
        </w:rPr>
        <w:t>Au cours des 10 dernières années, une dizaine de plaintes avec constitution de partie civile ont été introduites dans des cas de suicide/décès en détention. Dans la majorité de ces dossiers, le juge a déclaré l’action irrecevable ou a prononcé un non-lieu. Dans un des cas, le juge a estimé qu’il n’y avait pas de lien causal entre l’incarcération et le décès du détenu. En 2017, la Cour européenne de droits de l’homme (CourEDH) a jugé que la Belgique avait violé l’article 2 CEDH dans le cadre du décès d’un détenu</w:t>
      </w:r>
      <w:r w:rsidRPr="00282ADF">
        <w:rPr>
          <w:vertAlign w:val="superscript"/>
          <w:lang w:val="en-GB"/>
        </w:rPr>
        <w:endnoteReference w:id="52"/>
      </w:r>
      <w:r w:rsidRPr="00282ADF">
        <w:rPr>
          <w:lang w:val="fr-FR"/>
        </w:rPr>
        <w:t>. La responsabilité individuelle des agents n’a pas été mise en cause, mais bien les processus et l’organisation de la prison ainsi que la formation du personnel.</w:t>
      </w:r>
    </w:p>
    <w:p w14:paraId="58CC39D3"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Une directive en matière de prévention du suicide a été diffusée en mars 2023 dans tous les établissements pénitentiaires avec des recommandations et instructions concrètes pour développer ou actualiser la politique de prévention du suicide. La téléphonie en cellule offre également aux détenus de nouvelles possibilités d'accéder facilement aux lignes d'assistance appropriées. </w:t>
      </w:r>
    </w:p>
    <w:p w14:paraId="2DD34480"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Un projet de «prévention du suicide en détention» est en cours jusqu'en 2026 dans les prisons d'Ypres, Bruges, Merksplas et Malines, soutenu par le </w:t>
      </w:r>
      <w:hyperlink r:id="rId18" w:history="1">
        <w:r w:rsidRPr="00282ADF">
          <w:rPr>
            <w:rStyle w:val="Hyperlink"/>
            <w:lang w:val="fr-BE"/>
          </w:rPr>
          <w:t>Centre flamand d'expertise en prévention du suicide</w:t>
        </w:r>
      </w:hyperlink>
      <w:r w:rsidRPr="00282ADF">
        <w:rPr>
          <w:lang w:val="fr-FR"/>
        </w:rPr>
        <w:t xml:space="preserve"> et subventionné par la Communauté flamande.</w:t>
      </w:r>
    </w:p>
    <w:p w14:paraId="1CF79BBF"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politique de sécurité dans les prisons belges repose sur plusieurs piliers fondamentaux: la prévention, la gestion des incidents, l'analyse des incidents, le suivi des incidents et l'ajustement des mesures préventives sur la base de l’analyse des incidents. Ces éléments forment une approche intégrée permettant à l'administration pénitentiaire de s'améliorer continuellement et de gérer les risques de manière proactive. </w:t>
      </w:r>
    </w:p>
    <w:p w14:paraId="621EBF88" w14:textId="77777777" w:rsidR="00282ADF" w:rsidRPr="00282ADF" w:rsidDel="00FB7256"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Des efforts ont été déployés pour renforcer l’identification systématique par des psychologues de première ligne et assistants sociaux des profils vulnérables ou présentant un certain risque de comportement agressif dès leur entrée en prison. Un projet pilote a été lancé pour cartographier les besoins des détenus à leur entrée en prison à l'aide d'un instrument d'anamnèse</w:t>
      </w:r>
      <w:r w:rsidRPr="00282ADF">
        <w:rPr>
          <w:vertAlign w:val="superscript"/>
          <w:lang w:val="en-GB"/>
        </w:rPr>
        <w:endnoteReference w:id="53"/>
      </w:r>
      <w:r w:rsidRPr="00282ADF">
        <w:rPr>
          <w:lang w:val="fr-FR"/>
        </w:rPr>
        <w:t>. Dans un avenir proche, les détenus présentant des problèmes d'agressivité seront davantage répartis entre différents établissements, et placés dans des cellules adaptées si nécessaire. Cela améliorera leur propre sécurité, mais aussi celle du personnel et des autres détenus. La priorité reste la sécurité dynamique, qui est ajustée pour répondre aux besoins de ce groupe spécifique.</w:t>
      </w:r>
    </w:p>
    <w:p w14:paraId="50A6B9BE"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À ce jour, 32 prisons proposent un «accompagnement en gestion de l'agressivité» pour les détenus incluant la gestion de l'agressivité et de la frustration, la canalisation des émotions et la communication et l'interaction avec les autres. Un programme axé sur la communication constructive et apaisante est disponible pour le personnel. Ces projets visent à instaurer une culture non violente dans nos prisons et à soutenir les détenus et le personnel dans leurs interactions afin que les conflits escaladent le moins possible. Ces projets sont en cours de déploiement afin d’être proposés dans toutes les prisons. </w:t>
      </w:r>
    </w:p>
    <w:p w14:paraId="27309919"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Chaque cas de violence entre détenus est traité de manière appropriée et le Parquet est informé par l'administration pénitentiaire en cas de faits graves. Chaque détenu peut porter plainte auprès des autorités judiciaires. </w:t>
      </w:r>
    </w:p>
    <w:p w14:paraId="0E6E1D37"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Sur le marché du travail belge actuel, la concurrence est forte entre les différents secteurs de la sécurité (justice, police, défense). Pour y remédier, des initiatives ont été prises ces dernières années, telles que l'organisation de journées de l'emploi dans les prisons, la collaboration avec les organisations de l'emploi, les initiatives en matière de marque employeur et le soutien à la formation des étudiants dans la filière «défense et sécurité». </w:t>
      </w:r>
    </w:p>
    <w:p w14:paraId="3163853F"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Une formation de base et une formation continue sont prévues pour les groupes de personnel travaillant en prison (surveillance, administration, personnel médical et de soins, directeurs), dès leur entrée en service. Avant </w:t>
      </w:r>
      <w:r w:rsidRPr="00282ADF" w:rsidDel="00CF4C84">
        <w:rPr>
          <w:lang w:val="fr-FR"/>
        </w:rPr>
        <w:t>leur entrée en service</w:t>
      </w:r>
      <w:r w:rsidRPr="00282ADF">
        <w:rPr>
          <w:lang w:val="fr-FR"/>
        </w:rPr>
        <w:t>, tous les nouveaux employés travaillant en prison sont contrôlés sur le plan de la sécurité et de la moralité.</w:t>
      </w:r>
    </w:p>
    <w:p w14:paraId="51FB998D" w14:textId="6FFF0544" w:rsidR="00282ADF" w:rsidRPr="00282ADF" w:rsidRDefault="00FD0C20" w:rsidP="00FD0C20">
      <w:pPr>
        <w:pStyle w:val="H23G"/>
        <w:rPr>
          <w:lang w:val="fr-BE"/>
        </w:rPr>
      </w:pPr>
      <w:r>
        <w:rPr>
          <w:lang w:val="fr-BE"/>
        </w:rPr>
        <w:tab/>
      </w:r>
      <w:r>
        <w:rPr>
          <w:lang w:val="fr-BE"/>
        </w:rPr>
        <w:tab/>
      </w:r>
      <w:r w:rsidR="00B66FE2" w:rsidRPr="000626E9">
        <w:rPr>
          <w:rFonts w:eastAsia="Calibri"/>
          <w:noProof/>
          <w:lang w:val="fr-FR" w:eastAsia="es-GT"/>
        </w:rPr>
        <w:t xml:space="preserve">Réponse au paragraphe </w:t>
      </w:r>
      <w:r w:rsidR="00282ADF" w:rsidRPr="00282ADF">
        <w:rPr>
          <w:lang w:val="fr-BE"/>
        </w:rPr>
        <w:t>19 de la liste de questions</w:t>
      </w:r>
    </w:p>
    <w:p w14:paraId="3C3EA3FE"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Depuis le précédent rapport CAT, les prisons belges ont été visitées à de nombreuses reprises par divers organismes de </w:t>
      </w:r>
      <w:r w:rsidRPr="00FD0C20">
        <w:rPr>
          <w:lang w:val="fr-FR"/>
        </w:rPr>
        <w:t>contrôle</w:t>
      </w:r>
      <w:r w:rsidRPr="00282ADF">
        <w:rPr>
          <w:lang w:val="fr-BE"/>
        </w:rPr>
        <w:t xml:space="preserve"> et de surveillance.  </w:t>
      </w:r>
    </w:p>
    <w:p w14:paraId="4A262515"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Un changement important concerne la création du Conseil central de surveillance pénitentiaire (CCSP) le 24/04/2019. Le CCSP est un organe de surveillance et de conseil indépendant et impartial, qui veille au respect des droits et de la dignité humaine des personnes détenues. Il a été créé par la Chambre des représentants à laquelle il rend compte des visites de surveillance dans les établissements pénitentiaires qu’il effectue, régulièrement de sa propre initiative. Ses rapports annuels établis depuis 2019 donnent un aperçu des visites effectuées et des diverses recommandations qui en découlent</w:t>
      </w:r>
      <w:r w:rsidRPr="00282ADF">
        <w:rPr>
          <w:vertAlign w:val="superscript"/>
          <w:lang w:val="en-GB"/>
        </w:rPr>
        <w:endnoteReference w:id="54"/>
      </w:r>
      <w:r w:rsidRPr="00282ADF">
        <w:rPr>
          <w:lang w:val="fr-BE"/>
        </w:rPr>
        <w:t>.</w:t>
      </w:r>
    </w:p>
    <w:p w14:paraId="3469805B"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Une Commission de surveillance, installée dans chaque prison, effectue également des visites régulières dans l'établissement auquel elle est rattachée et rend compte chaque année de la surveillance effectuée. </w:t>
      </w:r>
    </w:p>
    <w:p w14:paraId="4E6DE1D9"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Conformément au protocole d'accord conclu entre le CCSP et la direction générale des établissements pénitentiaires, le CCSP et les Commissions de surveillance ont libre accès à tous les lieux des prisons et, avec l'accord préalable du détenu, à son espace de vie et à son dossier papier et numérique. Ils peuvent également avoir un entretien confidentiel avec les détenus. </w:t>
      </w:r>
    </w:p>
    <w:p w14:paraId="687E23E9"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D’autres organismes de surveillance sont également actifs dans les prisons, notamment le Comité international de la Croix-Rouge (CICR). Le CICR dispose d’un droit illimité d’accès aux établissements pénitentiaires, particulièrement à l’égard des personnes privées de liberté pour des faits de terrorisme, afin d'évaluer, d'un point de vue humanitaire, leurs conditions de détention et d’internement, le traitement qui leur sont réservés, ainsi que le respect des garanties judiciaires. </w:t>
      </w:r>
    </w:p>
    <w:p w14:paraId="4A3498EE"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Au niveau international, il convient de mentionner les visites périodiques du Comité européen pour la prévention de la torture et des peines ou traitements inhumains ou dégradants (CPT) dans les lieux de privation de liberté belges (dernière visite en mai 2025). En 2021, les principaux problèmes constatés concernaient les conséquences négatives et l'impact de la surpopulation carcérale persistante dans les prisons. </w:t>
      </w:r>
    </w:p>
    <w:p w14:paraId="5EDBC2E4"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Belgique veille à ce que les recommandations formulées par ces entités soient suivies d’effets. Les rapports des Commissions de surveillance sont systématiquement transmis aux directions des prisons concernées pour qu’elles réagissent et assurent un suivi approprié. Les rapports du CCSP, du CICR et du CPT sont également analysés par l’administration pénitentiaire et peuvent mener à de nouvelles instructions, changements opérationnels, initiatives stratégiques ou même modifications législatives. </w:t>
      </w:r>
    </w:p>
    <w:p w14:paraId="2FD09C44"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
        </w:rPr>
        <w:t>Le Mécanisme de prévention de la torture et autres peines ou traitements cruels, inhumains ou dégradant au sein de l’Institut fédéral des droits humains (IFDH</w:t>
      </w:r>
      <w:r w:rsidRPr="00282ADF">
        <w:rPr>
          <w:lang w:val="fr-FR"/>
        </w:rPr>
        <w:t>), instauré par la loi du 21/04/2024 (annexe 9), effectuera des visites régulières dans les lieux de détention fédéraux. Il est en conformité totale avec l’</w:t>
      </w:r>
      <w:r w:rsidRPr="00282ADF">
        <w:rPr>
          <w:lang w:val="fr"/>
        </w:rPr>
        <w:t xml:space="preserve">OPCAT. Dans le cadre de son mandat, le Mécanisme bénéficie d’un accès libre et inopiné à tous les lieux de privation de liberté. Il est habilité à mener des entretiens confidentiels, avec ou sans interprète, avec toute personne privée de liberté, ainsi qu’avec toute personne qu’il estime susceptible de fournir des informations pertinentes. Sur base de ces visites, la loi prévoit que le Mécanisme engage un dialogue constructif avec les autorités concernées et formule des recommandations et propositions d'amélioration. Il joue également un rôle consultatif en émettant des avis sur la législation et les projets de loi relatifs aux lieux de privation de liberté. Toutes ses activités sont présentées dans un rapport annuel public. Le Mécanisme coopère étroitement avec les organes d’inspection existants, comme le </w:t>
      </w:r>
      <w:r w:rsidRPr="00282ADF">
        <w:rPr>
          <w:lang w:val="fr-FR"/>
        </w:rPr>
        <w:t xml:space="preserve">CCSP, Myria et le Comité </w:t>
      </w:r>
      <w:r w:rsidRPr="00282ADF">
        <w:rPr>
          <w:lang w:val="fr"/>
        </w:rPr>
        <w:t>P</w:t>
      </w:r>
      <w:r w:rsidRPr="00282ADF">
        <w:rPr>
          <w:lang w:val="fr-FR"/>
        </w:rPr>
        <w:t xml:space="preserve">. Dans ce cadre, un protocole de collaboration a été signé entre les institutions concernées. </w:t>
      </w:r>
    </w:p>
    <w:p w14:paraId="7107A4B5"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
        </w:rPr>
      </w:pPr>
      <w:r w:rsidRPr="00282ADF">
        <w:rPr>
          <w:lang w:val="fr-FR"/>
        </w:rPr>
        <w:t>La Belgique dispose ainsi d’un mécanisme de prévention uniquement au niveau fédéral. La ratification du Protocole ne peut donc, à ce stade, être finalisée.</w:t>
      </w:r>
    </w:p>
    <w:p w14:paraId="4D46A2F2" w14:textId="3DD63F86" w:rsidR="00282ADF" w:rsidRPr="00282ADF" w:rsidRDefault="00FD0C20" w:rsidP="00FD0C20">
      <w:pPr>
        <w:pStyle w:val="H23G"/>
        <w:rPr>
          <w:lang w:val="fr-BE"/>
        </w:rPr>
      </w:pPr>
      <w:r>
        <w:rPr>
          <w:lang w:val="fr-BE"/>
        </w:rPr>
        <w:tab/>
      </w:r>
      <w:r>
        <w:rPr>
          <w:lang w:val="fr-BE"/>
        </w:rPr>
        <w:tab/>
      </w:r>
      <w:r w:rsidR="00C057F3" w:rsidRPr="000626E9">
        <w:rPr>
          <w:rFonts w:eastAsia="Calibri"/>
          <w:noProof/>
          <w:lang w:val="fr-FR" w:eastAsia="es-GT"/>
        </w:rPr>
        <w:t xml:space="preserve">Réponse au paragraphe </w:t>
      </w:r>
      <w:r w:rsidR="00282ADF" w:rsidRPr="00282ADF">
        <w:rPr>
          <w:lang w:val="fr-BE"/>
        </w:rPr>
        <w:t>20 de la liste de questions</w:t>
      </w:r>
    </w:p>
    <w:p w14:paraId="29E60D09"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L’article 74/5 de la loi sur les étrangers du 15/12/1980 n’a pas été révisé depuis le précédent rapport. Ce cadre légal ne prévoit pas la détention automatique de tous les demandeurs de protection internationale qui se présentent à la frontière mais bien uniquement de ceux qui ne remplissent pas les </w:t>
      </w:r>
      <w:r w:rsidRPr="00FD0C20">
        <w:rPr>
          <w:lang w:val="fr-FR"/>
        </w:rPr>
        <w:t>conditions</w:t>
      </w:r>
      <w:r w:rsidRPr="00282ADF">
        <w:rPr>
          <w:lang w:val="fr-BE"/>
        </w:rPr>
        <w:t xml:space="preserve"> légales pour entrer sur le territoire. La Cour constitutionnelle belge s’est notamment basée sur cette constatation dans son argumentation</w:t>
      </w:r>
      <w:r w:rsidRPr="00282ADF">
        <w:rPr>
          <w:vertAlign w:val="superscript"/>
          <w:lang w:val="en-GB"/>
        </w:rPr>
        <w:endnoteReference w:id="55"/>
      </w:r>
      <w:r w:rsidRPr="00282ADF">
        <w:rPr>
          <w:lang w:val="fr-BE"/>
        </w:rPr>
        <w:t xml:space="preserve"> liée à la compatibilité de notre législation avec la directive 2013/33 du Parlement européen et du Conseil</w:t>
      </w:r>
      <w:r w:rsidRPr="00282ADF">
        <w:rPr>
          <w:vertAlign w:val="superscript"/>
          <w:lang w:val="en-GB"/>
        </w:rPr>
        <w:endnoteReference w:id="56"/>
      </w:r>
      <w:r w:rsidRPr="00282ADF">
        <w:rPr>
          <w:lang w:val="fr-BE"/>
        </w:rPr>
        <w:t xml:space="preserve">. </w:t>
      </w:r>
    </w:p>
    <w:p w14:paraId="798ED40E"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Dans ses précédentes observations finales, le Comité fait référence à l’arrêt </w:t>
      </w:r>
      <w:proofErr w:type="spellStart"/>
      <w:r w:rsidRPr="00282ADF">
        <w:rPr>
          <w:i/>
          <w:iCs/>
          <w:lang w:val="fr-BE"/>
        </w:rPr>
        <w:t>Thimothawes</w:t>
      </w:r>
      <w:proofErr w:type="spellEnd"/>
      <w:r w:rsidRPr="00282ADF">
        <w:rPr>
          <w:i/>
          <w:iCs/>
          <w:lang w:val="fr-BE"/>
        </w:rPr>
        <w:t xml:space="preserve"> c. Belgique</w:t>
      </w:r>
      <w:r w:rsidRPr="00282ADF">
        <w:rPr>
          <w:lang w:val="fr-BE"/>
        </w:rPr>
        <w:t xml:space="preserve"> de la CourEDH. Dans cet arrêt, la Cour a estimé qu’une pratique de détention généralisée des demandeurs de protection internationale pouvait poser problème au regard de la CEDH s’il n’y a pas d’évaluation individuelle de leurs besoins particuliers</w:t>
      </w:r>
      <w:r w:rsidRPr="00282ADF">
        <w:rPr>
          <w:vertAlign w:val="superscript"/>
          <w:lang w:val="en-GB"/>
        </w:rPr>
        <w:endnoteReference w:id="57"/>
      </w:r>
      <w:r w:rsidRPr="00282ADF">
        <w:rPr>
          <w:lang w:val="fr-BE"/>
        </w:rPr>
        <w:t xml:space="preserve">. Ce n’est donc pas la détention généralisée de demandeurs de protection internationale à la frontière ne répondant pas aux conditions pour entrer </w:t>
      </w:r>
      <w:r w:rsidRPr="00282ADF">
        <w:rPr>
          <w:lang w:val="fr-FR"/>
        </w:rPr>
        <w:t xml:space="preserve">sur le territoire qui est contraire à la Convention puisqu’elle s’inscrit dans le </w:t>
      </w:r>
      <w:r w:rsidRPr="00FD0C20">
        <w:rPr>
          <w:lang w:val="fr-BE"/>
        </w:rPr>
        <w:t>droit</w:t>
      </w:r>
      <w:r w:rsidRPr="00282ADF">
        <w:rPr>
          <w:lang w:val="fr-FR"/>
        </w:rPr>
        <w:t xml:space="preserve"> des </w:t>
      </w:r>
      <w:proofErr w:type="spellStart"/>
      <w:r w:rsidRPr="00282ADF">
        <w:rPr>
          <w:lang w:val="fr-FR"/>
        </w:rPr>
        <w:t>Etats</w:t>
      </w:r>
      <w:proofErr w:type="spellEnd"/>
      <w:r w:rsidRPr="00282ADF">
        <w:rPr>
          <w:lang w:val="fr-FR"/>
        </w:rPr>
        <w:t xml:space="preserve"> à contrôler l’entrée sur leur territoire</w:t>
      </w:r>
      <w:r w:rsidRPr="00282ADF">
        <w:rPr>
          <w:vertAlign w:val="superscript"/>
          <w:lang w:val="en-GB"/>
        </w:rPr>
        <w:endnoteReference w:id="58"/>
      </w:r>
      <w:r w:rsidRPr="00282ADF">
        <w:rPr>
          <w:lang w:val="fr-FR"/>
        </w:rPr>
        <w:t>. C’est l’absence d’évaluation individualisée des besoins particuliers des demandeurs qui peut poser problème au regard de l’article 5 §1 f) CEDH dans le cas de problème de santé par exemple.</w:t>
      </w:r>
    </w:p>
    <w:p w14:paraId="776A095B" w14:textId="77777777" w:rsidR="00282ADF" w:rsidRPr="00282ADF" w:rsidRDefault="00282ADF" w:rsidP="00FD0C20">
      <w:pPr>
        <w:pStyle w:val="SingleTxtG"/>
        <w:numPr>
          <w:ilvl w:val="0"/>
          <w:numId w:val="14"/>
        </w:numPr>
        <w:suppressAutoHyphens w:val="0"/>
        <w:kinsoku/>
        <w:overflowPunct/>
        <w:autoSpaceDE/>
        <w:autoSpaceDN/>
        <w:adjustRightInd/>
        <w:snapToGrid/>
        <w:ind w:left="1134" w:firstLine="0"/>
        <w:rPr>
          <w:lang w:val="fr-FR"/>
        </w:rPr>
      </w:pPr>
      <w:r w:rsidRPr="00282ADF">
        <w:rPr>
          <w:lang w:val="fr-FR"/>
        </w:rPr>
        <w:t>Des mesures existent pour détecter les demandeurs de protection internationale ayant des besoins spécifiques, y compris à la frontière. Le questionnaire utilisé par l’OE permet au fonctionnaire qui auditionne le demandeur de protection internationale de détecter ses éventuels besoins particuliers. Dans les centres fermés, le médecin établit si le résident est apte à y rester et, en cas d’un éventuel éloignement suite au refus de la demande, la procédure «</w:t>
      </w:r>
      <w:proofErr w:type="spellStart"/>
      <w:r w:rsidRPr="00282ADF">
        <w:rPr>
          <w:lang w:val="fr-FR"/>
        </w:rPr>
        <w:t>Paposhvili</w:t>
      </w:r>
      <w:proofErr w:type="spellEnd"/>
      <w:r w:rsidRPr="00282ADF">
        <w:rPr>
          <w:lang w:val="fr-FR"/>
        </w:rPr>
        <w:t xml:space="preserve">» est mise en place. Cette procédure consiste à vérifier, avant le retour de la personne ayant besoin de soins médicaux, si elle peut être rapatriée, en s’assurant que ses traitements sont disponibles, accessibles et abordables financièrement pour elle. Le service litiges recommande que cette procédure soit aussi appliquée aux étrangers détenus à la frontière. </w:t>
      </w:r>
    </w:p>
    <w:p w14:paraId="39F5D408"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Depuis le 01/06/2021, un département a été créé au sein de l’OE pour élaborer et mettre en œuvre des mesures alternatives à la détention des personnes en séjour irrégulier. Cette mesure fait suite aux recommandations de la Commission </w:t>
      </w:r>
      <w:proofErr w:type="spellStart"/>
      <w:r w:rsidRPr="00282ADF">
        <w:rPr>
          <w:lang w:val="fr-FR"/>
        </w:rPr>
        <w:t>Bossuyt</w:t>
      </w:r>
      <w:proofErr w:type="spellEnd"/>
      <w:r w:rsidRPr="00282ADF">
        <w:rPr>
          <w:lang w:val="fr-FR"/>
        </w:rPr>
        <w:t xml:space="preserve"> et à l'accord de coalition de septembre 2020 visant à développer des trajets d’accompagnement proactifs. Concrètement, le trajet d'accompagnement permet aux personnes isolées et familles, sans permis de séjour légal, d’être accompagnées individuellement par un coach ICAM (</w:t>
      </w:r>
      <w:proofErr w:type="spellStart"/>
      <w:r w:rsidRPr="00282ADF">
        <w:rPr>
          <w:i/>
          <w:iCs/>
          <w:lang w:val="fr-FR"/>
        </w:rPr>
        <w:t>Individual</w:t>
      </w:r>
      <w:proofErr w:type="spellEnd"/>
      <w:r w:rsidRPr="00282ADF">
        <w:rPr>
          <w:i/>
          <w:iCs/>
          <w:lang w:val="fr-FR"/>
        </w:rPr>
        <w:t xml:space="preserve"> Case Management</w:t>
      </w:r>
      <w:r w:rsidRPr="00282ADF">
        <w:rPr>
          <w:lang w:val="fr-FR"/>
        </w:rPr>
        <w:t xml:space="preserve">) dans leur région. Lors des entretiens, le coach examine les aspects juridiques et administratifs de leur dossier personnel, écoute leurs besoins et guide ces personnes vers une solution future durable. </w:t>
      </w:r>
    </w:p>
    <w:p w14:paraId="26D40702"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Depuis la loi du 1205/2024</w:t>
      </w:r>
      <w:r w:rsidRPr="00282ADF">
        <w:rPr>
          <w:vertAlign w:val="superscript"/>
          <w:lang w:val="en-GB"/>
        </w:rPr>
        <w:endnoteReference w:id="59"/>
      </w:r>
      <w:r w:rsidRPr="00282ADF">
        <w:rPr>
          <w:lang w:val="fr-FR"/>
        </w:rPr>
        <w:t>, il est interdit de placer des familles avec enfants mineurs dans des environnements fermés, pour des raisons liées au retour ou à d’autres procédures migratoires ou de protection internationale. Ces familles séjournent donc dans des «lieux d’hébergement». La détention de MENA était déjà interdite depuis plusieurs années. Dans ces lieux d’hébergement, un psychologue visite et accompagne les familles, à leur demande, à celle de leurs coachs ou si elles sont déjà suivies au centre ouvert (pendant la procédure de protection internationale).</w:t>
      </w:r>
    </w:p>
    <w:p w14:paraId="2F1D91DF"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Les données statistiques sur la détention des demandeurs de protection internationale dans des lieux d’hébergement et centres de détention se trouvent à l’annexe 10. </w:t>
      </w:r>
    </w:p>
    <w:p w14:paraId="1C71F00E"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 personnel des centres est sensibilisé aux besoins particuliers de différents groupes cibles. Ces aménagements et un accompagnement socio-psychologique peuvent être fournis si nécessaire. </w:t>
      </w:r>
    </w:p>
    <w:p w14:paraId="5A130CF8"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Lorsque des indices de traite/trafic des êtres humains sont détectés, une procédure est activée. L’équipe psycho-sociale reçoit une formation régulière pour aider à la détection de tels indices. Une brochure d’information, traduite en 28 langues est mise à la disposition des résidents et du personnel afin d’aider les victimes  présumées de traite à se reconnaître comme telles et de les inciter à prendre contact avec les centres d’accueil spécialisés</w:t>
      </w:r>
      <w:r w:rsidRPr="00282ADF">
        <w:rPr>
          <w:vertAlign w:val="superscript"/>
          <w:lang w:val="en-GB"/>
        </w:rPr>
        <w:endnoteReference w:id="60"/>
      </w:r>
      <w:r w:rsidRPr="00282ADF">
        <w:rPr>
          <w:lang w:val="fr-FR"/>
        </w:rPr>
        <w:t>. Lorsque des cas de vulnérabilités sont détectés, les informations sont aussitôt transmises au service compétent et un accompagnement adapté est mis en place.</w:t>
      </w:r>
    </w:p>
    <w:p w14:paraId="27E575AA"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FR"/>
        </w:rPr>
        <w:t>Depuis 2004, les personnes séjournant dans les centres fermés ont la possibilité, par l'intermédiaire de la direction du centre, de transmettre une plainte, dans la langue de leur choix, au secrétariat permanent de la commission des plaintes. Lorsque les personnes arrivent dans un centre fermé, elles sont informées de cette possibilité. Si la plainte est jugée recevable par le secrétariat permanent, elle est soumise à la commission des plaintes composée d'un magistrat, d'un avocat et d'un conseiller. Pour chaque cas traité par ladite commission, une décision est rédigée et notifiée au plaignant, au directeur du centre, au secrétaire d'</w:t>
      </w:r>
      <w:proofErr w:type="spellStart"/>
      <w:r w:rsidRPr="00282ADF">
        <w:rPr>
          <w:lang w:val="fr-FR"/>
        </w:rPr>
        <w:t>Etat</w:t>
      </w:r>
      <w:proofErr w:type="spellEnd"/>
      <w:r w:rsidRPr="00282ADF">
        <w:rPr>
          <w:lang w:val="fr-FR"/>
        </w:rPr>
        <w:t xml:space="preserve"> à l’asile et à l’immigration et à Myria. </w:t>
      </w:r>
      <w:r w:rsidRPr="00282ADF">
        <w:rPr>
          <w:lang w:val="fr-BE"/>
        </w:rPr>
        <w:t>Entre 2018 et 2024, la commission des plaintes a reçu 105 plaintes.</w:t>
      </w:r>
    </w:p>
    <w:p w14:paraId="28DFBFFE"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proofErr w:type="spellStart"/>
      <w:r w:rsidRPr="00282ADF">
        <w:rPr>
          <w:lang w:val="fr-BE"/>
        </w:rPr>
        <w:t>Etant</w:t>
      </w:r>
      <w:proofErr w:type="spellEnd"/>
      <w:r w:rsidRPr="00282ADF">
        <w:rPr>
          <w:lang w:val="fr-BE"/>
        </w:rPr>
        <w:t xml:space="preserve"> donné que les familles ne sont pas placées en détention, il n’existe pas de mécanisme spécifique de plainte contre leur détention. Elles peuvent bien sur contacter des ONG, introduire des recours judiciaires contre leur placement en lieu d’hébergement et contre les détentions de retour, et introduire d’autres procédures.</w:t>
      </w:r>
    </w:p>
    <w:p w14:paraId="2AD546D2" w14:textId="4672AA58" w:rsidR="00282ADF" w:rsidRPr="00282ADF" w:rsidRDefault="00DE03F5" w:rsidP="00DE03F5">
      <w:pPr>
        <w:pStyle w:val="H23G"/>
        <w:rPr>
          <w:lang w:val="fr-BE"/>
        </w:rPr>
      </w:pPr>
      <w:r>
        <w:rPr>
          <w:lang w:val="fr-BE"/>
        </w:rPr>
        <w:tab/>
      </w:r>
      <w:r>
        <w:rPr>
          <w:lang w:val="fr-BE"/>
        </w:rPr>
        <w:tab/>
      </w:r>
      <w:r w:rsidR="00C057F3" w:rsidRPr="000626E9">
        <w:rPr>
          <w:rFonts w:eastAsia="Calibri"/>
          <w:noProof/>
          <w:lang w:val="fr-FR" w:eastAsia="es-GT"/>
        </w:rPr>
        <w:t xml:space="preserve">Réponse au paragraphe </w:t>
      </w:r>
      <w:r w:rsidR="00282ADF" w:rsidRPr="00282ADF">
        <w:rPr>
          <w:lang w:val="fr-BE"/>
        </w:rPr>
        <w:t>21 de la liste de questions</w:t>
      </w:r>
    </w:p>
    <w:p w14:paraId="530AAE12"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loi belge relative à l’internement permet aux personnes ayant une déficience mentale ou un handicap de séjourner dans un établissement de défense sociale ou dans l’une de ses sections. La direction générale des </w:t>
      </w:r>
      <w:r w:rsidRPr="00DE03F5">
        <w:rPr>
          <w:lang w:val="fr-BE"/>
        </w:rPr>
        <w:t>établissements</w:t>
      </w:r>
      <w:r w:rsidRPr="00282ADF">
        <w:rPr>
          <w:lang w:val="fr-FR"/>
        </w:rPr>
        <w:t xml:space="preserve"> pénitentiaires collabore étroitement avec des institutions externes, telles que les Centres de psychiatrie légale, les établissements de sécurité moyenne et la psychiatrie générale pour assurer le placement de ces personnes.</w:t>
      </w:r>
    </w:p>
    <w:p w14:paraId="5BC4C2D4"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Des initiatives existent également au sein des entités fédérées. Par exemple, en Région flamande, 3 unités médico-légales disposent de 50 places pour les internés. Un financement direct de 11 millions d’euros est prévu à cet effet. Depuis 2019, l’Agence flamande pour les personnes en situation de handicap fournit également des accords d’orientation avec financement direct pour guider les internés dans leur transition hors d’un établissement fermé. </w:t>
      </w:r>
    </w:p>
    <w:p w14:paraId="26731423"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FR"/>
        </w:rPr>
        <w:t xml:space="preserve">Comme indiqué au Comité des droits des personnes </w:t>
      </w:r>
      <w:r w:rsidRPr="00282ADF">
        <w:rPr>
          <w:lang w:val="fr-BE"/>
        </w:rPr>
        <w:t xml:space="preserve">en situation de handicap </w:t>
      </w:r>
      <w:r w:rsidRPr="00282ADF">
        <w:rPr>
          <w:vertAlign w:val="superscript"/>
          <w:lang w:val="en-GB"/>
        </w:rPr>
        <w:endnoteReference w:id="61"/>
      </w:r>
      <w:r w:rsidRPr="00282ADF">
        <w:rPr>
          <w:lang w:val="fr-FR"/>
        </w:rPr>
        <w:t>, la loi du 05/05/2014 relative à l’internement des personnes a été profondément modifiée par la loi du 04/05/2016</w:t>
      </w:r>
      <w:r w:rsidRPr="00282ADF">
        <w:rPr>
          <w:vertAlign w:val="superscript"/>
          <w:lang w:val="en-GB"/>
        </w:rPr>
        <w:endnoteReference w:id="62"/>
      </w:r>
      <w:r w:rsidRPr="00282ADF">
        <w:rPr>
          <w:lang w:val="fr-FR"/>
        </w:rPr>
        <w:t xml:space="preserve">. Cette loi n’autorise bien entendu en aucun </w:t>
      </w:r>
      <w:r w:rsidRPr="00DE03F5">
        <w:rPr>
          <w:lang w:val="fr-BE"/>
        </w:rPr>
        <w:t>cas</w:t>
      </w:r>
      <w:r w:rsidRPr="00282ADF">
        <w:rPr>
          <w:lang w:val="fr-FR"/>
        </w:rPr>
        <w:t xml:space="preserve"> la privation de liberté pour cause de handicap ou déficience mentale, le juge ne pouvant ordonner une mesure d’internement que lorsque les conditions légales d’un internement sont réunies et la mesure n’est pas d’office assortie d’une privation de liberté. Les objectifs de l’internement sont toujours la protection de la société et la réinsertion de la personne internée qui, à cette fin, peut être amenée à devoir suivre un trajet de soins. Dorénavant, seuls les crimes ou délits ayant provoqué une atteinte à l’intégrité physique ou psychique peuvent donner lieu à un internement. De plus, une expertise contradictoire réalisée par et sous la responsabilité d’un expert psychiatre </w:t>
      </w:r>
      <w:proofErr w:type="spellStart"/>
      <w:r w:rsidRPr="00282ADF">
        <w:rPr>
          <w:lang w:val="fr-FR"/>
        </w:rPr>
        <w:t>médicolégal</w:t>
      </w:r>
      <w:proofErr w:type="spellEnd"/>
      <w:r w:rsidRPr="00282ADF">
        <w:rPr>
          <w:lang w:val="fr-FR"/>
        </w:rPr>
        <w:t xml:space="preserve"> est obligatoire pour établir le diagnostic initial. La personne expertisée a droit à l’assistance du médecin de son choix et d’un avocat ainsi que de communiquer par écrit avec les experts judiciaires. Enfin, des chambres permanentes de protection sociale sont désormais compétentes pour le suivi des internés.</w:t>
      </w:r>
    </w:p>
    <w:p w14:paraId="27D84361"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BE"/>
        </w:rPr>
        <w:t>La loi du 26/06/1990 relative à la protection de la personne des malades mentaux a été profondément modifiée par la loi du 16/05/2024</w:t>
      </w:r>
      <w:r w:rsidRPr="00282ADF">
        <w:rPr>
          <w:vertAlign w:val="superscript"/>
          <w:lang w:val="en-GB"/>
        </w:rPr>
        <w:endnoteReference w:id="63"/>
      </w:r>
      <w:r w:rsidRPr="00282ADF">
        <w:rPr>
          <w:lang w:val="fr-BE"/>
        </w:rPr>
        <w:t>, entrée en vigueur le 01/01/2025</w:t>
      </w:r>
      <w:r w:rsidRPr="00282ADF">
        <w:rPr>
          <w:vertAlign w:val="superscript"/>
          <w:lang w:val="en-GB"/>
        </w:rPr>
        <w:endnoteReference w:id="64"/>
      </w:r>
      <w:r w:rsidRPr="00282ADF">
        <w:rPr>
          <w:lang w:val="fr-BE"/>
        </w:rPr>
        <w:t xml:space="preserve">. Cette réforme a notamment été motivée </w:t>
      </w:r>
      <w:r w:rsidRPr="00DE03F5">
        <w:rPr>
          <w:lang w:val="fr-FR"/>
        </w:rPr>
        <w:t>par</w:t>
      </w:r>
      <w:r w:rsidRPr="00282ADF">
        <w:rPr>
          <w:lang w:val="fr-BE"/>
        </w:rPr>
        <w:t xml:space="preserve"> la volonté de réduire le traumatisme et la stigmatisation des malades mentaux, de clarifier la notion de trouble psychiatrique et d’impliquer davantage la personne et son entourage. Le traitement volontaire sous conditions a été introduit comme nouvelle mesure de protection, offrant une alternative entre la mesure d’observation protectrice, plus contraignante, et le traitement totalement volontaire, qui échappe au champ d’application de la loi. Cette mesure requiert l'accord de la personne présentant un trouble psychiatrique, et il est essentiel de s'assurer que cette personne est capable de respecter les conditions établies. Un plan de traitement doit être élaboré conjointement par la personne concernée et le médecin responsable du traitement. </w:t>
      </w:r>
      <w:r w:rsidRPr="00282ADF">
        <w:rPr>
          <w:lang w:val="fr-FR"/>
        </w:rPr>
        <w:t>Par ailleurs, la procédure d’urgence a été réformée avec l’introduction d’une période d’évaluation clinique d’une durée maximale de 48 heures, qui permet au procureur du Roi de décider en connaissance de cause soit de prolonger l’évaluation à titre de mesure d’observation protectrice soit d’accorder un traitement volontaire sous conditions soit d’y mettre fin sans autre mesure.</w:t>
      </w:r>
    </w:p>
    <w:p w14:paraId="2E9DB0B6"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Il n’est actuellement pas possible de mettre totalement fin à l’utilisation des moyens de contention lorsqu’il s’agit de la seule option pour assurer une gestion saine et sécurisée d’un incident. Pour les personnes en détention qui ne sont pas en mesure de contrôler leurs actes en raison d'un handicap ou d'un problème psychiatrique ou psychologique, des plans d'action et mesures médicales sont mis en place pour garantir la sécurité et un climat thérapeutique</w:t>
      </w:r>
      <w:r w:rsidRPr="00282ADF" w:rsidDel="00E75ABD">
        <w:rPr>
          <w:lang w:val="fr-FR"/>
        </w:rPr>
        <w:t xml:space="preserve"> </w:t>
      </w:r>
      <w:r w:rsidRPr="00282ADF">
        <w:rPr>
          <w:lang w:val="fr-FR"/>
        </w:rPr>
        <w:t>adéquat. Le médecin traitant doit prendre toutes les mesures nécessaires conformément aux règles de déontologie médicale. La priorité de tous les organismes qui hébergent ces personnes est néanmoins de limiter l’utilisation de moyens de contention aux cas exceptionnels et, lorsque leur usage s’impose, d’encadrer la procédure pour éviter tout abus.</w:t>
      </w:r>
    </w:p>
    <w:p w14:paraId="7291131A"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FR"/>
        </w:rPr>
        <w:t>Pour les mesures de coercition directe,</w:t>
      </w:r>
      <w:r w:rsidRPr="00282ADF" w:rsidDel="008935B0">
        <w:rPr>
          <w:lang w:val="fr-FR"/>
        </w:rPr>
        <w:t xml:space="preserve"> </w:t>
      </w:r>
      <w:r w:rsidRPr="00282ADF">
        <w:rPr>
          <w:lang w:val="fr-FR"/>
        </w:rPr>
        <w:t>de sécurité particulière ou de placement sous régime de sécurité particulier individuel (et en particulier le placement en cellule sécurisée, sans objets dont l'utilisation peut être dangereuse), les conditions et procédures sont définies par les articles 110 à 120 de la Loi de principes de 2005. Ces mesures sont décidées avec une grande prudence (requises par les circonstances) et assorties des garanties nécessaires en termes de finalité, de proportionnalité, de motivation, d'avis médical et de contrôle par un médecin et la direction de la prison, de limitation dans le temps, etc.</w:t>
      </w:r>
    </w:p>
    <w:p w14:paraId="4296B63F"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FR"/>
        </w:rPr>
        <w:t xml:space="preserve">De plus, diverses mesures ont été prises au niveau des entités fédérées concernant le recours à la contention et à l’isolement. </w:t>
      </w:r>
      <w:r w:rsidRPr="00282ADF">
        <w:rPr>
          <w:lang w:val="fr-BE"/>
        </w:rPr>
        <w:t>Divers décrets flamands contiennent des dispositions qui définissent le cadre en matière d’isolement et de consentement</w:t>
      </w:r>
      <w:r w:rsidRPr="00282ADF">
        <w:rPr>
          <w:vertAlign w:val="superscript"/>
          <w:lang w:val="en-GB"/>
        </w:rPr>
        <w:endnoteReference w:id="65"/>
      </w:r>
      <w:r w:rsidRPr="00282ADF">
        <w:rPr>
          <w:lang w:val="fr-BE"/>
        </w:rPr>
        <w:t xml:space="preserve">. Le gouvernement flamand a également pris des initiatives pour réduire le recours à la contention et à l’isolement et assurer que ces mesures soient appliquées de manière plus qualitative. </w:t>
      </w:r>
    </w:p>
    <w:p w14:paraId="2ADA54A6"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 ce qui concerne la Commission communautaire française de la Région Bruxelles-Capitale (COCOF), les contentions au niveau du secteur du handicap, qu’elles soient chimiques ou physiques, sont considérées comme des mesures exceptionnelles faisant partie du panel de solutions garantissant la sécurité des personnes. Elles sont sérieusement encadrées et sujettes à des contrôles réguliers et doivent systématiquement être documentées. Le service inspection de la COCOF, qui réalise des contrôles réguliers à ce propos, a réalisé une </w:t>
      </w:r>
      <w:hyperlink r:id="rId19" w:history="1">
        <w:r w:rsidRPr="00282ADF">
          <w:rPr>
            <w:rStyle w:val="Hyperlink"/>
            <w:lang w:val="fr-BE"/>
          </w:rPr>
          <w:t>circulaire</w:t>
        </w:r>
      </w:hyperlink>
      <w:r w:rsidRPr="00282ADF">
        <w:rPr>
          <w:lang w:val="fr-BE"/>
        </w:rPr>
        <w:t xml:space="preserve"> à l’intention des centres de jour et d’hébergement agréées par la COCOF.</w:t>
      </w:r>
    </w:p>
    <w:p w14:paraId="14EE1BE8"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FR"/>
        </w:rPr>
      </w:pPr>
      <w:r w:rsidRPr="00282ADF">
        <w:rPr>
          <w:lang w:val="fr-BE"/>
        </w:rPr>
        <w:t>En Belgique</w:t>
      </w:r>
      <w:r w:rsidRPr="00282ADF">
        <w:rPr>
          <w:lang w:val="fr-FR"/>
        </w:rPr>
        <w:t xml:space="preserve">, les patients ont le droit d’être informés et de consentir librement aux traitements. Mais le code de déontologie médicale ne permet pas de laisser des personnes sans traitement lorsqu'elles ne sont pas en </w:t>
      </w:r>
      <w:r w:rsidRPr="00DE03F5">
        <w:rPr>
          <w:lang w:val="fr-BE"/>
        </w:rPr>
        <w:t>mesure</w:t>
      </w:r>
      <w:r w:rsidRPr="00282ADF">
        <w:rPr>
          <w:lang w:val="fr-FR"/>
        </w:rPr>
        <w:t xml:space="preserve"> de donner leur consentement ou lorsqu'elles ont pris position à ce sujet par le biais d'une directive anticipée au moment où elles étaient capables de le faire. Les médecins ne prennent pas de telles décisions seuls, mais en collège.</w:t>
      </w:r>
    </w:p>
    <w:p w14:paraId="0DB13E38"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BE"/>
        </w:rPr>
        <w:t>En Communauté flamande, les personnes en situation de handicap qui bénéficient de l'aide de prestataires de soins agréés dans les centres de détention sont protégées par le décret sur la qualité</w:t>
      </w:r>
      <w:r w:rsidRPr="00282ADF">
        <w:rPr>
          <w:vertAlign w:val="superscript"/>
          <w:lang w:val="en-GB"/>
        </w:rPr>
        <w:endnoteReference w:id="66"/>
      </w:r>
      <w:r w:rsidRPr="00282ADF">
        <w:rPr>
          <w:lang w:val="fr-BE"/>
        </w:rPr>
        <w:t xml:space="preserve">. Celui-ci contient des droits et obligations généraux, mais aucune disposition spécifique concernant le consentement explicite de sorte que le droit commun médical s'applique. </w:t>
      </w:r>
    </w:p>
    <w:p w14:paraId="63ACA0E4"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BE"/>
        </w:rPr>
        <w:t>Au niveau de la COCOF, les associations agréées et subsidiées dans le secteur du handicap sont fortement sensibilisées à la question de l’</w:t>
      </w:r>
      <w:proofErr w:type="spellStart"/>
      <w:r w:rsidRPr="00282ADF">
        <w:rPr>
          <w:lang w:val="fr-BE"/>
        </w:rPr>
        <w:t>autodétermination</w:t>
      </w:r>
      <w:proofErr w:type="spellEnd"/>
      <w:r w:rsidRPr="00282ADF">
        <w:rPr>
          <w:lang w:val="fr-BE"/>
        </w:rPr>
        <w:t xml:space="preserve"> et au respect des choix de vie de chaque bénéficiaire. La question médicale, et celle des traitements médicamenteux, est soumise à un processus de co-construction entre toutes les parties prenantes lors de l’élaboration, la mise en place et l’évaluation du projet de vie personnalisé de chaque bénéficiaire. Aucune décision ne peut être prise unilatéralement sans la consultation (au minimum) de la personne en situation de handicap. Des contrôles réguliers sont réalisés à ce propos. La COCOF, qui a diffusé largement la possibilité de déposer une plainte contre des pratiques irrespectueuses, n’a reçu aucune plainte en ce sens ces 5 dernières années.</w:t>
      </w:r>
    </w:p>
    <w:p w14:paraId="70A52DA8" w14:textId="77777777" w:rsidR="00282ADF" w:rsidRPr="00282ADF" w:rsidRDefault="00282ADF" w:rsidP="00DE03F5">
      <w:pPr>
        <w:pStyle w:val="SingleTxtG"/>
        <w:numPr>
          <w:ilvl w:val="0"/>
          <w:numId w:val="14"/>
        </w:numPr>
        <w:suppressAutoHyphens w:val="0"/>
        <w:kinsoku/>
        <w:overflowPunct/>
        <w:autoSpaceDE/>
        <w:autoSpaceDN/>
        <w:adjustRightInd/>
        <w:snapToGrid/>
        <w:ind w:left="1134" w:firstLine="0"/>
        <w:rPr>
          <w:lang w:val="fr-BE"/>
        </w:rPr>
      </w:pPr>
      <w:r w:rsidRPr="00282ADF">
        <w:rPr>
          <w:lang w:val="fr-BE"/>
        </w:rPr>
        <w:t>Une enquête» menée au sein des services d’accueil et d’hébergement agréés par la COCOF a conclu que les pratiques de stérilisation forcée des personnes en situation de handicap ont cessé. Quelques personnes en situation de handicap ayant été stérilisées, le plus souvent du choix de leurs parents, fréquentent encore les centres d’activités de jour ou d’hébergement. La personne en situation de handicap a le libre choix de son médecin et les équipes éducatives sont formées à l’éducation à la vie relationnelle, affective et sexuelle et peuvent, si nécessaire, faire appel aux centres de planning familial et à la fédération laïque des centres de planning.</w:t>
      </w:r>
    </w:p>
    <w:p w14:paraId="1727392B" w14:textId="01643159" w:rsidR="00282ADF" w:rsidRPr="00282ADF" w:rsidRDefault="0008432B" w:rsidP="0008432B">
      <w:pPr>
        <w:pStyle w:val="H1G"/>
        <w:rPr>
          <w:lang w:val="fr-BE"/>
        </w:rPr>
      </w:pPr>
      <w:bookmarkStart w:id="18" w:name="_Toc200464255"/>
      <w:r>
        <w:rPr>
          <w:lang w:val="fr-BE"/>
        </w:rPr>
        <w:tab/>
      </w:r>
      <w:r>
        <w:rPr>
          <w:lang w:val="fr-BE"/>
        </w:rPr>
        <w:tab/>
      </w:r>
      <w:r w:rsidR="00282ADF" w:rsidRPr="00282ADF">
        <w:rPr>
          <w:lang w:val="fr-BE"/>
        </w:rPr>
        <w:t>Articles 12 et 13</w:t>
      </w:r>
      <w:bookmarkEnd w:id="18"/>
    </w:p>
    <w:p w14:paraId="56C8E303" w14:textId="214A100B" w:rsidR="00282ADF" w:rsidRPr="00282ADF" w:rsidRDefault="0008432B" w:rsidP="0008432B">
      <w:pPr>
        <w:pStyle w:val="H23G"/>
        <w:rPr>
          <w:lang w:val="fr-BE"/>
        </w:rPr>
      </w:pPr>
      <w:r>
        <w:rPr>
          <w:lang w:val="fr-BE"/>
        </w:rPr>
        <w:tab/>
      </w:r>
      <w:r>
        <w:rPr>
          <w:lang w:val="fr-BE"/>
        </w:rPr>
        <w:tab/>
      </w:r>
      <w:r w:rsidR="00C057F3" w:rsidRPr="000626E9">
        <w:rPr>
          <w:rFonts w:eastAsia="Calibri"/>
          <w:noProof/>
          <w:lang w:val="fr-FR" w:eastAsia="es-GT"/>
        </w:rPr>
        <w:t xml:space="preserve">Réponse au paragraphe </w:t>
      </w:r>
      <w:r w:rsidR="00282ADF" w:rsidRPr="00282ADF">
        <w:rPr>
          <w:lang w:val="fr-BE"/>
        </w:rPr>
        <w:t>22 de la liste de questions</w:t>
      </w:r>
    </w:p>
    <w:p w14:paraId="73B9D35C"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b/>
          <w:bCs/>
          <w:lang w:val="fr-BE"/>
        </w:rPr>
      </w:pPr>
      <w:r w:rsidRPr="00282ADF">
        <w:rPr>
          <w:lang w:val="fr-FR"/>
        </w:rPr>
        <w:t xml:space="preserve">Les données statistiques relatives aux affaires de torture, traitements inhumains et dégradants se retrouvent dans l’annexe 11. Néanmoins, il n’est pas possible de fournir des informations relatives aux victimes ni de </w:t>
      </w:r>
      <w:r w:rsidRPr="0008432B">
        <w:rPr>
          <w:lang w:val="fr-BE"/>
        </w:rPr>
        <w:t>ventiler</w:t>
      </w:r>
      <w:r w:rsidRPr="00282ADF">
        <w:rPr>
          <w:lang w:val="fr-FR"/>
        </w:rPr>
        <w:t xml:space="preserve"> les données transmises selon la qualité de l’auteur présumé des faits.  </w:t>
      </w:r>
    </w:p>
    <w:p w14:paraId="3AEE787E" w14:textId="00D0EE7B" w:rsidR="00282ADF" w:rsidRPr="00282ADF" w:rsidRDefault="0008432B" w:rsidP="0008432B">
      <w:pPr>
        <w:pStyle w:val="H23G"/>
        <w:rPr>
          <w:lang w:val="fr-BE"/>
        </w:rPr>
      </w:pPr>
      <w:r>
        <w:rPr>
          <w:lang w:val="fr-BE"/>
        </w:rPr>
        <w:tab/>
      </w:r>
      <w:r>
        <w:rPr>
          <w:lang w:val="fr-BE"/>
        </w:rPr>
        <w:tab/>
      </w:r>
      <w:r w:rsidR="00C057F3" w:rsidRPr="000626E9">
        <w:rPr>
          <w:rFonts w:eastAsia="Calibri"/>
          <w:noProof/>
          <w:lang w:val="fr-FR" w:eastAsia="es-GT"/>
        </w:rPr>
        <w:t xml:space="preserve">Réponse au paragraphe </w:t>
      </w:r>
      <w:r w:rsidR="00282ADF" w:rsidRPr="00282ADF">
        <w:rPr>
          <w:lang w:val="fr-BE"/>
        </w:rPr>
        <w:t>23 de la liste de questions</w:t>
      </w:r>
    </w:p>
    <w:p w14:paraId="69914E37"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En tant qu’institution collatérale du Parlement fédéral, le Comité permanent de contrôle des services de police (Comité P) est une institution neutre, indépendante </w:t>
      </w:r>
      <w:r w:rsidRPr="00282ADF">
        <w:rPr>
          <w:i/>
          <w:iCs/>
          <w:lang w:val="fr-FR"/>
        </w:rPr>
        <w:t>sui generis</w:t>
      </w:r>
      <w:r w:rsidRPr="00282ADF">
        <w:rPr>
          <w:lang w:val="fr-FR"/>
        </w:rPr>
        <w:t xml:space="preserve"> qui n’a aucun rapport avec le pouvoir exécutif ni avec le pouvoir judiciaire. Il a pour mission de soutenir le contrôle parlementaire à l’égard des services de police. Son fonctionnement est financé par une dotation parlementaire et ses activités contrôlées par la Chambre des représentants.</w:t>
      </w:r>
    </w:p>
    <w:p w14:paraId="06728906"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 Comité P est composé de 5 membres effectifs, parmi lesquels un président (un magistrat) et un vice-président. Tous sont nommés par le Parlement pour un terme renouvelable de 6 ans. Pour renforcer l’indépendance de l’institution, les décisions sont prises collégialement en réunion plénière par les 5 membres, sans voix prépondérante du président. </w:t>
      </w:r>
    </w:p>
    <w:p w14:paraId="72FF5403"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Chaque plainte est discutée en réunion plénière par tous les membres de la «section plaintes» du Service administratif du Comité P, qui décident de l’organe qui mènera l’enquête:</w:t>
      </w:r>
    </w:p>
    <w:p w14:paraId="4846F711" w14:textId="4B2FD1A9" w:rsidR="00282ADF" w:rsidRPr="00282ADF" w:rsidRDefault="0008432B" w:rsidP="0008432B">
      <w:pPr>
        <w:pStyle w:val="Bullet1G"/>
        <w:rPr>
          <w:lang w:val="fr-FR"/>
        </w:rPr>
      </w:pPr>
      <w:r>
        <w:rPr>
          <w:lang w:val="fr-FR"/>
        </w:rPr>
        <w:t>S</w:t>
      </w:r>
      <w:r w:rsidR="00282ADF" w:rsidRPr="00282ADF">
        <w:rPr>
          <w:lang w:val="fr-FR"/>
        </w:rPr>
        <w:t>on propre Service d’enquêtes P mène les enquêtes concernant des manquements organisationnels et structurels;</w:t>
      </w:r>
    </w:p>
    <w:p w14:paraId="65812A4E" w14:textId="6A57407D" w:rsidR="00282ADF" w:rsidRPr="00282ADF" w:rsidRDefault="0008432B" w:rsidP="0008432B">
      <w:pPr>
        <w:pStyle w:val="Bullet1G"/>
        <w:rPr>
          <w:lang w:val="fr-FR"/>
        </w:rPr>
      </w:pPr>
      <w:r>
        <w:rPr>
          <w:lang w:val="fr-FR"/>
        </w:rPr>
        <w:t>L</w:t>
      </w:r>
      <w:r w:rsidR="00282ADF" w:rsidRPr="00282ADF">
        <w:rPr>
          <w:lang w:val="fr-FR"/>
        </w:rPr>
        <w:t>e service de contrôle interne du corps ou du service de police peut également être chargé de l’examen de certains dossiers;</w:t>
      </w:r>
    </w:p>
    <w:p w14:paraId="2740D817" w14:textId="51DB827A" w:rsidR="00282ADF" w:rsidRPr="00282ADF" w:rsidRDefault="0008432B" w:rsidP="0008432B">
      <w:pPr>
        <w:pStyle w:val="Bullet1G"/>
        <w:rPr>
          <w:lang w:val="fr-FR"/>
        </w:rPr>
      </w:pPr>
      <w:r>
        <w:rPr>
          <w:lang w:val="fr-FR"/>
        </w:rPr>
        <w:t>L</w:t>
      </w:r>
      <w:r w:rsidR="00282ADF" w:rsidRPr="00282ADF">
        <w:rPr>
          <w:lang w:val="fr-FR"/>
        </w:rPr>
        <w:t>’examen de la plainte, y compris les décisions à prendre, peut également être transféré entièrement au chef de corps de la zone de police locale ou au commissaire général de la police fédérale en vue d’un traitement autonome. Les dossiers entièrement traités par la police peuvent être réexaminés par le Comité P via une ‘deuxième lecture’ à la demande du citoyen;</w:t>
      </w:r>
    </w:p>
    <w:p w14:paraId="7DAEB774" w14:textId="680BF3B1" w:rsidR="00282ADF" w:rsidRPr="00282ADF" w:rsidRDefault="0008432B" w:rsidP="0008432B">
      <w:pPr>
        <w:pStyle w:val="Bullet1G"/>
        <w:rPr>
          <w:lang w:val="fr-FR"/>
        </w:rPr>
      </w:pPr>
      <w:r>
        <w:rPr>
          <w:lang w:val="fr-FR"/>
        </w:rPr>
        <w:t>L</w:t>
      </w:r>
      <w:r w:rsidR="00282ADF" w:rsidRPr="00282ADF">
        <w:rPr>
          <w:lang w:val="fr-FR"/>
        </w:rPr>
        <w:t>es plaintes qui n’entrent pas dans la sphère de compétence du Comité P sont transmises à l’instance compétente pour les traiter.</w:t>
      </w:r>
    </w:p>
    <w:p w14:paraId="32C0D9D3"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Même si le Comité P n’examine pas lui-même toutes les plaintes, une attention particulière est portée à la qualité de toute enquête menée. Si nécessaire ou à la demande du plaignant, le Comité P procède à une relecture ou une analyse complémentaire.</w:t>
      </w:r>
    </w:p>
    <w:p w14:paraId="2B7130B8"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 Service d’enquêtes P se compose de membres nommés sous statut à titre définitif (souvent sans passé au sein de la police) et de membres détachés temporairement issus de la police ou de l’administration. En 2024, ce service comptait 47 commissaires auditeurs dont 18 nommés sous statut à titre définitif et 29 nommés sous statut à titre temporaire. Cet équilibre favorise une approche axée sur la pratique sans compromettre l’indépendance. Ce service mène notamment les enquêtes de contrôle relatives à des plaintes et dénonciations, les enquêtes relatives à des plaintes dans le cadre de la réglementation sur les lanceurs d’alerte, les enquêtes à la demande de commissions d’enquête parlementaire et les enquêtes judiciaires sur d’éventuels crimes et délits à charge de policiers.</w:t>
      </w:r>
    </w:p>
    <w:p w14:paraId="3066DE1C"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Afin d’éviter toute confusion d’intérêts:</w:t>
      </w:r>
    </w:p>
    <w:p w14:paraId="756394C9" w14:textId="171D9318" w:rsidR="00282ADF" w:rsidRPr="00282ADF" w:rsidRDefault="0008432B" w:rsidP="0008432B">
      <w:pPr>
        <w:pStyle w:val="Bullet1G"/>
        <w:rPr>
          <w:lang w:val="fr-FR"/>
        </w:rPr>
      </w:pPr>
      <w:r>
        <w:rPr>
          <w:lang w:val="fr-FR"/>
        </w:rPr>
        <w:t>L</w:t>
      </w:r>
      <w:r w:rsidR="00282ADF" w:rsidRPr="00282ADF">
        <w:rPr>
          <w:lang w:val="fr-FR"/>
        </w:rPr>
        <w:t>ors de l’attribution des enquêtes, il est tenu compte de l’origine des commissaires auditeurs issus d’un service ou d’un corps de police particulier;</w:t>
      </w:r>
    </w:p>
    <w:p w14:paraId="084FE134" w14:textId="04BC6EB1" w:rsidR="00282ADF" w:rsidRPr="00282ADF" w:rsidRDefault="0008432B" w:rsidP="0008432B">
      <w:pPr>
        <w:pStyle w:val="Bullet1G"/>
        <w:rPr>
          <w:lang w:val="fr-FR"/>
        </w:rPr>
      </w:pPr>
      <w:r>
        <w:rPr>
          <w:lang w:val="fr-FR"/>
        </w:rPr>
        <w:t>L</w:t>
      </w:r>
      <w:r w:rsidR="00282ADF" w:rsidRPr="00282ADF">
        <w:rPr>
          <w:lang w:val="fr-FR"/>
        </w:rPr>
        <w:t>es commissaires auditeurs ne sont jamais chargés de mener une enquête au sein de leur corps ou service d’origine;</w:t>
      </w:r>
    </w:p>
    <w:p w14:paraId="7B7F36DE" w14:textId="334D885A" w:rsidR="00282ADF" w:rsidRPr="00282ADF" w:rsidRDefault="0008432B" w:rsidP="0008432B">
      <w:pPr>
        <w:pStyle w:val="Bullet1G"/>
        <w:rPr>
          <w:lang w:val="fr-FR"/>
        </w:rPr>
      </w:pPr>
      <w:r>
        <w:rPr>
          <w:lang w:val="fr-FR"/>
        </w:rPr>
        <w:t>L</w:t>
      </w:r>
      <w:r w:rsidR="00282ADF" w:rsidRPr="00282ADF">
        <w:rPr>
          <w:lang w:val="fr-FR"/>
        </w:rPr>
        <w:t>ors de leur détachement, les liens entre les commissaires auditeurs et la police sont coupés de manière structurelle et financière;</w:t>
      </w:r>
    </w:p>
    <w:p w14:paraId="5A68DE94" w14:textId="58E10966" w:rsidR="00282ADF" w:rsidRPr="00282ADF" w:rsidRDefault="0008432B" w:rsidP="0008432B">
      <w:pPr>
        <w:pStyle w:val="Bullet1G"/>
        <w:rPr>
          <w:lang w:val="fr-FR"/>
        </w:rPr>
      </w:pPr>
      <w:r>
        <w:rPr>
          <w:lang w:val="fr-FR"/>
        </w:rPr>
        <w:t>L</w:t>
      </w:r>
      <w:r w:rsidR="00282ADF" w:rsidRPr="00282ADF">
        <w:rPr>
          <w:lang w:val="fr-FR"/>
        </w:rPr>
        <w:t>es procédures de sélection sont également ouvertes aux candidats actifs en dehors du paysage policier.</w:t>
      </w:r>
    </w:p>
    <w:p w14:paraId="042FBE64"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Les enquêtes de contrôle sont menées sous l’autorité des 5 membres effectifs du Comité P, tout comme le traitement des plaintes et le suivi de leur bonne exécution. Pour l’exécution des enquêtes judiciaires, les membres du Service d’enquêtes P agissent sous l’autorité des autorités judiciaires compétentes. Les données relatives aux plaintes déposées auprès du Comité P, aux enquêtes judiciaires menées par son service d’enquête et aux décisions judiciaires rendues à charge de fonctionnaires de police sont reprises dans l’annexe 12.</w:t>
      </w:r>
    </w:p>
    <w:p w14:paraId="36A7C803"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bookmarkStart w:id="19" w:name="_Hlk195196272"/>
      <w:r w:rsidRPr="00282ADF">
        <w:rPr>
          <w:lang w:val="fr-FR"/>
        </w:rPr>
        <w:t xml:space="preserve">Les autorités compétentes qui apprennent qu’un membre du personnel des services de police aurait commis des mauvais traitements et/ou aurait fait un usage excessif de la force peuvent le suspendre provisoirement par mesure d’ordre, qui ne peut être adoptée que si le membre du personnel fait l’objet soit d’une procédure disciplinaire, soit d’une information judiciaire ou d’une poursuite pénale, et si sa présence au sein de la Police est incompatible avec l’intérêt du service. L’adoption d’une telle mesure d’ordre relève, en outre, du pouvoir d’appréciation de l’autorité compétente qui peut très bien estimer qu’une autre mesure d’ordre est tout aussi efficace pour garantir ou restaurer le bon fonctionnement du service. Une suspension provisoire par mesure d’ordre peut être adoptée par procédure urgente, dans certaines conditions. </w:t>
      </w:r>
      <w:bookmarkStart w:id="20" w:name="_Hlk195196432"/>
      <w:bookmarkEnd w:id="19"/>
      <w:r w:rsidRPr="00282ADF">
        <w:rPr>
          <w:lang w:val="fr-FR"/>
        </w:rPr>
        <w:t>Il n’existe pas de suspension provisoire d’office.</w:t>
      </w:r>
    </w:p>
    <w:p w14:paraId="5DB0F215"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Dans le cadre du recours à la force et de la maîtrise de la violence, les policiers sont amenés à appliquer, en fonction de la situation, la technique qui </w:t>
      </w:r>
      <w:proofErr w:type="spellStart"/>
      <w:r w:rsidRPr="00282ADF">
        <w:rPr>
          <w:lang w:val="fr-BE"/>
        </w:rPr>
        <w:t>entrainera</w:t>
      </w:r>
      <w:proofErr w:type="spellEnd"/>
      <w:r w:rsidRPr="00282ADF">
        <w:rPr>
          <w:lang w:val="fr-BE"/>
        </w:rPr>
        <w:t xml:space="preserve"> le moins de risques pour la personne concernée et leur propre sécurité. Les techniques et tactiques enseignées</w:t>
      </w:r>
      <w:r w:rsidRPr="00282ADF">
        <w:rPr>
          <w:lang w:val="fr-FR"/>
        </w:rPr>
        <w:t xml:space="preserve"> font l’objet d’une évaluation constante et sont basées sur différentes études scientifiques externes, notamment en ce qui concerne leurs dangers potentiels, ainsi que sur l</w:t>
      </w:r>
      <w:r w:rsidRPr="00282ADF">
        <w:rPr>
          <w:lang w:val="fr-BE"/>
        </w:rPr>
        <w:t xml:space="preserve">es recommandations des organes de contrôle nationaux et internationaux, les incidents signalés en application de la circulaire ministérielle </w:t>
      </w:r>
      <w:r w:rsidRPr="00282ADF">
        <w:rPr>
          <w:lang w:val="fr-FR"/>
        </w:rPr>
        <w:t>relative à l’armement de la police intégrée</w:t>
      </w:r>
      <w:r w:rsidRPr="00282ADF">
        <w:rPr>
          <w:vertAlign w:val="superscript"/>
          <w:lang w:val="en-GB"/>
        </w:rPr>
        <w:endnoteReference w:id="67"/>
      </w:r>
      <w:r w:rsidRPr="00282ADF">
        <w:rPr>
          <w:lang w:val="fr-FR"/>
        </w:rPr>
        <w:t xml:space="preserve"> </w:t>
      </w:r>
      <w:r w:rsidRPr="00282ADF">
        <w:rPr>
          <w:lang w:val="fr-BE"/>
        </w:rPr>
        <w:t>et les évolutions internationales. Dans ce cadre, les recommandations relatives à l’usage de la technique du décubitus ventral sont prises en compte.</w:t>
      </w:r>
    </w:p>
    <w:p w14:paraId="6843E50C"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FR"/>
        </w:rPr>
        <w:t>Depuis 2021, la position couchée sur le dos est recommandée pendant l'arrestation. La position couchée sur le ventre n'est pas interdite mais doit être évaluée en fonction de la situation, au cas par cas. La méthode du «</w:t>
      </w:r>
      <w:proofErr w:type="spellStart"/>
      <w:r w:rsidRPr="00282ADF">
        <w:rPr>
          <w:i/>
          <w:iCs/>
          <w:lang w:val="fr-FR"/>
        </w:rPr>
        <w:t>hog</w:t>
      </w:r>
      <w:proofErr w:type="spellEnd"/>
      <w:r w:rsidRPr="00282ADF">
        <w:rPr>
          <w:i/>
          <w:iCs/>
          <w:lang w:val="fr-FR"/>
        </w:rPr>
        <w:t>-tie</w:t>
      </w:r>
      <w:r w:rsidRPr="00282ADF">
        <w:rPr>
          <w:lang w:val="fr-FR"/>
        </w:rPr>
        <w:t xml:space="preserve">», à savoir la position couchée sur le ventre en combinaison avec une sangle pour les jambes et les pieds, n'est pas utilisée en Belgique. Le phénomène de l'asphyxie positionnelle et les dangers de la compression vasculaire du cou sont soulignés à maintes reprises dans la formation et l’entraînement des services de police à la maîtrise la violence et font régulièrement l’objet de lettres d’information et autres documents à l’intention des membres du personnel. </w:t>
      </w:r>
      <w:r w:rsidRPr="00282ADF" w:rsidDel="00D32C48">
        <w:rPr>
          <w:lang w:val="fr-BE"/>
        </w:rPr>
        <w:t>Tout incident lié à l’usage de la force fait l’objet d’un signalement et d’une analyse visant, le cas échéant, à améliorer la formation et/ou la technique. De plus, la proportionnalité de la force utilisée sera examinée. Si un usage disproportionné est constaté, les mesures adéquates sont prises en fonction de l’enquête judiciaire ou disciplinaire.</w:t>
      </w:r>
    </w:p>
    <w:p w14:paraId="0FB6D9E6" w14:textId="77777777" w:rsidR="00282ADF" w:rsidRPr="00282ADF" w:rsidDel="00D32C48"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FR"/>
        </w:rPr>
        <w:t xml:space="preserve">Dans le cadre de ses missions, la police peut être amenée à recourir à la force dans le strict respect des conditions légales balisant la matière. Tout recours à la force doit, en effet, s’inscrire intégralement dans le cadre juridique interne et international, et par ailleurs dans le respect de la protection des droits humains, y compris la prohibition des mauvais traitements et de toute forme de torture, qu’ils soient basés ou non sur une forme de discrimination. Le principe et les conditions de l’emploi de la force sont rappelés dans les dispositions légales et réglementaires applicables à la police. Le code de déontologie précise que les membres du personnel qui sont autorisés à utiliser la force ou la contrainte conformément à la loi s'assurent que l'objectif poursuivi par l'intervention est légal, ne peut être atteint d'une autre manière moins violente, telle que la persuasion ou le dialogue et que les moyens mis en œuvre sont raisonnables et proportionnés à l'objectif poursuivi et aux circonstances propres au cas d'espèce. Ils doivent donc rechercher les modes d'intervention adéquats les moins violents possibles et respecter la différenciation et gradation qui existent dans les modalités du recours à la force. Le système de formation théorique et pratique des membres des services de police assure la bonne connaissance de ces dispositions, tout au long de leur carrière. </w:t>
      </w:r>
      <w:r w:rsidRPr="00282ADF">
        <w:rPr>
          <w:lang w:val="fr-BE"/>
        </w:rPr>
        <w:t xml:space="preserve">En matière de maîtrise de la violence, les principes et techniques enseignés </w:t>
      </w:r>
      <w:r w:rsidRPr="00282ADF">
        <w:rPr>
          <w:lang w:val="fr-FR"/>
        </w:rPr>
        <w:t xml:space="preserve">sont axés autour du cadre normatif et déontologique, d’une part, et du principe de désescalade de la violence, d’autre part. </w:t>
      </w:r>
      <w:proofErr w:type="spellStart"/>
      <w:r w:rsidRPr="00282ADF">
        <w:rPr>
          <w:lang w:val="fr-FR"/>
        </w:rPr>
        <w:t>A</w:t>
      </w:r>
      <w:proofErr w:type="spellEnd"/>
      <w:r w:rsidRPr="00282ADF">
        <w:rPr>
          <w:lang w:val="fr-FR"/>
        </w:rPr>
        <w:t xml:space="preserve"> cet effet, la formation accorde une attention particulière aux aptitudes communicationnelles et </w:t>
      </w:r>
      <w:proofErr w:type="spellStart"/>
      <w:r w:rsidRPr="00282ADF">
        <w:rPr>
          <w:lang w:val="fr-FR"/>
        </w:rPr>
        <w:t>psychosociales</w:t>
      </w:r>
      <w:proofErr w:type="spellEnd"/>
      <w:r w:rsidRPr="00282ADF">
        <w:rPr>
          <w:lang w:val="fr-FR"/>
        </w:rPr>
        <w:t xml:space="preserve"> et comprend notamment des modules relatifs à la communication et la gestion du stress et des conflits. </w:t>
      </w:r>
    </w:p>
    <w:p w14:paraId="74D20C8A" w14:textId="58D8F9CD" w:rsidR="00282ADF" w:rsidRPr="00282ADF" w:rsidRDefault="0008432B" w:rsidP="0008432B">
      <w:pPr>
        <w:pStyle w:val="H1G"/>
        <w:rPr>
          <w:lang w:val="fr-BE"/>
        </w:rPr>
      </w:pPr>
      <w:bookmarkStart w:id="21" w:name="_Toc200464256"/>
      <w:r>
        <w:rPr>
          <w:lang w:val="fr-BE"/>
        </w:rPr>
        <w:tab/>
      </w:r>
      <w:r>
        <w:rPr>
          <w:lang w:val="fr-BE"/>
        </w:rPr>
        <w:tab/>
      </w:r>
      <w:r w:rsidR="00282ADF" w:rsidRPr="00282ADF">
        <w:rPr>
          <w:lang w:val="fr-BE"/>
        </w:rPr>
        <w:t>Article 14</w:t>
      </w:r>
      <w:bookmarkEnd w:id="21"/>
    </w:p>
    <w:p w14:paraId="39380EFB" w14:textId="62BF827D" w:rsidR="00282ADF" w:rsidRPr="00282ADF" w:rsidDel="00D32C48" w:rsidRDefault="0008432B" w:rsidP="0008432B">
      <w:pPr>
        <w:pStyle w:val="H23G"/>
        <w:rPr>
          <w:lang w:val="fr-BE"/>
        </w:rPr>
      </w:pPr>
      <w:r>
        <w:rPr>
          <w:lang w:val="fr-BE"/>
        </w:rPr>
        <w:tab/>
      </w:r>
      <w:r>
        <w:rPr>
          <w:lang w:val="fr-BE"/>
        </w:rPr>
        <w:tab/>
      </w:r>
      <w:r w:rsidR="00C057F3" w:rsidRPr="000626E9">
        <w:rPr>
          <w:rFonts w:eastAsia="Calibri"/>
          <w:noProof/>
          <w:lang w:val="fr-FR" w:eastAsia="es-GT"/>
        </w:rPr>
        <w:t xml:space="preserve">Réponse au paragraphe </w:t>
      </w:r>
      <w:r w:rsidR="00282ADF" w:rsidRPr="00282ADF">
        <w:rPr>
          <w:lang w:val="fr-BE"/>
        </w:rPr>
        <w:t>24 de la liste de questions</w:t>
      </w:r>
    </w:p>
    <w:p w14:paraId="36A38EF9"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Le système belge maintient une attention prioritaire aux droits des victimes, en matière d’accueil, d’assistance </w:t>
      </w:r>
      <w:r w:rsidRPr="0008432B">
        <w:rPr>
          <w:lang w:val="fr-FR"/>
        </w:rPr>
        <w:t>et</w:t>
      </w:r>
      <w:r w:rsidRPr="00282ADF">
        <w:rPr>
          <w:lang w:val="fr-BE"/>
        </w:rPr>
        <w:t xml:space="preserve"> d’aide à tous les stades de la procédure et aux différentes formes de réparation possibles. Pour une description complète, il est renvoyé au Document de base et au précédent rapport CAT</w:t>
      </w:r>
      <w:r w:rsidRPr="00282ADF">
        <w:rPr>
          <w:vertAlign w:val="superscript"/>
          <w:lang w:val="en-GB"/>
        </w:rPr>
        <w:endnoteReference w:id="68"/>
      </w:r>
      <w:r w:rsidRPr="00282ADF">
        <w:rPr>
          <w:lang w:val="fr-BE"/>
        </w:rPr>
        <w:t>. La Commission pour l’aide financière aux victimes d’actes intentionnels de violence et aux sauveteurs occasionnels (ci-après : Commission pour l’aide financière) peut accorder une aide financière comprise entre 500 et 125.000 euros à une victime d’acte intentionnel de violence, y compris dans les cas de torture ou de traitements inhumains. Le montant dépend davantage des conséquences subies (invalidité temporaire ou permanente, préjudice moral, etc.) que de la gravité des faits eux-mêmes</w:t>
      </w:r>
      <w:r w:rsidRPr="00282ADF">
        <w:rPr>
          <w:vertAlign w:val="superscript"/>
          <w:lang w:val="en-GB"/>
        </w:rPr>
        <w:endnoteReference w:id="69"/>
      </w:r>
      <w:r w:rsidRPr="00282ADF">
        <w:rPr>
          <w:lang w:val="fr-BE"/>
        </w:rPr>
        <w:t xml:space="preserve">. La notion d’«acte de violence» couvre aussi bien les violences physiques que psychologiques. Toutefois, les dossiers liés à de la torture ou traitements inhumains ou dégradants sont souvent classés sous «coups et blessures». Pour cette raison, il est difficile d’extraire tous les cas de torture identifiés comme tel par les tribunaux et dans lesquels la Commission pour l’aide financière est intervenue. Un aperçu du nombre d’affaires en cours, du nombre de décisions et des montants attribués dans des affaires enregistrées sous le verbo «torture» depuis l’examen du précédent rapport est présenté dans l’annexe 13. </w:t>
      </w:r>
    </w:p>
    <w:p w14:paraId="3BB0AD7D"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En Communauté flamande, les Centres d'aide sociale générale proposent un soutien spécifique aux victimes, y compris les détenus, pour les assister dans le traitement d'événements choquants. Ils fournissent de l'information aux victimes sur leurs droits et peuvent les assister sur des questions juridiques, administratives ou d'assurance. Au besoin, le personnel de soutien aux victimes les oriente vers des services spécialisés tels qu'un centre de soins de santé mentale. Au niveau de la Communauté française, les Services d’aide aux victimes apportent un soutien dans l’introduction de demandes d’indemnisation auprès du Fonds spécial ou d’autres dispositifs. </w:t>
      </w:r>
      <w:bookmarkEnd w:id="20"/>
    </w:p>
    <w:p w14:paraId="03FC75BF" w14:textId="27E4E322" w:rsidR="00282ADF" w:rsidRPr="00282ADF" w:rsidDel="00D32C48" w:rsidRDefault="0008432B" w:rsidP="0008432B">
      <w:pPr>
        <w:pStyle w:val="H1G"/>
        <w:rPr>
          <w:lang w:val="fr-BE"/>
        </w:rPr>
      </w:pPr>
      <w:bookmarkStart w:id="22" w:name="_Toc200464257"/>
      <w:r>
        <w:rPr>
          <w:lang w:val="fr-BE"/>
        </w:rPr>
        <w:tab/>
      </w:r>
      <w:r>
        <w:rPr>
          <w:lang w:val="fr-BE"/>
        </w:rPr>
        <w:tab/>
      </w:r>
      <w:r w:rsidR="00282ADF" w:rsidRPr="00282ADF">
        <w:rPr>
          <w:lang w:val="fr-BE"/>
        </w:rPr>
        <w:t>Article 15</w:t>
      </w:r>
      <w:bookmarkEnd w:id="22"/>
    </w:p>
    <w:p w14:paraId="073DD1FE" w14:textId="3DA5B2CD" w:rsidR="00282ADF" w:rsidRPr="00282ADF" w:rsidRDefault="0008432B" w:rsidP="0008432B">
      <w:pPr>
        <w:pStyle w:val="H23G"/>
        <w:rPr>
          <w:lang w:val="fr-BE"/>
        </w:rPr>
      </w:pPr>
      <w:r>
        <w:rPr>
          <w:lang w:val="fr-BE"/>
        </w:rPr>
        <w:tab/>
      </w:r>
      <w:r>
        <w:rPr>
          <w:lang w:val="fr-BE"/>
        </w:rPr>
        <w:tab/>
      </w:r>
      <w:r w:rsidR="00C057F3" w:rsidRPr="000626E9">
        <w:rPr>
          <w:rFonts w:eastAsia="Calibri"/>
          <w:noProof/>
          <w:lang w:val="fr-FR" w:eastAsia="es-GT"/>
        </w:rPr>
        <w:t xml:space="preserve">Réponse au paragraphe </w:t>
      </w:r>
      <w:r w:rsidR="00282ADF" w:rsidRPr="00282ADF">
        <w:rPr>
          <w:lang w:val="fr-BE"/>
        </w:rPr>
        <w:t>25 de la liste de questions</w:t>
      </w:r>
    </w:p>
    <w:p w14:paraId="69ADBA30"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L’interdiction de la torture est absolue en droit belge. </w:t>
      </w:r>
      <w:r w:rsidRPr="00282ADF">
        <w:rPr>
          <w:lang w:val="fr-FR"/>
        </w:rPr>
        <w:t>Elle découle non seulement d’instruments internationaux ayant des effets directs en droit interne mais aussi du Code pénal</w:t>
      </w:r>
      <w:r w:rsidRPr="00282ADF">
        <w:rPr>
          <w:vertAlign w:val="superscript"/>
          <w:lang w:val="en-GB"/>
        </w:rPr>
        <w:endnoteReference w:id="70"/>
      </w:r>
      <w:r w:rsidRPr="00282ADF">
        <w:rPr>
          <w:lang w:val="fr-FR"/>
        </w:rPr>
        <w:t>.</w:t>
      </w:r>
    </w:p>
    <w:p w14:paraId="48CCB720"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Il en découle une interdiction absolue de l’usage d’éléments de preuve obtenus par la torture ou un traitement inhumain. Ainsi, l’usage d’un tel élément de preuve est manifestement contraire au </w:t>
      </w:r>
      <w:r w:rsidRPr="0008432B">
        <w:rPr>
          <w:lang w:val="fr-FR"/>
        </w:rPr>
        <w:t>droit</w:t>
      </w:r>
      <w:r w:rsidRPr="00282ADF">
        <w:rPr>
          <w:lang w:val="fr-BE"/>
        </w:rPr>
        <w:t xml:space="preserve"> à un procès équitable et l’irrégularité commise entache nécessairement la fiabilité de la preuve. Le Code d’instruction criminelle n’a pas été modifié sur ce point, de sorte qu’il est renvoyé au précédent rapport</w:t>
      </w:r>
      <w:r w:rsidRPr="00282ADF">
        <w:rPr>
          <w:vertAlign w:val="superscript"/>
          <w:lang w:val="en-GB"/>
        </w:rPr>
        <w:endnoteReference w:id="71"/>
      </w:r>
      <w:r w:rsidRPr="00282ADF">
        <w:rPr>
          <w:lang w:val="fr-BE"/>
        </w:rPr>
        <w:t>.</w:t>
      </w:r>
    </w:p>
    <w:p w14:paraId="709A31D8"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Conformément à l’article 6 CEDH et à la jurisprudence de la CourEDH, il n’est pas question en droit belge d’admettre une preuve obtenue par la torture ou des mauvais traitements. Ainsi lorsque l'usage de la torture ou de mauvais traitements pour obtenir des preuves sont invoqués, il incombe aux autorités de démontrer que les droits du prévenu ont été respectés</w:t>
      </w:r>
      <w:r w:rsidRPr="00282ADF">
        <w:rPr>
          <w:vertAlign w:val="superscript"/>
        </w:rPr>
        <w:endnoteReference w:id="72"/>
      </w:r>
      <w:r w:rsidRPr="00282ADF">
        <w:rPr>
          <w:lang w:val="fr-BE"/>
        </w:rPr>
        <w:t>.  La Cour de cassation belge a rappelé en 2022 que l’article 6§2 CEDH, garantissant la présomption d’innocence, s’applique aux agents poursuivis. Ainsi, bien que de fortes présomptions de fait soient reconnues en cas d’allégations de blessures survenues pendant une garde à vue, les règles relatives à la charge de la preuve applicables devant les juridictions d’instruction ou de jugement ne sont pas remises en cause de sorte que la charge de la preuve reste à la partie poursuivante</w:t>
      </w:r>
      <w:r w:rsidRPr="00282ADF">
        <w:rPr>
          <w:vertAlign w:val="superscript"/>
        </w:rPr>
        <w:endnoteReference w:id="73"/>
      </w:r>
      <w:r w:rsidRPr="00282ADF">
        <w:rPr>
          <w:lang w:val="fr-BE"/>
        </w:rPr>
        <w:t>.</w:t>
      </w:r>
    </w:p>
    <w:p w14:paraId="667728E6"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La révision des décisions pénales définitives en Belgique constitue une voie de recours extraordinaire destinée à réexaminer des affaires définitivement jugées</w:t>
      </w:r>
      <w:r w:rsidRPr="00282ADF">
        <w:rPr>
          <w:vertAlign w:val="superscript"/>
          <w:lang w:val="en-GB"/>
        </w:rPr>
        <w:endnoteReference w:id="74"/>
      </w:r>
      <w:r w:rsidRPr="00282ADF">
        <w:rPr>
          <w:lang w:val="fr-BE"/>
        </w:rPr>
        <w:t xml:space="preserve">. Elle peut être sollicitée lorsqu'un fait nouveau ou une preuve permet de démontrer l’innocence d’un condamné ou l’injustice manifeste d’une condamnation. Ce mécanisme concerne des décisions passées en force de chose jugée, qu’elles soient de nature correctionnelle, criminelle, ou qu’elles prononcent une mesure d’internement. Ainsi, une condamnation fondée sur des aveux obtenus sous la torture pourrait légitimement faire l’objet d’une demande de révision si des éléments nouveaux révèlent la violation des droits fondamentaux du condamné. </w:t>
      </w:r>
    </w:p>
    <w:p w14:paraId="0468DC18"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Il existe également un mécanisme de réouverture de la procédure dans certaines circonstances exceptionnelles. Lorsqu’un arrêt définitif de la CourEDH établit une violation de la CEDH ou de ses protocoles additionnels, une demande de réouverture de l’action publique peut être introduite</w:t>
      </w:r>
      <w:r w:rsidRPr="00282ADF">
        <w:rPr>
          <w:vertAlign w:val="superscript"/>
          <w:lang w:val="en-GB"/>
        </w:rPr>
        <w:endnoteReference w:id="75"/>
      </w:r>
      <w:r w:rsidRPr="00282ADF">
        <w:rPr>
          <w:lang w:val="fr-BE"/>
        </w:rPr>
        <w:t>. Cette demande de réouverture est portée devant la Cour de cassation, qui examine la recevabilité et, le cas échéant, renvoie l’affaire pour un nouvel examen.</w:t>
      </w:r>
    </w:p>
    <w:p w14:paraId="45D044B5" w14:textId="138EF190" w:rsidR="00282ADF" w:rsidRPr="00282ADF" w:rsidRDefault="0008432B" w:rsidP="0008432B">
      <w:pPr>
        <w:pStyle w:val="H1G"/>
        <w:rPr>
          <w:lang w:val="fr-BE"/>
        </w:rPr>
      </w:pPr>
      <w:bookmarkStart w:id="23" w:name="_Toc200464258"/>
      <w:r>
        <w:rPr>
          <w:lang w:val="fr-BE"/>
        </w:rPr>
        <w:tab/>
      </w:r>
      <w:r>
        <w:rPr>
          <w:lang w:val="fr-BE"/>
        </w:rPr>
        <w:tab/>
      </w:r>
      <w:r w:rsidR="00282ADF" w:rsidRPr="00282ADF">
        <w:rPr>
          <w:lang w:val="fr-BE"/>
        </w:rPr>
        <w:t>Article 16</w:t>
      </w:r>
      <w:bookmarkEnd w:id="23"/>
      <w:r w:rsidR="00282ADF" w:rsidRPr="00282ADF">
        <w:rPr>
          <w:lang w:val="fr-BE"/>
        </w:rPr>
        <w:t xml:space="preserve"> </w:t>
      </w:r>
    </w:p>
    <w:p w14:paraId="61E8B23D" w14:textId="40D27198" w:rsidR="00282ADF" w:rsidRPr="00282ADF" w:rsidRDefault="0008432B" w:rsidP="0008432B">
      <w:pPr>
        <w:pStyle w:val="H23G"/>
        <w:rPr>
          <w:lang w:val="fr-BE"/>
        </w:rPr>
      </w:pPr>
      <w:r>
        <w:rPr>
          <w:lang w:val="fr-BE"/>
        </w:rPr>
        <w:tab/>
      </w:r>
      <w:r>
        <w:rPr>
          <w:lang w:val="fr-BE"/>
        </w:rPr>
        <w:tab/>
      </w:r>
      <w:r w:rsidR="00C057F3" w:rsidRPr="000626E9">
        <w:rPr>
          <w:rFonts w:eastAsia="Calibri"/>
          <w:noProof/>
          <w:lang w:val="fr-FR" w:eastAsia="es-GT"/>
        </w:rPr>
        <w:t>Réponse au paragraphe</w:t>
      </w:r>
      <w:r w:rsidR="00282ADF" w:rsidRPr="00282ADF">
        <w:rPr>
          <w:lang w:val="fr-BE"/>
        </w:rPr>
        <w:t xml:space="preserve"> 26 de la liste de questions</w:t>
      </w:r>
    </w:p>
    <w:p w14:paraId="370AA9E0"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La Police continue le travail de généralisation d’un cadre de référence et de lignes directrices concernant les contrôles de police et le </w:t>
      </w:r>
      <w:r w:rsidRPr="00282ADF">
        <w:rPr>
          <w:lang w:val="fr-FR"/>
        </w:rPr>
        <w:t>«</w:t>
      </w:r>
      <w:r w:rsidRPr="00282ADF">
        <w:rPr>
          <w:lang w:val="fr-BE"/>
        </w:rPr>
        <w:t>profilage professionnel</w:t>
      </w:r>
      <w:r w:rsidRPr="00282ADF">
        <w:rPr>
          <w:lang w:val="fr-FR"/>
        </w:rPr>
        <w:t>»</w:t>
      </w:r>
      <w:r w:rsidRPr="00282ADF">
        <w:rPr>
          <w:lang w:val="fr-BE"/>
        </w:rPr>
        <w:t xml:space="preserve">. Ce cadre s’intègre </w:t>
      </w:r>
      <w:r w:rsidRPr="00282ADF">
        <w:rPr>
          <w:lang w:val="fr-FR"/>
        </w:rPr>
        <w:t xml:space="preserve">dans une vision politique plus large axée </w:t>
      </w:r>
      <w:r w:rsidRPr="0008432B">
        <w:rPr>
          <w:lang w:val="fr-BE"/>
        </w:rPr>
        <w:t>sur</w:t>
      </w:r>
      <w:r w:rsidRPr="00282ADF">
        <w:rPr>
          <w:lang w:val="fr-FR"/>
        </w:rPr>
        <w:t xml:space="preserve"> la promotion de l’intégrité</w:t>
      </w:r>
      <w:r w:rsidRPr="00282ADF">
        <w:rPr>
          <w:lang w:val="fr-BE"/>
        </w:rPr>
        <w:t xml:space="preserve"> et vise à aider les membres du personnel des services de police sur le terrain à mieux identifier et contrôler les personnes de manière efficace et ciblée, professionnelle et objective étape par étape pour réduire tout risque d’arbitraire.</w:t>
      </w:r>
      <w:r w:rsidRPr="00282ADF">
        <w:rPr>
          <w:lang w:val="fr-FR"/>
        </w:rPr>
        <w:t xml:space="preserve"> Une formation en ligne sur le profilage professionnel est proposée depuis mars 2025 aux membres de la Police intégrée afin de les sensibiliser et d’apporter des réponses aux incidents et problèmes de profilage ethnique. </w:t>
      </w:r>
    </w:p>
    <w:p w14:paraId="2F23B671"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Une </w:t>
      </w:r>
      <w:r w:rsidRPr="00282ADF">
        <w:rPr>
          <w:lang w:val="fr-FR"/>
        </w:rPr>
        <w:t>circulaire ministérielle fixant le cadre de référence relatif au profilage et au contrôle professionnel a été adoptée en 2023</w:t>
      </w:r>
      <w:r w:rsidRPr="00282ADF">
        <w:rPr>
          <w:vertAlign w:val="superscript"/>
          <w:lang w:val="en-GB"/>
        </w:rPr>
        <w:endnoteReference w:id="76"/>
      </w:r>
      <w:r w:rsidRPr="00282ADF">
        <w:rPr>
          <w:lang w:val="fr-FR"/>
        </w:rPr>
        <w:t xml:space="preserve">. Elle prévoit une étude sur la faisabilité d’un enregistrement </w:t>
      </w:r>
      <w:r w:rsidRPr="0008432B">
        <w:rPr>
          <w:lang w:val="fr-BE"/>
        </w:rPr>
        <w:t>numérisé</w:t>
      </w:r>
      <w:r w:rsidRPr="00282ADF">
        <w:rPr>
          <w:lang w:val="fr-FR"/>
        </w:rPr>
        <w:t>, uniforme et automatisé des contrôles d’identité et leur motivation dans les systèmes ICT de la Police.</w:t>
      </w:r>
    </w:p>
    <w:p w14:paraId="081ACC25"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D’autres volets de ces travaux concernent la mise en place de systèmes d’enregistrement et de plainte ainsi que la poursuite des efforts en matière de formation.</w:t>
      </w:r>
    </w:p>
    <w:p w14:paraId="071658AC"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collecte par la Police de données telles que l’origine nationale ou ethnique des personnes contrôlées n’est pas autorisée par la législation anti-discrimination car il s’agit de critères protégés. </w:t>
      </w:r>
    </w:p>
    <w:p w14:paraId="7F547EEB"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b/>
          <w:bCs/>
          <w:lang w:val="fr-BE"/>
        </w:rPr>
      </w:pPr>
      <w:r w:rsidRPr="00282ADF">
        <w:rPr>
          <w:lang w:val="fr-FR"/>
        </w:rPr>
        <w:t xml:space="preserve">Des efforts de ventilation des statistiques sur base des critères protégés sont en cours. Depuis juin 2020, 3 projets consécutifs </w:t>
      </w:r>
      <w:r w:rsidRPr="00282ADF">
        <w:rPr>
          <w:lang w:val="fr-BE"/>
        </w:rPr>
        <w:t>«</w:t>
      </w:r>
      <w:proofErr w:type="spellStart"/>
      <w:r w:rsidRPr="00282ADF">
        <w:rPr>
          <w:i/>
          <w:lang w:val="fr-BE"/>
        </w:rPr>
        <w:t>Improving</w:t>
      </w:r>
      <w:proofErr w:type="spellEnd"/>
      <w:r w:rsidRPr="00282ADF">
        <w:rPr>
          <w:i/>
          <w:lang w:val="fr-BE"/>
        </w:rPr>
        <w:t xml:space="preserve"> </w:t>
      </w:r>
      <w:proofErr w:type="spellStart"/>
      <w:r w:rsidRPr="00282ADF">
        <w:rPr>
          <w:i/>
          <w:lang w:val="fr-BE"/>
        </w:rPr>
        <w:t>Equality</w:t>
      </w:r>
      <w:proofErr w:type="spellEnd"/>
      <w:r w:rsidRPr="00282ADF">
        <w:rPr>
          <w:i/>
          <w:lang w:val="fr-BE"/>
        </w:rPr>
        <w:t xml:space="preserve"> Data Collection in Belgium</w:t>
      </w:r>
      <w:r w:rsidRPr="00282ADF">
        <w:rPr>
          <w:lang w:val="fr-BE"/>
        </w:rPr>
        <w:t xml:space="preserve">» (IEDCB) ont été financés par le Gouvernement fédéral en vue d’améliorer la collecte et le développement des données sur l’égalité en Belgique. Le projet IEDCB 1 a principalement conduit au </w:t>
      </w:r>
      <w:r w:rsidRPr="0008432B">
        <w:rPr>
          <w:lang w:val="fr-FR"/>
        </w:rPr>
        <w:t>développement</w:t>
      </w:r>
      <w:r w:rsidRPr="00282ADF">
        <w:rPr>
          <w:lang w:val="fr-BE"/>
        </w:rPr>
        <w:t xml:space="preserve"> d’un outil et à la réalisation d’une cartographie de toutes les données relatives à l’égalité qui existent en Belgique, pour trois critères originaux, à savoir 1) les critères dits «raciaux», 2) les convictions religieuses et philosophiques, 3) l’orientation sexuelle, l’identité de genre, l’expression de genre et les caractéristiques sexuelles. IEDCB I a ainsi permis la création d’une base de données en ligne regroupant l’ensemble des sources de données collectées. L’</w:t>
      </w:r>
      <w:proofErr w:type="spellStart"/>
      <w:r w:rsidRPr="00282ADF">
        <w:rPr>
          <w:lang w:val="en-GB"/>
        </w:rPr>
        <w:fldChar w:fldCharType="begin"/>
      </w:r>
      <w:r w:rsidRPr="00282ADF">
        <w:rPr>
          <w:lang w:val="fr-BE"/>
        </w:rPr>
        <w:instrText>HYPERLINK "https://www.unia.be/fr/equality-data-hub?lang=fr"</w:instrText>
      </w:r>
      <w:r w:rsidRPr="00282ADF">
        <w:rPr>
          <w:lang w:val="en-GB"/>
        </w:rPr>
      </w:r>
      <w:r w:rsidRPr="00282ADF">
        <w:rPr>
          <w:lang w:val="en-GB"/>
        </w:rPr>
        <w:fldChar w:fldCharType="separate"/>
      </w:r>
      <w:r w:rsidRPr="00282ADF">
        <w:rPr>
          <w:rStyle w:val="Hyperlink"/>
          <w:lang w:val="fr-BE"/>
        </w:rPr>
        <w:t>Equality</w:t>
      </w:r>
      <w:proofErr w:type="spellEnd"/>
      <w:r w:rsidRPr="00282ADF">
        <w:rPr>
          <w:rStyle w:val="Hyperlink"/>
          <w:lang w:val="fr-BE"/>
        </w:rPr>
        <w:t xml:space="preserve"> Data Hub</w:t>
      </w:r>
      <w:r w:rsidRPr="00282ADF">
        <w:fldChar w:fldCharType="end"/>
      </w:r>
      <w:r w:rsidRPr="00282ADF">
        <w:rPr>
          <w:lang w:val="fr-BE"/>
        </w:rPr>
        <w:t xml:space="preserve"> d’</w:t>
      </w:r>
      <w:proofErr w:type="spellStart"/>
      <w:r w:rsidRPr="00282ADF">
        <w:rPr>
          <w:lang w:val="fr-BE"/>
        </w:rPr>
        <w:t>Unia</w:t>
      </w:r>
      <w:proofErr w:type="spellEnd"/>
      <w:r w:rsidRPr="00282ADF">
        <w:rPr>
          <w:lang w:val="fr-BE"/>
        </w:rPr>
        <w:t xml:space="preserve"> permet de regrouper les sources de données peu connues pour en faciliter l’accès et l’utilisation afin de donner un meilleur aperçu des discriminations concernées. Le projet IEDCB 2, finalisé en juin 2024, a permis d’étendre la cartographie réalisée à trois critères protégés supplémentaires (le handicap, les caractéristiques physiques et l’état de santé), de compléter et actualiser le data hub. Le projet IEDCB 3 porte sur le critère de la discrimination sur l’âge et sera finalisé en décembre 2025.</w:t>
      </w:r>
    </w:p>
    <w:p w14:paraId="679605AA" w14:textId="268677AB" w:rsidR="00282ADF" w:rsidRPr="00282ADF" w:rsidRDefault="0008432B" w:rsidP="0008432B">
      <w:pPr>
        <w:pStyle w:val="H23G"/>
        <w:rPr>
          <w:lang w:val="fr-BE"/>
        </w:rPr>
      </w:pPr>
      <w:r>
        <w:rPr>
          <w:lang w:val="fr-BE"/>
        </w:rPr>
        <w:tab/>
      </w:r>
      <w:r>
        <w:rPr>
          <w:lang w:val="fr-BE"/>
        </w:rPr>
        <w:tab/>
      </w:r>
      <w:r w:rsidR="00C057F3" w:rsidRPr="000626E9">
        <w:rPr>
          <w:rFonts w:eastAsia="Calibri"/>
          <w:noProof/>
          <w:lang w:val="fr-FR" w:eastAsia="es-GT"/>
        </w:rPr>
        <w:t>Réponse au paragraphe</w:t>
      </w:r>
      <w:r w:rsidR="00282ADF" w:rsidRPr="00282ADF">
        <w:rPr>
          <w:lang w:val="fr-BE"/>
        </w:rPr>
        <w:t xml:space="preserve"> 27 de la liste de questions</w:t>
      </w:r>
    </w:p>
    <w:p w14:paraId="01643430"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 droit pénal belge prévoit pour certaines infractions une aggravation de la peine facultative si un motif discriminatoire peut être considéré comme un facteur aggravant à prendre en considération par le juge lors du choix de la peine ou de la mesure et de la sévérité de celles-ci</w:t>
      </w:r>
      <w:r w:rsidRPr="00282ADF">
        <w:rPr>
          <w:vertAlign w:val="superscript"/>
          <w:lang w:val="en-GB"/>
        </w:rPr>
        <w:endnoteReference w:id="77"/>
      </w:r>
      <w:r w:rsidRPr="00282ADF">
        <w:rPr>
          <w:lang w:val="fr-FR"/>
        </w:rPr>
        <w:t xml:space="preserve"> ou une aggravation de la peine </w:t>
      </w:r>
      <w:r w:rsidRPr="0008432B">
        <w:rPr>
          <w:lang w:val="fr-BE"/>
        </w:rPr>
        <w:t>obligatoire</w:t>
      </w:r>
      <w:r w:rsidRPr="00282ADF">
        <w:rPr>
          <w:vertAlign w:val="superscript"/>
          <w:lang w:val="en-GB"/>
        </w:rPr>
        <w:endnoteReference w:id="78"/>
      </w:r>
      <w:r w:rsidRPr="00282ADF">
        <w:rPr>
          <w:lang w:val="fr-FR"/>
        </w:rPr>
        <w:t xml:space="preserve"> lorsque l’infraction est commise en raison de la haine, du mépris ou de l’hostilité à l’égard de la victime en raison de sa prétendue race, de sa couleur de peau, de son ascendance, de son origine nationale ou ethnique, de sa nationalité, de son sexe, […] , de son prétendu changement de sexe, de son identité de genre, de son expression de genre, de ses caractéristiques sexuelles, de son orientation sexuelle, […], de sa conviction religieuse ou philosophique, […], de son origine et de sa condition sociale, que cette caractéristique soit présente de manière effective ou seulement supposée par l'auteur. Ce mobile discriminatoire est retenu également lorsqu’il existe en raison d’un lien ou d’un lien supposé entre la victime et la personne à l’égard de laquelle l’auteur nourrit de la haine, du mépris ou de l’hostilité en raison d’un des critères protégés (par association).</w:t>
      </w:r>
    </w:p>
    <w:p w14:paraId="7C32B85A"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Une série de législations fédérales, communautaires et régionales comme les lois «</w:t>
      </w:r>
      <w:proofErr w:type="spellStart"/>
      <w:r w:rsidRPr="00282ADF">
        <w:rPr>
          <w:lang w:val="fr-FR"/>
        </w:rPr>
        <w:t>anti-racisme</w:t>
      </w:r>
      <w:proofErr w:type="spellEnd"/>
      <w:r w:rsidRPr="00282ADF">
        <w:rPr>
          <w:lang w:val="fr-FR"/>
        </w:rPr>
        <w:t>», «</w:t>
      </w:r>
      <w:proofErr w:type="spellStart"/>
      <w:r w:rsidRPr="00282ADF">
        <w:rPr>
          <w:lang w:val="fr-FR"/>
        </w:rPr>
        <w:t>antidiscrimination</w:t>
      </w:r>
      <w:proofErr w:type="spellEnd"/>
      <w:r w:rsidRPr="00282ADF">
        <w:rPr>
          <w:lang w:val="fr-FR"/>
        </w:rPr>
        <w:t xml:space="preserve">», «négationnisme» comportent aussi des dispositions interdisant et luttant contre diverses formes de discrimination comme le racisme et la xénophobie. Le </w:t>
      </w:r>
      <w:r w:rsidRPr="00282ADF">
        <w:rPr>
          <w:lang w:val="fr-BE"/>
        </w:rPr>
        <w:t>rapport final</w:t>
      </w:r>
      <w:r w:rsidRPr="00282ADF">
        <w:rPr>
          <w:lang w:val="fr-FR"/>
        </w:rPr>
        <w:t xml:space="preserve"> de la Commission d’évaluation des lois fédérales anti-discrimination</w:t>
      </w:r>
      <w:r w:rsidRPr="00282ADF">
        <w:rPr>
          <w:vertAlign w:val="superscript"/>
          <w:lang w:val="en-GB"/>
        </w:rPr>
        <w:endnoteReference w:id="79"/>
      </w:r>
      <w:r w:rsidRPr="00282ADF">
        <w:rPr>
          <w:lang w:val="fr-FR"/>
        </w:rPr>
        <w:t xml:space="preserve"> a été l'un des éléments à l’origine de modifications de la législation fédérale anti-discrimination, consacrées par la loi du 28/06/2023</w:t>
      </w:r>
      <w:r w:rsidRPr="00282ADF">
        <w:rPr>
          <w:vertAlign w:val="superscript"/>
          <w:lang w:val="en-GB"/>
        </w:rPr>
        <w:endnoteReference w:id="80"/>
      </w:r>
      <w:r w:rsidRPr="00282ADF">
        <w:rPr>
          <w:lang w:val="fr-FR"/>
        </w:rPr>
        <w:t>.</w:t>
      </w:r>
    </w:p>
    <w:p w14:paraId="40D74743"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circulaire commune COL 13/2013, révisée le 25/01/2024 et entrée en vigueur le 22/04/2024, uniformise ces politiques de lutte judiciaire contre tout type de discrimination (Annexe 14). Une typologie des infractions y est proposée pour une meilleure compréhension de la législation complexe, faisant une distinction entre les infractions de haine et les infractions spécifiques à la législation anti-discrimination. L’idée est de trouver un équilibre entre les phénomènes rencontrés dans la pratique et/ou pour lesquels la Belgique s’est engagée au niveau international à fournir des données et l’obligation de donner des directives </w:t>
      </w:r>
      <w:proofErr w:type="spellStart"/>
      <w:r w:rsidRPr="00282ADF">
        <w:rPr>
          <w:lang w:val="fr-FR"/>
        </w:rPr>
        <w:t>opérationnalisables</w:t>
      </w:r>
      <w:proofErr w:type="spellEnd"/>
      <w:r w:rsidRPr="00282ADF">
        <w:rPr>
          <w:lang w:val="fr-FR"/>
        </w:rPr>
        <w:t xml:space="preserve"> pour les acteurs concernés. Pour ce qui concerne le phénomène du «racisme», par exemple, il a été établit les sous-catégories «afrophobie», «antisémitisme», «</w:t>
      </w:r>
      <w:proofErr w:type="spellStart"/>
      <w:r w:rsidRPr="00282ADF">
        <w:rPr>
          <w:lang w:val="fr-FR"/>
        </w:rPr>
        <w:t>romaphobie</w:t>
      </w:r>
      <w:proofErr w:type="spellEnd"/>
      <w:r w:rsidRPr="00282ADF">
        <w:rPr>
          <w:lang w:val="fr-FR"/>
        </w:rPr>
        <w:t xml:space="preserve">» et «autre» pour les phénomènes moins courants ou moins facile à identifier. La typologie se heurte inévitablement à certaines limites en lien avec la variété des comportements incriminés. Certains de ces derniers comportements pouvant, en effet, relever de plusieurs catégories. </w:t>
      </w:r>
    </w:p>
    <w:p w14:paraId="1DD5B061"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circulaire comprend également des directives spécifiques concernant l'enregistrement des dossiers, tant au niveau des services de police que des parquets permettant un </w:t>
      </w:r>
      <w:proofErr w:type="spellStart"/>
      <w:r w:rsidRPr="00282ADF">
        <w:rPr>
          <w:i/>
          <w:iCs/>
          <w:lang w:val="fr-FR"/>
        </w:rPr>
        <w:t>reporting</w:t>
      </w:r>
      <w:proofErr w:type="spellEnd"/>
      <w:r w:rsidRPr="00282ADF">
        <w:rPr>
          <w:lang w:val="fr-FR"/>
        </w:rPr>
        <w:t xml:space="preserve"> des données plus détaillé. S’il s’avère que la personne concernée est victime de discrimination </w:t>
      </w:r>
      <w:proofErr w:type="spellStart"/>
      <w:r w:rsidRPr="00282ADF">
        <w:rPr>
          <w:lang w:val="fr-FR"/>
        </w:rPr>
        <w:t>intersectionnelle</w:t>
      </w:r>
      <w:proofErr w:type="spellEnd"/>
      <w:r w:rsidRPr="00282ADF">
        <w:rPr>
          <w:lang w:val="fr-FR"/>
        </w:rPr>
        <w:t xml:space="preserve">, le fonctionnaire de police sélectionnera, dans la mesure du possible, le/les phénomènes qui paraît/paraissent correspondre le mieux au mobile de l’auteur en se rappelant bien que la victime ne doit pas présenter réellement une ou plusieurs caractéristiques imputées par l’auteur. Une fois le dossier transmis au parquet, tous les codes contexte pertinents sont enregistrés. Le magistrat titulaire du dossier peut compléter l’enregistrement lorsqu’un autre contexte pertinent </w:t>
      </w:r>
      <w:proofErr w:type="spellStart"/>
      <w:r w:rsidRPr="00282ADF">
        <w:rPr>
          <w:lang w:val="fr-FR"/>
        </w:rPr>
        <w:t>apparait</w:t>
      </w:r>
      <w:proofErr w:type="spellEnd"/>
      <w:r w:rsidRPr="00282ADF">
        <w:rPr>
          <w:lang w:val="fr-FR"/>
        </w:rPr>
        <w:t xml:space="preserve"> aux différents stades de l’enquête. </w:t>
      </w:r>
    </w:p>
    <w:p w14:paraId="02A8AC3F"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La circulaire formule aussi des recommandations pour la police et le parquet en matière de recherche et de poursuites des infractions. Cela implique des directives relatives à la politique à adopter pour les auteurs/suspects, l’accueil et la prise en charge des victimes, la </w:t>
      </w:r>
      <w:proofErr w:type="spellStart"/>
      <w:r w:rsidRPr="00282ADF">
        <w:rPr>
          <w:lang w:val="fr-FR"/>
        </w:rPr>
        <w:t>cyberhaine</w:t>
      </w:r>
      <w:proofErr w:type="spellEnd"/>
      <w:r w:rsidRPr="00282ADF">
        <w:rPr>
          <w:lang w:val="fr-FR"/>
        </w:rPr>
        <w:t xml:space="preserve"> discriminatoire et le cas particulier du délit de presse notamment quand les faits sont inspirés par le racisme ou la xénophobie. En outre, elle vise à améliorer la coopération entre les acteurs, notamment par la désignation de policiers et de magistrats de référence à tous les niveaux. Un plan d'action est établi dans chaque arrondissement judiciaire. </w:t>
      </w:r>
    </w:p>
    <w:p w14:paraId="2C114B29"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En matière de lutte contre l’antisémitisme, un nouveau mécanisme de coordination interfédéral de la lutte contre l’antisémitisme a été instauré et a entamé ses travaux le 15/01/2024. Ce mécanisme vise à combattre l’antisémitisme de manière cohérente et coordonnée à l’échelle nationale. Il rassemble pour la première fois des représentants des différentes administrations et gouvernements, des associations juives belges et organisations luttant contre l’antisémitisme, d’</w:t>
      </w:r>
      <w:proofErr w:type="spellStart"/>
      <w:r w:rsidRPr="00282ADF">
        <w:rPr>
          <w:lang w:val="fr-FR"/>
        </w:rPr>
        <w:t>Unia</w:t>
      </w:r>
      <w:proofErr w:type="spellEnd"/>
      <w:r w:rsidRPr="00282ADF">
        <w:rPr>
          <w:lang w:val="fr-FR"/>
        </w:rPr>
        <w:t xml:space="preserve"> et de l’</w:t>
      </w:r>
      <w:r w:rsidRPr="00282ADF">
        <w:rPr>
          <w:lang w:val="fr-BE"/>
        </w:rPr>
        <w:t xml:space="preserve"> Institut flamand des droits humains</w:t>
      </w:r>
      <w:r w:rsidRPr="00282ADF">
        <w:rPr>
          <w:lang w:val="fr-FR"/>
        </w:rPr>
        <w:t>. Sa présidence est assurée par l’administration fédérale pour l’égalité des chances qui soutient le Secrétaire d’</w:t>
      </w:r>
      <w:proofErr w:type="spellStart"/>
      <w:r w:rsidRPr="00282ADF">
        <w:rPr>
          <w:lang w:val="fr-FR"/>
        </w:rPr>
        <w:t>Etat</w:t>
      </w:r>
      <w:proofErr w:type="spellEnd"/>
      <w:r w:rsidRPr="00282ADF">
        <w:rPr>
          <w:lang w:val="fr-FR"/>
        </w:rPr>
        <w:t xml:space="preserve"> compétent en la matière.</w:t>
      </w:r>
    </w:p>
    <w:p w14:paraId="13AAFE82"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Toutes les entités compétentes </w:t>
      </w:r>
      <w:r w:rsidRPr="00282ADF">
        <w:rPr>
          <w:lang w:val="fr-FR"/>
        </w:rPr>
        <w:t>en Belgique ont élaboré une politique générale de lutte contre le racisme et la xénophobie par le biais de leurs politiques ou</w:t>
      </w:r>
      <w:r w:rsidRPr="00282ADF">
        <w:rPr>
          <w:lang w:val="fr-BE"/>
        </w:rPr>
        <w:t xml:space="preserve"> de leurs plans d'action spécifiques.</w:t>
      </w:r>
    </w:p>
    <w:p w14:paraId="21F28962"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politique flamande de prévention du racisme </w:t>
      </w:r>
      <w:r w:rsidRPr="0008432B">
        <w:rPr>
          <w:lang w:val="fr-FR"/>
        </w:rPr>
        <w:t>est</w:t>
      </w:r>
      <w:r w:rsidRPr="00282ADF">
        <w:rPr>
          <w:lang w:val="fr-BE"/>
        </w:rPr>
        <w:t xml:space="preserve"> contenue dans le </w:t>
      </w:r>
      <w:hyperlink r:id="rId20" w:history="1">
        <w:r w:rsidRPr="00282ADF">
          <w:rPr>
            <w:rStyle w:val="Hyperlink"/>
            <w:lang w:val="fr-BE"/>
          </w:rPr>
          <w:t>Plan de politique d'intégration horizontale et d'égalité des chances</w:t>
        </w:r>
      </w:hyperlink>
      <w:r w:rsidRPr="00282ADF">
        <w:rPr>
          <w:lang w:val="fr-BE"/>
        </w:rPr>
        <w:t xml:space="preserve"> (2020-2024) et les actions concrètes dans le </w:t>
      </w:r>
      <w:hyperlink r:id="rId21" w:history="1">
        <w:r w:rsidRPr="00282ADF">
          <w:rPr>
            <w:rStyle w:val="Hyperlink"/>
            <w:lang w:val="fr-BE"/>
          </w:rPr>
          <w:t>Plan Vivre ensemble</w:t>
        </w:r>
      </w:hyperlink>
      <w:r w:rsidRPr="00282ADF">
        <w:rPr>
          <w:lang w:val="fr-BE"/>
        </w:rPr>
        <w:t xml:space="preserve">, qui court jusqu'en 2025. Le Gouvernement de la Région Bruxelles-Capitale a adopté un second </w:t>
      </w:r>
      <w:hyperlink r:id="rId22" w:history="1">
        <w:r w:rsidRPr="00282ADF">
          <w:rPr>
            <w:rStyle w:val="Hyperlink"/>
            <w:lang w:val="fr-BE"/>
          </w:rPr>
          <w:t>Plan de lutte contre le racisme</w:t>
        </w:r>
      </w:hyperlink>
      <w:r w:rsidRPr="00282ADF">
        <w:rPr>
          <w:lang w:val="fr-BE"/>
        </w:rPr>
        <w:t xml:space="preserve"> (2023-2026) et un </w:t>
      </w:r>
      <w:hyperlink r:id="rId23" w:history="1">
        <w:r w:rsidRPr="00282ADF">
          <w:rPr>
            <w:rStyle w:val="Hyperlink"/>
            <w:lang w:val="fr-BE"/>
          </w:rPr>
          <w:t>Code bruxellois de l’égalité, de la non-discrimination et de la promotion de la diversité</w:t>
        </w:r>
      </w:hyperlink>
      <w:r w:rsidRPr="00282ADF">
        <w:rPr>
          <w:lang w:val="fr-BE"/>
        </w:rPr>
        <w:t>, entré en vigueur en 2024. La Wallonie a adopté son premier</w:t>
      </w:r>
      <w:hyperlink r:id="rId24" w:history="1"/>
      <w:r w:rsidRPr="00282ADF">
        <w:rPr>
          <w:lang w:val="fr-BE"/>
        </w:rPr>
        <w:t xml:space="preserve"> </w:t>
      </w:r>
      <w:hyperlink r:id="rId25" w:history="1">
        <w:r w:rsidRPr="00282ADF">
          <w:rPr>
            <w:rStyle w:val="Hyperlink"/>
            <w:lang w:val="fr-BE"/>
          </w:rPr>
          <w:t>Plan de lutte contre le racisme</w:t>
        </w:r>
      </w:hyperlink>
      <w:r w:rsidRPr="00282ADF">
        <w:rPr>
          <w:lang w:val="fr-BE"/>
        </w:rPr>
        <w:t xml:space="preserve"> (2023-2026).</w:t>
      </w:r>
    </w:p>
    <w:p w14:paraId="708D4B5E"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Les données statistiques relatives aux dossiers de discrimination se trouvent dans l’annexe 15. </w:t>
      </w:r>
    </w:p>
    <w:p w14:paraId="77913C06" w14:textId="749D60FA" w:rsidR="00282ADF" w:rsidRPr="00282ADF" w:rsidRDefault="0008432B" w:rsidP="0008432B">
      <w:pPr>
        <w:pStyle w:val="H1G"/>
        <w:rPr>
          <w:lang w:val="fr-BE"/>
        </w:rPr>
      </w:pPr>
      <w:bookmarkStart w:id="24" w:name="_Toc200464259"/>
      <w:r>
        <w:rPr>
          <w:lang w:val="fr-BE"/>
        </w:rPr>
        <w:tab/>
      </w:r>
      <w:r>
        <w:rPr>
          <w:lang w:val="fr-BE"/>
        </w:rPr>
        <w:tab/>
      </w:r>
      <w:r w:rsidR="00282ADF" w:rsidRPr="00282ADF">
        <w:rPr>
          <w:lang w:val="fr-BE"/>
        </w:rPr>
        <w:t>Autres questions</w:t>
      </w:r>
      <w:bookmarkEnd w:id="24"/>
    </w:p>
    <w:p w14:paraId="19B89B28" w14:textId="3D8900D9" w:rsidR="00282ADF" w:rsidRPr="00282ADF" w:rsidRDefault="0008432B" w:rsidP="0008432B">
      <w:pPr>
        <w:pStyle w:val="H23G"/>
        <w:rPr>
          <w:lang w:val="fr-BE"/>
        </w:rPr>
      </w:pPr>
      <w:bookmarkStart w:id="25" w:name="_Hlk195707872"/>
      <w:r>
        <w:rPr>
          <w:lang w:val="fr-BE"/>
        </w:rPr>
        <w:tab/>
      </w:r>
      <w:r>
        <w:rPr>
          <w:lang w:val="fr-BE"/>
        </w:rPr>
        <w:tab/>
      </w:r>
      <w:r w:rsidR="00C057F3" w:rsidRPr="000626E9">
        <w:rPr>
          <w:rFonts w:eastAsia="Calibri"/>
          <w:noProof/>
          <w:lang w:val="fr-FR" w:eastAsia="es-GT"/>
        </w:rPr>
        <w:t>Réponse au paragraphe</w:t>
      </w:r>
      <w:r w:rsidR="00282ADF" w:rsidRPr="00282ADF">
        <w:rPr>
          <w:lang w:val="fr-BE"/>
        </w:rPr>
        <w:t xml:space="preserve"> 28 de la liste de questions</w:t>
      </w:r>
    </w:p>
    <w:bookmarkEnd w:id="25"/>
    <w:p w14:paraId="5A251370"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Les membres des services de police sont tenus de respecter la loi, d’une manière générale, et d'inscrire leurs interventions dans le respect des droits fondamentaux. La loi définit les missions de la police, dont la prévention et la lutte </w:t>
      </w:r>
      <w:r w:rsidRPr="0008432B">
        <w:rPr>
          <w:lang w:val="fr-BE"/>
        </w:rPr>
        <w:t>contre</w:t>
      </w:r>
      <w:r w:rsidRPr="00282ADF">
        <w:rPr>
          <w:lang w:val="fr-FR"/>
        </w:rPr>
        <w:t xml:space="preserve"> le terrorisme, ainsi que les conditions strictes dans lesquelles elle doit les exercer. L</w:t>
      </w:r>
      <w:r w:rsidRPr="00282ADF">
        <w:rPr>
          <w:lang w:val="fr-BE"/>
        </w:rPr>
        <w:t>es mesures prises par les services de police dans le cadre de la lutte contre le terrorisme ayant un impact sur l’intégrité des droits humains ressortent des décisions prises par le magistrat instructeur, garant de la loyauté des procédures de l’instruction qu’il diligente.</w:t>
      </w:r>
      <w:r w:rsidRPr="00282ADF">
        <w:rPr>
          <w:lang w:val="fr-FR"/>
        </w:rPr>
        <w:t xml:space="preserve"> La formation des membres des services de police porte sur le cadre légal et réglementaire applicable ainsi que sur les droits humains, Elle se situe à tous les niveaux du cadre opérationnel des services de police et s’étale sur l’ensemble de la carrière.</w:t>
      </w:r>
    </w:p>
    <w:p w14:paraId="5B679B95"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Les nombreuses mesures préventives et répressives adoptées par la Belgique dans le cadre de la lutte contre la radicalisation et le terrorisme ont été détaillées dans le précédent rapport</w:t>
      </w:r>
      <w:r w:rsidRPr="00282ADF">
        <w:rPr>
          <w:vertAlign w:val="superscript"/>
          <w:lang w:val="en-GB"/>
        </w:rPr>
        <w:endnoteReference w:id="81"/>
      </w:r>
      <w:r w:rsidRPr="00282ADF">
        <w:rPr>
          <w:lang w:val="fr-BE"/>
        </w:rPr>
        <w:t xml:space="preserve">. La Belgique poursuit cette lutte avec rigueur et détermination dans le respect de ses engagements internationaux en matière de droits </w:t>
      </w:r>
      <w:r w:rsidRPr="0008432B">
        <w:rPr>
          <w:lang w:val="fr-FR"/>
        </w:rPr>
        <w:t>fondamentaux</w:t>
      </w:r>
      <w:r w:rsidRPr="00282ADF">
        <w:rPr>
          <w:lang w:val="fr-BE"/>
        </w:rPr>
        <w:t>. Pour rappel, les infractions terroristes restent soumises au droit commun de la procédure pénale (arrestations, détentions, interrogatoires, droit à un procès équitable, condamnations, recours) et des dispositions de sauvegarde des droits humains existent pour éviter les abus.</w:t>
      </w:r>
    </w:p>
    <w:p w14:paraId="30C8928C"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Afin de structurer l’ensemble des données à caractère personnel et des informations relatives aux missions de prévention et de suivi du terrorisme et de l’extrémisme, une banque de données commune «Terrorisme, Extrémisme, processus de Radication» (T.E.R.) a été créée par la loi du 29/03/2024</w:t>
      </w:r>
      <w:r w:rsidRPr="00282ADF">
        <w:rPr>
          <w:vertAlign w:val="superscript"/>
          <w:lang w:val="en-GB"/>
        </w:rPr>
        <w:endnoteReference w:id="82"/>
      </w:r>
      <w:r w:rsidRPr="00282ADF">
        <w:rPr>
          <w:lang w:val="fr-BE"/>
        </w:rPr>
        <w:t xml:space="preserve">. Cette loi transpose </w:t>
      </w:r>
      <w:r w:rsidRPr="00282ADF">
        <w:rPr>
          <w:lang w:val="fr-FR"/>
        </w:rPr>
        <w:t>dans une loi autonome les dispositions de la loi sur la fonction de police relatives aux banques de données communes “</w:t>
      </w:r>
      <w:proofErr w:type="spellStart"/>
      <w:r w:rsidRPr="00282ADF">
        <w:rPr>
          <w:i/>
          <w:iCs/>
          <w:lang w:val="fr-FR"/>
        </w:rPr>
        <w:t>Terrorist</w:t>
      </w:r>
      <w:proofErr w:type="spellEnd"/>
      <w:r w:rsidRPr="00282ADF">
        <w:rPr>
          <w:i/>
          <w:iCs/>
          <w:lang w:val="fr-FR"/>
        </w:rPr>
        <w:t xml:space="preserve"> fighters</w:t>
      </w:r>
      <w:r w:rsidRPr="00282ADF">
        <w:rPr>
          <w:lang w:val="fr-FR"/>
        </w:rPr>
        <w:t xml:space="preserve">” et “Propagandistes de haine” et règle les questions propres aux traitements de données au sein de la banque de données commune T.E.R. Cette </w:t>
      </w:r>
      <w:r w:rsidRPr="0008432B">
        <w:rPr>
          <w:lang w:val="fr-BE"/>
        </w:rPr>
        <w:t>banque</w:t>
      </w:r>
      <w:r w:rsidRPr="00282ADF">
        <w:rPr>
          <w:lang w:val="fr-FR"/>
        </w:rPr>
        <w:t xml:space="preserve"> de données permet le traitement commun, par tout ou partie des services impliqués, et l’échange des informations sur des personnes et organisations qui doivent être suivies en priorité dans le cadre d’une problématique de terrorisme, d’extrémisme, y compris le processus de radicalisation. </w:t>
      </w:r>
    </w:p>
    <w:p w14:paraId="19AAE286"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b/>
          <w:bCs/>
          <w:i/>
          <w:iCs/>
          <w:lang w:val="fr-BE"/>
        </w:rPr>
      </w:pPr>
      <w:r w:rsidRPr="00282ADF">
        <w:rPr>
          <w:lang w:val="fr-BE"/>
        </w:rPr>
        <w:t xml:space="preserve">Le contrôle du traitement des informations et données à caractère personnel contenues dans cette banque de donnée est assuré par l’Organe de contrôle de l’information policière et le Comité permanent de contrôle des services de renseignement et de sécurité. Les accès à cette banque de données sont attribués en fonction de la proportionnalité et de la subsidiarité et surtout du principe du </w:t>
      </w:r>
      <w:proofErr w:type="spellStart"/>
      <w:r w:rsidRPr="00282ADF">
        <w:rPr>
          <w:i/>
          <w:iCs/>
          <w:lang w:val="fr-BE"/>
        </w:rPr>
        <w:t>need</w:t>
      </w:r>
      <w:proofErr w:type="spellEnd"/>
      <w:r w:rsidRPr="00282ADF">
        <w:rPr>
          <w:i/>
          <w:iCs/>
          <w:lang w:val="fr-BE"/>
        </w:rPr>
        <w:t xml:space="preserve"> to know</w:t>
      </w:r>
      <w:r w:rsidRPr="00282ADF">
        <w:rPr>
          <w:lang w:val="fr-BE"/>
        </w:rPr>
        <w:t xml:space="preserve">. Pour les autres règles en matière de protection des données, </w:t>
      </w:r>
      <w:r w:rsidRPr="00282ADF">
        <w:rPr>
          <w:lang w:val="fr-FR"/>
        </w:rPr>
        <w:t>concernant notamment les droits des personnes concernées, il a été décidé de se raccrocher au titre de la loi du 30/07/2018 relative à la protection des personnes physiques à l’égard des traitements de données à caractère personnel dédié aux traitements de données à caractère personnel réalisés par l’OCAM.</w:t>
      </w:r>
      <w:r w:rsidRPr="00282ADF">
        <w:rPr>
          <w:lang w:val="fr-BE"/>
        </w:rPr>
        <w:t xml:space="preserve"> De manière générale, cette loi prévoit que toute personne concernée par un traitement dans une banque de donnée commune peut s’adresser à l’Autorité de</w:t>
      </w:r>
      <w:r w:rsidRPr="00282ADF">
        <w:rPr>
          <w:b/>
          <w:bCs/>
          <w:lang w:val="fr-BE"/>
        </w:rPr>
        <w:t xml:space="preserve"> </w:t>
      </w:r>
      <w:r w:rsidRPr="00282ADF">
        <w:rPr>
          <w:lang w:val="fr-BE"/>
        </w:rPr>
        <w:t>protection des données en vue d’exercer ses droits d’information, d’accès et de rectification. Elle permet également d’introduire une action en cessation devant le tribunal de première instance.</w:t>
      </w:r>
      <w:r w:rsidRPr="00282ADF">
        <w:rPr>
          <w:b/>
          <w:bCs/>
          <w:lang w:val="fr-BE"/>
        </w:rPr>
        <w:t xml:space="preserve"> </w:t>
      </w:r>
    </w:p>
    <w:p w14:paraId="4BC0E41A"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BE"/>
        </w:rPr>
      </w:pPr>
      <w:r w:rsidRPr="00282ADF">
        <w:rPr>
          <w:lang w:val="fr-BE"/>
        </w:rPr>
        <w:t xml:space="preserve">La Belgique a adopté différentes législations anti-terroristes pour se conformer à ses obligations internationales ou européennes. Dans la grande majorité des cas, le législateur belge a choisi de rester proche du libellé des dispositions des instruments internationaux et européens. La législation belge anti-terroriste a été mise conformité avec la Directive (UE) 2017/541 relative à la lutte contre le terrorisme. Le droit belge y était déjà largement conforme mais certaines adaptations ont été nécessaires telles que l’ajout de l’incrimination du </w:t>
      </w:r>
      <w:r w:rsidRPr="00282ADF">
        <w:rPr>
          <w:i/>
          <w:iCs/>
          <w:lang w:val="fr-BE"/>
        </w:rPr>
        <w:t>self-</w:t>
      </w:r>
      <w:proofErr w:type="spellStart"/>
      <w:r w:rsidRPr="00282ADF">
        <w:rPr>
          <w:i/>
          <w:iCs/>
          <w:lang w:val="fr-BE"/>
        </w:rPr>
        <w:t>study</w:t>
      </w:r>
      <w:proofErr w:type="spellEnd"/>
      <w:r w:rsidRPr="00282ADF">
        <w:rPr>
          <w:lang w:val="fr-BE"/>
        </w:rPr>
        <w:t xml:space="preserve"> et de la contribution à commettre certaines infractions terroristes. </w:t>
      </w:r>
    </w:p>
    <w:p w14:paraId="41FBA6D7"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En ce qui concerne «l’auto-apprentissage», </w:t>
      </w:r>
      <w:r w:rsidRPr="00282ADF">
        <w:rPr>
          <w:lang w:val="fr-FR"/>
        </w:rPr>
        <w:t>l’ancien article 140</w:t>
      </w:r>
      <w:r w:rsidRPr="00282ADF">
        <w:rPr>
          <w:i/>
          <w:iCs/>
          <w:lang w:val="fr-FR"/>
        </w:rPr>
        <w:t xml:space="preserve">quinquies </w:t>
      </w:r>
      <w:r w:rsidRPr="00282ADF">
        <w:rPr>
          <w:lang w:val="fr-FR"/>
        </w:rPr>
        <w:t xml:space="preserve">du Code pénal visait le fait de se faire donner des instructions ou de suivre une formation et impliquait nécessairement l’intervention d’un formateur. Or, l’article 8 de la directive ne limite pas l’incrimination de recevoir un </w:t>
      </w:r>
      <w:proofErr w:type="spellStart"/>
      <w:r w:rsidRPr="00282ADF">
        <w:rPr>
          <w:lang w:val="fr-FR"/>
        </w:rPr>
        <w:t>entrainement</w:t>
      </w:r>
      <w:proofErr w:type="spellEnd"/>
      <w:r w:rsidRPr="00282ADF">
        <w:rPr>
          <w:lang w:val="fr-FR"/>
        </w:rPr>
        <w:t xml:space="preserve"> au terrorisme au fait qu’il soit dispensé par une tierce personne. L’article 140</w:t>
      </w:r>
      <w:r w:rsidRPr="00282ADF">
        <w:rPr>
          <w:i/>
          <w:iCs/>
          <w:lang w:val="fr-FR"/>
        </w:rPr>
        <w:t>quinquies</w:t>
      </w:r>
      <w:r w:rsidRPr="00282ADF">
        <w:rPr>
          <w:lang w:val="fr-FR"/>
        </w:rPr>
        <w:t>, alinéa 2 punit dès lors de la réclusion de 5 à 10 ans et d’une amende de 100 à 5.000 euros, toute personne qui, en Belgique ou à l’étranger, acquiert par elle-même des connaissances ou se forme à la fabrication ou l’utilisation d’explosifs, d’armes à feu ou d’autres armes ou de substances nocives ou dangereuses, ou d’autres méthodes et techniques spécifiques, en vue de commettre ou de contribuer à commettre l’une des infractions terroristes visées à l’article 137 du Code pénal, à l’exception de la menace. La consultation occasionnelle ou à des fins académiques d’un site internet par exemple n’est pas suffisante pour incriminer un individu sur cette base. En outre, il doit s’agir d’une démarche active et consciente de l’auteur. Il faudra ainsi pouvoir démontrer que cette “auto-formation” a lieu “en vue de commettre ou de contribuer à commettre” une attaque terroriste.</w:t>
      </w:r>
    </w:p>
    <w:p w14:paraId="6E3C676F"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Concernant la contribution à commettre une infraction terroriste, </w:t>
      </w:r>
      <w:r w:rsidRPr="00282ADF">
        <w:rPr>
          <w:lang w:val="fr-FR"/>
        </w:rPr>
        <w:t>cette finalité n’était pas explicitement reprise aux articles 140</w:t>
      </w:r>
      <w:r w:rsidRPr="00282ADF">
        <w:rPr>
          <w:i/>
          <w:iCs/>
          <w:lang w:val="fr-FR"/>
        </w:rPr>
        <w:t>ter</w:t>
      </w:r>
      <w:r w:rsidRPr="00282ADF">
        <w:rPr>
          <w:lang w:val="fr-FR"/>
        </w:rPr>
        <w:t xml:space="preserve"> (</w:t>
      </w:r>
      <w:proofErr w:type="spellStart"/>
      <w:r w:rsidRPr="00282ADF">
        <w:rPr>
          <w:lang w:val="fr-FR"/>
        </w:rPr>
        <w:t>entrainement</w:t>
      </w:r>
      <w:proofErr w:type="spellEnd"/>
      <w:r w:rsidRPr="00282ADF">
        <w:rPr>
          <w:lang w:val="fr-FR"/>
        </w:rPr>
        <w:t xml:space="preserve"> au terrorisme), 140</w:t>
      </w:r>
      <w:r w:rsidRPr="00282ADF">
        <w:rPr>
          <w:i/>
          <w:iCs/>
          <w:lang w:val="fr-FR"/>
        </w:rPr>
        <w:t xml:space="preserve">quater </w:t>
      </w:r>
      <w:r w:rsidRPr="00282ADF">
        <w:rPr>
          <w:lang w:val="fr-FR"/>
        </w:rPr>
        <w:t>(recrutement pour le terrorisme), 140</w:t>
      </w:r>
      <w:r w:rsidRPr="00282ADF">
        <w:rPr>
          <w:i/>
          <w:iCs/>
          <w:lang w:val="fr-FR"/>
        </w:rPr>
        <w:t xml:space="preserve">quinquies </w:t>
      </w:r>
      <w:r w:rsidRPr="00282ADF">
        <w:rPr>
          <w:lang w:val="fr-FR"/>
        </w:rPr>
        <w:t>(formation au terrorisme), 140</w:t>
      </w:r>
      <w:r w:rsidRPr="00282ADF">
        <w:rPr>
          <w:i/>
          <w:iCs/>
          <w:lang w:val="fr-FR"/>
        </w:rPr>
        <w:t>sexies</w:t>
      </w:r>
      <w:r w:rsidRPr="00282ADF">
        <w:rPr>
          <w:lang w:val="fr-FR"/>
        </w:rPr>
        <w:t xml:space="preserve"> (voyage à des fins terroristes) du Code pénal car le fait de contribuer à la commission d’une infraction terroriste pouvait le cas échéant être couvert par l’article 140 du Code pénal relatif à la participation aux activités d’un groupe terroriste ou par les dispositions de droit commun relatives à la complicité (articles 66 à 69 du Code pénal). Toutefois, par souci de cohérence et de sécurité juridique, les dispositions précitées relatives aux infractions terroristes ont été adaptées pour s’aligner sur l’article 141 du Code pénal relatif au financement du terrorisme.</w:t>
      </w:r>
    </w:p>
    <w:p w14:paraId="1E590BA8"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BE"/>
        </w:rPr>
        <w:t xml:space="preserve">L’incrimination du comportement intermédiaire entre la participation aux activités et la direction du groupe terroriste a également été ajoutée. Outre une peine d’amende, la loi punit ainsi toute personne qui participe à la prise de décision </w:t>
      </w:r>
      <w:r w:rsidRPr="00282ADF">
        <w:rPr>
          <w:lang w:val="fr-FR"/>
        </w:rPr>
        <w:t>d’une peine de réclusion de 10 à 15 ans (article 140, §1</w:t>
      </w:r>
      <w:r w:rsidRPr="00282ADF">
        <w:rPr>
          <w:vertAlign w:val="superscript"/>
          <w:lang w:val="fr-FR"/>
        </w:rPr>
        <w:t>er</w:t>
      </w:r>
      <w:r w:rsidRPr="00282ADF">
        <w:rPr>
          <w:lang w:val="fr-FR"/>
        </w:rPr>
        <w:t xml:space="preserve">/1 du Code pénal) tandis que </w:t>
      </w:r>
      <w:r w:rsidRPr="00282ADF">
        <w:rPr>
          <w:lang w:val="fr-BE"/>
        </w:rPr>
        <w:t xml:space="preserve">la participation aux </w:t>
      </w:r>
      <w:r w:rsidRPr="0008432B">
        <w:rPr>
          <w:lang w:val="fr-FR"/>
        </w:rPr>
        <w:t>activités</w:t>
      </w:r>
      <w:r w:rsidRPr="00282ADF">
        <w:rPr>
          <w:lang w:val="fr-BE"/>
        </w:rPr>
        <w:t xml:space="preserve"> (article 140, § 1, du Code pénal) est punie de la réclusion de 5 à 10 ans et la direction du groupe terroriste (article 140, § 2, du Code pénal), d’une peine de réclusion de 15 à 20 ans. </w:t>
      </w:r>
      <w:r w:rsidRPr="00282ADF">
        <w:rPr>
          <w:lang w:val="fr-FR"/>
        </w:rPr>
        <w:t>L’incrimination de ce</w:t>
      </w:r>
      <w:r w:rsidRPr="00282ADF">
        <w:rPr>
          <w:lang w:val="fr-BE"/>
        </w:rPr>
        <w:t xml:space="preserve"> comportement intermédiaire permet de mieux catégoriser les infractions liées à la participation au groupe terroriste et d’avoir une fourchette de peines plus large et plus adaptée en fonction du comportement reproché.</w:t>
      </w:r>
    </w:p>
    <w:p w14:paraId="5920E919"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 xml:space="preserve">Les décisions de mises sous régimes de sécurité ou de placement sur les sections dédiées </w:t>
      </w:r>
      <w:proofErr w:type="spellStart"/>
      <w:r w:rsidRPr="00282ADF">
        <w:rPr>
          <w:lang w:val="fr-FR"/>
        </w:rPr>
        <w:t>Deradex</w:t>
      </w:r>
      <w:proofErr w:type="spellEnd"/>
      <w:r w:rsidRPr="00282ADF">
        <w:rPr>
          <w:lang w:val="fr-FR"/>
        </w:rPr>
        <w:t xml:space="preserve"> de détenus «radicalisés» (terme très large reprenant diverses catégories juridiques et conceptuelles de détenus), sont des décisions prises par le Directeur général des établissements pénitentiaires, selon les </w:t>
      </w:r>
      <w:r w:rsidRPr="0008432B">
        <w:rPr>
          <w:lang w:val="fr-BE"/>
        </w:rPr>
        <w:t>principes</w:t>
      </w:r>
      <w:r w:rsidRPr="00282ADF">
        <w:rPr>
          <w:lang w:val="fr-FR"/>
        </w:rPr>
        <w:t xml:space="preserve"> légaux repris dans la Loi de principes de 2005.</w:t>
      </w:r>
    </w:p>
    <w:p w14:paraId="04D9F5F4" w14:textId="77777777" w:rsidR="00282ADF" w:rsidRPr="00282ADF" w:rsidRDefault="00282ADF" w:rsidP="0008432B">
      <w:pPr>
        <w:pStyle w:val="SingleTxtG"/>
        <w:numPr>
          <w:ilvl w:val="0"/>
          <w:numId w:val="14"/>
        </w:numPr>
        <w:suppressAutoHyphens w:val="0"/>
        <w:kinsoku/>
        <w:overflowPunct/>
        <w:autoSpaceDE/>
        <w:autoSpaceDN/>
        <w:adjustRightInd/>
        <w:snapToGrid/>
        <w:ind w:left="1134" w:firstLine="0"/>
        <w:rPr>
          <w:lang w:val="fr-FR"/>
        </w:rPr>
      </w:pPr>
      <w:r w:rsidRPr="00282ADF">
        <w:rPr>
          <w:lang w:val="fr-FR"/>
        </w:rPr>
        <w:t>Les critères de placement sous MSP/RSPI (mesures de sécurité particulières /régime de sécurité particulier individuel) sont ceux prévus par la loi, que ce soit pour un détenu terroriste/radicalisé/extrémiste ou un autre détenu qui présenterait des risques pour l’ordre et la sécurité. La réévaluation de ces régimes de sécurité est faite périodiquement/ à échéance mensuelle (moitié du délai légal d’un RSPI) par les directions locales et soumise à nouveau à la décision de prolongation ou pas du Directeur général.</w:t>
      </w:r>
    </w:p>
    <w:p w14:paraId="7E955E3E" w14:textId="4FC3C510" w:rsidR="00BE3C14" w:rsidRPr="009A10F9" w:rsidRDefault="00282ADF" w:rsidP="0008432B">
      <w:pPr>
        <w:pStyle w:val="SingleTxtG"/>
        <w:numPr>
          <w:ilvl w:val="0"/>
          <w:numId w:val="14"/>
        </w:numPr>
        <w:suppressAutoHyphens w:val="0"/>
        <w:kinsoku/>
        <w:overflowPunct/>
        <w:autoSpaceDE/>
        <w:autoSpaceDN/>
        <w:adjustRightInd/>
        <w:snapToGrid/>
        <w:ind w:left="1134" w:firstLine="0"/>
      </w:pPr>
      <w:r w:rsidRPr="00282ADF">
        <w:rPr>
          <w:lang w:val="fr-FR"/>
        </w:rPr>
        <w:t xml:space="preserve">Les décisions de placement sur les sections dédiées </w:t>
      </w:r>
      <w:proofErr w:type="spellStart"/>
      <w:r w:rsidRPr="00282ADF">
        <w:rPr>
          <w:lang w:val="fr-FR"/>
        </w:rPr>
        <w:t>Deradex</w:t>
      </w:r>
      <w:proofErr w:type="spellEnd"/>
      <w:r w:rsidRPr="00282ADF">
        <w:rPr>
          <w:lang w:val="fr-FR"/>
        </w:rPr>
        <w:t xml:space="preserve"> sont quant à elles des décisions de «placement» au sens également de la Loi de principes de 2005, qui sont donc d’office individualisées et basées sur divers avis de la direction locale, du service </w:t>
      </w:r>
      <w:proofErr w:type="spellStart"/>
      <w:r w:rsidRPr="00282ADF">
        <w:rPr>
          <w:lang w:val="fr-FR"/>
        </w:rPr>
        <w:t>psychosocial</w:t>
      </w:r>
      <w:proofErr w:type="spellEnd"/>
      <w:r w:rsidRPr="00282ADF">
        <w:rPr>
          <w:lang w:val="fr-FR"/>
        </w:rPr>
        <w:t xml:space="preserve"> local et central ou en matière de radicalisme, de la cellule extrémisme, qui se fait également le relais des services de sécurité externes. Ces avis «intégrés» se fondent systématiquement sur des critères et informations crédibles, concrètes, recoupées et actualisées venant tant des services internes de la direction générale des établissements pénitentiaires (prisons locales ou services centraux) que des services de sécurité/externes : l’OCAM, la </w:t>
      </w:r>
      <w:proofErr w:type="spellStart"/>
      <w:r w:rsidRPr="00282ADF">
        <w:rPr>
          <w:lang w:val="fr-FR"/>
        </w:rPr>
        <w:t>Sureté</w:t>
      </w:r>
      <w:proofErr w:type="spellEnd"/>
      <w:r w:rsidRPr="00282ADF">
        <w:rPr>
          <w:lang w:val="fr-FR"/>
        </w:rPr>
        <w:t xml:space="preserve"> de l’</w:t>
      </w:r>
      <w:proofErr w:type="spellStart"/>
      <w:r w:rsidRPr="00282ADF">
        <w:rPr>
          <w:lang w:val="fr-FR"/>
        </w:rPr>
        <w:t>Etat</w:t>
      </w:r>
      <w:proofErr w:type="spellEnd"/>
      <w:r w:rsidRPr="00282ADF">
        <w:rPr>
          <w:lang w:val="fr-FR"/>
        </w:rPr>
        <w:t>, police locale et fédérale – ou même d’autres services de soutien à l’OCAM dans le cadre de la STRAT TER de 2021 (l’ancien plan R du gouvernement belge</w:t>
      </w:r>
      <w:r w:rsidRPr="00282ADF" w:rsidDel="0030620E">
        <w:rPr>
          <w:lang w:val="fr-FR"/>
        </w:rPr>
        <w:t>)</w:t>
      </w:r>
      <w:r w:rsidRPr="00282ADF">
        <w:rPr>
          <w:lang w:val="fr-FR"/>
        </w:rPr>
        <w:t xml:space="preserve">. Ces avis sont également et souvent basés sur des informations classifiées légalement, ce qui explique qu’ils ne sont accessibles qu’à certaines personnes légalement habilitées (protection légale des informations et des sources – travail de police et de renseignement). Un réexamen des décisions de placement sur les sections dédiées </w:t>
      </w:r>
      <w:proofErr w:type="spellStart"/>
      <w:r w:rsidRPr="00282ADF">
        <w:rPr>
          <w:lang w:val="fr-FR"/>
        </w:rPr>
        <w:t>Deradex</w:t>
      </w:r>
      <w:proofErr w:type="spellEnd"/>
      <w:r w:rsidRPr="00282ADF">
        <w:rPr>
          <w:lang w:val="fr-FR"/>
        </w:rPr>
        <w:t xml:space="preserve"> est systématiquement réalisé tous les 6 mois, et soumis à nouveau à la décision finale de placement ou de sortie de ces sections par le Directeur général.</w:t>
      </w:r>
    </w:p>
    <w:p w14:paraId="6BB495D4" w14:textId="09E4E061" w:rsidR="009A10F9" w:rsidRPr="009A10F9" w:rsidRDefault="009A10F9" w:rsidP="009A10F9">
      <w:pPr>
        <w:pStyle w:val="SingleTxtG"/>
        <w:suppressAutoHyphens w:val="0"/>
        <w:kinsoku/>
        <w:overflowPunct/>
        <w:autoSpaceDE/>
        <w:autoSpaceDN/>
        <w:adjustRightInd/>
        <w:snapToGrid/>
        <w:spacing w:before="240" w:after="0"/>
        <w:ind w:left="0" w:right="0"/>
        <w:jc w:val="center"/>
        <w:rPr>
          <w:u w:val="single"/>
        </w:rPr>
      </w:pPr>
      <w:r>
        <w:rPr>
          <w:u w:val="single"/>
          <w:lang w:val="fr-FR"/>
        </w:rPr>
        <w:tab/>
      </w:r>
      <w:r>
        <w:rPr>
          <w:u w:val="single"/>
          <w:lang w:val="fr-FR"/>
        </w:rPr>
        <w:tab/>
      </w:r>
      <w:r>
        <w:rPr>
          <w:u w:val="single"/>
          <w:lang w:val="fr-FR"/>
        </w:rPr>
        <w:tab/>
      </w:r>
    </w:p>
    <w:sectPr w:rsidR="009A10F9" w:rsidRPr="009A10F9">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E6EE5" w14:textId="77777777" w:rsidR="0025567C" w:rsidRDefault="0025567C">
      <w:pPr>
        <w:spacing w:line="240" w:lineRule="auto"/>
      </w:pPr>
    </w:p>
  </w:endnote>
  <w:endnote w:type="continuationSeparator" w:id="0">
    <w:p w14:paraId="72CA0099" w14:textId="77777777" w:rsidR="0025567C" w:rsidRDefault="0025567C">
      <w:pPr>
        <w:pStyle w:val="Footer"/>
      </w:pPr>
    </w:p>
  </w:endnote>
  <w:endnote w:type="continuationNotice" w:id="1">
    <w:p w14:paraId="0CAD0477" w14:textId="77777777" w:rsidR="0025567C" w:rsidRDefault="0025567C">
      <w:pPr>
        <w:spacing w:line="240" w:lineRule="auto"/>
      </w:pPr>
    </w:p>
  </w:endnote>
  <w:endnote w:id="2">
    <w:p w14:paraId="246BCC62" w14:textId="77777777" w:rsidR="00282ADF" w:rsidRPr="006A780C" w:rsidRDefault="00282ADF" w:rsidP="006A780C">
      <w:pPr>
        <w:ind w:left="1134" w:right="1133"/>
        <w:rPr>
          <w:sz w:val="18"/>
          <w:szCs w:val="18"/>
          <w:lang w:val="fr-BE"/>
        </w:rPr>
      </w:pPr>
      <w:r w:rsidRPr="006A780C">
        <w:rPr>
          <w:rStyle w:val="EndnoteReference"/>
          <w:szCs w:val="18"/>
        </w:rPr>
        <w:endnoteRef/>
      </w:r>
      <w:r w:rsidRPr="006A780C">
        <w:rPr>
          <w:sz w:val="18"/>
          <w:szCs w:val="18"/>
          <w:lang w:val="fr-BE"/>
        </w:rPr>
        <w:t xml:space="preserve"> Document de base commun faisant partie intégrante des rapports présentés par les États parties, Belgique, 23 juillet 2018, </w:t>
      </w:r>
      <w:r w:rsidRPr="006A780C">
        <w:rPr>
          <w:sz w:val="18"/>
          <w:szCs w:val="18"/>
        </w:rPr>
        <w:t>HRI/CORE/BEL/2018</w:t>
      </w:r>
    </w:p>
  </w:endnote>
  <w:endnote w:id="3">
    <w:p w14:paraId="568C8FB6" w14:textId="77777777" w:rsidR="00282ADF" w:rsidRPr="006A780C" w:rsidRDefault="00282ADF" w:rsidP="006A780C">
      <w:pPr>
        <w:ind w:left="1134" w:right="1133"/>
        <w:rPr>
          <w:sz w:val="18"/>
          <w:szCs w:val="18"/>
          <w:lang w:val="fr-BE"/>
        </w:rPr>
      </w:pPr>
      <w:r w:rsidRPr="006A780C">
        <w:rPr>
          <w:rStyle w:val="EndnoteReference"/>
          <w:szCs w:val="18"/>
        </w:rPr>
        <w:endnoteRef/>
      </w:r>
      <w:r w:rsidRPr="006A780C">
        <w:rPr>
          <w:sz w:val="18"/>
          <w:szCs w:val="18"/>
          <w:lang w:val="fr-BE"/>
        </w:rPr>
        <w:t xml:space="preserve"> SPF Affaires étrangères, SPF Justice, SPF Intérieur - Office des Etrangers, Ministère de la Défense, Cabinet du Vice-Premier Ministre et ministre de l’Emploi, de l’Économie et de l’Agriculture, Service public régional de Bruxelles.</w:t>
      </w:r>
    </w:p>
  </w:endnote>
  <w:endnote w:id="4">
    <w:p w14:paraId="6972173A" w14:textId="77777777" w:rsidR="00282ADF" w:rsidRPr="006A780C" w:rsidRDefault="00282ADF" w:rsidP="006A780C">
      <w:pPr>
        <w:ind w:left="1134" w:right="1133"/>
        <w:rPr>
          <w:color w:val="000000"/>
          <w:sz w:val="18"/>
          <w:szCs w:val="18"/>
          <w:lang w:val="fr-BE"/>
        </w:rPr>
      </w:pPr>
      <w:r w:rsidRPr="006A780C">
        <w:rPr>
          <w:rStyle w:val="EndnoteReference"/>
          <w:szCs w:val="18"/>
        </w:rPr>
        <w:endnoteRef/>
      </w:r>
      <w:r w:rsidRPr="006A780C">
        <w:rPr>
          <w:sz w:val="18"/>
          <w:szCs w:val="18"/>
          <w:lang w:val="fr-BE"/>
        </w:rPr>
        <w:t xml:space="preserve"> Comité permanent de contrôle des services de police (Comité P), </w:t>
      </w:r>
      <w:r w:rsidRPr="006A780C">
        <w:rPr>
          <w:color w:val="000000"/>
          <w:sz w:val="18"/>
          <w:szCs w:val="18"/>
          <w:lang w:val="fr-BE"/>
        </w:rPr>
        <w:t xml:space="preserve">Conseil wallon de l'Egalité entre hommes et femmes (CWEHF), Institut fédéral des droits humains (IFDH), </w:t>
      </w:r>
      <w:r w:rsidRPr="006A780C">
        <w:rPr>
          <w:sz w:val="18"/>
          <w:szCs w:val="18"/>
          <w:lang w:val="fr-BE"/>
        </w:rPr>
        <w:t>Kinderrechtecommissariaat, Médiateur fédéral, Myria, Vlaams Mensenrechteninstituut</w:t>
      </w:r>
    </w:p>
  </w:endnote>
  <w:endnote w:id="5">
    <w:p w14:paraId="58F1EB4E" w14:textId="77777777" w:rsidR="00282ADF" w:rsidRPr="006A780C" w:rsidRDefault="00282ADF" w:rsidP="006A780C">
      <w:pPr>
        <w:ind w:left="1134" w:right="1133"/>
        <w:rPr>
          <w:sz w:val="18"/>
          <w:szCs w:val="18"/>
          <w:lang w:val="fr-BE"/>
        </w:rPr>
      </w:pPr>
      <w:r w:rsidRPr="006A780C">
        <w:rPr>
          <w:rStyle w:val="EndnoteReference"/>
          <w:szCs w:val="18"/>
        </w:rPr>
        <w:endnoteRef/>
      </w:r>
      <w:r w:rsidRPr="006A780C">
        <w:rPr>
          <w:sz w:val="18"/>
          <w:szCs w:val="18"/>
          <w:lang w:val="fr-BE"/>
        </w:rPr>
        <w:t xml:space="preserve"> Amnesty International Belgique Francophone, Association pour la Promotion de la Francophonie en Flandre (APFF) | Coalition des Associations Francophones de Flandre (CAFF), Liga voor mensenrechten, Médecins Sans Frontières</w:t>
      </w:r>
    </w:p>
  </w:endnote>
  <w:endnote w:id="6">
    <w:p w14:paraId="53DCE40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rFonts w:eastAsia="Times New Roman"/>
          <w:szCs w:val="18"/>
          <w:lang w:val="fr"/>
        </w:rPr>
        <w:t>Loi du 21 avril 2024 modifiant la loi du 12 mai 2019 portant création d'un Institut fédéral pour la protection et la promotion des droits humains.</w:t>
      </w:r>
    </w:p>
  </w:endnote>
  <w:endnote w:id="7">
    <w:p w14:paraId="5C23DDF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CAT/C/BEL/4, §§ 4 à 9.</w:t>
      </w:r>
    </w:p>
  </w:endnote>
  <w:endnote w:id="8">
    <w:p w14:paraId="67064FBF"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Voir le nouveau Code pénal introduit par la loi du 29 février 2024 introduisant le Livre II du Code pénal, article 112.</w:t>
      </w:r>
    </w:p>
  </w:endnote>
  <w:endnote w:id="9">
    <w:p w14:paraId="782E537C"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Articles 51, 52 et 66 à 69 du Code pénal actuel.</w:t>
      </w:r>
    </w:p>
  </w:endnote>
  <w:endnote w:id="10">
    <w:p w14:paraId="2445BAFA"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21 du Titre préliminaire du Code de procédure pénale, modifié par la loi du 9 avril 2024 sur la procédure pénale I.</w:t>
      </w:r>
    </w:p>
  </w:endnote>
  <w:endnote w:id="11">
    <w:p w14:paraId="2222D746"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92 du Code pénal actuel.</w:t>
      </w:r>
    </w:p>
  </w:endnote>
  <w:endnote w:id="12">
    <w:p w14:paraId="2DA952BA"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2262</w:t>
      </w:r>
      <w:r w:rsidRPr="006A780C">
        <w:rPr>
          <w:i/>
          <w:iCs/>
          <w:szCs w:val="18"/>
          <w:lang w:val="fr-BE"/>
        </w:rPr>
        <w:t>bis</w:t>
      </w:r>
      <w:r w:rsidRPr="006A780C">
        <w:rPr>
          <w:szCs w:val="18"/>
          <w:lang w:val="fr-BE"/>
        </w:rPr>
        <w:t xml:space="preserve"> du Code civil et article 26 du Titre préliminaire du Code de procédure pénale.</w:t>
      </w:r>
    </w:p>
  </w:endnote>
  <w:endnote w:id="13">
    <w:p w14:paraId="53D7692F"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La participation par abstention est explicitement mentionnée dans le nouveau Code pénal à l’article 19, alinéa 1</w:t>
      </w:r>
      <w:r w:rsidRPr="006A780C">
        <w:rPr>
          <w:szCs w:val="18"/>
          <w:vertAlign w:val="superscript"/>
          <w:lang w:val="fr-BE"/>
        </w:rPr>
        <w:t>er</w:t>
      </w:r>
      <w:r w:rsidRPr="006A780C">
        <w:rPr>
          <w:szCs w:val="18"/>
          <w:lang w:val="fr-BE"/>
        </w:rPr>
        <w:t>, 4°.</w:t>
      </w:r>
    </w:p>
  </w:endnote>
  <w:endnote w:id="14">
    <w:p w14:paraId="09EB1216"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1" w:history="1">
        <w:r w:rsidRPr="006A780C">
          <w:rPr>
            <w:rStyle w:val="Hyperlink"/>
            <w:szCs w:val="18"/>
            <w:lang w:val="fr-BE"/>
          </w:rPr>
          <w:t>https://justice.belgium.be/fr/themes_et_dossiers/documents/telecharger_des_documents/declaration_de_droits</w:t>
        </w:r>
      </w:hyperlink>
      <w:r w:rsidRPr="006A780C">
        <w:rPr>
          <w:szCs w:val="18"/>
          <w:lang w:val="fr-BE"/>
        </w:rPr>
        <w:t>.</w:t>
      </w:r>
    </w:p>
  </w:endnote>
  <w:endnote w:id="15">
    <w:p w14:paraId="1A217996"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szCs w:val="18"/>
          <w:lang w:val="fr-FR"/>
        </w:rPr>
        <w:t>Ces chiffres ne visent pas uniquement des manquements commis dans le cadre de privations de liberté et/ou des cas dans lesquels des personnes privées de liberté n’ont pas pu bénéficier sans délai des garanties juridiques fondamentales.</w:t>
      </w:r>
    </w:p>
  </w:endnote>
  <w:endnote w:id="16">
    <w:p w14:paraId="11422DB0"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Les lieux d’hébergement représentent des alternatives à la détention.</w:t>
      </w:r>
    </w:p>
  </w:endnote>
  <w:endnote w:id="17">
    <w:p w14:paraId="32DF6346"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508/13/1 du Code judiciaire.</w:t>
      </w:r>
    </w:p>
  </w:endnote>
  <w:endnote w:id="18">
    <w:p w14:paraId="3EF03FF5"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Articles 508/13/1, §1</w:t>
      </w:r>
      <w:r w:rsidRPr="006A780C">
        <w:rPr>
          <w:szCs w:val="18"/>
          <w:vertAlign w:val="superscript"/>
          <w:lang w:val="fr-BE"/>
        </w:rPr>
        <w:t>er</w:t>
      </w:r>
      <w:r w:rsidRPr="006A780C">
        <w:rPr>
          <w:szCs w:val="18"/>
          <w:lang w:val="fr-BE"/>
        </w:rPr>
        <w:t>, alinéa 3 et 508/13/2 du Code judiciaire.</w:t>
      </w:r>
    </w:p>
  </w:endnote>
  <w:endnote w:id="19">
    <w:p w14:paraId="21D2777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4 mai 2020 visant à combattre la diffusion non consensuelle d’images et d’enregistrements à caractère sexuel.</w:t>
      </w:r>
    </w:p>
  </w:endnote>
  <w:endnote w:id="20">
    <w:p w14:paraId="223CF0EF"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21 mars 2022 modifiant le Code pénal en ce qui concerne le droit pénal sexuel.</w:t>
      </w:r>
    </w:p>
  </w:endnote>
  <w:endnote w:id="21">
    <w:p w14:paraId="16F3D439"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6 novembre 2022 visant à garantir le consentement des victimes de violence préalablement à une médiation, une conciliation ou un renvoi devant une chambre de règlement amiable.</w:t>
      </w:r>
    </w:p>
  </w:endnote>
  <w:endnote w:id="22">
    <w:p w14:paraId="2321488E"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6 décembre 2022 visant à rendre la justice plus humaine, plus rapide et plus ferme II</w:t>
      </w:r>
      <w:r w:rsidRPr="006A780C">
        <w:rPr>
          <w:i/>
          <w:iCs/>
          <w:szCs w:val="18"/>
          <w:lang w:val="fr-BE"/>
        </w:rPr>
        <w:t>bis</w:t>
      </w:r>
      <w:r w:rsidRPr="006A780C">
        <w:rPr>
          <w:szCs w:val="18"/>
          <w:lang w:val="fr-BE"/>
        </w:rPr>
        <w:t>.</w:t>
      </w:r>
    </w:p>
  </w:endnote>
  <w:endnote w:id="23">
    <w:p w14:paraId="4EE92BC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26 avril 2024 relative aux Centres de Prise en charge de Violences Sexuelles.</w:t>
      </w:r>
    </w:p>
  </w:endnote>
  <w:endnote w:id="24">
    <w:p w14:paraId="62405F7B"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2" w:history="1">
        <w:r w:rsidRPr="006A780C">
          <w:rPr>
            <w:rStyle w:val="Hyperlink"/>
            <w:szCs w:val="18"/>
            <w:lang w:val="fr-BE"/>
          </w:rPr>
          <w:t>https://www.police.be/statistiques/fr/criminalite/statistiques-de-criminalite</w:t>
        </w:r>
      </w:hyperlink>
      <w:r w:rsidRPr="006A780C">
        <w:rPr>
          <w:szCs w:val="18"/>
          <w:lang w:val="fr-BE"/>
        </w:rPr>
        <w:t>.</w:t>
      </w:r>
    </w:p>
  </w:endnote>
  <w:endnote w:id="25">
    <w:p w14:paraId="5A9BDFC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Articles 48 à 53 de la loi du 31 juillet 2020 portant dispositions urgentes diverses en matière de justice.</w:t>
      </w:r>
    </w:p>
  </w:endnote>
  <w:endnote w:id="26">
    <w:p w14:paraId="28E3C26F"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3" w:history="1">
        <w:r w:rsidRPr="006A780C">
          <w:rPr>
            <w:rStyle w:val="Hyperlink"/>
            <w:szCs w:val="18"/>
            <w:lang w:val="fr-BE"/>
          </w:rPr>
          <w:t>https://www.police.be/fr</w:t>
        </w:r>
      </w:hyperlink>
      <w:r w:rsidRPr="006A780C">
        <w:rPr>
          <w:szCs w:val="18"/>
          <w:lang w:val="fr-BE"/>
        </w:rPr>
        <w:t>.</w:t>
      </w:r>
    </w:p>
  </w:endnote>
  <w:endnote w:id="27">
    <w:p w14:paraId="44A6F590"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4" w:history="1">
        <w:r w:rsidRPr="006A780C">
          <w:rPr>
            <w:rStyle w:val="Hyperlink"/>
            <w:szCs w:val="18"/>
            <w:lang w:val="fr-BE"/>
          </w:rPr>
          <w:t>https://rm.coe.int/state-report-belgium/pdfa/168093141c</w:t>
        </w:r>
      </w:hyperlink>
      <w:r w:rsidRPr="006A780C">
        <w:rPr>
          <w:szCs w:val="18"/>
          <w:lang w:val="fr-BE"/>
        </w:rPr>
        <w:t>.</w:t>
      </w:r>
    </w:p>
  </w:endnote>
  <w:endnote w:id="28">
    <w:p w14:paraId="54277BF7"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5" w:history="1">
        <w:r w:rsidRPr="006A780C">
          <w:rPr>
            <w:rStyle w:val="Hyperlink"/>
            <w:szCs w:val="18"/>
            <w:lang w:val="fr-BE"/>
          </w:rPr>
          <w:t>https://rm.coe.int/rapport-du-grevio-sur-la-belgique-/16809f9a2b</w:t>
        </w:r>
      </w:hyperlink>
      <w:r w:rsidRPr="006A780C">
        <w:rPr>
          <w:szCs w:val="18"/>
          <w:lang w:val="fr-BE"/>
        </w:rPr>
        <w:t>.</w:t>
      </w:r>
    </w:p>
  </w:endnote>
  <w:endnote w:id="29">
    <w:p w14:paraId="09CB86BB"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6" w:history="1">
        <w:r w:rsidRPr="006A780C">
          <w:rPr>
            <w:rStyle w:val="Hyperlink"/>
            <w:szCs w:val="18"/>
            <w:lang w:val="fr-BE"/>
          </w:rPr>
          <w:t>https://rm.coe.int/rapport-etatique-premiere-evaluation-thematique-belgique/1680b1bd85</w:t>
        </w:r>
      </w:hyperlink>
      <w:r w:rsidRPr="006A780C">
        <w:rPr>
          <w:szCs w:val="18"/>
          <w:lang w:val="fr-BE"/>
        </w:rPr>
        <w:t>.</w:t>
      </w:r>
    </w:p>
  </w:endnote>
  <w:endnote w:id="30">
    <w:p w14:paraId="5FFC58CC" w14:textId="77777777" w:rsidR="00282ADF" w:rsidRPr="006A780C" w:rsidRDefault="00282ADF" w:rsidP="006A780C">
      <w:pPr>
        <w:pStyle w:val="EndnoteText"/>
        <w:tabs>
          <w:tab w:val="right" w:pos="142"/>
        </w:tabs>
        <w:spacing w:after="240"/>
        <w:ind w:right="1133" w:firstLine="0"/>
        <w:rPr>
          <w:szCs w:val="18"/>
          <w:lang w:val="fr-BE"/>
        </w:rPr>
      </w:pPr>
      <w:r w:rsidRPr="006A780C">
        <w:rPr>
          <w:rStyle w:val="EndnoteReference"/>
          <w:szCs w:val="18"/>
        </w:rPr>
        <w:endnoteRef/>
      </w:r>
      <w:r w:rsidRPr="006A780C">
        <w:rPr>
          <w:szCs w:val="18"/>
          <w:lang w:val="fr-BE"/>
        </w:rPr>
        <w:t xml:space="preserve"> Circulaire commune COL n°6/2017 du Ministre de la Justice et du Collège des procureurs généraux relative à la politique de recherche et de poursuites en matière de violences liées à l’honneur, mutilations génitales et mariages et cohabitations légales forcés. </w:t>
      </w:r>
    </w:p>
  </w:endnote>
  <w:endnote w:id="31">
    <w:p w14:paraId="6EE77208"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7" w:history="1">
        <w:r w:rsidRPr="006A780C">
          <w:rPr>
            <w:rStyle w:val="Hyperlink"/>
            <w:szCs w:val="18"/>
            <w:lang w:val="fr-BE"/>
          </w:rPr>
          <w:t>https://igvm-iefh.belgium.be/fr/documentation/code-de-signalement-des-mariages-forces-lusage-des-officiers-de-letat-civil</w:t>
        </w:r>
      </w:hyperlink>
    </w:p>
  </w:endnote>
  <w:endnote w:id="32">
    <w:p w14:paraId="400E9AA3"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458</w:t>
      </w:r>
      <w:r w:rsidRPr="006A780C">
        <w:rPr>
          <w:i/>
          <w:iCs/>
          <w:szCs w:val="18"/>
          <w:lang w:val="fr-BE"/>
        </w:rPr>
        <w:t>bis</w:t>
      </w:r>
      <w:r w:rsidRPr="006A780C">
        <w:rPr>
          <w:szCs w:val="18"/>
          <w:lang w:val="fr-BE"/>
        </w:rPr>
        <w:t xml:space="preserve"> du Code pénal actuel.</w:t>
      </w:r>
    </w:p>
  </w:endnote>
  <w:endnote w:id="33">
    <w:p w14:paraId="0B4F3144"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18 janvier 2024 visant à rendre la justice plus humaine, plus rapide et plus ferme III.</w:t>
      </w:r>
    </w:p>
  </w:endnote>
  <w:endnote w:id="34">
    <w:p w14:paraId="7821AD34"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Données TEH pour l’année 2020 : </w:t>
      </w:r>
      <w:hyperlink r:id="rId8" w:history="1">
        <w:r w:rsidRPr="006A780C">
          <w:rPr>
            <w:rStyle w:val="Hyperlink"/>
            <w:color w:val="0563C1"/>
            <w:szCs w:val="18"/>
            <w:lang w:val="fr-BE"/>
          </w:rPr>
          <w:t>https://www.myria.be/files/2021_MYRIA_Rapport_traite_et_trafic_PARTIE2.1.pdf</w:t>
        </w:r>
      </w:hyperlink>
      <w:r w:rsidRPr="006A780C">
        <w:rPr>
          <w:szCs w:val="18"/>
          <w:lang w:val="fr-BE"/>
        </w:rPr>
        <w:t xml:space="preserve">, pour 2021 : </w:t>
      </w:r>
      <w:hyperlink r:id="rId9" w:history="1">
        <w:r w:rsidRPr="006A780C">
          <w:rPr>
            <w:rStyle w:val="Hyperlink"/>
            <w:color w:val="0563C1"/>
            <w:szCs w:val="18"/>
            <w:lang w:val="fr-BE"/>
          </w:rPr>
          <w:t>https://www.myria.be/files/2022_MYRIA_Rapport_annuel_d%C3%A9valuation_Traite_et_trafic_des_%C3%AAtres_humains-3.2.pdf</w:t>
        </w:r>
      </w:hyperlink>
      <w:r w:rsidRPr="006A780C">
        <w:rPr>
          <w:szCs w:val="18"/>
          <w:lang w:val="fr-BE"/>
        </w:rPr>
        <w:t xml:space="preserve">, pour 2022 : </w:t>
      </w:r>
      <w:hyperlink r:id="rId10" w:history="1">
        <w:r w:rsidRPr="006A780C">
          <w:rPr>
            <w:rStyle w:val="Hyperlink"/>
            <w:color w:val="0563C1"/>
            <w:szCs w:val="18"/>
            <w:lang w:val="fr-BE"/>
          </w:rPr>
          <w:t>https://www.myria.be/files/2023_MYRIA_Rapport_annuel_d%C3%A9valuation_Traite_et_trafic_des_%C3%AAtres_humains_3.2.pdf</w:t>
        </w:r>
      </w:hyperlink>
      <w:r w:rsidRPr="006A780C">
        <w:rPr>
          <w:szCs w:val="18"/>
          <w:lang w:val="fr-BE"/>
        </w:rPr>
        <w:t xml:space="preserve">, pour 2023 : </w:t>
      </w:r>
      <w:hyperlink r:id="rId11" w:history="1">
        <w:r w:rsidRPr="006A780C">
          <w:rPr>
            <w:rStyle w:val="Hyperlink"/>
            <w:color w:val="0563C1"/>
            <w:szCs w:val="18"/>
            <w:lang w:val="fr-BE"/>
          </w:rPr>
          <w:t>https://www.myria.be/files/2024_MYRIA_RATEH_3.1.pdf</w:t>
        </w:r>
      </w:hyperlink>
      <w:r w:rsidRPr="006A780C">
        <w:rPr>
          <w:szCs w:val="18"/>
          <w:lang w:val="fr-BE"/>
        </w:rPr>
        <w:t>.</w:t>
      </w:r>
    </w:p>
  </w:endnote>
  <w:endnote w:id="35">
    <w:p w14:paraId="3EFEAA3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Au sens de l’article 3 CEDH.</w:t>
      </w:r>
    </w:p>
  </w:endnote>
  <w:endnote w:id="36">
    <w:p w14:paraId="4AD5B3DC"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L’OE a développé un site web d’informations en 16 langues destiné aux demandeurs : </w:t>
      </w:r>
      <w:hyperlink r:id="rId12" w:history="1">
        <w:r w:rsidRPr="006A780C">
          <w:rPr>
            <w:rStyle w:val="Hyperlink"/>
            <w:color w:val="0563C1"/>
            <w:szCs w:val="18"/>
            <w:lang w:val="fr-BE"/>
          </w:rPr>
          <w:t>www.asylumregistration.be</w:t>
        </w:r>
      </w:hyperlink>
      <w:r w:rsidRPr="006A780C">
        <w:rPr>
          <w:szCs w:val="18"/>
          <w:lang w:val="fr-BE"/>
        </w:rPr>
        <w:t xml:space="preserve"> qui leur explique les étapes de l’enregistrement de leur demande.</w:t>
      </w:r>
    </w:p>
  </w:endnote>
  <w:endnote w:id="37">
    <w:p w14:paraId="0361E6A0"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 partir d’une deuxième demande répétitive (donc la troisième demande de PI), un éloignement serait possible, pour autant que les conditions de l’article 57/6/2, § 2 de la loi du 15 décembre 1980 soient remplies.</w:t>
      </w:r>
    </w:p>
  </w:endnote>
  <w:endnote w:id="38">
    <w:p w14:paraId="5DD94A96"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13" w:history="1">
        <w:r w:rsidRPr="006A780C">
          <w:rPr>
            <w:rStyle w:val="Hyperlink"/>
            <w:color w:val="0563C1"/>
            <w:szCs w:val="18"/>
            <w:lang w:val="fr-BE"/>
          </w:rPr>
          <w:t>www.asyluminbelgium.be</w:t>
        </w:r>
      </w:hyperlink>
      <w:r w:rsidRPr="006A780C">
        <w:rPr>
          <w:szCs w:val="18"/>
          <w:lang w:val="fr-BE"/>
        </w:rPr>
        <w:t>.</w:t>
      </w:r>
    </w:p>
  </w:endnote>
  <w:endnote w:id="39">
    <w:p w14:paraId="740F3AC0"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hyperlink r:id="rId14" w:history="1">
        <w:r w:rsidRPr="006A780C">
          <w:rPr>
            <w:rStyle w:val="Hyperlink"/>
            <w:szCs w:val="18"/>
            <w:lang w:val="fr-BE"/>
          </w:rPr>
          <w:t>https://www.cgra.be/sites/default/files/brochures/asiel_asile_-_gender_genre_-_femmes_jeunes_filles_et_asile_en_belgique_-_fr_0.pdf</w:t>
        </w:r>
      </w:hyperlink>
      <w:r w:rsidRPr="006A780C">
        <w:rPr>
          <w:szCs w:val="18"/>
          <w:lang w:val="fr-BE"/>
        </w:rPr>
        <w:t xml:space="preserve">. </w:t>
      </w:r>
    </w:p>
  </w:endnote>
  <w:endnote w:id="40">
    <w:p w14:paraId="074DC4E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color w:val="000000" w:themeColor="text1"/>
          <w:szCs w:val="18"/>
          <w:lang w:val="fr-FR"/>
        </w:rPr>
        <w:t>Voici à titre indicatif le nombre de dossiers d'extradition ouverts au cours des 5 dernières années : 156 dossiers en 2019 (69 actifs et 87 passifs), 113 dossiers en 2020 (45 actifs et 68 passifs), 130 dossiers en 2021 (63 actifs et 67 passifs), 122 dossiers en 2022 (50 actifs et 72 passifs), 148 dossiers en 2023 (77 actifs et 71 passifs) et 170 en 2024 (68 actifs et 102 passifs).</w:t>
      </w:r>
    </w:p>
  </w:endnote>
  <w:endnote w:id="41">
    <w:p w14:paraId="4D885E3C"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hyperlink r:id="rId15" w:history="1">
        <w:r w:rsidRPr="006A780C">
          <w:rPr>
            <w:rStyle w:val="Hyperlink"/>
            <w:szCs w:val="18"/>
            <w:lang w:val="fr-BE"/>
          </w:rPr>
          <w:t>https://www.myria.be/files/Rapport_final_Bossuyt.pdf</w:t>
        </w:r>
      </w:hyperlink>
      <w:r w:rsidRPr="006A780C">
        <w:rPr>
          <w:szCs w:val="18"/>
          <w:lang w:val="fr-BE"/>
        </w:rPr>
        <w:t xml:space="preserve">. Le rapport final complète le rapport intermédiaire de février 2019 : </w:t>
      </w:r>
      <w:hyperlink r:id="rId16" w:history="1">
        <w:r w:rsidRPr="006A780C">
          <w:rPr>
            <w:rStyle w:val="Hyperlink"/>
            <w:szCs w:val="18"/>
            <w:lang w:val="fr-BE"/>
          </w:rPr>
          <w:t>https://www.myria.be/files/DEF_RAPPORTINTERIMAIRE_FR.pdf</w:t>
        </w:r>
      </w:hyperlink>
      <w:r w:rsidRPr="006A780C">
        <w:rPr>
          <w:szCs w:val="18"/>
          <w:lang w:val="fr-BE"/>
        </w:rPr>
        <w:t>.</w:t>
      </w:r>
    </w:p>
  </w:endnote>
  <w:endnote w:id="42">
    <w:p w14:paraId="03940F19"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1</w:t>
      </w:r>
      <w:r w:rsidRPr="006A780C">
        <w:rPr>
          <w:szCs w:val="18"/>
          <w:vertAlign w:val="superscript"/>
          <w:lang w:val="fr-BE"/>
        </w:rPr>
        <w:t>er</w:t>
      </w:r>
      <w:r w:rsidRPr="006A780C">
        <w:rPr>
          <w:szCs w:val="18"/>
          <w:lang w:val="fr-BE"/>
        </w:rPr>
        <w:t xml:space="preserve"> de la loi du 15 mars 1874 sur les extraditions.</w:t>
      </w:r>
    </w:p>
  </w:endnote>
  <w:endnote w:id="43">
    <w:p w14:paraId="6213E9C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rStyle w:val="normaltextrun"/>
          <w:szCs w:val="18"/>
          <w:lang w:val="fr-BE"/>
        </w:rPr>
        <w:t>Notamment depuis de</w:t>
      </w:r>
      <w:r w:rsidRPr="006A780C">
        <w:rPr>
          <w:szCs w:val="18"/>
          <w:lang w:val="fr-BE"/>
        </w:rPr>
        <w:t>s territoires qui ne sont pas sous le contrôle de Da’esh, Al Qaeda, ou d'autres groupes djihadistes, étant donné le défi opérationnel que cela implique.</w:t>
      </w:r>
    </w:p>
  </w:endnote>
  <w:endnote w:id="44">
    <w:p w14:paraId="30FB696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Arrêté royal du 3 février 2019 portant exécution des articles 41, §2, et 134 §2, de la loi du 12 janvier 2005 concernant l’administration pénitentiaire ainsi que le statut juridique des détenus.</w:t>
      </w:r>
    </w:p>
  </w:endnote>
  <w:endnote w:id="45">
    <w:p w14:paraId="38068707" w14:textId="77777777" w:rsidR="00282ADF" w:rsidRPr="006A780C" w:rsidRDefault="00282ADF" w:rsidP="006A780C">
      <w:pPr>
        <w:pStyle w:val="EndnoteText"/>
        <w:spacing w:after="240"/>
        <w:ind w:right="1133" w:firstLine="0"/>
        <w:rPr>
          <w:szCs w:val="18"/>
          <w:lang w:val="fr-FR"/>
        </w:rPr>
      </w:pPr>
      <w:r w:rsidRPr="006A780C">
        <w:rPr>
          <w:rStyle w:val="EndnoteReference"/>
          <w:szCs w:val="18"/>
        </w:rPr>
        <w:endnoteRef/>
      </w:r>
      <w:r w:rsidRPr="006A780C">
        <w:rPr>
          <w:szCs w:val="18"/>
          <w:lang w:val="fr-FR"/>
        </w:rPr>
        <w:t xml:space="preserve"> Loi du 31 juillet 2023 visant à rendre la justice plus humaine, plus rapide et plus ferme IV.</w:t>
      </w:r>
    </w:p>
  </w:endnote>
  <w:endnote w:id="46">
    <w:p w14:paraId="6D76FABF" w14:textId="77777777" w:rsidR="00282ADF" w:rsidRPr="006A780C" w:rsidRDefault="00282ADF" w:rsidP="006A780C">
      <w:pPr>
        <w:pStyle w:val="EndnoteText"/>
        <w:tabs>
          <w:tab w:val="right" w:pos="567"/>
        </w:tabs>
        <w:spacing w:after="240"/>
        <w:ind w:right="1133" w:firstLine="0"/>
        <w:rPr>
          <w:szCs w:val="18"/>
          <w:lang w:val="fr-FR"/>
        </w:rPr>
      </w:pPr>
      <w:r w:rsidRPr="006A780C">
        <w:rPr>
          <w:rStyle w:val="EndnoteReference"/>
          <w:szCs w:val="18"/>
        </w:rPr>
        <w:endnoteRef/>
      </w:r>
      <w:r w:rsidRPr="006A780C">
        <w:rPr>
          <w:szCs w:val="18"/>
          <w:lang w:val="fr-BE"/>
        </w:rPr>
        <w:t xml:space="preserve"> </w:t>
      </w:r>
      <w:r w:rsidRPr="006A780C">
        <w:rPr>
          <w:szCs w:val="18"/>
          <w:lang w:val="fr-FR"/>
        </w:rPr>
        <w:t>Les infractions commises dans le cadre d’une association visée à l’article 322 du Code pénal (formation de bande) ou d’une organisation criminelle visée à l’article 324</w:t>
      </w:r>
      <w:r w:rsidRPr="006A780C">
        <w:rPr>
          <w:i/>
          <w:iCs/>
          <w:szCs w:val="18"/>
          <w:lang w:val="fr-FR"/>
        </w:rPr>
        <w:t>bis</w:t>
      </w:r>
      <w:r w:rsidRPr="006A780C">
        <w:rPr>
          <w:szCs w:val="18"/>
          <w:lang w:val="fr-FR"/>
        </w:rPr>
        <w:t xml:space="preserve"> du Code pénal, les infractions visées aux articles 433</w:t>
      </w:r>
      <w:r w:rsidRPr="006A780C">
        <w:rPr>
          <w:i/>
          <w:iCs/>
          <w:szCs w:val="18"/>
          <w:lang w:val="fr-FR"/>
        </w:rPr>
        <w:t>quinquie</w:t>
      </w:r>
      <w:r w:rsidRPr="006A780C">
        <w:rPr>
          <w:szCs w:val="18"/>
          <w:lang w:val="fr-FR"/>
        </w:rPr>
        <w:t>s à 433</w:t>
      </w:r>
      <w:r w:rsidRPr="006A780C">
        <w:rPr>
          <w:i/>
          <w:iCs/>
          <w:szCs w:val="18"/>
          <w:lang w:val="fr-FR"/>
        </w:rPr>
        <w:t>octies</w:t>
      </w:r>
      <w:r w:rsidRPr="006A780C">
        <w:rPr>
          <w:szCs w:val="18"/>
          <w:lang w:val="fr-FR"/>
        </w:rPr>
        <w:t xml:space="preserve"> du Code pénal, les infractions de traite et de trafic des êtres humains et les infractions visées à l’article 2</w:t>
      </w:r>
      <w:r w:rsidRPr="006A780C">
        <w:rPr>
          <w:i/>
          <w:iCs/>
          <w:szCs w:val="18"/>
          <w:lang w:val="fr-FR"/>
        </w:rPr>
        <w:t>bis</w:t>
      </w:r>
      <w:r w:rsidRPr="006A780C">
        <w:rPr>
          <w:szCs w:val="18"/>
          <w:lang w:val="fr-FR"/>
        </w:rPr>
        <w:t>, § 3, b), et § 4, b), de la loi “drogues” de 1921.</w:t>
      </w:r>
    </w:p>
  </w:endnote>
  <w:endnote w:id="47">
    <w:p w14:paraId="087E5E1D" w14:textId="77777777" w:rsidR="00282ADF" w:rsidRPr="006A780C" w:rsidRDefault="00282ADF" w:rsidP="006A780C">
      <w:pPr>
        <w:pStyle w:val="EndnoteText"/>
        <w:tabs>
          <w:tab w:val="left" w:pos="1452"/>
        </w:tabs>
        <w:spacing w:after="240"/>
        <w:ind w:right="1133" w:firstLine="0"/>
        <w:rPr>
          <w:color w:val="0070C0"/>
          <w:szCs w:val="18"/>
          <w:lang w:val="fr-FR"/>
        </w:rPr>
      </w:pPr>
      <w:r w:rsidRPr="006A780C">
        <w:rPr>
          <w:rStyle w:val="EndnoteReference"/>
          <w:szCs w:val="18"/>
        </w:rPr>
        <w:endnoteRef/>
      </w:r>
      <w:r w:rsidRPr="006A780C">
        <w:rPr>
          <w:szCs w:val="18"/>
          <w:lang w:val="fr-FR"/>
        </w:rPr>
        <w:t xml:space="preserve"> La durée moyenne d’une détention préventive est de plus de 14 semaines, de sorte qu’il est bon d’assurer un suivi régulier au début de la détention. D’où la différence entre les premières comparutions initiales (mensuelles) et les comparutions ensuite bimestrielles.</w:t>
      </w:r>
    </w:p>
  </w:endnote>
  <w:endnote w:id="48">
    <w:p w14:paraId="72ED2139"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Avis 1 </w:t>
      </w:r>
      <w:r w:rsidRPr="006A780C">
        <w:rPr>
          <w:rStyle w:val="Hyperlink"/>
          <w:szCs w:val="18"/>
          <w:lang w:val="fr-BE"/>
        </w:rPr>
        <w:t>du Conseil pénitentiaire </w:t>
      </w:r>
      <w:r w:rsidRPr="006A780C">
        <w:rPr>
          <w:szCs w:val="18"/>
          <w:lang w:val="fr-BE"/>
        </w:rPr>
        <w:t xml:space="preserve"> – Surpopulation carcérale</w:t>
      </w:r>
      <w:r w:rsidRPr="006A780C">
        <w:rPr>
          <w:rStyle w:val="Hyperlink"/>
          <w:szCs w:val="18"/>
          <w:lang w:val="fr-BE"/>
        </w:rPr>
        <w:t xml:space="preserve">: </w:t>
      </w:r>
      <w:hyperlink r:id="rId17" w:history="1">
        <w:r w:rsidRPr="006A780C">
          <w:rPr>
            <w:rStyle w:val="Hyperlink"/>
            <w:szCs w:val="18"/>
            <w:lang w:val="fr-BE"/>
          </w:rPr>
          <w:t>https://justice.belgium.be/sites/default/files/Adviezen%20penitentiaire%20beleidsraad/AVIS%201%20-%20SURPOPULATION%20CARCERALE%20avec%20opinion%20dissidente%20O.%20Lins%20et%20pr%C3%A9ambule.pdf</w:t>
        </w:r>
      </w:hyperlink>
      <w:r w:rsidRPr="006A780C">
        <w:rPr>
          <w:szCs w:val="18"/>
          <w:lang w:val="fr-BE"/>
        </w:rPr>
        <w:t xml:space="preserve">. </w:t>
      </w:r>
    </w:p>
  </w:endnote>
  <w:endnote w:id="49">
    <w:p w14:paraId="0E208BBC"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23 mars 2019 concernant l’organisation des services pénitentiaires et le statut du personnel pénitentiaire.</w:t>
      </w:r>
    </w:p>
  </w:endnote>
  <w:endnote w:id="50">
    <w:p w14:paraId="119D60E0"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rPr>
        <w:t xml:space="preserve"> </w:t>
      </w:r>
      <w:r w:rsidRPr="006A780C">
        <w:rPr>
          <w:szCs w:val="18"/>
          <w:lang w:val="fr-BE"/>
        </w:rPr>
        <w:t xml:space="preserve">Plan stratégique de la Communauté flamande pour l’assistance et les services aux détenus et aux internés 2020-2025, disponible en ligne : </w:t>
      </w:r>
      <w:hyperlink r:id="rId18" w:history="1">
        <w:r w:rsidRPr="006A780C">
          <w:rPr>
            <w:rStyle w:val="Hyperlink"/>
            <w:szCs w:val="18"/>
            <w:lang w:val="fr-BE"/>
          </w:rPr>
          <w:t>https://assets.vlaanderen.be/image/upload/v1640285646/strap_2020_2025_li6zom.pdf</w:t>
        </w:r>
      </w:hyperlink>
      <w:r w:rsidRPr="006A780C">
        <w:rPr>
          <w:szCs w:val="18"/>
          <w:lang w:val="fr-BE"/>
        </w:rPr>
        <w:t xml:space="preserve">. </w:t>
      </w:r>
    </w:p>
  </w:endnote>
  <w:endnote w:id="51">
    <w:p w14:paraId="5D9A1FFB"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 108 §2 de la Loi de principes du 12 janvier 2005 concernant l’administration pénitentiaire, ainsi que le statut juridique des détenus.</w:t>
      </w:r>
    </w:p>
  </w:endnote>
  <w:endnote w:id="52">
    <w:p w14:paraId="7CC9B945"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i/>
          <w:iCs/>
          <w:szCs w:val="18"/>
          <w:lang w:val="fr-BE"/>
        </w:rPr>
        <w:t>Tekin et Arslan c. Belgique</w:t>
      </w:r>
      <w:r w:rsidRPr="006A780C">
        <w:rPr>
          <w:szCs w:val="18"/>
          <w:lang w:val="fr-BE"/>
        </w:rPr>
        <w:t>, Requête n° 37795/13, arrêt CourEDH du 5 septembre 2017.</w:t>
      </w:r>
    </w:p>
  </w:endnote>
  <w:endnote w:id="53">
    <w:p w14:paraId="61D58B25"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19" w:history="1">
        <w:r w:rsidRPr="006A780C">
          <w:rPr>
            <w:rStyle w:val="Hyperlink"/>
            <w:szCs w:val="18"/>
            <w:lang w:val="fr-BE"/>
          </w:rPr>
          <w:t>https://www.belrai.org/fr</w:t>
        </w:r>
      </w:hyperlink>
    </w:p>
  </w:endnote>
  <w:endnote w:id="54">
    <w:p w14:paraId="5847E6A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Les rapports du Conseil central de surveillance pénitentiaire sont accessibles via le site internet du CCSP: </w:t>
      </w:r>
      <w:hyperlink r:id="rId20" w:history="1">
        <w:r w:rsidRPr="006A780C">
          <w:rPr>
            <w:rStyle w:val="Hyperlink"/>
            <w:color w:val="0563C1"/>
            <w:szCs w:val="18"/>
            <w:lang w:val="fr-BE"/>
          </w:rPr>
          <w:t>https://ccsp.belgium.be/publications-page/</w:t>
        </w:r>
      </w:hyperlink>
      <w:r w:rsidRPr="006A780C">
        <w:rPr>
          <w:szCs w:val="18"/>
          <w:lang w:val="fr-BE"/>
        </w:rPr>
        <w:t xml:space="preserve">.  </w:t>
      </w:r>
    </w:p>
  </w:endnote>
  <w:endnote w:id="55">
    <w:p w14:paraId="59696BB0"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rFonts w:cs="Arial"/>
          <w:szCs w:val="18"/>
          <w:lang w:val="fr-BE" w:eastAsia="fr-BE"/>
        </w:rPr>
        <w:t>Cour constitutionnelle, arrêt n°23/2021 du 25 février 2021, §§ B.122.7 à B.122.11.</w:t>
      </w:r>
    </w:p>
  </w:endnote>
  <w:endnote w:id="56">
    <w:p w14:paraId="3C552DE8"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Directive 2013/33/UE du Parlement européen et du Conseil du 26 juin 2013 établissant des normes pour l’accueil des personnes demandant la protection internationale.</w:t>
      </w:r>
    </w:p>
  </w:endnote>
  <w:endnote w:id="57">
    <w:p w14:paraId="2ACEF77F"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i/>
          <w:iCs/>
          <w:szCs w:val="18"/>
          <w:lang w:val="fr-BE"/>
        </w:rPr>
        <w:t>Thimothawes c. Belgique</w:t>
      </w:r>
      <w:r w:rsidRPr="006A780C">
        <w:rPr>
          <w:szCs w:val="18"/>
          <w:lang w:val="fr-BE"/>
        </w:rPr>
        <w:t>, Requête n° 39061/11, arrêt CourEDH du 18 septembre 2017, §73.</w:t>
      </w:r>
    </w:p>
  </w:endnote>
  <w:endnote w:id="58">
    <w:p w14:paraId="60F99149"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Voir notamment : </w:t>
      </w:r>
      <w:r w:rsidRPr="006A780C">
        <w:rPr>
          <w:i/>
          <w:iCs/>
          <w:szCs w:val="18"/>
          <w:lang w:val="fr-BE"/>
        </w:rPr>
        <w:t>Saadi c. Royaume-Uni</w:t>
      </w:r>
      <w:r w:rsidRPr="006A780C">
        <w:rPr>
          <w:szCs w:val="18"/>
          <w:lang w:val="fr-BE"/>
        </w:rPr>
        <w:t xml:space="preserve">, Requête n° 13229/03, arrêt grand chambre CourEDH du 29 janvier 2008, §§ 64 et 65 ; </w:t>
      </w:r>
      <w:r w:rsidRPr="006A780C">
        <w:rPr>
          <w:i/>
          <w:iCs/>
          <w:szCs w:val="18"/>
          <w:lang w:val="fr-BE"/>
        </w:rPr>
        <w:t>Ilias et Ahmed c. Hongrie</w:t>
      </w:r>
      <w:r w:rsidRPr="006A780C">
        <w:rPr>
          <w:szCs w:val="18"/>
          <w:lang w:val="fr-BE"/>
        </w:rPr>
        <w:t>, Requête n° 47287/15, arrêt grande chambre du 21 novembre 2019, §§ 213 et 225.</w:t>
      </w:r>
    </w:p>
  </w:endnote>
  <w:endnote w:id="59">
    <w:p w14:paraId="614788AA"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12 mai 2024 modifiant la loi du 15 décembre 1980 sur l’accès au territoire, le séjour, l’établissement et l’éloignement des étrangers et la loi du 12 janvier 2007 sur l’accueil des demandeurs d’asile et de certaines autres catégories d’étrangers sur la politique de retour proactive.</w:t>
      </w:r>
    </w:p>
  </w:endnote>
  <w:endnote w:id="60">
    <w:p w14:paraId="1052D839"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La brochure est également disponible en ligne : </w:t>
      </w:r>
      <w:hyperlink r:id="rId21" w:history="1">
        <w:r w:rsidRPr="006A780C">
          <w:rPr>
            <w:rStyle w:val="Hyperlink"/>
            <w:color w:val="0563C1"/>
            <w:szCs w:val="18"/>
            <w:lang w:val="fr-BE"/>
          </w:rPr>
          <w:t>https://www.myria.be/fr/publications/victimes-de-la-traite-des-etres-humains-brochure-en-28-langues</w:t>
        </w:r>
      </w:hyperlink>
      <w:r w:rsidRPr="006A780C">
        <w:rPr>
          <w:szCs w:val="18"/>
          <w:lang w:val="fr-BE"/>
        </w:rPr>
        <w:t>.</w:t>
      </w:r>
    </w:p>
  </w:endnote>
  <w:endnote w:id="61">
    <w:p w14:paraId="553DBCDA"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CRPD/C/BEL/2-3, §§ 120 à 122.</w:t>
      </w:r>
    </w:p>
  </w:endnote>
  <w:endnote w:id="62">
    <w:p w14:paraId="3C82CF3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4 mai 2016 relative à l’internement et à diverses dispositions en matière de Justice.</w:t>
      </w:r>
    </w:p>
  </w:endnote>
  <w:endnote w:id="63">
    <w:p w14:paraId="01551B0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16 mai 2024 portant diverses modifications relatives à la protection de la personne des malades mentaux.</w:t>
      </w:r>
    </w:p>
  </w:endnote>
  <w:endnote w:id="64">
    <w:p w14:paraId="38FB649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Au sujet de cette loi, voir </w:t>
      </w:r>
      <w:hyperlink r:id="rId22" w:history="1">
        <w:r w:rsidRPr="006A780C">
          <w:rPr>
            <w:rStyle w:val="Hyperlink"/>
            <w:color w:val="0563C1"/>
            <w:szCs w:val="18"/>
            <w:lang w:val="fr-BE"/>
          </w:rPr>
          <w:t>https://justice.belgium.be/fr/nouvelles/communiques_de_presse/la_protection_de_la_personne_des_malades_mentaux_change_le_1er</w:t>
        </w:r>
      </w:hyperlink>
      <w:r w:rsidRPr="006A780C">
        <w:rPr>
          <w:szCs w:val="18"/>
          <w:lang w:val="fr-BE"/>
        </w:rPr>
        <w:t xml:space="preserve">. </w:t>
      </w:r>
    </w:p>
  </w:endnote>
  <w:endnote w:id="65">
    <w:p w14:paraId="1F4DD3EA"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Voir notamment : Arrêté du Gouvernement flamand relatif aux conditions générales d’agrément et à la gestion de la qualité des structures d’accueil, de traitement et d’accompagnement des personnes en situation de handicap , du 4 février 2011 ; Décret relative au statut du mineur dans l’aide intégrale à la jeunesse du 7 mai 2004.</w:t>
      </w:r>
    </w:p>
  </w:endnote>
  <w:endnote w:id="66">
    <w:p w14:paraId="07C770A8"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Arrêté du Gouvernement flamand relatif aux conditions générales d’agrément et à la gestion de la qualité des structures d’accueil, de traitement et d’accompagnement des personnes en situation de handicap, du 4 février 2011.</w:t>
      </w:r>
    </w:p>
  </w:endnote>
  <w:endnote w:id="67">
    <w:p w14:paraId="09399CC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Circulaire GPI 62 relative à l’armement de la police intégrée, structurée à deux niveaux.</w:t>
      </w:r>
    </w:p>
  </w:endnote>
  <w:endnote w:id="68">
    <w:p w14:paraId="024107B1"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CAT/C/BEL/4, §§ 148 à 150.</w:t>
      </w:r>
    </w:p>
  </w:endnote>
  <w:endnote w:id="69">
    <w:p w14:paraId="13D0D304"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rFonts w:eastAsia="Times New Roman"/>
          <w:szCs w:val="18"/>
          <w:lang w:val="fr-BE"/>
        </w:rPr>
        <w:t xml:space="preserve">Les modalités et conditions d’octroi de cette aide financière sont consultables sur le site de la Commission : </w:t>
      </w:r>
      <w:hyperlink r:id="rId23" w:history="1">
        <w:r w:rsidRPr="006A780C">
          <w:rPr>
            <w:rStyle w:val="Hyperlink"/>
            <w:rFonts w:eastAsia="Times New Roman"/>
            <w:szCs w:val="18"/>
            <w:lang w:val="fr-BE"/>
          </w:rPr>
          <w:t>https://justice.belgium.be/fr/themes/que_faire_comme/victime/aide_financiere/actes_intentionnels_de_violence</w:t>
        </w:r>
      </w:hyperlink>
      <w:r w:rsidRPr="006A780C">
        <w:rPr>
          <w:rFonts w:eastAsia="Times New Roman"/>
          <w:szCs w:val="18"/>
          <w:lang w:val="fr-BE"/>
        </w:rPr>
        <w:t>.</w:t>
      </w:r>
    </w:p>
  </w:endnote>
  <w:endnote w:id="70">
    <w:p w14:paraId="4D3BFF65"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Articles 417/2 et 417/3 du Code pénal.</w:t>
      </w:r>
    </w:p>
  </w:endnote>
  <w:endnote w:id="71">
    <w:p w14:paraId="11C1A65A"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CAT/C/BEL/4, §152.</w:t>
      </w:r>
    </w:p>
  </w:endnote>
  <w:endnote w:id="72">
    <w:p w14:paraId="4D178A4F" w14:textId="77777777" w:rsidR="00282ADF" w:rsidRPr="006A780C" w:rsidRDefault="00282ADF" w:rsidP="006A780C">
      <w:pPr>
        <w:pStyle w:val="EndnoteText"/>
        <w:tabs>
          <w:tab w:val="right" w:pos="0"/>
        </w:tabs>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i/>
          <w:iCs/>
          <w:szCs w:val="18"/>
          <w:lang w:val="fr-BE"/>
        </w:rPr>
        <w:t>Selmouni c. France</w:t>
      </w:r>
      <w:r w:rsidRPr="006A780C">
        <w:rPr>
          <w:szCs w:val="18"/>
          <w:lang w:val="fr-BE"/>
        </w:rPr>
        <w:t xml:space="preserve">, Requête n° 25803/94, arrêt CourEDH du 18 juillet 1999 et </w:t>
      </w:r>
      <w:r w:rsidRPr="006A780C">
        <w:rPr>
          <w:i/>
          <w:iCs/>
          <w:szCs w:val="18"/>
          <w:lang w:val="fr-BE"/>
        </w:rPr>
        <w:t>Jalloh c. Allemagne</w:t>
      </w:r>
      <w:r w:rsidRPr="006A780C">
        <w:rPr>
          <w:szCs w:val="18"/>
          <w:lang w:val="fr-BE"/>
        </w:rPr>
        <w:t>, Requête n° 54810/00, arrêt CourEDH du 11 juillet 2006.</w:t>
      </w:r>
    </w:p>
  </w:endnote>
  <w:endnote w:id="73">
    <w:p w14:paraId="1B21DAB5" w14:textId="77777777" w:rsidR="00282ADF" w:rsidRPr="006A780C" w:rsidRDefault="00282ADF" w:rsidP="006A780C">
      <w:pPr>
        <w:pStyle w:val="EndnoteText"/>
        <w:spacing w:after="240"/>
        <w:ind w:right="1133" w:firstLine="0"/>
        <w:rPr>
          <w:color w:val="0070C0"/>
          <w:szCs w:val="18"/>
          <w:lang w:val="fr-BE"/>
        </w:rPr>
      </w:pPr>
      <w:r w:rsidRPr="006A780C">
        <w:rPr>
          <w:rStyle w:val="EndnoteReference"/>
          <w:szCs w:val="18"/>
        </w:rPr>
        <w:endnoteRef/>
      </w:r>
      <w:r w:rsidRPr="006A780C">
        <w:rPr>
          <w:szCs w:val="18"/>
          <w:lang w:val="fr-BE"/>
        </w:rPr>
        <w:t xml:space="preserve"> Cass. (2</w:t>
      </w:r>
      <w:r w:rsidRPr="006A780C">
        <w:rPr>
          <w:szCs w:val="18"/>
          <w:vertAlign w:val="superscript"/>
          <w:lang w:val="fr-BE"/>
        </w:rPr>
        <w:t>e</w:t>
      </w:r>
      <w:r w:rsidRPr="006A780C">
        <w:rPr>
          <w:szCs w:val="18"/>
          <w:lang w:val="fr-BE"/>
        </w:rPr>
        <w:t xml:space="preserve"> ch.), 6 avril 2022, R.G. n° P.21.1594.F/1.</w:t>
      </w:r>
    </w:p>
  </w:endnote>
  <w:endnote w:id="74">
    <w:p w14:paraId="7CD01BB4"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Articles 443 à 451 du Code d’instruction criminelle.</w:t>
      </w:r>
    </w:p>
  </w:endnote>
  <w:endnote w:id="75">
    <w:p w14:paraId="56C3D34E"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Articles 442</w:t>
      </w:r>
      <w:r w:rsidRPr="006A780C">
        <w:rPr>
          <w:i/>
          <w:iCs/>
          <w:szCs w:val="18"/>
          <w:lang w:val="fr-BE"/>
        </w:rPr>
        <w:t xml:space="preserve">bis </w:t>
      </w:r>
      <w:r w:rsidRPr="006A780C">
        <w:rPr>
          <w:szCs w:val="18"/>
          <w:lang w:val="fr-BE"/>
        </w:rPr>
        <w:t>à 442</w:t>
      </w:r>
      <w:r w:rsidRPr="006A780C">
        <w:rPr>
          <w:i/>
          <w:iCs/>
          <w:szCs w:val="18"/>
          <w:lang w:val="fr-BE"/>
        </w:rPr>
        <w:t>quinquies</w:t>
      </w:r>
      <w:r w:rsidRPr="006A780C">
        <w:rPr>
          <w:szCs w:val="18"/>
          <w:lang w:val="fr-BE"/>
        </w:rPr>
        <w:t xml:space="preserve"> du Code d’instruction criminelle. </w:t>
      </w:r>
    </w:p>
  </w:endnote>
  <w:endnote w:id="76">
    <w:p w14:paraId="318E4E8C"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Circulaire CP 5 fixant le cadre de référence relatif au profilage et au contrôle professionnel.</w:t>
      </w:r>
    </w:p>
  </w:endnote>
  <w:endnote w:id="77">
    <w:p w14:paraId="3B682A53"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rFonts w:eastAsia="Calibri"/>
          <w:szCs w:val="18"/>
          <w:lang w:val="fr-FR" w:eastAsia="en-GB"/>
        </w:rPr>
        <w:t>Voir les articles 422</w:t>
      </w:r>
      <w:r w:rsidRPr="006A780C">
        <w:rPr>
          <w:rFonts w:eastAsia="Calibri"/>
          <w:i/>
          <w:iCs/>
          <w:szCs w:val="18"/>
          <w:lang w:val="fr-FR" w:eastAsia="en-GB"/>
        </w:rPr>
        <w:t>quater</w:t>
      </w:r>
      <w:r w:rsidRPr="006A780C">
        <w:rPr>
          <w:rFonts w:eastAsia="Calibri"/>
          <w:szCs w:val="18"/>
          <w:lang w:val="fr-FR" w:eastAsia="en-GB"/>
        </w:rPr>
        <w:t>, 438</w:t>
      </w:r>
      <w:r w:rsidRPr="006A780C">
        <w:rPr>
          <w:rFonts w:eastAsia="Calibri"/>
          <w:i/>
          <w:iCs/>
          <w:szCs w:val="18"/>
          <w:lang w:val="fr-FR" w:eastAsia="en-GB"/>
        </w:rPr>
        <w:t>bis</w:t>
      </w:r>
      <w:r w:rsidRPr="006A780C">
        <w:rPr>
          <w:rFonts w:eastAsia="Calibri"/>
          <w:szCs w:val="18"/>
          <w:lang w:val="fr-FR" w:eastAsia="en-GB"/>
        </w:rPr>
        <w:t>, 442</w:t>
      </w:r>
      <w:r w:rsidRPr="006A780C">
        <w:rPr>
          <w:rFonts w:eastAsia="Calibri"/>
          <w:i/>
          <w:iCs/>
          <w:szCs w:val="18"/>
          <w:lang w:val="fr-FR" w:eastAsia="en-GB"/>
        </w:rPr>
        <w:t>ter</w:t>
      </w:r>
      <w:r w:rsidRPr="006A780C">
        <w:rPr>
          <w:rFonts w:eastAsia="Calibri"/>
          <w:szCs w:val="18"/>
          <w:lang w:val="fr-FR" w:eastAsia="en-GB"/>
        </w:rPr>
        <w:t>, 453</w:t>
      </w:r>
      <w:r w:rsidRPr="006A780C">
        <w:rPr>
          <w:rFonts w:eastAsia="Calibri"/>
          <w:i/>
          <w:iCs/>
          <w:szCs w:val="18"/>
          <w:lang w:val="fr-FR" w:eastAsia="en-GB"/>
        </w:rPr>
        <w:t>bis</w:t>
      </w:r>
      <w:r w:rsidRPr="006A780C">
        <w:rPr>
          <w:rFonts w:eastAsia="Calibri"/>
          <w:szCs w:val="18"/>
          <w:lang w:val="fr-FR" w:eastAsia="en-GB"/>
        </w:rPr>
        <w:t>, 514</w:t>
      </w:r>
      <w:r w:rsidRPr="006A780C">
        <w:rPr>
          <w:rFonts w:eastAsia="Calibri"/>
          <w:i/>
          <w:iCs/>
          <w:szCs w:val="18"/>
          <w:lang w:val="fr-FR" w:eastAsia="en-GB"/>
        </w:rPr>
        <w:t>bis</w:t>
      </w:r>
      <w:r w:rsidRPr="006A780C">
        <w:rPr>
          <w:rFonts w:eastAsia="Calibri"/>
          <w:szCs w:val="18"/>
          <w:lang w:val="fr-FR" w:eastAsia="en-GB"/>
        </w:rPr>
        <w:t>, 525</w:t>
      </w:r>
      <w:r w:rsidRPr="006A780C">
        <w:rPr>
          <w:rFonts w:eastAsia="Calibri"/>
          <w:i/>
          <w:iCs/>
          <w:szCs w:val="18"/>
          <w:lang w:val="fr-FR" w:eastAsia="en-GB"/>
        </w:rPr>
        <w:t>bis</w:t>
      </w:r>
      <w:r w:rsidRPr="006A780C">
        <w:rPr>
          <w:rFonts w:eastAsia="Calibri"/>
          <w:szCs w:val="18"/>
          <w:lang w:val="fr-FR" w:eastAsia="en-GB"/>
        </w:rPr>
        <w:t>, 532</w:t>
      </w:r>
      <w:r w:rsidRPr="006A780C">
        <w:rPr>
          <w:rFonts w:eastAsia="Calibri"/>
          <w:i/>
          <w:iCs/>
          <w:szCs w:val="18"/>
          <w:lang w:val="fr-FR" w:eastAsia="en-GB"/>
        </w:rPr>
        <w:t>bis</w:t>
      </w:r>
      <w:r w:rsidRPr="006A780C">
        <w:rPr>
          <w:rFonts w:eastAsia="Calibri"/>
          <w:szCs w:val="18"/>
          <w:lang w:val="fr-FR" w:eastAsia="en-GB"/>
        </w:rPr>
        <w:t xml:space="preserve"> et 534</w:t>
      </w:r>
      <w:r w:rsidRPr="006A780C">
        <w:rPr>
          <w:rFonts w:eastAsia="Calibri"/>
          <w:i/>
          <w:iCs/>
          <w:szCs w:val="18"/>
          <w:lang w:val="fr-FR" w:eastAsia="en-GB"/>
        </w:rPr>
        <w:t>quater</w:t>
      </w:r>
      <w:r w:rsidRPr="006A780C">
        <w:rPr>
          <w:rFonts w:eastAsia="Calibri"/>
          <w:szCs w:val="18"/>
          <w:lang w:val="fr-FR" w:eastAsia="en-GB"/>
        </w:rPr>
        <w:t xml:space="preserve"> du Code pénal.</w:t>
      </w:r>
    </w:p>
  </w:endnote>
  <w:endnote w:id="78">
    <w:p w14:paraId="262C8759"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r w:rsidRPr="006A780C">
        <w:rPr>
          <w:rFonts w:eastAsia="Calibri"/>
          <w:szCs w:val="18"/>
          <w:lang w:val="fr-FR" w:eastAsia="en-GB"/>
        </w:rPr>
        <w:t>Voir les articles 405</w:t>
      </w:r>
      <w:r w:rsidRPr="006A780C">
        <w:rPr>
          <w:rFonts w:eastAsia="Calibri"/>
          <w:i/>
          <w:iCs/>
          <w:szCs w:val="18"/>
          <w:lang w:val="fr-FR" w:eastAsia="en-GB"/>
        </w:rPr>
        <w:t>quater</w:t>
      </w:r>
      <w:r w:rsidRPr="006A780C">
        <w:rPr>
          <w:rFonts w:eastAsia="Calibri"/>
          <w:szCs w:val="18"/>
          <w:lang w:val="fr-FR" w:eastAsia="en-GB"/>
        </w:rPr>
        <w:t xml:space="preserve"> et 417/20 du Code pénal.</w:t>
      </w:r>
    </w:p>
  </w:endnote>
  <w:endnote w:id="79">
    <w:p w14:paraId="155128F7"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w:t>
      </w:r>
      <w:hyperlink r:id="rId24" w:history="1">
        <w:r w:rsidRPr="006A780C">
          <w:rPr>
            <w:rStyle w:val="Hyperlink"/>
            <w:szCs w:val="18"/>
            <w:lang w:val="fr-BE"/>
          </w:rPr>
          <w:t>https://equal.belgium.be/fr/actualites/rapport-final-de-la-commission-devaluation-des-lois-federales-tendant-lutter-contre-la</w:t>
        </w:r>
      </w:hyperlink>
      <w:r w:rsidRPr="006A780C">
        <w:rPr>
          <w:szCs w:val="18"/>
          <w:lang w:val="fr-BE"/>
        </w:rPr>
        <w:t>.</w:t>
      </w:r>
    </w:p>
  </w:endnote>
  <w:endnote w:id="80">
    <w:p w14:paraId="659D5815"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28 juin 2023 portant modification de la loi du 30 juillet 1981 tendant à réprimer certains actes inspirés par le racisme ou la xénophobie, de la loi du 10 mai 2007 tendant à lutter contre certaines formes de discrimination et de la loi du 10 mai 2007 tendant à lutter contre la discrimination entre les femmes et les hommes. </w:t>
      </w:r>
    </w:p>
  </w:endnote>
  <w:endnote w:id="81">
    <w:p w14:paraId="6048FAFD"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CAT/C/BEL/4, §§ 177 à 189.</w:t>
      </w:r>
    </w:p>
  </w:endnote>
  <w:endnote w:id="82">
    <w:p w14:paraId="6AD1A22F" w14:textId="77777777" w:rsidR="00282ADF" w:rsidRPr="006A780C" w:rsidRDefault="00282ADF" w:rsidP="006A780C">
      <w:pPr>
        <w:pStyle w:val="EndnoteText"/>
        <w:spacing w:after="240"/>
        <w:ind w:right="1133" w:firstLine="0"/>
        <w:rPr>
          <w:szCs w:val="18"/>
          <w:lang w:val="fr-BE"/>
        </w:rPr>
      </w:pPr>
      <w:r w:rsidRPr="006A780C">
        <w:rPr>
          <w:rStyle w:val="EndnoteReference"/>
          <w:szCs w:val="18"/>
        </w:rPr>
        <w:endnoteRef/>
      </w:r>
      <w:r w:rsidRPr="006A780C">
        <w:rPr>
          <w:szCs w:val="18"/>
          <w:lang w:val="fr-BE"/>
        </w:rPr>
        <w:t xml:space="preserve"> Loi du 29 mars 2024 portant création de la banque de données commune "Terrorisme, Extrémisme, processus de Radicalisation" ("T.E.R.") et modifiant la loi du 30 juillet 2018 relative à la protection des personnes physiques à l'égard des traitements de données à caractère personnel, la loi du 30 juillet 2018 portant création de cellules de sécurité intégrale locales en matière de radicalisme, d'extrémisme et de terrorisme et la loi du 5 août 1992 sur la fonction de police.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57F7E" w14:textId="77777777" w:rsidR="00BE3C14" w:rsidRDefault="00C573D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F649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24A3B" w14:textId="77777777" w:rsidR="00BE3C14" w:rsidRDefault="00B6530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B6FE" w14:textId="77777777" w:rsidR="00BE3C14" w:rsidRDefault="00C573D1">
    <w:pPr>
      <w:pStyle w:val="Footer"/>
      <w:spacing w:before="120"/>
      <w:rPr>
        <w:noProof/>
        <w:sz w:val="20"/>
        <w:lang w:eastAsia="fr-FR"/>
      </w:rPr>
    </w:pPr>
    <w:r>
      <w:rPr>
        <w:noProof/>
        <w:lang w:eastAsia="fr-CH"/>
      </w:rPr>
      <w:drawing>
        <wp:anchor distT="0" distB="0" distL="114300" distR="114300" simplePos="0" relativeHeight="251658240" behindDoc="0" locked="1" layoutInCell="1" allowOverlap="1" wp14:anchorId="4077C8D2" wp14:editId="4E5FF5D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F2160" w14:paraId="2E0C033B" w14:textId="77777777">
      <w:tc>
        <w:tcPr>
          <w:tcW w:w="1848" w:type="dxa"/>
          <w:vAlign w:val="bottom"/>
        </w:tcPr>
        <w:p w14:paraId="293AFB60" w14:textId="77777777" w:rsidR="00BE3C14" w:rsidRDefault="00C573D1">
          <w:pPr>
            <w:spacing w:before="120" w:after="120" w:line="240" w:lineRule="auto"/>
            <w:jc w:val="right"/>
            <w:rPr>
              <w:sz w:val="16"/>
            </w:rPr>
          </w:pPr>
          <w:r>
            <w:rPr>
              <w:noProof/>
              <w:lang w:eastAsia="fr-CH"/>
            </w:rPr>
            <w:drawing>
              <wp:inline distT="0" distB="0" distL="0" distR="0" wp14:anchorId="5267BD08" wp14:editId="70CBBA03">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56CA6831" w14:textId="77777777" w:rsidR="00BE3C14" w:rsidRDefault="00BE3C14">
          <w:pPr>
            <w:spacing w:line="240" w:lineRule="auto"/>
            <w:jc w:val="right"/>
            <w:rPr>
              <w:sz w:val="16"/>
            </w:rPr>
          </w:pPr>
        </w:p>
      </w:tc>
    </w:tr>
  </w:tbl>
  <w:p w14:paraId="1DE4C9B3" w14:textId="77777777" w:rsidR="00BE3C14" w:rsidRDefault="00BE3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B3DD5" w14:textId="77777777" w:rsidR="0025567C" w:rsidRDefault="0025567C">
      <w:pPr>
        <w:pStyle w:val="Footer"/>
        <w:tabs>
          <w:tab w:val="right" w:pos="2155"/>
        </w:tabs>
        <w:spacing w:after="80" w:line="240" w:lineRule="atLeast"/>
        <w:ind w:left="680"/>
        <w:rPr>
          <w:u w:val="single"/>
        </w:rPr>
      </w:pPr>
      <w:r>
        <w:rPr>
          <w:u w:val="single"/>
        </w:rPr>
        <w:tab/>
      </w:r>
    </w:p>
  </w:footnote>
  <w:footnote w:type="continuationSeparator" w:id="0">
    <w:p w14:paraId="2E94D558" w14:textId="77777777" w:rsidR="0025567C" w:rsidRDefault="0025567C">
      <w:pPr>
        <w:pStyle w:val="Footer"/>
        <w:tabs>
          <w:tab w:val="right" w:pos="2155"/>
        </w:tabs>
        <w:spacing w:after="80" w:line="240" w:lineRule="atLeast"/>
        <w:ind w:left="680"/>
        <w:rPr>
          <w:u w:val="single"/>
        </w:rPr>
      </w:pPr>
      <w:r>
        <w:rPr>
          <w:u w:val="single"/>
        </w:rPr>
        <w:tab/>
      </w:r>
    </w:p>
  </w:footnote>
  <w:footnote w:type="continuationNotice" w:id="1">
    <w:p w14:paraId="2F7AFFBA" w14:textId="77777777" w:rsidR="0025567C" w:rsidRDefault="0025567C">
      <w:pPr>
        <w:spacing w:line="240" w:lineRule="auto"/>
        <w:rPr>
          <w:sz w:val="2"/>
          <w:szCs w:val="2"/>
        </w:rPr>
      </w:pPr>
    </w:p>
  </w:footnote>
  <w:footnote w:id="2">
    <w:p w14:paraId="52AC0AB0" w14:textId="77777777" w:rsidR="00A07D3C" w:rsidRPr="005317D9" w:rsidRDefault="00C573D1" w:rsidP="00A07D3C">
      <w:pPr>
        <w:pStyle w:val="FootnoteText"/>
        <w:rPr>
          <w:sz w:val="20"/>
        </w:rPr>
      </w:pPr>
      <w:r>
        <w:tab/>
      </w:r>
      <w:r w:rsidRPr="007B0648">
        <w:rPr>
          <w:rStyle w:val="FootnoteReference"/>
          <w:sz w:val="20"/>
          <w:vertAlign w:val="baseline"/>
        </w:rPr>
        <w:t>*</w:t>
      </w:r>
      <w:r>
        <w:tab/>
        <w:t>La version originale du présent document n’a pas été revue par les services d’édition.</w:t>
      </w:r>
    </w:p>
  </w:footnote>
  <w:footnote w:id="3">
    <w:p w14:paraId="2D22D6AF" w14:textId="2FAB2921" w:rsidR="00A07D3C" w:rsidRPr="00D1384A" w:rsidRDefault="00C66F28" w:rsidP="00A07D3C">
      <w:pPr>
        <w:pStyle w:val="FootnoteText"/>
      </w:pPr>
      <w:r>
        <w:rPr>
          <w:color w:val="FF0000"/>
        </w:rPr>
        <w:tab/>
      </w:r>
      <w:r w:rsidR="00C573D1" w:rsidRPr="00D1384A">
        <w:rPr>
          <w:rStyle w:val="FootnoteReference"/>
          <w:sz w:val="20"/>
          <w:vertAlign w:val="baseline"/>
        </w:rPr>
        <w:t>**</w:t>
      </w:r>
      <w:r w:rsidR="00C573D1">
        <w:rPr>
          <w:rStyle w:val="FootnoteReference"/>
          <w:sz w:val="20"/>
          <w:vertAlign w:val="baseline"/>
        </w:rPr>
        <w:tab/>
      </w:r>
      <w:r w:rsidR="000B141E">
        <w:rPr>
          <w:rStyle w:val="ui-provider"/>
        </w:rPr>
        <w:t>Les annexes du présent document peuvent</w:t>
      </w:r>
      <w:r w:rsidR="000B141E" w:rsidRPr="00177F05">
        <w:rPr>
          <w:rStyle w:val="ui-provider"/>
          <w:color w:val="FF0000"/>
        </w:rPr>
        <w:t xml:space="preserve"> </w:t>
      </w:r>
      <w:r w:rsidR="000B141E">
        <w:rPr>
          <w:rStyle w:val="ui-provider"/>
        </w:rPr>
        <w:t>être consultées</w:t>
      </w:r>
      <w:r w:rsidR="000B141E">
        <w:rPr>
          <w:rStyle w:val="ui-provider"/>
          <w:color w:val="FF0000"/>
        </w:rPr>
        <w:t xml:space="preserve"> </w:t>
      </w:r>
      <w:r w:rsidR="000B141E">
        <w:rPr>
          <w:rStyle w:val="ui-provider"/>
        </w:rPr>
        <w:t>sur la page Web du Comité</w:t>
      </w:r>
      <w:r w:rsidR="000B141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5669F"/>
    <w:multiLevelType w:val="hybridMultilevel"/>
    <w:tmpl w:val="B1884C48"/>
    <w:lvl w:ilvl="0" w:tplc="279CD08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12F6C24C"/>
    <w:lvl w:ilvl="0" w:tplc="DDBAE99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68459AA" w:tentative="1">
      <w:start w:val="1"/>
      <w:numFmt w:val="lowerLetter"/>
      <w:lvlText w:val="%2."/>
      <w:lvlJc w:val="left"/>
      <w:pPr>
        <w:tabs>
          <w:tab w:val="num" w:pos="1440"/>
        </w:tabs>
        <w:ind w:left="1440" w:hanging="360"/>
      </w:pPr>
    </w:lvl>
    <w:lvl w:ilvl="2" w:tplc="5A248D22" w:tentative="1">
      <w:start w:val="1"/>
      <w:numFmt w:val="lowerRoman"/>
      <w:lvlText w:val="%3."/>
      <w:lvlJc w:val="right"/>
      <w:pPr>
        <w:tabs>
          <w:tab w:val="num" w:pos="2160"/>
        </w:tabs>
        <w:ind w:left="2160" w:hanging="180"/>
      </w:pPr>
    </w:lvl>
    <w:lvl w:ilvl="3" w:tplc="F4B422B4" w:tentative="1">
      <w:start w:val="1"/>
      <w:numFmt w:val="decimal"/>
      <w:lvlText w:val="%4."/>
      <w:lvlJc w:val="left"/>
      <w:pPr>
        <w:tabs>
          <w:tab w:val="num" w:pos="2880"/>
        </w:tabs>
        <w:ind w:left="2880" w:hanging="360"/>
      </w:pPr>
    </w:lvl>
    <w:lvl w:ilvl="4" w:tplc="B0CC2A56" w:tentative="1">
      <w:start w:val="1"/>
      <w:numFmt w:val="lowerLetter"/>
      <w:lvlText w:val="%5."/>
      <w:lvlJc w:val="left"/>
      <w:pPr>
        <w:tabs>
          <w:tab w:val="num" w:pos="3600"/>
        </w:tabs>
        <w:ind w:left="3600" w:hanging="360"/>
      </w:pPr>
    </w:lvl>
    <w:lvl w:ilvl="5" w:tplc="ACE454E4" w:tentative="1">
      <w:start w:val="1"/>
      <w:numFmt w:val="lowerRoman"/>
      <w:lvlText w:val="%6."/>
      <w:lvlJc w:val="right"/>
      <w:pPr>
        <w:tabs>
          <w:tab w:val="num" w:pos="4320"/>
        </w:tabs>
        <w:ind w:left="4320" w:hanging="180"/>
      </w:pPr>
    </w:lvl>
    <w:lvl w:ilvl="6" w:tplc="42EA7800" w:tentative="1">
      <w:start w:val="1"/>
      <w:numFmt w:val="decimal"/>
      <w:lvlText w:val="%7."/>
      <w:lvlJc w:val="left"/>
      <w:pPr>
        <w:tabs>
          <w:tab w:val="num" w:pos="5040"/>
        </w:tabs>
        <w:ind w:left="5040" w:hanging="360"/>
      </w:pPr>
    </w:lvl>
    <w:lvl w:ilvl="7" w:tplc="004EFACA" w:tentative="1">
      <w:start w:val="1"/>
      <w:numFmt w:val="lowerLetter"/>
      <w:lvlText w:val="%8."/>
      <w:lvlJc w:val="left"/>
      <w:pPr>
        <w:tabs>
          <w:tab w:val="num" w:pos="5760"/>
        </w:tabs>
        <w:ind w:left="5760" w:hanging="360"/>
      </w:pPr>
    </w:lvl>
    <w:lvl w:ilvl="8" w:tplc="CCC2AA26" w:tentative="1">
      <w:start w:val="1"/>
      <w:numFmt w:val="lowerRoman"/>
      <w:lvlText w:val="%9."/>
      <w:lvlJc w:val="right"/>
      <w:pPr>
        <w:tabs>
          <w:tab w:val="num" w:pos="6480"/>
        </w:tabs>
        <w:ind w:left="6480" w:hanging="180"/>
      </w:pPr>
    </w:lvl>
  </w:abstractNum>
  <w:abstractNum w:abstractNumId="2" w15:restartNumberingAfterBreak="0">
    <w:nsid w:val="15FF17D6"/>
    <w:multiLevelType w:val="hybridMultilevel"/>
    <w:tmpl w:val="5F22F67E"/>
    <w:lvl w:ilvl="0" w:tplc="2F4E2694">
      <w:numFmt w:val="bullet"/>
      <w:lvlText w:val="-"/>
      <w:lvlJc w:val="left"/>
      <w:pPr>
        <w:ind w:left="360" w:hanging="360"/>
      </w:pPr>
      <w:rPr>
        <w:rFonts w:ascii="Aptos" w:eastAsiaTheme="minorHAnsi" w:hAnsi="Aptos"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3D5585"/>
    <w:multiLevelType w:val="hybridMultilevel"/>
    <w:tmpl w:val="164A75EA"/>
    <w:lvl w:ilvl="0" w:tplc="63263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71A3F"/>
    <w:multiLevelType w:val="hybridMultilevel"/>
    <w:tmpl w:val="20D26E7C"/>
    <w:lvl w:ilvl="0" w:tplc="D21E8956">
      <w:start w:val="2"/>
      <w:numFmt w:val="bullet"/>
      <w:lvlText w:val="-"/>
      <w:lvlJc w:val="left"/>
      <w:pPr>
        <w:ind w:left="720" w:hanging="360"/>
      </w:pPr>
      <w:rPr>
        <w:rFonts w:ascii="Roboto" w:eastAsiaTheme="minorHAnsi" w:hAnsi="Roboto"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3662999A"/>
    <w:lvl w:ilvl="0" w:tplc="A2CCE468">
      <w:start w:val="1"/>
      <w:numFmt w:val="bullet"/>
      <w:pStyle w:val="Bullet2G"/>
      <w:lvlText w:val="•"/>
      <w:lvlJc w:val="left"/>
      <w:pPr>
        <w:tabs>
          <w:tab w:val="num" w:pos="2268"/>
        </w:tabs>
        <w:ind w:left="2268" w:hanging="170"/>
      </w:pPr>
      <w:rPr>
        <w:rFonts w:ascii="Times New Roman" w:hAnsi="Times New Roman" w:cs="Times New Roman" w:hint="default"/>
      </w:rPr>
    </w:lvl>
    <w:lvl w:ilvl="1" w:tplc="EAA6A438" w:tentative="1">
      <w:start w:val="1"/>
      <w:numFmt w:val="bullet"/>
      <w:lvlText w:val="o"/>
      <w:lvlJc w:val="left"/>
      <w:pPr>
        <w:tabs>
          <w:tab w:val="num" w:pos="3708"/>
        </w:tabs>
        <w:ind w:left="3708" w:hanging="360"/>
      </w:pPr>
      <w:rPr>
        <w:rFonts w:ascii="Courier New" w:hAnsi="Courier New" w:hint="default"/>
      </w:rPr>
    </w:lvl>
    <w:lvl w:ilvl="2" w:tplc="A6B056CE" w:tentative="1">
      <w:start w:val="1"/>
      <w:numFmt w:val="bullet"/>
      <w:lvlText w:val=""/>
      <w:lvlJc w:val="left"/>
      <w:pPr>
        <w:tabs>
          <w:tab w:val="num" w:pos="4428"/>
        </w:tabs>
        <w:ind w:left="4428" w:hanging="360"/>
      </w:pPr>
      <w:rPr>
        <w:rFonts w:ascii="Wingdings" w:hAnsi="Wingdings" w:hint="default"/>
      </w:rPr>
    </w:lvl>
    <w:lvl w:ilvl="3" w:tplc="8B7EC478" w:tentative="1">
      <w:start w:val="1"/>
      <w:numFmt w:val="bullet"/>
      <w:lvlText w:val=""/>
      <w:lvlJc w:val="left"/>
      <w:pPr>
        <w:tabs>
          <w:tab w:val="num" w:pos="5148"/>
        </w:tabs>
        <w:ind w:left="5148" w:hanging="360"/>
      </w:pPr>
      <w:rPr>
        <w:rFonts w:ascii="Symbol" w:hAnsi="Symbol" w:hint="default"/>
      </w:rPr>
    </w:lvl>
    <w:lvl w:ilvl="4" w:tplc="CDCCA020" w:tentative="1">
      <w:start w:val="1"/>
      <w:numFmt w:val="bullet"/>
      <w:lvlText w:val="o"/>
      <w:lvlJc w:val="left"/>
      <w:pPr>
        <w:tabs>
          <w:tab w:val="num" w:pos="5868"/>
        </w:tabs>
        <w:ind w:left="5868" w:hanging="360"/>
      </w:pPr>
      <w:rPr>
        <w:rFonts w:ascii="Courier New" w:hAnsi="Courier New" w:hint="default"/>
      </w:rPr>
    </w:lvl>
    <w:lvl w:ilvl="5" w:tplc="9BB4E81C" w:tentative="1">
      <w:start w:val="1"/>
      <w:numFmt w:val="bullet"/>
      <w:lvlText w:val=""/>
      <w:lvlJc w:val="left"/>
      <w:pPr>
        <w:tabs>
          <w:tab w:val="num" w:pos="6588"/>
        </w:tabs>
        <w:ind w:left="6588" w:hanging="360"/>
      </w:pPr>
      <w:rPr>
        <w:rFonts w:ascii="Wingdings" w:hAnsi="Wingdings" w:hint="default"/>
      </w:rPr>
    </w:lvl>
    <w:lvl w:ilvl="6" w:tplc="FEACB528" w:tentative="1">
      <w:start w:val="1"/>
      <w:numFmt w:val="bullet"/>
      <w:lvlText w:val=""/>
      <w:lvlJc w:val="left"/>
      <w:pPr>
        <w:tabs>
          <w:tab w:val="num" w:pos="7308"/>
        </w:tabs>
        <w:ind w:left="7308" w:hanging="360"/>
      </w:pPr>
      <w:rPr>
        <w:rFonts w:ascii="Symbol" w:hAnsi="Symbol" w:hint="default"/>
      </w:rPr>
    </w:lvl>
    <w:lvl w:ilvl="7" w:tplc="4F9A3FA0" w:tentative="1">
      <w:start w:val="1"/>
      <w:numFmt w:val="bullet"/>
      <w:lvlText w:val="o"/>
      <w:lvlJc w:val="left"/>
      <w:pPr>
        <w:tabs>
          <w:tab w:val="num" w:pos="8028"/>
        </w:tabs>
        <w:ind w:left="8028" w:hanging="360"/>
      </w:pPr>
      <w:rPr>
        <w:rFonts w:ascii="Courier New" w:hAnsi="Courier New" w:hint="default"/>
      </w:rPr>
    </w:lvl>
    <w:lvl w:ilvl="8" w:tplc="640222A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EE31CBB"/>
    <w:multiLevelType w:val="hybridMultilevel"/>
    <w:tmpl w:val="E69447FA"/>
    <w:lvl w:ilvl="0" w:tplc="2F4E2694">
      <w:numFmt w:val="bullet"/>
      <w:lvlText w:val="-"/>
      <w:lvlJc w:val="left"/>
      <w:pPr>
        <w:ind w:left="360" w:hanging="360"/>
      </w:pPr>
      <w:rPr>
        <w:rFonts w:ascii="Aptos" w:eastAsiaTheme="minorHAnsi" w:hAnsi="Aptos"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5C13F2"/>
    <w:multiLevelType w:val="hybridMultilevel"/>
    <w:tmpl w:val="A04E7B64"/>
    <w:lvl w:ilvl="0" w:tplc="63263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45DEA"/>
    <w:multiLevelType w:val="hybridMultilevel"/>
    <w:tmpl w:val="8E664F18"/>
    <w:lvl w:ilvl="0" w:tplc="A1A6E49C">
      <w:numFmt w:val="bullet"/>
      <w:lvlText w:val="-"/>
      <w:lvlJc w:val="left"/>
      <w:pPr>
        <w:ind w:left="720" w:hanging="360"/>
      </w:pPr>
      <w:rPr>
        <w:rFonts w:ascii="Segoe UI" w:eastAsiaTheme="minorHAnsi" w:hAnsi="Segoe UI" w:cs="Segoe UI" w:hint="default"/>
        <w:color w:val="242424"/>
        <w:sz w:val="21"/>
      </w:rPr>
    </w:lvl>
    <w:lvl w:ilvl="1" w:tplc="C1044960">
      <w:numFmt w:val="bullet"/>
      <w:lvlText w:val="•"/>
      <w:lvlJc w:val="left"/>
      <w:pPr>
        <w:ind w:left="1440" w:hanging="360"/>
      </w:pPr>
      <w:rPr>
        <w:rFonts w:ascii="Times New Roman" w:eastAsiaTheme="minorHAnsi" w:hAnsi="Times New Roman"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2CE48B7"/>
    <w:multiLevelType w:val="hybridMultilevel"/>
    <w:tmpl w:val="D5C69F9A"/>
    <w:lvl w:ilvl="0" w:tplc="D21E8956">
      <w:start w:val="2"/>
      <w:numFmt w:val="bullet"/>
      <w:lvlText w:val="-"/>
      <w:lvlJc w:val="left"/>
      <w:pPr>
        <w:ind w:left="720" w:hanging="360"/>
      </w:pPr>
      <w:rPr>
        <w:rFonts w:ascii="Roboto" w:eastAsiaTheme="minorHAnsi" w:hAnsi="Roboto"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8AD07B2"/>
    <w:multiLevelType w:val="hybridMultilevel"/>
    <w:tmpl w:val="5D1450C0"/>
    <w:lvl w:ilvl="0" w:tplc="0B1A5090">
      <w:start w:val="1"/>
      <w:numFmt w:val="bullet"/>
      <w:pStyle w:val="Bullet1G"/>
      <w:lvlText w:val="•"/>
      <w:lvlJc w:val="left"/>
      <w:pPr>
        <w:tabs>
          <w:tab w:val="num" w:pos="1701"/>
        </w:tabs>
        <w:ind w:left="1701" w:hanging="170"/>
      </w:pPr>
      <w:rPr>
        <w:rFonts w:ascii="Times New Roman" w:hAnsi="Times New Roman" w:cs="Times New Roman" w:hint="default"/>
      </w:rPr>
    </w:lvl>
    <w:lvl w:ilvl="1" w:tplc="1818C59E" w:tentative="1">
      <w:start w:val="1"/>
      <w:numFmt w:val="bullet"/>
      <w:lvlText w:val="o"/>
      <w:lvlJc w:val="left"/>
      <w:pPr>
        <w:tabs>
          <w:tab w:val="num" w:pos="3141"/>
        </w:tabs>
        <w:ind w:left="3141" w:hanging="360"/>
      </w:pPr>
      <w:rPr>
        <w:rFonts w:ascii="Courier New" w:hAnsi="Courier New" w:hint="default"/>
      </w:rPr>
    </w:lvl>
    <w:lvl w:ilvl="2" w:tplc="F83A49E8" w:tentative="1">
      <w:start w:val="1"/>
      <w:numFmt w:val="bullet"/>
      <w:lvlText w:val=""/>
      <w:lvlJc w:val="left"/>
      <w:pPr>
        <w:tabs>
          <w:tab w:val="num" w:pos="3861"/>
        </w:tabs>
        <w:ind w:left="3861" w:hanging="360"/>
      </w:pPr>
      <w:rPr>
        <w:rFonts w:ascii="Wingdings" w:hAnsi="Wingdings" w:hint="default"/>
      </w:rPr>
    </w:lvl>
    <w:lvl w:ilvl="3" w:tplc="C64E5C5C" w:tentative="1">
      <w:start w:val="1"/>
      <w:numFmt w:val="bullet"/>
      <w:lvlText w:val=""/>
      <w:lvlJc w:val="left"/>
      <w:pPr>
        <w:tabs>
          <w:tab w:val="num" w:pos="4581"/>
        </w:tabs>
        <w:ind w:left="4581" w:hanging="360"/>
      </w:pPr>
      <w:rPr>
        <w:rFonts w:ascii="Symbol" w:hAnsi="Symbol" w:hint="default"/>
      </w:rPr>
    </w:lvl>
    <w:lvl w:ilvl="4" w:tplc="8F8EC20E" w:tentative="1">
      <w:start w:val="1"/>
      <w:numFmt w:val="bullet"/>
      <w:lvlText w:val="o"/>
      <w:lvlJc w:val="left"/>
      <w:pPr>
        <w:tabs>
          <w:tab w:val="num" w:pos="5301"/>
        </w:tabs>
        <w:ind w:left="5301" w:hanging="360"/>
      </w:pPr>
      <w:rPr>
        <w:rFonts w:ascii="Courier New" w:hAnsi="Courier New" w:hint="default"/>
      </w:rPr>
    </w:lvl>
    <w:lvl w:ilvl="5" w:tplc="4ED2638C" w:tentative="1">
      <w:start w:val="1"/>
      <w:numFmt w:val="bullet"/>
      <w:lvlText w:val=""/>
      <w:lvlJc w:val="left"/>
      <w:pPr>
        <w:tabs>
          <w:tab w:val="num" w:pos="6021"/>
        </w:tabs>
        <w:ind w:left="6021" w:hanging="360"/>
      </w:pPr>
      <w:rPr>
        <w:rFonts w:ascii="Wingdings" w:hAnsi="Wingdings" w:hint="default"/>
      </w:rPr>
    </w:lvl>
    <w:lvl w:ilvl="6" w:tplc="8D661E6A" w:tentative="1">
      <w:start w:val="1"/>
      <w:numFmt w:val="bullet"/>
      <w:lvlText w:val=""/>
      <w:lvlJc w:val="left"/>
      <w:pPr>
        <w:tabs>
          <w:tab w:val="num" w:pos="6741"/>
        </w:tabs>
        <w:ind w:left="6741" w:hanging="360"/>
      </w:pPr>
      <w:rPr>
        <w:rFonts w:ascii="Symbol" w:hAnsi="Symbol" w:hint="default"/>
      </w:rPr>
    </w:lvl>
    <w:lvl w:ilvl="7" w:tplc="3752D3D4" w:tentative="1">
      <w:start w:val="1"/>
      <w:numFmt w:val="bullet"/>
      <w:lvlText w:val="o"/>
      <w:lvlJc w:val="left"/>
      <w:pPr>
        <w:tabs>
          <w:tab w:val="num" w:pos="7461"/>
        </w:tabs>
        <w:ind w:left="7461" w:hanging="360"/>
      </w:pPr>
      <w:rPr>
        <w:rFonts w:ascii="Courier New" w:hAnsi="Courier New" w:hint="default"/>
      </w:rPr>
    </w:lvl>
    <w:lvl w:ilvl="8" w:tplc="F76EC086"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4B80732"/>
    <w:multiLevelType w:val="hybridMultilevel"/>
    <w:tmpl w:val="0106BE7E"/>
    <w:lvl w:ilvl="0" w:tplc="9A6A7B48">
      <w:start w:val="1"/>
      <w:numFmt w:val="decimal"/>
      <w:lvlText w:val="%1."/>
      <w:lvlJc w:val="left"/>
      <w:pPr>
        <w:ind w:left="1637" w:hanging="360"/>
      </w:pPr>
      <w:rPr>
        <w:rFonts w:hint="default"/>
        <w:b w:val="0"/>
        <w:b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75411FEF"/>
    <w:multiLevelType w:val="hybridMultilevel"/>
    <w:tmpl w:val="80085558"/>
    <w:lvl w:ilvl="0" w:tplc="63263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2A195F"/>
    <w:multiLevelType w:val="hybridMultilevel"/>
    <w:tmpl w:val="5F107094"/>
    <w:lvl w:ilvl="0" w:tplc="55D89F86">
      <w:start w:val="1"/>
      <w:numFmt w:val="upp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661201604">
    <w:abstractNumId w:val="10"/>
  </w:num>
  <w:num w:numId="2" w16cid:durableId="341665878">
    <w:abstractNumId w:val="5"/>
  </w:num>
  <w:num w:numId="3" w16cid:durableId="1039630059">
    <w:abstractNumId w:val="1"/>
  </w:num>
  <w:num w:numId="4" w16cid:durableId="119425910">
    <w:abstractNumId w:val="3"/>
  </w:num>
  <w:num w:numId="5" w16cid:durableId="681200101">
    <w:abstractNumId w:val="0"/>
  </w:num>
  <w:num w:numId="6" w16cid:durableId="2065518425">
    <w:abstractNumId w:val="8"/>
  </w:num>
  <w:num w:numId="7" w16cid:durableId="1769040888">
    <w:abstractNumId w:val="4"/>
  </w:num>
  <w:num w:numId="8" w16cid:durableId="997462122">
    <w:abstractNumId w:val="9"/>
  </w:num>
  <w:num w:numId="9" w16cid:durableId="353310553">
    <w:abstractNumId w:val="7"/>
  </w:num>
  <w:num w:numId="10" w16cid:durableId="733048999">
    <w:abstractNumId w:val="12"/>
  </w:num>
  <w:num w:numId="11" w16cid:durableId="1632512236">
    <w:abstractNumId w:val="2"/>
  </w:num>
  <w:num w:numId="12" w16cid:durableId="200285891">
    <w:abstractNumId w:val="6"/>
  </w:num>
  <w:num w:numId="13" w16cid:durableId="217908795">
    <w:abstractNumId w:val="13"/>
  </w:num>
  <w:num w:numId="14" w16cid:durableId="192803615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C14"/>
    <w:rsid w:val="0008432B"/>
    <w:rsid w:val="00091753"/>
    <w:rsid w:val="000B141E"/>
    <w:rsid w:val="000F1836"/>
    <w:rsid w:val="00122D9C"/>
    <w:rsid w:val="0014657D"/>
    <w:rsid w:val="00176009"/>
    <w:rsid w:val="00177F05"/>
    <w:rsid w:val="001D0F7E"/>
    <w:rsid w:val="0021477E"/>
    <w:rsid w:val="0025567C"/>
    <w:rsid w:val="00282ADF"/>
    <w:rsid w:val="0038535C"/>
    <w:rsid w:val="003C33D8"/>
    <w:rsid w:val="003E0042"/>
    <w:rsid w:val="003E344C"/>
    <w:rsid w:val="003F7797"/>
    <w:rsid w:val="00491C90"/>
    <w:rsid w:val="0049644B"/>
    <w:rsid w:val="004C512B"/>
    <w:rsid w:val="004F5A0B"/>
    <w:rsid w:val="00527E90"/>
    <w:rsid w:val="005317D9"/>
    <w:rsid w:val="00543DA3"/>
    <w:rsid w:val="00551894"/>
    <w:rsid w:val="0058193B"/>
    <w:rsid w:val="00585C08"/>
    <w:rsid w:val="00647DB0"/>
    <w:rsid w:val="006539AC"/>
    <w:rsid w:val="00656F04"/>
    <w:rsid w:val="00681141"/>
    <w:rsid w:val="006A780C"/>
    <w:rsid w:val="0070119E"/>
    <w:rsid w:val="00721377"/>
    <w:rsid w:val="00781797"/>
    <w:rsid w:val="007971C8"/>
    <w:rsid w:val="007A6AAF"/>
    <w:rsid w:val="007B0648"/>
    <w:rsid w:val="007C3D27"/>
    <w:rsid w:val="007E33DB"/>
    <w:rsid w:val="00821C54"/>
    <w:rsid w:val="008A3759"/>
    <w:rsid w:val="00905CF8"/>
    <w:rsid w:val="00962ABD"/>
    <w:rsid w:val="009A10F9"/>
    <w:rsid w:val="009C73E2"/>
    <w:rsid w:val="009D75F2"/>
    <w:rsid w:val="009F2160"/>
    <w:rsid w:val="009F6492"/>
    <w:rsid w:val="00A025C5"/>
    <w:rsid w:val="00A07D3C"/>
    <w:rsid w:val="00A1609B"/>
    <w:rsid w:val="00A44050"/>
    <w:rsid w:val="00AD68F1"/>
    <w:rsid w:val="00B65306"/>
    <w:rsid w:val="00B66FE2"/>
    <w:rsid w:val="00B6786E"/>
    <w:rsid w:val="00B72381"/>
    <w:rsid w:val="00B860EF"/>
    <w:rsid w:val="00BC174E"/>
    <w:rsid w:val="00BC2DDF"/>
    <w:rsid w:val="00BE3C14"/>
    <w:rsid w:val="00C04C35"/>
    <w:rsid w:val="00C057F3"/>
    <w:rsid w:val="00C32D0C"/>
    <w:rsid w:val="00C44AEE"/>
    <w:rsid w:val="00C47678"/>
    <w:rsid w:val="00C573D1"/>
    <w:rsid w:val="00C66F28"/>
    <w:rsid w:val="00C95D58"/>
    <w:rsid w:val="00D1384A"/>
    <w:rsid w:val="00D303CF"/>
    <w:rsid w:val="00D9391F"/>
    <w:rsid w:val="00DE03F5"/>
    <w:rsid w:val="00E370CE"/>
    <w:rsid w:val="00E75BF3"/>
    <w:rsid w:val="00E76C04"/>
    <w:rsid w:val="00EC27D0"/>
    <w:rsid w:val="00F34885"/>
    <w:rsid w:val="00F45306"/>
    <w:rsid w:val="00F60D45"/>
    <w:rsid w:val="00F921A5"/>
    <w:rsid w:val="00F94457"/>
    <w:rsid w:val="00F9749F"/>
    <w:rsid w:val="00FD0C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D9812"/>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0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semiHidden/>
    <w:qFormat/>
    <w:pPr>
      <w:outlineLvl w:val="2"/>
    </w:pPr>
  </w:style>
  <w:style w:type="paragraph" w:styleId="Heading4">
    <w:name w:val="heading 4"/>
    <w:basedOn w:val="Normal"/>
    <w:next w:val="Normal"/>
    <w:link w:val="Heading4Char"/>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rsid w:val="00D939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qFormat/>
    <w:rsid w:val="00D939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qFormat/>
    <w:rsid w:val="00D939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qFormat/>
    <w:rsid w:val="00D939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939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939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821C54"/>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uiPriority w:val="99"/>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iPriority w:val="99"/>
    <w:unhideWhenUsed/>
    <w:rPr>
      <w:color w:val="0000FF"/>
      <w:u w:val="none"/>
    </w:rPr>
  </w:style>
  <w:style w:type="paragraph" w:styleId="FootnoteText">
    <w:name w:val="footnote text"/>
    <w:aliases w:val="5_G"/>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ng-binding">
    <w:name w:val="ng-binding"/>
    <w:basedOn w:val="DefaultParagraphFont"/>
    <w:rsid w:val="00A07D3C"/>
  </w:style>
  <w:style w:type="character" w:customStyle="1" w:styleId="ui-provider">
    <w:name w:val="ui-provider"/>
    <w:basedOn w:val="DefaultParagraphFont"/>
    <w:rsid w:val="00A07D3C"/>
  </w:style>
  <w:style w:type="character" w:styleId="UnresolvedMention">
    <w:name w:val="Unresolved Mention"/>
    <w:basedOn w:val="DefaultParagraphFont"/>
    <w:uiPriority w:val="99"/>
    <w:semiHidden/>
    <w:unhideWhenUsed/>
    <w:rsid w:val="00282ADF"/>
    <w:rPr>
      <w:color w:val="605E5C"/>
      <w:shd w:val="clear" w:color="auto" w:fill="E1DFDD"/>
    </w:rPr>
  </w:style>
  <w:style w:type="paragraph" w:styleId="ListParagraph">
    <w:name w:val="List Paragraph"/>
    <w:basedOn w:val="Normal"/>
    <w:uiPriority w:val="34"/>
    <w:qFormat/>
    <w:rsid w:val="00282ADF"/>
    <w:pPr>
      <w:suppressAutoHyphens w:val="0"/>
      <w:kinsoku/>
      <w:overflowPunct/>
      <w:autoSpaceDE/>
      <w:autoSpaceDN/>
      <w:adjustRightInd/>
      <w:snapToGrid/>
      <w:spacing w:after="160" w:line="259" w:lineRule="auto"/>
      <w:ind w:left="720"/>
      <w:contextualSpacing/>
      <w:jc w:val="both"/>
    </w:pPr>
    <w:rPr>
      <w:rFonts w:cstheme="minorBidi"/>
      <w:kern w:val="2"/>
      <w:sz w:val="22"/>
      <w:szCs w:val="22"/>
      <w:lang w:val="en-GB"/>
      <w14:ligatures w14:val="standardContextual"/>
    </w:rPr>
  </w:style>
  <w:style w:type="paragraph" w:styleId="TOC1">
    <w:name w:val="toc 1"/>
    <w:basedOn w:val="Normal"/>
    <w:next w:val="Normal"/>
    <w:autoRedefine/>
    <w:uiPriority w:val="39"/>
    <w:unhideWhenUsed/>
    <w:rsid w:val="00282ADF"/>
    <w:pPr>
      <w:tabs>
        <w:tab w:val="left" w:pos="480"/>
        <w:tab w:val="right" w:leader="hyphen" w:pos="9016"/>
      </w:tabs>
      <w:suppressAutoHyphens w:val="0"/>
      <w:kinsoku/>
      <w:overflowPunct/>
      <w:autoSpaceDE/>
      <w:autoSpaceDN/>
      <w:adjustRightInd/>
      <w:snapToGrid/>
      <w:spacing w:after="100" w:line="259" w:lineRule="auto"/>
      <w:jc w:val="both"/>
    </w:pPr>
    <w:rPr>
      <w:b/>
      <w:noProof/>
      <w:kern w:val="2"/>
      <w:sz w:val="24"/>
      <w:szCs w:val="22"/>
      <w:lang w:val="fr-BE"/>
      <w14:ligatures w14:val="standardContextual"/>
    </w:rPr>
  </w:style>
  <w:style w:type="paragraph" w:styleId="TOC2">
    <w:name w:val="toc 2"/>
    <w:basedOn w:val="Normal"/>
    <w:next w:val="Normal"/>
    <w:autoRedefine/>
    <w:uiPriority w:val="39"/>
    <w:unhideWhenUsed/>
    <w:rsid w:val="00282ADF"/>
    <w:pPr>
      <w:suppressAutoHyphens w:val="0"/>
      <w:kinsoku/>
      <w:overflowPunct/>
      <w:autoSpaceDE/>
      <w:autoSpaceDN/>
      <w:adjustRightInd/>
      <w:snapToGrid/>
      <w:spacing w:after="100" w:line="259" w:lineRule="auto"/>
      <w:ind w:left="220"/>
      <w:jc w:val="both"/>
    </w:pPr>
    <w:rPr>
      <w:rFonts w:cstheme="minorBidi"/>
      <w:kern w:val="2"/>
      <w:sz w:val="24"/>
      <w:szCs w:val="22"/>
      <w:lang w:val="en-GB"/>
      <w14:ligatures w14:val="standardContextual"/>
    </w:rPr>
  </w:style>
  <w:style w:type="paragraph" w:styleId="TOCHeading">
    <w:name w:val="TOC Heading"/>
    <w:basedOn w:val="Heading1"/>
    <w:next w:val="Normal"/>
    <w:uiPriority w:val="39"/>
    <w:unhideWhenUsed/>
    <w:qFormat/>
    <w:rsid w:val="00282ADF"/>
    <w:pPr>
      <w:tabs>
        <w:tab w:val="clear" w:pos="1701"/>
        <w:tab w:val="clear" w:pos="2268"/>
        <w:tab w:val="clear" w:pos="2835"/>
      </w:tabs>
      <w:suppressAutoHyphens w:val="0"/>
      <w:kinsoku/>
      <w:overflowPunct/>
      <w:autoSpaceDE/>
      <w:autoSpaceDN/>
      <w:adjustRightInd/>
      <w:snapToGrid/>
      <w:spacing w:before="240" w:line="259" w:lineRule="auto"/>
      <w:ind w:left="0"/>
      <w:jc w:val="both"/>
      <w:outlineLvl w:val="9"/>
    </w:pPr>
    <w:rPr>
      <w:rFonts w:asciiTheme="majorHAnsi" w:eastAsiaTheme="majorEastAsia" w:hAnsiTheme="majorHAnsi" w:cstheme="majorBidi"/>
      <w:color w:val="365F91" w:themeColor="accent1" w:themeShade="BF"/>
      <w:sz w:val="32"/>
      <w:szCs w:val="32"/>
      <w:lang w:val="en-GB" w:eastAsia="en-GB"/>
    </w:rPr>
  </w:style>
  <w:style w:type="character" w:customStyle="1" w:styleId="NotedebasdepageCar1">
    <w:name w:val="Note de bas de page Car1"/>
    <w:basedOn w:val="DefaultParagraphFont"/>
    <w:uiPriority w:val="99"/>
    <w:semiHidden/>
    <w:rsid w:val="00282ADF"/>
    <w:rPr>
      <w:sz w:val="20"/>
      <w:szCs w:val="20"/>
    </w:rPr>
  </w:style>
  <w:style w:type="character" w:styleId="CommentReference">
    <w:name w:val="annotation reference"/>
    <w:basedOn w:val="DefaultParagraphFont"/>
    <w:uiPriority w:val="99"/>
    <w:unhideWhenUsed/>
    <w:rsid w:val="00282ADF"/>
    <w:rPr>
      <w:sz w:val="16"/>
      <w:szCs w:val="16"/>
    </w:rPr>
  </w:style>
  <w:style w:type="paragraph" w:styleId="CommentText">
    <w:name w:val="annotation text"/>
    <w:basedOn w:val="Normal"/>
    <w:link w:val="CommentTextChar"/>
    <w:uiPriority w:val="99"/>
    <w:unhideWhenUsed/>
    <w:rsid w:val="00282ADF"/>
    <w:pPr>
      <w:suppressAutoHyphens w:val="0"/>
      <w:kinsoku/>
      <w:overflowPunct/>
      <w:autoSpaceDE/>
      <w:autoSpaceDN/>
      <w:adjustRightInd/>
      <w:snapToGrid/>
      <w:spacing w:after="160" w:line="240" w:lineRule="auto"/>
      <w:jc w:val="both"/>
    </w:pPr>
    <w:rPr>
      <w:rFonts w:cstheme="minorBidi"/>
      <w:kern w:val="2"/>
      <w:lang w:val="en-GB"/>
      <w14:ligatures w14:val="standardContextual"/>
    </w:rPr>
  </w:style>
  <w:style w:type="character" w:customStyle="1" w:styleId="CommentTextChar">
    <w:name w:val="Comment Text Char"/>
    <w:basedOn w:val="DefaultParagraphFont"/>
    <w:link w:val="CommentText"/>
    <w:uiPriority w:val="99"/>
    <w:rsid w:val="00282ADF"/>
    <w:rPr>
      <w:rFonts w:ascii="Times New Roman" w:hAnsi="Times New Roman"/>
      <w:kern w:val="2"/>
      <w:sz w:val="20"/>
      <w:szCs w:val="20"/>
      <w:lang w:val="en-GB"/>
      <w14:ligatures w14:val="standardContextual"/>
    </w:rPr>
  </w:style>
  <w:style w:type="paragraph" w:styleId="CommentSubject">
    <w:name w:val="annotation subject"/>
    <w:basedOn w:val="CommentText"/>
    <w:next w:val="CommentText"/>
    <w:link w:val="CommentSubjectChar"/>
    <w:uiPriority w:val="99"/>
    <w:semiHidden/>
    <w:unhideWhenUsed/>
    <w:rsid w:val="00282ADF"/>
    <w:rPr>
      <w:b/>
      <w:bCs/>
    </w:rPr>
  </w:style>
  <w:style w:type="character" w:customStyle="1" w:styleId="CommentSubjectChar">
    <w:name w:val="Comment Subject Char"/>
    <w:basedOn w:val="CommentTextChar"/>
    <w:link w:val="CommentSubject"/>
    <w:uiPriority w:val="99"/>
    <w:semiHidden/>
    <w:rsid w:val="00282ADF"/>
    <w:rPr>
      <w:rFonts w:ascii="Times New Roman" w:hAnsi="Times New Roman"/>
      <w:b/>
      <w:bCs/>
      <w:kern w:val="2"/>
      <w:sz w:val="20"/>
      <w:szCs w:val="20"/>
      <w:lang w:val="en-GB"/>
      <w14:ligatures w14:val="standardContextual"/>
    </w:rPr>
  </w:style>
  <w:style w:type="paragraph" w:styleId="Revision">
    <w:name w:val="Revision"/>
    <w:hidden/>
    <w:uiPriority w:val="99"/>
    <w:semiHidden/>
    <w:rsid w:val="00282ADF"/>
    <w:pPr>
      <w:spacing w:after="0" w:line="240" w:lineRule="auto"/>
    </w:pPr>
    <w:rPr>
      <w:kern w:val="2"/>
      <w:lang w:val="en-GB"/>
      <w14:ligatures w14:val="standardContextual"/>
    </w:rPr>
  </w:style>
  <w:style w:type="paragraph" w:customStyle="1" w:styleId="CATRponsesparagraphes">
    <w:name w:val="CAT Réponses paragraphes"/>
    <w:basedOn w:val="Normal"/>
    <w:link w:val="CATRponsesparagraphesCar"/>
    <w:rsid w:val="00282ADF"/>
    <w:pPr>
      <w:suppressAutoHyphens w:val="0"/>
      <w:kinsoku/>
      <w:overflowPunct/>
      <w:snapToGrid/>
      <w:spacing w:line="240" w:lineRule="auto"/>
      <w:jc w:val="both"/>
    </w:pPr>
    <w:rPr>
      <w:rFonts w:eastAsia="Times New Roman"/>
      <w:color w:val="000000"/>
      <w:lang w:val="fr-FR" w:eastAsia="fr-FR"/>
    </w:rPr>
  </w:style>
  <w:style w:type="character" w:customStyle="1" w:styleId="CATRponsesparagraphesCar">
    <w:name w:val="CAT Réponses paragraphes Car"/>
    <w:link w:val="CATRponsesparagraphes"/>
    <w:rsid w:val="00282ADF"/>
    <w:rPr>
      <w:rFonts w:ascii="Times New Roman" w:eastAsia="Times New Roman" w:hAnsi="Times New Roman" w:cs="Times New Roman"/>
      <w:color w:val="000000"/>
      <w:sz w:val="20"/>
      <w:szCs w:val="20"/>
      <w:lang w:val="fr-FR" w:eastAsia="fr-FR"/>
    </w:rPr>
  </w:style>
  <w:style w:type="paragraph" w:styleId="NoSpacing">
    <w:name w:val="No Spacing"/>
    <w:uiPriority w:val="1"/>
    <w:qFormat/>
    <w:rsid w:val="00282ADF"/>
    <w:pPr>
      <w:spacing w:after="0" w:line="240" w:lineRule="auto"/>
    </w:pPr>
    <w:rPr>
      <w:kern w:val="2"/>
      <w:lang w:val="en-GB"/>
      <w14:ligatures w14:val="standardContextual"/>
    </w:rPr>
  </w:style>
  <w:style w:type="paragraph" w:styleId="NormalWeb">
    <w:name w:val="Normal (Web)"/>
    <w:basedOn w:val="Normal"/>
    <w:uiPriority w:val="99"/>
    <w:unhideWhenUsed/>
    <w:rsid w:val="00282ADF"/>
    <w:pPr>
      <w:suppressAutoHyphens w:val="0"/>
      <w:kinsoku/>
      <w:overflowPunct/>
      <w:autoSpaceDE/>
      <w:autoSpaceDN/>
      <w:adjustRightInd/>
      <w:snapToGrid/>
      <w:spacing w:before="100" w:beforeAutospacing="1" w:after="100" w:afterAutospacing="1" w:line="240" w:lineRule="auto"/>
    </w:pPr>
    <w:rPr>
      <w:rFonts w:ascii="Calibri" w:hAnsi="Calibri" w:cs="Calibri"/>
      <w:sz w:val="22"/>
      <w:szCs w:val="22"/>
      <w:lang w:val="en-GB" w:eastAsia="en-GB"/>
    </w:rPr>
  </w:style>
  <w:style w:type="paragraph" w:customStyle="1" w:styleId="paragraph">
    <w:name w:val="paragraph"/>
    <w:basedOn w:val="Normal"/>
    <w:rsid w:val="00282AD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BE"/>
      <w14:ligatures w14:val="standardContextual"/>
    </w:rPr>
  </w:style>
  <w:style w:type="character" w:customStyle="1" w:styleId="normaltextrun">
    <w:name w:val="normaltextrun"/>
    <w:basedOn w:val="DefaultParagraphFont"/>
    <w:rsid w:val="00282ADF"/>
  </w:style>
  <w:style w:type="paragraph" w:customStyle="1" w:styleId="xmsonormal">
    <w:name w:val="x_msonormal"/>
    <w:basedOn w:val="Normal"/>
    <w:rsid w:val="00282ADF"/>
    <w:pPr>
      <w:suppressAutoHyphens w:val="0"/>
      <w:kinsoku/>
      <w:overflowPunct/>
      <w:autoSpaceDE/>
      <w:autoSpaceDN/>
      <w:adjustRightInd/>
      <w:snapToGrid/>
      <w:spacing w:line="240" w:lineRule="auto"/>
    </w:pPr>
    <w:rPr>
      <w:sz w:val="24"/>
      <w:szCs w:val="24"/>
      <w:lang w:val="en-US"/>
    </w:rPr>
  </w:style>
  <w:style w:type="character" w:styleId="Mention">
    <w:name w:val="Mention"/>
    <w:basedOn w:val="DefaultParagraphFont"/>
    <w:uiPriority w:val="99"/>
    <w:unhideWhenUsed/>
    <w:rsid w:val="00282ADF"/>
    <w:rPr>
      <w:color w:val="2B579A"/>
      <w:shd w:val="clear" w:color="auto" w:fill="E1DFDD"/>
    </w:rPr>
  </w:style>
  <w:style w:type="character" w:customStyle="1" w:styleId="SingleTxtGChar">
    <w:name w:val="_ Single Txt_G Char"/>
    <w:link w:val="SingleTxtG"/>
    <w:rsid w:val="00176009"/>
    <w:rPr>
      <w:rFonts w:ascii="Times New Roman" w:eastAsiaTheme="minorEastAsia"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galite.cfwb.be/index.php?eID=tx_nawsecuredl&amp;u=0&amp;g=0&amp;hash=d8b3da0904b5dcdae4bcd11756362e9874c77921&amp;file=fileadmin/sites/sdec_III/upload/sdec_III_super_editor/sdec_III_editor/documents/Violence/VF_Plan_intrafrancophone_violences_2020-2024_01.pdf" TargetMode="External"/><Relationship Id="rId18" Type="http://schemas.openxmlformats.org/officeDocument/2006/relationships/hyperlink" Target="https://www.vlesp.b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vlaanderen.be/plan-samenleven" TargetMode="External"/><Relationship Id="rId7" Type="http://schemas.openxmlformats.org/officeDocument/2006/relationships/webSettings" Target="webSettings.xml"/><Relationship Id="rId12" Type="http://schemas.openxmlformats.org/officeDocument/2006/relationships/hyperlink" Target="https://assets.vlaanderen.be/image/upload/v1692190448/VR_2022_2312_MED._Update_actieplan_seksueel_geweld_-_4_Bijlage_vjvfuw.pdf" TargetMode="External"/><Relationship Id="rId17" Type="http://schemas.openxmlformats.org/officeDocument/2006/relationships/hyperlink" Target="http://www.stophumantrafficking.be/fr" TargetMode="External"/><Relationship Id="rId25" Type="http://schemas.openxmlformats.org/officeDocument/2006/relationships/hyperlink" Target="http://www.egalite.cfwb.be/index.php?eID=tx_nawsecuredl&amp;u=0&amp;g=0&amp;hash=1d1289900d5852fc643563795a3e16173d713078&amp;file=fileadmin/sites/sdec_III/upload/sdec_III_super_editor/sdec_III_editor/documents/Discriminations/Plan_de_lutte_contre_le_racisme/FWB_Plan_Lutte_Racisme_DEF_web_anysurfer.pdf" TargetMode="External"/><Relationship Id="rId2" Type="http://schemas.openxmlformats.org/officeDocument/2006/relationships/customXml" Target="../customXml/item2.xml"/><Relationship Id="rId16" Type="http://schemas.openxmlformats.org/officeDocument/2006/relationships/hyperlink" Target="https://www.dsb-spc.be/doc/pdf/PAN_TEH_2021_2025_FR.pdf" TargetMode="External"/><Relationship Id="rId20" Type="http://schemas.openxmlformats.org/officeDocument/2006/relationships/hyperlink" Target="https://www.vlaanderen.be/cjm/sites/default/files/2020-11/5f9272a74f5cfb000c0001ad.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qual.brussels/wp-content/uploads/2020/06/Presentation_Plan_Violences_DEF.pdf" TargetMode="External"/><Relationship Id="rId24" Type="http://schemas.openxmlformats.org/officeDocument/2006/relationships/hyperlink" Target="http://www.egalite.cfwb.be/index.php?eID=tx_nawsecuredl&amp;u=0&amp;g=0&amp;hash=1d1289900d5852fc643563795a3e16173d713078&amp;file=fileadmin/sites/sdec_III/upload/sdec_III_super_editor/sdec_III_editor/documents/Discriminations/Plan_de_lutte_contre_le_racisme/FWB_Plan_Lutte_Racisme_DEF_web_anysurfer.pdf" TargetMode="External"/><Relationship Id="rId5" Type="http://schemas.openxmlformats.org/officeDocument/2006/relationships/styles" Target="styles.xml"/><Relationship Id="rId15" Type="http://schemas.openxmlformats.org/officeDocument/2006/relationships/hyperlink" Target="https://igvm-iefh.belgium.be/sites/default/files/20211125-pan-2021-2025-clean-fr.pdf" TargetMode="External"/><Relationship Id="rId23" Type="http://schemas.openxmlformats.org/officeDocument/2006/relationships/hyperlink" Target="https://eur03.safelinks.protection.outlook.com/?url=https%3A%2F%2Fwww.ejustice.just.fgov.be%2Feli%2Fdecret%2F2024%2F04%2F04%2F2024003443%2Fjustel&amp;data=05%7C02%7Cthomas.peeters%40vlaanderen.be%7Ca3decb463c8d4090b61608dd30a1909f%7C0c0338a695614ee8b8d64e89cbd520a0%7C0%7C0%7C638720193524118079%7CUnknown%7CTWFpbGZsb3d8eyJFbXB0eU1hcGkiOnRydWUsIlYiOiIwLjAuMDAwMCIsIlAiOiJXaW4zMiIsIkFOIjoiTWFpbCIsIldUIjoyfQ%3D%3D%7C0%7C%7C%7C&amp;sdata=bzxn%2BcDiUl9I7ymIt2n53ZPZjxvQOroC8jOzMkvEHNQ%3D&amp;reserved=0" TargetMode="External"/><Relationship Id="rId28" Type="http://schemas.openxmlformats.org/officeDocument/2006/relationships/footer" Target="footer3.xml"/><Relationship Id="rId10" Type="http://schemas.openxmlformats.org/officeDocument/2006/relationships/hyperlink" Target="https://www.apt.ch/fr/nos-prioritessystemes-de-justice-penale-equitables/principes-pour-des-entretiens-efficaces" TargetMode="External"/><Relationship Id="rId19" Type="http://schemas.openxmlformats.org/officeDocument/2006/relationships/hyperlink" Target="https://phare.irisnet.be/app/download/6314814562/Circulaire+16-547+CH+CJ+CJES+Recommandations+mesures+de+contention+et+ou+d%27isolement.pdf?t=17322670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galite.cfwb.be/index.php?eID=tx_nawsecuredl&amp;u=0&amp;g=0&amp;hash=fba5f84be288ad0d20ffc7c6da00b8b6df5d46fa&amp;file=fileadmin/sites/sdec_III/upload/sdec_III_super_editor/sdec_III_editor/documents/Droits_des_Femmes/Plan_Droits_des_Femmes_2020-2024_FWB.pdf" TargetMode="External"/><Relationship Id="rId22" Type="http://schemas.openxmlformats.org/officeDocument/2006/relationships/hyperlink" Target="https://eur03.safelinks.protection.outlook.com/?url=https%3A%2F%2Fequal.brussels%2Fwp-content%2Fuploads%2F2022%2F12%2FFR_Plan_Racisme_anysurfer.pdf&amp;data=05%7C02%7Cthomas.peeters%40vlaanderen.be%7Ca3decb463c8d4090b61608dd30a1909f%7C0c0338a695614ee8b8d64e89cbd520a0%7C0%7C0%7C638720193524100316%7CUnknown%7CTWFpbGZsb3d8eyJFbXB0eU1hcGkiOnRydWUsIlYiOiIwLjAuMDAwMCIsIlAiOiJXaW4zMiIsIkFOIjoiTWFpbCIsIldUIjoyfQ%3D%3D%7C0%7C%7C%7C&amp;sdata=avS8BLGQ14LLBryIQ6ihHiam9DGBl06RSOHsl46vKXY%3D&amp;reserved=0" TargetMode="External"/><Relationship Id="rId27" Type="http://schemas.openxmlformats.org/officeDocument/2006/relationships/footer" Target="footer2.xml"/><Relationship Id="rId30"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myria.be/files/2021_MYRIA_Rapport_traite_et_trafic_PARTIE2.1.pdf" TargetMode="External"/><Relationship Id="rId13" Type="http://schemas.openxmlformats.org/officeDocument/2006/relationships/hyperlink" Target="http://www.asyluminbelgium.be" TargetMode="External"/><Relationship Id="rId18" Type="http://schemas.openxmlformats.org/officeDocument/2006/relationships/hyperlink" Target="https://assets.vlaanderen.be/image/upload/v1640285646/strap_2020_2025_li6zom.pdf" TargetMode="External"/><Relationship Id="rId3" Type="http://schemas.openxmlformats.org/officeDocument/2006/relationships/hyperlink" Target="https://www.police.be/fr" TargetMode="External"/><Relationship Id="rId21" Type="http://schemas.openxmlformats.org/officeDocument/2006/relationships/hyperlink" Target="https://www.myria.be/fr/publications/victimes-de-la-traite-des-etres-humains-brochure-en-28-langues" TargetMode="External"/><Relationship Id="rId7" Type="http://schemas.openxmlformats.org/officeDocument/2006/relationships/hyperlink" Target="https://igvm-iefh.belgium.be/fr/documentation/code-de-signalement-des-mariages-forces-lusage-des-officiers-de-letat-civil" TargetMode="External"/><Relationship Id="rId12" Type="http://schemas.openxmlformats.org/officeDocument/2006/relationships/hyperlink" Target="https://eur02.safelinks.protection.outlook.com/?url=http%3A%2F%2Fwww.asylumregistration.be%2F&amp;data=05%7C02%7CMichelle.ALEXANDRE%40ibz.be%7Cfb43a99744704918954808dc8fa25493%7C383c9b0036474e3dbd2cc97e4d780acd%7C0%7C0%7C638543174583358765%7CUnknown%7CTWFpbGZsb3d8eyJWIjoiMC4wLjAwMDAiLCJQIjoiV2luMzIiLCJBTiI6Ik1haWwiLCJXVCI6Mn0%3D%7C0%7C%7C%7C&amp;sdata=w7%2FBwLe%2F6pipP%2BVQz%2BdJm%2B%2BKKfLKDavvsH4a5yDQORE%3D&amp;reserved=0" TargetMode="External"/><Relationship Id="rId17" Type="http://schemas.openxmlformats.org/officeDocument/2006/relationships/hyperlink" Target="https://justice.belgium.be/sites/default/files/Adviezen%20penitentiaire%20beleidsraad/AVIS%201%20-%20SURPOPULATION%20CARCERALE%20avec%20opinion%20dissidente%20O.%20Lins%20et%20pr%C3%A9ambule.pdf" TargetMode="External"/><Relationship Id="rId2" Type="http://schemas.openxmlformats.org/officeDocument/2006/relationships/hyperlink" Target="https://www.police.be/statistiques/fr/criminalite/statistiques-de-criminalite" TargetMode="External"/><Relationship Id="rId16" Type="http://schemas.openxmlformats.org/officeDocument/2006/relationships/hyperlink" Target="https://www.myria.be/files/DEF_RAPPORTINTERIMAIRE_FR.pdf" TargetMode="External"/><Relationship Id="rId20" Type="http://schemas.openxmlformats.org/officeDocument/2006/relationships/hyperlink" Target="https://ccsp.belgium.be/publications-page/" TargetMode="External"/><Relationship Id="rId1" Type="http://schemas.openxmlformats.org/officeDocument/2006/relationships/hyperlink" Target="https://justice.belgium.be/fr/themes_et_dossiers/documents/telecharger_des_documents/declaration_de_droits" TargetMode="External"/><Relationship Id="rId6" Type="http://schemas.openxmlformats.org/officeDocument/2006/relationships/hyperlink" Target="https://rm.coe.int/rapport-etatique-premiere-evaluation-thematique-belgique/1680b1bd85" TargetMode="External"/><Relationship Id="rId11" Type="http://schemas.openxmlformats.org/officeDocument/2006/relationships/hyperlink" Target="https://www.myria.be/files/2024_MYRIA_RATEH_3.1.pdf" TargetMode="External"/><Relationship Id="rId24" Type="http://schemas.openxmlformats.org/officeDocument/2006/relationships/hyperlink" Target="https://equal.belgium.be/fr/actualites/rapport-final-de-la-commission-devaluation-des-lois-federales-tendant-lutter-contre-la" TargetMode="External"/><Relationship Id="rId5" Type="http://schemas.openxmlformats.org/officeDocument/2006/relationships/hyperlink" Target="https://rm.coe.int/rapport-du-grevio-sur-la-belgique-/16809f9a2b" TargetMode="External"/><Relationship Id="rId15" Type="http://schemas.openxmlformats.org/officeDocument/2006/relationships/hyperlink" Target="https://www.myria.be/files/Rapport_final_Bossuyt.pdf" TargetMode="External"/><Relationship Id="rId23" Type="http://schemas.openxmlformats.org/officeDocument/2006/relationships/hyperlink" Target="https://justice.belgium.be/fr/themes/que_faire_comme/victime/aide_financiere/actes_intentionnels_de_violence" TargetMode="External"/><Relationship Id="rId10" Type="http://schemas.openxmlformats.org/officeDocument/2006/relationships/hyperlink" Target="https://www.myria.be/files/2023_MYRIA_Rapport_annuel_d%C3%A9valuation_Traite_et_trafic_des_%C3%AAtres_humains_3.2.pdf" TargetMode="External"/><Relationship Id="rId19" Type="http://schemas.openxmlformats.org/officeDocument/2006/relationships/hyperlink" Target="https://www.belrai.org/fr" TargetMode="External"/><Relationship Id="rId4" Type="http://schemas.openxmlformats.org/officeDocument/2006/relationships/hyperlink" Target="https://rm.coe.int/state-report-belgium/pdfa/168093141c" TargetMode="External"/><Relationship Id="rId9" Type="http://schemas.openxmlformats.org/officeDocument/2006/relationships/hyperlink" Target="https://www.myria.be/files/2022_MYRIA_Rapport_annuel_d%C3%A9valuation_Traite_et_trafic_des_%C3%AAtres_humains-3.2.pdf" TargetMode="External"/><Relationship Id="rId14" Type="http://schemas.openxmlformats.org/officeDocument/2006/relationships/hyperlink" Target="https://www.cgra.be/sites/default/files/brochures/asiel_asile_-_gender_genre_-_femmes_jeunes_filles_et_asile_en_belgique_-_fr_0.pdf" TargetMode="External"/><Relationship Id="rId22" Type="http://schemas.openxmlformats.org/officeDocument/2006/relationships/hyperlink" Target="https://justice.belgium.be/fr/nouvelles/communiques_de_presse/la_protection_de_la_personne_des_malades_mentaux_change_le_1e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DC42BC-EF67-4EF7-A9B7-CF0D4EFC1ED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86CF1BC-61D1-4910-A12B-D60AFAFA2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7F3D8-7A9D-44DF-BE74-852571EA529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38</Pages>
  <Words>21067</Words>
  <Characters>120087</Characters>
  <Application>Microsoft Office Word</Application>
  <DocSecurity>0</DocSecurity>
  <Lines>1000</Lines>
  <Paragraphs>281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a/hthhhh</vt:lpstr>
      <vt:lpstr>a/hthhhh</vt:lpstr>
      <vt:lpstr>a/hthhhh</vt:lpstr>
    </vt:vector>
  </TitlesOfParts>
  <Company>DCM</Company>
  <LinksUpToDate>false</LinksUpToDate>
  <CharactersWithSpaces>140873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a/hthhhh</dc:title>
  <dc:creator>Gloria</dc:creator>
  <cp:lastModifiedBy>Bayarmaa Enkhtaivan</cp:lastModifiedBy>
  <cp:revision>3</cp:revision>
  <cp:lastPrinted>2017-02-27T14:31:00Z</cp:lastPrinted>
  <dcterms:created xsi:type="dcterms:W3CDTF">2025-09-04T07:56:00Z</dcterms:created>
  <dcterms:modified xsi:type="dcterms:W3CDTF">2025-09-04T07:57:00Z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la Belgique</vt:lpwstr>
  </property>
  <property fmtid="{D5CDD505-2E9C-101B-9397-08002B2CF9AE}" pid="9" name="countw">
    <vt:lpwstr>Belgique</vt:lpwstr>
  </property>
  <property fmtid="{D5CDD505-2E9C-101B-9397-08002B2CF9AE}" pid="10" name="countwd">
    <vt:lpwstr>la Belgique</vt:lpwstr>
  </property>
  <property fmtid="{D5CDD505-2E9C-101B-9397-08002B2CF9AE}" pid="11" name="date">
    <vt:lpwstr>8 août 2025</vt:lpwstr>
  </property>
  <property fmtid="{D5CDD505-2E9C-101B-9397-08002B2CF9AE}" pid="12" name="Date-Generated">
    <vt:filetime>2025-07-30T13:19:22Z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185000</vt:r8>
  </property>
  <property fmtid="{D5CDD505-2E9C-101B-9397-08002B2CF9AE}" pid="22" name="Org">
    <vt:lpwstr>OHCHR</vt:lpwstr>
  </property>
  <property fmtid="{D5CDD505-2E9C-101B-9397-08002B2CF9AE}" pid="23" name="prep">
    <vt:lpwstr>cinquième rapport périodique de la Belgique</vt:lpwstr>
  </property>
  <property fmtid="{D5CDD505-2E9C-101B-9397-08002B2CF9AE}" pid="24" name="preps">
    <vt:lpwstr>cinquième rapport périodique de la Belgique</vt:lpwstr>
  </property>
  <property fmtid="{D5CDD505-2E9C-101B-9397-08002B2CF9AE}" pid="25" name="prepw">
    <vt:lpwstr>cinquième rapport périodique</vt:lpwstr>
  </property>
  <property fmtid="{D5CDD505-2E9C-101B-9397-08002B2CF9AE}" pid="26" name="prepwc">
    <vt:lpwstr>Cinquième rapport périodique </vt:lpwstr>
  </property>
  <property fmtid="{D5CDD505-2E9C-101B-9397-08002B2CF9AE}" pid="27" name="prepws">
    <vt:lpwstr>cinquième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C/BEL/5</vt:lpwstr>
  </property>
  <property fmtid="{D5CDD505-2E9C-101B-9397-08002B2CF9AE}" pid="33" name="symh">
    <vt:lpwstr>CAT/C/BEL/5</vt:lpwstr>
  </property>
  <property fmtid="{D5CDD505-2E9C-101B-9397-08002B2CF9AE}" pid="34" name="Title">
    <vt:lpwstr>CAT/C/BEL/5</vt:lpwstr>
  </property>
  <property fmtid="{D5CDD505-2E9C-101B-9397-08002B2CF9AE}" pid="35" name="tlang">
    <vt:lpwstr/>
  </property>
  <property fmtid="{D5CDD505-2E9C-101B-9397-08002B2CF9AE}" pid="36" name="virs">
    <vt:lpwstr>Anglais, arabe et français seulement</vt:lpwstr>
  </property>
</Properties>
</file>