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55A3" w:rsidRDefault="003255A3" w:rsidP="00AA05F6">
      <w:pPr>
        <w:jc w:val="center"/>
        <w:rPr>
          <w:b/>
        </w:rPr>
      </w:pPr>
    </w:p>
    <w:p w:rsidR="003255A3" w:rsidRPr="00B66856" w:rsidRDefault="003255A3" w:rsidP="003255A3">
      <w:pPr>
        <w:jc w:val="center"/>
        <w:rPr>
          <w:rFonts w:asciiTheme="majorHAnsi" w:hAnsiTheme="majorHAnsi" w:cstheme="majorHAnsi"/>
          <w:b/>
        </w:rPr>
      </w:pPr>
      <w:r w:rsidRPr="00B66856">
        <w:rPr>
          <w:rFonts w:asciiTheme="majorHAnsi" w:hAnsiTheme="majorHAnsi" w:cstheme="majorHAnsi"/>
          <w:b/>
        </w:rPr>
        <w:t>CUESTIONES RELATIVAS A LA PRESENTACIÓN DEL IX INFORME PERIÓDICO ANTE EL COMITÉ CEDAW PARA LAS QUE EL COMITÉ HA SOLICITADO RESPUESTA POR ESCRITO</w:t>
      </w:r>
    </w:p>
    <w:p w:rsidR="00AA05F6" w:rsidRDefault="00AA05F6" w:rsidP="00AA05F6">
      <w:pPr>
        <w:rPr>
          <w:b/>
        </w:rPr>
      </w:pPr>
    </w:p>
    <w:p w:rsidR="00AA05F6" w:rsidRPr="002918EC" w:rsidRDefault="00AA05F6" w:rsidP="00AA05F6">
      <w:pPr>
        <w:pStyle w:val="Prrafodelista"/>
        <w:numPr>
          <w:ilvl w:val="0"/>
          <w:numId w:val="1"/>
        </w:numPr>
        <w:rPr>
          <w:rFonts w:asciiTheme="majorHAnsi" w:hAnsiTheme="majorHAnsi" w:cstheme="majorHAnsi"/>
          <w:b/>
          <w:u w:val="single"/>
        </w:rPr>
      </w:pPr>
      <w:r w:rsidRPr="002918EC">
        <w:rPr>
          <w:rFonts w:asciiTheme="majorHAnsi" w:hAnsiTheme="majorHAnsi" w:cstheme="majorHAnsi"/>
          <w:b/>
          <w:u w:val="single"/>
        </w:rPr>
        <w:t>La igualdad y la definición de discriminación en las leyes</w:t>
      </w:r>
    </w:p>
    <w:p w:rsidR="00513B9C" w:rsidRPr="002918EC" w:rsidRDefault="00BA0950" w:rsidP="00513B9C">
      <w:pPr>
        <w:pStyle w:val="a0"/>
        <w:shd w:val="clear" w:color="auto" w:fill="FFFFFF"/>
        <w:spacing w:before="0" w:beforeAutospacing="0" w:after="158" w:afterAutospacing="0"/>
        <w:jc w:val="both"/>
        <w:rPr>
          <w:rFonts w:asciiTheme="majorHAnsi" w:hAnsiTheme="majorHAnsi" w:cstheme="majorHAnsi"/>
          <w:b/>
          <w:sz w:val="22"/>
          <w:szCs w:val="22"/>
        </w:rPr>
      </w:pPr>
      <w:r>
        <w:rPr>
          <w:rFonts w:asciiTheme="majorHAnsi" w:hAnsiTheme="majorHAnsi" w:cstheme="majorHAnsi"/>
          <w:sz w:val="22"/>
          <w:szCs w:val="22"/>
        </w:rPr>
        <w:t>Tanto la</w:t>
      </w:r>
      <w:r w:rsidR="00513B9C" w:rsidRPr="002918EC">
        <w:rPr>
          <w:rFonts w:asciiTheme="majorHAnsi" w:hAnsiTheme="majorHAnsi" w:cstheme="majorHAnsi"/>
          <w:sz w:val="22"/>
          <w:szCs w:val="22"/>
        </w:rPr>
        <w:t xml:space="preserve"> Constitución</w:t>
      </w:r>
      <w:r>
        <w:rPr>
          <w:rFonts w:asciiTheme="majorHAnsi" w:hAnsiTheme="majorHAnsi" w:cstheme="majorHAnsi"/>
          <w:sz w:val="22"/>
          <w:szCs w:val="22"/>
        </w:rPr>
        <w:t xml:space="preserve"> Española</w:t>
      </w:r>
      <w:r w:rsidR="00513B9C" w:rsidRPr="002918EC">
        <w:rPr>
          <w:rFonts w:asciiTheme="majorHAnsi" w:hAnsiTheme="majorHAnsi" w:cstheme="majorHAnsi"/>
          <w:sz w:val="22"/>
          <w:szCs w:val="22"/>
        </w:rPr>
        <w:t xml:space="preserve"> como el resto del ordenamiento jurídico español, está</w:t>
      </w:r>
      <w:r>
        <w:rPr>
          <w:rFonts w:asciiTheme="majorHAnsi" w:hAnsiTheme="majorHAnsi" w:cstheme="majorHAnsi"/>
          <w:sz w:val="22"/>
          <w:szCs w:val="22"/>
        </w:rPr>
        <w:t>n</w:t>
      </w:r>
      <w:r w:rsidR="00513B9C" w:rsidRPr="002918EC">
        <w:rPr>
          <w:rFonts w:asciiTheme="majorHAnsi" w:hAnsiTheme="majorHAnsi" w:cstheme="majorHAnsi"/>
          <w:sz w:val="22"/>
          <w:szCs w:val="22"/>
        </w:rPr>
        <w:t xml:space="preserve"> </w:t>
      </w:r>
      <w:r w:rsidR="00513B9C" w:rsidRPr="002918EC">
        <w:rPr>
          <w:rFonts w:asciiTheme="majorHAnsi" w:hAnsiTheme="majorHAnsi" w:cstheme="majorHAnsi"/>
          <w:b/>
          <w:sz w:val="22"/>
          <w:szCs w:val="22"/>
        </w:rPr>
        <w:t>plenamente alineado</w:t>
      </w:r>
      <w:r>
        <w:rPr>
          <w:rFonts w:asciiTheme="majorHAnsi" w:hAnsiTheme="majorHAnsi" w:cstheme="majorHAnsi"/>
          <w:b/>
          <w:sz w:val="22"/>
          <w:szCs w:val="22"/>
        </w:rPr>
        <w:t>s</w:t>
      </w:r>
      <w:r w:rsidR="00513B9C" w:rsidRPr="002918EC">
        <w:rPr>
          <w:rFonts w:asciiTheme="majorHAnsi" w:hAnsiTheme="majorHAnsi" w:cstheme="majorHAnsi"/>
          <w:b/>
          <w:sz w:val="22"/>
          <w:szCs w:val="22"/>
        </w:rPr>
        <w:t xml:space="preserve"> con la Convención.</w:t>
      </w:r>
    </w:p>
    <w:p w:rsidR="00513B9C" w:rsidRPr="00BA0950" w:rsidRDefault="00513B9C" w:rsidP="00BA0950">
      <w:pPr>
        <w:jc w:val="both"/>
        <w:rPr>
          <w:rFonts w:asciiTheme="majorHAnsi" w:hAnsiTheme="majorHAnsi" w:cstheme="majorHAnsi"/>
        </w:rPr>
      </w:pPr>
      <w:r w:rsidRPr="00BA0950">
        <w:rPr>
          <w:rFonts w:asciiTheme="majorHAnsi" w:hAnsiTheme="majorHAnsi" w:cstheme="majorHAnsi"/>
        </w:rPr>
        <w:t xml:space="preserve">En particular, </w:t>
      </w:r>
      <w:r w:rsidR="00BA0950" w:rsidRPr="00BA0950">
        <w:rPr>
          <w:rFonts w:asciiTheme="majorHAnsi" w:hAnsiTheme="majorHAnsi" w:cstheme="majorHAnsi"/>
        </w:rPr>
        <w:t>la</w:t>
      </w:r>
      <w:r w:rsidRPr="00BA0950">
        <w:rPr>
          <w:rFonts w:asciiTheme="majorHAnsi" w:hAnsiTheme="majorHAnsi" w:cstheme="majorHAnsi"/>
        </w:rPr>
        <w:t xml:space="preserve"> </w:t>
      </w:r>
      <w:r w:rsidRPr="00BA0950">
        <w:rPr>
          <w:rFonts w:asciiTheme="majorHAnsi" w:hAnsiTheme="majorHAnsi" w:cstheme="majorHAnsi"/>
          <w:b/>
        </w:rPr>
        <w:t>Constitución</w:t>
      </w:r>
      <w:r w:rsidRPr="00BA0950">
        <w:rPr>
          <w:rFonts w:asciiTheme="majorHAnsi" w:hAnsiTheme="majorHAnsi" w:cstheme="majorHAnsi"/>
        </w:rPr>
        <w:t xml:space="preserve"> (arts. 1, 9.2. y 14) y la jurispruden</w:t>
      </w:r>
      <w:r w:rsidR="00BA0950" w:rsidRPr="00BA0950">
        <w:rPr>
          <w:rFonts w:asciiTheme="majorHAnsi" w:hAnsiTheme="majorHAnsi" w:cstheme="majorHAnsi"/>
        </w:rPr>
        <w:t>cia constitucional concordante reconocen:</w:t>
      </w:r>
    </w:p>
    <w:p w:rsidR="00BA0950" w:rsidRDefault="00513B9C" w:rsidP="00BA0950">
      <w:pPr>
        <w:pStyle w:val="Prrafodelista"/>
        <w:numPr>
          <w:ilvl w:val="0"/>
          <w:numId w:val="6"/>
        </w:numPr>
        <w:jc w:val="both"/>
        <w:rPr>
          <w:rFonts w:asciiTheme="majorHAnsi" w:hAnsiTheme="majorHAnsi" w:cstheme="majorHAnsi"/>
        </w:rPr>
      </w:pPr>
      <w:r w:rsidRPr="00BA0950">
        <w:rPr>
          <w:rFonts w:asciiTheme="majorHAnsi" w:hAnsiTheme="majorHAnsi" w:cstheme="majorHAnsi"/>
        </w:rPr>
        <w:t xml:space="preserve">la igualdad </w:t>
      </w:r>
      <w:r w:rsidR="00BA0950" w:rsidRPr="00BA0950">
        <w:rPr>
          <w:rFonts w:asciiTheme="majorHAnsi" w:hAnsiTheme="majorHAnsi" w:cstheme="majorHAnsi"/>
        </w:rPr>
        <w:t>como</w:t>
      </w:r>
      <w:r w:rsidRPr="00BA0950">
        <w:rPr>
          <w:rFonts w:asciiTheme="majorHAnsi" w:hAnsiTheme="majorHAnsi" w:cstheme="majorHAnsi"/>
        </w:rPr>
        <w:t xml:space="preserve"> un </w:t>
      </w:r>
      <w:r w:rsidRPr="00BA0950">
        <w:rPr>
          <w:rFonts w:asciiTheme="majorHAnsi" w:hAnsiTheme="majorHAnsi" w:cstheme="majorHAnsi"/>
          <w:b/>
        </w:rPr>
        <w:t>valor superior</w:t>
      </w:r>
      <w:r w:rsidRPr="00BA0950">
        <w:rPr>
          <w:rFonts w:asciiTheme="majorHAnsi" w:hAnsiTheme="majorHAnsi" w:cstheme="majorHAnsi"/>
        </w:rPr>
        <w:t xml:space="preserve"> del ordenamiento jurídico y un </w:t>
      </w:r>
      <w:r w:rsidRPr="00BA0950">
        <w:rPr>
          <w:rFonts w:asciiTheme="majorHAnsi" w:hAnsiTheme="majorHAnsi" w:cstheme="majorHAnsi"/>
          <w:b/>
        </w:rPr>
        <w:t>derecho</w:t>
      </w:r>
      <w:r w:rsidRPr="00BA0950">
        <w:rPr>
          <w:rFonts w:asciiTheme="majorHAnsi" w:hAnsiTheme="majorHAnsi" w:cstheme="majorHAnsi"/>
        </w:rPr>
        <w:t xml:space="preserve"> de todas las personas</w:t>
      </w:r>
    </w:p>
    <w:p w:rsidR="00BA0950" w:rsidRDefault="00513B9C" w:rsidP="00BA0950">
      <w:pPr>
        <w:pStyle w:val="Prrafodelista"/>
        <w:numPr>
          <w:ilvl w:val="0"/>
          <w:numId w:val="6"/>
        </w:numPr>
        <w:jc w:val="both"/>
        <w:rPr>
          <w:rFonts w:asciiTheme="majorHAnsi" w:hAnsiTheme="majorHAnsi" w:cstheme="majorHAnsi"/>
        </w:rPr>
      </w:pPr>
      <w:r w:rsidRPr="00BA0950">
        <w:rPr>
          <w:rFonts w:asciiTheme="majorHAnsi" w:hAnsiTheme="majorHAnsi" w:cstheme="majorHAnsi"/>
        </w:rPr>
        <w:t xml:space="preserve">una </w:t>
      </w:r>
      <w:r w:rsidRPr="00BA0950">
        <w:rPr>
          <w:rFonts w:asciiTheme="majorHAnsi" w:hAnsiTheme="majorHAnsi" w:cstheme="majorHAnsi"/>
          <w:b/>
        </w:rPr>
        <w:t>prohibición constitucional</w:t>
      </w:r>
      <w:r w:rsidRPr="00BA0950">
        <w:rPr>
          <w:rFonts w:asciiTheme="majorHAnsi" w:hAnsiTheme="majorHAnsi" w:cstheme="majorHAnsi"/>
        </w:rPr>
        <w:t xml:space="preserve"> de la </w:t>
      </w:r>
      <w:r w:rsidRPr="00BA0950">
        <w:rPr>
          <w:rFonts w:asciiTheme="majorHAnsi" w:hAnsiTheme="majorHAnsi" w:cstheme="majorHAnsi"/>
          <w:b/>
        </w:rPr>
        <w:t>discriminación</w:t>
      </w:r>
      <w:r w:rsidR="00BA0950" w:rsidRPr="00BA0950">
        <w:rPr>
          <w:rFonts w:asciiTheme="majorHAnsi" w:hAnsiTheme="majorHAnsi" w:cstheme="majorHAnsi"/>
          <w:b/>
        </w:rPr>
        <w:t>,</w:t>
      </w:r>
      <w:r w:rsidRPr="00BA0950">
        <w:rPr>
          <w:rFonts w:asciiTheme="majorHAnsi" w:hAnsiTheme="majorHAnsi" w:cstheme="majorHAnsi"/>
        </w:rPr>
        <w:t xml:space="preserve"> tanto en las relaciones de los poderes públicos con la ciudadanía, como de las personas particulares entre sí (</w:t>
      </w:r>
      <w:r w:rsidRPr="00BA0950">
        <w:rPr>
          <w:rFonts w:asciiTheme="majorHAnsi" w:hAnsiTheme="majorHAnsi" w:cstheme="majorHAnsi"/>
          <w:b/>
        </w:rPr>
        <w:t>ámbitos público y privado</w:t>
      </w:r>
      <w:r w:rsidRPr="00BA0950">
        <w:rPr>
          <w:rFonts w:asciiTheme="majorHAnsi" w:hAnsiTheme="majorHAnsi" w:cstheme="majorHAnsi"/>
        </w:rPr>
        <w:t xml:space="preserve">);  </w:t>
      </w:r>
    </w:p>
    <w:p w:rsidR="00513B9C" w:rsidRPr="00BA0950" w:rsidRDefault="00513B9C" w:rsidP="00BA0950">
      <w:pPr>
        <w:pStyle w:val="Prrafodelista"/>
        <w:numPr>
          <w:ilvl w:val="0"/>
          <w:numId w:val="6"/>
        </w:numPr>
        <w:jc w:val="both"/>
        <w:rPr>
          <w:rFonts w:asciiTheme="majorHAnsi" w:hAnsiTheme="majorHAnsi" w:cstheme="majorHAnsi"/>
        </w:rPr>
      </w:pPr>
      <w:r w:rsidRPr="00BA0950">
        <w:rPr>
          <w:rFonts w:asciiTheme="majorHAnsi" w:hAnsiTheme="majorHAnsi" w:cstheme="majorHAnsi"/>
        </w:rPr>
        <w:t xml:space="preserve">y un </w:t>
      </w:r>
      <w:r w:rsidRPr="00BA0950">
        <w:rPr>
          <w:rFonts w:asciiTheme="majorHAnsi" w:hAnsiTheme="majorHAnsi" w:cstheme="majorHAnsi"/>
          <w:b/>
        </w:rPr>
        <w:t>mandato constitucional</w:t>
      </w:r>
      <w:r w:rsidRPr="00BA0950">
        <w:rPr>
          <w:rFonts w:asciiTheme="majorHAnsi" w:hAnsiTheme="majorHAnsi" w:cstheme="majorHAnsi"/>
        </w:rPr>
        <w:t xml:space="preserve"> para la adopción de </w:t>
      </w:r>
      <w:r w:rsidRPr="00BA0950">
        <w:rPr>
          <w:rFonts w:asciiTheme="majorHAnsi" w:hAnsiTheme="majorHAnsi" w:cstheme="majorHAnsi"/>
          <w:b/>
        </w:rPr>
        <w:t>acciones positivas</w:t>
      </w:r>
      <w:r w:rsidRPr="00BA0950">
        <w:rPr>
          <w:rFonts w:asciiTheme="majorHAnsi" w:hAnsiTheme="majorHAnsi" w:cstheme="majorHAnsi"/>
        </w:rPr>
        <w:t xml:space="preserve">, esto es, la obligación de los poderes públicos de luchar activamente contra las discriminaciones existentes y compensar las desigualdades hasta conseguir la plena igualdad de trato y oportunidades. </w:t>
      </w:r>
    </w:p>
    <w:p w:rsidR="00513B9C" w:rsidRPr="00BA0950" w:rsidRDefault="00513B9C" w:rsidP="00BA0950">
      <w:pPr>
        <w:jc w:val="both"/>
        <w:rPr>
          <w:rFonts w:asciiTheme="majorHAnsi" w:hAnsiTheme="majorHAnsi" w:cstheme="majorHAnsi"/>
        </w:rPr>
      </w:pPr>
      <w:r w:rsidRPr="00BA0950">
        <w:rPr>
          <w:rFonts w:asciiTheme="majorHAnsi" w:hAnsiTheme="majorHAnsi" w:cstheme="majorHAnsi"/>
        </w:rPr>
        <w:t>Cabe destacar</w:t>
      </w:r>
      <w:r w:rsidR="00BA0950" w:rsidRPr="00BA0950">
        <w:rPr>
          <w:rFonts w:asciiTheme="majorHAnsi" w:hAnsiTheme="majorHAnsi" w:cstheme="majorHAnsi"/>
        </w:rPr>
        <w:t>,</w:t>
      </w:r>
      <w:r w:rsidRPr="00BA0950">
        <w:rPr>
          <w:rFonts w:asciiTheme="majorHAnsi" w:hAnsiTheme="majorHAnsi" w:cstheme="majorHAnsi"/>
        </w:rPr>
        <w:t xml:space="preserve"> en relación con el artículo 14 de la CE, que consagra el principio de igualdad y la prohibición de discriminación, de acuerdo con doctrina constante del Tribunal Constitucional, que el elenco de circunstancias enunciado en el mismo (“nacimiento, raza, sexo, religión, opinión o cualquier otra condición o circunstancia personal o social”) no es exhaustivo, y que pueden emerger causas de discriminación adicionales, que son protegidas igualmente por dicho precepto (en este sentido, por todas STC 41/2006); así, se ha asumido expresamente la virtualidad discriminatoria, por ejemplo, de la orientación sexual, o del estado civil.</w:t>
      </w:r>
    </w:p>
    <w:p w:rsidR="00513B9C" w:rsidRPr="00BA0950" w:rsidRDefault="00513B9C" w:rsidP="00BA0950">
      <w:pPr>
        <w:jc w:val="both"/>
        <w:rPr>
          <w:rFonts w:asciiTheme="majorHAnsi" w:hAnsiTheme="majorHAnsi" w:cstheme="majorHAnsi"/>
        </w:rPr>
      </w:pPr>
      <w:r w:rsidRPr="00BA0950">
        <w:rPr>
          <w:rFonts w:asciiTheme="majorHAnsi" w:hAnsiTheme="majorHAnsi" w:cstheme="majorHAnsi"/>
        </w:rPr>
        <w:t xml:space="preserve">En el </w:t>
      </w:r>
      <w:r w:rsidRPr="00BA0950">
        <w:rPr>
          <w:rFonts w:asciiTheme="majorHAnsi" w:hAnsiTheme="majorHAnsi" w:cstheme="majorHAnsi"/>
          <w:b/>
        </w:rPr>
        <w:t>plano de la le</w:t>
      </w:r>
      <w:r w:rsidR="00BA0950" w:rsidRPr="00BA0950">
        <w:rPr>
          <w:rFonts w:asciiTheme="majorHAnsi" w:hAnsiTheme="majorHAnsi" w:cstheme="majorHAnsi"/>
          <w:b/>
        </w:rPr>
        <w:t>y,</w:t>
      </w:r>
      <w:r w:rsidR="00BA0950" w:rsidRPr="00BA0950">
        <w:rPr>
          <w:rFonts w:asciiTheme="majorHAnsi" w:hAnsiTheme="majorHAnsi" w:cstheme="majorHAnsi"/>
        </w:rPr>
        <w:t xml:space="preserve"> cabe destacar:</w:t>
      </w:r>
    </w:p>
    <w:p w:rsidR="00BA0950" w:rsidRDefault="00513B9C" w:rsidP="00BA0950">
      <w:pPr>
        <w:pStyle w:val="Prrafodelista"/>
        <w:numPr>
          <w:ilvl w:val="0"/>
          <w:numId w:val="6"/>
        </w:numPr>
        <w:jc w:val="both"/>
        <w:rPr>
          <w:rFonts w:asciiTheme="majorHAnsi" w:hAnsiTheme="majorHAnsi" w:cstheme="majorHAnsi"/>
        </w:rPr>
      </w:pPr>
      <w:r w:rsidRPr="00BA0950">
        <w:rPr>
          <w:rFonts w:asciiTheme="majorHAnsi" w:hAnsiTheme="majorHAnsi" w:cstheme="majorHAnsi"/>
        </w:rPr>
        <w:t xml:space="preserve">la consideración de la igualdad de trato y oportunidades como </w:t>
      </w:r>
      <w:r w:rsidRPr="00BA0950">
        <w:rPr>
          <w:rFonts w:asciiTheme="majorHAnsi" w:hAnsiTheme="majorHAnsi" w:cstheme="majorHAnsi"/>
          <w:b/>
        </w:rPr>
        <w:t>principio informador de la interpretación y aplicación del conjunto de normas</w:t>
      </w:r>
      <w:r w:rsidRPr="00BA0950">
        <w:rPr>
          <w:rFonts w:asciiTheme="majorHAnsi" w:hAnsiTheme="majorHAnsi" w:cstheme="majorHAnsi"/>
        </w:rPr>
        <w:t xml:space="preserve"> del ordenamiento jurídico (LO 3/2007, art. 4)</w:t>
      </w:r>
    </w:p>
    <w:p w:rsidR="00BA0950" w:rsidRDefault="00513B9C" w:rsidP="00BA0950">
      <w:pPr>
        <w:pStyle w:val="Prrafodelista"/>
        <w:numPr>
          <w:ilvl w:val="0"/>
          <w:numId w:val="6"/>
        </w:numPr>
        <w:jc w:val="both"/>
        <w:rPr>
          <w:rFonts w:asciiTheme="majorHAnsi" w:hAnsiTheme="majorHAnsi" w:cstheme="majorHAnsi"/>
        </w:rPr>
      </w:pPr>
      <w:r w:rsidRPr="00BA0950">
        <w:rPr>
          <w:rFonts w:asciiTheme="majorHAnsi" w:hAnsiTheme="majorHAnsi" w:cstheme="majorHAnsi"/>
        </w:rPr>
        <w:t xml:space="preserve">el </w:t>
      </w:r>
      <w:r w:rsidRPr="00BA0950">
        <w:rPr>
          <w:rFonts w:asciiTheme="majorHAnsi" w:hAnsiTheme="majorHAnsi" w:cstheme="majorHAnsi"/>
          <w:b/>
        </w:rPr>
        <w:t>compromiso</w:t>
      </w:r>
      <w:r w:rsidRPr="00BA0950">
        <w:rPr>
          <w:rFonts w:asciiTheme="majorHAnsi" w:hAnsiTheme="majorHAnsi" w:cstheme="majorHAnsi"/>
        </w:rPr>
        <w:t xml:space="preserve"> de todos los poderes públicos con la </w:t>
      </w:r>
      <w:r w:rsidRPr="00BA0950">
        <w:rPr>
          <w:rFonts w:asciiTheme="majorHAnsi" w:hAnsiTheme="majorHAnsi" w:cstheme="majorHAnsi"/>
          <w:b/>
        </w:rPr>
        <w:t xml:space="preserve">efectividad </w:t>
      </w:r>
      <w:r w:rsidRPr="00BA0950">
        <w:rPr>
          <w:rFonts w:asciiTheme="majorHAnsi" w:hAnsiTheme="majorHAnsi" w:cstheme="majorHAnsi"/>
        </w:rPr>
        <w:t xml:space="preserve">del derecho constitucional de igualdad entre mujeres y hombres y la </w:t>
      </w:r>
      <w:r w:rsidRPr="00BA0950">
        <w:rPr>
          <w:rFonts w:asciiTheme="majorHAnsi" w:hAnsiTheme="majorHAnsi" w:cstheme="majorHAnsi"/>
          <w:b/>
        </w:rPr>
        <w:t xml:space="preserve">integración </w:t>
      </w:r>
      <w:r w:rsidRPr="00BA0950">
        <w:rPr>
          <w:rFonts w:asciiTheme="majorHAnsi" w:hAnsiTheme="majorHAnsi" w:cstheme="majorHAnsi"/>
        </w:rPr>
        <w:t xml:space="preserve">de la igualdad de trato y de oportunidades en el </w:t>
      </w:r>
      <w:r w:rsidRPr="00BA0950">
        <w:rPr>
          <w:rFonts w:asciiTheme="majorHAnsi" w:hAnsiTheme="majorHAnsi" w:cstheme="majorHAnsi"/>
          <w:b/>
        </w:rPr>
        <w:t xml:space="preserve">conjunto de las políticas económica, laboral, social, cultural y artística </w:t>
      </w:r>
      <w:r w:rsidRPr="00BA0950">
        <w:rPr>
          <w:rFonts w:asciiTheme="majorHAnsi" w:hAnsiTheme="majorHAnsi" w:cstheme="majorHAnsi"/>
        </w:rPr>
        <w:t xml:space="preserve">(LO 3/2007, art. 14.1 y 2);  </w:t>
      </w:r>
    </w:p>
    <w:p w:rsidR="00BA0950" w:rsidRDefault="00513B9C" w:rsidP="00BA0950">
      <w:pPr>
        <w:pStyle w:val="Prrafodelista"/>
        <w:numPr>
          <w:ilvl w:val="0"/>
          <w:numId w:val="6"/>
        </w:numPr>
        <w:jc w:val="both"/>
        <w:rPr>
          <w:rFonts w:asciiTheme="majorHAnsi" w:hAnsiTheme="majorHAnsi" w:cstheme="majorHAnsi"/>
        </w:rPr>
      </w:pPr>
      <w:r w:rsidRPr="00BA0950">
        <w:rPr>
          <w:rFonts w:asciiTheme="majorHAnsi" w:hAnsiTheme="majorHAnsi" w:cstheme="majorHAnsi"/>
        </w:rPr>
        <w:t xml:space="preserve">la </w:t>
      </w:r>
      <w:r w:rsidRPr="00BA0950">
        <w:rPr>
          <w:rFonts w:asciiTheme="majorHAnsi" w:hAnsiTheme="majorHAnsi" w:cstheme="majorHAnsi"/>
          <w:b/>
        </w:rPr>
        <w:t>transversalidad del principio de igualdad de trato</w:t>
      </w:r>
      <w:r w:rsidRPr="00BA0950">
        <w:rPr>
          <w:rFonts w:asciiTheme="majorHAnsi" w:hAnsiTheme="majorHAnsi" w:cstheme="majorHAnsi"/>
        </w:rPr>
        <w:t xml:space="preserve"> en el </w:t>
      </w:r>
      <w:r w:rsidRPr="00BA0950">
        <w:rPr>
          <w:rFonts w:asciiTheme="majorHAnsi" w:hAnsiTheme="majorHAnsi" w:cstheme="majorHAnsi"/>
          <w:b/>
        </w:rPr>
        <w:t>diseño, la adopción y la ejecución</w:t>
      </w:r>
      <w:r w:rsidRPr="00BA0950">
        <w:rPr>
          <w:rFonts w:asciiTheme="majorHAnsi" w:hAnsiTheme="majorHAnsi" w:cstheme="majorHAnsi"/>
        </w:rPr>
        <w:t xml:space="preserve"> de las disposiciones normativas y </w:t>
      </w:r>
      <w:r w:rsidRPr="00BA0950">
        <w:rPr>
          <w:rFonts w:asciiTheme="majorHAnsi" w:hAnsiTheme="majorHAnsi" w:cstheme="majorHAnsi"/>
          <w:b/>
        </w:rPr>
        <w:t>políticas públicas</w:t>
      </w:r>
      <w:r w:rsidRPr="00BA0950">
        <w:rPr>
          <w:rFonts w:asciiTheme="majorHAnsi" w:hAnsiTheme="majorHAnsi" w:cstheme="majorHAnsi"/>
        </w:rPr>
        <w:t xml:space="preserve"> en todos los ámbitos, incluido el presupuestario (LO 3/2007, art. 15)</w:t>
      </w:r>
      <w:r w:rsidRPr="00BA0950">
        <w:rPr>
          <w:rFonts w:asciiTheme="majorHAnsi" w:hAnsiTheme="majorHAnsi" w:cstheme="majorHAnsi"/>
          <w:b/>
        </w:rPr>
        <w:t>.</w:t>
      </w:r>
      <w:r w:rsidRPr="00BA0950">
        <w:rPr>
          <w:rFonts w:asciiTheme="majorHAnsi" w:hAnsiTheme="majorHAnsi" w:cstheme="majorHAnsi"/>
        </w:rPr>
        <w:t xml:space="preserve"> </w:t>
      </w:r>
    </w:p>
    <w:p w:rsidR="00513B9C" w:rsidRPr="00BA0950" w:rsidRDefault="00513B9C" w:rsidP="00BA0950">
      <w:pPr>
        <w:pStyle w:val="Prrafodelista"/>
        <w:numPr>
          <w:ilvl w:val="0"/>
          <w:numId w:val="6"/>
        </w:numPr>
        <w:jc w:val="both"/>
        <w:rPr>
          <w:rFonts w:asciiTheme="majorHAnsi" w:hAnsiTheme="majorHAnsi" w:cstheme="majorHAnsi"/>
        </w:rPr>
      </w:pPr>
      <w:r w:rsidRPr="00BA0950">
        <w:rPr>
          <w:rFonts w:asciiTheme="majorHAnsi" w:hAnsiTheme="majorHAnsi" w:cstheme="majorHAnsi"/>
        </w:rPr>
        <w:t xml:space="preserve">las </w:t>
      </w:r>
      <w:r w:rsidRPr="00BA0950">
        <w:rPr>
          <w:rFonts w:asciiTheme="majorHAnsi" w:hAnsiTheme="majorHAnsi" w:cstheme="majorHAnsi"/>
          <w:b/>
        </w:rPr>
        <w:t>definiciones de discriminación directa e indirecta</w:t>
      </w:r>
      <w:r w:rsidRPr="00BA0950">
        <w:rPr>
          <w:rFonts w:asciiTheme="majorHAnsi" w:hAnsiTheme="majorHAnsi" w:cstheme="majorHAnsi"/>
        </w:rPr>
        <w:t>, en la LO 3/2007 (</w:t>
      </w:r>
      <w:r w:rsidRPr="00BA0950">
        <w:rPr>
          <w:rFonts w:asciiTheme="majorHAnsi" w:hAnsiTheme="majorHAnsi" w:cstheme="majorHAnsi"/>
          <w:i/>
        </w:rPr>
        <w:t xml:space="preserve">igualdad efectiva entre mujeres y hombres), </w:t>
      </w:r>
      <w:r w:rsidRPr="00BA0950">
        <w:rPr>
          <w:rFonts w:asciiTheme="majorHAnsi" w:hAnsiTheme="majorHAnsi" w:cstheme="majorHAnsi"/>
        </w:rPr>
        <w:t>art. 6; en la Ley 15/2022 (</w:t>
      </w:r>
      <w:r w:rsidRPr="00BA0950">
        <w:rPr>
          <w:rFonts w:asciiTheme="majorHAnsi" w:hAnsiTheme="majorHAnsi" w:cstheme="majorHAnsi"/>
          <w:i/>
        </w:rPr>
        <w:t>igualdad y no discriminación</w:t>
      </w:r>
      <w:r w:rsidRPr="00BA0950">
        <w:rPr>
          <w:rFonts w:asciiTheme="majorHAnsi" w:hAnsiTheme="majorHAnsi" w:cstheme="majorHAnsi"/>
        </w:rPr>
        <w:t>); y en la Ley 4/2023 (</w:t>
      </w:r>
      <w:r w:rsidRPr="00BA0950">
        <w:rPr>
          <w:rFonts w:asciiTheme="majorHAnsi" w:hAnsiTheme="majorHAnsi" w:cstheme="majorHAnsi"/>
          <w:i/>
        </w:rPr>
        <w:t xml:space="preserve">ley </w:t>
      </w:r>
      <w:proofErr w:type="spellStart"/>
      <w:r w:rsidRPr="00BA0950">
        <w:rPr>
          <w:rFonts w:asciiTheme="majorHAnsi" w:hAnsiTheme="majorHAnsi" w:cstheme="majorHAnsi"/>
          <w:i/>
        </w:rPr>
        <w:t>trans</w:t>
      </w:r>
      <w:proofErr w:type="spellEnd"/>
      <w:r w:rsidRPr="00BA0950">
        <w:rPr>
          <w:rFonts w:asciiTheme="majorHAnsi" w:hAnsiTheme="majorHAnsi" w:cstheme="majorHAnsi"/>
          <w:i/>
        </w:rPr>
        <w:t xml:space="preserve"> y </w:t>
      </w:r>
      <w:r w:rsidR="00BA0950" w:rsidRPr="00BA0950">
        <w:rPr>
          <w:rFonts w:asciiTheme="majorHAnsi" w:hAnsiTheme="majorHAnsi" w:cstheme="majorHAnsi"/>
          <w:i/>
        </w:rPr>
        <w:t>LGTBI</w:t>
      </w:r>
      <w:r w:rsidRPr="00BA0950">
        <w:rPr>
          <w:rFonts w:asciiTheme="majorHAnsi" w:hAnsiTheme="majorHAnsi" w:cstheme="majorHAnsi"/>
        </w:rPr>
        <w:t xml:space="preserve">), con el siguiente tenor:  </w:t>
      </w:r>
    </w:p>
    <w:p w:rsidR="00513B9C" w:rsidRPr="002918EC" w:rsidRDefault="00513B9C" w:rsidP="00513B9C">
      <w:pPr>
        <w:pStyle w:val="Prrafodelista"/>
        <w:rPr>
          <w:rFonts w:asciiTheme="majorHAnsi" w:hAnsiTheme="majorHAnsi" w:cstheme="majorHAnsi"/>
        </w:rPr>
      </w:pPr>
    </w:p>
    <w:p w:rsidR="00513B9C" w:rsidRPr="002918EC" w:rsidRDefault="00513B9C" w:rsidP="00513B9C">
      <w:pPr>
        <w:pStyle w:val="Prrafodelista"/>
        <w:ind w:left="1416"/>
        <w:jc w:val="both"/>
        <w:rPr>
          <w:rFonts w:asciiTheme="majorHAnsi" w:hAnsiTheme="majorHAnsi" w:cstheme="majorHAnsi"/>
          <w:i/>
        </w:rPr>
      </w:pPr>
      <w:r w:rsidRPr="002918EC">
        <w:rPr>
          <w:rFonts w:asciiTheme="majorHAnsi" w:hAnsiTheme="majorHAnsi" w:cstheme="majorHAnsi"/>
        </w:rPr>
        <w:t xml:space="preserve">discriminación </w:t>
      </w:r>
      <w:r w:rsidRPr="002918EC">
        <w:rPr>
          <w:rFonts w:asciiTheme="majorHAnsi" w:hAnsiTheme="majorHAnsi" w:cstheme="majorHAnsi"/>
          <w:b/>
        </w:rPr>
        <w:t>directa</w:t>
      </w:r>
      <w:r w:rsidRPr="002918EC">
        <w:rPr>
          <w:rFonts w:asciiTheme="majorHAnsi" w:hAnsiTheme="majorHAnsi" w:cstheme="majorHAnsi"/>
        </w:rPr>
        <w:t xml:space="preserve">:   </w:t>
      </w:r>
      <w:r w:rsidRPr="002918EC">
        <w:rPr>
          <w:rFonts w:asciiTheme="majorHAnsi" w:hAnsiTheme="majorHAnsi" w:cstheme="majorHAnsi"/>
          <w:i/>
        </w:rPr>
        <w:t xml:space="preserve">situación en que se encuentra una persona o grupo en que se integra que sea, haya sido o pudiera ser </w:t>
      </w:r>
      <w:r w:rsidRPr="002918EC">
        <w:rPr>
          <w:rFonts w:asciiTheme="majorHAnsi" w:hAnsiTheme="majorHAnsi" w:cstheme="majorHAnsi"/>
          <w:b/>
          <w:i/>
        </w:rPr>
        <w:t>tratada de manera menos favorable</w:t>
      </w:r>
      <w:r w:rsidRPr="002918EC">
        <w:rPr>
          <w:rFonts w:asciiTheme="majorHAnsi" w:hAnsiTheme="majorHAnsi" w:cstheme="majorHAnsi"/>
          <w:i/>
        </w:rPr>
        <w:t xml:space="preserve"> que otras en situación análoga o comparable</w:t>
      </w:r>
    </w:p>
    <w:p w:rsidR="00513B9C" w:rsidRPr="002918EC" w:rsidRDefault="00513B9C" w:rsidP="00513B9C">
      <w:pPr>
        <w:pStyle w:val="Prrafodelista"/>
        <w:ind w:left="1068"/>
        <w:rPr>
          <w:rFonts w:asciiTheme="majorHAnsi" w:hAnsiTheme="majorHAnsi" w:cstheme="majorHAnsi"/>
        </w:rPr>
      </w:pPr>
    </w:p>
    <w:p w:rsidR="00513B9C" w:rsidRPr="002918EC" w:rsidRDefault="00513B9C" w:rsidP="00513B9C">
      <w:pPr>
        <w:pStyle w:val="Prrafodelista"/>
        <w:ind w:left="1416"/>
        <w:jc w:val="both"/>
        <w:rPr>
          <w:rFonts w:asciiTheme="majorHAnsi" w:hAnsiTheme="majorHAnsi" w:cstheme="majorHAnsi"/>
          <w:i/>
        </w:rPr>
      </w:pPr>
      <w:r w:rsidRPr="002918EC">
        <w:rPr>
          <w:rFonts w:asciiTheme="majorHAnsi" w:hAnsiTheme="majorHAnsi" w:cstheme="majorHAnsi"/>
        </w:rPr>
        <w:t xml:space="preserve">discriminación </w:t>
      </w:r>
      <w:r w:rsidRPr="002918EC">
        <w:rPr>
          <w:rFonts w:asciiTheme="majorHAnsi" w:hAnsiTheme="majorHAnsi" w:cstheme="majorHAnsi"/>
          <w:b/>
        </w:rPr>
        <w:t>indirecta</w:t>
      </w:r>
      <w:r w:rsidRPr="002918EC">
        <w:rPr>
          <w:rFonts w:asciiTheme="majorHAnsi" w:hAnsiTheme="majorHAnsi" w:cstheme="majorHAnsi"/>
        </w:rPr>
        <w:t xml:space="preserve">:   </w:t>
      </w:r>
      <w:r w:rsidRPr="002918EC">
        <w:rPr>
          <w:rFonts w:asciiTheme="majorHAnsi" w:hAnsiTheme="majorHAnsi" w:cstheme="majorHAnsi"/>
          <w:i/>
        </w:rPr>
        <w:t xml:space="preserve">situación producida cuando una </w:t>
      </w:r>
      <w:r w:rsidRPr="002918EC">
        <w:rPr>
          <w:rFonts w:asciiTheme="majorHAnsi" w:hAnsiTheme="majorHAnsi" w:cstheme="majorHAnsi"/>
          <w:b/>
          <w:i/>
        </w:rPr>
        <w:t>disposición, criterio o práctica aparentemente neutros</w:t>
      </w:r>
      <w:r w:rsidRPr="002918EC">
        <w:rPr>
          <w:rFonts w:asciiTheme="majorHAnsi" w:hAnsiTheme="majorHAnsi" w:cstheme="majorHAnsi"/>
          <w:i/>
        </w:rPr>
        <w:t xml:space="preserve"> ocasiona o puede ocasionar a una o varias personas una desventaja particular con respecto a otras (salvo que dicha disposición, criterio o práctica puedan justificarse objetivamente en atención a una finalidad legítima y que los medios para alcanzar dicha finalidad sean necesarios y adecuados (</w:t>
      </w:r>
      <w:r w:rsidRPr="002918EC">
        <w:rPr>
          <w:rFonts w:asciiTheme="majorHAnsi" w:hAnsiTheme="majorHAnsi" w:cstheme="majorHAnsi"/>
        </w:rPr>
        <w:t>la</w:t>
      </w:r>
      <w:r w:rsidRPr="002918EC">
        <w:rPr>
          <w:rFonts w:asciiTheme="majorHAnsi" w:hAnsiTheme="majorHAnsi" w:cstheme="majorHAnsi"/>
          <w:i/>
        </w:rPr>
        <w:t xml:space="preserve"> </w:t>
      </w:r>
      <w:r w:rsidRPr="002918EC">
        <w:rPr>
          <w:rFonts w:asciiTheme="majorHAnsi" w:hAnsiTheme="majorHAnsi" w:cstheme="majorHAnsi"/>
        </w:rPr>
        <w:t>reserva entre paréntesis sólo en LO 3/2007, desaparece en las otras</w:t>
      </w:r>
      <w:r w:rsidRPr="002918EC">
        <w:rPr>
          <w:rFonts w:asciiTheme="majorHAnsi" w:hAnsiTheme="majorHAnsi" w:cstheme="majorHAnsi"/>
          <w:i/>
        </w:rPr>
        <w:t>).</w:t>
      </w:r>
    </w:p>
    <w:p w:rsidR="00513B9C" w:rsidRPr="002918EC" w:rsidRDefault="00513B9C" w:rsidP="00513B9C">
      <w:pPr>
        <w:pStyle w:val="Prrafodelista"/>
        <w:ind w:left="1068"/>
        <w:rPr>
          <w:rFonts w:asciiTheme="majorHAnsi" w:hAnsiTheme="majorHAnsi" w:cstheme="majorHAnsi"/>
        </w:rPr>
      </w:pPr>
    </w:p>
    <w:p w:rsidR="00513B9C" w:rsidRPr="002918EC" w:rsidRDefault="00BA0950" w:rsidP="00513B9C">
      <w:pPr>
        <w:pStyle w:val="Prrafodelista"/>
        <w:numPr>
          <w:ilvl w:val="0"/>
          <w:numId w:val="2"/>
        </w:numPr>
        <w:jc w:val="both"/>
        <w:rPr>
          <w:rFonts w:asciiTheme="majorHAnsi" w:hAnsiTheme="majorHAnsi" w:cstheme="majorHAnsi"/>
        </w:rPr>
      </w:pPr>
      <w:r>
        <w:rPr>
          <w:rFonts w:asciiTheme="majorHAnsi" w:hAnsiTheme="majorHAnsi" w:cstheme="majorHAnsi"/>
        </w:rPr>
        <w:t>l</w:t>
      </w:r>
      <w:r w:rsidR="00513B9C" w:rsidRPr="002918EC">
        <w:rPr>
          <w:rFonts w:asciiTheme="majorHAnsi" w:hAnsiTheme="majorHAnsi" w:cstheme="majorHAnsi"/>
        </w:rPr>
        <w:t>a consideración de la discriminación por asociación y por error, la discriminación múltiple o interseccional, la denegación de ajustes razonables, el acoso, la inducción, orden o instrucción de discriminar o de cometer una acción de intolerancia, las represalias o el incumplimiento de las medidas de acción positiva derivadas de obligaciones normativas o convencionales, la inacción, dejación de funciones, o incumplimiento de deberes, como vulneraciones del derecho a la igualdad (arts. 4 y 6 Ley 15/2022, art. 3 Ley 4/2023).</w:t>
      </w:r>
    </w:p>
    <w:p w:rsidR="00513B9C" w:rsidRPr="002918EC" w:rsidRDefault="00513B9C" w:rsidP="00513B9C">
      <w:pPr>
        <w:pStyle w:val="Prrafodelista"/>
        <w:ind w:left="1068"/>
        <w:jc w:val="both"/>
        <w:rPr>
          <w:rFonts w:asciiTheme="majorHAnsi" w:hAnsiTheme="majorHAnsi" w:cstheme="majorHAnsi"/>
        </w:rPr>
      </w:pPr>
    </w:p>
    <w:p w:rsidR="00513B9C" w:rsidRPr="002918EC" w:rsidRDefault="00BA0950" w:rsidP="00513B9C">
      <w:pPr>
        <w:pStyle w:val="Prrafodelista"/>
        <w:numPr>
          <w:ilvl w:val="0"/>
          <w:numId w:val="2"/>
        </w:numPr>
        <w:jc w:val="both"/>
        <w:rPr>
          <w:rFonts w:asciiTheme="majorHAnsi" w:hAnsiTheme="majorHAnsi" w:cstheme="majorHAnsi"/>
        </w:rPr>
      </w:pPr>
      <w:r>
        <w:rPr>
          <w:rFonts w:asciiTheme="majorHAnsi" w:hAnsiTheme="majorHAnsi" w:cstheme="majorHAnsi"/>
        </w:rPr>
        <w:t>l</w:t>
      </w:r>
      <w:r w:rsidR="00513B9C" w:rsidRPr="002918EC">
        <w:rPr>
          <w:rFonts w:asciiTheme="majorHAnsi" w:hAnsiTheme="majorHAnsi" w:cstheme="majorHAnsi"/>
        </w:rPr>
        <w:t xml:space="preserve">a definición de discriminación </w:t>
      </w:r>
      <w:r w:rsidR="00513B9C" w:rsidRPr="002918EC">
        <w:rPr>
          <w:rFonts w:asciiTheme="majorHAnsi" w:hAnsiTheme="majorHAnsi" w:cstheme="majorHAnsi"/>
          <w:b/>
        </w:rPr>
        <w:t xml:space="preserve">interseccional </w:t>
      </w:r>
      <w:r w:rsidR="00513B9C" w:rsidRPr="002918EC">
        <w:rPr>
          <w:rFonts w:asciiTheme="majorHAnsi" w:hAnsiTheme="majorHAnsi" w:cstheme="majorHAnsi"/>
        </w:rPr>
        <w:t xml:space="preserve">en la Ley 15/2022 (art. 6.3) y la Ley 4/2023 (art. 3 c), con el siguiente tenor: </w:t>
      </w:r>
    </w:p>
    <w:p w:rsidR="00513B9C" w:rsidRPr="002918EC" w:rsidRDefault="00513B9C" w:rsidP="00513B9C">
      <w:pPr>
        <w:pStyle w:val="Prrafodelista"/>
        <w:rPr>
          <w:rFonts w:asciiTheme="majorHAnsi" w:hAnsiTheme="majorHAnsi" w:cstheme="majorHAnsi"/>
        </w:rPr>
      </w:pPr>
    </w:p>
    <w:p w:rsidR="00BA0950" w:rsidRDefault="00513B9C" w:rsidP="00BA0950">
      <w:pPr>
        <w:pStyle w:val="Prrafodelista"/>
        <w:ind w:left="1521"/>
        <w:jc w:val="both"/>
        <w:rPr>
          <w:rFonts w:asciiTheme="majorHAnsi" w:hAnsiTheme="majorHAnsi" w:cstheme="majorHAnsi"/>
          <w:i/>
        </w:rPr>
      </w:pPr>
      <w:r w:rsidRPr="002918EC">
        <w:rPr>
          <w:rFonts w:asciiTheme="majorHAnsi" w:hAnsiTheme="majorHAnsi" w:cstheme="majorHAnsi"/>
        </w:rPr>
        <w:t xml:space="preserve">discriminación </w:t>
      </w:r>
      <w:r w:rsidRPr="002918EC">
        <w:rPr>
          <w:rFonts w:asciiTheme="majorHAnsi" w:hAnsiTheme="majorHAnsi" w:cstheme="majorHAnsi"/>
          <w:b/>
        </w:rPr>
        <w:t>interseccional:</w:t>
      </w:r>
      <w:r w:rsidRPr="002918EC">
        <w:rPr>
          <w:rFonts w:asciiTheme="majorHAnsi" w:hAnsiTheme="majorHAnsi" w:cstheme="majorHAnsi"/>
        </w:rPr>
        <w:t xml:space="preserve">   </w:t>
      </w:r>
      <w:r w:rsidRPr="002918EC">
        <w:rPr>
          <w:rFonts w:asciiTheme="majorHAnsi" w:hAnsiTheme="majorHAnsi" w:cstheme="majorHAnsi"/>
          <w:i/>
        </w:rPr>
        <w:t xml:space="preserve">se produce cuando concurren o interactúan </w:t>
      </w:r>
      <w:r w:rsidRPr="002918EC">
        <w:rPr>
          <w:rFonts w:asciiTheme="majorHAnsi" w:hAnsiTheme="majorHAnsi" w:cstheme="majorHAnsi"/>
          <w:b/>
          <w:i/>
        </w:rPr>
        <w:t>diversas causas</w:t>
      </w:r>
      <w:r w:rsidRPr="002918EC">
        <w:rPr>
          <w:rFonts w:asciiTheme="majorHAnsi" w:hAnsiTheme="majorHAnsi" w:cstheme="majorHAnsi"/>
          <w:i/>
        </w:rPr>
        <w:t xml:space="preserve"> de discriminación, generando una </w:t>
      </w:r>
      <w:r w:rsidRPr="002918EC">
        <w:rPr>
          <w:rFonts w:asciiTheme="majorHAnsi" w:hAnsiTheme="majorHAnsi" w:cstheme="majorHAnsi"/>
          <w:b/>
          <w:i/>
        </w:rPr>
        <w:t>forma específica</w:t>
      </w:r>
      <w:r w:rsidRPr="002918EC">
        <w:rPr>
          <w:rFonts w:asciiTheme="majorHAnsi" w:hAnsiTheme="majorHAnsi" w:cstheme="majorHAnsi"/>
          <w:i/>
        </w:rPr>
        <w:t xml:space="preserve"> de discriminación.</w:t>
      </w:r>
    </w:p>
    <w:p w:rsidR="00BA0950" w:rsidRDefault="00BA0950" w:rsidP="00BA0950">
      <w:pPr>
        <w:pStyle w:val="Prrafodelista"/>
        <w:ind w:left="1521"/>
        <w:jc w:val="both"/>
        <w:rPr>
          <w:rFonts w:asciiTheme="majorHAnsi" w:hAnsiTheme="majorHAnsi" w:cstheme="majorHAnsi"/>
          <w:i/>
        </w:rPr>
      </w:pPr>
    </w:p>
    <w:p w:rsidR="00BA0950" w:rsidRDefault="00513B9C" w:rsidP="00BA0950">
      <w:pPr>
        <w:pStyle w:val="Prrafodelista"/>
        <w:ind w:left="1068"/>
        <w:jc w:val="both"/>
        <w:rPr>
          <w:rFonts w:asciiTheme="majorHAnsi" w:hAnsiTheme="majorHAnsi" w:cstheme="majorHAnsi"/>
        </w:rPr>
      </w:pPr>
      <w:r w:rsidRPr="00BA0950">
        <w:rPr>
          <w:rFonts w:asciiTheme="majorHAnsi" w:hAnsiTheme="majorHAnsi" w:cstheme="majorHAnsi"/>
        </w:rPr>
        <w:t xml:space="preserve">De acuerdo con lo establecido en la </w:t>
      </w:r>
      <w:r w:rsidRPr="00BA0950">
        <w:rPr>
          <w:rFonts w:asciiTheme="majorHAnsi" w:hAnsiTheme="majorHAnsi" w:cstheme="majorHAnsi"/>
          <w:b/>
        </w:rPr>
        <w:t>Recomendación general nº 28 del Comité CEDAW</w:t>
      </w:r>
      <w:r w:rsidRPr="00BA0950">
        <w:rPr>
          <w:rFonts w:asciiTheme="majorHAnsi" w:hAnsiTheme="majorHAnsi" w:cstheme="majorHAnsi"/>
        </w:rPr>
        <w:t xml:space="preserve"> (apartado 18), </w:t>
      </w:r>
      <w:r w:rsidRPr="00BA0950">
        <w:rPr>
          <w:rFonts w:asciiTheme="majorHAnsi" w:hAnsiTheme="majorHAnsi" w:cstheme="majorHAnsi"/>
          <w:i/>
        </w:rPr>
        <w:t xml:space="preserve">la </w:t>
      </w:r>
      <w:r w:rsidRPr="00BA0950">
        <w:rPr>
          <w:rFonts w:asciiTheme="majorHAnsi" w:hAnsiTheme="majorHAnsi" w:cstheme="majorHAnsi"/>
          <w:b/>
          <w:i/>
        </w:rPr>
        <w:t>discriminación de la mujer</w:t>
      </w:r>
      <w:r w:rsidRPr="00BA0950">
        <w:rPr>
          <w:rFonts w:asciiTheme="majorHAnsi" w:hAnsiTheme="majorHAnsi" w:cstheme="majorHAnsi"/>
          <w:i/>
        </w:rPr>
        <w:t xml:space="preserve"> por motivos de sexo y género está </w:t>
      </w:r>
      <w:r w:rsidRPr="00BA0950">
        <w:rPr>
          <w:rFonts w:asciiTheme="majorHAnsi" w:hAnsiTheme="majorHAnsi" w:cstheme="majorHAnsi"/>
          <w:b/>
          <w:i/>
        </w:rPr>
        <w:t>unida de manera indivisible a otros factores</w:t>
      </w:r>
      <w:r w:rsidRPr="00BA0950">
        <w:rPr>
          <w:rFonts w:asciiTheme="majorHAnsi" w:hAnsiTheme="majorHAnsi" w:cstheme="majorHAnsi"/>
          <w:i/>
        </w:rPr>
        <w:t xml:space="preserve"> que afectan a la mujer, como la raza, el origen étnico, la religión o las creencias, la salud, el estatus, la edad, la clase, la casta, la orientación sexual y la identidad de género, </w:t>
      </w:r>
      <w:r w:rsidRPr="00BA0950">
        <w:rPr>
          <w:rFonts w:asciiTheme="majorHAnsi" w:hAnsiTheme="majorHAnsi" w:cstheme="majorHAnsi"/>
        </w:rPr>
        <w:t xml:space="preserve">por lo que </w:t>
      </w:r>
      <w:r w:rsidRPr="00BA0950">
        <w:rPr>
          <w:rFonts w:asciiTheme="majorHAnsi" w:hAnsiTheme="majorHAnsi" w:cstheme="majorHAnsi"/>
          <w:i/>
        </w:rPr>
        <w:t xml:space="preserve">los Estados partes deben reconocer y prohibir en sus instrumentos jurídicos estas </w:t>
      </w:r>
      <w:r w:rsidRPr="00BA0950">
        <w:rPr>
          <w:rFonts w:asciiTheme="majorHAnsi" w:hAnsiTheme="majorHAnsi" w:cstheme="majorHAnsi"/>
          <w:b/>
          <w:i/>
        </w:rPr>
        <w:t>formas entrecruzadas de discriminación</w:t>
      </w:r>
      <w:r w:rsidRPr="00BA0950">
        <w:rPr>
          <w:rFonts w:asciiTheme="majorHAnsi" w:hAnsiTheme="majorHAnsi" w:cstheme="majorHAnsi"/>
          <w:i/>
        </w:rPr>
        <w:t xml:space="preserve"> y su impacto negativo combinado en las mujeres afectadas.</w:t>
      </w:r>
      <w:r w:rsidRPr="00BA0950">
        <w:rPr>
          <w:rFonts w:asciiTheme="majorHAnsi" w:hAnsiTheme="majorHAnsi" w:cstheme="majorHAnsi"/>
        </w:rPr>
        <w:t xml:space="preserve"> </w:t>
      </w:r>
    </w:p>
    <w:p w:rsidR="00BA0950" w:rsidRDefault="00BA0950" w:rsidP="00BA0950">
      <w:pPr>
        <w:pStyle w:val="Prrafodelista"/>
        <w:ind w:left="1068"/>
        <w:jc w:val="both"/>
        <w:rPr>
          <w:rFonts w:asciiTheme="majorHAnsi" w:hAnsiTheme="majorHAnsi" w:cstheme="majorHAnsi"/>
        </w:rPr>
      </w:pPr>
    </w:p>
    <w:p w:rsidR="00513B9C" w:rsidRPr="00BA0950" w:rsidRDefault="00513B9C" w:rsidP="00BA0950">
      <w:pPr>
        <w:pStyle w:val="Prrafodelista"/>
        <w:ind w:left="1068"/>
        <w:jc w:val="both"/>
        <w:rPr>
          <w:rFonts w:asciiTheme="majorHAnsi" w:hAnsiTheme="majorHAnsi" w:cstheme="majorHAnsi"/>
        </w:rPr>
      </w:pPr>
      <w:r w:rsidRPr="00BA0950">
        <w:rPr>
          <w:rFonts w:asciiTheme="majorHAnsi" w:hAnsiTheme="majorHAnsi" w:cstheme="majorHAnsi"/>
        </w:rPr>
        <w:t xml:space="preserve">En coherencia con ello: </w:t>
      </w:r>
    </w:p>
    <w:p w:rsidR="00513B9C" w:rsidRPr="002918EC" w:rsidRDefault="00513B9C" w:rsidP="00513B9C">
      <w:pPr>
        <w:pStyle w:val="Prrafodelista"/>
        <w:jc w:val="both"/>
        <w:rPr>
          <w:rFonts w:asciiTheme="majorHAnsi" w:hAnsiTheme="majorHAnsi" w:cstheme="majorHAnsi"/>
        </w:rPr>
      </w:pPr>
    </w:p>
    <w:p w:rsidR="00513B9C" w:rsidRPr="002918EC" w:rsidRDefault="00513B9C" w:rsidP="00513B9C">
      <w:pPr>
        <w:pStyle w:val="Prrafodelista"/>
        <w:numPr>
          <w:ilvl w:val="0"/>
          <w:numId w:val="5"/>
        </w:numPr>
        <w:jc w:val="both"/>
        <w:rPr>
          <w:rFonts w:asciiTheme="majorHAnsi" w:hAnsiTheme="majorHAnsi" w:cstheme="majorHAnsi"/>
        </w:rPr>
      </w:pPr>
      <w:r w:rsidRPr="002918EC">
        <w:rPr>
          <w:rFonts w:asciiTheme="majorHAnsi" w:hAnsiTheme="majorHAnsi" w:cstheme="majorHAnsi"/>
        </w:rPr>
        <w:t xml:space="preserve">La legislación española </w:t>
      </w:r>
      <w:r w:rsidRPr="002918EC">
        <w:rPr>
          <w:rFonts w:asciiTheme="majorHAnsi" w:hAnsiTheme="majorHAnsi" w:cstheme="majorHAnsi"/>
          <w:b/>
        </w:rPr>
        <w:t>incorpora explícitamente</w:t>
      </w:r>
      <w:r w:rsidRPr="002918EC">
        <w:rPr>
          <w:rFonts w:asciiTheme="majorHAnsi" w:hAnsiTheme="majorHAnsi" w:cstheme="majorHAnsi"/>
        </w:rPr>
        <w:t xml:space="preserve"> el concepto de discriminación interseccional; </w:t>
      </w:r>
    </w:p>
    <w:p w:rsidR="00513B9C" w:rsidRPr="002918EC" w:rsidRDefault="00513B9C" w:rsidP="00513B9C">
      <w:pPr>
        <w:pStyle w:val="Prrafodelista"/>
        <w:ind w:left="1440"/>
        <w:jc w:val="both"/>
        <w:rPr>
          <w:rFonts w:asciiTheme="majorHAnsi" w:hAnsiTheme="majorHAnsi" w:cstheme="majorHAnsi"/>
        </w:rPr>
      </w:pPr>
    </w:p>
    <w:p w:rsidR="00513B9C" w:rsidRPr="002918EC" w:rsidRDefault="00513B9C" w:rsidP="00513B9C">
      <w:pPr>
        <w:pStyle w:val="Prrafodelista"/>
        <w:numPr>
          <w:ilvl w:val="0"/>
          <w:numId w:val="5"/>
        </w:numPr>
        <w:jc w:val="both"/>
        <w:rPr>
          <w:rFonts w:asciiTheme="majorHAnsi" w:hAnsiTheme="majorHAnsi" w:cstheme="majorHAnsi"/>
        </w:rPr>
      </w:pPr>
      <w:r w:rsidRPr="002918EC">
        <w:rPr>
          <w:rFonts w:asciiTheme="majorHAnsi" w:hAnsiTheme="majorHAnsi" w:cstheme="majorHAnsi"/>
        </w:rPr>
        <w:t xml:space="preserve">El Gobierno de España presta </w:t>
      </w:r>
      <w:r w:rsidRPr="002918EC">
        <w:rPr>
          <w:rFonts w:asciiTheme="majorHAnsi" w:hAnsiTheme="majorHAnsi" w:cstheme="majorHAnsi"/>
          <w:b/>
        </w:rPr>
        <w:t>especial atención</w:t>
      </w:r>
      <w:r w:rsidRPr="002918EC">
        <w:rPr>
          <w:rFonts w:asciiTheme="majorHAnsi" w:hAnsiTheme="majorHAnsi" w:cstheme="majorHAnsi"/>
        </w:rPr>
        <w:t xml:space="preserve"> a este fenómeno específico como ponen de manifiesto los siguientes elementos: </w:t>
      </w:r>
    </w:p>
    <w:p w:rsidR="00513B9C" w:rsidRPr="002918EC" w:rsidRDefault="00513B9C" w:rsidP="00513B9C">
      <w:pPr>
        <w:pStyle w:val="Prrafodelista"/>
        <w:rPr>
          <w:rFonts w:asciiTheme="majorHAnsi" w:hAnsiTheme="majorHAnsi" w:cstheme="majorHAnsi"/>
        </w:rPr>
      </w:pPr>
    </w:p>
    <w:p w:rsidR="00513B9C" w:rsidRPr="002918EC" w:rsidRDefault="00513B9C" w:rsidP="00BA0950">
      <w:pPr>
        <w:pStyle w:val="Prrafodelista"/>
        <w:numPr>
          <w:ilvl w:val="1"/>
          <w:numId w:val="2"/>
        </w:numPr>
        <w:jc w:val="both"/>
        <w:rPr>
          <w:rFonts w:asciiTheme="majorHAnsi" w:hAnsiTheme="majorHAnsi" w:cstheme="majorHAnsi"/>
        </w:rPr>
      </w:pPr>
      <w:r w:rsidRPr="002918EC">
        <w:rPr>
          <w:rFonts w:asciiTheme="majorHAnsi" w:hAnsiTheme="majorHAnsi" w:cstheme="majorHAnsi"/>
        </w:rPr>
        <w:t xml:space="preserve">La incorporación del </w:t>
      </w:r>
      <w:r w:rsidRPr="002918EC">
        <w:rPr>
          <w:rFonts w:asciiTheme="majorHAnsi" w:hAnsiTheme="majorHAnsi" w:cstheme="majorHAnsi"/>
          <w:b/>
        </w:rPr>
        <w:t>enfoque interseccional</w:t>
      </w:r>
      <w:r w:rsidRPr="002918EC">
        <w:rPr>
          <w:rFonts w:asciiTheme="majorHAnsi" w:hAnsiTheme="majorHAnsi" w:cstheme="majorHAnsi"/>
        </w:rPr>
        <w:t xml:space="preserve"> como uno de los 6 principios orientadores del </w:t>
      </w:r>
      <w:r w:rsidR="00BA0950" w:rsidRPr="00BA0950">
        <w:rPr>
          <w:rFonts w:asciiTheme="majorHAnsi" w:hAnsiTheme="majorHAnsi" w:cstheme="majorHAnsi"/>
        </w:rPr>
        <w:t>III Plan Estratégico para la Igualdad Efectiva de Mujeres y Hombres 2022-2025</w:t>
      </w:r>
      <w:r w:rsidRPr="002918EC">
        <w:rPr>
          <w:rFonts w:asciiTheme="majorHAnsi" w:hAnsiTheme="majorHAnsi" w:cstheme="majorHAnsi"/>
        </w:rPr>
        <w:t xml:space="preserve">, concretamente se menciona como </w:t>
      </w:r>
      <w:r w:rsidRPr="002918EC">
        <w:rPr>
          <w:rFonts w:asciiTheme="majorHAnsi" w:hAnsiTheme="majorHAnsi" w:cstheme="majorHAnsi"/>
          <w:b/>
          <w:i/>
        </w:rPr>
        <w:t>enfoque de género e interseccional</w:t>
      </w:r>
      <w:r w:rsidRPr="002918EC">
        <w:rPr>
          <w:rFonts w:asciiTheme="majorHAnsi" w:hAnsiTheme="majorHAnsi" w:cstheme="majorHAnsi"/>
        </w:rPr>
        <w:t xml:space="preserve"> para subrayar la conexión. </w:t>
      </w:r>
    </w:p>
    <w:p w:rsidR="00513B9C" w:rsidRPr="002918EC" w:rsidRDefault="00513B9C" w:rsidP="00513B9C">
      <w:pPr>
        <w:pStyle w:val="Prrafodelista"/>
        <w:ind w:left="1788"/>
        <w:jc w:val="both"/>
        <w:rPr>
          <w:rFonts w:asciiTheme="majorHAnsi" w:hAnsiTheme="majorHAnsi" w:cstheme="majorHAnsi"/>
        </w:rPr>
      </w:pPr>
    </w:p>
    <w:p w:rsidR="00513B9C" w:rsidRPr="002918EC" w:rsidRDefault="00513B9C" w:rsidP="00513B9C">
      <w:pPr>
        <w:pStyle w:val="Prrafodelista"/>
        <w:numPr>
          <w:ilvl w:val="1"/>
          <w:numId w:val="2"/>
        </w:numPr>
        <w:jc w:val="both"/>
        <w:rPr>
          <w:rFonts w:asciiTheme="majorHAnsi" w:hAnsiTheme="majorHAnsi" w:cstheme="majorHAnsi"/>
        </w:rPr>
      </w:pPr>
      <w:r w:rsidRPr="002918EC">
        <w:rPr>
          <w:rFonts w:asciiTheme="majorHAnsi" w:hAnsiTheme="majorHAnsi" w:cstheme="majorHAnsi"/>
        </w:rPr>
        <w:t xml:space="preserve">La </w:t>
      </w:r>
      <w:proofErr w:type="spellStart"/>
      <w:r w:rsidRPr="002918EC">
        <w:rPr>
          <w:rFonts w:asciiTheme="majorHAnsi" w:hAnsiTheme="majorHAnsi" w:cstheme="majorHAnsi"/>
        </w:rPr>
        <w:t>interseccionalidad</w:t>
      </w:r>
      <w:proofErr w:type="spellEnd"/>
      <w:r w:rsidRPr="002918EC">
        <w:rPr>
          <w:rFonts w:asciiTheme="majorHAnsi" w:hAnsiTheme="majorHAnsi" w:cstheme="majorHAnsi"/>
        </w:rPr>
        <w:t xml:space="preserve"> constituye el eje 6 del III Plan para la igualdad de género en la Administración General del Estado aprobado en 2020, que incorpora, por primera vez, actuaciones frente a diferentes formas de </w:t>
      </w:r>
      <w:r w:rsidRPr="002918EC">
        <w:rPr>
          <w:rFonts w:asciiTheme="majorHAnsi" w:hAnsiTheme="majorHAnsi" w:cstheme="majorHAnsi"/>
        </w:rPr>
        <w:lastRenderedPageBreak/>
        <w:t>discriminación contra las mujeres en el seno de la AGE, muestra el carácter innovador y avanzado de este Plan.</w:t>
      </w:r>
    </w:p>
    <w:p w:rsidR="00513B9C" w:rsidRPr="002918EC" w:rsidRDefault="00513B9C" w:rsidP="00513B9C">
      <w:pPr>
        <w:pStyle w:val="Prrafodelista"/>
        <w:ind w:left="1788"/>
        <w:jc w:val="both"/>
        <w:rPr>
          <w:rFonts w:asciiTheme="majorHAnsi" w:hAnsiTheme="majorHAnsi" w:cstheme="majorHAnsi"/>
        </w:rPr>
      </w:pPr>
    </w:p>
    <w:p w:rsidR="00513B9C" w:rsidRPr="002918EC" w:rsidRDefault="00513B9C" w:rsidP="00513B9C">
      <w:pPr>
        <w:pStyle w:val="Prrafodelista"/>
        <w:numPr>
          <w:ilvl w:val="1"/>
          <w:numId w:val="2"/>
        </w:numPr>
        <w:jc w:val="both"/>
        <w:rPr>
          <w:rFonts w:asciiTheme="majorHAnsi" w:hAnsiTheme="majorHAnsi" w:cstheme="majorHAnsi"/>
        </w:rPr>
      </w:pPr>
      <w:r w:rsidRPr="002918EC">
        <w:rPr>
          <w:rFonts w:asciiTheme="majorHAnsi" w:hAnsiTheme="majorHAnsi" w:cstheme="majorHAnsi"/>
        </w:rPr>
        <w:t xml:space="preserve">A la inversa, la incorporación de la </w:t>
      </w:r>
      <w:r w:rsidRPr="002918EC">
        <w:rPr>
          <w:rFonts w:asciiTheme="majorHAnsi" w:hAnsiTheme="majorHAnsi" w:cstheme="majorHAnsi"/>
          <w:b/>
        </w:rPr>
        <w:t>perspectiva de igualdad de género</w:t>
      </w:r>
      <w:r w:rsidRPr="002918EC">
        <w:rPr>
          <w:rFonts w:asciiTheme="majorHAnsi" w:hAnsiTheme="majorHAnsi" w:cstheme="majorHAnsi"/>
        </w:rPr>
        <w:t xml:space="preserve"> </w:t>
      </w:r>
      <w:r w:rsidRPr="002918EC">
        <w:rPr>
          <w:rFonts w:asciiTheme="majorHAnsi" w:hAnsiTheme="majorHAnsi" w:cstheme="majorHAnsi"/>
          <w:b/>
        </w:rPr>
        <w:t>en leyes y políticas públicas relativas a otros motivos de discriminación</w:t>
      </w:r>
      <w:r w:rsidRPr="002918EC">
        <w:rPr>
          <w:rFonts w:asciiTheme="majorHAnsi" w:hAnsiTheme="majorHAnsi" w:cstheme="majorHAnsi"/>
        </w:rPr>
        <w:t xml:space="preserve">, para garantizar que siempre se contemple específicamente esa </w:t>
      </w:r>
      <w:proofErr w:type="spellStart"/>
      <w:r w:rsidRPr="002918EC">
        <w:rPr>
          <w:rFonts w:asciiTheme="majorHAnsi" w:hAnsiTheme="majorHAnsi" w:cstheme="majorHAnsi"/>
        </w:rPr>
        <w:t>interseccionalidad</w:t>
      </w:r>
      <w:proofErr w:type="spellEnd"/>
      <w:r w:rsidRPr="002918EC">
        <w:rPr>
          <w:rFonts w:asciiTheme="majorHAnsi" w:hAnsiTheme="majorHAnsi" w:cstheme="majorHAnsi"/>
        </w:rPr>
        <w:t xml:space="preserve"> (art. 4.4. ley igualdad de trato)   </w:t>
      </w:r>
    </w:p>
    <w:p w:rsidR="00513B9C" w:rsidRPr="002918EC" w:rsidRDefault="00513B9C" w:rsidP="00513B9C">
      <w:pPr>
        <w:pStyle w:val="Prrafodelista"/>
        <w:rPr>
          <w:rFonts w:asciiTheme="majorHAnsi" w:hAnsiTheme="majorHAnsi" w:cstheme="majorHAnsi"/>
        </w:rPr>
      </w:pPr>
    </w:p>
    <w:p w:rsidR="00513B9C" w:rsidRPr="002918EC" w:rsidRDefault="00513B9C" w:rsidP="00513B9C">
      <w:pPr>
        <w:pStyle w:val="Prrafodelista"/>
        <w:numPr>
          <w:ilvl w:val="1"/>
          <w:numId w:val="2"/>
        </w:numPr>
        <w:jc w:val="both"/>
        <w:rPr>
          <w:rFonts w:asciiTheme="majorHAnsi" w:hAnsiTheme="majorHAnsi" w:cstheme="majorHAnsi"/>
        </w:rPr>
      </w:pPr>
      <w:r w:rsidRPr="002918EC">
        <w:rPr>
          <w:rFonts w:asciiTheme="majorHAnsi" w:hAnsiTheme="majorHAnsi" w:cstheme="majorHAnsi"/>
        </w:rPr>
        <w:t xml:space="preserve">La </w:t>
      </w:r>
      <w:r w:rsidRPr="002918EC">
        <w:rPr>
          <w:rFonts w:asciiTheme="majorHAnsi" w:hAnsiTheme="majorHAnsi" w:cstheme="majorHAnsi"/>
          <w:b/>
        </w:rPr>
        <w:t>especial atención e incidencia legislativa</w:t>
      </w:r>
      <w:r w:rsidRPr="002918EC">
        <w:rPr>
          <w:rFonts w:asciiTheme="majorHAnsi" w:hAnsiTheme="majorHAnsi" w:cstheme="majorHAnsi"/>
        </w:rPr>
        <w:t xml:space="preserve"> en relación con mujeres que, en particular, por su origen racial o étnico, o por su orientación sexual o identidad de género, están especialmente expuestas a sufrir discriminación interseccional, como se ve, entre otras, en las siguientes actuaciones:  </w:t>
      </w:r>
    </w:p>
    <w:p w:rsidR="00513B9C" w:rsidRPr="002918EC" w:rsidRDefault="00513B9C" w:rsidP="00513B9C">
      <w:pPr>
        <w:pStyle w:val="Prrafodelista"/>
        <w:rPr>
          <w:rFonts w:asciiTheme="majorHAnsi" w:hAnsiTheme="majorHAnsi" w:cstheme="majorHAnsi"/>
        </w:rPr>
      </w:pPr>
    </w:p>
    <w:p w:rsidR="00513B9C" w:rsidRPr="002918EC" w:rsidRDefault="00513B9C" w:rsidP="00513B9C">
      <w:pPr>
        <w:pStyle w:val="Prrafodelista"/>
        <w:numPr>
          <w:ilvl w:val="2"/>
          <w:numId w:val="2"/>
        </w:numPr>
        <w:rPr>
          <w:rFonts w:asciiTheme="majorHAnsi" w:hAnsiTheme="majorHAnsi" w:cstheme="majorHAnsi"/>
        </w:rPr>
      </w:pPr>
      <w:r w:rsidRPr="002918EC">
        <w:rPr>
          <w:rFonts w:asciiTheme="majorHAnsi" w:hAnsiTheme="majorHAnsi" w:cstheme="majorHAnsi"/>
        </w:rPr>
        <w:t xml:space="preserve">Reforma del ámbito del </w:t>
      </w:r>
      <w:r w:rsidRPr="002918EC">
        <w:rPr>
          <w:rFonts w:asciiTheme="majorHAnsi" w:hAnsiTheme="majorHAnsi" w:cstheme="majorHAnsi"/>
          <w:b/>
        </w:rPr>
        <w:t>servicio doméstico</w:t>
      </w:r>
      <w:r w:rsidRPr="002918EC">
        <w:rPr>
          <w:rFonts w:asciiTheme="majorHAnsi" w:hAnsiTheme="majorHAnsi" w:cstheme="majorHAnsi"/>
        </w:rPr>
        <w:t xml:space="preserve"> por el </w:t>
      </w:r>
      <w:r w:rsidRPr="002918EC">
        <w:rPr>
          <w:rFonts w:asciiTheme="majorHAnsi" w:hAnsiTheme="majorHAnsi" w:cstheme="majorHAnsi"/>
          <w:b/>
          <w:iCs/>
        </w:rPr>
        <w:t>Real Decreto-ley</w:t>
      </w:r>
      <w:r w:rsidRPr="002918EC">
        <w:rPr>
          <w:rFonts w:asciiTheme="majorHAnsi" w:hAnsiTheme="majorHAnsi" w:cstheme="majorHAnsi"/>
          <w:iCs/>
        </w:rPr>
        <w:t xml:space="preserve"> 16/2022, de 6 de septiembre, para la mejora de las condiciones de trabajo y de Seguridad Social de las personas trabajadoras al servicio del hogar.</w:t>
      </w:r>
    </w:p>
    <w:p w:rsidR="00513B9C" w:rsidRPr="002918EC" w:rsidRDefault="00513B9C" w:rsidP="00513B9C">
      <w:pPr>
        <w:pStyle w:val="Prrafodelista"/>
        <w:ind w:left="2508"/>
        <w:rPr>
          <w:rFonts w:asciiTheme="majorHAnsi" w:hAnsiTheme="majorHAnsi" w:cstheme="majorHAnsi"/>
        </w:rPr>
      </w:pPr>
    </w:p>
    <w:p w:rsidR="00513B9C" w:rsidRPr="002918EC" w:rsidRDefault="00513B9C" w:rsidP="00513B9C">
      <w:pPr>
        <w:pStyle w:val="Prrafodelista"/>
        <w:numPr>
          <w:ilvl w:val="2"/>
          <w:numId w:val="2"/>
        </w:numPr>
        <w:rPr>
          <w:rFonts w:asciiTheme="majorHAnsi" w:hAnsiTheme="majorHAnsi" w:cstheme="majorHAnsi"/>
          <w:b/>
        </w:rPr>
      </w:pPr>
      <w:r w:rsidRPr="002918EC">
        <w:rPr>
          <w:rFonts w:asciiTheme="majorHAnsi" w:hAnsiTheme="majorHAnsi" w:cstheme="majorHAnsi"/>
        </w:rPr>
        <w:t>Ley 4/2023</w:t>
      </w:r>
      <w:r w:rsidRPr="002918EC">
        <w:rPr>
          <w:rFonts w:asciiTheme="majorHAnsi" w:hAnsiTheme="majorHAnsi" w:cstheme="majorHAnsi"/>
          <w:b/>
        </w:rPr>
        <w:t xml:space="preserve">, para la igualdad real y efectiva de las personas </w:t>
      </w:r>
      <w:proofErr w:type="spellStart"/>
      <w:r w:rsidRPr="002918EC">
        <w:rPr>
          <w:rFonts w:asciiTheme="majorHAnsi" w:hAnsiTheme="majorHAnsi" w:cstheme="majorHAnsi"/>
          <w:b/>
        </w:rPr>
        <w:t>trans</w:t>
      </w:r>
      <w:proofErr w:type="spellEnd"/>
      <w:r w:rsidRPr="002918EC">
        <w:rPr>
          <w:rFonts w:asciiTheme="majorHAnsi" w:hAnsiTheme="majorHAnsi" w:cstheme="majorHAnsi"/>
          <w:b/>
        </w:rPr>
        <w:t xml:space="preserve"> y para la garantía de los derechos de las personas LGTBI.</w:t>
      </w:r>
    </w:p>
    <w:p w:rsidR="00513B9C" w:rsidRPr="002918EC" w:rsidRDefault="00513B9C" w:rsidP="00513B9C">
      <w:pPr>
        <w:pStyle w:val="Prrafodelista"/>
        <w:rPr>
          <w:rFonts w:asciiTheme="majorHAnsi" w:hAnsiTheme="majorHAnsi" w:cstheme="majorHAnsi"/>
        </w:rPr>
      </w:pPr>
    </w:p>
    <w:p w:rsidR="00513B9C" w:rsidRPr="002918EC" w:rsidRDefault="00513B9C" w:rsidP="00513B9C">
      <w:pPr>
        <w:pStyle w:val="Prrafodelista"/>
        <w:numPr>
          <w:ilvl w:val="2"/>
          <w:numId w:val="2"/>
        </w:numPr>
        <w:rPr>
          <w:rFonts w:asciiTheme="majorHAnsi" w:hAnsiTheme="majorHAnsi" w:cstheme="majorHAnsi"/>
          <w:b/>
        </w:rPr>
      </w:pPr>
      <w:r w:rsidRPr="002918EC">
        <w:rPr>
          <w:rFonts w:asciiTheme="majorHAnsi" w:hAnsiTheme="majorHAnsi" w:cstheme="majorHAnsi"/>
        </w:rPr>
        <w:t xml:space="preserve">Incorporación de la dimensión de género al anteproyecto de </w:t>
      </w:r>
      <w:r w:rsidRPr="002918EC">
        <w:rPr>
          <w:rFonts w:asciiTheme="majorHAnsi" w:hAnsiTheme="majorHAnsi" w:cstheme="majorHAnsi"/>
          <w:b/>
        </w:rPr>
        <w:t xml:space="preserve">Ley Orgánica integral contra la trata y la explotación de </w:t>
      </w:r>
      <w:proofErr w:type="spellStart"/>
      <w:r w:rsidRPr="002918EC">
        <w:rPr>
          <w:rFonts w:asciiTheme="majorHAnsi" w:hAnsiTheme="majorHAnsi" w:cstheme="majorHAnsi"/>
          <w:b/>
        </w:rPr>
        <w:t>de</w:t>
      </w:r>
      <w:proofErr w:type="spellEnd"/>
      <w:r w:rsidRPr="002918EC">
        <w:rPr>
          <w:rFonts w:asciiTheme="majorHAnsi" w:hAnsiTheme="majorHAnsi" w:cstheme="majorHAnsi"/>
          <w:b/>
        </w:rPr>
        <w:t xml:space="preserve"> seres humanos.</w:t>
      </w:r>
    </w:p>
    <w:p w:rsidR="00774453" w:rsidRPr="002918EC" w:rsidRDefault="00774453" w:rsidP="00774453">
      <w:pPr>
        <w:pStyle w:val="Prrafodelista"/>
        <w:rPr>
          <w:rFonts w:asciiTheme="majorHAnsi" w:hAnsiTheme="majorHAnsi" w:cstheme="majorHAnsi"/>
          <w:b/>
          <w:u w:val="single"/>
        </w:rPr>
      </w:pPr>
    </w:p>
    <w:p w:rsidR="00AA05F6" w:rsidRPr="002918EC" w:rsidRDefault="00AA05F6" w:rsidP="00AA05F6">
      <w:pPr>
        <w:pStyle w:val="Prrafodelista"/>
        <w:numPr>
          <w:ilvl w:val="0"/>
          <w:numId w:val="1"/>
        </w:numPr>
        <w:rPr>
          <w:rFonts w:asciiTheme="majorHAnsi" w:hAnsiTheme="majorHAnsi" w:cstheme="majorHAnsi"/>
          <w:b/>
          <w:u w:val="single"/>
        </w:rPr>
      </w:pPr>
      <w:r w:rsidRPr="002918EC">
        <w:rPr>
          <w:rFonts w:asciiTheme="majorHAnsi" w:hAnsiTheme="majorHAnsi" w:cstheme="majorHAnsi"/>
          <w:b/>
          <w:u w:val="single"/>
        </w:rPr>
        <w:t>Participación de las mujeres en cuestiones de paz y seguridad. Participación en las Fuerzas Armadas.</w:t>
      </w:r>
    </w:p>
    <w:p w:rsidR="00774453" w:rsidRPr="002918EC" w:rsidRDefault="00BA0950" w:rsidP="00774453">
      <w:pPr>
        <w:jc w:val="both"/>
        <w:rPr>
          <w:rFonts w:asciiTheme="majorHAnsi" w:hAnsiTheme="majorHAnsi" w:cstheme="majorHAnsi"/>
          <w:lang w:val="es-ES_tradnl"/>
        </w:rPr>
      </w:pPr>
      <w:r>
        <w:rPr>
          <w:rFonts w:asciiTheme="majorHAnsi" w:hAnsiTheme="majorHAnsi" w:cstheme="majorHAnsi"/>
          <w:lang w:val="es-ES_tradnl"/>
        </w:rPr>
        <w:t>Existe un fuerte com</w:t>
      </w:r>
      <w:r w:rsidR="00774453" w:rsidRPr="002918EC">
        <w:rPr>
          <w:rFonts w:asciiTheme="majorHAnsi" w:hAnsiTheme="majorHAnsi" w:cstheme="majorHAnsi"/>
          <w:lang w:val="es-ES_tradnl"/>
        </w:rPr>
        <w:t xml:space="preserve">promiso con enfoque feminista en </w:t>
      </w:r>
      <w:r>
        <w:rPr>
          <w:rFonts w:asciiTheme="majorHAnsi" w:hAnsiTheme="majorHAnsi" w:cstheme="majorHAnsi"/>
          <w:lang w:val="es-ES_tradnl"/>
        </w:rPr>
        <w:t xml:space="preserve">la </w:t>
      </w:r>
      <w:r w:rsidR="00774453" w:rsidRPr="002918EC">
        <w:rPr>
          <w:rFonts w:asciiTheme="majorHAnsi" w:hAnsiTheme="majorHAnsi" w:cstheme="majorHAnsi"/>
          <w:lang w:val="es-ES_tradnl"/>
        </w:rPr>
        <w:t>cooperación española reflejado en:</w:t>
      </w:r>
    </w:p>
    <w:p w:rsidR="00BA0950" w:rsidRDefault="00BA0950" w:rsidP="00774453">
      <w:pPr>
        <w:pStyle w:val="Prrafodelista"/>
        <w:numPr>
          <w:ilvl w:val="0"/>
          <w:numId w:val="7"/>
        </w:numPr>
        <w:jc w:val="both"/>
        <w:rPr>
          <w:rFonts w:asciiTheme="majorHAnsi" w:hAnsiTheme="majorHAnsi" w:cstheme="majorHAnsi"/>
          <w:lang w:val="es-ES_tradnl"/>
        </w:rPr>
      </w:pPr>
      <w:r>
        <w:rPr>
          <w:rFonts w:asciiTheme="majorHAnsi" w:hAnsiTheme="majorHAnsi" w:cstheme="majorHAnsi"/>
          <w:lang w:val="es-ES_tradnl"/>
        </w:rPr>
        <w:t>El e</w:t>
      </w:r>
      <w:r w:rsidR="00774453" w:rsidRPr="00BA0950">
        <w:rPr>
          <w:rFonts w:asciiTheme="majorHAnsi" w:hAnsiTheme="majorHAnsi" w:cstheme="majorHAnsi"/>
          <w:lang w:val="es-ES_tradnl"/>
        </w:rPr>
        <w:t xml:space="preserve">stablecimiento de fondos específicos de género en </w:t>
      </w:r>
      <w:r>
        <w:rPr>
          <w:rFonts w:asciiTheme="majorHAnsi" w:hAnsiTheme="majorHAnsi" w:cstheme="majorHAnsi"/>
          <w:lang w:val="es-ES_tradnl"/>
        </w:rPr>
        <w:t xml:space="preserve">la </w:t>
      </w:r>
      <w:r w:rsidRPr="00BA0950">
        <w:rPr>
          <w:rFonts w:asciiTheme="majorHAnsi" w:hAnsiTheme="majorHAnsi" w:cstheme="majorHAnsi"/>
          <w:lang w:val="es-ES_tradnl"/>
        </w:rPr>
        <w:t>Agencia Española de Cooperación Internacional</w:t>
      </w:r>
      <w:r w:rsidR="00774453" w:rsidRPr="00BA0950">
        <w:rPr>
          <w:rFonts w:asciiTheme="majorHAnsi" w:hAnsiTheme="majorHAnsi" w:cstheme="majorHAnsi"/>
          <w:lang w:val="es-ES_tradnl"/>
        </w:rPr>
        <w:t>. Entre 10 y 12 % de</w:t>
      </w:r>
      <w:r>
        <w:rPr>
          <w:rFonts w:asciiTheme="majorHAnsi" w:hAnsiTheme="majorHAnsi" w:cstheme="majorHAnsi"/>
          <w:lang w:val="es-ES_tradnl"/>
        </w:rPr>
        <w:t xml:space="preserve"> la Ayuda Oficial al Desarrollo española dedicado a ODS 5.</w:t>
      </w:r>
    </w:p>
    <w:p w:rsidR="00BA0950" w:rsidRDefault="00774453" w:rsidP="00774453">
      <w:pPr>
        <w:pStyle w:val="Prrafodelista"/>
        <w:numPr>
          <w:ilvl w:val="0"/>
          <w:numId w:val="7"/>
        </w:numPr>
        <w:jc w:val="both"/>
        <w:rPr>
          <w:rFonts w:asciiTheme="majorHAnsi" w:hAnsiTheme="majorHAnsi" w:cstheme="majorHAnsi"/>
          <w:lang w:val="es-ES_tradnl"/>
        </w:rPr>
      </w:pPr>
      <w:r w:rsidRPr="00BA0950">
        <w:rPr>
          <w:rFonts w:asciiTheme="majorHAnsi" w:hAnsiTheme="majorHAnsi" w:cstheme="majorHAnsi"/>
          <w:lang w:val="es-ES_tradnl"/>
        </w:rPr>
        <w:t>Creación de programa Ellas + para empoderamiento político y econ</w:t>
      </w:r>
      <w:r w:rsidR="00BA0950">
        <w:rPr>
          <w:rFonts w:asciiTheme="majorHAnsi" w:hAnsiTheme="majorHAnsi" w:cstheme="majorHAnsi"/>
          <w:lang w:val="es-ES_tradnl"/>
        </w:rPr>
        <w:t>ómico de mujeres en 15 países, dotado en 2023 con 5 millones de</w:t>
      </w:r>
      <w:r w:rsidRPr="00BA0950">
        <w:rPr>
          <w:rFonts w:asciiTheme="majorHAnsi" w:hAnsiTheme="majorHAnsi" w:cstheme="majorHAnsi"/>
          <w:lang w:val="es-ES_tradnl"/>
        </w:rPr>
        <w:t xml:space="preserve"> euros</w:t>
      </w:r>
    </w:p>
    <w:p w:rsidR="00774453" w:rsidRPr="00BA0950" w:rsidRDefault="00BA0950" w:rsidP="00774453">
      <w:pPr>
        <w:pStyle w:val="Prrafodelista"/>
        <w:numPr>
          <w:ilvl w:val="0"/>
          <w:numId w:val="7"/>
        </w:numPr>
        <w:jc w:val="both"/>
        <w:rPr>
          <w:rFonts w:asciiTheme="majorHAnsi" w:hAnsiTheme="majorHAnsi" w:cstheme="majorHAnsi"/>
          <w:lang w:val="es-ES_tradnl"/>
        </w:rPr>
      </w:pPr>
      <w:r>
        <w:rPr>
          <w:rFonts w:asciiTheme="majorHAnsi" w:hAnsiTheme="majorHAnsi" w:cstheme="majorHAnsi"/>
          <w:lang w:val="es-ES_tradnl"/>
        </w:rPr>
        <w:t>A</w:t>
      </w:r>
      <w:r w:rsidR="00774453" w:rsidRPr="00BA0950">
        <w:rPr>
          <w:rFonts w:asciiTheme="majorHAnsi" w:hAnsiTheme="majorHAnsi" w:cstheme="majorHAnsi"/>
          <w:lang w:val="es-ES_tradnl"/>
        </w:rPr>
        <w:t xml:space="preserve">umento del 60% en presupuesto de iniciativas vinculadas con género y desarrollo entre 2018 y 2022. </w:t>
      </w:r>
    </w:p>
    <w:p w:rsidR="00774453" w:rsidRPr="002918EC" w:rsidRDefault="00774453" w:rsidP="00774453">
      <w:pPr>
        <w:jc w:val="both"/>
        <w:rPr>
          <w:rFonts w:asciiTheme="majorHAnsi" w:hAnsiTheme="majorHAnsi" w:cstheme="majorHAnsi"/>
          <w:lang w:val="es-ES_tradnl"/>
        </w:rPr>
      </w:pPr>
      <w:r w:rsidRPr="002918EC">
        <w:rPr>
          <w:rFonts w:asciiTheme="majorHAnsi" w:hAnsiTheme="majorHAnsi" w:cstheme="majorHAnsi"/>
          <w:lang w:val="es-ES_tradnl"/>
        </w:rPr>
        <w:t xml:space="preserve">Las mujeres participan en condiciones de igualdad en las </w:t>
      </w:r>
      <w:r w:rsidRPr="00284048">
        <w:rPr>
          <w:rFonts w:asciiTheme="majorHAnsi" w:hAnsiTheme="majorHAnsi" w:cstheme="majorHAnsi"/>
          <w:b/>
          <w:lang w:val="es-ES_tradnl"/>
        </w:rPr>
        <w:t>fuerzas armadas</w:t>
      </w:r>
      <w:r w:rsidRPr="002918EC">
        <w:rPr>
          <w:rFonts w:asciiTheme="majorHAnsi" w:hAnsiTheme="majorHAnsi" w:cstheme="majorHAnsi"/>
          <w:lang w:val="es-ES_tradnl"/>
        </w:rPr>
        <w:t>, en todos sus ejércitos y cuerpos.</w:t>
      </w:r>
      <w:r w:rsidR="00284048">
        <w:rPr>
          <w:rFonts w:asciiTheme="majorHAnsi" w:hAnsiTheme="majorHAnsi" w:cstheme="majorHAnsi"/>
          <w:lang w:val="es-ES_tradnl"/>
        </w:rPr>
        <w:t xml:space="preserve"> </w:t>
      </w:r>
      <w:r w:rsidR="00BA0950">
        <w:rPr>
          <w:rFonts w:asciiTheme="majorHAnsi" w:hAnsiTheme="majorHAnsi" w:cstheme="majorHAnsi"/>
          <w:lang w:val="es-ES_tradnl"/>
        </w:rPr>
        <w:t>Cabe destacar los siguientes d</w:t>
      </w:r>
      <w:r w:rsidRPr="002918EC">
        <w:rPr>
          <w:rFonts w:asciiTheme="majorHAnsi" w:hAnsiTheme="majorHAnsi" w:cstheme="majorHAnsi"/>
          <w:lang w:val="es-ES_tradnl"/>
        </w:rPr>
        <w:t xml:space="preserve">atos (todos a 31 de diciembre 2022): </w:t>
      </w:r>
    </w:p>
    <w:p w:rsidR="00774453" w:rsidRPr="002918EC" w:rsidRDefault="00774453" w:rsidP="00774453">
      <w:pPr>
        <w:pStyle w:val="Prrafodelista"/>
        <w:numPr>
          <w:ilvl w:val="0"/>
          <w:numId w:val="3"/>
        </w:numPr>
        <w:jc w:val="both"/>
        <w:rPr>
          <w:rFonts w:asciiTheme="majorHAnsi" w:hAnsiTheme="majorHAnsi" w:cstheme="majorHAnsi"/>
          <w:lang w:val="es-ES_tradnl"/>
        </w:rPr>
      </w:pPr>
      <w:r w:rsidRPr="002918EC">
        <w:rPr>
          <w:rFonts w:asciiTheme="majorHAnsi" w:hAnsiTheme="majorHAnsi" w:cstheme="majorHAnsi"/>
          <w:b/>
          <w:lang w:val="es-ES_tradnl"/>
        </w:rPr>
        <w:t>13% mujeres en el Ejército</w:t>
      </w:r>
      <w:r w:rsidRPr="002918EC">
        <w:rPr>
          <w:rFonts w:asciiTheme="majorHAnsi" w:hAnsiTheme="majorHAnsi" w:cstheme="majorHAnsi"/>
          <w:lang w:val="es-ES_tradnl"/>
        </w:rPr>
        <w:t>. 11.5% Ejército de Tierra, 13.8% Armada, 14.25% Ejército del Aire y del Espacio, 36.3% cuerpos comunes.</w:t>
      </w:r>
    </w:p>
    <w:p w:rsidR="00774453" w:rsidRPr="002918EC" w:rsidRDefault="00774453" w:rsidP="00774453">
      <w:pPr>
        <w:pStyle w:val="Prrafodelista"/>
        <w:numPr>
          <w:ilvl w:val="0"/>
          <w:numId w:val="3"/>
        </w:numPr>
        <w:jc w:val="both"/>
        <w:rPr>
          <w:rFonts w:asciiTheme="majorHAnsi" w:hAnsiTheme="majorHAnsi" w:cstheme="majorHAnsi"/>
          <w:lang w:val="es-ES_tradnl"/>
        </w:rPr>
      </w:pPr>
      <w:r w:rsidRPr="002918EC">
        <w:rPr>
          <w:rFonts w:asciiTheme="majorHAnsi" w:hAnsiTheme="majorHAnsi" w:cstheme="majorHAnsi"/>
          <w:b/>
          <w:lang w:val="es-ES_tradnl"/>
        </w:rPr>
        <w:t>Generales</w:t>
      </w:r>
      <w:r w:rsidRPr="002918EC">
        <w:rPr>
          <w:rFonts w:asciiTheme="majorHAnsi" w:hAnsiTheme="majorHAnsi" w:cstheme="majorHAnsi"/>
          <w:lang w:val="es-ES_tradnl"/>
        </w:rPr>
        <w:t xml:space="preserve">: Hay </w:t>
      </w:r>
      <w:r w:rsidRPr="002918EC">
        <w:rPr>
          <w:rFonts w:asciiTheme="majorHAnsi" w:hAnsiTheme="majorHAnsi" w:cstheme="majorHAnsi"/>
          <w:b/>
          <w:lang w:val="es-ES_tradnl"/>
        </w:rPr>
        <w:t>2 mujeres</w:t>
      </w:r>
      <w:r w:rsidRPr="002918EC">
        <w:rPr>
          <w:rFonts w:asciiTheme="majorHAnsi" w:hAnsiTheme="majorHAnsi" w:cstheme="majorHAnsi"/>
          <w:lang w:val="es-ES_tradnl"/>
        </w:rPr>
        <w:t xml:space="preserve"> que han alcanzado el rango de General. Es el 0.9% del total de generales. Dada la incorporación de las mujeres a las Fuerzas Armadas</w:t>
      </w:r>
      <w:r w:rsidR="00BA0950">
        <w:rPr>
          <w:rFonts w:asciiTheme="majorHAnsi" w:hAnsiTheme="majorHAnsi" w:cstheme="majorHAnsi"/>
          <w:lang w:val="es-ES_tradnl"/>
        </w:rPr>
        <w:t>,</w:t>
      </w:r>
      <w:r w:rsidRPr="002918EC">
        <w:rPr>
          <w:rFonts w:asciiTheme="majorHAnsi" w:hAnsiTheme="majorHAnsi" w:cstheme="majorHAnsi"/>
          <w:lang w:val="es-ES_tradnl"/>
        </w:rPr>
        <w:t xml:space="preserve"> es una cuestión de tiempo de servicio.</w:t>
      </w:r>
    </w:p>
    <w:p w:rsidR="00774453" w:rsidRPr="002918EC" w:rsidRDefault="00774453" w:rsidP="00774453">
      <w:pPr>
        <w:pStyle w:val="Prrafodelista"/>
        <w:numPr>
          <w:ilvl w:val="0"/>
          <w:numId w:val="3"/>
        </w:numPr>
        <w:jc w:val="both"/>
        <w:rPr>
          <w:rFonts w:asciiTheme="majorHAnsi" w:hAnsiTheme="majorHAnsi" w:cstheme="majorHAnsi"/>
          <w:lang w:val="es-ES_tradnl"/>
        </w:rPr>
      </w:pPr>
      <w:r w:rsidRPr="002918EC">
        <w:rPr>
          <w:rFonts w:asciiTheme="majorHAnsi" w:hAnsiTheme="majorHAnsi" w:cstheme="majorHAnsi"/>
          <w:b/>
          <w:lang w:val="es-ES_tradnl"/>
        </w:rPr>
        <w:t>Oficiales</w:t>
      </w:r>
      <w:r w:rsidRPr="002918EC">
        <w:rPr>
          <w:rFonts w:asciiTheme="majorHAnsi" w:hAnsiTheme="majorHAnsi" w:cstheme="majorHAnsi"/>
          <w:lang w:val="es-ES_tradnl"/>
        </w:rPr>
        <w:t xml:space="preserve">: 11.3% son mujeres. 1691 oficiales, de las cuales </w:t>
      </w:r>
      <w:r w:rsidRPr="002918EC">
        <w:rPr>
          <w:rFonts w:asciiTheme="majorHAnsi" w:hAnsiTheme="majorHAnsi" w:cstheme="majorHAnsi"/>
          <w:b/>
          <w:lang w:val="es-ES_tradnl"/>
        </w:rPr>
        <w:t>639</w:t>
      </w:r>
      <w:r w:rsidRPr="002918EC">
        <w:rPr>
          <w:rFonts w:asciiTheme="majorHAnsi" w:hAnsiTheme="majorHAnsi" w:cstheme="majorHAnsi"/>
          <w:lang w:val="es-ES_tradnl"/>
        </w:rPr>
        <w:t xml:space="preserve"> tienen el rango de </w:t>
      </w:r>
      <w:r w:rsidRPr="002918EC">
        <w:rPr>
          <w:rFonts w:asciiTheme="majorHAnsi" w:hAnsiTheme="majorHAnsi" w:cstheme="majorHAnsi"/>
          <w:b/>
          <w:lang w:val="es-ES_tradnl"/>
        </w:rPr>
        <w:t>Capitán.</w:t>
      </w:r>
    </w:p>
    <w:p w:rsidR="00774453" w:rsidRPr="002918EC" w:rsidRDefault="00774453" w:rsidP="00774453">
      <w:pPr>
        <w:rPr>
          <w:rFonts w:asciiTheme="majorHAnsi" w:hAnsiTheme="majorHAnsi" w:cstheme="majorHAnsi"/>
        </w:rPr>
      </w:pPr>
    </w:p>
    <w:p w:rsidR="00AA05F6" w:rsidRPr="002918EC" w:rsidRDefault="00AA05F6" w:rsidP="00AA05F6">
      <w:pPr>
        <w:pStyle w:val="Prrafodelista"/>
        <w:numPr>
          <w:ilvl w:val="0"/>
          <w:numId w:val="1"/>
        </w:numPr>
        <w:rPr>
          <w:rFonts w:asciiTheme="majorHAnsi" w:hAnsiTheme="majorHAnsi" w:cstheme="majorHAnsi"/>
          <w:b/>
          <w:u w:val="single"/>
        </w:rPr>
      </w:pPr>
      <w:r w:rsidRPr="002918EC">
        <w:rPr>
          <w:rFonts w:asciiTheme="majorHAnsi" w:hAnsiTheme="majorHAnsi" w:cstheme="majorHAnsi"/>
          <w:b/>
          <w:u w:val="single"/>
        </w:rPr>
        <w:lastRenderedPageBreak/>
        <w:t>Utilidad de los tribunales especializados para las mujeres</w:t>
      </w:r>
    </w:p>
    <w:p w:rsidR="00025396" w:rsidRPr="002918EC" w:rsidRDefault="00025396" w:rsidP="00025396">
      <w:pPr>
        <w:jc w:val="both"/>
        <w:rPr>
          <w:rFonts w:asciiTheme="majorHAnsi" w:hAnsiTheme="majorHAnsi" w:cstheme="majorHAnsi"/>
        </w:rPr>
      </w:pPr>
      <w:r w:rsidRPr="002918EC">
        <w:rPr>
          <w:rFonts w:asciiTheme="majorHAnsi" w:hAnsiTheme="majorHAnsi" w:cstheme="majorHAnsi"/>
        </w:rPr>
        <w:t>A 31 de diciembre de 2022, el número de Juzgados de Violencia sobre la Mujer exclusivos es 113.</w:t>
      </w:r>
    </w:p>
    <w:p w:rsidR="00025396" w:rsidRPr="002918EC" w:rsidRDefault="00025396" w:rsidP="00025396">
      <w:pPr>
        <w:jc w:val="both"/>
        <w:rPr>
          <w:rFonts w:asciiTheme="majorHAnsi" w:hAnsiTheme="majorHAnsi" w:cstheme="majorHAnsi"/>
        </w:rPr>
      </w:pPr>
      <w:r w:rsidRPr="002918EC">
        <w:rPr>
          <w:rFonts w:asciiTheme="majorHAnsi" w:hAnsiTheme="majorHAnsi" w:cstheme="majorHAnsi"/>
        </w:rPr>
        <w:t xml:space="preserve">Son juzgados especializados que tienen competencias penales y civiles sobre delitos de violencia de género. En un solo proceso, la autoridad judicial, que debe tener formación especializada obligatoria en igualdad y violencia de género, aborda la situación penal y familiar de las víctimas y de sus hijos e hijas y adopta medidas penales y civiles. </w:t>
      </w:r>
    </w:p>
    <w:p w:rsidR="00025396" w:rsidRPr="002918EC" w:rsidRDefault="00025396" w:rsidP="00025396">
      <w:pPr>
        <w:jc w:val="both"/>
        <w:rPr>
          <w:rFonts w:asciiTheme="majorHAnsi" w:hAnsiTheme="majorHAnsi" w:cstheme="majorHAnsi"/>
        </w:rPr>
      </w:pPr>
      <w:r w:rsidRPr="002918EC">
        <w:rPr>
          <w:rFonts w:asciiTheme="majorHAnsi" w:hAnsiTheme="majorHAnsi" w:cstheme="majorHAnsi"/>
        </w:rPr>
        <w:t>Mediante protocolos de colaboración entre estos juzgados e instituciones y administraciones, y guías de actuación dirigidas a estos, se abordan pautas de actuación homogéneas en la respuesta judicial a las víctimas para ofrecerles protección y atención en consonancia con sus circunstancias específicas. Es ejemplo de ello la “Guía de criterios de coordinación en el ámbito de los procesos penales y civiles en materia de violencia sobre la mujer” del Centro de Estudios Jurídicos del Ministerio de Justicia; la “Guía de buenas prácticas para la toma de declaración de víctimas de violencia de género” del Consejo General del Poder Judicial, con referencia a mujeres extranjeras.</w:t>
      </w:r>
    </w:p>
    <w:p w:rsidR="00025396" w:rsidRPr="002918EC" w:rsidRDefault="00025396" w:rsidP="00025396">
      <w:pPr>
        <w:jc w:val="both"/>
        <w:rPr>
          <w:rFonts w:asciiTheme="majorHAnsi" w:hAnsiTheme="majorHAnsi" w:cstheme="majorHAnsi"/>
        </w:rPr>
      </w:pPr>
      <w:r w:rsidRPr="002918EC">
        <w:rPr>
          <w:rFonts w:asciiTheme="majorHAnsi" w:hAnsiTheme="majorHAnsi" w:cstheme="majorHAnsi"/>
        </w:rPr>
        <w:t>Esta especialización mejora la respuesta judicial a las víctimas, y determina su utilidad para su acceso a la justicia.</w:t>
      </w:r>
    </w:p>
    <w:p w:rsidR="00025396" w:rsidRPr="002918EC" w:rsidRDefault="00025396" w:rsidP="00025396">
      <w:pPr>
        <w:jc w:val="both"/>
        <w:rPr>
          <w:rFonts w:asciiTheme="majorHAnsi" w:hAnsiTheme="majorHAnsi" w:cstheme="majorHAnsi"/>
        </w:rPr>
      </w:pPr>
      <w:r w:rsidRPr="002918EC">
        <w:rPr>
          <w:rFonts w:asciiTheme="majorHAnsi" w:hAnsiTheme="majorHAnsi" w:cstheme="majorHAnsi"/>
        </w:rPr>
        <w:t xml:space="preserve">Por otra parte, para garantizar el acceso a la justicia de </w:t>
      </w:r>
      <w:r w:rsidRPr="00077CC8">
        <w:rPr>
          <w:rFonts w:asciiTheme="majorHAnsi" w:hAnsiTheme="majorHAnsi" w:cstheme="majorHAnsi"/>
          <w:b/>
        </w:rPr>
        <w:t>mujeres con discapacidad</w:t>
      </w:r>
      <w:r w:rsidRPr="002918EC">
        <w:rPr>
          <w:rFonts w:asciiTheme="majorHAnsi" w:hAnsiTheme="majorHAnsi" w:cstheme="majorHAnsi"/>
        </w:rPr>
        <w:t>, la Ley 8/2021 modificó nuestra Ley de Enjuiciamiento Civil introduciendo el artículo 7 bis que prevé una serie de ajustes para personas con discapacidad donde se incluyen, entre otros, los siguientes:</w:t>
      </w:r>
    </w:p>
    <w:p w:rsidR="00025396" w:rsidRPr="002918EC" w:rsidRDefault="00025396" w:rsidP="00025396">
      <w:pPr>
        <w:pStyle w:val="Prrafodelista"/>
        <w:numPr>
          <w:ilvl w:val="0"/>
          <w:numId w:val="2"/>
        </w:numPr>
        <w:jc w:val="both"/>
        <w:rPr>
          <w:rFonts w:asciiTheme="majorHAnsi" w:hAnsiTheme="majorHAnsi" w:cstheme="majorHAnsi"/>
        </w:rPr>
      </w:pPr>
      <w:r w:rsidRPr="002918EC">
        <w:rPr>
          <w:rFonts w:asciiTheme="majorHAnsi" w:hAnsiTheme="majorHAnsi" w:cstheme="majorHAnsi"/>
        </w:rPr>
        <w:t xml:space="preserve">Se facilitará a la persona con discapacidad la asistencia o apoyos necesarios para que pueda hacerse entender, lo que incluirá la interpretación en las lenguas de signos reconocidas legalmente y los medios de apoyo a la comunicación oral de personas sordas, con discapacidad auditiva y </w:t>
      </w:r>
      <w:proofErr w:type="spellStart"/>
      <w:r w:rsidRPr="002918EC">
        <w:rPr>
          <w:rFonts w:asciiTheme="majorHAnsi" w:hAnsiTheme="majorHAnsi" w:cstheme="majorHAnsi"/>
        </w:rPr>
        <w:t>sordociegas</w:t>
      </w:r>
      <w:proofErr w:type="spellEnd"/>
      <w:r w:rsidRPr="002918EC">
        <w:rPr>
          <w:rFonts w:asciiTheme="majorHAnsi" w:hAnsiTheme="majorHAnsi" w:cstheme="majorHAnsi"/>
        </w:rPr>
        <w:t>.</w:t>
      </w:r>
    </w:p>
    <w:p w:rsidR="00025396" w:rsidRPr="002918EC" w:rsidRDefault="00025396" w:rsidP="00025396">
      <w:pPr>
        <w:pStyle w:val="Prrafodelista"/>
        <w:numPr>
          <w:ilvl w:val="0"/>
          <w:numId w:val="2"/>
        </w:numPr>
        <w:jc w:val="both"/>
        <w:rPr>
          <w:rFonts w:asciiTheme="majorHAnsi" w:hAnsiTheme="majorHAnsi" w:cstheme="majorHAnsi"/>
        </w:rPr>
      </w:pPr>
      <w:r w:rsidRPr="002918EC">
        <w:rPr>
          <w:rFonts w:asciiTheme="majorHAnsi" w:hAnsiTheme="majorHAnsi" w:cstheme="majorHAnsi"/>
        </w:rPr>
        <w:t>Se permitirá la participación de un profesional experto que a modo de facilitador realice tareas de adaptación y ajuste necesarias para que la persona con discapacidad pueda entender y ser entendida.</w:t>
      </w:r>
    </w:p>
    <w:p w:rsidR="00025396" w:rsidRPr="002918EC" w:rsidRDefault="00025396" w:rsidP="00025396">
      <w:pPr>
        <w:pStyle w:val="Prrafodelista"/>
        <w:numPr>
          <w:ilvl w:val="0"/>
          <w:numId w:val="2"/>
        </w:numPr>
        <w:jc w:val="both"/>
        <w:rPr>
          <w:rFonts w:asciiTheme="majorHAnsi" w:hAnsiTheme="majorHAnsi" w:cstheme="majorHAnsi"/>
        </w:rPr>
      </w:pPr>
      <w:r w:rsidRPr="002918EC">
        <w:rPr>
          <w:rFonts w:asciiTheme="majorHAnsi" w:hAnsiTheme="majorHAnsi" w:cstheme="majorHAnsi"/>
        </w:rPr>
        <w:t>La persona con discapacidad podrá estar acompañada de una persona de su elección desde el primer contacto con las autoridades y funcionarios.</w:t>
      </w:r>
    </w:p>
    <w:p w:rsidR="00025396" w:rsidRPr="002918EC" w:rsidRDefault="00025396" w:rsidP="00025396">
      <w:pPr>
        <w:rPr>
          <w:rFonts w:asciiTheme="majorHAnsi" w:hAnsiTheme="majorHAnsi" w:cstheme="majorHAnsi"/>
          <w:b/>
        </w:rPr>
      </w:pPr>
    </w:p>
    <w:p w:rsidR="00620DB9" w:rsidRPr="00620DB9" w:rsidRDefault="00AA05F6" w:rsidP="00613F4A">
      <w:pPr>
        <w:pStyle w:val="Prrafodelista"/>
        <w:numPr>
          <w:ilvl w:val="0"/>
          <w:numId w:val="1"/>
        </w:numPr>
        <w:ind w:right="567"/>
        <w:jc w:val="both"/>
        <w:rPr>
          <w:rFonts w:asciiTheme="majorHAnsi" w:hAnsiTheme="majorHAnsi" w:cstheme="majorHAnsi"/>
        </w:rPr>
      </w:pPr>
      <w:r w:rsidRPr="00620DB9">
        <w:rPr>
          <w:rFonts w:asciiTheme="majorHAnsi" w:hAnsiTheme="majorHAnsi" w:cstheme="majorHAnsi"/>
          <w:b/>
          <w:u w:val="single"/>
        </w:rPr>
        <w:t xml:space="preserve">Mandato del Instituto de las Mujeres </w:t>
      </w:r>
    </w:p>
    <w:p w:rsidR="00077CC8" w:rsidRDefault="00B77711" w:rsidP="00620DB9">
      <w:pPr>
        <w:ind w:right="567"/>
        <w:jc w:val="both"/>
        <w:rPr>
          <w:rFonts w:asciiTheme="majorHAnsi" w:hAnsiTheme="majorHAnsi" w:cstheme="majorHAnsi"/>
        </w:rPr>
      </w:pPr>
      <w:r w:rsidRPr="00620DB9">
        <w:rPr>
          <w:rFonts w:asciiTheme="majorHAnsi" w:hAnsiTheme="majorHAnsi" w:cstheme="majorHAnsi"/>
        </w:rPr>
        <w:t>El</w:t>
      </w:r>
      <w:r w:rsidR="00077CC8">
        <w:rPr>
          <w:rFonts w:asciiTheme="majorHAnsi" w:hAnsiTheme="majorHAnsi" w:cstheme="majorHAnsi"/>
        </w:rPr>
        <w:t xml:space="preserve"> Instituto de las Mujeres </w:t>
      </w:r>
      <w:r w:rsidRPr="00620DB9">
        <w:rPr>
          <w:rFonts w:asciiTheme="majorHAnsi" w:hAnsiTheme="majorHAnsi" w:cstheme="majorHAnsi"/>
        </w:rPr>
        <w:t xml:space="preserve">es un organismo autónomo adscrito al Ministerio de Igualdad, que tiene como </w:t>
      </w:r>
      <w:r w:rsidRPr="00620DB9">
        <w:rPr>
          <w:rFonts w:asciiTheme="majorHAnsi" w:hAnsiTheme="majorHAnsi" w:cstheme="majorHAnsi"/>
          <w:b/>
        </w:rPr>
        <w:t xml:space="preserve">finalidad </w:t>
      </w:r>
      <w:r w:rsidRPr="00620DB9">
        <w:rPr>
          <w:rFonts w:asciiTheme="majorHAnsi" w:hAnsiTheme="majorHAnsi" w:cstheme="majorHAnsi"/>
          <w:color w:val="000000"/>
          <w:shd w:val="clear" w:color="auto" w:fill="FFFFFF"/>
        </w:rPr>
        <w:t xml:space="preserve">primordial la promoción y el fomento de las condiciones que posibiliten la libertad, la igualdad real y efectiva entre mujeres y hombres y la participación de las mujeres en la vida política, civil, laboral, económica, social y cultural, así como la prevención y eliminación de toda clase de discriminación de las personas por razón de sexo. </w:t>
      </w:r>
    </w:p>
    <w:p w:rsidR="00B77711" w:rsidRPr="00620DB9" w:rsidRDefault="00B77711" w:rsidP="00620DB9">
      <w:pPr>
        <w:ind w:right="567"/>
        <w:jc w:val="both"/>
        <w:rPr>
          <w:rFonts w:asciiTheme="majorHAnsi" w:hAnsiTheme="majorHAnsi" w:cstheme="majorHAnsi"/>
        </w:rPr>
      </w:pPr>
      <w:r w:rsidRPr="00620DB9">
        <w:rPr>
          <w:rFonts w:asciiTheme="majorHAnsi" w:hAnsiTheme="majorHAnsi" w:cstheme="majorHAnsi"/>
        </w:rPr>
        <w:t>Para el cumplimiento de sus fines, según la Ley 16/1983, el Instituto de las Mujeres desarrollará, en el ámbito de las competencias del Estado,</w:t>
      </w:r>
      <w:r w:rsidR="00077CC8">
        <w:rPr>
          <w:rFonts w:asciiTheme="majorHAnsi" w:hAnsiTheme="majorHAnsi" w:cstheme="majorHAnsi"/>
        </w:rPr>
        <w:t xml:space="preserve"> entre otras,</w:t>
      </w:r>
      <w:r w:rsidRPr="00620DB9">
        <w:rPr>
          <w:rFonts w:asciiTheme="majorHAnsi" w:hAnsiTheme="majorHAnsi" w:cstheme="majorHAnsi"/>
        </w:rPr>
        <w:t xml:space="preserve"> las siguientes </w:t>
      </w:r>
      <w:r w:rsidRPr="00620DB9">
        <w:rPr>
          <w:rFonts w:asciiTheme="majorHAnsi" w:hAnsiTheme="majorHAnsi" w:cstheme="majorHAnsi"/>
          <w:b/>
        </w:rPr>
        <w:t>funciones</w:t>
      </w:r>
      <w:r w:rsidRPr="00620DB9">
        <w:rPr>
          <w:rFonts w:asciiTheme="majorHAnsi" w:hAnsiTheme="majorHAnsi" w:cstheme="majorHAnsi"/>
        </w:rPr>
        <w:t>:</w:t>
      </w:r>
    </w:p>
    <w:p w:rsidR="00B77711" w:rsidRPr="002918EC" w:rsidRDefault="00B77711" w:rsidP="00641B80">
      <w:pPr>
        <w:ind w:left="426" w:right="567"/>
        <w:jc w:val="both"/>
        <w:rPr>
          <w:rFonts w:asciiTheme="majorHAnsi" w:hAnsiTheme="majorHAnsi" w:cstheme="majorHAnsi"/>
        </w:rPr>
      </w:pPr>
      <w:r w:rsidRPr="002918EC">
        <w:rPr>
          <w:rFonts w:asciiTheme="majorHAnsi" w:hAnsiTheme="majorHAnsi" w:cstheme="majorHAnsi"/>
        </w:rPr>
        <w:t>a) Impulsar y desarrollar la aplicación transversal del principio de igualdad de trato y de oportunidad</w:t>
      </w:r>
      <w:r w:rsidR="00077CC8">
        <w:rPr>
          <w:rFonts w:asciiTheme="majorHAnsi" w:hAnsiTheme="majorHAnsi" w:cstheme="majorHAnsi"/>
        </w:rPr>
        <w:t>es entre mujeres y hombres</w:t>
      </w:r>
    </w:p>
    <w:p w:rsidR="00B77711" w:rsidRPr="002918EC" w:rsidRDefault="00B77711" w:rsidP="00641B80">
      <w:pPr>
        <w:ind w:left="426" w:right="567"/>
        <w:jc w:val="both"/>
        <w:rPr>
          <w:rFonts w:asciiTheme="majorHAnsi" w:hAnsiTheme="majorHAnsi" w:cstheme="majorHAnsi"/>
        </w:rPr>
      </w:pPr>
      <w:r w:rsidRPr="002918EC">
        <w:rPr>
          <w:rFonts w:asciiTheme="majorHAnsi" w:hAnsiTheme="majorHAnsi" w:cstheme="majorHAnsi"/>
        </w:rPr>
        <w:lastRenderedPageBreak/>
        <w:t>b) Recibir y canalizar en el orden administrativo las quejas formuladas en casos concretos de discriminación de hecho</w:t>
      </w:r>
      <w:r w:rsidR="00077CC8">
        <w:rPr>
          <w:rFonts w:asciiTheme="majorHAnsi" w:hAnsiTheme="majorHAnsi" w:cstheme="majorHAnsi"/>
        </w:rPr>
        <w:t xml:space="preserve"> o de derecho por razón de sexo</w:t>
      </w:r>
    </w:p>
    <w:p w:rsidR="00B77711" w:rsidRPr="002918EC" w:rsidRDefault="00B77711" w:rsidP="00641B80">
      <w:pPr>
        <w:ind w:left="426" w:right="567"/>
        <w:jc w:val="both"/>
        <w:rPr>
          <w:rFonts w:asciiTheme="majorHAnsi" w:hAnsiTheme="majorHAnsi" w:cstheme="majorHAnsi"/>
        </w:rPr>
      </w:pPr>
      <w:r w:rsidRPr="002918EC">
        <w:rPr>
          <w:rFonts w:asciiTheme="majorHAnsi" w:hAnsiTheme="majorHAnsi" w:cstheme="majorHAnsi"/>
        </w:rPr>
        <w:t>c) Promover las medidas dirigidas a la asistencia y protección de las víctimas de di</w:t>
      </w:r>
      <w:r w:rsidR="00077CC8">
        <w:rPr>
          <w:rFonts w:asciiTheme="majorHAnsi" w:hAnsiTheme="majorHAnsi" w:cstheme="majorHAnsi"/>
        </w:rPr>
        <w:t>scriminación por razón de sexo</w:t>
      </w:r>
    </w:p>
    <w:p w:rsidR="00077CC8" w:rsidRDefault="00B77711" w:rsidP="00641B80">
      <w:pPr>
        <w:ind w:left="426" w:right="567"/>
        <w:jc w:val="both"/>
        <w:rPr>
          <w:rFonts w:asciiTheme="majorHAnsi" w:hAnsiTheme="majorHAnsi" w:cstheme="majorHAnsi"/>
        </w:rPr>
      </w:pPr>
      <w:r w:rsidRPr="002918EC">
        <w:rPr>
          <w:rFonts w:asciiTheme="majorHAnsi" w:hAnsiTheme="majorHAnsi" w:cstheme="majorHAnsi"/>
        </w:rPr>
        <w:t>d) Recopilar información y documentación relativa a la igualdad de género; elaborar informes, estudios y recomendaciones sobre las mujeres en España y sobre materias que afecten a la igualdad de género</w:t>
      </w:r>
    </w:p>
    <w:p w:rsidR="00077CC8" w:rsidRDefault="00B77711" w:rsidP="00641B80">
      <w:pPr>
        <w:ind w:left="426" w:right="567"/>
        <w:jc w:val="both"/>
        <w:rPr>
          <w:rFonts w:asciiTheme="majorHAnsi" w:hAnsiTheme="majorHAnsi" w:cstheme="majorHAnsi"/>
        </w:rPr>
      </w:pPr>
      <w:r w:rsidRPr="002918EC">
        <w:rPr>
          <w:rFonts w:asciiTheme="majorHAnsi" w:hAnsiTheme="majorHAnsi" w:cstheme="majorHAnsi"/>
        </w:rPr>
        <w:t>e) Realizar análisis estadísticos, elaborar indicadores y mantener las bases de datos estadísticas en las materias que afecten a la igualdad de trato y de oport</w:t>
      </w:r>
      <w:r w:rsidR="00077CC8">
        <w:rPr>
          <w:rFonts w:asciiTheme="majorHAnsi" w:hAnsiTheme="majorHAnsi" w:cstheme="majorHAnsi"/>
        </w:rPr>
        <w:t>unidades entre mujeres y hombres</w:t>
      </w:r>
    </w:p>
    <w:p w:rsidR="00B77711" w:rsidRPr="002918EC" w:rsidRDefault="00B77711" w:rsidP="00641B80">
      <w:pPr>
        <w:ind w:left="426" w:right="567"/>
        <w:jc w:val="both"/>
        <w:rPr>
          <w:rFonts w:asciiTheme="majorHAnsi" w:hAnsiTheme="majorHAnsi" w:cstheme="majorHAnsi"/>
        </w:rPr>
      </w:pPr>
      <w:r w:rsidRPr="002918EC">
        <w:rPr>
          <w:rFonts w:asciiTheme="majorHAnsi" w:hAnsiTheme="majorHAnsi" w:cstheme="majorHAnsi"/>
        </w:rPr>
        <w:t>f) Realizar cuantas actividades favorezcan la participación de las mujeres en la actividad económi</w:t>
      </w:r>
      <w:r w:rsidR="00077CC8">
        <w:rPr>
          <w:rFonts w:asciiTheme="majorHAnsi" w:hAnsiTheme="majorHAnsi" w:cstheme="majorHAnsi"/>
        </w:rPr>
        <w:t>ca y en el mercado de trabajo</w:t>
      </w:r>
    </w:p>
    <w:p w:rsidR="00B77711" w:rsidRPr="002918EC" w:rsidRDefault="00B77711" w:rsidP="00641B80">
      <w:pPr>
        <w:ind w:left="426" w:right="567"/>
        <w:jc w:val="both"/>
        <w:rPr>
          <w:rFonts w:asciiTheme="majorHAnsi" w:hAnsiTheme="majorHAnsi" w:cstheme="majorHAnsi"/>
        </w:rPr>
      </w:pPr>
      <w:r w:rsidRPr="002918EC">
        <w:rPr>
          <w:rFonts w:asciiTheme="majorHAnsi" w:hAnsiTheme="majorHAnsi" w:cstheme="majorHAnsi"/>
        </w:rPr>
        <w:t>g) Prevenir y combatir el sexismo y los estereotipos de género, en sus distintas manifestaciones y en los</w:t>
      </w:r>
      <w:r w:rsidR="00077CC8">
        <w:rPr>
          <w:rFonts w:asciiTheme="majorHAnsi" w:hAnsiTheme="majorHAnsi" w:cstheme="majorHAnsi"/>
        </w:rPr>
        <w:t xml:space="preserve"> diferentes ámbitos de la vida</w:t>
      </w:r>
    </w:p>
    <w:p w:rsidR="00B77711" w:rsidRPr="002918EC" w:rsidRDefault="00B77711" w:rsidP="00641B80">
      <w:pPr>
        <w:ind w:left="426" w:right="567"/>
        <w:jc w:val="both"/>
        <w:rPr>
          <w:rFonts w:asciiTheme="majorHAnsi" w:hAnsiTheme="majorHAnsi" w:cstheme="majorHAnsi"/>
        </w:rPr>
      </w:pPr>
      <w:r w:rsidRPr="002918EC">
        <w:rPr>
          <w:rFonts w:asciiTheme="majorHAnsi" w:hAnsiTheme="majorHAnsi" w:cstheme="majorHAnsi"/>
        </w:rPr>
        <w:t>h) Velar por el tratamiento no sexista de la imagen de las mujeres en la publicidad, los medios de comunicación, internet o cualquier otra forma de promoción y difusión educativa, cultural o recreativa, y atender a las quejas concretas en estos campos, a través del Observatorio de Imagen de las Mujeres.</w:t>
      </w:r>
    </w:p>
    <w:p w:rsidR="00B77711" w:rsidRPr="002918EC" w:rsidRDefault="00B77711" w:rsidP="00641B80">
      <w:pPr>
        <w:ind w:left="426" w:right="567"/>
        <w:jc w:val="both"/>
        <w:rPr>
          <w:rFonts w:asciiTheme="majorHAnsi" w:hAnsiTheme="majorHAnsi" w:cstheme="majorHAnsi"/>
        </w:rPr>
      </w:pPr>
      <w:r w:rsidRPr="002918EC">
        <w:rPr>
          <w:rFonts w:asciiTheme="majorHAnsi" w:hAnsiTheme="majorHAnsi" w:cstheme="majorHAnsi"/>
        </w:rPr>
        <w:t>i) Fomentar las relaciones en el ámbito de sus competencias con organizaciones no gubernamentales de ámbito estatal, así como con entes estatales, autonómicos y locales, públicos o privados y establecer la vinculación del Instituto con Organismos Internacionales dedicados a materias afines, en particular con los organismos europeos equivalentes y con el Instituto Europeo de Igualdad de Género.</w:t>
      </w:r>
    </w:p>
    <w:p w:rsidR="00077CC8" w:rsidRDefault="00B77711" w:rsidP="00641B80">
      <w:pPr>
        <w:ind w:left="426" w:right="567"/>
        <w:jc w:val="both"/>
        <w:rPr>
          <w:rFonts w:asciiTheme="majorHAnsi" w:hAnsiTheme="majorHAnsi" w:cstheme="majorHAnsi"/>
        </w:rPr>
      </w:pPr>
      <w:r w:rsidRPr="002918EC">
        <w:rPr>
          <w:rFonts w:asciiTheme="majorHAnsi" w:hAnsiTheme="majorHAnsi" w:cstheme="majorHAnsi"/>
        </w:rPr>
        <w:t xml:space="preserve">j) Elaborar, coordinar y hacer el seguimiento y evaluación del Plan Estratégico de Igualdad de Oportunidades. </w:t>
      </w:r>
    </w:p>
    <w:p w:rsidR="00620DB9" w:rsidRDefault="00B77711" w:rsidP="00077CC8">
      <w:pPr>
        <w:ind w:left="426" w:right="567"/>
        <w:jc w:val="both"/>
        <w:rPr>
          <w:rFonts w:asciiTheme="majorHAnsi" w:hAnsiTheme="majorHAnsi" w:cstheme="majorHAnsi"/>
        </w:rPr>
      </w:pPr>
      <w:r w:rsidRPr="002918EC">
        <w:rPr>
          <w:rFonts w:asciiTheme="majorHAnsi" w:hAnsiTheme="majorHAnsi" w:cstheme="majorHAnsi"/>
        </w:rPr>
        <w:t>k) Formular iniciativas y actividades de sensibilización social, información, formación y participación, así como realizar cuantas actividades sean requeridas para el logro de las finalidades expuestas, con arreglo a la normativa de aplicación.</w:t>
      </w:r>
    </w:p>
    <w:p w:rsidR="005C5DFD" w:rsidRDefault="005C5DFD" w:rsidP="00077CC8">
      <w:pPr>
        <w:ind w:left="426" w:right="567"/>
        <w:jc w:val="both"/>
        <w:rPr>
          <w:rFonts w:asciiTheme="majorHAnsi" w:hAnsiTheme="majorHAnsi" w:cstheme="majorHAnsi"/>
        </w:rPr>
      </w:pPr>
    </w:p>
    <w:p w:rsidR="005C5DFD" w:rsidRDefault="005C5DFD" w:rsidP="005C5DFD">
      <w:pPr>
        <w:pStyle w:val="Prrafodelista"/>
        <w:numPr>
          <w:ilvl w:val="0"/>
          <w:numId w:val="1"/>
        </w:numPr>
        <w:ind w:right="567"/>
        <w:jc w:val="both"/>
        <w:rPr>
          <w:rFonts w:asciiTheme="majorHAnsi" w:hAnsiTheme="majorHAnsi" w:cstheme="majorHAnsi"/>
          <w:b/>
          <w:u w:val="single"/>
        </w:rPr>
      </w:pPr>
      <w:r w:rsidRPr="00E271DA">
        <w:rPr>
          <w:rFonts w:asciiTheme="majorHAnsi" w:hAnsiTheme="majorHAnsi" w:cstheme="majorHAnsi"/>
          <w:b/>
          <w:u w:val="single"/>
        </w:rPr>
        <w:t>Acceso a la educación de mujeres migrantes y refugiadas</w:t>
      </w:r>
    </w:p>
    <w:p w:rsidR="005C5DFD" w:rsidRPr="00E271DA" w:rsidRDefault="005C5DFD" w:rsidP="005C5DFD">
      <w:pPr>
        <w:jc w:val="both"/>
      </w:pPr>
      <w:r w:rsidRPr="00E271DA">
        <w:t>En el curso 2021/22, hay 439.695 mujeres extranjeras escolarizadas en el sistema educativo no universitario. El mayor porcentaje de escolarización se sitúa en las etapas obligatorias: Primaria (37,9%) y</w:t>
      </w:r>
      <w:r>
        <w:t xml:space="preserve"> Educación Secundaria Obligatoria</w:t>
      </w:r>
      <w:r w:rsidRPr="00E271DA">
        <w:t xml:space="preserve"> (22,2%). No obstante, también es muy significativo el peso de la escolarización en la etapa de educación infantil (18,0%), así como en el conjunto del Bachillerato y Formación Profesional básica y de grado medio (10,8% en conjunto). </w:t>
      </w:r>
    </w:p>
    <w:p w:rsidR="005C5DFD" w:rsidRPr="00E271DA" w:rsidRDefault="005C5DFD" w:rsidP="005C5DFD">
      <w:pPr>
        <w:jc w:val="both"/>
      </w:pPr>
      <w:r w:rsidRPr="00E271DA">
        <w:t xml:space="preserve">Entre las medidas que España desarrolla para incentivar el acceso a la educación se encuentran: el programa PROA + para refuerzo educativo, el Plan de Acción Estatal para la Implementación de la Garantía Infantil Europea, el Programa de Cooperación Territorial de Educación Inclusiva, y la Estrategia Española sobre discapacidad (2022-2030). </w:t>
      </w:r>
    </w:p>
    <w:p w:rsidR="005C5DFD" w:rsidRPr="00E271DA" w:rsidRDefault="005C5DFD" w:rsidP="005C5DFD">
      <w:pPr>
        <w:rPr>
          <w:rFonts w:asciiTheme="majorHAnsi" w:hAnsiTheme="majorHAnsi" w:cstheme="majorHAnsi"/>
          <w:b/>
          <w:u w:val="single"/>
        </w:rPr>
      </w:pPr>
    </w:p>
    <w:p w:rsidR="005C5DFD" w:rsidRDefault="005C5DFD" w:rsidP="005C5DFD">
      <w:pPr>
        <w:pStyle w:val="Prrafodelista"/>
        <w:numPr>
          <w:ilvl w:val="0"/>
          <w:numId w:val="1"/>
        </w:numPr>
        <w:ind w:right="567"/>
        <w:jc w:val="both"/>
        <w:rPr>
          <w:rFonts w:asciiTheme="majorHAnsi" w:hAnsiTheme="majorHAnsi" w:cstheme="majorHAnsi"/>
          <w:b/>
          <w:u w:val="single"/>
        </w:rPr>
      </w:pPr>
      <w:r w:rsidRPr="00E271DA">
        <w:rPr>
          <w:rFonts w:asciiTheme="majorHAnsi" w:hAnsiTheme="majorHAnsi" w:cstheme="majorHAnsi"/>
          <w:b/>
          <w:u w:val="single"/>
        </w:rPr>
        <w:lastRenderedPageBreak/>
        <w:t>Impacto de la COVID-19 en el acceso a la educación</w:t>
      </w:r>
    </w:p>
    <w:p w:rsidR="005C5DFD" w:rsidRDefault="005C5DFD" w:rsidP="005C5DFD">
      <w:pPr>
        <w:jc w:val="both"/>
      </w:pPr>
      <w:r>
        <w:t>España ha sido</w:t>
      </w:r>
      <w:r w:rsidRPr="00B864BF">
        <w:t xml:space="preserve"> un modelo internacional gracia</w:t>
      </w:r>
      <w:r>
        <w:t xml:space="preserve">s a la capacidad para mantener las escuelas abiertas </w:t>
      </w:r>
      <w:r w:rsidRPr="00B864BF">
        <w:t>durante las distintas olas epidémicas desde septiembre de 2020</w:t>
      </w:r>
      <w:r>
        <w:t xml:space="preserve">. </w:t>
      </w:r>
    </w:p>
    <w:p w:rsidR="005C5DFD" w:rsidRDefault="005C5DFD" w:rsidP="005C5DFD">
      <w:pPr>
        <w:jc w:val="both"/>
      </w:pPr>
      <w:r w:rsidRPr="0092598F">
        <w:t xml:space="preserve">Además, </w:t>
      </w:r>
      <w:r>
        <w:t>España f</w:t>
      </w:r>
      <w:r w:rsidRPr="00361B91">
        <w:t>acilitó</w:t>
      </w:r>
      <w:r>
        <w:t xml:space="preserve"> </w:t>
      </w:r>
      <w:r w:rsidRPr="00361B91">
        <w:t>el acceso a materiales educativos online, creó plataformas de recursos digitales, puso en marcha</w:t>
      </w:r>
      <w:r>
        <w:t>,</w:t>
      </w:r>
      <w:r w:rsidRPr="00361B91">
        <w:t xml:space="preserve"> en colaboración con</w:t>
      </w:r>
      <w:r>
        <w:t xml:space="preserve"> Radio Televisión Española</w:t>
      </w:r>
      <w:r w:rsidRPr="00361B91">
        <w:t xml:space="preserve"> </w:t>
      </w:r>
      <w:r>
        <w:t>(</w:t>
      </w:r>
      <w:r w:rsidRPr="00361B91">
        <w:t>RTVE</w:t>
      </w:r>
      <w:r>
        <w:t>),</w:t>
      </w:r>
      <w:r w:rsidRPr="00361B91">
        <w:t xml:space="preserve"> una programación de televisión educativa</w:t>
      </w:r>
      <w:r w:rsidRPr="00B864BF">
        <w:t xml:space="preserve"> d</w:t>
      </w:r>
      <w:r>
        <w:t>e 5 horas diarias de emisiones y</w:t>
      </w:r>
      <w:r w:rsidRPr="00B864BF">
        <w:t xml:space="preserve"> </w:t>
      </w:r>
      <w:r w:rsidRPr="00361B91">
        <w:t>facilitó al alumnado más vulnerable dispositivos informáticos.</w:t>
      </w:r>
      <w:r>
        <w:t xml:space="preserve"> </w:t>
      </w:r>
    </w:p>
    <w:p w:rsidR="005C5DFD" w:rsidRDefault="005C5DFD" w:rsidP="005C5DFD">
      <w:pPr>
        <w:jc w:val="both"/>
      </w:pPr>
      <w:r>
        <w:t>El Gobierno movilizó</w:t>
      </w:r>
      <w:r w:rsidRPr="00361B91">
        <w:t xml:space="preserve"> más de 3</w:t>
      </w:r>
      <w:r>
        <w:t>.</w:t>
      </w:r>
      <w:r w:rsidRPr="00361B91">
        <w:t>000 millones de euros destinados a educación</w:t>
      </w:r>
      <w:r>
        <w:t xml:space="preserve"> que las comunidades autónomas recibieron a través de distintos planes y programas como </w:t>
      </w:r>
      <w:r w:rsidRPr="00361B91">
        <w:t xml:space="preserve">el Fondo </w:t>
      </w:r>
      <w:r>
        <w:t>COVID</w:t>
      </w:r>
      <w:r w:rsidRPr="00361B91">
        <w:t>, el programa</w:t>
      </w:r>
      <w:r>
        <w:t xml:space="preserve"> </w:t>
      </w:r>
      <w:r w:rsidRPr="00361B91">
        <w:t xml:space="preserve">Educa en digital, el programa PROA + </w:t>
      </w:r>
      <w:r>
        <w:t xml:space="preserve">para refuerzo educativo y el </w:t>
      </w:r>
      <w:r w:rsidRPr="00361B91">
        <w:t xml:space="preserve">Plan de modernización de la </w:t>
      </w:r>
      <w:r>
        <w:t xml:space="preserve">Formación Profesional, además de </w:t>
      </w:r>
      <w:r w:rsidRPr="00361B91">
        <w:t>un incremento del 22% en el presupuesto para becas y ayudas al estudio</w:t>
      </w:r>
      <w:r>
        <w:t>.</w:t>
      </w:r>
    </w:p>
    <w:p w:rsidR="005C5DFD" w:rsidRPr="00B957D5" w:rsidRDefault="005C5DFD" w:rsidP="005C5DFD">
      <w:pPr>
        <w:jc w:val="both"/>
      </w:pPr>
      <w:r>
        <w:t xml:space="preserve">El </w:t>
      </w:r>
      <w:r w:rsidRPr="0092598F">
        <w:t>Plan de Recuperación, Transformación y Resiliencia</w:t>
      </w:r>
      <w:r>
        <w:t xml:space="preserve"> está permitiendo al </w:t>
      </w:r>
      <w:r w:rsidR="001E5040">
        <w:t>Ministerio de Educación y Formación Profesional</w:t>
      </w:r>
      <w:r>
        <w:t xml:space="preserve"> </w:t>
      </w:r>
      <w:r w:rsidRPr="0092598F">
        <w:t xml:space="preserve">desarrollar programas de cooperación territorial </w:t>
      </w:r>
      <w:r>
        <w:t>sobre</w:t>
      </w:r>
      <w:r w:rsidRPr="0092598F">
        <w:t xml:space="preserve"> prioridades estratégicas en el ámbito de la educación</w:t>
      </w:r>
      <w:r>
        <w:t>:</w:t>
      </w:r>
      <w:r w:rsidRPr="0092598F">
        <w:t xml:space="preserve"> impulso del primer ciclo de</w:t>
      </w:r>
      <w:r>
        <w:t xml:space="preserve"> educación infantil, reducción del abandono escolar y </w:t>
      </w:r>
      <w:r w:rsidRPr="0092598F">
        <w:t>digitalización del sistema educativo. Todas ellas aún más rel</w:t>
      </w:r>
      <w:r>
        <w:t>evantes después de la pandemia.</w:t>
      </w:r>
    </w:p>
    <w:p w:rsidR="005C5DFD" w:rsidRPr="00284048" w:rsidRDefault="005C5DFD" w:rsidP="00077CC8">
      <w:pPr>
        <w:ind w:left="426" w:right="567"/>
        <w:jc w:val="both"/>
        <w:rPr>
          <w:rFonts w:asciiTheme="majorHAnsi" w:hAnsiTheme="majorHAnsi" w:cstheme="majorHAnsi"/>
        </w:rPr>
      </w:pPr>
    </w:p>
    <w:p w:rsidR="00620DB9" w:rsidRPr="00284048" w:rsidRDefault="00284048" w:rsidP="00620DB9">
      <w:pPr>
        <w:pStyle w:val="Prrafodelista"/>
        <w:numPr>
          <w:ilvl w:val="0"/>
          <w:numId w:val="1"/>
        </w:numPr>
        <w:rPr>
          <w:rFonts w:asciiTheme="majorHAnsi" w:hAnsiTheme="majorHAnsi" w:cstheme="majorHAnsi"/>
          <w:b/>
          <w:u w:val="single"/>
        </w:rPr>
      </w:pPr>
      <w:r w:rsidRPr="00284048">
        <w:rPr>
          <w:rFonts w:asciiTheme="majorHAnsi" w:hAnsiTheme="majorHAnsi" w:cstheme="majorHAnsi"/>
          <w:b/>
          <w:u w:val="single"/>
        </w:rPr>
        <w:t>C</w:t>
      </w:r>
      <w:r w:rsidR="00620DB9" w:rsidRPr="00284048">
        <w:rPr>
          <w:rFonts w:asciiTheme="majorHAnsi" w:hAnsiTheme="majorHAnsi" w:cstheme="majorHAnsi"/>
          <w:b/>
          <w:u w:val="single"/>
        </w:rPr>
        <w:t xml:space="preserve">oordinación con </w:t>
      </w:r>
      <w:r w:rsidRPr="00284048">
        <w:rPr>
          <w:rFonts w:asciiTheme="majorHAnsi" w:hAnsiTheme="majorHAnsi" w:cstheme="majorHAnsi"/>
          <w:b/>
          <w:u w:val="single"/>
        </w:rPr>
        <w:t xml:space="preserve">las </w:t>
      </w:r>
      <w:r w:rsidR="00620DB9" w:rsidRPr="00284048">
        <w:rPr>
          <w:rFonts w:asciiTheme="majorHAnsi" w:hAnsiTheme="majorHAnsi" w:cstheme="majorHAnsi"/>
          <w:b/>
          <w:u w:val="single"/>
        </w:rPr>
        <w:t>comunidades autónomas</w:t>
      </w:r>
    </w:p>
    <w:p w:rsidR="00284048" w:rsidRPr="00284048" w:rsidRDefault="00284048" w:rsidP="00284048">
      <w:pPr>
        <w:jc w:val="both"/>
      </w:pPr>
      <w:r w:rsidRPr="00284048">
        <w:t xml:space="preserve">La </w:t>
      </w:r>
      <w:r w:rsidRPr="00284048">
        <w:rPr>
          <w:b/>
        </w:rPr>
        <w:t>Conferencia Sectorial de Igualdad</w:t>
      </w:r>
      <w:r>
        <w:t xml:space="preserve"> </w:t>
      </w:r>
      <w:r w:rsidRPr="00284048">
        <w:t>es el órgano de cooperación entre la Administración General del Estado y las Comunidades Autónomas en materia de políticas de igualdad.</w:t>
      </w:r>
      <w:r w:rsidRPr="00284048">
        <w:t xml:space="preserve"> </w:t>
      </w:r>
      <w:r>
        <w:t>E</w:t>
      </w:r>
      <w:r w:rsidRPr="00284048">
        <w:t xml:space="preserve">stá conformado por la Ministra de Igualdad, que la preside, y las personas titulares de las Consejerías autonómicas que ostenten las competencias en materia de igualdad. </w:t>
      </w:r>
    </w:p>
    <w:p w:rsidR="00284048" w:rsidRDefault="00284048" w:rsidP="00284048">
      <w:pPr>
        <w:jc w:val="both"/>
      </w:pPr>
      <w:r w:rsidRPr="00284048">
        <w:t>Asimismo, y con el propósito de involucrar al resto de Administraciones Públicas y actores relevantes en la materia, se invita siempre a la Federación Española de Municipios y Provincias</w:t>
      </w:r>
      <w:r>
        <w:t>.</w:t>
      </w:r>
    </w:p>
    <w:p w:rsidR="00284048" w:rsidRDefault="00284048" w:rsidP="00284048">
      <w:pPr>
        <w:jc w:val="both"/>
      </w:pPr>
      <w:r w:rsidRPr="00284048">
        <w:t>La Conferencia Sectorial tiene como finalidad primordial conseguir la máxima cooperación, colaboración, coherencia y eficacia en la determinación y aplicación de las diversas políticas que, en materia de igualdad de trato y oportunidades entre las personas, especialmente entre mujeres y hombres, educación en igualdad, la prevención de las distintas formas de violencia contra la mujer por razón de género y atención a sus víctimas, mujeres y menores, la atención y protección a las víctimas de trata con fines de explotación sexual, la lucha contra la discriminación basada en cualquier condición personal o social y la asistencia a sus víctimas, así como el fomento de la participación social y política de las mujeres, definan la Administración General del Estado y las Comunidades Autónomas, mediante el intercambio de informaciones y de puntos de vista, y el examen en común de los problemas que puedan plantearse y de las acciones proyectadas para afrontarlos y resolverlos.</w:t>
      </w:r>
    </w:p>
    <w:p w:rsidR="00284048" w:rsidRDefault="00284048" w:rsidP="00284048">
      <w:pPr>
        <w:jc w:val="both"/>
      </w:pPr>
      <w:r w:rsidRPr="009B7BAA">
        <w:t>En eje</w:t>
      </w:r>
      <w:r>
        <w:t xml:space="preserve">cución de las funciones anteriormente mencionadas, la Conferencia Sectorial aprueba </w:t>
      </w:r>
      <w:r w:rsidRPr="00DB78E4">
        <w:rPr>
          <w:b/>
        </w:rPr>
        <w:t>acuerdos y recomendaciones</w:t>
      </w:r>
      <w:r>
        <w:t xml:space="preserve">. Los acuerdos tienen carácter jurídicamente vinculante, en la medida en que suponen un verdadero compromiso de actuación y vinculación del ejercicio de sus competencias entre las Administraciones presentes en la Conferencia. Por su parte, las recomendaciones son la herramienta utilizada por la Conferencia para expresar su posición en algún asunto que se someta a su consulta, por lo que carecen de ese carácter jurídicamente </w:t>
      </w:r>
      <w:r>
        <w:lastRenderedPageBreak/>
        <w:t>vinculante, pero permiten orientar las actuaciones de las Administraciones en un determinado sentido.</w:t>
      </w:r>
    </w:p>
    <w:p w:rsidR="00284048" w:rsidRDefault="00284048" w:rsidP="00284048">
      <w:pPr>
        <w:jc w:val="both"/>
      </w:pPr>
      <w:r>
        <w:t xml:space="preserve">En este sentido podemos </w:t>
      </w:r>
      <w:r w:rsidRPr="00284048">
        <w:t>destacar algunos de los acuerdos que se han venido adoptando en la Conferen</w:t>
      </w:r>
      <w:bookmarkStart w:id="0" w:name="_GoBack"/>
      <w:r w:rsidRPr="00284048">
        <w:t>cia Sectorial de Igualdad durante la última legislatura (2020-2023):</w:t>
      </w:r>
    </w:p>
    <w:p w:rsidR="00284048" w:rsidRDefault="00284048" w:rsidP="00284048">
      <w:pPr>
        <w:pStyle w:val="Prrafodelista"/>
        <w:numPr>
          <w:ilvl w:val="0"/>
          <w:numId w:val="9"/>
        </w:numPr>
        <w:jc w:val="both"/>
      </w:pPr>
      <w:r>
        <w:t xml:space="preserve">Acuerdos </w:t>
      </w:r>
      <w:r w:rsidRPr="00A35285">
        <w:t xml:space="preserve">para el </w:t>
      </w:r>
      <w:r w:rsidRPr="007E34DE">
        <w:rPr>
          <w:b/>
        </w:rPr>
        <w:t>desarrollo de programas</w:t>
      </w:r>
      <w:r w:rsidRPr="00145144">
        <w:t xml:space="preserve"> de asistencia social para mujeres ví</w:t>
      </w:r>
      <w:r>
        <w:t>ctimas de violencia de género; p</w:t>
      </w:r>
      <w:r w:rsidRPr="00145144">
        <w:t>rogramas para la implementación de planes personalizados de atención y desarrollo de actuaciones en relación a otras formas de</w:t>
      </w:r>
      <w:r>
        <w:t xml:space="preserve"> violencia contra las mujeres; p</w:t>
      </w:r>
      <w:r w:rsidRPr="00145144">
        <w:t>rograma</w:t>
      </w:r>
      <w:r>
        <w:t>s</w:t>
      </w:r>
      <w:r w:rsidRPr="00145144">
        <w:t xml:space="preserve"> para el apoyo a víctimas de agresiones y/o abusos sexuales</w:t>
      </w:r>
      <w:r>
        <w:t xml:space="preserve">, y </w:t>
      </w:r>
      <w:r w:rsidRPr="00A35285">
        <w:t>programas de prevención de abusos sexuales en menores tuteladas</w:t>
      </w:r>
      <w:r w:rsidRPr="00145144">
        <w:t>.</w:t>
      </w:r>
    </w:p>
    <w:p w:rsidR="00284048" w:rsidRDefault="00284048" w:rsidP="00284048">
      <w:pPr>
        <w:pStyle w:val="Prrafodelista"/>
        <w:jc w:val="both"/>
      </w:pPr>
    </w:p>
    <w:p w:rsidR="00284048" w:rsidRDefault="00284048" w:rsidP="00EE0F72">
      <w:pPr>
        <w:pStyle w:val="Prrafodelista"/>
        <w:numPr>
          <w:ilvl w:val="0"/>
          <w:numId w:val="9"/>
        </w:numPr>
        <w:jc w:val="both"/>
      </w:pPr>
      <w:r>
        <w:t xml:space="preserve">Acuerdo por el que se </w:t>
      </w:r>
      <w:r w:rsidRPr="00DB78E4">
        <w:t>distribuyen los fondos del</w:t>
      </w:r>
      <w:r w:rsidRPr="00284048">
        <w:rPr>
          <w:b/>
        </w:rPr>
        <w:t xml:space="preserve"> Pacto de Estado contra la Violencia de Género</w:t>
      </w:r>
      <w:r>
        <w:t xml:space="preserve"> </w:t>
      </w:r>
    </w:p>
    <w:p w:rsidR="00284048" w:rsidRDefault="00284048" w:rsidP="00284048">
      <w:pPr>
        <w:pStyle w:val="Prrafodelista"/>
        <w:numPr>
          <w:ilvl w:val="0"/>
          <w:numId w:val="9"/>
        </w:numPr>
        <w:jc w:val="both"/>
      </w:pPr>
      <w:r>
        <w:t xml:space="preserve">Desde 2021 se viene aprobando el </w:t>
      </w:r>
      <w:r w:rsidRPr="00D23704">
        <w:t>Acuerdo de la Conferencia Sectorial de Igualdad por el que se fijan los criterios de distribución a las comunidades autónomas y ciud</w:t>
      </w:r>
      <w:r>
        <w:t xml:space="preserve">ades de Ceuta y de Melilla para el desarrollo del </w:t>
      </w:r>
      <w:r w:rsidRPr="00DB78E4">
        <w:rPr>
          <w:b/>
        </w:rPr>
        <w:t>Plan Corresponsables</w:t>
      </w:r>
      <w:r>
        <w:t xml:space="preserve"> y que tiene por objeto </w:t>
      </w:r>
      <w:r w:rsidRPr="00D23704">
        <w:t>iniciar el camino hacia la garantía del cuidado como un derecho en Españ</w:t>
      </w:r>
      <w:r>
        <w:t>a</w:t>
      </w:r>
    </w:p>
    <w:p w:rsidR="00284048" w:rsidRDefault="00284048" w:rsidP="00284048">
      <w:pPr>
        <w:pStyle w:val="Prrafodelista"/>
        <w:jc w:val="both"/>
      </w:pPr>
    </w:p>
    <w:p w:rsidR="00284048" w:rsidRDefault="00284048" w:rsidP="00284048">
      <w:pPr>
        <w:pStyle w:val="Prrafodelista"/>
        <w:numPr>
          <w:ilvl w:val="0"/>
          <w:numId w:val="9"/>
        </w:numPr>
        <w:jc w:val="both"/>
      </w:pPr>
      <w:r w:rsidRPr="00E7698D">
        <w:t xml:space="preserve">Acuerdo por el que se aprueban los criterios de distribución territorial y la distribución resultante para la ejecución de los créditos presupuestarios destinados a la creación de </w:t>
      </w:r>
      <w:r w:rsidRPr="00284048">
        <w:rPr>
          <w:b/>
        </w:rPr>
        <w:t>centros de atención integral 24 horas a víctimas de violencia sexual</w:t>
      </w:r>
      <w:r>
        <w:t xml:space="preserve"> (desde 2022</w:t>
      </w:r>
    </w:p>
    <w:p w:rsidR="00284048" w:rsidRDefault="00284048" w:rsidP="00284048">
      <w:pPr>
        <w:pStyle w:val="Prrafodelista"/>
      </w:pPr>
    </w:p>
    <w:p w:rsidR="00284048" w:rsidRDefault="00284048" w:rsidP="00284048">
      <w:pPr>
        <w:pStyle w:val="Prrafodelista"/>
        <w:numPr>
          <w:ilvl w:val="0"/>
          <w:numId w:val="9"/>
        </w:numPr>
        <w:jc w:val="both"/>
      </w:pPr>
      <w:r w:rsidRPr="00E7698D">
        <w:t xml:space="preserve">Acuerdo de la Conferencia Sectorial de Igualdad por el que se aprueba el </w:t>
      </w:r>
      <w:r w:rsidRPr="00284048">
        <w:rPr>
          <w:b/>
        </w:rPr>
        <w:t>Plan Conjunto Plurianual en materia de violencia contra las Mujeres (2023-2027).</w:t>
      </w:r>
      <w:r>
        <w:t xml:space="preserve"> </w:t>
      </w:r>
    </w:p>
    <w:p w:rsidR="00284048" w:rsidRDefault="00284048" w:rsidP="00284048">
      <w:pPr>
        <w:pStyle w:val="Prrafodelista"/>
      </w:pPr>
    </w:p>
    <w:p w:rsidR="00284048" w:rsidRPr="00DB78E4" w:rsidRDefault="00284048" w:rsidP="00284048">
      <w:pPr>
        <w:pStyle w:val="Prrafodelista"/>
        <w:numPr>
          <w:ilvl w:val="0"/>
          <w:numId w:val="9"/>
        </w:numPr>
        <w:jc w:val="both"/>
        <w:rPr>
          <w:b/>
        </w:rPr>
      </w:pPr>
      <w:r>
        <w:t xml:space="preserve">Acuerdo de la Conferencia Sectorial de Igualdad por el que se distribuye el crédito de para la </w:t>
      </w:r>
      <w:r w:rsidRPr="00DB78E4">
        <w:rPr>
          <w:b/>
        </w:rPr>
        <w:t>formación especializada de profesionales en materia de la prevención y la detección de la explotación sexual en menores.</w:t>
      </w:r>
    </w:p>
    <w:bookmarkEnd w:id="0"/>
    <w:p w:rsidR="00284048" w:rsidRPr="00284048" w:rsidRDefault="00284048" w:rsidP="00284048">
      <w:pPr>
        <w:jc w:val="both"/>
      </w:pPr>
    </w:p>
    <w:p w:rsidR="00AA05F6" w:rsidRPr="00284048" w:rsidRDefault="00AA05F6" w:rsidP="00284048">
      <w:pPr>
        <w:rPr>
          <w:rFonts w:asciiTheme="majorHAnsi" w:hAnsiTheme="majorHAnsi" w:cstheme="majorHAnsi"/>
          <w:color w:val="FF0000"/>
        </w:rPr>
      </w:pPr>
    </w:p>
    <w:sectPr w:rsidR="00AA05F6" w:rsidRPr="00284048" w:rsidSect="00DE0B28">
      <w:pgSz w:w="11906" w:h="16838"/>
      <w:pgMar w:top="1417" w:right="1701" w:bottom="1417" w:left="1701" w:header="708" w:footer="708"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61C40"/>
    <w:multiLevelType w:val="hybridMultilevel"/>
    <w:tmpl w:val="A0E4E43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43D87D4C"/>
    <w:multiLevelType w:val="hybridMultilevel"/>
    <w:tmpl w:val="3BFE002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A490549"/>
    <w:multiLevelType w:val="hybridMultilevel"/>
    <w:tmpl w:val="0080B08C"/>
    <w:lvl w:ilvl="0" w:tplc="E6608226">
      <w:numFmt w:val="bullet"/>
      <w:lvlText w:val="-"/>
      <w:lvlJc w:val="left"/>
      <w:pPr>
        <w:ind w:left="1122" w:hanging="360"/>
      </w:pPr>
      <w:rPr>
        <w:rFonts w:ascii="Calibri" w:eastAsiaTheme="minorHAnsi" w:hAnsi="Calibri" w:cs="Calibri" w:hint="default"/>
      </w:rPr>
    </w:lvl>
    <w:lvl w:ilvl="1" w:tplc="0C0A0003" w:tentative="1">
      <w:start w:val="1"/>
      <w:numFmt w:val="bullet"/>
      <w:lvlText w:val="o"/>
      <w:lvlJc w:val="left"/>
      <w:pPr>
        <w:ind w:left="1494" w:hanging="360"/>
      </w:pPr>
      <w:rPr>
        <w:rFonts w:ascii="Courier New" w:hAnsi="Courier New" w:cs="Courier New" w:hint="default"/>
      </w:rPr>
    </w:lvl>
    <w:lvl w:ilvl="2" w:tplc="0C0A0005" w:tentative="1">
      <w:start w:val="1"/>
      <w:numFmt w:val="bullet"/>
      <w:lvlText w:val=""/>
      <w:lvlJc w:val="left"/>
      <w:pPr>
        <w:ind w:left="2214" w:hanging="360"/>
      </w:pPr>
      <w:rPr>
        <w:rFonts w:ascii="Wingdings" w:hAnsi="Wingdings" w:hint="default"/>
      </w:rPr>
    </w:lvl>
    <w:lvl w:ilvl="3" w:tplc="0C0A0001" w:tentative="1">
      <w:start w:val="1"/>
      <w:numFmt w:val="bullet"/>
      <w:lvlText w:val=""/>
      <w:lvlJc w:val="left"/>
      <w:pPr>
        <w:ind w:left="2934" w:hanging="360"/>
      </w:pPr>
      <w:rPr>
        <w:rFonts w:ascii="Symbol" w:hAnsi="Symbol" w:hint="default"/>
      </w:rPr>
    </w:lvl>
    <w:lvl w:ilvl="4" w:tplc="0C0A0003" w:tentative="1">
      <w:start w:val="1"/>
      <w:numFmt w:val="bullet"/>
      <w:lvlText w:val="o"/>
      <w:lvlJc w:val="left"/>
      <w:pPr>
        <w:ind w:left="3654" w:hanging="360"/>
      </w:pPr>
      <w:rPr>
        <w:rFonts w:ascii="Courier New" w:hAnsi="Courier New" w:cs="Courier New" w:hint="default"/>
      </w:rPr>
    </w:lvl>
    <w:lvl w:ilvl="5" w:tplc="0C0A0005" w:tentative="1">
      <w:start w:val="1"/>
      <w:numFmt w:val="bullet"/>
      <w:lvlText w:val=""/>
      <w:lvlJc w:val="left"/>
      <w:pPr>
        <w:ind w:left="4374" w:hanging="360"/>
      </w:pPr>
      <w:rPr>
        <w:rFonts w:ascii="Wingdings" w:hAnsi="Wingdings" w:hint="default"/>
      </w:rPr>
    </w:lvl>
    <w:lvl w:ilvl="6" w:tplc="0C0A0001" w:tentative="1">
      <w:start w:val="1"/>
      <w:numFmt w:val="bullet"/>
      <w:lvlText w:val=""/>
      <w:lvlJc w:val="left"/>
      <w:pPr>
        <w:ind w:left="5094" w:hanging="360"/>
      </w:pPr>
      <w:rPr>
        <w:rFonts w:ascii="Symbol" w:hAnsi="Symbol" w:hint="default"/>
      </w:rPr>
    </w:lvl>
    <w:lvl w:ilvl="7" w:tplc="0C0A0003" w:tentative="1">
      <w:start w:val="1"/>
      <w:numFmt w:val="bullet"/>
      <w:lvlText w:val="o"/>
      <w:lvlJc w:val="left"/>
      <w:pPr>
        <w:ind w:left="5814" w:hanging="360"/>
      </w:pPr>
      <w:rPr>
        <w:rFonts w:ascii="Courier New" w:hAnsi="Courier New" w:cs="Courier New" w:hint="default"/>
      </w:rPr>
    </w:lvl>
    <w:lvl w:ilvl="8" w:tplc="0C0A0005" w:tentative="1">
      <w:start w:val="1"/>
      <w:numFmt w:val="bullet"/>
      <w:lvlText w:val=""/>
      <w:lvlJc w:val="left"/>
      <w:pPr>
        <w:ind w:left="6534" w:hanging="360"/>
      </w:pPr>
      <w:rPr>
        <w:rFonts w:ascii="Wingdings" w:hAnsi="Wingdings" w:hint="default"/>
      </w:rPr>
    </w:lvl>
  </w:abstractNum>
  <w:abstractNum w:abstractNumId="3" w15:restartNumberingAfterBreak="0">
    <w:nsid w:val="4B886E5C"/>
    <w:multiLevelType w:val="hybridMultilevel"/>
    <w:tmpl w:val="95BE1188"/>
    <w:lvl w:ilvl="0" w:tplc="B75E00D0">
      <w:start w:val="12"/>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13815BC"/>
    <w:multiLevelType w:val="hybridMultilevel"/>
    <w:tmpl w:val="E6EC83F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 w15:restartNumberingAfterBreak="0">
    <w:nsid w:val="626C15CC"/>
    <w:multiLevelType w:val="hybridMultilevel"/>
    <w:tmpl w:val="5FF6E16C"/>
    <w:lvl w:ilvl="0" w:tplc="E6608226">
      <w:numFmt w:val="bullet"/>
      <w:lvlText w:val="-"/>
      <w:lvlJc w:val="left"/>
      <w:pPr>
        <w:ind w:left="1068" w:hanging="360"/>
      </w:pPr>
      <w:rPr>
        <w:rFonts w:ascii="Calibri" w:eastAsiaTheme="minorHAnsi"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67014FE6"/>
    <w:multiLevelType w:val="hybridMultilevel"/>
    <w:tmpl w:val="2CDA1B8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729A5501"/>
    <w:multiLevelType w:val="hybridMultilevel"/>
    <w:tmpl w:val="D95080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7292D32"/>
    <w:multiLevelType w:val="hybridMultilevel"/>
    <w:tmpl w:val="A800BC9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7"/>
  </w:num>
  <w:num w:numId="4">
    <w:abstractNumId w:val="1"/>
  </w:num>
  <w:num w:numId="5">
    <w:abstractNumId w:val="4"/>
  </w:num>
  <w:num w:numId="6">
    <w:abstractNumId w:val="3"/>
  </w:num>
  <w:num w:numId="7">
    <w:abstractNumId w:val="2"/>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FF5"/>
    <w:rsid w:val="00003913"/>
    <w:rsid w:val="00025396"/>
    <w:rsid w:val="00077CC8"/>
    <w:rsid w:val="000D242A"/>
    <w:rsid w:val="001E5040"/>
    <w:rsid w:val="00251191"/>
    <w:rsid w:val="00257FF5"/>
    <w:rsid w:val="00284048"/>
    <w:rsid w:val="002918EC"/>
    <w:rsid w:val="003255A3"/>
    <w:rsid w:val="004633C6"/>
    <w:rsid w:val="00513B9C"/>
    <w:rsid w:val="005C5DFD"/>
    <w:rsid w:val="00613083"/>
    <w:rsid w:val="00620DB9"/>
    <w:rsid w:val="00641B80"/>
    <w:rsid w:val="00677FBC"/>
    <w:rsid w:val="00774453"/>
    <w:rsid w:val="00AA05F6"/>
    <w:rsid w:val="00B77711"/>
    <w:rsid w:val="00BA0950"/>
    <w:rsid w:val="00DE0B2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25D4C"/>
  <w15:docId w15:val="{E00A0A2E-281D-48AA-8BDD-280A0ECEF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08" w:type="dxa"/>
        <w:right w:w="108" w:type="dxa"/>
      </w:tblCellMar>
    </w:tblPr>
  </w:style>
  <w:style w:type="paragraph" w:styleId="Prrafodelista">
    <w:name w:val="List Paragraph"/>
    <w:aliases w:val="Gráfico Título,Párrafo 1,Párrafo,Arial 8,List Paragraph,List Paragraph1,Normal N3,Bullet,Párrafo de lista11,Párrafo1_viñeta,Bullets,Párrafo 11,Párrafo1,Bullets1,Numeración,Párrafo de lista NUEVO,Párrafo normal,Llista Nivell1,BULLET 1"/>
    <w:basedOn w:val="Normal"/>
    <w:link w:val="PrrafodelistaCar"/>
    <w:uiPriority w:val="34"/>
    <w:qFormat/>
    <w:rsid w:val="00AA05F6"/>
    <w:pPr>
      <w:ind w:left="720"/>
      <w:contextualSpacing/>
    </w:pPr>
  </w:style>
  <w:style w:type="paragraph" w:customStyle="1" w:styleId="a0">
    <w:name w:val="a"/>
    <w:basedOn w:val="Normal"/>
    <w:rsid w:val="00513B9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rrafodelistaCar">
    <w:name w:val="Párrafo de lista Car"/>
    <w:aliases w:val="Gráfico Título Car,Párrafo 1 Car,Párrafo Car,Arial 8 Car,List Paragraph Car,List Paragraph1 Car,Normal N3 Car,Bullet Car,Párrafo de lista11 Car,Párrafo1_viñeta Car,Bullets Car,Párrafo 11 Car,Párrafo1 Car,Bullets1 Car,Numeración Car"/>
    <w:link w:val="Prrafodelista"/>
    <w:uiPriority w:val="34"/>
    <w:qFormat/>
    <w:locked/>
    <w:rsid w:val="002840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7</Pages>
  <Words>2902</Words>
  <Characters>15963</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MINISTERIO DE SANIDAD, CONSUMO Y BIENESTAR SOCIAL</Company>
  <LinksUpToDate>false</LinksUpToDate>
  <CharactersWithSpaces>18828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Panera Fernández. Marta</dc:creator>
  <cp:lastModifiedBy>Panera Fernández. Marta</cp:lastModifiedBy>
  <cp:revision>17</cp:revision>
  <dcterms:created xsi:type="dcterms:W3CDTF">2023-05-17T09:48:00Z</dcterms:created>
  <dcterms:modified xsi:type="dcterms:W3CDTF">2023-05-17T14:36:00Z</dcterms:modified>
</cp:coreProperties>
</file>