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2AE26" w14:textId="03A323F4" w:rsidR="00D4370A" w:rsidRDefault="00D4370A" w:rsidP="00D4370A">
      <w:pPr>
        <w:pStyle w:val="Titre1"/>
        <w:numPr>
          <w:ilvl w:val="0"/>
          <w:numId w:val="0"/>
        </w:numPr>
        <w:jc w:val="center"/>
      </w:pPr>
      <w:bookmarkStart w:id="0" w:name="_Hlk34124783"/>
      <w:r w:rsidRPr="001C745E">
        <w:rPr>
          <w:noProof/>
          <w:lang w:eastAsia="fr-FR"/>
        </w:rPr>
        <w:drawing>
          <wp:inline distT="0" distB="0" distL="0" distR="0" wp14:anchorId="552770B8" wp14:editId="6EC5B9DE">
            <wp:extent cx="3198238" cy="2562225"/>
            <wp:effectExtent l="0" t="0" r="0" b="0"/>
            <wp:docPr id="5" name="Image 5" descr="Logo-du-CGLPL-300x2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u-CGLPL-300x233.gif"/>
                    <pic:cNvPicPr/>
                  </pic:nvPicPr>
                  <pic:blipFill>
                    <a:blip r:embed="rId11"/>
                    <a:srcRect l="2403"/>
                    <a:stretch>
                      <a:fillRect/>
                    </a:stretch>
                  </pic:blipFill>
                  <pic:spPr>
                    <a:xfrm>
                      <a:off x="0" y="0"/>
                      <a:ext cx="3209429" cy="2571191"/>
                    </a:xfrm>
                    <a:prstGeom prst="rect">
                      <a:avLst/>
                    </a:prstGeom>
                  </pic:spPr>
                </pic:pic>
              </a:graphicData>
            </a:graphic>
          </wp:inline>
        </w:drawing>
      </w:r>
    </w:p>
    <w:p w14:paraId="59AF79D9" w14:textId="3BE26342" w:rsidR="00AC7322" w:rsidRDefault="00AC7322" w:rsidP="00D4370A"/>
    <w:p w14:paraId="7706A441" w14:textId="54D8442D" w:rsidR="00AC7322" w:rsidRPr="00031259" w:rsidRDefault="00AC7322" w:rsidP="00031259">
      <w:pPr>
        <w:jc w:val="center"/>
        <w:rPr>
          <w:b/>
          <w:bCs/>
          <w:sz w:val="28"/>
          <w:szCs w:val="24"/>
        </w:rPr>
      </w:pPr>
    </w:p>
    <w:p w14:paraId="693AC9CE" w14:textId="7135E7D2" w:rsidR="00AC7322" w:rsidRPr="00031259" w:rsidRDefault="00031259" w:rsidP="00031259">
      <w:pPr>
        <w:jc w:val="center"/>
        <w:rPr>
          <w:b/>
          <w:bCs/>
          <w:sz w:val="28"/>
          <w:szCs w:val="24"/>
        </w:rPr>
      </w:pPr>
      <w:r w:rsidRPr="00031259">
        <w:rPr>
          <w:b/>
          <w:bCs/>
          <w:sz w:val="28"/>
          <w:szCs w:val="24"/>
        </w:rPr>
        <w:t>Comité des droits de l’enfant</w:t>
      </w:r>
    </w:p>
    <w:p w14:paraId="3C0B4525" w14:textId="11FF6B37" w:rsidR="00031259" w:rsidRPr="00031259" w:rsidRDefault="00031259" w:rsidP="00031259">
      <w:pPr>
        <w:jc w:val="center"/>
        <w:rPr>
          <w:b/>
          <w:bCs/>
          <w:sz w:val="28"/>
          <w:szCs w:val="24"/>
        </w:rPr>
      </w:pPr>
      <w:r w:rsidRPr="00031259">
        <w:rPr>
          <w:b/>
          <w:bCs/>
          <w:sz w:val="28"/>
          <w:szCs w:val="24"/>
        </w:rPr>
        <w:t>Rapport thématique du Contrôleur général des lieux de privation de liberté</w:t>
      </w:r>
    </w:p>
    <w:p w14:paraId="745B4237" w14:textId="77777777" w:rsidR="00AC7322" w:rsidRDefault="00AC7322" w:rsidP="00AC7322"/>
    <w:p w14:paraId="0FFBF072" w14:textId="77777777" w:rsidR="00AC7322" w:rsidRDefault="00AC7322" w:rsidP="00AC7322"/>
    <w:p w14:paraId="7F0904FA" w14:textId="77777777" w:rsidR="00AC7322" w:rsidRDefault="00AC7322" w:rsidP="00AC7322"/>
    <w:p w14:paraId="77D13D85" w14:textId="2DC3E204" w:rsidR="000C382E" w:rsidRDefault="00300C8A" w:rsidP="000C382E">
      <w:r>
        <w:t>Le</w:t>
      </w:r>
      <w:r w:rsidRPr="000C382E">
        <w:t xml:space="preserve"> Contrôleur général des lieux de privation de liberté (CGLPL), mécanisme français de prévention de la torture institué en 2007 en application du protocole facultatif des Nations unies pour la prévention de la torture et autre traitements cruels inhumains et dégradants, a l’honneur de présenter s</w:t>
      </w:r>
      <w:r w:rsidR="00BA0479">
        <w:t xml:space="preserve">on rapport thématique </w:t>
      </w:r>
      <w:r w:rsidR="00031259">
        <w:t>au Comité des droits de l’enfant</w:t>
      </w:r>
      <w:r w:rsidRPr="000C382E">
        <w:t xml:space="preserve">. </w:t>
      </w:r>
    </w:p>
    <w:p w14:paraId="374F8AB0" w14:textId="5C0C26F1" w:rsidR="000C382E" w:rsidRDefault="00300C8A" w:rsidP="000C382E">
      <w:r w:rsidRPr="000C382E">
        <w:t xml:space="preserve">Pour s’assurer du respect de leurs droits fondamentaux, le CGLPL peut visiter à tout moment tout lieu où des personnes sont privées de leur liberté par décision d’une autorité publique. Il dispose d’un accès très large aux locaux, aux documents et aux personnes, qu’il s’agisse des personnes privées de liberté elles-mêmes, de leurs proches ou de celles qui interviennent dans les lieux concernés. À la suite de ses visites, il adresse ses observations aux ministres de tutelle. Il peut aussi proposer toute modification des dispositions législatives et réglementaires. Tous ses travaux sont publics. </w:t>
      </w:r>
    </w:p>
    <w:p w14:paraId="4F9A81AB" w14:textId="27C999CB" w:rsidR="00AC7322" w:rsidRPr="000C382E" w:rsidRDefault="00300C8A" w:rsidP="000C382E">
      <w:pPr>
        <w:spacing w:after="335"/>
        <w:ind w:left="-5" w:right="39"/>
      </w:pPr>
      <w:r w:rsidRPr="000C382E">
        <w:t xml:space="preserve">Chaque année, </w:t>
      </w:r>
      <w:r w:rsidR="00F900CD">
        <w:t>le CGLPL</w:t>
      </w:r>
      <w:r w:rsidRPr="000C382E">
        <w:t xml:space="preserve"> reçoit environ 4000 courriers signalant des atteintes aux droits fondamentaux dans les lieux de privation de liberté, qui génèrent un dialogue constructif avec les autorités</w:t>
      </w:r>
      <w:r w:rsidR="00F900CD">
        <w:t xml:space="preserve">, ainsi que </w:t>
      </w:r>
      <w:r w:rsidRPr="000C382E">
        <w:t>des visites ciblées. Sur la base de cette expertise de terrain, le CGLPL souhaite appeler l’attention du comité pour les droits de l’enfant sur les atteintes à leurs droits fondamentaux</w:t>
      </w:r>
      <w:r w:rsidR="000C382E" w:rsidRPr="000C382E">
        <w:t xml:space="preserve"> lorsqu’ils sont privés de liberté dans le cadre d’une procédure judiciaire, administrative ou à la demande de leurs représentants légaux en établissement psychiatrique.</w:t>
      </w:r>
    </w:p>
    <w:p w14:paraId="49E28304" w14:textId="77777777" w:rsidR="00AC7322" w:rsidRDefault="00AC7322" w:rsidP="00D4370A"/>
    <w:p w14:paraId="33ECC70E" w14:textId="77777777" w:rsidR="00AC7322" w:rsidRPr="00D4370A" w:rsidRDefault="00AC7322" w:rsidP="00D4370A"/>
    <w:p w14:paraId="5E260151" w14:textId="4848EC6B" w:rsidR="00B04AC9" w:rsidRDefault="00B04AC9" w:rsidP="00B6007B">
      <w:pPr>
        <w:pStyle w:val="Titre1"/>
      </w:pPr>
      <w:r>
        <w:lastRenderedPageBreak/>
        <w:t xml:space="preserve">Les enfants placés dans les établissements </w:t>
      </w:r>
      <w:r w:rsidR="00B6007B">
        <w:t>des santé mentale</w:t>
      </w:r>
      <w:r>
        <w:t xml:space="preserve"> </w:t>
      </w:r>
    </w:p>
    <w:p w14:paraId="3E4C4EE8" w14:textId="74C7FFF4" w:rsidR="00BB5CEA" w:rsidRDefault="000C382E" w:rsidP="00BB5CEA">
      <w:pPr>
        <w:pStyle w:val="achet"/>
      </w:pPr>
      <w:r>
        <w:t>La</w:t>
      </w:r>
      <w:r w:rsidR="00BB5CEA" w:rsidRPr="00097B79">
        <w:t xml:space="preserve"> saturation des structures </w:t>
      </w:r>
      <w:r w:rsidR="00056496">
        <w:t>de soins psychiatriques</w:t>
      </w:r>
      <w:r w:rsidR="00BB5CEA" w:rsidRPr="00097B79">
        <w:t xml:space="preserve"> pour enfants et adolescents</w:t>
      </w:r>
      <w:r>
        <w:t xml:space="preserve"> fait l’objet d’un constat</w:t>
      </w:r>
      <w:r w:rsidR="00056496">
        <w:t xml:space="preserve"> unanime</w:t>
      </w:r>
      <w:r w:rsidR="00056496" w:rsidRPr="00097B79">
        <w:rPr>
          <w:rStyle w:val="Appelnotedebasdep"/>
          <w:color w:val="833C0B" w:themeColor="accent2" w:themeShade="80"/>
        </w:rPr>
        <w:footnoteReference w:id="1"/>
      </w:r>
      <w:r w:rsidR="00BB5CEA">
        <w:t>. Le</w:t>
      </w:r>
      <w:r w:rsidR="00BB5CEA" w:rsidRPr="00097B79">
        <w:t xml:space="preserve">s délais </w:t>
      </w:r>
      <w:r w:rsidR="00BB5CEA">
        <w:t xml:space="preserve">d’obtention d’un </w:t>
      </w:r>
      <w:r w:rsidR="00BB5CEA" w:rsidRPr="00097B79">
        <w:t xml:space="preserve">premier rendez-vous </w:t>
      </w:r>
      <w:r w:rsidR="00BB5CEA">
        <w:t xml:space="preserve">sont </w:t>
      </w:r>
      <w:r w:rsidR="00056496">
        <w:t>longs</w:t>
      </w:r>
      <w:r w:rsidR="00BB5CEA">
        <w:t>,</w:t>
      </w:r>
      <w:r w:rsidR="00BB5CEA" w:rsidRPr="00097B79">
        <w:t xml:space="preserve"> </w:t>
      </w:r>
      <w:r>
        <w:t xml:space="preserve">empêchant un </w:t>
      </w:r>
      <w:r w:rsidR="00BB5CEA" w:rsidRPr="00097B79">
        <w:t>repérage précoce pourtant essentiel de</w:t>
      </w:r>
      <w:r>
        <w:t xml:space="preserve">s </w:t>
      </w:r>
      <w:r w:rsidR="00BB5CEA" w:rsidRPr="00097B79">
        <w:t xml:space="preserve">troubles psychiques. </w:t>
      </w:r>
      <w:r w:rsidR="00BB5CEA">
        <w:t>E</w:t>
      </w:r>
      <w:r w:rsidR="00BB5CEA" w:rsidRPr="00097B79">
        <w:t>n 201</w:t>
      </w:r>
      <w:r w:rsidR="00BB5CEA">
        <w:t>4</w:t>
      </w:r>
      <w:r w:rsidR="00BB5CEA" w:rsidRPr="00097B79">
        <w:t xml:space="preserve">, </w:t>
      </w:r>
      <w:r w:rsidR="00B53EFA">
        <w:t>la France</w:t>
      </w:r>
      <w:r w:rsidR="00BB5CEA" w:rsidRPr="00097B79">
        <w:t xml:space="preserve"> compt</w:t>
      </w:r>
      <w:r w:rsidR="00BB5CEA">
        <w:t xml:space="preserve">ait </w:t>
      </w:r>
      <w:r w:rsidR="00BB5CEA" w:rsidRPr="00673FA7">
        <w:t>2</w:t>
      </w:r>
      <w:r w:rsidR="00BB5CEA">
        <w:t xml:space="preserve"> </w:t>
      </w:r>
      <w:r w:rsidR="00BB5CEA" w:rsidRPr="00673FA7">
        <w:t>257 lits privés et publics (1</w:t>
      </w:r>
      <w:r w:rsidR="00BB5CEA">
        <w:t xml:space="preserve"> </w:t>
      </w:r>
      <w:r w:rsidR="00BB5CEA" w:rsidRPr="00673FA7">
        <w:t>635 en public</w:t>
      </w:r>
      <w:r w:rsidR="00BB5CEA">
        <w:t>)</w:t>
      </w:r>
      <w:r w:rsidR="00BB5CEA" w:rsidRPr="00097B79">
        <w:t xml:space="preserve"> </w:t>
      </w:r>
      <w:r w:rsidR="00BB5CEA">
        <w:t>d</w:t>
      </w:r>
      <w:r w:rsidR="00BB5CEA" w:rsidRPr="00097B79">
        <w:t>’hospitalisation à temps complet</w:t>
      </w:r>
      <w:r w:rsidR="00BB5CEA">
        <w:rPr>
          <w:rStyle w:val="Appelnotedebasdep"/>
        </w:rPr>
        <w:footnoteReference w:id="2"/>
      </w:r>
      <w:r w:rsidR="00BB5CEA" w:rsidRPr="00097B79">
        <w:t xml:space="preserve"> pour 44 076 patients pris en charge par les secteurs de psychiatrie infanto-juvénile</w:t>
      </w:r>
      <w:r w:rsidR="00BB5CEA">
        <w:t xml:space="preserve">. </w:t>
      </w:r>
    </w:p>
    <w:p w14:paraId="107C0236" w14:textId="09ABF98F" w:rsidR="00BB5CEA" w:rsidRPr="00097B79" w:rsidRDefault="00BF41C5" w:rsidP="00BB5CEA">
      <w:pPr>
        <w:pStyle w:val="achet"/>
      </w:pPr>
      <w:r>
        <w:t>Lors de ses</w:t>
      </w:r>
      <w:r w:rsidR="00BB5CEA" w:rsidRPr="00097B79">
        <w:t xml:space="preserve"> missions</w:t>
      </w:r>
      <w:r>
        <w:t xml:space="preserve">, le </w:t>
      </w:r>
      <w:r w:rsidR="00BB5CEA" w:rsidRPr="00097B79">
        <w:t>CGLPL observe</w:t>
      </w:r>
      <w:r w:rsidR="000C382E">
        <w:t xml:space="preserve"> de ce fait</w:t>
      </w:r>
      <w:r>
        <w:t xml:space="preserve"> </w:t>
      </w:r>
      <w:r w:rsidR="00BB5CEA" w:rsidRPr="00097B79">
        <w:t xml:space="preserve">que dans de nombreux départements, des adolescents de plus de </w:t>
      </w:r>
      <w:r w:rsidR="00BB5CEA" w:rsidRPr="00CB565F">
        <w:t>16 ans mais aussi plus jeunes, parfois dès 12 ans, sont hospitalisés dans des unités pour adultes</w:t>
      </w:r>
      <w:r w:rsidR="00CB565F" w:rsidRPr="00CB565F">
        <w:t xml:space="preserve">, </w:t>
      </w:r>
      <w:r w:rsidR="00BB5CEA" w:rsidRPr="00CB565F">
        <w:t>où leurs droits ne sont pas respectés.</w:t>
      </w:r>
    </w:p>
    <w:p w14:paraId="71324748" w14:textId="37B322FC" w:rsidR="00BB5CEA" w:rsidRPr="00494E58" w:rsidRDefault="00494E58" w:rsidP="00BB5CEA">
      <w:pPr>
        <w:pStyle w:val="Default"/>
        <w:jc w:val="both"/>
        <w:rPr>
          <w:rFonts w:asciiTheme="minorHAnsi" w:hAnsiTheme="minorHAnsi" w:cstheme="minorHAnsi"/>
        </w:rPr>
      </w:pPr>
      <w:r>
        <w:rPr>
          <w:rFonts w:asciiTheme="minorHAnsi" w:hAnsiTheme="minorHAnsi" w:cstheme="minorBidi"/>
          <w:color w:val="auto"/>
          <w:szCs w:val="22"/>
        </w:rPr>
        <w:t>Dans les unités pour adultes, le personnel soignant n’a</w:t>
      </w:r>
      <w:r w:rsidR="00C24A89" w:rsidRPr="00494E58">
        <w:rPr>
          <w:rFonts w:asciiTheme="minorHAnsi" w:hAnsiTheme="minorHAnsi" w:cstheme="minorBidi"/>
          <w:color w:val="auto"/>
          <w:szCs w:val="22"/>
        </w:rPr>
        <w:t xml:space="preserve"> pas les moyens de</w:t>
      </w:r>
      <w:r w:rsidR="00BB5CEA" w:rsidRPr="00494E58">
        <w:rPr>
          <w:rFonts w:asciiTheme="minorHAnsi" w:hAnsiTheme="minorHAnsi" w:cstheme="minorBidi"/>
          <w:color w:val="auto"/>
          <w:szCs w:val="22"/>
        </w:rPr>
        <w:t xml:space="preserve"> mettre en place la prise en charge individualisée </w:t>
      </w:r>
      <w:r>
        <w:rPr>
          <w:rFonts w:asciiTheme="minorHAnsi" w:hAnsiTheme="minorHAnsi" w:cstheme="minorBidi"/>
          <w:color w:val="auto"/>
          <w:szCs w:val="22"/>
        </w:rPr>
        <w:t>que</w:t>
      </w:r>
      <w:r w:rsidR="00BB5CEA" w:rsidRPr="00494E58">
        <w:rPr>
          <w:rFonts w:asciiTheme="minorHAnsi" w:hAnsiTheme="minorHAnsi" w:cstheme="minorBidi"/>
          <w:color w:val="auto"/>
          <w:szCs w:val="22"/>
        </w:rPr>
        <w:t xml:space="preserve"> </w:t>
      </w:r>
      <w:r w:rsidRPr="00494E58">
        <w:rPr>
          <w:rFonts w:asciiTheme="minorHAnsi" w:hAnsiTheme="minorHAnsi" w:cstheme="minorBidi"/>
          <w:color w:val="auto"/>
          <w:szCs w:val="22"/>
        </w:rPr>
        <w:t xml:space="preserve">ces enfants </w:t>
      </w:r>
      <w:r w:rsidR="00BB5CEA" w:rsidRPr="00494E58">
        <w:rPr>
          <w:rFonts w:asciiTheme="minorHAnsi" w:hAnsiTheme="minorHAnsi" w:cstheme="minorBidi"/>
          <w:color w:val="auto"/>
          <w:szCs w:val="22"/>
        </w:rPr>
        <w:t xml:space="preserve">nécessiteraient. </w:t>
      </w:r>
      <w:r>
        <w:rPr>
          <w:rFonts w:asciiTheme="minorHAnsi" w:hAnsiTheme="minorHAnsi" w:cstheme="minorBidi"/>
          <w:color w:val="auto"/>
          <w:szCs w:val="22"/>
        </w:rPr>
        <w:t>Les</w:t>
      </w:r>
      <w:r w:rsidR="00BB5CEA" w:rsidRPr="00494E58">
        <w:rPr>
          <w:rFonts w:asciiTheme="minorHAnsi" w:hAnsiTheme="minorHAnsi" w:cstheme="minorBidi"/>
          <w:color w:val="auto"/>
          <w:szCs w:val="22"/>
        </w:rPr>
        <w:t xml:space="preserve"> soins apportés consistent surtout à les protéger de la confrontation avec la pathologie de patients adultes, </w:t>
      </w:r>
      <w:r w:rsidR="000C382E">
        <w:rPr>
          <w:rFonts w:asciiTheme="minorHAnsi" w:hAnsiTheme="minorHAnsi" w:cstheme="minorBidi"/>
          <w:color w:val="auto"/>
          <w:szCs w:val="22"/>
        </w:rPr>
        <w:t>ainsi que</w:t>
      </w:r>
      <w:r w:rsidR="00BB5CEA" w:rsidRPr="00494E58">
        <w:rPr>
          <w:rFonts w:asciiTheme="minorHAnsi" w:hAnsiTheme="minorHAnsi" w:cstheme="minorBidi"/>
          <w:color w:val="auto"/>
          <w:szCs w:val="22"/>
        </w:rPr>
        <w:t xml:space="preserve"> de</w:t>
      </w:r>
      <w:r>
        <w:rPr>
          <w:rFonts w:asciiTheme="minorHAnsi" w:hAnsiTheme="minorHAnsi" w:cstheme="minorBidi"/>
          <w:color w:val="auto"/>
          <w:szCs w:val="22"/>
        </w:rPr>
        <w:t>s</w:t>
      </w:r>
      <w:r w:rsidR="00BB5CEA" w:rsidRPr="00494E58">
        <w:rPr>
          <w:rFonts w:asciiTheme="minorHAnsi" w:hAnsiTheme="minorHAnsi" w:cstheme="minorBidi"/>
          <w:color w:val="auto"/>
          <w:szCs w:val="22"/>
        </w:rPr>
        <w:t xml:space="preserve"> risques d’agression. Ces </w:t>
      </w:r>
      <w:r>
        <w:rPr>
          <w:rFonts w:asciiTheme="minorHAnsi" w:hAnsiTheme="minorHAnsi" w:cstheme="minorBidi"/>
          <w:color w:val="auto"/>
          <w:szCs w:val="22"/>
        </w:rPr>
        <w:t>enfants</w:t>
      </w:r>
      <w:r w:rsidR="00BB5CEA" w:rsidRPr="00494E58">
        <w:rPr>
          <w:rFonts w:asciiTheme="minorHAnsi" w:hAnsiTheme="minorHAnsi" w:cstheme="minorBidi"/>
          <w:color w:val="auto"/>
          <w:szCs w:val="22"/>
        </w:rPr>
        <w:t xml:space="preserve"> sont </w:t>
      </w:r>
      <w:r>
        <w:rPr>
          <w:rFonts w:asciiTheme="minorHAnsi" w:hAnsiTheme="minorHAnsi" w:cstheme="minorBidi"/>
          <w:color w:val="auto"/>
          <w:szCs w:val="22"/>
        </w:rPr>
        <w:t>généralement</w:t>
      </w:r>
      <w:r w:rsidR="00BB5CEA" w:rsidRPr="00494E58">
        <w:rPr>
          <w:rFonts w:asciiTheme="minorHAnsi" w:hAnsiTheme="minorHAnsi" w:cstheme="minorBidi"/>
          <w:color w:val="auto"/>
          <w:szCs w:val="22"/>
        </w:rPr>
        <w:t xml:space="preserve"> placés dans des chambres à proximité des bureaux des soignants</w:t>
      </w:r>
      <w:r w:rsidR="000C382E">
        <w:rPr>
          <w:rFonts w:asciiTheme="minorHAnsi" w:hAnsiTheme="minorHAnsi" w:cstheme="minorBidi"/>
          <w:color w:val="auto"/>
          <w:szCs w:val="22"/>
        </w:rPr>
        <w:t>, ou dans des chambres individuelles. I</w:t>
      </w:r>
      <w:r w:rsidR="00BB5CEA" w:rsidRPr="00494E58">
        <w:rPr>
          <w:rFonts w:asciiTheme="minorHAnsi" w:hAnsiTheme="minorHAnsi" w:cstheme="minorBidi"/>
          <w:color w:val="auto"/>
          <w:szCs w:val="22"/>
        </w:rPr>
        <w:t xml:space="preserve">ls peuvent aussi être placés </w:t>
      </w:r>
      <w:r>
        <w:rPr>
          <w:rFonts w:asciiTheme="minorHAnsi" w:hAnsiTheme="minorHAnsi" w:cstheme="minorBidi"/>
          <w:color w:val="auto"/>
          <w:szCs w:val="22"/>
        </w:rPr>
        <w:t>en</w:t>
      </w:r>
      <w:r w:rsidR="00BB5CEA" w:rsidRPr="00494E58">
        <w:rPr>
          <w:rFonts w:asciiTheme="minorHAnsi" w:hAnsiTheme="minorHAnsi" w:cstheme="minorBidi"/>
          <w:color w:val="auto"/>
          <w:szCs w:val="22"/>
        </w:rPr>
        <w:t xml:space="preserve"> chambre</w:t>
      </w:r>
      <w:r>
        <w:rPr>
          <w:rFonts w:asciiTheme="minorHAnsi" w:hAnsiTheme="minorHAnsi" w:cstheme="minorBidi"/>
          <w:color w:val="auto"/>
          <w:szCs w:val="22"/>
        </w:rPr>
        <w:t xml:space="preserve"> </w:t>
      </w:r>
      <w:r w:rsidR="00BB5CEA" w:rsidRPr="00494E58">
        <w:rPr>
          <w:rFonts w:asciiTheme="minorHAnsi" w:hAnsiTheme="minorHAnsi" w:cstheme="minorBidi"/>
          <w:color w:val="auto"/>
          <w:szCs w:val="22"/>
        </w:rPr>
        <w:t>d’isolement</w:t>
      </w:r>
      <w:r>
        <w:rPr>
          <w:rFonts w:asciiTheme="minorHAnsi" w:hAnsiTheme="minorHAnsi" w:cstheme="minorBidi"/>
          <w:color w:val="auto"/>
          <w:szCs w:val="22"/>
        </w:rPr>
        <w:t>,</w:t>
      </w:r>
      <w:r w:rsidR="00BB5CEA" w:rsidRPr="00494E58">
        <w:rPr>
          <w:rFonts w:asciiTheme="minorHAnsi" w:hAnsiTheme="minorHAnsi" w:cstheme="minorBidi"/>
          <w:color w:val="auto"/>
          <w:szCs w:val="22"/>
        </w:rPr>
        <w:t xml:space="preserve"> sans justification clinique. Ce placement, effectué dans les mêmes conditions que celles faites aux adultes</w:t>
      </w:r>
      <w:r w:rsidR="000C382E">
        <w:rPr>
          <w:color w:val="833C0B" w:themeColor="accent2" w:themeShade="80"/>
        </w:rPr>
        <w:t>,</w:t>
      </w:r>
      <w:r w:rsidR="00BB5CEA" w:rsidRPr="00494E58">
        <w:rPr>
          <w:rFonts w:asciiTheme="minorHAnsi" w:hAnsiTheme="minorHAnsi" w:cstheme="minorBidi"/>
          <w:color w:val="auto"/>
          <w:szCs w:val="22"/>
        </w:rPr>
        <w:t xml:space="preserve"> constitue une atteinte inadmissible à leur</w:t>
      </w:r>
      <w:r w:rsidR="00BF41C5" w:rsidRPr="00494E58">
        <w:rPr>
          <w:rFonts w:asciiTheme="minorHAnsi" w:hAnsiTheme="minorHAnsi" w:cstheme="minorBidi"/>
          <w:color w:val="auto"/>
          <w:szCs w:val="22"/>
        </w:rPr>
        <w:t>s</w:t>
      </w:r>
      <w:r w:rsidR="00BB5CEA" w:rsidRPr="00494E58">
        <w:rPr>
          <w:rFonts w:asciiTheme="minorHAnsi" w:hAnsiTheme="minorHAnsi" w:cstheme="minorBidi"/>
          <w:color w:val="auto"/>
          <w:szCs w:val="22"/>
        </w:rPr>
        <w:t xml:space="preserve"> droits. </w:t>
      </w:r>
    </w:p>
    <w:p w14:paraId="701059A7" w14:textId="0DBEA02B" w:rsidR="00BB5CEA" w:rsidRPr="00494E58" w:rsidRDefault="00494E58" w:rsidP="00B04AC9">
      <w:pPr>
        <w:pStyle w:val="Default"/>
        <w:jc w:val="both"/>
        <w:rPr>
          <w:rFonts w:asciiTheme="minorHAnsi" w:hAnsiTheme="minorHAnsi" w:cstheme="minorBidi"/>
          <w:color w:val="auto"/>
          <w:szCs w:val="22"/>
        </w:rPr>
      </w:pPr>
      <w:r>
        <w:rPr>
          <w:rFonts w:asciiTheme="minorHAnsi" w:hAnsiTheme="minorHAnsi" w:cstheme="minorBidi"/>
          <w:color w:val="auto"/>
          <w:szCs w:val="22"/>
        </w:rPr>
        <w:t xml:space="preserve">Lors </w:t>
      </w:r>
      <w:r w:rsidR="00B53EFA">
        <w:rPr>
          <w:rFonts w:asciiTheme="minorHAnsi" w:hAnsiTheme="minorHAnsi" w:cstheme="minorBidi"/>
          <w:color w:val="auto"/>
          <w:szCs w:val="22"/>
        </w:rPr>
        <w:t>des</w:t>
      </w:r>
      <w:r>
        <w:rPr>
          <w:rFonts w:asciiTheme="minorHAnsi" w:hAnsiTheme="minorHAnsi" w:cstheme="minorBidi"/>
          <w:color w:val="auto"/>
          <w:szCs w:val="22"/>
        </w:rPr>
        <w:t xml:space="preserve"> visites</w:t>
      </w:r>
      <w:r w:rsidR="000E2BA3">
        <w:rPr>
          <w:rFonts w:asciiTheme="minorHAnsi" w:hAnsiTheme="minorHAnsi" w:cstheme="minorBidi"/>
          <w:color w:val="auto"/>
          <w:szCs w:val="22"/>
        </w:rPr>
        <w:t>,</w:t>
      </w:r>
      <w:r w:rsidR="00CB565F">
        <w:rPr>
          <w:rFonts w:asciiTheme="minorHAnsi" w:hAnsiTheme="minorHAnsi" w:cstheme="minorBidi"/>
          <w:color w:val="auto"/>
          <w:szCs w:val="22"/>
        </w:rPr>
        <w:t xml:space="preserve"> outre ces atteintes aux droits à l’intégrité physique et à recevoir des soins adaptés,</w:t>
      </w:r>
      <w:r w:rsidR="000E2BA3">
        <w:rPr>
          <w:rFonts w:asciiTheme="minorHAnsi" w:hAnsiTheme="minorHAnsi" w:cstheme="minorBidi"/>
          <w:color w:val="auto"/>
          <w:szCs w:val="22"/>
        </w:rPr>
        <w:t xml:space="preserve"> les équipes du CGLPL constatent que l’accès à l’éducation est </w:t>
      </w:r>
      <w:r w:rsidR="00CB565F">
        <w:rPr>
          <w:rFonts w:asciiTheme="minorHAnsi" w:hAnsiTheme="minorHAnsi" w:cstheme="minorBidi"/>
          <w:color w:val="auto"/>
          <w:szCs w:val="22"/>
        </w:rPr>
        <w:t xml:space="preserve">également </w:t>
      </w:r>
      <w:r w:rsidR="000E2BA3">
        <w:rPr>
          <w:rFonts w:asciiTheme="minorHAnsi" w:hAnsiTheme="minorHAnsi" w:cstheme="minorBidi"/>
          <w:color w:val="auto"/>
          <w:szCs w:val="22"/>
        </w:rPr>
        <w:t xml:space="preserve">défaillant. </w:t>
      </w:r>
    </w:p>
    <w:p w14:paraId="155BF0A5" w14:textId="6F4B9DC4" w:rsidR="00B04AC9" w:rsidRPr="00494E58" w:rsidRDefault="00A10610" w:rsidP="000E2BA3">
      <w:pPr>
        <w:spacing w:before="120" w:after="120"/>
      </w:pPr>
      <w:r>
        <w:t xml:space="preserve">Par ailleurs, </w:t>
      </w:r>
      <w:r w:rsidR="00B53EFA">
        <w:t>l</w:t>
      </w:r>
      <w:r w:rsidR="00B53EFA" w:rsidRPr="00494E58">
        <w:t xml:space="preserve">’hospitalisation des enfants n’est pas soumise à un contrôle judiciaire systématique comme cela est le cas pour les hospitalisations sous contrainte des adultes. </w:t>
      </w:r>
      <w:r w:rsidR="00B53EFA">
        <w:t>En effet, l</w:t>
      </w:r>
      <w:r w:rsidR="000E2BA3" w:rsidRPr="000E2BA3">
        <w:t>es décision</w:t>
      </w:r>
      <w:r w:rsidR="000E2BA3">
        <w:t>s</w:t>
      </w:r>
      <w:r w:rsidR="000E2BA3" w:rsidRPr="000E2BA3">
        <w:t xml:space="preserve"> d’hospitaliser les enfants se font à la demande de leur</w:t>
      </w:r>
      <w:r w:rsidR="000E2BA3">
        <w:t>s</w:t>
      </w:r>
      <w:r w:rsidR="000E2BA3" w:rsidRPr="000E2BA3">
        <w:t xml:space="preserve"> parents, et, plus rarement, celle du représentant de l’Etat ou du juge des enfants. </w:t>
      </w:r>
      <w:r w:rsidR="00B53EFA">
        <w:t>U</w:t>
      </w:r>
      <w:r w:rsidR="000E2BA3">
        <w:t>ne</w:t>
      </w:r>
      <w:r w:rsidR="00B04AC9" w:rsidRPr="00494E58">
        <w:t xml:space="preserve"> hospitalisation peut </w:t>
      </w:r>
      <w:r w:rsidR="00B53EFA">
        <w:t xml:space="preserve">donc </w:t>
      </w:r>
      <w:r w:rsidR="00B04AC9" w:rsidRPr="00494E58">
        <w:t xml:space="preserve">être imposée </w:t>
      </w:r>
      <w:r w:rsidR="00BB5CEA" w:rsidRPr="00494E58">
        <w:t>à un enfant</w:t>
      </w:r>
      <w:r w:rsidR="00B53EFA">
        <w:t xml:space="preserve"> </w:t>
      </w:r>
      <w:r w:rsidR="00B04AC9" w:rsidRPr="00494E58">
        <w:t>sans qu’il ne bénéficie</w:t>
      </w:r>
      <w:r w:rsidR="00BB5CEA" w:rsidRPr="00494E58">
        <w:t xml:space="preserve"> </w:t>
      </w:r>
      <w:r w:rsidR="00B04AC9" w:rsidRPr="00494E58">
        <w:t xml:space="preserve">des garanties </w:t>
      </w:r>
      <w:r w:rsidR="00494E58">
        <w:t>existant pour les adultes</w:t>
      </w:r>
      <w:r w:rsidR="00B04AC9" w:rsidRPr="00494E58">
        <w:t xml:space="preserve"> en matière de soins sous contrainte. </w:t>
      </w:r>
    </w:p>
    <w:p w14:paraId="0EDA37EE" w14:textId="3A44DC0A" w:rsidR="00BB5CEA" w:rsidRDefault="00494E58" w:rsidP="00161963">
      <w:pPr>
        <w:pStyle w:val="Default"/>
        <w:jc w:val="both"/>
        <w:rPr>
          <w:rFonts w:asciiTheme="minorHAnsi" w:hAnsiTheme="minorHAnsi" w:cstheme="minorHAnsi"/>
        </w:rPr>
      </w:pPr>
      <w:r w:rsidRPr="00494E58">
        <w:rPr>
          <w:rFonts w:asciiTheme="minorHAnsi" w:hAnsiTheme="minorHAnsi" w:cstheme="minorBidi"/>
          <w:color w:val="auto"/>
          <w:szCs w:val="22"/>
        </w:rPr>
        <w:t>La situation de</w:t>
      </w:r>
      <w:r>
        <w:rPr>
          <w:rFonts w:asciiTheme="minorHAnsi" w:hAnsiTheme="minorHAnsi" w:cstheme="minorBidi"/>
          <w:color w:val="auto"/>
          <w:szCs w:val="22"/>
        </w:rPr>
        <w:t xml:space="preserve"> ces enfants </w:t>
      </w:r>
      <w:r w:rsidRPr="00494E58">
        <w:rPr>
          <w:rFonts w:asciiTheme="minorHAnsi" w:hAnsiTheme="minorHAnsi" w:cstheme="minorBidi"/>
          <w:color w:val="auto"/>
          <w:szCs w:val="22"/>
        </w:rPr>
        <w:t xml:space="preserve">a particulièrement retenu l’attention du CGLPL, qui </w:t>
      </w:r>
      <w:r>
        <w:rPr>
          <w:rFonts w:asciiTheme="minorHAnsi" w:hAnsiTheme="minorHAnsi" w:cstheme="minorBidi"/>
          <w:color w:val="auto"/>
          <w:szCs w:val="22"/>
        </w:rPr>
        <w:t>leur a consacré</w:t>
      </w:r>
      <w:r w:rsidRPr="00494E58">
        <w:rPr>
          <w:rFonts w:asciiTheme="minorHAnsi" w:hAnsiTheme="minorHAnsi" w:cstheme="minorBidi"/>
          <w:color w:val="auto"/>
          <w:szCs w:val="22"/>
        </w:rPr>
        <w:t xml:space="preserve"> un rapport thématique publié en 2017</w:t>
      </w:r>
      <w:r>
        <w:rPr>
          <w:rFonts w:asciiTheme="minorHAnsi" w:hAnsiTheme="minorHAnsi" w:cstheme="minorBidi"/>
          <w:color w:val="auto"/>
          <w:szCs w:val="22"/>
        </w:rPr>
        <w:t xml:space="preserve"> intitulé</w:t>
      </w:r>
      <w:r w:rsidRPr="00494E58">
        <w:rPr>
          <w:rFonts w:asciiTheme="minorHAnsi" w:hAnsiTheme="minorHAnsi" w:cstheme="minorHAnsi"/>
          <w:i/>
        </w:rPr>
        <w:t xml:space="preserve"> </w:t>
      </w:r>
      <w:r w:rsidRPr="00E07187">
        <w:rPr>
          <w:rFonts w:asciiTheme="minorHAnsi" w:hAnsiTheme="minorHAnsi" w:cstheme="minorHAnsi"/>
          <w:b/>
          <w:bCs/>
          <w:iCs/>
        </w:rPr>
        <w:t>Les droits fondamentaux des mineurs en établissements de santé mentale.</w:t>
      </w:r>
    </w:p>
    <w:p w14:paraId="7EBA3B34" w14:textId="77777777" w:rsidR="00161963" w:rsidRPr="00161963" w:rsidRDefault="00161963" w:rsidP="00161963">
      <w:pPr>
        <w:pStyle w:val="Default"/>
        <w:jc w:val="both"/>
        <w:rPr>
          <w:rFonts w:asciiTheme="minorHAnsi" w:hAnsiTheme="minorHAnsi" w:cstheme="minorBidi"/>
          <w:color w:val="auto"/>
          <w:szCs w:val="22"/>
        </w:rPr>
      </w:pPr>
    </w:p>
    <w:p w14:paraId="3C3933AB" w14:textId="77777777" w:rsidR="004B5186" w:rsidRPr="00AB59EE" w:rsidRDefault="004B5186" w:rsidP="004B5186">
      <w:pPr>
        <w:pBdr>
          <w:top w:val="single" w:sz="4" w:space="1" w:color="auto"/>
          <w:left w:val="single" w:sz="4" w:space="4" w:color="auto"/>
          <w:bottom w:val="single" w:sz="4" w:space="1" w:color="auto"/>
          <w:right w:val="single" w:sz="4" w:space="4" w:color="auto"/>
        </w:pBdr>
        <w:spacing w:before="120" w:after="120"/>
        <w:rPr>
          <w:rFonts w:ascii="Times New Roman" w:eastAsia="Times New Roman" w:hAnsi="Times New Roman" w:cs="Times New Roman"/>
          <w:b/>
          <w:i/>
          <w:szCs w:val="24"/>
          <w:lang w:eastAsia="fr-FR"/>
        </w:rPr>
      </w:pPr>
      <w:r w:rsidRPr="00AB59EE">
        <w:rPr>
          <w:rFonts w:ascii="Times New Roman" w:eastAsia="Times New Roman" w:hAnsi="Times New Roman" w:cs="Times New Roman"/>
          <w:b/>
          <w:i/>
          <w:szCs w:val="24"/>
          <w:lang w:eastAsia="fr-FR"/>
        </w:rPr>
        <w:t>Question</w:t>
      </w:r>
      <w:r>
        <w:rPr>
          <w:rFonts w:ascii="Times New Roman" w:eastAsia="Times New Roman" w:hAnsi="Times New Roman" w:cs="Times New Roman"/>
          <w:b/>
          <w:i/>
          <w:szCs w:val="24"/>
          <w:lang w:eastAsia="fr-FR"/>
        </w:rPr>
        <w:t>s</w:t>
      </w:r>
      <w:r w:rsidRPr="00AB59EE">
        <w:rPr>
          <w:rFonts w:ascii="Times New Roman" w:eastAsia="Times New Roman" w:hAnsi="Times New Roman" w:cs="Times New Roman"/>
          <w:b/>
          <w:i/>
          <w:szCs w:val="24"/>
          <w:lang w:eastAsia="fr-FR"/>
        </w:rPr>
        <w:t xml:space="preserve"> suggérée</w:t>
      </w:r>
      <w:r>
        <w:rPr>
          <w:rFonts w:ascii="Times New Roman" w:eastAsia="Times New Roman" w:hAnsi="Times New Roman" w:cs="Times New Roman"/>
          <w:b/>
          <w:i/>
          <w:szCs w:val="24"/>
          <w:lang w:eastAsia="fr-FR"/>
        </w:rPr>
        <w:t>s</w:t>
      </w:r>
      <w:r w:rsidRPr="00AB59EE">
        <w:rPr>
          <w:rFonts w:ascii="Times New Roman" w:eastAsia="Times New Roman" w:hAnsi="Times New Roman" w:cs="Times New Roman"/>
          <w:b/>
          <w:i/>
          <w:szCs w:val="24"/>
          <w:lang w:eastAsia="fr-FR"/>
        </w:rPr>
        <w:t> :</w:t>
      </w:r>
    </w:p>
    <w:p w14:paraId="797FFF02" w14:textId="77777777" w:rsidR="004B5186" w:rsidRPr="00AB59EE" w:rsidRDefault="004B5186" w:rsidP="004B5186">
      <w:pPr>
        <w:pBdr>
          <w:top w:val="single" w:sz="4" w:space="1" w:color="auto"/>
          <w:left w:val="single" w:sz="4" w:space="4" w:color="auto"/>
          <w:bottom w:val="single" w:sz="4" w:space="1" w:color="auto"/>
          <w:right w:val="single" w:sz="4" w:space="4" w:color="auto"/>
        </w:pBdr>
        <w:spacing w:before="120" w:after="120"/>
        <w:rPr>
          <w:rFonts w:ascii="Times New Roman" w:eastAsia="Times New Roman" w:hAnsi="Times New Roman" w:cs="Times New Roman"/>
          <w:b/>
          <w:i/>
          <w:szCs w:val="24"/>
          <w:lang w:eastAsia="fr-FR"/>
        </w:rPr>
      </w:pPr>
      <w:r w:rsidRPr="00AB59EE">
        <w:rPr>
          <w:rFonts w:ascii="Times New Roman" w:eastAsia="Times New Roman" w:hAnsi="Times New Roman" w:cs="Times New Roman"/>
          <w:b/>
          <w:i/>
          <w:szCs w:val="24"/>
          <w:lang w:eastAsia="fr-FR"/>
        </w:rPr>
        <w:t>Expliquer les mesures prises pour que chaque enfant qui nécessite des soins puisse être accueilli dans un établis</w:t>
      </w:r>
      <w:r w:rsidRPr="00AB59EE">
        <w:rPr>
          <w:rFonts w:ascii="Times New Roman" w:eastAsia="Times New Roman" w:hAnsi="Times New Roman" w:cs="Times New Roman"/>
          <w:b/>
          <w:i/>
          <w:szCs w:val="24"/>
          <w:lang w:eastAsia="fr-FR"/>
        </w:rPr>
        <w:softHyphen/>
        <w:t>sement adapté et un cadre de soins, assez proche de son domicile pour garantir le maintien des liens familiaux</w:t>
      </w:r>
      <w:r>
        <w:rPr>
          <w:rFonts w:ascii="Times New Roman" w:eastAsia="Times New Roman" w:hAnsi="Times New Roman" w:cs="Times New Roman"/>
          <w:b/>
          <w:i/>
          <w:szCs w:val="24"/>
          <w:lang w:eastAsia="fr-FR"/>
        </w:rPr>
        <w:t>.</w:t>
      </w:r>
    </w:p>
    <w:p w14:paraId="3E66F267" w14:textId="77777777" w:rsidR="004B5186" w:rsidRPr="00AB59EE" w:rsidRDefault="004B5186" w:rsidP="004B5186">
      <w:pPr>
        <w:pBdr>
          <w:top w:val="single" w:sz="4" w:space="1" w:color="auto"/>
          <w:left w:val="single" w:sz="4" w:space="4" w:color="auto"/>
          <w:bottom w:val="single" w:sz="4" w:space="1" w:color="auto"/>
          <w:right w:val="single" w:sz="4" w:space="4" w:color="auto"/>
        </w:pBdr>
        <w:spacing w:before="120" w:after="120"/>
        <w:rPr>
          <w:rFonts w:ascii="Times New Roman" w:eastAsia="Times New Roman" w:hAnsi="Times New Roman" w:cs="Times New Roman"/>
          <w:b/>
          <w:i/>
          <w:szCs w:val="24"/>
          <w:lang w:eastAsia="fr-FR"/>
        </w:rPr>
      </w:pPr>
      <w:r w:rsidRPr="00AB59EE">
        <w:rPr>
          <w:rFonts w:ascii="Times New Roman" w:eastAsia="Times New Roman" w:hAnsi="Times New Roman" w:cs="Times New Roman"/>
          <w:b/>
          <w:i/>
          <w:szCs w:val="24"/>
          <w:lang w:eastAsia="fr-FR"/>
        </w:rPr>
        <w:t>Quelles dispositions sont-elles envisagées pour s’assurer qu’un enfant ou ses représentants puissent contester l’hospitalisation, et plus généralement pour qu’elle fasse l’objet d’un contrôle?</w:t>
      </w:r>
    </w:p>
    <w:p w14:paraId="1E61C3AC" w14:textId="580362D9" w:rsidR="00DA584B" w:rsidRDefault="00E8311A" w:rsidP="00DA584B">
      <w:pPr>
        <w:pStyle w:val="Titre1"/>
      </w:pPr>
      <w:r w:rsidRPr="00BA638D">
        <w:lastRenderedPageBreak/>
        <w:t>Les enfants privés de liberté dans le cadre de l</w:t>
      </w:r>
      <w:r>
        <w:t>’</w:t>
      </w:r>
      <w:r w:rsidRPr="00BA638D">
        <w:t>administration de la justice</w:t>
      </w:r>
      <w:r>
        <w:t> </w:t>
      </w:r>
    </w:p>
    <w:p w14:paraId="4A9ED65E" w14:textId="21F872B6" w:rsidR="00DA584B" w:rsidRDefault="00D5698C" w:rsidP="00DA584B">
      <w:pPr>
        <w:pStyle w:val="Titre2"/>
      </w:pPr>
      <w:r>
        <w:t>Une</w:t>
      </w:r>
      <w:r w:rsidR="005E21E6">
        <w:t xml:space="preserve"> population pénale </w:t>
      </w:r>
      <w:r>
        <w:t>en augmentation</w:t>
      </w:r>
    </w:p>
    <w:p w14:paraId="15B6EE93" w14:textId="2BE0EEBC" w:rsidR="00DA584B" w:rsidRPr="0054006E" w:rsidRDefault="00DA584B" w:rsidP="00DA584B">
      <w:pPr>
        <w:rPr>
          <w:rFonts w:eastAsia="Calibri"/>
        </w:rPr>
      </w:pPr>
      <w:r w:rsidRPr="019951B4">
        <w:t>L’étude des chiffres clé de la justice depuis 2010 démontre que la délinquance des mineurs n’est pas en augmentation</w:t>
      </w:r>
      <w:r w:rsidR="00EC6461">
        <w:t>,</w:t>
      </w:r>
      <w:r w:rsidRPr="019951B4">
        <w:t xml:space="preserve"> pourtant la justice tend à se durcir à leur égard. </w:t>
      </w:r>
      <w:r w:rsidRPr="019951B4">
        <w:rPr>
          <w:rFonts w:eastAsia="Calibri"/>
        </w:rPr>
        <w:t>Ce constat est la traduction de la politique de tolérance zéro inscrite dans le traitement judiciaire des passages à l’acte des plus vulnérables.</w:t>
      </w:r>
    </w:p>
    <w:p w14:paraId="25EB2C9C" w14:textId="5C3D1AC9" w:rsidR="00DA584B" w:rsidRPr="0054006E" w:rsidRDefault="00DA584B" w:rsidP="00DA584B">
      <w:pPr>
        <w:rPr>
          <w:rFonts w:eastAsia="Calibri"/>
        </w:rPr>
      </w:pPr>
      <w:r w:rsidRPr="019951B4">
        <w:t>En 2018, 92,8 % des affaires poursuivables impliquant au moins un mineur font l’objet de poursuites ou de procédures alternatives aux poursuites, contre 77,6 % en 2000</w:t>
      </w:r>
      <w:r w:rsidRPr="00CD6639">
        <w:t>. Depuis une dizaine d’années le taux de réponse pénale est stable.</w:t>
      </w:r>
    </w:p>
    <w:p w14:paraId="6B6A1C6F" w14:textId="1C8FCC54" w:rsidR="00DA584B" w:rsidRPr="0054006E" w:rsidRDefault="00DA584B" w:rsidP="00DA584B">
      <w:r w:rsidRPr="019951B4">
        <w:t>Cette hausse du taux de réponse pénale s’est accompagnée d’une plus grande sévérité, notamment en amont du jugement, et les mesures dites pré-</w:t>
      </w:r>
      <w:proofErr w:type="spellStart"/>
      <w:r w:rsidRPr="019951B4">
        <w:t>sententielles</w:t>
      </w:r>
      <w:proofErr w:type="spellEnd"/>
      <w:r w:rsidRPr="019951B4">
        <w:t xml:space="preserve"> occupent une place centrale. Ainsi, au 1</w:t>
      </w:r>
      <w:r w:rsidRPr="019951B4">
        <w:rPr>
          <w:vertAlign w:val="superscript"/>
        </w:rPr>
        <w:t>er</w:t>
      </w:r>
      <w:r w:rsidRPr="019951B4">
        <w:t xml:space="preserve"> janvier 2010, sur 60 978 </w:t>
      </w:r>
      <w:r w:rsidR="00871149">
        <w:t xml:space="preserve">personnes </w:t>
      </w:r>
      <w:r w:rsidRPr="019951B4">
        <w:t>détenues, 672 mineurs étaient incarcérés. Au 1</w:t>
      </w:r>
      <w:r w:rsidRPr="019951B4">
        <w:rPr>
          <w:vertAlign w:val="superscript"/>
        </w:rPr>
        <w:t>er</w:t>
      </w:r>
      <w:r w:rsidRPr="019951B4">
        <w:t xml:space="preserve"> janvier 2019, sur 70 059 </w:t>
      </w:r>
      <w:r w:rsidR="00BE1143">
        <w:t xml:space="preserve">personnes </w:t>
      </w:r>
      <w:r w:rsidRPr="019951B4">
        <w:t>détenues, 782 mineurs étaient incarcérés.</w:t>
      </w:r>
    </w:p>
    <w:p w14:paraId="0F5A8F9A" w14:textId="7AD8EC9B" w:rsidR="00DA584B" w:rsidRPr="0054006E" w:rsidRDefault="009C5B36" w:rsidP="00DA584B">
      <w:r>
        <w:t>A</w:t>
      </w:r>
      <w:r w:rsidR="00DA584B" w:rsidRPr="0054006E">
        <w:t>u 1</w:t>
      </w:r>
      <w:r w:rsidR="00DA584B" w:rsidRPr="019951B4">
        <w:rPr>
          <w:vertAlign w:val="superscript"/>
        </w:rPr>
        <w:t>er</w:t>
      </w:r>
      <w:r w:rsidR="00DA584B" w:rsidRPr="0054006E">
        <w:t xml:space="preserve"> janvier 2020 </w:t>
      </w:r>
      <w:r>
        <w:t>il</w:t>
      </w:r>
      <w:r w:rsidRPr="0054006E">
        <w:t>s étaient 804</w:t>
      </w:r>
      <w:r>
        <w:t xml:space="preserve">, </w:t>
      </w:r>
      <w:r w:rsidR="00DA584B" w:rsidRPr="0054006E">
        <w:t xml:space="preserve">représentant 1,1 % de la population carcérale. </w:t>
      </w:r>
      <w:r>
        <w:t>82% des</w:t>
      </w:r>
      <w:r w:rsidR="00DA584B" w:rsidRPr="0054006E">
        <w:t xml:space="preserve"> mineurs </w:t>
      </w:r>
      <w:r>
        <w:t xml:space="preserve">sont </w:t>
      </w:r>
      <w:r w:rsidR="00DA584B" w:rsidRPr="0054006E">
        <w:t>incarcérés au titre de la détention provisoire</w:t>
      </w:r>
      <w:r>
        <w:t xml:space="preserve">, </w:t>
      </w:r>
      <w:r w:rsidR="00DA584B" w:rsidRPr="0054006E">
        <w:t xml:space="preserve">alors qu’ils bénéficient de la présomption d’innocence. </w:t>
      </w:r>
      <w:r>
        <w:t>S</w:t>
      </w:r>
      <w:r w:rsidR="00DA584B" w:rsidRPr="0054006E">
        <w:t>elon les données du ministère de la justice</w:t>
      </w:r>
      <w:r w:rsidR="00DA584B" w:rsidRPr="0054006E">
        <w:rPr>
          <w:color w:val="ED7D31" w:themeColor="accent2"/>
          <w:vertAlign w:val="superscript"/>
        </w:rPr>
        <w:footnoteReference w:id="3"/>
      </w:r>
      <w:r w:rsidR="00DA584B" w:rsidRPr="0054006E">
        <w:t xml:space="preserve"> le nombre de mineurs placés en détention provisoire a augmenté de 10,3 % entre 2016 et 2017. </w:t>
      </w:r>
      <w:r w:rsidR="00204C90">
        <w:t>En 2017, 32% de ces</w:t>
      </w:r>
      <w:r w:rsidR="00DA584B" w:rsidRPr="0054006E">
        <w:t xml:space="preserve"> mineurs </w:t>
      </w:r>
      <w:r w:rsidR="00204C90">
        <w:t>étaient</w:t>
      </w:r>
      <w:r w:rsidR="00DA584B" w:rsidRPr="0054006E">
        <w:t xml:space="preserve"> incarcérés dans des établissements pénitentiaires pour mineurs,</w:t>
      </w:r>
      <w:r w:rsidR="00DA584B" w:rsidRPr="0054006E">
        <w:rPr>
          <w:sz w:val="18"/>
          <w:szCs w:val="18"/>
          <w:vertAlign w:val="superscript"/>
        </w:rPr>
        <w:t xml:space="preserve"> </w:t>
      </w:r>
      <w:r w:rsidR="00DA584B" w:rsidRPr="0054006E">
        <w:t xml:space="preserve">les autres se trouvent incarcérés au sein de quartiers mineurs </w:t>
      </w:r>
      <w:r w:rsidR="00204C90">
        <w:t>d’établissements pénitentiaires hébergeant majoritairement une population pénale adulte</w:t>
      </w:r>
      <w:r w:rsidR="00DA584B" w:rsidRPr="0054006E">
        <w:rPr>
          <w:color w:val="ED7D31" w:themeColor="accent2"/>
          <w:vertAlign w:val="superscript"/>
        </w:rPr>
        <w:footnoteReference w:id="4"/>
      </w:r>
      <w:r w:rsidR="00DA584B" w:rsidRPr="0054006E">
        <w:t>.</w:t>
      </w:r>
    </w:p>
    <w:p w14:paraId="29A9EAB3" w14:textId="4F951064" w:rsidR="005F5455" w:rsidRDefault="000D1DAF" w:rsidP="005F5455">
      <w:r w:rsidRPr="009C5B36">
        <w:t>Au-delà du</w:t>
      </w:r>
      <w:r w:rsidR="00DA584B" w:rsidRPr="009C5B36">
        <w:t xml:space="preserve"> recours plus fréquent à la détention provisoire</w:t>
      </w:r>
      <w:r w:rsidRPr="009C5B36">
        <w:t>, cette augmentation s’explique également en raison</w:t>
      </w:r>
      <w:r w:rsidR="00DA584B" w:rsidRPr="009C5B36">
        <w:t xml:space="preserve"> d’un enfermement plus important des mineurs non accompagnés</w:t>
      </w:r>
      <w:r w:rsidR="00D4370A" w:rsidRPr="009C5B36">
        <w:t xml:space="preserve"> (MNA)</w:t>
      </w:r>
      <w:r w:rsidR="009C5B36" w:rsidRPr="009C5B36">
        <w:t xml:space="preserve"> (voir infra §3)</w:t>
      </w:r>
      <w:r w:rsidR="00DA584B" w:rsidRPr="009C5B36">
        <w:t xml:space="preserve">. </w:t>
      </w:r>
    </w:p>
    <w:p w14:paraId="3A59E4A1" w14:textId="77777777" w:rsidR="005F5455" w:rsidRPr="00DA584B" w:rsidRDefault="005F5455" w:rsidP="005F5455">
      <w:pPr>
        <w:spacing w:after="0"/>
        <w:rPr>
          <w:rFonts w:eastAsia="Times New Roman" w:cs="Arial"/>
          <w:szCs w:val="24"/>
          <w:lang w:eastAsia="fr-FR"/>
        </w:rPr>
      </w:pPr>
    </w:p>
    <w:p w14:paraId="1378EC8E" w14:textId="6C8DDB90" w:rsidR="008B7092" w:rsidRDefault="008B7092" w:rsidP="007425CF">
      <w:pPr>
        <w:pBdr>
          <w:top w:val="single" w:sz="4" w:space="1" w:color="auto"/>
          <w:left w:val="single" w:sz="4" w:space="4" w:color="auto"/>
          <w:bottom w:val="single" w:sz="4" w:space="1" w:color="auto"/>
          <w:right w:val="single" w:sz="4" w:space="4" w:color="auto"/>
        </w:pBdr>
        <w:rPr>
          <w:b/>
          <w:bCs/>
          <w:i/>
          <w:iCs/>
        </w:rPr>
      </w:pPr>
      <w:r>
        <w:rPr>
          <w:b/>
          <w:bCs/>
          <w:i/>
          <w:iCs/>
        </w:rPr>
        <w:t>Question suggérée :</w:t>
      </w:r>
    </w:p>
    <w:p w14:paraId="368B3682" w14:textId="54DF3ECC" w:rsidR="00DA584B" w:rsidRPr="007425CF" w:rsidRDefault="00D5698C" w:rsidP="007425CF">
      <w:pPr>
        <w:pBdr>
          <w:top w:val="single" w:sz="4" w:space="1" w:color="auto"/>
          <w:left w:val="single" w:sz="4" w:space="4" w:color="auto"/>
          <w:bottom w:val="single" w:sz="4" w:space="1" w:color="auto"/>
          <w:right w:val="single" w:sz="4" w:space="4" w:color="auto"/>
        </w:pBdr>
        <w:rPr>
          <w:b/>
          <w:bCs/>
          <w:i/>
          <w:iCs/>
        </w:rPr>
      </w:pPr>
      <w:r>
        <w:rPr>
          <w:b/>
          <w:bCs/>
          <w:i/>
          <w:iCs/>
        </w:rPr>
        <w:t xml:space="preserve">Quels dispositifs sont-ils envisagés pour s’assurer que la détention des enfants est utilisée en dernier recours ? </w:t>
      </w:r>
    </w:p>
    <w:p w14:paraId="1DCC4FA0" w14:textId="5DE3C797" w:rsidR="00E8311A" w:rsidRDefault="00FE3B12" w:rsidP="00E8311A">
      <w:pPr>
        <w:pStyle w:val="Titre2"/>
      </w:pPr>
      <w:r>
        <w:t xml:space="preserve">Un déficit de formation et d’articulation entre les différents acteurs </w:t>
      </w:r>
    </w:p>
    <w:p w14:paraId="4CE11045" w14:textId="22B2AF6D" w:rsidR="00E8311A" w:rsidRDefault="00E8311A" w:rsidP="00AB2046">
      <w:pPr>
        <w:spacing w:after="0"/>
        <w:rPr>
          <w:szCs w:val="24"/>
        </w:rPr>
      </w:pPr>
      <w:r>
        <w:t xml:space="preserve">Dans les établissements pénitentiaires pour mineurs </w:t>
      </w:r>
      <w:r w:rsidRPr="00450D94">
        <w:rPr>
          <w:rFonts w:eastAsia="Times New Roman" w:cs="Arial"/>
          <w:szCs w:val="24"/>
          <w:lang w:eastAsia="fr-FR"/>
        </w:rPr>
        <w:t xml:space="preserve">(EPM) </w:t>
      </w:r>
      <w:r>
        <w:t>et a fortiori dans les « quartiers</w:t>
      </w:r>
      <w:r w:rsidRPr="00647616">
        <w:t xml:space="preserve"> mineurs</w:t>
      </w:r>
      <w:r>
        <w:t> »</w:t>
      </w:r>
      <w:r w:rsidRPr="00647616">
        <w:t xml:space="preserve">, le personnel est insuffisant en nombre et </w:t>
      </w:r>
      <w:r w:rsidRPr="00F90B1B">
        <w:rPr>
          <w:szCs w:val="24"/>
        </w:rPr>
        <w:t>insuffisamment formé pour prendre correctement en charge les difficultés psychologiques des adolescents ; les actions d’information et de prévention y sont peu fréquentes.</w:t>
      </w:r>
      <w:r w:rsidR="00AB2046">
        <w:rPr>
          <w:szCs w:val="24"/>
        </w:rPr>
        <w:t xml:space="preserve"> </w:t>
      </w:r>
      <w:r w:rsidRPr="002E48E8">
        <w:rPr>
          <w:szCs w:val="24"/>
        </w:rPr>
        <w:t xml:space="preserve">Le CGLPL a constaté que le manque d’activités était </w:t>
      </w:r>
      <w:r w:rsidR="00D4370A">
        <w:rPr>
          <w:szCs w:val="24"/>
        </w:rPr>
        <w:t>une constante</w:t>
      </w:r>
      <w:r w:rsidRPr="002E48E8">
        <w:rPr>
          <w:szCs w:val="24"/>
        </w:rPr>
        <w:t xml:space="preserve">, et </w:t>
      </w:r>
      <w:r w:rsidR="00AB2046">
        <w:rPr>
          <w:szCs w:val="24"/>
        </w:rPr>
        <w:t xml:space="preserve">ce </w:t>
      </w:r>
      <w:r w:rsidRPr="002E48E8">
        <w:rPr>
          <w:szCs w:val="24"/>
        </w:rPr>
        <w:t xml:space="preserve">tout particulièrement dans les quartiers pour mineurs où les enfants sont inactifs pendant de longues heures. </w:t>
      </w:r>
    </w:p>
    <w:p w14:paraId="1C9F3584" w14:textId="2B3EBF2A" w:rsidR="001E6474" w:rsidRPr="00666A79" w:rsidRDefault="00FE3B12" w:rsidP="00FE3B12">
      <w:pPr>
        <w:rPr>
          <w:rFonts w:cstheme="minorHAnsi"/>
          <w:szCs w:val="24"/>
        </w:rPr>
      </w:pPr>
      <w:r>
        <w:rPr>
          <w:rFonts w:cstheme="minorHAnsi"/>
          <w:szCs w:val="24"/>
        </w:rPr>
        <w:t>Les difficultés sont également importantes dans</w:t>
      </w:r>
      <w:r w:rsidRPr="00342079">
        <w:rPr>
          <w:rFonts w:cstheme="minorHAnsi"/>
          <w:szCs w:val="24"/>
        </w:rPr>
        <w:t xml:space="preserve"> </w:t>
      </w:r>
      <w:r>
        <w:rPr>
          <w:rFonts w:cstheme="minorHAnsi"/>
          <w:szCs w:val="24"/>
        </w:rPr>
        <w:t>les centres éducatifs fermés (CEF)</w:t>
      </w:r>
      <w:r w:rsidRPr="00342079">
        <w:rPr>
          <w:rFonts w:cstheme="minorHAnsi"/>
          <w:szCs w:val="24"/>
        </w:rPr>
        <w:t>, établissements à caractère principalement éducatif, où les jeunes sont retenus au titre de leur contrôle judiciaire</w:t>
      </w:r>
      <w:r w:rsidR="00666A79">
        <w:rPr>
          <w:rFonts w:cstheme="minorHAnsi"/>
          <w:szCs w:val="24"/>
        </w:rPr>
        <w:t xml:space="preserve">. </w:t>
      </w:r>
      <w:r w:rsidRPr="002E48E8">
        <w:rPr>
          <w:rFonts w:cstheme="minorHAnsi"/>
          <w:szCs w:val="24"/>
        </w:rPr>
        <w:t xml:space="preserve">La qualité insuffisante des projets éducatifs, l’absence de maîtrise de la discipline qui peut dériver vers l’excès de tolérance, vers l’excès de contrainte ou vers la </w:t>
      </w:r>
      <w:r w:rsidRPr="002E48E8">
        <w:rPr>
          <w:rFonts w:cstheme="minorHAnsi"/>
          <w:szCs w:val="24"/>
        </w:rPr>
        <w:lastRenderedPageBreak/>
        <w:t>violence, l’insuffisante association des familles ou des éducateurs de milieu ouvert à l’action éducative</w:t>
      </w:r>
      <w:r>
        <w:rPr>
          <w:rFonts w:cstheme="minorHAnsi"/>
          <w:szCs w:val="24"/>
        </w:rPr>
        <w:t>, constituent des problèmes récurrents</w:t>
      </w:r>
      <w:r w:rsidRPr="002E48E8">
        <w:rPr>
          <w:rFonts w:cstheme="minorHAnsi"/>
          <w:szCs w:val="24"/>
        </w:rPr>
        <w:t>.</w:t>
      </w:r>
      <w:r w:rsidR="00666A79">
        <w:rPr>
          <w:rFonts w:cstheme="minorHAnsi"/>
          <w:szCs w:val="24"/>
        </w:rPr>
        <w:t xml:space="preserve"> L</w:t>
      </w:r>
      <w:r w:rsidRPr="002E48E8">
        <w:rPr>
          <w:rFonts w:cstheme="minorHAnsi"/>
          <w:szCs w:val="24"/>
        </w:rPr>
        <w:t>’instabilité des équipes, la faiblesse de l’encadrement, la jeunesse et l’inexpérience du personnel</w:t>
      </w:r>
      <w:r w:rsidR="00666A79">
        <w:rPr>
          <w:rFonts w:cstheme="minorHAnsi"/>
          <w:szCs w:val="24"/>
        </w:rPr>
        <w:t xml:space="preserve"> expliquent l’inadaptation de leur prise en charge</w:t>
      </w:r>
      <w:r w:rsidRPr="002E48E8">
        <w:rPr>
          <w:rFonts w:cstheme="minorHAnsi"/>
          <w:szCs w:val="24"/>
        </w:rPr>
        <w:t>.</w:t>
      </w:r>
      <w:r>
        <w:rPr>
          <w:rFonts w:cstheme="minorHAnsi"/>
          <w:szCs w:val="24"/>
        </w:rPr>
        <w:t xml:space="preserve"> </w:t>
      </w:r>
      <w:r w:rsidR="006A4148" w:rsidRPr="019951B4">
        <w:t xml:space="preserve">La question de l’instabilité du personnel touche </w:t>
      </w:r>
      <w:r w:rsidR="00666A79">
        <w:t xml:space="preserve">encore </w:t>
      </w:r>
      <w:r w:rsidR="006A4148" w:rsidRPr="019951B4">
        <w:t>plus durement les CEF publics</w:t>
      </w:r>
      <w:r w:rsidR="00666A79">
        <w:t xml:space="preserve">, car leur </w:t>
      </w:r>
      <w:r w:rsidR="006A4148" w:rsidRPr="019951B4">
        <w:t xml:space="preserve">personnel connait une rotation qui </w:t>
      </w:r>
      <w:r w:rsidR="00666A79">
        <w:t>empêche</w:t>
      </w:r>
      <w:r w:rsidR="006A4148" w:rsidRPr="019951B4">
        <w:t xml:space="preserve"> toute politique continue.</w:t>
      </w:r>
      <w:r w:rsidR="006A4148">
        <w:t xml:space="preserve"> </w:t>
      </w:r>
    </w:p>
    <w:p w14:paraId="6C7F22E0" w14:textId="70658B3D" w:rsidR="001E6474" w:rsidRDefault="00051C77" w:rsidP="00E8311A">
      <w:r>
        <w:t>Le manque de stabilité voire d’expérience des équipes éducatives, le manque de coordination et de partage d’information entre les acteurs pertinents, quel que soit le lieu d’enfermement, a des conséquences sur la continuité de la prise en charge d’enfants au parcours chaotique, ayant transité dans de nombreux types de structures depuis parfois plusieurs années. Malgré l’existence de textes</w:t>
      </w:r>
      <w:r w:rsidRPr="00051C77">
        <w:t xml:space="preserve"> </w:t>
      </w:r>
      <w:r>
        <w:t xml:space="preserve">tels que </w:t>
      </w:r>
      <w:r w:rsidRPr="019951B4">
        <w:t>la note d’orientation du 30 septembre 2014 de la Direction de la protection judiciaire de la jeunesse</w:t>
      </w:r>
      <w:r w:rsidRPr="019951B4">
        <w:rPr>
          <w:rStyle w:val="Appelnotedebasdep"/>
          <w:b/>
          <w:bCs/>
        </w:rPr>
        <w:footnoteReference w:id="5"/>
      </w:r>
      <w:r w:rsidRPr="00E64D18">
        <w:rPr>
          <w:rFonts w:ascii="Times New Roman" w:hAnsi="Times New Roman" w:cs="Times New Roman"/>
          <w:sz w:val="21"/>
          <w:szCs w:val="21"/>
        </w:rPr>
        <w:t xml:space="preserve"> du </w:t>
      </w:r>
      <w:r w:rsidRPr="5E8E469D">
        <w:rPr>
          <w:rFonts w:eastAsiaTheme="minorEastAsia"/>
          <w:szCs w:val="24"/>
        </w:rPr>
        <w:t>ministère</w:t>
      </w:r>
      <w:r w:rsidRPr="00E64D18">
        <w:rPr>
          <w:rFonts w:ascii="Times New Roman" w:hAnsi="Times New Roman" w:cs="Times New Roman"/>
          <w:sz w:val="21"/>
          <w:szCs w:val="21"/>
        </w:rPr>
        <w:t xml:space="preserve"> de la </w:t>
      </w:r>
      <w:r w:rsidRPr="5E8E469D">
        <w:rPr>
          <w:rFonts w:eastAsiaTheme="minorEastAsia"/>
          <w:szCs w:val="24"/>
        </w:rPr>
        <w:t>justice</w:t>
      </w:r>
      <w:r w:rsidRPr="00E64D18">
        <w:rPr>
          <w:rFonts w:ascii="Times New Roman" w:hAnsi="Times New Roman" w:cs="Times New Roman"/>
          <w:sz w:val="21"/>
          <w:szCs w:val="21"/>
        </w:rPr>
        <w:t xml:space="preserve"> </w:t>
      </w:r>
      <w:r w:rsidRPr="5E8E469D">
        <w:rPr>
          <w:i/>
          <w:iCs/>
        </w:rPr>
        <w:t>« vise à faire de l’organisation réussie de la continuité des parcours des jeunes confiés, le cœur de son action, à déployer à tous les niveaux de l’institution »</w:t>
      </w:r>
      <w:r>
        <w:t xml:space="preserve">, le CGLPL constate fréquemment l’incohérence et le morcellement du parcours de ces jeunes. </w:t>
      </w:r>
    </w:p>
    <w:p w14:paraId="31AF25C5" w14:textId="37270E8A" w:rsidR="00FE7678" w:rsidRDefault="00FE7678" w:rsidP="001E6474">
      <w:pPr>
        <w:pBdr>
          <w:top w:val="single" w:sz="4" w:space="1" w:color="auto"/>
          <w:left w:val="single" w:sz="4" w:space="4" w:color="auto"/>
          <w:bottom w:val="single" w:sz="4" w:space="1" w:color="auto"/>
          <w:right w:val="single" w:sz="4" w:space="4" w:color="auto"/>
        </w:pBdr>
        <w:rPr>
          <w:b/>
          <w:bCs/>
          <w:i/>
          <w:iCs/>
        </w:rPr>
      </w:pPr>
      <w:r>
        <w:rPr>
          <w:b/>
          <w:bCs/>
          <w:i/>
          <w:iCs/>
        </w:rPr>
        <w:t>Questions suggérées :</w:t>
      </w:r>
    </w:p>
    <w:p w14:paraId="79AEC011" w14:textId="2543B623" w:rsidR="00341204" w:rsidRPr="00051C77" w:rsidRDefault="001E6474" w:rsidP="001E6474">
      <w:pPr>
        <w:pBdr>
          <w:top w:val="single" w:sz="4" w:space="1" w:color="auto"/>
          <w:left w:val="single" w:sz="4" w:space="4" w:color="auto"/>
          <w:bottom w:val="single" w:sz="4" w:space="1" w:color="auto"/>
          <w:right w:val="single" w:sz="4" w:space="4" w:color="auto"/>
        </w:pBdr>
        <w:rPr>
          <w:b/>
          <w:bCs/>
          <w:i/>
          <w:iCs/>
        </w:rPr>
      </w:pPr>
      <w:r w:rsidRPr="001E6474">
        <w:rPr>
          <w:b/>
          <w:bCs/>
          <w:i/>
          <w:iCs/>
        </w:rPr>
        <w:t xml:space="preserve">Quelles mesures </w:t>
      </w:r>
      <w:r>
        <w:rPr>
          <w:b/>
          <w:bCs/>
          <w:i/>
          <w:iCs/>
        </w:rPr>
        <w:t>sont-elles envisagées pour</w:t>
      </w:r>
      <w:r w:rsidRPr="001E6474">
        <w:rPr>
          <w:b/>
          <w:bCs/>
          <w:i/>
          <w:iCs/>
        </w:rPr>
        <w:t xml:space="preserve"> s’assurer que le personnel encadrant les enfants dans les centres éducatifs fermés soi</w:t>
      </w:r>
      <w:r>
        <w:rPr>
          <w:b/>
          <w:bCs/>
          <w:i/>
          <w:iCs/>
        </w:rPr>
        <w:t>t</w:t>
      </w:r>
      <w:r w:rsidRPr="001E6474">
        <w:rPr>
          <w:b/>
          <w:bCs/>
          <w:i/>
          <w:iCs/>
        </w:rPr>
        <w:t xml:space="preserve"> suffisamment formé</w:t>
      </w:r>
      <w:r>
        <w:rPr>
          <w:b/>
          <w:bCs/>
          <w:i/>
          <w:iCs/>
        </w:rPr>
        <w:t xml:space="preserve"> </w:t>
      </w:r>
      <w:r w:rsidR="001D7E42">
        <w:rPr>
          <w:b/>
          <w:bCs/>
          <w:i/>
          <w:iCs/>
        </w:rPr>
        <w:t xml:space="preserve">et </w:t>
      </w:r>
      <w:r>
        <w:rPr>
          <w:b/>
          <w:bCs/>
          <w:i/>
          <w:iCs/>
        </w:rPr>
        <w:t>que son</w:t>
      </w:r>
      <w:r w:rsidR="001D7E42">
        <w:rPr>
          <w:b/>
          <w:bCs/>
          <w:i/>
          <w:iCs/>
        </w:rPr>
        <w:t xml:space="preserve"> mode de</w:t>
      </w:r>
      <w:r>
        <w:rPr>
          <w:b/>
          <w:bCs/>
          <w:i/>
          <w:iCs/>
        </w:rPr>
        <w:t xml:space="preserve"> recrutement </w:t>
      </w:r>
      <w:r w:rsidRPr="00051C77">
        <w:rPr>
          <w:b/>
          <w:bCs/>
          <w:i/>
          <w:iCs/>
        </w:rPr>
        <w:t>assure sa stabilité ?</w:t>
      </w:r>
    </w:p>
    <w:p w14:paraId="38E53E1C" w14:textId="76C45AC3" w:rsidR="00341204" w:rsidRDefault="00051C77" w:rsidP="001E6474">
      <w:pPr>
        <w:pBdr>
          <w:top w:val="single" w:sz="4" w:space="1" w:color="auto"/>
          <w:left w:val="single" w:sz="4" w:space="4" w:color="auto"/>
          <w:bottom w:val="single" w:sz="4" w:space="1" w:color="auto"/>
          <w:right w:val="single" w:sz="4" w:space="4" w:color="auto"/>
        </w:pBdr>
        <w:rPr>
          <w:b/>
          <w:bCs/>
          <w:i/>
          <w:iCs/>
        </w:rPr>
      </w:pPr>
      <w:r w:rsidRPr="00051C77">
        <w:rPr>
          <w:b/>
          <w:bCs/>
          <w:i/>
          <w:iCs/>
        </w:rPr>
        <w:t>Expliquer ce qui est mis en place</w:t>
      </w:r>
      <w:r w:rsidR="00341204" w:rsidRPr="00051C77">
        <w:rPr>
          <w:b/>
          <w:bCs/>
          <w:i/>
          <w:iCs/>
        </w:rPr>
        <w:t xml:space="preserve"> anticiper la sortie d</w:t>
      </w:r>
      <w:r w:rsidRPr="00051C77">
        <w:rPr>
          <w:b/>
          <w:bCs/>
          <w:i/>
          <w:iCs/>
        </w:rPr>
        <w:t xml:space="preserve">’établissement </w:t>
      </w:r>
      <w:r w:rsidR="00341204" w:rsidRPr="00051C77">
        <w:rPr>
          <w:b/>
          <w:bCs/>
          <w:i/>
          <w:iCs/>
        </w:rPr>
        <w:t xml:space="preserve">dans </w:t>
      </w:r>
      <w:r w:rsidRPr="00051C77">
        <w:rPr>
          <w:b/>
          <w:bCs/>
          <w:i/>
          <w:iCs/>
        </w:rPr>
        <w:t xml:space="preserve">la perspective </w:t>
      </w:r>
      <w:r w:rsidR="00341204" w:rsidRPr="00051C77">
        <w:rPr>
          <w:b/>
          <w:bCs/>
          <w:i/>
          <w:iCs/>
        </w:rPr>
        <w:t xml:space="preserve">d’un projet d’insertion et </w:t>
      </w:r>
      <w:r w:rsidRPr="00051C77">
        <w:rPr>
          <w:b/>
          <w:bCs/>
          <w:i/>
          <w:iCs/>
        </w:rPr>
        <w:t>afin d’</w:t>
      </w:r>
      <w:r w:rsidR="00341204" w:rsidRPr="00051C77">
        <w:rPr>
          <w:b/>
          <w:bCs/>
          <w:i/>
          <w:iCs/>
        </w:rPr>
        <w:t>assurer continuité de la prise en charge</w:t>
      </w:r>
      <w:r w:rsidRPr="00051C77">
        <w:rPr>
          <w:b/>
          <w:bCs/>
          <w:i/>
          <w:iCs/>
        </w:rPr>
        <w:t>.</w:t>
      </w:r>
    </w:p>
    <w:bookmarkEnd w:id="0"/>
    <w:p w14:paraId="2C111F6A" w14:textId="77777777" w:rsidR="00FE3B12" w:rsidRDefault="00FE3B12" w:rsidP="00FE3B12">
      <w:pPr>
        <w:spacing w:after="0"/>
        <w:rPr>
          <w:rFonts w:eastAsia="Times New Roman" w:cs="Arial"/>
          <w:szCs w:val="24"/>
          <w:lang w:eastAsia="fr-FR"/>
        </w:rPr>
      </w:pPr>
    </w:p>
    <w:p w14:paraId="10075095" w14:textId="4EBF3657" w:rsidR="00161963" w:rsidRDefault="00161963" w:rsidP="00161963">
      <w:pPr>
        <w:pStyle w:val="Titre1"/>
        <w:rPr>
          <w:sz w:val="24"/>
        </w:rPr>
      </w:pPr>
      <w:r>
        <w:t xml:space="preserve">Les enfants </w:t>
      </w:r>
      <w:r w:rsidR="00A64C98">
        <w:t>enfermés dans les centres de rétention administrative</w:t>
      </w:r>
      <w:r>
        <w:t xml:space="preserve"> </w:t>
      </w:r>
    </w:p>
    <w:p w14:paraId="5AD2B7A6" w14:textId="41975ACB" w:rsidR="00B04AC9" w:rsidRPr="0054006E" w:rsidRDefault="00B04AC9" w:rsidP="00B04AC9">
      <w:pPr>
        <w:rPr>
          <w:rFonts w:cstheme="minorHAnsi"/>
          <w:szCs w:val="24"/>
        </w:rPr>
      </w:pPr>
      <w:r w:rsidRPr="0054006E">
        <w:rPr>
          <w:rFonts w:cstheme="minorHAnsi"/>
          <w:szCs w:val="24"/>
        </w:rPr>
        <w:t xml:space="preserve">Les mineurs enfermés en </w:t>
      </w:r>
      <w:r w:rsidR="000E2BA3">
        <w:rPr>
          <w:rFonts w:cstheme="minorHAnsi"/>
          <w:szCs w:val="24"/>
        </w:rPr>
        <w:t xml:space="preserve">centre de rétention administrative (CRA) </w:t>
      </w:r>
      <w:r w:rsidRPr="0054006E">
        <w:rPr>
          <w:rFonts w:cstheme="minorHAnsi"/>
          <w:szCs w:val="24"/>
        </w:rPr>
        <w:t xml:space="preserve">s’y trouvent avec </w:t>
      </w:r>
      <w:r w:rsidR="000E2BA3">
        <w:rPr>
          <w:rFonts w:cstheme="minorHAnsi"/>
          <w:szCs w:val="24"/>
        </w:rPr>
        <w:t xml:space="preserve">au moins un de </w:t>
      </w:r>
      <w:r w:rsidRPr="0054006E">
        <w:rPr>
          <w:rFonts w:cstheme="minorHAnsi"/>
          <w:szCs w:val="24"/>
        </w:rPr>
        <w:t xml:space="preserve">leurs représentants légaux, au titre de la mesure de rétention qui concerne cet adulte. </w:t>
      </w:r>
    </w:p>
    <w:p w14:paraId="60DC45C7" w14:textId="1D9BE75A" w:rsidR="00B04AC9" w:rsidRPr="0054006E" w:rsidRDefault="00B04AC9" w:rsidP="00B04AC9">
      <w:pPr>
        <w:rPr>
          <w:rFonts w:cstheme="minorHAnsi"/>
          <w:szCs w:val="24"/>
        </w:rPr>
      </w:pPr>
      <w:r w:rsidRPr="0054006E">
        <w:rPr>
          <w:rFonts w:cstheme="minorHAnsi"/>
          <w:color w:val="000000"/>
          <w:szCs w:val="24"/>
        </w:rPr>
        <w:t xml:space="preserve">La loi du 7 mars 2016 relative au droit des étrangers en France </w:t>
      </w:r>
      <w:r w:rsidRPr="0054006E">
        <w:rPr>
          <w:rFonts w:cstheme="minorHAnsi"/>
          <w:szCs w:val="24"/>
        </w:rPr>
        <w:t>a précisé le cadre dans lequel les enfants pouvaient être placés en CRA avec leurs parents</w:t>
      </w:r>
      <w:r w:rsidR="00935E4C">
        <w:rPr>
          <w:rFonts w:cstheme="minorHAnsi"/>
          <w:szCs w:val="24"/>
        </w:rPr>
        <w:t xml:space="preserve"> </w:t>
      </w:r>
      <w:r w:rsidRPr="0054006E">
        <w:rPr>
          <w:rFonts w:cstheme="minorHAnsi"/>
          <w:szCs w:val="24"/>
        </w:rPr>
        <w:t>; son décret d’application a même ouvert la possibilité d’enfermer des enfants dans des locaux de rétention administrative (LRA) spécialement aménagés. Une circulaire</w:t>
      </w:r>
      <w:r w:rsidR="00935E4C">
        <w:rPr>
          <w:rFonts w:cstheme="minorHAnsi"/>
          <w:color w:val="ED7D31" w:themeColor="accent2"/>
          <w:szCs w:val="24"/>
          <w:vertAlign w:val="superscript"/>
        </w:rPr>
        <w:t xml:space="preserve"> </w:t>
      </w:r>
      <w:r w:rsidRPr="0054006E">
        <w:rPr>
          <w:rFonts w:cstheme="minorHAnsi"/>
          <w:szCs w:val="24"/>
        </w:rPr>
        <w:t xml:space="preserve">a achevé ce glissement vers l’enfermement, en affirmant que : « </w:t>
      </w:r>
      <w:r w:rsidRPr="0054006E">
        <w:rPr>
          <w:rFonts w:cstheme="minorHAnsi"/>
          <w:i/>
          <w:iCs/>
          <w:szCs w:val="24"/>
        </w:rPr>
        <w:t>s’il n’y a aucune prohibition de principe au placement en rétention d’étrangers en situation irrégulière accompagnés de mineurs, une telle situation doit rester exceptionnelle</w:t>
      </w:r>
      <w:r w:rsidR="009F035C">
        <w:rPr>
          <w:rFonts w:cstheme="minorHAnsi"/>
          <w:i/>
          <w:iCs/>
          <w:szCs w:val="24"/>
        </w:rPr>
        <w:t> »</w:t>
      </w:r>
      <w:r w:rsidRPr="0054006E">
        <w:rPr>
          <w:rFonts w:cstheme="minorHAnsi"/>
          <w:szCs w:val="24"/>
        </w:rPr>
        <w:t xml:space="preserve">. </w:t>
      </w:r>
    </w:p>
    <w:p w14:paraId="29ABBA6A" w14:textId="5B0A1D23" w:rsidR="00B04AC9" w:rsidRPr="0054006E" w:rsidRDefault="00B04AC9" w:rsidP="00B04AC9">
      <w:pPr>
        <w:rPr>
          <w:rFonts w:cstheme="minorHAnsi"/>
          <w:szCs w:val="24"/>
        </w:rPr>
      </w:pPr>
      <w:r w:rsidRPr="0054006E">
        <w:rPr>
          <w:rFonts w:cstheme="minorHAnsi"/>
          <w:szCs w:val="24"/>
        </w:rPr>
        <w:t xml:space="preserve">Dans un </w:t>
      </w:r>
      <w:r w:rsidRPr="0054006E">
        <w:rPr>
          <w:rFonts w:cstheme="minorHAnsi"/>
          <w:b/>
          <w:bCs/>
          <w:szCs w:val="24"/>
        </w:rPr>
        <w:t xml:space="preserve">avis </w:t>
      </w:r>
      <w:bookmarkStart w:id="1" w:name="_Hlk34900682"/>
      <w:r w:rsidRPr="0054006E">
        <w:rPr>
          <w:rFonts w:cstheme="minorHAnsi"/>
          <w:b/>
          <w:bCs/>
          <w:szCs w:val="24"/>
        </w:rPr>
        <w:t xml:space="preserve">du 9 mai 2018 relatif à l’enfermement des enfants en </w:t>
      </w:r>
      <w:r w:rsidR="00D4370A">
        <w:rPr>
          <w:rFonts w:cstheme="minorHAnsi"/>
          <w:b/>
          <w:bCs/>
          <w:szCs w:val="24"/>
        </w:rPr>
        <w:t>c</w:t>
      </w:r>
      <w:r w:rsidRPr="0054006E">
        <w:rPr>
          <w:rFonts w:cstheme="minorHAnsi"/>
          <w:b/>
          <w:bCs/>
          <w:szCs w:val="24"/>
        </w:rPr>
        <w:t>entre de rétention administrative</w:t>
      </w:r>
      <w:r w:rsidR="00D4370A" w:rsidRPr="00D4370A">
        <w:rPr>
          <w:rFonts w:cstheme="minorHAnsi"/>
          <w:szCs w:val="24"/>
        </w:rPr>
        <w:t>,</w:t>
      </w:r>
      <w:r w:rsidRPr="00D4370A">
        <w:rPr>
          <w:rFonts w:cstheme="minorHAnsi"/>
          <w:szCs w:val="24"/>
        </w:rPr>
        <w:t xml:space="preserve"> </w:t>
      </w:r>
      <w:bookmarkEnd w:id="1"/>
      <w:r w:rsidRPr="00D4370A">
        <w:rPr>
          <w:rFonts w:cstheme="minorHAnsi"/>
          <w:szCs w:val="24"/>
        </w:rPr>
        <w:t>le Contrôle</w:t>
      </w:r>
      <w:r w:rsidR="00935E4C">
        <w:rPr>
          <w:rFonts w:cstheme="minorHAnsi"/>
          <w:szCs w:val="24"/>
        </w:rPr>
        <w:t>ur</w:t>
      </w:r>
      <w:r w:rsidRPr="00D4370A">
        <w:rPr>
          <w:rFonts w:cstheme="minorHAnsi"/>
          <w:szCs w:val="24"/>
        </w:rPr>
        <w:t xml:space="preserve"> général des lieux de privation de liberté relevait</w:t>
      </w:r>
      <w:r w:rsidRPr="0054006E">
        <w:rPr>
          <w:rFonts w:cstheme="minorHAnsi"/>
          <w:szCs w:val="24"/>
        </w:rPr>
        <w:t xml:space="preserve"> que depuis 2013, le nombre de placements en rétention administrative de familles avec des enfants augmentait sans discontinuer : 41 enfants étaient placés en centre de rétention en 2013, 45 en 2014, 106 en 2015, 172 en 2016 et 305 en 2017. </w:t>
      </w:r>
      <w:r w:rsidR="00D4370A">
        <w:rPr>
          <w:rFonts w:cstheme="minorHAnsi"/>
          <w:szCs w:val="24"/>
        </w:rPr>
        <w:t>Les</w:t>
      </w:r>
      <w:r w:rsidRPr="0054006E">
        <w:rPr>
          <w:rFonts w:cstheme="minorHAnsi"/>
          <w:szCs w:val="24"/>
        </w:rPr>
        <w:t xml:space="preserve"> associations présentes en CRA ont rédigé en 2015</w:t>
      </w:r>
      <w:r w:rsidRPr="0054006E">
        <w:rPr>
          <w:rFonts w:cstheme="minorHAnsi"/>
          <w:color w:val="ED7D31" w:themeColor="accent2"/>
          <w:szCs w:val="24"/>
          <w:vertAlign w:val="superscript"/>
        </w:rPr>
        <w:footnoteReference w:id="6"/>
      </w:r>
      <w:r w:rsidRPr="0054006E">
        <w:rPr>
          <w:rFonts w:cstheme="minorHAnsi"/>
          <w:szCs w:val="24"/>
        </w:rPr>
        <w:t xml:space="preserve"> un rapport commun qui dressait un bilan très alarmant </w:t>
      </w:r>
      <w:r w:rsidR="00D4370A">
        <w:rPr>
          <w:rFonts w:cstheme="minorHAnsi"/>
          <w:szCs w:val="24"/>
        </w:rPr>
        <w:t>de cette</w:t>
      </w:r>
      <w:r w:rsidRPr="0054006E">
        <w:rPr>
          <w:rFonts w:cstheme="minorHAnsi"/>
          <w:szCs w:val="24"/>
        </w:rPr>
        <w:t xml:space="preserve"> situation.</w:t>
      </w:r>
    </w:p>
    <w:p w14:paraId="7B5DA33F" w14:textId="4F6A5031" w:rsidR="00B04AC9" w:rsidRPr="0054006E" w:rsidRDefault="00B04AC9" w:rsidP="00B04AC9">
      <w:pPr>
        <w:rPr>
          <w:rFonts w:cstheme="minorHAnsi"/>
          <w:szCs w:val="24"/>
        </w:rPr>
      </w:pPr>
      <w:r w:rsidRPr="0054006E">
        <w:rPr>
          <w:rFonts w:cstheme="minorHAnsi"/>
          <w:szCs w:val="24"/>
        </w:rPr>
        <w:lastRenderedPageBreak/>
        <w:t>Ce constat est également celui de la Cour européenne des droits de l’Homme, qui rappelle dans cinq arrêts rendus le 12 juillet 2016</w:t>
      </w:r>
      <w:r w:rsidRPr="0054006E">
        <w:rPr>
          <w:rFonts w:cstheme="minorHAnsi"/>
          <w:color w:val="ED7D31" w:themeColor="accent2"/>
          <w:szCs w:val="24"/>
          <w:vertAlign w:val="superscript"/>
        </w:rPr>
        <w:footnoteReference w:id="7"/>
      </w:r>
      <w:r w:rsidRPr="0054006E">
        <w:rPr>
          <w:rFonts w:cstheme="minorHAnsi"/>
          <w:szCs w:val="24"/>
        </w:rPr>
        <w:t>, que si les conditions matérielles des CRA habilités à accueillir les familles sont correctes, ce type de structures a un effet anxiogène sur les enfants en bas âge</w:t>
      </w:r>
      <w:r w:rsidR="00935E4C">
        <w:rPr>
          <w:rFonts w:cstheme="minorHAnsi"/>
          <w:szCs w:val="24"/>
        </w:rPr>
        <w:t>.</w:t>
      </w:r>
      <w:bookmarkStart w:id="2" w:name="_GoBack"/>
      <w:bookmarkEnd w:id="2"/>
    </w:p>
    <w:p w14:paraId="524CA53E" w14:textId="68CD0167" w:rsidR="00B04AC9" w:rsidRPr="0054006E" w:rsidRDefault="00B04AC9" w:rsidP="00B04AC9">
      <w:r w:rsidRPr="0054006E">
        <w:t xml:space="preserve">Depuis cette jurisprudence et l’avis du CGLPL, la loi du </w:t>
      </w:r>
      <w:bookmarkStart w:id="3" w:name="_Hlk34128480"/>
      <w:r w:rsidRPr="0054006E">
        <w:t>10 septembre 2018 pour une immigration maîtrisée, un droit d’asile effectif et une intégration réussie</w:t>
      </w:r>
      <w:bookmarkEnd w:id="3"/>
      <w:r w:rsidRPr="0054006E">
        <w:t xml:space="preserve"> ne prévoit pas de dispositions dérogatoires explicite pour les mineurs se contentant d’indiquer dans ce cas que </w:t>
      </w:r>
      <w:r w:rsidRPr="0054006E">
        <w:rPr>
          <w:i/>
          <w:iCs/>
        </w:rPr>
        <w:t>« (…) la durée de la rétention est la plus brève possible</w:t>
      </w:r>
      <w:r w:rsidRPr="0054006E">
        <w:rPr>
          <w:rFonts w:cstheme="minorHAnsi"/>
          <w:color w:val="ED7D31" w:themeColor="accent2"/>
          <w:szCs w:val="24"/>
          <w:vertAlign w:val="superscript"/>
        </w:rPr>
        <w:footnoteReference w:id="8"/>
      </w:r>
      <w:r w:rsidRPr="0054006E">
        <w:t> ». Ainsi, l’allongement de la durée de la rétention de quarante-cinq à quatre-vingt-dix jours entrée en vigueur au 1</w:t>
      </w:r>
      <w:r w:rsidRPr="0054006E">
        <w:rPr>
          <w:vertAlign w:val="superscript"/>
        </w:rPr>
        <w:t>er</w:t>
      </w:r>
      <w:r w:rsidRPr="0054006E">
        <w:t xml:space="preserve"> janvier 2019, comme par ailleurs les dispositions concernant la réduction des délais en matière de demande d’asile les concernent.</w:t>
      </w:r>
      <w:r w:rsidR="00B53EFA">
        <w:t xml:space="preserve"> Depuis, une « proposition de loi visant à encadrer strictement la rétention administrative des familles avec mineurs » a été déposée le 12 mai 2020.</w:t>
      </w:r>
    </w:p>
    <w:p w14:paraId="5E0372B4" w14:textId="2022060A" w:rsidR="004D05CB" w:rsidRDefault="00B04AC9">
      <w:pPr>
        <w:rPr>
          <w:rFonts w:cstheme="minorHAnsi"/>
          <w:szCs w:val="24"/>
        </w:rPr>
      </w:pPr>
      <w:r w:rsidRPr="0054006E">
        <w:rPr>
          <w:rFonts w:cstheme="minorHAnsi"/>
          <w:szCs w:val="24"/>
        </w:rPr>
        <w:t xml:space="preserve">Le CGLPL considère que l’enfermement d’enfants en centre de rétention est contraire à leurs droits fondamentaux. Le principe même de l’enfermement des enfants doit être remis en question car il constitue une atteinte à leur intégrité psychique, quels que soient leur âge et la durée de l’enfermement. Aussi, le CGLPL recommande-t-il que l’enfermement d’enfants soit interdit dans les CRA et </w:t>
      </w:r>
      <w:r w:rsidRPr="0054006E">
        <w:rPr>
          <w:rFonts w:cstheme="minorHAnsi"/>
          <w:i/>
          <w:iCs/>
          <w:szCs w:val="24"/>
        </w:rPr>
        <w:t xml:space="preserve">a fortiori </w:t>
      </w:r>
      <w:r w:rsidRPr="0054006E">
        <w:rPr>
          <w:rFonts w:cstheme="minorHAnsi"/>
          <w:szCs w:val="24"/>
        </w:rPr>
        <w:t>dans les LRA, seule la mesure d’assignation à résidence pouvant être mise en œuvre à l’égard des familles accompagnées d’enfants.</w:t>
      </w:r>
    </w:p>
    <w:p w14:paraId="544E8273" w14:textId="77777777" w:rsidR="0038222A" w:rsidRPr="004D05CB" w:rsidRDefault="0038222A">
      <w:pPr>
        <w:rPr>
          <w:rFonts w:cstheme="minorHAnsi"/>
          <w:szCs w:val="24"/>
        </w:rPr>
      </w:pPr>
    </w:p>
    <w:p w14:paraId="259D7E70" w14:textId="7AE9A505" w:rsidR="00E07187" w:rsidRDefault="00E07187" w:rsidP="0038222A">
      <w:pPr>
        <w:pBdr>
          <w:top w:val="single" w:sz="4" w:space="1" w:color="auto"/>
          <w:left w:val="single" w:sz="4" w:space="4" w:color="auto"/>
          <w:bottom w:val="single" w:sz="4" w:space="1" w:color="auto"/>
          <w:right w:val="single" w:sz="4" w:space="4" w:color="auto"/>
        </w:pBdr>
        <w:rPr>
          <w:b/>
          <w:bCs/>
          <w:i/>
          <w:iCs/>
        </w:rPr>
      </w:pPr>
      <w:r>
        <w:rPr>
          <w:b/>
          <w:bCs/>
          <w:i/>
          <w:iCs/>
        </w:rPr>
        <w:t>Question suggérée :</w:t>
      </w:r>
    </w:p>
    <w:p w14:paraId="7FF12A74" w14:textId="21078C3B" w:rsidR="00F00717" w:rsidRPr="0038222A" w:rsidRDefault="00E07187" w:rsidP="0038222A">
      <w:pPr>
        <w:pBdr>
          <w:top w:val="single" w:sz="4" w:space="1" w:color="auto"/>
          <w:left w:val="single" w:sz="4" w:space="4" w:color="auto"/>
          <w:bottom w:val="single" w:sz="4" w:space="1" w:color="auto"/>
          <w:right w:val="single" w:sz="4" w:space="4" w:color="auto"/>
        </w:pBdr>
        <w:rPr>
          <w:b/>
          <w:bCs/>
          <w:i/>
          <w:iCs/>
        </w:rPr>
      </w:pPr>
      <w:r>
        <w:rPr>
          <w:b/>
          <w:bCs/>
          <w:i/>
          <w:iCs/>
        </w:rPr>
        <w:t>Expliquer les mesures</w:t>
      </w:r>
      <w:r w:rsidR="00D4370A" w:rsidRPr="00D4370A">
        <w:rPr>
          <w:b/>
          <w:bCs/>
          <w:i/>
          <w:iCs/>
        </w:rPr>
        <w:t xml:space="preserve"> envisagé</w:t>
      </w:r>
      <w:r w:rsidR="00FE7ACB">
        <w:rPr>
          <w:b/>
          <w:bCs/>
          <w:i/>
          <w:iCs/>
        </w:rPr>
        <w:t>e</w:t>
      </w:r>
      <w:r w:rsidR="00D4370A" w:rsidRPr="00D4370A">
        <w:rPr>
          <w:b/>
          <w:bCs/>
          <w:i/>
          <w:iCs/>
        </w:rPr>
        <w:t>s afin de prohiber l’enfermement des enfants dans les centres et locaux de rétention administrative</w:t>
      </w:r>
      <w:bookmarkStart w:id="4" w:name="_Hlk35280410"/>
      <w:r>
        <w:rPr>
          <w:b/>
          <w:bCs/>
          <w:i/>
          <w:iCs/>
        </w:rPr>
        <w:t>.</w:t>
      </w:r>
    </w:p>
    <w:p w14:paraId="089F382F" w14:textId="4CAC5D6E" w:rsidR="00F00717" w:rsidRDefault="00F00717" w:rsidP="00F00717">
      <w:pPr>
        <w:pStyle w:val="Titre1"/>
      </w:pPr>
      <w:r>
        <w:t>L</w:t>
      </w:r>
      <w:r w:rsidR="00A64C98">
        <w:t xml:space="preserve">es </w:t>
      </w:r>
      <w:r>
        <w:t>mineurs non accompagnés</w:t>
      </w:r>
      <w:bookmarkEnd w:id="4"/>
    </w:p>
    <w:p w14:paraId="5F3B23F6" w14:textId="344FB8EE" w:rsidR="00F00717" w:rsidRPr="00B8736E" w:rsidRDefault="00F00717" w:rsidP="00F00717">
      <w:r w:rsidRPr="002D7E9B">
        <w:t xml:space="preserve">Du fait des caractéristiques propres à ce public </w:t>
      </w:r>
      <w:r>
        <w:t xml:space="preserve">que sont le traumatisme du parcours migratoire, </w:t>
      </w:r>
      <w:r w:rsidRPr="002D7E9B">
        <w:t>la barrière de la langue, l’incertitude relative à la réalité de l’identité et de l’âge</w:t>
      </w:r>
      <w:r w:rsidRPr="5E8E469D">
        <w:t>,</w:t>
      </w:r>
      <w:r w:rsidRPr="002D7E9B">
        <w:t xml:space="preserve"> la cohabitation difficile avec le</w:t>
      </w:r>
      <w:r>
        <w:t>s autres jeunes</w:t>
      </w:r>
      <w:r w:rsidRPr="002D7E9B">
        <w:t xml:space="preserve">, la difficulté d’envisager une alternative à l’incarcération ou un aménagement de peine ou de préparer correctement la sortie du fait </w:t>
      </w:r>
      <w:r>
        <w:t xml:space="preserve">de l’isolement et </w:t>
      </w:r>
      <w:r w:rsidRPr="002D7E9B">
        <w:t>de la situation administrative</w:t>
      </w:r>
      <w:r>
        <w:t>, l’indigence,</w:t>
      </w:r>
      <w:r w:rsidRPr="5E8E469D">
        <w:t xml:space="preserve"> </w:t>
      </w:r>
      <w:r w:rsidR="005F4749">
        <w:t>les mineurs non accompagnés (MNA)</w:t>
      </w:r>
      <w:r w:rsidRPr="002D7E9B">
        <w:t xml:space="preserve"> nécessitent une prise en charge particulière. </w:t>
      </w:r>
      <w:r>
        <w:t xml:space="preserve">Une </w:t>
      </w:r>
      <w:bookmarkStart w:id="5" w:name="_Hlk35695726"/>
      <w:r w:rsidRPr="019951B4">
        <w:rPr>
          <w:rFonts w:eastAsia="Times New Roman"/>
          <w:lang w:eastAsia="fr-FR"/>
        </w:rPr>
        <w:t>note du 5 septembre 2018 relative à la situation des mineurs non accompagnés faisant l'objet de poursuites pénales</w:t>
      </w:r>
      <w:bookmarkEnd w:id="5"/>
      <w:r w:rsidRPr="019951B4">
        <w:rPr>
          <w:rStyle w:val="Appelnotedebasdep"/>
          <w:rFonts w:eastAsia="Times New Roman"/>
          <w:lang w:eastAsia="fr-FR"/>
        </w:rPr>
        <w:footnoteReference w:id="9"/>
      </w:r>
      <w:r w:rsidRPr="019951B4">
        <w:rPr>
          <w:rFonts w:eastAsia="Times New Roman"/>
          <w:lang w:eastAsia="fr-FR"/>
        </w:rPr>
        <w:t xml:space="preserve"> est venue compléter les textes réglementaires et les notes sur la prise en charge des MNA par les départements dans un cadre civil </w:t>
      </w:r>
      <w:r w:rsidRPr="019951B4">
        <w:rPr>
          <w:rStyle w:val="Appelnotedebasdep"/>
          <w:rFonts w:eastAsia="Times New Roman"/>
          <w:lang w:eastAsia="fr-FR"/>
        </w:rPr>
        <w:footnoteReference w:id="10"/>
      </w:r>
      <w:r w:rsidRPr="019951B4">
        <w:rPr>
          <w:rFonts w:eastAsia="Times New Roman"/>
          <w:lang w:eastAsia="fr-FR"/>
        </w:rPr>
        <w:t>permettant de clarifier le rôle de chaque institution.</w:t>
      </w:r>
    </w:p>
    <w:p w14:paraId="7ADF79BE" w14:textId="1B570339" w:rsidR="00F00717" w:rsidRPr="00300579" w:rsidRDefault="00F00717" w:rsidP="00F00717">
      <w:r>
        <w:lastRenderedPageBreak/>
        <w:t>Il ressort du rapport annuel 2018</w:t>
      </w:r>
      <w:r w:rsidR="005F4749">
        <w:t xml:space="preserve"> du CGLPL</w:t>
      </w:r>
      <w:r>
        <w:t xml:space="preserve"> que dans de très nombreux établissements visités, un nombre important de </w:t>
      </w:r>
      <w:r w:rsidR="005F4749">
        <w:t>MNA</w:t>
      </w:r>
      <w:r>
        <w:t xml:space="preserve"> étaient présents : 20 % dans un </w:t>
      </w:r>
      <w:r w:rsidR="005F4749">
        <w:t>établissement</w:t>
      </w:r>
      <w:r>
        <w:t xml:space="preserve"> de région parisienne, 50 % dans un </w:t>
      </w:r>
      <w:r w:rsidR="005F4749">
        <w:t>autre</w:t>
      </w:r>
      <w:r>
        <w:t xml:space="preserve">, un tiers dans un </w:t>
      </w:r>
      <w:r w:rsidR="005F4749">
        <w:t>troisième</w:t>
      </w:r>
      <w:r>
        <w:t xml:space="preserve">. Dans les établissements d'autres régions, les MNA peuvent aussi arriver par transfert notamment pur désengorger la région parisienne. Cette proportion est en forte </w:t>
      </w:r>
      <w:r w:rsidR="005F4749">
        <w:t>augmentation</w:t>
      </w:r>
      <w:r>
        <w:t xml:space="preserve"> et explique en grande partie la croissance globale du nombre d</w:t>
      </w:r>
      <w:r w:rsidR="005F4749">
        <w:t xml:space="preserve">’enfants </w:t>
      </w:r>
      <w:r>
        <w:t xml:space="preserve">détenus. Ils sont par ailleurs </w:t>
      </w:r>
      <w:r w:rsidRPr="5E8E469D">
        <w:t>manifestement incarcérés dans un souci de protection, car, la plupart du temps, les faits qu’ils ont commis ne conduiraient pas à l’incarcération d’un mineur vivant avec sa famille.</w:t>
      </w:r>
    </w:p>
    <w:p w14:paraId="6A4E6502" w14:textId="7A59ED28" w:rsidR="00F00717" w:rsidRPr="00300579" w:rsidRDefault="00F00717" w:rsidP="00F00717">
      <w:r w:rsidRPr="5E8E469D">
        <w:rPr>
          <w:rStyle w:val="ParagraphestandardCar"/>
        </w:rPr>
        <w:t xml:space="preserve">Or, la prise en charge prévue pour ces mineurs lorsqu’ils sont </w:t>
      </w:r>
      <w:r w:rsidR="005F4749">
        <w:rPr>
          <w:rStyle w:val="ParagraphestandardCar"/>
        </w:rPr>
        <w:t>emprisonnés</w:t>
      </w:r>
      <w:r w:rsidRPr="5E8E469D">
        <w:rPr>
          <w:rStyle w:val="ParagraphestandardCar"/>
        </w:rPr>
        <w:t xml:space="preserve"> s’avère souvent inadaptée. En outre, une fois libérés, ils sont exclus des dispositifs prévus pour les mineurs, faute de prise en charge en milieu ouvert par </w:t>
      </w:r>
      <w:r w:rsidR="005F4749">
        <w:rPr>
          <w:rStyle w:val="ParagraphestandardCar"/>
        </w:rPr>
        <w:t>les services compétents,</w:t>
      </w:r>
      <w:r w:rsidRPr="5E8E469D">
        <w:rPr>
          <w:rStyle w:val="ParagraphestandardCar"/>
        </w:rPr>
        <w:t xml:space="preserve"> </w:t>
      </w:r>
      <w:r w:rsidR="005F4749">
        <w:rPr>
          <w:rStyle w:val="ParagraphestandardCar"/>
        </w:rPr>
        <w:t>ou</w:t>
      </w:r>
      <w:r w:rsidRPr="5E8E469D">
        <w:rPr>
          <w:rStyle w:val="ParagraphestandardCar"/>
        </w:rPr>
        <w:t xml:space="preserve"> de prise en compte notamment pour leur attribuer des places en foyers d’hébergement</w:t>
      </w:r>
      <w:r w:rsidR="005F4749">
        <w:rPr>
          <w:rStyle w:val="ParagraphestandardCar"/>
        </w:rPr>
        <w:t>, différentes</w:t>
      </w:r>
      <w:r w:rsidRPr="5E8E469D">
        <w:rPr>
          <w:rStyle w:val="ParagraphestandardCar"/>
        </w:rPr>
        <w:t xml:space="preserve"> institutions</w:t>
      </w:r>
      <w:r w:rsidR="005F4749">
        <w:rPr>
          <w:rStyle w:val="ParagraphestandardCar"/>
        </w:rPr>
        <w:t xml:space="preserve"> Protection judiciaire de la jeunesse et Aide sociale à l’enfance)</w:t>
      </w:r>
      <w:r w:rsidRPr="5E8E469D">
        <w:rPr>
          <w:rStyle w:val="ParagraphestandardCar"/>
        </w:rPr>
        <w:t xml:space="preserve"> se renvoyant souvent la compétence. Ils ne peuvent souvent pas faire l’objet d’un suivi judiciaire et sont livrés à eux-mêmes sans hébergement ni tuteur</w:t>
      </w:r>
      <w:r>
        <w:t>.</w:t>
      </w:r>
    </w:p>
    <w:p w14:paraId="5C85E8A6" w14:textId="77777777" w:rsidR="00F00717" w:rsidRPr="00935E4C" w:rsidRDefault="00F00717" w:rsidP="00F00717">
      <w:pPr>
        <w:rPr>
          <w:rStyle w:val="ParagraphestandardCar"/>
        </w:rPr>
      </w:pPr>
      <w:r w:rsidRPr="00935E4C">
        <w:rPr>
          <w:rStyle w:val="ParagraphestandardCar"/>
        </w:rPr>
        <w:t>Leur prise en charge oblige à traiter un certain nombre de sujets spécifiques que sont :</w:t>
      </w:r>
    </w:p>
    <w:p w14:paraId="183B09DD" w14:textId="0A6B45C2" w:rsidR="00F00717" w:rsidRPr="00935E4C" w:rsidRDefault="00F00717" w:rsidP="00935E4C">
      <w:pPr>
        <w:pStyle w:val="Paragraphedeliste"/>
        <w:numPr>
          <w:ilvl w:val="0"/>
          <w:numId w:val="10"/>
        </w:numPr>
        <w:rPr>
          <w:rStyle w:val="ParagraphestandardCar"/>
        </w:rPr>
      </w:pPr>
      <w:r w:rsidRPr="00935E4C">
        <w:rPr>
          <w:rStyle w:val="ParagraphestandardCar"/>
        </w:rPr>
        <w:t xml:space="preserve">les problèmes de santé </w:t>
      </w:r>
      <w:r w:rsidR="00935E4C" w:rsidRPr="00935E4C">
        <w:rPr>
          <w:rStyle w:val="ParagraphestandardCar"/>
        </w:rPr>
        <w:t xml:space="preserve">somatiques </w:t>
      </w:r>
      <w:r w:rsidRPr="00935E4C">
        <w:rPr>
          <w:rStyle w:val="ParagraphestandardCar"/>
        </w:rPr>
        <w:t xml:space="preserve">surtout psychologiques </w:t>
      </w:r>
      <w:r w:rsidR="00935E4C" w:rsidRPr="00935E4C">
        <w:rPr>
          <w:rStyle w:val="ParagraphestandardCar"/>
        </w:rPr>
        <w:t>liés à</w:t>
      </w:r>
      <w:r w:rsidRPr="00935E4C">
        <w:rPr>
          <w:rStyle w:val="ParagraphestandardCar"/>
        </w:rPr>
        <w:t xml:space="preserve"> leur parcours migratoire ;</w:t>
      </w:r>
    </w:p>
    <w:p w14:paraId="2BF629CB" w14:textId="77777777" w:rsidR="00F00717" w:rsidRPr="00935E4C" w:rsidRDefault="00F00717" w:rsidP="00935E4C">
      <w:pPr>
        <w:pStyle w:val="Paragraphedeliste"/>
        <w:numPr>
          <w:ilvl w:val="0"/>
          <w:numId w:val="10"/>
        </w:numPr>
        <w:rPr>
          <w:rStyle w:val="ParagraphestandardCar"/>
        </w:rPr>
      </w:pPr>
      <w:r w:rsidRPr="00935E4C">
        <w:rPr>
          <w:rStyle w:val="ParagraphestandardCar"/>
        </w:rPr>
        <w:t>l’absence de protection sociale pour engager des soins ;</w:t>
      </w:r>
    </w:p>
    <w:p w14:paraId="1DAE27AA" w14:textId="77777777" w:rsidR="00F00717" w:rsidRPr="00935E4C" w:rsidRDefault="00F00717" w:rsidP="00935E4C">
      <w:pPr>
        <w:pStyle w:val="Paragraphedeliste"/>
        <w:numPr>
          <w:ilvl w:val="0"/>
          <w:numId w:val="10"/>
        </w:numPr>
        <w:rPr>
          <w:rStyle w:val="ParagraphestandardCar"/>
        </w:rPr>
      </w:pPr>
      <w:r w:rsidRPr="00935E4C">
        <w:rPr>
          <w:rStyle w:val="ParagraphestandardCar"/>
        </w:rPr>
        <w:t>l’accès au droit dans une langue qu’ils ne comprennent pas, compte tenu de l’absence d’interprète à certains moments ;</w:t>
      </w:r>
    </w:p>
    <w:p w14:paraId="1AE2496A" w14:textId="150D7AF5" w:rsidR="00935E4C" w:rsidRPr="00935E4C" w:rsidRDefault="00F00717" w:rsidP="00F00717">
      <w:pPr>
        <w:pStyle w:val="Paragraphedeliste"/>
        <w:numPr>
          <w:ilvl w:val="0"/>
          <w:numId w:val="10"/>
        </w:numPr>
        <w:rPr>
          <w:rStyle w:val="ParagraphestandardCar"/>
        </w:rPr>
      </w:pPr>
      <w:r w:rsidRPr="00935E4C">
        <w:rPr>
          <w:rStyle w:val="ParagraphestandardCar"/>
        </w:rPr>
        <w:t>la préparation d’un projet de sortie en l’absence de structures d’hébergement prêtes à les accueillir.</w:t>
      </w:r>
    </w:p>
    <w:p w14:paraId="7C33CADE" w14:textId="7F8FDDD0" w:rsidR="00F00717" w:rsidRDefault="00935E4C" w:rsidP="00F00717">
      <w:r>
        <w:t>Par ailleurs, à</w:t>
      </w:r>
      <w:r w:rsidR="00F00717" w:rsidRPr="00A8430A">
        <w:t xml:space="preserve"> </w:t>
      </w:r>
      <w:r>
        <w:t>l’arrivée en France et notamment la zone d’attente</w:t>
      </w:r>
      <w:r w:rsidR="007C47E6">
        <w:t xml:space="preserve"> (ZA)</w:t>
      </w:r>
      <w:r>
        <w:t xml:space="preserve"> </w:t>
      </w:r>
      <w:r w:rsidR="00F00717" w:rsidRPr="00893A46">
        <w:t>de</w:t>
      </w:r>
      <w:r w:rsidR="00F00717" w:rsidRPr="019951B4">
        <w:rPr>
          <w:b/>
          <w:bCs/>
        </w:rPr>
        <w:t xml:space="preserve"> </w:t>
      </w:r>
      <w:r w:rsidRPr="00E07187">
        <w:t xml:space="preserve">l’aéroport </w:t>
      </w:r>
      <w:r w:rsidR="00E07187" w:rsidRPr="00E07187">
        <w:t>de Roissy</w:t>
      </w:r>
      <w:r w:rsidR="00F00717" w:rsidRPr="019951B4">
        <w:t xml:space="preserve">, le service est </w:t>
      </w:r>
      <w:r w:rsidR="007C47E6">
        <w:t>souvent</w:t>
      </w:r>
      <w:r w:rsidR="00F00717" w:rsidRPr="019951B4">
        <w:t xml:space="preserve"> confronté à la difficulté de gestion des MNA dont le nombre excède parfois les capacités d’accueil. </w:t>
      </w:r>
      <w:r w:rsidR="007C47E6">
        <w:t>Malgré sa</w:t>
      </w:r>
      <w:r w:rsidR="00F00717" w:rsidRPr="019951B4">
        <w:t xml:space="preserve"> vigilance, la police est démunie</w:t>
      </w:r>
      <w:r w:rsidR="007C47E6">
        <w:t xml:space="preserve"> </w:t>
      </w:r>
      <w:r w:rsidR="00F00717" w:rsidRPr="019951B4">
        <w:t xml:space="preserve">devant la situation de certains enfants, victimes de filières de traite. Les interlocuteurs de ces jeunes savent que sitôt placés dans un foyer (quand il y a de la place, ou dans un hôtel le plus souvent), ils </w:t>
      </w:r>
      <w:r w:rsidR="007C47E6">
        <w:t>disparaissent</w:t>
      </w:r>
      <w:r w:rsidR="00F00717" w:rsidRPr="019951B4">
        <w:t xml:space="preserve"> pour rejoindre ceux qui les ont fait venir. L’enfermement des mineurs est parfois présenté comme un temps de pause dans un parcours contraint, qui pourrait être mis à profit pour que les mineurs concernés demandent protection. Ce n’est </w:t>
      </w:r>
      <w:r w:rsidR="007C47E6">
        <w:t xml:space="preserve">pourtant </w:t>
      </w:r>
      <w:r w:rsidR="00F00717" w:rsidRPr="019951B4">
        <w:t>jamais le cas</w:t>
      </w:r>
      <w:r w:rsidR="007C47E6">
        <w:t>,</w:t>
      </w:r>
      <w:r w:rsidR="00F00717" w:rsidRPr="019951B4">
        <w:t xml:space="preserve"> alors qu’il convient de rappeler qu’ils sont représentés par un </w:t>
      </w:r>
      <w:r w:rsidR="00F00717" w:rsidRPr="5E8E469D">
        <w:rPr>
          <w:i/>
          <w:iCs/>
        </w:rPr>
        <w:t>administrateur ad hoc</w:t>
      </w:r>
      <w:r w:rsidR="00F00717" w:rsidRPr="019951B4">
        <w:t xml:space="preserve"> désigné par le procureur de la République territorialement compétent lorsqu’ils se trouvent en ZA.</w:t>
      </w:r>
    </w:p>
    <w:p w14:paraId="49EAE93F" w14:textId="2743C009" w:rsidR="00F00717" w:rsidRDefault="00FE7ACB" w:rsidP="00FE7ACB">
      <w:bookmarkStart w:id="6" w:name="_Toc42094453"/>
      <w:bookmarkStart w:id="7" w:name="_Toc42094454"/>
      <w:bookmarkEnd w:id="6"/>
      <w:r>
        <w:t>Dans son rapport annuel de 2018, l</w:t>
      </w:r>
      <w:r w:rsidR="00F00717" w:rsidRPr="001D6016">
        <w:t xml:space="preserve">e CGLPL </w:t>
      </w:r>
      <w:r>
        <w:t xml:space="preserve">a </w:t>
      </w:r>
      <w:r w:rsidR="00F00717" w:rsidRPr="001D6016">
        <w:t>recommand</w:t>
      </w:r>
      <w:r>
        <w:t xml:space="preserve">é </w:t>
      </w:r>
      <w:r w:rsidR="00F00717" w:rsidRPr="001D6016">
        <w:t>aux pouvoirs publics de procéder à une évaluation des difficultés liées à la prise en charge des mineurs non accompagnés et de prendre toute mesure utile pour leur accorder la protection nécessaire au</w:t>
      </w:r>
      <w:r w:rsidR="00F00717">
        <w:t xml:space="preserve"> regard des engagements internationaux de la </w:t>
      </w:r>
      <w:r>
        <w:t>France</w:t>
      </w:r>
      <w:bookmarkEnd w:id="7"/>
      <w:r>
        <w:t>.</w:t>
      </w:r>
    </w:p>
    <w:p w14:paraId="10F82C4E" w14:textId="1BBBAEA7" w:rsidR="00F00717" w:rsidRDefault="00F00717" w:rsidP="00F00717"/>
    <w:p w14:paraId="0A27F52B" w14:textId="77777777" w:rsidR="00B53EFA" w:rsidRDefault="00B53EFA" w:rsidP="00F00717"/>
    <w:p w14:paraId="0BEB7711" w14:textId="620E098F" w:rsidR="004D05CB" w:rsidRDefault="004D05CB" w:rsidP="00FE7ACB">
      <w:pPr>
        <w:pBdr>
          <w:top w:val="single" w:sz="4" w:space="1" w:color="auto"/>
          <w:left w:val="single" w:sz="4" w:space="4" w:color="auto"/>
          <w:bottom w:val="single" w:sz="4" w:space="1" w:color="auto"/>
          <w:right w:val="single" w:sz="4" w:space="4" w:color="auto"/>
        </w:pBdr>
        <w:rPr>
          <w:b/>
          <w:bCs/>
          <w:i/>
          <w:iCs/>
        </w:rPr>
      </w:pPr>
      <w:r>
        <w:rPr>
          <w:b/>
          <w:bCs/>
          <w:i/>
          <w:iCs/>
        </w:rPr>
        <w:lastRenderedPageBreak/>
        <w:t>Question suggérée :</w:t>
      </w:r>
    </w:p>
    <w:p w14:paraId="71FB7DA9" w14:textId="2A10FDD5" w:rsidR="00F00717" w:rsidRPr="00F00717" w:rsidRDefault="004D05CB" w:rsidP="00FE7ACB">
      <w:pPr>
        <w:pBdr>
          <w:top w:val="single" w:sz="4" w:space="1" w:color="auto"/>
          <w:left w:val="single" w:sz="4" w:space="4" w:color="auto"/>
          <w:bottom w:val="single" w:sz="4" w:space="1" w:color="auto"/>
          <w:right w:val="single" w:sz="4" w:space="4" w:color="auto"/>
        </w:pBdr>
        <w:rPr>
          <w:b/>
          <w:bCs/>
          <w:i/>
          <w:iCs/>
        </w:rPr>
      </w:pPr>
      <w:r>
        <w:rPr>
          <w:b/>
          <w:bCs/>
          <w:i/>
          <w:iCs/>
        </w:rPr>
        <w:t xml:space="preserve">Expliquer </w:t>
      </w:r>
      <w:r w:rsidR="00AE657D">
        <w:rPr>
          <w:b/>
          <w:bCs/>
          <w:i/>
          <w:iCs/>
        </w:rPr>
        <w:t>les mesures</w:t>
      </w:r>
      <w:r>
        <w:rPr>
          <w:b/>
          <w:bCs/>
          <w:i/>
          <w:iCs/>
        </w:rPr>
        <w:t xml:space="preserve"> envisag</w:t>
      </w:r>
      <w:r w:rsidR="00AE657D">
        <w:rPr>
          <w:b/>
          <w:bCs/>
          <w:i/>
          <w:iCs/>
        </w:rPr>
        <w:t>ées</w:t>
      </w:r>
      <w:r>
        <w:rPr>
          <w:b/>
          <w:bCs/>
          <w:i/>
          <w:iCs/>
        </w:rPr>
        <w:t xml:space="preserve"> pour </w:t>
      </w:r>
      <w:r w:rsidR="00FE7ACB">
        <w:rPr>
          <w:b/>
          <w:bCs/>
          <w:i/>
          <w:iCs/>
        </w:rPr>
        <w:t xml:space="preserve">que les </w:t>
      </w:r>
      <w:r w:rsidR="0038222A">
        <w:rPr>
          <w:b/>
          <w:bCs/>
          <w:i/>
          <w:iCs/>
        </w:rPr>
        <w:t>mineurs non accompagnés</w:t>
      </w:r>
      <w:r w:rsidR="00FE7ACB">
        <w:rPr>
          <w:b/>
          <w:bCs/>
          <w:i/>
          <w:iCs/>
        </w:rPr>
        <w:t xml:space="preserve"> fassent l’objet de </w:t>
      </w:r>
      <w:r w:rsidR="00F00717" w:rsidRPr="00F00717">
        <w:rPr>
          <w:b/>
          <w:bCs/>
          <w:i/>
          <w:iCs/>
        </w:rPr>
        <w:t>prises en charge qui correspondent</w:t>
      </w:r>
      <w:r w:rsidR="00FE7ACB">
        <w:rPr>
          <w:b/>
          <w:bCs/>
          <w:i/>
          <w:iCs/>
        </w:rPr>
        <w:t xml:space="preserve"> à l</w:t>
      </w:r>
      <w:r w:rsidR="00F00717" w:rsidRPr="00F00717">
        <w:rPr>
          <w:b/>
          <w:bCs/>
          <w:i/>
          <w:iCs/>
        </w:rPr>
        <w:t>eurs problématiques</w:t>
      </w:r>
      <w:r w:rsidR="0038222A">
        <w:rPr>
          <w:b/>
          <w:bCs/>
          <w:i/>
          <w:iCs/>
        </w:rPr>
        <w:t>.</w:t>
      </w:r>
    </w:p>
    <w:p w14:paraId="665722A7" w14:textId="4DEECA16" w:rsidR="00B04AC9" w:rsidRPr="003F317C" w:rsidRDefault="00301A2F" w:rsidP="001D7E42">
      <w:pPr>
        <w:pStyle w:val="Titre1"/>
      </w:pPr>
      <w:r>
        <w:t xml:space="preserve">Les </w:t>
      </w:r>
      <w:r w:rsidR="003F317C" w:rsidRPr="003F317C">
        <w:t xml:space="preserve">Moyens de communication </w:t>
      </w:r>
    </w:p>
    <w:p w14:paraId="2926DF88" w14:textId="33361BE0" w:rsidR="00B04AC9" w:rsidRPr="000E34E0" w:rsidRDefault="00B04AC9" w:rsidP="00B04AC9">
      <w:r w:rsidRPr="000E34E0">
        <w:t xml:space="preserve">Dans </w:t>
      </w:r>
      <w:r w:rsidRPr="005F169D">
        <w:rPr>
          <w:b/>
          <w:bCs/>
        </w:rPr>
        <w:t>un avis du 12 décembre 2019 relatif à l’accès à internet dans les lieux de privation de liberté</w:t>
      </w:r>
      <w:r w:rsidRPr="000E34E0">
        <w:t xml:space="preserve">, le CGLPL a recommandé que les personnes privées de liberté dans les établissements psychiatriques comme dans établissements pénitentiaires puissent accéder à une messagerie électronique. Comme le CGLPL l’avait déjà recommandé, cet accès à un service de messagerie doit être assuré dans tous les lieux dans lesquels la durée de séjour excède quatre jours, y compris pour les mineurs. Pour ces derniers, l’accès doit être possible </w:t>
      </w:r>
      <w:r>
        <w:t xml:space="preserve">dans des conditions </w:t>
      </w:r>
      <w:r w:rsidRPr="000E34E0">
        <w:t>adapté</w:t>
      </w:r>
      <w:r>
        <w:t>es</w:t>
      </w:r>
      <w:r w:rsidRPr="000E34E0">
        <w:t xml:space="preserve"> à aux nécessités de protection des mineurs. </w:t>
      </w:r>
    </w:p>
    <w:p w14:paraId="45FB5EBB" w14:textId="7CD42A52" w:rsidR="00D5698C" w:rsidRDefault="00B04AC9" w:rsidP="00B04AC9">
      <w:r w:rsidRPr="000E34E0">
        <w:t xml:space="preserve">Le CGLPL recommande également que les personnes privées de liberté puissent accéder à un service de vidéocommunication, selon des modalités de contrôle similaire à celle mise en œuvre pour les communications par téléphone. Les </w:t>
      </w:r>
      <w:r w:rsidR="003F317C">
        <w:t>enfant</w:t>
      </w:r>
      <w:r w:rsidR="00D5698C">
        <w:t>s</w:t>
      </w:r>
      <w:r w:rsidRPr="000E34E0">
        <w:t xml:space="preserve"> doivent également avoir accès à ce service, là aussi dans un cadre permettant le respect des nécessités propres à l</w:t>
      </w:r>
      <w:r w:rsidR="003F317C">
        <w:t>eur</w:t>
      </w:r>
      <w:r w:rsidRPr="000E34E0">
        <w:t xml:space="preserve"> protection</w:t>
      </w:r>
      <w:r w:rsidR="003F317C">
        <w:t>.</w:t>
      </w:r>
    </w:p>
    <w:p w14:paraId="726892E2" w14:textId="77777777" w:rsidR="00FE7ACB" w:rsidRDefault="00FE7ACB" w:rsidP="00B04AC9"/>
    <w:p w14:paraId="4B9B9EBB" w14:textId="09BFF5D5" w:rsidR="00D5698C" w:rsidRDefault="00D5698C" w:rsidP="00D5698C">
      <w:pPr>
        <w:pBdr>
          <w:top w:val="single" w:sz="4" w:space="1" w:color="auto"/>
          <w:left w:val="single" w:sz="4" w:space="4" w:color="auto"/>
          <w:bottom w:val="single" w:sz="4" w:space="1" w:color="auto"/>
          <w:right w:val="single" w:sz="4" w:space="4" w:color="auto"/>
        </w:pBdr>
        <w:rPr>
          <w:b/>
          <w:bCs/>
          <w:i/>
          <w:iCs/>
        </w:rPr>
      </w:pPr>
      <w:r>
        <w:rPr>
          <w:b/>
          <w:bCs/>
          <w:i/>
          <w:iCs/>
        </w:rPr>
        <w:t>Question suggérée</w:t>
      </w:r>
      <w:r w:rsidR="00877B41">
        <w:rPr>
          <w:b/>
          <w:bCs/>
          <w:i/>
          <w:iCs/>
        </w:rPr>
        <w:t xml:space="preserve"> </w:t>
      </w:r>
      <w:r>
        <w:rPr>
          <w:b/>
          <w:bCs/>
          <w:i/>
          <w:iCs/>
        </w:rPr>
        <w:t>:</w:t>
      </w:r>
    </w:p>
    <w:p w14:paraId="3580F057" w14:textId="674E9D91" w:rsidR="00D5698C" w:rsidRPr="00D5698C" w:rsidRDefault="00D5698C" w:rsidP="00D5698C">
      <w:pPr>
        <w:pBdr>
          <w:top w:val="single" w:sz="4" w:space="1" w:color="auto"/>
          <w:left w:val="single" w:sz="4" w:space="4" w:color="auto"/>
          <w:bottom w:val="single" w:sz="4" w:space="1" w:color="auto"/>
          <w:right w:val="single" w:sz="4" w:space="4" w:color="auto"/>
        </w:pBdr>
        <w:rPr>
          <w:b/>
          <w:bCs/>
          <w:i/>
          <w:iCs/>
        </w:rPr>
      </w:pPr>
      <w:r w:rsidRPr="00D5698C">
        <w:rPr>
          <w:b/>
          <w:bCs/>
          <w:i/>
          <w:iCs/>
        </w:rPr>
        <w:t xml:space="preserve">Quelles mesures sont-elles envisagées pour permettre aux enfants privés de liberté </w:t>
      </w:r>
      <w:r w:rsidR="0038222A">
        <w:rPr>
          <w:b/>
          <w:bCs/>
          <w:i/>
          <w:iCs/>
        </w:rPr>
        <w:t>d’</w:t>
      </w:r>
      <w:r w:rsidRPr="00D5698C">
        <w:rPr>
          <w:b/>
          <w:bCs/>
          <w:i/>
          <w:iCs/>
        </w:rPr>
        <w:t>acc</w:t>
      </w:r>
      <w:r w:rsidR="0038222A">
        <w:rPr>
          <w:b/>
          <w:bCs/>
          <w:i/>
          <w:iCs/>
        </w:rPr>
        <w:t>éder</w:t>
      </w:r>
      <w:r w:rsidRPr="00D5698C">
        <w:rPr>
          <w:b/>
          <w:bCs/>
          <w:i/>
          <w:iCs/>
        </w:rPr>
        <w:t xml:space="preserve"> à des service</w:t>
      </w:r>
      <w:r w:rsidR="00F139B7">
        <w:rPr>
          <w:b/>
          <w:bCs/>
          <w:i/>
          <w:iCs/>
        </w:rPr>
        <w:t>s</w:t>
      </w:r>
      <w:r w:rsidRPr="00D5698C">
        <w:rPr>
          <w:b/>
          <w:bCs/>
          <w:i/>
          <w:iCs/>
        </w:rPr>
        <w:t xml:space="preserve"> de messagerie électronique et de vidéocommunication ?</w:t>
      </w:r>
    </w:p>
    <w:p w14:paraId="36D11477" w14:textId="77777777" w:rsidR="00B04AC9" w:rsidRPr="00F81966" w:rsidRDefault="00B04AC9" w:rsidP="00B04AC9">
      <w:bookmarkStart w:id="8" w:name="_Toc42094472"/>
      <w:bookmarkEnd w:id="8"/>
    </w:p>
    <w:p w14:paraId="0E0AF8FE" w14:textId="5603200C" w:rsidR="00B04AC9" w:rsidRDefault="00B04AC9"/>
    <w:p w14:paraId="50F148BF" w14:textId="53809FCD" w:rsidR="00084ED0" w:rsidRDefault="00084ED0"/>
    <w:p w14:paraId="76CAD16C" w14:textId="5DD11FE2" w:rsidR="00D4370A" w:rsidRDefault="00D4370A"/>
    <w:p w14:paraId="33C3E536" w14:textId="1866DEF3" w:rsidR="00D4370A" w:rsidRDefault="00D4370A">
      <w:pPr>
        <w:spacing w:before="0" w:after="160" w:line="259" w:lineRule="auto"/>
        <w:jc w:val="left"/>
      </w:pPr>
    </w:p>
    <w:sectPr w:rsidR="00D4370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6483B" w14:textId="77777777" w:rsidR="00AE03F3" w:rsidRDefault="00AE03F3" w:rsidP="00B04AC9">
      <w:pPr>
        <w:spacing w:before="0" w:after="0"/>
      </w:pPr>
      <w:r>
        <w:separator/>
      </w:r>
    </w:p>
  </w:endnote>
  <w:endnote w:type="continuationSeparator" w:id="0">
    <w:p w14:paraId="2DD43A00" w14:textId="77777777" w:rsidR="00AE03F3" w:rsidRDefault="00AE03F3" w:rsidP="00B04AC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CB43B" w14:textId="77777777" w:rsidR="00AE03F3" w:rsidRDefault="00AE03F3" w:rsidP="00B04AC9">
      <w:pPr>
        <w:spacing w:before="0" w:after="0"/>
      </w:pPr>
      <w:r>
        <w:separator/>
      </w:r>
    </w:p>
  </w:footnote>
  <w:footnote w:type="continuationSeparator" w:id="0">
    <w:p w14:paraId="09A1BA40" w14:textId="77777777" w:rsidR="00AE03F3" w:rsidRDefault="00AE03F3" w:rsidP="00B04AC9">
      <w:pPr>
        <w:spacing w:before="0" w:after="0"/>
      </w:pPr>
      <w:r>
        <w:continuationSeparator/>
      </w:r>
    </w:p>
  </w:footnote>
  <w:footnote w:id="1">
    <w:p w14:paraId="78DB7BFD" w14:textId="77777777" w:rsidR="00056496" w:rsidRPr="00DB06BD" w:rsidRDefault="00056496" w:rsidP="00056496">
      <w:pPr>
        <w:rPr>
          <w:sz w:val="20"/>
        </w:rPr>
      </w:pPr>
      <w:r w:rsidRPr="00DB06BD">
        <w:rPr>
          <w:rStyle w:val="Appelnotedebasdep"/>
          <w:sz w:val="20"/>
        </w:rPr>
        <w:footnoteRef/>
      </w:r>
      <w:r w:rsidRPr="00DB06BD">
        <w:rPr>
          <w:sz w:val="20"/>
        </w:rPr>
        <w:t xml:space="preserve"> Sénat, rapport d’observation sur la situation de la psychiatrie des mineurs en France, avril 2017.</w:t>
      </w:r>
    </w:p>
  </w:footnote>
  <w:footnote w:id="2">
    <w:p w14:paraId="14E91E54" w14:textId="77777777" w:rsidR="00BB5CEA" w:rsidRDefault="00BB5CEA" w:rsidP="00BB5CEA">
      <w:pPr>
        <w:pStyle w:val="Notedebasdepage"/>
      </w:pPr>
      <w:r>
        <w:rPr>
          <w:rStyle w:val="Appelnotedebasdep"/>
        </w:rPr>
        <w:footnoteRef/>
      </w:r>
      <w:r>
        <w:t xml:space="preserve"> </w:t>
      </w:r>
      <w:r>
        <w:t xml:space="preserve">Direction de la recherche, des études, de l'évaluation et des statistiques (DREES) du ministère chargé de la santé </w:t>
      </w:r>
    </w:p>
  </w:footnote>
  <w:footnote w:id="3">
    <w:p w14:paraId="27E31A95" w14:textId="77777777" w:rsidR="00DA584B" w:rsidRDefault="00DA584B" w:rsidP="00DA584B">
      <w:pPr>
        <w:pStyle w:val="Notedebasdepage"/>
        <w:spacing w:before="0"/>
      </w:pPr>
      <w:r>
        <w:rPr>
          <w:rStyle w:val="Appelnotedebasdep"/>
        </w:rPr>
        <w:footnoteRef/>
      </w:r>
      <w:r>
        <w:t xml:space="preserve"> </w:t>
      </w:r>
      <w:r>
        <w:t>Citées dans le rapport de la mission parlementaire sur la justice des mineurs.</w:t>
      </w:r>
    </w:p>
  </w:footnote>
  <w:footnote w:id="4">
    <w:p w14:paraId="4E7F9494" w14:textId="77777777" w:rsidR="00DA584B" w:rsidRDefault="00DA584B" w:rsidP="00DA584B">
      <w:pPr>
        <w:pStyle w:val="Notedebasdepage"/>
        <w:spacing w:before="0"/>
      </w:pPr>
      <w:r>
        <w:rPr>
          <w:rStyle w:val="Appelnotedebasdep"/>
        </w:rPr>
        <w:footnoteRef/>
      </w:r>
      <w:r>
        <w:t xml:space="preserve"> </w:t>
      </w:r>
      <w:r>
        <w:t>Ministère de la justice, Référence statistique sur la justice des mineurs, 2017, p. 99</w:t>
      </w:r>
    </w:p>
  </w:footnote>
  <w:footnote w:id="5">
    <w:p w14:paraId="65A10D64" w14:textId="06E068DE" w:rsidR="00051C77" w:rsidRPr="00B042A4" w:rsidRDefault="00051C77" w:rsidP="00B042A4">
      <w:pPr>
        <w:pStyle w:val="Paragraphestandard"/>
        <w:spacing w:before="0" w:after="0"/>
        <w:ind w:firstLine="0"/>
        <w:rPr>
          <w:sz w:val="20"/>
          <w:szCs w:val="20"/>
          <w:highlight w:val="green"/>
        </w:rPr>
      </w:pPr>
      <w:r w:rsidRPr="003A6222">
        <w:rPr>
          <w:rStyle w:val="Appelnotedebasdep"/>
          <w:sz w:val="20"/>
          <w:szCs w:val="20"/>
        </w:rPr>
        <w:footnoteRef/>
      </w:r>
      <w:r w:rsidRPr="003A6222">
        <w:rPr>
          <w:sz w:val="20"/>
          <w:szCs w:val="20"/>
        </w:rPr>
        <w:t xml:space="preserve"> </w:t>
      </w:r>
      <w:r w:rsidRPr="003A6222">
        <w:rPr>
          <w:sz w:val="20"/>
          <w:szCs w:val="20"/>
        </w:rPr>
        <w:t xml:space="preserve">Note d’orientation du 20 septembre 2014 de la protection judiciaire de la jeunesse </w:t>
      </w:r>
      <w:r w:rsidRPr="019951B4">
        <w:rPr>
          <w:sz w:val="20"/>
          <w:szCs w:val="20"/>
        </w:rPr>
        <w:t>NOR : JUSF1423190N</w:t>
      </w:r>
    </w:p>
  </w:footnote>
  <w:footnote w:id="6">
    <w:p w14:paraId="7C191B89" w14:textId="77777777" w:rsidR="00B04AC9" w:rsidRDefault="00B04AC9" w:rsidP="00B04AC9">
      <w:pPr>
        <w:pStyle w:val="Notedebasdepage"/>
        <w:spacing w:before="0"/>
      </w:pPr>
      <w:r>
        <w:rPr>
          <w:rStyle w:val="Appelnotedebasdep"/>
        </w:rPr>
        <w:footnoteRef/>
      </w:r>
      <w:r>
        <w:t xml:space="preserve"> </w:t>
      </w:r>
      <w:r>
        <w:t>La Cimade, Rapport 2015 sur les centres et locaux de rétention administrative</w:t>
      </w:r>
    </w:p>
  </w:footnote>
  <w:footnote w:id="7">
    <w:p w14:paraId="0F0C54D4" w14:textId="77777777" w:rsidR="00B04AC9" w:rsidRDefault="00B04AC9" w:rsidP="00B04AC9">
      <w:pPr>
        <w:pStyle w:val="Notedebasdepage"/>
        <w:spacing w:before="0"/>
      </w:pPr>
      <w:r>
        <w:rPr>
          <w:rStyle w:val="Appelnotedebasdep"/>
        </w:rPr>
        <w:footnoteRef/>
      </w:r>
      <w:r>
        <w:t xml:space="preserve"> </w:t>
      </w:r>
      <w:r>
        <w:rPr>
          <w:i/>
          <w:iCs/>
          <w:sz w:val="19"/>
          <w:szCs w:val="19"/>
        </w:rPr>
        <w:t xml:space="preserve">A.B. et autres c. France </w:t>
      </w:r>
      <w:r>
        <w:rPr>
          <w:sz w:val="19"/>
          <w:szCs w:val="19"/>
        </w:rPr>
        <w:t>(n</w:t>
      </w:r>
      <w:r>
        <w:rPr>
          <w:sz w:val="9"/>
          <w:szCs w:val="9"/>
        </w:rPr>
        <w:t xml:space="preserve">o </w:t>
      </w:r>
      <w:r>
        <w:rPr>
          <w:sz w:val="19"/>
          <w:szCs w:val="19"/>
        </w:rPr>
        <w:t xml:space="preserve">11593/12), </w:t>
      </w:r>
      <w:r>
        <w:rPr>
          <w:i/>
          <w:iCs/>
          <w:sz w:val="19"/>
          <w:szCs w:val="19"/>
        </w:rPr>
        <w:t xml:space="preserve">R.M. et M. M. c. France </w:t>
      </w:r>
      <w:r>
        <w:rPr>
          <w:sz w:val="19"/>
          <w:szCs w:val="19"/>
        </w:rPr>
        <w:t>(n</w:t>
      </w:r>
      <w:r>
        <w:rPr>
          <w:sz w:val="9"/>
          <w:szCs w:val="9"/>
        </w:rPr>
        <w:t xml:space="preserve">o </w:t>
      </w:r>
      <w:r>
        <w:rPr>
          <w:sz w:val="19"/>
          <w:szCs w:val="19"/>
        </w:rPr>
        <w:t xml:space="preserve">33201/11), </w:t>
      </w:r>
      <w:r>
        <w:rPr>
          <w:i/>
          <w:iCs/>
          <w:sz w:val="19"/>
          <w:szCs w:val="19"/>
        </w:rPr>
        <w:t xml:space="preserve">A.M. et autres c. France </w:t>
      </w:r>
      <w:r>
        <w:rPr>
          <w:sz w:val="19"/>
          <w:szCs w:val="19"/>
        </w:rPr>
        <w:t>(n</w:t>
      </w:r>
      <w:r>
        <w:rPr>
          <w:sz w:val="9"/>
          <w:szCs w:val="9"/>
        </w:rPr>
        <w:t xml:space="preserve">o </w:t>
      </w:r>
      <w:r>
        <w:rPr>
          <w:sz w:val="19"/>
          <w:szCs w:val="19"/>
        </w:rPr>
        <w:t xml:space="preserve">24587/12), </w:t>
      </w:r>
      <w:r>
        <w:rPr>
          <w:i/>
          <w:iCs/>
          <w:sz w:val="19"/>
          <w:szCs w:val="19"/>
        </w:rPr>
        <w:t xml:space="preserve">R. K. c. France </w:t>
      </w:r>
      <w:r>
        <w:rPr>
          <w:sz w:val="19"/>
          <w:szCs w:val="19"/>
        </w:rPr>
        <w:t>(n</w:t>
      </w:r>
      <w:r>
        <w:rPr>
          <w:sz w:val="9"/>
          <w:szCs w:val="9"/>
        </w:rPr>
        <w:t xml:space="preserve">o </w:t>
      </w:r>
      <w:r>
        <w:rPr>
          <w:sz w:val="19"/>
          <w:szCs w:val="19"/>
        </w:rPr>
        <w:t xml:space="preserve">68264/14) et </w:t>
      </w:r>
      <w:r>
        <w:rPr>
          <w:i/>
          <w:iCs/>
          <w:sz w:val="19"/>
          <w:szCs w:val="19"/>
        </w:rPr>
        <w:t xml:space="preserve">R.C. c. France </w:t>
      </w:r>
      <w:r>
        <w:rPr>
          <w:sz w:val="19"/>
          <w:szCs w:val="19"/>
        </w:rPr>
        <w:t>(n</w:t>
      </w:r>
      <w:r>
        <w:rPr>
          <w:sz w:val="9"/>
          <w:szCs w:val="9"/>
        </w:rPr>
        <w:t xml:space="preserve">o </w:t>
      </w:r>
      <w:r>
        <w:rPr>
          <w:sz w:val="19"/>
          <w:szCs w:val="19"/>
        </w:rPr>
        <w:t>76491/14).</w:t>
      </w:r>
    </w:p>
  </w:footnote>
  <w:footnote w:id="8">
    <w:p w14:paraId="671EF1A0" w14:textId="77777777" w:rsidR="00B04AC9" w:rsidRDefault="00B04AC9" w:rsidP="00B04AC9">
      <w:pPr>
        <w:pStyle w:val="Notedebasdepage"/>
        <w:spacing w:before="0"/>
      </w:pPr>
      <w:r>
        <w:rPr>
          <w:rStyle w:val="Appelnotedebasdep"/>
        </w:rPr>
        <w:footnoteRef/>
      </w:r>
      <w:r>
        <w:t xml:space="preserve"> </w:t>
      </w:r>
      <w:r>
        <w:t>Art. L551-1 III bis du CESEDA</w:t>
      </w:r>
    </w:p>
  </w:footnote>
  <w:footnote w:id="9">
    <w:p w14:paraId="11FDE9DD" w14:textId="77777777" w:rsidR="00F00717" w:rsidRPr="00D445F6" w:rsidRDefault="00F00717" w:rsidP="00F00717">
      <w:pPr>
        <w:pStyle w:val="Notedebasdepage"/>
        <w:spacing w:before="0"/>
      </w:pPr>
      <w:r w:rsidRPr="00D445F6">
        <w:rPr>
          <w:rStyle w:val="Appelnotedebasdep"/>
        </w:rPr>
        <w:footnoteRef/>
      </w:r>
      <w:r w:rsidRPr="00D445F6">
        <w:t xml:space="preserve"> </w:t>
      </w:r>
      <w:r w:rsidRPr="00D445F6">
        <w:t>Circulaire JUSF1821612N DACG, DACS, DPJJ, Ministère de la justice.</w:t>
      </w:r>
    </w:p>
  </w:footnote>
  <w:footnote w:id="10">
    <w:p w14:paraId="5501799B" w14:textId="77777777" w:rsidR="00F00717" w:rsidRDefault="00F00717" w:rsidP="00F00717">
      <w:pPr>
        <w:pStyle w:val="Notedebasdepage"/>
        <w:spacing w:before="0"/>
        <w:jc w:val="left"/>
      </w:pPr>
      <w:r w:rsidRPr="00D445F6">
        <w:rPr>
          <w:rStyle w:val="Appelnotedebasdep"/>
        </w:rPr>
        <w:footnoteRef/>
      </w:r>
      <w:r w:rsidRPr="00D445F6">
        <w:t xml:space="preserve"> </w:t>
      </w:r>
      <w:r w:rsidRPr="00D445F6">
        <w:t>-</w:t>
      </w:r>
      <w:hyperlink r:id="rId1" w:tgtFrame="_blank" w:history="1">
        <w:r w:rsidRPr="00D445F6">
          <w:t>Circulaire interministérielle du 25 janvier 2016 relative à la mobilisation des services de l’ l'Etat auprès des conseils départementaux concernant les mineurs privés temporairement ou définitivement de la protection de leur famille et les personnes se présentant comme tels</w:t>
        </w:r>
        <w:r w:rsidRPr="00D445F6">
          <w:rPr>
            <w:color w:val="0000FF"/>
          </w:rPr>
          <w:br/>
        </w:r>
      </w:hyperlink>
      <w:hyperlink r:id="rId2" w:tgtFrame="_blank" w:history="1">
        <w:r w:rsidRPr="00D445F6">
          <w:t>- Décret n°2016-840 du 24 juin 2016 relatif à l'évaluation de la situation des mineurs privés temporairement ou définitivement de la protection de leur famille</w:t>
        </w:r>
        <w:r w:rsidRPr="00D445F6">
          <w:br/>
        </w:r>
      </w:hyperlink>
      <w:hyperlink r:id="rId3" w:tgtFrame="_blank" w:history="1">
        <w:r w:rsidRPr="00D445F6">
          <w:t>-Arrêté du 17 novembre 2016 relatif aux modalités d'évaluation de la minorité et de l'isolement</w:t>
        </w:r>
        <w:r w:rsidRPr="00D445F6">
          <w:br/>
        </w:r>
      </w:hyperlink>
      <w:hyperlink r:id="rId4" w:tgtFrame="_blank" w:history="1">
        <w:r w:rsidRPr="00D445F6">
          <w:t>-Ordonnance du 2 février 1945 relative à l'enfance délinquante</w:t>
        </w:r>
        <w:r w:rsidRPr="00D445F6">
          <w:br/>
        </w:r>
      </w:hyperlink>
      <w:hyperlink r:id="rId5" w:tgtFrame="_blank" w:history="1">
        <w:r w:rsidRPr="00D445F6">
          <w:t>-Article 375-5 du code civil relatif à l'assistance éducative</w:t>
        </w:r>
        <w:r w:rsidRPr="00D445F6">
          <w:br/>
        </w:r>
      </w:hyperlink>
      <w:hyperlink r:id="rId6" w:tgtFrame="_blank" w:history="1">
        <w:r w:rsidRPr="00D445F6">
          <w:t>-Circulaire du 13 décembre 2016 de politique pénale et éducative relative à la justice des mineurs</w:t>
        </w:r>
        <w:r w:rsidRPr="00D445F6">
          <w:br/>
        </w:r>
      </w:hyperlink>
      <w:hyperlink r:id="rId7" w:tgtFrame="_blank" w:history="1">
        <w:r w:rsidRPr="00D445F6">
          <w:t>-Circulaire du 2 février 2010 de la DPJJ relative à l'orientation sur l'action éducative dans le cadre pénal</w:t>
        </w:r>
        <w:r w:rsidRPr="00D445F6">
          <w:br/>
        </w:r>
      </w:hyperlink>
      <w:hyperlink r:id="rId8" w:tgtFrame="_blank" w:history="1">
        <w:r w:rsidRPr="00D445F6">
          <w:t>-Note du 24 août 2017 relative à l'action éducative conduite par le milieu ouvert auprès des jeunes détenus</w:t>
        </w:r>
        <w:r w:rsidRPr="00D445F6">
          <w:br/>
        </w:r>
      </w:hyperlink>
      <w:hyperlink r:id="rId9" w:tgtFrame="_blank" w:history="1">
        <w:r w:rsidRPr="00B8736E">
          <w:t>-Dépêche du 9 janvier 2018 relative aux transferts de mineurs aux fins de régulation des effectifs</w:t>
        </w:r>
        <w:r w:rsidRPr="00B8736E">
          <w:br/>
        </w:r>
      </w:hyperlink>
      <w:hyperlink r:id="rId10" w:tgtFrame="_blank" w:history="1">
        <w:r w:rsidRPr="00B8736E">
          <w:t>- Circulaire relative à la protection judiciaire de l'enfant du 19 avril 2017</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16FCE"/>
    <w:multiLevelType w:val="hybridMultilevel"/>
    <w:tmpl w:val="4B6A76A0"/>
    <w:lvl w:ilvl="0" w:tplc="7F5A4758">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04B4406"/>
    <w:multiLevelType w:val="hybridMultilevel"/>
    <w:tmpl w:val="52C24316"/>
    <w:lvl w:ilvl="0" w:tplc="7BC221DC">
      <w:start w:val="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78A0818"/>
    <w:multiLevelType w:val="multilevel"/>
    <w:tmpl w:val="7F2C4CE4"/>
    <w:lvl w:ilvl="0">
      <w:numFmt w:val="bullet"/>
      <w:lvlText w:val="-"/>
      <w:lvlJc w:val="left"/>
      <w:pPr>
        <w:tabs>
          <w:tab w:val="num" w:pos="720"/>
        </w:tabs>
        <w:ind w:left="720" w:hanging="360"/>
      </w:pPr>
      <w:rPr>
        <w:rFonts w:ascii="Calibri" w:eastAsiaTheme="minorHAnsi" w:hAnsi="Calibri" w:cstheme="minorBidi"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430D25"/>
    <w:multiLevelType w:val="multilevel"/>
    <w:tmpl w:val="321838F2"/>
    <w:lvl w:ilvl="0">
      <w:start w:val="1"/>
      <w:numFmt w:val="decimal"/>
      <w:pStyle w:val="Titre-Recommandation"/>
      <w:suff w:val="space"/>
      <w:lvlText w:val="Recommandation %1"/>
      <w:lvlJc w:val="left"/>
      <w:pPr>
        <w:ind w:left="113"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4A9B7042"/>
    <w:multiLevelType w:val="hybridMultilevel"/>
    <w:tmpl w:val="BE8EDB1E"/>
    <w:lvl w:ilvl="0" w:tplc="14D0E3D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656816C8"/>
    <w:multiLevelType w:val="hybridMultilevel"/>
    <w:tmpl w:val="3EF6DC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E5625D7"/>
    <w:multiLevelType w:val="multilevel"/>
    <w:tmpl w:val="78D4BCF2"/>
    <w:lvl w:ilvl="0">
      <w:start w:val="1"/>
      <w:numFmt w:val="decimal"/>
      <w:pStyle w:val="Titre1"/>
      <w:lvlText w:val="%1."/>
      <w:lvlJc w:val="left"/>
      <w:pPr>
        <w:ind w:left="425" w:hanging="425"/>
      </w:pPr>
      <w:rPr>
        <w:rFonts w:ascii="Calibri" w:hAnsi="Calibri" w:hint="default"/>
        <w:b/>
        <w:bCs w:val="0"/>
        <w:i w:val="0"/>
        <w:iCs w:val="0"/>
        <w:caps w:val="0"/>
        <w:smallCaps w:val="0"/>
        <w:strike w:val="0"/>
        <w:dstrike w:val="0"/>
        <w:noProof w:val="0"/>
        <w:snapToGrid w:val="0"/>
        <w:vanish w:val="0"/>
        <w:color w:val="4472C4" w:themeColor="accent1"/>
        <w:spacing w:val="0"/>
        <w:w w:val="100"/>
        <w:kern w:val="18"/>
        <w:position w:val="0"/>
        <w:sz w:val="28"/>
        <w:szCs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re2"/>
      <w:lvlText w:val="%1.%2"/>
      <w:lvlJc w:val="left"/>
      <w:pPr>
        <w:ind w:left="1134" w:hanging="709"/>
      </w:pPr>
      <w:rPr>
        <w:rFonts w:hint="default"/>
      </w:rPr>
    </w:lvl>
    <w:lvl w:ilvl="2">
      <w:start w:val="1"/>
      <w:numFmt w:val="decimal"/>
      <w:pStyle w:val="Titre3"/>
      <w:lvlText w:val="%1.%2.%3"/>
      <w:lvlJc w:val="left"/>
      <w:pPr>
        <w:ind w:left="1985" w:hanging="851"/>
      </w:pPr>
      <w:rPr>
        <w:rFonts w:hint="default"/>
      </w:rPr>
    </w:lvl>
    <w:lvl w:ilvl="3">
      <w:start w:val="1"/>
      <w:numFmt w:val="lowerLetter"/>
      <w:pStyle w:val="Titre4"/>
      <w:lvlText w:val="%4)"/>
      <w:lvlJc w:val="left"/>
      <w:pPr>
        <w:ind w:left="1418" w:hanging="284"/>
      </w:pPr>
      <w:rPr>
        <w:rFonts w:hint="default"/>
      </w:rPr>
    </w:lvl>
    <w:lvl w:ilvl="4">
      <w:start w:val="1"/>
      <w:numFmt w:val="lowerRoman"/>
      <w:pStyle w:val="Titre5"/>
      <w:lvlText w:val="%5)"/>
      <w:lvlJc w:val="left"/>
      <w:pPr>
        <w:ind w:left="1418" w:hanging="284"/>
      </w:pPr>
      <w:rPr>
        <w:rFonts w:hint="default"/>
        <w:color w:val="7F7F7F" w:themeColor="text1" w:themeTint="8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764221B9"/>
    <w:multiLevelType w:val="multilevel"/>
    <w:tmpl w:val="F23A38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C53624A"/>
    <w:multiLevelType w:val="hybridMultilevel"/>
    <w:tmpl w:val="FDA09540"/>
    <w:lvl w:ilvl="0" w:tplc="E4FAE5BE">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FB7634E"/>
    <w:multiLevelType w:val="hybridMultilevel"/>
    <w:tmpl w:val="CEECC630"/>
    <w:lvl w:ilvl="0" w:tplc="7BC221DC">
      <w:start w:val="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0"/>
  </w:num>
  <w:num w:numId="5">
    <w:abstractNumId w:val="2"/>
  </w:num>
  <w:num w:numId="6">
    <w:abstractNumId w:val="4"/>
  </w:num>
  <w:num w:numId="7">
    <w:abstractNumId w:val="9"/>
  </w:num>
  <w:num w:numId="8">
    <w:abstractNumId w:val="7"/>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AC9"/>
    <w:rsid w:val="000004EF"/>
    <w:rsid w:val="0000169B"/>
    <w:rsid w:val="00031259"/>
    <w:rsid w:val="00051C77"/>
    <w:rsid w:val="00056496"/>
    <w:rsid w:val="00084ED0"/>
    <w:rsid w:val="000A6658"/>
    <w:rsid w:val="000C382E"/>
    <w:rsid w:val="000D1DAF"/>
    <w:rsid w:val="000E2BA3"/>
    <w:rsid w:val="00136298"/>
    <w:rsid w:val="00161963"/>
    <w:rsid w:val="001D7E42"/>
    <w:rsid w:val="001E6474"/>
    <w:rsid w:val="00204C90"/>
    <w:rsid w:val="002E7790"/>
    <w:rsid w:val="00300C8A"/>
    <w:rsid w:val="00301A2F"/>
    <w:rsid w:val="00341204"/>
    <w:rsid w:val="00342079"/>
    <w:rsid w:val="00362E0E"/>
    <w:rsid w:val="0038222A"/>
    <w:rsid w:val="003836B0"/>
    <w:rsid w:val="003F317C"/>
    <w:rsid w:val="00431D34"/>
    <w:rsid w:val="00494E58"/>
    <w:rsid w:val="004B5186"/>
    <w:rsid w:val="004D05CB"/>
    <w:rsid w:val="005E21E6"/>
    <w:rsid w:val="005F169D"/>
    <w:rsid w:val="005F4749"/>
    <w:rsid w:val="005F5455"/>
    <w:rsid w:val="00666A79"/>
    <w:rsid w:val="006A4148"/>
    <w:rsid w:val="007425CF"/>
    <w:rsid w:val="007843D5"/>
    <w:rsid w:val="007C47E6"/>
    <w:rsid w:val="007F6095"/>
    <w:rsid w:val="00871149"/>
    <w:rsid w:val="00877B41"/>
    <w:rsid w:val="00893A46"/>
    <w:rsid w:val="008B7092"/>
    <w:rsid w:val="00935E4C"/>
    <w:rsid w:val="00970814"/>
    <w:rsid w:val="0098669A"/>
    <w:rsid w:val="009C5B36"/>
    <w:rsid w:val="009F035C"/>
    <w:rsid w:val="00A10610"/>
    <w:rsid w:val="00A64C98"/>
    <w:rsid w:val="00AB2046"/>
    <w:rsid w:val="00AC7322"/>
    <w:rsid w:val="00AE03F3"/>
    <w:rsid w:val="00AE657D"/>
    <w:rsid w:val="00B042A4"/>
    <w:rsid w:val="00B04AC9"/>
    <w:rsid w:val="00B53EFA"/>
    <w:rsid w:val="00B6007B"/>
    <w:rsid w:val="00BA0479"/>
    <w:rsid w:val="00BB5CEA"/>
    <w:rsid w:val="00BE1143"/>
    <w:rsid w:val="00BF41C5"/>
    <w:rsid w:val="00C24A89"/>
    <w:rsid w:val="00CB565F"/>
    <w:rsid w:val="00CD6639"/>
    <w:rsid w:val="00D2010B"/>
    <w:rsid w:val="00D4370A"/>
    <w:rsid w:val="00D5698C"/>
    <w:rsid w:val="00DA584B"/>
    <w:rsid w:val="00E07187"/>
    <w:rsid w:val="00E8311A"/>
    <w:rsid w:val="00EC6461"/>
    <w:rsid w:val="00F00717"/>
    <w:rsid w:val="00F139B7"/>
    <w:rsid w:val="00F23C97"/>
    <w:rsid w:val="00F66F0B"/>
    <w:rsid w:val="00F74C4D"/>
    <w:rsid w:val="00F900CD"/>
    <w:rsid w:val="00FD6FA5"/>
    <w:rsid w:val="00FE3B12"/>
    <w:rsid w:val="00FE7678"/>
    <w:rsid w:val="00FE7AC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8737D"/>
  <w15:chartTrackingRefBased/>
  <w15:docId w15:val="{038FE1AF-FDDA-4184-84C6-C34D0CD49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35" w:qFormat="1"/>
    <w:lsdException w:name="heading 2" w:semiHidden="1" w:uiPriority="35" w:unhideWhenUsed="1" w:qFormat="1"/>
    <w:lsdException w:name="heading 3" w:semiHidden="1" w:uiPriority="35" w:unhideWhenUsed="1" w:qFormat="1"/>
    <w:lsdException w:name="heading 4" w:semiHidden="1" w:uiPriority="35" w:unhideWhenUsed="1" w:qFormat="1"/>
    <w:lsdException w:name="heading 5" w:semiHidden="1" w:uiPriority="35"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AC9"/>
    <w:pPr>
      <w:spacing w:before="60" w:after="60" w:line="240" w:lineRule="auto"/>
      <w:jc w:val="both"/>
    </w:pPr>
    <w:rPr>
      <w:sz w:val="24"/>
    </w:rPr>
  </w:style>
  <w:style w:type="paragraph" w:styleId="Titre1">
    <w:name w:val="heading 1"/>
    <w:basedOn w:val="Normal"/>
    <w:next w:val="Normal"/>
    <w:link w:val="Titre1Car"/>
    <w:uiPriority w:val="35"/>
    <w:qFormat/>
    <w:rsid w:val="00B04AC9"/>
    <w:pPr>
      <w:keepNext/>
      <w:keepLines/>
      <w:numPr>
        <w:numId w:val="1"/>
      </w:numPr>
      <w:spacing w:before="360" w:after="120"/>
      <w:jc w:val="left"/>
      <w:outlineLvl w:val="0"/>
    </w:pPr>
    <w:rPr>
      <w:rFonts w:eastAsiaTheme="majorEastAsia" w:cstheme="majorBidi"/>
      <w:b/>
      <w:bCs/>
      <w:caps/>
      <w:color w:val="4472C4" w:themeColor="accent1"/>
      <w:sz w:val="28"/>
      <w:szCs w:val="28"/>
    </w:rPr>
  </w:style>
  <w:style w:type="paragraph" w:styleId="Titre2">
    <w:name w:val="heading 2"/>
    <w:basedOn w:val="Normal"/>
    <w:next w:val="Normal"/>
    <w:link w:val="Titre2Car"/>
    <w:uiPriority w:val="35"/>
    <w:unhideWhenUsed/>
    <w:qFormat/>
    <w:rsid w:val="00B04AC9"/>
    <w:pPr>
      <w:keepNext/>
      <w:keepLines/>
      <w:numPr>
        <w:ilvl w:val="1"/>
        <w:numId w:val="1"/>
      </w:numPr>
      <w:tabs>
        <w:tab w:val="left" w:pos="1134"/>
      </w:tabs>
      <w:spacing w:before="240" w:after="120"/>
      <w:jc w:val="left"/>
      <w:outlineLvl w:val="1"/>
    </w:pPr>
    <w:rPr>
      <w:rFonts w:eastAsiaTheme="majorEastAsia" w:cstheme="majorBidi"/>
      <w:b/>
      <w:bCs/>
      <w:smallCaps/>
      <w:color w:val="4472C4" w:themeColor="accent1"/>
      <w:sz w:val="26"/>
      <w:szCs w:val="26"/>
    </w:rPr>
  </w:style>
  <w:style w:type="paragraph" w:styleId="Titre3">
    <w:name w:val="heading 3"/>
    <w:basedOn w:val="Normal"/>
    <w:next w:val="Normal"/>
    <w:link w:val="Titre3Car"/>
    <w:uiPriority w:val="35"/>
    <w:unhideWhenUsed/>
    <w:qFormat/>
    <w:rsid w:val="00B04AC9"/>
    <w:pPr>
      <w:keepNext/>
      <w:keepLines/>
      <w:numPr>
        <w:ilvl w:val="2"/>
        <w:numId w:val="1"/>
      </w:numPr>
      <w:spacing w:before="240"/>
      <w:jc w:val="left"/>
      <w:outlineLvl w:val="2"/>
    </w:pPr>
    <w:rPr>
      <w:rFonts w:eastAsiaTheme="majorEastAsia" w:cstheme="majorBidi"/>
      <w:bCs/>
      <w:color w:val="4472C4" w:themeColor="accent1"/>
    </w:rPr>
  </w:style>
  <w:style w:type="paragraph" w:styleId="Titre4">
    <w:name w:val="heading 4"/>
    <w:basedOn w:val="Normal"/>
    <w:next w:val="Normal"/>
    <w:link w:val="Titre4Car"/>
    <w:uiPriority w:val="35"/>
    <w:unhideWhenUsed/>
    <w:qFormat/>
    <w:rsid w:val="00B04AC9"/>
    <w:pPr>
      <w:keepNext/>
      <w:keepLines/>
      <w:numPr>
        <w:ilvl w:val="3"/>
        <w:numId w:val="1"/>
      </w:numPr>
      <w:spacing w:before="200"/>
      <w:jc w:val="left"/>
      <w:outlineLvl w:val="3"/>
    </w:pPr>
    <w:rPr>
      <w:rFonts w:eastAsiaTheme="majorEastAsia" w:cstheme="majorBidi"/>
      <w:bCs/>
      <w:i/>
      <w:iCs/>
      <w:color w:val="4472C4" w:themeColor="accent1"/>
    </w:rPr>
  </w:style>
  <w:style w:type="paragraph" w:styleId="Titre5">
    <w:name w:val="heading 5"/>
    <w:basedOn w:val="Normal"/>
    <w:next w:val="Normal"/>
    <w:link w:val="Titre5Car"/>
    <w:uiPriority w:val="35"/>
    <w:unhideWhenUsed/>
    <w:qFormat/>
    <w:rsid w:val="00B04AC9"/>
    <w:pPr>
      <w:keepNext/>
      <w:keepLines/>
      <w:numPr>
        <w:ilvl w:val="4"/>
        <w:numId w:val="1"/>
      </w:numPr>
      <w:spacing w:before="200"/>
      <w:outlineLvl w:val="4"/>
    </w:pPr>
    <w:rPr>
      <w:rFonts w:eastAsiaTheme="majorEastAsia" w:cstheme="majorBidi"/>
      <w:color w:val="1F3763"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04AC9"/>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B04AC9"/>
    <w:rPr>
      <w:rFonts w:ascii="Segoe UI" w:hAnsi="Segoe UI" w:cs="Segoe UI"/>
      <w:sz w:val="18"/>
      <w:szCs w:val="18"/>
    </w:rPr>
  </w:style>
  <w:style w:type="paragraph" w:styleId="Notedebasdepage">
    <w:name w:val="footnote text"/>
    <w:basedOn w:val="Normal"/>
    <w:link w:val="NotedebasdepageCar"/>
    <w:uiPriority w:val="99"/>
    <w:rsid w:val="00B04AC9"/>
    <w:pPr>
      <w:spacing w:after="0"/>
    </w:pPr>
    <w:rPr>
      <w:sz w:val="20"/>
      <w:szCs w:val="20"/>
    </w:rPr>
  </w:style>
  <w:style w:type="character" w:customStyle="1" w:styleId="NotedebasdepageCar">
    <w:name w:val="Note de bas de page Car"/>
    <w:basedOn w:val="Policepardfaut"/>
    <w:link w:val="Notedebasdepage"/>
    <w:uiPriority w:val="99"/>
    <w:rsid w:val="00B04AC9"/>
    <w:rPr>
      <w:sz w:val="20"/>
      <w:szCs w:val="20"/>
    </w:rPr>
  </w:style>
  <w:style w:type="character" w:styleId="Appelnotedebasdep">
    <w:name w:val="footnote reference"/>
    <w:basedOn w:val="Policepardfaut"/>
    <w:uiPriority w:val="99"/>
    <w:unhideWhenUsed/>
    <w:rsid w:val="00B04AC9"/>
    <w:rPr>
      <w:color w:val="ED7D31" w:themeColor="accent2"/>
      <w:vertAlign w:val="superscript"/>
    </w:rPr>
  </w:style>
  <w:style w:type="character" w:styleId="Marquedecommentaire">
    <w:name w:val="annotation reference"/>
    <w:basedOn w:val="Policepardfaut"/>
    <w:uiPriority w:val="99"/>
    <w:unhideWhenUsed/>
    <w:rsid w:val="00B04AC9"/>
    <w:rPr>
      <w:sz w:val="16"/>
      <w:szCs w:val="16"/>
    </w:rPr>
  </w:style>
  <w:style w:type="paragraph" w:styleId="Commentaire">
    <w:name w:val="annotation text"/>
    <w:basedOn w:val="Normal"/>
    <w:link w:val="CommentaireCar"/>
    <w:uiPriority w:val="99"/>
    <w:semiHidden/>
    <w:unhideWhenUsed/>
    <w:rsid w:val="00B04AC9"/>
    <w:pPr>
      <w:spacing w:before="0" w:after="200"/>
      <w:jc w:val="left"/>
    </w:pPr>
    <w:rPr>
      <w:sz w:val="20"/>
      <w:szCs w:val="20"/>
    </w:rPr>
  </w:style>
  <w:style w:type="character" w:customStyle="1" w:styleId="CommentaireCar">
    <w:name w:val="Commentaire Car"/>
    <w:basedOn w:val="Policepardfaut"/>
    <w:link w:val="Commentaire"/>
    <w:uiPriority w:val="99"/>
    <w:semiHidden/>
    <w:rsid w:val="00B04AC9"/>
    <w:rPr>
      <w:sz w:val="20"/>
      <w:szCs w:val="20"/>
    </w:rPr>
  </w:style>
  <w:style w:type="character" w:customStyle="1" w:styleId="Titre1Car">
    <w:name w:val="Titre 1 Car"/>
    <w:basedOn w:val="Policepardfaut"/>
    <w:link w:val="Titre1"/>
    <w:uiPriority w:val="35"/>
    <w:rsid w:val="00B04AC9"/>
    <w:rPr>
      <w:rFonts w:eastAsiaTheme="majorEastAsia" w:cstheme="majorBidi"/>
      <w:b/>
      <w:bCs/>
      <w:caps/>
      <w:color w:val="4472C4" w:themeColor="accent1"/>
      <w:sz w:val="28"/>
      <w:szCs w:val="28"/>
    </w:rPr>
  </w:style>
  <w:style w:type="character" w:customStyle="1" w:styleId="Titre2Car">
    <w:name w:val="Titre 2 Car"/>
    <w:basedOn w:val="Policepardfaut"/>
    <w:link w:val="Titre2"/>
    <w:uiPriority w:val="35"/>
    <w:rsid w:val="00B04AC9"/>
    <w:rPr>
      <w:rFonts w:eastAsiaTheme="majorEastAsia" w:cstheme="majorBidi"/>
      <w:b/>
      <w:bCs/>
      <w:smallCaps/>
      <w:color w:val="4472C4" w:themeColor="accent1"/>
      <w:sz w:val="26"/>
      <w:szCs w:val="26"/>
    </w:rPr>
  </w:style>
  <w:style w:type="character" w:customStyle="1" w:styleId="Titre3Car">
    <w:name w:val="Titre 3 Car"/>
    <w:basedOn w:val="Policepardfaut"/>
    <w:link w:val="Titre3"/>
    <w:uiPriority w:val="35"/>
    <w:rsid w:val="00B04AC9"/>
    <w:rPr>
      <w:rFonts w:eastAsiaTheme="majorEastAsia" w:cstheme="majorBidi"/>
      <w:bCs/>
      <w:color w:val="4472C4" w:themeColor="accent1"/>
      <w:sz w:val="24"/>
    </w:rPr>
  </w:style>
  <w:style w:type="character" w:customStyle="1" w:styleId="Titre4Car">
    <w:name w:val="Titre 4 Car"/>
    <w:basedOn w:val="Policepardfaut"/>
    <w:link w:val="Titre4"/>
    <w:uiPriority w:val="35"/>
    <w:rsid w:val="00B04AC9"/>
    <w:rPr>
      <w:rFonts w:eastAsiaTheme="majorEastAsia" w:cstheme="majorBidi"/>
      <w:bCs/>
      <w:i/>
      <w:iCs/>
      <w:color w:val="4472C4" w:themeColor="accent1"/>
      <w:sz w:val="24"/>
    </w:rPr>
  </w:style>
  <w:style w:type="character" w:customStyle="1" w:styleId="Titre5Car">
    <w:name w:val="Titre 5 Car"/>
    <w:basedOn w:val="Policepardfaut"/>
    <w:link w:val="Titre5"/>
    <w:uiPriority w:val="35"/>
    <w:rsid w:val="00B04AC9"/>
    <w:rPr>
      <w:rFonts w:eastAsiaTheme="majorEastAsia" w:cstheme="majorBidi"/>
      <w:color w:val="1F3763" w:themeColor="accent1" w:themeShade="7F"/>
      <w:sz w:val="24"/>
    </w:rPr>
  </w:style>
  <w:style w:type="paragraph" w:customStyle="1" w:styleId="Titre-Recommandation">
    <w:name w:val="Titre-Recommandation"/>
    <w:next w:val="Texte-Recommandation"/>
    <w:link w:val="Titre-RecommandationCar"/>
    <w:uiPriority w:val="11"/>
    <w:qFormat/>
    <w:rsid w:val="00B04AC9"/>
    <w:pPr>
      <w:keepNext/>
      <w:numPr>
        <w:numId w:val="2"/>
      </w:numPr>
      <w:pBdr>
        <w:top w:val="single" w:sz="2" w:space="4" w:color="ED7D31" w:themeColor="accent2"/>
        <w:left w:val="single" w:sz="2" w:space="4" w:color="ED7D31" w:themeColor="accent2"/>
        <w:bottom w:val="single" w:sz="2" w:space="4" w:color="ED7D31" w:themeColor="accent2"/>
        <w:right w:val="single" w:sz="2" w:space="4" w:color="ED7D31" w:themeColor="accent2"/>
      </w:pBdr>
      <w:shd w:val="clear" w:color="auto" w:fill="ED7D31" w:themeFill="accent2"/>
      <w:spacing w:before="240" w:after="120" w:line="240" w:lineRule="auto"/>
      <w:ind w:right="113"/>
    </w:pPr>
    <w:rPr>
      <w:b/>
      <w:caps/>
      <w:color w:val="FFFFFF" w:themeColor="background1"/>
      <w:sz w:val="24"/>
    </w:rPr>
  </w:style>
  <w:style w:type="paragraph" w:customStyle="1" w:styleId="Texte-Recommandation">
    <w:name w:val="Texte-Recommandation"/>
    <w:basedOn w:val="Titre-Recommandation"/>
    <w:next w:val="Normal"/>
    <w:link w:val="Texte-RecommandationCar"/>
    <w:uiPriority w:val="12"/>
    <w:qFormat/>
    <w:rsid w:val="00B04AC9"/>
    <w:pPr>
      <w:numPr>
        <w:numId w:val="0"/>
      </w:numPr>
      <w:shd w:val="clear" w:color="auto" w:fill="FFFFFF" w:themeFill="background1"/>
      <w:spacing w:before="180"/>
      <w:ind w:left="113"/>
      <w:jc w:val="both"/>
    </w:pPr>
    <w:rPr>
      <w:b w:val="0"/>
      <w:caps w:val="0"/>
      <w:color w:val="auto"/>
    </w:rPr>
  </w:style>
  <w:style w:type="character" w:customStyle="1" w:styleId="Titre-RecommandationCar">
    <w:name w:val="Titre-Recommandation Car"/>
    <w:basedOn w:val="Policepardfaut"/>
    <w:link w:val="Titre-Recommandation"/>
    <w:uiPriority w:val="11"/>
    <w:rsid w:val="00B04AC9"/>
    <w:rPr>
      <w:b/>
      <w:caps/>
      <w:color w:val="FFFFFF" w:themeColor="background1"/>
      <w:sz w:val="24"/>
      <w:shd w:val="clear" w:color="auto" w:fill="ED7D31" w:themeFill="accent2"/>
    </w:rPr>
  </w:style>
  <w:style w:type="character" w:customStyle="1" w:styleId="Texte-RecommandationCar">
    <w:name w:val="Texte-Recommandation Car"/>
    <w:basedOn w:val="Policepardfaut"/>
    <w:link w:val="Texte-Recommandation"/>
    <w:uiPriority w:val="12"/>
    <w:rsid w:val="00B04AC9"/>
    <w:rPr>
      <w:sz w:val="24"/>
      <w:shd w:val="clear" w:color="auto" w:fill="FFFFFF" w:themeFill="background1"/>
    </w:rPr>
  </w:style>
  <w:style w:type="paragraph" w:customStyle="1" w:styleId="Default">
    <w:name w:val="Default"/>
    <w:rsid w:val="00B04AC9"/>
    <w:pPr>
      <w:autoSpaceDE w:val="0"/>
      <w:autoSpaceDN w:val="0"/>
      <w:adjustRightInd w:val="0"/>
      <w:spacing w:after="0" w:line="240" w:lineRule="auto"/>
    </w:pPr>
    <w:rPr>
      <w:rFonts w:ascii="Times New Roman" w:hAnsi="Times New Roman" w:cs="Times New Roman"/>
      <w:color w:val="000000"/>
      <w:sz w:val="24"/>
      <w:szCs w:val="24"/>
    </w:rPr>
  </w:style>
  <w:style w:type="paragraph" w:styleId="Paragraphedeliste">
    <w:name w:val="List Paragraph"/>
    <w:basedOn w:val="Normal"/>
    <w:uiPriority w:val="34"/>
    <w:qFormat/>
    <w:rsid w:val="004B5186"/>
    <w:pPr>
      <w:spacing w:before="0" w:after="200" w:line="276" w:lineRule="auto"/>
      <w:ind w:left="720"/>
      <w:contextualSpacing/>
      <w:jc w:val="left"/>
    </w:pPr>
    <w:rPr>
      <w:sz w:val="22"/>
    </w:rPr>
  </w:style>
  <w:style w:type="paragraph" w:styleId="Titre">
    <w:name w:val="Title"/>
    <w:next w:val="Normal"/>
    <w:link w:val="TitreCar"/>
    <w:uiPriority w:val="77"/>
    <w:qFormat/>
    <w:rsid w:val="00BB5CEA"/>
    <w:pPr>
      <w:pageBreakBefore/>
      <w:spacing w:after="200" w:line="276" w:lineRule="auto"/>
      <w:jc w:val="center"/>
    </w:pPr>
    <w:rPr>
      <w:rFonts w:eastAsiaTheme="majorEastAsia" w:cstheme="majorBidi"/>
      <w:b/>
      <w:bCs/>
      <w:caps/>
      <w:color w:val="4472C4" w:themeColor="accent1"/>
      <w:sz w:val="28"/>
      <w:szCs w:val="28"/>
    </w:rPr>
  </w:style>
  <w:style w:type="character" w:customStyle="1" w:styleId="TitreCar">
    <w:name w:val="Titre Car"/>
    <w:basedOn w:val="Policepardfaut"/>
    <w:link w:val="Titre"/>
    <w:uiPriority w:val="77"/>
    <w:rsid w:val="00BB5CEA"/>
    <w:rPr>
      <w:rFonts w:eastAsiaTheme="majorEastAsia" w:cstheme="majorBidi"/>
      <w:b/>
      <w:bCs/>
      <w:caps/>
      <w:color w:val="4472C4" w:themeColor="accent1"/>
      <w:sz w:val="28"/>
      <w:szCs w:val="28"/>
    </w:rPr>
  </w:style>
  <w:style w:type="paragraph" w:customStyle="1" w:styleId="achet">
    <w:name w:val="acheté"/>
    <w:basedOn w:val="Normal"/>
    <w:link w:val="achetCar"/>
    <w:qFormat/>
    <w:rsid w:val="00BB5CEA"/>
  </w:style>
  <w:style w:type="character" w:customStyle="1" w:styleId="achetCar">
    <w:name w:val="acheté Car"/>
    <w:basedOn w:val="Policepardfaut"/>
    <w:link w:val="achet"/>
    <w:rsid w:val="00BB5CEA"/>
    <w:rPr>
      <w:sz w:val="24"/>
    </w:rPr>
  </w:style>
  <w:style w:type="paragraph" w:styleId="NormalWeb">
    <w:name w:val="Normal (Web)"/>
    <w:basedOn w:val="Normal"/>
    <w:uiPriority w:val="99"/>
    <w:semiHidden/>
    <w:unhideWhenUsed/>
    <w:rsid w:val="00161963"/>
    <w:pPr>
      <w:spacing w:before="100" w:beforeAutospacing="1" w:after="100" w:afterAutospacing="1"/>
      <w:jc w:val="left"/>
    </w:pPr>
    <w:rPr>
      <w:rFonts w:ascii="Times New Roman" w:eastAsia="Times New Roman" w:hAnsi="Times New Roman" w:cs="Times New Roman"/>
      <w:szCs w:val="24"/>
      <w:lang w:eastAsia="fr-FR"/>
    </w:rPr>
  </w:style>
  <w:style w:type="character" w:customStyle="1" w:styleId="ParagraphestandardCar">
    <w:name w:val="Paragraphe standard Car"/>
    <w:basedOn w:val="Policepardfaut"/>
    <w:link w:val="Paragraphestandard"/>
    <w:locked/>
    <w:rsid w:val="00E8311A"/>
    <w:rPr>
      <w:sz w:val="24"/>
    </w:rPr>
  </w:style>
  <w:style w:type="paragraph" w:customStyle="1" w:styleId="Paragraphestandard">
    <w:name w:val="Paragraphe standard"/>
    <w:basedOn w:val="Normal"/>
    <w:link w:val="ParagraphestandardCar"/>
    <w:qFormat/>
    <w:rsid w:val="00E8311A"/>
    <w:pPr>
      <w:ind w:firstLine="426"/>
    </w:pPr>
  </w:style>
  <w:style w:type="character" w:customStyle="1" w:styleId="highlight">
    <w:name w:val="highlight"/>
    <w:basedOn w:val="Policepardfaut"/>
    <w:rsid w:val="00DA58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262763">
      <w:bodyDiv w:val="1"/>
      <w:marLeft w:val="0"/>
      <w:marRight w:val="0"/>
      <w:marTop w:val="0"/>
      <w:marBottom w:val="0"/>
      <w:divBdr>
        <w:top w:val="none" w:sz="0" w:space="0" w:color="auto"/>
        <w:left w:val="none" w:sz="0" w:space="0" w:color="auto"/>
        <w:bottom w:val="none" w:sz="0" w:space="0" w:color="auto"/>
        <w:right w:val="none" w:sz="0" w:space="0" w:color="auto"/>
      </w:divBdr>
    </w:div>
    <w:div w:id="1248029212">
      <w:bodyDiv w:val="1"/>
      <w:marLeft w:val="0"/>
      <w:marRight w:val="0"/>
      <w:marTop w:val="0"/>
      <w:marBottom w:val="0"/>
      <w:divBdr>
        <w:top w:val="none" w:sz="0" w:space="0" w:color="auto"/>
        <w:left w:val="none" w:sz="0" w:space="0" w:color="auto"/>
        <w:bottom w:val="none" w:sz="0" w:space="0" w:color="auto"/>
        <w:right w:val="none" w:sz="0" w:space="0" w:color="auto"/>
      </w:divBdr>
    </w:div>
    <w:div w:id="137789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circulaire.legifrance.gouv.fr/index.php?action=afficherCirculaire&amp;hit=1&amp;r=44012" TargetMode="External"/><Relationship Id="rId3" Type="http://schemas.openxmlformats.org/officeDocument/2006/relationships/hyperlink" Target="http://circulaire.legifrance.gouv.fr/index.php?action=afficherCirculaire&amp;hit=1&amp;r=44012" TargetMode="External"/><Relationship Id="rId7" Type="http://schemas.openxmlformats.org/officeDocument/2006/relationships/hyperlink" Target="http://circulaire.legifrance.gouv.fr/index.php?action=afficherCirculaire&amp;hit=1&amp;r=44012" TargetMode="External"/><Relationship Id="rId2" Type="http://schemas.openxmlformats.org/officeDocument/2006/relationships/hyperlink" Target="http://circulaire.legifrance.gouv.fr/index.php?action=afficherCirculaire&amp;hit=1&amp;r=44012" TargetMode="External"/><Relationship Id="rId1" Type="http://schemas.openxmlformats.org/officeDocument/2006/relationships/hyperlink" Target="http://circulaire.legifrance.gouv.fr/index.php?action=afficherCirculaire&amp;hit=1&amp;r=44012" TargetMode="External"/><Relationship Id="rId6" Type="http://schemas.openxmlformats.org/officeDocument/2006/relationships/hyperlink" Target="http://circulaire.legifrance.gouv.fr/index.php?action=afficherCirculaire&amp;hit=1&amp;r=44012" TargetMode="External"/><Relationship Id="rId5" Type="http://schemas.openxmlformats.org/officeDocument/2006/relationships/hyperlink" Target="http://circulaire.legifrance.gouv.fr/index.php?action=afficherCirculaire&amp;hit=1&amp;r=44012" TargetMode="External"/><Relationship Id="rId10" Type="http://schemas.openxmlformats.org/officeDocument/2006/relationships/hyperlink" Target="http://circulaire.legifrance.gouv.fr/index.php?action=afficherCirculaire&amp;hit=1&amp;r=44012" TargetMode="External"/><Relationship Id="rId4" Type="http://schemas.openxmlformats.org/officeDocument/2006/relationships/hyperlink" Target="http://circulaire.legifrance.gouv.fr/index.php?action=afficherCirculaire&amp;hit=1&amp;r=44012" TargetMode="External"/><Relationship Id="rId9" Type="http://schemas.openxmlformats.org/officeDocument/2006/relationships/hyperlink" Target="http://circulaire.legifrance.gouv.fr/index.php?action=afficherCirculaire&amp;hit=1&amp;r=4401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12317-D285-4560-9F3A-A876E646B69C}"/>
</file>

<file path=customXml/itemProps2.xml><?xml version="1.0" encoding="utf-8"?>
<ds:datastoreItem xmlns:ds="http://schemas.openxmlformats.org/officeDocument/2006/customXml" ds:itemID="{0AA7FCBB-46EE-41C0-B002-D5F5C9D0863E}">
  <ds:schemaRefs>
    <ds:schemaRef ds:uri="http://schemas.microsoft.com/office/2006/metadata/properties"/>
    <ds:schemaRef ds:uri="03a00658-a488-4dc8-adf7-46028bfee056"/>
    <ds:schemaRef ds:uri="http://schemas.microsoft.com/office/infopath/2007/PartnerControls"/>
    <ds:schemaRef ds:uri="http://schemas.microsoft.com/office/2006/documentManagement/types"/>
    <ds:schemaRef ds:uri="http://purl.org/dc/elements/1.1/"/>
    <ds:schemaRef ds:uri="http://www.w3.org/XML/1998/namespace"/>
    <ds:schemaRef ds:uri="http://purl.org/dc/term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8FE4A3C5-B725-475D-8725-CE1CC52A8950}">
  <ds:schemaRefs>
    <ds:schemaRef ds:uri="http://schemas.microsoft.com/sharepoint/v3/contenttype/forms"/>
  </ds:schemaRefs>
</ds:datastoreItem>
</file>

<file path=customXml/itemProps4.xml><?xml version="1.0" encoding="utf-8"?>
<ds:datastoreItem xmlns:ds="http://schemas.openxmlformats.org/officeDocument/2006/customXml" ds:itemID="{B4914B58-9D4E-4D07-B953-CE517C52A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2645</Words>
  <Characters>14550</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BONNET anne-sophie</dc:creator>
  <cp:keywords/>
  <dc:description/>
  <cp:lastModifiedBy>BONNET anne-sophie</cp:lastModifiedBy>
  <cp:revision>2</cp:revision>
  <dcterms:created xsi:type="dcterms:W3CDTF">2020-07-01T15:56:00Z</dcterms:created>
  <dcterms:modified xsi:type="dcterms:W3CDTF">2020-07-01T15:56:00Z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