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2BC52" w14:textId="77777777" w:rsidR="0037649B" w:rsidRPr="00771564" w:rsidRDefault="0037649B" w:rsidP="0038254D">
      <w:pPr>
        <w:jc w:val="both"/>
        <w:rPr>
          <w:rFonts w:cstheme="minorHAnsi"/>
          <w:sz w:val="24"/>
          <w:szCs w:val="24"/>
        </w:rPr>
      </w:pPr>
    </w:p>
    <w:p w14:paraId="3B6F72C7" w14:textId="77777777" w:rsidR="0037649B" w:rsidRPr="00771564" w:rsidRDefault="0037649B" w:rsidP="0038254D">
      <w:pPr>
        <w:jc w:val="both"/>
        <w:rPr>
          <w:rFonts w:cstheme="minorHAnsi"/>
          <w:sz w:val="24"/>
          <w:szCs w:val="24"/>
        </w:rPr>
      </w:pPr>
    </w:p>
    <w:p w14:paraId="3D92FFBB" w14:textId="77777777" w:rsidR="00586C6A" w:rsidRPr="00771564" w:rsidRDefault="008A516B" w:rsidP="00B4583D">
      <w:pPr>
        <w:jc w:val="center"/>
        <w:rPr>
          <w:rFonts w:cstheme="minorHAnsi"/>
          <w:sz w:val="24"/>
          <w:szCs w:val="24"/>
        </w:rPr>
      </w:pPr>
      <w:r w:rsidRPr="00771564">
        <w:rPr>
          <w:rFonts w:cstheme="minorHAnsi"/>
          <w:noProof/>
          <w:sz w:val="24"/>
          <w:szCs w:val="24"/>
          <w:lang w:eastAsia="en-GB"/>
        </w:rPr>
        <w:drawing>
          <wp:inline distT="0" distB="0" distL="0" distR="0" wp14:anchorId="24972A16" wp14:editId="563658EB">
            <wp:extent cx="2601153" cy="2289975"/>
            <wp:effectExtent l="0" t="0" r="8890" b="0"/>
            <wp:docPr id="1" name="Picture 1" descr="C:\Users\ADHRB Laptop\Dropbox (ADHRB)\Dropbox (ADHRB)\ADHRB Shared Drive\Administrative\Logos, Stock Images, Other templates\Logos\adhrb logo 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ADHRB Laptop\Dropbox (ADHRB)\Dropbox (ADHRB)\ADHRB Shared Drive\Administrative\Logos, Stock Images, Other templates\Logos\adhrb logo large.jpg"/>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2603177" cy="2291756"/>
                    </a:xfrm>
                    <a:prstGeom prst="rect">
                      <a:avLst/>
                    </a:prstGeom>
                    <a:noFill/>
                    <a:ln>
                      <a:noFill/>
                    </a:ln>
                  </pic:spPr>
                </pic:pic>
              </a:graphicData>
            </a:graphic>
          </wp:inline>
        </w:drawing>
      </w:r>
    </w:p>
    <w:p w14:paraId="4B696EB1" w14:textId="77777777" w:rsidR="0037649B" w:rsidRPr="00771564" w:rsidRDefault="0037649B" w:rsidP="0038254D">
      <w:pPr>
        <w:jc w:val="both"/>
        <w:rPr>
          <w:rFonts w:cstheme="minorHAnsi"/>
          <w:sz w:val="24"/>
          <w:szCs w:val="24"/>
        </w:rPr>
      </w:pPr>
    </w:p>
    <w:p w14:paraId="26C85A43" w14:textId="77777777" w:rsidR="0037649B" w:rsidRPr="00771564" w:rsidRDefault="008A516B" w:rsidP="0038254D">
      <w:pPr>
        <w:jc w:val="both"/>
        <w:rPr>
          <w:rFonts w:cstheme="minorHAnsi"/>
          <w:sz w:val="24"/>
          <w:szCs w:val="24"/>
        </w:rPr>
      </w:pPr>
      <w:r w:rsidRPr="00771564">
        <w:rPr>
          <w:rFonts w:cstheme="minorHAnsi"/>
          <w:sz w:val="24"/>
          <w:szCs w:val="24"/>
        </w:rPr>
        <w:t>Submission by Americans for Democracy &amp; Human Rights in Bahrain (ADHRB)</w:t>
      </w:r>
    </w:p>
    <w:p w14:paraId="6F3B8DA2" w14:textId="77777777" w:rsidR="0037649B" w:rsidRPr="00771564" w:rsidRDefault="008A516B" w:rsidP="0038254D">
      <w:pPr>
        <w:jc w:val="both"/>
        <w:rPr>
          <w:rFonts w:cstheme="minorHAnsi"/>
          <w:sz w:val="24"/>
          <w:szCs w:val="24"/>
        </w:rPr>
      </w:pPr>
      <w:r w:rsidRPr="00771564">
        <w:rPr>
          <w:rFonts w:cstheme="minorHAnsi"/>
          <w:sz w:val="24"/>
          <w:szCs w:val="24"/>
        </w:rPr>
        <w:t>NGO in General Consultative Status with ECOSOC</w:t>
      </w:r>
    </w:p>
    <w:p w14:paraId="5AB58320" w14:textId="77777777" w:rsidR="0037649B" w:rsidRPr="00771564" w:rsidRDefault="0037649B" w:rsidP="0038254D">
      <w:pPr>
        <w:jc w:val="both"/>
        <w:rPr>
          <w:rFonts w:cstheme="minorHAnsi"/>
          <w:sz w:val="24"/>
          <w:szCs w:val="24"/>
        </w:rPr>
      </w:pPr>
    </w:p>
    <w:p w14:paraId="00744576" w14:textId="77777777" w:rsidR="0037649B" w:rsidRPr="00771564" w:rsidRDefault="008A516B" w:rsidP="0038254D">
      <w:pPr>
        <w:jc w:val="both"/>
        <w:rPr>
          <w:rFonts w:cstheme="minorHAnsi"/>
          <w:sz w:val="24"/>
          <w:szCs w:val="24"/>
        </w:rPr>
      </w:pPr>
      <w:r w:rsidRPr="00771564">
        <w:rPr>
          <w:rFonts w:cstheme="minorHAnsi"/>
          <w:sz w:val="24"/>
          <w:szCs w:val="24"/>
        </w:rPr>
        <w:t xml:space="preserve">To the UN Committee on the Rights of Persons with Disabilities concerning the State of Bahrain’s fidelity to the </w:t>
      </w:r>
      <w:r w:rsidRPr="00771564">
        <w:rPr>
          <w:rFonts w:cstheme="minorHAnsi"/>
          <w:sz w:val="24"/>
          <w:szCs w:val="24"/>
        </w:rPr>
        <w:t>Convention on the Rights of Persons with Disabilities</w:t>
      </w:r>
    </w:p>
    <w:p w14:paraId="07996363" w14:textId="77777777" w:rsidR="0037649B" w:rsidRPr="00771564" w:rsidRDefault="0037649B" w:rsidP="0038254D">
      <w:pPr>
        <w:jc w:val="both"/>
        <w:rPr>
          <w:rFonts w:cstheme="minorHAnsi"/>
          <w:sz w:val="24"/>
          <w:szCs w:val="24"/>
        </w:rPr>
      </w:pPr>
    </w:p>
    <w:p w14:paraId="22868431" w14:textId="77777777" w:rsidR="0037649B" w:rsidRPr="00771564" w:rsidRDefault="008A516B" w:rsidP="0038254D">
      <w:pPr>
        <w:jc w:val="both"/>
        <w:rPr>
          <w:rFonts w:cstheme="minorHAnsi"/>
          <w:sz w:val="24"/>
          <w:szCs w:val="24"/>
        </w:rPr>
      </w:pPr>
      <w:r w:rsidRPr="00771564">
        <w:rPr>
          <w:rFonts w:cstheme="minorHAnsi"/>
          <w:sz w:val="24"/>
          <w:szCs w:val="24"/>
        </w:rPr>
        <w:t>Session of the CRPD Committee</w:t>
      </w:r>
    </w:p>
    <w:p w14:paraId="6117BC22" w14:textId="43ACD50C" w:rsidR="0037649B" w:rsidRPr="00771564" w:rsidRDefault="008A516B" w:rsidP="0038254D">
      <w:pPr>
        <w:jc w:val="both"/>
        <w:rPr>
          <w:rFonts w:cstheme="minorHAnsi"/>
          <w:sz w:val="24"/>
          <w:szCs w:val="24"/>
        </w:rPr>
      </w:pPr>
      <w:r w:rsidRPr="00771564">
        <w:rPr>
          <w:rFonts w:cstheme="minorHAnsi"/>
          <w:bCs/>
          <w:sz w:val="24"/>
          <w:szCs w:val="24"/>
        </w:rPr>
        <w:t>Americans for Democracy &amp; Human Rights in Bahrain</w:t>
      </w:r>
    </w:p>
    <w:p w14:paraId="66995976" w14:textId="77777777" w:rsidR="0037649B" w:rsidRPr="00771564" w:rsidRDefault="0037649B" w:rsidP="0038254D">
      <w:pPr>
        <w:jc w:val="both"/>
        <w:rPr>
          <w:rFonts w:cstheme="minorHAnsi"/>
          <w:sz w:val="24"/>
          <w:szCs w:val="24"/>
        </w:rPr>
      </w:pPr>
    </w:p>
    <w:p w14:paraId="240A0066" w14:textId="77777777" w:rsidR="0037649B" w:rsidRPr="00771564" w:rsidRDefault="008A516B" w:rsidP="0038254D">
      <w:pPr>
        <w:jc w:val="both"/>
        <w:rPr>
          <w:rFonts w:cstheme="minorHAnsi"/>
          <w:sz w:val="24"/>
          <w:szCs w:val="24"/>
        </w:rPr>
      </w:pPr>
      <w:r w:rsidRPr="00771564">
        <w:rPr>
          <w:rFonts w:cstheme="minorHAnsi"/>
          <w:sz w:val="24"/>
          <w:szCs w:val="24"/>
        </w:rPr>
        <w:t>Husain Abdulla</w:t>
      </w:r>
    </w:p>
    <w:p w14:paraId="2EBE1E8D" w14:textId="77777777" w:rsidR="0037649B" w:rsidRPr="00771564" w:rsidRDefault="008A516B" w:rsidP="0038254D">
      <w:pPr>
        <w:jc w:val="both"/>
        <w:rPr>
          <w:rFonts w:cstheme="minorHAnsi"/>
          <w:sz w:val="24"/>
          <w:szCs w:val="24"/>
        </w:rPr>
      </w:pPr>
      <w:r w:rsidRPr="00771564">
        <w:rPr>
          <w:rFonts w:cstheme="minorHAnsi"/>
          <w:sz w:val="24"/>
          <w:szCs w:val="24"/>
        </w:rPr>
        <w:t>Email: habdulla@adhrb.org</w:t>
      </w:r>
    </w:p>
    <w:p w14:paraId="4EA6C45D" w14:textId="77777777" w:rsidR="0037649B" w:rsidRPr="00771564" w:rsidRDefault="008A516B" w:rsidP="0038254D">
      <w:pPr>
        <w:jc w:val="both"/>
        <w:rPr>
          <w:rFonts w:cstheme="minorHAnsi"/>
          <w:sz w:val="24"/>
          <w:szCs w:val="24"/>
        </w:rPr>
      </w:pPr>
      <w:r w:rsidRPr="00771564">
        <w:rPr>
          <w:rFonts w:cstheme="minorHAnsi"/>
          <w:sz w:val="24"/>
          <w:szCs w:val="24"/>
        </w:rPr>
        <w:t>Tel: +001 (202) 621-6141Web:</w:t>
      </w:r>
      <w:hyperlink r:id="rId6">
        <w:r w:rsidRPr="00771564">
          <w:rPr>
            <w:rFonts w:cstheme="minorHAnsi"/>
            <w:sz w:val="24"/>
            <w:szCs w:val="24"/>
          </w:rPr>
          <w:t xml:space="preserve"> </w:t>
        </w:r>
      </w:hyperlink>
      <w:r w:rsidRPr="00771564">
        <w:rPr>
          <w:rFonts w:cstheme="minorHAnsi"/>
          <w:color w:val="1155CC"/>
          <w:sz w:val="24"/>
          <w:szCs w:val="24"/>
          <w:u w:val="single"/>
        </w:rPr>
        <w:t>www.adhrb.org</w:t>
      </w:r>
    </w:p>
    <w:p w14:paraId="6EC80603" w14:textId="77777777" w:rsidR="00EF5DF7" w:rsidRPr="00771564" w:rsidRDefault="008A516B" w:rsidP="0038254D">
      <w:pPr>
        <w:pStyle w:val="Heading2"/>
        <w:jc w:val="both"/>
        <w:rPr>
          <w:rFonts w:asciiTheme="minorHAnsi" w:hAnsiTheme="minorHAnsi" w:cstheme="minorHAnsi"/>
          <w:b/>
          <w:bCs/>
          <w:color w:val="auto"/>
          <w:sz w:val="24"/>
          <w:szCs w:val="24"/>
        </w:rPr>
      </w:pPr>
      <w:r w:rsidRPr="00771564">
        <w:rPr>
          <w:rFonts w:asciiTheme="minorHAnsi" w:hAnsiTheme="minorHAnsi" w:cstheme="minorHAnsi"/>
          <w:b/>
          <w:bCs/>
          <w:color w:val="auto"/>
          <w:sz w:val="24"/>
          <w:szCs w:val="24"/>
        </w:rPr>
        <w:t>Acronyms</w:t>
      </w:r>
    </w:p>
    <w:p w14:paraId="0A9BA651" w14:textId="77777777" w:rsidR="00EF5DF7" w:rsidRPr="00771564" w:rsidRDefault="00EF5DF7" w:rsidP="0038254D">
      <w:pPr>
        <w:jc w:val="both"/>
        <w:rPr>
          <w:rFonts w:cstheme="minorHAnsi"/>
          <w:sz w:val="24"/>
          <w:szCs w:val="24"/>
        </w:rPr>
      </w:pPr>
    </w:p>
    <w:p w14:paraId="10482368" w14:textId="77777777" w:rsidR="00EF5DF7" w:rsidRPr="00771564" w:rsidRDefault="008A516B" w:rsidP="0038254D">
      <w:pPr>
        <w:jc w:val="both"/>
        <w:rPr>
          <w:rFonts w:cstheme="minorHAnsi"/>
          <w:sz w:val="24"/>
          <w:szCs w:val="24"/>
        </w:rPr>
      </w:pPr>
      <w:r w:rsidRPr="00771564">
        <w:rPr>
          <w:rFonts w:cstheme="minorHAnsi"/>
          <w:sz w:val="24"/>
          <w:szCs w:val="24"/>
        </w:rPr>
        <w:t>ADHRB – Americans for Democracy and Human Rights in Bahrain</w:t>
      </w:r>
    </w:p>
    <w:p w14:paraId="3A83062D" w14:textId="77777777" w:rsidR="00565C11" w:rsidRPr="00771564" w:rsidRDefault="008A516B" w:rsidP="0038254D">
      <w:pPr>
        <w:jc w:val="both"/>
        <w:rPr>
          <w:rFonts w:cstheme="minorHAnsi"/>
          <w:sz w:val="24"/>
          <w:szCs w:val="24"/>
        </w:rPr>
      </w:pPr>
      <w:r w:rsidRPr="00771564">
        <w:rPr>
          <w:rFonts w:cstheme="minorHAnsi"/>
          <w:sz w:val="24"/>
          <w:szCs w:val="24"/>
        </w:rPr>
        <w:t>CRPD – Convention on the Right of Persons with Disabilities</w:t>
      </w:r>
    </w:p>
    <w:p w14:paraId="4F90CB6E" w14:textId="77777777" w:rsidR="00EF5DF7" w:rsidRPr="00771564" w:rsidRDefault="008A516B" w:rsidP="0038254D">
      <w:pPr>
        <w:jc w:val="both"/>
        <w:rPr>
          <w:rFonts w:cstheme="minorHAnsi"/>
          <w:sz w:val="24"/>
          <w:szCs w:val="24"/>
        </w:rPr>
      </w:pPr>
      <w:r w:rsidRPr="00771564">
        <w:rPr>
          <w:rFonts w:cstheme="minorHAnsi"/>
          <w:sz w:val="24"/>
          <w:szCs w:val="24"/>
        </w:rPr>
        <w:t>UNGA – United Nations General Assembly</w:t>
      </w:r>
    </w:p>
    <w:p w14:paraId="413315E4" w14:textId="77777777" w:rsidR="00771564" w:rsidRDefault="00771564" w:rsidP="0038254D">
      <w:pPr>
        <w:pStyle w:val="Heading2"/>
        <w:jc w:val="both"/>
        <w:rPr>
          <w:rFonts w:asciiTheme="minorHAnsi" w:hAnsiTheme="minorHAnsi" w:cstheme="minorHAnsi"/>
          <w:b/>
          <w:bCs/>
          <w:color w:val="auto"/>
          <w:sz w:val="24"/>
          <w:szCs w:val="24"/>
        </w:rPr>
      </w:pPr>
    </w:p>
    <w:p w14:paraId="09721728" w14:textId="77777777" w:rsidR="00771564" w:rsidRDefault="00771564" w:rsidP="0038254D">
      <w:pPr>
        <w:pStyle w:val="Heading2"/>
        <w:jc w:val="both"/>
        <w:rPr>
          <w:rFonts w:asciiTheme="minorHAnsi" w:hAnsiTheme="minorHAnsi" w:cstheme="minorHAnsi"/>
          <w:b/>
          <w:bCs/>
          <w:color w:val="auto"/>
          <w:sz w:val="24"/>
          <w:szCs w:val="24"/>
        </w:rPr>
      </w:pPr>
    </w:p>
    <w:p w14:paraId="00D92810" w14:textId="5FDBAC69" w:rsidR="0037649B" w:rsidRPr="00771564" w:rsidRDefault="008A516B" w:rsidP="0038254D">
      <w:pPr>
        <w:pStyle w:val="Heading2"/>
        <w:jc w:val="both"/>
        <w:rPr>
          <w:rFonts w:asciiTheme="minorHAnsi" w:hAnsiTheme="minorHAnsi" w:cstheme="minorHAnsi"/>
          <w:b/>
          <w:bCs/>
          <w:color w:val="auto"/>
          <w:sz w:val="24"/>
          <w:szCs w:val="24"/>
        </w:rPr>
      </w:pPr>
      <w:r w:rsidRPr="00771564">
        <w:rPr>
          <w:rFonts w:asciiTheme="minorHAnsi" w:hAnsiTheme="minorHAnsi" w:cstheme="minorHAnsi"/>
          <w:b/>
          <w:bCs/>
          <w:color w:val="auto"/>
          <w:sz w:val="24"/>
          <w:szCs w:val="24"/>
        </w:rPr>
        <w:t>Introduction</w:t>
      </w:r>
    </w:p>
    <w:p w14:paraId="25E28CE9" w14:textId="77777777" w:rsidR="00974F73" w:rsidRPr="00771564" w:rsidRDefault="00974F73" w:rsidP="0038254D">
      <w:pPr>
        <w:jc w:val="both"/>
        <w:rPr>
          <w:rFonts w:cstheme="minorHAnsi"/>
          <w:sz w:val="24"/>
          <w:szCs w:val="24"/>
        </w:rPr>
      </w:pPr>
    </w:p>
    <w:p w14:paraId="7F4488BB" w14:textId="77777777" w:rsidR="000E4E5B" w:rsidRPr="00771564" w:rsidRDefault="008A516B" w:rsidP="0038254D">
      <w:pPr>
        <w:jc w:val="both"/>
        <w:rPr>
          <w:rFonts w:cstheme="minorHAnsi"/>
          <w:sz w:val="24"/>
          <w:szCs w:val="24"/>
        </w:rPr>
      </w:pPr>
      <w:r w:rsidRPr="00771564">
        <w:rPr>
          <w:rFonts w:cstheme="minorHAnsi"/>
          <w:sz w:val="24"/>
          <w:szCs w:val="24"/>
        </w:rPr>
        <w:t>In December 2006, the United Nations General Assembly (UNGA) promulgated the United Nations Convention on the Rights of Persons with Disabilities. Subsequently, in 2007, Bahrain decided to sign the Convention. In the latest periodic report (2017), Bahrain,</w:t>
      </w:r>
      <w:r w:rsidRPr="00771564">
        <w:rPr>
          <w:rFonts w:cstheme="minorHAnsi"/>
          <w:sz w:val="24"/>
          <w:szCs w:val="24"/>
        </w:rPr>
        <w:t xml:space="preserve"> referring to the General Census of Population and Housing conducted in 1991, </w:t>
      </w:r>
      <w:r w:rsidR="00724573" w:rsidRPr="00771564">
        <w:rPr>
          <w:rFonts w:cstheme="minorHAnsi"/>
          <w:sz w:val="24"/>
          <w:szCs w:val="24"/>
        </w:rPr>
        <w:t>calculated 4,114 persons with disabilities. However, according to the latest census of August 2016, this number has increased to 10,712.</w:t>
      </w:r>
      <w:r w:rsidR="004C4CB7" w:rsidRPr="00771564">
        <w:rPr>
          <w:rFonts w:cstheme="minorHAnsi"/>
          <w:sz w:val="24"/>
          <w:szCs w:val="24"/>
        </w:rPr>
        <w:t xml:space="preserve"> After the ratification of the Convention, Bahrain issued new laws and decisions to protect the rights of persons with disabilities. Notably, Act No. 74 (2006) regulated the welfare and employment of persons with disabilities.</w:t>
      </w:r>
      <w:r w:rsidR="00F36740" w:rsidRPr="00771564">
        <w:rPr>
          <w:rFonts w:cstheme="minorHAnsi"/>
          <w:sz w:val="24"/>
          <w:szCs w:val="24"/>
        </w:rPr>
        <w:t xml:space="preserve"> At the governance level, the High Commission for the Welfare of Persons with Disabilities represents the national coordination mechanism since 2007. </w:t>
      </w:r>
    </w:p>
    <w:p w14:paraId="033E5B38" w14:textId="77777777" w:rsidR="00031FDF" w:rsidRPr="00771564" w:rsidRDefault="008A516B" w:rsidP="0038254D">
      <w:pPr>
        <w:pStyle w:val="Heading2"/>
        <w:jc w:val="both"/>
        <w:rPr>
          <w:rFonts w:asciiTheme="minorHAnsi" w:hAnsiTheme="minorHAnsi" w:cstheme="minorHAnsi"/>
          <w:b/>
          <w:bCs/>
          <w:color w:val="auto"/>
          <w:sz w:val="24"/>
          <w:szCs w:val="24"/>
        </w:rPr>
      </w:pPr>
      <w:r w:rsidRPr="00771564">
        <w:rPr>
          <w:rFonts w:asciiTheme="minorHAnsi" w:hAnsiTheme="minorHAnsi" w:cstheme="minorHAnsi"/>
          <w:b/>
          <w:bCs/>
          <w:color w:val="auto"/>
          <w:sz w:val="24"/>
          <w:szCs w:val="24"/>
        </w:rPr>
        <w:t>Summary</w:t>
      </w:r>
    </w:p>
    <w:p w14:paraId="0A3E3728" w14:textId="77777777" w:rsidR="00683B54" w:rsidRPr="00771564" w:rsidRDefault="00683B54" w:rsidP="0038254D">
      <w:pPr>
        <w:jc w:val="both"/>
        <w:rPr>
          <w:rFonts w:cstheme="minorHAnsi"/>
          <w:sz w:val="24"/>
          <w:szCs w:val="24"/>
        </w:rPr>
      </w:pPr>
    </w:p>
    <w:p w14:paraId="0FD6BBC6" w14:textId="77777777" w:rsidR="000D082B" w:rsidRPr="00771564" w:rsidRDefault="008A516B" w:rsidP="0038254D">
      <w:pPr>
        <w:jc w:val="both"/>
        <w:rPr>
          <w:rFonts w:cstheme="minorHAnsi"/>
          <w:sz w:val="24"/>
          <w:szCs w:val="24"/>
        </w:rPr>
      </w:pPr>
      <w:r w:rsidRPr="00771564">
        <w:rPr>
          <w:rFonts w:cstheme="minorHAnsi"/>
          <w:sz w:val="24"/>
          <w:szCs w:val="24"/>
        </w:rPr>
        <w:t xml:space="preserve">The overview of the condition of persons with disabilities in Bahrain is concerning. After </w:t>
      </w:r>
      <w:proofErr w:type="spellStart"/>
      <w:r w:rsidRPr="00771564">
        <w:rPr>
          <w:rFonts w:cstheme="minorHAnsi"/>
          <w:sz w:val="24"/>
          <w:szCs w:val="24"/>
        </w:rPr>
        <w:t>analyzing</w:t>
      </w:r>
      <w:proofErr w:type="spellEnd"/>
      <w:r w:rsidRPr="00771564">
        <w:rPr>
          <w:rFonts w:cstheme="minorHAnsi"/>
          <w:sz w:val="24"/>
          <w:szCs w:val="24"/>
        </w:rPr>
        <w:t xml:space="preserve"> policies and laws, ADHRB has found different problems.</w:t>
      </w:r>
      <w:r w:rsidR="007040BC" w:rsidRPr="00771564">
        <w:rPr>
          <w:rFonts w:cstheme="minorHAnsi"/>
          <w:sz w:val="24"/>
          <w:szCs w:val="24"/>
        </w:rPr>
        <w:t xml:space="preserve"> </w:t>
      </w:r>
      <w:r w:rsidRPr="00771564">
        <w:rPr>
          <w:rFonts w:cstheme="minorHAnsi"/>
          <w:sz w:val="24"/>
          <w:szCs w:val="24"/>
        </w:rPr>
        <w:t>The</w:t>
      </w:r>
      <w:r w:rsidR="00724863" w:rsidRPr="00771564">
        <w:rPr>
          <w:rFonts w:cstheme="minorHAnsi"/>
          <w:sz w:val="24"/>
          <w:szCs w:val="24"/>
        </w:rPr>
        <w:t>re is an issue of data collection accuracy</w:t>
      </w:r>
      <w:r w:rsidRPr="00771564">
        <w:rPr>
          <w:rFonts w:cstheme="minorHAnsi"/>
          <w:sz w:val="24"/>
          <w:szCs w:val="24"/>
        </w:rPr>
        <w:t xml:space="preserve"> of disabled persons living in Bahrain.</w:t>
      </w:r>
      <w:r w:rsidR="00724863" w:rsidRPr="00771564">
        <w:rPr>
          <w:rFonts w:cstheme="minorHAnsi"/>
          <w:sz w:val="24"/>
          <w:szCs w:val="24"/>
        </w:rPr>
        <w:t xml:space="preserve"> </w:t>
      </w:r>
      <w:r w:rsidR="00565C11" w:rsidRPr="00771564">
        <w:rPr>
          <w:rFonts w:cstheme="minorHAnsi"/>
          <w:sz w:val="24"/>
          <w:szCs w:val="24"/>
        </w:rPr>
        <w:t>Furthermore, t</w:t>
      </w:r>
      <w:r w:rsidRPr="00771564">
        <w:rPr>
          <w:rFonts w:cstheme="minorHAnsi"/>
          <w:sz w:val="24"/>
          <w:szCs w:val="24"/>
        </w:rPr>
        <w:t>here is a strong presence of cultural stigma against disabled persons, which causes society to see them in a charitable model. There is a complete lack of sensibilization</w:t>
      </w:r>
      <w:r w:rsidR="00A44180" w:rsidRPr="00771564">
        <w:rPr>
          <w:rFonts w:cstheme="minorHAnsi"/>
          <w:sz w:val="24"/>
          <w:szCs w:val="24"/>
        </w:rPr>
        <w:t xml:space="preserve"> in society to educate on including people with disabilities. At the policy level, the government's unwillingness to consult the group over the legislation and national strategic plans has been reported.</w:t>
      </w:r>
    </w:p>
    <w:p w14:paraId="3BEE54EA" w14:textId="77777777" w:rsidR="000D082B" w:rsidRPr="00771564" w:rsidRDefault="00A44180" w:rsidP="0038254D">
      <w:pPr>
        <w:jc w:val="both"/>
        <w:rPr>
          <w:rFonts w:cstheme="minorHAnsi"/>
          <w:sz w:val="24"/>
          <w:szCs w:val="24"/>
        </w:rPr>
      </w:pPr>
      <w:r w:rsidRPr="00771564">
        <w:rPr>
          <w:rFonts w:cstheme="minorHAnsi"/>
          <w:sz w:val="24"/>
          <w:szCs w:val="24"/>
        </w:rPr>
        <w:t>Furthermore, the laws that Bahrain emit for safeguarding the rights of the disabled are broad and poorly enforced. In addition, by looking at the rules of Bahrain, there is a lack of harmonization between them and the</w:t>
      </w:r>
      <w:r w:rsidR="00565C11" w:rsidRPr="00771564">
        <w:rPr>
          <w:rFonts w:cstheme="minorHAnsi"/>
          <w:sz w:val="24"/>
          <w:szCs w:val="24"/>
        </w:rPr>
        <w:t xml:space="preserve"> CRPD</w:t>
      </w:r>
      <w:r w:rsidRPr="00771564">
        <w:rPr>
          <w:rFonts w:cstheme="minorHAnsi"/>
          <w:sz w:val="24"/>
          <w:szCs w:val="24"/>
        </w:rPr>
        <w:t xml:space="preserve">. The government systematically make national strategies for persons with disabilities. However, they are characterized by unclear instructions on their implementation. Also, </w:t>
      </w:r>
      <w:r w:rsidR="00565C11" w:rsidRPr="00771564">
        <w:rPr>
          <w:rFonts w:cstheme="minorHAnsi"/>
          <w:sz w:val="24"/>
          <w:szCs w:val="24"/>
        </w:rPr>
        <w:t>the</w:t>
      </w:r>
      <w:r w:rsidRPr="00771564">
        <w:rPr>
          <w:rFonts w:cstheme="minorHAnsi"/>
          <w:sz w:val="24"/>
          <w:szCs w:val="24"/>
        </w:rPr>
        <w:t xml:space="preserve"> allocation of funds for fostering the quality of the right to health, education, and employment</w:t>
      </w:r>
      <w:r w:rsidR="00565C11" w:rsidRPr="00771564">
        <w:rPr>
          <w:rFonts w:cstheme="minorHAnsi"/>
          <w:sz w:val="24"/>
          <w:szCs w:val="24"/>
        </w:rPr>
        <w:t xml:space="preserve"> for disabled persons</w:t>
      </w:r>
      <w:r w:rsidRPr="00771564">
        <w:rPr>
          <w:rFonts w:cstheme="minorHAnsi"/>
          <w:sz w:val="24"/>
          <w:szCs w:val="24"/>
        </w:rPr>
        <w:t xml:space="preserve"> is unclear. </w:t>
      </w:r>
      <w:r w:rsidR="00683B54" w:rsidRPr="00771564">
        <w:rPr>
          <w:rFonts w:cstheme="minorHAnsi"/>
          <w:sz w:val="24"/>
          <w:szCs w:val="24"/>
        </w:rPr>
        <w:t>Finally, ADHRB, through its report, has found that the condition of persons with disabilities in prisons is disastrous. There is an ongoing strategy of neglecting medical care for people with disabilities (al-Singace case) to inflict psychological and physical damage. This strategy raises concerns and urges a solution since it is posing at stake the right to life of prisoners.</w:t>
      </w:r>
    </w:p>
    <w:p w14:paraId="6B97E521" w14:textId="092F1CC3" w:rsidR="00EF5DF7" w:rsidRPr="00771564" w:rsidRDefault="008A516B" w:rsidP="0038254D">
      <w:pPr>
        <w:pStyle w:val="Heading2"/>
        <w:jc w:val="both"/>
        <w:rPr>
          <w:rFonts w:asciiTheme="minorHAnsi" w:hAnsiTheme="minorHAnsi" w:cstheme="minorHAnsi"/>
          <w:b/>
          <w:bCs/>
          <w:color w:val="auto"/>
          <w:sz w:val="24"/>
          <w:szCs w:val="24"/>
        </w:rPr>
      </w:pPr>
      <w:r w:rsidRPr="00771564">
        <w:rPr>
          <w:rFonts w:asciiTheme="minorHAnsi" w:hAnsiTheme="minorHAnsi" w:cstheme="minorHAnsi"/>
          <w:b/>
          <w:bCs/>
          <w:color w:val="auto"/>
          <w:sz w:val="24"/>
          <w:szCs w:val="24"/>
        </w:rPr>
        <w:t>Legal Analysis of Bahrain's Commitment to the CRPD</w:t>
      </w:r>
    </w:p>
    <w:p w14:paraId="0FAE7075" w14:textId="3BB2BEEA" w:rsidR="008F262A" w:rsidRPr="00771564" w:rsidRDefault="008F262A" w:rsidP="0038254D">
      <w:pPr>
        <w:jc w:val="both"/>
        <w:rPr>
          <w:rFonts w:cstheme="minorHAnsi"/>
          <w:sz w:val="24"/>
          <w:szCs w:val="24"/>
        </w:rPr>
      </w:pPr>
    </w:p>
    <w:p w14:paraId="31C7F817" w14:textId="0A91D00C" w:rsidR="006B029A" w:rsidRPr="00771564" w:rsidRDefault="0038254D" w:rsidP="0038254D">
      <w:pPr>
        <w:jc w:val="both"/>
        <w:rPr>
          <w:rFonts w:cstheme="minorHAnsi"/>
          <w:sz w:val="24"/>
          <w:szCs w:val="24"/>
        </w:rPr>
      </w:pPr>
      <w:r w:rsidRPr="00771564">
        <w:rPr>
          <w:rFonts w:cstheme="minorHAnsi"/>
          <w:sz w:val="24"/>
          <w:szCs w:val="24"/>
        </w:rPr>
        <w:t xml:space="preserve">The latest developments regarding the circumstances of individuals with disabilities in Bahrain bring attention to deeply concerning trends surrounding the accessibility of medical treatment, discrimination within the realm of justice, occurrences of torture, and instances of ill-treatment. Moreover, structural challenges relating to the freedom of expression and </w:t>
      </w:r>
      <w:r w:rsidRPr="00771564">
        <w:rPr>
          <w:rFonts w:cstheme="minorHAnsi"/>
          <w:sz w:val="24"/>
          <w:szCs w:val="24"/>
        </w:rPr>
        <w:lastRenderedPageBreak/>
        <w:t>the right to education among Bahraini citizens also significantly affect individuals with disabilities.</w:t>
      </w:r>
    </w:p>
    <w:p w14:paraId="57BD6D51" w14:textId="77777777" w:rsidR="0038254D" w:rsidRPr="00771564" w:rsidRDefault="0038254D" w:rsidP="0038254D">
      <w:pPr>
        <w:jc w:val="both"/>
        <w:rPr>
          <w:rFonts w:cstheme="minorHAnsi"/>
          <w:sz w:val="24"/>
          <w:szCs w:val="24"/>
        </w:rPr>
      </w:pPr>
    </w:p>
    <w:p w14:paraId="321CE5E9" w14:textId="3F8A255B" w:rsidR="00754909" w:rsidRPr="00771564" w:rsidRDefault="008A516B" w:rsidP="0038254D">
      <w:pPr>
        <w:pStyle w:val="Heading3"/>
        <w:jc w:val="both"/>
        <w:rPr>
          <w:rFonts w:asciiTheme="minorHAnsi" w:hAnsiTheme="minorHAnsi" w:cstheme="minorHAnsi"/>
          <w:b/>
          <w:bCs/>
          <w:color w:val="auto"/>
        </w:rPr>
      </w:pPr>
      <w:r w:rsidRPr="00771564">
        <w:rPr>
          <w:rFonts w:asciiTheme="minorHAnsi" w:hAnsiTheme="minorHAnsi" w:cstheme="minorHAnsi"/>
          <w:b/>
          <w:bCs/>
          <w:color w:val="auto"/>
        </w:rPr>
        <w:t xml:space="preserve">Right to Life (CRPD Article 10) </w:t>
      </w:r>
    </w:p>
    <w:p w14:paraId="4C0E5B3A" w14:textId="77777777" w:rsidR="006B029A" w:rsidRPr="00771564" w:rsidRDefault="006B029A" w:rsidP="0038254D">
      <w:pPr>
        <w:jc w:val="both"/>
        <w:rPr>
          <w:rFonts w:cstheme="minorHAnsi"/>
          <w:sz w:val="24"/>
          <w:szCs w:val="24"/>
        </w:rPr>
      </w:pPr>
    </w:p>
    <w:p w14:paraId="5BF7C752" w14:textId="2D2B880A" w:rsidR="006B029A" w:rsidRPr="00771564" w:rsidRDefault="006B029A" w:rsidP="0038254D">
      <w:pPr>
        <w:jc w:val="both"/>
        <w:rPr>
          <w:rFonts w:cstheme="minorHAnsi"/>
          <w:sz w:val="24"/>
          <w:szCs w:val="24"/>
        </w:rPr>
      </w:pPr>
      <w:r w:rsidRPr="00771564">
        <w:rPr>
          <w:rFonts w:cstheme="minorHAnsi"/>
          <w:sz w:val="24"/>
          <w:szCs w:val="24"/>
        </w:rPr>
        <w:t>The Bahrain Constitution lacks provisions regarding the protection of the right to life. Additionally, Act No. 74, which serves as the primary legal framework governing the rights of individuals with disabilities, addresses aspects such as welfare, training, and employment, but it does not include any provisions safeguarding the right to life of persons with disabilities. In line with its international obligations after ratifying the Convention on the Rights of Persons with Disabilities, Bahrain has developed a bill comprising 25 articles to align itself more closely with these obligations.</w:t>
      </w:r>
    </w:p>
    <w:p w14:paraId="4474B5D7" w14:textId="7A0EBEB2" w:rsidR="006B029A" w:rsidRPr="00771564" w:rsidRDefault="006B029A" w:rsidP="0038254D">
      <w:pPr>
        <w:jc w:val="both"/>
        <w:rPr>
          <w:rFonts w:cstheme="minorHAnsi"/>
          <w:sz w:val="24"/>
          <w:szCs w:val="24"/>
        </w:rPr>
      </w:pPr>
      <w:r w:rsidRPr="00771564">
        <w:rPr>
          <w:rFonts w:cstheme="minorHAnsi"/>
          <w:sz w:val="24"/>
          <w:szCs w:val="24"/>
        </w:rPr>
        <w:t>Nevertheless, while Bahrain has made some amendments concerning the definition of disability and welfare provisions, the right to life remains unaddressed by the country. Article 10 of the Convention on the Rights of Persons with Disabilities stipulates that State Parties should undertake all necessary measures to ensure the effective enjoyment of the right to life by persons with disabilities on an equal basis with others.</w:t>
      </w:r>
    </w:p>
    <w:p w14:paraId="198E27C0" w14:textId="22B6B56B" w:rsidR="006B029A" w:rsidRPr="00771564" w:rsidRDefault="006B029A" w:rsidP="0038254D">
      <w:pPr>
        <w:jc w:val="both"/>
        <w:rPr>
          <w:rFonts w:cstheme="minorHAnsi"/>
          <w:sz w:val="24"/>
          <w:szCs w:val="24"/>
        </w:rPr>
      </w:pPr>
      <w:r w:rsidRPr="00771564">
        <w:rPr>
          <w:rFonts w:cstheme="minorHAnsi"/>
          <w:sz w:val="24"/>
          <w:szCs w:val="24"/>
        </w:rPr>
        <w:t xml:space="preserve">Bahrain's most recent combined first and second periodic report from 2017 asserts that the right to life is directly upheld by administrative authorities and courts tasked with ensuring non-discrimination between individuals with disabilities and others. However, this report exhibits certain inconsistencies. Firstly, it claims that the right to life has constitutional status, yet the constitution does not make any mention of this right. The report refers to Article 5 of the Bahrain Constitution, which guarantees social security safeguards, but this represents a restrictive interpretation of the right to life. Secondly, according to the report, equal protection of the right to life is affirmed by the Ministry of Justice. However, evaluating the protection of the right to life is not solely within the jurisdiction of the Ministry of Justice. </w:t>
      </w:r>
    </w:p>
    <w:p w14:paraId="36AD94F4" w14:textId="20BD4F0B" w:rsidR="00820191" w:rsidRPr="00771564" w:rsidRDefault="006B029A" w:rsidP="0038254D">
      <w:pPr>
        <w:jc w:val="both"/>
        <w:rPr>
          <w:rFonts w:cstheme="minorHAnsi"/>
          <w:sz w:val="24"/>
          <w:szCs w:val="24"/>
        </w:rPr>
      </w:pPr>
      <w:r w:rsidRPr="00771564">
        <w:rPr>
          <w:rFonts w:cstheme="minorHAnsi"/>
          <w:sz w:val="24"/>
          <w:szCs w:val="24"/>
        </w:rPr>
        <w:t xml:space="preserve">Furthermore, within prisons, concerns regarding the safeguarding of the right to life emerge due to the neglect of medical assistance. One noteworthy case is that of </w:t>
      </w:r>
      <w:proofErr w:type="spellStart"/>
      <w:r w:rsidRPr="00771564">
        <w:rPr>
          <w:rFonts w:cstheme="minorHAnsi"/>
          <w:sz w:val="24"/>
          <w:szCs w:val="24"/>
        </w:rPr>
        <w:t>Abduljalil</w:t>
      </w:r>
      <w:proofErr w:type="spellEnd"/>
      <w:r w:rsidRPr="00771564">
        <w:rPr>
          <w:rFonts w:cstheme="minorHAnsi"/>
          <w:sz w:val="24"/>
          <w:szCs w:val="24"/>
        </w:rPr>
        <w:t xml:space="preserve"> al-</w:t>
      </w:r>
      <w:proofErr w:type="spellStart"/>
      <w:r w:rsidRPr="00771564">
        <w:rPr>
          <w:rFonts w:cstheme="minorHAnsi"/>
          <w:sz w:val="24"/>
          <w:szCs w:val="24"/>
        </w:rPr>
        <w:t>Singace</w:t>
      </w:r>
      <w:proofErr w:type="spellEnd"/>
      <w:r w:rsidRPr="00771564">
        <w:rPr>
          <w:rFonts w:cstheme="minorHAnsi"/>
          <w:sz w:val="24"/>
          <w:szCs w:val="24"/>
        </w:rPr>
        <w:t>, a prominent Bahraini mechanical engineer who has been incarcerated since 2011. Since 2016, he has experienced a multitude of health issues, yet the authorities have denied him necessary medical treatment, thereby posing a risk to his right to life. Another concerning case involves Ahmed Humaidan, whose severe eye infection went untreated, thereby jeopardizing his future well-being. Both of these cases potentially constitute violations of the right to life.</w:t>
      </w:r>
    </w:p>
    <w:p w14:paraId="1280AD6E" w14:textId="77777777" w:rsidR="00200C8F" w:rsidRPr="00771564" w:rsidRDefault="00200C8F" w:rsidP="0038254D">
      <w:pPr>
        <w:pStyle w:val="Heading3"/>
        <w:jc w:val="both"/>
        <w:rPr>
          <w:rFonts w:asciiTheme="minorHAnsi" w:hAnsiTheme="minorHAnsi" w:cstheme="minorHAnsi"/>
          <w:b/>
          <w:bCs/>
          <w:color w:val="auto"/>
        </w:rPr>
      </w:pPr>
    </w:p>
    <w:p w14:paraId="3C38373F" w14:textId="7203AFEB" w:rsidR="008C2617" w:rsidRPr="00771564" w:rsidRDefault="008A516B" w:rsidP="0038254D">
      <w:pPr>
        <w:pStyle w:val="Heading3"/>
        <w:jc w:val="both"/>
        <w:rPr>
          <w:rFonts w:asciiTheme="minorHAnsi" w:hAnsiTheme="minorHAnsi" w:cstheme="minorHAnsi"/>
          <w:b/>
          <w:bCs/>
          <w:color w:val="auto"/>
        </w:rPr>
      </w:pPr>
      <w:r w:rsidRPr="00771564">
        <w:rPr>
          <w:rFonts w:asciiTheme="minorHAnsi" w:hAnsiTheme="minorHAnsi" w:cstheme="minorHAnsi"/>
          <w:b/>
          <w:bCs/>
          <w:color w:val="auto"/>
        </w:rPr>
        <w:t xml:space="preserve">Access to Justice (CRPD Article 13) </w:t>
      </w:r>
    </w:p>
    <w:p w14:paraId="2796FBAE" w14:textId="77777777" w:rsidR="006B029A" w:rsidRPr="00771564" w:rsidRDefault="006B029A" w:rsidP="0038254D">
      <w:pPr>
        <w:jc w:val="both"/>
        <w:rPr>
          <w:rFonts w:cstheme="minorHAnsi"/>
          <w:sz w:val="24"/>
          <w:szCs w:val="24"/>
        </w:rPr>
      </w:pPr>
    </w:p>
    <w:p w14:paraId="273147D1" w14:textId="7A0F572E" w:rsidR="006B029A" w:rsidRPr="00771564" w:rsidRDefault="006B029A" w:rsidP="0038254D">
      <w:pPr>
        <w:jc w:val="both"/>
        <w:rPr>
          <w:rFonts w:cstheme="minorHAnsi"/>
          <w:sz w:val="24"/>
          <w:szCs w:val="24"/>
        </w:rPr>
      </w:pPr>
      <w:proofErr w:type="gramStart"/>
      <w:r w:rsidRPr="00771564">
        <w:rPr>
          <w:rFonts w:cstheme="minorHAnsi"/>
          <w:sz w:val="24"/>
          <w:szCs w:val="24"/>
        </w:rPr>
        <w:t>The Bahrain Constitution,</w:t>
      </w:r>
      <w:proofErr w:type="gramEnd"/>
      <w:r w:rsidRPr="00771564">
        <w:rPr>
          <w:rFonts w:cstheme="minorHAnsi"/>
          <w:sz w:val="24"/>
          <w:szCs w:val="24"/>
        </w:rPr>
        <w:t xml:space="preserve"> specifically Articles 20 (c), (e), and 20 (f), regulates the right to access justice. Consequently, as part of the legislative review that took place after 2011, the exercise of legal competence and the right to seek legal remedies for disabled individuals </w:t>
      </w:r>
      <w:r w:rsidRPr="00771564">
        <w:rPr>
          <w:rFonts w:cstheme="minorHAnsi"/>
          <w:sz w:val="24"/>
          <w:szCs w:val="24"/>
        </w:rPr>
        <w:lastRenderedPageBreak/>
        <w:t>were prescribed by the King of Bahrain. Article 13(1) of the CRPD Convention defines the obligation of States Parties to ensure sufficient access to justice, including age-appropriate accommodations, with the aim of facilitating witnesses and all legal proceedings. Furthermore, Article 13(2) emphasizes the importance of promoting suitable training for police and prison staff to support the realization of adequate access to justice.</w:t>
      </w:r>
    </w:p>
    <w:p w14:paraId="5DD044F2" w14:textId="399078B9" w:rsidR="006B029A" w:rsidRPr="00771564" w:rsidRDefault="006B029A" w:rsidP="0038254D">
      <w:pPr>
        <w:jc w:val="both"/>
        <w:rPr>
          <w:rFonts w:cstheme="minorHAnsi"/>
          <w:sz w:val="24"/>
          <w:szCs w:val="24"/>
        </w:rPr>
      </w:pPr>
      <w:r w:rsidRPr="00771564">
        <w:rPr>
          <w:rFonts w:cstheme="minorHAnsi"/>
          <w:sz w:val="24"/>
          <w:szCs w:val="24"/>
        </w:rPr>
        <w:t>According to Bahrain's most recent periodic review, it is affirmed that the right to litigate for people with disabilities is safeguarded through provisions ensuring communication in writing or sign language. Additionally, Article 53 of Act No.7 (the law of guardianship over property) allows disabled individuals to request the appointment of a judicial assistant. The report states that disabled persons are permitted to resort to the court when necessary.</w:t>
      </w:r>
    </w:p>
    <w:p w14:paraId="01482C4B" w14:textId="466CFA6F" w:rsidR="006E3DF1" w:rsidRPr="00771564" w:rsidRDefault="006B029A" w:rsidP="0038254D">
      <w:pPr>
        <w:jc w:val="both"/>
        <w:rPr>
          <w:rFonts w:cstheme="minorHAnsi"/>
          <w:sz w:val="24"/>
          <w:szCs w:val="24"/>
        </w:rPr>
      </w:pPr>
      <w:r w:rsidRPr="00771564">
        <w:rPr>
          <w:rFonts w:cstheme="minorHAnsi"/>
          <w:sz w:val="24"/>
          <w:szCs w:val="24"/>
        </w:rPr>
        <w:t>However, in reality, numerous documented cases, including that of al-</w:t>
      </w:r>
      <w:proofErr w:type="spellStart"/>
      <w:r w:rsidRPr="00771564">
        <w:rPr>
          <w:rFonts w:cstheme="minorHAnsi"/>
          <w:sz w:val="24"/>
          <w:szCs w:val="24"/>
        </w:rPr>
        <w:t>Singace</w:t>
      </w:r>
      <w:proofErr w:type="spellEnd"/>
      <w:r w:rsidRPr="00771564">
        <w:rPr>
          <w:rFonts w:cstheme="minorHAnsi"/>
          <w:sz w:val="24"/>
          <w:szCs w:val="24"/>
        </w:rPr>
        <w:t>, demonstrate that Bahrain denies disabled individuals access to justice, thus failing to uphold principles of equality and dignity before the law.</w:t>
      </w:r>
    </w:p>
    <w:p w14:paraId="5DE9E7F7" w14:textId="77777777" w:rsidR="006B029A" w:rsidRPr="00771564" w:rsidRDefault="006B029A" w:rsidP="0038254D">
      <w:pPr>
        <w:jc w:val="both"/>
        <w:rPr>
          <w:rFonts w:eastAsiaTheme="majorEastAsia" w:cstheme="minorHAnsi"/>
          <w:b/>
          <w:bCs/>
          <w:sz w:val="24"/>
          <w:szCs w:val="24"/>
        </w:rPr>
      </w:pPr>
    </w:p>
    <w:p w14:paraId="48D7E4EE" w14:textId="77777777" w:rsidR="008C2617" w:rsidRPr="00771564" w:rsidRDefault="008A516B" w:rsidP="0038254D">
      <w:pPr>
        <w:pStyle w:val="Heading3"/>
        <w:jc w:val="both"/>
        <w:rPr>
          <w:rFonts w:asciiTheme="minorHAnsi" w:hAnsiTheme="minorHAnsi" w:cstheme="minorHAnsi"/>
          <w:b/>
          <w:bCs/>
          <w:color w:val="auto"/>
        </w:rPr>
      </w:pPr>
      <w:r w:rsidRPr="00771564">
        <w:rPr>
          <w:rFonts w:asciiTheme="minorHAnsi" w:hAnsiTheme="minorHAnsi" w:cstheme="minorHAnsi"/>
          <w:b/>
          <w:bCs/>
          <w:color w:val="auto"/>
        </w:rPr>
        <w:t>Freedom from Torture and Cruel, Inhuman, or Degrading Treatm</w:t>
      </w:r>
      <w:r w:rsidRPr="00771564">
        <w:rPr>
          <w:rFonts w:asciiTheme="minorHAnsi" w:hAnsiTheme="minorHAnsi" w:cstheme="minorHAnsi"/>
          <w:b/>
          <w:bCs/>
          <w:color w:val="auto"/>
        </w:rPr>
        <w:t>ent or Punishment (CRPD Article 15)</w:t>
      </w:r>
    </w:p>
    <w:p w14:paraId="0901E66B" w14:textId="77777777" w:rsidR="0038254D" w:rsidRPr="00771564" w:rsidRDefault="0038254D" w:rsidP="0038254D">
      <w:pPr>
        <w:jc w:val="both"/>
        <w:rPr>
          <w:rFonts w:cstheme="minorHAnsi"/>
          <w:sz w:val="24"/>
          <w:szCs w:val="24"/>
        </w:rPr>
      </w:pPr>
    </w:p>
    <w:p w14:paraId="2D370F7F" w14:textId="4B64EE03" w:rsidR="0038254D" w:rsidRPr="00771564" w:rsidRDefault="0038254D" w:rsidP="0038254D">
      <w:pPr>
        <w:jc w:val="both"/>
        <w:rPr>
          <w:rFonts w:cstheme="minorHAnsi"/>
          <w:sz w:val="24"/>
          <w:szCs w:val="24"/>
        </w:rPr>
      </w:pPr>
      <w:r w:rsidRPr="00771564">
        <w:rPr>
          <w:rFonts w:cstheme="minorHAnsi"/>
          <w:sz w:val="24"/>
          <w:szCs w:val="24"/>
        </w:rPr>
        <w:t>According to the Bahrain Code, the prohibition of cruel and inhuman treatment is outlined in Article 19 (d), which explicitly forbids physical and mental torture. Additionally, any confession obtained under torture or coercion is deemed invalid by this provision. However, concerning the rights of disabled individuals, neither Law n.74 nor subsequent amendments include specific provisions for safeguarding against cruel and inhuman treatment.</w:t>
      </w:r>
    </w:p>
    <w:p w14:paraId="086E9558" w14:textId="7A0BCF24" w:rsidR="0038254D" w:rsidRPr="00771564" w:rsidRDefault="0038254D" w:rsidP="0038254D">
      <w:pPr>
        <w:jc w:val="both"/>
        <w:rPr>
          <w:rFonts w:cstheme="minorHAnsi"/>
          <w:sz w:val="24"/>
          <w:szCs w:val="24"/>
        </w:rPr>
      </w:pPr>
      <w:r w:rsidRPr="00771564">
        <w:rPr>
          <w:rFonts w:cstheme="minorHAnsi"/>
          <w:sz w:val="24"/>
          <w:szCs w:val="24"/>
        </w:rPr>
        <w:t>Article 15(2) of the CRPD mandates that State Parties must implement effective legislative, administrative, and judicial measures to prevent individuals with disabilities from being subjected to torture or cruel, inhuman, and degrading treatment. In its 2017 periodic report, Bahrain highlights articles 208 and 232 of its Penal Code, which prohibit public servants from intentionally inflicting severe physical suffering. Furthermore, the existence of an Ombudsman, established by the Ministry of Interior, is intended to ensure prompt, efficient, and impartial responses to claims of abuse. Additionally, the Ministry of Interior has published a code of conduct for police officers, aimed at promoting discipline, transparency, fairness, and accountability.</w:t>
      </w:r>
    </w:p>
    <w:p w14:paraId="403CF40B" w14:textId="3216810E" w:rsidR="0038254D" w:rsidRPr="00771564" w:rsidRDefault="0038254D" w:rsidP="0038254D">
      <w:pPr>
        <w:jc w:val="both"/>
        <w:rPr>
          <w:rFonts w:cstheme="minorHAnsi"/>
          <w:sz w:val="24"/>
          <w:szCs w:val="24"/>
        </w:rPr>
      </w:pPr>
      <w:r w:rsidRPr="00771564">
        <w:rPr>
          <w:rFonts w:cstheme="minorHAnsi"/>
          <w:sz w:val="24"/>
          <w:szCs w:val="24"/>
        </w:rPr>
        <w:t xml:space="preserve">However, in reality, the case of </w:t>
      </w:r>
      <w:proofErr w:type="spellStart"/>
      <w:r w:rsidRPr="00771564">
        <w:rPr>
          <w:rFonts w:cstheme="minorHAnsi"/>
          <w:sz w:val="24"/>
          <w:szCs w:val="24"/>
        </w:rPr>
        <w:t>Dr.</w:t>
      </w:r>
      <w:proofErr w:type="spellEnd"/>
      <w:r w:rsidRPr="00771564">
        <w:rPr>
          <w:rFonts w:cstheme="minorHAnsi"/>
          <w:sz w:val="24"/>
          <w:szCs w:val="24"/>
        </w:rPr>
        <w:t xml:space="preserve"> </w:t>
      </w:r>
      <w:proofErr w:type="spellStart"/>
      <w:r w:rsidRPr="00771564">
        <w:rPr>
          <w:rFonts w:cstheme="minorHAnsi"/>
          <w:sz w:val="24"/>
          <w:szCs w:val="24"/>
        </w:rPr>
        <w:t>Abduljalil</w:t>
      </w:r>
      <w:proofErr w:type="spellEnd"/>
      <w:r w:rsidRPr="00771564">
        <w:rPr>
          <w:rFonts w:cstheme="minorHAnsi"/>
          <w:sz w:val="24"/>
          <w:szCs w:val="24"/>
        </w:rPr>
        <w:t xml:space="preserve"> al-</w:t>
      </w:r>
      <w:proofErr w:type="spellStart"/>
      <w:r w:rsidRPr="00771564">
        <w:rPr>
          <w:rFonts w:cstheme="minorHAnsi"/>
          <w:sz w:val="24"/>
          <w:szCs w:val="24"/>
        </w:rPr>
        <w:t>Singace</w:t>
      </w:r>
      <w:proofErr w:type="spellEnd"/>
      <w:r w:rsidRPr="00771564">
        <w:rPr>
          <w:rFonts w:cstheme="minorHAnsi"/>
          <w:sz w:val="24"/>
          <w:szCs w:val="24"/>
        </w:rPr>
        <w:t xml:space="preserve"> stands as a striking example of the Bahraini government's disregard for prisoners with disabilities. Authorities in Bahrain have subjected him to torture, exploiting his disability to cause him pain—for instance, by forcing him to balance on one leg—and coercing a confession from him.</w:t>
      </w:r>
    </w:p>
    <w:p w14:paraId="170F1DC8" w14:textId="6F14B9F7" w:rsidR="00AC3B53" w:rsidRPr="00771564" w:rsidRDefault="0038254D" w:rsidP="0038254D">
      <w:pPr>
        <w:jc w:val="both"/>
        <w:rPr>
          <w:rFonts w:cstheme="minorHAnsi"/>
          <w:sz w:val="24"/>
          <w:szCs w:val="24"/>
        </w:rPr>
      </w:pPr>
      <w:r w:rsidRPr="00771564">
        <w:rPr>
          <w:rFonts w:cstheme="minorHAnsi"/>
          <w:sz w:val="24"/>
          <w:szCs w:val="24"/>
        </w:rPr>
        <w:t>Consequently, it is evident that the articles within the Bahraini criminal code that prohibit mental or physical suffering are not effectively enforced. Furthermore, concerns have been raised about the impartiality of the Ombudsman, with reports indicating that the process for lodging claims is protracted and inefficient.</w:t>
      </w:r>
    </w:p>
    <w:p w14:paraId="6435F990" w14:textId="77777777" w:rsidR="00200C8F" w:rsidRPr="00771564" w:rsidRDefault="00200C8F" w:rsidP="0038254D">
      <w:pPr>
        <w:pStyle w:val="Heading3"/>
        <w:jc w:val="both"/>
        <w:rPr>
          <w:rFonts w:asciiTheme="minorHAnsi" w:hAnsiTheme="minorHAnsi" w:cstheme="minorHAnsi"/>
          <w:b/>
          <w:bCs/>
          <w:color w:val="auto"/>
        </w:rPr>
      </w:pPr>
    </w:p>
    <w:p w14:paraId="39F64C23" w14:textId="6D8A0D88" w:rsidR="008C2617" w:rsidRPr="00771564" w:rsidRDefault="008A516B" w:rsidP="0038254D">
      <w:pPr>
        <w:pStyle w:val="Heading3"/>
        <w:jc w:val="both"/>
        <w:rPr>
          <w:rFonts w:asciiTheme="minorHAnsi" w:hAnsiTheme="minorHAnsi" w:cstheme="minorHAnsi"/>
          <w:b/>
          <w:bCs/>
          <w:color w:val="auto"/>
        </w:rPr>
      </w:pPr>
      <w:r w:rsidRPr="00771564">
        <w:rPr>
          <w:rFonts w:asciiTheme="minorHAnsi" w:hAnsiTheme="minorHAnsi" w:cstheme="minorHAnsi"/>
          <w:b/>
          <w:bCs/>
          <w:color w:val="auto"/>
        </w:rPr>
        <w:t xml:space="preserve">Right to Education (CRPD Article </w:t>
      </w:r>
      <w:r w:rsidR="00491DD7" w:rsidRPr="00771564">
        <w:rPr>
          <w:rFonts w:asciiTheme="minorHAnsi" w:hAnsiTheme="minorHAnsi" w:cstheme="minorHAnsi"/>
          <w:b/>
          <w:bCs/>
          <w:color w:val="auto"/>
        </w:rPr>
        <w:t>24</w:t>
      </w:r>
      <w:r w:rsidRPr="00771564">
        <w:rPr>
          <w:rFonts w:asciiTheme="minorHAnsi" w:hAnsiTheme="minorHAnsi" w:cstheme="minorHAnsi"/>
          <w:b/>
          <w:bCs/>
          <w:color w:val="auto"/>
        </w:rPr>
        <w:t>)</w:t>
      </w:r>
    </w:p>
    <w:p w14:paraId="29B88B5C" w14:textId="77777777" w:rsidR="0038254D" w:rsidRPr="00771564" w:rsidRDefault="0038254D" w:rsidP="0038254D">
      <w:pPr>
        <w:jc w:val="both"/>
        <w:rPr>
          <w:rFonts w:cstheme="minorHAnsi"/>
          <w:sz w:val="24"/>
          <w:szCs w:val="24"/>
        </w:rPr>
      </w:pPr>
    </w:p>
    <w:p w14:paraId="3091FD76" w14:textId="1BF3479A" w:rsidR="0038254D" w:rsidRPr="00771564" w:rsidRDefault="0038254D" w:rsidP="0038254D">
      <w:pPr>
        <w:jc w:val="both"/>
        <w:rPr>
          <w:rFonts w:cstheme="minorHAnsi"/>
          <w:sz w:val="24"/>
          <w:szCs w:val="24"/>
        </w:rPr>
      </w:pPr>
      <w:r w:rsidRPr="00771564">
        <w:rPr>
          <w:rFonts w:cstheme="minorHAnsi"/>
          <w:sz w:val="24"/>
          <w:szCs w:val="24"/>
        </w:rPr>
        <w:t>The legislation governing education in Bahrain, as stipulated in Article 7 of the Bahraini code, emphasizes that education is both free and compulsory during the early stages of life. However, Article 24 of the CRPD provides a broader definition of the right to education, highlighting its role in fostering the comprehensive development of human potential and dignity. State parties are obligated to ensure equality, inclusion, and access to the highest level of education.</w:t>
      </w:r>
    </w:p>
    <w:p w14:paraId="6512E24A" w14:textId="02DCBA42" w:rsidR="0038254D" w:rsidRPr="00771564" w:rsidRDefault="0038254D" w:rsidP="0038254D">
      <w:pPr>
        <w:jc w:val="both"/>
        <w:rPr>
          <w:rFonts w:cstheme="minorHAnsi"/>
          <w:sz w:val="24"/>
          <w:szCs w:val="24"/>
        </w:rPr>
      </w:pPr>
      <w:r w:rsidRPr="00771564">
        <w:rPr>
          <w:rFonts w:cstheme="minorHAnsi"/>
          <w:sz w:val="24"/>
          <w:szCs w:val="24"/>
        </w:rPr>
        <w:t xml:space="preserve">Data pertaining to education in Bahrain reveals ongoing challenges. Notably, individuals with disabilities encounter obstacles due to the perception that they lack decision-making capacity. The prevailing educational approach has been to establish specialized academic programs that often impede the participation of disabled individuals. Consequently, this undermines the quality and skills development of this group, leading to adverse effects on their prospects in the </w:t>
      </w:r>
      <w:proofErr w:type="spellStart"/>
      <w:r w:rsidRPr="00771564">
        <w:rPr>
          <w:rFonts w:cstheme="minorHAnsi"/>
          <w:sz w:val="24"/>
          <w:szCs w:val="24"/>
        </w:rPr>
        <w:t>labor</w:t>
      </w:r>
      <w:proofErr w:type="spellEnd"/>
      <w:r w:rsidRPr="00771564">
        <w:rPr>
          <w:rFonts w:cstheme="minorHAnsi"/>
          <w:sz w:val="24"/>
          <w:szCs w:val="24"/>
        </w:rPr>
        <w:t xml:space="preserve"> market. Perhaps the most troubling aspect within the educational realm for individuals with disabilities is the absence of inclusive curricula. In 2017, Bahrain reported that disabled individuals were not enrolled in government schools and were solely registered in rehabilitation </w:t>
      </w:r>
      <w:proofErr w:type="spellStart"/>
      <w:r w:rsidRPr="00771564">
        <w:rPr>
          <w:rFonts w:cstheme="minorHAnsi"/>
          <w:sz w:val="24"/>
          <w:szCs w:val="24"/>
        </w:rPr>
        <w:t>centers</w:t>
      </w:r>
      <w:proofErr w:type="spellEnd"/>
      <w:r w:rsidRPr="00771564">
        <w:rPr>
          <w:rFonts w:cstheme="minorHAnsi"/>
          <w:sz w:val="24"/>
          <w:szCs w:val="24"/>
        </w:rPr>
        <w:t>, a practice that fails to meet the inclusivity and equality standards set forth in the CRPD. Moreover, hindered access to higher levels of education contradicts the CRPD's vision of enabling disabled individuals to reach their full potential.</w:t>
      </w:r>
    </w:p>
    <w:p w14:paraId="1BB4B064" w14:textId="5F0EA959" w:rsidR="0038254D" w:rsidRPr="00771564" w:rsidRDefault="0038254D" w:rsidP="0038254D">
      <w:pPr>
        <w:jc w:val="both"/>
        <w:rPr>
          <w:rFonts w:cstheme="minorHAnsi"/>
          <w:sz w:val="24"/>
          <w:szCs w:val="24"/>
        </w:rPr>
      </w:pPr>
      <w:r w:rsidRPr="00771564">
        <w:rPr>
          <w:rFonts w:cstheme="minorHAnsi"/>
          <w:sz w:val="24"/>
          <w:szCs w:val="24"/>
        </w:rPr>
        <w:t>Overall, the evidence reveals significant challenges faced by disabled individuals in the realm of education. One notable challenge is the prevailing societal perception of disabled persons as helpless and devoid of rights, resulting in their isolation within the educational system. Bahrain presents structural hurdles to the education of disabled individuals, particularly through their exclusion from government schools. Additionally, the lack of a national plan to tackle prejudice perpetuates the perception of disabled individuals as incapable.</w:t>
      </w:r>
    </w:p>
    <w:p w14:paraId="114AA9C3" w14:textId="74F4D177" w:rsidR="00724863" w:rsidRPr="00771564" w:rsidRDefault="0038254D" w:rsidP="0038254D">
      <w:pPr>
        <w:jc w:val="both"/>
        <w:rPr>
          <w:rFonts w:cstheme="minorHAnsi"/>
          <w:sz w:val="24"/>
          <w:szCs w:val="24"/>
        </w:rPr>
      </w:pPr>
      <w:r w:rsidRPr="00771564">
        <w:rPr>
          <w:rFonts w:cstheme="minorHAnsi"/>
          <w:sz w:val="24"/>
          <w:szCs w:val="24"/>
        </w:rPr>
        <w:t>Lastly, it is worth noting that ADHRB (Americans for Democracy &amp; Human Rights in Bahrain) highlights inadequate allocation of funds towards the education of disabled individuals. Insufficient data and limited awareness of CRPD standards further hinder the development of strategies for implementing new services for disabled persons.</w:t>
      </w:r>
    </w:p>
    <w:p w14:paraId="6511F351" w14:textId="77777777" w:rsidR="00200C8F" w:rsidRPr="00771564" w:rsidRDefault="00200C8F" w:rsidP="0038254D">
      <w:pPr>
        <w:pStyle w:val="Heading3"/>
        <w:jc w:val="both"/>
        <w:rPr>
          <w:rFonts w:asciiTheme="minorHAnsi" w:hAnsiTheme="minorHAnsi" w:cstheme="minorHAnsi"/>
          <w:b/>
          <w:bCs/>
          <w:color w:val="auto"/>
        </w:rPr>
      </w:pPr>
    </w:p>
    <w:p w14:paraId="785F6937" w14:textId="05B3FD88" w:rsidR="002A2730" w:rsidRPr="00771564" w:rsidRDefault="008A516B" w:rsidP="0038254D">
      <w:pPr>
        <w:pStyle w:val="Heading3"/>
        <w:jc w:val="both"/>
        <w:rPr>
          <w:rFonts w:asciiTheme="minorHAnsi" w:hAnsiTheme="minorHAnsi" w:cstheme="minorHAnsi"/>
          <w:b/>
          <w:bCs/>
          <w:color w:val="auto"/>
        </w:rPr>
      </w:pPr>
      <w:r w:rsidRPr="00771564">
        <w:rPr>
          <w:rFonts w:asciiTheme="minorHAnsi" w:hAnsiTheme="minorHAnsi" w:cstheme="minorHAnsi"/>
          <w:b/>
          <w:bCs/>
          <w:color w:val="auto"/>
        </w:rPr>
        <w:t xml:space="preserve">Right of </w:t>
      </w:r>
      <w:r w:rsidR="00491DD7" w:rsidRPr="00771564">
        <w:rPr>
          <w:rFonts w:asciiTheme="minorHAnsi" w:hAnsiTheme="minorHAnsi" w:cstheme="minorHAnsi"/>
          <w:b/>
          <w:bCs/>
          <w:color w:val="auto"/>
        </w:rPr>
        <w:t xml:space="preserve">Work and </w:t>
      </w:r>
      <w:r w:rsidRPr="00771564">
        <w:rPr>
          <w:rFonts w:asciiTheme="minorHAnsi" w:hAnsiTheme="minorHAnsi" w:cstheme="minorHAnsi"/>
          <w:b/>
          <w:bCs/>
          <w:color w:val="auto"/>
        </w:rPr>
        <w:t>Employment</w:t>
      </w:r>
      <w:r w:rsidR="00491DD7" w:rsidRPr="00771564">
        <w:rPr>
          <w:rFonts w:asciiTheme="minorHAnsi" w:hAnsiTheme="minorHAnsi" w:cstheme="minorHAnsi"/>
          <w:b/>
          <w:bCs/>
          <w:color w:val="auto"/>
        </w:rPr>
        <w:t xml:space="preserve"> (CRPD Article 27)</w:t>
      </w:r>
    </w:p>
    <w:p w14:paraId="5944DFDB" w14:textId="77777777" w:rsidR="0038254D" w:rsidRPr="00771564" w:rsidRDefault="0038254D" w:rsidP="0038254D">
      <w:pPr>
        <w:jc w:val="both"/>
        <w:rPr>
          <w:rFonts w:cstheme="minorHAnsi"/>
          <w:sz w:val="24"/>
          <w:szCs w:val="24"/>
        </w:rPr>
      </w:pPr>
    </w:p>
    <w:p w14:paraId="59584A57" w14:textId="79527FA2" w:rsidR="0038254D" w:rsidRPr="00771564" w:rsidRDefault="0038254D" w:rsidP="0038254D">
      <w:pPr>
        <w:jc w:val="both"/>
        <w:rPr>
          <w:rFonts w:cstheme="minorHAnsi"/>
          <w:sz w:val="24"/>
          <w:szCs w:val="24"/>
        </w:rPr>
      </w:pPr>
      <w:r w:rsidRPr="00771564">
        <w:rPr>
          <w:rFonts w:cstheme="minorHAnsi"/>
          <w:sz w:val="24"/>
          <w:szCs w:val="24"/>
        </w:rPr>
        <w:t xml:space="preserve">In Article 13 of its constitution, Bahrain delineates the right to work and employment, affirming in Article 13(a) that work is a fundamental right of every citizen. Furthermore, according to Article 13(b), the State is obligated to ensure the creation of job opportunities based on the principle of fairness. Conversely, Article 27 of the CRPD dictates that State Parties must provide equal, accessible, and inclusive employment opportunities for individuals with disabilities. This entails prohibiting discrimination during the recruitment </w:t>
      </w:r>
      <w:r w:rsidRPr="00771564">
        <w:rPr>
          <w:rFonts w:cstheme="minorHAnsi"/>
          <w:sz w:val="24"/>
          <w:szCs w:val="24"/>
        </w:rPr>
        <w:lastRenderedPageBreak/>
        <w:t xml:space="preserve">phase, facilitating </w:t>
      </w:r>
      <w:proofErr w:type="spellStart"/>
      <w:r w:rsidRPr="00771564">
        <w:rPr>
          <w:rFonts w:cstheme="minorHAnsi"/>
          <w:sz w:val="24"/>
          <w:szCs w:val="24"/>
        </w:rPr>
        <w:t>favorable</w:t>
      </w:r>
      <w:proofErr w:type="spellEnd"/>
      <w:r w:rsidRPr="00771564">
        <w:rPr>
          <w:rFonts w:cstheme="minorHAnsi"/>
          <w:sz w:val="24"/>
          <w:szCs w:val="24"/>
        </w:rPr>
        <w:t xml:space="preserve"> working conditions, and enabling workers' participation in </w:t>
      </w:r>
      <w:proofErr w:type="spellStart"/>
      <w:r w:rsidRPr="00771564">
        <w:rPr>
          <w:rFonts w:cstheme="minorHAnsi"/>
          <w:sz w:val="24"/>
          <w:szCs w:val="24"/>
        </w:rPr>
        <w:t>labor</w:t>
      </w:r>
      <w:proofErr w:type="spellEnd"/>
      <w:r w:rsidRPr="00771564">
        <w:rPr>
          <w:rFonts w:cstheme="minorHAnsi"/>
          <w:sz w:val="24"/>
          <w:szCs w:val="24"/>
        </w:rPr>
        <w:t xml:space="preserve"> unions.</w:t>
      </w:r>
    </w:p>
    <w:p w14:paraId="7A4B2794" w14:textId="6CF7512D" w:rsidR="0038254D" w:rsidRPr="00771564" w:rsidRDefault="0038254D" w:rsidP="0038254D">
      <w:pPr>
        <w:jc w:val="both"/>
        <w:rPr>
          <w:rFonts w:cstheme="minorHAnsi"/>
          <w:sz w:val="24"/>
          <w:szCs w:val="24"/>
        </w:rPr>
      </w:pPr>
      <w:r w:rsidRPr="00771564">
        <w:rPr>
          <w:rFonts w:cstheme="minorHAnsi"/>
          <w:sz w:val="24"/>
          <w:szCs w:val="24"/>
        </w:rPr>
        <w:t>However, reports concerning the right to work and employment for disabled individuals in Bahrain reveal a discordant reality marked by discrimination. Law No. 74 of Bahrain, specifically Article 11, establishes a quota for the employment of disabled persons in the private sector. Furthermore, articles 20-22 provide for penalties for non-compliance with these provisions. Regrettably, these regulations are inadequately implemented and fail to adhere to standards of inclusivity and equality. The primary challenges highlighted in Bahrain's reports revolve around both cultural and structural issues. Stereotypes and employers' apprehensions contribute to the systematic exclusion of disabled individuals from the job market. Moreover, there is a notable lack of effective implementation of legal frameworks aimed at safeguarding the employment rights of disabled individuals. Significantly, financial allocations for enhancing their employment prospects are lacking. The reports indicate a failure to provide incentives to employers for hiring disabled individuals.</w:t>
      </w:r>
    </w:p>
    <w:p w14:paraId="5B32F14C" w14:textId="4ACF53C5" w:rsidR="006E184D" w:rsidRPr="00771564" w:rsidRDefault="0038254D" w:rsidP="0038254D">
      <w:pPr>
        <w:jc w:val="both"/>
        <w:rPr>
          <w:rFonts w:cstheme="minorHAnsi"/>
          <w:sz w:val="24"/>
          <w:szCs w:val="24"/>
        </w:rPr>
      </w:pPr>
      <w:r w:rsidRPr="00771564">
        <w:rPr>
          <w:rFonts w:cstheme="minorHAnsi"/>
          <w:sz w:val="24"/>
          <w:szCs w:val="24"/>
        </w:rPr>
        <w:t>Overall, the situation demonstrates the existence of significant obstacles faced by disabled individuals in accessing meaningful work and employment in Bahrain. Cultural biases, employers' concerns, inadequate implementation of legal frameworks, and insufficient financial support collectively contribute to the marginalization of disabled individuals in the job market.</w:t>
      </w:r>
    </w:p>
    <w:p w14:paraId="4C5FD23E" w14:textId="77777777" w:rsidR="006E184D" w:rsidRPr="00771564" w:rsidRDefault="006E184D" w:rsidP="0038254D">
      <w:pPr>
        <w:jc w:val="both"/>
        <w:rPr>
          <w:rFonts w:cstheme="minorHAnsi"/>
          <w:b/>
          <w:bCs/>
          <w:sz w:val="24"/>
          <w:szCs w:val="24"/>
        </w:rPr>
      </w:pPr>
    </w:p>
    <w:p w14:paraId="13116201" w14:textId="77777777" w:rsidR="000A1C1F" w:rsidRPr="00771564" w:rsidRDefault="008A516B" w:rsidP="0038254D">
      <w:pPr>
        <w:pStyle w:val="Heading3"/>
        <w:jc w:val="both"/>
        <w:rPr>
          <w:rFonts w:asciiTheme="minorHAnsi" w:hAnsiTheme="minorHAnsi" w:cstheme="minorHAnsi"/>
          <w:b/>
          <w:bCs/>
          <w:color w:val="auto"/>
        </w:rPr>
      </w:pPr>
      <w:r w:rsidRPr="00771564">
        <w:rPr>
          <w:rFonts w:asciiTheme="minorHAnsi" w:hAnsiTheme="minorHAnsi" w:cstheme="minorHAnsi"/>
          <w:b/>
          <w:bCs/>
          <w:color w:val="auto"/>
        </w:rPr>
        <w:t>Freedom of Expression (CRPD Article</w:t>
      </w:r>
      <w:r w:rsidR="00491DD7" w:rsidRPr="00771564">
        <w:rPr>
          <w:rFonts w:asciiTheme="minorHAnsi" w:hAnsiTheme="minorHAnsi" w:cstheme="minorHAnsi"/>
          <w:b/>
          <w:bCs/>
          <w:color w:val="auto"/>
        </w:rPr>
        <w:t xml:space="preserve"> 21</w:t>
      </w:r>
      <w:r w:rsidRPr="00771564">
        <w:rPr>
          <w:rFonts w:asciiTheme="minorHAnsi" w:hAnsiTheme="minorHAnsi" w:cstheme="minorHAnsi"/>
          <w:b/>
          <w:bCs/>
          <w:color w:val="auto"/>
        </w:rPr>
        <w:t>)</w:t>
      </w:r>
    </w:p>
    <w:p w14:paraId="1CE96CCC" w14:textId="77777777" w:rsidR="007C45A0" w:rsidRPr="00771564" w:rsidRDefault="007C45A0" w:rsidP="0038254D">
      <w:pPr>
        <w:jc w:val="both"/>
        <w:rPr>
          <w:rFonts w:cstheme="minorHAnsi"/>
          <w:sz w:val="24"/>
          <w:szCs w:val="24"/>
        </w:rPr>
      </w:pPr>
    </w:p>
    <w:p w14:paraId="6AB1D482" w14:textId="69C3E54B" w:rsidR="00771564" w:rsidRPr="00771564" w:rsidRDefault="00771564" w:rsidP="0038254D">
      <w:pPr>
        <w:jc w:val="both"/>
        <w:rPr>
          <w:rFonts w:eastAsiaTheme="majorEastAsia" w:cstheme="minorHAnsi"/>
          <w:sz w:val="24"/>
          <w:szCs w:val="24"/>
        </w:rPr>
      </w:pPr>
      <w:r w:rsidRPr="00771564">
        <w:rPr>
          <w:rFonts w:eastAsiaTheme="majorEastAsia" w:cstheme="minorHAnsi"/>
          <w:sz w:val="24"/>
          <w:szCs w:val="24"/>
        </w:rPr>
        <w:t>As outlined in Article 23 of the Bahrain Constitution, freedom of opinion and scientific research are guaranteed with the caveat that they do not infringe upon the fundamental tenets of Islamic doctrine, do not undermine national unity, and do not promote discord or sectarianism. However, Bahrain's track record reveals a lack of assurance regarding freedom of expression within the country. The government of Bahrain quashes any form of political opposition through measures such as isolation. Since 2017, independent media has been prohibited, and individuals exercising their freedom of expression, including human rights defenders and journalists, face harassment, even for their activities on social media.</w:t>
      </w:r>
    </w:p>
    <w:p w14:paraId="7D4E1632" w14:textId="1D2D375E" w:rsidR="00771564" w:rsidRPr="00771564" w:rsidRDefault="00771564" w:rsidP="0038254D">
      <w:pPr>
        <w:jc w:val="both"/>
        <w:rPr>
          <w:rFonts w:eastAsiaTheme="majorEastAsia" w:cstheme="minorHAnsi"/>
          <w:sz w:val="24"/>
          <w:szCs w:val="24"/>
        </w:rPr>
      </w:pPr>
      <w:r w:rsidRPr="00771564">
        <w:rPr>
          <w:rFonts w:eastAsiaTheme="majorEastAsia" w:cstheme="minorHAnsi"/>
          <w:sz w:val="24"/>
          <w:szCs w:val="24"/>
        </w:rPr>
        <w:t>Regarding the freedom of expression for individuals with disabilities, Bahrain has expressed steps being taken to ensure accessibility of information and communication through various means such as sign language, Braille, audio, or alternative forms of communication. Efforts have also been made to recognize Bahrain's sign language as an official language and promote its learning.</w:t>
      </w:r>
    </w:p>
    <w:p w14:paraId="3EA262B1" w14:textId="76B0F258" w:rsidR="00771564" w:rsidRPr="00771564" w:rsidRDefault="00771564" w:rsidP="0038254D">
      <w:pPr>
        <w:jc w:val="both"/>
        <w:rPr>
          <w:rFonts w:eastAsiaTheme="majorEastAsia" w:cstheme="minorHAnsi"/>
          <w:sz w:val="24"/>
          <w:szCs w:val="24"/>
        </w:rPr>
      </w:pPr>
    </w:p>
    <w:p w14:paraId="216C03BE" w14:textId="4AABDF4D" w:rsidR="006308C1" w:rsidRPr="00771564" w:rsidRDefault="00771564" w:rsidP="0038254D">
      <w:pPr>
        <w:jc w:val="both"/>
        <w:rPr>
          <w:rFonts w:eastAsiaTheme="majorEastAsia" w:cstheme="minorHAnsi"/>
          <w:sz w:val="24"/>
          <w:szCs w:val="24"/>
        </w:rPr>
      </w:pPr>
      <w:r w:rsidRPr="00771564">
        <w:rPr>
          <w:rFonts w:eastAsiaTheme="majorEastAsia" w:cstheme="minorHAnsi"/>
          <w:sz w:val="24"/>
          <w:szCs w:val="24"/>
        </w:rPr>
        <w:t xml:space="preserve">However, gaps and challenges remain in fully realizing the freedom of expression for persons with disabilities. There is a lack of incentives to develop manuals and references in Arabic sign language, as recommended by the Convention. Moreover, no specific policies are in place to support the participation and expression of persons with disabilities in society. Insufficient </w:t>
      </w:r>
      <w:r w:rsidRPr="00771564">
        <w:rPr>
          <w:rFonts w:eastAsiaTheme="majorEastAsia" w:cstheme="minorHAnsi"/>
          <w:sz w:val="24"/>
          <w:szCs w:val="24"/>
        </w:rPr>
        <w:lastRenderedPageBreak/>
        <w:t>funding for training teachers in sign language usage further hampers progress in this area. Additionally, the limited accessibility of public spaces, including libraries, presents a significant obstacle to the freedom of expression for individuals with disabilities. Such restrictions hinder their ability to fully participate in society, form their beliefs, and express themselves.</w:t>
      </w:r>
    </w:p>
    <w:p w14:paraId="0F2DE23B" w14:textId="77777777" w:rsidR="00771564" w:rsidRPr="00771564" w:rsidRDefault="00771564" w:rsidP="0038254D">
      <w:pPr>
        <w:pStyle w:val="Heading3"/>
        <w:jc w:val="both"/>
        <w:rPr>
          <w:rFonts w:asciiTheme="minorHAnsi" w:hAnsiTheme="minorHAnsi" w:cstheme="minorHAnsi"/>
          <w:b/>
          <w:bCs/>
          <w:color w:val="auto"/>
        </w:rPr>
      </w:pPr>
    </w:p>
    <w:p w14:paraId="47D84D8A" w14:textId="1B405C9E" w:rsidR="000A1C1F" w:rsidRPr="00771564" w:rsidRDefault="008A516B" w:rsidP="0038254D">
      <w:pPr>
        <w:pStyle w:val="Heading3"/>
        <w:jc w:val="both"/>
        <w:rPr>
          <w:rFonts w:asciiTheme="minorHAnsi" w:hAnsiTheme="minorHAnsi" w:cstheme="minorHAnsi"/>
          <w:b/>
          <w:bCs/>
          <w:color w:val="auto"/>
        </w:rPr>
      </w:pPr>
      <w:r w:rsidRPr="00771564">
        <w:rPr>
          <w:rFonts w:asciiTheme="minorHAnsi" w:hAnsiTheme="minorHAnsi" w:cstheme="minorHAnsi"/>
          <w:b/>
          <w:bCs/>
          <w:color w:val="auto"/>
        </w:rPr>
        <w:t>Right to Health (CRPD Article</w:t>
      </w:r>
      <w:r w:rsidR="00491DD7" w:rsidRPr="00771564">
        <w:rPr>
          <w:rFonts w:asciiTheme="minorHAnsi" w:hAnsiTheme="minorHAnsi" w:cstheme="minorHAnsi"/>
          <w:b/>
          <w:bCs/>
          <w:color w:val="auto"/>
        </w:rPr>
        <w:t xml:space="preserve"> 25</w:t>
      </w:r>
      <w:r w:rsidRPr="00771564">
        <w:rPr>
          <w:rFonts w:asciiTheme="minorHAnsi" w:hAnsiTheme="minorHAnsi" w:cstheme="minorHAnsi"/>
          <w:b/>
          <w:bCs/>
          <w:color w:val="auto"/>
        </w:rPr>
        <w:t>)</w:t>
      </w:r>
    </w:p>
    <w:p w14:paraId="04A9DD46" w14:textId="77777777" w:rsidR="00771564" w:rsidRPr="00771564" w:rsidRDefault="00771564" w:rsidP="0038254D">
      <w:pPr>
        <w:jc w:val="both"/>
        <w:rPr>
          <w:rFonts w:cstheme="minorHAnsi"/>
          <w:sz w:val="24"/>
          <w:szCs w:val="24"/>
        </w:rPr>
      </w:pPr>
    </w:p>
    <w:p w14:paraId="3A238CEE" w14:textId="169F365A" w:rsidR="00771564" w:rsidRPr="00771564" w:rsidRDefault="00771564" w:rsidP="0038254D">
      <w:pPr>
        <w:jc w:val="both"/>
        <w:rPr>
          <w:rFonts w:cstheme="minorHAnsi"/>
          <w:sz w:val="24"/>
          <w:szCs w:val="24"/>
        </w:rPr>
      </w:pPr>
      <w:r w:rsidRPr="00771564">
        <w:rPr>
          <w:rFonts w:cstheme="minorHAnsi"/>
          <w:sz w:val="24"/>
          <w:szCs w:val="24"/>
        </w:rPr>
        <w:t xml:space="preserve">As prescribed in Article 8 of the Bahrain Constitution, every citizen of Bahrain has the right to receive healthcare, with the government assuming a primary role in ensuring public health. Bahrain asserts </w:t>
      </w:r>
      <w:r>
        <w:rPr>
          <w:rFonts w:cstheme="minorHAnsi"/>
          <w:sz w:val="24"/>
          <w:szCs w:val="24"/>
        </w:rPr>
        <w:t>it maintains</w:t>
      </w:r>
      <w:r w:rsidRPr="00771564">
        <w:rPr>
          <w:rFonts w:cstheme="minorHAnsi"/>
          <w:sz w:val="24"/>
          <w:szCs w:val="24"/>
        </w:rPr>
        <w:t xml:space="preserve"> collaboration with stakeholders to deliver high-quality services for all citizens. However, a report by the World Health Organization (WHO) </w:t>
      </w:r>
      <w:proofErr w:type="gramStart"/>
      <w:r w:rsidRPr="00771564">
        <w:rPr>
          <w:rFonts w:cstheme="minorHAnsi"/>
          <w:sz w:val="24"/>
          <w:szCs w:val="24"/>
        </w:rPr>
        <w:t>on</w:t>
      </w:r>
      <w:proofErr w:type="gramEnd"/>
      <w:r w:rsidRPr="00771564">
        <w:rPr>
          <w:rFonts w:cstheme="minorHAnsi"/>
          <w:sz w:val="24"/>
          <w:szCs w:val="24"/>
        </w:rPr>
        <w:t xml:space="preserve"> Bahrain underscores the importance of enhancing national health strategies in order to strengthen the evidence base for disability and rehabilitation initiatives. The report identifies various areas for improvement, particularly the need for increased funding for disability-inclusive approaches, particularly in the implementation of emergency response plans. This issue became especially apparent during the COVID-19 crisis, highlighting a lack of awareness and preparedness regarding persons with disabilities and emergency situations.</w:t>
      </w:r>
    </w:p>
    <w:p w14:paraId="23DC70A6" w14:textId="652857B5" w:rsidR="00771564" w:rsidRPr="00771564" w:rsidRDefault="00771564" w:rsidP="0038254D">
      <w:pPr>
        <w:jc w:val="both"/>
        <w:rPr>
          <w:rFonts w:cstheme="minorHAnsi"/>
          <w:sz w:val="24"/>
          <w:szCs w:val="24"/>
        </w:rPr>
      </w:pPr>
      <w:r w:rsidRPr="00771564">
        <w:rPr>
          <w:rFonts w:cstheme="minorHAnsi"/>
          <w:sz w:val="24"/>
          <w:szCs w:val="24"/>
        </w:rPr>
        <w:t>Furthermore, the WHO report emphasizes the necessity for greater independence between the public and private sectors in healthcare provision. The health of citizens is contingent upon the government's decisions regarding resource allocation, often resulting in insufficient investments to meet the demand for specialized health services. The decrease in the number of healthcare professionals poses a risk to the provision of specialized assistance for disabled individuals. Additionally, there is a lack of integration, communication, and coordination among different sectors within the Ministry of Health, resulting in fragmented policies that frequently lead to inefficiencies.</w:t>
      </w:r>
    </w:p>
    <w:p w14:paraId="0E948846" w14:textId="5F3C357A" w:rsidR="00A2143C" w:rsidRPr="00771564" w:rsidRDefault="00771564" w:rsidP="0038254D">
      <w:pPr>
        <w:jc w:val="both"/>
        <w:rPr>
          <w:rFonts w:cstheme="minorHAnsi"/>
          <w:sz w:val="24"/>
          <w:szCs w:val="24"/>
        </w:rPr>
      </w:pPr>
      <w:r w:rsidRPr="00771564">
        <w:rPr>
          <w:rFonts w:cstheme="minorHAnsi"/>
          <w:sz w:val="24"/>
          <w:szCs w:val="24"/>
        </w:rPr>
        <w:t>In summary, the findings indicate that while Bahrain recognizes the right to healthcare for its citizens, there are areas that require attention and improvement. By addressing funding gaps, strengthening emergency response plans, increasing workforce capacity, and fostering better coordination within the Ministry of Health, Bahrain can advance its efforts towards providing comprehensive and inclusive healthcare services for individuals with disabilities.</w:t>
      </w:r>
    </w:p>
    <w:p w14:paraId="733CA5CA" w14:textId="77777777" w:rsidR="000A1C1F" w:rsidRPr="00771564" w:rsidRDefault="000A1C1F" w:rsidP="0038254D">
      <w:pPr>
        <w:jc w:val="both"/>
        <w:rPr>
          <w:rFonts w:cstheme="minorHAnsi"/>
          <w:sz w:val="24"/>
          <w:szCs w:val="24"/>
        </w:rPr>
      </w:pPr>
    </w:p>
    <w:p w14:paraId="78B137B5" w14:textId="77777777" w:rsidR="008C2617" w:rsidRPr="00771564" w:rsidRDefault="008A516B" w:rsidP="0038254D">
      <w:pPr>
        <w:pStyle w:val="Heading3"/>
        <w:jc w:val="both"/>
        <w:rPr>
          <w:rFonts w:asciiTheme="minorHAnsi" w:hAnsiTheme="minorHAnsi" w:cstheme="minorHAnsi"/>
          <w:b/>
          <w:bCs/>
          <w:color w:val="auto"/>
        </w:rPr>
      </w:pPr>
      <w:r w:rsidRPr="00771564">
        <w:rPr>
          <w:rFonts w:asciiTheme="minorHAnsi" w:hAnsiTheme="minorHAnsi" w:cstheme="minorHAnsi"/>
          <w:b/>
          <w:bCs/>
          <w:color w:val="auto"/>
        </w:rPr>
        <w:t>Recommendations</w:t>
      </w:r>
    </w:p>
    <w:p w14:paraId="41B30860" w14:textId="77777777" w:rsidR="00995D09" w:rsidRPr="00771564" w:rsidRDefault="00995D09" w:rsidP="0038254D">
      <w:pPr>
        <w:jc w:val="both"/>
        <w:rPr>
          <w:rFonts w:cstheme="minorHAnsi"/>
          <w:sz w:val="24"/>
          <w:szCs w:val="24"/>
        </w:rPr>
      </w:pPr>
    </w:p>
    <w:p w14:paraId="0C551AD4" w14:textId="77777777" w:rsidR="00995D09" w:rsidRPr="00771564" w:rsidRDefault="008A516B" w:rsidP="0038254D">
      <w:pPr>
        <w:pStyle w:val="ListParagraph"/>
        <w:numPr>
          <w:ilvl w:val="0"/>
          <w:numId w:val="10"/>
        </w:numPr>
        <w:jc w:val="both"/>
        <w:rPr>
          <w:rFonts w:cstheme="minorHAnsi"/>
          <w:sz w:val="24"/>
          <w:szCs w:val="24"/>
        </w:rPr>
      </w:pPr>
      <w:r w:rsidRPr="00771564">
        <w:rPr>
          <w:rFonts w:cstheme="minorHAnsi"/>
          <w:sz w:val="24"/>
          <w:szCs w:val="24"/>
        </w:rPr>
        <w:t xml:space="preserve">Provide detainees and </w:t>
      </w:r>
      <w:r w:rsidRPr="00771564">
        <w:rPr>
          <w:rFonts w:cstheme="minorHAnsi"/>
          <w:sz w:val="24"/>
          <w:szCs w:val="24"/>
        </w:rPr>
        <w:t>prisoners adequate healthcare, including prescriptions, medical equipment, and doctor's visits.</w:t>
      </w:r>
    </w:p>
    <w:p w14:paraId="37F2E339" w14:textId="77777777" w:rsidR="006E047B" w:rsidRPr="00771564" w:rsidRDefault="008A516B" w:rsidP="0038254D">
      <w:pPr>
        <w:pStyle w:val="ListParagraph"/>
        <w:numPr>
          <w:ilvl w:val="0"/>
          <w:numId w:val="10"/>
        </w:numPr>
        <w:jc w:val="both"/>
        <w:rPr>
          <w:rFonts w:cstheme="minorHAnsi"/>
          <w:sz w:val="24"/>
          <w:szCs w:val="24"/>
        </w:rPr>
      </w:pPr>
      <w:r w:rsidRPr="00771564">
        <w:rPr>
          <w:rFonts w:cstheme="minorHAnsi"/>
          <w:sz w:val="24"/>
          <w:szCs w:val="24"/>
        </w:rPr>
        <w:t>Investigate allegations of torture and prosecute prison authorities who use individuals' disabilities against them.</w:t>
      </w:r>
    </w:p>
    <w:p w14:paraId="7C03E1FD" w14:textId="77777777" w:rsidR="006E047B" w:rsidRPr="00771564" w:rsidRDefault="008A516B" w:rsidP="0038254D">
      <w:pPr>
        <w:pStyle w:val="ListParagraph"/>
        <w:numPr>
          <w:ilvl w:val="0"/>
          <w:numId w:val="10"/>
        </w:numPr>
        <w:jc w:val="both"/>
        <w:rPr>
          <w:rFonts w:cstheme="minorHAnsi"/>
          <w:sz w:val="24"/>
          <w:szCs w:val="24"/>
        </w:rPr>
      </w:pPr>
      <w:r w:rsidRPr="00771564">
        <w:rPr>
          <w:rFonts w:cstheme="minorHAnsi"/>
          <w:sz w:val="24"/>
          <w:szCs w:val="24"/>
        </w:rPr>
        <w:t xml:space="preserve">Emit new laws or amend the existing ones to </w:t>
      </w:r>
      <w:r w:rsidRPr="00771564">
        <w:rPr>
          <w:rFonts w:cstheme="minorHAnsi"/>
          <w:sz w:val="24"/>
          <w:szCs w:val="24"/>
        </w:rPr>
        <w:t>meet the standards set by the CRPD Convention.</w:t>
      </w:r>
    </w:p>
    <w:p w14:paraId="3C019069" w14:textId="77777777" w:rsidR="006E047B" w:rsidRPr="00771564" w:rsidRDefault="008A516B" w:rsidP="0038254D">
      <w:pPr>
        <w:pStyle w:val="ListParagraph"/>
        <w:numPr>
          <w:ilvl w:val="0"/>
          <w:numId w:val="10"/>
        </w:numPr>
        <w:jc w:val="both"/>
        <w:rPr>
          <w:rFonts w:cstheme="minorHAnsi"/>
          <w:sz w:val="24"/>
          <w:szCs w:val="24"/>
        </w:rPr>
      </w:pPr>
      <w:r w:rsidRPr="00771564">
        <w:rPr>
          <w:rFonts w:cstheme="minorHAnsi"/>
          <w:sz w:val="24"/>
          <w:szCs w:val="24"/>
        </w:rPr>
        <w:lastRenderedPageBreak/>
        <w:t>Ratify the Optional Protocol of the CRPD Convention.</w:t>
      </w:r>
    </w:p>
    <w:p w14:paraId="230DDC65" w14:textId="77777777" w:rsidR="006E047B" w:rsidRPr="00771564" w:rsidRDefault="008A516B" w:rsidP="0038254D">
      <w:pPr>
        <w:pStyle w:val="ListParagraph"/>
        <w:numPr>
          <w:ilvl w:val="0"/>
          <w:numId w:val="10"/>
        </w:numPr>
        <w:jc w:val="both"/>
        <w:rPr>
          <w:rFonts w:cstheme="minorHAnsi"/>
          <w:sz w:val="24"/>
          <w:szCs w:val="24"/>
        </w:rPr>
      </w:pPr>
      <w:r w:rsidRPr="00771564">
        <w:rPr>
          <w:rFonts w:cstheme="minorHAnsi"/>
          <w:sz w:val="24"/>
          <w:szCs w:val="24"/>
        </w:rPr>
        <w:t>Provide accurate data on the number of disabled persons living in the country.</w:t>
      </w:r>
    </w:p>
    <w:p w14:paraId="65CCD6C5" w14:textId="77777777" w:rsidR="006E047B" w:rsidRPr="00771564" w:rsidRDefault="008A516B" w:rsidP="0038254D">
      <w:pPr>
        <w:pStyle w:val="ListParagraph"/>
        <w:numPr>
          <w:ilvl w:val="0"/>
          <w:numId w:val="10"/>
        </w:numPr>
        <w:jc w:val="both"/>
        <w:rPr>
          <w:rFonts w:cstheme="minorHAnsi"/>
          <w:sz w:val="24"/>
          <w:szCs w:val="24"/>
        </w:rPr>
      </w:pPr>
      <w:r w:rsidRPr="00771564">
        <w:rPr>
          <w:rFonts w:cstheme="minorHAnsi"/>
          <w:sz w:val="24"/>
          <w:szCs w:val="24"/>
        </w:rPr>
        <w:t xml:space="preserve">Present transparently the investments ideated for disabled persons and </w:t>
      </w:r>
      <w:proofErr w:type="gramStart"/>
      <w:r w:rsidRPr="00771564">
        <w:rPr>
          <w:rFonts w:cstheme="minorHAnsi"/>
          <w:sz w:val="24"/>
          <w:szCs w:val="24"/>
        </w:rPr>
        <w:t>State</w:t>
      </w:r>
      <w:proofErr w:type="gramEnd"/>
      <w:r w:rsidRPr="00771564">
        <w:rPr>
          <w:rFonts w:cstheme="minorHAnsi"/>
          <w:sz w:val="24"/>
          <w:szCs w:val="24"/>
        </w:rPr>
        <w:t xml:space="preserve"> </w:t>
      </w:r>
      <w:r w:rsidRPr="00771564">
        <w:rPr>
          <w:rFonts w:cstheme="minorHAnsi"/>
          <w:sz w:val="24"/>
          <w:szCs w:val="24"/>
        </w:rPr>
        <w:t>the instruction and implementation of the National Strategies for Persons with Disabilities.</w:t>
      </w:r>
    </w:p>
    <w:p w14:paraId="7E5839BA" w14:textId="77777777" w:rsidR="006E047B" w:rsidRPr="00771564" w:rsidRDefault="008A516B" w:rsidP="0038254D">
      <w:pPr>
        <w:pStyle w:val="ListParagraph"/>
        <w:numPr>
          <w:ilvl w:val="0"/>
          <w:numId w:val="10"/>
        </w:numPr>
        <w:jc w:val="both"/>
        <w:rPr>
          <w:rFonts w:cstheme="minorHAnsi"/>
          <w:sz w:val="24"/>
          <w:szCs w:val="24"/>
        </w:rPr>
      </w:pPr>
      <w:r w:rsidRPr="00771564">
        <w:rPr>
          <w:rFonts w:cstheme="minorHAnsi"/>
          <w:sz w:val="24"/>
          <w:szCs w:val="24"/>
        </w:rPr>
        <w:t>Ensure adequate enforcement of the laws safeguarding disabled persons.</w:t>
      </w:r>
    </w:p>
    <w:p w14:paraId="19AB7F92" w14:textId="77777777" w:rsidR="006E047B" w:rsidRPr="00771564" w:rsidRDefault="008A516B" w:rsidP="0038254D">
      <w:pPr>
        <w:pStyle w:val="ListParagraph"/>
        <w:numPr>
          <w:ilvl w:val="0"/>
          <w:numId w:val="10"/>
        </w:numPr>
        <w:jc w:val="both"/>
        <w:rPr>
          <w:rFonts w:cstheme="minorHAnsi"/>
          <w:sz w:val="24"/>
          <w:szCs w:val="24"/>
        </w:rPr>
      </w:pPr>
      <w:r w:rsidRPr="00771564">
        <w:rPr>
          <w:rFonts w:cstheme="minorHAnsi"/>
          <w:sz w:val="24"/>
          <w:szCs w:val="24"/>
        </w:rPr>
        <w:t>Provide sensibilization campaigns to educate and include disabled persons in society.</w:t>
      </w:r>
    </w:p>
    <w:p w14:paraId="6349C633" w14:textId="77777777" w:rsidR="006E047B" w:rsidRPr="00771564" w:rsidRDefault="008A516B" w:rsidP="0038254D">
      <w:pPr>
        <w:pStyle w:val="ListParagraph"/>
        <w:numPr>
          <w:ilvl w:val="0"/>
          <w:numId w:val="10"/>
        </w:numPr>
        <w:jc w:val="both"/>
        <w:rPr>
          <w:rFonts w:cstheme="minorHAnsi"/>
          <w:sz w:val="24"/>
          <w:szCs w:val="24"/>
        </w:rPr>
      </w:pPr>
      <w:r w:rsidRPr="00771564">
        <w:rPr>
          <w:rFonts w:cstheme="minorHAnsi"/>
          <w:sz w:val="24"/>
          <w:szCs w:val="24"/>
        </w:rPr>
        <w:t>Collab</w:t>
      </w:r>
      <w:r w:rsidRPr="00771564">
        <w:rPr>
          <w:rFonts w:cstheme="minorHAnsi"/>
          <w:sz w:val="24"/>
          <w:szCs w:val="24"/>
        </w:rPr>
        <w:t>orate and consult disabled persons when drafting National Strategies.</w:t>
      </w:r>
    </w:p>
    <w:p w14:paraId="20457B48" w14:textId="77777777" w:rsidR="00F36740" w:rsidRPr="00771564" w:rsidRDefault="00F36740" w:rsidP="0038254D">
      <w:pPr>
        <w:jc w:val="both"/>
        <w:rPr>
          <w:rFonts w:cstheme="minorHAnsi"/>
          <w:sz w:val="24"/>
          <w:szCs w:val="24"/>
        </w:rPr>
      </w:pPr>
    </w:p>
    <w:sectPr w:rsidR="00F36740" w:rsidRPr="007715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D1A12"/>
    <w:multiLevelType w:val="hybridMultilevel"/>
    <w:tmpl w:val="ED903612"/>
    <w:lvl w:ilvl="0" w:tplc="93084198">
      <w:start w:val="1"/>
      <w:numFmt w:val="decimal"/>
      <w:lvlText w:val="%1)"/>
      <w:lvlJc w:val="left"/>
      <w:pPr>
        <w:ind w:left="720" w:hanging="360"/>
      </w:pPr>
      <w:rPr>
        <w:rFonts w:hint="default"/>
      </w:rPr>
    </w:lvl>
    <w:lvl w:ilvl="1" w:tplc="B3844270" w:tentative="1">
      <w:start w:val="1"/>
      <w:numFmt w:val="lowerLetter"/>
      <w:lvlText w:val="%2."/>
      <w:lvlJc w:val="left"/>
      <w:pPr>
        <w:ind w:left="1440" w:hanging="360"/>
      </w:pPr>
    </w:lvl>
    <w:lvl w:ilvl="2" w:tplc="20D84CDA" w:tentative="1">
      <w:start w:val="1"/>
      <w:numFmt w:val="lowerRoman"/>
      <w:lvlText w:val="%3."/>
      <w:lvlJc w:val="right"/>
      <w:pPr>
        <w:ind w:left="2160" w:hanging="180"/>
      </w:pPr>
    </w:lvl>
    <w:lvl w:ilvl="3" w:tplc="DE3A033A" w:tentative="1">
      <w:start w:val="1"/>
      <w:numFmt w:val="decimal"/>
      <w:lvlText w:val="%4."/>
      <w:lvlJc w:val="left"/>
      <w:pPr>
        <w:ind w:left="2880" w:hanging="360"/>
      </w:pPr>
    </w:lvl>
    <w:lvl w:ilvl="4" w:tplc="30AC7CD6" w:tentative="1">
      <w:start w:val="1"/>
      <w:numFmt w:val="lowerLetter"/>
      <w:lvlText w:val="%5."/>
      <w:lvlJc w:val="left"/>
      <w:pPr>
        <w:ind w:left="3600" w:hanging="360"/>
      </w:pPr>
    </w:lvl>
    <w:lvl w:ilvl="5" w:tplc="AD1A3DC8" w:tentative="1">
      <w:start w:val="1"/>
      <w:numFmt w:val="lowerRoman"/>
      <w:lvlText w:val="%6."/>
      <w:lvlJc w:val="right"/>
      <w:pPr>
        <w:ind w:left="4320" w:hanging="180"/>
      </w:pPr>
    </w:lvl>
    <w:lvl w:ilvl="6" w:tplc="6D5AAD5E" w:tentative="1">
      <w:start w:val="1"/>
      <w:numFmt w:val="decimal"/>
      <w:lvlText w:val="%7."/>
      <w:lvlJc w:val="left"/>
      <w:pPr>
        <w:ind w:left="5040" w:hanging="360"/>
      </w:pPr>
    </w:lvl>
    <w:lvl w:ilvl="7" w:tplc="999C984E" w:tentative="1">
      <w:start w:val="1"/>
      <w:numFmt w:val="lowerLetter"/>
      <w:lvlText w:val="%8."/>
      <w:lvlJc w:val="left"/>
      <w:pPr>
        <w:ind w:left="5760" w:hanging="360"/>
      </w:pPr>
    </w:lvl>
    <w:lvl w:ilvl="8" w:tplc="53EABB6C" w:tentative="1">
      <w:start w:val="1"/>
      <w:numFmt w:val="lowerRoman"/>
      <w:lvlText w:val="%9."/>
      <w:lvlJc w:val="right"/>
      <w:pPr>
        <w:ind w:left="6480" w:hanging="180"/>
      </w:pPr>
    </w:lvl>
  </w:abstractNum>
  <w:abstractNum w:abstractNumId="1" w15:restartNumberingAfterBreak="0">
    <w:nsid w:val="25F554E9"/>
    <w:multiLevelType w:val="hybridMultilevel"/>
    <w:tmpl w:val="972CE76A"/>
    <w:lvl w:ilvl="0" w:tplc="77EC1A26">
      <w:start w:val="1"/>
      <w:numFmt w:val="decimal"/>
      <w:lvlText w:val="%1)"/>
      <w:lvlJc w:val="left"/>
      <w:pPr>
        <w:ind w:left="720" w:hanging="360"/>
      </w:pPr>
      <w:rPr>
        <w:rFonts w:hint="default"/>
      </w:rPr>
    </w:lvl>
    <w:lvl w:ilvl="1" w:tplc="93F0C15C" w:tentative="1">
      <w:start w:val="1"/>
      <w:numFmt w:val="lowerLetter"/>
      <w:lvlText w:val="%2."/>
      <w:lvlJc w:val="left"/>
      <w:pPr>
        <w:ind w:left="1440" w:hanging="360"/>
      </w:pPr>
    </w:lvl>
    <w:lvl w:ilvl="2" w:tplc="62023C1C" w:tentative="1">
      <w:start w:val="1"/>
      <w:numFmt w:val="lowerRoman"/>
      <w:lvlText w:val="%3."/>
      <w:lvlJc w:val="right"/>
      <w:pPr>
        <w:ind w:left="2160" w:hanging="180"/>
      </w:pPr>
    </w:lvl>
    <w:lvl w:ilvl="3" w:tplc="66A8BB7A" w:tentative="1">
      <w:start w:val="1"/>
      <w:numFmt w:val="decimal"/>
      <w:lvlText w:val="%4."/>
      <w:lvlJc w:val="left"/>
      <w:pPr>
        <w:ind w:left="2880" w:hanging="360"/>
      </w:pPr>
    </w:lvl>
    <w:lvl w:ilvl="4" w:tplc="E03AC0AA" w:tentative="1">
      <w:start w:val="1"/>
      <w:numFmt w:val="lowerLetter"/>
      <w:lvlText w:val="%5."/>
      <w:lvlJc w:val="left"/>
      <w:pPr>
        <w:ind w:left="3600" w:hanging="360"/>
      </w:pPr>
    </w:lvl>
    <w:lvl w:ilvl="5" w:tplc="ECCABBC2" w:tentative="1">
      <w:start w:val="1"/>
      <w:numFmt w:val="lowerRoman"/>
      <w:lvlText w:val="%6."/>
      <w:lvlJc w:val="right"/>
      <w:pPr>
        <w:ind w:left="4320" w:hanging="180"/>
      </w:pPr>
    </w:lvl>
    <w:lvl w:ilvl="6" w:tplc="972C09D8" w:tentative="1">
      <w:start w:val="1"/>
      <w:numFmt w:val="decimal"/>
      <w:lvlText w:val="%7."/>
      <w:lvlJc w:val="left"/>
      <w:pPr>
        <w:ind w:left="5040" w:hanging="360"/>
      </w:pPr>
    </w:lvl>
    <w:lvl w:ilvl="7" w:tplc="0C043724" w:tentative="1">
      <w:start w:val="1"/>
      <w:numFmt w:val="lowerLetter"/>
      <w:lvlText w:val="%8."/>
      <w:lvlJc w:val="left"/>
      <w:pPr>
        <w:ind w:left="5760" w:hanging="360"/>
      </w:pPr>
    </w:lvl>
    <w:lvl w:ilvl="8" w:tplc="D76A9CA6" w:tentative="1">
      <w:start w:val="1"/>
      <w:numFmt w:val="lowerRoman"/>
      <w:lvlText w:val="%9."/>
      <w:lvlJc w:val="right"/>
      <w:pPr>
        <w:ind w:left="6480" w:hanging="180"/>
      </w:pPr>
    </w:lvl>
  </w:abstractNum>
  <w:abstractNum w:abstractNumId="2" w15:restartNumberingAfterBreak="0">
    <w:nsid w:val="2FC979CE"/>
    <w:multiLevelType w:val="hybridMultilevel"/>
    <w:tmpl w:val="847CFF82"/>
    <w:lvl w:ilvl="0" w:tplc="F2FC55C2">
      <w:start w:val="1"/>
      <w:numFmt w:val="decimal"/>
      <w:lvlText w:val="%1)"/>
      <w:lvlJc w:val="left"/>
      <w:pPr>
        <w:ind w:left="720" w:hanging="360"/>
      </w:pPr>
      <w:rPr>
        <w:rFonts w:hint="default"/>
      </w:rPr>
    </w:lvl>
    <w:lvl w:ilvl="1" w:tplc="78EA0A8A" w:tentative="1">
      <w:start w:val="1"/>
      <w:numFmt w:val="lowerLetter"/>
      <w:lvlText w:val="%2."/>
      <w:lvlJc w:val="left"/>
      <w:pPr>
        <w:ind w:left="1440" w:hanging="360"/>
      </w:pPr>
    </w:lvl>
    <w:lvl w:ilvl="2" w:tplc="B85C1512" w:tentative="1">
      <w:start w:val="1"/>
      <w:numFmt w:val="lowerRoman"/>
      <w:lvlText w:val="%3."/>
      <w:lvlJc w:val="right"/>
      <w:pPr>
        <w:ind w:left="2160" w:hanging="180"/>
      </w:pPr>
    </w:lvl>
    <w:lvl w:ilvl="3" w:tplc="AF68BE8E" w:tentative="1">
      <w:start w:val="1"/>
      <w:numFmt w:val="decimal"/>
      <w:lvlText w:val="%4."/>
      <w:lvlJc w:val="left"/>
      <w:pPr>
        <w:ind w:left="2880" w:hanging="360"/>
      </w:pPr>
    </w:lvl>
    <w:lvl w:ilvl="4" w:tplc="D05840D8" w:tentative="1">
      <w:start w:val="1"/>
      <w:numFmt w:val="lowerLetter"/>
      <w:lvlText w:val="%5."/>
      <w:lvlJc w:val="left"/>
      <w:pPr>
        <w:ind w:left="3600" w:hanging="360"/>
      </w:pPr>
    </w:lvl>
    <w:lvl w:ilvl="5" w:tplc="31C23386" w:tentative="1">
      <w:start w:val="1"/>
      <w:numFmt w:val="lowerRoman"/>
      <w:lvlText w:val="%6."/>
      <w:lvlJc w:val="right"/>
      <w:pPr>
        <w:ind w:left="4320" w:hanging="180"/>
      </w:pPr>
    </w:lvl>
    <w:lvl w:ilvl="6" w:tplc="0CA0BFEE" w:tentative="1">
      <w:start w:val="1"/>
      <w:numFmt w:val="decimal"/>
      <w:lvlText w:val="%7."/>
      <w:lvlJc w:val="left"/>
      <w:pPr>
        <w:ind w:left="5040" w:hanging="360"/>
      </w:pPr>
    </w:lvl>
    <w:lvl w:ilvl="7" w:tplc="B6DCAC76" w:tentative="1">
      <w:start w:val="1"/>
      <w:numFmt w:val="lowerLetter"/>
      <w:lvlText w:val="%8."/>
      <w:lvlJc w:val="left"/>
      <w:pPr>
        <w:ind w:left="5760" w:hanging="360"/>
      </w:pPr>
    </w:lvl>
    <w:lvl w:ilvl="8" w:tplc="BD5E6642" w:tentative="1">
      <w:start w:val="1"/>
      <w:numFmt w:val="lowerRoman"/>
      <w:lvlText w:val="%9."/>
      <w:lvlJc w:val="right"/>
      <w:pPr>
        <w:ind w:left="6480" w:hanging="180"/>
      </w:pPr>
    </w:lvl>
  </w:abstractNum>
  <w:abstractNum w:abstractNumId="3" w15:restartNumberingAfterBreak="0">
    <w:nsid w:val="4B9846F2"/>
    <w:multiLevelType w:val="hybridMultilevel"/>
    <w:tmpl w:val="0A5A8384"/>
    <w:lvl w:ilvl="0" w:tplc="3926E9DE">
      <w:start w:val="1"/>
      <w:numFmt w:val="bullet"/>
      <w:lvlText w:val=""/>
      <w:lvlJc w:val="left"/>
      <w:pPr>
        <w:ind w:left="720" w:hanging="360"/>
      </w:pPr>
      <w:rPr>
        <w:rFonts w:ascii="Symbol" w:hAnsi="Symbol" w:hint="default"/>
      </w:rPr>
    </w:lvl>
    <w:lvl w:ilvl="1" w:tplc="791CCC56" w:tentative="1">
      <w:start w:val="1"/>
      <w:numFmt w:val="bullet"/>
      <w:lvlText w:val="o"/>
      <w:lvlJc w:val="left"/>
      <w:pPr>
        <w:ind w:left="1440" w:hanging="360"/>
      </w:pPr>
      <w:rPr>
        <w:rFonts w:ascii="Courier New" w:hAnsi="Courier New" w:cs="Courier New" w:hint="default"/>
      </w:rPr>
    </w:lvl>
    <w:lvl w:ilvl="2" w:tplc="7CB6AF2E" w:tentative="1">
      <w:start w:val="1"/>
      <w:numFmt w:val="bullet"/>
      <w:lvlText w:val=""/>
      <w:lvlJc w:val="left"/>
      <w:pPr>
        <w:ind w:left="2160" w:hanging="360"/>
      </w:pPr>
      <w:rPr>
        <w:rFonts w:ascii="Wingdings" w:hAnsi="Wingdings" w:hint="default"/>
      </w:rPr>
    </w:lvl>
    <w:lvl w:ilvl="3" w:tplc="2BF22B2E" w:tentative="1">
      <w:start w:val="1"/>
      <w:numFmt w:val="bullet"/>
      <w:lvlText w:val=""/>
      <w:lvlJc w:val="left"/>
      <w:pPr>
        <w:ind w:left="2880" w:hanging="360"/>
      </w:pPr>
      <w:rPr>
        <w:rFonts w:ascii="Symbol" w:hAnsi="Symbol" w:hint="default"/>
      </w:rPr>
    </w:lvl>
    <w:lvl w:ilvl="4" w:tplc="EA82193A" w:tentative="1">
      <w:start w:val="1"/>
      <w:numFmt w:val="bullet"/>
      <w:lvlText w:val="o"/>
      <w:lvlJc w:val="left"/>
      <w:pPr>
        <w:ind w:left="3600" w:hanging="360"/>
      </w:pPr>
      <w:rPr>
        <w:rFonts w:ascii="Courier New" w:hAnsi="Courier New" w:cs="Courier New" w:hint="default"/>
      </w:rPr>
    </w:lvl>
    <w:lvl w:ilvl="5" w:tplc="27A68C72" w:tentative="1">
      <w:start w:val="1"/>
      <w:numFmt w:val="bullet"/>
      <w:lvlText w:val=""/>
      <w:lvlJc w:val="left"/>
      <w:pPr>
        <w:ind w:left="4320" w:hanging="360"/>
      </w:pPr>
      <w:rPr>
        <w:rFonts w:ascii="Wingdings" w:hAnsi="Wingdings" w:hint="default"/>
      </w:rPr>
    </w:lvl>
    <w:lvl w:ilvl="6" w:tplc="61E289F4" w:tentative="1">
      <w:start w:val="1"/>
      <w:numFmt w:val="bullet"/>
      <w:lvlText w:val=""/>
      <w:lvlJc w:val="left"/>
      <w:pPr>
        <w:ind w:left="5040" w:hanging="360"/>
      </w:pPr>
      <w:rPr>
        <w:rFonts w:ascii="Symbol" w:hAnsi="Symbol" w:hint="default"/>
      </w:rPr>
    </w:lvl>
    <w:lvl w:ilvl="7" w:tplc="E5E4F7F2" w:tentative="1">
      <w:start w:val="1"/>
      <w:numFmt w:val="bullet"/>
      <w:lvlText w:val="o"/>
      <w:lvlJc w:val="left"/>
      <w:pPr>
        <w:ind w:left="5760" w:hanging="360"/>
      </w:pPr>
      <w:rPr>
        <w:rFonts w:ascii="Courier New" w:hAnsi="Courier New" w:cs="Courier New" w:hint="default"/>
      </w:rPr>
    </w:lvl>
    <w:lvl w:ilvl="8" w:tplc="AC886074" w:tentative="1">
      <w:start w:val="1"/>
      <w:numFmt w:val="bullet"/>
      <w:lvlText w:val=""/>
      <w:lvlJc w:val="left"/>
      <w:pPr>
        <w:ind w:left="6480" w:hanging="360"/>
      </w:pPr>
      <w:rPr>
        <w:rFonts w:ascii="Wingdings" w:hAnsi="Wingdings" w:hint="default"/>
      </w:rPr>
    </w:lvl>
  </w:abstractNum>
  <w:abstractNum w:abstractNumId="4" w15:restartNumberingAfterBreak="0">
    <w:nsid w:val="5EF80954"/>
    <w:multiLevelType w:val="hybridMultilevel"/>
    <w:tmpl w:val="C14AA7B0"/>
    <w:lvl w:ilvl="0" w:tplc="D0FCCF9E">
      <w:start w:val="1"/>
      <w:numFmt w:val="decimal"/>
      <w:lvlText w:val="%1)"/>
      <w:lvlJc w:val="left"/>
      <w:pPr>
        <w:ind w:left="720" w:hanging="360"/>
      </w:pPr>
      <w:rPr>
        <w:rFonts w:hint="default"/>
      </w:rPr>
    </w:lvl>
    <w:lvl w:ilvl="1" w:tplc="6E3673B6" w:tentative="1">
      <w:start w:val="1"/>
      <w:numFmt w:val="lowerLetter"/>
      <w:lvlText w:val="%2."/>
      <w:lvlJc w:val="left"/>
      <w:pPr>
        <w:ind w:left="1440" w:hanging="360"/>
      </w:pPr>
    </w:lvl>
    <w:lvl w:ilvl="2" w:tplc="AF4A37A2" w:tentative="1">
      <w:start w:val="1"/>
      <w:numFmt w:val="lowerRoman"/>
      <w:lvlText w:val="%3."/>
      <w:lvlJc w:val="right"/>
      <w:pPr>
        <w:ind w:left="2160" w:hanging="180"/>
      </w:pPr>
    </w:lvl>
    <w:lvl w:ilvl="3" w:tplc="90BA94C6" w:tentative="1">
      <w:start w:val="1"/>
      <w:numFmt w:val="decimal"/>
      <w:lvlText w:val="%4."/>
      <w:lvlJc w:val="left"/>
      <w:pPr>
        <w:ind w:left="2880" w:hanging="360"/>
      </w:pPr>
    </w:lvl>
    <w:lvl w:ilvl="4" w:tplc="1CB801C4" w:tentative="1">
      <w:start w:val="1"/>
      <w:numFmt w:val="lowerLetter"/>
      <w:lvlText w:val="%5."/>
      <w:lvlJc w:val="left"/>
      <w:pPr>
        <w:ind w:left="3600" w:hanging="360"/>
      </w:pPr>
    </w:lvl>
    <w:lvl w:ilvl="5" w:tplc="35B4A922" w:tentative="1">
      <w:start w:val="1"/>
      <w:numFmt w:val="lowerRoman"/>
      <w:lvlText w:val="%6."/>
      <w:lvlJc w:val="right"/>
      <w:pPr>
        <w:ind w:left="4320" w:hanging="180"/>
      </w:pPr>
    </w:lvl>
    <w:lvl w:ilvl="6" w:tplc="F0FA546C" w:tentative="1">
      <w:start w:val="1"/>
      <w:numFmt w:val="decimal"/>
      <w:lvlText w:val="%7."/>
      <w:lvlJc w:val="left"/>
      <w:pPr>
        <w:ind w:left="5040" w:hanging="360"/>
      </w:pPr>
    </w:lvl>
    <w:lvl w:ilvl="7" w:tplc="07F0C998" w:tentative="1">
      <w:start w:val="1"/>
      <w:numFmt w:val="lowerLetter"/>
      <w:lvlText w:val="%8."/>
      <w:lvlJc w:val="left"/>
      <w:pPr>
        <w:ind w:left="5760" w:hanging="360"/>
      </w:pPr>
    </w:lvl>
    <w:lvl w:ilvl="8" w:tplc="7562926A" w:tentative="1">
      <w:start w:val="1"/>
      <w:numFmt w:val="lowerRoman"/>
      <w:lvlText w:val="%9."/>
      <w:lvlJc w:val="right"/>
      <w:pPr>
        <w:ind w:left="6480" w:hanging="180"/>
      </w:pPr>
    </w:lvl>
  </w:abstractNum>
  <w:abstractNum w:abstractNumId="5" w15:restartNumberingAfterBreak="0">
    <w:nsid w:val="609D2E15"/>
    <w:multiLevelType w:val="hybridMultilevel"/>
    <w:tmpl w:val="9E3042BA"/>
    <w:lvl w:ilvl="0" w:tplc="09DA3A40">
      <w:start w:val="1"/>
      <w:numFmt w:val="decimal"/>
      <w:lvlText w:val="%1)"/>
      <w:lvlJc w:val="left"/>
      <w:pPr>
        <w:ind w:left="720" w:hanging="360"/>
      </w:pPr>
      <w:rPr>
        <w:rFonts w:hint="default"/>
      </w:rPr>
    </w:lvl>
    <w:lvl w:ilvl="1" w:tplc="03D42366" w:tentative="1">
      <w:start w:val="1"/>
      <w:numFmt w:val="lowerLetter"/>
      <w:lvlText w:val="%2."/>
      <w:lvlJc w:val="left"/>
      <w:pPr>
        <w:ind w:left="1440" w:hanging="360"/>
      </w:pPr>
    </w:lvl>
    <w:lvl w:ilvl="2" w:tplc="4D52A43E" w:tentative="1">
      <w:start w:val="1"/>
      <w:numFmt w:val="lowerRoman"/>
      <w:lvlText w:val="%3."/>
      <w:lvlJc w:val="right"/>
      <w:pPr>
        <w:ind w:left="2160" w:hanging="180"/>
      </w:pPr>
    </w:lvl>
    <w:lvl w:ilvl="3" w:tplc="4698A04E" w:tentative="1">
      <w:start w:val="1"/>
      <w:numFmt w:val="decimal"/>
      <w:lvlText w:val="%4."/>
      <w:lvlJc w:val="left"/>
      <w:pPr>
        <w:ind w:left="2880" w:hanging="360"/>
      </w:pPr>
    </w:lvl>
    <w:lvl w:ilvl="4" w:tplc="6C7429FC" w:tentative="1">
      <w:start w:val="1"/>
      <w:numFmt w:val="lowerLetter"/>
      <w:lvlText w:val="%5."/>
      <w:lvlJc w:val="left"/>
      <w:pPr>
        <w:ind w:left="3600" w:hanging="360"/>
      </w:pPr>
    </w:lvl>
    <w:lvl w:ilvl="5" w:tplc="191E0374" w:tentative="1">
      <w:start w:val="1"/>
      <w:numFmt w:val="lowerRoman"/>
      <w:lvlText w:val="%6."/>
      <w:lvlJc w:val="right"/>
      <w:pPr>
        <w:ind w:left="4320" w:hanging="180"/>
      </w:pPr>
    </w:lvl>
    <w:lvl w:ilvl="6" w:tplc="F02C58D0" w:tentative="1">
      <w:start w:val="1"/>
      <w:numFmt w:val="decimal"/>
      <w:lvlText w:val="%7."/>
      <w:lvlJc w:val="left"/>
      <w:pPr>
        <w:ind w:left="5040" w:hanging="360"/>
      </w:pPr>
    </w:lvl>
    <w:lvl w:ilvl="7" w:tplc="7C2C0F3C" w:tentative="1">
      <w:start w:val="1"/>
      <w:numFmt w:val="lowerLetter"/>
      <w:lvlText w:val="%8."/>
      <w:lvlJc w:val="left"/>
      <w:pPr>
        <w:ind w:left="5760" w:hanging="360"/>
      </w:pPr>
    </w:lvl>
    <w:lvl w:ilvl="8" w:tplc="DC483FF0" w:tentative="1">
      <w:start w:val="1"/>
      <w:numFmt w:val="lowerRoman"/>
      <w:lvlText w:val="%9."/>
      <w:lvlJc w:val="right"/>
      <w:pPr>
        <w:ind w:left="6480" w:hanging="180"/>
      </w:pPr>
    </w:lvl>
  </w:abstractNum>
  <w:abstractNum w:abstractNumId="6" w15:restartNumberingAfterBreak="0">
    <w:nsid w:val="610F4F57"/>
    <w:multiLevelType w:val="hybridMultilevel"/>
    <w:tmpl w:val="A00C8942"/>
    <w:lvl w:ilvl="0" w:tplc="A1B4265E">
      <w:start w:val="1"/>
      <w:numFmt w:val="bullet"/>
      <w:lvlText w:val="-"/>
      <w:lvlJc w:val="left"/>
      <w:pPr>
        <w:ind w:left="720" w:hanging="360"/>
      </w:pPr>
      <w:rPr>
        <w:rFonts w:ascii="Calibri" w:eastAsiaTheme="minorHAnsi" w:hAnsi="Calibri" w:cs="Calibri" w:hint="default"/>
      </w:rPr>
    </w:lvl>
    <w:lvl w:ilvl="1" w:tplc="30EC2B36" w:tentative="1">
      <w:start w:val="1"/>
      <w:numFmt w:val="bullet"/>
      <w:lvlText w:val="o"/>
      <w:lvlJc w:val="left"/>
      <w:pPr>
        <w:ind w:left="1440" w:hanging="360"/>
      </w:pPr>
      <w:rPr>
        <w:rFonts w:ascii="Courier New" w:hAnsi="Courier New" w:cs="Courier New" w:hint="default"/>
      </w:rPr>
    </w:lvl>
    <w:lvl w:ilvl="2" w:tplc="00F2AB38" w:tentative="1">
      <w:start w:val="1"/>
      <w:numFmt w:val="bullet"/>
      <w:lvlText w:val=""/>
      <w:lvlJc w:val="left"/>
      <w:pPr>
        <w:ind w:left="2160" w:hanging="360"/>
      </w:pPr>
      <w:rPr>
        <w:rFonts w:ascii="Wingdings" w:hAnsi="Wingdings" w:hint="default"/>
      </w:rPr>
    </w:lvl>
    <w:lvl w:ilvl="3" w:tplc="08645560" w:tentative="1">
      <w:start w:val="1"/>
      <w:numFmt w:val="bullet"/>
      <w:lvlText w:val=""/>
      <w:lvlJc w:val="left"/>
      <w:pPr>
        <w:ind w:left="2880" w:hanging="360"/>
      </w:pPr>
      <w:rPr>
        <w:rFonts w:ascii="Symbol" w:hAnsi="Symbol" w:hint="default"/>
      </w:rPr>
    </w:lvl>
    <w:lvl w:ilvl="4" w:tplc="C886461C" w:tentative="1">
      <w:start w:val="1"/>
      <w:numFmt w:val="bullet"/>
      <w:lvlText w:val="o"/>
      <w:lvlJc w:val="left"/>
      <w:pPr>
        <w:ind w:left="3600" w:hanging="360"/>
      </w:pPr>
      <w:rPr>
        <w:rFonts w:ascii="Courier New" w:hAnsi="Courier New" w:cs="Courier New" w:hint="default"/>
      </w:rPr>
    </w:lvl>
    <w:lvl w:ilvl="5" w:tplc="02E0BC6C" w:tentative="1">
      <w:start w:val="1"/>
      <w:numFmt w:val="bullet"/>
      <w:lvlText w:val=""/>
      <w:lvlJc w:val="left"/>
      <w:pPr>
        <w:ind w:left="4320" w:hanging="360"/>
      </w:pPr>
      <w:rPr>
        <w:rFonts w:ascii="Wingdings" w:hAnsi="Wingdings" w:hint="default"/>
      </w:rPr>
    </w:lvl>
    <w:lvl w:ilvl="6" w:tplc="175478D6" w:tentative="1">
      <w:start w:val="1"/>
      <w:numFmt w:val="bullet"/>
      <w:lvlText w:val=""/>
      <w:lvlJc w:val="left"/>
      <w:pPr>
        <w:ind w:left="5040" w:hanging="360"/>
      </w:pPr>
      <w:rPr>
        <w:rFonts w:ascii="Symbol" w:hAnsi="Symbol" w:hint="default"/>
      </w:rPr>
    </w:lvl>
    <w:lvl w:ilvl="7" w:tplc="4FFA9140" w:tentative="1">
      <w:start w:val="1"/>
      <w:numFmt w:val="bullet"/>
      <w:lvlText w:val="o"/>
      <w:lvlJc w:val="left"/>
      <w:pPr>
        <w:ind w:left="5760" w:hanging="360"/>
      </w:pPr>
      <w:rPr>
        <w:rFonts w:ascii="Courier New" w:hAnsi="Courier New" w:cs="Courier New" w:hint="default"/>
      </w:rPr>
    </w:lvl>
    <w:lvl w:ilvl="8" w:tplc="C0BA1684" w:tentative="1">
      <w:start w:val="1"/>
      <w:numFmt w:val="bullet"/>
      <w:lvlText w:val=""/>
      <w:lvlJc w:val="left"/>
      <w:pPr>
        <w:ind w:left="6480" w:hanging="360"/>
      </w:pPr>
      <w:rPr>
        <w:rFonts w:ascii="Wingdings" w:hAnsi="Wingdings" w:hint="default"/>
      </w:rPr>
    </w:lvl>
  </w:abstractNum>
  <w:abstractNum w:abstractNumId="7" w15:restartNumberingAfterBreak="0">
    <w:nsid w:val="67353174"/>
    <w:multiLevelType w:val="hybridMultilevel"/>
    <w:tmpl w:val="50DC992C"/>
    <w:lvl w:ilvl="0" w:tplc="0100D640">
      <w:start w:val="1"/>
      <w:numFmt w:val="decimal"/>
      <w:lvlText w:val="%1)"/>
      <w:lvlJc w:val="left"/>
      <w:pPr>
        <w:ind w:left="720" w:hanging="360"/>
      </w:pPr>
      <w:rPr>
        <w:rFonts w:hint="default"/>
      </w:rPr>
    </w:lvl>
    <w:lvl w:ilvl="1" w:tplc="FD58DE6C" w:tentative="1">
      <w:start w:val="1"/>
      <w:numFmt w:val="lowerLetter"/>
      <w:lvlText w:val="%2."/>
      <w:lvlJc w:val="left"/>
      <w:pPr>
        <w:ind w:left="1440" w:hanging="360"/>
      </w:pPr>
    </w:lvl>
    <w:lvl w:ilvl="2" w:tplc="963887BE" w:tentative="1">
      <w:start w:val="1"/>
      <w:numFmt w:val="lowerRoman"/>
      <w:lvlText w:val="%3."/>
      <w:lvlJc w:val="right"/>
      <w:pPr>
        <w:ind w:left="2160" w:hanging="180"/>
      </w:pPr>
    </w:lvl>
    <w:lvl w:ilvl="3" w:tplc="FA9CF936" w:tentative="1">
      <w:start w:val="1"/>
      <w:numFmt w:val="decimal"/>
      <w:lvlText w:val="%4."/>
      <w:lvlJc w:val="left"/>
      <w:pPr>
        <w:ind w:left="2880" w:hanging="360"/>
      </w:pPr>
    </w:lvl>
    <w:lvl w:ilvl="4" w:tplc="526C89C8" w:tentative="1">
      <w:start w:val="1"/>
      <w:numFmt w:val="lowerLetter"/>
      <w:lvlText w:val="%5."/>
      <w:lvlJc w:val="left"/>
      <w:pPr>
        <w:ind w:left="3600" w:hanging="360"/>
      </w:pPr>
    </w:lvl>
    <w:lvl w:ilvl="5" w:tplc="49BADA6E" w:tentative="1">
      <w:start w:val="1"/>
      <w:numFmt w:val="lowerRoman"/>
      <w:lvlText w:val="%6."/>
      <w:lvlJc w:val="right"/>
      <w:pPr>
        <w:ind w:left="4320" w:hanging="180"/>
      </w:pPr>
    </w:lvl>
    <w:lvl w:ilvl="6" w:tplc="2D06B84E" w:tentative="1">
      <w:start w:val="1"/>
      <w:numFmt w:val="decimal"/>
      <w:lvlText w:val="%7."/>
      <w:lvlJc w:val="left"/>
      <w:pPr>
        <w:ind w:left="5040" w:hanging="360"/>
      </w:pPr>
    </w:lvl>
    <w:lvl w:ilvl="7" w:tplc="2A985B66" w:tentative="1">
      <w:start w:val="1"/>
      <w:numFmt w:val="lowerLetter"/>
      <w:lvlText w:val="%8."/>
      <w:lvlJc w:val="left"/>
      <w:pPr>
        <w:ind w:left="5760" w:hanging="360"/>
      </w:pPr>
    </w:lvl>
    <w:lvl w:ilvl="8" w:tplc="AEEAC20E" w:tentative="1">
      <w:start w:val="1"/>
      <w:numFmt w:val="lowerRoman"/>
      <w:lvlText w:val="%9."/>
      <w:lvlJc w:val="right"/>
      <w:pPr>
        <w:ind w:left="6480" w:hanging="180"/>
      </w:pPr>
    </w:lvl>
  </w:abstractNum>
  <w:abstractNum w:abstractNumId="8" w15:restartNumberingAfterBreak="0">
    <w:nsid w:val="6B6427A1"/>
    <w:multiLevelType w:val="hybridMultilevel"/>
    <w:tmpl w:val="177C31CC"/>
    <w:lvl w:ilvl="0" w:tplc="161A3454">
      <w:start w:val="1"/>
      <w:numFmt w:val="decimal"/>
      <w:lvlText w:val="%1)"/>
      <w:lvlJc w:val="left"/>
      <w:pPr>
        <w:ind w:left="756" w:hanging="360"/>
      </w:pPr>
      <w:rPr>
        <w:rFonts w:hint="default"/>
      </w:rPr>
    </w:lvl>
    <w:lvl w:ilvl="1" w:tplc="F3C45A24" w:tentative="1">
      <w:start w:val="1"/>
      <w:numFmt w:val="lowerLetter"/>
      <w:lvlText w:val="%2."/>
      <w:lvlJc w:val="left"/>
      <w:pPr>
        <w:ind w:left="1476" w:hanging="360"/>
      </w:pPr>
    </w:lvl>
    <w:lvl w:ilvl="2" w:tplc="84FADA8E" w:tentative="1">
      <w:start w:val="1"/>
      <w:numFmt w:val="lowerRoman"/>
      <w:lvlText w:val="%3."/>
      <w:lvlJc w:val="right"/>
      <w:pPr>
        <w:ind w:left="2196" w:hanging="180"/>
      </w:pPr>
    </w:lvl>
    <w:lvl w:ilvl="3" w:tplc="3688850E" w:tentative="1">
      <w:start w:val="1"/>
      <w:numFmt w:val="decimal"/>
      <w:lvlText w:val="%4."/>
      <w:lvlJc w:val="left"/>
      <w:pPr>
        <w:ind w:left="2916" w:hanging="360"/>
      </w:pPr>
    </w:lvl>
    <w:lvl w:ilvl="4" w:tplc="0B2AC340" w:tentative="1">
      <w:start w:val="1"/>
      <w:numFmt w:val="lowerLetter"/>
      <w:lvlText w:val="%5."/>
      <w:lvlJc w:val="left"/>
      <w:pPr>
        <w:ind w:left="3636" w:hanging="360"/>
      </w:pPr>
    </w:lvl>
    <w:lvl w:ilvl="5" w:tplc="11FEA71E" w:tentative="1">
      <w:start w:val="1"/>
      <w:numFmt w:val="lowerRoman"/>
      <w:lvlText w:val="%6."/>
      <w:lvlJc w:val="right"/>
      <w:pPr>
        <w:ind w:left="4356" w:hanging="180"/>
      </w:pPr>
    </w:lvl>
    <w:lvl w:ilvl="6" w:tplc="A94E9412" w:tentative="1">
      <w:start w:val="1"/>
      <w:numFmt w:val="decimal"/>
      <w:lvlText w:val="%7."/>
      <w:lvlJc w:val="left"/>
      <w:pPr>
        <w:ind w:left="5076" w:hanging="360"/>
      </w:pPr>
    </w:lvl>
    <w:lvl w:ilvl="7" w:tplc="ED102E84" w:tentative="1">
      <w:start w:val="1"/>
      <w:numFmt w:val="lowerLetter"/>
      <w:lvlText w:val="%8."/>
      <w:lvlJc w:val="left"/>
      <w:pPr>
        <w:ind w:left="5796" w:hanging="360"/>
      </w:pPr>
    </w:lvl>
    <w:lvl w:ilvl="8" w:tplc="FC8AEC28" w:tentative="1">
      <w:start w:val="1"/>
      <w:numFmt w:val="lowerRoman"/>
      <w:lvlText w:val="%9."/>
      <w:lvlJc w:val="right"/>
      <w:pPr>
        <w:ind w:left="6516" w:hanging="180"/>
      </w:pPr>
    </w:lvl>
  </w:abstractNum>
  <w:abstractNum w:abstractNumId="9" w15:restartNumberingAfterBreak="0">
    <w:nsid w:val="6D9E19B4"/>
    <w:multiLevelType w:val="hybridMultilevel"/>
    <w:tmpl w:val="C3D41E5A"/>
    <w:lvl w:ilvl="0" w:tplc="86061EF6">
      <w:start w:val="1"/>
      <w:numFmt w:val="decimal"/>
      <w:lvlText w:val="%1)"/>
      <w:lvlJc w:val="left"/>
      <w:pPr>
        <w:ind w:left="720" w:hanging="360"/>
      </w:pPr>
      <w:rPr>
        <w:rFonts w:hint="default"/>
      </w:rPr>
    </w:lvl>
    <w:lvl w:ilvl="1" w:tplc="1D06DECC" w:tentative="1">
      <w:start w:val="1"/>
      <w:numFmt w:val="lowerLetter"/>
      <w:lvlText w:val="%2."/>
      <w:lvlJc w:val="left"/>
      <w:pPr>
        <w:ind w:left="1440" w:hanging="360"/>
      </w:pPr>
    </w:lvl>
    <w:lvl w:ilvl="2" w:tplc="B644CEC8" w:tentative="1">
      <w:start w:val="1"/>
      <w:numFmt w:val="lowerRoman"/>
      <w:lvlText w:val="%3."/>
      <w:lvlJc w:val="right"/>
      <w:pPr>
        <w:ind w:left="2160" w:hanging="180"/>
      </w:pPr>
    </w:lvl>
    <w:lvl w:ilvl="3" w:tplc="7570D658" w:tentative="1">
      <w:start w:val="1"/>
      <w:numFmt w:val="decimal"/>
      <w:lvlText w:val="%4."/>
      <w:lvlJc w:val="left"/>
      <w:pPr>
        <w:ind w:left="2880" w:hanging="360"/>
      </w:pPr>
    </w:lvl>
    <w:lvl w:ilvl="4" w:tplc="AB1AAF64" w:tentative="1">
      <w:start w:val="1"/>
      <w:numFmt w:val="lowerLetter"/>
      <w:lvlText w:val="%5."/>
      <w:lvlJc w:val="left"/>
      <w:pPr>
        <w:ind w:left="3600" w:hanging="360"/>
      </w:pPr>
    </w:lvl>
    <w:lvl w:ilvl="5" w:tplc="FF7253EA" w:tentative="1">
      <w:start w:val="1"/>
      <w:numFmt w:val="lowerRoman"/>
      <w:lvlText w:val="%6."/>
      <w:lvlJc w:val="right"/>
      <w:pPr>
        <w:ind w:left="4320" w:hanging="180"/>
      </w:pPr>
    </w:lvl>
    <w:lvl w:ilvl="6" w:tplc="A5009530" w:tentative="1">
      <w:start w:val="1"/>
      <w:numFmt w:val="decimal"/>
      <w:lvlText w:val="%7."/>
      <w:lvlJc w:val="left"/>
      <w:pPr>
        <w:ind w:left="5040" w:hanging="360"/>
      </w:pPr>
    </w:lvl>
    <w:lvl w:ilvl="7" w:tplc="FEEC65D2" w:tentative="1">
      <w:start w:val="1"/>
      <w:numFmt w:val="lowerLetter"/>
      <w:lvlText w:val="%8."/>
      <w:lvlJc w:val="left"/>
      <w:pPr>
        <w:ind w:left="5760" w:hanging="360"/>
      </w:pPr>
    </w:lvl>
    <w:lvl w:ilvl="8" w:tplc="826E3DD8" w:tentative="1">
      <w:start w:val="1"/>
      <w:numFmt w:val="lowerRoman"/>
      <w:lvlText w:val="%9."/>
      <w:lvlJc w:val="right"/>
      <w:pPr>
        <w:ind w:left="6480" w:hanging="180"/>
      </w:pPr>
    </w:lvl>
  </w:abstractNum>
  <w:num w:numId="1" w16cid:durableId="586768241">
    <w:abstractNumId w:val="2"/>
  </w:num>
  <w:num w:numId="2" w16cid:durableId="216279290">
    <w:abstractNumId w:val="6"/>
  </w:num>
  <w:num w:numId="3" w16cid:durableId="449397380">
    <w:abstractNumId w:val="8"/>
  </w:num>
  <w:num w:numId="4" w16cid:durableId="1573002965">
    <w:abstractNumId w:val="0"/>
  </w:num>
  <w:num w:numId="5" w16cid:durableId="837355255">
    <w:abstractNumId w:val="9"/>
  </w:num>
  <w:num w:numId="6" w16cid:durableId="1821000670">
    <w:abstractNumId w:val="4"/>
  </w:num>
  <w:num w:numId="7" w16cid:durableId="1953592045">
    <w:abstractNumId w:val="1"/>
  </w:num>
  <w:num w:numId="8" w16cid:durableId="611743310">
    <w:abstractNumId w:val="5"/>
  </w:num>
  <w:num w:numId="9" w16cid:durableId="1466924044">
    <w:abstractNumId w:val="7"/>
  </w:num>
  <w:num w:numId="10" w16cid:durableId="9745271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49B"/>
    <w:rsid w:val="00031FDF"/>
    <w:rsid w:val="000540C9"/>
    <w:rsid w:val="0006518F"/>
    <w:rsid w:val="000A1C1F"/>
    <w:rsid w:val="000D082B"/>
    <w:rsid w:val="000E4E5B"/>
    <w:rsid w:val="00160FF0"/>
    <w:rsid w:val="00200C8F"/>
    <w:rsid w:val="002A2730"/>
    <w:rsid w:val="002A5649"/>
    <w:rsid w:val="002A7A41"/>
    <w:rsid w:val="002D18A8"/>
    <w:rsid w:val="002F34AF"/>
    <w:rsid w:val="003250A7"/>
    <w:rsid w:val="00341628"/>
    <w:rsid w:val="0037649B"/>
    <w:rsid w:val="0038254D"/>
    <w:rsid w:val="003E50FD"/>
    <w:rsid w:val="0042472E"/>
    <w:rsid w:val="00431759"/>
    <w:rsid w:val="00491DD7"/>
    <w:rsid w:val="004C2F69"/>
    <w:rsid w:val="004C4CB7"/>
    <w:rsid w:val="00505BFB"/>
    <w:rsid w:val="00512EDF"/>
    <w:rsid w:val="00565C11"/>
    <w:rsid w:val="00586C6A"/>
    <w:rsid w:val="006308C1"/>
    <w:rsid w:val="00683B54"/>
    <w:rsid w:val="00693075"/>
    <w:rsid w:val="00693BEA"/>
    <w:rsid w:val="006B029A"/>
    <w:rsid w:val="006E047B"/>
    <w:rsid w:val="006E184D"/>
    <w:rsid w:val="006E24C4"/>
    <w:rsid w:val="006E3DF1"/>
    <w:rsid w:val="007040BC"/>
    <w:rsid w:val="00715FFE"/>
    <w:rsid w:val="00724573"/>
    <w:rsid w:val="00724863"/>
    <w:rsid w:val="00754909"/>
    <w:rsid w:val="00754F68"/>
    <w:rsid w:val="00771564"/>
    <w:rsid w:val="007A7968"/>
    <w:rsid w:val="007C0BEA"/>
    <w:rsid w:val="007C45A0"/>
    <w:rsid w:val="007F7199"/>
    <w:rsid w:val="00820191"/>
    <w:rsid w:val="008A516B"/>
    <w:rsid w:val="008C2617"/>
    <w:rsid w:val="008C3B1F"/>
    <w:rsid w:val="008F262A"/>
    <w:rsid w:val="00974F73"/>
    <w:rsid w:val="0097579A"/>
    <w:rsid w:val="00995D09"/>
    <w:rsid w:val="00996B6F"/>
    <w:rsid w:val="009D7BD7"/>
    <w:rsid w:val="00A003F1"/>
    <w:rsid w:val="00A2143C"/>
    <w:rsid w:val="00A44180"/>
    <w:rsid w:val="00A633F8"/>
    <w:rsid w:val="00A8371B"/>
    <w:rsid w:val="00AB035C"/>
    <w:rsid w:val="00AC3B53"/>
    <w:rsid w:val="00B166FC"/>
    <w:rsid w:val="00B4583D"/>
    <w:rsid w:val="00C97A74"/>
    <w:rsid w:val="00CB7FDD"/>
    <w:rsid w:val="00D4646A"/>
    <w:rsid w:val="00D607B4"/>
    <w:rsid w:val="00E339A4"/>
    <w:rsid w:val="00EF5DF7"/>
    <w:rsid w:val="00EF63AE"/>
    <w:rsid w:val="00F36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303DF"/>
  <w15:chartTrackingRefBased/>
  <w15:docId w15:val="{05A84984-10C2-4B65-A017-8596C750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F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4F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26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F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74F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F262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549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1CAE7A-49C9-4DA2-A7BA-1BE2BC84B33D}">
  <we:reference id="wa200005502" version="1.0.0.11" store="en-US" storeType="OMEX"/>
  <we:alternateReferences>
    <we:reference id="wa200005502" version="1.0.0.11" store="wa200005502" storeType="OMEX"/>
  </we:alternateReferences>
  <we:properties>
    <we:property name="data" value="{&quot;version&quot;:1,&quot;threads&quot;:[{&quot;id&quot;:&quot;DbNi4y8z0Rt13Y2tWIgzy&quot;,&quot;contextType&quot;:&quot;CONTEXT_SELECTION&quot;,&quot;context&quot;:&quot;The latest developments regarding the conditions of persons with disabilities in Bahrain show the most concerning trends regarding access to medical treatment, discrimination in the access to justice, torture and ill-treatment. Furthermore, the freedom of expression and the right to education of Bahrain citizens have structural problems that also affect persons with disabilities. \n&quot;,&quot;queries&quot;:[{&quot;id&quot;:&quot;o-1nbYp1x7xMUkENMIMvs&quot;,&quot;user&quot;:&quot;Fix grammar and spelling&quot;,&quot;assistant&quot;:&quot;The latest developments regarding the conditions of persons with disabilities in Bahrain show the most concerning trends regarding access to medical treatment, discrimination in access to justice, torture, and ill-treatment. Furthermore, the freedom of expression and the right to education of Bahraini citizens have structural problems that also affect persons with disabilities.&quot;}]},{&quot;id&quot;:&quot;xRjpvMIUiCf0TTx6JJHv6&quot;,&quot;contextType&quot;:&quot;CONTEXT_SELECTION&quot;,&quot;context&quot;:&quot;The latest developments regarding the conditions of persons with disabilities in Bahrain show the most concerning trends regarding access to medical treatment, discrimination in the access to justice, torture and ill-treatment. Furthermore, the freedom of expression and the right to education of Bahrain citizens have structural problems that also affect persons with disabilities. \n&quot;,&quot;queries&quot;:[{&quot;id&quot;:&quot;dwJFOaCgMBwbiDdMs9NkH&quot;,&quot;user&quot;:&quot;Fix grammar and spelling&quot;,&quot;assistant&quot;:&quot;The latest developments regarding the conditions of persons with disabilities in Bahrain reveal the most concerning trends concerning access to medical treatment, discrimination in accessing justice, torture, and ill-treatment. Furthermore, the freedom of expression and the right to education of Bahraini citizens have structural problems that also impact persons with disabilities.&quot;},{&quot;id&quot;:&quot;oE8ZoAiGWpIRPEbvTLjw3&quot;,&quot;user&quot;:&quot;Change style to formal&quot;,&quot;assistant&quot;:&quot;The recent developments pertaining to the circumstances of individuals with disabilities in Bahrain highlight the most troubling patterns concerning access to medical treatment, discrimination in the realm of justice, instances of torture, and subjected ill-treatment. Additionally, structural issues pertaining to the freedom of expression and the right to education for Bahraini citizens have an impact on individuals with disabilities as well.&quot;}]},{&quot;id&quot;:&quot;GYKNgqHEXPrNbVEYYTBvk&quot;,&quot;contextType&quot;:&quot;CONTEXT_SELECTION&quot;,&quot;context&quot;:&quot;The Bahrain Constitution does not contain norms regarding protecting the right to life. In addition, Act No. 74, which is the primary legal framework regulating the rights of persons with disabilities, contains norms on welfare, training and employment but does not contain any norm protecting the right to life of persons with disabilities. Bahrain, after having ratified the Convention on the Rights of Persons with Disabilities, has produced a bill of 25 articles to be more in line with its international obligations. \nNonetheless, besides amending some norms over the definition of disability and their welfare, again, Bahrain does not refer to the right to life. The CRPD prescribes in Article 10 that ''the State Parties shall take all necessary measures to ensure the effective enjoyment of the right to life by persons with disabilities on an equal basis with others.''. \nIn the latest combined first and second periodic report of 2017, Bahrain reports that the right to life is applied directly by the administrative authorities and courts. Their role is to guarantee no discrimination between persons with disabilities and others. However, the report of Bahrain presents some incongruences. Firstly, the report states that the right to life has constitutional status, but no mention of this right exists in the constitution. According to the report, Article 5 of the Bahrain Constitution guarantees protection of the right to life. However, the Article prescribes social security safeguards, which purport a restrictive view of the right to life. Secondly, the report states that according to the Ministry of Justice, equal protection of the right to life exists. \nFirstly, evaluating the protection of the right to life is not an exclusive prerogative of the Ministry of Justice. Secondly, inside the prisons, the main concerns over the safeguarding of the right to life arise due to the neglect of medical assistance. Abduljalil al-Singace, a prominent Bahraini mechanical engineer, has been imprisoned since 2011. Starting in 2016, a myriad of health issues arose, yet the authorities denied him medical treatment, posing a risk to his right to life. Another case that might amount to a violation of the right to life is the one of Ahmed Humaidan. He developed a severe eye infection that was left untreated, jeopardizing his future livelihood.\n&quot;,&quot;queries&quot;:[{&quot;id&quot;:&quot;UZNfjaZBOUCaN7ovT2Dm0&quot;,&quot;user&quot;:&quot;Change style to formal but not verbose&quot;,&quot;assistant&quot;:&quot;The Bahrain Constitution lacks provisions regarding the protection of the right to life. Additionally, Act No. 74, which serves as the primary legal framework governing the rights of individuals with disabilities, addresses aspects such as welfare, training, and employment, but it does not include any provisions safeguarding the right to life of persons with disabilities. In line with its international obligations after ratifying the Convention on the Rights of Persons with Disabilities, Bahrain has developed a bill comprising 25 articles to align itself more closely with these obligations.\n\nNevertheless, while Bahrain has made some amendments concerning the definition of disability and welfare provisions, the right to life remains unaddressed by the country. Article 10 of the Convention on the Rights of Persons with Disabilities stipulates that State Parties should undertake all necessary measures to ensure the effective enjoyment of the right to life by persons with disabilities on an equal basis with others.\n\nBahrain's most recent combined first and second periodic report from 2017 asserts that the right to life is directly upheld by administrative authorities and courts tasked with ensuring non-discrimination between individuals with disabilities and others. However, this report exhibits certain inconsistencies. Firstly, it claims that the right to life has constitutional status, yet the constitution does not make any mention of this right. The report refers to Article 5 of the Bahrain Constitution, which guarantees social security safeguards, but this represents a restrictive interpretation of the right to life. Secondly, according to the report, equal protection of the right to life is affirmed by the Ministry of Justice. However, evaluating the protection of the right to life is not solely within the jurisdiction of the Ministry of Justice. \n\nFurthermore, within prisons, concerns regarding the safeguarding of the right to life emerge due to the neglect of medical assistance. One noteworthy case is that of Abduljalil al-Singace, a prominent Bahraini mechanical engineer who has been incarcerated since 2011. Since 2016, he has experienced a multitude of health issues, yet the authorities have denied him necessary medical treatment, thereby posing a risk to his right to life. Another concerning case involves Ahmed Humaidan, whose severe eye infection went untreated, thereby jeopardizing his future well-being. Both of these cases potentially constitute violations of the right to life.&quot;}]},{&quot;id&quot;:&quot;K6xo2D5fMtSbpOG1O94fy&quot;,&quot;contextType&quot;:&quot;CONTEXT_SELECTION&quot;,&quot;context&quot;:&quot;\nUnder the Bahrain Constitution, the right to access justice is regulated under Articles 20 (c), (e), and 20 (f). Consequently, the legislative review by the King of Bahrain after 2011 also prescribed the exercise of legal competence and the right to resort to litigation for disabled persons. The CRPD Convention defines in Art 13(1) that the States Parties shall ensure adequate access to justice, including age-appropriate accommodations, to facilitate witnesses and all legal proceedings. Furthermore, Art 13(2) is prescribed to State Parties to promote appropriate training for police and prison staff to help ensure adequate access to justice.\nIn the latest periodic review, Bahrain affirms that for people with disabilities, the right to litigate is protected through a guarantee of communication in writing or sign language. In addition, Article 53 of Act No.7 (law of guardianship over property, allows a disabled to appoint a judicial assistant at his request. The report affirms that a disabled person may resort to court at times.\nIn reality, many documented cases, including the al-Singace, show that Bahrain denies disabled persons access to justice, failing to treat them with equality and dignity before the law.\n&quot;,&quot;queries&quot;:[{&quot;id&quot;:&quot;LWcq6VYjQzNlm0Mhi-v1W&quot;,&quot;user&quot;:&quot;Change style to formal but not verbose&quot;,&quot;assistant&quot;:&quot;The Bahrain Constitution, specifically Articles 20 (c), (e), and 20 (f), regulates the right to access justice. Consequently, as part of the legislative review that took place after 2011, the exercise of legal competence and the right to seek legal remedies for disabled individuals were prescribed by the King of Bahrain. Article 13(1) of the CRPD Convention defines the obligation of States Parties to ensure sufficient access to justice, including age-appropriate accommodations, with the aim of facilitating witnesses and all legal proceedings. Furthermore, Article 13(2) emphasizes the importance of promoting suitable training for police and prison staff to support the realization of adequate access to justice.\n\nAccording to Bahrain's most recent periodic review, it is affirmed that the right to litigate for people with disabilities is safeguarded through provisions ensuring communication in writing or sign language. Additionally, Article 53 of Act No.7 (the law of guardianship over property) allows disabled individuals to request the appointment of a judicial assistant. The report states that disabled persons are permitted to resort to the court when necessary.\n\nHowever, in reality, numerous documented cases, including that of al-Singace, demonstrate that Bahrain denies disabled individuals access to justice, thus failing to uphold principles of equality and dignity before the law.&quot;}]},{&quot;id&quot;:&quot;Kqxb3cSnaKB2NNTPPQPte&quot;,&quot;contextType&quot;:&quot;CONTEXT_SELECTION&quot;,&quot;context&quot;:&quot;The recent developments pertaining to the circumstances of individuals with disabilities in Bahrain highlight the most troubling patterns concerning access to medical treatment, discrimination in the realm of justice, instances of torture, and subjected ill-treatment. Additionally, structural issues pertaining to the freedom of expression and the right to education for Bahraini citizens have an impact on individuals with disabilities as well.\n&quot;,&quot;queries&quot;:[{&quot;id&quot;:&quot;wbN2Bi3KIRM7M-6KFjEkK&quot;,&quot;user&quot;:&quot;Change the style to formal but not verbose&quot;,&quot;assistant&quot;:&quot;The current advancements regarding the circumstances of individuals with disabilities in Bahrain bring attention to deeply concerning trends surrounding the accessibility of medical treatment, discrimination within the realm of justice, occurrences of torture, and instances of ill-treatment. Moreover, structural challenges relating to the freedom of expression and the right to education among Bahraini citizens also significantly affect individuals with disabilities.&quot;}]},{&quot;id&quot;:&quot;n_9RaiSEXL-s6jZRDxPvI&quot;,&quot;contextType&quot;:&quot;CONTEXT_SELECTION&quot;,&quot;context&quot;:&quot;The law that regulates education in the Bahraini code is enshrined in Article 7. Paragraph (a) states that education is free and compulsory in the early stages of life. On the other hand, the right to education contained in Article 24 of the CRPD has a more overarching definition of what education stands for. Following the Convention, an inclusive education system allows human potential and dignity to develop fully. Furthermore, other objectives for the state parties are to ensure equality and inclusion and to obtain access to the highest level of education.\nData on education in Bahrain shows the persistence of issues. Mainly, in education, persons with disabilities are deemed not to have the capacity to make their own decisions. The primary educational strategy has been to create specialized academic programs that often hinder the participation of disabled persons in education. This eventually causes a deterioration of this group's educational quality and competencies. Hence, this causes a domino effect that will impact participation in the labour market. The most concerning aspect for persons with disabilities in the educational field is the lack of inclusive curricula. Bahrain in 2017 informed that disabled persons do not participate in any Government schools and are only enrolled in habilitation centres. This peculiarity fails to comply with the standards of inclusivity and equality the CRPD sets. Furthermore, the access to the highest levels of education is impaired. This contrasts with the vision of the CRPD of granting disabled persons the achievement of their full potential.\nOverall, from the information collected, disabled persons in education face significant challenges. One of the most important is the perception of the society of persons with disabilities as helpless and without rights. Consequently, this causes their isolation in the educational system. Bahrain poses structural challenges to the education of disabled persons, mainly by excluding them from government schools. In addition, no national plan exists to combat the prejudice, which causes the vision of disabled persons as incapable.\nFinally, ADHRB also highlights the poor allocation of funds to educate disabled persons. In addition, it persists in the lack of accurate data and unfamiliarity with the Conventions standards, which fail to develop strategies for implementing new services for persons with disabilities.\n&quot;,&quot;queries&quot;:[{&quot;id&quot;:&quot;Xi75JLK2aEWxuA9hglyo8&quot;,&quot;user&quot;:&quot;Change the style to formal but not verbose&quot;,&quot;assistant&quot;:&quot;The legislation governing education in Bahrain, as stipulated in Article 7 of the Bahraini code, emphasizes that education is both free and compulsory during the early stages of life. However, Article 24 of the CRPD provides a broader definition of the right to education, highlighting its role in fostering the comprehensive development of human potential and dignity. State parties are obligated to ensure equality, inclusion, and access to the highest level of education.\n\nData pertaining to education in Bahrain reveals ongoing challenges. Notably, individuals with disabilities encounter obstacles due to the perception that they lack decision-making capacity. The prevailing educational approach has been to establish specialized academic programs that often impede the participation of disabled individuals. Consequently, this undermines the quality and skills development of this group, leading to adverse effects on their prospects in the labor market. Perhaps the most troubling aspect within the educational realm for individuals with disabilities is the absence of inclusive curricula. In 2017, Bahrain reported that disabled individuals were not enrolled in government schools and were solely registered in habilitation centers, a practice that fails to meet the inclusivity and equality standards set forth in the CRPD. Moreover, hindered access to higher levels of education contradicts the CRPD's vision of enabling disabled individuals to reach their full potential.\n\nOverall, the evidence reveals significant challenges faced by disabled individuals in the realm of education. One notable challenge is the prevailing societal perception of disabled persons as helpless and devoid of rights, resulting in their isolation within the educational system. Bahrain presents structural hurdles to the education of disabled individuals, particularly through their exclusion from government schools. Additionally, the lack of a national plan to tackle prejudice perpetuates the perception of disabled individuals as incapable.\n\nLastly, it is worth noting that ADHRB (Americans for Democracy &amp; Human Rights in Bahrain) highlights inadequate allocation of funds towards the education of disabled individuals. Insufficient data and limited awareness of CRPD standards further hinder the development of strategies for implementing new services for disabled persons.&quot;}]},{&quot;id&quot;:&quot;kzpEpf_av4qOgOTsCbjh6&quot;,&quot;contextType&quot;:&quot;CONTEXT_SELECTION&quot;,&quot;context&quot;:&quot;Under the Bahrain Code, the Article that prescribes cruel and inhuman treatment is 19 (d), which prohibits physical and mental torture and also renders void any confession proved to have been made under torture or inducement. Regarding the rights of disabled persons, neither Law n.74 nor the further amendments contain provisions for protecting against cruel and inhuman treatment. \nAt Article 15(2) of the CRPD, it is stated that the State Parties shall take effective legislative, administrative and judicial measures to prevent persons with disabilities from being subjected to torture or cruel, inhuman and degrading treatment. In the periodic report 2017, Bahrain refers to articles 208 and 232 of their Penal Code prohibiting public servants from deliberately causing severe or physical suffering. In addition, the Ombudsman, created by the Ministry of Interior, is deemed to ensure quick, efficient and impartial answers to claims of abuses. In addition, the Ministry of Interior published a code of conduct for police officers to promote discipline, transparency, fairness and accountability.\nIn reality, the case of Dr Abduljalil al-Singace is a hallmark example of the Bahraini government’s disregard for prisoners with disabilities. Bahraini authorities have subjected him to torture, using his disability to inflict pain, for example, by forcing him to stand on one leg and forcing a confession. \nConsequently, it is possible to affirm that the articles of the Bahraini criminal code prohibiting mental or physical suffering are not enforced. In addition, the Ombudsman is reportedly biased, and the claim process is lengthy and inefficient. \n&quot;,&quot;queries&quot;:[{&quot;id&quot;:&quot;qrGyGvWB7_U8k3GU4uLRO&quot;,&quot;user&quot;:&quot;Change the style to formal but not verbose&quot;,&quot;assistant&quot;:&quot;According to the Bahrain Code, the prohibition of cruel and inhuman treatment is outlined in Article 19 (d), which explicitly forbids physical and mental torture. Additionally, any confession obtained under torture or coercion is deemed invalid by this provision. However, concerning the rights of disabled individuals, neither Law n.74 nor subsequent amendments include specific provisions for safeguarding against cruel and inhuman treatment.\n\nArticle 15(2) of the CRPD mandates that State Parties must implement effective legislative, administrative, and judicial measures to prevent individuals with disabilities from being subjected to torture or cruel, inhuman, and degrading treatment. In its 2017 periodic report, Bahrain highlights articles 208 and 232 of its Penal Code, which prohibit public servants from intentionally inflicting severe physical suffering. Furthermore, the existence of an Ombudsman, established by the Ministry of Interior, is intended to ensure prompt, efficient, and impartial responses to claims of abuse. Additionally, the Ministry of Interior has published a code of conduct for police officers, aimed at promoting discipline, transparency, fairness, and accountability.\n\nHowever, in reality, the case of Dr. Abduljalil al-Singace stands as a striking example of the Bahraini government's disregard for prisoners with disabilities. Authorities in Bahrain have subjected him to torture, exploiting his disability to cause him pain—for instance, by forcing him to balance on one leg—and coercing a confession from him.\n\nConsequently, it is evident that the articles within the Bahraini criminal code that prohibit mental or physical suffering are not effectively enforced. Furthermore, concerns have been raised about the impartiality of the Ombudsman, with reports indicating that the process for lodging claims is protracted and inefficient.&quot;}]},{&quot;id&quot;:&quot;GqmEVrUyVr3JwjWeeTMLA&quot;,&quot;contextType&quot;:&quot;CONTEXT_SELECTION&quot;,&quot;context&quot;:&quot;In Article 13 of its constitution, Bahrain defines the right to work and employment. Article 13(a) affirms that work is the right of every citizen. Paragraph (b) adds that the State would guarantee the creation of job opportunities based on the principle of fairness. Conversely, the CRPD in Article 27 provides that the State Parties shall provide equal, accessible, and inclusive job opportunities for persons with disabilities. To do so, State parties shall prohibit discrimination in the recruitment phase, provide favourable work conditions, and allow the participation of workers in the labour union. \nInstead, the reports on the right to work and employment in Bahrain for disabled persons show a discriminatory reality. Article (11) of Law No. 74 of Bahrain stipulates a quota of disabled persons to enhance their employment in the private sector. In addition, articles 20-22 provide for sanctions for non-compliance. However, these provisions are adapted poorly, lacking respect for standards of inclusivity and equality. Firstly, accessibility to the workplace is troublesome. There is a long-standing issue of full access to public services that prevents persons with disabilities from participating in the job market. Secondly, when it comes to work and employment, despite legislation mandating specific quotas, persons with disabilities are subject to systematic exclusion both in the private and public sectors. The main issues encountered from Bahrain's reports are cultural and structural. There is a strong presence of stereotypes against disabled persons accompanied by employers' fear. In addition, there is a lack of implementation of the legal frameworks to protect their working rights. Finally, the allocation of money for improving their chances in the job market is missing. The reports show a failure to provide incentives to employers when hiring disabled persons.\n&quot;,&quot;queries&quot;:[{&quot;id&quot;:&quot;-T31YdrFgG_CuT7-TjQHl&quot;,&quot;user&quot;:&quot;Change the style to formal but not verbose&quot;,&quot;assistant&quot;:&quot;In Article 13 of its constitution, Bahrain delineates the right to work and employment, affirming in Article 13(a) that work is a fundamental right of every citizen. Furthermore, according to Article 13(b), the State is obligated to ensure the creation of job opportunities based on the principle of fairness. Conversely, Article 27 of the CRPD dictates that State Parties must provide equal, accessible, and inclusive employment opportunities for individuals with disabilities. This entails prohibiting discrimination during the recruitment phase, facilitating favorable working conditions, and enabling workers' participation in labor unions.\n\nHowever, reports concerning the right to work and employment for disabled individuals in Bahrain reveal a discordant reality marked by discrimination. Law No. 74 of Bahrain, specifically Article 11, establishes a quota for the employment of disabled persons in the private sector. Furthermore, articles 20-22 provide for penalties for non-compliance with these provisions. Regrettably, these regulations are inadequately implemented and fail to adhere to standards of inclusivity and equality. The primary challenges highlighted in Bahrain's reports revolve around both cultural and structural issues. Stereotypes and employers' apprehensions contribute to the systematic exclusion of disabled individuals from the job market. Moreover, there is a notable lack of effective implementation of legal frameworks aimed at safeguarding the employment rights of disabled individuals. Significantly, financial allocations for enhancing their employment prospects are lacking. The reports indicate a failure to provide incentives to employers for hiring disabled individuals.\n\nOverall, the situation demonstrates the existence of significant obstacles faced by disabled individuals in accessing meaningful work and employment in Bahrain. Cultural biases, employers' concerns, inadequate implementation of legal frameworks, and insufficient financial support collectively contribute to the marginalization of disabled individuals in the job market.&quot;}]},{&quot;id&quot;:&quot;psl0ws5xJSKFgixJk4kPn&quot;,&quot;contextType&quot;:&quot;CONTEXT_SELECTION&quot;,&quot;context&quot;:&quot;The Bahrain Constitution Article 23 states that freedom of opinion and scientific research is guaranteed provided that the fundamental beliefs of Islamic doctrine are not infringed upon, the unity of people is not prejudiced and discord and sectarianism are not aroused. Bahrain has shown that it does not guarantee freedom of expression inside the State; the Bahraini government silences every form of political opposition through isolation. Independent media has been banned since 2017, and human rights defenders or journalist exercising their freedom of expression are harassed even for their social media activity.\nBahrain, regarding the freedom of expression of persons with disabilities, expressed that steps are being taken to ensure accessibility of information and communication through sign language, Braille, audio or alternative communication. In addition, measures were adopted to start recognizing Bahrain's sign language as official and promoting its learning.\nThere is a lack of incentives to develop manuals and references in Arabic in sign language, as prescribed by the Convention. In addition, no policies are present to foster the participation and expression of persons with disabilities in society. Additionally, Bahrain lacks funding to train teachers in using sign language. Also, a challenge to the freedom of expression of persons with disabilities is represented by the impossibility of access to public spaces such as libraries. This prevents persons with disabilities from participating in society, creating their beliefs, and expressing them.\n&quot;,&quot;queries&quot;:[{&quot;id&quot;:&quot;YF3aQ53_vMHTsutGEEmPk&quot;,&quot;user&quot;:&quot;Change the style to formal but not verbose&quot;,&quot;assistant&quot;:&quot;As outlined in Article 23 of the Bahrain Constitution, freedom of opinion and scientific research are guaranteed with the caveat that they do not infringe upon the fundamental tenets of Islamic doctrine, do not undermine national unity, and do not promote discord or sectarianism. However, Bahrain's track record reveals a lack of assurance regarding freedom of expression within the country. The government of Bahrain quashes any form of political opposition through measures such as isolation. Since 2017, independent media has been prohibited, and individuals exercising their freedom of expression, including human rights defenders and journalists, face harassment, even for their activities on social media.\n\nRegarding the freedom of expression for individuals with disabilities, Bahrain has expressed steps being taken to ensure accessibility of information and communication through various means such as sign language, Braille, audio, or alternative forms of communication. Efforts have also been made to recognize Bahrain's sign language as an official language and promote its learning.\n\nHowever, gaps and challenges remain in fully realizing the freedom of expression for persons with disabilities. There is a lack of incentives to develop manuals and references in Arabic sign language, as recommended by the Convention. Moreover, no specific policies are in place to support the participation and expression of persons with disabilities in society. Insufficient funding for training teachers in sign language usage further hampers progress in this area. Additionally, the limited accessibility of public spaces, including libraries, presents a significant obstacle to the freedom of expression for individuals with disabilities. Such restrictions hinder their ability to fully participate in society, form their beliefs, and express themselves.&quot;}]},{&quot;id&quot;:&quot;RpoVrpgdIEPvb0cAdH6XG&quot;,&quot;contextType&quot;:&quot;CONTEXT_SELECTION&quot;,&quot;context&quot;:&quot;Article 8 of the Bahrain Constitution stipulates that every citizen is entitled to health care. The government is the preeminent actor responsible for public health. Bahrain declares its partnership with stakeholders has obtained high-quality service for every citizen. However, the World Health Organization (WHO) report on Bahrain highlights the need to improve national health strategies to strengthen the evidence base for action on disability and rehabilitation. One of the main issues found in the report was the lack of funding for disability-inclusive approaches, especially in the implementation of emergency strategies. This aspect was highlighted when the country had to respond to the COVID-19 crisis, in particular, when it became apparent that the country suffers from a lack of awareness regarding persons with disabilities and emergency response plans. \nIn addition, WHO reports that increased independence between the public sector and privates is needed. The citizens' health depends on the government's decision on how much money to allocate. Often, these investments are insufficient to meet the demand for specialized health services. Another issue reported is the decrease of all the workers in the health industry, which poses a risk to specialized help for disabled persons. In addition, there is a lack of integration, communication and integration between the different sectors of the Ministry of Health. This causes fragmented policies, which often result in failures.\n&quot;,&quot;queries&quot;:[{&quot;id&quot;:&quot;l8agNA9_ubW-FItt4uHq6&quot;,&quot;user&quot;:&quot;Change the style to formal but not verbose.&quot;,&quot;assistant&quot;:&quot;As prescribed in Article 8 of the Bahrain Constitution, every citizen of Bahrain has the right to receive healthcare, with the government assuming a primary role in ensuring public health. Bahrain asserts its collaboration with stakeholders to deliver high-quality services for all citizens. However, a report by the World Health Organization (WHO) on Bahrain underscores the importance of enhancing national health strategies in order to strengthen the evidence base for disability and rehabilitation initiatives. The report identifies various areas for improvement, particularly the need for increased funding for disability-inclusive approaches, particularly in the implementation of emergency response plans. This issue became especially apparent during the COVID-19 crisis, highlighting a lack of awareness and preparedness regarding persons with disabilities and emergency situations.\n\nFurthermore, the WHO report emphasizes the necessity for greater independence between the public and private sectors in healthcare provision. The health of citizens is contingent upon the government's decisions regarding resource allocation, often resulting in insufficient investments to meet the demand for specialized health services. The decrease in the number of healthcare professionals poses a risk to the provision of specialized assistance for disabled individuals. Additionally, there is a lack of integration, communication, and coordination among different sectors within the Ministry of Health, resulting in fragmented policies that frequently lead to inefficiencies.\n\nIn summary, the findings indicate that while Bahrain recognizes the right to healthcare for its citizens, there are areas that require attention and improvement. By addressing funding gaps, strengthening emergency response plans, increasing workforce capacity, and fostering better coordination within the Ministry of Health, Bahrain can advance its efforts towards providing comprehensive and inclusive healthcare services for individuals with disabilities.&quot;}]}]}"/>
    <we:property name="docId" value="&quot;efDLLLdMcyEbN4Ob2fIzo&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8</TotalTime>
  <Pages>8</Pages>
  <Words>2830</Words>
  <Characters>16133</Characters>
  <Application>Microsoft Office Word</Application>
  <DocSecurity>4</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alessio mantoo</dc:creator>
  <cp:lastModifiedBy>Robert OUKO</cp:lastModifiedBy>
  <cp:revision>2</cp:revision>
  <dcterms:created xsi:type="dcterms:W3CDTF">2024-01-25T13:58:00Z</dcterms:created>
  <dcterms:modified xsi:type="dcterms:W3CDTF">2024-01-25T13:58:00Z</dcterms:modified>
</cp:coreProperties>
</file>