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5D395C" w14:textId="41851DEA" w:rsidR="00D97D56" w:rsidRDefault="00D97D56" w:rsidP="00DD6683">
      <w:pPr>
        <w:jc w:val="center"/>
        <w:rPr>
          <w:rFonts w:ascii="Arial" w:hAnsi="Arial" w:cs="Arial"/>
          <w:b/>
          <w:bCs/>
          <w:sz w:val="28"/>
          <w:szCs w:val="28"/>
        </w:rPr>
      </w:pPr>
      <w:bookmarkStart w:id="0" w:name="_GoBack"/>
      <w:bookmarkEnd w:id="0"/>
      <w:r>
        <w:rPr>
          <w:rFonts w:ascii="Arial" w:hAnsi="Arial" w:cs="Arial"/>
          <w:b/>
          <w:bCs/>
          <w:noProof/>
          <w:sz w:val="28"/>
          <w:szCs w:val="28"/>
          <w:lang w:val="en-GB" w:eastAsia="en-GB"/>
        </w:rPr>
        <w:drawing>
          <wp:inline distT="0" distB="0" distL="0" distR="0" wp14:anchorId="72CC2AAC" wp14:editId="59029BD6">
            <wp:extent cx="857250" cy="10382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7250" cy="1038225"/>
                    </a:xfrm>
                    <a:prstGeom prst="rect">
                      <a:avLst/>
                    </a:prstGeom>
                    <a:noFill/>
                  </pic:spPr>
                </pic:pic>
              </a:graphicData>
            </a:graphic>
          </wp:inline>
        </w:drawing>
      </w:r>
    </w:p>
    <w:p w14:paraId="6B5F76DD" w14:textId="449FA3D7" w:rsidR="00DD6683" w:rsidRDefault="00A07AA8" w:rsidP="00DD6683">
      <w:pPr>
        <w:jc w:val="center"/>
        <w:rPr>
          <w:rFonts w:ascii="Arial" w:hAnsi="Arial" w:cs="Arial"/>
          <w:b/>
          <w:bCs/>
          <w:sz w:val="28"/>
          <w:szCs w:val="28"/>
        </w:rPr>
      </w:pPr>
      <w:r w:rsidRPr="00880F8A">
        <w:rPr>
          <w:rFonts w:ascii="Arial" w:hAnsi="Arial" w:cs="Arial"/>
          <w:b/>
          <w:bCs/>
          <w:sz w:val="28"/>
          <w:szCs w:val="28"/>
        </w:rPr>
        <w:t>INFORME DE LA COMISIÓN NACIONAL DE LOS DERECHOS HUMANOS DE MÉXICO (CDNH), CON MOTIVO DE LA ELABORACIÓN POR PARTE DEL COMITÉ CONTRA LA TORTURA DE LA ONU, DE LA LISTA DE CUESTIONES AL ESTADO MEXICANO, PARA LA PRESENTACIÓN DE SU OCTAVO INFORME PERIÓDICO</w:t>
      </w:r>
    </w:p>
    <w:p w14:paraId="5429A3C4" w14:textId="77777777" w:rsidR="00AB00A1" w:rsidRDefault="00AB00A1" w:rsidP="00AB00A1">
      <w:pPr>
        <w:widowControl w:val="0"/>
        <w:autoSpaceDE w:val="0"/>
        <w:autoSpaceDN w:val="0"/>
        <w:spacing w:after="0" w:line="260" w:lineRule="exact"/>
        <w:rPr>
          <w:rFonts w:ascii="Arial" w:eastAsia="Arial" w:hAnsi="Arial" w:cs="Arial"/>
          <w:b/>
          <w:bCs/>
          <w:lang w:val="es-ES"/>
        </w:rPr>
      </w:pPr>
    </w:p>
    <w:p w14:paraId="347A4F21" w14:textId="11FDE43D" w:rsidR="004C4B49" w:rsidRDefault="004C4B49" w:rsidP="00AB00A1">
      <w:pPr>
        <w:widowControl w:val="0"/>
        <w:autoSpaceDE w:val="0"/>
        <w:autoSpaceDN w:val="0"/>
        <w:spacing w:after="0" w:line="260" w:lineRule="exact"/>
        <w:rPr>
          <w:rFonts w:ascii="Arial" w:eastAsia="Arial" w:hAnsi="Arial" w:cs="Arial"/>
          <w:b/>
          <w:bCs/>
          <w:lang w:val="es-ES"/>
        </w:rPr>
      </w:pPr>
      <w:r>
        <w:rPr>
          <w:rFonts w:ascii="Arial" w:eastAsia="Arial" w:hAnsi="Arial" w:cs="Arial"/>
          <w:b/>
          <w:bCs/>
          <w:lang w:val="es-ES"/>
        </w:rPr>
        <w:t>INTRODUCCIÓN</w:t>
      </w:r>
    </w:p>
    <w:p w14:paraId="3A79F6FA" w14:textId="6A9D0318" w:rsidR="004C4B49" w:rsidRDefault="004C4B49" w:rsidP="001D1FC2">
      <w:pPr>
        <w:widowControl w:val="0"/>
        <w:autoSpaceDE w:val="0"/>
        <w:autoSpaceDN w:val="0"/>
        <w:spacing w:after="0" w:line="260" w:lineRule="exact"/>
        <w:jc w:val="both"/>
        <w:rPr>
          <w:rFonts w:ascii="Arial" w:eastAsia="Arial" w:hAnsi="Arial" w:cs="Arial"/>
          <w:b/>
          <w:bCs/>
          <w:lang w:val="es-ES"/>
        </w:rPr>
      </w:pPr>
    </w:p>
    <w:p w14:paraId="4FC05238" w14:textId="653DF783" w:rsidR="00AB00A1" w:rsidRPr="00AB00A1" w:rsidRDefault="00AB00A1" w:rsidP="00AB00A1">
      <w:pPr>
        <w:widowControl w:val="0"/>
        <w:autoSpaceDE w:val="0"/>
        <w:autoSpaceDN w:val="0"/>
        <w:spacing w:after="0" w:line="260" w:lineRule="exact"/>
        <w:jc w:val="both"/>
        <w:rPr>
          <w:rFonts w:ascii="Arial" w:eastAsia="Arial" w:hAnsi="Arial" w:cs="Arial"/>
        </w:rPr>
      </w:pPr>
      <w:r w:rsidRPr="00AB00A1">
        <w:rPr>
          <w:rFonts w:ascii="Arial" w:eastAsia="Arial" w:hAnsi="Arial" w:cs="Arial"/>
        </w:rPr>
        <w:t>La Comisión Nacional de los Derechos Humanos</w:t>
      </w:r>
      <w:r w:rsidR="00686F6A">
        <w:rPr>
          <w:rFonts w:ascii="Arial" w:eastAsia="Arial" w:hAnsi="Arial" w:cs="Arial"/>
        </w:rPr>
        <w:t xml:space="preserve"> de México</w:t>
      </w:r>
      <w:r w:rsidRPr="00AB00A1">
        <w:rPr>
          <w:rFonts w:ascii="Arial" w:eastAsia="Arial" w:hAnsi="Arial" w:cs="Arial"/>
        </w:rPr>
        <w:t xml:space="preserve"> (CNDH),</w:t>
      </w:r>
      <w:r w:rsidR="00974D0F">
        <w:rPr>
          <w:rFonts w:ascii="Arial" w:eastAsia="Arial" w:hAnsi="Arial" w:cs="Arial"/>
        </w:rPr>
        <w:t xml:space="preserve"> en su carácter </w:t>
      </w:r>
      <w:r w:rsidR="00974D0F">
        <w:rPr>
          <w:rFonts w:ascii="Arial" w:eastAsia="Arial" w:hAnsi="Arial" w:cs="Arial"/>
        </w:rPr>
        <w:lastRenderedPageBreak/>
        <w:t>de Institución Nacional de Derechos Humanos</w:t>
      </w:r>
      <w:r w:rsidR="00686F6A">
        <w:rPr>
          <w:rFonts w:ascii="Arial" w:eastAsia="Arial" w:hAnsi="Arial" w:cs="Arial"/>
        </w:rPr>
        <w:t xml:space="preserve"> con Estatus “A” ante la Alianza Global de Instituciones Nacionales de Derechos Humanos (GANHRI)</w:t>
      </w:r>
      <w:r w:rsidR="00974D0F">
        <w:rPr>
          <w:rFonts w:ascii="Arial" w:eastAsia="Arial" w:hAnsi="Arial" w:cs="Arial"/>
        </w:rPr>
        <w:t>,</w:t>
      </w:r>
      <w:r w:rsidRPr="00AB00A1">
        <w:rPr>
          <w:rFonts w:ascii="Arial" w:eastAsia="Arial" w:hAnsi="Arial" w:cs="Arial"/>
        </w:rPr>
        <w:t xml:space="preserve"> presenta el siguiente Informe</w:t>
      </w:r>
      <w:r w:rsidR="00974D0F">
        <w:rPr>
          <w:rFonts w:ascii="Arial" w:eastAsia="Arial" w:hAnsi="Arial" w:cs="Arial"/>
        </w:rPr>
        <w:t xml:space="preserve"> alternativo al Comité contra la Tortura de la Organización de las Naciones Unidas (CAT), en apoyo a la elaboración de la lista de Cuestiones</w:t>
      </w:r>
      <w:r w:rsidRPr="00AB00A1">
        <w:rPr>
          <w:rFonts w:ascii="Arial" w:eastAsia="Arial" w:hAnsi="Arial" w:cs="Arial"/>
        </w:rPr>
        <w:t xml:space="preserve"> al Estado Mexicano, para la presentación de su Octavo Informe Periódico </w:t>
      </w:r>
      <w:r w:rsidR="00974D0F">
        <w:rPr>
          <w:rFonts w:ascii="Arial" w:eastAsia="Arial" w:hAnsi="Arial" w:cs="Arial"/>
        </w:rPr>
        <w:t>ante dicho Comité</w:t>
      </w:r>
      <w:r w:rsidRPr="00AB00A1">
        <w:rPr>
          <w:rFonts w:ascii="Arial" w:eastAsia="Arial" w:hAnsi="Arial" w:cs="Arial"/>
        </w:rPr>
        <w:t>.</w:t>
      </w:r>
    </w:p>
    <w:p w14:paraId="201F0C88" w14:textId="77777777" w:rsidR="00AB00A1" w:rsidRPr="00AB00A1" w:rsidRDefault="00AB00A1" w:rsidP="00AB00A1">
      <w:pPr>
        <w:widowControl w:val="0"/>
        <w:autoSpaceDE w:val="0"/>
        <w:autoSpaceDN w:val="0"/>
        <w:spacing w:after="0" w:line="260" w:lineRule="exact"/>
        <w:jc w:val="both"/>
        <w:rPr>
          <w:rFonts w:ascii="Arial" w:eastAsia="Arial" w:hAnsi="Arial" w:cs="Arial"/>
        </w:rPr>
      </w:pPr>
    </w:p>
    <w:p w14:paraId="62307D3E" w14:textId="01EF5B2B" w:rsidR="00AB00A1" w:rsidRPr="00AB00A1" w:rsidRDefault="00974D0F" w:rsidP="00AB00A1">
      <w:pPr>
        <w:widowControl w:val="0"/>
        <w:autoSpaceDE w:val="0"/>
        <w:autoSpaceDN w:val="0"/>
        <w:spacing w:after="0" w:line="260" w:lineRule="exact"/>
        <w:jc w:val="both"/>
        <w:rPr>
          <w:rFonts w:ascii="Arial" w:eastAsia="Arial" w:hAnsi="Arial" w:cs="Arial"/>
        </w:rPr>
      </w:pPr>
      <w:r>
        <w:rPr>
          <w:rFonts w:ascii="Arial" w:eastAsia="Arial" w:hAnsi="Arial" w:cs="Arial"/>
        </w:rPr>
        <w:t>El Informe da cuenta de las acciones</w:t>
      </w:r>
      <w:r w:rsidR="00AB00A1" w:rsidRPr="00AB00A1">
        <w:rPr>
          <w:rFonts w:ascii="Arial" w:eastAsia="Arial" w:hAnsi="Arial" w:cs="Arial"/>
        </w:rPr>
        <w:t xml:space="preserve"> acciones y avances que ha</w:t>
      </w:r>
      <w:r>
        <w:rPr>
          <w:rFonts w:ascii="Arial" w:eastAsia="Arial" w:hAnsi="Arial" w:cs="Arial"/>
        </w:rPr>
        <w:t>n</w:t>
      </w:r>
      <w:r w:rsidR="00AB00A1" w:rsidRPr="00AB00A1">
        <w:rPr>
          <w:rFonts w:ascii="Arial" w:eastAsia="Arial" w:hAnsi="Arial" w:cs="Arial"/>
        </w:rPr>
        <w:t xml:space="preserve"> llevado a cabo </w:t>
      </w:r>
      <w:r>
        <w:rPr>
          <w:rFonts w:ascii="Arial" w:eastAsia="Arial" w:hAnsi="Arial" w:cs="Arial"/>
        </w:rPr>
        <w:t>la Comisión Nacional de los Derechos Humanos de México</w:t>
      </w:r>
      <w:r w:rsidR="00686F6A">
        <w:rPr>
          <w:rFonts w:ascii="Arial" w:eastAsia="Arial" w:hAnsi="Arial" w:cs="Arial"/>
        </w:rPr>
        <w:t xml:space="preserve"> (CNDH)</w:t>
      </w:r>
      <w:r>
        <w:rPr>
          <w:rFonts w:ascii="Arial" w:eastAsia="Arial" w:hAnsi="Arial" w:cs="Arial"/>
        </w:rPr>
        <w:t xml:space="preserve"> </w:t>
      </w:r>
      <w:r w:rsidR="00686F6A">
        <w:rPr>
          <w:rFonts w:ascii="Arial" w:eastAsia="Arial" w:hAnsi="Arial" w:cs="Arial"/>
        </w:rPr>
        <w:t>y el</w:t>
      </w:r>
      <w:r>
        <w:rPr>
          <w:rFonts w:ascii="Arial" w:eastAsia="Arial" w:hAnsi="Arial" w:cs="Arial"/>
        </w:rPr>
        <w:t xml:space="preserve"> Mecanismo Nacional de Prevención de la Tortu</w:t>
      </w:r>
      <w:r w:rsidR="00686F6A">
        <w:rPr>
          <w:rFonts w:ascii="Arial" w:eastAsia="Arial" w:hAnsi="Arial" w:cs="Arial"/>
        </w:rPr>
        <w:t>r</w:t>
      </w:r>
      <w:r>
        <w:rPr>
          <w:rFonts w:ascii="Arial" w:eastAsia="Arial" w:hAnsi="Arial" w:cs="Arial"/>
        </w:rPr>
        <w:t>a</w:t>
      </w:r>
      <w:r w:rsidR="00686F6A">
        <w:rPr>
          <w:rFonts w:ascii="Arial" w:eastAsia="Arial" w:hAnsi="Arial" w:cs="Arial"/>
        </w:rPr>
        <w:t xml:space="preserve"> (MNPT)</w:t>
      </w:r>
      <w:r w:rsidR="00AB00A1" w:rsidRPr="00AB00A1">
        <w:rPr>
          <w:rFonts w:ascii="Arial" w:eastAsia="Arial" w:hAnsi="Arial" w:cs="Arial"/>
        </w:rPr>
        <w:t>, en el período comprendido del 15 de mayo de 2019 al 31 de diciembre de 2021, para dar cumplimiento a la</w:t>
      </w:r>
      <w:r w:rsidR="00686F6A">
        <w:rPr>
          <w:rFonts w:ascii="Arial" w:eastAsia="Arial" w:hAnsi="Arial" w:cs="Arial"/>
        </w:rPr>
        <w:t>s</w:t>
      </w:r>
      <w:r w:rsidR="00AB00A1" w:rsidRPr="00AB00A1">
        <w:rPr>
          <w:rFonts w:ascii="Arial" w:eastAsia="Arial" w:hAnsi="Arial" w:cs="Arial"/>
        </w:rPr>
        <w:t xml:space="preserve"> recomendaci</w:t>
      </w:r>
      <w:r w:rsidR="00686F6A">
        <w:rPr>
          <w:rFonts w:ascii="Arial" w:eastAsia="Arial" w:hAnsi="Arial" w:cs="Arial"/>
        </w:rPr>
        <w:t>ones</w:t>
      </w:r>
      <w:r w:rsidR="00AB00A1" w:rsidRPr="00AB00A1">
        <w:rPr>
          <w:rFonts w:ascii="Arial" w:eastAsia="Arial" w:hAnsi="Arial" w:cs="Arial"/>
        </w:rPr>
        <w:t xml:space="preserve"> emitida</w:t>
      </w:r>
      <w:r w:rsidR="00686F6A">
        <w:rPr>
          <w:rFonts w:ascii="Arial" w:eastAsia="Arial" w:hAnsi="Arial" w:cs="Arial"/>
        </w:rPr>
        <w:t>s en mayo de 2019,</w:t>
      </w:r>
      <w:r w:rsidR="00AB00A1" w:rsidRPr="00AB00A1">
        <w:rPr>
          <w:rFonts w:ascii="Arial" w:eastAsia="Arial" w:hAnsi="Arial" w:cs="Arial"/>
        </w:rPr>
        <w:t xml:space="preserve"> por el C</w:t>
      </w:r>
      <w:r w:rsidR="00686F6A">
        <w:rPr>
          <w:rFonts w:ascii="Arial" w:eastAsia="Arial" w:hAnsi="Arial" w:cs="Arial"/>
        </w:rPr>
        <w:t>AT</w:t>
      </w:r>
      <w:r w:rsidR="00AB00A1" w:rsidRPr="00AB00A1">
        <w:rPr>
          <w:rFonts w:ascii="Arial" w:eastAsia="Arial" w:hAnsi="Arial" w:cs="Arial"/>
        </w:rPr>
        <w:t xml:space="preserve"> en sus Observaciones Finales sobre el Séptimo Informe Periódico de México</w:t>
      </w:r>
      <w:r w:rsidR="00686F6A">
        <w:rPr>
          <w:rFonts w:ascii="Arial" w:eastAsia="Arial" w:hAnsi="Arial" w:cs="Arial"/>
        </w:rPr>
        <w:t>.</w:t>
      </w:r>
    </w:p>
    <w:p w14:paraId="248C97F2" w14:textId="77777777" w:rsidR="004C4B49" w:rsidRPr="00AB00A1" w:rsidRDefault="004C4B49" w:rsidP="001D1FC2">
      <w:pPr>
        <w:widowControl w:val="0"/>
        <w:autoSpaceDE w:val="0"/>
        <w:autoSpaceDN w:val="0"/>
        <w:spacing w:after="0" w:line="260" w:lineRule="exact"/>
        <w:jc w:val="both"/>
        <w:rPr>
          <w:rFonts w:ascii="Arial" w:eastAsia="Arial" w:hAnsi="Arial" w:cs="Arial"/>
          <w:lang w:val="es-ES"/>
        </w:rPr>
      </w:pPr>
    </w:p>
    <w:p w14:paraId="0714B1B3" w14:textId="3BD41DBB" w:rsidR="004C4B49" w:rsidRDefault="004C4B49" w:rsidP="001D1FC2">
      <w:pPr>
        <w:widowControl w:val="0"/>
        <w:autoSpaceDE w:val="0"/>
        <w:autoSpaceDN w:val="0"/>
        <w:spacing w:after="0" w:line="260" w:lineRule="exact"/>
        <w:jc w:val="both"/>
        <w:rPr>
          <w:rFonts w:ascii="Arial" w:eastAsia="Arial" w:hAnsi="Arial" w:cs="Arial"/>
          <w:b/>
          <w:bCs/>
          <w:lang w:val="es-ES"/>
        </w:rPr>
      </w:pPr>
    </w:p>
    <w:p w14:paraId="53856B05" w14:textId="16320A55" w:rsidR="00AB00A1" w:rsidRDefault="00AB00A1" w:rsidP="001D1FC2">
      <w:pPr>
        <w:widowControl w:val="0"/>
        <w:autoSpaceDE w:val="0"/>
        <w:autoSpaceDN w:val="0"/>
        <w:spacing w:after="0" w:line="260" w:lineRule="exact"/>
        <w:jc w:val="both"/>
        <w:rPr>
          <w:rFonts w:ascii="Arial" w:eastAsia="Arial" w:hAnsi="Arial" w:cs="Arial"/>
          <w:b/>
          <w:bCs/>
          <w:lang w:val="es-ES"/>
        </w:rPr>
      </w:pPr>
      <w:r>
        <w:rPr>
          <w:rFonts w:ascii="Arial" w:eastAsia="Arial" w:hAnsi="Arial" w:cs="Arial"/>
          <w:b/>
          <w:bCs/>
          <w:lang w:val="es-ES"/>
        </w:rPr>
        <w:t>DESARROLLO</w:t>
      </w:r>
    </w:p>
    <w:p w14:paraId="30FF3856" w14:textId="77777777" w:rsidR="00AB00A1" w:rsidRDefault="00AB00A1" w:rsidP="001D1FC2">
      <w:pPr>
        <w:widowControl w:val="0"/>
        <w:autoSpaceDE w:val="0"/>
        <w:autoSpaceDN w:val="0"/>
        <w:spacing w:after="0" w:line="260" w:lineRule="exact"/>
        <w:jc w:val="both"/>
        <w:rPr>
          <w:rFonts w:ascii="Arial" w:eastAsia="Arial" w:hAnsi="Arial" w:cs="Arial"/>
          <w:b/>
          <w:bCs/>
          <w:lang w:val="es-ES"/>
        </w:rPr>
      </w:pPr>
    </w:p>
    <w:p w14:paraId="704FAE06" w14:textId="77777777" w:rsidR="00AB00A1" w:rsidRDefault="00AB00A1" w:rsidP="001D1FC2">
      <w:pPr>
        <w:widowControl w:val="0"/>
        <w:autoSpaceDE w:val="0"/>
        <w:autoSpaceDN w:val="0"/>
        <w:spacing w:after="0" w:line="260" w:lineRule="exact"/>
        <w:jc w:val="both"/>
        <w:rPr>
          <w:rFonts w:ascii="Arial" w:eastAsia="Arial" w:hAnsi="Arial" w:cs="Arial"/>
          <w:b/>
          <w:bCs/>
          <w:lang w:val="es-ES"/>
        </w:rPr>
      </w:pPr>
    </w:p>
    <w:p w14:paraId="41414E0F" w14:textId="4A21087E" w:rsidR="001D1FC2" w:rsidRPr="001D1FC2" w:rsidRDefault="001D1FC2" w:rsidP="001D1FC2">
      <w:pPr>
        <w:widowControl w:val="0"/>
        <w:autoSpaceDE w:val="0"/>
        <w:autoSpaceDN w:val="0"/>
        <w:spacing w:after="0" w:line="260" w:lineRule="exact"/>
        <w:jc w:val="both"/>
        <w:rPr>
          <w:rFonts w:ascii="Arial" w:eastAsia="Arial" w:hAnsi="Arial" w:cs="Arial"/>
          <w:b/>
          <w:bCs/>
          <w:lang w:val="es-ES"/>
        </w:rPr>
      </w:pPr>
      <w:r w:rsidRPr="001D1FC2">
        <w:rPr>
          <w:rFonts w:ascii="Arial" w:eastAsia="Arial" w:hAnsi="Arial" w:cs="Arial"/>
          <w:b/>
          <w:bCs/>
          <w:lang w:val="es-ES"/>
        </w:rPr>
        <w:t xml:space="preserve">10. El Estado parte debe: </w:t>
      </w:r>
    </w:p>
    <w:p w14:paraId="015C7044" w14:textId="77777777" w:rsidR="001D1FC2" w:rsidRPr="001D1FC2" w:rsidRDefault="001D1FC2" w:rsidP="001D1FC2">
      <w:pPr>
        <w:widowControl w:val="0"/>
        <w:autoSpaceDE w:val="0"/>
        <w:autoSpaceDN w:val="0"/>
        <w:spacing w:after="0" w:line="260" w:lineRule="exact"/>
        <w:jc w:val="both"/>
        <w:rPr>
          <w:rFonts w:ascii="Arial" w:eastAsia="Arial" w:hAnsi="Arial" w:cs="Arial"/>
          <w:b/>
          <w:bCs/>
          <w:i/>
          <w:iCs/>
          <w:lang w:val="es-ES"/>
        </w:rPr>
      </w:pPr>
      <w:r w:rsidRPr="001D1FC2">
        <w:rPr>
          <w:rFonts w:ascii="Arial" w:eastAsia="Arial" w:hAnsi="Arial" w:cs="Arial"/>
          <w:b/>
          <w:bCs/>
          <w:i/>
          <w:iCs/>
          <w:lang w:val="es-ES"/>
        </w:rPr>
        <w:t>a) Pronunciarse sin ambigüedades en favor del respeto de la prohibición absoluta de la tortura y los malos tratos y anunciar públicamente que quien cometa actos de esta índole, sea cómplice en ellos o los tolere, será personalmente responsable de tales actos ante la ley, estará sujeto a enjuiciamiento penal y las sanciones apropiadas.</w:t>
      </w:r>
    </w:p>
    <w:p w14:paraId="13AD6E0F" w14:textId="77777777" w:rsidR="004C4B49" w:rsidRDefault="004C4B49" w:rsidP="001D1FC2">
      <w:pPr>
        <w:widowControl w:val="0"/>
        <w:autoSpaceDE w:val="0"/>
        <w:autoSpaceDN w:val="0"/>
        <w:spacing w:after="0" w:line="260" w:lineRule="exact"/>
        <w:jc w:val="both"/>
        <w:rPr>
          <w:rFonts w:ascii="Arial" w:eastAsia="Arial" w:hAnsi="Arial" w:cs="Arial"/>
          <w:lang w:val="es-ES"/>
        </w:rPr>
      </w:pPr>
    </w:p>
    <w:p w14:paraId="19B7A9EB" w14:textId="11FAEF97" w:rsidR="007300FE" w:rsidRPr="007300FE" w:rsidRDefault="007300FE" w:rsidP="001D1FC2">
      <w:pPr>
        <w:widowControl w:val="0"/>
        <w:autoSpaceDE w:val="0"/>
        <w:autoSpaceDN w:val="0"/>
        <w:spacing w:after="0" w:line="260" w:lineRule="exact"/>
        <w:jc w:val="both"/>
        <w:rPr>
          <w:rFonts w:ascii="Arial" w:eastAsia="Arial" w:hAnsi="Arial" w:cs="Arial"/>
          <w:b/>
          <w:bCs/>
          <w:lang w:val="es-ES"/>
        </w:rPr>
      </w:pPr>
      <w:r w:rsidRPr="007300FE">
        <w:rPr>
          <w:rFonts w:ascii="Arial" w:eastAsia="Arial" w:hAnsi="Arial" w:cs="Arial"/>
          <w:b/>
          <w:bCs/>
          <w:lang w:val="es-ES"/>
        </w:rPr>
        <w:t>Acciones realizadas por el Mecanismo Nacional de Prevención de la Tortura</w:t>
      </w:r>
      <w:r w:rsidR="00AB00A1">
        <w:rPr>
          <w:rFonts w:ascii="Arial" w:eastAsia="Arial" w:hAnsi="Arial" w:cs="Arial"/>
          <w:b/>
          <w:bCs/>
          <w:lang w:val="es-ES"/>
        </w:rPr>
        <w:t xml:space="preserve"> (MNPT)</w:t>
      </w:r>
    </w:p>
    <w:p w14:paraId="79247FAC" w14:textId="77777777" w:rsidR="007300FE" w:rsidRDefault="007300FE" w:rsidP="001D1FC2">
      <w:pPr>
        <w:widowControl w:val="0"/>
        <w:autoSpaceDE w:val="0"/>
        <w:autoSpaceDN w:val="0"/>
        <w:spacing w:after="0" w:line="260" w:lineRule="exact"/>
        <w:jc w:val="both"/>
        <w:rPr>
          <w:rFonts w:ascii="Arial" w:eastAsia="Arial" w:hAnsi="Arial" w:cs="Arial"/>
          <w:lang w:val="es-ES"/>
        </w:rPr>
      </w:pPr>
    </w:p>
    <w:p w14:paraId="70CB5625" w14:textId="221BA5E3" w:rsidR="001D1FC2" w:rsidRPr="001D1FC2" w:rsidRDefault="004C4B49" w:rsidP="001D1FC2">
      <w:pPr>
        <w:widowControl w:val="0"/>
        <w:autoSpaceDE w:val="0"/>
        <w:autoSpaceDN w:val="0"/>
        <w:spacing w:after="0" w:line="260" w:lineRule="exact"/>
        <w:jc w:val="both"/>
        <w:rPr>
          <w:rFonts w:ascii="Arial" w:eastAsia="Arial" w:hAnsi="Arial" w:cs="Arial"/>
          <w:lang w:val="es-ES"/>
        </w:rPr>
      </w:pPr>
      <w:r>
        <w:rPr>
          <w:rFonts w:ascii="Arial" w:eastAsia="Arial" w:hAnsi="Arial" w:cs="Arial"/>
          <w:lang w:val="es-ES"/>
        </w:rPr>
        <w:t>E</w:t>
      </w:r>
      <w:r w:rsidR="001D1FC2" w:rsidRPr="001D1FC2">
        <w:rPr>
          <w:rFonts w:ascii="Arial" w:eastAsia="Arial" w:hAnsi="Arial" w:cs="Arial"/>
          <w:lang w:val="es-ES"/>
        </w:rPr>
        <w:t>l</w:t>
      </w:r>
      <w:r>
        <w:rPr>
          <w:rFonts w:ascii="Arial" w:eastAsia="Arial" w:hAnsi="Arial" w:cs="Arial"/>
          <w:lang w:val="es-ES"/>
        </w:rPr>
        <w:t xml:space="preserve"> Mecanismo Nacional de Prevención de la Tortura</w:t>
      </w:r>
      <w:r w:rsidR="001D1FC2" w:rsidRPr="001D1FC2">
        <w:rPr>
          <w:rFonts w:ascii="Arial" w:eastAsia="Arial" w:hAnsi="Arial" w:cs="Arial"/>
          <w:lang w:val="es-ES"/>
        </w:rPr>
        <w:t xml:space="preserve"> </w:t>
      </w:r>
      <w:r>
        <w:rPr>
          <w:rFonts w:ascii="Arial" w:eastAsia="Arial" w:hAnsi="Arial" w:cs="Arial"/>
          <w:lang w:val="es-ES"/>
        </w:rPr>
        <w:t>(</w:t>
      </w:r>
      <w:r w:rsidR="001D1FC2" w:rsidRPr="001D1FC2">
        <w:rPr>
          <w:rFonts w:ascii="Arial" w:eastAsia="Arial" w:hAnsi="Arial" w:cs="Arial"/>
          <w:lang w:val="es-ES"/>
        </w:rPr>
        <w:t>MNPT</w:t>
      </w:r>
      <w:r>
        <w:rPr>
          <w:rFonts w:ascii="Arial" w:eastAsia="Arial" w:hAnsi="Arial" w:cs="Arial"/>
          <w:lang w:val="es-ES"/>
        </w:rPr>
        <w:t>)</w:t>
      </w:r>
      <w:r w:rsidR="001D1FC2" w:rsidRPr="001D1FC2">
        <w:rPr>
          <w:rFonts w:ascii="Arial" w:eastAsia="Arial" w:hAnsi="Arial" w:cs="Arial"/>
          <w:lang w:val="es-ES"/>
        </w:rPr>
        <w:t>, dentro de sus facultades señaladas en el numeral 78 de la Ley General para Prevenir, Investigar y Sancionar la Tortura y Otros Tratos o Penas Crueles, Inhumanos o Degradantes, realizó los siguientes pronunciamientos:</w:t>
      </w:r>
    </w:p>
    <w:p w14:paraId="43B4AC1F" w14:textId="77777777" w:rsidR="001D1FC2" w:rsidRPr="001D1FC2" w:rsidRDefault="001D1FC2" w:rsidP="001D1FC2">
      <w:pPr>
        <w:widowControl w:val="0"/>
        <w:numPr>
          <w:ilvl w:val="0"/>
          <w:numId w:val="27"/>
        </w:numPr>
        <w:autoSpaceDE w:val="0"/>
        <w:autoSpaceDN w:val="0"/>
        <w:spacing w:after="0" w:line="260" w:lineRule="exact"/>
        <w:ind w:right="737"/>
        <w:contextualSpacing/>
        <w:jc w:val="both"/>
        <w:rPr>
          <w:rFonts w:ascii="Arial" w:eastAsia="Arial" w:hAnsi="Arial" w:cs="Arial"/>
          <w:lang w:val="es-ES"/>
        </w:rPr>
      </w:pPr>
      <w:r w:rsidRPr="001D1FC2">
        <w:rPr>
          <w:rFonts w:ascii="Arial" w:eastAsia="Arial" w:hAnsi="Arial" w:cs="Arial"/>
          <w:lang w:val="es-ES"/>
        </w:rPr>
        <w:t xml:space="preserve">Comunicado de Prensa DGC/105/2020, de 27 de marzo de 2020, por el </w:t>
      </w:r>
      <w:r w:rsidRPr="001D1FC2">
        <w:rPr>
          <w:rFonts w:ascii="Arial" w:eastAsia="Arial" w:hAnsi="Arial" w:cs="Arial"/>
          <w:lang w:val="es-ES"/>
        </w:rPr>
        <w:lastRenderedPageBreak/>
        <w:t xml:space="preserve">que l Mecanismo Nacional de Prevención de la Tortura (MNPT) de la CNDH, con relación a la investigación ministerial y resolución judicial realizada por la Unidad Especial de Investigación y Litigación para el Caso Ayotzinapa, que obtuvo auto de formal prisión en contra de ex servidores públicos por el delito de tortura, </w:t>
      </w:r>
      <w:r w:rsidRPr="001D1FC2">
        <w:rPr>
          <w:rFonts w:ascii="Arial" w:eastAsia="Arial" w:hAnsi="Arial" w:cs="Arial"/>
          <w:b/>
          <w:bCs/>
          <w:lang w:val="es-ES"/>
        </w:rPr>
        <w:t>reiteró su compromiso de trabajar de manera permanente para prevenir actos de Tortura y Otros Tratos o Penas Crueles, Inhumanos o Degradantes, con el fin de que se reconozca y así logar la erradicación de este problema, que abone al fortalecimiento de una sociedad comprometida con el respeto y pleno ejercicio de derechos y libertades fundamentales</w:t>
      </w:r>
      <w:r w:rsidRPr="001D1FC2">
        <w:rPr>
          <w:rFonts w:ascii="Arial" w:eastAsia="Arial" w:hAnsi="Arial" w:cs="Arial"/>
          <w:b/>
          <w:bCs/>
          <w:vertAlign w:val="superscript"/>
          <w:lang w:val="es-ES"/>
        </w:rPr>
        <w:footnoteReference w:id="1"/>
      </w:r>
      <w:r w:rsidRPr="001D1FC2">
        <w:rPr>
          <w:rFonts w:ascii="Arial" w:eastAsia="Arial" w:hAnsi="Arial" w:cs="Arial"/>
          <w:lang w:val="es-ES"/>
        </w:rPr>
        <w:t>.</w:t>
      </w:r>
    </w:p>
    <w:p w14:paraId="053C03A5" w14:textId="77777777" w:rsidR="001D1FC2" w:rsidRPr="001D1FC2" w:rsidRDefault="001D1FC2" w:rsidP="001D1FC2">
      <w:pPr>
        <w:widowControl w:val="0"/>
        <w:numPr>
          <w:ilvl w:val="0"/>
          <w:numId w:val="27"/>
        </w:numPr>
        <w:autoSpaceDE w:val="0"/>
        <w:autoSpaceDN w:val="0"/>
        <w:spacing w:after="0" w:line="260" w:lineRule="exact"/>
        <w:ind w:right="737"/>
        <w:contextualSpacing/>
        <w:jc w:val="both"/>
        <w:rPr>
          <w:rFonts w:ascii="Arial" w:eastAsia="Arial" w:hAnsi="Arial" w:cs="Arial"/>
          <w:lang w:val="es-ES"/>
        </w:rPr>
      </w:pPr>
      <w:r w:rsidRPr="001D1FC2">
        <w:rPr>
          <w:rFonts w:ascii="Arial" w:eastAsia="Arial" w:hAnsi="Arial" w:cs="Arial"/>
          <w:lang w:val="es-ES"/>
        </w:rPr>
        <w:t>Comunicado de Prensa DGC/120/2020, de 03 de abril de 2020, por el que el Mecanismo Nacional de Prevención de la Tortura (MNPT) hace un enér</w:t>
      </w:r>
      <w:r w:rsidRPr="001D1FC2">
        <w:rPr>
          <w:rFonts w:ascii="Arial" w:eastAsia="Arial" w:hAnsi="Arial" w:cs="Arial"/>
          <w:lang w:val="es-ES"/>
        </w:rPr>
        <w:lastRenderedPageBreak/>
        <w:t xml:space="preserve">gico llamado para que autoridades de Tijuana, Baja California, realicen acciones encaminadas a poner límites en el uso excesivo de la fuerza de la Policía Municipal y solicitó </w:t>
      </w:r>
      <w:r w:rsidRPr="001D1FC2">
        <w:rPr>
          <w:rFonts w:ascii="Arial" w:eastAsia="Arial" w:hAnsi="Arial" w:cs="Arial"/>
          <w:b/>
          <w:bCs/>
          <w:lang w:val="es-ES"/>
        </w:rPr>
        <w:t>realizar una investigación apegada a derecho que permita sancionar y reparar los daños causados por el uso de la fuerza ilegítima, excesiva o desproporcionada, en agravio de una víctima</w:t>
      </w:r>
      <w:r w:rsidRPr="001D1FC2">
        <w:rPr>
          <w:rFonts w:ascii="Arial" w:eastAsia="Arial" w:hAnsi="Arial" w:cs="Arial"/>
          <w:vertAlign w:val="superscript"/>
          <w:lang w:val="es-ES"/>
        </w:rPr>
        <w:footnoteReference w:id="2"/>
      </w:r>
      <w:r w:rsidRPr="001D1FC2">
        <w:rPr>
          <w:rFonts w:ascii="Arial" w:eastAsia="Arial" w:hAnsi="Arial" w:cs="Arial"/>
          <w:lang w:val="es-ES"/>
        </w:rPr>
        <w:t>.</w:t>
      </w:r>
    </w:p>
    <w:p w14:paraId="6A64975F" w14:textId="77777777" w:rsidR="001D1FC2" w:rsidRPr="001D1FC2" w:rsidRDefault="001D1FC2" w:rsidP="001D1FC2">
      <w:pPr>
        <w:widowControl w:val="0"/>
        <w:numPr>
          <w:ilvl w:val="0"/>
          <w:numId w:val="27"/>
        </w:numPr>
        <w:autoSpaceDE w:val="0"/>
        <w:autoSpaceDN w:val="0"/>
        <w:spacing w:after="0" w:line="260" w:lineRule="exact"/>
        <w:ind w:left="714" w:right="737" w:hanging="357"/>
        <w:jc w:val="both"/>
        <w:rPr>
          <w:rFonts w:ascii="Arial" w:eastAsia="Arial" w:hAnsi="Arial" w:cs="Arial"/>
          <w:b/>
          <w:bCs/>
          <w:lang w:val="es-ES"/>
        </w:rPr>
      </w:pPr>
      <w:r w:rsidRPr="001D1FC2">
        <w:rPr>
          <w:rFonts w:ascii="Arial" w:eastAsia="Arial" w:hAnsi="Arial" w:cs="Arial"/>
          <w:lang w:val="es-ES"/>
        </w:rPr>
        <w:t xml:space="preserve">Comunicado de Prensa DGC/170/2020, de 05 de junio de 2020, por los hechos acaecidos en el Estado de Jalisco, el 3 de junio del mismo año, en el que la Comisión Nacional de los Derechos Humanos, a través del MNPT, expresó su preocupación y su más enérgica condena al uso de la fuerza y a todo intento por violentar el derecho a la libre manifestación de las ideas y solicitó que, de la manera más inmediata, realizaran diversas acciones, entre las que se encuentra </w:t>
      </w:r>
      <w:r w:rsidRPr="001D1FC2">
        <w:rPr>
          <w:rFonts w:ascii="Arial" w:eastAsia="Arial" w:hAnsi="Arial" w:cs="Arial"/>
          <w:b/>
          <w:bCs/>
          <w:lang w:val="es-ES"/>
        </w:rPr>
        <w:t xml:space="preserve">una investigación apegada a derecho que permita </w:t>
      </w:r>
      <w:r w:rsidRPr="001D1FC2">
        <w:rPr>
          <w:rFonts w:ascii="Arial" w:eastAsia="Arial" w:hAnsi="Arial" w:cs="Arial"/>
          <w:b/>
          <w:bCs/>
          <w:lang w:val="es-ES"/>
        </w:rPr>
        <w:lastRenderedPageBreak/>
        <w:t>clarificar las condiciones del deceso de Giovanni López, y sancionar y reparar los daños causados por el uso de la fuerza ilegítima, excesiva o desproporcionada</w:t>
      </w:r>
      <w:r w:rsidRPr="001D1FC2">
        <w:rPr>
          <w:rFonts w:ascii="Arial" w:eastAsia="Arial" w:hAnsi="Arial" w:cs="Arial"/>
          <w:b/>
          <w:bCs/>
          <w:vertAlign w:val="superscript"/>
          <w:lang w:val="es-ES"/>
        </w:rPr>
        <w:footnoteReference w:id="3"/>
      </w:r>
      <w:r w:rsidRPr="001D1FC2">
        <w:rPr>
          <w:rFonts w:ascii="Arial" w:eastAsia="Arial" w:hAnsi="Arial" w:cs="Arial"/>
          <w:b/>
          <w:bCs/>
          <w:lang w:val="es-ES"/>
        </w:rPr>
        <w:t>.</w:t>
      </w:r>
    </w:p>
    <w:p w14:paraId="30100DD3" w14:textId="77777777" w:rsidR="001D1FC2" w:rsidRPr="001D1FC2" w:rsidRDefault="001D1FC2" w:rsidP="001D1FC2">
      <w:pPr>
        <w:widowControl w:val="0"/>
        <w:numPr>
          <w:ilvl w:val="0"/>
          <w:numId w:val="27"/>
        </w:numPr>
        <w:autoSpaceDE w:val="0"/>
        <w:autoSpaceDN w:val="0"/>
        <w:spacing w:after="0" w:line="260" w:lineRule="exact"/>
        <w:ind w:left="714" w:right="737" w:hanging="357"/>
        <w:jc w:val="both"/>
        <w:rPr>
          <w:rFonts w:ascii="Arial" w:eastAsia="Arial" w:hAnsi="Arial" w:cs="Arial"/>
          <w:lang w:val="es-ES"/>
        </w:rPr>
      </w:pPr>
      <w:r w:rsidRPr="001D1FC2">
        <w:rPr>
          <w:rFonts w:ascii="Arial" w:eastAsia="Arial" w:hAnsi="Arial" w:cs="Arial"/>
          <w:lang w:val="es-ES"/>
        </w:rPr>
        <w:t xml:space="preserve">Comunicado de Prensa DG/176/2020, de 10 de junio de 2020, sobre el fallecimiento del C. Carlos Navarro Landa, en el Cuartel de policía San José, Xalapa, Veracruz, en el que la Comisión Nacional de los Derechos Humanos observó con preocupación el hecho de que las autoridades encargadas de la seguridad ciudadana, utilicen la fuerza de forma incompatible con los estándares internacionales de derechos humanos, y señaló estar atenta al curso de la queja que tramita la Comisión Estatal de Derechos Humanos de Veracruz, </w:t>
      </w:r>
      <w:r w:rsidRPr="001D1FC2">
        <w:rPr>
          <w:rFonts w:ascii="Arial" w:eastAsia="Arial" w:hAnsi="Arial" w:cs="Arial"/>
          <w:b/>
          <w:bCs/>
          <w:lang w:val="es-ES"/>
        </w:rPr>
        <w:t xml:space="preserve">con el fin que se investigue, procese y sancione a los responsables </w:t>
      </w:r>
      <w:r w:rsidRPr="001D1FC2">
        <w:rPr>
          <w:rFonts w:ascii="Arial" w:eastAsia="Arial" w:hAnsi="Arial" w:cs="Arial"/>
          <w:b/>
          <w:bCs/>
          <w:lang w:val="es-ES"/>
        </w:rPr>
        <w:lastRenderedPageBreak/>
        <w:t>de este hecho reprobable</w:t>
      </w:r>
      <w:r w:rsidRPr="001D1FC2">
        <w:rPr>
          <w:rFonts w:ascii="Arial" w:eastAsia="Arial" w:hAnsi="Arial" w:cs="Arial"/>
          <w:b/>
          <w:bCs/>
          <w:vertAlign w:val="superscript"/>
          <w:lang w:val="es-ES"/>
        </w:rPr>
        <w:footnoteReference w:id="4"/>
      </w:r>
      <w:r w:rsidRPr="001D1FC2">
        <w:rPr>
          <w:rFonts w:ascii="Arial" w:eastAsia="Arial" w:hAnsi="Arial" w:cs="Arial"/>
          <w:b/>
          <w:bCs/>
          <w:lang w:val="es-ES"/>
        </w:rPr>
        <w:t>.</w:t>
      </w:r>
    </w:p>
    <w:p w14:paraId="72EF2A38" w14:textId="77777777" w:rsidR="001D1FC2" w:rsidRPr="001D1FC2" w:rsidRDefault="001D1FC2" w:rsidP="001D1FC2">
      <w:pPr>
        <w:widowControl w:val="0"/>
        <w:numPr>
          <w:ilvl w:val="0"/>
          <w:numId w:val="27"/>
        </w:numPr>
        <w:autoSpaceDE w:val="0"/>
        <w:autoSpaceDN w:val="0"/>
        <w:spacing w:after="0" w:line="260" w:lineRule="exact"/>
        <w:ind w:left="714" w:right="737" w:hanging="357"/>
        <w:contextualSpacing/>
        <w:jc w:val="both"/>
        <w:rPr>
          <w:rFonts w:ascii="Arial" w:eastAsia="Arial" w:hAnsi="Arial" w:cs="Arial"/>
          <w:lang w:val="es-ES"/>
        </w:rPr>
      </w:pPr>
      <w:r w:rsidRPr="001D1FC2">
        <w:rPr>
          <w:rFonts w:ascii="Arial" w:eastAsia="Arial" w:hAnsi="Arial" w:cs="Arial"/>
          <w:lang w:val="es-ES"/>
        </w:rPr>
        <w:t xml:space="preserve">Comunicado de Prensa DGC/199/2020, de 29 de junio de 2020, sobre el caso de Alexander Martínez Gómez, quien perdió la vida en el municipio de Acatlán de Pérez Figueroa, Oaxaca, a manos de un policía municipal, por lo que estableció comunicación y coordinación con </w:t>
      </w:r>
      <w:r w:rsidRPr="001D1FC2">
        <w:rPr>
          <w:rFonts w:ascii="Arial" w:eastAsia="Arial" w:hAnsi="Arial" w:cs="Arial"/>
          <w:b/>
          <w:bCs/>
          <w:lang w:val="es-ES"/>
        </w:rPr>
        <w:t>la Defensoría de los Derechos Humanos del Pueblo de Oaxaca y con la Fiscalía General del Estado de Oaxaca</w:t>
      </w:r>
      <w:r w:rsidRPr="001D1FC2">
        <w:rPr>
          <w:rFonts w:ascii="Arial" w:eastAsia="Arial" w:hAnsi="Arial" w:cs="Arial"/>
          <w:lang w:val="es-ES"/>
        </w:rPr>
        <w:t xml:space="preserve">, </w:t>
      </w:r>
      <w:r w:rsidRPr="001D1FC2">
        <w:rPr>
          <w:rFonts w:ascii="Arial" w:eastAsia="Arial" w:hAnsi="Arial" w:cs="Arial"/>
          <w:b/>
          <w:bCs/>
          <w:lang w:val="es-ES"/>
        </w:rPr>
        <w:t>a fin de garantizar los derechos de las víctimas</w:t>
      </w:r>
      <w:r w:rsidRPr="001D1FC2">
        <w:rPr>
          <w:rFonts w:ascii="Arial" w:eastAsia="Arial" w:hAnsi="Arial" w:cs="Arial"/>
          <w:lang w:val="es-ES"/>
        </w:rPr>
        <w:t xml:space="preserve"> y reiteró su apoyo y solidaridad con estas</w:t>
      </w:r>
      <w:r w:rsidRPr="001D1FC2">
        <w:rPr>
          <w:rFonts w:ascii="Arial" w:eastAsia="Arial" w:hAnsi="Arial" w:cs="Arial"/>
          <w:vertAlign w:val="superscript"/>
          <w:lang w:val="es-ES"/>
        </w:rPr>
        <w:footnoteReference w:id="5"/>
      </w:r>
      <w:r w:rsidRPr="001D1FC2">
        <w:rPr>
          <w:rFonts w:ascii="Arial" w:eastAsia="Arial" w:hAnsi="Arial" w:cs="Arial"/>
          <w:lang w:val="es-ES"/>
        </w:rPr>
        <w:t>.</w:t>
      </w:r>
    </w:p>
    <w:p w14:paraId="5C33ACFD" w14:textId="77777777" w:rsidR="001D1FC2" w:rsidRPr="001D1FC2" w:rsidRDefault="001D1FC2" w:rsidP="001D1FC2">
      <w:pPr>
        <w:widowControl w:val="0"/>
        <w:numPr>
          <w:ilvl w:val="0"/>
          <w:numId w:val="27"/>
        </w:numPr>
        <w:autoSpaceDE w:val="0"/>
        <w:autoSpaceDN w:val="0"/>
        <w:spacing w:after="0" w:line="260" w:lineRule="exact"/>
        <w:ind w:left="737" w:right="737" w:hanging="357"/>
        <w:contextualSpacing/>
        <w:jc w:val="both"/>
        <w:rPr>
          <w:rFonts w:ascii="Arial" w:eastAsia="Arial" w:hAnsi="Arial" w:cs="Arial"/>
          <w:lang w:val="es-ES"/>
        </w:rPr>
      </w:pPr>
      <w:r w:rsidRPr="001D1FC2">
        <w:rPr>
          <w:rFonts w:ascii="Arial" w:eastAsia="Arial" w:hAnsi="Arial" w:cs="Arial"/>
          <w:lang w:val="es-ES"/>
        </w:rPr>
        <w:t xml:space="preserve">Pronunciamiento de 2 de julio de 2020, con motivo los ataques en centros de atención de adicciones en Guanajuato, por el que la Comisión Nacional de los Derechos Humanos, a través del Mecanismo Nacional de Prevención de la Tortura, señaló su preocupación por la situación de vulnerabilidad en la </w:t>
      </w:r>
      <w:r w:rsidRPr="001D1FC2">
        <w:rPr>
          <w:rFonts w:ascii="Arial" w:eastAsia="Arial" w:hAnsi="Arial" w:cs="Arial"/>
          <w:lang w:val="es-ES"/>
        </w:rPr>
        <w:lastRenderedPageBreak/>
        <w:t xml:space="preserve">que se encuentran las personas que residen en dichos centros y </w:t>
      </w:r>
      <w:r w:rsidRPr="001D1FC2">
        <w:rPr>
          <w:rFonts w:ascii="Arial" w:eastAsia="Arial" w:hAnsi="Arial" w:cs="Arial"/>
          <w:b/>
          <w:bCs/>
          <w:lang w:val="es-ES"/>
        </w:rPr>
        <w:t>exhortó al Gobernador del Estado de Guanajuato, para investigar de manera diligente los hechos registrados en la entidad y que estos no queden impunes; expresó su compromiso por vigilar el respeto de los derechos de todas las personas y rechazó tolerar que los particulares o grupos de ellos, actúen libre o impunemente</w:t>
      </w:r>
      <w:r w:rsidRPr="001D1FC2">
        <w:rPr>
          <w:rFonts w:ascii="Arial" w:eastAsia="Arial" w:hAnsi="Arial" w:cs="Arial"/>
          <w:lang w:val="es-ES"/>
        </w:rPr>
        <w:t xml:space="preserve">, </w:t>
      </w:r>
      <w:r w:rsidRPr="001D1FC2">
        <w:rPr>
          <w:rFonts w:ascii="Arial" w:eastAsia="Arial" w:hAnsi="Arial" w:cs="Arial"/>
          <w:b/>
          <w:bCs/>
          <w:lang w:val="es-ES"/>
        </w:rPr>
        <w:t>en menoscabo de los derechos y</w:t>
      </w:r>
      <w:r w:rsidRPr="001D1FC2">
        <w:rPr>
          <w:rFonts w:ascii="Arial" w:eastAsia="Arial" w:hAnsi="Arial" w:cs="Arial"/>
          <w:lang w:val="es-ES"/>
        </w:rPr>
        <w:t xml:space="preserve"> </w:t>
      </w:r>
      <w:r w:rsidRPr="001D1FC2">
        <w:rPr>
          <w:rFonts w:ascii="Arial" w:eastAsia="Arial" w:hAnsi="Arial" w:cs="Arial"/>
          <w:b/>
          <w:bCs/>
          <w:lang w:val="es-ES"/>
        </w:rPr>
        <w:t>libertades fundamentales de quienes habitamos el territorio nacional.</w:t>
      </w:r>
    </w:p>
    <w:p w14:paraId="45804F7C" w14:textId="77777777" w:rsidR="001D1FC2" w:rsidRPr="001D1FC2" w:rsidRDefault="001D1FC2" w:rsidP="001D1FC2">
      <w:pPr>
        <w:widowControl w:val="0"/>
        <w:numPr>
          <w:ilvl w:val="0"/>
          <w:numId w:val="27"/>
        </w:numPr>
        <w:autoSpaceDE w:val="0"/>
        <w:autoSpaceDN w:val="0"/>
        <w:spacing w:after="0" w:line="260" w:lineRule="exact"/>
        <w:ind w:left="737" w:right="737"/>
        <w:contextualSpacing/>
        <w:jc w:val="both"/>
        <w:rPr>
          <w:rFonts w:ascii="Arial" w:eastAsia="Arial" w:hAnsi="Arial" w:cs="Arial"/>
          <w:lang w:val="es-ES"/>
        </w:rPr>
      </w:pPr>
      <w:r w:rsidRPr="001D1FC2">
        <w:rPr>
          <w:rFonts w:ascii="Arial" w:eastAsia="Arial" w:hAnsi="Arial" w:cs="Arial"/>
          <w:lang w:val="es-ES"/>
        </w:rPr>
        <w:t xml:space="preserve">Comunicado de prensa DGC/207/2020, de 3 de julio del 2020, por el que el MNPT exhortó al Congreso del Estado de Baja California, para que analizara la iniciativa presentada el 29 de junio del 2020, por un diputado integrante de la XXIII Legislatura del Congreso del Estado de Baja California, en la que propuso reformar el artículo 289-Bis y  derogar la fracción X del artículo 293, así como los artículos 307-Bis y 307 Ter del Código Penal para el Estado de Baja California, con el que se buscaba eliminar la figura de tortura en dicho instrumento jurídico; así como a que se diera cumplimiento a los transitorios </w:t>
      </w:r>
      <w:r w:rsidRPr="001D1FC2">
        <w:rPr>
          <w:rFonts w:ascii="Arial" w:eastAsia="Arial" w:hAnsi="Arial" w:cs="Arial"/>
          <w:lang w:val="es-ES"/>
        </w:rPr>
        <w:lastRenderedPageBreak/>
        <w:t xml:space="preserve">establecidos en la Ley General para Prevenir, Investigar y Sancionar la Tortura y Otros Tratos o Penas Crueles Inhumanos o Degradantes, </w:t>
      </w:r>
      <w:r w:rsidRPr="001D1FC2">
        <w:rPr>
          <w:rFonts w:ascii="Arial" w:eastAsia="Arial" w:hAnsi="Arial" w:cs="Arial"/>
          <w:b/>
          <w:bCs/>
          <w:lang w:val="es-ES"/>
        </w:rPr>
        <w:t>con el fin de que emita su ley respectiva, que permita garantizar la protección integral de los derechos de las personas que son víctimas de tortura</w:t>
      </w:r>
      <w:r w:rsidRPr="001D1FC2">
        <w:rPr>
          <w:rFonts w:ascii="Arial" w:eastAsia="Arial" w:hAnsi="Arial" w:cs="Arial"/>
          <w:lang w:val="es-ES"/>
        </w:rPr>
        <w:t>.</w:t>
      </w:r>
      <w:r w:rsidRPr="001D1FC2">
        <w:rPr>
          <w:rFonts w:ascii="Arial" w:eastAsia="Arial" w:hAnsi="Arial" w:cs="Arial"/>
          <w:vertAlign w:val="superscript"/>
          <w:lang w:val="es-ES"/>
        </w:rPr>
        <w:footnoteReference w:id="6"/>
      </w:r>
      <w:r w:rsidRPr="001D1FC2">
        <w:rPr>
          <w:rFonts w:ascii="Arial" w:eastAsia="Arial" w:hAnsi="Arial" w:cs="Arial"/>
          <w:lang w:val="es-ES"/>
        </w:rPr>
        <w:t xml:space="preserve">  </w:t>
      </w:r>
    </w:p>
    <w:p w14:paraId="66761F43" w14:textId="77777777" w:rsidR="001D1FC2" w:rsidRPr="001D1FC2" w:rsidRDefault="001D1FC2" w:rsidP="001D1FC2">
      <w:pPr>
        <w:widowControl w:val="0"/>
        <w:numPr>
          <w:ilvl w:val="0"/>
          <w:numId w:val="27"/>
        </w:numPr>
        <w:autoSpaceDE w:val="0"/>
        <w:autoSpaceDN w:val="0"/>
        <w:spacing w:after="0" w:line="260" w:lineRule="exact"/>
        <w:ind w:left="737" w:right="737"/>
        <w:contextualSpacing/>
        <w:jc w:val="both"/>
        <w:rPr>
          <w:rFonts w:ascii="Arial" w:eastAsia="Arial" w:hAnsi="Arial" w:cs="Arial"/>
          <w:i/>
          <w:lang w:val="es-ES"/>
        </w:rPr>
      </w:pPr>
      <w:r w:rsidRPr="001D1FC2">
        <w:rPr>
          <w:rFonts w:ascii="Arial" w:eastAsia="Arial" w:hAnsi="Arial" w:cs="Arial"/>
          <w:lang w:val="es-ES"/>
        </w:rPr>
        <w:t xml:space="preserve">El 19 de abril del 2021, se emitió un pronunciamiento en contra de la Fiscalía General del Estado de Guerrero por impedir el acceso a lugares de privación de la libertad y obstaculizar sus labores durante una visita de supervisión que realizó el 14 de abril del 2021. Hizo un enérgico llamado a la Fiscalía de Guerrero para que coadyuve con las labores del MNPT y permita a éste y a otros organismos defensores de derechos humanos cumplir con sus funciones y atribuciones, con el fin de garantizar la protección integral de los derechos de las personas en situación de detención, bajo los máximos estándares nacionales e internacionales de derechos humanos, </w:t>
      </w:r>
      <w:r w:rsidRPr="001D1FC2">
        <w:rPr>
          <w:rFonts w:ascii="Arial" w:eastAsia="Arial" w:hAnsi="Arial" w:cs="Arial"/>
          <w:b/>
          <w:bCs/>
          <w:lang w:val="es-ES"/>
        </w:rPr>
        <w:t xml:space="preserve">recordándole </w:t>
      </w:r>
      <w:r w:rsidRPr="001D1FC2">
        <w:rPr>
          <w:rFonts w:ascii="Arial" w:eastAsia="Arial" w:hAnsi="Arial" w:cs="Arial"/>
          <w:b/>
          <w:bCs/>
          <w:lang w:val="es-ES"/>
        </w:rPr>
        <w:lastRenderedPageBreak/>
        <w:t xml:space="preserve">que, entre los factores en que puede sustentarse la idea de que el Estado está implicado en la tortura, figura cuando agentes o personas asociadas a éste </w:t>
      </w:r>
      <w:r w:rsidRPr="001D1FC2">
        <w:rPr>
          <w:rFonts w:ascii="Arial" w:eastAsia="Arial" w:hAnsi="Arial" w:cs="Arial"/>
          <w:b/>
          <w:bCs/>
          <w:i/>
          <w:lang w:val="es-ES"/>
        </w:rPr>
        <w:t>“hayan tratado de obstruir o retrasar la investigación de la tortura</w:t>
      </w:r>
      <w:r w:rsidRPr="001D1FC2">
        <w:rPr>
          <w:rFonts w:ascii="Arial" w:eastAsia="Arial" w:hAnsi="Arial" w:cs="Arial"/>
          <w:i/>
          <w:lang w:val="es-ES"/>
        </w:rPr>
        <w:t>”</w:t>
      </w:r>
      <w:r w:rsidRPr="001D1FC2">
        <w:rPr>
          <w:rFonts w:ascii="Arial" w:eastAsia="Arial" w:hAnsi="Arial" w:cs="Arial"/>
          <w:i/>
          <w:vertAlign w:val="superscript"/>
          <w:lang w:val="es-ES"/>
        </w:rPr>
        <w:footnoteReference w:id="7"/>
      </w:r>
      <w:r w:rsidRPr="001D1FC2">
        <w:rPr>
          <w:rFonts w:ascii="Arial" w:eastAsia="Arial" w:hAnsi="Arial" w:cs="Arial"/>
          <w:i/>
          <w:lang w:val="es-ES"/>
        </w:rPr>
        <w:t xml:space="preserve">. </w:t>
      </w:r>
    </w:p>
    <w:p w14:paraId="5C9A37A9" w14:textId="77777777" w:rsidR="001D1FC2" w:rsidRPr="001D1FC2" w:rsidRDefault="001D1FC2" w:rsidP="001D1FC2">
      <w:pPr>
        <w:widowControl w:val="0"/>
        <w:numPr>
          <w:ilvl w:val="0"/>
          <w:numId w:val="27"/>
        </w:numPr>
        <w:autoSpaceDE w:val="0"/>
        <w:autoSpaceDN w:val="0"/>
        <w:spacing w:after="0" w:line="260" w:lineRule="exact"/>
        <w:ind w:right="737"/>
        <w:contextualSpacing/>
        <w:jc w:val="both"/>
        <w:rPr>
          <w:rFonts w:ascii="Arial" w:eastAsia="Arial" w:hAnsi="Arial" w:cs="Arial"/>
          <w:lang w:val="es-ES"/>
        </w:rPr>
      </w:pPr>
      <w:r w:rsidRPr="001D1FC2">
        <w:rPr>
          <w:rFonts w:ascii="Arial" w:eastAsia="Arial" w:hAnsi="Arial" w:cs="Arial"/>
          <w:iCs/>
          <w:lang w:val="es-ES"/>
        </w:rPr>
        <w:t xml:space="preserve">Comunicado de prensa DGC/138/2021, de 20 de mayo de 2021, en el marco del convenio que firmaron México y Argentina, para prevenir y eliminar la tortura y otros tratos o penas crueles, en el que la Presidenta de la CNDH, señaló la importancia de salvaguardar la integridad de todas las personas en centros de internamiento. Resaltó que, a pesar de que Latinoamérica ha logrado avances en la protección de los derechos humanos, </w:t>
      </w:r>
      <w:r w:rsidRPr="001D1FC2">
        <w:rPr>
          <w:rFonts w:ascii="Arial" w:eastAsia="Arial" w:hAnsi="Arial" w:cs="Arial"/>
          <w:b/>
          <w:bCs/>
          <w:iCs/>
          <w:lang w:val="es-ES"/>
        </w:rPr>
        <w:t>es necesario reconocer que la tortura aún</w:t>
      </w:r>
      <w:r w:rsidRPr="001D1FC2">
        <w:rPr>
          <w:rFonts w:ascii="Arial" w:eastAsia="Arial" w:hAnsi="Arial" w:cs="Arial"/>
          <w:iCs/>
          <w:lang w:val="es-ES"/>
        </w:rPr>
        <w:t xml:space="preserve"> </w:t>
      </w:r>
      <w:r w:rsidRPr="001D1FC2">
        <w:rPr>
          <w:rFonts w:ascii="Arial" w:eastAsia="Arial" w:hAnsi="Arial" w:cs="Arial"/>
          <w:b/>
          <w:bCs/>
          <w:iCs/>
          <w:lang w:val="es-ES"/>
        </w:rPr>
        <w:t>persiste en la región, sobre todo en contextos de violencia o de falta de gobernabilidad, por lo que es preciso redoblar esfuerzos para erradicar dicha práctica e hizo énfasis en la ur</w:t>
      </w:r>
      <w:r w:rsidRPr="001D1FC2">
        <w:rPr>
          <w:rFonts w:ascii="Arial" w:eastAsia="Arial" w:hAnsi="Arial" w:cs="Arial"/>
          <w:b/>
          <w:bCs/>
          <w:iCs/>
          <w:lang w:val="es-ES"/>
        </w:rPr>
        <w:lastRenderedPageBreak/>
        <w:t>gencia de consolidar un trabajo más eficiente y empático con las víctimas, donde la justicia sea la insignia y que contribuya a eliminar la tortura y otros tratos o penas crueles, inhumanos o degradantes</w:t>
      </w:r>
      <w:r w:rsidRPr="001D1FC2">
        <w:rPr>
          <w:rFonts w:ascii="Arial" w:eastAsia="Arial" w:hAnsi="Arial" w:cs="Arial"/>
          <w:b/>
          <w:bCs/>
          <w:iCs/>
          <w:vertAlign w:val="superscript"/>
          <w:lang w:val="es-ES"/>
        </w:rPr>
        <w:footnoteReference w:id="8"/>
      </w:r>
      <w:r w:rsidRPr="001D1FC2">
        <w:rPr>
          <w:rFonts w:ascii="Arial" w:eastAsia="Arial" w:hAnsi="Arial" w:cs="Arial"/>
          <w:b/>
          <w:bCs/>
          <w:iCs/>
          <w:lang w:val="es-ES"/>
        </w:rPr>
        <w:t>.</w:t>
      </w:r>
    </w:p>
    <w:p w14:paraId="235644EF" w14:textId="77777777" w:rsidR="001D1FC2" w:rsidRPr="001D1FC2" w:rsidRDefault="001D1FC2" w:rsidP="001D1FC2">
      <w:pPr>
        <w:widowControl w:val="0"/>
        <w:autoSpaceDE w:val="0"/>
        <w:autoSpaceDN w:val="0"/>
        <w:spacing w:after="0" w:line="260" w:lineRule="exact"/>
        <w:jc w:val="both"/>
        <w:rPr>
          <w:rFonts w:ascii="Arial" w:eastAsia="Arial" w:hAnsi="Arial" w:cs="Arial"/>
          <w:lang w:val="es-ES"/>
        </w:rPr>
      </w:pPr>
    </w:p>
    <w:p w14:paraId="3F9F45F0" w14:textId="77777777" w:rsidR="001D1FC2" w:rsidRPr="001D1FC2" w:rsidRDefault="001D1FC2" w:rsidP="001D1FC2">
      <w:pPr>
        <w:widowControl w:val="0"/>
        <w:autoSpaceDE w:val="0"/>
        <w:autoSpaceDN w:val="0"/>
        <w:spacing w:after="0" w:line="260" w:lineRule="exact"/>
        <w:jc w:val="both"/>
        <w:rPr>
          <w:rFonts w:ascii="Arial" w:eastAsia="Arial" w:hAnsi="Arial" w:cs="Arial"/>
          <w:lang w:val="es-ES"/>
        </w:rPr>
      </w:pPr>
      <w:r w:rsidRPr="001D1FC2">
        <w:rPr>
          <w:rFonts w:ascii="Arial" w:eastAsia="Arial" w:hAnsi="Arial" w:cs="Arial"/>
          <w:lang w:val="es-ES"/>
        </w:rPr>
        <w:t xml:space="preserve">De igual forma, con motivo del cierre del curso </w:t>
      </w:r>
      <w:r w:rsidRPr="001D1FC2">
        <w:rPr>
          <w:rFonts w:ascii="Arial" w:eastAsia="Arial" w:hAnsi="Arial" w:cs="Arial"/>
          <w:i/>
          <w:iCs/>
          <w:lang w:val="es-ES"/>
        </w:rPr>
        <w:t xml:space="preserve">Documentación e Investigación de Tortura y/o malos tratos crueles inhumanos y/o degradantes </w:t>
      </w:r>
      <w:r w:rsidRPr="001D1FC2">
        <w:rPr>
          <w:rFonts w:ascii="Arial" w:eastAsia="Arial" w:hAnsi="Arial" w:cs="Arial"/>
          <w:lang w:val="es-ES"/>
        </w:rPr>
        <w:t xml:space="preserve">─impartido a los organismo locales de protección y defensa de los derechos humanos─, que se llevó a cabo, el 22 de octubre, en Guerrero; el 26 noviembre en Veracruz; el 4, 8 y 18 de diciembre, en Oaxaca, Guanajuato, y Baja California Sur, de 2021, respectivamente, donde se encontraban presentes autoridades municipales, judiciales, de protección de derechos humanos y castrenses, así como representantes de la sociedad civil de la región,  el MNPT, hizo un llamado a los presentes </w:t>
      </w:r>
      <w:r w:rsidRPr="001D1FC2">
        <w:rPr>
          <w:rFonts w:ascii="Arial" w:eastAsia="Arial" w:hAnsi="Arial" w:cs="Arial"/>
          <w:b/>
          <w:bCs/>
          <w:lang w:val="es-ES"/>
        </w:rPr>
        <w:t xml:space="preserve">a no ocultar los casos de tortura, además de referir que en el caso de los pueblos indígenas se deben </w:t>
      </w:r>
      <w:r w:rsidRPr="001D1FC2">
        <w:rPr>
          <w:rFonts w:ascii="Arial" w:eastAsia="Arial" w:hAnsi="Arial" w:cs="Arial"/>
          <w:b/>
          <w:bCs/>
          <w:lang w:val="es-ES"/>
        </w:rPr>
        <w:lastRenderedPageBreak/>
        <w:t xml:space="preserve">investigar a fondo las denuncias, al afirmar que “todo uso o costumbre que atente contra la dignidad humana, es una violación a los derechos humanos”; </w:t>
      </w:r>
      <w:r w:rsidRPr="001D1FC2">
        <w:rPr>
          <w:rFonts w:ascii="Arial" w:eastAsia="Arial" w:hAnsi="Arial" w:cs="Arial"/>
          <w:lang w:val="es-ES"/>
        </w:rPr>
        <w:t>asimismo, precisó que la capacitación fortalece al personal de los organismos públicos de derechos humanos</w:t>
      </w:r>
      <w:r w:rsidRPr="001D1FC2">
        <w:rPr>
          <w:rFonts w:ascii="Arial" w:eastAsia="Arial" w:hAnsi="Arial" w:cs="Arial"/>
          <w:b/>
          <w:bCs/>
          <w:lang w:val="es-ES"/>
        </w:rPr>
        <w:t xml:space="preserve"> para estar preparados y enfrentar casos de tortura de manera que se proteja de la manera más amplia la dignidad humana</w:t>
      </w:r>
      <w:r w:rsidRPr="001D1FC2">
        <w:rPr>
          <w:rFonts w:ascii="Arial" w:eastAsia="Arial" w:hAnsi="Arial" w:cs="Arial"/>
          <w:lang w:val="es-ES"/>
        </w:rPr>
        <w:t xml:space="preserve">. Por su parte, la Defensoría de los Derechos Humanos del Pueblo de Oaxaca señaló que la tortura vulnera gravemente la dignidad y los derechos humanos de las personas, secundado por el poder legislativo de la entidad, quien manifestó que es obligación de las autoridades avanzar en la defensa y promoción de los derechos humanos, pues la suma de esfuerzos de las autoridades se podrá avanzar en la construcción de una sociedad más justa e igualitaria. </w:t>
      </w:r>
    </w:p>
    <w:p w14:paraId="5C4ADC1B" w14:textId="77777777" w:rsidR="001D1FC2" w:rsidRPr="001D1FC2" w:rsidRDefault="001D1FC2" w:rsidP="001D1FC2">
      <w:pPr>
        <w:widowControl w:val="0"/>
        <w:autoSpaceDE w:val="0"/>
        <w:autoSpaceDN w:val="0"/>
        <w:spacing w:after="0" w:line="260" w:lineRule="exact"/>
        <w:jc w:val="both"/>
        <w:rPr>
          <w:rFonts w:ascii="Arial" w:eastAsia="Arial" w:hAnsi="Arial" w:cs="Arial"/>
          <w:lang w:val="es-ES"/>
        </w:rPr>
      </w:pPr>
    </w:p>
    <w:p w14:paraId="3EEAE26F" w14:textId="610634C4" w:rsidR="001D1FC2" w:rsidRDefault="001D1FC2" w:rsidP="001D1FC2">
      <w:pPr>
        <w:widowControl w:val="0"/>
        <w:autoSpaceDE w:val="0"/>
        <w:autoSpaceDN w:val="0"/>
        <w:spacing w:after="0" w:line="260" w:lineRule="exact"/>
        <w:jc w:val="both"/>
        <w:rPr>
          <w:rFonts w:ascii="Arial" w:eastAsia="Arial" w:hAnsi="Arial" w:cs="Arial"/>
          <w:lang w:val="es-ES"/>
        </w:rPr>
      </w:pPr>
      <w:r w:rsidRPr="001D1FC2">
        <w:rPr>
          <w:rFonts w:ascii="Arial" w:eastAsia="Arial" w:hAnsi="Arial" w:cs="Arial"/>
          <w:lang w:val="es-ES"/>
        </w:rPr>
        <w:t>Por otra parte, la Dirección General de Difusión de los Derechos Humanos</w:t>
      </w:r>
      <w:r w:rsidR="007300FE">
        <w:rPr>
          <w:rFonts w:ascii="Arial" w:eastAsia="Arial" w:hAnsi="Arial" w:cs="Arial"/>
          <w:lang w:val="es-ES"/>
        </w:rPr>
        <w:t xml:space="preserve"> de la Comisión Nacional de los Derechos Humanos de México</w:t>
      </w:r>
      <w:r w:rsidRPr="001D1FC2">
        <w:rPr>
          <w:rFonts w:ascii="Arial" w:eastAsia="Arial" w:hAnsi="Arial" w:cs="Arial"/>
          <w:lang w:val="es-ES"/>
        </w:rPr>
        <w:t xml:space="preserve"> ha difundido a través de los canales de comunicación correspondiente, </w:t>
      </w:r>
      <w:r w:rsidRPr="001D1FC2">
        <w:rPr>
          <w:rFonts w:ascii="Arial" w:eastAsia="Arial" w:hAnsi="Arial" w:cs="Arial"/>
          <w:i/>
          <w:lang w:val="es-ES"/>
        </w:rPr>
        <w:t>spots</w:t>
      </w:r>
      <w:r w:rsidRPr="001D1FC2">
        <w:rPr>
          <w:rFonts w:ascii="Arial" w:eastAsia="Arial" w:hAnsi="Arial" w:cs="Arial"/>
          <w:lang w:val="es-ES"/>
        </w:rPr>
        <w:t xml:space="preserve"> o promocionales, donde se señala la prohibición absoluta de la tortura, incluyendo la campaña denominada </w:t>
      </w:r>
      <w:r w:rsidRPr="001D1FC2">
        <w:rPr>
          <w:rFonts w:ascii="Arial" w:eastAsia="Arial" w:hAnsi="Arial" w:cs="Arial"/>
          <w:i/>
          <w:iCs/>
          <w:lang w:val="es-ES"/>
        </w:rPr>
        <w:t xml:space="preserve">Cierra </w:t>
      </w:r>
      <w:r w:rsidRPr="001D1FC2">
        <w:rPr>
          <w:rFonts w:ascii="Arial" w:eastAsia="Arial" w:hAnsi="Arial" w:cs="Arial"/>
          <w:i/>
          <w:iCs/>
          <w:lang w:val="es-ES"/>
        </w:rPr>
        <w:lastRenderedPageBreak/>
        <w:t>las puertas a la tortura</w:t>
      </w:r>
      <w:r w:rsidRPr="001D1FC2">
        <w:rPr>
          <w:rFonts w:ascii="Arial" w:eastAsia="Arial" w:hAnsi="Arial" w:cs="Arial"/>
          <w:lang w:val="es-ES"/>
        </w:rPr>
        <w:t>.</w:t>
      </w:r>
    </w:p>
    <w:p w14:paraId="37142615" w14:textId="77777777" w:rsidR="007300FE" w:rsidRPr="001D1FC2" w:rsidRDefault="007300FE" w:rsidP="001D1FC2">
      <w:pPr>
        <w:widowControl w:val="0"/>
        <w:autoSpaceDE w:val="0"/>
        <w:autoSpaceDN w:val="0"/>
        <w:spacing w:after="0" w:line="260" w:lineRule="exact"/>
        <w:jc w:val="both"/>
        <w:rPr>
          <w:rFonts w:ascii="Arial" w:eastAsia="Arial" w:hAnsi="Arial" w:cs="Arial"/>
          <w:b/>
          <w:lang w:val="es-ES"/>
        </w:rPr>
      </w:pPr>
    </w:p>
    <w:p w14:paraId="53FD8202" w14:textId="77777777" w:rsidR="001D1FC2" w:rsidRPr="001D1FC2" w:rsidRDefault="001D1FC2" w:rsidP="001D1FC2">
      <w:pPr>
        <w:widowControl w:val="0"/>
        <w:autoSpaceDE w:val="0"/>
        <w:autoSpaceDN w:val="0"/>
        <w:spacing w:after="0" w:line="260" w:lineRule="exact"/>
        <w:jc w:val="both"/>
        <w:rPr>
          <w:rFonts w:ascii="Arial" w:eastAsia="Arial" w:hAnsi="Arial" w:cs="Arial"/>
          <w:b/>
          <w:lang w:val="es-ES"/>
        </w:rPr>
      </w:pPr>
    </w:p>
    <w:p w14:paraId="3F715DB8" w14:textId="77777777" w:rsidR="001D1FC2" w:rsidRPr="001D1FC2" w:rsidRDefault="001D1FC2" w:rsidP="001D1FC2">
      <w:pPr>
        <w:widowControl w:val="0"/>
        <w:autoSpaceDE w:val="0"/>
        <w:autoSpaceDN w:val="0"/>
        <w:spacing w:after="0" w:line="260" w:lineRule="exact"/>
        <w:jc w:val="both"/>
        <w:rPr>
          <w:rFonts w:ascii="Arial" w:eastAsia="Arial" w:hAnsi="Arial" w:cs="Arial"/>
          <w:b/>
          <w:i/>
          <w:iCs/>
          <w:lang w:val="es-ES"/>
        </w:rPr>
      </w:pPr>
      <w:r w:rsidRPr="001D1FC2">
        <w:rPr>
          <w:rFonts w:ascii="Arial" w:eastAsia="Arial" w:hAnsi="Arial" w:cs="Arial"/>
          <w:b/>
          <w:i/>
          <w:iCs/>
          <w:lang w:val="es-ES"/>
        </w:rPr>
        <w:t>12. El Comité insta al Estado parte a modificar el tipo penal de tortura de los artículos 24 y 25 de la Ley General para que incluya expresamente los actos de tortura cometidos con el fin de intimidar, coaccionar, obtener información o una confesión de un tercero.</w:t>
      </w:r>
    </w:p>
    <w:p w14:paraId="7B253142" w14:textId="77777777" w:rsidR="001D1FC2" w:rsidRPr="001D1FC2" w:rsidRDefault="001D1FC2" w:rsidP="001D1FC2">
      <w:pPr>
        <w:widowControl w:val="0"/>
        <w:autoSpaceDE w:val="0"/>
        <w:autoSpaceDN w:val="0"/>
        <w:spacing w:after="0" w:line="260" w:lineRule="exact"/>
        <w:jc w:val="both"/>
        <w:rPr>
          <w:rFonts w:ascii="Arial" w:eastAsia="Arial" w:hAnsi="Arial" w:cs="Arial"/>
          <w:b/>
          <w:lang w:val="es-ES"/>
        </w:rPr>
      </w:pPr>
    </w:p>
    <w:p w14:paraId="16E51717" w14:textId="40D5E156" w:rsidR="007300FE" w:rsidRPr="007300FE" w:rsidRDefault="007300FE" w:rsidP="001D1FC2">
      <w:pPr>
        <w:widowControl w:val="0"/>
        <w:autoSpaceDE w:val="0"/>
        <w:autoSpaceDN w:val="0"/>
        <w:spacing w:after="0" w:line="260" w:lineRule="exact"/>
        <w:jc w:val="both"/>
        <w:rPr>
          <w:rFonts w:ascii="Arial" w:eastAsia="Arial" w:hAnsi="Arial" w:cs="Arial"/>
          <w:b/>
          <w:bCs/>
          <w:lang w:val="es-ES"/>
        </w:rPr>
      </w:pPr>
      <w:r w:rsidRPr="007300FE">
        <w:rPr>
          <w:rFonts w:ascii="Arial" w:eastAsia="Arial" w:hAnsi="Arial" w:cs="Arial"/>
          <w:b/>
          <w:bCs/>
          <w:lang w:val="es-ES"/>
        </w:rPr>
        <w:t>Acciones realizadas por el Mecanismo Nacional de Prevención de la Tortura</w:t>
      </w:r>
      <w:r w:rsidR="00AB00A1">
        <w:rPr>
          <w:rFonts w:ascii="Arial" w:eastAsia="Arial" w:hAnsi="Arial" w:cs="Arial"/>
          <w:b/>
          <w:bCs/>
          <w:lang w:val="es-ES"/>
        </w:rPr>
        <w:t xml:space="preserve"> (MNPT)</w:t>
      </w:r>
    </w:p>
    <w:p w14:paraId="1A22FFE6" w14:textId="77777777" w:rsidR="007300FE" w:rsidRDefault="007300FE" w:rsidP="001D1FC2">
      <w:pPr>
        <w:widowControl w:val="0"/>
        <w:autoSpaceDE w:val="0"/>
        <w:autoSpaceDN w:val="0"/>
        <w:spacing w:after="0" w:line="260" w:lineRule="exact"/>
        <w:jc w:val="both"/>
        <w:rPr>
          <w:rFonts w:ascii="Arial" w:eastAsia="Arial" w:hAnsi="Arial" w:cs="Arial"/>
          <w:lang w:val="es-ES"/>
        </w:rPr>
      </w:pPr>
    </w:p>
    <w:p w14:paraId="5CDFB3E0" w14:textId="6771E182" w:rsidR="001D1FC2" w:rsidRPr="001D1FC2" w:rsidRDefault="001D1FC2" w:rsidP="001D1FC2">
      <w:pPr>
        <w:widowControl w:val="0"/>
        <w:autoSpaceDE w:val="0"/>
        <w:autoSpaceDN w:val="0"/>
        <w:spacing w:after="0" w:line="260" w:lineRule="exact"/>
        <w:jc w:val="both"/>
        <w:rPr>
          <w:rFonts w:ascii="Arial" w:eastAsia="Arial" w:hAnsi="Arial" w:cs="Arial"/>
          <w:lang w:val="es-ES"/>
        </w:rPr>
      </w:pPr>
      <w:r w:rsidRPr="001D1FC2">
        <w:rPr>
          <w:rFonts w:ascii="Arial" w:eastAsia="Arial" w:hAnsi="Arial" w:cs="Arial"/>
          <w:lang w:val="es-ES"/>
        </w:rPr>
        <w:t xml:space="preserve">Si bien este término no se encuentra establecido en la Ley General de la Materia, el MNPT como parte del estudio “Armonización legislativa en materia de prevención, investigación y sanción de la tortura y otros tratos o penas crueles, inhumanos o </w:t>
      </w:r>
      <w:r w:rsidRPr="001D1FC2">
        <w:rPr>
          <w:rFonts w:ascii="Arial" w:eastAsia="Arial" w:hAnsi="Arial" w:cs="Arial"/>
          <w:lang w:val="es-ES"/>
        </w:rPr>
        <w:lastRenderedPageBreak/>
        <w:t>degradantes”</w:t>
      </w:r>
      <w:r w:rsidRPr="001D1FC2">
        <w:rPr>
          <w:rFonts w:ascii="Arial" w:eastAsia="Arial" w:hAnsi="Arial" w:cs="Arial"/>
          <w:vertAlign w:val="superscript"/>
          <w:lang w:val="es-ES"/>
        </w:rPr>
        <w:footnoteReference w:id="9"/>
      </w:r>
      <w:r w:rsidRPr="001D1FC2">
        <w:rPr>
          <w:rFonts w:ascii="Arial" w:eastAsia="Arial" w:hAnsi="Arial" w:cs="Arial"/>
          <w:lang w:val="es-ES"/>
        </w:rPr>
        <w:t xml:space="preserve"> identificó que los estados de Aguascalientes, Campeche, Chihuahua, Coahuila, Colima, Estado de México, Guerrero, Hidalgo, Morelos, Nayarit, Puebla, Sonora, Tlaxcala, Veracruz y Yucatán, dentro de su ley específica, sí consideran en su definición de tortura el término </w:t>
      </w:r>
      <w:r w:rsidRPr="001D1FC2">
        <w:rPr>
          <w:rFonts w:ascii="Arial" w:eastAsia="Arial" w:hAnsi="Arial" w:cs="Arial"/>
          <w:i/>
          <w:lang w:val="es-ES"/>
        </w:rPr>
        <w:t>“obtener información o confesión de una persona o de un tercero”</w:t>
      </w:r>
      <w:r w:rsidRPr="001D1FC2">
        <w:rPr>
          <w:rFonts w:ascii="Arial" w:eastAsia="Arial" w:hAnsi="Arial" w:cs="Arial"/>
          <w:lang w:val="es-ES"/>
        </w:rPr>
        <w:t xml:space="preserve">. </w:t>
      </w:r>
      <w:r w:rsidRPr="001D1FC2">
        <w:rPr>
          <w:rFonts w:ascii="Arial" w:eastAsia="Arial" w:hAnsi="Arial" w:cs="Arial"/>
          <w:lang w:val="es"/>
        </w:rPr>
        <w:t>De igual manera, las entidades federativas de Baja California, Baja California Sur, Ciudad de México, Durango, Guanajuato, Nuevo León y Sinaloa, que, si bien no cuentan con una ley específica en la materia, dentro de sus Códigos Penales vigentes</w:t>
      </w:r>
      <w:r w:rsidRPr="001D1FC2">
        <w:rPr>
          <w:rFonts w:ascii="Arial" w:eastAsia="Arial" w:hAnsi="Arial" w:cs="Arial"/>
          <w:vertAlign w:val="superscript"/>
          <w:lang w:val="es"/>
        </w:rPr>
        <w:footnoteReference w:id="10"/>
      </w:r>
      <w:r w:rsidRPr="001D1FC2">
        <w:rPr>
          <w:rFonts w:ascii="Arial" w:eastAsia="Arial" w:hAnsi="Arial" w:cs="Arial"/>
          <w:lang w:val="es"/>
        </w:rPr>
        <w:t>, sí contemplan esta hipótesis dentro de sus definiciones de tortura.</w:t>
      </w:r>
      <w:r w:rsidRPr="001D1FC2">
        <w:rPr>
          <w:rFonts w:ascii="Arial" w:eastAsia="Arial" w:hAnsi="Arial" w:cs="Arial"/>
          <w:lang w:val="es-ES"/>
        </w:rPr>
        <w:t xml:space="preserve"> </w:t>
      </w:r>
    </w:p>
    <w:p w14:paraId="0D047ECE" w14:textId="77777777" w:rsidR="001D1FC2" w:rsidRPr="001D1FC2" w:rsidRDefault="001D1FC2" w:rsidP="001D1FC2">
      <w:pPr>
        <w:widowControl w:val="0"/>
        <w:autoSpaceDE w:val="0"/>
        <w:autoSpaceDN w:val="0"/>
        <w:spacing w:after="0" w:line="260" w:lineRule="exact"/>
        <w:jc w:val="both"/>
        <w:rPr>
          <w:rFonts w:ascii="Arial" w:eastAsia="Arial" w:hAnsi="Arial" w:cs="Arial"/>
          <w:lang w:val="es-ES"/>
        </w:rPr>
      </w:pPr>
      <w:r w:rsidRPr="001D1FC2">
        <w:rPr>
          <w:rFonts w:ascii="Arial" w:eastAsia="Arial" w:hAnsi="Arial" w:cs="Arial"/>
          <w:lang w:val="es-ES"/>
        </w:rPr>
        <w:lastRenderedPageBreak/>
        <w:br/>
        <w:t xml:space="preserve">En total, en 22 entidades federativas, en el tipo penal de tortura o en su definición legal, se incluyen expresamente los actos de tortura cometidos con el fin de intimidar, coaccionar, obtener información o una confesión de un tercero. </w:t>
      </w:r>
    </w:p>
    <w:p w14:paraId="008163EE" w14:textId="77777777" w:rsidR="001D1FC2" w:rsidRPr="001D1FC2" w:rsidRDefault="001D1FC2" w:rsidP="001D1FC2">
      <w:pPr>
        <w:widowControl w:val="0"/>
        <w:autoSpaceDE w:val="0"/>
        <w:autoSpaceDN w:val="0"/>
        <w:spacing w:after="0" w:line="260" w:lineRule="exact"/>
        <w:jc w:val="both"/>
        <w:rPr>
          <w:rFonts w:ascii="Arial" w:eastAsia="Arial" w:hAnsi="Arial" w:cs="Arial"/>
          <w:lang w:val="es-ES"/>
        </w:rPr>
      </w:pPr>
    </w:p>
    <w:p w14:paraId="7EE352AF" w14:textId="77777777" w:rsidR="001D1FC2" w:rsidRPr="001D1FC2" w:rsidRDefault="001D1FC2" w:rsidP="001D1FC2">
      <w:pPr>
        <w:widowControl w:val="0"/>
        <w:autoSpaceDE w:val="0"/>
        <w:autoSpaceDN w:val="0"/>
        <w:spacing w:after="0" w:line="260" w:lineRule="exact"/>
        <w:jc w:val="both"/>
        <w:rPr>
          <w:rFonts w:ascii="Arial" w:eastAsia="Arial" w:hAnsi="Arial" w:cs="Arial"/>
          <w:lang w:val="es-ES"/>
        </w:rPr>
      </w:pPr>
      <w:bookmarkStart w:id="1" w:name="_Hlk93421933"/>
      <w:r w:rsidRPr="001D1FC2">
        <w:rPr>
          <w:rFonts w:ascii="Arial" w:eastAsia="Arial" w:hAnsi="Arial" w:cs="Arial"/>
          <w:lang w:val="es-ES"/>
        </w:rPr>
        <w:t>En cuanto a la Ley General para Prevenir, Investigar, y Sancionar la Tortura y Otros Tratos o Penas Crueles Inhumanos o Degradantes, en este año, se impulsará la reforma de los artículos 24 y 25, con el fin de que en ellos se incluya de manera expresa la comisión de los actos de tortura con el fin de intimidar, coaccionar, obtener información o una confesión de un tercero.</w:t>
      </w:r>
    </w:p>
    <w:bookmarkEnd w:id="1"/>
    <w:p w14:paraId="71E810BD" w14:textId="77777777" w:rsidR="001D1FC2" w:rsidRPr="001D1FC2" w:rsidRDefault="001D1FC2" w:rsidP="001D1FC2">
      <w:pPr>
        <w:widowControl w:val="0"/>
        <w:autoSpaceDE w:val="0"/>
        <w:autoSpaceDN w:val="0"/>
        <w:spacing w:after="0" w:line="260" w:lineRule="exact"/>
        <w:jc w:val="both"/>
        <w:rPr>
          <w:rFonts w:ascii="Arial" w:eastAsia="Arial" w:hAnsi="Arial" w:cs="Arial"/>
          <w:i/>
          <w:iCs/>
          <w:lang w:val="es-ES"/>
        </w:rPr>
      </w:pPr>
    </w:p>
    <w:p w14:paraId="477B226F" w14:textId="77777777" w:rsidR="00AB00A1" w:rsidRDefault="00AB00A1" w:rsidP="001D1FC2">
      <w:pPr>
        <w:widowControl w:val="0"/>
        <w:autoSpaceDE w:val="0"/>
        <w:autoSpaceDN w:val="0"/>
        <w:spacing w:after="0" w:line="260" w:lineRule="exact"/>
        <w:jc w:val="both"/>
        <w:rPr>
          <w:rFonts w:ascii="Arial" w:eastAsia="Arial" w:hAnsi="Arial" w:cs="Arial"/>
          <w:b/>
          <w:bCs/>
          <w:i/>
          <w:iCs/>
          <w:lang w:val="es-ES"/>
        </w:rPr>
      </w:pPr>
    </w:p>
    <w:p w14:paraId="6ED71021" w14:textId="58080A2C" w:rsidR="001D1FC2" w:rsidRPr="001D1FC2" w:rsidRDefault="001D1FC2" w:rsidP="001D1FC2">
      <w:pPr>
        <w:widowControl w:val="0"/>
        <w:autoSpaceDE w:val="0"/>
        <w:autoSpaceDN w:val="0"/>
        <w:spacing w:after="0" w:line="260" w:lineRule="exact"/>
        <w:jc w:val="both"/>
        <w:rPr>
          <w:rFonts w:ascii="Arial" w:eastAsia="Arial" w:hAnsi="Arial" w:cs="Arial"/>
          <w:b/>
          <w:bCs/>
          <w:i/>
          <w:iCs/>
          <w:lang w:val="es-ES"/>
        </w:rPr>
      </w:pPr>
      <w:r w:rsidRPr="001D1FC2">
        <w:rPr>
          <w:rFonts w:ascii="Arial" w:eastAsia="Arial" w:hAnsi="Arial" w:cs="Arial"/>
          <w:b/>
          <w:bCs/>
          <w:i/>
          <w:iCs/>
          <w:lang w:val="es-ES"/>
        </w:rPr>
        <w:t>14. El Comité alienta al Estado parte a concluir la elaboración y aprobación del Programa Nacional para prevenir y sancionar la tortura y los malos tratos, así como de las partidas presupuestarias correspondientes, garantizando la participación de las organizaciones de la sociedad civil especializadas en la documentación de casos de tortura y/o acompañamiento de víctimas, de conformidad con lo dispuesto en el artículo 70 de la Ley General sobre Tortura.</w:t>
      </w:r>
    </w:p>
    <w:p w14:paraId="4B92AA5D" w14:textId="77777777" w:rsidR="001D1FC2" w:rsidRPr="001D1FC2" w:rsidRDefault="001D1FC2" w:rsidP="001D1FC2">
      <w:pPr>
        <w:widowControl w:val="0"/>
        <w:autoSpaceDE w:val="0"/>
        <w:autoSpaceDN w:val="0"/>
        <w:spacing w:after="0" w:line="260" w:lineRule="exact"/>
        <w:jc w:val="both"/>
        <w:rPr>
          <w:rFonts w:ascii="Arial" w:eastAsia="Arial" w:hAnsi="Arial" w:cs="Arial"/>
          <w:b/>
          <w:bCs/>
          <w:i/>
          <w:iCs/>
          <w:lang w:val="es-ES"/>
        </w:rPr>
      </w:pPr>
    </w:p>
    <w:p w14:paraId="7403A37A" w14:textId="2CBE6434" w:rsidR="00AB00A1" w:rsidRPr="00AB00A1" w:rsidRDefault="00AB00A1" w:rsidP="001D1FC2">
      <w:pPr>
        <w:widowControl w:val="0"/>
        <w:autoSpaceDE w:val="0"/>
        <w:autoSpaceDN w:val="0"/>
        <w:spacing w:after="0" w:line="260" w:lineRule="exact"/>
        <w:jc w:val="both"/>
        <w:rPr>
          <w:rFonts w:ascii="Arial" w:eastAsia="Arial" w:hAnsi="Arial" w:cs="Arial"/>
          <w:b/>
          <w:bCs/>
          <w:lang w:val="es-ES"/>
        </w:rPr>
      </w:pPr>
      <w:r w:rsidRPr="00AB00A1">
        <w:rPr>
          <w:rFonts w:ascii="Arial" w:eastAsia="Arial" w:hAnsi="Arial" w:cs="Arial"/>
          <w:b/>
          <w:bCs/>
          <w:lang w:val="es-ES"/>
        </w:rPr>
        <w:t>Acciones del Mecanismo Nacional de Prevención de la Tortura (MNPT)</w:t>
      </w:r>
    </w:p>
    <w:p w14:paraId="7E431F48" w14:textId="77777777" w:rsidR="00AB00A1" w:rsidRDefault="00AB00A1" w:rsidP="001D1FC2">
      <w:pPr>
        <w:widowControl w:val="0"/>
        <w:autoSpaceDE w:val="0"/>
        <w:autoSpaceDN w:val="0"/>
        <w:spacing w:after="0" w:line="260" w:lineRule="exact"/>
        <w:jc w:val="both"/>
        <w:rPr>
          <w:rFonts w:ascii="Arial" w:eastAsia="Arial" w:hAnsi="Arial" w:cs="Arial"/>
          <w:lang w:val="es-ES"/>
        </w:rPr>
      </w:pPr>
    </w:p>
    <w:p w14:paraId="549E8CAC" w14:textId="68327D73" w:rsidR="001D1FC2" w:rsidRPr="001D1FC2" w:rsidRDefault="001D1FC2" w:rsidP="001D1FC2">
      <w:pPr>
        <w:widowControl w:val="0"/>
        <w:autoSpaceDE w:val="0"/>
        <w:autoSpaceDN w:val="0"/>
        <w:spacing w:after="0" w:line="260" w:lineRule="exact"/>
        <w:jc w:val="both"/>
        <w:rPr>
          <w:rFonts w:ascii="Arial" w:eastAsia="Arial" w:hAnsi="Arial" w:cs="Arial"/>
          <w:lang w:val="es-ES"/>
        </w:rPr>
      </w:pPr>
      <w:r w:rsidRPr="001D1FC2">
        <w:rPr>
          <w:rFonts w:ascii="Arial" w:eastAsia="Arial" w:hAnsi="Arial" w:cs="Arial"/>
          <w:lang w:val="es-ES"/>
        </w:rPr>
        <w:t xml:space="preserve">La Comisión Nacional de los Derechos Humanos, a través del Mecanismo Nacional de Prevención de la Tortura, desde 2019 ha participado en las diversas etapas para la construcción del Programa Nacional, atendiendo a la convocatoria que hizo la </w:t>
      </w:r>
      <w:bookmarkStart w:id="2" w:name="_Int_umwb5gKt"/>
      <w:r w:rsidRPr="001D1FC2">
        <w:rPr>
          <w:rFonts w:ascii="Arial" w:eastAsia="Arial" w:hAnsi="Arial" w:cs="Arial"/>
          <w:lang w:val="es-ES"/>
        </w:rPr>
        <w:t>Fiscalía General</w:t>
      </w:r>
      <w:bookmarkEnd w:id="2"/>
      <w:r w:rsidRPr="001D1FC2">
        <w:rPr>
          <w:rFonts w:ascii="Arial" w:eastAsia="Arial" w:hAnsi="Arial" w:cs="Arial"/>
          <w:lang w:val="es-ES"/>
        </w:rPr>
        <w:t xml:space="preserve"> de República, la que, en conjunto con la Secretaría de Gobernación, coordinaron los trabajos para la realización del Programa. Entre las actividades </w:t>
      </w:r>
      <w:r w:rsidRPr="001D1FC2">
        <w:rPr>
          <w:rFonts w:ascii="Arial" w:eastAsia="Arial" w:hAnsi="Arial" w:cs="Arial"/>
          <w:lang w:val="es-ES"/>
        </w:rPr>
        <w:lastRenderedPageBreak/>
        <w:t>realizadas se encuentran, la elaboración de diagnósticos, y la construcción de objetivos, estrategias y líneas de acción.</w:t>
      </w:r>
    </w:p>
    <w:p w14:paraId="618788FC" w14:textId="77777777" w:rsidR="001D1FC2" w:rsidRPr="001D1FC2" w:rsidRDefault="001D1FC2" w:rsidP="001D1FC2">
      <w:pPr>
        <w:widowControl w:val="0"/>
        <w:autoSpaceDE w:val="0"/>
        <w:autoSpaceDN w:val="0"/>
        <w:spacing w:after="0" w:line="260" w:lineRule="exact"/>
        <w:jc w:val="both"/>
        <w:rPr>
          <w:rFonts w:ascii="Arial" w:eastAsia="Arial" w:hAnsi="Arial" w:cs="Arial"/>
          <w:lang w:val="es-ES"/>
        </w:rPr>
      </w:pPr>
    </w:p>
    <w:p w14:paraId="279F17F8" w14:textId="77777777" w:rsidR="001D1FC2" w:rsidRPr="001D1FC2" w:rsidRDefault="001D1FC2" w:rsidP="001D1FC2">
      <w:pPr>
        <w:widowControl w:val="0"/>
        <w:autoSpaceDE w:val="0"/>
        <w:autoSpaceDN w:val="0"/>
        <w:spacing w:after="0" w:line="260" w:lineRule="exact"/>
        <w:jc w:val="both"/>
        <w:rPr>
          <w:rFonts w:ascii="Arial" w:eastAsia="Arial" w:hAnsi="Arial" w:cs="Arial"/>
          <w:lang w:val="es-ES"/>
        </w:rPr>
      </w:pPr>
      <w:r w:rsidRPr="001D1FC2">
        <w:rPr>
          <w:rFonts w:ascii="Arial" w:eastAsia="Arial" w:hAnsi="Arial" w:cs="Arial"/>
          <w:lang w:val="es-ES"/>
        </w:rPr>
        <w:t>Asimismo, el 27 de abril de 2020, mediante oficio SDHPM/0162/2020, la CNDH, a través del MNPT, atendió el requerimiento de la Subsecretaría de Derechos Humanos, Población y Migración de la Secretaría de Gobernación, para revisar las líneas de acción y estrategias que corresponden al quehacer institucional de este Organismo Autónomo, sobre las que se realizó una retroalimentación, proponiendo el cambio de dos líneas de acción, las cuales fueron aceptadas y modificadas.</w:t>
      </w:r>
    </w:p>
    <w:p w14:paraId="1D675891" w14:textId="77777777" w:rsidR="001D1FC2" w:rsidRPr="001D1FC2" w:rsidRDefault="001D1FC2" w:rsidP="001D1FC2">
      <w:pPr>
        <w:widowControl w:val="0"/>
        <w:autoSpaceDE w:val="0"/>
        <w:autoSpaceDN w:val="0"/>
        <w:spacing w:after="0" w:line="260" w:lineRule="exact"/>
        <w:jc w:val="both"/>
        <w:rPr>
          <w:rFonts w:ascii="Arial" w:eastAsia="Arial" w:hAnsi="Arial" w:cs="Arial"/>
          <w:lang w:val="es-ES"/>
        </w:rPr>
      </w:pPr>
    </w:p>
    <w:p w14:paraId="20BD737E" w14:textId="77777777" w:rsidR="001D1FC2" w:rsidRPr="001D1FC2" w:rsidRDefault="001D1FC2" w:rsidP="001D1FC2">
      <w:pPr>
        <w:widowControl w:val="0"/>
        <w:autoSpaceDE w:val="0"/>
        <w:autoSpaceDN w:val="0"/>
        <w:spacing w:after="0" w:line="260" w:lineRule="exact"/>
        <w:jc w:val="both"/>
        <w:rPr>
          <w:rFonts w:ascii="Arial" w:eastAsia="Arial" w:hAnsi="Arial" w:cs="Arial"/>
          <w:lang w:val="es-ES"/>
        </w:rPr>
      </w:pPr>
      <w:r w:rsidRPr="001D1FC2">
        <w:rPr>
          <w:rFonts w:ascii="Arial" w:eastAsia="Arial" w:hAnsi="Arial" w:cs="Arial"/>
          <w:lang w:val="es-ES"/>
        </w:rPr>
        <w:t xml:space="preserve">En mayo de 2020, se participó en la </w:t>
      </w:r>
      <w:r w:rsidRPr="001D1FC2">
        <w:rPr>
          <w:rFonts w:ascii="Arial" w:eastAsia="Arial" w:hAnsi="Arial" w:cs="Arial"/>
          <w:i/>
          <w:iCs/>
          <w:lang w:val="es-ES"/>
        </w:rPr>
        <w:t>Primera Reunión de Seguimiento del Programa Nacional para Prevenir y Sancionar la Tortura y Otros Tratos o Penas Crueles, Inhumanos o Degradantes 2020-2024</w:t>
      </w:r>
      <w:r w:rsidRPr="001D1FC2">
        <w:rPr>
          <w:rFonts w:ascii="Arial" w:eastAsia="Arial" w:hAnsi="Arial" w:cs="Arial"/>
          <w:lang w:val="es-ES"/>
        </w:rPr>
        <w:t xml:space="preserve">, que estuvo a cargo de la titular de la Fiscalía Especializada en Materia de Derechos Humanos y del </w:t>
      </w:r>
      <w:bookmarkStart w:id="3" w:name="_Int_vAmlEAsb"/>
      <w:r w:rsidRPr="001D1FC2">
        <w:rPr>
          <w:rFonts w:ascii="Arial" w:eastAsia="Arial" w:hAnsi="Arial" w:cs="Arial"/>
          <w:lang w:val="es-ES"/>
        </w:rPr>
        <w:t>Director General</w:t>
      </w:r>
      <w:bookmarkEnd w:id="3"/>
      <w:r w:rsidRPr="001D1FC2">
        <w:rPr>
          <w:rFonts w:ascii="Arial" w:eastAsia="Arial" w:hAnsi="Arial" w:cs="Arial"/>
          <w:lang w:val="es-ES"/>
        </w:rPr>
        <w:t xml:space="preserve"> de Estrategias para la Atención de Derechos Humanos de la Secretaría de Gobernación. En la reunión se presentó </w:t>
      </w:r>
      <w:r w:rsidRPr="001D1FC2">
        <w:rPr>
          <w:rFonts w:ascii="Arial" w:eastAsia="Arial" w:hAnsi="Arial" w:cs="Arial"/>
          <w:i/>
          <w:iCs/>
          <w:lang w:val="es-ES"/>
        </w:rPr>
        <w:t xml:space="preserve">el Mecanismo de Seguimiento y Evaluación del Programa </w:t>
      </w:r>
      <w:r w:rsidRPr="001D1FC2">
        <w:rPr>
          <w:rFonts w:ascii="Arial" w:eastAsia="Arial" w:hAnsi="Arial" w:cs="Arial"/>
          <w:i/>
          <w:iCs/>
          <w:lang w:val="es-ES"/>
        </w:rPr>
        <w:lastRenderedPageBreak/>
        <w:t>Nacional para Prevenir y Sancionar la Tortura y Otros Tratos o Penas Crueles, Inhumanos o Degradantes 2020-2024</w:t>
      </w:r>
      <w:r w:rsidRPr="001D1FC2">
        <w:rPr>
          <w:rFonts w:ascii="Arial" w:eastAsia="Arial" w:hAnsi="Arial" w:cs="Arial"/>
          <w:lang w:val="es-ES"/>
        </w:rPr>
        <w:t>, así como las acciones y compromisos de cada institución participante, con el fin de dar cumplimiento a los objetivos, estrategias y acciones del Programa Nacional.</w:t>
      </w:r>
    </w:p>
    <w:p w14:paraId="1F0460D2" w14:textId="77777777" w:rsidR="001D1FC2" w:rsidRPr="001D1FC2" w:rsidRDefault="001D1FC2" w:rsidP="001D1FC2">
      <w:pPr>
        <w:widowControl w:val="0"/>
        <w:autoSpaceDE w:val="0"/>
        <w:autoSpaceDN w:val="0"/>
        <w:spacing w:after="0" w:line="260" w:lineRule="exact"/>
        <w:jc w:val="both"/>
        <w:rPr>
          <w:rFonts w:ascii="Arial" w:eastAsia="Arial" w:hAnsi="Arial" w:cs="Arial"/>
          <w:lang w:val="es-ES"/>
        </w:rPr>
      </w:pPr>
    </w:p>
    <w:p w14:paraId="06032D09" w14:textId="77777777" w:rsidR="001D1FC2" w:rsidRPr="001D1FC2" w:rsidRDefault="001D1FC2" w:rsidP="001D1FC2">
      <w:pPr>
        <w:widowControl w:val="0"/>
        <w:autoSpaceDE w:val="0"/>
        <w:autoSpaceDN w:val="0"/>
        <w:spacing w:after="0" w:line="260" w:lineRule="exact"/>
        <w:jc w:val="both"/>
        <w:rPr>
          <w:rFonts w:ascii="Arial" w:eastAsia="Arial" w:hAnsi="Arial" w:cs="Arial"/>
          <w:lang w:val="es-ES"/>
        </w:rPr>
      </w:pPr>
      <w:r w:rsidRPr="001D1FC2">
        <w:rPr>
          <w:rFonts w:ascii="Arial" w:eastAsia="Arial" w:hAnsi="Arial" w:cs="Arial"/>
          <w:lang w:val="es-ES"/>
        </w:rPr>
        <w:t xml:space="preserve">Recientemente, en noviembre de 2021, el Coordinador de Asesores de la Fiscalía Especializada en Materia de Derechos Humanos de la Fiscalía General de la República, al retomar los trabajos de elaboración del Programa Nacional, solicitó información objetiva y actualizada relacionada con: </w:t>
      </w:r>
      <w:r w:rsidRPr="001D1FC2">
        <w:rPr>
          <w:rFonts w:ascii="Arial" w:eastAsia="Arial" w:hAnsi="Arial" w:cs="Arial"/>
          <w:b/>
          <w:bCs/>
          <w:lang w:val="es-ES"/>
        </w:rPr>
        <w:t>a)</w:t>
      </w:r>
      <w:r w:rsidRPr="001D1FC2">
        <w:rPr>
          <w:rFonts w:ascii="Arial" w:eastAsia="Arial" w:hAnsi="Arial" w:cs="Arial"/>
          <w:lang w:val="es-ES"/>
        </w:rPr>
        <w:t xml:space="preserve"> el número de quejas aperturadas en esta Comisión Nacional; </w:t>
      </w:r>
      <w:r w:rsidRPr="001D1FC2">
        <w:rPr>
          <w:rFonts w:ascii="Arial" w:eastAsia="Arial" w:hAnsi="Arial" w:cs="Arial"/>
          <w:b/>
          <w:bCs/>
          <w:lang w:val="es-ES"/>
        </w:rPr>
        <w:t xml:space="preserve">b) </w:t>
      </w:r>
      <w:r w:rsidRPr="001D1FC2">
        <w:rPr>
          <w:rFonts w:ascii="Arial" w:eastAsia="Arial" w:hAnsi="Arial" w:cs="Arial"/>
          <w:lang w:val="es-ES"/>
        </w:rPr>
        <w:t xml:space="preserve">el porcentaje de recomendaciones emitidas sobre los casos que se aperturan en el Organismo Nacional; </w:t>
      </w:r>
      <w:r w:rsidRPr="001D1FC2">
        <w:rPr>
          <w:rFonts w:ascii="Arial" w:eastAsia="Arial" w:hAnsi="Arial" w:cs="Arial"/>
          <w:b/>
          <w:bCs/>
          <w:lang w:val="es-ES"/>
        </w:rPr>
        <w:t>c)</w:t>
      </w:r>
      <w:r w:rsidRPr="001D1FC2">
        <w:rPr>
          <w:rFonts w:ascii="Arial" w:eastAsia="Arial" w:hAnsi="Arial" w:cs="Arial"/>
          <w:lang w:val="es-ES"/>
        </w:rPr>
        <w:t xml:space="preserve"> el número de recomendaciones emitidas por tortura y otros tratos o penas crueles, inhumanas o degradantes; </w:t>
      </w:r>
      <w:r w:rsidRPr="001D1FC2">
        <w:rPr>
          <w:rFonts w:ascii="Arial" w:eastAsia="Arial" w:hAnsi="Arial" w:cs="Arial"/>
          <w:b/>
          <w:bCs/>
          <w:lang w:val="es-ES"/>
        </w:rPr>
        <w:t xml:space="preserve">d) </w:t>
      </w:r>
      <w:r w:rsidRPr="001D1FC2">
        <w:rPr>
          <w:rFonts w:ascii="Arial" w:eastAsia="Arial" w:hAnsi="Arial" w:cs="Arial"/>
          <w:lang w:val="es-ES"/>
        </w:rPr>
        <w:t xml:space="preserve">el porcentaje actual de las autoridades a las que se han emitido recomendaciones; </w:t>
      </w:r>
      <w:r w:rsidRPr="001D1FC2">
        <w:rPr>
          <w:rFonts w:ascii="Arial" w:eastAsia="Arial" w:hAnsi="Arial" w:cs="Arial"/>
          <w:b/>
          <w:bCs/>
          <w:lang w:val="es-ES"/>
        </w:rPr>
        <w:t>e)</w:t>
      </w:r>
      <w:r w:rsidRPr="001D1FC2">
        <w:rPr>
          <w:rFonts w:ascii="Arial" w:eastAsia="Arial" w:hAnsi="Arial" w:cs="Arial"/>
          <w:lang w:val="es-ES"/>
        </w:rPr>
        <w:t xml:space="preserve"> los datos actuales sobre violencia obstétrica, y </w:t>
      </w:r>
      <w:r w:rsidRPr="001D1FC2">
        <w:rPr>
          <w:rFonts w:ascii="Arial" w:eastAsia="Arial" w:hAnsi="Arial" w:cs="Arial"/>
          <w:b/>
          <w:bCs/>
          <w:lang w:val="es-ES"/>
        </w:rPr>
        <w:t xml:space="preserve">f) </w:t>
      </w:r>
      <w:r w:rsidRPr="001D1FC2">
        <w:rPr>
          <w:rFonts w:ascii="Arial" w:eastAsia="Arial" w:hAnsi="Arial" w:cs="Arial"/>
          <w:lang w:val="es-ES"/>
        </w:rPr>
        <w:t xml:space="preserve">actualización del seguimiento al Informe ISP-10/2018, sobre hospitales psiquiátricos que dependen del Gobierno Federal y Estados de la República, solicitud que fue atendida  por este Mecanismo </w:t>
      </w:r>
      <w:r w:rsidRPr="001D1FC2">
        <w:rPr>
          <w:rFonts w:ascii="Arial" w:eastAsia="Arial" w:hAnsi="Arial" w:cs="Arial"/>
          <w:lang w:val="es-ES"/>
        </w:rPr>
        <w:lastRenderedPageBreak/>
        <w:t>Nacional</w:t>
      </w:r>
      <w:r w:rsidRPr="001D1FC2">
        <w:rPr>
          <w:rFonts w:ascii="Arial" w:eastAsia="Arial" w:hAnsi="Arial" w:cs="Arial"/>
          <w:vertAlign w:val="superscript"/>
          <w:lang w:val="es-ES"/>
        </w:rPr>
        <w:footnoteReference w:id="11"/>
      </w:r>
      <w:r w:rsidRPr="001D1FC2">
        <w:rPr>
          <w:rFonts w:ascii="Arial" w:eastAsia="Arial" w:hAnsi="Arial" w:cs="Arial"/>
          <w:lang w:val="es-ES"/>
        </w:rPr>
        <w:t>.</w:t>
      </w:r>
    </w:p>
    <w:p w14:paraId="0418FED3" w14:textId="296FF35C" w:rsidR="00B11E95" w:rsidRDefault="00B11E95" w:rsidP="00B11E95">
      <w:pPr>
        <w:shd w:val="clear" w:color="auto" w:fill="FFFFFF"/>
        <w:spacing w:after="0" w:line="240" w:lineRule="auto"/>
        <w:ind w:right="51"/>
        <w:contextualSpacing/>
        <w:jc w:val="both"/>
        <w:rPr>
          <w:rFonts w:ascii="Arial Narrow" w:eastAsia="Times New Roman" w:hAnsi="Arial Narrow" w:cs="Times New Roman"/>
          <w:b/>
          <w:bCs/>
          <w:color w:val="1F3864" w:themeColor="accent1" w:themeShade="80"/>
          <w:lang w:val="es-ES" w:eastAsia="es-ES"/>
        </w:rPr>
      </w:pPr>
    </w:p>
    <w:p w14:paraId="46D7E876" w14:textId="77777777" w:rsidR="00237321" w:rsidRPr="00B11E95" w:rsidRDefault="00237321" w:rsidP="00B11E95">
      <w:pPr>
        <w:shd w:val="clear" w:color="auto" w:fill="FFFFFF"/>
        <w:spacing w:after="0" w:line="240" w:lineRule="auto"/>
        <w:ind w:right="51"/>
        <w:contextualSpacing/>
        <w:jc w:val="both"/>
        <w:rPr>
          <w:rFonts w:ascii="Arial" w:eastAsia="Times New Roman" w:hAnsi="Arial" w:cs="Arial"/>
          <w:color w:val="1F3864" w:themeColor="accent1" w:themeShade="80"/>
          <w:lang w:val="es-ES" w:eastAsia="es-ES"/>
        </w:rPr>
      </w:pPr>
    </w:p>
    <w:p w14:paraId="6191B71E" w14:textId="77777777" w:rsidR="00237321" w:rsidRPr="00237321" w:rsidRDefault="00237321" w:rsidP="00237321">
      <w:pPr>
        <w:shd w:val="clear" w:color="auto" w:fill="FFFFFF"/>
        <w:spacing w:after="0" w:line="240" w:lineRule="auto"/>
        <w:ind w:right="51"/>
        <w:jc w:val="both"/>
        <w:rPr>
          <w:rFonts w:ascii="Arial" w:eastAsia="Times New Roman" w:hAnsi="Arial" w:cs="Arial"/>
          <w:b/>
          <w:bCs/>
          <w:i/>
          <w:iCs/>
          <w:lang w:val="es-ES" w:eastAsia="es-ES"/>
        </w:rPr>
      </w:pPr>
      <w:r w:rsidRPr="00237321">
        <w:rPr>
          <w:rFonts w:ascii="Arial" w:eastAsia="Times New Roman" w:hAnsi="Arial" w:cs="Arial"/>
          <w:b/>
          <w:bCs/>
          <w:i/>
          <w:iCs/>
          <w:lang w:val="es-ES" w:eastAsia="es-ES"/>
        </w:rPr>
        <w:t xml:space="preserve">16. El Estado parte debe: </w:t>
      </w:r>
    </w:p>
    <w:p w14:paraId="2E2AD5D7" w14:textId="77777777" w:rsidR="00237321" w:rsidRPr="00237321" w:rsidRDefault="00237321" w:rsidP="00237321">
      <w:pPr>
        <w:shd w:val="clear" w:color="auto" w:fill="FFFFFF"/>
        <w:spacing w:after="0" w:line="240" w:lineRule="auto"/>
        <w:ind w:right="51"/>
        <w:jc w:val="both"/>
        <w:rPr>
          <w:rFonts w:ascii="Arial" w:eastAsia="Times New Roman" w:hAnsi="Arial" w:cs="Arial"/>
          <w:b/>
          <w:bCs/>
          <w:i/>
          <w:iCs/>
          <w:lang w:val="es-ES" w:eastAsia="es-ES"/>
        </w:rPr>
      </w:pPr>
      <w:r w:rsidRPr="00237321">
        <w:rPr>
          <w:rFonts w:ascii="Arial" w:eastAsia="Times New Roman" w:hAnsi="Arial" w:cs="Arial"/>
          <w:b/>
          <w:bCs/>
          <w:i/>
          <w:iCs/>
          <w:lang w:val="es-ES" w:eastAsia="es-ES"/>
        </w:rPr>
        <w:t xml:space="preserve">a) Adoptar medidas eficaces para garantizar que las personas detenidas gocen en la práctica de todas las salvaguardias fundamentales desde el inicio de su privación de libertad de conformidad con las normas internacionales, en particular: el derecho a ser asistidos sin demora por un abogado y a recibir asistencia letrada gratuita en caso de necesidad; a requerir y tener acceso inmediato a un médico independiente, aparte de cualquier examen médico que pueda realizarse a petición de las autoridades; a ser informados de las razones de su detención a un familiar o a un tercero; al derecho a impugnar ante un tribunal la legalidad de la detención; y a ser llevados ante un juez sin demora; </w:t>
      </w:r>
    </w:p>
    <w:p w14:paraId="3C5A5EB7" w14:textId="77777777" w:rsidR="00237321" w:rsidRPr="00237321" w:rsidRDefault="00237321" w:rsidP="00237321">
      <w:pPr>
        <w:shd w:val="clear" w:color="auto" w:fill="FFFFFF"/>
        <w:spacing w:after="0" w:line="240" w:lineRule="auto"/>
        <w:ind w:right="51"/>
        <w:jc w:val="both"/>
        <w:rPr>
          <w:rFonts w:ascii="Arial" w:eastAsia="Times New Roman" w:hAnsi="Arial" w:cs="Arial"/>
          <w:b/>
          <w:bCs/>
          <w:i/>
          <w:iCs/>
          <w:lang w:val="es-ES" w:eastAsia="es-ES"/>
        </w:rPr>
      </w:pPr>
      <w:r w:rsidRPr="00237321">
        <w:rPr>
          <w:rFonts w:ascii="Arial" w:eastAsia="Times New Roman" w:hAnsi="Arial" w:cs="Arial"/>
          <w:b/>
          <w:bCs/>
          <w:i/>
          <w:iCs/>
          <w:lang w:val="es-ES" w:eastAsia="es-ES"/>
        </w:rPr>
        <w:t xml:space="preserve">b) Fortalecer las instituciones de defensa pública; </w:t>
      </w:r>
    </w:p>
    <w:p w14:paraId="71F06280" w14:textId="77777777" w:rsidR="00237321" w:rsidRPr="00237321" w:rsidRDefault="00237321" w:rsidP="00237321">
      <w:pPr>
        <w:shd w:val="clear" w:color="auto" w:fill="FFFFFF"/>
        <w:spacing w:after="0" w:line="240" w:lineRule="auto"/>
        <w:ind w:right="51"/>
        <w:jc w:val="both"/>
        <w:rPr>
          <w:rFonts w:ascii="Arial" w:eastAsia="Times New Roman" w:hAnsi="Arial" w:cs="Arial"/>
          <w:b/>
          <w:bCs/>
          <w:i/>
          <w:iCs/>
          <w:lang w:val="es-ES" w:eastAsia="es-ES"/>
        </w:rPr>
      </w:pPr>
      <w:r w:rsidRPr="00237321">
        <w:rPr>
          <w:rFonts w:ascii="Arial" w:eastAsia="Times New Roman" w:hAnsi="Arial" w:cs="Arial"/>
          <w:b/>
          <w:bCs/>
          <w:i/>
          <w:iCs/>
          <w:lang w:val="es-ES" w:eastAsia="es-ES"/>
        </w:rPr>
        <w:lastRenderedPageBreak/>
        <w:t xml:space="preserve">c) Adoptar la Ley Nacional del Registro de Detenciones prevista en el artículo 73 XXIII de la Constitución, que deberá ser de aplicación en todos los lugares de privación de libertad. </w:t>
      </w:r>
    </w:p>
    <w:p w14:paraId="2AD8B224" w14:textId="77777777" w:rsidR="00237321" w:rsidRDefault="00237321" w:rsidP="004C4B49">
      <w:pPr>
        <w:shd w:val="clear" w:color="auto" w:fill="FFFFFF"/>
        <w:spacing w:after="0" w:line="240" w:lineRule="auto"/>
        <w:ind w:right="51"/>
        <w:jc w:val="both"/>
        <w:rPr>
          <w:rFonts w:ascii="Arial" w:eastAsia="Times New Roman" w:hAnsi="Arial" w:cs="Arial"/>
          <w:b/>
          <w:bCs/>
          <w:lang w:val="es-ES" w:eastAsia="es-ES"/>
        </w:rPr>
      </w:pPr>
    </w:p>
    <w:p w14:paraId="32D586DA" w14:textId="0A66F52F" w:rsidR="00237321" w:rsidRPr="00237321" w:rsidRDefault="00237321" w:rsidP="004C4B49">
      <w:pPr>
        <w:shd w:val="clear" w:color="auto" w:fill="FFFFFF"/>
        <w:spacing w:after="0" w:line="240" w:lineRule="auto"/>
        <w:ind w:right="51"/>
        <w:jc w:val="both"/>
        <w:rPr>
          <w:rFonts w:ascii="Arial" w:eastAsia="Times New Roman" w:hAnsi="Arial" w:cs="Arial"/>
          <w:b/>
          <w:bCs/>
          <w:lang w:val="es-ES" w:eastAsia="es-ES"/>
        </w:rPr>
      </w:pPr>
      <w:r w:rsidRPr="00237321">
        <w:rPr>
          <w:rFonts w:ascii="Arial" w:eastAsia="Times New Roman" w:hAnsi="Arial" w:cs="Arial"/>
          <w:b/>
          <w:bCs/>
          <w:lang w:val="es-ES" w:eastAsia="es-ES"/>
        </w:rPr>
        <w:t>Acciones realizadas por la Comisión Nacional de los Derechos Humanos (CNDH)</w:t>
      </w:r>
    </w:p>
    <w:p w14:paraId="439655B1" w14:textId="77777777" w:rsidR="00237321" w:rsidRDefault="00237321" w:rsidP="004C4B49">
      <w:pPr>
        <w:shd w:val="clear" w:color="auto" w:fill="FFFFFF"/>
        <w:spacing w:after="0" w:line="240" w:lineRule="auto"/>
        <w:ind w:right="51"/>
        <w:jc w:val="both"/>
        <w:rPr>
          <w:rFonts w:ascii="Arial" w:eastAsia="Times New Roman" w:hAnsi="Arial" w:cs="Arial"/>
          <w:lang w:val="es-ES" w:eastAsia="es-ES"/>
        </w:rPr>
      </w:pPr>
    </w:p>
    <w:p w14:paraId="679B1BB0" w14:textId="0627758E" w:rsidR="00B11E95" w:rsidRPr="00B11E95" w:rsidRDefault="004C4B49" w:rsidP="004C4B49">
      <w:pPr>
        <w:shd w:val="clear" w:color="auto" w:fill="FFFFFF"/>
        <w:spacing w:after="0" w:line="240" w:lineRule="auto"/>
        <w:ind w:right="51"/>
        <w:jc w:val="both"/>
        <w:rPr>
          <w:rFonts w:ascii="Arial" w:eastAsia="Times New Roman" w:hAnsi="Arial" w:cs="Arial"/>
          <w:i/>
          <w:iCs/>
          <w:sz w:val="24"/>
          <w:szCs w:val="24"/>
          <w:lang w:val="es-ES" w:eastAsia="es-ES"/>
        </w:rPr>
      </w:pPr>
      <w:r>
        <w:rPr>
          <w:rFonts w:ascii="Arial" w:eastAsia="Times New Roman" w:hAnsi="Arial" w:cs="Arial"/>
          <w:lang w:val="es-ES" w:eastAsia="es-ES"/>
        </w:rPr>
        <w:t>La Comisión Nacional de los Derechos Humanos de México, e</w:t>
      </w:r>
      <w:r w:rsidR="00B11E95" w:rsidRPr="00B11E95">
        <w:rPr>
          <w:rFonts w:ascii="Arial" w:eastAsia="Times New Roman" w:hAnsi="Arial" w:cs="Arial"/>
          <w:lang w:val="es-ES" w:eastAsia="es-ES"/>
        </w:rPr>
        <w:t xml:space="preserve">n la emisión </w:t>
      </w:r>
      <w:bookmarkStart w:id="4" w:name="_Hlk92712429"/>
      <w:r w:rsidR="00B11E95" w:rsidRPr="00B11E95">
        <w:rPr>
          <w:rFonts w:ascii="Arial" w:eastAsia="Times New Roman" w:hAnsi="Arial" w:cs="Arial"/>
          <w:color w:val="1F3864" w:themeColor="accent1" w:themeShade="80"/>
          <w:lang w:val="es-ES" w:eastAsia="es-ES"/>
        </w:rPr>
        <w:t xml:space="preserve">del </w:t>
      </w:r>
      <w:r w:rsidR="00B11E95" w:rsidRPr="00B11E95">
        <w:rPr>
          <w:rFonts w:ascii="Arial" w:eastAsia="Times New Roman" w:hAnsi="Arial" w:cs="Arial"/>
          <w:b/>
          <w:bCs/>
          <w:color w:val="1F3864" w:themeColor="accent1" w:themeShade="80"/>
          <w:lang w:val="es-ES" w:eastAsia="es-ES"/>
        </w:rPr>
        <w:t>Informe Especial</w:t>
      </w:r>
      <w:r w:rsidR="00B11E95" w:rsidRPr="00B11E95">
        <w:rPr>
          <w:rFonts w:ascii="Arial" w:eastAsia="Times New Roman" w:hAnsi="Arial" w:cs="Arial"/>
          <w:color w:val="1F3864" w:themeColor="accent1" w:themeShade="80"/>
          <w:lang w:val="es-ES" w:eastAsia="es-ES"/>
        </w:rPr>
        <w:t xml:space="preserve"> </w:t>
      </w:r>
      <w:bookmarkStart w:id="5" w:name="_Hlk92874686"/>
      <w:r w:rsidR="00B11E95" w:rsidRPr="00B11E95">
        <w:rPr>
          <w:rFonts w:ascii="Arial" w:eastAsia="Times New Roman" w:hAnsi="Arial" w:cs="Arial"/>
          <w:color w:val="1F3864" w:themeColor="accent1" w:themeShade="80"/>
          <w:lang w:val="es-ES" w:eastAsia="es-ES"/>
        </w:rPr>
        <w:t xml:space="preserve">sobre el Estado que Guardan las Medidas Adoptadas en Centros Penitenciarios para la Atención de la Emergencia Sanitaria Generada ante el Virus SARS-CoV2 /COVID-19) </w:t>
      </w:r>
      <w:bookmarkEnd w:id="5"/>
      <w:r w:rsidR="00B11E95" w:rsidRPr="00B11E95">
        <w:rPr>
          <w:rFonts w:ascii="Arial" w:eastAsia="Times New Roman" w:hAnsi="Arial" w:cs="Arial"/>
          <w:lang w:val="es-ES" w:eastAsia="es-ES"/>
        </w:rPr>
        <w:t xml:space="preserve">emitido por esta CNDH en el mes de junio de 2020, se emitieron 48 propuestas específicas en torno a garantizar los derechos humanos de las personas privadas de la libertad ante la contingencia sanitaria que se vive en nuestro país, entre las propuestas a destacar relacionadas con este rubro, se tiene que a través de las propuestas </w:t>
      </w:r>
      <w:bookmarkEnd w:id="4"/>
      <w:r w:rsidR="00B11E95" w:rsidRPr="00B11E95">
        <w:rPr>
          <w:rFonts w:ascii="Arial" w:eastAsia="Times New Roman" w:hAnsi="Arial" w:cs="Arial"/>
          <w:lang w:val="es-ES" w:eastAsia="es-ES"/>
        </w:rPr>
        <w:t xml:space="preserve">Quinta y Trigésima novena, se solicitó a las diversas </w:t>
      </w:r>
      <w:r w:rsidR="00B11E95" w:rsidRPr="00B11E95">
        <w:rPr>
          <w:rFonts w:ascii="Arial" w:eastAsia="Times New Roman" w:hAnsi="Arial" w:cs="Arial"/>
          <w:lang w:val="es-ES" w:eastAsia="es-ES"/>
        </w:rPr>
        <w:lastRenderedPageBreak/>
        <w:t xml:space="preserve">autoridades de los tres órdenes de gobierno y de los sistemas penitenciarios estatales, federal y militar que: </w:t>
      </w:r>
    </w:p>
    <w:p w14:paraId="4482221A" w14:textId="77777777" w:rsidR="00B11E95" w:rsidRPr="00B11E95" w:rsidRDefault="00B11E95" w:rsidP="00B11E95">
      <w:pPr>
        <w:shd w:val="clear" w:color="auto" w:fill="FFFFFF"/>
        <w:spacing w:after="0" w:line="240" w:lineRule="auto"/>
        <w:ind w:right="51"/>
        <w:contextualSpacing/>
        <w:jc w:val="both"/>
        <w:rPr>
          <w:rFonts w:ascii="Arial" w:eastAsia="Times New Roman" w:hAnsi="Arial" w:cs="Arial"/>
          <w:sz w:val="24"/>
          <w:szCs w:val="24"/>
          <w:lang w:val="es-ES" w:eastAsia="es-ES"/>
        </w:rPr>
      </w:pPr>
    </w:p>
    <w:p w14:paraId="4F632041" w14:textId="77777777" w:rsidR="00B11E95" w:rsidRPr="00B11E95" w:rsidRDefault="00B11E95" w:rsidP="004C4B49">
      <w:pPr>
        <w:shd w:val="clear" w:color="auto" w:fill="FFFFFF"/>
        <w:spacing w:after="0" w:line="240" w:lineRule="auto"/>
        <w:ind w:left="708" w:right="49"/>
        <w:contextualSpacing/>
        <w:jc w:val="both"/>
        <w:rPr>
          <w:rFonts w:ascii="Arial" w:eastAsia="Times New Roman" w:hAnsi="Arial" w:cs="Arial"/>
          <w:i/>
          <w:iCs/>
          <w:lang w:val="es-ES" w:eastAsia="es-ES"/>
        </w:rPr>
      </w:pPr>
      <w:r w:rsidRPr="00B11E95">
        <w:rPr>
          <w:rFonts w:ascii="Arial" w:eastAsia="Times New Roman" w:hAnsi="Arial" w:cs="Arial"/>
          <w:lang w:val="es-ES" w:eastAsia="es-ES"/>
        </w:rPr>
        <w:t xml:space="preserve">QUINTA. […] </w:t>
      </w:r>
      <w:r w:rsidRPr="00B11E95">
        <w:rPr>
          <w:rFonts w:ascii="Arial" w:eastAsia="Times New Roman" w:hAnsi="Arial" w:cs="Arial"/>
          <w:i/>
          <w:iCs/>
          <w:lang w:val="es-ES" w:eastAsia="es-ES"/>
        </w:rPr>
        <w:t>las autoridades penitenciarias, de la  Secretaría de Salud Federal, de salud estatales en coordinación con los gobiernos de cada entidad, de las Fiscalías General, Militar y estatales, autoridades corresponsables y las comisiones intersecretariales correspondientes, debían homologar criterios y elaborar lineamientos específicos para determinar, a partir de un enfoque diferencial y  especializado, los aspectos médicos y de diagnóstico que permitan determinar cómo y cuándo se aplicarán pruebas para la detección de COVID19 y para confirmar la recuperación ante dicha enfermedad a personas detenidas, privadas de la libertad y al personal que labora en los centros.</w:t>
      </w:r>
    </w:p>
    <w:p w14:paraId="28D92B2A" w14:textId="77777777" w:rsidR="00B11E95" w:rsidRPr="00B11E95" w:rsidRDefault="00B11E95" w:rsidP="004C4B49">
      <w:pPr>
        <w:shd w:val="clear" w:color="auto" w:fill="FFFFFF"/>
        <w:spacing w:after="0" w:line="240" w:lineRule="auto"/>
        <w:ind w:left="708" w:right="49"/>
        <w:contextualSpacing/>
        <w:jc w:val="both"/>
        <w:rPr>
          <w:rFonts w:ascii="Arial" w:eastAsia="Times New Roman" w:hAnsi="Arial" w:cs="Arial"/>
          <w:i/>
          <w:iCs/>
          <w:lang w:val="es-ES" w:eastAsia="es-ES"/>
        </w:rPr>
      </w:pPr>
    </w:p>
    <w:p w14:paraId="2E59C406" w14:textId="77777777" w:rsidR="00B11E95" w:rsidRPr="00B11E95" w:rsidRDefault="00B11E95" w:rsidP="004C4B49">
      <w:pPr>
        <w:shd w:val="clear" w:color="auto" w:fill="FFFFFF"/>
        <w:spacing w:after="0" w:line="240" w:lineRule="auto"/>
        <w:ind w:left="708" w:right="49"/>
        <w:contextualSpacing/>
        <w:jc w:val="both"/>
        <w:rPr>
          <w:rFonts w:ascii="Arial" w:eastAsia="Times New Roman" w:hAnsi="Arial" w:cs="Arial"/>
          <w:i/>
          <w:iCs/>
          <w:lang w:val="es-ES" w:eastAsia="es-ES"/>
        </w:rPr>
      </w:pPr>
      <w:r w:rsidRPr="00B11E95">
        <w:rPr>
          <w:rFonts w:ascii="Arial" w:eastAsia="Times New Roman" w:hAnsi="Arial" w:cs="Arial"/>
          <w:i/>
          <w:iCs/>
          <w:lang w:val="es-ES" w:eastAsia="es-ES"/>
        </w:rPr>
        <w:t>Así como, se deberá diseñar una plataforma en línea a nivel nacional, cuya información debía ser pública, en la que se reportara periódicamente toda la infor</w:t>
      </w:r>
      <w:r w:rsidRPr="00B11E95">
        <w:rPr>
          <w:rFonts w:ascii="Arial" w:eastAsia="Times New Roman" w:hAnsi="Arial" w:cs="Arial"/>
          <w:i/>
          <w:iCs/>
          <w:lang w:val="es-ES" w:eastAsia="es-ES"/>
        </w:rPr>
        <w:lastRenderedPageBreak/>
        <w:t>mación que se generara a partir del número de pruebas aplicadas por autoridades de las Fiscalías, de los centros penitenciarios y/o de las secretarías de salud, los resultados obtenidos al suministro de éstas, el número de casos sospechosos, confirmados, recuperados y, en su caso, los decesos ocurridos a raíz de dicha enfermedad de las personas detenidas o privadas de la libertad.</w:t>
      </w:r>
    </w:p>
    <w:p w14:paraId="44C1E4E2" w14:textId="77777777" w:rsidR="00B11E95" w:rsidRPr="00B11E95" w:rsidRDefault="00B11E95" w:rsidP="004C4B49">
      <w:pPr>
        <w:shd w:val="clear" w:color="auto" w:fill="FFFFFF"/>
        <w:spacing w:after="0" w:line="240" w:lineRule="auto"/>
        <w:ind w:left="708" w:right="49"/>
        <w:contextualSpacing/>
        <w:jc w:val="both"/>
        <w:rPr>
          <w:rFonts w:ascii="Arial" w:eastAsia="Times New Roman" w:hAnsi="Arial" w:cs="Arial"/>
          <w:lang w:val="es-ES" w:eastAsia="es-ES"/>
        </w:rPr>
      </w:pPr>
    </w:p>
    <w:p w14:paraId="5D768F9C" w14:textId="77777777" w:rsidR="00B11E95" w:rsidRPr="00B11E95" w:rsidRDefault="00B11E95" w:rsidP="004C4B49">
      <w:pPr>
        <w:shd w:val="clear" w:color="auto" w:fill="FFFFFF"/>
        <w:spacing w:after="0" w:line="240" w:lineRule="auto"/>
        <w:ind w:left="708" w:right="49"/>
        <w:contextualSpacing/>
        <w:jc w:val="both"/>
        <w:rPr>
          <w:rFonts w:ascii="Arial" w:eastAsia="Times New Roman" w:hAnsi="Arial" w:cs="Arial"/>
          <w:lang w:val="es-ES" w:eastAsia="es-ES"/>
        </w:rPr>
      </w:pPr>
      <w:r w:rsidRPr="00B11E95">
        <w:rPr>
          <w:rFonts w:ascii="Arial" w:eastAsia="Times New Roman" w:hAnsi="Arial" w:cs="Arial"/>
          <w:lang w:val="es-ES" w:eastAsia="es-ES"/>
        </w:rPr>
        <w:t xml:space="preserve">[…] </w:t>
      </w:r>
    </w:p>
    <w:p w14:paraId="287047E3" w14:textId="77777777" w:rsidR="00B11E95" w:rsidRPr="00B11E95" w:rsidRDefault="00B11E95" w:rsidP="004C4B49">
      <w:pPr>
        <w:shd w:val="clear" w:color="auto" w:fill="FFFFFF"/>
        <w:spacing w:after="0" w:line="240" w:lineRule="auto"/>
        <w:ind w:left="708" w:right="51"/>
        <w:contextualSpacing/>
        <w:jc w:val="both"/>
        <w:rPr>
          <w:rFonts w:ascii="Arial" w:eastAsia="Times New Roman" w:hAnsi="Arial" w:cs="Arial"/>
          <w:lang w:val="es-ES" w:eastAsia="es-ES"/>
        </w:rPr>
      </w:pPr>
    </w:p>
    <w:p w14:paraId="76829EBC" w14:textId="77777777" w:rsidR="00B11E95" w:rsidRPr="00B11E95" w:rsidRDefault="00B11E95" w:rsidP="004C4B49">
      <w:pPr>
        <w:shd w:val="clear" w:color="auto" w:fill="FFFFFF"/>
        <w:spacing w:after="0" w:line="240" w:lineRule="auto"/>
        <w:ind w:left="708" w:right="51"/>
        <w:contextualSpacing/>
        <w:jc w:val="both"/>
        <w:rPr>
          <w:rFonts w:ascii="Arial" w:eastAsia="Times New Roman" w:hAnsi="Arial" w:cs="Arial"/>
          <w:i/>
          <w:iCs/>
          <w:lang w:val="es-ES" w:eastAsia="es-ES"/>
        </w:rPr>
      </w:pPr>
      <w:r w:rsidRPr="00B11E95">
        <w:rPr>
          <w:rFonts w:ascii="Arial" w:eastAsia="Times New Roman" w:hAnsi="Arial" w:cs="Arial"/>
          <w:lang w:val="es-ES" w:eastAsia="es-ES"/>
        </w:rPr>
        <w:t xml:space="preserve">TRIGÉSIMA TERCERA. </w:t>
      </w:r>
      <w:r w:rsidRPr="00B11E95">
        <w:rPr>
          <w:rFonts w:ascii="Arial" w:eastAsia="Times New Roman" w:hAnsi="Arial" w:cs="Arial"/>
          <w:i/>
          <w:iCs/>
          <w:lang w:val="es-ES" w:eastAsia="es-ES"/>
        </w:rPr>
        <w:t>Proporcionar información accesible. Asegurar, y en su caso,</w:t>
      </w:r>
      <w:r w:rsidRPr="00B11E95">
        <w:rPr>
          <w:rFonts w:ascii="Arial" w:eastAsia="Times New Roman" w:hAnsi="Arial" w:cs="Arial"/>
          <w:lang w:val="es-ES" w:eastAsia="es-ES"/>
        </w:rPr>
        <w:t xml:space="preserve"> implementar todos los </w:t>
      </w:r>
      <w:r w:rsidRPr="00B11E95">
        <w:rPr>
          <w:rFonts w:ascii="Arial" w:eastAsia="Times New Roman" w:hAnsi="Arial" w:cs="Arial"/>
          <w:i/>
          <w:iCs/>
          <w:lang w:val="es-ES" w:eastAsia="es-ES"/>
        </w:rPr>
        <w:t xml:space="preserve">ajustes razonables que sean necesarios para que las personas con discapacidad reciban oportunamente información oficial y objetiva respecto a la pandemia actual o de algún otro contexto emergente, así como para sostener comunicación permanente con el exterior. Para lo cual se deberán solicitar los recursos necesarios que permitan la eliminación de cualquier barrera para que dichas personas gocen y ejerzan sus derechos como el </w:t>
      </w:r>
      <w:r w:rsidRPr="00B11E95">
        <w:rPr>
          <w:rFonts w:ascii="Arial" w:eastAsia="Times New Roman" w:hAnsi="Arial" w:cs="Arial"/>
          <w:i/>
          <w:iCs/>
          <w:lang w:val="es-ES" w:eastAsia="es-ES"/>
        </w:rPr>
        <w:lastRenderedPageBreak/>
        <w:t xml:space="preserve">resto de la población penitenciaria, principalmente el derecho a la información en transversalidad con el derecho a la salud y a una vida digna. </w:t>
      </w:r>
    </w:p>
    <w:p w14:paraId="0C10993F" w14:textId="77777777" w:rsidR="00B11E95" w:rsidRPr="00B11E95" w:rsidRDefault="00B11E95" w:rsidP="004C4B49">
      <w:pPr>
        <w:shd w:val="clear" w:color="auto" w:fill="FFFFFF"/>
        <w:spacing w:after="0" w:line="240" w:lineRule="auto"/>
        <w:ind w:left="708" w:right="51"/>
        <w:contextualSpacing/>
        <w:jc w:val="both"/>
        <w:rPr>
          <w:rFonts w:ascii="Arial" w:eastAsia="Times New Roman" w:hAnsi="Arial" w:cs="Arial"/>
          <w:lang w:val="es-ES" w:eastAsia="es-ES"/>
        </w:rPr>
      </w:pPr>
    </w:p>
    <w:p w14:paraId="73D3BE9B" w14:textId="77777777" w:rsidR="00B11E95" w:rsidRPr="00B11E95" w:rsidRDefault="00B11E95" w:rsidP="004C4B49">
      <w:pPr>
        <w:shd w:val="clear" w:color="auto" w:fill="FFFFFF"/>
        <w:spacing w:after="0" w:line="240" w:lineRule="auto"/>
        <w:ind w:left="708" w:right="51"/>
        <w:contextualSpacing/>
        <w:jc w:val="both"/>
        <w:rPr>
          <w:rFonts w:ascii="Arial" w:eastAsia="Times New Roman" w:hAnsi="Arial" w:cs="Arial"/>
          <w:i/>
          <w:iCs/>
          <w:lang w:val="es-ES" w:eastAsia="es-ES"/>
        </w:rPr>
      </w:pPr>
      <w:r w:rsidRPr="00B11E95">
        <w:rPr>
          <w:rFonts w:ascii="Arial" w:eastAsia="Times New Roman" w:hAnsi="Arial" w:cs="Arial"/>
          <w:lang w:val="es-ES" w:eastAsia="es-ES"/>
        </w:rPr>
        <w:t>TRIGÉSIMA CUARTA.</w:t>
      </w:r>
      <w:r w:rsidRPr="00B11E95">
        <w:rPr>
          <w:rFonts w:ascii="Arial" w:eastAsia="Times New Roman" w:hAnsi="Arial" w:cs="Arial"/>
          <w:i/>
          <w:iCs/>
          <w:lang w:val="es-ES" w:eastAsia="es-ES"/>
        </w:rPr>
        <w:t xml:space="preserve"> Garantizar intérpretes y/o traducción de información objetiva para personas indígenas o extranjeras. Se garantizará que las personas indígenas y/o extranjeras tengan acceso oportunamente a información oficial y objetiva, a través de intérpretes y/o de material en su lengua o idioma siempre que no hablen o comprendan el español. Así como facilitar sin distinción, limitación o restricción, de los medios electrónicos permitidos para que sostengan comunicación permanente con el exterior.</w:t>
      </w:r>
    </w:p>
    <w:p w14:paraId="1D442D68" w14:textId="77777777" w:rsidR="00B11E95" w:rsidRPr="00B11E95" w:rsidRDefault="00B11E95" w:rsidP="004C4B49">
      <w:pPr>
        <w:shd w:val="clear" w:color="auto" w:fill="FFFFFF"/>
        <w:spacing w:after="0" w:line="240" w:lineRule="auto"/>
        <w:ind w:left="708" w:right="51"/>
        <w:contextualSpacing/>
        <w:jc w:val="both"/>
        <w:rPr>
          <w:rFonts w:ascii="Arial" w:eastAsia="Times New Roman" w:hAnsi="Arial" w:cs="Arial"/>
          <w:lang w:val="es-ES" w:eastAsia="es-ES"/>
        </w:rPr>
      </w:pPr>
    </w:p>
    <w:p w14:paraId="5B8EB43D" w14:textId="77777777" w:rsidR="00B11E95" w:rsidRPr="00B11E95" w:rsidRDefault="00B11E95" w:rsidP="004C4B49">
      <w:pPr>
        <w:shd w:val="clear" w:color="auto" w:fill="FFFFFF"/>
        <w:spacing w:after="0" w:line="240" w:lineRule="auto"/>
        <w:ind w:left="708" w:right="51"/>
        <w:contextualSpacing/>
        <w:jc w:val="both"/>
        <w:rPr>
          <w:rFonts w:ascii="Arial" w:eastAsia="Times New Roman" w:hAnsi="Arial" w:cs="Arial"/>
          <w:lang w:val="es-ES" w:eastAsia="es-ES"/>
        </w:rPr>
      </w:pPr>
      <w:r w:rsidRPr="00B11E95">
        <w:rPr>
          <w:rFonts w:ascii="Arial" w:eastAsia="Times New Roman" w:hAnsi="Arial" w:cs="Arial"/>
          <w:lang w:val="es-ES" w:eastAsia="es-ES"/>
        </w:rPr>
        <w:t xml:space="preserve">[…] </w:t>
      </w:r>
    </w:p>
    <w:p w14:paraId="0CA5709D" w14:textId="77777777" w:rsidR="00B11E95" w:rsidRPr="00B11E95" w:rsidRDefault="00B11E95" w:rsidP="004C4B49">
      <w:pPr>
        <w:shd w:val="clear" w:color="auto" w:fill="FFFFFF"/>
        <w:spacing w:after="0" w:line="240" w:lineRule="auto"/>
        <w:ind w:left="708" w:right="51"/>
        <w:contextualSpacing/>
        <w:jc w:val="both"/>
        <w:rPr>
          <w:rFonts w:ascii="Arial" w:eastAsia="Times New Roman" w:hAnsi="Arial" w:cs="Arial"/>
          <w:lang w:val="es-ES" w:eastAsia="es-ES"/>
        </w:rPr>
      </w:pPr>
    </w:p>
    <w:p w14:paraId="41DDF274" w14:textId="77777777" w:rsidR="00B11E95" w:rsidRPr="00B11E95" w:rsidRDefault="00B11E95" w:rsidP="004C4B49">
      <w:pPr>
        <w:shd w:val="clear" w:color="auto" w:fill="FFFFFF"/>
        <w:spacing w:after="0" w:line="240" w:lineRule="auto"/>
        <w:ind w:left="708" w:right="51"/>
        <w:contextualSpacing/>
        <w:jc w:val="both"/>
        <w:rPr>
          <w:rFonts w:ascii="Arial" w:eastAsia="Times New Roman" w:hAnsi="Arial" w:cs="Arial"/>
          <w:i/>
          <w:iCs/>
          <w:lang w:val="es-ES" w:eastAsia="es-ES"/>
        </w:rPr>
      </w:pPr>
      <w:r w:rsidRPr="00B11E95">
        <w:rPr>
          <w:rFonts w:ascii="Arial" w:eastAsia="Times New Roman" w:hAnsi="Arial" w:cs="Arial"/>
          <w:lang w:val="es-ES" w:eastAsia="es-ES"/>
        </w:rPr>
        <w:t xml:space="preserve">TRIGÉSIMA NOVENA. </w:t>
      </w:r>
      <w:r w:rsidRPr="00B11E95">
        <w:rPr>
          <w:rFonts w:ascii="Arial" w:eastAsia="Times New Roman" w:hAnsi="Arial" w:cs="Arial"/>
          <w:i/>
          <w:iCs/>
          <w:lang w:val="es-ES" w:eastAsia="es-ES"/>
        </w:rPr>
        <w:t>En el menor tiempo posible, debían retomarse -incluso a través de medios electrónicos- el estudio, la celebración de audiencias y deter</w:t>
      </w:r>
      <w:r w:rsidRPr="00B11E95">
        <w:rPr>
          <w:rFonts w:ascii="Arial" w:eastAsia="Times New Roman" w:hAnsi="Arial" w:cs="Arial"/>
          <w:i/>
          <w:iCs/>
          <w:lang w:val="es-ES" w:eastAsia="es-ES"/>
        </w:rPr>
        <w:lastRenderedPageBreak/>
        <w:t>minación de los casos en los que personas privadas de la libertad habían solicitado el otorgamiento de algún beneficio de preliberación, incluso anterior a la pandemia y, que con motivo de la suspensión de actividades judiciales por la contingencia sanitaria, no había sido posible emitir una resolución, a fin de generar certeza jurídica a las personas privadas de la libertad respecto de sus peticiones.</w:t>
      </w:r>
    </w:p>
    <w:p w14:paraId="7AAB278D" w14:textId="77777777" w:rsidR="00B11E95" w:rsidRPr="00B11E95" w:rsidRDefault="00B11E95" w:rsidP="004C4B49">
      <w:pPr>
        <w:shd w:val="clear" w:color="auto" w:fill="FFFFFF"/>
        <w:spacing w:after="0" w:line="240" w:lineRule="auto"/>
        <w:ind w:left="708" w:right="51"/>
        <w:jc w:val="both"/>
        <w:rPr>
          <w:rFonts w:ascii="Arial" w:eastAsia="Times New Roman" w:hAnsi="Arial" w:cs="Arial"/>
          <w:sz w:val="20"/>
          <w:szCs w:val="20"/>
          <w:lang w:val="es-ES" w:eastAsia="es-ES"/>
        </w:rPr>
      </w:pPr>
    </w:p>
    <w:p w14:paraId="13193D25" w14:textId="77777777" w:rsidR="00B11E95" w:rsidRPr="00B11E95" w:rsidRDefault="00B11E95" w:rsidP="004C4B49">
      <w:pPr>
        <w:shd w:val="clear" w:color="auto" w:fill="FFFFFF"/>
        <w:spacing w:after="0" w:line="240" w:lineRule="auto"/>
        <w:ind w:left="708" w:right="51"/>
        <w:jc w:val="both"/>
        <w:rPr>
          <w:rFonts w:ascii="Arial" w:eastAsia="Times New Roman" w:hAnsi="Arial" w:cs="Arial"/>
          <w:lang w:val="es-ES" w:eastAsia="es-ES"/>
        </w:rPr>
      </w:pPr>
      <w:bookmarkStart w:id="6" w:name="_Hlk92713628"/>
      <w:r w:rsidRPr="00B11E95">
        <w:rPr>
          <w:rFonts w:ascii="Arial" w:eastAsia="Times New Roman" w:hAnsi="Arial" w:cs="Arial"/>
          <w:lang w:val="es-ES" w:eastAsia="es-ES"/>
        </w:rPr>
        <w:t xml:space="preserve">Disponible: </w:t>
      </w:r>
      <w:hyperlink r:id="rId8" w:history="1">
        <w:r w:rsidRPr="00B11E95">
          <w:rPr>
            <w:rFonts w:ascii="Arial" w:eastAsia="Times New Roman" w:hAnsi="Arial" w:cs="Arial"/>
            <w:color w:val="0563C1" w:themeColor="hyperlink"/>
            <w:u w:val="single"/>
            <w:lang w:val="es-ES" w:eastAsia="es-ES"/>
          </w:rPr>
          <w:t>https://www.cndh.org.mx/sites/default/files/documentos/2020-07/IE_COVID19_Penitenciarios.pdf</w:t>
        </w:r>
      </w:hyperlink>
      <w:bookmarkEnd w:id="6"/>
      <w:r w:rsidRPr="00B11E95">
        <w:rPr>
          <w:rFonts w:ascii="Arial" w:eastAsia="Times New Roman" w:hAnsi="Arial" w:cs="Arial"/>
          <w:lang w:val="es-ES" w:eastAsia="es-ES"/>
        </w:rPr>
        <w:t xml:space="preserve"> </w:t>
      </w:r>
    </w:p>
    <w:p w14:paraId="68A7538A" w14:textId="77777777" w:rsidR="00237321" w:rsidRDefault="00237321" w:rsidP="00237321">
      <w:pPr>
        <w:shd w:val="clear" w:color="auto" w:fill="FFFFFF"/>
        <w:spacing w:after="0" w:line="240" w:lineRule="auto"/>
        <w:ind w:right="51"/>
        <w:contextualSpacing/>
        <w:jc w:val="both"/>
        <w:rPr>
          <w:rFonts w:ascii="Arial" w:eastAsia="Times New Roman" w:hAnsi="Arial" w:cs="Arial"/>
          <w:sz w:val="20"/>
          <w:szCs w:val="20"/>
          <w:lang w:val="es-ES" w:eastAsia="es-ES"/>
        </w:rPr>
      </w:pPr>
      <w:bookmarkStart w:id="7" w:name="_Hlk92715785"/>
    </w:p>
    <w:p w14:paraId="485785A2" w14:textId="517AA20B" w:rsidR="00B11E95" w:rsidRPr="00B11E95" w:rsidRDefault="00B11E95" w:rsidP="00237321">
      <w:pPr>
        <w:shd w:val="clear" w:color="auto" w:fill="FFFFFF"/>
        <w:spacing w:after="0" w:line="240" w:lineRule="auto"/>
        <w:ind w:right="51"/>
        <w:contextualSpacing/>
        <w:jc w:val="both"/>
        <w:rPr>
          <w:rFonts w:ascii="Arial" w:eastAsia="Times New Roman" w:hAnsi="Arial" w:cs="Arial"/>
          <w:lang w:val="es-ES" w:eastAsia="es-ES"/>
        </w:rPr>
      </w:pPr>
      <w:r w:rsidRPr="00B11E95">
        <w:rPr>
          <w:rFonts w:ascii="Arial" w:eastAsia="Times New Roman" w:hAnsi="Arial" w:cs="Arial"/>
          <w:lang w:val="es-ES" w:eastAsia="es-ES"/>
        </w:rPr>
        <w:t xml:space="preserve">Ahora bien, a través del </w:t>
      </w:r>
      <w:r w:rsidRPr="00B11E95">
        <w:rPr>
          <w:rFonts w:ascii="Arial" w:eastAsia="Times New Roman" w:hAnsi="Arial" w:cs="Arial"/>
          <w:b/>
          <w:bCs/>
          <w:color w:val="1F3864" w:themeColor="accent1" w:themeShade="80"/>
          <w:lang w:val="es-ES" w:eastAsia="es-ES"/>
        </w:rPr>
        <w:t xml:space="preserve">Comunicado DGC/160/2021 </w:t>
      </w:r>
      <w:r w:rsidRPr="00B11E95">
        <w:rPr>
          <w:rFonts w:ascii="Arial" w:eastAsia="Times New Roman" w:hAnsi="Arial" w:cs="Arial"/>
          <w:lang w:val="es-ES" w:eastAsia="es-ES"/>
        </w:rPr>
        <w:t xml:space="preserve">en el que la </w:t>
      </w:r>
      <w:r w:rsidRPr="00B11E95">
        <w:rPr>
          <w:rFonts w:ascii="Arial" w:eastAsia="Times New Roman" w:hAnsi="Arial" w:cs="Arial"/>
          <w:color w:val="1F3864" w:themeColor="accent1" w:themeShade="80"/>
          <w:lang w:val="es-ES" w:eastAsia="es-ES"/>
        </w:rPr>
        <w:t>CNDH exhorta a cumplir la Ley Nacional de Ejecución Penal y garantizar una efectiva reinserción social</w:t>
      </w:r>
      <w:r w:rsidRPr="00B11E95">
        <w:rPr>
          <w:rFonts w:ascii="Arial" w:eastAsia="Times New Roman" w:hAnsi="Arial" w:cs="Arial"/>
          <w:lang w:val="es-ES" w:eastAsia="es-ES"/>
        </w:rPr>
        <w:t xml:space="preserve">, emitido en el mes de junio de 2021, hizo visible ante las diversas autoridades de los sistemas penitenciarios a nivel federal y estatal y corresponsables en la materia, sobre la detección de carencias en la infraestructura de algunos centros penitenciarios en condiciones deplorables; la falta de asignación de recursos suficientes </w:t>
      </w:r>
      <w:r w:rsidRPr="00B11E95">
        <w:rPr>
          <w:rFonts w:ascii="Arial" w:eastAsia="Times New Roman" w:hAnsi="Arial" w:cs="Arial"/>
          <w:lang w:val="es-ES" w:eastAsia="es-ES"/>
        </w:rPr>
        <w:lastRenderedPageBreak/>
        <w:t>para garantizar las necesidades básicas de las personas privadas de la libertad a partir de su contexto geográfico, económico, pluricultural; su edad, género, preferencia sexual, situación de discapacidad, enfermedades crónico-degenerativas o su condición de embarazo. Por lo que insto a dichas autoridades a que, la pandemia por COVID-19 debió servir como escenario para tomar decisiones a favor de las personas en reclusión, exhortándolas para implementar programas y jornadas que permitieran a las personas en reclusión y a sus hijas e hijos que viven con ellas, acceder a servicios básicos y ejercer su derecho a una defensa adecuada y recursos legales eficaces, a partir de un enfoque diferencial y con perspectiva de género.</w:t>
      </w:r>
    </w:p>
    <w:p w14:paraId="60AE6241" w14:textId="77777777" w:rsidR="00B11E95" w:rsidRPr="00B11E95" w:rsidRDefault="00B11E95" w:rsidP="00B11E95">
      <w:pPr>
        <w:shd w:val="clear" w:color="auto" w:fill="FFFFFF"/>
        <w:spacing w:after="0" w:line="240" w:lineRule="auto"/>
        <w:ind w:right="51"/>
        <w:jc w:val="both"/>
        <w:rPr>
          <w:rFonts w:ascii="Arial" w:eastAsia="Times New Roman" w:hAnsi="Arial" w:cs="Arial"/>
          <w:sz w:val="20"/>
          <w:szCs w:val="20"/>
          <w:lang w:val="es-ES" w:eastAsia="es-ES"/>
        </w:rPr>
      </w:pPr>
    </w:p>
    <w:p w14:paraId="1CFC3F9E" w14:textId="77777777" w:rsidR="00B11E95" w:rsidRPr="00B11E95" w:rsidRDefault="00B11E95" w:rsidP="00B11E95">
      <w:pPr>
        <w:shd w:val="clear" w:color="auto" w:fill="FFFFFF"/>
        <w:spacing w:after="0" w:line="240" w:lineRule="auto"/>
        <w:ind w:right="51"/>
        <w:jc w:val="both"/>
        <w:rPr>
          <w:rFonts w:ascii="Arial" w:eastAsia="Times New Roman" w:hAnsi="Arial" w:cs="Arial"/>
          <w:lang w:val="es-ES" w:eastAsia="es-ES"/>
        </w:rPr>
      </w:pPr>
      <w:r w:rsidRPr="00B11E95">
        <w:rPr>
          <w:rFonts w:ascii="Arial" w:eastAsia="Times New Roman" w:hAnsi="Arial" w:cs="Arial"/>
          <w:lang w:val="es-ES" w:eastAsia="es-ES"/>
        </w:rPr>
        <w:t xml:space="preserve">Disponible en: </w:t>
      </w:r>
      <w:hyperlink r:id="rId9" w:history="1">
        <w:r w:rsidRPr="00B11E95">
          <w:rPr>
            <w:rFonts w:ascii="Arial" w:eastAsia="Times New Roman" w:hAnsi="Arial" w:cs="Arial"/>
            <w:color w:val="0563C1" w:themeColor="hyperlink"/>
            <w:u w:val="single"/>
            <w:lang w:val="es-ES" w:eastAsia="es-ES"/>
          </w:rPr>
          <w:t>https://www.cndh.org.mx/sites/default/files/documentos/2021-06/COM_2021_160.pdf</w:t>
        </w:r>
      </w:hyperlink>
    </w:p>
    <w:bookmarkEnd w:id="7"/>
    <w:p w14:paraId="46789255" w14:textId="77777777" w:rsidR="00B11E95" w:rsidRPr="00B11E95" w:rsidRDefault="00B11E95" w:rsidP="00B11E95">
      <w:pPr>
        <w:spacing w:after="0" w:line="240" w:lineRule="auto"/>
        <w:jc w:val="both"/>
        <w:rPr>
          <w:rFonts w:ascii="Arial" w:hAnsi="Arial" w:cs="Arial"/>
          <w:b/>
          <w:bCs/>
          <w:color w:val="0000FF"/>
          <w:sz w:val="24"/>
          <w:szCs w:val="24"/>
        </w:rPr>
      </w:pPr>
    </w:p>
    <w:p w14:paraId="1A92AFEE" w14:textId="130C620B" w:rsidR="00B11E95" w:rsidRPr="00B11E95" w:rsidRDefault="00B11E95" w:rsidP="00237321">
      <w:pPr>
        <w:spacing w:after="0" w:line="240" w:lineRule="auto"/>
        <w:contextualSpacing/>
        <w:jc w:val="both"/>
        <w:rPr>
          <w:rFonts w:ascii="Arial" w:hAnsi="Arial" w:cs="Arial"/>
        </w:rPr>
      </w:pPr>
      <w:r w:rsidRPr="00B11E95">
        <w:rPr>
          <w:rFonts w:ascii="Arial" w:hAnsi="Arial" w:cs="Arial"/>
          <w:b/>
          <w:bCs/>
          <w:color w:val="1F3864" w:themeColor="accent1" w:themeShade="80"/>
        </w:rPr>
        <w:t>Quejas por tortura.</w:t>
      </w:r>
      <w:r w:rsidRPr="00B11E95">
        <w:rPr>
          <w:rFonts w:ascii="Arial" w:hAnsi="Arial" w:cs="Arial"/>
          <w:color w:val="1F3864" w:themeColor="accent1" w:themeShade="80"/>
        </w:rPr>
        <w:t xml:space="preserve"> </w:t>
      </w:r>
      <w:r w:rsidRPr="00B11E95">
        <w:rPr>
          <w:rFonts w:ascii="Arial" w:hAnsi="Arial" w:cs="Arial"/>
        </w:rPr>
        <w:t>Del periodo que comprende del 01 de enero de 2019 al 31 de diciembre de 2021,</w:t>
      </w:r>
      <w:r w:rsidR="00237321">
        <w:rPr>
          <w:rFonts w:ascii="Arial" w:hAnsi="Arial" w:cs="Arial"/>
        </w:rPr>
        <w:t xml:space="preserve"> en la CNDH</w:t>
      </w:r>
      <w:r w:rsidRPr="00B11E95">
        <w:rPr>
          <w:rFonts w:ascii="Arial" w:hAnsi="Arial" w:cs="Arial"/>
        </w:rPr>
        <w:t xml:space="preserve"> se registraron 7 expedientes de queja relacionados con hechos violatorios de Tortura, de estás, 1 concluyó por Recomendación y otra </w:t>
      </w:r>
      <w:r w:rsidRPr="00B11E95">
        <w:rPr>
          <w:rFonts w:ascii="Arial" w:hAnsi="Arial" w:cs="Arial"/>
        </w:rPr>
        <w:lastRenderedPageBreak/>
        <w:t>por Recomendación por Violación Grave, mientras que el resto continúa en investigación:</w:t>
      </w:r>
    </w:p>
    <w:p w14:paraId="08740A44" w14:textId="1DF8DBD3" w:rsidR="00B11E95" w:rsidRDefault="00B11E95" w:rsidP="00B11E95">
      <w:pPr>
        <w:spacing w:after="0" w:line="240" w:lineRule="auto"/>
        <w:jc w:val="both"/>
        <w:rPr>
          <w:rFonts w:ascii="Arial" w:hAnsi="Arial" w:cs="Arial"/>
          <w:sz w:val="24"/>
          <w:szCs w:val="24"/>
        </w:rPr>
      </w:pPr>
    </w:p>
    <w:p w14:paraId="6F15F548" w14:textId="590033DF" w:rsidR="00237321" w:rsidRPr="00237321" w:rsidRDefault="00237321" w:rsidP="00B11E95">
      <w:pPr>
        <w:spacing w:after="0" w:line="240" w:lineRule="auto"/>
        <w:jc w:val="both"/>
        <w:rPr>
          <w:rFonts w:ascii="Arial" w:hAnsi="Arial" w:cs="Arial"/>
        </w:rPr>
      </w:pPr>
      <w:r w:rsidRPr="00237321">
        <w:rPr>
          <w:rFonts w:ascii="Arial" w:hAnsi="Arial" w:cs="Arial"/>
        </w:rPr>
        <w:t>Por otra parte, esta Comisión Nacional, en el periodo comprendido del 1 de enero</w:t>
      </w:r>
      <w:r>
        <w:rPr>
          <w:rFonts w:ascii="Arial" w:hAnsi="Arial" w:cs="Arial"/>
        </w:rPr>
        <w:t xml:space="preserve"> de 2019</w:t>
      </w:r>
      <w:r w:rsidRPr="00237321">
        <w:rPr>
          <w:rFonts w:ascii="Arial" w:hAnsi="Arial" w:cs="Arial"/>
        </w:rPr>
        <w:t xml:space="preserve"> </w:t>
      </w:r>
      <w:r w:rsidR="003442C1">
        <w:rPr>
          <w:rFonts w:ascii="Arial" w:hAnsi="Arial" w:cs="Arial"/>
        </w:rPr>
        <w:t>al 31 de diciembre, emitió</w:t>
      </w:r>
      <w:r w:rsidRPr="00237321">
        <w:rPr>
          <w:rFonts w:ascii="Arial" w:hAnsi="Arial" w:cs="Arial"/>
        </w:rPr>
        <w:t xml:space="preserve"> las siguientes recomendaci</w:t>
      </w:r>
      <w:r>
        <w:rPr>
          <w:rFonts w:ascii="Arial" w:hAnsi="Arial" w:cs="Arial"/>
        </w:rPr>
        <w:t>ones en donde se acreditó el hecho violatorio de tortura:</w:t>
      </w:r>
    </w:p>
    <w:p w14:paraId="141C5516" w14:textId="77777777" w:rsidR="00237321" w:rsidRPr="00B11E95" w:rsidRDefault="00237321" w:rsidP="00B11E95">
      <w:pPr>
        <w:spacing w:after="0" w:line="240" w:lineRule="auto"/>
        <w:jc w:val="both"/>
        <w:rPr>
          <w:rFonts w:ascii="Arial" w:hAnsi="Arial" w:cs="Arial"/>
          <w:sz w:val="24"/>
          <w:szCs w:val="24"/>
        </w:rPr>
      </w:pPr>
    </w:p>
    <w:p w14:paraId="66BA8D25" w14:textId="77777777" w:rsidR="00B11E95" w:rsidRPr="00B11E95" w:rsidRDefault="00B11E95" w:rsidP="00B11E95">
      <w:pPr>
        <w:spacing w:after="0" w:line="240" w:lineRule="auto"/>
        <w:jc w:val="both"/>
        <w:rPr>
          <w:rFonts w:ascii="Arial" w:hAnsi="Arial" w:cs="Arial"/>
          <w:color w:val="1F3864" w:themeColor="accent1" w:themeShade="80"/>
          <w:u w:val="single"/>
        </w:rPr>
      </w:pPr>
      <w:r w:rsidRPr="00B11E95">
        <w:rPr>
          <w:rFonts w:ascii="Arial" w:hAnsi="Arial" w:cs="Arial"/>
          <w:color w:val="1F3864" w:themeColor="accent1" w:themeShade="80"/>
          <w:u w:val="single"/>
        </w:rPr>
        <w:t>Recomendación 47/2020</w:t>
      </w:r>
    </w:p>
    <w:p w14:paraId="1DC5B85C" w14:textId="77777777" w:rsidR="00B11E95" w:rsidRPr="00B11E95" w:rsidRDefault="00B11E95" w:rsidP="00B11E95">
      <w:pPr>
        <w:spacing w:after="0" w:line="240" w:lineRule="auto"/>
        <w:jc w:val="both"/>
        <w:rPr>
          <w:rFonts w:ascii="Arial" w:hAnsi="Arial" w:cs="Arial"/>
        </w:rPr>
      </w:pPr>
      <w:r w:rsidRPr="00B11E95">
        <w:rPr>
          <w:rFonts w:ascii="Arial" w:hAnsi="Arial" w:cs="Arial"/>
        </w:rPr>
        <w:t>Se acreditó la violación de los derechos humanos a la integridad y seguridad personal (tortura), seguridad jurídica y a la legalidad por parte de personal de seguridad y custodia del CEFERESO No. 13, en agravio de la víctima, quien después de una riña entre dos internos, fue objeto de maltrato, sometimiento y golpes, lo que derivó en un uso excesivo de la fuerza parte de las autoridades penitenciarias los cuales se traducen en actos de tortura, además de evidenciar omisiones en la obligación de cumplir con el deber de cuidado, al no rendir un informe o reporte de lo acontecido.</w:t>
      </w:r>
    </w:p>
    <w:p w14:paraId="453E54D3" w14:textId="77777777" w:rsidR="00B11E95" w:rsidRPr="00B11E95" w:rsidRDefault="00B11E95" w:rsidP="00B11E95">
      <w:pPr>
        <w:spacing w:after="0" w:line="240" w:lineRule="auto"/>
        <w:jc w:val="both"/>
        <w:rPr>
          <w:rFonts w:ascii="Arial" w:hAnsi="Arial" w:cs="Arial"/>
        </w:rPr>
      </w:pPr>
    </w:p>
    <w:p w14:paraId="0348ED5C" w14:textId="77777777" w:rsidR="00B11E95" w:rsidRPr="00B11E95" w:rsidRDefault="00B11E95" w:rsidP="00B11E95">
      <w:pPr>
        <w:spacing w:after="0" w:line="240" w:lineRule="auto"/>
        <w:jc w:val="both"/>
        <w:rPr>
          <w:rFonts w:ascii="Arial" w:hAnsi="Arial" w:cs="Arial"/>
        </w:rPr>
      </w:pPr>
      <w:r w:rsidRPr="00B11E95">
        <w:rPr>
          <w:rFonts w:ascii="Arial" w:hAnsi="Arial" w:cs="Arial"/>
        </w:rPr>
        <w:t xml:space="preserve">Disponible en: </w:t>
      </w:r>
      <w:hyperlink r:id="rId10" w:history="1">
        <w:r w:rsidRPr="00B11E95">
          <w:rPr>
            <w:rFonts w:ascii="Arial" w:hAnsi="Arial" w:cs="Arial"/>
            <w:color w:val="0563C1" w:themeColor="hyperlink"/>
            <w:u w:val="single"/>
          </w:rPr>
          <w:t>https://www.cndh.org.mx/sites/default/files/documentos/2020-10/REC_2020_047.pdf</w:t>
        </w:r>
      </w:hyperlink>
      <w:r w:rsidRPr="00B11E95">
        <w:rPr>
          <w:rFonts w:ascii="Arial" w:hAnsi="Arial" w:cs="Arial"/>
        </w:rPr>
        <w:t xml:space="preserve"> </w:t>
      </w:r>
    </w:p>
    <w:p w14:paraId="1FC69992" w14:textId="77777777" w:rsidR="00B11E95" w:rsidRPr="00B11E95" w:rsidRDefault="00B11E95" w:rsidP="00B11E95">
      <w:pPr>
        <w:spacing w:after="0" w:line="240" w:lineRule="auto"/>
        <w:jc w:val="both"/>
        <w:rPr>
          <w:rFonts w:ascii="Arial" w:hAnsi="Arial" w:cs="Arial"/>
          <w:sz w:val="24"/>
          <w:szCs w:val="24"/>
        </w:rPr>
      </w:pPr>
    </w:p>
    <w:p w14:paraId="20FE43E5" w14:textId="77777777" w:rsidR="00B11E95" w:rsidRPr="00B11E95" w:rsidRDefault="00B11E95" w:rsidP="00B11E95">
      <w:pPr>
        <w:spacing w:after="0" w:line="240" w:lineRule="auto"/>
        <w:jc w:val="both"/>
        <w:rPr>
          <w:rFonts w:ascii="Arial" w:hAnsi="Arial" w:cs="Arial"/>
          <w:color w:val="1F3864" w:themeColor="accent1" w:themeShade="80"/>
          <w:u w:val="single"/>
        </w:rPr>
      </w:pPr>
      <w:r w:rsidRPr="00B11E95">
        <w:rPr>
          <w:rFonts w:ascii="Arial" w:hAnsi="Arial" w:cs="Arial"/>
          <w:color w:val="1F3864" w:themeColor="accent1" w:themeShade="80"/>
          <w:u w:val="single"/>
        </w:rPr>
        <w:t>Recomendación 49VG/2021</w:t>
      </w:r>
    </w:p>
    <w:p w14:paraId="557F681B" w14:textId="77777777" w:rsidR="00B11E95" w:rsidRPr="00B11E95" w:rsidRDefault="00B11E95" w:rsidP="00B11E95">
      <w:pPr>
        <w:spacing w:after="0" w:line="240" w:lineRule="auto"/>
        <w:jc w:val="both"/>
        <w:rPr>
          <w:rFonts w:ascii="Arial" w:hAnsi="Arial" w:cs="Arial"/>
        </w:rPr>
      </w:pPr>
      <w:r w:rsidRPr="00B11E95">
        <w:rPr>
          <w:rFonts w:ascii="Arial" w:hAnsi="Arial" w:cs="Arial"/>
        </w:rPr>
        <w:t>Analizadas las evidencias sobre caso presentado por la víctima, este Organismo Nacional concluyó que las acciones y omisiones en las que incurrieron el personal del CEFERESO No. 13 vulneraron los derechos humanos, específicamente a la integridad y seguridad personal, la seguridad jurídica y legalidad, en virtud, de las lesiones que le produjeron a la víctima, de la tortura de que fue objeto durante el traslado al área de tratamiento especiales; además de consentir la afectación de la salud al no denunciar las lesiones que certificaron,  aun cuando tales agresiones fueron producto de una acción directa de la autoridad, y al rendir informes falsos a este Organismo Nacional.</w:t>
      </w:r>
    </w:p>
    <w:p w14:paraId="13C9AB54" w14:textId="77777777" w:rsidR="00B11E95" w:rsidRPr="00B11E95" w:rsidRDefault="00B11E95" w:rsidP="00B11E95">
      <w:pPr>
        <w:shd w:val="clear" w:color="auto" w:fill="FFFFFF"/>
        <w:spacing w:after="0" w:line="240" w:lineRule="auto"/>
        <w:ind w:right="51"/>
        <w:jc w:val="both"/>
        <w:rPr>
          <w:rFonts w:ascii="Arial" w:eastAsia="Times New Roman" w:hAnsi="Arial" w:cs="Arial"/>
          <w:sz w:val="24"/>
          <w:szCs w:val="24"/>
          <w:lang w:val="es-ES" w:eastAsia="es-ES"/>
        </w:rPr>
      </w:pPr>
    </w:p>
    <w:p w14:paraId="0A36567F" w14:textId="24FE717C" w:rsidR="00570485" w:rsidRDefault="00B11E95" w:rsidP="00B11E95">
      <w:pPr>
        <w:jc w:val="both"/>
        <w:rPr>
          <w:rFonts w:ascii="Arial" w:eastAsia="Times New Roman" w:hAnsi="Arial" w:cs="Arial"/>
          <w:lang w:val="es-ES" w:eastAsia="es-ES"/>
        </w:rPr>
      </w:pPr>
      <w:r w:rsidRPr="00B11E95">
        <w:rPr>
          <w:rFonts w:ascii="Arial" w:eastAsia="Times New Roman" w:hAnsi="Arial" w:cs="Arial"/>
          <w:lang w:val="es-ES" w:eastAsia="es-ES"/>
        </w:rPr>
        <w:lastRenderedPageBreak/>
        <w:t>Disponible en:</w:t>
      </w:r>
      <w:r w:rsidRPr="00B11E95">
        <w:rPr>
          <w:rFonts w:ascii="Arial" w:eastAsia="Times New Roman" w:hAnsi="Arial" w:cs="Arial"/>
          <w:b/>
          <w:bCs/>
          <w:lang w:val="es-ES" w:eastAsia="es-ES"/>
        </w:rPr>
        <w:t xml:space="preserve"> </w:t>
      </w:r>
      <w:hyperlink r:id="rId11" w:history="1">
        <w:r w:rsidRPr="00B11E95">
          <w:rPr>
            <w:rFonts w:ascii="Arial" w:eastAsia="Times New Roman" w:hAnsi="Arial" w:cs="Arial"/>
            <w:color w:val="0563C1" w:themeColor="hyperlink"/>
            <w:u w:val="single"/>
            <w:lang w:val="es-ES" w:eastAsia="es-ES"/>
          </w:rPr>
          <w:t>https://www.cndh.org.mx/sites/default/files/documentos/2021-12/RecVG_049.pdf</w:t>
        </w:r>
      </w:hyperlink>
      <w:r w:rsidRPr="00B11E95">
        <w:rPr>
          <w:rFonts w:ascii="Arial" w:eastAsia="Times New Roman" w:hAnsi="Arial" w:cs="Arial"/>
          <w:lang w:val="es-ES" w:eastAsia="es-ES"/>
        </w:rPr>
        <w:t xml:space="preserve"> </w:t>
      </w:r>
    </w:p>
    <w:p w14:paraId="50545F90" w14:textId="4FE2F605" w:rsidR="00A1260E" w:rsidRDefault="00A1260E" w:rsidP="00B11E95">
      <w:pPr>
        <w:jc w:val="both"/>
        <w:rPr>
          <w:rFonts w:ascii="Arial" w:eastAsia="Times New Roman" w:hAnsi="Arial" w:cs="Arial"/>
          <w:lang w:val="es-ES" w:eastAsia="es-ES"/>
        </w:rPr>
      </w:pPr>
    </w:p>
    <w:p w14:paraId="0DCF24A4" w14:textId="77777777" w:rsidR="00A1260E" w:rsidRPr="00A1260E" w:rsidRDefault="00A1260E" w:rsidP="00A1260E">
      <w:pPr>
        <w:jc w:val="both"/>
        <w:rPr>
          <w:rFonts w:ascii="Arial" w:eastAsia="Times New Roman" w:hAnsi="Arial" w:cs="Arial"/>
          <w:b/>
          <w:bCs/>
          <w:i/>
          <w:iCs/>
          <w:lang w:val="es-ES" w:eastAsia="es-ES"/>
        </w:rPr>
      </w:pPr>
      <w:r w:rsidRPr="00A1260E">
        <w:rPr>
          <w:rFonts w:ascii="Arial" w:eastAsia="Times New Roman" w:hAnsi="Arial" w:cs="Arial"/>
          <w:b/>
          <w:bCs/>
          <w:i/>
          <w:iCs/>
          <w:lang w:val="es-ES" w:eastAsia="es-ES"/>
        </w:rPr>
        <w:t xml:space="preserve">16. El Estado parte debe: </w:t>
      </w:r>
    </w:p>
    <w:p w14:paraId="5EBD4E17" w14:textId="77777777" w:rsidR="00A1260E" w:rsidRPr="00A1260E" w:rsidRDefault="00A1260E" w:rsidP="00A1260E">
      <w:pPr>
        <w:jc w:val="both"/>
        <w:rPr>
          <w:rFonts w:ascii="Arial" w:eastAsia="Times New Roman" w:hAnsi="Arial" w:cs="Arial"/>
          <w:b/>
          <w:bCs/>
          <w:i/>
          <w:iCs/>
          <w:lang w:val="es-ES" w:eastAsia="es-ES"/>
        </w:rPr>
      </w:pPr>
      <w:r w:rsidRPr="00A1260E">
        <w:rPr>
          <w:rFonts w:ascii="Arial" w:eastAsia="Times New Roman" w:hAnsi="Arial" w:cs="Arial"/>
          <w:b/>
          <w:bCs/>
          <w:i/>
          <w:iCs/>
          <w:lang w:val="es-ES" w:eastAsia="es-ES"/>
        </w:rPr>
        <w:t>a) Adoptar medidas eficaces para garantizar que las personas detenidas gocen en la práctica de todas las salvaguardias fundamentales desde el inicio de su privación de libertad de conformidad con las normas internacionales (…).</w:t>
      </w:r>
    </w:p>
    <w:p w14:paraId="70D14E9A" w14:textId="2D2D7344" w:rsidR="003442C1" w:rsidRPr="003442C1" w:rsidRDefault="003442C1" w:rsidP="00A1260E">
      <w:pPr>
        <w:jc w:val="both"/>
        <w:rPr>
          <w:rFonts w:ascii="Arial" w:eastAsia="Times New Roman" w:hAnsi="Arial" w:cs="Arial"/>
          <w:b/>
          <w:bCs/>
          <w:lang w:val="es-ES" w:eastAsia="es-ES"/>
        </w:rPr>
      </w:pPr>
      <w:r w:rsidRPr="003442C1">
        <w:rPr>
          <w:rFonts w:ascii="Arial" w:eastAsia="Times New Roman" w:hAnsi="Arial" w:cs="Arial"/>
          <w:b/>
          <w:bCs/>
          <w:lang w:val="es-ES" w:eastAsia="es-ES"/>
        </w:rPr>
        <w:t xml:space="preserve">Acciones realizadas por el Mecanismo Nacional de Prevención de la Tortura </w:t>
      </w:r>
    </w:p>
    <w:p w14:paraId="3496D1C8" w14:textId="77D2E613" w:rsidR="00A1260E" w:rsidRPr="00A1260E" w:rsidRDefault="00A1260E" w:rsidP="00A1260E">
      <w:pPr>
        <w:jc w:val="both"/>
        <w:rPr>
          <w:rFonts w:ascii="Arial" w:eastAsia="Times New Roman" w:hAnsi="Arial" w:cs="Arial"/>
          <w:lang w:val="es-ES" w:eastAsia="es-ES"/>
        </w:rPr>
      </w:pPr>
      <w:r w:rsidRPr="00A1260E">
        <w:rPr>
          <w:rFonts w:ascii="Arial" w:eastAsia="Times New Roman" w:hAnsi="Arial" w:cs="Arial"/>
          <w:lang w:val="es-ES" w:eastAsia="es-ES"/>
        </w:rPr>
        <w:t xml:space="preserve">Respecto a este punto, durante 2019, dentro de las facultades establecidas, tanto en el Protocolo Facultativo de la Convención contra la Tortura y Otros Tratos o Penas Crueles, Inhumanos o Degradantes de Naciones Unidas y en la Ley General contra la Tortura, el personal que conforma el MNPT llevó a cabo visitas de supervisión a 100 Agencias del Ministerio Público, ubicadas en las 32 entidades federativas de la </w:t>
      </w:r>
      <w:r w:rsidRPr="00A1260E">
        <w:rPr>
          <w:rFonts w:ascii="Arial" w:eastAsia="Times New Roman" w:hAnsi="Arial" w:cs="Arial"/>
          <w:lang w:val="es-ES" w:eastAsia="es-ES"/>
        </w:rPr>
        <w:lastRenderedPageBreak/>
        <w:t>República Mexicana. De agencias 32 correspondieron a la Federación y 68 al Fuero Común, con el fin de constatar que todas las personas privadas de la libertad, bajo custodia del estado, tuvieran acceso a las cuatro salvaguardias legales fundamentadas, tanto en la normatividad internacional como nacional, desde el momento en que la persona es detenida, hasta el momento en que se resuelve su situación jurídica, ya sea que se le vincule a proceso o se decrete su libertad.</w:t>
      </w:r>
    </w:p>
    <w:p w14:paraId="669CBC4A" w14:textId="77777777" w:rsidR="00A1260E" w:rsidRPr="00A1260E" w:rsidRDefault="00A1260E" w:rsidP="00A1260E">
      <w:pPr>
        <w:jc w:val="both"/>
        <w:rPr>
          <w:rFonts w:ascii="Arial" w:eastAsia="Times New Roman" w:hAnsi="Arial" w:cs="Arial"/>
          <w:lang w:val="es-ES" w:eastAsia="es-ES"/>
        </w:rPr>
      </w:pPr>
      <w:r w:rsidRPr="00A1260E">
        <w:rPr>
          <w:rFonts w:ascii="Arial" w:eastAsia="Times New Roman" w:hAnsi="Arial" w:cs="Arial"/>
          <w:lang w:val="es-ES" w:eastAsia="es-ES"/>
        </w:rPr>
        <w:t xml:space="preserve">Durante las visitas de supervisión se entrevistaron 792 personas privadas de la libertad o en situación de detención en las fiscalías o agencias.  Con base en la información obtenida, el MNPT emitió el </w:t>
      </w:r>
      <w:r w:rsidRPr="00A1260E">
        <w:rPr>
          <w:rFonts w:ascii="Arial" w:eastAsia="Times New Roman" w:hAnsi="Arial" w:cs="Arial"/>
          <w:i/>
          <w:iCs/>
          <w:lang w:val="es-ES" w:eastAsia="es-ES"/>
        </w:rPr>
        <w:t>Informe Especial 1/2019, sobre lugares de privación de la libertad que dependen de la Fiscalía General de la República y de las Procuradurías y/o Fiscalías Generales de los Estados y de la Ciudad de México</w:t>
      </w:r>
      <w:r w:rsidRPr="00A1260E">
        <w:rPr>
          <w:rFonts w:ascii="Arial" w:eastAsia="Times New Roman" w:hAnsi="Arial" w:cs="Arial"/>
          <w:i/>
          <w:iCs/>
          <w:vertAlign w:val="superscript"/>
          <w:lang w:val="es-ES" w:eastAsia="es-ES"/>
        </w:rPr>
        <w:footnoteReference w:id="12"/>
      </w:r>
      <w:r w:rsidRPr="00A1260E">
        <w:rPr>
          <w:rFonts w:ascii="Arial" w:eastAsia="Times New Roman" w:hAnsi="Arial" w:cs="Arial"/>
          <w:lang w:val="es-ES" w:eastAsia="es-ES"/>
        </w:rPr>
        <w:t>, en el que se hicieron 10 recomendaciones que abordaron de manera concreta situa</w:t>
      </w:r>
      <w:r w:rsidRPr="00A1260E">
        <w:rPr>
          <w:rFonts w:ascii="Arial" w:eastAsia="Times New Roman" w:hAnsi="Arial" w:cs="Arial"/>
          <w:lang w:val="es-ES" w:eastAsia="es-ES"/>
        </w:rPr>
        <w:lastRenderedPageBreak/>
        <w:t>ciones de riesgo observadas y detalladas, y 5 recomendaciones generales que deben de atenderse en todos los lugares donde se encuentren personas privadas de la libertad.</w:t>
      </w:r>
    </w:p>
    <w:p w14:paraId="0F8C71E5" w14:textId="77777777" w:rsidR="00A1260E" w:rsidRPr="00A1260E" w:rsidRDefault="00A1260E" w:rsidP="00A1260E">
      <w:pPr>
        <w:jc w:val="both"/>
        <w:rPr>
          <w:rFonts w:ascii="Arial" w:eastAsia="Times New Roman" w:hAnsi="Arial" w:cs="Arial"/>
          <w:lang w:val="es-ES" w:eastAsia="es-ES"/>
        </w:rPr>
      </w:pPr>
      <w:r w:rsidRPr="00A1260E">
        <w:rPr>
          <w:rFonts w:ascii="Arial" w:eastAsia="Times New Roman" w:hAnsi="Arial" w:cs="Arial"/>
          <w:lang w:val="es-ES" w:eastAsia="es-ES"/>
        </w:rPr>
        <w:t xml:space="preserve">A efecto de verificar la atención, y avance en el cumplimiento de las recomendaciones emitidas, así como la persistencia de los factores de riesgo, durante los meses de marzo, abril, mayo y junio de 2021, se llevaron a cabo visitas de seguimiento a 100 fiscalías y/o agencias del ministerio público, cuyo resultado fue el siguiente: </w:t>
      </w:r>
    </w:p>
    <w:p w14:paraId="19FA1BDC" w14:textId="77777777" w:rsidR="00A1260E" w:rsidRPr="00A1260E" w:rsidRDefault="00A1260E" w:rsidP="00A1260E">
      <w:pPr>
        <w:jc w:val="both"/>
        <w:rPr>
          <w:rFonts w:ascii="Arial" w:eastAsia="Times New Roman" w:hAnsi="Arial" w:cs="Arial"/>
          <w:lang w:val="es-ES" w:eastAsia="es-ES"/>
        </w:rPr>
      </w:pPr>
    </w:p>
    <w:tbl>
      <w:tblPr>
        <w:tblW w:w="8934" w:type="dxa"/>
        <w:tblInd w:w="-3" w:type="dxa"/>
        <w:tblLayout w:type="fixed"/>
        <w:tblCellMar>
          <w:left w:w="0" w:type="dxa"/>
          <w:right w:w="0" w:type="dxa"/>
        </w:tblCellMar>
        <w:tblLook w:val="04A0" w:firstRow="1" w:lastRow="0" w:firstColumn="1" w:lastColumn="0" w:noHBand="0" w:noVBand="1"/>
      </w:tblPr>
      <w:tblGrid>
        <w:gridCol w:w="991"/>
        <w:gridCol w:w="987"/>
        <w:gridCol w:w="1182"/>
        <w:gridCol w:w="1663"/>
        <w:gridCol w:w="1276"/>
        <w:gridCol w:w="992"/>
        <w:gridCol w:w="1843"/>
      </w:tblGrid>
      <w:tr w:rsidR="00A1260E" w:rsidRPr="00A1260E" w14:paraId="74157402" w14:textId="77777777" w:rsidTr="00096F4B">
        <w:trPr>
          <w:trHeight w:val="1845"/>
        </w:trPr>
        <w:tc>
          <w:tcPr>
            <w:tcW w:w="991" w:type="dxa"/>
            <w:tcBorders>
              <w:top w:val="single" w:sz="8" w:space="0" w:color="auto"/>
              <w:left w:val="single" w:sz="4" w:space="0" w:color="auto"/>
              <w:bottom w:val="single" w:sz="8" w:space="0" w:color="auto"/>
              <w:right w:val="single" w:sz="8" w:space="0" w:color="auto"/>
            </w:tcBorders>
            <w:shd w:val="clear" w:color="auto" w:fill="FFCC00"/>
          </w:tcPr>
          <w:p w14:paraId="2B0B8D35" w14:textId="77777777" w:rsidR="00A1260E" w:rsidRPr="00A1260E" w:rsidRDefault="00A1260E" w:rsidP="00A1260E">
            <w:pPr>
              <w:jc w:val="both"/>
              <w:rPr>
                <w:rFonts w:ascii="Arial" w:eastAsia="Times New Roman" w:hAnsi="Arial" w:cs="Arial"/>
                <w:b/>
                <w:bCs/>
                <w:lang w:val="es-ES" w:eastAsia="es-ES"/>
              </w:rPr>
            </w:pPr>
          </w:p>
          <w:p w14:paraId="7534EC43" w14:textId="77777777" w:rsidR="00A1260E" w:rsidRPr="00A1260E" w:rsidRDefault="00A1260E" w:rsidP="00A1260E">
            <w:pPr>
              <w:jc w:val="both"/>
              <w:rPr>
                <w:rFonts w:ascii="Arial" w:eastAsia="Times New Roman" w:hAnsi="Arial" w:cs="Arial"/>
                <w:b/>
                <w:bCs/>
                <w:lang w:val="es-ES" w:eastAsia="es-ES"/>
              </w:rPr>
            </w:pPr>
          </w:p>
          <w:p w14:paraId="0A58C785" w14:textId="77777777" w:rsidR="00A1260E" w:rsidRPr="00A1260E" w:rsidRDefault="00A1260E" w:rsidP="00A1260E">
            <w:pPr>
              <w:jc w:val="both"/>
              <w:rPr>
                <w:rFonts w:ascii="Arial" w:eastAsia="Times New Roman" w:hAnsi="Arial" w:cs="Arial"/>
                <w:b/>
                <w:bCs/>
                <w:lang w:val="es-ES" w:eastAsia="es-ES"/>
              </w:rPr>
            </w:pPr>
            <w:r w:rsidRPr="00A1260E">
              <w:rPr>
                <w:rFonts w:ascii="Arial" w:eastAsia="Times New Roman" w:hAnsi="Arial" w:cs="Arial"/>
                <w:b/>
                <w:bCs/>
                <w:lang w:val="es-ES" w:eastAsia="es-ES"/>
              </w:rPr>
              <w:t>ESTATUS</w:t>
            </w:r>
          </w:p>
        </w:tc>
        <w:tc>
          <w:tcPr>
            <w:tcW w:w="987" w:type="dxa"/>
            <w:tcBorders>
              <w:top w:val="single" w:sz="8" w:space="0" w:color="auto"/>
              <w:left w:val="nil"/>
              <w:bottom w:val="single" w:sz="8" w:space="0" w:color="auto"/>
              <w:right w:val="single" w:sz="8" w:space="0" w:color="auto"/>
            </w:tcBorders>
            <w:shd w:val="clear" w:color="auto" w:fill="FFCC00"/>
            <w:tcMar>
              <w:top w:w="0" w:type="dxa"/>
              <w:left w:w="70" w:type="dxa"/>
              <w:bottom w:w="0" w:type="dxa"/>
              <w:right w:w="70" w:type="dxa"/>
            </w:tcMar>
            <w:vAlign w:val="center"/>
            <w:hideMark/>
          </w:tcPr>
          <w:p w14:paraId="0AEAF27E" w14:textId="77777777" w:rsidR="00A1260E" w:rsidRPr="00A1260E" w:rsidRDefault="00A1260E" w:rsidP="00A1260E">
            <w:pPr>
              <w:jc w:val="both"/>
              <w:rPr>
                <w:rFonts w:ascii="Arial" w:eastAsia="Times New Roman" w:hAnsi="Arial" w:cs="Arial"/>
                <w:b/>
                <w:bCs/>
                <w:lang w:val="es-ES" w:eastAsia="es-ES"/>
              </w:rPr>
            </w:pPr>
            <w:r w:rsidRPr="00A1260E">
              <w:rPr>
                <w:rFonts w:ascii="Arial" w:eastAsia="Times New Roman" w:hAnsi="Arial" w:cs="Arial"/>
                <w:b/>
                <w:bCs/>
                <w:lang w:val="es-ES" w:eastAsia="es-ES"/>
              </w:rPr>
              <w:t xml:space="preserve">A tener acceso inmediato a un abogado </w:t>
            </w:r>
          </w:p>
        </w:tc>
        <w:tc>
          <w:tcPr>
            <w:tcW w:w="1182" w:type="dxa"/>
            <w:tcBorders>
              <w:top w:val="single" w:sz="8" w:space="0" w:color="auto"/>
              <w:left w:val="nil"/>
              <w:bottom w:val="single" w:sz="8" w:space="0" w:color="auto"/>
              <w:right w:val="single" w:sz="8" w:space="0" w:color="auto"/>
            </w:tcBorders>
            <w:shd w:val="clear" w:color="auto" w:fill="FFCC00"/>
            <w:tcMar>
              <w:top w:w="0" w:type="dxa"/>
              <w:left w:w="70" w:type="dxa"/>
              <w:bottom w:w="0" w:type="dxa"/>
              <w:right w:w="70" w:type="dxa"/>
            </w:tcMar>
            <w:vAlign w:val="center"/>
            <w:hideMark/>
          </w:tcPr>
          <w:p w14:paraId="72656F96" w14:textId="77777777" w:rsidR="00A1260E" w:rsidRPr="00A1260E" w:rsidRDefault="00A1260E" w:rsidP="00A1260E">
            <w:pPr>
              <w:jc w:val="both"/>
              <w:rPr>
                <w:rFonts w:ascii="Arial" w:eastAsia="Times New Roman" w:hAnsi="Arial" w:cs="Arial"/>
                <w:b/>
                <w:bCs/>
                <w:lang w:val="es-ES" w:eastAsia="es-ES"/>
              </w:rPr>
            </w:pPr>
            <w:r w:rsidRPr="00A1260E">
              <w:rPr>
                <w:rFonts w:ascii="Arial" w:eastAsia="Times New Roman" w:hAnsi="Arial" w:cs="Arial"/>
                <w:b/>
                <w:bCs/>
                <w:lang w:val="es-ES" w:eastAsia="es-ES"/>
              </w:rPr>
              <w:t>A tener acceso a un médico independiente.</w:t>
            </w:r>
          </w:p>
        </w:tc>
        <w:tc>
          <w:tcPr>
            <w:tcW w:w="1663" w:type="dxa"/>
            <w:tcBorders>
              <w:top w:val="single" w:sz="8" w:space="0" w:color="auto"/>
              <w:left w:val="nil"/>
              <w:bottom w:val="single" w:sz="8" w:space="0" w:color="auto"/>
              <w:right w:val="single" w:sz="8" w:space="0" w:color="auto"/>
            </w:tcBorders>
            <w:shd w:val="clear" w:color="auto" w:fill="FFCC00"/>
            <w:tcMar>
              <w:top w:w="0" w:type="dxa"/>
              <w:left w:w="70" w:type="dxa"/>
              <w:bottom w:w="0" w:type="dxa"/>
              <w:right w:w="70" w:type="dxa"/>
            </w:tcMar>
            <w:vAlign w:val="center"/>
            <w:hideMark/>
          </w:tcPr>
          <w:p w14:paraId="3876C6F4" w14:textId="77777777" w:rsidR="00A1260E" w:rsidRPr="00A1260E" w:rsidRDefault="00A1260E" w:rsidP="00A1260E">
            <w:pPr>
              <w:jc w:val="both"/>
              <w:rPr>
                <w:rFonts w:ascii="Arial" w:eastAsia="Times New Roman" w:hAnsi="Arial" w:cs="Arial"/>
                <w:b/>
                <w:bCs/>
                <w:lang w:val="es-ES" w:eastAsia="es-ES"/>
              </w:rPr>
            </w:pPr>
            <w:r w:rsidRPr="00A1260E">
              <w:rPr>
                <w:rFonts w:ascii="Arial" w:eastAsia="Times New Roman" w:hAnsi="Arial" w:cs="Arial"/>
                <w:b/>
                <w:bCs/>
                <w:lang w:val="es-ES" w:eastAsia="es-ES"/>
              </w:rPr>
              <w:t>A ser informados de las razones de su detención y de la naturaleza de los cargos que se les imputan en un idioma que comprendan.</w:t>
            </w:r>
          </w:p>
        </w:tc>
        <w:tc>
          <w:tcPr>
            <w:tcW w:w="1276" w:type="dxa"/>
            <w:tcBorders>
              <w:top w:val="single" w:sz="8" w:space="0" w:color="auto"/>
              <w:left w:val="nil"/>
              <w:bottom w:val="single" w:sz="8" w:space="0" w:color="auto"/>
              <w:right w:val="single" w:sz="8" w:space="0" w:color="auto"/>
            </w:tcBorders>
            <w:shd w:val="clear" w:color="auto" w:fill="FFCC00"/>
            <w:tcMar>
              <w:top w:w="0" w:type="dxa"/>
              <w:left w:w="70" w:type="dxa"/>
              <w:bottom w:w="0" w:type="dxa"/>
              <w:right w:w="70" w:type="dxa"/>
            </w:tcMar>
            <w:vAlign w:val="center"/>
            <w:hideMark/>
          </w:tcPr>
          <w:p w14:paraId="3FBB430D" w14:textId="77777777" w:rsidR="00A1260E" w:rsidRPr="00A1260E" w:rsidRDefault="00A1260E" w:rsidP="00A1260E">
            <w:pPr>
              <w:jc w:val="both"/>
              <w:rPr>
                <w:rFonts w:ascii="Arial" w:eastAsia="Times New Roman" w:hAnsi="Arial" w:cs="Arial"/>
                <w:b/>
                <w:bCs/>
                <w:lang w:val="es-ES" w:eastAsia="es-ES"/>
              </w:rPr>
            </w:pPr>
            <w:r w:rsidRPr="00A1260E">
              <w:rPr>
                <w:rFonts w:ascii="Arial" w:eastAsia="Times New Roman" w:hAnsi="Arial" w:cs="Arial"/>
                <w:b/>
                <w:bCs/>
                <w:lang w:val="es-ES" w:eastAsia="es-ES"/>
              </w:rPr>
              <w:t>A que se registre su detención en el Registro Nacional de Detenciones.</w:t>
            </w:r>
          </w:p>
        </w:tc>
        <w:tc>
          <w:tcPr>
            <w:tcW w:w="992" w:type="dxa"/>
            <w:tcBorders>
              <w:top w:val="single" w:sz="8" w:space="0" w:color="auto"/>
              <w:left w:val="nil"/>
              <w:bottom w:val="single" w:sz="8" w:space="0" w:color="auto"/>
              <w:right w:val="single" w:sz="8" w:space="0" w:color="auto"/>
            </w:tcBorders>
            <w:shd w:val="clear" w:color="auto" w:fill="FFCC00"/>
            <w:tcMar>
              <w:top w:w="0" w:type="dxa"/>
              <w:left w:w="70" w:type="dxa"/>
              <w:bottom w:w="0" w:type="dxa"/>
              <w:right w:w="70" w:type="dxa"/>
            </w:tcMar>
            <w:vAlign w:val="center"/>
            <w:hideMark/>
          </w:tcPr>
          <w:p w14:paraId="0E081D59" w14:textId="77777777" w:rsidR="00A1260E" w:rsidRPr="00A1260E" w:rsidRDefault="00A1260E" w:rsidP="00A1260E">
            <w:pPr>
              <w:jc w:val="both"/>
              <w:rPr>
                <w:rFonts w:ascii="Arial" w:eastAsia="Times New Roman" w:hAnsi="Arial" w:cs="Arial"/>
                <w:b/>
                <w:bCs/>
                <w:lang w:val="es-ES" w:eastAsia="es-ES"/>
              </w:rPr>
            </w:pPr>
            <w:r w:rsidRPr="00A1260E">
              <w:rPr>
                <w:rFonts w:ascii="Arial" w:eastAsia="Times New Roman" w:hAnsi="Arial" w:cs="Arial"/>
                <w:b/>
                <w:bCs/>
                <w:lang w:val="es-ES" w:eastAsia="es-ES"/>
              </w:rPr>
              <w:t>A informar con prontitud de su detención a un familiar o a un tercero.</w:t>
            </w:r>
          </w:p>
        </w:tc>
        <w:tc>
          <w:tcPr>
            <w:tcW w:w="1843" w:type="dxa"/>
            <w:tcBorders>
              <w:top w:val="single" w:sz="8" w:space="0" w:color="auto"/>
              <w:left w:val="nil"/>
              <w:bottom w:val="single" w:sz="8" w:space="0" w:color="auto"/>
              <w:right w:val="single" w:sz="8" w:space="0" w:color="auto"/>
            </w:tcBorders>
            <w:shd w:val="clear" w:color="auto" w:fill="FFCC00"/>
            <w:tcMar>
              <w:top w:w="0" w:type="dxa"/>
              <w:left w:w="70" w:type="dxa"/>
              <w:bottom w:w="0" w:type="dxa"/>
              <w:right w:w="70" w:type="dxa"/>
            </w:tcMar>
            <w:vAlign w:val="center"/>
            <w:hideMark/>
          </w:tcPr>
          <w:p w14:paraId="685A87B7" w14:textId="77777777" w:rsidR="00A1260E" w:rsidRPr="00A1260E" w:rsidRDefault="00A1260E" w:rsidP="00A1260E">
            <w:pPr>
              <w:jc w:val="both"/>
              <w:rPr>
                <w:rFonts w:ascii="Arial" w:eastAsia="Times New Roman" w:hAnsi="Arial" w:cs="Arial"/>
                <w:b/>
                <w:bCs/>
                <w:lang w:val="es-ES" w:eastAsia="es-ES"/>
              </w:rPr>
            </w:pPr>
            <w:r w:rsidRPr="00A1260E">
              <w:rPr>
                <w:rFonts w:ascii="Arial" w:eastAsia="Times New Roman" w:hAnsi="Arial" w:cs="Arial"/>
                <w:b/>
                <w:bCs/>
                <w:lang w:val="es-ES" w:eastAsia="es-ES"/>
              </w:rPr>
              <w:t>Se implemente un sistema de registro sobre el tiempo que tardaron las personas detenidas en ser puestas a disposición del Agente del Ministerio Público.</w:t>
            </w:r>
          </w:p>
        </w:tc>
      </w:tr>
      <w:tr w:rsidR="00A1260E" w:rsidRPr="00A1260E" w14:paraId="79B46FC3" w14:textId="77777777" w:rsidTr="00096F4B">
        <w:trPr>
          <w:trHeight w:val="288"/>
        </w:trPr>
        <w:tc>
          <w:tcPr>
            <w:tcW w:w="991" w:type="dxa"/>
            <w:tcBorders>
              <w:top w:val="single" w:sz="8" w:space="0" w:color="auto"/>
              <w:left w:val="single" w:sz="4" w:space="0" w:color="auto"/>
              <w:bottom w:val="single" w:sz="8" w:space="0" w:color="auto"/>
              <w:right w:val="single" w:sz="8" w:space="0" w:color="auto"/>
            </w:tcBorders>
          </w:tcPr>
          <w:p w14:paraId="76106C94" w14:textId="77777777" w:rsidR="00A1260E" w:rsidRPr="00A1260E" w:rsidRDefault="00A1260E" w:rsidP="00A1260E">
            <w:pPr>
              <w:jc w:val="both"/>
              <w:rPr>
                <w:rFonts w:ascii="Arial" w:eastAsia="Times New Roman" w:hAnsi="Arial" w:cs="Arial"/>
                <w:lang w:val="es-ES" w:eastAsia="es-ES"/>
              </w:rPr>
            </w:pPr>
            <w:r w:rsidRPr="00A1260E">
              <w:rPr>
                <w:rFonts w:ascii="Arial" w:eastAsia="Times New Roman" w:hAnsi="Arial" w:cs="Arial"/>
                <w:lang w:val="es-ES" w:eastAsia="es-ES"/>
              </w:rPr>
              <w:lastRenderedPageBreak/>
              <w:t>ATENDIDAS</w:t>
            </w:r>
          </w:p>
        </w:tc>
        <w:tc>
          <w:tcPr>
            <w:tcW w:w="98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F2273B5" w14:textId="77777777" w:rsidR="00A1260E" w:rsidRPr="00A1260E" w:rsidRDefault="00A1260E" w:rsidP="00A1260E">
            <w:pPr>
              <w:jc w:val="both"/>
              <w:rPr>
                <w:rFonts w:ascii="Arial" w:eastAsia="Times New Roman" w:hAnsi="Arial" w:cs="Arial"/>
                <w:lang w:val="es-ES" w:eastAsia="es-ES"/>
              </w:rPr>
            </w:pPr>
            <w:r w:rsidRPr="00A1260E">
              <w:rPr>
                <w:rFonts w:ascii="Arial" w:eastAsia="Times New Roman" w:hAnsi="Arial" w:cs="Arial"/>
                <w:lang w:val="es-ES" w:eastAsia="es-ES"/>
              </w:rPr>
              <w:t>70%</w:t>
            </w:r>
          </w:p>
        </w:tc>
        <w:tc>
          <w:tcPr>
            <w:tcW w:w="118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7BDD008" w14:textId="77777777" w:rsidR="00A1260E" w:rsidRPr="00A1260E" w:rsidRDefault="00A1260E" w:rsidP="00A1260E">
            <w:pPr>
              <w:jc w:val="both"/>
              <w:rPr>
                <w:rFonts w:ascii="Arial" w:eastAsia="Times New Roman" w:hAnsi="Arial" w:cs="Arial"/>
                <w:lang w:val="es-ES" w:eastAsia="es-ES"/>
              </w:rPr>
            </w:pPr>
            <w:r w:rsidRPr="00A1260E">
              <w:rPr>
                <w:rFonts w:ascii="Arial" w:eastAsia="Times New Roman" w:hAnsi="Arial" w:cs="Arial"/>
                <w:lang w:val="es-ES" w:eastAsia="es-ES"/>
              </w:rPr>
              <w:t>20%</w:t>
            </w:r>
          </w:p>
        </w:tc>
        <w:tc>
          <w:tcPr>
            <w:tcW w:w="166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7E27E53" w14:textId="77777777" w:rsidR="00A1260E" w:rsidRPr="00A1260E" w:rsidRDefault="00A1260E" w:rsidP="00A1260E">
            <w:pPr>
              <w:jc w:val="both"/>
              <w:rPr>
                <w:rFonts w:ascii="Arial" w:eastAsia="Times New Roman" w:hAnsi="Arial" w:cs="Arial"/>
                <w:lang w:val="es-ES" w:eastAsia="es-ES"/>
              </w:rPr>
            </w:pPr>
            <w:r w:rsidRPr="00A1260E">
              <w:rPr>
                <w:rFonts w:ascii="Arial" w:eastAsia="Times New Roman" w:hAnsi="Arial" w:cs="Arial"/>
                <w:lang w:val="es-ES" w:eastAsia="es-ES"/>
              </w:rPr>
              <w:t>88%</w:t>
            </w:r>
          </w:p>
        </w:tc>
        <w:tc>
          <w:tcPr>
            <w:tcW w:w="127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7151190" w14:textId="77777777" w:rsidR="00A1260E" w:rsidRPr="00A1260E" w:rsidRDefault="00A1260E" w:rsidP="00A1260E">
            <w:pPr>
              <w:jc w:val="both"/>
              <w:rPr>
                <w:rFonts w:ascii="Arial" w:eastAsia="Times New Roman" w:hAnsi="Arial" w:cs="Arial"/>
                <w:lang w:val="es-ES" w:eastAsia="es-ES"/>
              </w:rPr>
            </w:pPr>
            <w:r w:rsidRPr="00A1260E">
              <w:rPr>
                <w:rFonts w:ascii="Arial" w:eastAsia="Times New Roman" w:hAnsi="Arial" w:cs="Arial"/>
                <w:lang w:val="es-ES" w:eastAsia="es-ES"/>
              </w:rPr>
              <w:t>82%</w:t>
            </w:r>
          </w:p>
        </w:tc>
        <w:tc>
          <w:tcPr>
            <w:tcW w:w="9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E4FB23A" w14:textId="77777777" w:rsidR="00A1260E" w:rsidRPr="00A1260E" w:rsidRDefault="00A1260E" w:rsidP="00A1260E">
            <w:pPr>
              <w:jc w:val="both"/>
              <w:rPr>
                <w:rFonts w:ascii="Arial" w:eastAsia="Times New Roman" w:hAnsi="Arial" w:cs="Arial"/>
                <w:lang w:val="es-ES" w:eastAsia="es-ES"/>
              </w:rPr>
            </w:pPr>
            <w:r w:rsidRPr="00A1260E">
              <w:rPr>
                <w:rFonts w:ascii="Arial" w:eastAsia="Times New Roman" w:hAnsi="Arial" w:cs="Arial"/>
                <w:lang w:val="es-ES" w:eastAsia="es-ES"/>
              </w:rPr>
              <w:t>70%</w:t>
            </w:r>
          </w:p>
        </w:tc>
        <w:tc>
          <w:tcPr>
            <w:tcW w:w="184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2755115" w14:textId="77777777" w:rsidR="00A1260E" w:rsidRPr="00A1260E" w:rsidRDefault="00A1260E" w:rsidP="00A1260E">
            <w:pPr>
              <w:jc w:val="both"/>
              <w:rPr>
                <w:rFonts w:ascii="Arial" w:eastAsia="Times New Roman" w:hAnsi="Arial" w:cs="Arial"/>
                <w:lang w:val="es-ES" w:eastAsia="es-ES"/>
              </w:rPr>
            </w:pPr>
            <w:r w:rsidRPr="00A1260E">
              <w:rPr>
                <w:rFonts w:ascii="Arial" w:eastAsia="Times New Roman" w:hAnsi="Arial" w:cs="Arial"/>
                <w:lang w:val="es-ES" w:eastAsia="es-ES"/>
              </w:rPr>
              <w:t>82%</w:t>
            </w:r>
          </w:p>
        </w:tc>
      </w:tr>
      <w:tr w:rsidR="00A1260E" w:rsidRPr="00A1260E" w14:paraId="17E13B4F" w14:textId="77777777" w:rsidTr="00096F4B">
        <w:trPr>
          <w:trHeight w:val="288"/>
        </w:trPr>
        <w:tc>
          <w:tcPr>
            <w:tcW w:w="991" w:type="dxa"/>
            <w:tcBorders>
              <w:top w:val="single" w:sz="8" w:space="0" w:color="auto"/>
              <w:left w:val="single" w:sz="4" w:space="0" w:color="auto"/>
              <w:bottom w:val="single" w:sz="8" w:space="0" w:color="auto"/>
              <w:right w:val="single" w:sz="8" w:space="0" w:color="auto"/>
            </w:tcBorders>
          </w:tcPr>
          <w:p w14:paraId="1A308394" w14:textId="77777777" w:rsidR="00A1260E" w:rsidRPr="00A1260E" w:rsidRDefault="00A1260E" w:rsidP="00A1260E">
            <w:pPr>
              <w:jc w:val="both"/>
              <w:rPr>
                <w:rFonts w:ascii="Arial" w:eastAsia="Times New Roman" w:hAnsi="Arial" w:cs="Arial"/>
                <w:lang w:val="es-ES" w:eastAsia="es-ES"/>
              </w:rPr>
            </w:pPr>
            <w:r w:rsidRPr="00A1260E">
              <w:rPr>
                <w:rFonts w:ascii="Arial" w:eastAsia="Times New Roman" w:hAnsi="Arial" w:cs="Arial"/>
                <w:lang w:val="es-ES" w:eastAsia="es-ES"/>
              </w:rPr>
              <w:t>AVANCES</w:t>
            </w:r>
          </w:p>
        </w:tc>
        <w:tc>
          <w:tcPr>
            <w:tcW w:w="98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234826E" w14:textId="77777777" w:rsidR="00A1260E" w:rsidRPr="00A1260E" w:rsidRDefault="00A1260E" w:rsidP="00A1260E">
            <w:pPr>
              <w:jc w:val="both"/>
              <w:rPr>
                <w:rFonts w:ascii="Arial" w:eastAsia="Times New Roman" w:hAnsi="Arial" w:cs="Arial"/>
                <w:lang w:val="es-ES" w:eastAsia="es-ES"/>
              </w:rPr>
            </w:pPr>
            <w:r w:rsidRPr="00A1260E">
              <w:rPr>
                <w:rFonts w:ascii="Arial" w:eastAsia="Times New Roman" w:hAnsi="Arial" w:cs="Arial"/>
                <w:lang w:val="es-ES" w:eastAsia="es-ES"/>
              </w:rPr>
              <w:t>24%</w:t>
            </w:r>
          </w:p>
        </w:tc>
        <w:tc>
          <w:tcPr>
            <w:tcW w:w="118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37CA29B" w14:textId="77777777" w:rsidR="00A1260E" w:rsidRPr="00A1260E" w:rsidRDefault="00A1260E" w:rsidP="00A1260E">
            <w:pPr>
              <w:jc w:val="both"/>
              <w:rPr>
                <w:rFonts w:ascii="Arial" w:eastAsia="Times New Roman" w:hAnsi="Arial" w:cs="Arial"/>
                <w:lang w:val="es-ES" w:eastAsia="es-ES"/>
              </w:rPr>
            </w:pPr>
            <w:r w:rsidRPr="00A1260E">
              <w:rPr>
                <w:rFonts w:ascii="Arial" w:eastAsia="Times New Roman" w:hAnsi="Arial" w:cs="Arial"/>
                <w:lang w:val="es-ES" w:eastAsia="es-ES"/>
              </w:rPr>
              <w:t>7%</w:t>
            </w:r>
          </w:p>
        </w:tc>
        <w:tc>
          <w:tcPr>
            <w:tcW w:w="166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F76FCB0" w14:textId="77777777" w:rsidR="00A1260E" w:rsidRPr="00A1260E" w:rsidRDefault="00A1260E" w:rsidP="00A1260E">
            <w:pPr>
              <w:jc w:val="both"/>
              <w:rPr>
                <w:rFonts w:ascii="Arial" w:eastAsia="Times New Roman" w:hAnsi="Arial" w:cs="Arial"/>
                <w:lang w:val="es-ES" w:eastAsia="es-ES"/>
              </w:rPr>
            </w:pPr>
            <w:r w:rsidRPr="00A1260E">
              <w:rPr>
                <w:rFonts w:ascii="Arial" w:eastAsia="Times New Roman" w:hAnsi="Arial" w:cs="Arial"/>
                <w:lang w:val="es-ES" w:eastAsia="es-ES"/>
              </w:rPr>
              <w:t>4%</w:t>
            </w:r>
          </w:p>
        </w:tc>
        <w:tc>
          <w:tcPr>
            <w:tcW w:w="127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2C8A063" w14:textId="77777777" w:rsidR="00A1260E" w:rsidRPr="00A1260E" w:rsidRDefault="00A1260E" w:rsidP="00A1260E">
            <w:pPr>
              <w:jc w:val="both"/>
              <w:rPr>
                <w:rFonts w:ascii="Arial" w:eastAsia="Times New Roman" w:hAnsi="Arial" w:cs="Arial"/>
                <w:lang w:val="es-ES" w:eastAsia="es-ES"/>
              </w:rPr>
            </w:pPr>
            <w:r w:rsidRPr="00A1260E">
              <w:rPr>
                <w:rFonts w:ascii="Arial" w:eastAsia="Times New Roman" w:hAnsi="Arial" w:cs="Arial"/>
                <w:lang w:val="es-ES" w:eastAsia="es-ES"/>
              </w:rPr>
              <w:t>11%</w:t>
            </w:r>
          </w:p>
        </w:tc>
        <w:tc>
          <w:tcPr>
            <w:tcW w:w="9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5BDD57F" w14:textId="77777777" w:rsidR="00A1260E" w:rsidRPr="00A1260E" w:rsidRDefault="00A1260E" w:rsidP="00A1260E">
            <w:pPr>
              <w:jc w:val="both"/>
              <w:rPr>
                <w:rFonts w:ascii="Arial" w:eastAsia="Times New Roman" w:hAnsi="Arial" w:cs="Arial"/>
                <w:lang w:val="es-ES" w:eastAsia="es-ES"/>
              </w:rPr>
            </w:pPr>
            <w:r w:rsidRPr="00A1260E">
              <w:rPr>
                <w:rFonts w:ascii="Arial" w:eastAsia="Times New Roman" w:hAnsi="Arial" w:cs="Arial"/>
                <w:lang w:val="es-ES" w:eastAsia="es-ES"/>
              </w:rPr>
              <w:t>19%</w:t>
            </w:r>
          </w:p>
        </w:tc>
        <w:tc>
          <w:tcPr>
            <w:tcW w:w="184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EB459AD" w14:textId="77777777" w:rsidR="00A1260E" w:rsidRPr="00A1260E" w:rsidRDefault="00A1260E" w:rsidP="00A1260E">
            <w:pPr>
              <w:jc w:val="both"/>
              <w:rPr>
                <w:rFonts w:ascii="Arial" w:eastAsia="Times New Roman" w:hAnsi="Arial" w:cs="Arial"/>
                <w:lang w:val="es-ES" w:eastAsia="es-ES"/>
              </w:rPr>
            </w:pPr>
            <w:r w:rsidRPr="00A1260E">
              <w:rPr>
                <w:rFonts w:ascii="Arial" w:eastAsia="Times New Roman" w:hAnsi="Arial" w:cs="Arial"/>
                <w:lang w:val="es-ES" w:eastAsia="es-ES"/>
              </w:rPr>
              <w:t>11%</w:t>
            </w:r>
          </w:p>
        </w:tc>
      </w:tr>
      <w:tr w:rsidR="00A1260E" w:rsidRPr="00A1260E" w14:paraId="34A2939C" w14:textId="77777777" w:rsidTr="00096F4B">
        <w:trPr>
          <w:trHeight w:val="288"/>
        </w:trPr>
        <w:tc>
          <w:tcPr>
            <w:tcW w:w="991" w:type="dxa"/>
            <w:tcBorders>
              <w:top w:val="single" w:sz="8" w:space="0" w:color="auto"/>
              <w:left w:val="single" w:sz="4" w:space="0" w:color="auto"/>
              <w:bottom w:val="single" w:sz="8" w:space="0" w:color="auto"/>
              <w:right w:val="single" w:sz="8" w:space="0" w:color="auto"/>
            </w:tcBorders>
          </w:tcPr>
          <w:p w14:paraId="36AD0A1C" w14:textId="77777777" w:rsidR="00A1260E" w:rsidRPr="00A1260E" w:rsidRDefault="00A1260E" w:rsidP="00A1260E">
            <w:pPr>
              <w:jc w:val="both"/>
              <w:rPr>
                <w:rFonts w:ascii="Arial" w:eastAsia="Times New Roman" w:hAnsi="Arial" w:cs="Arial"/>
                <w:lang w:val="es-ES" w:eastAsia="es-ES"/>
              </w:rPr>
            </w:pPr>
            <w:r w:rsidRPr="00A1260E">
              <w:rPr>
                <w:rFonts w:ascii="Arial" w:eastAsia="Times New Roman" w:hAnsi="Arial" w:cs="Arial"/>
                <w:lang w:val="es-ES" w:eastAsia="es-ES"/>
              </w:rPr>
              <w:t>PERSITEN</w:t>
            </w:r>
          </w:p>
        </w:tc>
        <w:tc>
          <w:tcPr>
            <w:tcW w:w="98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769A7CB" w14:textId="77777777" w:rsidR="00A1260E" w:rsidRPr="00A1260E" w:rsidRDefault="00A1260E" w:rsidP="00A1260E">
            <w:pPr>
              <w:jc w:val="both"/>
              <w:rPr>
                <w:rFonts w:ascii="Arial" w:eastAsia="Times New Roman" w:hAnsi="Arial" w:cs="Arial"/>
                <w:lang w:val="es-ES" w:eastAsia="es-ES"/>
              </w:rPr>
            </w:pPr>
            <w:r w:rsidRPr="00A1260E">
              <w:rPr>
                <w:rFonts w:ascii="Arial" w:eastAsia="Times New Roman" w:hAnsi="Arial" w:cs="Arial"/>
                <w:lang w:val="es-ES" w:eastAsia="es-ES"/>
              </w:rPr>
              <w:t>6%</w:t>
            </w:r>
          </w:p>
        </w:tc>
        <w:tc>
          <w:tcPr>
            <w:tcW w:w="118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B56E580" w14:textId="77777777" w:rsidR="00A1260E" w:rsidRPr="00A1260E" w:rsidRDefault="00A1260E" w:rsidP="00A1260E">
            <w:pPr>
              <w:jc w:val="both"/>
              <w:rPr>
                <w:rFonts w:ascii="Arial" w:eastAsia="Times New Roman" w:hAnsi="Arial" w:cs="Arial"/>
                <w:lang w:val="es-ES" w:eastAsia="es-ES"/>
              </w:rPr>
            </w:pPr>
            <w:r w:rsidRPr="00A1260E">
              <w:rPr>
                <w:rFonts w:ascii="Arial" w:eastAsia="Times New Roman" w:hAnsi="Arial" w:cs="Arial"/>
                <w:lang w:val="es-ES" w:eastAsia="es-ES"/>
              </w:rPr>
              <w:t>73%</w:t>
            </w:r>
          </w:p>
        </w:tc>
        <w:tc>
          <w:tcPr>
            <w:tcW w:w="166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FAF0F4D" w14:textId="77777777" w:rsidR="00A1260E" w:rsidRPr="00A1260E" w:rsidRDefault="00A1260E" w:rsidP="00A1260E">
            <w:pPr>
              <w:jc w:val="both"/>
              <w:rPr>
                <w:rFonts w:ascii="Arial" w:eastAsia="Times New Roman" w:hAnsi="Arial" w:cs="Arial"/>
                <w:lang w:val="es-ES" w:eastAsia="es-ES"/>
              </w:rPr>
            </w:pPr>
            <w:r w:rsidRPr="00A1260E">
              <w:rPr>
                <w:rFonts w:ascii="Arial" w:eastAsia="Times New Roman" w:hAnsi="Arial" w:cs="Arial"/>
                <w:lang w:val="es-ES" w:eastAsia="es-ES"/>
              </w:rPr>
              <w:t>8%</w:t>
            </w:r>
          </w:p>
        </w:tc>
        <w:tc>
          <w:tcPr>
            <w:tcW w:w="127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9EAF8D5" w14:textId="77777777" w:rsidR="00A1260E" w:rsidRPr="00A1260E" w:rsidRDefault="00A1260E" w:rsidP="00A1260E">
            <w:pPr>
              <w:jc w:val="both"/>
              <w:rPr>
                <w:rFonts w:ascii="Arial" w:eastAsia="Times New Roman" w:hAnsi="Arial" w:cs="Arial"/>
                <w:lang w:val="es-ES" w:eastAsia="es-ES"/>
              </w:rPr>
            </w:pPr>
            <w:r w:rsidRPr="00A1260E">
              <w:rPr>
                <w:rFonts w:ascii="Arial" w:eastAsia="Times New Roman" w:hAnsi="Arial" w:cs="Arial"/>
                <w:lang w:val="es-ES" w:eastAsia="es-ES"/>
              </w:rPr>
              <w:t>7%</w:t>
            </w:r>
          </w:p>
        </w:tc>
        <w:tc>
          <w:tcPr>
            <w:tcW w:w="9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658C099" w14:textId="77777777" w:rsidR="00A1260E" w:rsidRPr="00A1260E" w:rsidRDefault="00A1260E" w:rsidP="00A1260E">
            <w:pPr>
              <w:jc w:val="both"/>
              <w:rPr>
                <w:rFonts w:ascii="Arial" w:eastAsia="Times New Roman" w:hAnsi="Arial" w:cs="Arial"/>
                <w:lang w:val="es-ES" w:eastAsia="es-ES"/>
              </w:rPr>
            </w:pPr>
            <w:r w:rsidRPr="00A1260E">
              <w:rPr>
                <w:rFonts w:ascii="Arial" w:eastAsia="Times New Roman" w:hAnsi="Arial" w:cs="Arial"/>
                <w:lang w:val="es-ES" w:eastAsia="es-ES"/>
              </w:rPr>
              <w:t>11%</w:t>
            </w:r>
          </w:p>
        </w:tc>
        <w:tc>
          <w:tcPr>
            <w:tcW w:w="184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5E1706C" w14:textId="77777777" w:rsidR="00A1260E" w:rsidRPr="00A1260E" w:rsidRDefault="00A1260E" w:rsidP="00A1260E">
            <w:pPr>
              <w:jc w:val="both"/>
              <w:rPr>
                <w:rFonts w:ascii="Arial" w:eastAsia="Times New Roman" w:hAnsi="Arial" w:cs="Arial"/>
                <w:lang w:val="es-ES" w:eastAsia="es-ES"/>
              </w:rPr>
            </w:pPr>
            <w:r w:rsidRPr="00A1260E">
              <w:rPr>
                <w:rFonts w:ascii="Arial" w:eastAsia="Times New Roman" w:hAnsi="Arial" w:cs="Arial"/>
                <w:lang w:val="es-ES" w:eastAsia="es-ES"/>
              </w:rPr>
              <w:t>7%</w:t>
            </w:r>
          </w:p>
        </w:tc>
      </w:tr>
      <w:tr w:rsidR="00A1260E" w:rsidRPr="00A1260E" w14:paraId="66FFAEBC" w14:textId="77777777" w:rsidTr="00096F4B">
        <w:trPr>
          <w:trHeight w:val="288"/>
        </w:trPr>
        <w:tc>
          <w:tcPr>
            <w:tcW w:w="991" w:type="dxa"/>
            <w:tcBorders>
              <w:top w:val="single" w:sz="8" w:space="0" w:color="auto"/>
              <w:left w:val="single" w:sz="4" w:space="0" w:color="auto"/>
              <w:bottom w:val="single" w:sz="8" w:space="0" w:color="auto"/>
              <w:right w:val="single" w:sz="8" w:space="0" w:color="auto"/>
            </w:tcBorders>
          </w:tcPr>
          <w:p w14:paraId="5C05A03C" w14:textId="77777777" w:rsidR="00A1260E" w:rsidRPr="00A1260E" w:rsidRDefault="00A1260E" w:rsidP="00A1260E">
            <w:pPr>
              <w:jc w:val="both"/>
              <w:rPr>
                <w:rFonts w:ascii="Arial" w:eastAsia="Times New Roman" w:hAnsi="Arial" w:cs="Arial"/>
                <w:lang w:val="es-ES" w:eastAsia="es-ES"/>
              </w:rPr>
            </w:pPr>
            <w:r w:rsidRPr="00A1260E">
              <w:rPr>
                <w:rFonts w:ascii="Arial" w:eastAsia="Times New Roman" w:hAnsi="Arial" w:cs="Arial"/>
                <w:lang w:val="es-ES" w:eastAsia="es-ES"/>
              </w:rPr>
              <w:t>TOTAL</w:t>
            </w:r>
          </w:p>
        </w:tc>
        <w:tc>
          <w:tcPr>
            <w:tcW w:w="98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EE11275" w14:textId="77777777" w:rsidR="00A1260E" w:rsidRPr="00A1260E" w:rsidRDefault="00A1260E" w:rsidP="00A1260E">
            <w:pPr>
              <w:jc w:val="both"/>
              <w:rPr>
                <w:rFonts w:ascii="Arial" w:eastAsia="Times New Roman" w:hAnsi="Arial" w:cs="Arial"/>
                <w:lang w:val="es-ES" w:eastAsia="es-ES"/>
              </w:rPr>
            </w:pPr>
            <w:r w:rsidRPr="00A1260E">
              <w:rPr>
                <w:rFonts w:ascii="Arial" w:eastAsia="Times New Roman" w:hAnsi="Arial" w:cs="Arial"/>
                <w:lang w:val="es-ES" w:eastAsia="es-ES"/>
              </w:rPr>
              <w:t>100%</w:t>
            </w:r>
          </w:p>
        </w:tc>
        <w:tc>
          <w:tcPr>
            <w:tcW w:w="118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B8E0B96" w14:textId="77777777" w:rsidR="00A1260E" w:rsidRPr="00A1260E" w:rsidRDefault="00A1260E" w:rsidP="00A1260E">
            <w:pPr>
              <w:jc w:val="both"/>
              <w:rPr>
                <w:rFonts w:ascii="Arial" w:eastAsia="Times New Roman" w:hAnsi="Arial" w:cs="Arial"/>
                <w:lang w:val="es-ES" w:eastAsia="es-ES"/>
              </w:rPr>
            </w:pPr>
            <w:r w:rsidRPr="00A1260E">
              <w:rPr>
                <w:rFonts w:ascii="Arial" w:eastAsia="Times New Roman" w:hAnsi="Arial" w:cs="Arial"/>
                <w:lang w:val="es-ES" w:eastAsia="es-ES"/>
              </w:rPr>
              <w:t>100%</w:t>
            </w:r>
          </w:p>
        </w:tc>
        <w:tc>
          <w:tcPr>
            <w:tcW w:w="166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35F67B7" w14:textId="77777777" w:rsidR="00A1260E" w:rsidRPr="00A1260E" w:rsidRDefault="00A1260E" w:rsidP="00A1260E">
            <w:pPr>
              <w:jc w:val="both"/>
              <w:rPr>
                <w:rFonts w:ascii="Arial" w:eastAsia="Times New Roman" w:hAnsi="Arial" w:cs="Arial"/>
                <w:lang w:val="es-ES" w:eastAsia="es-ES"/>
              </w:rPr>
            </w:pPr>
            <w:r w:rsidRPr="00A1260E">
              <w:rPr>
                <w:rFonts w:ascii="Arial" w:eastAsia="Times New Roman" w:hAnsi="Arial" w:cs="Arial"/>
                <w:lang w:val="es-ES" w:eastAsia="es-ES"/>
              </w:rPr>
              <w:t>100%</w:t>
            </w:r>
          </w:p>
        </w:tc>
        <w:tc>
          <w:tcPr>
            <w:tcW w:w="127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E1A9273" w14:textId="77777777" w:rsidR="00A1260E" w:rsidRPr="00A1260E" w:rsidRDefault="00A1260E" w:rsidP="00A1260E">
            <w:pPr>
              <w:jc w:val="both"/>
              <w:rPr>
                <w:rFonts w:ascii="Arial" w:eastAsia="Times New Roman" w:hAnsi="Arial" w:cs="Arial"/>
                <w:lang w:val="es-ES" w:eastAsia="es-ES"/>
              </w:rPr>
            </w:pPr>
            <w:r w:rsidRPr="00A1260E">
              <w:rPr>
                <w:rFonts w:ascii="Arial" w:eastAsia="Times New Roman" w:hAnsi="Arial" w:cs="Arial"/>
                <w:lang w:val="es-ES" w:eastAsia="es-ES"/>
              </w:rPr>
              <w:t>100%</w:t>
            </w:r>
          </w:p>
        </w:tc>
        <w:tc>
          <w:tcPr>
            <w:tcW w:w="9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C711DBE" w14:textId="77777777" w:rsidR="00A1260E" w:rsidRPr="00A1260E" w:rsidRDefault="00A1260E" w:rsidP="00A1260E">
            <w:pPr>
              <w:jc w:val="both"/>
              <w:rPr>
                <w:rFonts w:ascii="Arial" w:eastAsia="Times New Roman" w:hAnsi="Arial" w:cs="Arial"/>
                <w:lang w:val="es-ES" w:eastAsia="es-ES"/>
              </w:rPr>
            </w:pPr>
            <w:r w:rsidRPr="00A1260E">
              <w:rPr>
                <w:rFonts w:ascii="Arial" w:eastAsia="Times New Roman" w:hAnsi="Arial" w:cs="Arial"/>
                <w:lang w:val="es-ES" w:eastAsia="es-ES"/>
              </w:rPr>
              <w:t>100%</w:t>
            </w:r>
          </w:p>
        </w:tc>
        <w:tc>
          <w:tcPr>
            <w:tcW w:w="184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A8EE54E" w14:textId="77777777" w:rsidR="00A1260E" w:rsidRPr="00A1260E" w:rsidRDefault="00A1260E" w:rsidP="00A1260E">
            <w:pPr>
              <w:jc w:val="both"/>
              <w:rPr>
                <w:rFonts w:ascii="Arial" w:eastAsia="Times New Roman" w:hAnsi="Arial" w:cs="Arial"/>
                <w:lang w:val="es-ES" w:eastAsia="es-ES"/>
              </w:rPr>
            </w:pPr>
            <w:r w:rsidRPr="00A1260E">
              <w:rPr>
                <w:rFonts w:ascii="Arial" w:eastAsia="Times New Roman" w:hAnsi="Arial" w:cs="Arial"/>
                <w:lang w:val="es-ES" w:eastAsia="es-ES"/>
              </w:rPr>
              <w:t>100%</w:t>
            </w:r>
          </w:p>
        </w:tc>
      </w:tr>
    </w:tbl>
    <w:p w14:paraId="79DF547C" w14:textId="77777777" w:rsidR="00A1260E" w:rsidRPr="00A1260E" w:rsidRDefault="00A1260E" w:rsidP="00A1260E">
      <w:pPr>
        <w:jc w:val="both"/>
        <w:rPr>
          <w:rFonts w:ascii="Arial" w:eastAsia="Times New Roman" w:hAnsi="Arial" w:cs="Arial"/>
          <w:i/>
          <w:iCs/>
          <w:lang w:val="es-ES" w:eastAsia="es-ES"/>
        </w:rPr>
      </w:pPr>
    </w:p>
    <w:p w14:paraId="620209E5" w14:textId="6BFE37BD" w:rsidR="00A1260E" w:rsidRPr="00A1260E" w:rsidRDefault="00A1260E" w:rsidP="00A1260E">
      <w:pPr>
        <w:jc w:val="both"/>
        <w:rPr>
          <w:rFonts w:ascii="Arial" w:eastAsia="Times New Roman" w:hAnsi="Arial" w:cs="Arial"/>
          <w:b/>
          <w:bCs/>
          <w:i/>
          <w:iCs/>
          <w:lang w:val="es-ES" w:eastAsia="es-ES"/>
        </w:rPr>
      </w:pPr>
      <w:r w:rsidRPr="00A1260E">
        <w:rPr>
          <w:rFonts w:ascii="Arial" w:eastAsia="Times New Roman" w:hAnsi="Arial" w:cs="Arial"/>
          <w:b/>
          <w:bCs/>
          <w:i/>
          <w:iCs/>
          <w:lang w:val="es-ES" w:eastAsia="es-ES"/>
        </w:rPr>
        <w:t xml:space="preserve">b) Fortalecer las instituciones de defensa pública. </w:t>
      </w:r>
    </w:p>
    <w:p w14:paraId="5F62EC39" w14:textId="6150B640" w:rsidR="003442C1" w:rsidRPr="003442C1" w:rsidRDefault="003442C1" w:rsidP="00A1260E">
      <w:pPr>
        <w:jc w:val="both"/>
        <w:rPr>
          <w:rFonts w:ascii="Arial" w:eastAsia="Times New Roman" w:hAnsi="Arial" w:cs="Arial"/>
          <w:b/>
          <w:bCs/>
          <w:lang w:val="es-ES" w:eastAsia="es-ES"/>
        </w:rPr>
      </w:pPr>
      <w:r w:rsidRPr="003442C1">
        <w:rPr>
          <w:rFonts w:ascii="Arial" w:eastAsia="Times New Roman" w:hAnsi="Arial" w:cs="Arial"/>
          <w:b/>
          <w:bCs/>
          <w:lang w:val="es-ES" w:eastAsia="es-ES"/>
        </w:rPr>
        <w:t>Acciones realizadas por el Mecanismo Nacional de Prevención de la Tortura</w:t>
      </w:r>
    </w:p>
    <w:p w14:paraId="7E729D94" w14:textId="0846162D" w:rsidR="00A1260E" w:rsidRPr="00A1260E" w:rsidRDefault="003442C1" w:rsidP="00A1260E">
      <w:pPr>
        <w:jc w:val="both"/>
        <w:rPr>
          <w:rFonts w:ascii="Arial" w:eastAsia="Times New Roman" w:hAnsi="Arial" w:cs="Arial"/>
          <w:bCs/>
          <w:lang w:val="es-ES" w:eastAsia="es-ES"/>
        </w:rPr>
      </w:pPr>
      <w:r>
        <w:rPr>
          <w:rFonts w:ascii="Arial" w:eastAsia="Times New Roman" w:hAnsi="Arial" w:cs="Arial"/>
          <w:lang w:val="es-ES" w:eastAsia="es-ES"/>
        </w:rPr>
        <w:t>El</w:t>
      </w:r>
      <w:r w:rsidR="00A1260E" w:rsidRPr="00A1260E">
        <w:rPr>
          <w:rFonts w:ascii="Arial" w:eastAsia="Times New Roman" w:hAnsi="Arial" w:cs="Arial"/>
          <w:bCs/>
          <w:lang w:val="es-ES" w:eastAsia="es-ES"/>
        </w:rPr>
        <w:t xml:space="preserve"> MNPT, ha emitido Recomendaciones, en las que se ha pronunciado sobre la importancia de la actuación de la figura del defensor, durante las primeras horas de la detención y en el proceso que enfrentan las personas privadas de la libertad, como se señala a continuación: </w:t>
      </w:r>
    </w:p>
    <w:p w14:paraId="0E14212B" w14:textId="77777777" w:rsidR="00A1260E" w:rsidRPr="00A1260E" w:rsidRDefault="00A1260E" w:rsidP="00A1260E">
      <w:pPr>
        <w:numPr>
          <w:ilvl w:val="0"/>
          <w:numId w:val="28"/>
        </w:numPr>
        <w:jc w:val="both"/>
        <w:rPr>
          <w:rFonts w:ascii="Arial" w:eastAsia="Times New Roman" w:hAnsi="Arial" w:cs="Arial"/>
          <w:bCs/>
          <w:lang w:val="es-ES" w:eastAsia="es-ES"/>
        </w:rPr>
      </w:pPr>
      <w:r w:rsidRPr="00A1260E">
        <w:rPr>
          <w:rFonts w:ascii="Arial" w:eastAsia="Times New Roman" w:hAnsi="Arial" w:cs="Arial"/>
          <w:bCs/>
          <w:lang w:val="es-ES" w:eastAsia="es-ES"/>
        </w:rPr>
        <w:t>En el Informe Especial 1/2019 del Mecanismo Nacional de Prevención de la Tortura sobre Lugares de Privación de Libertad que dependen de la Fiscalía Ge</w:t>
      </w:r>
      <w:r w:rsidRPr="00A1260E">
        <w:rPr>
          <w:rFonts w:ascii="Arial" w:eastAsia="Times New Roman" w:hAnsi="Arial" w:cs="Arial"/>
          <w:bCs/>
          <w:lang w:val="es-ES" w:eastAsia="es-ES"/>
        </w:rPr>
        <w:lastRenderedPageBreak/>
        <w:t>neral de la República y de las Procuradurías y/o Fiscalías Generales de los Estados y de la Ciudad de México, en sus puntos recomendatorios tercero</w:t>
      </w:r>
      <w:r w:rsidRPr="00A1260E">
        <w:rPr>
          <w:rFonts w:ascii="Arial" w:eastAsia="Times New Roman" w:hAnsi="Arial" w:cs="Arial"/>
          <w:bCs/>
          <w:vertAlign w:val="superscript"/>
          <w:lang w:val="es-ES" w:eastAsia="es-ES"/>
        </w:rPr>
        <w:footnoteReference w:id="13"/>
      </w:r>
      <w:r w:rsidRPr="00A1260E">
        <w:rPr>
          <w:rFonts w:ascii="Arial" w:eastAsia="Times New Roman" w:hAnsi="Arial" w:cs="Arial"/>
          <w:bCs/>
          <w:lang w:val="es-ES" w:eastAsia="es-ES"/>
        </w:rPr>
        <w:t xml:space="preserve"> y cuarto</w:t>
      </w:r>
      <w:r w:rsidRPr="00A1260E">
        <w:rPr>
          <w:rFonts w:ascii="Arial" w:eastAsia="Times New Roman" w:hAnsi="Arial" w:cs="Arial"/>
          <w:bCs/>
          <w:vertAlign w:val="superscript"/>
          <w:lang w:val="es-ES" w:eastAsia="es-ES"/>
        </w:rPr>
        <w:footnoteReference w:id="14"/>
      </w:r>
      <w:r w:rsidRPr="00A1260E">
        <w:rPr>
          <w:rFonts w:ascii="Arial" w:eastAsia="Times New Roman" w:hAnsi="Arial" w:cs="Arial"/>
          <w:bCs/>
          <w:lang w:val="es-ES" w:eastAsia="es-ES"/>
        </w:rPr>
        <w:t>, se pronunció sobre la realización de acciones necesarias para que la persona privada de la libertad cuente con un abogado en su defensa.</w:t>
      </w:r>
    </w:p>
    <w:p w14:paraId="35491F67" w14:textId="77777777" w:rsidR="00A1260E" w:rsidRPr="00A1260E" w:rsidRDefault="00A1260E" w:rsidP="00A1260E">
      <w:pPr>
        <w:numPr>
          <w:ilvl w:val="0"/>
          <w:numId w:val="28"/>
        </w:numPr>
        <w:jc w:val="both"/>
        <w:rPr>
          <w:rFonts w:ascii="Arial" w:eastAsia="Times New Roman" w:hAnsi="Arial" w:cs="Arial"/>
          <w:bCs/>
          <w:lang w:val="es-ES" w:eastAsia="es-ES"/>
        </w:rPr>
      </w:pPr>
      <w:r w:rsidRPr="00A1260E">
        <w:rPr>
          <w:rFonts w:ascii="Arial" w:eastAsia="Times New Roman" w:hAnsi="Arial" w:cs="Arial"/>
          <w:bCs/>
          <w:lang w:val="es-ES" w:eastAsia="es-ES"/>
        </w:rPr>
        <w:t>En el informe especial 1/2019, sobre el Centro de Justicia de Chalco, se hizo mención de las gestiones realizadas por el MNPT, con la Dirección General del Instituto de la Defensoría Pública, derivado de la visita de supervisión de 26 de marzo del 2019, donde a partir del 23 de abril del año citado,</w:t>
      </w:r>
      <w:r w:rsidRPr="00A1260E">
        <w:rPr>
          <w:rFonts w:ascii="Arial" w:eastAsia="Times New Roman" w:hAnsi="Arial" w:cs="Arial"/>
          <w:lang w:val="es-ES" w:eastAsia="es-ES"/>
        </w:rPr>
        <w:t xml:space="preserve"> fue designada una defensora de oficio en el Centro de Justicia de Valle de Chalco, que atenderá de </w:t>
      </w:r>
      <w:r w:rsidRPr="00A1260E">
        <w:rPr>
          <w:rFonts w:ascii="Arial" w:eastAsia="Times New Roman" w:hAnsi="Arial" w:cs="Arial"/>
          <w:lang w:val="es-ES" w:eastAsia="es-ES"/>
        </w:rPr>
        <w:lastRenderedPageBreak/>
        <w:t>manera permanente, y que cuenta también con un espacio dentro del mencionado centro de Justicia, así como de mobiliario necesario para la atención de los usuarios.</w:t>
      </w:r>
    </w:p>
    <w:p w14:paraId="162CE371" w14:textId="4B2B9035" w:rsidR="00A1260E" w:rsidRPr="00A1260E" w:rsidRDefault="00A1260E" w:rsidP="00A1260E">
      <w:pPr>
        <w:numPr>
          <w:ilvl w:val="0"/>
          <w:numId w:val="28"/>
        </w:numPr>
        <w:jc w:val="both"/>
        <w:rPr>
          <w:rFonts w:ascii="Arial" w:eastAsia="Times New Roman" w:hAnsi="Arial" w:cs="Arial"/>
          <w:bCs/>
          <w:lang w:val="es-ES" w:eastAsia="es-ES"/>
        </w:rPr>
      </w:pPr>
      <w:r w:rsidRPr="00A1260E">
        <w:rPr>
          <w:rFonts w:ascii="Arial" w:eastAsia="Times New Roman" w:hAnsi="Arial" w:cs="Arial"/>
          <w:bCs/>
          <w:lang w:val="es-ES" w:eastAsia="es-ES"/>
        </w:rPr>
        <w:t xml:space="preserve">El Informe Especial IE-3/2021 del Mecanismo Nacional de Prevención de la Tortura sobre tortura hacia las mujeres, en el Estado libre y soberano de Veracruz, entre otras autoridades, fue dirigido al Instituto Veracruzano de la Defensoría Pública; en dicho informe, se aborda el papel que desempeña la figura de la defensa de las personas privadas de la libertad, y entre las recomendaciones emitidas se solicita al Director General del Instituto Veracruzano de la Defensoría Pública, que en todas las instalaciones a su cargo, se deben difundir o publicitar las cuatro salvaguardas contenidas en el informe, en lugares visibles, capacitar a las y los Defensores Públicos, en materia de tortura y otros tratos, a fin de que </w:t>
      </w:r>
      <w:r w:rsidRPr="00A1260E">
        <w:rPr>
          <w:rFonts w:ascii="Arial" w:eastAsia="Times New Roman" w:hAnsi="Arial" w:cs="Arial"/>
          <w:bCs/>
          <w:lang w:val="es-ES" w:eastAsia="es-ES"/>
        </w:rPr>
        <w:lastRenderedPageBreak/>
        <w:t xml:space="preserve">puedan reconocerlos en el relato de las víctimas y formar en investigación y herramientas forenses a las personas servidoras públicas encargadas de la investigación de delitos. </w:t>
      </w:r>
    </w:p>
    <w:p w14:paraId="46C2EAD3" w14:textId="61D45055" w:rsidR="00A1260E" w:rsidRPr="00A1260E" w:rsidRDefault="00A1260E" w:rsidP="00A1260E">
      <w:pPr>
        <w:jc w:val="both"/>
        <w:rPr>
          <w:rFonts w:ascii="Arial" w:eastAsia="Times New Roman" w:hAnsi="Arial" w:cs="Arial"/>
          <w:b/>
          <w:bCs/>
          <w:i/>
          <w:iCs/>
          <w:lang w:val="es-ES" w:eastAsia="es-ES"/>
        </w:rPr>
      </w:pPr>
      <w:r w:rsidRPr="00A1260E">
        <w:rPr>
          <w:rFonts w:ascii="Arial" w:eastAsia="Times New Roman" w:hAnsi="Arial" w:cs="Arial"/>
          <w:b/>
          <w:bCs/>
          <w:i/>
          <w:iCs/>
          <w:lang w:val="es-ES" w:eastAsia="es-ES"/>
        </w:rPr>
        <w:t xml:space="preserve">c) Adoptar la Ley Nacional del Registro de Detenciones prevista en el artículo 73, numeral XXIII de la Constitución, que deberá ser de aplicación en todos los lugares de privación de libertad. </w:t>
      </w:r>
    </w:p>
    <w:p w14:paraId="1E604366" w14:textId="0FA123F5" w:rsidR="003442C1" w:rsidRPr="003442C1" w:rsidRDefault="003442C1" w:rsidP="00A1260E">
      <w:pPr>
        <w:jc w:val="both"/>
        <w:rPr>
          <w:rFonts w:ascii="Arial" w:eastAsia="Times New Roman" w:hAnsi="Arial" w:cs="Arial"/>
          <w:b/>
          <w:bCs/>
          <w:lang w:val="es-ES" w:eastAsia="es-ES"/>
        </w:rPr>
      </w:pPr>
      <w:r w:rsidRPr="003442C1">
        <w:rPr>
          <w:rFonts w:ascii="Arial" w:eastAsia="Times New Roman" w:hAnsi="Arial" w:cs="Arial"/>
          <w:b/>
          <w:bCs/>
          <w:lang w:val="es-ES" w:eastAsia="es-ES"/>
        </w:rPr>
        <w:t>Acciones del Mecanismo Nacional de Prevención de la Tortura</w:t>
      </w:r>
    </w:p>
    <w:p w14:paraId="1FBDA721" w14:textId="7DDCE593" w:rsidR="00A1260E" w:rsidRPr="00A1260E" w:rsidRDefault="00A1260E" w:rsidP="00A1260E">
      <w:pPr>
        <w:jc w:val="both"/>
        <w:rPr>
          <w:rFonts w:ascii="Arial" w:eastAsia="Times New Roman" w:hAnsi="Arial" w:cs="Arial"/>
          <w:lang w:val="es-ES" w:eastAsia="es-ES"/>
        </w:rPr>
      </w:pPr>
      <w:r w:rsidRPr="00A1260E">
        <w:rPr>
          <w:rFonts w:ascii="Arial" w:eastAsia="Times New Roman" w:hAnsi="Arial" w:cs="Arial"/>
          <w:lang w:val="es-ES" w:eastAsia="es-ES"/>
        </w:rPr>
        <w:t>La Ley Nacional del Registro de Detenciones</w:t>
      </w:r>
      <w:r w:rsidRPr="00A1260E">
        <w:rPr>
          <w:rFonts w:ascii="Arial" w:eastAsia="Times New Roman" w:hAnsi="Arial" w:cs="Arial"/>
          <w:vertAlign w:val="superscript"/>
          <w:lang w:val="es-ES" w:eastAsia="es-ES"/>
        </w:rPr>
        <w:footnoteReference w:id="15"/>
      </w:r>
      <w:r w:rsidRPr="00A1260E">
        <w:rPr>
          <w:rFonts w:ascii="Arial" w:eastAsia="Times New Roman" w:hAnsi="Arial" w:cs="Arial"/>
          <w:lang w:val="es-ES" w:eastAsia="es-ES"/>
        </w:rPr>
        <w:t xml:space="preserve">, en su artículo 3, indica que dicho registro consiste en una base de datos que concentra la información a nivel nacional sobre las personas detenidas, conforme a las facultades de las autoridades durante las etapas del proceso penal o del procedimiento administrativo sancionador ante juez municipal o cívico, respectivamente. </w:t>
      </w:r>
    </w:p>
    <w:p w14:paraId="1A6EFD6D" w14:textId="0040DE16" w:rsidR="00A1260E" w:rsidRPr="00A1260E" w:rsidRDefault="00A1260E" w:rsidP="00A1260E">
      <w:pPr>
        <w:jc w:val="both"/>
        <w:rPr>
          <w:rFonts w:ascii="Arial" w:eastAsia="Times New Roman" w:hAnsi="Arial" w:cs="Arial"/>
          <w:lang w:val="es-ES" w:eastAsia="es-ES"/>
        </w:rPr>
      </w:pPr>
      <w:r w:rsidRPr="00A1260E">
        <w:rPr>
          <w:rFonts w:ascii="Arial" w:eastAsia="Times New Roman" w:hAnsi="Arial" w:cs="Arial"/>
          <w:lang w:val="es-ES" w:eastAsia="es-ES"/>
        </w:rPr>
        <w:lastRenderedPageBreak/>
        <w:t>Sobre este aspecto, el Mecanismo Nacional de Prevención de la Tortura, durante el año 2021, realizó visitas de supervisión a diversos lugares de privación de la libertad destinados al cumplimiento de sanciones por faltas administrativas en los estados de Coahuila, Guanajuato, Jalisco, Puebla, Yucatán, donde se preguntó a las autoridades si los arrestos se ingresaban al Registro Nacional de Detenciones.</w:t>
      </w:r>
    </w:p>
    <w:p w14:paraId="2EFD11C5" w14:textId="77777777" w:rsidR="00A1260E" w:rsidRPr="00A1260E" w:rsidRDefault="00A1260E" w:rsidP="00A1260E">
      <w:pPr>
        <w:jc w:val="both"/>
        <w:rPr>
          <w:rFonts w:ascii="Arial" w:eastAsia="Times New Roman" w:hAnsi="Arial" w:cs="Arial"/>
          <w:lang w:val="es-ES" w:eastAsia="es-ES"/>
        </w:rPr>
      </w:pPr>
      <w:r w:rsidRPr="00A1260E">
        <w:rPr>
          <w:rFonts w:ascii="Arial" w:eastAsia="Times New Roman" w:hAnsi="Arial" w:cs="Arial"/>
          <w:lang w:val="es-ES" w:eastAsia="es-ES"/>
        </w:rPr>
        <w:t>Al respecto, se identificó que, en la mayoría de los municipios, no se hace uso del Registro Nacional de Detenciones (RND): en Coahuila, de 12 municipios visitados, 7 utilizan el RND; en Guanajuato, 6 de 11 municipios visitados utilizan la herramienta; en Jalisco, se encontró que 8 de 30 municipios visitados sí implementan el RND; en el caso de Puebla, solo 2 de 32 municipios visitados lo utilizan; y en Yucatán, tan solo 2 de 27 municipios visitados hacen uso del RND.</w:t>
      </w:r>
    </w:p>
    <w:p w14:paraId="3D9F7DDF" w14:textId="77777777" w:rsidR="00A1260E" w:rsidRPr="00A1260E" w:rsidRDefault="00A1260E" w:rsidP="00A1260E">
      <w:pPr>
        <w:jc w:val="both"/>
        <w:rPr>
          <w:rFonts w:ascii="Arial" w:eastAsia="Times New Roman" w:hAnsi="Arial" w:cs="Arial"/>
          <w:lang w:val="es-ES" w:eastAsia="es-ES"/>
        </w:rPr>
      </w:pPr>
      <w:r w:rsidRPr="00A1260E">
        <w:rPr>
          <w:rFonts w:ascii="Arial" w:eastAsia="Times New Roman" w:hAnsi="Arial" w:cs="Arial"/>
          <w:lang w:val="es-ES" w:eastAsia="es-ES"/>
        </w:rPr>
        <w:t xml:space="preserve">Lo anterior es de suma importancia, ya que todas las instituciones de seguridad pública deben informar, a quien lo solicite, sobre la detención de una persona y, en su </w:t>
      </w:r>
      <w:r w:rsidRPr="00A1260E">
        <w:rPr>
          <w:rFonts w:ascii="Arial" w:eastAsia="Times New Roman" w:hAnsi="Arial" w:cs="Arial"/>
          <w:lang w:val="es-ES" w:eastAsia="es-ES"/>
        </w:rPr>
        <w:lastRenderedPageBreak/>
        <w:t>caso, la autoridad a cuya disposición se encuentre, evitándose con ello que las personas detenidas puedan ser objeto de tortura, malos tratos o desaparición forzada.</w:t>
      </w:r>
    </w:p>
    <w:p w14:paraId="51050E6F" w14:textId="65F8D949" w:rsidR="00A1260E" w:rsidRDefault="00A1260E" w:rsidP="00B11E95">
      <w:pPr>
        <w:jc w:val="both"/>
        <w:rPr>
          <w:rFonts w:ascii="Arial" w:eastAsia="Times New Roman" w:hAnsi="Arial" w:cs="Arial"/>
          <w:lang w:val="es-ES" w:eastAsia="es-ES"/>
        </w:rPr>
      </w:pPr>
      <w:r w:rsidRPr="00A1260E">
        <w:rPr>
          <w:rFonts w:ascii="Arial" w:eastAsia="Times New Roman" w:hAnsi="Arial" w:cs="Arial"/>
          <w:lang w:val="es-ES" w:eastAsia="es-ES"/>
        </w:rPr>
        <w:t>De igual manera, el MNPT ha iniciado la vinculación con el Centro Nacional de Información del Secretariado Ejecutivo del Sistema Nacional de Seguridad Pública, con el fin de coordinar trabajos relacionados con el Registro Administrativo de Detenciones y el Informe Policial Homologado, establecidos en la Ley General del Sistema Nacional de Seguridad Pública, que permita conocer la información de dicho registro.</w:t>
      </w:r>
    </w:p>
    <w:p w14:paraId="16B4AAAD" w14:textId="2C046A91" w:rsidR="00A1260E" w:rsidRDefault="00A1260E" w:rsidP="00B11E95">
      <w:pPr>
        <w:jc w:val="both"/>
        <w:rPr>
          <w:rFonts w:ascii="Arial" w:eastAsia="Times New Roman" w:hAnsi="Arial" w:cs="Arial"/>
          <w:lang w:val="es-ES" w:eastAsia="es-ES"/>
        </w:rPr>
      </w:pPr>
    </w:p>
    <w:p w14:paraId="7B9040E0" w14:textId="77777777" w:rsidR="00A1260E" w:rsidRPr="00A1260E" w:rsidRDefault="00A1260E" w:rsidP="00A1260E">
      <w:pPr>
        <w:jc w:val="both"/>
        <w:rPr>
          <w:rFonts w:ascii="Arial" w:eastAsia="Times New Roman" w:hAnsi="Arial" w:cs="Arial"/>
          <w:b/>
          <w:bCs/>
          <w:lang w:val="es-ES" w:eastAsia="es-ES"/>
        </w:rPr>
      </w:pPr>
      <w:r w:rsidRPr="00A1260E">
        <w:rPr>
          <w:rFonts w:ascii="Arial" w:eastAsia="Times New Roman" w:hAnsi="Arial" w:cs="Arial"/>
          <w:b/>
          <w:bCs/>
          <w:lang w:val="es-ES" w:eastAsia="es-ES"/>
        </w:rPr>
        <w:t>26. El Comité insta al Estado parte a:</w:t>
      </w:r>
    </w:p>
    <w:p w14:paraId="6815D64C" w14:textId="77777777" w:rsidR="00A1260E" w:rsidRPr="00A1260E" w:rsidRDefault="00A1260E" w:rsidP="00A1260E">
      <w:pPr>
        <w:numPr>
          <w:ilvl w:val="0"/>
          <w:numId w:val="30"/>
        </w:numPr>
        <w:jc w:val="both"/>
        <w:rPr>
          <w:rFonts w:ascii="Arial" w:eastAsia="Times New Roman" w:hAnsi="Arial" w:cs="Arial"/>
          <w:b/>
          <w:bCs/>
          <w:i/>
          <w:iCs/>
          <w:lang w:val="es-ES" w:eastAsia="es-ES"/>
        </w:rPr>
      </w:pPr>
      <w:r w:rsidRPr="00A1260E">
        <w:rPr>
          <w:rFonts w:ascii="Arial" w:eastAsia="Times New Roman" w:hAnsi="Arial" w:cs="Arial"/>
          <w:b/>
          <w:bCs/>
          <w:i/>
          <w:iCs/>
          <w:lang w:val="es-ES" w:eastAsia="es-ES"/>
        </w:rPr>
        <w:t>Garantizar que todas las denuncias de tortura y malos tratos sean investigadas de manera pronta e imparcial por un órgano independiente;</w:t>
      </w:r>
    </w:p>
    <w:p w14:paraId="28CB0471" w14:textId="77777777" w:rsidR="00A1260E" w:rsidRPr="00A1260E" w:rsidRDefault="00A1260E" w:rsidP="00A1260E">
      <w:pPr>
        <w:numPr>
          <w:ilvl w:val="0"/>
          <w:numId w:val="30"/>
        </w:numPr>
        <w:jc w:val="both"/>
        <w:rPr>
          <w:rFonts w:ascii="Arial" w:eastAsia="Times New Roman" w:hAnsi="Arial" w:cs="Arial"/>
          <w:b/>
          <w:bCs/>
          <w:i/>
          <w:iCs/>
          <w:lang w:val="es-ES" w:eastAsia="es-ES"/>
        </w:rPr>
      </w:pPr>
      <w:r w:rsidRPr="00A1260E">
        <w:rPr>
          <w:rFonts w:ascii="Arial" w:eastAsia="Times New Roman" w:hAnsi="Arial" w:cs="Arial"/>
          <w:b/>
          <w:bCs/>
          <w:i/>
          <w:iCs/>
          <w:lang w:val="es-ES" w:eastAsia="es-ES"/>
        </w:rPr>
        <w:lastRenderedPageBreak/>
        <w:t>Velar por que las autoridades inicien de oficio una investigación siempre que haya motivos razonables para creer que se ha cometido un acto de tortura o se han infligido malos tratos;</w:t>
      </w:r>
    </w:p>
    <w:p w14:paraId="0F762CEF" w14:textId="77777777" w:rsidR="00A1260E" w:rsidRPr="00A1260E" w:rsidRDefault="00A1260E" w:rsidP="00A1260E">
      <w:pPr>
        <w:numPr>
          <w:ilvl w:val="0"/>
          <w:numId w:val="30"/>
        </w:numPr>
        <w:jc w:val="both"/>
        <w:rPr>
          <w:rFonts w:ascii="Arial" w:eastAsia="Times New Roman" w:hAnsi="Arial" w:cs="Arial"/>
          <w:b/>
          <w:bCs/>
          <w:i/>
          <w:iCs/>
          <w:lang w:val="es-ES" w:eastAsia="es-ES"/>
        </w:rPr>
      </w:pPr>
      <w:r w:rsidRPr="00A1260E">
        <w:rPr>
          <w:rFonts w:ascii="Arial" w:eastAsia="Times New Roman" w:hAnsi="Arial" w:cs="Arial"/>
          <w:b/>
          <w:bCs/>
          <w:i/>
          <w:iCs/>
          <w:lang w:val="es-ES" w:eastAsia="es-ES"/>
        </w:rPr>
        <w:t>Velar por que, en los casos de tortura y malos tratos, los presuntos autores sean suspendidos de sus funciones de forma inmediata y durante toda la investigación, en particular cuando exista riesgo de que, de no hacerse así, pudieran volver a cometer los actos de los que son sospechosos, ejercer represalias contra la presunta víctima u obstruir la investigación;</w:t>
      </w:r>
    </w:p>
    <w:p w14:paraId="43A6840C" w14:textId="77777777" w:rsidR="00A1260E" w:rsidRPr="00A1260E" w:rsidRDefault="00A1260E" w:rsidP="00A1260E">
      <w:pPr>
        <w:numPr>
          <w:ilvl w:val="0"/>
          <w:numId w:val="30"/>
        </w:numPr>
        <w:jc w:val="both"/>
        <w:rPr>
          <w:rFonts w:ascii="Arial" w:eastAsia="Times New Roman" w:hAnsi="Arial" w:cs="Arial"/>
          <w:b/>
          <w:bCs/>
          <w:i/>
          <w:iCs/>
          <w:lang w:val="es-ES" w:eastAsia="es-ES"/>
        </w:rPr>
      </w:pPr>
      <w:r w:rsidRPr="00A1260E">
        <w:rPr>
          <w:rFonts w:ascii="Arial" w:eastAsia="Times New Roman" w:hAnsi="Arial" w:cs="Arial"/>
          <w:b/>
          <w:bCs/>
          <w:i/>
          <w:iCs/>
          <w:lang w:val="es-ES" w:eastAsia="es-ES"/>
        </w:rPr>
        <w:t xml:space="preserve">Facilitar el acceso de las víctimas a la justicia, mediante el acompañamiento legal pertinente, incluida la asistencia letrada gratuita cuando así se justifique. En particular, el Comité insta al Estado parte a revisar el contenido del Protocolo Homologado con vistas a garantizar el acceso a la justicia de las víctimas; </w:t>
      </w:r>
    </w:p>
    <w:p w14:paraId="247BD0DE" w14:textId="0A0719D5" w:rsidR="00A1260E" w:rsidRPr="00A1260E" w:rsidRDefault="00A1260E" w:rsidP="00A1260E">
      <w:pPr>
        <w:numPr>
          <w:ilvl w:val="0"/>
          <w:numId w:val="30"/>
        </w:numPr>
        <w:jc w:val="both"/>
        <w:rPr>
          <w:rFonts w:ascii="Arial" w:eastAsia="Times New Roman" w:hAnsi="Arial" w:cs="Arial"/>
          <w:b/>
          <w:bCs/>
          <w:i/>
          <w:iCs/>
          <w:lang w:val="es-ES" w:eastAsia="es-ES"/>
        </w:rPr>
      </w:pPr>
      <w:r w:rsidRPr="00A1260E">
        <w:rPr>
          <w:rFonts w:ascii="Arial" w:eastAsia="Times New Roman" w:hAnsi="Arial" w:cs="Arial"/>
          <w:b/>
          <w:bCs/>
          <w:i/>
          <w:iCs/>
          <w:lang w:val="es-ES" w:eastAsia="es-ES"/>
        </w:rPr>
        <w:lastRenderedPageBreak/>
        <w:t>Garantizar que los presuntos autores de prácticas de tortura y malos tratos y sus superiores responsables de ordenarlas o tolerarlas sean enjuiciados debidamente y, de ser declarados culpables, se les impongan penas acordes con la gravedad de sus actos;</w:t>
      </w:r>
    </w:p>
    <w:p w14:paraId="40F2736C" w14:textId="0A1197C8" w:rsidR="003442C1" w:rsidRPr="003442C1" w:rsidRDefault="003442C1" w:rsidP="00A1260E">
      <w:pPr>
        <w:jc w:val="both"/>
        <w:rPr>
          <w:rFonts w:ascii="Arial" w:eastAsia="Times New Roman" w:hAnsi="Arial" w:cs="Arial"/>
          <w:b/>
          <w:bCs/>
          <w:lang w:val="es-ES" w:eastAsia="es-ES"/>
        </w:rPr>
      </w:pPr>
      <w:r w:rsidRPr="003442C1">
        <w:rPr>
          <w:rFonts w:ascii="Arial" w:eastAsia="Times New Roman" w:hAnsi="Arial" w:cs="Arial"/>
          <w:b/>
          <w:bCs/>
          <w:lang w:val="es-ES" w:eastAsia="es-ES"/>
        </w:rPr>
        <w:t xml:space="preserve">Acciones del Mecanismo Nacional de Prevención de la Tortura </w:t>
      </w:r>
    </w:p>
    <w:p w14:paraId="0C6C1904" w14:textId="04761439" w:rsidR="00A1260E" w:rsidRPr="00A1260E" w:rsidRDefault="00A1260E" w:rsidP="00A1260E">
      <w:pPr>
        <w:jc w:val="both"/>
        <w:rPr>
          <w:rFonts w:ascii="Arial" w:eastAsia="Times New Roman" w:hAnsi="Arial" w:cs="Arial"/>
          <w:lang w:val="es-ES" w:eastAsia="es-ES"/>
        </w:rPr>
      </w:pPr>
      <w:r w:rsidRPr="00A1260E">
        <w:rPr>
          <w:rFonts w:ascii="Arial" w:eastAsia="Times New Roman" w:hAnsi="Arial" w:cs="Arial"/>
          <w:lang w:val="es-ES" w:eastAsia="es-ES"/>
        </w:rPr>
        <w:t xml:space="preserve">Respecto a los incisos </w:t>
      </w:r>
      <w:r w:rsidRPr="00A1260E">
        <w:rPr>
          <w:rFonts w:ascii="Arial" w:eastAsia="Times New Roman" w:hAnsi="Arial" w:cs="Arial"/>
          <w:i/>
          <w:iCs/>
          <w:lang w:val="es-ES" w:eastAsia="es-ES"/>
        </w:rPr>
        <w:t xml:space="preserve">a) </w:t>
      </w:r>
      <w:r w:rsidRPr="00A1260E">
        <w:rPr>
          <w:rFonts w:ascii="Arial" w:eastAsia="Times New Roman" w:hAnsi="Arial" w:cs="Arial"/>
          <w:lang w:val="es-ES" w:eastAsia="es-ES"/>
        </w:rPr>
        <w:t xml:space="preserve">a </w:t>
      </w:r>
      <w:r w:rsidRPr="00A1260E">
        <w:rPr>
          <w:rFonts w:ascii="Arial" w:eastAsia="Times New Roman" w:hAnsi="Arial" w:cs="Arial"/>
          <w:i/>
          <w:iCs/>
          <w:lang w:val="es-ES" w:eastAsia="es-ES"/>
        </w:rPr>
        <w:t>e)</w:t>
      </w:r>
      <w:r w:rsidRPr="00A1260E">
        <w:rPr>
          <w:rFonts w:ascii="Arial" w:eastAsia="Times New Roman" w:hAnsi="Arial" w:cs="Arial"/>
          <w:lang w:val="es-ES" w:eastAsia="es-ES"/>
        </w:rPr>
        <w:t xml:space="preserve">, es importante señalar que la tortura, en el marco jurídico mexicano, es considerada un delito y una violación a derechos humanos. Debido a ello, a partir del año 2021, este Mecanismo ha iniciado la vinculación tanto con las fiscalías generales, tanto del ámbito Federal y Estatal, como con los Organismos Públicos de Derechos Humanos, con el fin de incidir en la importancia de la </w:t>
      </w:r>
      <w:r w:rsidRPr="00A1260E">
        <w:rPr>
          <w:rFonts w:ascii="Arial" w:eastAsia="Times New Roman" w:hAnsi="Arial" w:cs="Arial"/>
          <w:lang w:val="es-ES" w:eastAsia="es-ES"/>
        </w:rPr>
        <w:lastRenderedPageBreak/>
        <w:t>investigación del delito de tortura, así como del de tratos crueles, inhumanos o degradantes</w:t>
      </w:r>
      <w:r w:rsidRPr="00A1260E">
        <w:rPr>
          <w:rFonts w:ascii="Arial" w:eastAsia="Times New Roman" w:hAnsi="Arial" w:cs="Arial"/>
          <w:vertAlign w:val="superscript"/>
          <w:lang w:val="es-ES" w:eastAsia="es-ES"/>
        </w:rPr>
        <w:footnoteReference w:id="16"/>
      </w:r>
      <w:r w:rsidRPr="00A1260E">
        <w:rPr>
          <w:rFonts w:ascii="Arial" w:eastAsia="Times New Roman" w:hAnsi="Arial" w:cs="Arial"/>
          <w:lang w:val="es-ES" w:eastAsia="es-ES"/>
        </w:rPr>
        <w:t>.</w:t>
      </w:r>
    </w:p>
    <w:p w14:paraId="1D62A77E" w14:textId="08B3BD3C" w:rsidR="00A1260E" w:rsidRPr="00A1260E" w:rsidRDefault="00A1260E" w:rsidP="00A1260E">
      <w:pPr>
        <w:jc w:val="both"/>
        <w:rPr>
          <w:rFonts w:ascii="Arial" w:eastAsia="Times New Roman" w:hAnsi="Arial" w:cs="Arial"/>
          <w:lang w:val="es-ES" w:eastAsia="es-ES"/>
        </w:rPr>
      </w:pPr>
      <w:r w:rsidRPr="00A1260E">
        <w:rPr>
          <w:rFonts w:ascii="Arial" w:eastAsia="Times New Roman" w:hAnsi="Arial" w:cs="Arial"/>
          <w:lang w:val="es-ES" w:eastAsia="es-ES"/>
        </w:rPr>
        <w:t xml:space="preserve">En ese sentido, en el periodo de enero a diciembre de 2021, se presentaron </w:t>
      </w:r>
      <w:bookmarkStart w:id="8" w:name="_Hlk93506378"/>
      <w:r w:rsidRPr="00A1260E">
        <w:rPr>
          <w:rFonts w:ascii="Arial" w:eastAsia="Times New Roman" w:hAnsi="Arial" w:cs="Arial"/>
          <w:b/>
          <w:lang w:val="es-ES" w:eastAsia="es-ES"/>
        </w:rPr>
        <w:t>162 quejas, denuncias y procesos administrativos</w:t>
      </w:r>
      <w:bookmarkEnd w:id="8"/>
      <w:r w:rsidRPr="00A1260E">
        <w:rPr>
          <w:rFonts w:ascii="Arial" w:eastAsia="Times New Roman" w:hAnsi="Arial" w:cs="Arial"/>
          <w:lang w:val="es-ES" w:eastAsia="es-ES"/>
        </w:rPr>
        <w:t xml:space="preserve">. De este total, </w:t>
      </w:r>
      <w:r w:rsidRPr="00A1260E">
        <w:rPr>
          <w:rFonts w:ascii="Arial" w:eastAsia="Times New Roman" w:hAnsi="Arial" w:cs="Arial"/>
          <w:b/>
          <w:lang w:val="es-ES" w:eastAsia="es-ES"/>
        </w:rPr>
        <w:t>98</w:t>
      </w:r>
      <w:r w:rsidRPr="00A1260E">
        <w:rPr>
          <w:rFonts w:ascii="Arial" w:eastAsia="Times New Roman" w:hAnsi="Arial" w:cs="Arial"/>
          <w:lang w:val="es-ES" w:eastAsia="es-ES"/>
        </w:rPr>
        <w:t xml:space="preserve"> son quejas, </w:t>
      </w:r>
      <w:r w:rsidRPr="00A1260E">
        <w:rPr>
          <w:rFonts w:ascii="Arial" w:eastAsia="Times New Roman" w:hAnsi="Arial" w:cs="Arial"/>
          <w:b/>
          <w:lang w:val="es-ES" w:eastAsia="es-ES"/>
        </w:rPr>
        <w:t>63 son denuncias</w:t>
      </w:r>
      <w:r w:rsidRPr="00A1260E">
        <w:rPr>
          <w:rFonts w:ascii="Arial" w:eastAsia="Times New Roman" w:hAnsi="Arial" w:cs="Arial"/>
          <w:lang w:val="es-ES" w:eastAsia="es-ES"/>
        </w:rPr>
        <w:t xml:space="preserve"> y </w:t>
      </w:r>
      <w:r w:rsidRPr="00A1260E">
        <w:rPr>
          <w:rFonts w:ascii="Arial" w:eastAsia="Times New Roman" w:hAnsi="Arial" w:cs="Arial"/>
          <w:b/>
          <w:lang w:val="es-ES" w:eastAsia="es-ES"/>
        </w:rPr>
        <w:t>1</w:t>
      </w:r>
      <w:r w:rsidRPr="00A1260E">
        <w:rPr>
          <w:rFonts w:ascii="Arial" w:eastAsia="Times New Roman" w:hAnsi="Arial" w:cs="Arial"/>
          <w:lang w:val="es-ES" w:eastAsia="es-ES"/>
        </w:rPr>
        <w:t xml:space="preserve"> proceso administrativo.</w:t>
      </w:r>
    </w:p>
    <w:p w14:paraId="25EC4EBE" w14:textId="5FF8913F" w:rsidR="00A1260E" w:rsidRPr="00A1260E" w:rsidRDefault="00A1260E" w:rsidP="00A1260E">
      <w:pPr>
        <w:jc w:val="both"/>
        <w:rPr>
          <w:rFonts w:ascii="Arial" w:eastAsia="Times New Roman" w:hAnsi="Arial" w:cs="Arial"/>
          <w:lang w:val="es-ES" w:eastAsia="es-ES"/>
        </w:rPr>
      </w:pPr>
      <w:r w:rsidRPr="00A1260E">
        <w:rPr>
          <w:rFonts w:ascii="Arial" w:eastAsia="Times New Roman" w:hAnsi="Arial" w:cs="Arial"/>
          <w:lang w:val="es-ES" w:eastAsia="es-ES"/>
        </w:rPr>
        <w:lastRenderedPageBreak/>
        <w:t>En la actualidad el Mecanismo se encuentra sistematizando la información proporcionada por los organismos investigadores correspondientes, para estar en condiciones de emitir un informe que, de acuerdo con lo que señala el artículo 78, fracción XI, de la LGPIST, contendrá una serie de recomendaciones en materia de investigación de tortura y otros tratos o penas crueles, inhumanas o degradantes a las Fiscalías Especializadas.</w:t>
      </w:r>
    </w:p>
    <w:p w14:paraId="5D695284" w14:textId="77777777" w:rsidR="00B91D63" w:rsidRDefault="00B91D63" w:rsidP="003442C1">
      <w:pPr>
        <w:jc w:val="both"/>
        <w:rPr>
          <w:rFonts w:ascii="Arial" w:eastAsia="Times New Roman" w:hAnsi="Arial" w:cs="Arial"/>
          <w:b/>
          <w:bCs/>
          <w:i/>
          <w:lang w:val="es" w:eastAsia="es-ES"/>
        </w:rPr>
      </w:pPr>
    </w:p>
    <w:p w14:paraId="7595A21E" w14:textId="206F0040" w:rsidR="00A1260E" w:rsidRPr="00A1260E" w:rsidRDefault="00A1260E" w:rsidP="003442C1">
      <w:pPr>
        <w:jc w:val="both"/>
        <w:rPr>
          <w:rFonts w:ascii="Arial" w:eastAsia="Times New Roman" w:hAnsi="Arial" w:cs="Arial"/>
          <w:b/>
          <w:bCs/>
          <w:i/>
          <w:lang w:val="es" w:eastAsia="es-ES"/>
        </w:rPr>
      </w:pPr>
      <w:r w:rsidRPr="00A1260E">
        <w:rPr>
          <w:rFonts w:ascii="Arial" w:eastAsia="Times New Roman" w:hAnsi="Arial" w:cs="Arial"/>
          <w:b/>
          <w:bCs/>
          <w:i/>
          <w:lang w:val="es" w:eastAsia="es-ES"/>
        </w:rPr>
        <w:t>f) Garantizar la aplicación y cumplimiento de las disposiciones de la Ley General contra la Tortura, en particular en materia de investigación y enjuiciamiento de los actos de tortura y malos tratos. El Estado parte deberá velar por el establecimiento y correcto funcionamiento de todas las fiscalías especiales, garantizando su autonomía, asignación de recursos adecuados y capacitación de su personal;</w:t>
      </w:r>
    </w:p>
    <w:p w14:paraId="0879439A" w14:textId="77777777" w:rsidR="00A1260E" w:rsidRPr="00A1260E" w:rsidRDefault="00A1260E" w:rsidP="003442C1">
      <w:pPr>
        <w:jc w:val="both"/>
        <w:rPr>
          <w:rFonts w:ascii="Arial" w:eastAsia="Times New Roman" w:hAnsi="Arial" w:cs="Arial"/>
          <w:b/>
          <w:bCs/>
          <w:i/>
          <w:lang w:val="es" w:eastAsia="es-ES"/>
        </w:rPr>
      </w:pPr>
      <w:r w:rsidRPr="00A1260E">
        <w:rPr>
          <w:rFonts w:ascii="Arial" w:eastAsia="Times New Roman" w:hAnsi="Arial" w:cs="Arial"/>
          <w:b/>
          <w:bCs/>
          <w:i/>
          <w:lang w:val="es" w:eastAsia="es-ES"/>
        </w:rPr>
        <w:lastRenderedPageBreak/>
        <w:t>g) Velar por que los operadores de justicia reciban la formación necesaria que les permita determinar correctamente el tipo penal aplicable en casos de tortura y malos tratos;</w:t>
      </w:r>
    </w:p>
    <w:p w14:paraId="190C8F8B" w14:textId="0C2E08BB" w:rsidR="00B91D63" w:rsidRPr="00B91D63" w:rsidRDefault="00B91D63" w:rsidP="00A1260E">
      <w:pPr>
        <w:jc w:val="both"/>
        <w:rPr>
          <w:rFonts w:ascii="Arial" w:eastAsia="Times New Roman" w:hAnsi="Arial" w:cs="Arial"/>
          <w:b/>
          <w:bCs/>
          <w:lang w:val="es-ES" w:eastAsia="es-ES"/>
        </w:rPr>
      </w:pPr>
      <w:r w:rsidRPr="00B91D63">
        <w:rPr>
          <w:rFonts w:ascii="Arial" w:eastAsia="Times New Roman" w:hAnsi="Arial" w:cs="Arial"/>
          <w:b/>
          <w:bCs/>
          <w:lang w:val="es-ES" w:eastAsia="es-ES"/>
        </w:rPr>
        <w:t>Acciones del Mecanismo Nacional de Prevención de la Tortura</w:t>
      </w:r>
    </w:p>
    <w:p w14:paraId="2F23113C" w14:textId="2C8F85CB" w:rsidR="00A1260E" w:rsidRPr="00A1260E" w:rsidRDefault="00A1260E" w:rsidP="00A1260E">
      <w:pPr>
        <w:jc w:val="both"/>
        <w:rPr>
          <w:rFonts w:ascii="Arial" w:eastAsia="Times New Roman" w:hAnsi="Arial" w:cs="Arial"/>
          <w:lang w:val="es-ES" w:eastAsia="es-ES"/>
        </w:rPr>
      </w:pPr>
      <w:r w:rsidRPr="00A1260E">
        <w:rPr>
          <w:rFonts w:ascii="Arial" w:eastAsia="Times New Roman" w:hAnsi="Arial" w:cs="Arial"/>
          <w:lang w:val="es-ES" w:eastAsia="es-ES"/>
        </w:rPr>
        <w:t xml:space="preserve">Sobre los incisos </w:t>
      </w:r>
      <w:r w:rsidRPr="00A1260E">
        <w:rPr>
          <w:rFonts w:ascii="Arial" w:eastAsia="Times New Roman" w:hAnsi="Arial" w:cs="Arial"/>
          <w:i/>
          <w:iCs/>
          <w:lang w:val="es-ES" w:eastAsia="es-ES"/>
        </w:rPr>
        <w:t xml:space="preserve">f) </w:t>
      </w:r>
      <w:r w:rsidRPr="00A1260E">
        <w:rPr>
          <w:rFonts w:ascii="Arial" w:eastAsia="Times New Roman" w:hAnsi="Arial" w:cs="Arial"/>
          <w:lang w:val="es-ES" w:eastAsia="es-ES"/>
        </w:rPr>
        <w:t xml:space="preserve">y </w:t>
      </w:r>
      <w:r w:rsidRPr="00A1260E">
        <w:rPr>
          <w:rFonts w:ascii="Arial" w:eastAsia="Times New Roman" w:hAnsi="Arial" w:cs="Arial"/>
          <w:i/>
          <w:iCs/>
          <w:lang w:val="es-ES" w:eastAsia="es-ES"/>
        </w:rPr>
        <w:t xml:space="preserve">g), </w:t>
      </w:r>
      <w:r w:rsidRPr="00A1260E">
        <w:rPr>
          <w:rFonts w:ascii="Arial" w:eastAsia="Times New Roman" w:hAnsi="Arial" w:cs="Arial"/>
          <w:lang w:val="es-ES" w:eastAsia="es-ES"/>
        </w:rPr>
        <w:t>el Mecanismo ha solicitado información a las 32 Fiscalías del mismo número de Entidades Federativas, con respecto al número total del personal que labora en la Fiscalía o Unidad Especializada en la materia, desagregada en cuanto al número de personas que realizan funciones de ministerios públicos, policías, servicios periciales y técnicos especializados. Contando solamente con información de las fiscalías generales de la Ciudad de México, Baja California, Zacatecas, Durango, Oaxaca y Querétaro, de cuya información, hasta el 17 de enero de 2022, se obtuvieron los siguientes datos:</w:t>
      </w:r>
    </w:p>
    <w:tbl>
      <w:tblPr>
        <w:tblStyle w:val="TableGrid"/>
        <w:tblW w:w="0" w:type="auto"/>
        <w:tblInd w:w="-5" w:type="dxa"/>
        <w:tblLook w:val="04A0" w:firstRow="1" w:lastRow="0" w:firstColumn="1" w:lastColumn="0" w:noHBand="0" w:noVBand="1"/>
      </w:tblPr>
      <w:tblGrid>
        <w:gridCol w:w="1317"/>
        <w:gridCol w:w="1416"/>
        <w:gridCol w:w="1346"/>
        <w:gridCol w:w="1363"/>
        <w:gridCol w:w="1622"/>
        <w:gridCol w:w="1769"/>
      </w:tblGrid>
      <w:tr w:rsidR="00A1260E" w:rsidRPr="00A1260E" w14:paraId="7C0EF52A" w14:textId="77777777" w:rsidTr="00096F4B">
        <w:tc>
          <w:tcPr>
            <w:tcW w:w="1180" w:type="dxa"/>
            <w:shd w:val="clear" w:color="auto" w:fill="FFC000" w:themeFill="accent4"/>
          </w:tcPr>
          <w:p w14:paraId="6F58FDAA" w14:textId="77777777" w:rsidR="00A1260E" w:rsidRPr="00A1260E" w:rsidRDefault="00A1260E" w:rsidP="00A1260E">
            <w:pPr>
              <w:spacing w:after="160" w:line="259" w:lineRule="auto"/>
              <w:jc w:val="both"/>
              <w:rPr>
                <w:rFonts w:ascii="Arial" w:eastAsia="Times New Roman" w:hAnsi="Arial" w:cs="Arial"/>
                <w:b/>
                <w:lang w:val="es-ES" w:eastAsia="es-ES"/>
              </w:rPr>
            </w:pPr>
            <w:r w:rsidRPr="00A1260E">
              <w:rPr>
                <w:rFonts w:ascii="Arial" w:eastAsia="Times New Roman" w:hAnsi="Arial" w:cs="Arial"/>
                <w:b/>
                <w:lang w:val="es-ES" w:eastAsia="es-ES"/>
              </w:rPr>
              <w:t>Entidad Federativa</w:t>
            </w:r>
          </w:p>
        </w:tc>
        <w:tc>
          <w:tcPr>
            <w:tcW w:w="1587" w:type="dxa"/>
            <w:shd w:val="clear" w:color="auto" w:fill="FFC000" w:themeFill="accent4"/>
          </w:tcPr>
          <w:p w14:paraId="44085EEA" w14:textId="77777777" w:rsidR="00A1260E" w:rsidRPr="00A1260E" w:rsidRDefault="00A1260E" w:rsidP="00A1260E">
            <w:pPr>
              <w:spacing w:after="160" w:line="259" w:lineRule="auto"/>
              <w:jc w:val="both"/>
              <w:rPr>
                <w:rFonts w:ascii="Arial" w:eastAsia="Times New Roman" w:hAnsi="Arial" w:cs="Arial"/>
                <w:b/>
                <w:lang w:val="es-ES" w:eastAsia="es-ES"/>
              </w:rPr>
            </w:pPr>
            <w:r w:rsidRPr="00A1260E">
              <w:rPr>
                <w:rFonts w:ascii="Arial" w:eastAsia="Times New Roman" w:hAnsi="Arial" w:cs="Arial"/>
                <w:b/>
                <w:lang w:val="es-ES" w:eastAsia="es-ES"/>
              </w:rPr>
              <w:t>Agentes del ministerio público</w:t>
            </w:r>
          </w:p>
        </w:tc>
        <w:tc>
          <w:tcPr>
            <w:tcW w:w="1395" w:type="dxa"/>
            <w:shd w:val="clear" w:color="auto" w:fill="FFC000" w:themeFill="accent4"/>
          </w:tcPr>
          <w:p w14:paraId="102E101A" w14:textId="77777777" w:rsidR="00A1260E" w:rsidRPr="00A1260E" w:rsidRDefault="00A1260E" w:rsidP="00A1260E">
            <w:pPr>
              <w:spacing w:after="160" w:line="259" w:lineRule="auto"/>
              <w:jc w:val="both"/>
              <w:rPr>
                <w:rFonts w:ascii="Arial" w:eastAsia="Times New Roman" w:hAnsi="Arial" w:cs="Arial"/>
                <w:b/>
                <w:lang w:val="es-ES" w:eastAsia="es-ES"/>
              </w:rPr>
            </w:pPr>
            <w:r w:rsidRPr="00A1260E">
              <w:rPr>
                <w:rFonts w:ascii="Arial" w:eastAsia="Times New Roman" w:hAnsi="Arial" w:cs="Arial"/>
                <w:b/>
                <w:lang w:val="es-ES" w:eastAsia="es-ES"/>
              </w:rPr>
              <w:t>Personal de psicología</w:t>
            </w:r>
          </w:p>
        </w:tc>
        <w:tc>
          <w:tcPr>
            <w:tcW w:w="1587" w:type="dxa"/>
            <w:shd w:val="clear" w:color="auto" w:fill="FFC000" w:themeFill="accent4"/>
          </w:tcPr>
          <w:p w14:paraId="522C67CC" w14:textId="77777777" w:rsidR="00A1260E" w:rsidRPr="00A1260E" w:rsidRDefault="00A1260E" w:rsidP="00A1260E">
            <w:pPr>
              <w:spacing w:after="160" w:line="259" w:lineRule="auto"/>
              <w:jc w:val="both"/>
              <w:rPr>
                <w:rFonts w:ascii="Arial" w:eastAsia="Times New Roman" w:hAnsi="Arial" w:cs="Arial"/>
                <w:b/>
                <w:lang w:val="es-ES" w:eastAsia="es-ES"/>
              </w:rPr>
            </w:pPr>
            <w:r w:rsidRPr="00A1260E">
              <w:rPr>
                <w:rFonts w:ascii="Arial" w:eastAsia="Times New Roman" w:hAnsi="Arial" w:cs="Arial"/>
                <w:b/>
                <w:lang w:val="es-ES" w:eastAsia="es-ES"/>
              </w:rPr>
              <w:t>Personal de medicina</w:t>
            </w:r>
          </w:p>
        </w:tc>
        <w:tc>
          <w:tcPr>
            <w:tcW w:w="1497" w:type="dxa"/>
            <w:shd w:val="clear" w:color="auto" w:fill="FFC000" w:themeFill="accent4"/>
          </w:tcPr>
          <w:p w14:paraId="0C96D959" w14:textId="77777777" w:rsidR="00A1260E" w:rsidRPr="00A1260E" w:rsidRDefault="00A1260E" w:rsidP="00A1260E">
            <w:pPr>
              <w:spacing w:after="160" w:line="259" w:lineRule="auto"/>
              <w:jc w:val="both"/>
              <w:rPr>
                <w:rFonts w:ascii="Arial" w:eastAsia="Times New Roman" w:hAnsi="Arial" w:cs="Arial"/>
                <w:b/>
                <w:lang w:val="es-ES" w:eastAsia="es-ES"/>
              </w:rPr>
            </w:pPr>
            <w:r w:rsidRPr="00A1260E">
              <w:rPr>
                <w:rFonts w:ascii="Arial" w:eastAsia="Times New Roman" w:hAnsi="Arial" w:cs="Arial"/>
                <w:b/>
                <w:lang w:val="es-ES" w:eastAsia="es-ES"/>
              </w:rPr>
              <w:t>Policía de investigación</w:t>
            </w:r>
          </w:p>
        </w:tc>
        <w:tc>
          <w:tcPr>
            <w:tcW w:w="1587" w:type="dxa"/>
            <w:shd w:val="clear" w:color="auto" w:fill="FFC000" w:themeFill="accent4"/>
          </w:tcPr>
          <w:p w14:paraId="121CF5D0" w14:textId="77777777" w:rsidR="00A1260E" w:rsidRPr="00A1260E" w:rsidRDefault="00A1260E" w:rsidP="00A1260E">
            <w:pPr>
              <w:spacing w:after="160" w:line="259" w:lineRule="auto"/>
              <w:jc w:val="both"/>
              <w:rPr>
                <w:rFonts w:ascii="Arial" w:eastAsia="Times New Roman" w:hAnsi="Arial" w:cs="Arial"/>
                <w:b/>
                <w:lang w:val="es-ES" w:eastAsia="es-ES"/>
              </w:rPr>
            </w:pPr>
            <w:r w:rsidRPr="00A1260E">
              <w:rPr>
                <w:rFonts w:ascii="Arial" w:eastAsia="Times New Roman" w:hAnsi="Arial" w:cs="Arial"/>
                <w:b/>
                <w:lang w:val="es-ES" w:eastAsia="es-ES"/>
              </w:rPr>
              <w:t>Técnicos especializados</w:t>
            </w:r>
          </w:p>
        </w:tc>
      </w:tr>
      <w:tr w:rsidR="00A1260E" w:rsidRPr="00A1260E" w14:paraId="6C90208A" w14:textId="77777777" w:rsidTr="00096F4B">
        <w:tc>
          <w:tcPr>
            <w:tcW w:w="1180" w:type="dxa"/>
          </w:tcPr>
          <w:p w14:paraId="64E04CD5" w14:textId="77777777" w:rsidR="00A1260E" w:rsidRPr="00A1260E" w:rsidRDefault="00A1260E" w:rsidP="00A1260E">
            <w:pPr>
              <w:spacing w:after="160" w:line="259" w:lineRule="auto"/>
              <w:jc w:val="both"/>
              <w:rPr>
                <w:rFonts w:ascii="Arial" w:eastAsia="Times New Roman" w:hAnsi="Arial" w:cs="Arial"/>
                <w:b/>
                <w:lang w:val="es-ES" w:eastAsia="es-ES"/>
              </w:rPr>
            </w:pPr>
            <w:r w:rsidRPr="00A1260E">
              <w:rPr>
                <w:rFonts w:ascii="Arial" w:eastAsia="Times New Roman" w:hAnsi="Arial" w:cs="Arial"/>
                <w:b/>
                <w:lang w:val="es-ES" w:eastAsia="es-ES"/>
              </w:rPr>
              <w:lastRenderedPageBreak/>
              <w:t>Ciudad de México</w:t>
            </w:r>
          </w:p>
        </w:tc>
        <w:tc>
          <w:tcPr>
            <w:tcW w:w="1587" w:type="dxa"/>
          </w:tcPr>
          <w:p w14:paraId="0BF07BE5"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6</w:t>
            </w:r>
          </w:p>
        </w:tc>
        <w:tc>
          <w:tcPr>
            <w:tcW w:w="1395" w:type="dxa"/>
          </w:tcPr>
          <w:p w14:paraId="23CDC4FA"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4</w:t>
            </w:r>
          </w:p>
        </w:tc>
        <w:tc>
          <w:tcPr>
            <w:tcW w:w="1587" w:type="dxa"/>
          </w:tcPr>
          <w:p w14:paraId="280A7AEC"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2</w:t>
            </w:r>
          </w:p>
        </w:tc>
        <w:tc>
          <w:tcPr>
            <w:tcW w:w="1497" w:type="dxa"/>
          </w:tcPr>
          <w:p w14:paraId="351A69E1"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1</w:t>
            </w:r>
          </w:p>
        </w:tc>
        <w:tc>
          <w:tcPr>
            <w:tcW w:w="1587" w:type="dxa"/>
          </w:tcPr>
          <w:p w14:paraId="515CB4C7"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0</w:t>
            </w:r>
          </w:p>
        </w:tc>
      </w:tr>
      <w:tr w:rsidR="00A1260E" w:rsidRPr="00A1260E" w14:paraId="427856D5" w14:textId="77777777" w:rsidTr="00096F4B">
        <w:tc>
          <w:tcPr>
            <w:tcW w:w="1180" w:type="dxa"/>
          </w:tcPr>
          <w:p w14:paraId="703D3DB3" w14:textId="77777777" w:rsidR="00A1260E" w:rsidRPr="00A1260E" w:rsidRDefault="00A1260E" w:rsidP="00A1260E">
            <w:pPr>
              <w:spacing w:after="160" w:line="259" w:lineRule="auto"/>
              <w:jc w:val="both"/>
              <w:rPr>
                <w:rFonts w:ascii="Arial" w:eastAsia="Times New Roman" w:hAnsi="Arial" w:cs="Arial"/>
                <w:b/>
                <w:lang w:val="es-ES" w:eastAsia="es-ES"/>
              </w:rPr>
            </w:pPr>
            <w:r w:rsidRPr="00A1260E">
              <w:rPr>
                <w:rFonts w:ascii="Arial" w:eastAsia="Times New Roman" w:hAnsi="Arial" w:cs="Arial"/>
                <w:b/>
                <w:lang w:val="es-ES" w:eastAsia="es-ES"/>
              </w:rPr>
              <w:t>Baja California</w:t>
            </w:r>
          </w:p>
        </w:tc>
        <w:tc>
          <w:tcPr>
            <w:tcW w:w="1587" w:type="dxa"/>
          </w:tcPr>
          <w:p w14:paraId="7874E7B2"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10</w:t>
            </w:r>
          </w:p>
        </w:tc>
        <w:tc>
          <w:tcPr>
            <w:tcW w:w="1395" w:type="dxa"/>
          </w:tcPr>
          <w:p w14:paraId="37E9989E"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0</w:t>
            </w:r>
          </w:p>
        </w:tc>
        <w:tc>
          <w:tcPr>
            <w:tcW w:w="1587" w:type="dxa"/>
          </w:tcPr>
          <w:p w14:paraId="1790B01B"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0</w:t>
            </w:r>
          </w:p>
        </w:tc>
        <w:tc>
          <w:tcPr>
            <w:tcW w:w="1497" w:type="dxa"/>
          </w:tcPr>
          <w:p w14:paraId="24C0B2F5"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0</w:t>
            </w:r>
          </w:p>
        </w:tc>
        <w:tc>
          <w:tcPr>
            <w:tcW w:w="1587" w:type="dxa"/>
          </w:tcPr>
          <w:p w14:paraId="0F9E2EDC"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0</w:t>
            </w:r>
          </w:p>
        </w:tc>
      </w:tr>
      <w:tr w:rsidR="00A1260E" w:rsidRPr="00A1260E" w14:paraId="01C93A67" w14:textId="77777777" w:rsidTr="00096F4B">
        <w:tc>
          <w:tcPr>
            <w:tcW w:w="1180" w:type="dxa"/>
          </w:tcPr>
          <w:p w14:paraId="1DA809F7" w14:textId="77777777" w:rsidR="00A1260E" w:rsidRPr="00A1260E" w:rsidRDefault="00A1260E" w:rsidP="00A1260E">
            <w:pPr>
              <w:spacing w:after="160" w:line="259" w:lineRule="auto"/>
              <w:jc w:val="both"/>
              <w:rPr>
                <w:rFonts w:ascii="Arial" w:eastAsia="Times New Roman" w:hAnsi="Arial" w:cs="Arial"/>
                <w:b/>
                <w:lang w:val="es-ES" w:eastAsia="es-ES"/>
              </w:rPr>
            </w:pPr>
            <w:r w:rsidRPr="00A1260E">
              <w:rPr>
                <w:rFonts w:ascii="Arial" w:eastAsia="Times New Roman" w:hAnsi="Arial" w:cs="Arial"/>
                <w:b/>
                <w:lang w:val="es-ES" w:eastAsia="es-ES"/>
              </w:rPr>
              <w:t>Zacatecas</w:t>
            </w:r>
          </w:p>
        </w:tc>
        <w:tc>
          <w:tcPr>
            <w:tcW w:w="1587" w:type="dxa"/>
          </w:tcPr>
          <w:p w14:paraId="52930160"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2</w:t>
            </w:r>
          </w:p>
        </w:tc>
        <w:tc>
          <w:tcPr>
            <w:tcW w:w="1395" w:type="dxa"/>
          </w:tcPr>
          <w:p w14:paraId="6CA8A600"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2</w:t>
            </w:r>
            <w:r w:rsidRPr="00A1260E">
              <w:rPr>
                <w:rFonts w:ascii="Arial" w:eastAsia="Times New Roman" w:hAnsi="Arial" w:cs="Arial"/>
                <w:vertAlign w:val="superscript"/>
                <w:lang w:val="es-ES" w:eastAsia="es-ES"/>
              </w:rPr>
              <w:t>1</w:t>
            </w:r>
          </w:p>
        </w:tc>
        <w:tc>
          <w:tcPr>
            <w:tcW w:w="1587" w:type="dxa"/>
          </w:tcPr>
          <w:p w14:paraId="1CF53DF2"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2</w:t>
            </w:r>
            <w:r w:rsidRPr="00A1260E">
              <w:rPr>
                <w:rFonts w:ascii="Arial" w:eastAsia="Times New Roman" w:hAnsi="Arial" w:cs="Arial"/>
                <w:vertAlign w:val="superscript"/>
                <w:lang w:val="es-ES" w:eastAsia="es-ES"/>
              </w:rPr>
              <w:t>1</w:t>
            </w:r>
          </w:p>
        </w:tc>
        <w:tc>
          <w:tcPr>
            <w:tcW w:w="1497" w:type="dxa"/>
          </w:tcPr>
          <w:p w14:paraId="07562EC8"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2</w:t>
            </w:r>
          </w:p>
        </w:tc>
        <w:tc>
          <w:tcPr>
            <w:tcW w:w="1587" w:type="dxa"/>
          </w:tcPr>
          <w:p w14:paraId="104D552C"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0</w:t>
            </w:r>
          </w:p>
        </w:tc>
      </w:tr>
      <w:tr w:rsidR="00A1260E" w:rsidRPr="00A1260E" w14:paraId="316F2711" w14:textId="77777777" w:rsidTr="00096F4B">
        <w:tc>
          <w:tcPr>
            <w:tcW w:w="1180" w:type="dxa"/>
          </w:tcPr>
          <w:p w14:paraId="1FD2247D" w14:textId="77777777" w:rsidR="00A1260E" w:rsidRPr="00A1260E" w:rsidRDefault="00A1260E" w:rsidP="00A1260E">
            <w:pPr>
              <w:spacing w:after="160" w:line="259" w:lineRule="auto"/>
              <w:jc w:val="both"/>
              <w:rPr>
                <w:rFonts w:ascii="Arial" w:eastAsia="Times New Roman" w:hAnsi="Arial" w:cs="Arial"/>
                <w:b/>
                <w:lang w:val="es-ES" w:eastAsia="es-ES"/>
              </w:rPr>
            </w:pPr>
            <w:r w:rsidRPr="00A1260E">
              <w:rPr>
                <w:rFonts w:ascii="Arial" w:eastAsia="Times New Roman" w:hAnsi="Arial" w:cs="Arial"/>
                <w:b/>
                <w:lang w:val="es-ES" w:eastAsia="es-ES"/>
              </w:rPr>
              <w:t>Durango</w:t>
            </w:r>
          </w:p>
        </w:tc>
        <w:tc>
          <w:tcPr>
            <w:tcW w:w="1587" w:type="dxa"/>
          </w:tcPr>
          <w:p w14:paraId="5BCE8330"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4</w:t>
            </w:r>
          </w:p>
        </w:tc>
        <w:tc>
          <w:tcPr>
            <w:tcW w:w="1395" w:type="dxa"/>
          </w:tcPr>
          <w:p w14:paraId="1C8BA6A0"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1</w:t>
            </w:r>
            <w:r w:rsidRPr="00A1260E">
              <w:rPr>
                <w:rFonts w:ascii="Arial" w:eastAsia="Times New Roman" w:hAnsi="Arial" w:cs="Arial"/>
                <w:vertAlign w:val="superscript"/>
                <w:lang w:val="es-ES" w:eastAsia="es-ES"/>
              </w:rPr>
              <w:t>1</w:t>
            </w:r>
          </w:p>
        </w:tc>
        <w:tc>
          <w:tcPr>
            <w:tcW w:w="1587" w:type="dxa"/>
          </w:tcPr>
          <w:p w14:paraId="348407F7"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1</w:t>
            </w:r>
            <w:r w:rsidRPr="00A1260E">
              <w:rPr>
                <w:rFonts w:ascii="Arial" w:eastAsia="Times New Roman" w:hAnsi="Arial" w:cs="Arial"/>
                <w:vertAlign w:val="superscript"/>
                <w:lang w:val="es-ES" w:eastAsia="es-ES"/>
              </w:rPr>
              <w:t>1</w:t>
            </w:r>
          </w:p>
        </w:tc>
        <w:tc>
          <w:tcPr>
            <w:tcW w:w="1497" w:type="dxa"/>
          </w:tcPr>
          <w:p w14:paraId="48325F47"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4</w:t>
            </w:r>
          </w:p>
        </w:tc>
        <w:tc>
          <w:tcPr>
            <w:tcW w:w="1587" w:type="dxa"/>
          </w:tcPr>
          <w:p w14:paraId="4F7E0ABF" w14:textId="77777777" w:rsidR="00A1260E" w:rsidRPr="00A1260E" w:rsidRDefault="00A1260E" w:rsidP="00A1260E">
            <w:pPr>
              <w:spacing w:after="160" w:line="259" w:lineRule="auto"/>
              <w:jc w:val="both"/>
              <w:rPr>
                <w:rFonts w:ascii="Arial" w:eastAsia="Times New Roman" w:hAnsi="Arial" w:cs="Arial"/>
                <w:lang w:val="es-ES" w:eastAsia="es-ES"/>
              </w:rPr>
            </w:pPr>
          </w:p>
        </w:tc>
      </w:tr>
      <w:tr w:rsidR="00A1260E" w:rsidRPr="00A1260E" w14:paraId="6C210903" w14:textId="77777777" w:rsidTr="00096F4B">
        <w:tc>
          <w:tcPr>
            <w:tcW w:w="1180" w:type="dxa"/>
          </w:tcPr>
          <w:p w14:paraId="103A7D50" w14:textId="77777777" w:rsidR="00A1260E" w:rsidRPr="00A1260E" w:rsidRDefault="00A1260E" w:rsidP="00A1260E">
            <w:pPr>
              <w:spacing w:after="160" w:line="259" w:lineRule="auto"/>
              <w:jc w:val="both"/>
              <w:rPr>
                <w:rFonts w:ascii="Arial" w:eastAsia="Times New Roman" w:hAnsi="Arial" w:cs="Arial"/>
                <w:b/>
                <w:lang w:val="es-ES" w:eastAsia="es-ES"/>
              </w:rPr>
            </w:pPr>
            <w:r w:rsidRPr="00A1260E">
              <w:rPr>
                <w:rFonts w:ascii="Arial" w:eastAsia="Times New Roman" w:hAnsi="Arial" w:cs="Arial"/>
                <w:b/>
                <w:lang w:val="es-ES" w:eastAsia="es-ES"/>
              </w:rPr>
              <w:t>Oaxaca</w:t>
            </w:r>
          </w:p>
        </w:tc>
        <w:tc>
          <w:tcPr>
            <w:tcW w:w="1587" w:type="dxa"/>
          </w:tcPr>
          <w:p w14:paraId="2EE61A24"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2</w:t>
            </w:r>
          </w:p>
        </w:tc>
        <w:tc>
          <w:tcPr>
            <w:tcW w:w="1395" w:type="dxa"/>
          </w:tcPr>
          <w:p w14:paraId="4C8593C5"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0</w:t>
            </w:r>
            <w:r w:rsidRPr="00A1260E">
              <w:rPr>
                <w:rFonts w:ascii="Arial" w:eastAsia="Times New Roman" w:hAnsi="Arial" w:cs="Arial"/>
                <w:vertAlign w:val="superscript"/>
                <w:lang w:val="es-ES" w:eastAsia="es-ES"/>
              </w:rPr>
              <w:t>2</w:t>
            </w:r>
          </w:p>
        </w:tc>
        <w:tc>
          <w:tcPr>
            <w:tcW w:w="1587" w:type="dxa"/>
          </w:tcPr>
          <w:p w14:paraId="3B82CB5A"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0</w:t>
            </w:r>
            <w:r w:rsidRPr="00A1260E">
              <w:rPr>
                <w:rFonts w:ascii="Arial" w:eastAsia="Times New Roman" w:hAnsi="Arial" w:cs="Arial"/>
                <w:vertAlign w:val="superscript"/>
                <w:lang w:val="es-ES" w:eastAsia="es-ES"/>
              </w:rPr>
              <w:t>2</w:t>
            </w:r>
          </w:p>
        </w:tc>
        <w:tc>
          <w:tcPr>
            <w:tcW w:w="1497" w:type="dxa"/>
          </w:tcPr>
          <w:p w14:paraId="23C00CEB"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1</w:t>
            </w:r>
          </w:p>
        </w:tc>
        <w:tc>
          <w:tcPr>
            <w:tcW w:w="1587" w:type="dxa"/>
          </w:tcPr>
          <w:p w14:paraId="19BC6951"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0</w:t>
            </w:r>
            <w:r w:rsidRPr="00A1260E">
              <w:rPr>
                <w:rFonts w:ascii="Arial" w:eastAsia="Times New Roman" w:hAnsi="Arial" w:cs="Arial"/>
                <w:vertAlign w:val="superscript"/>
                <w:lang w:val="es-ES" w:eastAsia="es-ES"/>
              </w:rPr>
              <w:t>2</w:t>
            </w:r>
          </w:p>
        </w:tc>
      </w:tr>
      <w:tr w:rsidR="00A1260E" w:rsidRPr="00A1260E" w14:paraId="5F4502B2" w14:textId="77777777" w:rsidTr="00096F4B">
        <w:tc>
          <w:tcPr>
            <w:tcW w:w="1180" w:type="dxa"/>
          </w:tcPr>
          <w:p w14:paraId="4A63A7F5" w14:textId="77777777" w:rsidR="00A1260E" w:rsidRPr="00A1260E" w:rsidRDefault="00A1260E" w:rsidP="00A1260E">
            <w:pPr>
              <w:spacing w:after="160" w:line="259" w:lineRule="auto"/>
              <w:jc w:val="both"/>
              <w:rPr>
                <w:rFonts w:ascii="Arial" w:eastAsia="Times New Roman" w:hAnsi="Arial" w:cs="Arial"/>
                <w:b/>
                <w:lang w:val="es-ES" w:eastAsia="es-ES"/>
              </w:rPr>
            </w:pPr>
            <w:r w:rsidRPr="00A1260E">
              <w:rPr>
                <w:rFonts w:ascii="Arial" w:eastAsia="Times New Roman" w:hAnsi="Arial" w:cs="Arial"/>
                <w:b/>
                <w:lang w:val="es-ES" w:eastAsia="es-ES"/>
              </w:rPr>
              <w:t>Querétaro</w:t>
            </w:r>
          </w:p>
        </w:tc>
        <w:tc>
          <w:tcPr>
            <w:tcW w:w="1587" w:type="dxa"/>
          </w:tcPr>
          <w:p w14:paraId="6C2F432F"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2</w:t>
            </w:r>
          </w:p>
        </w:tc>
        <w:tc>
          <w:tcPr>
            <w:tcW w:w="1395" w:type="dxa"/>
          </w:tcPr>
          <w:p w14:paraId="6C315277"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4</w:t>
            </w:r>
            <w:r w:rsidRPr="00A1260E">
              <w:rPr>
                <w:rFonts w:ascii="Arial" w:eastAsia="Times New Roman" w:hAnsi="Arial" w:cs="Arial"/>
                <w:vertAlign w:val="superscript"/>
                <w:lang w:val="es-ES" w:eastAsia="es-ES"/>
              </w:rPr>
              <w:t>3</w:t>
            </w:r>
          </w:p>
        </w:tc>
        <w:tc>
          <w:tcPr>
            <w:tcW w:w="1587" w:type="dxa"/>
          </w:tcPr>
          <w:p w14:paraId="3B358AC1"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8</w:t>
            </w:r>
            <w:r w:rsidRPr="00A1260E">
              <w:rPr>
                <w:rFonts w:ascii="Arial" w:eastAsia="Times New Roman" w:hAnsi="Arial" w:cs="Arial"/>
                <w:vertAlign w:val="superscript"/>
                <w:lang w:val="es-ES" w:eastAsia="es-ES"/>
              </w:rPr>
              <w:t>3</w:t>
            </w:r>
          </w:p>
        </w:tc>
        <w:tc>
          <w:tcPr>
            <w:tcW w:w="1497" w:type="dxa"/>
          </w:tcPr>
          <w:p w14:paraId="1018DAC5"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8</w:t>
            </w:r>
            <w:r w:rsidRPr="00A1260E">
              <w:rPr>
                <w:rFonts w:ascii="Arial" w:eastAsia="Times New Roman" w:hAnsi="Arial" w:cs="Arial"/>
                <w:vertAlign w:val="superscript"/>
                <w:lang w:val="es-ES" w:eastAsia="es-ES"/>
              </w:rPr>
              <w:t>3</w:t>
            </w:r>
          </w:p>
        </w:tc>
        <w:tc>
          <w:tcPr>
            <w:tcW w:w="1587" w:type="dxa"/>
          </w:tcPr>
          <w:p w14:paraId="248D6413"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0</w:t>
            </w:r>
          </w:p>
        </w:tc>
      </w:tr>
      <w:tr w:rsidR="00A1260E" w:rsidRPr="00A1260E" w14:paraId="4E3AB3C2" w14:textId="77777777" w:rsidTr="00096F4B">
        <w:tc>
          <w:tcPr>
            <w:tcW w:w="8833" w:type="dxa"/>
            <w:gridSpan w:val="6"/>
          </w:tcPr>
          <w:p w14:paraId="75853FAD"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vertAlign w:val="superscript"/>
                <w:lang w:val="es-ES" w:eastAsia="es-ES"/>
              </w:rPr>
              <w:t>1</w:t>
            </w:r>
            <w:r w:rsidRPr="00A1260E">
              <w:rPr>
                <w:rFonts w:ascii="Arial" w:eastAsia="Times New Roman" w:hAnsi="Arial" w:cs="Arial"/>
                <w:lang w:val="es-ES" w:eastAsia="es-ES"/>
              </w:rPr>
              <w:t>Este personal no se encuentra adscrito a la Fiscalía Especializada, sino a la Dirección General de Servicios Periciales.</w:t>
            </w:r>
          </w:p>
          <w:p w14:paraId="13E8C7F6"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vertAlign w:val="superscript"/>
                <w:lang w:val="es-ES" w:eastAsia="es-ES"/>
              </w:rPr>
              <w:t>2</w:t>
            </w:r>
            <w:r w:rsidRPr="00A1260E">
              <w:rPr>
                <w:rFonts w:ascii="Arial" w:eastAsia="Times New Roman" w:hAnsi="Arial" w:cs="Arial"/>
                <w:lang w:val="es-ES" w:eastAsia="es-ES"/>
              </w:rPr>
              <w:t>Los policías, servicios periciales y técnicos especializados, son designados por la Coordinación de la Agencia Estatal de Investigaciones e Instituto de Servicios Periciales de la Fiscalía General del Estado de Oaxaca.</w:t>
            </w:r>
          </w:p>
          <w:p w14:paraId="644BE26F" w14:textId="77777777" w:rsidR="00A1260E" w:rsidRPr="00A1260E" w:rsidRDefault="00A1260E" w:rsidP="00A1260E">
            <w:pPr>
              <w:spacing w:after="160" w:line="259" w:lineRule="auto"/>
              <w:jc w:val="both"/>
              <w:rPr>
                <w:rFonts w:ascii="Arial" w:eastAsia="Times New Roman" w:hAnsi="Arial" w:cs="Arial"/>
                <w:b/>
                <w:lang w:val="es-ES" w:eastAsia="es-ES"/>
              </w:rPr>
            </w:pPr>
            <w:r w:rsidRPr="00A1260E">
              <w:rPr>
                <w:rFonts w:ascii="Arial" w:eastAsia="Times New Roman" w:hAnsi="Arial" w:cs="Arial"/>
                <w:vertAlign w:val="superscript"/>
                <w:lang w:val="es-ES" w:eastAsia="es-ES"/>
              </w:rPr>
              <w:t>3</w:t>
            </w:r>
            <w:r w:rsidRPr="00A1260E">
              <w:rPr>
                <w:rFonts w:ascii="Arial" w:eastAsia="Times New Roman" w:hAnsi="Arial" w:cs="Arial"/>
                <w:lang w:val="es-ES" w:eastAsia="es-ES"/>
              </w:rPr>
              <w:t xml:space="preserve"> Las personas servidoras públicas del área pericial y policial no se encuentran adscritas directamente a la Unidad Especializada, se asignan por parte de las direcciones correspondientes de la Fiscalía General del Estado.</w:t>
            </w:r>
          </w:p>
        </w:tc>
      </w:tr>
    </w:tbl>
    <w:p w14:paraId="3D0F07D9" w14:textId="77777777" w:rsidR="00A1260E" w:rsidRPr="00A1260E" w:rsidRDefault="00A1260E" w:rsidP="00A1260E">
      <w:pPr>
        <w:jc w:val="both"/>
        <w:rPr>
          <w:rFonts w:ascii="Arial" w:eastAsia="Times New Roman" w:hAnsi="Arial" w:cs="Arial"/>
          <w:i/>
          <w:iCs/>
          <w:lang w:val="es-ES" w:eastAsia="es-ES"/>
        </w:rPr>
      </w:pPr>
    </w:p>
    <w:p w14:paraId="04ACD8AB" w14:textId="77777777" w:rsidR="00A1260E" w:rsidRPr="00A1260E" w:rsidRDefault="00A1260E" w:rsidP="00A1260E">
      <w:pPr>
        <w:jc w:val="both"/>
        <w:rPr>
          <w:rFonts w:ascii="Arial" w:eastAsia="Times New Roman" w:hAnsi="Arial" w:cs="Arial"/>
          <w:b/>
          <w:bCs/>
          <w:i/>
          <w:lang w:val="es" w:eastAsia="es-ES"/>
        </w:rPr>
      </w:pPr>
      <w:r w:rsidRPr="00A1260E">
        <w:rPr>
          <w:rFonts w:ascii="Arial" w:eastAsia="Times New Roman" w:hAnsi="Arial" w:cs="Arial"/>
          <w:b/>
          <w:bCs/>
          <w:i/>
          <w:lang w:val="es" w:eastAsia="es-ES"/>
        </w:rPr>
        <w:t>h) Recopilar y publicar datos estadísticos sobre el número de investigaciones, enjuiciamientos, condenas y penas impuestas en casos de tortura y malos tratos, tanto a nivel federal como estatal.</w:t>
      </w:r>
    </w:p>
    <w:p w14:paraId="0BBA04AB" w14:textId="4DADBE6A" w:rsidR="00B91D63" w:rsidRPr="00B91D63" w:rsidRDefault="00B91D63" w:rsidP="00A1260E">
      <w:pPr>
        <w:jc w:val="both"/>
        <w:rPr>
          <w:rFonts w:ascii="Arial" w:eastAsia="Times New Roman" w:hAnsi="Arial" w:cs="Arial"/>
          <w:b/>
          <w:bCs/>
          <w:lang w:val="es" w:eastAsia="es-ES"/>
        </w:rPr>
      </w:pPr>
      <w:r w:rsidRPr="00B91D63">
        <w:rPr>
          <w:rFonts w:ascii="Arial" w:eastAsia="Times New Roman" w:hAnsi="Arial" w:cs="Arial"/>
          <w:b/>
          <w:bCs/>
          <w:lang w:val="es" w:eastAsia="es-ES"/>
        </w:rPr>
        <w:lastRenderedPageBreak/>
        <w:t>Acciones del Mecanismo Nacional de Prevención de la Tortura</w:t>
      </w:r>
    </w:p>
    <w:p w14:paraId="7600BA83" w14:textId="5D11B783" w:rsidR="00A1260E" w:rsidRPr="00A1260E" w:rsidRDefault="00A1260E" w:rsidP="00A1260E">
      <w:pPr>
        <w:jc w:val="both"/>
        <w:rPr>
          <w:rFonts w:ascii="Arial" w:eastAsia="Times New Roman" w:hAnsi="Arial" w:cs="Arial"/>
          <w:lang w:val="es" w:eastAsia="es-ES"/>
        </w:rPr>
      </w:pPr>
      <w:r w:rsidRPr="00A1260E">
        <w:rPr>
          <w:rFonts w:ascii="Arial" w:eastAsia="Times New Roman" w:hAnsi="Arial" w:cs="Arial"/>
          <w:lang w:val="es" w:eastAsia="es-ES"/>
        </w:rPr>
        <w:t>El Mecanismo ha solicitado información a las 32 Fiscalías del mismo número de Entidades Federativas, solicitando información respecto al número de investigaciones, condenas y penas impuestas en casos de tortura y malos tratos, sin embargo, solamente las Fiscalías de la Ciudad de México, Baja California, Zacatecas y Sonora proporcionaron la siguiente información, respecto al delito de tortura:</w:t>
      </w:r>
    </w:p>
    <w:tbl>
      <w:tblPr>
        <w:tblStyle w:val="TableGrid"/>
        <w:tblW w:w="0" w:type="auto"/>
        <w:tblInd w:w="-5" w:type="dxa"/>
        <w:tblLayout w:type="fixed"/>
        <w:tblLook w:val="04A0" w:firstRow="1" w:lastRow="0" w:firstColumn="1" w:lastColumn="0" w:noHBand="0" w:noVBand="1"/>
      </w:tblPr>
      <w:tblGrid>
        <w:gridCol w:w="1560"/>
        <w:gridCol w:w="708"/>
        <w:gridCol w:w="1134"/>
        <w:gridCol w:w="1134"/>
        <w:gridCol w:w="1134"/>
        <w:gridCol w:w="851"/>
        <w:gridCol w:w="1134"/>
        <w:gridCol w:w="1400"/>
      </w:tblGrid>
      <w:tr w:rsidR="00A1260E" w:rsidRPr="00A1260E" w14:paraId="5D5E1D98" w14:textId="77777777" w:rsidTr="00096F4B">
        <w:tc>
          <w:tcPr>
            <w:tcW w:w="1560" w:type="dxa"/>
            <w:shd w:val="clear" w:color="auto" w:fill="FFC000" w:themeFill="accent4"/>
          </w:tcPr>
          <w:p w14:paraId="15001BBE" w14:textId="77777777" w:rsidR="00A1260E" w:rsidRPr="00A1260E" w:rsidRDefault="00A1260E" w:rsidP="00A1260E">
            <w:pPr>
              <w:spacing w:after="160" w:line="259" w:lineRule="auto"/>
              <w:jc w:val="both"/>
              <w:rPr>
                <w:rFonts w:ascii="Arial" w:eastAsia="Times New Roman" w:hAnsi="Arial" w:cs="Arial"/>
                <w:b/>
                <w:lang w:val="es-ES" w:eastAsia="es-ES"/>
              </w:rPr>
            </w:pPr>
            <w:r w:rsidRPr="00A1260E">
              <w:rPr>
                <w:rFonts w:ascii="Arial" w:eastAsia="Times New Roman" w:hAnsi="Arial" w:cs="Arial"/>
                <w:b/>
                <w:lang w:val="es-ES" w:eastAsia="es-ES"/>
              </w:rPr>
              <w:t>Entidad Federativa</w:t>
            </w:r>
          </w:p>
        </w:tc>
        <w:tc>
          <w:tcPr>
            <w:tcW w:w="708" w:type="dxa"/>
            <w:shd w:val="clear" w:color="auto" w:fill="FFC000" w:themeFill="accent4"/>
          </w:tcPr>
          <w:p w14:paraId="40350E15" w14:textId="77777777" w:rsidR="00A1260E" w:rsidRPr="00A1260E" w:rsidRDefault="00A1260E" w:rsidP="00A1260E">
            <w:pPr>
              <w:spacing w:after="160" w:line="259" w:lineRule="auto"/>
              <w:jc w:val="both"/>
              <w:rPr>
                <w:rFonts w:ascii="Arial" w:eastAsia="Times New Roman" w:hAnsi="Arial" w:cs="Arial"/>
                <w:b/>
                <w:lang w:val="es-ES" w:eastAsia="es-ES"/>
              </w:rPr>
            </w:pPr>
            <w:r w:rsidRPr="00A1260E">
              <w:rPr>
                <w:rFonts w:ascii="Arial" w:eastAsia="Times New Roman" w:hAnsi="Arial" w:cs="Arial"/>
                <w:b/>
                <w:lang w:val="es-ES" w:eastAsia="es-ES"/>
              </w:rPr>
              <w:t>No. De averiguaciones Previas</w:t>
            </w:r>
          </w:p>
        </w:tc>
        <w:tc>
          <w:tcPr>
            <w:tcW w:w="1134" w:type="dxa"/>
            <w:shd w:val="clear" w:color="auto" w:fill="FFC000" w:themeFill="accent4"/>
          </w:tcPr>
          <w:p w14:paraId="4E6A0F19" w14:textId="77777777" w:rsidR="00A1260E" w:rsidRPr="00A1260E" w:rsidRDefault="00A1260E" w:rsidP="00A1260E">
            <w:pPr>
              <w:spacing w:after="160" w:line="259" w:lineRule="auto"/>
              <w:jc w:val="both"/>
              <w:rPr>
                <w:rFonts w:ascii="Arial" w:eastAsia="Times New Roman" w:hAnsi="Arial" w:cs="Arial"/>
                <w:b/>
                <w:lang w:val="es-ES" w:eastAsia="es-ES"/>
              </w:rPr>
            </w:pPr>
            <w:r w:rsidRPr="00A1260E">
              <w:rPr>
                <w:rFonts w:ascii="Arial" w:eastAsia="Times New Roman" w:hAnsi="Arial" w:cs="Arial"/>
                <w:b/>
                <w:lang w:val="es-ES" w:eastAsia="es-ES"/>
              </w:rPr>
              <w:t>No. de carpetas de investigación</w:t>
            </w:r>
          </w:p>
        </w:tc>
        <w:tc>
          <w:tcPr>
            <w:tcW w:w="1134" w:type="dxa"/>
            <w:shd w:val="clear" w:color="auto" w:fill="FFC000" w:themeFill="accent4"/>
          </w:tcPr>
          <w:p w14:paraId="55D21942" w14:textId="77777777" w:rsidR="00A1260E" w:rsidRPr="00A1260E" w:rsidRDefault="00A1260E" w:rsidP="00A1260E">
            <w:pPr>
              <w:spacing w:after="160" w:line="259" w:lineRule="auto"/>
              <w:jc w:val="both"/>
              <w:rPr>
                <w:rFonts w:ascii="Arial" w:eastAsia="Times New Roman" w:hAnsi="Arial" w:cs="Arial"/>
                <w:b/>
                <w:lang w:val="es-ES" w:eastAsia="es-ES"/>
              </w:rPr>
            </w:pPr>
            <w:r w:rsidRPr="00A1260E">
              <w:rPr>
                <w:rFonts w:ascii="Arial" w:eastAsia="Times New Roman" w:hAnsi="Arial" w:cs="Arial"/>
                <w:b/>
                <w:lang w:val="es-ES" w:eastAsia="es-ES"/>
              </w:rPr>
              <w:t>No. de averiguaciones previas consignadas</w:t>
            </w:r>
          </w:p>
        </w:tc>
        <w:tc>
          <w:tcPr>
            <w:tcW w:w="1134" w:type="dxa"/>
            <w:shd w:val="clear" w:color="auto" w:fill="FFC000" w:themeFill="accent4"/>
          </w:tcPr>
          <w:p w14:paraId="781FD762" w14:textId="77777777" w:rsidR="00A1260E" w:rsidRPr="00A1260E" w:rsidRDefault="00A1260E" w:rsidP="00A1260E">
            <w:pPr>
              <w:spacing w:after="160" w:line="259" w:lineRule="auto"/>
              <w:jc w:val="both"/>
              <w:rPr>
                <w:rFonts w:ascii="Arial" w:eastAsia="Times New Roman" w:hAnsi="Arial" w:cs="Arial"/>
                <w:b/>
                <w:lang w:val="es-ES" w:eastAsia="es-ES"/>
              </w:rPr>
            </w:pPr>
            <w:r w:rsidRPr="00A1260E">
              <w:rPr>
                <w:rFonts w:ascii="Arial" w:eastAsia="Times New Roman" w:hAnsi="Arial" w:cs="Arial"/>
                <w:b/>
                <w:lang w:val="es-ES" w:eastAsia="es-ES"/>
              </w:rPr>
              <w:t>No. de carpetas de investigación judicializada</w:t>
            </w:r>
          </w:p>
        </w:tc>
        <w:tc>
          <w:tcPr>
            <w:tcW w:w="851" w:type="dxa"/>
            <w:shd w:val="clear" w:color="auto" w:fill="FFC000" w:themeFill="accent4"/>
          </w:tcPr>
          <w:p w14:paraId="7896C5B5" w14:textId="77777777" w:rsidR="00A1260E" w:rsidRPr="00A1260E" w:rsidRDefault="00A1260E" w:rsidP="00A1260E">
            <w:pPr>
              <w:spacing w:after="160" w:line="259" w:lineRule="auto"/>
              <w:jc w:val="both"/>
              <w:rPr>
                <w:rFonts w:ascii="Arial" w:eastAsia="Times New Roman" w:hAnsi="Arial" w:cs="Arial"/>
                <w:b/>
                <w:lang w:val="es-ES" w:eastAsia="es-ES"/>
              </w:rPr>
            </w:pPr>
            <w:r w:rsidRPr="00A1260E">
              <w:rPr>
                <w:rFonts w:ascii="Arial" w:eastAsia="Times New Roman" w:hAnsi="Arial" w:cs="Arial"/>
                <w:b/>
                <w:lang w:val="es-ES" w:eastAsia="es-ES"/>
              </w:rPr>
              <w:t>Número de sentencias condenatorias</w:t>
            </w:r>
          </w:p>
        </w:tc>
        <w:tc>
          <w:tcPr>
            <w:tcW w:w="1134" w:type="dxa"/>
            <w:shd w:val="clear" w:color="auto" w:fill="FFC000" w:themeFill="accent4"/>
          </w:tcPr>
          <w:p w14:paraId="4B2B9B60" w14:textId="77777777" w:rsidR="00A1260E" w:rsidRPr="00A1260E" w:rsidRDefault="00A1260E" w:rsidP="00A1260E">
            <w:pPr>
              <w:spacing w:after="160" w:line="259" w:lineRule="auto"/>
              <w:jc w:val="both"/>
              <w:rPr>
                <w:rFonts w:ascii="Arial" w:eastAsia="Times New Roman" w:hAnsi="Arial" w:cs="Arial"/>
                <w:b/>
                <w:lang w:val="es-ES" w:eastAsia="es-ES"/>
              </w:rPr>
            </w:pPr>
            <w:r w:rsidRPr="00A1260E">
              <w:rPr>
                <w:rFonts w:ascii="Arial" w:eastAsia="Times New Roman" w:hAnsi="Arial" w:cs="Arial"/>
                <w:b/>
                <w:lang w:val="es-ES" w:eastAsia="es-ES"/>
              </w:rPr>
              <w:t>Número de averiguaciones previas en proceso</w:t>
            </w:r>
          </w:p>
        </w:tc>
        <w:tc>
          <w:tcPr>
            <w:tcW w:w="1400" w:type="dxa"/>
            <w:shd w:val="clear" w:color="auto" w:fill="FFC000" w:themeFill="accent4"/>
          </w:tcPr>
          <w:p w14:paraId="62F49DFF" w14:textId="77777777" w:rsidR="00A1260E" w:rsidRPr="00A1260E" w:rsidRDefault="00A1260E" w:rsidP="00A1260E">
            <w:pPr>
              <w:spacing w:after="160" w:line="259" w:lineRule="auto"/>
              <w:jc w:val="both"/>
              <w:rPr>
                <w:rFonts w:ascii="Arial" w:eastAsia="Times New Roman" w:hAnsi="Arial" w:cs="Arial"/>
                <w:b/>
                <w:lang w:val="es-ES" w:eastAsia="es-ES"/>
              </w:rPr>
            </w:pPr>
            <w:r w:rsidRPr="00A1260E">
              <w:rPr>
                <w:rFonts w:ascii="Arial" w:eastAsia="Times New Roman" w:hAnsi="Arial" w:cs="Arial"/>
                <w:b/>
                <w:lang w:val="es-ES" w:eastAsia="es-ES"/>
              </w:rPr>
              <w:t>Número de carpetas en proceso de posible solicitud de vinculación a proceso</w:t>
            </w:r>
          </w:p>
        </w:tc>
      </w:tr>
      <w:tr w:rsidR="00A1260E" w:rsidRPr="00A1260E" w14:paraId="397473AC" w14:textId="77777777" w:rsidTr="00096F4B">
        <w:tc>
          <w:tcPr>
            <w:tcW w:w="1560" w:type="dxa"/>
          </w:tcPr>
          <w:p w14:paraId="7EA247E0" w14:textId="77777777" w:rsidR="00A1260E" w:rsidRPr="00A1260E" w:rsidRDefault="00A1260E" w:rsidP="00A1260E">
            <w:pPr>
              <w:spacing w:after="160" w:line="259" w:lineRule="auto"/>
              <w:jc w:val="both"/>
              <w:rPr>
                <w:rFonts w:ascii="Arial" w:eastAsia="Times New Roman" w:hAnsi="Arial" w:cs="Arial"/>
                <w:b/>
                <w:lang w:val="es-ES" w:eastAsia="es-ES"/>
              </w:rPr>
            </w:pPr>
            <w:r w:rsidRPr="00A1260E">
              <w:rPr>
                <w:rFonts w:ascii="Arial" w:eastAsia="Times New Roman" w:hAnsi="Arial" w:cs="Arial"/>
                <w:b/>
                <w:lang w:val="es-ES" w:eastAsia="es-ES"/>
              </w:rPr>
              <w:t>Ciudad de México</w:t>
            </w:r>
          </w:p>
        </w:tc>
        <w:tc>
          <w:tcPr>
            <w:tcW w:w="708" w:type="dxa"/>
          </w:tcPr>
          <w:p w14:paraId="32AC5FA7"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156</w:t>
            </w:r>
          </w:p>
        </w:tc>
        <w:tc>
          <w:tcPr>
            <w:tcW w:w="1134" w:type="dxa"/>
          </w:tcPr>
          <w:p w14:paraId="19DE4623"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18</w:t>
            </w:r>
          </w:p>
        </w:tc>
        <w:tc>
          <w:tcPr>
            <w:tcW w:w="1134" w:type="dxa"/>
          </w:tcPr>
          <w:p w14:paraId="7F357697"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12</w:t>
            </w:r>
          </w:p>
        </w:tc>
        <w:tc>
          <w:tcPr>
            <w:tcW w:w="1134" w:type="dxa"/>
          </w:tcPr>
          <w:p w14:paraId="411382CE" w14:textId="77777777" w:rsidR="00A1260E" w:rsidRPr="00A1260E" w:rsidRDefault="00A1260E" w:rsidP="00A1260E">
            <w:pPr>
              <w:spacing w:after="160" w:line="259" w:lineRule="auto"/>
              <w:jc w:val="both"/>
              <w:rPr>
                <w:rFonts w:ascii="Arial" w:eastAsia="Times New Roman" w:hAnsi="Arial" w:cs="Arial"/>
                <w:lang w:val="es-ES" w:eastAsia="es-ES"/>
              </w:rPr>
            </w:pPr>
          </w:p>
        </w:tc>
        <w:tc>
          <w:tcPr>
            <w:tcW w:w="851" w:type="dxa"/>
          </w:tcPr>
          <w:p w14:paraId="248DEDBB"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1</w:t>
            </w:r>
          </w:p>
        </w:tc>
        <w:tc>
          <w:tcPr>
            <w:tcW w:w="1134" w:type="dxa"/>
          </w:tcPr>
          <w:p w14:paraId="73E5F10D"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2</w:t>
            </w:r>
          </w:p>
        </w:tc>
        <w:tc>
          <w:tcPr>
            <w:tcW w:w="1400" w:type="dxa"/>
          </w:tcPr>
          <w:p w14:paraId="575D82EC"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2</w:t>
            </w:r>
          </w:p>
        </w:tc>
      </w:tr>
      <w:tr w:rsidR="00A1260E" w:rsidRPr="00A1260E" w14:paraId="1976B073" w14:textId="77777777" w:rsidTr="00096F4B">
        <w:tc>
          <w:tcPr>
            <w:tcW w:w="1560" w:type="dxa"/>
          </w:tcPr>
          <w:p w14:paraId="43866274" w14:textId="77777777" w:rsidR="00A1260E" w:rsidRPr="00A1260E" w:rsidRDefault="00A1260E" w:rsidP="00A1260E">
            <w:pPr>
              <w:spacing w:after="160" w:line="259" w:lineRule="auto"/>
              <w:jc w:val="both"/>
              <w:rPr>
                <w:rFonts w:ascii="Arial" w:eastAsia="Times New Roman" w:hAnsi="Arial" w:cs="Arial"/>
                <w:b/>
                <w:lang w:val="es-ES" w:eastAsia="es-ES"/>
              </w:rPr>
            </w:pPr>
            <w:r w:rsidRPr="00A1260E">
              <w:rPr>
                <w:rFonts w:ascii="Arial" w:eastAsia="Times New Roman" w:hAnsi="Arial" w:cs="Arial"/>
                <w:b/>
                <w:lang w:val="es-ES" w:eastAsia="es-ES"/>
              </w:rPr>
              <w:t>Baja California</w:t>
            </w:r>
          </w:p>
        </w:tc>
        <w:tc>
          <w:tcPr>
            <w:tcW w:w="708" w:type="dxa"/>
          </w:tcPr>
          <w:p w14:paraId="157BD53C" w14:textId="77777777" w:rsidR="00A1260E" w:rsidRPr="00A1260E" w:rsidRDefault="00A1260E" w:rsidP="00A1260E">
            <w:pPr>
              <w:spacing w:after="160" w:line="259" w:lineRule="auto"/>
              <w:jc w:val="both"/>
              <w:rPr>
                <w:rFonts w:ascii="Arial" w:eastAsia="Times New Roman" w:hAnsi="Arial" w:cs="Arial"/>
                <w:lang w:val="es-ES" w:eastAsia="es-ES"/>
              </w:rPr>
            </w:pPr>
          </w:p>
        </w:tc>
        <w:tc>
          <w:tcPr>
            <w:tcW w:w="1134" w:type="dxa"/>
          </w:tcPr>
          <w:p w14:paraId="4AB01126"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7</w:t>
            </w:r>
          </w:p>
        </w:tc>
        <w:tc>
          <w:tcPr>
            <w:tcW w:w="1134" w:type="dxa"/>
          </w:tcPr>
          <w:p w14:paraId="5F8EBB0A"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3</w:t>
            </w:r>
          </w:p>
        </w:tc>
        <w:tc>
          <w:tcPr>
            <w:tcW w:w="1134" w:type="dxa"/>
          </w:tcPr>
          <w:p w14:paraId="01AA5F7B" w14:textId="77777777" w:rsidR="00A1260E" w:rsidRPr="00A1260E" w:rsidRDefault="00A1260E" w:rsidP="00A1260E">
            <w:pPr>
              <w:spacing w:after="160" w:line="259" w:lineRule="auto"/>
              <w:jc w:val="both"/>
              <w:rPr>
                <w:rFonts w:ascii="Arial" w:eastAsia="Times New Roman" w:hAnsi="Arial" w:cs="Arial"/>
                <w:lang w:val="es-ES" w:eastAsia="es-ES"/>
              </w:rPr>
            </w:pPr>
          </w:p>
        </w:tc>
        <w:tc>
          <w:tcPr>
            <w:tcW w:w="851" w:type="dxa"/>
          </w:tcPr>
          <w:p w14:paraId="001D93EE" w14:textId="77777777" w:rsidR="00A1260E" w:rsidRPr="00A1260E" w:rsidRDefault="00A1260E" w:rsidP="00A1260E">
            <w:pPr>
              <w:spacing w:after="160" w:line="259" w:lineRule="auto"/>
              <w:jc w:val="both"/>
              <w:rPr>
                <w:rFonts w:ascii="Arial" w:eastAsia="Times New Roman" w:hAnsi="Arial" w:cs="Arial"/>
                <w:lang w:val="es-ES" w:eastAsia="es-ES"/>
              </w:rPr>
            </w:pPr>
          </w:p>
        </w:tc>
        <w:tc>
          <w:tcPr>
            <w:tcW w:w="1134" w:type="dxa"/>
          </w:tcPr>
          <w:p w14:paraId="09C0C551" w14:textId="77777777" w:rsidR="00A1260E" w:rsidRPr="00A1260E" w:rsidRDefault="00A1260E" w:rsidP="00A1260E">
            <w:pPr>
              <w:spacing w:after="160" w:line="259" w:lineRule="auto"/>
              <w:jc w:val="both"/>
              <w:rPr>
                <w:rFonts w:ascii="Arial" w:eastAsia="Times New Roman" w:hAnsi="Arial" w:cs="Arial"/>
                <w:lang w:val="es-ES" w:eastAsia="es-ES"/>
              </w:rPr>
            </w:pPr>
          </w:p>
        </w:tc>
        <w:tc>
          <w:tcPr>
            <w:tcW w:w="1400" w:type="dxa"/>
          </w:tcPr>
          <w:p w14:paraId="435E7336" w14:textId="77777777" w:rsidR="00A1260E" w:rsidRPr="00A1260E" w:rsidRDefault="00A1260E" w:rsidP="00A1260E">
            <w:pPr>
              <w:spacing w:after="160" w:line="259" w:lineRule="auto"/>
              <w:jc w:val="both"/>
              <w:rPr>
                <w:rFonts w:ascii="Arial" w:eastAsia="Times New Roman" w:hAnsi="Arial" w:cs="Arial"/>
                <w:lang w:val="es-ES" w:eastAsia="es-ES"/>
              </w:rPr>
            </w:pPr>
          </w:p>
        </w:tc>
      </w:tr>
      <w:tr w:rsidR="00A1260E" w:rsidRPr="00A1260E" w14:paraId="4698872E" w14:textId="77777777" w:rsidTr="00096F4B">
        <w:tc>
          <w:tcPr>
            <w:tcW w:w="1560" w:type="dxa"/>
          </w:tcPr>
          <w:p w14:paraId="795BFC06" w14:textId="77777777" w:rsidR="00A1260E" w:rsidRPr="00A1260E" w:rsidRDefault="00A1260E" w:rsidP="00A1260E">
            <w:pPr>
              <w:spacing w:after="160" w:line="259" w:lineRule="auto"/>
              <w:jc w:val="both"/>
              <w:rPr>
                <w:rFonts w:ascii="Arial" w:eastAsia="Times New Roman" w:hAnsi="Arial" w:cs="Arial"/>
                <w:b/>
                <w:lang w:val="es-ES" w:eastAsia="es-ES"/>
              </w:rPr>
            </w:pPr>
            <w:r w:rsidRPr="00A1260E">
              <w:rPr>
                <w:rFonts w:ascii="Arial" w:eastAsia="Times New Roman" w:hAnsi="Arial" w:cs="Arial"/>
                <w:b/>
                <w:lang w:val="es-ES" w:eastAsia="es-ES"/>
              </w:rPr>
              <w:t>Zacatecas</w:t>
            </w:r>
          </w:p>
        </w:tc>
        <w:tc>
          <w:tcPr>
            <w:tcW w:w="708" w:type="dxa"/>
          </w:tcPr>
          <w:p w14:paraId="58E0609F" w14:textId="77777777" w:rsidR="00A1260E" w:rsidRPr="00A1260E" w:rsidRDefault="00A1260E" w:rsidP="00A1260E">
            <w:pPr>
              <w:spacing w:after="160" w:line="259" w:lineRule="auto"/>
              <w:jc w:val="both"/>
              <w:rPr>
                <w:rFonts w:ascii="Arial" w:eastAsia="Times New Roman" w:hAnsi="Arial" w:cs="Arial"/>
                <w:lang w:val="es-ES" w:eastAsia="es-ES"/>
              </w:rPr>
            </w:pPr>
          </w:p>
        </w:tc>
        <w:tc>
          <w:tcPr>
            <w:tcW w:w="1134" w:type="dxa"/>
          </w:tcPr>
          <w:p w14:paraId="32E7AA13"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38</w:t>
            </w:r>
            <w:r w:rsidRPr="00A1260E">
              <w:rPr>
                <w:rFonts w:ascii="Arial" w:eastAsia="Times New Roman" w:hAnsi="Arial" w:cs="Arial"/>
                <w:vertAlign w:val="superscript"/>
                <w:lang w:val="es-ES" w:eastAsia="es-ES"/>
              </w:rPr>
              <w:t>1</w:t>
            </w:r>
          </w:p>
        </w:tc>
        <w:tc>
          <w:tcPr>
            <w:tcW w:w="1134" w:type="dxa"/>
          </w:tcPr>
          <w:p w14:paraId="7C746D78"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0</w:t>
            </w:r>
          </w:p>
        </w:tc>
        <w:tc>
          <w:tcPr>
            <w:tcW w:w="1134" w:type="dxa"/>
          </w:tcPr>
          <w:p w14:paraId="19989B3E"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0</w:t>
            </w:r>
          </w:p>
        </w:tc>
        <w:tc>
          <w:tcPr>
            <w:tcW w:w="851" w:type="dxa"/>
          </w:tcPr>
          <w:p w14:paraId="0E885CBD" w14:textId="77777777" w:rsidR="00A1260E" w:rsidRPr="00A1260E" w:rsidRDefault="00A1260E" w:rsidP="00A1260E">
            <w:pPr>
              <w:spacing w:after="160" w:line="259" w:lineRule="auto"/>
              <w:jc w:val="both"/>
              <w:rPr>
                <w:rFonts w:ascii="Arial" w:eastAsia="Times New Roman" w:hAnsi="Arial" w:cs="Arial"/>
                <w:lang w:val="es-ES" w:eastAsia="es-ES"/>
              </w:rPr>
            </w:pPr>
          </w:p>
        </w:tc>
        <w:tc>
          <w:tcPr>
            <w:tcW w:w="1134" w:type="dxa"/>
          </w:tcPr>
          <w:p w14:paraId="205A6F84" w14:textId="77777777" w:rsidR="00A1260E" w:rsidRPr="00A1260E" w:rsidRDefault="00A1260E" w:rsidP="00A1260E">
            <w:pPr>
              <w:spacing w:after="160" w:line="259" w:lineRule="auto"/>
              <w:jc w:val="both"/>
              <w:rPr>
                <w:rFonts w:ascii="Arial" w:eastAsia="Times New Roman" w:hAnsi="Arial" w:cs="Arial"/>
                <w:lang w:val="es-ES" w:eastAsia="es-ES"/>
              </w:rPr>
            </w:pPr>
          </w:p>
        </w:tc>
        <w:tc>
          <w:tcPr>
            <w:tcW w:w="1400" w:type="dxa"/>
          </w:tcPr>
          <w:p w14:paraId="4874DEEA"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0</w:t>
            </w:r>
          </w:p>
        </w:tc>
      </w:tr>
      <w:tr w:rsidR="00A1260E" w:rsidRPr="00A1260E" w14:paraId="57EEDD4E" w14:textId="77777777" w:rsidTr="00096F4B">
        <w:tc>
          <w:tcPr>
            <w:tcW w:w="1560" w:type="dxa"/>
          </w:tcPr>
          <w:p w14:paraId="6486D72F" w14:textId="77777777" w:rsidR="00A1260E" w:rsidRPr="00A1260E" w:rsidRDefault="00A1260E" w:rsidP="00A1260E">
            <w:pPr>
              <w:spacing w:after="160" w:line="259" w:lineRule="auto"/>
              <w:jc w:val="both"/>
              <w:rPr>
                <w:rFonts w:ascii="Arial" w:eastAsia="Times New Roman" w:hAnsi="Arial" w:cs="Arial"/>
                <w:b/>
                <w:lang w:val="es-ES" w:eastAsia="es-ES"/>
              </w:rPr>
            </w:pPr>
            <w:r w:rsidRPr="00A1260E">
              <w:rPr>
                <w:rFonts w:ascii="Arial" w:eastAsia="Times New Roman" w:hAnsi="Arial" w:cs="Arial"/>
                <w:b/>
                <w:lang w:val="es-ES" w:eastAsia="es-ES"/>
              </w:rPr>
              <w:t>Durango</w:t>
            </w:r>
          </w:p>
        </w:tc>
        <w:tc>
          <w:tcPr>
            <w:tcW w:w="708" w:type="dxa"/>
          </w:tcPr>
          <w:p w14:paraId="23FA205C" w14:textId="77777777" w:rsidR="00A1260E" w:rsidRPr="00A1260E" w:rsidRDefault="00A1260E" w:rsidP="00A1260E">
            <w:pPr>
              <w:spacing w:after="160" w:line="259" w:lineRule="auto"/>
              <w:jc w:val="both"/>
              <w:rPr>
                <w:rFonts w:ascii="Arial" w:eastAsia="Times New Roman" w:hAnsi="Arial" w:cs="Arial"/>
                <w:lang w:val="es-ES" w:eastAsia="es-ES"/>
              </w:rPr>
            </w:pPr>
          </w:p>
        </w:tc>
        <w:tc>
          <w:tcPr>
            <w:tcW w:w="1134" w:type="dxa"/>
          </w:tcPr>
          <w:p w14:paraId="4DB82DAE"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181</w:t>
            </w:r>
            <w:r w:rsidRPr="00A1260E">
              <w:rPr>
                <w:rFonts w:ascii="Arial" w:eastAsia="Times New Roman" w:hAnsi="Arial" w:cs="Arial"/>
                <w:vertAlign w:val="superscript"/>
                <w:lang w:val="es-ES" w:eastAsia="es-ES"/>
              </w:rPr>
              <w:t>2</w:t>
            </w:r>
          </w:p>
        </w:tc>
        <w:tc>
          <w:tcPr>
            <w:tcW w:w="1134" w:type="dxa"/>
          </w:tcPr>
          <w:p w14:paraId="2DBD5842"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0</w:t>
            </w:r>
          </w:p>
        </w:tc>
        <w:tc>
          <w:tcPr>
            <w:tcW w:w="1134" w:type="dxa"/>
          </w:tcPr>
          <w:p w14:paraId="53EFB2F8"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0</w:t>
            </w:r>
          </w:p>
        </w:tc>
        <w:tc>
          <w:tcPr>
            <w:tcW w:w="851" w:type="dxa"/>
          </w:tcPr>
          <w:p w14:paraId="2DB1A983" w14:textId="77777777" w:rsidR="00A1260E" w:rsidRPr="00A1260E" w:rsidRDefault="00A1260E" w:rsidP="00A1260E">
            <w:pPr>
              <w:spacing w:after="160" w:line="259" w:lineRule="auto"/>
              <w:jc w:val="both"/>
              <w:rPr>
                <w:rFonts w:ascii="Arial" w:eastAsia="Times New Roman" w:hAnsi="Arial" w:cs="Arial"/>
                <w:lang w:val="es-ES" w:eastAsia="es-ES"/>
              </w:rPr>
            </w:pPr>
          </w:p>
        </w:tc>
        <w:tc>
          <w:tcPr>
            <w:tcW w:w="1134" w:type="dxa"/>
          </w:tcPr>
          <w:p w14:paraId="13C0E321" w14:textId="77777777" w:rsidR="00A1260E" w:rsidRPr="00A1260E" w:rsidRDefault="00A1260E" w:rsidP="00A1260E">
            <w:pPr>
              <w:spacing w:after="160" w:line="259" w:lineRule="auto"/>
              <w:jc w:val="both"/>
              <w:rPr>
                <w:rFonts w:ascii="Arial" w:eastAsia="Times New Roman" w:hAnsi="Arial" w:cs="Arial"/>
                <w:lang w:val="es-ES" w:eastAsia="es-ES"/>
              </w:rPr>
            </w:pPr>
          </w:p>
        </w:tc>
        <w:tc>
          <w:tcPr>
            <w:tcW w:w="1400" w:type="dxa"/>
          </w:tcPr>
          <w:p w14:paraId="69D628FA" w14:textId="77777777" w:rsidR="00A1260E" w:rsidRPr="00A1260E" w:rsidRDefault="00A1260E" w:rsidP="00A1260E">
            <w:pPr>
              <w:spacing w:after="160" w:line="259" w:lineRule="auto"/>
              <w:jc w:val="both"/>
              <w:rPr>
                <w:rFonts w:ascii="Arial" w:eastAsia="Times New Roman" w:hAnsi="Arial" w:cs="Arial"/>
                <w:lang w:val="es-ES" w:eastAsia="es-ES"/>
              </w:rPr>
            </w:pPr>
          </w:p>
        </w:tc>
      </w:tr>
      <w:tr w:rsidR="00A1260E" w:rsidRPr="00A1260E" w14:paraId="5F4338F2" w14:textId="77777777" w:rsidTr="00096F4B">
        <w:tc>
          <w:tcPr>
            <w:tcW w:w="1560" w:type="dxa"/>
          </w:tcPr>
          <w:p w14:paraId="01ACD50D" w14:textId="77777777" w:rsidR="00A1260E" w:rsidRPr="00A1260E" w:rsidRDefault="00A1260E" w:rsidP="00A1260E">
            <w:pPr>
              <w:spacing w:after="160" w:line="259" w:lineRule="auto"/>
              <w:jc w:val="both"/>
              <w:rPr>
                <w:rFonts w:ascii="Arial" w:eastAsia="Times New Roman" w:hAnsi="Arial" w:cs="Arial"/>
                <w:b/>
                <w:lang w:val="es-ES" w:eastAsia="es-ES"/>
              </w:rPr>
            </w:pPr>
            <w:r w:rsidRPr="00A1260E">
              <w:rPr>
                <w:rFonts w:ascii="Arial" w:eastAsia="Times New Roman" w:hAnsi="Arial" w:cs="Arial"/>
                <w:b/>
                <w:lang w:val="es-ES" w:eastAsia="es-ES"/>
              </w:rPr>
              <w:t>Oaxaca</w:t>
            </w:r>
          </w:p>
        </w:tc>
        <w:tc>
          <w:tcPr>
            <w:tcW w:w="708" w:type="dxa"/>
          </w:tcPr>
          <w:p w14:paraId="5E7613C9" w14:textId="77777777" w:rsidR="00A1260E" w:rsidRPr="00A1260E" w:rsidRDefault="00A1260E" w:rsidP="00A1260E">
            <w:pPr>
              <w:spacing w:after="160" w:line="259" w:lineRule="auto"/>
              <w:jc w:val="both"/>
              <w:rPr>
                <w:rFonts w:ascii="Arial" w:eastAsia="Times New Roman" w:hAnsi="Arial" w:cs="Arial"/>
                <w:lang w:val="es-ES" w:eastAsia="es-ES"/>
              </w:rPr>
            </w:pPr>
          </w:p>
        </w:tc>
        <w:tc>
          <w:tcPr>
            <w:tcW w:w="1134" w:type="dxa"/>
          </w:tcPr>
          <w:p w14:paraId="72E1EB79"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422</w:t>
            </w:r>
            <w:r w:rsidRPr="00A1260E">
              <w:rPr>
                <w:rFonts w:ascii="Arial" w:eastAsia="Times New Roman" w:hAnsi="Arial" w:cs="Arial"/>
                <w:vertAlign w:val="superscript"/>
                <w:lang w:val="es-ES" w:eastAsia="es-ES"/>
              </w:rPr>
              <w:t>3</w:t>
            </w:r>
          </w:p>
        </w:tc>
        <w:tc>
          <w:tcPr>
            <w:tcW w:w="1134" w:type="dxa"/>
          </w:tcPr>
          <w:p w14:paraId="60136F8D" w14:textId="77777777" w:rsidR="00A1260E" w:rsidRPr="00A1260E" w:rsidRDefault="00A1260E" w:rsidP="00A1260E">
            <w:pPr>
              <w:spacing w:after="160" w:line="259" w:lineRule="auto"/>
              <w:jc w:val="both"/>
              <w:rPr>
                <w:rFonts w:ascii="Arial" w:eastAsia="Times New Roman" w:hAnsi="Arial" w:cs="Arial"/>
                <w:lang w:val="es-ES" w:eastAsia="es-ES"/>
              </w:rPr>
            </w:pPr>
          </w:p>
        </w:tc>
        <w:tc>
          <w:tcPr>
            <w:tcW w:w="1134" w:type="dxa"/>
          </w:tcPr>
          <w:p w14:paraId="64AB51F5"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0</w:t>
            </w:r>
          </w:p>
        </w:tc>
        <w:tc>
          <w:tcPr>
            <w:tcW w:w="851" w:type="dxa"/>
          </w:tcPr>
          <w:p w14:paraId="1B7406C3" w14:textId="77777777" w:rsidR="00A1260E" w:rsidRPr="00A1260E" w:rsidRDefault="00A1260E" w:rsidP="00A1260E">
            <w:pPr>
              <w:spacing w:after="160" w:line="259" w:lineRule="auto"/>
              <w:jc w:val="both"/>
              <w:rPr>
                <w:rFonts w:ascii="Arial" w:eastAsia="Times New Roman" w:hAnsi="Arial" w:cs="Arial"/>
                <w:lang w:val="es-ES" w:eastAsia="es-ES"/>
              </w:rPr>
            </w:pPr>
          </w:p>
        </w:tc>
        <w:tc>
          <w:tcPr>
            <w:tcW w:w="1134" w:type="dxa"/>
          </w:tcPr>
          <w:p w14:paraId="4D3429C0" w14:textId="77777777" w:rsidR="00A1260E" w:rsidRPr="00A1260E" w:rsidRDefault="00A1260E" w:rsidP="00A1260E">
            <w:pPr>
              <w:spacing w:after="160" w:line="259" w:lineRule="auto"/>
              <w:jc w:val="both"/>
              <w:rPr>
                <w:rFonts w:ascii="Arial" w:eastAsia="Times New Roman" w:hAnsi="Arial" w:cs="Arial"/>
                <w:lang w:val="es-ES" w:eastAsia="es-ES"/>
              </w:rPr>
            </w:pPr>
          </w:p>
        </w:tc>
        <w:tc>
          <w:tcPr>
            <w:tcW w:w="1400" w:type="dxa"/>
          </w:tcPr>
          <w:p w14:paraId="65328C74" w14:textId="77777777" w:rsidR="00A1260E" w:rsidRPr="00A1260E" w:rsidRDefault="00A1260E" w:rsidP="00A1260E">
            <w:pPr>
              <w:spacing w:after="160" w:line="259" w:lineRule="auto"/>
              <w:jc w:val="both"/>
              <w:rPr>
                <w:rFonts w:ascii="Arial" w:eastAsia="Times New Roman" w:hAnsi="Arial" w:cs="Arial"/>
                <w:lang w:val="es-ES" w:eastAsia="es-ES"/>
              </w:rPr>
            </w:pPr>
          </w:p>
        </w:tc>
      </w:tr>
      <w:tr w:rsidR="00A1260E" w:rsidRPr="00A1260E" w14:paraId="10EE9A6C" w14:textId="77777777" w:rsidTr="00096F4B">
        <w:tc>
          <w:tcPr>
            <w:tcW w:w="1560" w:type="dxa"/>
          </w:tcPr>
          <w:p w14:paraId="30EC90F4" w14:textId="77777777" w:rsidR="00A1260E" w:rsidRPr="00A1260E" w:rsidRDefault="00A1260E" w:rsidP="00A1260E">
            <w:pPr>
              <w:spacing w:after="160" w:line="259" w:lineRule="auto"/>
              <w:jc w:val="both"/>
              <w:rPr>
                <w:rFonts w:ascii="Arial" w:eastAsia="Times New Roman" w:hAnsi="Arial" w:cs="Arial"/>
                <w:b/>
                <w:lang w:val="es-ES" w:eastAsia="es-ES"/>
              </w:rPr>
            </w:pPr>
            <w:r w:rsidRPr="00A1260E">
              <w:rPr>
                <w:rFonts w:ascii="Arial" w:eastAsia="Times New Roman" w:hAnsi="Arial" w:cs="Arial"/>
                <w:b/>
                <w:lang w:val="es-ES" w:eastAsia="es-ES"/>
              </w:rPr>
              <w:lastRenderedPageBreak/>
              <w:t>Querétaro</w:t>
            </w:r>
          </w:p>
        </w:tc>
        <w:tc>
          <w:tcPr>
            <w:tcW w:w="708" w:type="dxa"/>
          </w:tcPr>
          <w:p w14:paraId="7E81AFD6"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7</w:t>
            </w:r>
            <w:r w:rsidRPr="00A1260E">
              <w:rPr>
                <w:rFonts w:ascii="Arial" w:eastAsia="Times New Roman" w:hAnsi="Arial" w:cs="Arial"/>
                <w:vertAlign w:val="superscript"/>
                <w:lang w:val="es-ES" w:eastAsia="es-ES"/>
              </w:rPr>
              <w:t>4</w:t>
            </w:r>
          </w:p>
        </w:tc>
        <w:tc>
          <w:tcPr>
            <w:tcW w:w="1134" w:type="dxa"/>
          </w:tcPr>
          <w:p w14:paraId="5043A4B8"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63</w:t>
            </w:r>
            <w:r w:rsidRPr="00A1260E">
              <w:rPr>
                <w:rFonts w:ascii="Arial" w:eastAsia="Times New Roman" w:hAnsi="Arial" w:cs="Arial"/>
                <w:vertAlign w:val="superscript"/>
                <w:lang w:val="es-ES" w:eastAsia="es-ES"/>
              </w:rPr>
              <w:t>5</w:t>
            </w:r>
          </w:p>
        </w:tc>
        <w:tc>
          <w:tcPr>
            <w:tcW w:w="1134" w:type="dxa"/>
          </w:tcPr>
          <w:p w14:paraId="4E1309F9" w14:textId="77777777" w:rsidR="00A1260E" w:rsidRPr="00A1260E" w:rsidRDefault="00A1260E" w:rsidP="00A1260E">
            <w:pPr>
              <w:spacing w:after="160" w:line="259" w:lineRule="auto"/>
              <w:jc w:val="both"/>
              <w:rPr>
                <w:rFonts w:ascii="Arial" w:eastAsia="Times New Roman" w:hAnsi="Arial" w:cs="Arial"/>
                <w:lang w:val="es-ES" w:eastAsia="es-ES"/>
              </w:rPr>
            </w:pPr>
          </w:p>
        </w:tc>
        <w:tc>
          <w:tcPr>
            <w:tcW w:w="1134" w:type="dxa"/>
          </w:tcPr>
          <w:p w14:paraId="4B727B36"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lang w:val="es-ES" w:eastAsia="es-ES"/>
              </w:rPr>
              <w:t>1</w:t>
            </w:r>
            <w:r w:rsidRPr="00A1260E">
              <w:rPr>
                <w:rFonts w:ascii="Arial" w:eastAsia="Times New Roman" w:hAnsi="Arial" w:cs="Arial"/>
                <w:vertAlign w:val="superscript"/>
                <w:lang w:val="es-ES" w:eastAsia="es-ES"/>
              </w:rPr>
              <w:t>6</w:t>
            </w:r>
          </w:p>
        </w:tc>
        <w:tc>
          <w:tcPr>
            <w:tcW w:w="851" w:type="dxa"/>
          </w:tcPr>
          <w:p w14:paraId="01ED93B9" w14:textId="77777777" w:rsidR="00A1260E" w:rsidRPr="00A1260E" w:rsidRDefault="00A1260E" w:rsidP="00A1260E">
            <w:pPr>
              <w:spacing w:after="160" w:line="259" w:lineRule="auto"/>
              <w:jc w:val="both"/>
              <w:rPr>
                <w:rFonts w:ascii="Arial" w:eastAsia="Times New Roman" w:hAnsi="Arial" w:cs="Arial"/>
                <w:lang w:val="es-ES" w:eastAsia="es-ES"/>
              </w:rPr>
            </w:pPr>
          </w:p>
        </w:tc>
        <w:tc>
          <w:tcPr>
            <w:tcW w:w="1134" w:type="dxa"/>
          </w:tcPr>
          <w:p w14:paraId="1248D02A" w14:textId="77777777" w:rsidR="00A1260E" w:rsidRPr="00A1260E" w:rsidRDefault="00A1260E" w:rsidP="00A1260E">
            <w:pPr>
              <w:spacing w:after="160" w:line="259" w:lineRule="auto"/>
              <w:jc w:val="both"/>
              <w:rPr>
                <w:rFonts w:ascii="Arial" w:eastAsia="Times New Roman" w:hAnsi="Arial" w:cs="Arial"/>
                <w:lang w:val="es-ES" w:eastAsia="es-ES"/>
              </w:rPr>
            </w:pPr>
          </w:p>
        </w:tc>
        <w:tc>
          <w:tcPr>
            <w:tcW w:w="1400" w:type="dxa"/>
          </w:tcPr>
          <w:p w14:paraId="0E669854" w14:textId="77777777" w:rsidR="00A1260E" w:rsidRPr="00A1260E" w:rsidRDefault="00A1260E" w:rsidP="00A1260E">
            <w:pPr>
              <w:spacing w:after="160" w:line="259" w:lineRule="auto"/>
              <w:jc w:val="both"/>
              <w:rPr>
                <w:rFonts w:ascii="Arial" w:eastAsia="Times New Roman" w:hAnsi="Arial" w:cs="Arial"/>
                <w:lang w:val="es-ES" w:eastAsia="es-ES"/>
              </w:rPr>
            </w:pPr>
          </w:p>
        </w:tc>
      </w:tr>
      <w:tr w:rsidR="00A1260E" w:rsidRPr="00A1260E" w14:paraId="1A946E2D" w14:textId="77777777" w:rsidTr="00096F4B">
        <w:tc>
          <w:tcPr>
            <w:tcW w:w="9055" w:type="dxa"/>
            <w:gridSpan w:val="8"/>
          </w:tcPr>
          <w:p w14:paraId="2CA6D4C9"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vertAlign w:val="superscript"/>
                <w:lang w:val="es-ES" w:eastAsia="es-ES"/>
              </w:rPr>
              <w:t>1</w:t>
            </w:r>
            <w:r w:rsidRPr="00A1260E">
              <w:rPr>
                <w:rFonts w:ascii="Arial" w:eastAsia="Times New Roman" w:hAnsi="Arial" w:cs="Arial"/>
                <w:lang w:val="es-ES" w:eastAsia="es-ES"/>
              </w:rPr>
              <w:t xml:space="preserve"> 2006 a 2021</w:t>
            </w:r>
          </w:p>
          <w:p w14:paraId="173DFBAA"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vertAlign w:val="superscript"/>
                <w:lang w:val="es-ES" w:eastAsia="es-ES"/>
              </w:rPr>
              <w:t>2</w:t>
            </w:r>
            <w:r w:rsidRPr="00A1260E">
              <w:rPr>
                <w:rFonts w:ascii="Arial" w:eastAsia="Times New Roman" w:hAnsi="Arial" w:cs="Arial"/>
                <w:lang w:val="es-ES" w:eastAsia="es-ES"/>
              </w:rPr>
              <w:t xml:space="preserve"> 2014 a 2021 </w:t>
            </w:r>
          </w:p>
          <w:p w14:paraId="3FEC57AA"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vertAlign w:val="superscript"/>
                <w:lang w:val="es-ES" w:eastAsia="es-ES"/>
              </w:rPr>
              <w:t>3</w:t>
            </w:r>
            <w:r w:rsidRPr="00A1260E">
              <w:rPr>
                <w:rFonts w:ascii="Arial" w:eastAsia="Times New Roman" w:hAnsi="Arial" w:cs="Arial"/>
                <w:lang w:val="es-ES" w:eastAsia="es-ES"/>
              </w:rPr>
              <w:t xml:space="preserve"> 2014 a 2021</w:t>
            </w:r>
          </w:p>
          <w:p w14:paraId="68EBE35B"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vertAlign w:val="superscript"/>
                <w:lang w:val="es-ES" w:eastAsia="es-ES"/>
              </w:rPr>
              <w:t>4</w:t>
            </w:r>
            <w:r w:rsidRPr="00A1260E">
              <w:rPr>
                <w:rFonts w:ascii="Arial" w:eastAsia="Times New Roman" w:hAnsi="Arial" w:cs="Arial"/>
                <w:lang w:val="es-ES" w:eastAsia="es-ES"/>
              </w:rPr>
              <w:t xml:space="preserve"> 2017 a 2021</w:t>
            </w:r>
          </w:p>
          <w:p w14:paraId="3C7E08A7" w14:textId="77777777" w:rsidR="00A1260E" w:rsidRPr="00A1260E" w:rsidRDefault="00A1260E" w:rsidP="00A1260E">
            <w:pPr>
              <w:spacing w:after="160" w:line="259" w:lineRule="auto"/>
              <w:jc w:val="both"/>
              <w:rPr>
                <w:rFonts w:ascii="Arial" w:eastAsia="Times New Roman" w:hAnsi="Arial" w:cs="Arial"/>
                <w:lang w:val="es-ES" w:eastAsia="es-ES"/>
              </w:rPr>
            </w:pPr>
            <w:r w:rsidRPr="00A1260E">
              <w:rPr>
                <w:rFonts w:ascii="Arial" w:eastAsia="Times New Roman" w:hAnsi="Arial" w:cs="Arial"/>
                <w:vertAlign w:val="superscript"/>
                <w:lang w:val="es-ES" w:eastAsia="es-ES"/>
              </w:rPr>
              <w:t>5</w:t>
            </w:r>
            <w:r w:rsidRPr="00A1260E">
              <w:rPr>
                <w:rFonts w:ascii="Arial" w:eastAsia="Times New Roman" w:hAnsi="Arial" w:cs="Arial"/>
                <w:lang w:val="es-ES" w:eastAsia="es-ES"/>
              </w:rPr>
              <w:t xml:space="preserve"> 2002 a 2017</w:t>
            </w:r>
          </w:p>
          <w:p w14:paraId="4A1ECC67" w14:textId="77777777" w:rsidR="00A1260E" w:rsidRPr="00A1260E" w:rsidRDefault="00A1260E" w:rsidP="00A1260E">
            <w:pPr>
              <w:spacing w:after="160" w:line="259" w:lineRule="auto"/>
              <w:jc w:val="both"/>
              <w:rPr>
                <w:rFonts w:ascii="Arial" w:eastAsia="Times New Roman" w:hAnsi="Arial" w:cs="Arial"/>
                <w:b/>
                <w:lang w:val="es-ES" w:eastAsia="es-ES"/>
              </w:rPr>
            </w:pPr>
            <w:r w:rsidRPr="00A1260E">
              <w:rPr>
                <w:rFonts w:ascii="Arial" w:eastAsia="Times New Roman" w:hAnsi="Arial" w:cs="Arial"/>
                <w:vertAlign w:val="superscript"/>
                <w:lang w:val="es-ES" w:eastAsia="es-ES"/>
              </w:rPr>
              <w:t>6</w:t>
            </w:r>
            <w:r w:rsidRPr="00A1260E">
              <w:rPr>
                <w:rFonts w:ascii="Arial" w:eastAsia="Times New Roman" w:hAnsi="Arial" w:cs="Arial"/>
                <w:lang w:val="es-ES" w:eastAsia="es-ES"/>
              </w:rPr>
              <w:t xml:space="preserve"> se reclasificó al delito de abuso de autoridad</w:t>
            </w:r>
          </w:p>
        </w:tc>
      </w:tr>
    </w:tbl>
    <w:p w14:paraId="4B537742" w14:textId="77777777" w:rsidR="00A1260E" w:rsidRPr="00A1260E" w:rsidRDefault="00A1260E" w:rsidP="00A1260E">
      <w:pPr>
        <w:jc w:val="both"/>
        <w:rPr>
          <w:rFonts w:ascii="Arial" w:eastAsia="Times New Roman" w:hAnsi="Arial" w:cs="Arial"/>
          <w:b/>
          <w:lang w:val="es-ES" w:eastAsia="es-ES"/>
        </w:rPr>
      </w:pPr>
    </w:p>
    <w:p w14:paraId="5C1300AF" w14:textId="77777777" w:rsidR="00A1260E" w:rsidRPr="00A1260E" w:rsidRDefault="00A1260E" w:rsidP="00933290">
      <w:pPr>
        <w:jc w:val="both"/>
        <w:rPr>
          <w:rFonts w:ascii="Arial" w:eastAsia="Times New Roman" w:hAnsi="Arial" w:cs="Arial"/>
          <w:b/>
          <w:bCs/>
          <w:lang w:val="es-ES" w:eastAsia="es-ES"/>
        </w:rPr>
      </w:pPr>
      <w:r w:rsidRPr="00A1260E">
        <w:rPr>
          <w:rFonts w:ascii="Arial" w:eastAsia="Times New Roman" w:hAnsi="Arial" w:cs="Arial"/>
          <w:b/>
          <w:bCs/>
          <w:lang w:val="es-ES" w:eastAsia="es-ES"/>
        </w:rPr>
        <w:t>28. El Comité insta al Estado parte a:</w:t>
      </w:r>
    </w:p>
    <w:p w14:paraId="600E0E04" w14:textId="77777777" w:rsidR="00A1260E" w:rsidRPr="00A1260E" w:rsidRDefault="00A1260E" w:rsidP="00933290">
      <w:pPr>
        <w:jc w:val="both"/>
        <w:rPr>
          <w:rFonts w:ascii="Arial" w:eastAsia="Times New Roman" w:hAnsi="Arial" w:cs="Arial"/>
          <w:b/>
          <w:bCs/>
          <w:i/>
          <w:iCs/>
          <w:lang w:val="es-ES" w:eastAsia="es-ES"/>
        </w:rPr>
      </w:pPr>
      <w:r w:rsidRPr="00A1260E">
        <w:rPr>
          <w:rFonts w:ascii="Arial" w:eastAsia="Times New Roman" w:hAnsi="Arial" w:cs="Arial"/>
          <w:b/>
          <w:bCs/>
          <w:i/>
          <w:iCs/>
          <w:lang w:val="es-ES" w:eastAsia="es-ES"/>
        </w:rPr>
        <w:t>a) Considerar la creación de institutos de medicina legal y ciencias forenses, que ejerzan sus funciones con plena independencia y bajo criterios estrictamente científicos, y que asuman la competencia que en la actualidad tiene la FGR en relación a los dictámenes utilizados en la evaluación física y psicológica de presuntas víctimas de tortura, así como la acreditación de todos los peritos médicos y psicólogos que los apliquen;</w:t>
      </w:r>
    </w:p>
    <w:p w14:paraId="163CA47E" w14:textId="77777777" w:rsidR="00A1260E" w:rsidRPr="00A1260E" w:rsidRDefault="00A1260E" w:rsidP="00933290">
      <w:pPr>
        <w:jc w:val="both"/>
        <w:rPr>
          <w:rFonts w:ascii="Arial" w:eastAsia="Times New Roman" w:hAnsi="Arial" w:cs="Arial"/>
          <w:b/>
          <w:bCs/>
          <w:i/>
          <w:iCs/>
          <w:lang w:val="es-ES" w:eastAsia="es-ES"/>
        </w:rPr>
      </w:pPr>
      <w:r w:rsidRPr="00A1260E">
        <w:rPr>
          <w:rFonts w:ascii="Arial" w:eastAsia="Times New Roman" w:hAnsi="Arial" w:cs="Arial"/>
          <w:b/>
          <w:bCs/>
          <w:i/>
          <w:iCs/>
          <w:lang w:val="es-ES" w:eastAsia="es-ES"/>
        </w:rPr>
        <w:lastRenderedPageBreak/>
        <w:t>b) Garantizar que todas las evaluaciones físicas y psicológicas que se realicen a presuntas víctimas de tortura se ajusten a los principios, procedimientos y directrices contenidos en el Manual de investigación y documentación eficaces de la tortura y otros malos tratos o penas crueles, inhumanos o degradantes (Protocolo de Estambul), aplicando sanciones en caso de irregularidades;</w:t>
      </w:r>
    </w:p>
    <w:p w14:paraId="2F7F44F9" w14:textId="77777777" w:rsidR="00A1260E" w:rsidRPr="00A1260E" w:rsidRDefault="00A1260E" w:rsidP="00933290">
      <w:pPr>
        <w:jc w:val="both"/>
        <w:rPr>
          <w:rFonts w:ascii="Arial" w:eastAsia="Times New Roman" w:hAnsi="Arial" w:cs="Arial"/>
          <w:b/>
          <w:bCs/>
          <w:i/>
          <w:iCs/>
          <w:lang w:val="es-ES" w:eastAsia="es-ES"/>
        </w:rPr>
      </w:pPr>
      <w:r w:rsidRPr="00A1260E">
        <w:rPr>
          <w:rFonts w:ascii="Arial" w:eastAsia="Times New Roman" w:hAnsi="Arial" w:cs="Arial"/>
          <w:b/>
          <w:bCs/>
          <w:i/>
          <w:iCs/>
          <w:lang w:val="es-ES" w:eastAsia="es-ES"/>
        </w:rPr>
        <w:t>c) Velar por que todo el personal competente reciba formación específica que le permita identificar y documentar los casos de tortura de conformidad con el Protocolo de Estambul;</w:t>
      </w:r>
    </w:p>
    <w:p w14:paraId="6AA53BAB" w14:textId="726F6D9A" w:rsidR="00A1260E" w:rsidRPr="00A1260E" w:rsidRDefault="00A1260E" w:rsidP="00933290">
      <w:pPr>
        <w:jc w:val="both"/>
        <w:rPr>
          <w:rFonts w:ascii="Arial" w:eastAsia="Times New Roman" w:hAnsi="Arial" w:cs="Arial"/>
          <w:b/>
          <w:bCs/>
          <w:i/>
          <w:iCs/>
          <w:lang w:val="es-ES" w:eastAsia="es-ES"/>
        </w:rPr>
      </w:pPr>
      <w:r w:rsidRPr="00A1260E">
        <w:rPr>
          <w:rFonts w:ascii="Arial" w:eastAsia="Times New Roman" w:hAnsi="Arial" w:cs="Arial"/>
          <w:b/>
          <w:bCs/>
          <w:i/>
          <w:iCs/>
          <w:lang w:val="es-ES" w:eastAsia="es-ES"/>
        </w:rPr>
        <w:t>d) Asegurar que se respete en la práctica el justo valor probatorio de los informes de peritos médicos y psicólogos independientes acreditados, en aplicación de lo dispuesto en el artículo 37 de la Ley General contra la Tortura.</w:t>
      </w:r>
    </w:p>
    <w:p w14:paraId="0DCB5EB6" w14:textId="551AB4E3" w:rsidR="003442C1" w:rsidRPr="0088004D" w:rsidRDefault="003442C1" w:rsidP="00A1260E">
      <w:pPr>
        <w:jc w:val="both"/>
        <w:rPr>
          <w:rFonts w:ascii="Arial" w:eastAsia="Times New Roman" w:hAnsi="Arial" w:cs="Arial"/>
          <w:b/>
          <w:bCs/>
          <w:lang w:val="es-ES" w:eastAsia="es-ES"/>
        </w:rPr>
      </w:pPr>
      <w:r w:rsidRPr="0088004D">
        <w:rPr>
          <w:rFonts w:ascii="Arial" w:eastAsia="Times New Roman" w:hAnsi="Arial" w:cs="Arial"/>
          <w:b/>
          <w:bCs/>
          <w:lang w:val="es-ES" w:eastAsia="es-ES"/>
        </w:rPr>
        <w:t xml:space="preserve">Acciones del Mecanismo Nacional de Prevención de la Tortura </w:t>
      </w:r>
    </w:p>
    <w:p w14:paraId="6D350279" w14:textId="73A4A142" w:rsidR="00A1260E" w:rsidRPr="00A1260E" w:rsidRDefault="00A1260E" w:rsidP="00A1260E">
      <w:pPr>
        <w:jc w:val="both"/>
        <w:rPr>
          <w:rFonts w:ascii="Arial" w:eastAsia="Times New Roman" w:hAnsi="Arial" w:cs="Arial"/>
          <w:lang w:val="es-ES" w:eastAsia="es-ES"/>
        </w:rPr>
      </w:pPr>
      <w:r w:rsidRPr="00A1260E">
        <w:rPr>
          <w:rFonts w:ascii="Arial" w:eastAsia="Times New Roman" w:hAnsi="Arial" w:cs="Arial"/>
          <w:lang w:val="es-ES" w:eastAsia="es-ES"/>
        </w:rPr>
        <w:t xml:space="preserve">Respecto a estos puntos, en particular el inciso </w:t>
      </w:r>
      <w:r w:rsidRPr="00A1260E">
        <w:rPr>
          <w:rFonts w:ascii="Arial" w:eastAsia="Times New Roman" w:hAnsi="Arial" w:cs="Arial"/>
          <w:i/>
          <w:iCs/>
          <w:lang w:val="es-ES" w:eastAsia="es-ES"/>
        </w:rPr>
        <w:t>c</w:t>
      </w:r>
      <w:r w:rsidRPr="00A1260E">
        <w:rPr>
          <w:rFonts w:ascii="Arial" w:eastAsia="Times New Roman" w:hAnsi="Arial" w:cs="Arial"/>
          <w:lang w:val="es-ES" w:eastAsia="es-ES"/>
        </w:rPr>
        <w:t xml:space="preserve">, el Mecanismo inició, en el año 2021, la capacitación en documentación de la tortura de acuerdo con las directrices </w:t>
      </w:r>
      <w:r w:rsidRPr="00A1260E">
        <w:rPr>
          <w:rFonts w:ascii="Arial" w:eastAsia="Times New Roman" w:hAnsi="Arial" w:cs="Arial"/>
          <w:lang w:val="es-ES" w:eastAsia="es-ES"/>
        </w:rPr>
        <w:lastRenderedPageBreak/>
        <w:t>del Protocolo de Estambul, que se ha impartido a 9 comisiones estatales de derechos humanos (Guerrero, Veracruz, Querétaro, Oaxaca, Baja California Sur, Guanajuato, Yucatán, San Luis Potosí, Jalisco, Puebla), contabilizándose un total de 424 personas funcionarias públicas capacitadas.</w:t>
      </w:r>
    </w:p>
    <w:p w14:paraId="25ACD8A4" w14:textId="77777777" w:rsidR="00A1260E" w:rsidRPr="00A1260E" w:rsidRDefault="00A1260E" w:rsidP="00A1260E">
      <w:pPr>
        <w:jc w:val="both"/>
        <w:rPr>
          <w:rFonts w:ascii="Arial" w:eastAsia="Times New Roman" w:hAnsi="Arial" w:cs="Arial"/>
          <w:lang w:val="es-ES" w:eastAsia="es-ES"/>
        </w:rPr>
      </w:pPr>
      <w:r w:rsidRPr="00A1260E">
        <w:rPr>
          <w:rFonts w:ascii="Arial" w:eastAsia="Times New Roman" w:hAnsi="Arial" w:cs="Arial"/>
          <w:lang w:val="es-ES" w:eastAsia="es-ES"/>
        </w:rPr>
        <w:t xml:space="preserve">Respecto a los incisos </w:t>
      </w:r>
      <w:r w:rsidRPr="00A1260E">
        <w:rPr>
          <w:rFonts w:ascii="Arial" w:eastAsia="Times New Roman" w:hAnsi="Arial" w:cs="Arial"/>
          <w:i/>
          <w:iCs/>
          <w:lang w:val="es-ES" w:eastAsia="es-ES"/>
        </w:rPr>
        <w:t xml:space="preserve">a) </w:t>
      </w:r>
      <w:r w:rsidRPr="00A1260E">
        <w:rPr>
          <w:rFonts w:ascii="Arial" w:eastAsia="Times New Roman" w:hAnsi="Arial" w:cs="Arial"/>
          <w:lang w:val="es-ES" w:eastAsia="es-ES"/>
        </w:rPr>
        <w:t xml:space="preserve">a </w:t>
      </w:r>
      <w:r w:rsidRPr="00A1260E">
        <w:rPr>
          <w:rFonts w:ascii="Arial" w:eastAsia="Times New Roman" w:hAnsi="Arial" w:cs="Arial"/>
          <w:i/>
          <w:iCs/>
          <w:lang w:val="es-ES" w:eastAsia="es-ES"/>
        </w:rPr>
        <w:t xml:space="preserve">g), </w:t>
      </w:r>
      <w:r w:rsidRPr="00A1260E">
        <w:rPr>
          <w:rFonts w:ascii="Arial" w:eastAsia="Times New Roman" w:hAnsi="Arial" w:cs="Arial"/>
          <w:lang w:val="es-ES" w:eastAsia="es-ES"/>
        </w:rPr>
        <w:t>como se puede ver en la tabla de la respuesta al punto 26, el Mecanismo ha detectado que el personal pericial, al menos de las Fiscalía de los estados de Baja California, Zacatecas, Durango, Oaxaca y Querétaro, siguen estando adscritos a las Direcciones Generales de Servicios Periciales de cada institución.</w:t>
      </w:r>
    </w:p>
    <w:p w14:paraId="0670C2A5" w14:textId="77777777" w:rsidR="00E84875" w:rsidRDefault="00E84875" w:rsidP="00B11E95">
      <w:pPr>
        <w:jc w:val="both"/>
        <w:rPr>
          <w:rFonts w:ascii="Arial" w:eastAsia="Times New Roman" w:hAnsi="Arial" w:cs="Arial"/>
          <w:b/>
          <w:bCs/>
          <w:color w:val="1F3864" w:themeColor="accent1" w:themeShade="80"/>
          <w:lang w:val="es-ES" w:eastAsia="es-ES"/>
        </w:rPr>
      </w:pPr>
    </w:p>
    <w:p w14:paraId="2EE7DD4E" w14:textId="77777777" w:rsidR="00E84875" w:rsidRPr="00E84875" w:rsidRDefault="00E84875" w:rsidP="00933290">
      <w:pPr>
        <w:spacing w:after="0" w:line="240" w:lineRule="auto"/>
        <w:ind w:right="731"/>
        <w:contextualSpacing/>
        <w:jc w:val="both"/>
        <w:rPr>
          <w:rFonts w:ascii="Arial" w:eastAsia="Times New Roman" w:hAnsi="Arial" w:cs="Times New Roman"/>
          <w:b/>
          <w:bCs/>
          <w:i/>
          <w:iCs/>
          <w:szCs w:val="20"/>
          <w:lang w:val="es-ES_tradnl" w:eastAsia="es-ES"/>
        </w:rPr>
      </w:pPr>
      <w:r w:rsidRPr="00E84875">
        <w:rPr>
          <w:rFonts w:ascii="Arial" w:eastAsia="Times New Roman" w:hAnsi="Arial" w:cs="Times New Roman"/>
          <w:b/>
          <w:bCs/>
          <w:i/>
          <w:iCs/>
          <w:szCs w:val="20"/>
          <w:lang w:val="es-ES_tradnl" w:eastAsia="es-ES"/>
        </w:rPr>
        <w:t>“30. El Comité insta al Estado parte a:</w:t>
      </w:r>
    </w:p>
    <w:p w14:paraId="1021B701" w14:textId="77777777" w:rsidR="00E84875" w:rsidRPr="00E84875" w:rsidRDefault="00E84875" w:rsidP="00933290">
      <w:pPr>
        <w:spacing w:after="0" w:line="240" w:lineRule="auto"/>
        <w:ind w:right="731"/>
        <w:contextualSpacing/>
        <w:jc w:val="both"/>
        <w:rPr>
          <w:rFonts w:ascii="Arial" w:eastAsia="Times New Roman" w:hAnsi="Arial" w:cs="Times New Roman"/>
          <w:b/>
          <w:bCs/>
          <w:i/>
          <w:iCs/>
          <w:szCs w:val="20"/>
          <w:lang w:val="es-ES_tradnl" w:eastAsia="es-ES"/>
        </w:rPr>
      </w:pPr>
    </w:p>
    <w:p w14:paraId="787667A5" w14:textId="77777777" w:rsidR="00E84875" w:rsidRPr="00E84875" w:rsidRDefault="00E84875" w:rsidP="00933290">
      <w:pPr>
        <w:spacing w:after="0" w:line="240" w:lineRule="auto"/>
        <w:ind w:right="731"/>
        <w:contextualSpacing/>
        <w:jc w:val="both"/>
        <w:rPr>
          <w:rFonts w:ascii="Arial" w:eastAsia="Times New Roman" w:hAnsi="Arial" w:cs="Times New Roman"/>
          <w:b/>
          <w:bCs/>
          <w:i/>
          <w:iCs/>
          <w:szCs w:val="20"/>
          <w:lang w:val="es-ES_tradnl" w:eastAsia="es-ES"/>
        </w:rPr>
      </w:pPr>
      <w:r w:rsidRPr="00E84875">
        <w:rPr>
          <w:rFonts w:ascii="Arial" w:eastAsia="Times New Roman" w:hAnsi="Arial" w:cs="Times New Roman"/>
          <w:b/>
          <w:bCs/>
          <w:i/>
          <w:iCs/>
          <w:szCs w:val="20"/>
          <w:lang w:val="es-ES_tradnl" w:eastAsia="es-ES"/>
        </w:rPr>
        <w:t xml:space="preserve">a) Velar por que los casos de desaparición forzada sean investigados con prontitud, eficacia e imparcialidad, se enjuicie a los presuntos autores y se </w:t>
      </w:r>
      <w:r w:rsidRPr="00E84875">
        <w:rPr>
          <w:rFonts w:ascii="Arial" w:eastAsia="Times New Roman" w:hAnsi="Arial" w:cs="Times New Roman"/>
          <w:b/>
          <w:bCs/>
          <w:i/>
          <w:iCs/>
          <w:szCs w:val="20"/>
          <w:lang w:val="es-ES_tradnl" w:eastAsia="es-ES"/>
        </w:rPr>
        <w:lastRenderedPageBreak/>
        <w:t>castigue como corresponda a los que sean declarados culpables, y por qué se proporcione a todas las víctimas, incluidas todas las personas que hayan sufrido un perjuicio directo como consecuencia de la desaparición forzada, una reparación efectiva que incluya una indemnización adecuada. Al respecto, el Comité solicita que se presente la información requerida sobre la investigación de las desapariciones ocurridas en Tamaulipas en mayo de 2018;</w:t>
      </w:r>
    </w:p>
    <w:p w14:paraId="71730D50" w14:textId="77777777" w:rsidR="00E84875" w:rsidRPr="00E84875" w:rsidRDefault="00E84875" w:rsidP="00933290">
      <w:pPr>
        <w:spacing w:after="0" w:line="240" w:lineRule="auto"/>
        <w:ind w:right="731"/>
        <w:contextualSpacing/>
        <w:jc w:val="both"/>
        <w:rPr>
          <w:rFonts w:ascii="Arial" w:eastAsia="Times New Roman" w:hAnsi="Arial" w:cs="Times New Roman"/>
          <w:i/>
          <w:iCs/>
          <w:szCs w:val="20"/>
          <w:lang w:val="es-ES_tradnl" w:eastAsia="es-ES"/>
        </w:rPr>
      </w:pPr>
    </w:p>
    <w:p w14:paraId="65D2B750" w14:textId="77777777" w:rsidR="00E84875" w:rsidRPr="00E84875" w:rsidRDefault="00E84875" w:rsidP="00933290">
      <w:pPr>
        <w:spacing w:after="0" w:line="240" w:lineRule="auto"/>
        <w:ind w:right="731"/>
        <w:contextualSpacing/>
        <w:jc w:val="both"/>
        <w:rPr>
          <w:rFonts w:ascii="Arial" w:eastAsia="Times New Roman" w:hAnsi="Arial" w:cs="Times New Roman"/>
          <w:b/>
          <w:bCs/>
          <w:i/>
          <w:iCs/>
          <w:szCs w:val="20"/>
          <w:lang w:val="es-ES_tradnl" w:eastAsia="es-ES"/>
        </w:rPr>
      </w:pPr>
      <w:r w:rsidRPr="00E84875">
        <w:rPr>
          <w:rFonts w:ascii="Arial" w:eastAsia="Times New Roman" w:hAnsi="Arial" w:cs="Times New Roman"/>
          <w:b/>
          <w:bCs/>
          <w:i/>
          <w:iCs/>
          <w:szCs w:val="20"/>
          <w:lang w:val="es-ES_tradnl" w:eastAsia="es-ES"/>
        </w:rPr>
        <w:t>b) Garantizar el funcionamiento eficaz del Sistema Nacional de Búsqueda, incluidos los registros y herramientas contempladas en la Ley General sobre desaparición de personas. Deberá también dotar a la Comisión Nacional de Búsqueda y a las comisiones locales de los recursos suficientes para su correcto funcionamiento;</w:t>
      </w:r>
    </w:p>
    <w:p w14:paraId="5FCF5EA3" w14:textId="77777777" w:rsidR="00E84875" w:rsidRPr="00E84875" w:rsidRDefault="00E84875" w:rsidP="00933290">
      <w:pPr>
        <w:spacing w:after="0" w:line="240" w:lineRule="auto"/>
        <w:ind w:right="731"/>
        <w:contextualSpacing/>
        <w:jc w:val="both"/>
        <w:rPr>
          <w:rFonts w:ascii="Arial" w:eastAsia="Times New Roman" w:hAnsi="Arial" w:cs="Times New Roman"/>
          <w:b/>
          <w:bCs/>
          <w:i/>
          <w:iCs/>
          <w:szCs w:val="20"/>
          <w:lang w:val="es-ES_tradnl" w:eastAsia="es-ES"/>
        </w:rPr>
      </w:pPr>
    </w:p>
    <w:p w14:paraId="316E869B" w14:textId="77777777" w:rsidR="00E84875" w:rsidRPr="00E84875" w:rsidRDefault="00E84875" w:rsidP="00933290">
      <w:pPr>
        <w:spacing w:after="0" w:line="240" w:lineRule="auto"/>
        <w:ind w:right="731"/>
        <w:contextualSpacing/>
        <w:jc w:val="both"/>
        <w:rPr>
          <w:rFonts w:ascii="Arial" w:eastAsia="Times New Roman" w:hAnsi="Arial" w:cs="Arial"/>
          <w:b/>
          <w:bCs/>
          <w:i/>
          <w:iCs/>
          <w:lang w:eastAsia="x-none"/>
        </w:rPr>
      </w:pPr>
      <w:r w:rsidRPr="00E84875">
        <w:rPr>
          <w:rFonts w:ascii="Arial" w:eastAsia="Times New Roman" w:hAnsi="Arial" w:cs="Times New Roman"/>
          <w:b/>
          <w:bCs/>
          <w:i/>
          <w:iCs/>
          <w:szCs w:val="20"/>
          <w:lang w:val="es-ES_tradnl" w:eastAsia="es-ES"/>
        </w:rPr>
        <w:t xml:space="preserve">c) Atender de manera urgente el problema de los restos humanos no identificados, fortaleciendo la capacidad del Estado mediante la creación de </w:t>
      </w:r>
      <w:r w:rsidRPr="00E84875">
        <w:rPr>
          <w:rFonts w:ascii="Arial" w:eastAsia="Times New Roman" w:hAnsi="Arial" w:cs="Times New Roman"/>
          <w:b/>
          <w:bCs/>
          <w:i/>
          <w:iCs/>
          <w:szCs w:val="20"/>
          <w:lang w:val="es-ES_tradnl" w:eastAsia="es-ES"/>
        </w:rPr>
        <w:lastRenderedPageBreak/>
        <w:t>instituciones dotadas con suficientes recursos, a fin de que los restos humanos encontrados sean devueltos a sus respectivos familiares.”</w:t>
      </w:r>
    </w:p>
    <w:p w14:paraId="33488F95" w14:textId="77777777" w:rsidR="00E84875" w:rsidRPr="00E84875" w:rsidRDefault="00E84875" w:rsidP="00E84875">
      <w:pPr>
        <w:spacing w:after="0" w:line="240" w:lineRule="auto"/>
        <w:ind w:right="79"/>
        <w:contextualSpacing/>
        <w:jc w:val="both"/>
        <w:rPr>
          <w:rFonts w:ascii="Arial" w:eastAsia="Times New Roman" w:hAnsi="Arial" w:cs="Arial"/>
          <w:lang w:eastAsia="x-none"/>
        </w:rPr>
      </w:pPr>
    </w:p>
    <w:p w14:paraId="01B9222C" w14:textId="6EA9A5AE" w:rsidR="00E84875" w:rsidRPr="0088004D" w:rsidRDefault="0088004D" w:rsidP="00E84875">
      <w:pPr>
        <w:spacing w:after="0" w:line="240" w:lineRule="auto"/>
        <w:jc w:val="both"/>
        <w:rPr>
          <w:rFonts w:ascii="Arial" w:eastAsia="Times New Roman" w:hAnsi="Arial" w:cs="Arial"/>
          <w:b/>
          <w:bCs/>
          <w:lang w:val="es-ES_tradnl" w:eastAsia="es-ES"/>
        </w:rPr>
      </w:pPr>
      <w:r w:rsidRPr="0088004D">
        <w:rPr>
          <w:rFonts w:ascii="Arial" w:eastAsia="Times New Roman" w:hAnsi="Arial" w:cs="Arial"/>
          <w:b/>
          <w:bCs/>
          <w:lang w:val="es-ES_tradnl" w:eastAsia="es-ES"/>
        </w:rPr>
        <w:t xml:space="preserve">Avances y Retos del Estado Mexicano </w:t>
      </w:r>
    </w:p>
    <w:p w14:paraId="5EE23770" w14:textId="77777777" w:rsidR="0088004D" w:rsidRPr="00E84875" w:rsidRDefault="0088004D" w:rsidP="00E84875">
      <w:pPr>
        <w:spacing w:after="0" w:line="240" w:lineRule="auto"/>
        <w:jc w:val="both"/>
        <w:rPr>
          <w:rFonts w:ascii="Arial" w:eastAsia="Times New Roman" w:hAnsi="Arial" w:cs="Arial"/>
          <w:lang w:val="es-ES_tradnl" w:eastAsia="es-ES"/>
        </w:rPr>
      </w:pPr>
    </w:p>
    <w:p w14:paraId="366099B3" w14:textId="77777777" w:rsidR="00E84875" w:rsidRPr="00E84875" w:rsidRDefault="00E84875" w:rsidP="00E84875">
      <w:pPr>
        <w:spacing w:after="0" w:line="240" w:lineRule="auto"/>
        <w:jc w:val="both"/>
        <w:rPr>
          <w:rFonts w:ascii="Arial" w:eastAsia="Times New Roman" w:hAnsi="Arial" w:cs="Arial"/>
          <w:u w:val="single"/>
          <w:lang w:val="es-ES_tradnl" w:eastAsia="es-ES"/>
        </w:rPr>
      </w:pPr>
      <w:r w:rsidRPr="00E84875">
        <w:rPr>
          <w:rFonts w:ascii="Arial" w:eastAsia="Times New Roman" w:hAnsi="Arial" w:cs="Arial"/>
          <w:u w:val="single"/>
          <w:lang w:val="es-ES_tradnl" w:eastAsia="es-ES"/>
        </w:rPr>
        <w:t>Avances:</w:t>
      </w:r>
    </w:p>
    <w:p w14:paraId="32F525D9" w14:textId="77777777" w:rsidR="00E84875" w:rsidRPr="00E84875" w:rsidRDefault="00E84875" w:rsidP="00E84875">
      <w:pPr>
        <w:spacing w:after="0" w:line="240" w:lineRule="auto"/>
        <w:jc w:val="both"/>
        <w:rPr>
          <w:rFonts w:ascii="Arial" w:eastAsia="Times New Roman" w:hAnsi="Arial" w:cs="Arial"/>
          <w:lang w:val="es-ES_tradnl" w:eastAsia="es-ES"/>
        </w:rPr>
      </w:pPr>
    </w:p>
    <w:p w14:paraId="01B9BAB2" w14:textId="77777777" w:rsidR="00E84875" w:rsidRPr="00E84875" w:rsidRDefault="00E84875" w:rsidP="00E84875">
      <w:pPr>
        <w:spacing w:after="0" w:line="240" w:lineRule="auto"/>
        <w:jc w:val="both"/>
        <w:rPr>
          <w:rFonts w:ascii="Arial" w:eastAsia="Times New Roman" w:hAnsi="Arial" w:cs="Arial"/>
          <w:lang w:val="es-ES_tradnl" w:eastAsia="es-ES"/>
        </w:rPr>
      </w:pPr>
      <w:r w:rsidRPr="00E84875">
        <w:rPr>
          <w:rFonts w:ascii="Arial" w:eastAsia="Times New Roman" w:hAnsi="Arial" w:cs="Arial"/>
          <w:lang w:val="es-ES_tradnl" w:eastAsia="es-ES"/>
        </w:rPr>
        <w:t>Con motivo de la entrada en vigor de la Ley General en Materia de Desaparición Forzada de Personas, Desaparición cometida por Particulares y del Sistema Nacional de Búsqueda de Personas, se da seguimiento a la implementación, por parte de las distintas autoridades, de las diversas herramientas señaladas por la Ley.</w:t>
      </w:r>
    </w:p>
    <w:p w14:paraId="4D3BEF5E" w14:textId="77777777" w:rsidR="00E84875" w:rsidRPr="00E84875" w:rsidRDefault="00E84875" w:rsidP="00E84875">
      <w:pPr>
        <w:spacing w:after="0" w:line="240" w:lineRule="auto"/>
        <w:jc w:val="both"/>
        <w:rPr>
          <w:rFonts w:ascii="Arial" w:eastAsia="Times New Roman" w:hAnsi="Arial" w:cs="Arial"/>
          <w:lang w:val="es-ES_tradnl" w:eastAsia="es-ES"/>
        </w:rPr>
      </w:pPr>
    </w:p>
    <w:p w14:paraId="0F5AC58A" w14:textId="77777777" w:rsidR="00E84875" w:rsidRPr="00E84875" w:rsidRDefault="00E84875" w:rsidP="00E84875">
      <w:pPr>
        <w:numPr>
          <w:ilvl w:val="0"/>
          <w:numId w:val="25"/>
        </w:numPr>
        <w:spacing w:after="0" w:line="240" w:lineRule="auto"/>
        <w:ind w:right="566"/>
        <w:contextualSpacing/>
        <w:jc w:val="both"/>
        <w:rPr>
          <w:rFonts w:ascii="Arial" w:eastAsia="Times New Roman" w:hAnsi="Arial" w:cs="Arial"/>
          <w:lang w:val="es-ES_tradnl" w:eastAsia="es-ES"/>
        </w:rPr>
      </w:pPr>
      <w:r w:rsidRPr="00E84875">
        <w:rPr>
          <w:rFonts w:ascii="Arial" w:eastAsia="Times New Roman" w:hAnsi="Arial" w:cs="Arial"/>
          <w:lang w:val="es-ES_tradnl" w:eastAsia="es-ES"/>
        </w:rPr>
        <w:t xml:space="preserve">El 06 de octubre de 2020, se publicó en el DOF el </w:t>
      </w:r>
      <w:r w:rsidRPr="00E84875">
        <w:rPr>
          <w:rFonts w:ascii="Arial" w:eastAsia="Times New Roman" w:hAnsi="Arial" w:cs="Times New Roman"/>
          <w:lang w:val="es-ES_tradnl" w:eastAsia="es-ES"/>
        </w:rPr>
        <w:t xml:space="preserve">Acuerdo SNBP/002/2020 por el que se aprueba el </w:t>
      </w:r>
      <w:r w:rsidRPr="00E84875">
        <w:rPr>
          <w:rFonts w:ascii="Arial" w:eastAsia="Times New Roman" w:hAnsi="Arial" w:cs="Times New Roman"/>
          <w:b/>
          <w:lang w:val="es-ES_tradnl" w:eastAsia="es-ES"/>
        </w:rPr>
        <w:t>Protocolo Homologado para la Búsqueda de Per</w:t>
      </w:r>
      <w:r w:rsidRPr="00E84875">
        <w:rPr>
          <w:rFonts w:ascii="Arial" w:eastAsia="Times New Roman" w:hAnsi="Arial" w:cs="Times New Roman"/>
          <w:b/>
          <w:lang w:val="es-ES_tradnl" w:eastAsia="es-ES"/>
        </w:rPr>
        <w:lastRenderedPageBreak/>
        <w:t>sonas Desaparecidas y No Localizadas</w:t>
      </w:r>
      <w:r w:rsidRPr="00E84875">
        <w:rPr>
          <w:rFonts w:ascii="Arial" w:eastAsia="Times New Roman" w:hAnsi="Arial" w:cs="Times New Roman"/>
          <w:lang w:val="es-ES_tradnl" w:eastAsia="es-ES"/>
        </w:rPr>
        <w:t>, previsto en la Ley General en Materia</w:t>
      </w:r>
      <w:r w:rsidRPr="00E84875">
        <w:rPr>
          <w:rFonts w:ascii="Arial" w:eastAsia="Times New Roman" w:hAnsi="Arial" w:cs="Times New Roman"/>
          <w:spacing w:val="-10"/>
          <w:lang w:val="es-ES_tradnl" w:eastAsia="es-ES"/>
        </w:rPr>
        <w:t xml:space="preserve"> </w:t>
      </w:r>
      <w:r w:rsidRPr="00E84875">
        <w:rPr>
          <w:rFonts w:ascii="Arial" w:eastAsia="Times New Roman" w:hAnsi="Arial" w:cs="Times New Roman"/>
          <w:lang w:val="es-ES_tradnl" w:eastAsia="es-ES"/>
        </w:rPr>
        <w:t>de</w:t>
      </w:r>
      <w:r w:rsidRPr="00E84875">
        <w:rPr>
          <w:rFonts w:ascii="Arial" w:eastAsia="Times New Roman" w:hAnsi="Arial" w:cs="Times New Roman"/>
          <w:spacing w:val="-15"/>
          <w:lang w:val="es-ES_tradnl" w:eastAsia="es-ES"/>
        </w:rPr>
        <w:t xml:space="preserve"> </w:t>
      </w:r>
      <w:r w:rsidRPr="00E84875">
        <w:rPr>
          <w:rFonts w:ascii="Arial" w:eastAsia="Times New Roman" w:hAnsi="Arial" w:cs="Times New Roman"/>
          <w:lang w:val="es-ES_tradnl" w:eastAsia="es-ES"/>
        </w:rPr>
        <w:t>Desaparición</w:t>
      </w:r>
      <w:r w:rsidRPr="00E84875">
        <w:rPr>
          <w:rFonts w:ascii="Arial" w:eastAsia="Times New Roman" w:hAnsi="Arial" w:cs="Times New Roman"/>
          <w:spacing w:val="-10"/>
          <w:lang w:val="es-ES_tradnl" w:eastAsia="es-ES"/>
        </w:rPr>
        <w:t xml:space="preserve"> </w:t>
      </w:r>
      <w:r w:rsidRPr="00E84875">
        <w:rPr>
          <w:rFonts w:ascii="Arial" w:eastAsia="Times New Roman" w:hAnsi="Arial" w:cs="Times New Roman"/>
          <w:lang w:val="es-ES_tradnl" w:eastAsia="es-ES"/>
        </w:rPr>
        <w:t>Forzada</w:t>
      </w:r>
      <w:r w:rsidRPr="00E84875">
        <w:rPr>
          <w:rFonts w:ascii="Arial" w:eastAsia="Times New Roman" w:hAnsi="Arial" w:cs="Times New Roman"/>
          <w:spacing w:val="-10"/>
          <w:lang w:val="es-ES_tradnl" w:eastAsia="es-ES"/>
        </w:rPr>
        <w:t xml:space="preserve"> </w:t>
      </w:r>
      <w:r w:rsidRPr="00E84875">
        <w:rPr>
          <w:rFonts w:ascii="Arial" w:eastAsia="Times New Roman" w:hAnsi="Arial" w:cs="Times New Roman"/>
          <w:lang w:val="es-ES_tradnl" w:eastAsia="es-ES"/>
        </w:rPr>
        <w:t>de</w:t>
      </w:r>
      <w:r w:rsidRPr="00E84875">
        <w:rPr>
          <w:rFonts w:ascii="Arial" w:eastAsia="Times New Roman" w:hAnsi="Arial" w:cs="Times New Roman"/>
          <w:spacing w:val="-15"/>
          <w:lang w:val="es-ES_tradnl" w:eastAsia="es-ES"/>
        </w:rPr>
        <w:t xml:space="preserve"> </w:t>
      </w:r>
      <w:r w:rsidRPr="00E84875">
        <w:rPr>
          <w:rFonts w:ascii="Arial" w:eastAsia="Times New Roman" w:hAnsi="Arial" w:cs="Times New Roman"/>
          <w:lang w:val="es-ES_tradnl" w:eastAsia="es-ES"/>
        </w:rPr>
        <w:t>Personas,</w:t>
      </w:r>
      <w:r w:rsidRPr="00E84875">
        <w:rPr>
          <w:rFonts w:ascii="Arial" w:eastAsia="Times New Roman" w:hAnsi="Arial" w:cs="Times New Roman"/>
          <w:spacing w:val="-10"/>
          <w:lang w:val="es-ES_tradnl" w:eastAsia="es-ES"/>
        </w:rPr>
        <w:t xml:space="preserve"> </w:t>
      </w:r>
      <w:r w:rsidRPr="00E84875">
        <w:rPr>
          <w:rFonts w:ascii="Arial" w:eastAsia="Times New Roman" w:hAnsi="Arial" w:cs="Times New Roman"/>
          <w:lang w:val="es-ES_tradnl" w:eastAsia="es-ES"/>
        </w:rPr>
        <w:t>Desaparición</w:t>
      </w:r>
      <w:r w:rsidRPr="00E84875">
        <w:rPr>
          <w:rFonts w:ascii="Arial" w:eastAsia="Times New Roman" w:hAnsi="Arial" w:cs="Times New Roman"/>
          <w:spacing w:val="-15"/>
          <w:lang w:val="es-ES_tradnl" w:eastAsia="es-ES"/>
        </w:rPr>
        <w:t xml:space="preserve"> </w:t>
      </w:r>
      <w:r w:rsidRPr="00E84875">
        <w:rPr>
          <w:rFonts w:ascii="Arial" w:eastAsia="Times New Roman" w:hAnsi="Arial" w:cs="Times New Roman"/>
          <w:lang w:val="es-ES_tradnl" w:eastAsia="es-ES"/>
        </w:rPr>
        <w:t>Cometida</w:t>
      </w:r>
      <w:r w:rsidRPr="00E84875">
        <w:rPr>
          <w:rFonts w:ascii="Arial" w:eastAsia="Times New Roman" w:hAnsi="Arial" w:cs="Times New Roman"/>
          <w:spacing w:val="-10"/>
          <w:lang w:val="es-ES_tradnl" w:eastAsia="es-ES"/>
        </w:rPr>
        <w:t xml:space="preserve"> </w:t>
      </w:r>
      <w:r w:rsidRPr="00E84875">
        <w:rPr>
          <w:rFonts w:ascii="Arial" w:eastAsia="Times New Roman" w:hAnsi="Arial" w:cs="Times New Roman"/>
          <w:lang w:val="es-ES_tradnl" w:eastAsia="es-ES"/>
        </w:rPr>
        <w:t>por</w:t>
      </w:r>
      <w:r w:rsidRPr="00E84875">
        <w:rPr>
          <w:rFonts w:ascii="Arial" w:eastAsia="Times New Roman" w:hAnsi="Arial" w:cs="Times New Roman"/>
          <w:spacing w:val="-10"/>
          <w:lang w:val="es-ES_tradnl" w:eastAsia="es-ES"/>
        </w:rPr>
        <w:t xml:space="preserve"> </w:t>
      </w:r>
      <w:r w:rsidRPr="00E84875">
        <w:rPr>
          <w:rFonts w:ascii="Arial" w:eastAsia="Times New Roman" w:hAnsi="Arial" w:cs="Times New Roman"/>
          <w:lang w:val="es-ES_tradnl" w:eastAsia="es-ES"/>
        </w:rPr>
        <w:t>Particulares</w:t>
      </w:r>
      <w:r w:rsidRPr="00E84875">
        <w:rPr>
          <w:rFonts w:ascii="Arial" w:eastAsia="Times New Roman" w:hAnsi="Arial" w:cs="Times New Roman"/>
          <w:spacing w:val="-10"/>
          <w:lang w:val="es-ES_tradnl" w:eastAsia="es-ES"/>
        </w:rPr>
        <w:t xml:space="preserve"> </w:t>
      </w:r>
      <w:r w:rsidRPr="00E84875">
        <w:rPr>
          <w:rFonts w:ascii="Arial" w:eastAsia="Times New Roman" w:hAnsi="Arial" w:cs="Times New Roman"/>
          <w:lang w:val="es-ES_tradnl" w:eastAsia="es-ES"/>
        </w:rPr>
        <w:t>y</w:t>
      </w:r>
      <w:r w:rsidRPr="00E84875">
        <w:rPr>
          <w:rFonts w:ascii="Arial" w:eastAsia="Times New Roman" w:hAnsi="Arial" w:cs="Times New Roman"/>
          <w:spacing w:val="-10"/>
          <w:lang w:val="es-ES_tradnl" w:eastAsia="es-ES"/>
        </w:rPr>
        <w:t xml:space="preserve"> </w:t>
      </w:r>
      <w:r w:rsidRPr="00E84875">
        <w:rPr>
          <w:rFonts w:ascii="Arial" w:eastAsia="Times New Roman" w:hAnsi="Arial" w:cs="Times New Roman"/>
          <w:lang w:val="es-ES_tradnl" w:eastAsia="es-ES"/>
        </w:rPr>
        <w:t>del Sistema Nacional de Búsqueda de</w:t>
      </w:r>
      <w:r w:rsidRPr="00E84875">
        <w:rPr>
          <w:rFonts w:ascii="Arial" w:eastAsia="Times New Roman" w:hAnsi="Arial" w:cs="Times New Roman"/>
          <w:spacing w:val="-20"/>
          <w:lang w:val="es-ES_tradnl" w:eastAsia="es-ES"/>
        </w:rPr>
        <w:t xml:space="preserve"> </w:t>
      </w:r>
      <w:r w:rsidRPr="00E84875">
        <w:rPr>
          <w:rFonts w:ascii="Arial" w:eastAsia="Times New Roman" w:hAnsi="Arial" w:cs="Times New Roman"/>
          <w:lang w:val="es-ES_tradnl" w:eastAsia="es-ES"/>
        </w:rPr>
        <w:t>Personas.</w:t>
      </w:r>
    </w:p>
    <w:p w14:paraId="28590831" w14:textId="77777777" w:rsidR="00E84875" w:rsidRPr="00E84875" w:rsidRDefault="00E84875" w:rsidP="00E84875">
      <w:pPr>
        <w:numPr>
          <w:ilvl w:val="0"/>
          <w:numId w:val="25"/>
        </w:numPr>
        <w:spacing w:after="0" w:line="240" w:lineRule="auto"/>
        <w:ind w:right="566"/>
        <w:contextualSpacing/>
        <w:jc w:val="both"/>
        <w:rPr>
          <w:rFonts w:ascii="Arial" w:eastAsia="Times New Roman" w:hAnsi="Arial" w:cs="Arial"/>
          <w:lang w:val="es-ES_tradnl" w:eastAsia="es-ES"/>
        </w:rPr>
      </w:pPr>
      <w:r w:rsidRPr="00E84875">
        <w:rPr>
          <w:rFonts w:ascii="Arial" w:eastAsia="Times New Roman" w:hAnsi="Arial" w:cs="Arial"/>
          <w:lang w:val="es-ES_tradnl" w:eastAsia="es-ES"/>
        </w:rPr>
        <w:t xml:space="preserve">El 13 de julio de 2020, se dio a conocer la versión pública del </w:t>
      </w:r>
      <w:r w:rsidRPr="00E84875">
        <w:rPr>
          <w:rFonts w:ascii="Arial" w:eastAsia="Times New Roman" w:hAnsi="Arial" w:cs="Arial"/>
          <w:b/>
          <w:lang w:val="es-ES_tradnl" w:eastAsia="es-ES"/>
        </w:rPr>
        <w:t>Registro Nacional de Personas Desaparecidas y No Localizadas</w:t>
      </w:r>
      <w:r w:rsidRPr="00E84875">
        <w:rPr>
          <w:rFonts w:ascii="Arial" w:eastAsia="Times New Roman" w:hAnsi="Arial" w:cs="Arial"/>
          <w:lang w:val="es-ES_tradnl" w:eastAsia="es-ES"/>
        </w:rPr>
        <w:t xml:space="preserve"> en el que se concentra la información de los registros de Personas Desaparecidas y No Localizadas, tanto de la Federación como de las Entidades Federativas.</w:t>
      </w:r>
    </w:p>
    <w:p w14:paraId="7A9BF718" w14:textId="77777777" w:rsidR="00E84875" w:rsidRPr="00E84875" w:rsidRDefault="00E84875" w:rsidP="00E84875">
      <w:pPr>
        <w:numPr>
          <w:ilvl w:val="0"/>
          <w:numId w:val="25"/>
        </w:numPr>
        <w:spacing w:after="0" w:line="240" w:lineRule="auto"/>
        <w:ind w:right="566"/>
        <w:contextualSpacing/>
        <w:jc w:val="both"/>
        <w:rPr>
          <w:rFonts w:ascii="Arial" w:eastAsia="Times New Roman" w:hAnsi="Arial" w:cs="Times New Roman"/>
          <w:lang w:val="es-ES_tradnl" w:eastAsia="es-ES"/>
        </w:rPr>
      </w:pPr>
      <w:r w:rsidRPr="00E84875">
        <w:rPr>
          <w:rFonts w:ascii="Arial" w:eastAsia="Times New Roman" w:hAnsi="Arial" w:cs="Times New Roman"/>
          <w:lang w:val="es-ES_tradnl" w:eastAsia="es-ES"/>
        </w:rPr>
        <w:t xml:space="preserve">La Comisión Nacional de Búsqueda trabajó en un Primer Diagnóstico Nacional Forense y el 19 de marzo de 2020, el Sistema Nacional de Búsqueda de Personas, publicó en el DOF, el Acuerdo SNBP/001/2019 por el que se aprueba la creación del </w:t>
      </w:r>
      <w:r w:rsidRPr="00E84875">
        <w:rPr>
          <w:rFonts w:ascii="Arial" w:eastAsia="Times New Roman" w:hAnsi="Arial" w:cs="Times New Roman"/>
          <w:b/>
          <w:lang w:val="es-ES_tradnl" w:eastAsia="es-ES"/>
        </w:rPr>
        <w:t>Mecanismo Extraordinario de Identificación Forense</w:t>
      </w:r>
      <w:r w:rsidRPr="00E84875">
        <w:rPr>
          <w:rFonts w:ascii="Arial" w:eastAsia="Times New Roman" w:hAnsi="Arial" w:cs="Times New Roman"/>
          <w:lang w:val="es-ES_tradnl" w:eastAsia="es-ES"/>
        </w:rPr>
        <w:t>.</w:t>
      </w:r>
    </w:p>
    <w:p w14:paraId="4C6355DE" w14:textId="77777777" w:rsidR="00E84875" w:rsidRPr="00E84875" w:rsidRDefault="00E84875" w:rsidP="00E84875">
      <w:pPr>
        <w:numPr>
          <w:ilvl w:val="0"/>
          <w:numId w:val="25"/>
        </w:numPr>
        <w:spacing w:after="0" w:line="240" w:lineRule="auto"/>
        <w:ind w:right="566"/>
        <w:contextualSpacing/>
        <w:jc w:val="both"/>
        <w:rPr>
          <w:rFonts w:ascii="Arial" w:eastAsia="Times New Roman" w:hAnsi="Arial" w:cs="Times New Roman"/>
          <w:lang w:val="es-ES_tradnl" w:eastAsia="es-ES"/>
        </w:rPr>
      </w:pPr>
      <w:r w:rsidRPr="00E84875">
        <w:rPr>
          <w:rFonts w:ascii="Arial" w:eastAsia="Times New Roman" w:hAnsi="Arial" w:cs="Times New Roman"/>
          <w:lang w:val="es-ES_tradnl" w:eastAsia="es-ES"/>
        </w:rPr>
        <w:t xml:space="preserve">Se encuentra en etapa de equipamiento el </w:t>
      </w:r>
      <w:r w:rsidRPr="00E84875">
        <w:rPr>
          <w:rFonts w:ascii="Arial" w:eastAsia="Times New Roman" w:hAnsi="Arial" w:cs="Times New Roman"/>
          <w:b/>
          <w:lang w:val="es-ES_tradnl" w:eastAsia="es-ES"/>
        </w:rPr>
        <w:t>Centro Regional de Identificación Forense en Coahuila</w:t>
      </w:r>
      <w:r w:rsidRPr="00E84875">
        <w:rPr>
          <w:rFonts w:ascii="Arial" w:eastAsia="Times New Roman" w:hAnsi="Arial" w:cs="Times New Roman"/>
          <w:lang w:val="es-ES_tradnl" w:eastAsia="es-ES"/>
        </w:rPr>
        <w:t xml:space="preserve">. Por otro lado, están en proceso de construcción el Centro de Identificación Humana en San Luis Potosí, y los Centros de </w:t>
      </w:r>
      <w:r w:rsidRPr="00E84875">
        <w:rPr>
          <w:rFonts w:ascii="Arial" w:eastAsia="Times New Roman" w:hAnsi="Arial" w:cs="Times New Roman"/>
          <w:lang w:val="es-ES_tradnl" w:eastAsia="es-ES"/>
        </w:rPr>
        <w:lastRenderedPageBreak/>
        <w:t>resguardo forense en El Mante y San Fernando, Tamaulipas y en Morelia, Michoacán.</w:t>
      </w:r>
    </w:p>
    <w:p w14:paraId="19E2131F" w14:textId="77777777" w:rsidR="00E84875" w:rsidRPr="00E84875" w:rsidRDefault="00E84875" w:rsidP="00E84875">
      <w:pPr>
        <w:numPr>
          <w:ilvl w:val="0"/>
          <w:numId w:val="25"/>
        </w:numPr>
        <w:spacing w:after="0" w:line="240" w:lineRule="auto"/>
        <w:ind w:right="566"/>
        <w:contextualSpacing/>
        <w:jc w:val="both"/>
        <w:rPr>
          <w:rFonts w:ascii="Arial" w:eastAsia="Times New Roman" w:hAnsi="Arial" w:cs="Arial"/>
          <w:lang w:val="es-ES_tradnl" w:eastAsia="es-ES"/>
        </w:rPr>
      </w:pPr>
      <w:r w:rsidRPr="00E84875">
        <w:rPr>
          <w:rFonts w:ascii="Arial" w:eastAsia="Times New Roman" w:hAnsi="Arial" w:cs="Arial"/>
          <w:lang w:val="es-ES_tradnl" w:eastAsia="es-ES"/>
        </w:rPr>
        <w:t xml:space="preserve">Al publicarse en el Diario Oficial de la Federación (DOF) el 27 de mayo de 2019, la Ley Nacional del Registro de Detenciones, se encuentra en aplicación el </w:t>
      </w:r>
      <w:r w:rsidRPr="00E84875">
        <w:rPr>
          <w:rFonts w:ascii="Arial" w:eastAsia="Times New Roman" w:hAnsi="Arial" w:cs="Arial"/>
          <w:b/>
          <w:lang w:val="es-ES_tradnl" w:eastAsia="es-ES"/>
        </w:rPr>
        <w:t>Registro Administrativo de Detenciones</w:t>
      </w:r>
      <w:r w:rsidRPr="00E84875">
        <w:rPr>
          <w:rFonts w:ascii="Arial" w:eastAsia="Times New Roman" w:hAnsi="Arial" w:cs="Arial"/>
          <w:lang w:val="es-ES_tradnl" w:eastAsia="es-ES"/>
        </w:rPr>
        <w:t>.</w:t>
      </w:r>
    </w:p>
    <w:p w14:paraId="11044E34" w14:textId="77777777" w:rsidR="00E84875" w:rsidRPr="00E84875" w:rsidRDefault="00E84875" w:rsidP="00E84875">
      <w:pPr>
        <w:numPr>
          <w:ilvl w:val="0"/>
          <w:numId w:val="25"/>
        </w:numPr>
        <w:spacing w:after="0" w:line="240" w:lineRule="auto"/>
        <w:ind w:right="566"/>
        <w:contextualSpacing/>
        <w:jc w:val="both"/>
        <w:rPr>
          <w:rFonts w:ascii="Arial" w:eastAsia="Times New Roman" w:hAnsi="Arial" w:cs="Times New Roman"/>
          <w:lang w:val="es-ES_tradnl" w:eastAsia="es-ES"/>
        </w:rPr>
      </w:pPr>
      <w:r w:rsidRPr="00E84875">
        <w:rPr>
          <w:rFonts w:ascii="Arial" w:eastAsia="Times New Roman" w:hAnsi="Arial" w:cs="Times New Roman"/>
          <w:lang w:val="es-ES_tradnl" w:eastAsia="es-ES"/>
        </w:rPr>
        <w:t>El 12 de noviembre de 2018, la entonces Procuraduría General de la República publicó en el DOF el extracto de los Lineamientos tecnológicos del Banco Nacional de Datos Forenses y del Registro Nacional de Personas Fallecidas no Identificadas y no Reclamadas previstos en la Ley General en Materia de Desaparición Forzada de Personas, Desaparición cometida por Particulares y del Sistema Nacional de Búsqueda de Personas.</w:t>
      </w:r>
    </w:p>
    <w:p w14:paraId="6D38CE5F" w14:textId="77777777" w:rsidR="00E84875" w:rsidRPr="00E84875" w:rsidRDefault="00E84875" w:rsidP="00E84875">
      <w:pPr>
        <w:numPr>
          <w:ilvl w:val="0"/>
          <w:numId w:val="25"/>
        </w:numPr>
        <w:spacing w:after="0" w:line="240" w:lineRule="auto"/>
        <w:ind w:right="566"/>
        <w:contextualSpacing/>
        <w:jc w:val="both"/>
        <w:rPr>
          <w:rFonts w:ascii="Arial" w:eastAsia="Times New Roman" w:hAnsi="Arial" w:cs="Times New Roman"/>
          <w:lang w:val="es-ES_tradnl" w:eastAsia="es-ES"/>
        </w:rPr>
      </w:pPr>
      <w:r w:rsidRPr="00E84875">
        <w:rPr>
          <w:rFonts w:ascii="Arial" w:eastAsia="Times New Roman" w:hAnsi="Arial" w:cs="Times New Roman"/>
          <w:lang w:val="es-ES_tradnl" w:eastAsia="es-ES"/>
        </w:rPr>
        <w:t xml:space="preserve">Ante la crisis que se tiene en el país, por el número de cuerpos y restos humanos que se encuentran sin identificar, los cuales rebasan las capacidades institucionales con que cuentan actualmente las instancias federales y estatales de procuración de justicia y de búsqueda, localización e identificación de personas, el 5 de diciembre de 2019, en la Segunda Sesión Ordinaria del </w:t>
      </w:r>
      <w:r w:rsidRPr="00E84875">
        <w:rPr>
          <w:rFonts w:ascii="Arial" w:eastAsia="Times New Roman" w:hAnsi="Arial" w:cs="Times New Roman"/>
          <w:lang w:val="es-ES_tradnl" w:eastAsia="es-ES"/>
        </w:rPr>
        <w:lastRenderedPageBreak/>
        <w:t xml:space="preserve">Sistema Nacional de Búsqueda de Personas, se autorizó la creación del </w:t>
      </w:r>
      <w:r w:rsidRPr="00E84875">
        <w:rPr>
          <w:rFonts w:ascii="Arial" w:eastAsia="Times New Roman" w:hAnsi="Arial" w:cs="Times New Roman"/>
          <w:b/>
          <w:bCs/>
          <w:lang w:val="es-ES_tradnl" w:eastAsia="es-ES"/>
        </w:rPr>
        <w:t>Mecanismo Extraordinario de Identificación Forense (MEIF)</w:t>
      </w:r>
      <w:r w:rsidRPr="00E84875">
        <w:rPr>
          <w:rFonts w:ascii="Arial" w:eastAsia="Times New Roman" w:hAnsi="Arial" w:cs="Times New Roman"/>
          <w:lang w:val="es-ES_tradnl" w:eastAsia="es-ES"/>
        </w:rPr>
        <w:t>.</w:t>
      </w:r>
    </w:p>
    <w:p w14:paraId="3751F62B" w14:textId="77777777" w:rsidR="00E84875" w:rsidRPr="00E84875" w:rsidRDefault="00E84875" w:rsidP="00E84875">
      <w:pPr>
        <w:spacing w:after="0" w:line="240" w:lineRule="auto"/>
        <w:jc w:val="both"/>
        <w:rPr>
          <w:rFonts w:ascii="Arial" w:eastAsia="Times New Roman" w:hAnsi="Arial" w:cs="Arial"/>
          <w:lang w:val="es-ES_tradnl" w:eastAsia="es-ES"/>
        </w:rPr>
      </w:pPr>
    </w:p>
    <w:p w14:paraId="5E5D9993" w14:textId="77777777" w:rsidR="00E84875" w:rsidRPr="00E84875" w:rsidRDefault="00E84875" w:rsidP="00E84875">
      <w:pPr>
        <w:spacing w:after="0" w:line="240" w:lineRule="auto"/>
        <w:jc w:val="both"/>
        <w:rPr>
          <w:rFonts w:ascii="Arial" w:eastAsia="Times New Roman" w:hAnsi="Arial" w:cs="Arial"/>
          <w:u w:val="single"/>
          <w:lang w:val="es-ES_tradnl" w:eastAsia="es-ES"/>
        </w:rPr>
      </w:pPr>
      <w:r w:rsidRPr="00E84875">
        <w:rPr>
          <w:rFonts w:ascii="Arial" w:eastAsia="Times New Roman" w:hAnsi="Arial" w:cs="Arial"/>
          <w:u w:val="single"/>
          <w:lang w:val="es-ES_tradnl" w:eastAsia="es-ES"/>
        </w:rPr>
        <w:t>Retos:</w:t>
      </w:r>
    </w:p>
    <w:p w14:paraId="47D980F5" w14:textId="77777777" w:rsidR="00E84875" w:rsidRPr="00E84875" w:rsidRDefault="00E84875" w:rsidP="00E84875">
      <w:pPr>
        <w:spacing w:after="0" w:line="240" w:lineRule="auto"/>
        <w:jc w:val="both"/>
        <w:rPr>
          <w:rFonts w:ascii="Arial" w:eastAsia="Times New Roman" w:hAnsi="Arial" w:cs="Arial"/>
          <w:lang w:val="es-ES_tradnl" w:eastAsia="es-ES"/>
        </w:rPr>
      </w:pPr>
    </w:p>
    <w:p w14:paraId="7E3507B3" w14:textId="77777777" w:rsidR="00E84875" w:rsidRPr="00E84875" w:rsidRDefault="00E84875" w:rsidP="00E84875">
      <w:pPr>
        <w:spacing w:after="0" w:line="240" w:lineRule="auto"/>
        <w:jc w:val="both"/>
        <w:rPr>
          <w:rFonts w:ascii="Arial" w:eastAsia="Times New Roman" w:hAnsi="Arial" w:cs="Arial"/>
          <w:lang w:val="es-ES_tradnl" w:eastAsia="es-ES"/>
        </w:rPr>
      </w:pPr>
      <w:r w:rsidRPr="00E84875">
        <w:rPr>
          <w:rFonts w:ascii="Arial" w:eastAsia="Times New Roman" w:hAnsi="Arial" w:cs="Arial"/>
          <w:lang w:val="es-ES_tradnl" w:eastAsia="es-ES"/>
        </w:rPr>
        <w:t>El diseño, construcción y operación de:</w:t>
      </w:r>
    </w:p>
    <w:p w14:paraId="53754FEB" w14:textId="77777777" w:rsidR="00E84875" w:rsidRPr="00E84875" w:rsidRDefault="00E84875" w:rsidP="00E84875">
      <w:pPr>
        <w:spacing w:after="0" w:line="240" w:lineRule="auto"/>
        <w:jc w:val="both"/>
        <w:rPr>
          <w:rFonts w:ascii="Arial" w:eastAsia="Times New Roman" w:hAnsi="Arial" w:cs="Arial"/>
          <w:lang w:val="es-ES_tradnl" w:eastAsia="es-ES"/>
        </w:rPr>
      </w:pPr>
    </w:p>
    <w:p w14:paraId="5687C7CE" w14:textId="77777777" w:rsidR="00E84875" w:rsidRPr="00E84875" w:rsidRDefault="00E84875" w:rsidP="00E84875">
      <w:pPr>
        <w:numPr>
          <w:ilvl w:val="0"/>
          <w:numId w:val="24"/>
        </w:numPr>
        <w:spacing w:after="0" w:line="240" w:lineRule="auto"/>
        <w:ind w:right="566"/>
        <w:contextualSpacing/>
        <w:jc w:val="both"/>
        <w:rPr>
          <w:rFonts w:ascii="Arial" w:eastAsia="Times New Roman" w:hAnsi="Arial" w:cs="Arial"/>
          <w:lang w:val="es-ES_tradnl" w:eastAsia="es-ES"/>
        </w:rPr>
      </w:pPr>
      <w:r w:rsidRPr="00E84875">
        <w:rPr>
          <w:rFonts w:ascii="Arial" w:eastAsia="Times New Roman" w:hAnsi="Arial" w:cs="Arial"/>
          <w:lang w:val="es-ES_tradnl" w:eastAsia="es-ES"/>
        </w:rPr>
        <w:t xml:space="preserve">El </w:t>
      </w:r>
      <w:r w:rsidRPr="00E84875">
        <w:rPr>
          <w:rFonts w:ascii="Arial" w:eastAsia="Times New Roman" w:hAnsi="Arial" w:cs="Arial"/>
          <w:b/>
          <w:lang w:val="es-ES_tradnl" w:eastAsia="es-ES"/>
        </w:rPr>
        <w:t>Registro Nacional de Personas Fallecidas No Identificadas y No Reclamadas</w:t>
      </w:r>
      <w:r w:rsidRPr="00E84875">
        <w:rPr>
          <w:rFonts w:ascii="Arial" w:eastAsia="Times New Roman" w:hAnsi="Arial" w:cs="Arial"/>
          <w:lang w:val="es-ES_tradnl" w:eastAsia="es-ES"/>
        </w:rPr>
        <w:t>, en el que se incorpora la información forense procesada relativa a la localización, recuperación, identificación y destino final de restos, ya sea de la Federación o de las Entidades Federativas, cualquiera que sea su origen.</w:t>
      </w:r>
    </w:p>
    <w:p w14:paraId="32091715" w14:textId="77777777" w:rsidR="00E84875" w:rsidRPr="00E84875" w:rsidRDefault="00E84875" w:rsidP="00E84875">
      <w:pPr>
        <w:numPr>
          <w:ilvl w:val="0"/>
          <w:numId w:val="24"/>
        </w:numPr>
        <w:spacing w:after="0" w:line="240" w:lineRule="auto"/>
        <w:ind w:right="566"/>
        <w:contextualSpacing/>
        <w:jc w:val="both"/>
        <w:rPr>
          <w:rFonts w:ascii="Arial" w:eastAsia="Times New Roman" w:hAnsi="Arial" w:cs="Arial"/>
          <w:lang w:val="es-ES_tradnl" w:eastAsia="es-ES"/>
        </w:rPr>
      </w:pPr>
      <w:r w:rsidRPr="00E84875">
        <w:rPr>
          <w:rFonts w:ascii="Arial" w:eastAsia="Times New Roman" w:hAnsi="Arial" w:cs="Arial"/>
          <w:lang w:val="es-ES_tradnl" w:eastAsia="es-ES"/>
        </w:rPr>
        <w:t xml:space="preserve">El </w:t>
      </w:r>
      <w:r w:rsidRPr="00E84875">
        <w:rPr>
          <w:rFonts w:ascii="Arial" w:eastAsia="Times New Roman" w:hAnsi="Arial" w:cs="Arial"/>
          <w:b/>
          <w:lang w:val="es-ES_tradnl" w:eastAsia="es-ES"/>
        </w:rPr>
        <w:t>Banco Nacional de Datos Forenses</w:t>
      </w:r>
      <w:r w:rsidRPr="00E84875">
        <w:rPr>
          <w:rFonts w:ascii="Arial" w:eastAsia="Times New Roman" w:hAnsi="Arial" w:cs="Arial"/>
          <w:lang w:val="es-ES_tradnl" w:eastAsia="es-ES"/>
        </w:rPr>
        <w:t>, en el que se aglutinen las bases de datos de las Entidades Federativas y de la Federación; así como, otras bases de datos que contengan información forense relevante para la búsqueda e identificación de Personas Desaparecidas y No Localizadas.</w:t>
      </w:r>
    </w:p>
    <w:p w14:paraId="21C75407" w14:textId="77777777" w:rsidR="00E84875" w:rsidRPr="00E84875" w:rsidRDefault="00E84875" w:rsidP="00E84875">
      <w:pPr>
        <w:numPr>
          <w:ilvl w:val="0"/>
          <w:numId w:val="24"/>
        </w:numPr>
        <w:spacing w:after="0" w:line="240" w:lineRule="auto"/>
        <w:ind w:right="566"/>
        <w:contextualSpacing/>
        <w:jc w:val="both"/>
        <w:rPr>
          <w:rFonts w:ascii="Arial" w:eastAsia="Times New Roman" w:hAnsi="Arial" w:cs="Arial"/>
          <w:lang w:val="es-ES_tradnl" w:eastAsia="es-ES"/>
        </w:rPr>
      </w:pPr>
      <w:r w:rsidRPr="00E84875">
        <w:rPr>
          <w:rFonts w:ascii="Arial" w:eastAsia="Times New Roman" w:hAnsi="Arial" w:cs="Arial"/>
          <w:lang w:val="es-ES_tradnl" w:eastAsia="es-ES"/>
        </w:rPr>
        <w:lastRenderedPageBreak/>
        <w:t xml:space="preserve">El </w:t>
      </w:r>
      <w:r w:rsidRPr="00E84875">
        <w:rPr>
          <w:rFonts w:ascii="Arial" w:eastAsia="Times New Roman" w:hAnsi="Arial" w:cs="Arial"/>
          <w:b/>
          <w:lang w:val="es-ES_tradnl" w:eastAsia="es-ES"/>
        </w:rPr>
        <w:t>Registro Nacional de Fosas</w:t>
      </w:r>
      <w:r w:rsidRPr="00E84875">
        <w:rPr>
          <w:rFonts w:ascii="Arial" w:eastAsia="Times New Roman" w:hAnsi="Arial" w:cs="Arial"/>
          <w:lang w:val="es-ES_tradnl" w:eastAsia="es-ES"/>
        </w:rPr>
        <w:t>, que concentra la información respecto de las fosas comunes que existen en los cementerios y panteones de todos los municipios del país, así como de las fosas clandestinas que se localicen por parte de los órganos de procuración de justicia.</w:t>
      </w:r>
    </w:p>
    <w:p w14:paraId="76EF4A62" w14:textId="77777777" w:rsidR="00E84875" w:rsidRPr="00E84875" w:rsidRDefault="00E84875" w:rsidP="00E84875">
      <w:pPr>
        <w:spacing w:after="0" w:line="240" w:lineRule="auto"/>
        <w:ind w:right="566"/>
        <w:jc w:val="both"/>
        <w:rPr>
          <w:rFonts w:ascii="Arial" w:eastAsia="Times New Roman" w:hAnsi="Arial" w:cs="Arial"/>
          <w:lang w:val="es-ES_tradnl" w:eastAsia="es-ES"/>
        </w:rPr>
      </w:pPr>
    </w:p>
    <w:p w14:paraId="55059A7F" w14:textId="77777777" w:rsidR="00E84875" w:rsidRPr="00E84875" w:rsidRDefault="00E84875" w:rsidP="00E84875">
      <w:pPr>
        <w:tabs>
          <w:tab w:val="left" w:pos="8647"/>
        </w:tabs>
        <w:spacing w:after="0" w:line="240" w:lineRule="auto"/>
        <w:ind w:right="22"/>
        <w:jc w:val="both"/>
        <w:rPr>
          <w:rFonts w:ascii="Arial" w:eastAsia="Times New Roman" w:hAnsi="Arial" w:cs="Times New Roman"/>
          <w:lang w:val="es-ES_tradnl" w:eastAsia="es-ES"/>
        </w:rPr>
      </w:pPr>
      <w:r w:rsidRPr="00E84875">
        <w:rPr>
          <w:rFonts w:ascii="Arial" w:eastAsia="Times New Roman" w:hAnsi="Arial" w:cs="Arial"/>
          <w:lang w:val="es-ES_tradnl" w:eastAsia="es-ES"/>
        </w:rPr>
        <w:t xml:space="preserve">Por otra parte, resulta de vital trascendencia e importancia la consolidación del </w:t>
      </w:r>
      <w:r w:rsidRPr="00E84875">
        <w:rPr>
          <w:rFonts w:ascii="Arial" w:eastAsia="Times New Roman" w:hAnsi="Arial" w:cs="Times New Roman"/>
          <w:b/>
          <w:bCs/>
          <w:lang w:val="es-ES_tradnl" w:eastAsia="es-ES"/>
        </w:rPr>
        <w:t xml:space="preserve">Mecanismo Extraordinario de Identificación Forense, </w:t>
      </w:r>
      <w:r w:rsidRPr="00E84875">
        <w:rPr>
          <w:rFonts w:ascii="Arial" w:eastAsia="Times New Roman" w:hAnsi="Arial" w:cs="Times New Roman"/>
          <w:lang w:val="es-ES_tradnl" w:eastAsia="es-ES"/>
        </w:rPr>
        <w:t>el cual se concibe como un mecanismo de carácter extraordinario, multidisciplinario con autonomía técnico-científica, que practicará los peritajes pertinentes sobre los cuerpos o restos óseos que no han sido identificados y sean de su competencia. El mecanismo se compondrá de expertos forenses nacionales y/o internacionales especializados en las diferentes ciencias que intervendrán en la práctica de peritajes en cadáveres o restos humanos que se encuentren en rezago de identificación o no hayan sido reclamados.</w:t>
      </w:r>
    </w:p>
    <w:p w14:paraId="5304CE94" w14:textId="77777777" w:rsidR="00E84875" w:rsidRPr="00E84875" w:rsidRDefault="00E84875" w:rsidP="00E84875">
      <w:pPr>
        <w:tabs>
          <w:tab w:val="left" w:pos="8931"/>
        </w:tabs>
        <w:spacing w:after="0" w:line="240" w:lineRule="auto"/>
        <w:ind w:right="566"/>
        <w:jc w:val="both"/>
        <w:rPr>
          <w:rFonts w:ascii="Arial" w:eastAsia="Times New Roman" w:hAnsi="Arial" w:cs="Arial"/>
          <w:highlight w:val="red"/>
          <w:lang w:val="es-ES_tradnl" w:eastAsia="es-ES"/>
        </w:rPr>
      </w:pPr>
    </w:p>
    <w:p w14:paraId="7A75F8CD" w14:textId="77777777" w:rsidR="00E84875" w:rsidRPr="00E84875" w:rsidRDefault="00E84875" w:rsidP="00E84875">
      <w:pPr>
        <w:tabs>
          <w:tab w:val="left" w:pos="8505"/>
        </w:tabs>
        <w:spacing w:after="0" w:line="240" w:lineRule="auto"/>
        <w:ind w:right="22"/>
        <w:jc w:val="both"/>
        <w:rPr>
          <w:rFonts w:ascii="Arial" w:eastAsia="Times New Roman" w:hAnsi="Arial" w:cs="Arial"/>
          <w:lang w:val="es-ES_tradnl" w:eastAsia="es-ES"/>
        </w:rPr>
      </w:pPr>
      <w:r w:rsidRPr="00E84875">
        <w:rPr>
          <w:rFonts w:ascii="Arial" w:eastAsia="Times New Roman" w:hAnsi="Arial" w:cs="Times New Roman"/>
          <w:lang w:val="es-ES_tradnl" w:eastAsia="es-ES"/>
        </w:rPr>
        <w:lastRenderedPageBreak/>
        <w:t>Dicho mecanismo no implica que las fiscalías e instituciones forenses queden eximidas del cumplimiento de sus obligaciones en estricto apego a la normatividad vigente. Toda evidencia que se obtenga de practicar los peritajes deberá ser entregada o presentada al Ministerio Público para contribuir al derecho a la verdad, la justicia, la reparación y la no repetición.</w:t>
      </w:r>
    </w:p>
    <w:p w14:paraId="1AD6C60A" w14:textId="77777777" w:rsidR="00E84875" w:rsidRPr="00E84875" w:rsidRDefault="00E84875" w:rsidP="00E84875">
      <w:pPr>
        <w:tabs>
          <w:tab w:val="left" w:pos="8505"/>
        </w:tabs>
        <w:spacing w:after="0" w:line="240" w:lineRule="auto"/>
        <w:ind w:right="22"/>
        <w:contextualSpacing/>
        <w:jc w:val="both"/>
        <w:rPr>
          <w:rFonts w:ascii="Arial" w:eastAsia="Times New Roman" w:hAnsi="Arial" w:cs="Arial"/>
          <w:highlight w:val="red"/>
          <w:lang w:eastAsia="x-none"/>
        </w:rPr>
      </w:pPr>
    </w:p>
    <w:p w14:paraId="3C7820F6" w14:textId="77777777" w:rsidR="00E84875" w:rsidRPr="00E84875" w:rsidRDefault="00E84875" w:rsidP="00E84875">
      <w:pPr>
        <w:tabs>
          <w:tab w:val="left" w:pos="8505"/>
        </w:tabs>
        <w:spacing w:after="0" w:line="240" w:lineRule="auto"/>
        <w:ind w:right="22"/>
        <w:jc w:val="both"/>
        <w:rPr>
          <w:rFonts w:ascii="Arial" w:eastAsia="Times New Roman" w:hAnsi="Arial" w:cs="Arial"/>
          <w:lang w:val="es-ES_tradnl" w:eastAsia="es-ES"/>
        </w:rPr>
      </w:pPr>
      <w:r w:rsidRPr="00E84875">
        <w:rPr>
          <w:rFonts w:ascii="Arial" w:eastAsia="Times New Roman" w:hAnsi="Arial" w:cs="Arial"/>
          <w:lang w:val="es-ES_tradnl" w:eastAsia="es-ES"/>
        </w:rPr>
        <w:t>De igual manera, si bien es cierto, el marco normativo actual está encaminado a obligar a los representes sociales a agotar todas y cada una de las líneas de investigación, lo cual implica que en tratándose de desaparición forzada deben tomarse las medidas necesarias a fin de que se investiguen todos los elementos que conforman la cadena de mando, y en caso de comprobarse la responsabilidad, se debe ejercer acción penal en su contra, so pena de incurrir en responsabilidad por omisión, es necesario llevar a cabo las modificaciones legislativas respectivas, tendentes a garantizar su plena observancia y aplicación.</w:t>
      </w:r>
    </w:p>
    <w:p w14:paraId="6795411A" w14:textId="77777777" w:rsidR="00E84875" w:rsidRPr="00E84875" w:rsidRDefault="00E84875" w:rsidP="00E84875">
      <w:pPr>
        <w:tabs>
          <w:tab w:val="left" w:pos="8505"/>
        </w:tabs>
        <w:spacing w:after="0" w:line="240" w:lineRule="auto"/>
        <w:ind w:right="22"/>
        <w:contextualSpacing/>
        <w:jc w:val="both"/>
        <w:rPr>
          <w:rFonts w:ascii="Arial" w:eastAsia="Times New Roman" w:hAnsi="Arial" w:cs="Arial"/>
          <w:lang w:eastAsia="x-none"/>
        </w:rPr>
      </w:pPr>
    </w:p>
    <w:p w14:paraId="63EF6413" w14:textId="77777777" w:rsidR="00E84875" w:rsidRPr="00E84875" w:rsidRDefault="00E84875" w:rsidP="00E84875">
      <w:pPr>
        <w:tabs>
          <w:tab w:val="left" w:pos="8505"/>
        </w:tabs>
        <w:spacing w:after="0" w:line="240" w:lineRule="auto"/>
        <w:ind w:right="22"/>
        <w:jc w:val="both"/>
        <w:rPr>
          <w:rFonts w:ascii="Arial" w:eastAsia="Times New Roman" w:hAnsi="Arial" w:cs="Arial"/>
          <w:lang w:val="es-ES_tradnl" w:eastAsia="es-ES"/>
        </w:rPr>
      </w:pPr>
      <w:r w:rsidRPr="00E84875">
        <w:rPr>
          <w:rFonts w:ascii="Arial" w:eastAsia="Times New Roman" w:hAnsi="Arial" w:cs="Arial"/>
          <w:lang w:eastAsia="x-none"/>
        </w:rPr>
        <w:lastRenderedPageBreak/>
        <w:t>Asimismo, resulta necesario fortalecer</w:t>
      </w:r>
      <w:r w:rsidRPr="00E84875">
        <w:rPr>
          <w:rFonts w:ascii="Arial" w:eastAsia="Times New Roman" w:hAnsi="Arial" w:cs="Arial"/>
          <w:lang w:val="es-ES_tradnl" w:eastAsia="es-ES"/>
        </w:rPr>
        <w:t xml:space="preserve"> el </w:t>
      </w:r>
      <w:r w:rsidRPr="00E84875">
        <w:rPr>
          <w:rFonts w:ascii="Arial" w:eastAsia="Times New Roman" w:hAnsi="Arial" w:cs="Arial"/>
          <w:b/>
          <w:lang w:val="es-ES_tradnl" w:eastAsia="es-ES"/>
        </w:rPr>
        <w:t>Registro Nacional de Personas Desaparecidas y No Localizadas</w:t>
      </w:r>
      <w:r w:rsidRPr="00E84875">
        <w:rPr>
          <w:rFonts w:ascii="Arial" w:eastAsia="Times New Roman" w:hAnsi="Arial" w:cs="Arial"/>
          <w:lang w:val="es-ES_tradnl" w:eastAsia="es-ES"/>
        </w:rPr>
        <w:t xml:space="preserve"> en cuanto a que sea una plataforma más accesible en formato de datos abiertos, y contribuya de esta manera a una mayor transparencia en la información.</w:t>
      </w:r>
    </w:p>
    <w:p w14:paraId="71DF20BD" w14:textId="77777777" w:rsidR="00E84875" w:rsidRPr="00E84875" w:rsidRDefault="00E84875" w:rsidP="00E84875">
      <w:pPr>
        <w:spacing w:after="0" w:line="240" w:lineRule="auto"/>
        <w:ind w:right="79"/>
        <w:contextualSpacing/>
        <w:jc w:val="both"/>
        <w:rPr>
          <w:rFonts w:ascii="Arial" w:eastAsia="Times New Roman" w:hAnsi="Arial" w:cs="Arial"/>
          <w:lang w:eastAsia="x-none"/>
        </w:rPr>
      </w:pPr>
    </w:p>
    <w:p w14:paraId="17F7EBD2" w14:textId="0D6DE117" w:rsidR="00E84875" w:rsidRPr="00E84875" w:rsidRDefault="00E84875" w:rsidP="0088004D">
      <w:pPr>
        <w:spacing w:after="0" w:line="240" w:lineRule="auto"/>
        <w:ind w:right="79"/>
        <w:contextualSpacing/>
        <w:jc w:val="both"/>
        <w:rPr>
          <w:rFonts w:ascii="Arial" w:eastAsia="Times New Roman" w:hAnsi="Arial" w:cs="Times New Roman"/>
          <w:b/>
          <w:bCs/>
          <w:szCs w:val="20"/>
          <w:lang w:val="es-ES_tradnl" w:eastAsia="es-ES"/>
        </w:rPr>
      </w:pPr>
      <w:r w:rsidRPr="00E84875">
        <w:rPr>
          <w:rFonts w:ascii="Arial" w:eastAsia="Times New Roman" w:hAnsi="Arial" w:cs="Times New Roman"/>
          <w:b/>
          <w:bCs/>
          <w:szCs w:val="20"/>
          <w:lang w:val="es-ES_tradnl" w:eastAsia="es-ES"/>
        </w:rPr>
        <w:t xml:space="preserve">Acciones realizadas </w:t>
      </w:r>
      <w:r w:rsidR="0088004D">
        <w:rPr>
          <w:rFonts w:ascii="Arial" w:eastAsia="Times New Roman" w:hAnsi="Arial" w:cs="Times New Roman"/>
          <w:b/>
          <w:bCs/>
          <w:szCs w:val="20"/>
          <w:lang w:val="es-ES_tradnl" w:eastAsia="es-ES"/>
        </w:rPr>
        <w:t>la Comisión Nacional de los Derechos Humanos</w:t>
      </w:r>
      <w:r w:rsidRPr="00E84875">
        <w:rPr>
          <w:rFonts w:ascii="Arial" w:eastAsia="Times New Roman" w:hAnsi="Arial" w:cs="Times New Roman"/>
          <w:b/>
          <w:bCs/>
          <w:szCs w:val="20"/>
          <w:lang w:val="es-ES_tradnl" w:eastAsia="es-ES"/>
        </w:rPr>
        <w:t xml:space="preserve"> </w:t>
      </w:r>
    </w:p>
    <w:p w14:paraId="1D1EA631" w14:textId="77777777" w:rsidR="00E84875" w:rsidRPr="00E84875" w:rsidRDefault="00E84875" w:rsidP="00E84875">
      <w:pPr>
        <w:spacing w:after="0" w:line="240" w:lineRule="auto"/>
        <w:ind w:right="79"/>
        <w:contextualSpacing/>
        <w:jc w:val="both"/>
        <w:rPr>
          <w:rFonts w:ascii="Arial" w:eastAsia="Times New Roman" w:hAnsi="Arial" w:cs="Arial"/>
          <w:lang w:eastAsia="x-none"/>
        </w:rPr>
      </w:pPr>
    </w:p>
    <w:p w14:paraId="3BDA638B" w14:textId="77777777" w:rsidR="00E84875" w:rsidRPr="00E84875" w:rsidRDefault="00E84875" w:rsidP="00E84875">
      <w:pPr>
        <w:numPr>
          <w:ilvl w:val="0"/>
          <w:numId w:val="25"/>
        </w:numPr>
        <w:spacing w:after="0" w:line="240" w:lineRule="auto"/>
        <w:ind w:right="566"/>
        <w:contextualSpacing/>
        <w:jc w:val="both"/>
        <w:rPr>
          <w:rFonts w:ascii="Arial" w:eastAsia="Times New Roman" w:hAnsi="Arial" w:cs="Arial"/>
          <w:lang w:val="es-ES_tradnl" w:eastAsia="es-ES"/>
        </w:rPr>
      </w:pPr>
      <w:r w:rsidRPr="00E84875">
        <w:rPr>
          <w:rFonts w:ascii="Arial" w:eastAsia="Times New Roman" w:hAnsi="Arial" w:cs="Arial"/>
          <w:lang w:val="es-ES_tradnl" w:eastAsia="es-ES"/>
        </w:rPr>
        <w:t>El día 27 de enero de 2020, se emitió el Acuerdo de la Presidencia de la Comisión Nacional de los Derechos Humanos por el que se crea la Oficina Especial para Investigar la Represión y Desapariciones Forzadas por Violencia Política del Estado Durante el Pasado Reciente.</w:t>
      </w:r>
    </w:p>
    <w:p w14:paraId="442998BF" w14:textId="77777777" w:rsidR="00E84875" w:rsidRPr="00E84875" w:rsidRDefault="00E84875" w:rsidP="00E84875">
      <w:pPr>
        <w:numPr>
          <w:ilvl w:val="0"/>
          <w:numId w:val="25"/>
        </w:numPr>
        <w:spacing w:after="0" w:line="240" w:lineRule="auto"/>
        <w:ind w:right="566"/>
        <w:contextualSpacing/>
        <w:jc w:val="both"/>
        <w:rPr>
          <w:rFonts w:ascii="Arial" w:eastAsia="Times New Roman" w:hAnsi="Arial" w:cs="Arial"/>
          <w:lang w:val="es-ES_tradnl" w:eastAsia="es-ES"/>
        </w:rPr>
      </w:pPr>
      <w:r w:rsidRPr="00E84875">
        <w:rPr>
          <w:rFonts w:ascii="Arial" w:eastAsia="Times New Roman" w:hAnsi="Arial" w:cs="Arial"/>
          <w:lang w:val="es-ES_tradnl" w:eastAsia="es-ES"/>
        </w:rPr>
        <w:t>Emisión de recomendaciones relativas a Desaparición Forzada y Desaparición Forzada por particulares siendo éstas la 53/2019, 23VG/2019, 24VG/2019, 25VG/2019, 27VG/2019, 30VG/2019, 34VG/2020, 35VG/2020, 36VG/2020, 37VG/2020, 41VG/2020, 80/2020, 43VG/2021, 46VG/2021 y 114/2021.</w:t>
      </w:r>
    </w:p>
    <w:p w14:paraId="0AD5BBA5" w14:textId="77777777" w:rsidR="00E84875" w:rsidRPr="00E84875" w:rsidRDefault="00E84875" w:rsidP="00E84875">
      <w:pPr>
        <w:numPr>
          <w:ilvl w:val="0"/>
          <w:numId w:val="25"/>
        </w:numPr>
        <w:spacing w:after="0" w:line="240" w:lineRule="auto"/>
        <w:ind w:right="566"/>
        <w:contextualSpacing/>
        <w:jc w:val="both"/>
        <w:rPr>
          <w:rFonts w:ascii="Arial" w:eastAsia="Times New Roman" w:hAnsi="Arial" w:cs="Arial"/>
          <w:lang w:val="es-ES_tradnl" w:eastAsia="es-ES"/>
        </w:rPr>
      </w:pPr>
      <w:r w:rsidRPr="00E84875">
        <w:rPr>
          <w:rFonts w:ascii="Arial" w:eastAsia="Times New Roman" w:hAnsi="Arial" w:cs="Arial"/>
          <w:lang w:val="es-ES_tradnl" w:eastAsia="es-ES"/>
        </w:rPr>
        <w:lastRenderedPageBreak/>
        <w:t xml:space="preserve">A través de la Dirección General del Programa de Personas Desaparecidas se colabora con la Comisión Nacional de Búsqueda y los órganos de procuración de justicia del país, en la búsqueda y localización de personas, en ese sentido, se llevaron a cabo </w:t>
      </w:r>
      <w:hyperlink r:id="rId12" w:tgtFrame="_blank" w:history="1">
        <w:r w:rsidRPr="00E84875">
          <w:rPr>
            <w:rFonts w:ascii="Arial" w:eastAsia="Times New Roman" w:hAnsi="Arial" w:cs="Times New Roman"/>
            <w:iCs/>
            <w:lang w:val="es-ES_tradnl" w:eastAsia="es-ES"/>
          </w:rPr>
          <w:t>4,654 diligencias</w:t>
        </w:r>
      </w:hyperlink>
      <w:r w:rsidRPr="00E84875">
        <w:rPr>
          <w:rFonts w:ascii="Arial" w:eastAsia="Times New Roman" w:hAnsi="Arial" w:cs="Arial"/>
          <w:lang w:val="es-ES_tradnl" w:eastAsia="es-ES"/>
        </w:rPr>
        <w:t xml:space="preserve"> en diferentes </w:t>
      </w:r>
      <w:hyperlink r:id="rId13" w:tgtFrame="_blank" w:history="1">
        <w:r w:rsidRPr="00E84875">
          <w:rPr>
            <w:rFonts w:ascii="Arial" w:eastAsia="Times New Roman" w:hAnsi="Arial" w:cs="Times New Roman"/>
            <w:iCs/>
            <w:lang w:val="es-ES_tradnl" w:eastAsia="es-ES"/>
          </w:rPr>
          <w:t>entidades federativas</w:t>
        </w:r>
      </w:hyperlink>
      <w:r w:rsidRPr="00E84875">
        <w:rPr>
          <w:rFonts w:ascii="Arial" w:eastAsia="Times New Roman" w:hAnsi="Arial" w:cs="Arial"/>
          <w:lang w:val="es-ES_tradnl" w:eastAsia="es-ES"/>
        </w:rPr>
        <w:t>, entre las que se encuentran 279 consultas de investigaciones ministeriales y 787 asesorías jurídicas a víctimas indirectas de desaparición.</w:t>
      </w:r>
    </w:p>
    <w:p w14:paraId="448C5DC4" w14:textId="77777777" w:rsidR="00E84875" w:rsidRPr="00E84875" w:rsidRDefault="00E84875" w:rsidP="00E84875">
      <w:pPr>
        <w:spacing w:after="0" w:line="240" w:lineRule="auto"/>
        <w:ind w:left="720" w:right="566"/>
        <w:contextualSpacing/>
        <w:jc w:val="both"/>
        <w:rPr>
          <w:rFonts w:ascii="Arial" w:eastAsia="Times New Roman" w:hAnsi="Arial" w:cs="Arial"/>
          <w:lang w:val="es-ES_tradnl" w:eastAsia="es-ES"/>
        </w:rPr>
      </w:pPr>
      <w:r w:rsidRPr="00E84875">
        <w:rPr>
          <w:rFonts w:ascii="Arial" w:eastAsia="Times New Roman" w:hAnsi="Arial" w:cs="Arial"/>
          <w:lang w:val="es-ES_tradnl" w:eastAsia="es-ES"/>
        </w:rPr>
        <w:t>También se realizaron, diversas entrevistas y/o reuniones de trabajo, de las cuales 211 fueron con autoridades federales, 171 con estatales y/o municipales, 23 con Comisiones Estatales de Derechos Humanos, así como 546 con familiares, personas quejosas, testigos y/o conocidos de personas desaparecidas. Asimismo, se efectuaron acompañamientos a personas quejosas y/o familiares de personas desaparecidas, 675 veces ante autoridades federales, 297 veces ante estatales y/o municipales y 563 a diversas reuniones de trabajo y/o eventos.</w:t>
      </w:r>
    </w:p>
    <w:p w14:paraId="3ABE6EFC" w14:textId="5E7FA2FD" w:rsidR="00B11E95" w:rsidRPr="00B11E95" w:rsidRDefault="00B11E95" w:rsidP="00B11E95">
      <w:pPr>
        <w:jc w:val="both"/>
        <w:rPr>
          <w:rFonts w:ascii="Arial" w:eastAsia="Times New Roman" w:hAnsi="Arial" w:cs="Arial"/>
          <w:b/>
          <w:bCs/>
          <w:color w:val="1F3864" w:themeColor="accent1" w:themeShade="80"/>
          <w:lang w:val="es-ES" w:eastAsia="es-ES"/>
        </w:rPr>
      </w:pPr>
    </w:p>
    <w:p w14:paraId="36B49F9A" w14:textId="77777777" w:rsidR="00B11E95" w:rsidRPr="00B11E95" w:rsidRDefault="00B11E95" w:rsidP="00B11E95">
      <w:pPr>
        <w:pBdr>
          <w:bottom w:val="single" w:sz="4" w:space="1" w:color="auto"/>
        </w:pBdr>
        <w:spacing w:after="0" w:line="240" w:lineRule="auto"/>
        <w:rPr>
          <w:rFonts w:ascii="Arial Narrow" w:eastAsia="Times New Roman" w:hAnsi="Arial Narrow" w:cs="Times New Roman"/>
          <w:b/>
          <w:bCs/>
          <w:color w:val="1F3864" w:themeColor="accent1" w:themeShade="80"/>
          <w:sz w:val="24"/>
          <w:szCs w:val="28"/>
          <w:lang w:val="es-ES" w:eastAsia="es-ES"/>
        </w:rPr>
      </w:pPr>
    </w:p>
    <w:p w14:paraId="1D8A3B16" w14:textId="77777777" w:rsidR="0019098B" w:rsidRDefault="0019098B" w:rsidP="0019098B">
      <w:pPr>
        <w:shd w:val="clear" w:color="auto" w:fill="FFFFFF"/>
        <w:spacing w:after="0" w:line="240" w:lineRule="auto"/>
        <w:ind w:right="51"/>
        <w:contextualSpacing/>
        <w:jc w:val="both"/>
        <w:rPr>
          <w:rFonts w:ascii="Arial" w:eastAsia="Times New Roman" w:hAnsi="Arial" w:cs="Arial"/>
          <w:b/>
          <w:color w:val="1F3864" w:themeColor="accent1" w:themeShade="80"/>
          <w:lang w:val="es-ES" w:eastAsia="es-ES"/>
        </w:rPr>
      </w:pPr>
      <w:bookmarkStart w:id="9" w:name="_Hlk92713662"/>
    </w:p>
    <w:p w14:paraId="13599DC0" w14:textId="1AD2A17F" w:rsidR="0019098B" w:rsidRPr="0019098B" w:rsidRDefault="0019098B" w:rsidP="0019098B">
      <w:pPr>
        <w:shd w:val="clear" w:color="auto" w:fill="FFFFFF"/>
        <w:spacing w:after="0" w:line="240" w:lineRule="auto"/>
        <w:ind w:right="51"/>
        <w:contextualSpacing/>
        <w:jc w:val="both"/>
        <w:rPr>
          <w:rFonts w:ascii="Arial" w:eastAsia="Times New Roman" w:hAnsi="Arial" w:cs="Arial"/>
          <w:b/>
          <w:bCs/>
          <w:i/>
          <w:iCs/>
          <w:lang w:val="es-ES" w:eastAsia="es-ES"/>
        </w:rPr>
      </w:pPr>
      <w:r w:rsidRPr="0019098B">
        <w:rPr>
          <w:rFonts w:ascii="Arial" w:eastAsia="Times New Roman" w:hAnsi="Arial" w:cs="Arial"/>
          <w:b/>
          <w:bCs/>
          <w:i/>
          <w:iCs/>
          <w:lang w:val="es-ES" w:eastAsia="es-ES"/>
        </w:rPr>
        <w:t xml:space="preserve">34. El Estado parte debe: </w:t>
      </w:r>
    </w:p>
    <w:p w14:paraId="70058C7D" w14:textId="77777777" w:rsidR="0019098B" w:rsidRPr="0019098B" w:rsidRDefault="0019098B" w:rsidP="0019098B">
      <w:pPr>
        <w:shd w:val="clear" w:color="auto" w:fill="FFFFFF"/>
        <w:spacing w:after="0" w:line="240" w:lineRule="auto"/>
        <w:ind w:right="51"/>
        <w:contextualSpacing/>
        <w:jc w:val="both"/>
        <w:rPr>
          <w:rFonts w:ascii="Arial" w:eastAsia="Times New Roman" w:hAnsi="Arial" w:cs="Arial"/>
          <w:b/>
          <w:bCs/>
          <w:i/>
          <w:iCs/>
          <w:lang w:val="es-ES" w:eastAsia="es-ES"/>
        </w:rPr>
      </w:pPr>
    </w:p>
    <w:p w14:paraId="1FEB8B07" w14:textId="77777777" w:rsidR="0019098B" w:rsidRPr="0019098B" w:rsidRDefault="0019098B" w:rsidP="0019098B">
      <w:pPr>
        <w:shd w:val="clear" w:color="auto" w:fill="FFFFFF"/>
        <w:spacing w:after="0" w:line="240" w:lineRule="auto"/>
        <w:ind w:right="51"/>
        <w:contextualSpacing/>
        <w:jc w:val="both"/>
        <w:rPr>
          <w:rFonts w:ascii="Arial" w:eastAsia="Times New Roman" w:hAnsi="Arial" w:cs="Arial"/>
          <w:b/>
          <w:bCs/>
          <w:i/>
          <w:iCs/>
          <w:lang w:val="es-ES" w:eastAsia="es-ES"/>
        </w:rPr>
      </w:pPr>
      <w:r w:rsidRPr="0019098B">
        <w:rPr>
          <w:rFonts w:ascii="Arial" w:eastAsia="Times New Roman" w:hAnsi="Arial" w:cs="Arial"/>
          <w:b/>
          <w:bCs/>
          <w:i/>
          <w:iCs/>
          <w:lang w:val="es-ES" w:eastAsia="es-ES"/>
        </w:rPr>
        <w:t xml:space="preserve">a) Continuar sus esfuerzos orientados a eliminar la sobreocupación en todos los centros de detención, en particular los estatales y municipales, principalmente mediante el recurso a las medidas alternativas a las penas privativas de la libertad. </w:t>
      </w:r>
    </w:p>
    <w:p w14:paraId="2A414983" w14:textId="77777777" w:rsidR="0019098B" w:rsidRPr="0019098B" w:rsidRDefault="0019098B" w:rsidP="0019098B">
      <w:pPr>
        <w:shd w:val="clear" w:color="auto" w:fill="FFFFFF"/>
        <w:spacing w:after="0" w:line="240" w:lineRule="auto"/>
        <w:ind w:right="51"/>
        <w:contextualSpacing/>
        <w:jc w:val="both"/>
        <w:rPr>
          <w:rFonts w:ascii="Arial" w:eastAsia="Times New Roman" w:hAnsi="Arial" w:cs="Arial"/>
          <w:b/>
          <w:bCs/>
          <w:i/>
          <w:iCs/>
          <w:lang w:val="es-ES" w:eastAsia="es-ES"/>
        </w:rPr>
      </w:pPr>
    </w:p>
    <w:p w14:paraId="25ADE262" w14:textId="77777777" w:rsidR="0019098B" w:rsidRPr="0019098B" w:rsidRDefault="0019098B" w:rsidP="0019098B">
      <w:pPr>
        <w:shd w:val="clear" w:color="auto" w:fill="FFFFFF"/>
        <w:spacing w:after="0" w:line="240" w:lineRule="auto"/>
        <w:ind w:right="51"/>
        <w:contextualSpacing/>
        <w:jc w:val="both"/>
        <w:rPr>
          <w:rFonts w:ascii="Arial" w:eastAsia="Times New Roman" w:hAnsi="Arial" w:cs="Arial"/>
          <w:b/>
          <w:bCs/>
          <w:i/>
          <w:iCs/>
          <w:lang w:val="es-ES" w:eastAsia="es-ES"/>
        </w:rPr>
      </w:pPr>
      <w:r w:rsidRPr="0019098B">
        <w:rPr>
          <w:rFonts w:ascii="Arial" w:eastAsia="Times New Roman" w:hAnsi="Arial" w:cs="Arial"/>
          <w:b/>
          <w:bCs/>
          <w:i/>
          <w:iCs/>
          <w:lang w:val="es-ES" w:eastAsia="es-ES"/>
        </w:rPr>
        <w:t>Se deberán acometer los trabajos de mejora de las instalaciones penitenciarias que sean necesarias y adoptar las medidas urgentes para subsanar cualquier deficiencia relacionada con las condiciones generales en la vida en las cárceles.</w:t>
      </w:r>
    </w:p>
    <w:p w14:paraId="3D30443F" w14:textId="77777777" w:rsidR="0019098B" w:rsidRDefault="0019098B" w:rsidP="00B11E95">
      <w:pPr>
        <w:shd w:val="clear" w:color="auto" w:fill="FFFFFF"/>
        <w:spacing w:after="0" w:line="240" w:lineRule="auto"/>
        <w:ind w:right="51"/>
        <w:contextualSpacing/>
        <w:jc w:val="both"/>
        <w:rPr>
          <w:rFonts w:ascii="Arial" w:eastAsia="Times New Roman" w:hAnsi="Arial" w:cs="Arial"/>
          <w:lang w:val="es-ES" w:eastAsia="es-ES"/>
        </w:rPr>
      </w:pPr>
    </w:p>
    <w:p w14:paraId="27601963" w14:textId="2F385EA5" w:rsidR="0019098B" w:rsidRPr="0019098B" w:rsidRDefault="0019098B" w:rsidP="00B11E95">
      <w:pPr>
        <w:shd w:val="clear" w:color="auto" w:fill="FFFFFF"/>
        <w:spacing w:after="0" w:line="240" w:lineRule="auto"/>
        <w:ind w:right="51"/>
        <w:contextualSpacing/>
        <w:jc w:val="both"/>
        <w:rPr>
          <w:rFonts w:ascii="Arial" w:eastAsia="Times New Roman" w:hAnsi="Arial" w:cs="Arial"/>
          <w:b/>
          <w:bCs/>
          <w:lang w:val="es-ES" w:eastAsia="es-ES"/>
        </w:rPr>
      </w:pPr>
      <w:r w:rsidRPr="0019098B">
        <w:rPr>
          <w:rFonts w:ascii="Arial" w:eastAsia="Times New Roman" w:hAnsi="Arial" w:cs="Arial"/>
          <w:b/>
          <w:bCs/>
          <w:lang w:val="es-ES" w:eastAsia="es-ES"/>
        </w:rPr>
        <w:t>Acciones de la Comisión Nacional de los Derechos Humanos</w:t>
      </w:r>
    </w:p>
    <w:bookmarkEnd w:id="9"/>
    <w:p w14:paraId="2E89ABB3" w14:textId="77777777" w:rsidR="0019098B" w:rsidRDefault="0019098B" w:rsidP="0019098B">
      <w:pPr>
        <w:shd w:val="clear" w:color="auto" w:fill="FFFFFF"/>
        <w:spacing w:after="0" w:line="240" w:lineRule="auto"/>
        <w:ind w:right="51"/>
        <w:contextualSpacing/>
        <w:jc w:val="both"/>
        <w:rPr>
          <w:rFonts w:ascii="Arial" w:eastAsia="Times New Roman" w:hAnsi="Arial" w:cs="Arial"/>
          <w:lang w:val="es-ES" w:eastAsia="es-ES"/>
        </w:rPr>
      </w:pPr>
    </w:p>
    <w:p w14:paraId="5F3092E0" w14:textId="1BB8D375" w:rsidR="00B11E95" w:rsidRPr="00B11E95" w:rsidRDefault="0019098B" w:rsidP="0019098B">
      <w:pPr>
        <w:shd w:val="clear" w:color="auto" w:fill="FFFFFF"/>
        <w:spacing w:after="0" w:line="240" w:lineRule="auto"/>
        <w:ind w:right="51"/>
        <w:contextualSpacing/>
        <w:jc w:val="both"/>
        <w:rPr>
          <w:rFonts w:ascii="Arial" w:eastAsia="Times New Roman" w:hAnsi="Arial" w:cs="Arial"/>
          <w:lang w:val="es-ES" w:eastAsia="es-ES"/>
        </w:rPr>
      </w:pPr>
      <w:r>
        <w:rPr>
          <w:rFonts w:ascii="Arial" w:eastAsia="Times New Roman" w:hAnsi="Arial" w:cs="Arial"/>
          <w:lang w:val="es-ES" w:eastAsia="es-ES"/>
        </w:rPr>
        <w:lastRenderedPageBreak/>
        <w:t>E</w:t>
      </w:r>
      <w:r w:rsidR="00B11E95" w:rsidRPr="00B11E95">
        <w:rPr>
          <w:rFonts w:ascii="Arial" w:eastAsia="Times New Roman" w:hAnsi="Arial" w:cs="Arial"/>
          <w:lang w:val="es-ES" w:eastAsia="es-ES"/>
        </w:rPr>
        <w:t xml:space="preserve">n la emisión del </w:t>
      </w:r>
      <w:r w:rsidR="00B11E95" w:rsidRPr="00B11E95">
        <w:rPr>
          <w:rFonts w:ascii="Arial" w:eastAsia="Times New Roman" w:hAnsi="Arial" w:cs="Arial"/>
          <w:b/>
          <w:bCs/>
          <w:color w:val="1F3864" w:themeColor="accent1" w:themeShade="80"/>
          <w:lang w:val="es-ES" w:eastAsia="es-ES"/>
        </w:rPr>
        <w:t>Informe Especial</w:t>
      </w:r>
      <w:r w:rsidR="00B11E95" w:rsidRPr="00B11E95">
        <w:rPr>
          <w:rFonts w:ascii="Arial" w:eastAsia="Times New Roman" w:hAnsi="Arial" w:cs="Arial"/>
          <w:color w:val="1F3864" w:themeColor="accent1" w:themeShade="80"/>
          <w:lang w:val="es-ES" w:eastAsia="es-ES"/>
        </w:rPr>
        <w:t xml:space="preserve"> sobre el Estado que Guardan las Medidas Adoptadas en Centros Penitenciarios para la Atención de la Emergencia Sanitaria Generada ante el Virus SARS-CoV2 /COVID-19) </w:t>
      </w:r>
      <w:r w:rsidR="00B11E95" w:rsidRPr="00B11E95">
        <w:rPr>
          <w:rFonts w:ascii="Arial" w:eastAsia="Times New Roman" w:hAnsi="Arial" w:cs="Arial"/>
          <w:lang w:val="es-ES" w:eastAsia="es-ES"/>
        </w:rPr>
        <w:t xml:space="preserve">del año 2020, se emitieron 48 propuestas específicas en torno a garantizar los derechos humanos de las personas privadas de la libertad ante la contingencia sanitaria que se vive en nuestro país, entre las propuestas a destacar relacionadas con este rubro, se solicitó que: </w:t>
      </w:r>
    </w:p>
    <w:p w14:paraId="50A20878" w14:textId="77777777" w:rsidR="00B11E95" w:rsidRPr="00B11E95" w:rsidRDefault="00B11E95" w:rsidP="00B11E95">
      <w:pPr>
        <w:shd w:val="clear" w:color="auto" w:fill="FFFFFF"/>
        <w:spacing w:after="0" w:line="240" w:lineRule="auto"/>
        <w:ind w:right="51"/>
        <w:contextualSpacing/>
        <w:jc w:val="both"/>
        <w:rPr>
          <w:rFonts w:ascii="Arial" w:eastAsia="Times New Roman" w:hAnsi="Arial" w:cs="Arial"/>
          <w:sz w:val="24"/>
          <w:szCs w:val="24"/>
          <w:lang w:val="es-ES" w:eastAsia="es-ES"/>
        </w:rPr>
      </w:pPr>
    </w:p>
    <w:p w14:paraId="732BB32A" w14:textId="77777777" w:rsidR="00B11E95" w:rsidRPr="00B11E95" w:rsidRDefault="00B11E95" w:rsidP="00933290">
      <w:pPr>
        <w:shd w:val="clear" w:color="auto" w:fill="FFFFFF"/>
        <w:spacing w:after="0" w:line="240" w:lineRule="auto"/>
        <w:ind w:left="708" w:right="51"/>
        <w:contextualSpacing/>
        <w:jc w:val="both"/>
        <w:rPr>
          <w:rFonts w:ascii="Arial" w:eastAsia="Times New Roman" w:hAnsi="Arial" w:cs="Arial"/>
          <w:i/>
          <w:iCs/>
          <w:lang w:val="es-ES" w:eastAsia="es-ES"/>
        </w:rPr>
      </w:pPr>
      <w:r w:rsidRPr="00B11E95">
        <w:rPr>
          <w:rFonts w:ascii="Arial" w:eastAsia="Times New Roman" w:hAnsi="Arial" w:cs="Arial"/>
          <w:lang w:val="es-ES" w:eastAsia="es-ES"/>
        </w:rPr>
        <w:t xml:space="preserve">DÉCIMA NOVENA. […] </w:t>
      </w:r>
      <w:r w:rsidRPr="00B11E95">
        <w:rPr>
          <w:rFonts w:ascii="Arial" w:eastAsia="Times New Roman" w:hAnsi="Arial" w:cs="Arial"/>
          <w:i/>
          <w:iCs/>
          <w:lang w:val="es-ES" w:eastAsia="es-ES"/>
        </w:rPr>
        <w:t xml:space="preserve">debían evaluar y diseñar las directrices a seguir ante las medidas sanitarias adoptadas, que incluyan entre otras, la urgente modificación, adecuación y/o rediseño de los espacios habitables destinados a cada persona privada de la libertad, o de aquellos espacios en los que cohabitan más de dos personas, en tanto que el hacinamiento existente representa uno de los principales obstáculos para implementar la llamada sana distancia, medida que en las prisiones es incompatible ante la actual situación de habitabilidad que presentan y que genera exponencialmente una inevitable propagación acelerada de contagios. </w:t>
      </w:r>
    </w:p>
    <w:p w14:paraId="6E854EB6" w14:textId="77777777" w:rsidR="00B11E95" w:rsidRPr="00B11E95" w:rsidRDefault="00B11E95" w:rsidP="00933290">
      <w:pPr>
        <w:shd w:val="clear" w:color="auto" w:fill="FFFFFF"/>
        <w:spacing w:after="0" w:line="240" w:lineRule="auto"/>
        <w:ind w:left="708" w:right="51"/>
        <w:contextualSpacing/>
        <w:jc w:val="both"/>
        <w:rPr>
          <w:rFonts w:ascii="Arial" w:eastAsia="Times New Roman" w:hAnsi="Arial" w:cs="Arial"/>
          <w:lang w:val="es-ES" w:eastAsia="es-ES"/>
        </w:rPr>
      </w:pPr>
    </w:p>
    <w:p w14:paraId="0B299115" w14:textId="77777777" w:rsidR="00B11E95" w:rsidRPr="00B11E95" w:rsidRDefault="00B11E95" w:rsidP="00933290">
      <w:pPr>
        <w:shd w:val="clear" w:color="auto" w:fill="FFFFFF"/>
        <w:spacing w:after="0" w:line="240" w:lineRule="auto"/>
        <w:ind w:left="708" w:right="51"/>
        <w:contextualSpacing/>
        <w:jc w:val="both"/>
        <w:rPr>
          <w:rFonts w:ascii="Arial" w:eastAsia="Times New Roman" w:hAnsi="Arial" w:cs="Arial"/>
          <w:lang w:val="es-ES" w:eastAsia="es-ES"/>
        </w:rPr>
      </w:pPr>
      <w:bookmarkStart w:id="10" w:name="_Hlk92796193"/>
      <w:r w:rsidRPr="00B11E95">
        <w:rPr>
          <w:rFonts w:ascii="Arial" w:eastAsia="Times New Roman" w:hAnsi="Arial" w:cs="Arial"/>
          <w:lang w:val="es-ES" w:eastAsia="es-ES"/>
        </w:rPr>
        <w:t xml:space="preserve">VIGÉSIMA. En las acciones de modificación, adecuación y/o rediseño de los espacios habitables destinados a las personas privadas de la libertad, debe garantizarse, entre otros aspectos, que las celdas individuales cuenten con al menos 7 m², con un espacio suficiente para dormir acostadas e individualmente, para caminar y colocar sus bienes personales, ventilación, calefacción, exposición a la luz natural y artificial, suministro suficiente de agua potable y de condiciones de privacidad mínimas que les permita la realización de actividades sanitarias y de higiene. </w:t>
      </w:r>
    </w:p>
    <w:bookmarkEnd w:id="10"/>
    <w:p w14:paraId="54AF9AEF" w14:textId="77777777" w:rsidR="00B11E95" w:rsidRPr="00B11E95" w:rsidRDefault="00B11E95" w:rsidP="00933290">
      <w:pPr>
        <w:shd w:val="clear" w:color="auto" w:fill="FFFFFF"/>
        <w:spacing w:after="0" w:line="240" w:lineRule="auto"/>
        <w:ind w:left="708" w:right="51"/>
        <w:contextualSpacing/>
        <w:jc w:val="both"/>
        <w:rPr>
          <w:rFonts w:ascii="Arial" w:eastAsia="Times New Roman" w:hAnsi="Arial" w:cs="Arial"/>
          <w:lang w:val="es-ES" w:eastAsia="es-ES"/>
        </w:rPr>
      </w:pPr>
    </w:p>
    <w:p w14:paraId="6FD7A786" w14:textId="77777777" w:rsidR="00B11E95" w:rsidRPr="00B11E95" w:rsidRDefault="00B11E95" w:rsidP="00933290">
      <w:pPr>
        <w:shd w:val="clear" w:color="auto" w:fill="FFFFFF"/>
        <w:spacing w:after="0" w:line="240" w:lineRule="auto"/>
        <w:ind w:left="708" w:right="51"/>
        <w:contextualSpacing/>
        <w:jc w:val="both"/>
        <w:rPr>
          <w:rFonts w:ascii="Times New Roman" w:eastAsia="Times New Roman" w:hAnsi="Times New Roman" w:cs="Times New Roman"/>
          <w:i/>
          <w:iCs/>
          <w:lang w:val="es-ES" w:eastAsia="es-ES"/>
        </w:rPr>
      </w:pPr>
      <w:r w:rsidRPr="00B11E95">
        <w:rPr>
          <w:rFonts w:ascii="Arial" w:eastAsia="Times New Roman" w:hAnsi="Arial" w:cs="Arial"/>
          <w:lang w:val="es-ES" w:eastAsia="es-ES"/>
        </w:rPr>
        <w:t xml:space="preserve">VIGÉSIMA PRIMERA. </w:t>
      </w:r>
      <w:r w:rsidRPr="00B11E95">
        <w:rPr>
          <w:rFonts w:ascii="Arial" w:eastAsia="Times New Roman" w:hAnsi="Arial" w:cs="Arial"/>
          <w:i/>
          <w:iCs/>
          <w:lang w:val="es-ES" w:eastAsia="es-ES"/>
        </w:rPr>
        <w:t xml:space="preserve">En caso de que por la infraestructura de los centros penitenciarios no pueda realizarse una adaptación de celda por persona, y éstas deban ser compartidas, deberá preverse que en las mismas no habiten un número superior de personas que no permita una sana distancia, por lo que deberán elaborarse los ajustes necesarios, previa consulta con las Secretarías de Salud tanto Federal como de cada entidad, y observar que las personas que habiten </w:t>
      </w:r>
      <w:r w:rsidRPr="00B11E95">
        <w:rPr>
          <w:rFonts w:ascii="Arial" w:eastAsia="Times New Roman" w:hAnsi="Arial" w:cs="Arial"/>
          <w:i/>
          <w:iCs/>
          <w:lang w:val="es-ES" w:eastAsia="es-ES"/>
        </w:rPr>
        <w:lastRenderedPageBreak/>
        <w:t>en el mismo puedan relacionarse entre sí, garantizando para cada una de ellas, las necesidades expuestas en el punto anterior</w:t>
      </w:r>
      <w:r w:rsidRPr="00B11E95">
        <w:rPr>
          <w:rFonts w:ascii="Times New Roman" w:eastAsia="Times New Roman" w:hAnsi="Times New Roman" w:cs="Times New Roman"/>
          <w:i/>
          <w:iCs/>
          <w:lang w:val="es-ES" w:eastAsia="es-ES"/>
        </w:rPr>
        <w:t>.</w:t>
      </w:r>
    </w:p>
    <w:p w14:paraId="3F42C4AE" w14:textId="77777777" w:rsidR="00B11E95" w:rsidRPr="00B11E95" w:rsidRDefault="00B11E95" w:rsidP="00933290">
      <w:pPr>
        <w:shd w:val="clear" w:color="auto" w:fill="FFFFFF"/>
        <w:spacing w:after="0" w:line="240" w:lineRule="auto"/>
        <w:ind w:left="708" w:right="51"/>
        <w:contextualSpacing/>
        <w:jc w:val="both"/>
        <w:rPr>
          <w:rFonts w:ascii="Times New Roman" w:eastAsia="Times New Roman" w:hAnsi="Times New Roman" w:cs="Times New Roman"/>
          <w:lang w:val="es-ES" w:eastAsia="es-ES"/>
        </w:rPr>
      </w:pPr>
    </w:p>
    <w:p w14:paraId="7F800A91" w14:textId="77777777" w:rsidR="00B11E95" w:rsidRPr="00B11E95" w:rsidRDefault="00B11E95" w:rsidP="00933290">
      <w:pPr>
        <w:shd w:val="clear" w:color="auto" w:fill="FFFFFF"/>
        <w:spacing w:after="0" w:line="240" w:lineRule="auto"/>
        <w:ind w:left="708" w:right="51"/>
        <w:contextualSpacing/>
        <w:jc w:val="both"/>
        <w:rPr>
          <w:rFonts w:ascii="Arial" w:eastAsia="Times New Roman" w:hAnsi="Arial" w:cs="Arial"/>
          <w:i/>
          <w:iCs/>
          <w:lang w:val="es-ES" w:eastAsia="es-ES"/>
        </w:rPr>
      </w:pPr>
      <w:r w:rsidRPr="00B11E95">
        <w:rPr>
          <w:rFonts w:ascii="Arial" w:eastAsia="Times New Roman" w:hAnsi="Arial" w:cs="Arial"/>
          <w:lang w:val="es-ES" w:eastAsia="es-ES"/>
        </w:rPr>
        <w:t xml:space="preserve">VIGÉSIMA SEGUNDA. </w:t>
      </w:r>
      <w:r w:rsidRPr="00B11E95">
        <w:rPr>
          <w:rFonts w:ascii="Arial" w:eastAsia="Times New Roman" w:hAnsi="Arial" w:cs="Arial"/>
          <w:i/>
          <w:iCs/>
          <w:lang w:val="es-ES" w:eastAsia="es-ES"/>
        </w:rPr>
        <w:t xml:space="preserve">Sin invocar prohibiciones de carácter económico, las autoridades penitenciarias y gobiernos estatales deberán analizar la pertenencia de solicitar una partida presupuestal para llevar a cabo todos aquellos ajustes que se requieran en las infraestructuras penitenciarias, que permita las adecuaciones expuestas y/o la creación de nuevos centros con la capacidad instalada suficiente, a fin de distribuir a las personas privadas de la libertad de aquellas entidades que representan mayor hacinamiento. </w:t>
      </w:r>
    </w:p>
    <w:p w14:paraId="6E226831" w14:textId="77777777" w:rsidR="00B11E95" w:rsidRPr="00B11E95" w:rsidRDefault="00B11E95" w:rsidP="00B11E95">
      <w:pPr>
        <w:shd w:val="clear" w:color="auto" w:fill="FFFFFF"/>
        <w:spacing w:after="0" w:line="240" w:lineRule="auto"/>
        <w:ind w:right="51"/>
        <w:contextualSpacing/>
        <w:jc w:val="both"/>
        <w:rPr>
          <w:rFonts w:ascii="Arial" w:eastAsia="Times New Roman" w:hAnsi="Arial" w:cs="Arial"/>
          <w:i/>
          <w:iCs/>
          <w:lang w:val="es-ES" w:eastAsia="es-ES"/>
        </w:rPr>
      </w:pPr>
    </w:p>
    <w:p w14:paraId="39040208" w14:textId="77777777" w:rsidR="00B11E95" w:rsidRPr="00B11E95" w:rsidRDefault="00B11E95" w:rsidP="00B11E95">
      <w:pPr>
        <w:shd w:val="clear" w:color="auto" w:fill="FFFFFF"/>
        <w:spacing w:after="0" w:line="240" w:lineRule="auto"/>
        <w:ind w:right="51"/>
        <w:contextualSpacing/>
        <w:jc w:val="both"/>
        <w:rPr>
          <w:rFonts w:ascii="Arial" w:eastAsia="Times New Roman" w:hAnsi="Arial" w:cs="Arial"/>
          <w:lang w:val="es-ES" w:eastAsia="es-ES"/>
        </w:rPr>
      </w:pPr>
      <w:bookmarkStart w:id="11" w:name="_Hlk92787176"/>
      <w:r w:rsidRPr="00B11E95">
        <w:rPr>
          <w:rFonts w:ascii="Arial" w:eastAsia="Times New Roman" w:hAnsi="Arial" w:cs="Arial"/>
          <w:lang w:val="es-ES" w:eastAsia="es-ES"/>
        </w:rPr>
        <w:t xml:space="preserve">Disponible en: </w:t>
      </w:r>
      <w:hyperlink r:id="rId14" w:history="1">
        <w:r w:rsidRPr="00B11E95">
          <w:rPr>
            <w:rFonts w:ascii="Arial" w:eastAsia="Times New Roman" w:hAnsi="Arial" w:cs="Arial"/>
            <w:color w:val="0563C1" w:themeColor="hyperlink"/>
            <w:u w:val="single"/>
            <w:lang w:val="es-ES" w:eastAsia="es-ES"/>
          </w:rPr>
          <w:t>https://www.cndh.org.mx/sites/default/files/documentos/2020-07/IE_COVID19_Penitenciarios.pdf</w:t>
        </w:r>
      </w:hyperlink>
      <w:r w:rsidRPr="00B11E95">
        <w:rPr>
          <w:rFonts w:ascii="Arial" w:eastAsia="Times New Roman" w:hAnsi="Arial" w:cs="Arial"/>
          <w:lang w:val="es-ES" w:eastAsia="es-ES"/>
        </w:rPr>
        <w:t xml:space="preserve"> </w:t>
      </w:r>
      <w:bookmarkEnd w:id="11"/>
    </w:p>
    <w:p w14:paraId="69CECBD7" w14:textId="77777777" w:rsidR="00B11E95" w:rsidRPr="00B11E95" w:rsidRDefault="00B11E95" w:rsidP="00B11E95">
      <w:pPr>
        <w:shd w:val="clear" w:color="auto" w:fill="FFFFFF"/>
        <w:spacing w:after="0" w:line="240" w:lineRule="auto"/>
        <w:ind w:right="51"/>
        <w:contextualSpacing/>
        <w:jc w:val="both"/>
        <w:rPr>
          <w:rFonts w:ascii="Arial" w:eastAsia="Times New Roman" w:hAnsi="Arial" w:cs="Arial"/>
          <w:sz w:val="24"/>
          <w:szCs w:val="24"/>
          <w:lang w:val="es-ES" w:eastAsia="es-ES"/>
        </w:rPr>
      </w:pPr>
    </w:p>
    <w:p w14:paraId="162EA31F" w14:textId="6E393ACB" w:rsidR="00B11E95" w:rsidRPr="00B11E95" w:rsidRDefault="00B11E95" w:rsidP="0019098B">
      <w:pPr>
        <w:shd w:val="clear" w:color="auto" w:fill="FFFFFF"/>
        <w:spacing w:after="0" w:line="240" w:lineRule="auto"/>
        <w:ind w:right="51"/>
        <w:contextualSpacing/>
        <w:jc w:val="both"/>
        <w:rPr>
          <w:rFonts w:ascii="Arial" w:eastAsia="Times New Roman" w:hAnsi="Arial" w:cs="Arial"/>
          <w:lang w:val="es-ES" w:eastAsia="es-ES"/>
        </w:rPr>
      </w:pPr>
      <w:bookmarkStart w:id="12" w:name="_Hlk92790120"/>
      <w:r w:rsidRPr="00B11E95">
        <w:rPr>
          <w:rFonts w:ascii="Arial" w:eastAsia="Times New Roman" w:hAnsi="Arial" w:cs="Arial"/>
          <w:lang w:val="es-ES" w:eastAsia="es-ES"/>
        </w:rPr>
        <w:t xml:space="preserve">En los </w:t>
      </w:r>
      <w:r w:rsidRPr="00B11E95">
        <w:rPr>
          <w:rFonts w:ascii="Arial" w:eastAsia="Times New Roman" w:hAnsi="Arial" w:cs="Arial"/>
          <w:b/>
          <w:bCs/>
          <w:color w:val="1F3864" w:themeColor="accent1" w:themeShade="80"/>
          <w:lang w:val="es-ES" w:eastAsia="es-ES"/>
        </w:rPr>
        <w:t>Diagnósticos Nacionales de Supervisión Penitenciaria</w:t>
      </w:r>
      <w:r w:rsidRPr="00B11E95">
        <w:rPr>
          <w:rFonts w:ascii="Arial" w:eastAsia="Times New Roman" w:hAnsi="Arial" w:cs="Arial"/>
          <w:color w:val="1F3864" w:themeColor="accent1" w:themeShade="80"/>
          <w:lang w:val="es-ES" w:eastAsia="es-ES"/>
        </w:rPr>
        <w:t xml:space="preserve"> </w:t>
      </w:r>
      <w:r w:rsidRPr="00B11E95">
        <w:rPr>
          <w:rFonts w:ascii="Arial" w:eastAsia="Times New Roman" w:hAnsi="Arial" w:cs="Arial"/>
          <w:lang w:val="es-ES" w:eastAsia="es-ES"/>
        </w:rPr>
        <w:t xml:space="preserve">DNSP 2019 y 2020, se da a conocer la situación actual que prevalece en los centros penitenciarios </w:t>
      </w:r>
      <w:r w:rsidRPr="00B11E95">
        <w:rPr>
          <w:rFonts w:ascii="Arial" w:eastAsia="Times New Roman" w:hAnsi="Arial" w:cs="Arial"/>
          <w:lang w:val="es-ES" w:eastAsia="es-ES"/>
        </w:rPr>
        <w:lastRenderedPageBreak/>
        <w:t xml:space="preserve">a nivel federal, estatal y militar, por lo que respecta a las posibles deficiencias detectadas en las que se encuentran, entre ellas, se realiza un análisis respecto de las condiciones de sobrepoblación que prevalecen en algunos centros, con la finalidad de que tras su emisión, las personas titulares a cargo de los sistemas penitenciarios federal, estatales y/o militar realicen las acciones respectivas para subsanarlas. </w:t>
      </w:r>
    </w:p>
    <w:p w14:paraId="16349EBA" w14:textId="77777777" w:rsidR="00B11E95" w:rsidRPr="00B11E95" w:rsidRDefault="00B11E95" w:rsidP="00B11E95">
      <w:pPr>
        <w:shd w:val="clear" w:color="auto" w:fill="FFFFFF"/>
        <w:spacing w:after="0" w:line="240" w:lineRule="auto"/>
        <w:ind w:right="51"/>
        <w:contextualSpacing/>
        <w:jc w:val="both"/>
        <w:rPr>
          <w:rFonts w:ascii="Arial" w:eastAsia="Times New Roman" w:hAnsi="Arial" w:cs="Arial"/>
          <w:lang w:val="es-ES" w:eastAsia="es-ES"/>
        </w:rPr>
      </w:pPr>
    </w:p>
    <w:p w14:paraId="7BB9FD77" w14:textId="77777777" w:rsidR="00B11E95" w:rsidRPr="00B11E95" w:rsidRDefault="00B11E95" w:rsidP="0019098B">
      <w:pPr>
        <w:shd w:val="clear" w:color="auto" w:fill="FFFFFF"/>
        <w:spacing w:after="0" w:line="240" w:lineRule="auto"/>
        <w:ind w:right="51"/>
        <w:contextualSpacing/>
        <w:jc w:val="both"/>
        <w:rPr>
          <w:rFonts w:ascii="Arial" w:eastAsia="Times New Roman" w:hAnsi="Arial" w:cs="Arial"/>
          <w:lang w:val="es-ES" w:eastAsia="es-ES"/>
        </w:rPr>
      </w:pPr>
      <w:r w:rsidRPr="00B11E95">
        <w:rPr>
          <w:rFonts w:ascii="Arial" w:eastAsia="Times New Roman" w:hAnsi="Arial" w:cs="Arial"/>
          <w:lang w:val="es-ES" w:eastAsia="es-ES"/>
        </w:rPr>
        <w:t xml:space="preserve">Principalmente, en </w:t>
      </w:r>
      <w:r w:rsidRPr="00B11E95">
        <w:rPr>
          <w:rFonts w:ascii="Arial" w:eastAsia="Times New Roman" w:hAnsi="Arial" w:cs="Arial"/>
          <w:color w:val="1F3864" w:themeColor="accent1" w:themeShade="80"/>
          <w:lang w:val="es-ES" w:eastAsia="es-ES"/>
        </w:rPr>
        <w:t xml:space="preserve">el </w:t>
      </w:r>
      <w:r w:rsidRPr="00B11E95">
        <w:rPr>
          <w:rFonts w:ascii="Arial" w:eastAsia="Times New Roman" w:hAnsi="Arial" w:cs="Arial"/>
          <w:b/>
          <w:bCs/>
          <w:color w:val="1F3864" w:themeColor="accent1" w:themeShade="80"/>
          <w:lang w:val="es-ES" w:eastAsia="es-ES"/>
        </w:rPr>
        <w:t>DNSP del año 2020</w:t>
      </w:r>
      <w:r w:rsidRPr="00B11E95">
        <w:rPr>
          <w:rFonts w:ascii="Arial" w:eastAsia="Times New Roman" w:hAnsi="Arial" w:cs="Arial"/>
          <w:lang w:val="es-ES" w:eastAsia="es-ES"/>
        </w:rPr>
        <w:t xml:space="preserve">, en transversalidad con el contexto de la emergencia sanitaria que prevalece en nuestro país, la sobrepoblación en las cárceles y la emisión de Ley de Amnistía, en dicho Diagnóstico se realizó un pronunciamiento relativo </w:t>
      </w:r>
      <w:r w:rsidRPr="00B11E95">
        <w:rPr>
          <w:rFonts w:ascii="Arial" w:eastAsia="Times New Roman" w:hAnsi="Arial" w:cs="Arial"/>
          <w:i/>
          <w:iCs/>
          <w:lang w:val="es-ES" w:eastAsia="es-ES"/>
        </w:rPr>
        <w:t xml:space="preserve">a la </w:t>
      </w:r>
      <w:r w:rsidRPr="00B11E95">
        <w:rPr>
          <w:rFonts w:ascii="Arial" w:eastAsia="Times New Roman" w:hAnsi="Arial" w:cs="Arial"/>
          <w:i/>
          <w:iCs/>
          <w:color w:val="1F3864" w:themeColor="accent1" w:themeShade="80"/>
          <w:lang w:val="es-ES" w:eastAsia="es-ES"/>
        </w:rPr>
        <w:t>despresurización penitenciaria</w:t>
      </w:r>
      <w:r w:rsidRPr="00B11E95">
        <w:rPr>
          <w:rFonts w:ascii="Arial" w:eastAsia="Times New Roman" w:hAnsi="Arial" w:cs="Arial"/>
          <w:lang w:val="es-ES" w:eastAsia="es-ES"/>
        </w:rPr>
        <w:t xml:space="preserve">, en el que sustantivamente se expuso que: </w:t>
      </w:r>
    </w:p>
    <w:p w14:paraId="293DAB67" w14:textId="77777777" w:rsidR="00B11E95" w:rsidRPr="00B11E95" w:rsidRDefault="00B11E95" w:rsidP="00B11E95">
      <w:pPr>
        <w:shd w:val="clear" w:color="auto" w:fill="FFFFFF"/>
        <w:spacing w:after="0" w:line="240" w:lineRule="auto"/>
        <w:ind w:right="51"/>
        <w:contextualSpacing/>
        <w:jc w:val="both"/>
        <w:rPr>
          <w:rFonts w:ascii="Arial" w:eastAsia="Times New Roman" w:hAnsi="Arial" w:cs="Arial"/>
          <w:sz w:val="24"/>
          <w:szCs w:val="24"/>
          <w:lang w:val="es-ES" w:eastAsia="es-ES"/>
        </w:rPr>
      </w:pPr>
    </w:p>
    <w:p w14:paraId="3DE55AEC" w14:textId="77777777" w:rsidR="00B11E95" w:rsidRPr="00B11E95" w:rsidRDefault="00B11E95" w:rsidP="00933290">
      <w:pPr>
        <w:shd w:val="clear" w:color="auto" w:fill="FFFFFF"/>
        <w:spacing w:after="0" w:line="240" w:lineRule="auto"/>
        <w:ind w:left="708" w:right="51"/>
        <w:contextualSpacing/>
        <w:jc w:val="both"/>
        <w:rPr>
          <w:rFonts w:ascii="Arial" w:eastAsia="Times New Roman" w:hAnsi="Arial" w:cs="Arial"/>
          <w:lang w:val="es-ES" w:eastAsia="es-ES"/>
        </w:rPr>
      </w:pPr>
      <w:r w:rsidRPr="00B11E95">
        <w:rPr>
          <w:rFonts w:ascii="Arial" w:eastAsia="Times New Roman" w:hAnsi="Arial" w:cs="Arial"/>
          <w:lang w:val="es-ES" w:eastAsia="es-ES"/>
        </w:rPr>
        <w:t xml:space="preserve">[…]  </w:t>
      </w:r>
      <w:r w:rsidRPr="00B11E95">
        <w:rPr>
          <w:rFonts w:ascii="Arial" w:eastAsia="Times New Roman" w:hAnsi="Arial" w:cs="Arial"/>
          <w:i/>
          <w:iCs/>
          <w:lang w:val="es-ES" w:eastAsia="es-ES"/>
        </w:rPr>
        <w:t xml:space="preserve">La Comisión Nacional de los Derechos Humanos manifiesta su reiterada preocupación por las condiciones que imposibilitan o dificultan que las personas privadas de la libertad en los centros penitenciarios de la República Mexicana ejerzan sus derechos a una vida digna y segura, así como a la reinserción social, </w:t>
      </w:r>
      <w:r w:rsidRPr="00B11E95">
        <w:rPr>
          <w:rFonts w:ascii="Arial" w:eastAsia="Times New Roman" w:hAnsi="Arial" w:cs="Arial"/>
          <w:i/>
          <w:iCs/>
          <w:lang w:val="es-ES" w:eastAsia="es-ES"/>
        </w:rPr>
        <w:lastRenderedPageBreak/>
        <w:t xml:space="preserve">por ello manifiesta la necesidad de orientar estrategias, programas y acciones que permitan dar atención al problema de sobrepoblación y hacinamiento en el que se encuentran aún muchos centros de reclusión en el país. </w:t>
      </w:r>
    </w:p>
    <w:p w14:paraId="22DDD4AC" w14:textId="77777777" w:rsidR="00B11E95" w:rsidRPr="00B11E95" w:rsidRDefault="00B11E95" w:rsidP="00933290">
      <w:pPr>
        <w:shd w:val="clear" w:color="auto" w:fill="FFFFFF"/>
        <w:spacing w:after="0" w:line="240" w:lineRule="auto"/>
        <w:ind w:left="708" w:right="51"/>
        <w:contextualSpacing/>
        <w:jc w:val="both"/>
        <w:rPr>
          <w:rFonts w:ascii="Arial" w:eastAsia="Times New Roman" w:hAnsi="Arial" w:cs="Arial"/>
          <w:i/>
          <w:iCs/>
          <w:lang w:val="es-ES" w:eastAsia="es-ES"/>
        </w:rPr>
      </w:pPr>
    </w:p>
    <w:p w14:paraId="33348228" w14:textId="77777777" w:rsidR="00B11E95" w:rsidRPr="00B11E95" w:rsidRDefault="00B11E95" w:rsidP="00933290">
      <w:pPr>
        <w:shd w:val="clear" w:color="auto" w:fill="FFFFFF"/>
        <w:spacing w:after="0" w:line="240" w:lineRule="auto"/>
        <w:ind w:left="708" w:right="51"/>
        <w:contextualSpacing/>
        <w:jc w:val="both"/>
        <w:rPr>
          <w:rFonts w:ascii="Arial" w:eastAsia="Times New Roman" w:hAnsi="Arial" w:cs="Arial"/>
          <w:lang w:val="es-ES" w:eastAsia="es-ES"/>
        </w:rPr>
      </w:pPr>
      <w:r w:rsidRPr="00B11E95">
        <w:rPr>
          <w:rFonts w:ascii="Arial" w:eastAsia="Times New Roman" w:hAnsi="Arial" w:cs="Arial"/>
          <w:i/>
          <w:iCs/>
          <w:lang w:val="es-ES" w:eastAsia="es-ES"/>
        </w:rPr>
        <w:t xml:space="preserve">Es por lo anterior que considera necesario fomentar un programa de despresurización que permita, sin demérito de los requisitos exigidos, mayor agilidad en el otorgamiento de beneficios preliberacionales </w:t>
      </w:r>
      <w:r w:rsidRPr="00B11E95">
        <w:rPr>
          <w:rFonts w:ascii="Arial" w:eastAsia="Times New Roman" w:hAnsi="Arial" w:cs="Arial"/>
          <w:lang w:val="es-ES" w:eastAsia="es-ES"/>
        </w:rPr>
        <w:t xml:space="preserve">[…].  </w:t>
      </w:r>
    </w:p>
    <w:p w14:paraId="007210CD" w14:textId="77777777" w:rsidR="00B11E95" w:rsidRPr="00B11E95" w:rsidRDefault="00B11E95" w:rsidP="00933290">
      <w:pPr>
        <w:shd w:val="clear" w:color="auto" w:fill="FFFFFF"/>
        <w:spacing w:after="0" w:line="240" w:lineRule="auto"/>
        <w:ind w:left="708" w:right="51"/>
        <w:contextualSpacing/>
        <w:jc w:val="both"/>
        <w:rPr>
          <w:rFonts w:ascii="Arial" w:eastAsia="Times New Roman" w:hAnsi="Arial" w:cs="Arial"/>
          <w:lang w:val="es-ES" w:eastAsia="es-ES"/>
        </w:rPr>
      </w:pPr>
    </w:p>
    <w:p w14:paraId="32FB3AE7" w14:textId="77777777" w:rsidR="00B11E95" w:rsidRPr="00B11E95" w:rsidRDefault="00B11E95" w:rsidP="00933290">
      <w:pPr>
        <w:shd w:val="clear" w:color="auto" w:fill="FFFFFF"/>
        <w:spacing w:after="0" w:line="240" w:lineRule="auto"/>
        <w:ind w:left="708" w:right="51"/>
        <w:contextualSpacing/>
        <w:jc w:val="both"/>
        <w:rPr>
          <w:rFonts w:ascii="Arial" w:eastAsia="Times New Roman" w:hAnsi="Arial" w:cs="Arial"/>
          <w:lang w:val="es-ES" w:eastAsia="es-ES"/>
        </w:rPr>
      </w:pPr>
      <w:r w:rsidRPr="00B11E95">
        <w:rPr>
          <w:rFonts w:ascii="Arial" w:eastAsia="Times New Roman" w:hAnsi="Arial" w:cs="Arial"/>
          <w:lang w:val="es-ES" w:eastAsia="es-ES"/>
        </w:rPr>
        <w:t xml:space="preserve">Disponible: </w:t>
      </w:r>
    </w:p>
    <w:p w14:paraId="6B0F6CC2" w14:textId="77777777" w:rsidR="00B11E95" w:rsidRPr="00B11E95" w:rsidRDefault="009859F9" w:rsidP="00933290">
      <w:pPr>
        <w:shd w:val="clear" w:color="auto" w:fill="FFFFFF"/>
        <w:spacing w:after="0" w:line="240" w:lineRule="auto"/>
        <w:ind w:left="708" w:right="51"/>
        <w:contextualSpacing/>
        <w:jc w:val="both"/>
        <w:rPr>
          <w:rFonts w:ascii="Arial" w:eastAsia="Times New Roman" w:hAnsi="Arial" w:cs="Arial"/>
          <w:lang w:val="es-ES" w:eastAsia="es-ES"/>
        </w:rPr>
      </w:pPr>
      <w:hyperlink r:id="rId15" w:history="1">
        <w:r w:rsidR="00B11E95" w:rsidRPr="00B11E95">
          <w:rPr>
            <w:rFonts w:ascii="Arial" w:eastAsia="Times New Roman" w:hAnsi="Arial" w:cs="Arial"/>
            <w:color w:val="0563C1" w:themeColor="hyperlink"/>
            <w:u w:val="single"/>
            <w:lang w:val="es-ES" w:eastAsia="es-ES"/>
          </w:rPr>
          <w:t>https://www.cndh.org.mx/sites/default/files/documentos/2021-05/DNSP_2020.pdf</w:t>
        </w:r>
      </w:hyperlink>
      <w:r w:rsidR="00B11E95" w:rsidRPr="00B11E95">
        <w:rPr>
          <w:rFonts w:ascii="Arial" w:eastAsia="Times New Roman" w:hAnsi="Arial" w:cs="Arial"/>
          <w:lang w:val="es-ES" w:eastAsia="es-ES"/>
        </w:rPr>
        <w:t xml:space="preserve">    </w:t>
      </w:r>
    </w:p>
    <w:p w14:paraId="49CC46B3" w14:textId="77777777" w:rsidR="00B11E95" w:rsidRPr="00B11E95" w:rsidRDefault="00B11E95" w:rsidP="00B11E95">
      <w:pPr>
        <w:shd w:val="clear" w:color="auto" w:fill="FFFFFF"/>
        <w:spacing w:after="0" w:line="240" w:lineRule="auto"/>
        <w:ind w:right="51"/>
        <w:contextualSpacing/>
        <w:jc w:val="both"/>
        <w:rPr>
          <w:rFonts w:ascii="Arial" w:eastAsia="Times New Roman" w:hAnsi="Arial" w:cs="Arial"/>
          <w:lang w:val="es-ES" w:eastAsia="es-ES"/>
        </w:rPr>
      </w:pPr>
    </w:p>
    <w:bookmarkEnd w:id="12"/>
    <w:p w14:paraId="3CC118C5" w14:textId="77777777" w:rsidR="00B11E95" w:rsidRPr="00B11E95" w:rsidRDefault="00B11E95" w:rsidP="00B11E95">
      <w:pPr>
        <w:shd w:val="clear" w:color="auto" w:fill="FFFFFF"/>
        <w:spacing w:after="0" w:line="240" w:lineRule="auto"/>
        <w:ind w:right="51"/>
        <w:contextualSpacing/>
        <w:jc w:val="both"/>
        <w:rPr>
          <w:rFonts w:ascii="Arial" w:eastAsia="Times New Roman" w:hAnsi="Arial" w:cs="Arial"/>
          <w:lang w:val="es-ES" w:eastAsia="es-ES"/>
        </w:rPr>
      </w:pPr>
    </w:p>
    <w:p w14:paraId="56E00BF1" w14:textId="77777777" w:rsidR="00B11E95" w:rsidRPr="00B11E95" w:rsidRDefault="00B11E95" w:rsidP="0019098B">
      <w:pPr>
        <w:shd w:val="clear" w:color="auto" w:fill="FFFFFF"/>
        <w:spacing w:after="0" w:line="240" w:lineRule="auto"/>
        <w:ind w:right="51"/>
        <w:contextualSpacing/>
        <w:jc w:val="both"/>
        <w:rPr>
          <w:rFonts w:ascii="Arial" w:eastAsia="Times New Roman" w:hAnsi="Arial" w:cs="Arial"/>
          <w:lang w:val="es-ES" w:eastAsia="es-ES"/>
        </w:rPr>
      </w:pPr>
      <w:r w:rsidRPr="00B11E95">
        <w:rPr>
          <w:rFonts w:ascii="Arial" w:eastAsia="Times New Roman" w:hAnsi="Arial" w:cs="Arial"/>
          <w:lang w:val="es-ES" w:eastAsia="es-ES"/>
        </w:rPr>
        <w:t xml:space="preserve">A través del </w:t>
      </w:r>
      <w:r w:rsidRPr="00B11E95">
        <w:rPr>
          <w:rFonts w:ascii="Arial" w:eastAsia="Times New Roman" w:hAnsi="Arial" w:cs="Arial"/>
          <w:b/>
          <w:bCs/>
          <w:color w:val="1F3864" w:themeColor="accent1" w:themeShade="80"/>
          <w:lang w:val="es-ES" w:eastAsia="es-ES"/>
        </w:rPr>
        <w:t xml:space="preserve">Comunicado DGC/160/2021 </w:t>
      </w:r>
      <w:r w:rsidRPr="00B11E95">
        <w:rPr>
          <w:rFonts w:ascii="Arial" w:eastAsia="Times New Roman" w:hAnsi="Arial" w:cs="Arial"/>
          <w:lang w:val="es-ES" w:eastAsia="es-ES"/>
        </w:rPr>
        <w:t xml:space="preserve">en el que la </w:t>
      </w:r>
      <w:r w:rsidRPr="00B11E95">
        <w:rPr>
          <w:rFonts w:ascii="Arial" w:eastAsia="Times New Roman" w:hAnsi="Arial" w:cs="Arial"/>
          <w:color w:val="1F3864" w:themeColor="accent1" w:themeShade="80"/>
          <w:lang w:val="es-ES" w:eastAsia="es-ES"/>
        </w:rPr>
        <w:t>CNDH exhorta a cumplir la Ley Nacional de Ejecución Penal y garantizar una efectiva reinserción social</w:t>
      </w:r>
      <w:r w:rsidRPr="00B11E95">
        <w:rPr>
          <w:rFonts w:ascii="Arial" w:eastAsia="Times New Roman" w:hAnsi="Arial" w:cs="Arial"/>
          <w:lang w:val="es-ES" w:eastAsia="es-ES"/>
        </w:rPr>
        <w:t xml:space="preserve">, emitido </w:t>
      </w:r>
      <w:r w:rsidRPr="00B11E95">
        <w:rPr>
          <w:rFonts w:ascii="Arial" w:eastAsia="Times New Roman" w:hAnsi="Arial" w:cs="Arial"/>
          <w:lang w:val="es-ES" w:eastAsia="es-ES"/>
        </w:rPr>
        <w:lastRenderedPageBreak/>
        <w:t xml:space="preserve">en el mes de junio de 2021, hizo visible ante las diversas autoridades de los sistemas penitenciarios a nivel federal y estatal y corresponsables en la materia, que: </w:t>
      </w:r>
    </w:p>
    <w:p w14:paraId="6C36F63D" w14:textId="77777777" w:rsidR="00B11E95" w:rsidRPr="00B11E95" w:rsidRDefault="00B11E95" w:rsidP="00933290">
      <w:pPr>
        <w:shd w:val="clear" w:color="auto" w:fill="FFFFFF"/>
        <w:spacing w:after="0" w:line="240" w:lineRule="auto"/>
        <w:ind w:left="708" w:right="51"/>
        <w:contextualSpacing/>
        <w:jc w:val="both"/>
        <w:rPr>
          <w:rFonts w:ascii="Arial" w:eastAsia="Times New Roman" w:hAnsi="Arial" w:cs="Arial"/>
          <w:sz w:val="24"/>
          <w:szCs w:val="24"/>
          <w:lang w:val="es-ES" w:eastAsia="es-ES"/>
        </w:rPr>
      </w:pPr>
    </w:p>
    <w:p w14:paraId="13916C43" w14:textId="77777777" w:rsidR="00B11E95" w:rsidRPr="00B11E95" w:rsidRDefault="00B11E95" w:rsidP="00933290">
      <w:pPr>
        <w:shd w:val="clear" w:color="auto" w:fill="FFFFFF"/>
        <w:spacing w:after="0" w:line="240" w:lineRule="auto"/>
        <w:ind w:left="708" w:right="51"/>
        <w:contextualSpacing/>
        <w:jc w:val="both"/>
        <w:rPr>
          <w:rFonts w:ascii="Arial" w:eastAsia="Times New Roman" w:hAnsi="Arial" w:cs="Arial"/>
          <w:i/>
          <w:iCs/>
          <w:lang w:val="es-ES" w:eastAsia="es-ES"/>
        </w:rPr>
      </w:pPr>
      <w:r w:rsidRPr="00B11E95">
        <w:rPr>
          <w:rFonts w:ascii="Arial" w:eastAsia="Times New Roman" w:hAnsi="Arial" w:cs="Arial"/>
          <w:i/>
          <w:iCs/>
          <w:lang w:val="es-ES" w:eastAsia="es-ES"/>
        </w:rPr>
        <w:t>[…]  se había identificado que no se había dado cuenta de la instalación y trabajo realizado por el Comité para la Implementación, Evaluación y Seguimiento del Sistema de Ejecución Penal y que, aun cuando la Ley contempla las libertades condicionada y anticipada, la sustitución y suspensión temporal de las penas, permisos humanitarios, preliberación por criterios de política penitenciaria y justicia terapéutica, entre otros aspectos, en la práctica persistía el desconocimiento de dichos recursos entre la población penitenciaria; además de falta de acceso a una defensa adecuada y oportuna; la existencia de casos concentrados en pocas personas defensoras públicas; ausencia de seguimiento a dichos procedimientos y dilación por parte de autoridades en su resolución.</w:t>
      </w:r>
    </w:p>
    <w:p w14:paraId="4CF3019C" w14:textId="77777777" w:rsidR="00B11E95" w:rsidRPr="00B11E95" w:rsidRDefault="00B11E95" w:rsidP="00B11E95">
      <w:pPr>
        <w:shd w:val="clear" w:color="auto" w:fill="FFFFFF"/>
        <w:spacing w:after="0" w:line="240" w:lineRule="auto"/>
        <w:ind w:right="51"/>
        <w:jc w:val="both"/>
        <w:rPr>
          <w:rFonts w:ascii="Arial" w:eastAsia="Times New Roman" w:hAnsi="Arial" w:cs="Arial"/>
          <w:sz w:val="20"/>
          <w:szCs w:val="20"/>
          <w:lang w:val="es-ES" w:eastAsia="es-ES"/>
        </w:rPr>
      </w:pPr>
    </w:p>
    <w:p w14:paraId="21918B26" w14:textId="77777777" w:rsidR="00B11E95" w:rsidRPr="00B11E95" w:rsidRDefault="00B11E95" w:rsidP="00B11E95">
      <w:pPr>
        <w:shd w:val="clear" w:color="auto" w:fill="FFFFFF"/>
        <w:spacing w:after="0" w:line="240" w:lineRule="auto"/>
        <w:ind w:right="51"/>
        <w:jc w:val="both"/>
        <w:rPr>
          <w:rFonts w:ascii="Arial" w:eastAsia="Times New Roman" w:hAnsi="Arial" w:cs="Arial"/>
          <w:lang w:val="es-ES" w:eastAsia="es-ES"/>
        </w:rPr>
      </w:pPr>
      <w:r w:rsidRPr="00B11E95">
        <w:rPr>
          <w:rFonts w:ascii="Arial" w:eastAsia="Times New Roman" w:hAnsi="Arial" w:cs="Arial"/>
          <w:lang w:val="es-ES" w:eastAsia="es-ES"/>
        </w:rPr>
        <w:t xml:space="preserve">Disponible en: </w:t>
      </w:r>
      <w:hyperlink r:id="rId16" w:history="1">
        <w:r w:rsidRPr="00B11E95">
          <w:rPr>
            <w:rFonts w:ascii="Arial" w:eastAsia="Times New Roman" w:hAnsi="Arial" w:cs="Arial"/>
            <w:color w:val="0563C1" w:themeColor="hyperlink"/>
            <w:u w:val="single"/>
            <w:lang w:val="es-ES" w:eastAsia="es-ES"/>
          </w:rPr>
          <w:t>https://www.cndh.org.mx/sites/default/files/documentos/2021-06/COM_2021_160.pdf</w:t>
        </w:r>
      </w:hyperlink>
    </w:p>
    <w:p w14:paraId="67940399" w14:textId="77777777" w:rsidR="00B11E95" w:rsidRPr="00B11E95" w:rsidRDefault="00B11E95" w:rsidP="00B11E95">
      <w:pPr>
        <w:shd w:val="clear" w:color="auto" w:fill="FFFFFF"/>
        <w:spacing w:after="0" w:line="240" w:lineRule="auto"/>
        <w:ind w:right="51"/>
        <w:jc w:val="both"/>
        <w:rPr>
          <w:rFonts w:ascii="Arial" w:eastAsia="Times New Roman" w:hAnsi="Arial" w:cs="Arial"/>
          <w:lang w:val="es-ES" w:eastAsia="es-ES"/>
        </w:rPr>
      </w:pPr>
    </w:p>
    <w:p w14:paraId="345AF9C5" w14:textId="77777777" w:rsidR="00B11E95" w:rsidRPr="00B11E95" w:rsidRDefault="00B11E95" w:rsidP="0019098B">
      <w:pPr>
        <w:spacing w:after="0" w:line="240" w:lineRule="auto"/>
        <w:contextualSpacing/>
        <w:jc w:val="both"/>
        <w:rPr>
          <w:rFonts w:ascii="Arial" w:eastAsia="Times New Roman" w:hAnsi="Arial" w:cs="Arial"/>
          <w:lang w:val="es-ES" w:eastAsia="es-ES"/>
        </w:rPr>
      </w:pPr>
      <w:r w:rsidRPr="00B11E95">
        <w:rPr>
          <w:rFonts w:ascii="Arial" w:eastAsia="Times New Roman" w:hAnsi="Arial" w:cs="Arial"/>
          <w:lang w:val="es-ES" w:eastAsia="es-ES"/>
        </w:rPr>
        <w:t>En 2021, de acuerdo con el Cuaderno Mensual de Información Estadística Penitenciaria Nacional (septiembre), la población penitenciaria en la República Mexicana ascendió a 222,600, lo que a la fecha representa un incremento de 3.92% con relación a la población del año anterior 2020, es decir 8,369 personas más con respecto al cierre de 2020. Al respecto, las cifras del DNSP 2020 indicaron que, de los 113 centros visitados, 40 centros dependientes de autoridades estatales ubicados en 20 entidades federativas de la República Mexicana mantienen una problemática de sobrepoblación.</w:t>
      </w:r>
    </w:p>
    <w:p w14:paraId="3E9398EF" w14:textId="77777777" w:rsidR="00B11E95" w:rsidRPr="00B11E95" w:rsidRDefault="00B11E95" w:rsidP="00B11E95">
      <w:pPr>
        <w:shd w:val="clear" w:color="auto" w:fill="FFFFFF"/>
        <w:spacing w:after="0" w:line="240" w:lineRule="auto"/>
        <w:ind w:right="51"/>
        <w:contextualSpacing/>
        <w:jc w:val="both"/>
        <w:rPr>
          <w:rFonts w:ascii="Arial" w:eastAsia="Times New Roman" w:hAnsi="Arial" w:cs="Arial"/>
          <w:color w:val="1F3864" w:themeColor="accent1" w:themeShade="80"/>
          <w:sz w:val="24"/>
          <w:szCs w:val="24"/>
          <w:lang w:val="es-ES" w:eastAsia="es-ES"/>
        </w:rPr>
      </w:pPr>
      <w:bookmarkStart w:id="13" w:name="_Hlk92717541"/>
    </w:p>
    <w:p w14:paraId="277DA524" w14:textId="77777777" w:rsidR="003F56A8" w:rsidRPr="003F56A8" w:rsidRDefault="003F56A8" w:rsidP="003F56A8">
      <w:pPr>
        <w:shd w:val="clear" w:color="auto" w:fill="FFFFFF"/>
        <w:spacing w:after="0" w:line="240" w:lineRule="auto"/>
        <w:ind w:right="51"/>
        <w:jc w:val="both"/>
        <w:rPr>
          <w:rFonts w:ascii="Arial" w:eastAsia="Times New Roman" w:hAnsi="Arial" w:cs="Arial"/>
          <w:lang w:val="es-ES" w:eastAsia="es-ES"/>
        </w:rPr>
      </w:pPr>
    </w:p>
    <w:p w14:paraId="1A351180" w14:textId="77777777" w:rsidR="003F56A8" w:rsidRPr="003F56A8" w:rsidRDefault="003F56A8" w:rsidP="003F56A8">
      <w:pPr>
        <w:shd w:val="clear" w:color="auto" w:fill="FFFFFF"/>
        <w:spacing w:after="0" w:line="240" w:lineRule="auto"/>
        <w:ind w:right="51"/>
        <w:jc w:val="both"/>
        <w:rPr>
          <w:rFonts w:ascii="Arial" w:eastAsia="Times New Roman" w:hAnsi="Arial" w:cs="Arial"/>
          <w:b/>
          <w:bCs/>
          <w:i/>
          <w:iCs/>
          <w:lang w:val="es-ES" w:eastAsia="es-ES"/>
        </w:rPr>
      </w:pPr>
      <w:r w:rsidRPr="003F56A8">
        <w:rPr>
          <w:rFonts w:ascii="Arial" w:eastAsia="Times New Roman" w:hAnsi="Arial" w:cs="Arial"/>
          <w:b/>
          <w:bCs/>
          <w:i/>
          <w:iCs/>
          <w:lang w:val="es-ES" w:eastAsia="es-ES"/>
        </w:rPr>
        <w:t xml:space="preserve">34. El Estado parte debe: </w:t>
      </w:r>
    </w:p>
    <w:p w14:paraId="00ED108E" w14:textId="77777777" w:rsidR="003F56A8" w:rsidRPr="003F56A8" w:rsidRDefault="003F56A8" w:rsidP="003F56A8">
      <w:pPr>
        <w:shd w:val="clear" w:color="auto" w:fill="FFFFFF"/>
        <w:spacing w:after="0" w:line="240" w:lineRule="auto"/>
        <w:ind w:right="51"/>
        <w:jc w:val="both"/>
        <w:rPr>
          <w:rFonts w:ascii="Arial" w:eastAsia="Times New Roman" w:hAnsi="Arial" w:cs="Arial"/>
          <w:b/>
          <w:bCs/>
          <w:i/>
          <w:iCs/>
          <w:lang w:val="es-ES" w:eastAsia="es-ES"/>
        </w:rPr>
      </w:pPr>
    </w:p>
    <w:p w14:paraId="21A0BBC7" w14:textId="77777777" w:rsidR="003F56A8" w:rsidRPr="003F56A8" w:rsidRDefault="003F56A8" w:rsidP="003F56A8">
      <w:pPr>
        <w:shd w:val="clear" w:color="auto" w:fill="FFFFFF"/>
        <w:spacing w:after="0" w:line="240" w:lineRule="auto"/>
        <w:ind w:right="51"/>
        <w:jc w:val="both"/>
        <w:rPr>
          <w:rFonts w:ascii="Arial" w:eastAsia="Times New Roman" w:hAnsi="Arial" w:cs="Arial"/>
          <w:b/>
          <w:bCs/>
          <w:i/>
          <w:iCs/>
          <w:lang w:val="es-ES" w:eastAsia="es-ES"/>
        </w:rPr>
      </w:pPr>
      <w:r w:rsidRPr="003F56A8">
        <w:rPr>
          <w:rFonts w:ascii="Arial" w:eastAsia="Times New Roman" w:hAnsi="Arial" w:cs="Arial"/>
          <w:b/>
          <w:bCs/>
          <w:i/>
          <w:iCs/>
          <w:lang w:val="es-ES" w:eastAsia="es-ES"/>
        </w:rPr>
        <w:t xml:space="preserve">b) Asegurar que en la práctica la prisión preventiva no se aplique o prolongue en exceso. </w:t>
      </w:r>
    </w:p>
    <w:p w14:paraId="2E5090DF" w14:textId="77777777" w:rsidR="003F56A8" w:rsidRPr="003F56A8" w:rsidRDefault="003F56A8" w:rsidP="003F56A8">
      <w:pPr>
        <w:shd w:val="clear" w:color="auto" w:fill="FFFFFF"/>
        <w:spacing w:after="0" w:line="240" w:lineRule="auto"/>
        <w:ind w:right="51"/>
        <w:jc w:val="both"/>
        <w:rPr>
          <w:rFonts w:ascii="Arial" w:eastAsia="Times New Roman" w:hAnsi="Arial" w:cs="Arial"/>
          <w:b/>
          <w:bCs/>
          <w:i/>
          <w:iCs/>
          <w:lang w:val="es-ES" w:eastAsia="es-ES"/>
        </w:rPr>
      </w:pPr>
    </w:p>
    <w:p w14:paraId="31CB4438" w14:textId="63D2763E" w:rsidR="003F56A8" w:rsidRPr="003F56A8" w:rsidRDefault="003F56A8" w:rsidP="003F56A8">
      <w:pPr>
        <w:shd w:val="clear" w:color="auto" w:fill="FFFFFF"/>
        <w:spacing w:after="0" w:line="240" w:lineRule="auto"/>
        <w:ind w:right="51"/>
        <w:jc w:val="both"/>
        <w:rPr>
          <w:rFonts w:ascii="Arial" w:eastAsia="Times New Roman" w:hAnsi="Arial" w:cs="Arial"/>
          <w:b/>
          <w:bCs/>
          <w:i/>
          <w:iCs/>
          <w:lang w:val="es-ES" w:eastAsia="es-ES"/>
        </w:rPr>
      </w:pPr>
      <w:r w:rsidRPr="003F56A8">
        <w:rPr>
          <w:rFonts w:ascii="Arial" w:eastAsia="Times New Roman" w:hAnsi="Arial" w:cs="Arial"/>
          <w:b/>
          <w:bCs/>
          <w:i/>
          <w:iCs/>
          <w:lang w:val="es-ES" w:eastAsia="es-ES"/>
        </w:rPr>
        <w:lastRenderedPageBreak/>
        <w:t>c) Enmendar o derogar de los preceptos constitucionales que disponen la prisión preventiva obligatoria para ciertos delitos.</w:t>
      </w:r>
    </w:p>
    <w:p w14:paraId="52E68C53" w14:textId="1E049B6C" w:rsidR="003F56A8" w:rsidRDefault="00B11E95" w:rsidP="003F56A8">
      <w:pPr>
        <w:shd w:val="clear" w:color="auto" w:fill="FFFFFF"/>
        <w:spacing w:after="0" w:line="240" w:lineRule="auto"/>
        <w:ind w:right="51"/>
        <w:jc w:val="both"/>
        <w:rPr>
          <w:rFonts w:ascii="Arial" w:eastAsia="Times New Roman" w:hAnsi="Arial" w:cs="Arial"/>
          <w:lang w:val="es-ES" w:eastAsia="es-ES"/>
        </w:rPr>
      </w:pPr>
      <w:r w:rsidRPr="00B11E95">
        <w:rPr>
          <w:rFonts w:ascii="Arial" w:eastAsia="Times New Roman" w:hAnsi="Arial" w:cs="Arial"/>
          <w:lang w:val="es-ES" w:eastAsia="es-ES"/>
        </w:rPr>
        <w:t xml:space="preserve"> </w:t>
      </w:r>
    </w:p>
    <w:p w14:paraId="3F8126B7" w14:textId="7C2FD57B" w:rsidR="00B91D63" w:rsidRPr="00B91D63" w:rsidRDefault="00B91D63" w:rsidP="003F56A8">
      <w:pPr>
        <w:shd w:val="clear" w:color="auto" w:fill="FFFFFF"/>
        <w:spacing w:after="0" w:line="240" w:lineRule="auto"/>
        <w:ind w:right="51"/>
        <w:jc w:val="both"/>
        <w:rPr>
          <w:rFonts w:ascii="Arial" w:eastAsia="Times New Roman" w:hAnsi="Arial" w:cs="Arial"/>
          <w:b/>
          <w:bCs/>
          <w:lang w:val="es-ES" w:eastAsia="es-ES"/>
        </w:rPr>
      </w:pPr>
      <w:r w:rsidRPr="00B91D63">
        <w:rPr>
          <w:rFonts w:ascii="Arial" w:eastAsia="Times New Roman" w:hAnsi="Arial" w:cs="Arial"/>
          <w:b/>
          <w:bCs/>
          <w:lang w:val="es-ES" w:eastAsia="es-ES"/>
        </w:rPr>
        <w:t>Acciones de la Comisión Nacional de los Derechos Humanos</w:t>
      </w:r>
    </w:p>
    <w:p w14:paraId="046DAA20" w14:textId="77777777" w:rsidR="00B91D63" w:rsidRDefault="00B91D63" w:rsidP="003F56A8">
      <w:pPr>
        <w:shd w:val="clear" w:color="auto" w:fill="FFFFFF"/>
        <w:spacing w:after="0" w:line="240" w:lineRule="auto"/>
        <w:ind w:right="51"/>
        <w:jc w:val="both"/>
        <w:rPr>
          <w:rFonts w:ascii="Arial" w:eastAsia="Times New Roman" w:hAnsi="Arial" w:cs="Arial"/>
          <w:lang w:val="es-ES" w:eastAsia="es-ES"/>
        </w:rPr>
      </w:pPr>
    </w:p>
    <w:p w14:paraId="5E44A13D" w14:textId="1D6ED229" w:rsidR="00B11E95" w:rsidRPr="00B11E95" w:rsidRDefault="00B11E95" w:rsidP="003F56A8">
      <w:pPr>
        <w:shd w:val="clear" w:color="auto" w:fill="FFFFFF"/>
        <w:spacing w:after="0" w:line="240" w:lineRule="auto"/>
        <w:ind w:right="51"/>
        <w:jc w:val="both"/>
        <w:rPr>
          <w:rFonts w:ascii="Arial" w:eastAsia="Times New Roman" w:hAnsi="Arial" w:cs="Arial"/>
          <w:lang w:val="es-ES" w:eastAsia="es-ES"/>
        </w:rPr>
      </w:pPr>
      <w:r w:rsidRPr="00B11E95">
        <w:rPr>
          <w:rFonts w:ascii="Arial" w:eastAsia="Times New Roman" w:hAnsi="Arial" w:cs="Arial"/>
          <w:lang w:val="es-ES" w:eastAsia="es-ES"/>
        </w:rPr>
        <w:t>En el</w:t>
      </w:r>
      <w:r w:rsidRPr="00B11E95">
        <w:rPr>
          <w:rFonts w:ascii="Arial" w:eastAsia="Times New Roman" w:hAnsi="Arial" w:cs="Arial"/>
          <w:color w:val="1F3864" w:themeColor="accent1" w:themeShade="80"/>
          <w:lang w:val="es-ES" w:eastAsia="es-ES"/>
        </w:rPr>
        <w:t xml:space="preserve"> </w:t>
      </w:r>
      <w:r w:rsidRPr="00B11E95">
        <w:rPr>
          <w:rFonts w:ascii="Arial" w:eastAsia="Times New Roman" w:hAnsi="Arial" w:cs="Arial"/>
          <w:b/>
          <w:bCs/>
          <w:color w:val="1F3864" w:themeColor="accent1" w:themeShade="80"/>
          <w:lang w:val="es-ES" w:eastAsia="es-ES"/>
        </w:rPr>
        <w:t xml:space="preserve">DNSP </w:t>
      </w:r>
      <w:r w:rsidRPr="00B11E95">
        <w:rPr>
          <w:rFonts w:ascii="Arial" w:eastAsia="Times New Roman" w:hAnsi="Arial" w:cs="Arial"/>
          <w:color w:val="1F3864" w:themeColor="accent1" w:themeShade="80"/>
          <w:lang w:val="es-ES" w:eastAsia="es-ES"/>
        </w:rPr>
        <w:t>del año 2020</w:t>
      </w:r>
      <w:r w:rsidRPr="00B11E95">
        <w:rPr>
          <w:rFonts w:ascii="Arial" w:eastAsia="Times New Roman" w:hAnsi="Arial" w:cs="Arial"/>
          <w:lang w:val="es-ES" w:eastAsia="es-ES"/>
        </w:rPr>
        <w:t xml:space="preserve">, en transversalidad con el contexto de la emergencia sanitaria que prevalece en nuestro país, la sobrepoblación en las cárceles y la emisión de Ley de Amnistía, en dicho Diagnóstico se realizó un pronunciamiento relativo </w:t>
      </w:r>
      <w:r w:rsidRPr="00B11E95">
        <w:rPr>
          <w:rFonts w:ascii="Arial" w:eastAsia="Times New Roman" w:hAnsi="Arial" w:cs="Arial"/>
          <w:i/>
          <w:iCs/>
          <w:lang w:val="es-ES" w:eastAsia="es-ES"/>
        </w:rPr>
        <w:t xml:space="preserve">a la </w:t>
      </w:r>
      <w:r w:rsidRPr="00B11E95">
        <w:rPr>
          <w:rFonts w:ascii="Arial" w:eastAsia="Times New Roman" w:hAnsi="Arial" w:cs="Arial"/>
          <w:i/>
          <w:iCs/>
          <w:color w:val="1F3864" w:themeColor="accent1" w:themeShade="80"/>
          <w:lang w:val="es-ES" w:eastAsia="es-ES"/>
        </w:rPr>
        <w:t>despresurización penitenciaria</w:t>
      </w:r>
      <w:r w:rsidRPr="00B11E95">
        <w:rPr>
          <w:rFonts w:ascii="Arial" w:eastAsia="Times New Roman" w:hAnsi="Arial" w:cs="Arial"/>
          <w:lang w:val="es-ES" w:eastAsia="es-ES"/>
        </w:rPr>
        <w:t xml:space="preserve">, en el que también se hizo referencia sobre la pertinencia de invocar medidas alternativas a la prisión preventiva. </w:t>
      </w:r>
    </w:p>
    <w:p w14:paraId="09EA9C45" w14:textId="77777777" w:rsidR="00B11E95" w:rsidRPr="00B11E95" w:rsidRDefault="00B11E95" w:rsidP="00B11E95">
      <w:pPr>
        <w:shd w:val="clear" w:color="auto" w:fill="FFFFFF"/>
        <w:spacing w:after="0" w:line="240" w:lineRule="auto"/>
        <w:ind w:right="51"/>
        <w:contextualSpacing/>
        <w:jc w:val="both"/>
        <w:rPr>
          <w:rFonts w:ascii="Arial" w:eastAsia="Times New Roman" w:hAnsi="Arial" w:cs="Arial"/>
          <w:lang w:val="es-ES" w:eastAsia="es-ES"/>
        </w:rPr>
      </w:pPr>
    </w:p>
    <w:p w14:paraId="0879C741" w14:textId="77777777" w:rsidR="00B11E95" w:rsidRPr="00B11E95" w:rsidRDefault="00B11E95" w:rsidP="00B11E95">
      <w:pPr>
        <w:shd w:val="clear" w:color="auto" w:fill="FFFFFF"/>
        <w:spacing w:after="0" w:line="240" w:lineRule="auto"/>
        <w:ind w:right="51"/>
        <w:contextualSpacing/>
        <w:jc w:val="both"/>
        <w:rPr>
          <w:rFonts w:ascii="Arial" w:eastAsia="Times New Roman" w:hAnsi="Arial" w:cs="Arial"/>
          <w:lang w:val="es-ES" w:eastAsia="es-ES"/>
        </w:rPr>
      </w:pPr>
      <w:r w:rsidRPr="00B11E95">
        <w:rPr>
          <w:rFonts w:ascii="Arial" w:eastAsia="Times New Roman" w:hAnsi="Arial" w:cs="Arial"/>
          <w:lang w:val="es-ES" w:eastAsia="es-ES"/>
        </w:rPr>
        <w:t xml:space="preserve">[…]  </w:t>
      </w:r>
      <w:r w:rsidRPr="00B11E95">
        <w:rPr>
          <w:rFonts w:ascii="Arial" w:eastAsia="Times New Roman" w:hAnsi="Arial" w:cs="Arial"/>
          <w:i/>
          <w:iCs/>
          <w:lang w:val="es-ES" w:eastAsia="es-ES"/>
        </w:rPr>
        <w:t xml:space="preserve">El Estado mexicano debe considerar a la prisión preventiva como una medida cautelar excepcional y reconocer a las personas a las que se les aplica la presunción de inocencia, atendiendo los preceptos establecidos en la Constitución, en las “Reglas Nelson Mandela”, las “Reglas de Bangkok” así como en los estándares emanados del sistema universal e interamericano de Derechos Humanos. </w:t>
      </w:r>
    </w:p>
    <w:p w14:paraId="42DDC754" w14:textId="77777777" w:rsidR="00B11E95" w:rsidRPr="00B11E95" w:rsidRDefault="00B11E95" w:rsidP="00B11E95">
      <w:pPr>
        <w:shd w:val="clear" w:color="auto" w:fill="FFFFFF"/>
        <w:spacing w:after="0" w:line="240" w:lineRule="auto"/>
        <w:ind w:right="51"/>
        <w:contextualSpacing/>
        <w:jc w:val="both"/>
        <w:rPr>
          <w:rFonts w:ascii="Arial" w:eastAsia="Times New Roman" w:hAnsi="Arial" w:cs="Arial"/>
          <w:i/>
          <w:iCs/>
          <w:lang w:val="es-ES" w:eastAsia="es-ES"/>
        </w:rPr>
      </w:pPr>
    </w:p>
    <w:p w14:paraId="5134BCA1" w14:textId="77777777" w:rsidR="00B11E95" w:rsidRPr="00B11E95" w:rsidRDefault="00B11E95" w:rsidP="00B11E95">
      <w:pPr>
        <w:shd w:val="clear" w:color="auto" w:fill="FFFFFF"/>
        <w:spacing w:after="0" w:line="240" w:lineRule="auto"/>
        <w:ind w:right="51"/>
        <w:contextualSpacing/>
        <w:jc w:val="both"/>
        <w:rPr>
          <w:rFonts w:ascii="Arial" w:eastAsia="Times New Roman" w:hAnsi="Arial" w:cs="Arial"/>
          <w:i/>
          <w:iCs/>
          <w:lang w:val="es-ES" w:eastAsia="es-ES"/>
        </w:rPr>
      </w:pPr>
      <w:r w:rsidRPr="00B11E95">
        <w:rPr>
          <w:rFonts w:ascii="Arial" w:eastAsia="Times New Roman" w:hAnsi="Arial" w:cs="Arial"/>
          <w:i/>
          <w:iCs/>
          <w:lang w:val="es-ES" w:eastAsia="es-ES"/>
        </w:rPr>
        <w:t xml:space="preserve">Por ello, es necesario que se tome en consideración la necesidad de resolver los procesos penales dentro del plazo constitucional, ya que la dilación de la prisión preventiva genera diversas afectaciones: la principal sobre la persona privada de la libertad que, bajo presunción de inocencia sigue en reclusión penitenciaria, particularmente sobre las víctimas que en el proceso se ven afectadas ya que no pueden ser reparados aun sus daños sin que medie una sentencia y para los establecimientos penitenciarios que cada vez tienen menos espacios disponibles </w:t>
      </w:r>
      <w:r w:rsidRPr="00B11E95">
        <w:rPr>
          <w:rFonts w:ascii="Arial" w:eastAsia="Times New Roman" w:hAnsi="Arial" w:cs="Arial"/>
          <w:lang w:val="es-ES" w:eastAsia="es-ES"/>
        </w:rPr>
        <w:t>[…].</w:t>
      </w:r>
    </w:p>
    <w:p w14:paraId="6F354188" w14:textId="77777777" w:rsidR="00B11E95" w:rsidRPr="00B11E95" w:rsidRDefault="00B11E95" w:rsidP="00B11E95">
      <w:pPr>
        <w:shd w:val="clear" w:color="auto" w:fill="FFFFFF"/>
        <w:spacing w:after="0" w:line="240" w:lineRule="auto"/>
        <w:ind w:right="51"/>
        <w:contextualSpacing/>
        <w:jc w:val="both"/>
        <w:rPr>
          <w:rFonts w:ascii="Arial" w:eastAsia="Times New Roman" w:hAnsi="Arial" w:cs="Arial"/>
          <w:lang w:val="es-ES" w:eastAsia="es-ES"/>
        </w:rPr>
      </w:pPr>
    </w:p>
    <w:p w14:paraId="691FDE76" w14:textId="77777777" w:rsidR="00B11E95" w:rsidRPr="00B11E95" w:rsidRDefault="00B11E95" w:rsidP="00B11E95">
      <w:pPr>
        <w:shd w:val="clear" w:color="auto" w:fill="FFFFFF"/>
        <w:spacing w:after="0" w:line="240" w:lineRule="auto"/>
        <w:ind w:right="51"/>
        <w:contextualSpacing/>
        <w:jc w:val="both"/>
        <w:rPr>
          <w:rFonts w:ascii="Arial" w:eastAsia="Times New Roman" w:hAnsi="Arial" w:cs="Arial"/>
          <w:lang w:val="es-ES" w:eastAsia="es-ES"/>
        </w:rPr>
      </w:pPr>
      <w:r w:rsidRPr="00B11E95">
        <w:rPr>
          <w:rFonts w:ascii="Arial" w:eastAsia="Times New Roman" w:hAnsi="Arial" w:cs="Arial"/>
          <w:lang w:val="es-ES" w:eastAsia="es-ES"/>
        </w:rPr>
        <w:t xml:space="preserve">Disponible: </w:t>
      </w:r>
    </w:p>
    <w:p w14:paraId="06A64FFA" w14:textId="77777777" w:rsidR="00B11E95" w:rsidRPr="00B11E95" w:rsidRDefault="009859F9" w:rsidP="00B11E95">
      <w:pPr>
        <w:shd w:val="clear" w:color="auto" w:fill="FFFFFF"/>
        <w:spacing w:after="0" w:line="240" w:lineRule="auto"/>
        <w:ind w:right="51"/>
        <w:contextualSpacing/>
        <w:jc w:val="both"/>
        <w:rPr>
          <w:rFonts w:ascii="Arial" w:eastAsia="Times New Roman" w:hAnsi="Arial" w:cs="Arial"/>
          <w:lang w:val="es-ES" w:eastAsia="es-ES"/>
        </w:rPr>
      </w:pPr>
      <w:hyperlink r:id="rId17" w:history="1">
        <w:r w:rsidR="00B11E95" w:rsidRPr="00B11E95">
          <w:rPr>
            <w:rFonts w:ascii="Arial" w:eastAsia="Times New Roman" w:hAnsi="Arial" w:cs="Arial"/>
            <w:color w:val="0563C1" w:themeColor="hyperlink"/>
            <w:u w:val="single"/>
            <w:lang w:val="es-ES" w:eastAsia="es-ES"/>
          </w:rPr>
          <w:t>https://www.cndh.org.mx/sites/default/files/documentos/2021-05/DNSP_2020.pdf</w:t>
        </w:r>
      </w:hyperlink>
      <w:r w:rsidR="00B11E95" w:rsidRPr="00B11E95">
        <w:rPr>
          <w:rFonts w:ascii="Arial" w:eastAsia="Times New Roman" w:hAnsi="Arial" w:cs="Arial"/>
          <w:lang w:val="es-ES" w:eastAsia="es-ES"/>
        </w:rPr>
        <w:t xml:space="preserve">    </w:t>
      </w:r>
    </w:p>
    <w:p w14:paraId="3556EE02" w14:textId="77777777" w:rsidR="00B11E95" w:rsidRPr="00B11E95" w:rsidRDefault="00B11E95" w:rsidP="00B11E95">
      <w:pPr>
        <w:shd w:val="clear" w:color="auto" w:fill="FFFFFF"/>
        <w:spacing w:after="0" w:line="240" w:lineRule="auto"/>
        <w:ind w:right="51"/>
        <w:contextualSpacing/>
        <w:jc w:val="both"/>
        <w:rPr>
          <w:rFonts w:ascii="Arial" w:eastAsia="Times New Roman" w:hAnsi="Arial" w:cs="Arial"/>
          <w:lang w:val="es-ES" w:eastAsia="es-ES"/>
        </w:rPr>
      </w:pPr>
    </w:p>
    <w:p w14:paraId="62F58171" w14:textId="77777777" w:rsidR="00B11E95" w:rsidRPr="00B11E95" w:rsidRDefault="00B11E95" w:rsidP="00B11E95">
      <w:pPr>
        <w:spacing w:after="0" w:line="240" w:lineRule="auto"/>
        <w:jc w:val="both"/>
        <w:rPr>
          <w:rFonts w:ascii="Arial Narrow" w:eastAsia="Times New Roman" w:hAnsi="Arial Narrow" w:cs="Times New Roman"/>
          <w:b/>
          <w:bCs/>
          <w:color w:val="1F3864" w:themeColor="accent1" w:themeShade="80"/>
          <w:sz w:val="24"/>
          <w:szCs w:val="28"/>
          <w:lang w:val="es-ES" w:eastAsia="es-ES"/>
        </w:rPr>
      </w:pPr>
      <w:bookmarkStart w:id="14" w:name="_Hlk92787638"/>
    </w:p>
    <w:p w14:paraId="7F73A729" w14:textId="77777777" w:rsidR="00B11E95" w:rsidRPr="00B11E95" w:rsidRDefault="00B11E95" w:rsidP="003F56A8">
      <w:pPr>
        <w:spacing w:after="0" w:line="240" w:lineRule="auto"/>
        <w:contextualSpacing/>
        <w:jc w:val="both"/>
        <w:rPr>
          <w:rFonts w:ascii="Arial" w:hAnsi="Arial" w:cs="Arial"/>
        </w:rPr>
      </w:pPr>
      <w:r w:rsidRPr="00B11E95">
        <w:rPr>
          <w:rFonts w:ascii="Arial" w:hAnsi="Arial" w:cs="Arial"/>
          <w:b/>
          <w:bCs/>
          <w:color w:val="1F3864" w:themeColor="accent1" w:themeShade="80"/>
        </w:rPr>
        <w:t>Acceso de las personas privadas de la libertad al sistema de salud pública.</w:t>
      </w:r>
      <w:r w:rsidRPr="00B11E95">
        <w:rPr>
          <w:rFonts w:ascii="Arial" w:hAnsi="Arial" w:cs="Arial"/>
          <w:color w:val="1F3864" w:themeColor="accent1" w:themeShade="80"/>
        </w:rPr>
        <w:t xml:space="preserve"> </w:t>
      </w:r>
      <w:r w:rsidRPr="00B11E95">
        <w:rPr>
          <w:rFonts w:ascii="Arial" w:hAnsi="Arial" w:cs="Arial"/>
        </w:rPr>
        <w:t xml:space="preserve">Del periodo que comprende del 1 de enero de 2019 al 31 de diciembre de 2021, se </w:t>
      </w:r>
      <w:r w:rsidRPr="00B11E95">
        <w:rPr>
          <w:rFonts w:ascii="Arial" w:hAnsi="Arial" w:cs="Arial"/>
        </w:rPr>
        <w:lastRenderedPageBreak/>
        <w:t>registraron 1,677 expedientes, donde se identificaron hechos violatorios relacionados al derecho a la protección de la salud, tales como:</w:t>
      </w:r>
    </w:p>
    <w:p w14:paraId="12E0CB4E" w14:textId="77777777" w:rsidR="00B11E95" w:rsidRPr="00B11E95" w:rsidRDefault="00B11E95" w:rsidP="00B11E95">
      <w:pPr>
        <w:spacing w:after="0" w:line="240" w:lineRule="auto"/>
        <w:contextualSpacing/>
        <w:jc w:val="both"/>
        <w:rPr>
          <w:rFonts w:ascii="Arial" w:hAnsi="Arial" w:cs="Arial"/>
        </w:rPr>
      </w:pPr>
    </w:p>
    <w:p w14:paraId="54E4291B" w14:textId="77777777" w:rsidR="00B11E95" w:rsidRPr="00B11E95" w:rsidRDefault="00B11E95" w:rsidP="00B11E95">
      <w:pPr>
        <w:spacing w:after="0" w:line="240" w:lineRule="auto"/>
        <w:jc w:val="both"/>
        <w:rPr>
          <w:rFonts w:ascii="Arial" w:hAnsi="Arial" w:cs="Arial"/>
          <w:color w:val="1F3864" w:themeColor="accent1" w:themeShade="80"/>
        </w:rPr>
      </w:pPr>
    </w:p>
    <w:tbl>
      <w:tblPr>
        <w:tblW w:w="8838" w:type="dxa"/>
        <w:tblCellMar>
          <w:left w:w="70" w:type="dxa"/>
          <w:right w:w="70" w:type="dxa"/>
        </w:tblCellMar>
        <w:tblLook w:val="04A0" w:firstRow="1" w:lastRow="0" w:firstColumn="1" w:lastColumn="0" w:noHBand="0" w:noVBand="1"/>
      </w:tblPr>
      <w:tblGrid>
        <w:gridCol w:w="1560"/>
        <w:gridCol w:w="7278"/>
      </w:tblGrid>
      <w:tr w:rsidR="00B11E95" w:rsidRPr="00B11E95" w14:paraId="404EBAB2" w14:textId="77777777" w:rsidTr="00096F4B">
        <w:trPr>
          <w:trHeight w:val="255"/>
        </w:trPr>
        <w:tc>
          <w:tcPr>
            <w:tcW w:w="1560" w:type="dxa"/>
            <w:tcBorders>
              <w:top w:val="nil"/>
              <w:left w:val="nil"/>
              <w:bottom w:val="single" w:sz="4" w:space="0" w:color="auto"/>
              <w:right w:val="nil"/>
            </w:tcBorders>
            <w:shd w:val="clear" w:color="auto" w:fill="auto"/>
            <w:noWrap/>
            <w:vAlign w:val="center"/>
          </w:tcPr>
          <w:p w14:paraId="5009CC5F" w14:textId="77777777" w:rsidR="00B11E95" w:rsidRPr="00B11E95" w:rsidRDefault="00B11E95" w:rsidP="00B11E95">
            <w:pPr>
              <w:spacing w:after="0" w:line="240" w:lineRule="auto"/>
              <w:jc w:val="center"/>
              <w:rPr>
                <w:rFonts w:ascii="Arial" w:eastAsia="Times New Roman" w:hAnsi="Arial" w:cs="Arial"/>
                <w:b/>
                <w:bCs/>
                <w:color w:val="1F3864" w:themeColor="accent1" w:themeShade="80"/>
                <w:lang w:eastAsia="es-MX"/>
              </w:rPr>
            </w:pPr>
            <w:r w:rsidRPr="00B11E95">
              <w:rPr>
                <w:rFonts w:ascii="Arial" w:eastAsia="Times New Roman" w:hAnsi="Arial" w:cs="Arial"/>
                <w:b/>
                <w:bCs/>
                <w:color w:val="1F3864" w:themeColor="accent1" w:themeShade="80"/>
                <w:lang w:eastAsia="es-MX"/>
              </w:rPr>
              <w:t>Acumulado</w:t>
            </w:r>
          </w:p>
        </w:tc>
        <w:tc>
          <w:tcPr>
            <w:tcW w:w="7278" w:type="dxa"/>
            <w:tcBorders>
              <w:top w:val="nil"/>
              <w:left w:val="nil"/>
              <w:bottom w:val="single" w:sz="4" w:space="0" w:color="auto"/>
              <w:right w:val="nil"/>
            </w:tcBorders>
            <w:shd w:val="clear" w:color="auto" w:fill="auto"/>
            <w:noWrap/>
            <w:vAlign w:val="center"/>
          </w:tcPr>
          <w:p w14:paraId="22F23101" w14:textId="77777777" w:rsidR="00B11E95" w:rsidRPr="00B11E95" w:rsidRDefault="00B11E95" w:rsidP="00B11E95">
            <w:pPr>
              <w:spacing w:after="0" w:line="240" w:lineRule="auto"/>
              <w:rPr>
                <w:rFonts w:ascii="Arial" w:eastAsia="Times New Roman" w:hAnsi="Arial" w:cs="Arial"/>
                <w:b/>
                <w:bCs/>
                <w:color w:val="1F3864" w:themeColor="accent1" w:themeShade="80"/>
                <w:lang w:eastAsia="es-MX"/>
              </w:rPr>
            </w:pPr>
            <w:r w:rsidRPr="00B11E95">
              <w:rPr>
                <w:rFonts w:ascii="Arial" w:eastAsia="Times New Roman" w:hAnsi="Arial" w:cs="Arial"/>
                <w:b/>
                <w:bCs/>
                <w:color w:val="1F3864" w:themeColor="accent1" w:themeShade="80"/>
                <w:lang w:eastAsia="es-MX"/>
              </w:rPr>
              <w:t>Hecho Violatorio</w:t>
            </w:r>
          </w:p>
        </w:tc>
      </w:tr>
      <w:tr w:rsidR="00B11E95" w:rsidRPr="00B11E95" w14:paraId="0B427B89" w14:textId="77777777" w:rsidTr="00096F4B">
        <w:trPr>
          <w:trHeight w:val="255"/>
        </w:trPr>
        <w:tc>
          <w:tcPr>
            <w:tcW w:w="1560" w:type="dxa"/>
            <w:tcBorders>
              <w:top w:val="single" w:sz="4" w:space="0" w:color="auto"/>
              <w:left w:val="nil"/>
              <w:bottom w:val="nil"/>
              <w:right w:val="nil"/>
            </w:tcBorders>
            <w:shd w:val="clear" w:color="auto" w:fill="auto"/>
            <w:noWrap/>
            <w:vAlign w:val="center"/>
            <w:hideMark/>
          </w:tcPr>
          <w:p w14:paraId="275D1582" w14:textId="77777777" w:rsidR="00B11E95" w:rsidRPr="00B11E95" w:rsidRDefault="00B11E95" w:rsidP="00B11E95">
            <w:pPr>
              <w:spacing w:after="0" w:line="240" w:lineRule="auto"/>
              <w:jc w:val="center"/>
              <w:rPr>
                <w:rFonts w:ascii="Arial" w:eastAsia="Times New Roman" w:hAnsi="Arial" w:cs="Arial"/>
                <w:color w:val="000000"/>
                <w:lang w:eastAsia="es-MX"/>
              </w:rPr>
            </w:pPr>
            <w:r w:rsidRPr="00B11E95">
              <w:rPr>
                <w:rFonts w:ascii="Arial" w:eastAsia="Times New Roman" w:hAnsi="Arial" w:cs="Arial"/>
                <w:color w:val="000000"/>
                <w:lang w:eastAsia="es-MX"/>
              </w:rPr>
              <w:t>1571</w:t>
            </w:r>
          </w:p>
        </w:tc>
        <w:tc>
          <w:tcPr>
            <w:tcW w:w="7278" w:type="dxa"/>
            <w:tcBorders>
              <w:top w:val="single" w:sz="4" w:space="0" w:color="auto"/>
              <w:left w:val="nil"/>
              <w:bottom w:val="nil"/>
              <w:right w:val="nil"/>
            </w:tcBorders>
            <w:shd w:val="clear" w:color="auto" w:fill="auto"/>
            <w:noWrap/>
            <w:vAlign w:val="center"/>
            <w:hideMark/>
          </w:tcPr>
          <w:p w14:paraId="390EE3B5" w14:textId="77777777" w:rsidR="00B11E95" w:rsidRPr="00B11E95" w:rsidRDefault="00B11E95" w:rsidP="00B11E95">
            <w:pPr>
              <w:spacing w:after="0" w:line="240" w:lineRule="auto"/>
              <w:rPr>
                <w:rFonts w:ascii="Arial" w:eastAsia="Times New Roman" w:hAnsi="Arial" w:cs="Arial"/>
                <w:color w:val="000000"/>
                <w:lang w:eastAsia="es-MX"/>
              </w:rPr>
            </w:pPr>
            <w:r w:rsidRPr="00B11E95">
              <w:rPr>
                <w:rFonts w:ascii="Arial" w:eastAsia="Times New Roman" w:hAnsi="Arial" w:cs="Arial"/>
                <w:color w:val="000000"/>
                <w:lang w:eastAsia="es-MX"/>
              </w:rPr>
              <w:t>OMITIR PROPORCIONAR ATENCIÓN MÉDICA</w:t>
            </w:r>
          </w:p>
        </w:tc>
      </w:tr>
      <w:tr w:rsidR="00B11E95" w:rsidRPr="00B11E95" w14:paraId="453DEC2C" w14:textId="77777777" w:rsidTr="00096F4B">
        <w:trPr>
          <w:trHeight w:val="255"/>
        </w:trPr>
        <w:tc>
          <w:tcPr>
            <w:tcW w:w="1560" w:type="dxa"/>
            <w:tcBorders>
              <w:top w:val="nil"/>
              <w:left w:val="nil"/>
              <w:bottom w:val="nil"/>
              <w:right w:val="nil"/>
            </w:tcBorders>
            <w:shd w:val="clear" w:color="auto" w:fill="auto"/>
            <w:noWrap/>
            <w:vAlign w:val="center"/>
            <w:hideMark/>
          </w:tcPr>
          <w:p w14:paraId="1089F603" w14:textId="77777777" w:rsidR="00B11E95" w:rsidRPr="00B11E95" w:rsidRDefault="00B11E95" w:rsidP="00B11E95">
            <w:pPr>
              <w:spacing w:after="0" w:line="240" w:lineRule="auto"/>
              <w:jc w:val="center"/>
              <w:rPr>
                <w:rFonts w:ascii="Arial" w:eastAsia="Times New Roman" w:hAnsi="Arial" w:cs="Arial"/>
                <w:color w:val="000000"/>
                <w:lang w:eastAsia="es-MX"/>
              </w:rPr>
            </w:pPr>
            <w:r w:rsidRPr="00B11E95">
              <w:rPr>
                <w:rFonts w:ascii="Arial" w:eastAsia="Times New Roman" w:hAnsi="Arial" w:cs="Arial"/>
                <w:color w:val="000000"/>
                <w:lang w:eastAsia="es-MX"/>
              </w:rPr>
              <w:t>183</w:t>
            </w:r>
          </w:p>
        </w:tc>
        <w:tc>
          <w:tcPr>
            <w:tcW w:w="7278" w:type="dxa"/>
            <w:tcBorders>
              <w:top w:val="nil"/>
              <w:left w:val="nil"/>
              <w:bottom w:val="nil"/>
              <w:right w:val="nil"/>
            </w:tcBorders>
            <w:shd w:val="clear" w:color="auto" w:fill="auto"/>
            <w:noWrap/>
            <w:vAlign w:val="center"/>
            <w:hideMark/>
          </w:tcPr>
          <w:p w14:paraId="17AF9042" w14:textId="77777777" w:rsidR="00B11E95" w:rsidRPr="00B11E95" w:rsidRDefault="00B11E95" w:rsidP="00B11E95">
            <w:pPr>
              <w:spacing w:after="0" w:line="240" w:lineRule="auto"/>
              <w:rPr>
                <w:rFonts w:ascii="Arial" w:eastAsia="Times New Roman" w:hAnsi="Arial" w:cs="Arial"/>
                <w:color w:val="000000"/>
                <w:lang w:eastAsia="es-MX"/>
              </w:rPr>
            </w:pPr>
            <w:r w:rsidRPr="00B11E95">
              <w:rPr>
                <w:rFonts w:ascii="Arial" w:eastAsia="Times New Roman" w:hAnsi="Arial" w:cs="Arial"/>
                <w:color w:val="000000"/>
                <w:lang w:eastAsia="es-MX"/>
              </w:rPr>
              <w:t>OMITIR SUMINISTRAR MEDICAMENTOS</w:t>
            </w:r>
          </w:p>
        </w:tc>
      </w:tr>
      <w:tr w:rsidR="00B11E95" w:rsidRPr="00B11E95" w14:paraId="11991DA5" w14:textId="77777777" w:rsidTr="00096F4B">
        <w:trPr>
          <w:trHeight w:val="255"/>
        </w:trPr>
        <w:tc>
          <w:tcPr>
            <w:tcW w:w="1560" w:type="dxa"/>
            <w:tcBorders>
              <w:top w:val="nil"/>
              <w:left w:val="nil"/>
              <w:bottom w:val="nil"/>
              <w:right w:val="nil"/>
            </w:tcBorders>
            <w:shd w:val="clear" w:color="auto" w:fill="auto"/>
            <w:noWrap/>
            <w:vAlign w:val="center"/>
            <w:hideMark/>
          </w:tcPr>
          <w:p w14:paraId="739A36AA" w14:textId="77777777" w:rsidR="00B11E95" w:rsidRPr="00B11E95" w:rsidRDefault="00B11E95" w:rsidP="00B11E95">
            <w:pPr>
              <w:spacing w:after="0" w:line="240" w:lineRule="auto"/>
              <w:jc w:val="center"/>
              <w:rPr>
                <w:rFonts w:ascii="Arial" w:eastAsia="Times New Roman" w:hAnsi="Arial" w:cs="Arial"/>
                <w:color w:val="000000"/>
                <w:lang w:eastAsia="es-MX"/>
              </w:rPr>
            </w:pPr>
            <w:r w:rsidRPr="00B11E95">
              <w:rPr>
                <w:rFonts w:ascii="Arial" w:eastAsia="Times New Roman" w:hAnsi="Arial" w:cs="Arial"/>
                <w:color w:val="000000"/>
                <w:lang w:eastAsia="es-MX"/>
              </w:rPr>
              <w:t>11</w:t>
            </w:r>
          </w:p>
        </w:tc>
        <w:tc>
          <w:tcPr>
            <w:tcW w:w="7278" w:type="dxa"/>
            <w:tcBorders>
              <w:top w:val="nil"/>
              <w:left w:val="nil"/>
              <w:bottom w:val="nil"/>
              <w:right w:val="nil"/>
            </w:tcBorders>
            <w:shd w:val="clear" w:color="auto" w:fill="auto"/>
            <w:noWrap/>
            <w:vAlign w:val="center"/>
            <w:hideMark/>
          </w:tcPr>
          <w:p w14:paraId="7E2FFA0F" w14:textId="77777777" w:rsidR="00B11E95" w:rsidRPr="00B11E95" w:rsidRDefault="00B11E95" w:rsidP="00B11E95">
            <w:pPr>
              <w:spacing w:after="0" w:line="240" w:lineRule="auto"/>
              <w:rPr>
                <w:rFonts w:ascii="Arial" w:eastAsia="Times New Roman" w:hAnsi="Arial" w:cs="Arial"/>
                <w:color w:val="000000"/>
                <w:lang w:eastAsia="es-MX"/>
              </w:rPr>
            </w:pPr>
            <w:r w:rsidRPr="00B11E95">
              <w:rPr>
                <w:rFonts w:ascii="Arial" w:eastAsia="Times New Roman" w:hAnsi="Arial" w:cs="Arial"/>
                <w:color w:val="000000"/>
                <w:lang w:eastAsia="es-MX"/>
              </w:rPr>
              <w:t>OMITIR DAR INFORMACIÓN SOBRE EL ESTADO DE SALUD</w:t>
            </w:r>
          </w:p>
        </w:tc>
      </w:tr>
      <w:tr w:rsidR="00B11E95" w:rsidRPr="00B11E95" w14:paraId="22929633" w14:textId="77777777" w:rsidTr="00096F4B">
        <w:trPr>
          <w:trHeight w:val="255"/>
        </w:trPr>
        <w:tc>
          <w:tcPr>
            <w:tcW w:w="1560" w:type="dxa"/>
            <w:tcBorders>
              <w:top w:val="nil"/>
              <w:left w:val="nil"/>
              <w:bottom w:val="nil"/>
              <w:right w:val="nil"/>
            </w:tcBorders>
            <w:shd w:val="clear" w:color="auto" w:fill="auto"/>
            <w:noWrap/>
            <w:vAlign w:val="center"/>
            <w:hideMark/>
          </w:tcPr>
          <w:p w14:paraId="3A12F0B9" w14:textId="77777777" w:rsidR="00B11E95" w:rsidRPr="00B11E95" w:rsidRDefault="00B11E95" w:rsidP="00B11E95">
            <w:pPr>
              <w:spacing w:after="0" w:line="240" w:lineRule="auto"/>
              <w:jc w:val="center"/>
              <w:rPr>
                <w:rFonts w:ascii="Arial" w:eastAsia="Times New Roman" w:hAnsi="Arial" w:cs="Arial"/>
                <w:color w:val="000000"/>
                <w:lang w:eastAsia="es-MX"/>
              </w:rPr>
            </w:pPr>
            <w:r w:rsidRPr="00B11E95">
              <w:rPr>
                <w:rFonts w:ascii="Arial" w:eastAsia="Times New Roman" w:hAnsi="Arial" w:cs="Arial"/>
                <w:color w:val="000000"/>
                <w:lang w:eastAsia="es-MX"/>
              </w:rPr>
              <w:t>9</w:t>
            </w:r>
          </w:p>
        </w:tc>
        <w:tc>
          <w:tcPr>
            <w:tcW w:w="7278" w:type="dxa"/>
            <w:tcBorders>
              <w:top w:val="nil"/>
              <w:left w:val="nil"/>
              <w:bottom w:val="nil"/>
              <w:right w:val="nil"/>
            </w:tcBorders>
            <w:shd w:val="clear" w:color="auto" w:fill="auto"/>
            <w:noWrap/>
            <w:vAlign w:val="center"/>
            <w:hideMark/>
          </w:tcPr>
          <w:p w14:paraId="03A9C260" w14:textId="77777777" w:rsidR="00B11E95" w:rsidRPr="00B11E95" w:rsidRDefault="00B11E95" w:rsidP="00B11E95">
            <w:pPr>
              <w:spacing w:after="0" w:line="240" w:lineRule="auto"/>
              <w:rPr>
                <w:rFonts w:ascii="Arial" w:eastAsia="Times New Roman" w:hAnsi="Arial" w:cs="Arial"/>
                <w:color w:val="000000"/>
                <w:lang w:eastAsia="es-MX"/>
              </w:rPr>
            </w:pPr>
            <w:r w:rsidRPr="00B11E95">
              <w:rPr>
                <w:rFonts w:ascii="Arial" w:eastAsia="Times New Roman" w:hAnsi="Arial" w:cs="Arial"/>
                <w:color w:val="000000"/>
                <w:lang w:eastAsia="es-MX"/>
              </w:rPr>
              <w:t>OMITIR IMPLEMENTAR LA INFRAESTRUCTURA NECESARIA PARA UNA ADECUADA PRESTACIÓN DE LOS SERVICIOS DE SALUD</w:t>
            </w:r>
          </w:p>
        </w:tc>
      </w:tr>
      <w:tr w:rsidR="00B11E95" w:rsidRPr="00B11E95" w14:paraId="373ECD40" w14:textId="77777777" w:rsidTr="00096F4B">
        <w:trPr>
          <w:trHeight w:val="255"/>
        </w:trPr>
        <w:tc>
          <w:tcPr>
            <w:tcW w:w="1560" w:type="dxa"/>
            <w:tcBorders>
              <w:top w:val="nil"/>
              <w:left w:val="nil"/>
              <w:bottom w:val="nil"/>
              <w:right w:val="nil"/>
            </w:tcBorders>
            <w:shd w:val="clear" w:color="auto" w:fill="auto"/>
            <w:noWrap/>
            <w:vAlign w:val="center"/>
            <w:hideMark/>
          </w:tcPr>
          <w:p w14:paraId="6C98D447" w14:textId="77777777" w:rsidR="00B11E95" w:rsidRPr="00B11E95" w:rsidRDefault="00B11E95" w:rsidP="00B11E95">
            <w:pPr>
              <w:spacing w:after="0" w:line="240" w:lineRule="auto"/>
              <w:jc w:val="center"/>
              <w:rPr>
                <w:rFonts w:ascii="Arial" w:eastAsia="Times New Roman" w:hAnsi="Arial" w:cs="Arial"/>
                <w:color w:val="000000"/>
                <w:lang w:eastAsia="es-MX"/>
              </w:rPr>
            </w:pPr>
            <w:r w:rsidRPr="00B11E95">
              <w:rPr>
                <w:rFonts w:ascii="Arial" w:eastAsia="Times New Roman" w:hAnsi="Arial" w:cs="Arial"/>
                <w:color w:val="000000"/>
                <w:lang w:eastAsia="es-MX"/>
              </w:rPr>
              <w:t>4</w:t>
            </w:r>
          </w:p>
        </w:tc>
        <w:tc>
          <w:tcPr>
            <w:tcW w:w="7278" w:type="dxa"/>
            <w:tcBorders>
              <w:top w:val="nil"/>
              <w:left w:val="nil"/>
              <w:bottom w:val="nil"/>
              <w:right w:val="nil"/>
            </w:tcBorders>
            <w:shd w:val="clear" w:color="auto" w:fill="auto"/>
            <w:noWrap/>
            <w:vAlign w:val="center"/>
            <w:hideMark/>
          </w:tcPr>
          <w:p w14:paraId="3E149903" w14:textId="77777777" w:rsidR="00B11E95" w:rsidRPr="00B11E95" w:rsidRDefault="00B11E95" w:rsidP="00B11E95">
            <w:pPr>
              <w:spacing w:after="0" w:line="240" w:lineRule="auto"/>
              <w:rPr>
                <w:rFonts w:ascii="Arial" w:eastAsia="Times New Roman" w:hAnsi="Arial" w:cs="Arial"/>
                <w:color w:val="000000"/>
                <w:lang w:eastAsia="es-MX"/>
              </w:rPr>
            </w:pPr>
            <w:r w:rsidRPr="00B11E95">
              <w:rPr>
                <w:rFonts w:ascii="Arial" w:eastAsia="Times New Roman" w:hAnsi="Arial" w:cs="Arial"/>
                <w:color w:val="000000"/>
                <w:lang w:eastAsia="es-MX"/>
              </w:rPr>
              <w:t>NEGLIGENCIA MÉDICA</w:t>
            </w:r>
          </w:p>
        </w:tc>
      </w:tr>
      <w:tr w:rsidR="00B11E95" w:rsidRPr="00B11E95" w14:paraId="5BCD1D5C" w14:textId="77777777" w:rsidTr="00096F4B">
        <w:trPr>
          <w:trHeight w:val="255"/>
        </w:trPr>
        <w:tc>
          <w:tcPr>
            <w:tcW w:w="1560" w:type="dxa"/>
            <w:tcBorders>
              <w:top w:val="nil"/>
              <w:left w:val="nil"/>
              <w:bottom w:val="nil"/>
              <w:right w:val="nil"/>
            </w:tcBorders>
            <w:shd w:val="clear" w:color="auto" w:fill="auto"/>
            <w:noWrap/>
            <w:vAlign w:val="center"/>
            <w:hideMark/>
          </w:tcPr>
          <w:p w14:paraId="7F54DCD3" w14:textId="77777777" w:rsidR="00B11E95" w:rsidRPr="00B11E95" w:rsidRDefault="00B11E95" w:rsidP="00B11E95">
            <w:pPr>
              <w:spacing w:after="0" w:line="240" w:lineRule="auto"/>
              <w:jc w:val="center"/>
              <w:rPr>
                <w:rFonts w:ascii="Arial" w:eastAsia="Times New Roman" w:hAnsi="Arial" w:cs="Arial"/>
                <w:color w:val="000000"/>
                <w:lang w:eastAsia="es-MX"/>
              </w:rPr>
            </w:pPr>
            <w:r w:rsidRPr="00B11E95">
              <w:rPr>
                <w:rFonts w:ascii="Arial" w:eastAsia="Times New Roman" w:hAnsi="Arial" w:cs="Arial"/>
                <w:color w:val="000000"/>
                <w:lang w:eastAsia="es-MX"/>
              </w:rPr>
              <w:t>4</w:t>
            </w:r>
          </w:p>
        </w:tc>
        <w:tc>
          <w:tcPr>
            <w:tcW w:w="7278" w:type="dxa"/>
            <w:tcBorders>
              <w:top w:val="nil"/>
              <w:left w:val="nil"/>
              <w:bottom w:val="nil"/>
              <w:right w:val="nil"/>
            </w:tcBorders>
            <w:shd w:val="clear" w:color="auto" w:fill="auto"/>
            <w:noWrap/>
            <w:vAlign w:val="center"/>
            <w:hideMark/>
          </w:tcPr>
          <w:p w14:paraId="75A87CEA" w14:textId="77777777" w:rsidR="00B11E95" w:rsidRPr="00B11E95" w:rsidRDefault="00B11E95" w:rsidP="00B11E95">
            <w:pPr>
              <w:spacing w:after="0" w:line="240" w:lineRule="auto"/>
              <w:rPr>
                <w:rFonts w:ascii="Arial" w:eastAsia="Times New Roman" w:hAnsi="Arial" w:cs="Arial"/>
                <w:color w:val="000000"/>
                <w:lang w:eastAsia="es-MX"/>
              </w:rPr>
            </w:pPr>
            <w:r w:rsidRPr="00B11E95">
              <w:rPr>
                <w:rFonts w:ascii="Arial" w:eastAsia="Times New Roman" w:hAnsi="Arial" w:cs="Arial"/>
                <w:color w:val="000000"/>
                <w:lang w:eastAsia="es-MX"/>
              </w:rPr>
              <w:t>REALIZAR DEFICIENTEMENTE LOS TRÁMITES MÉDICOS</w:t>
            </w:r>
          </w:p>
        </w:tc>
      </w:tr>
      <w:tr w:rsidR="00B11E95" w:rsidRPr="00B11E95" w14:paraId="706207F3" w14:textId="77777777" w:rsidTr="00096F4B">
        <w:trPr>
          <w:trHeight w:val="255"/>
        </w:trPr>
        <w:tc>
          <w:tcPr>
            <w:tcW w:w="1560" w:type="dxa"/>
            <w:tcBorders>
              <w:top w:val="nil"/>
              <w:left w:val="nil"/>
              <w:bottom w:val="nil"/>
              <w:right w:val="nil"/>
            </w:tcBorders>
            <w:shd w:val="clear" w:color="auto" w:fill="auto"/>
            <w:noWrap/>
            <w:vAlign w:val="center"/>
            <w:hideMark/>
          </w:tcPr>
          <w:p w14:paraId="66EC321A" w14:textId="77777777" w:rsidR="00B11E95" w:rsidRPr="00B11E95" w:rsidRDefault="00B11E95" w:rsidP="00B11E95">
            <w:pPr>
              <w:spacing w:after="0" w:line="240" w:lineRule="auto"/>
              <w:jc w:val="center"/>
              <w:rPr>
                <w:rFonts w:ascii="Arial" w:eastAsia="Times New Roman" w:hAnsi="Arial" w:cs="Arial"/>
                <w:color w:val="000000"/>
                <w:lang w:eastAsia="es-MX"/>
              </w:rPr>
            </w:pPr>
            <w:r w:rsidRPr="00B11E95">
              <w:rPr>
                <w:rFonts w:ascii="Arial" w:eastAsia="Times New Roman" w:hAnsi="Arial" w:cs="Arial"/>
                <w:color w:val="000000"/>
                <w:lang w:eastAsia="es-MX"/>
              </w:rPr>
              <w:t>1</w:t>
            </w:r>
          </w:p>
        </w:tc>
        <w:tc>
          <w:tcPr>
            <w:tcW w:w="7278" w:type="dxa"/>
            <w:tcBorders>
              <w:top w:val="nil"/>
              <w:left w:val="nil"/>
              <w:bottom w:val="nil"/>
              <w:right w:val="nil"/>
            </w:tcBorders>
            <w:shd w:val="clear" w:color="auto" w:fill="auto"/>
            <w:noWrap/>
            <w:vAlign w:val="center"/>
            <w:hideMark/>
          </w:tcPr>
          <w:p w14:paraId="0E4B0DED" w14:textId="77777777" w:rsidR="00B11E95" w:rsidRPr="00B11E95" w:rsidRDefault="00B11E95" w:rsidP="00B11E95">
            <w:pPr>
              <w:spacing w:after="0" w:line="240" w:lineRule="auto"/>
              <w:rPr>
                <w:rFonts w:ascii="Arial" w:eastAsia="Times New Roman" w:hAnsi="Arial" w:cs="Arial"/>
                <w:color w:val="000000"/>
                <w:lang w:eastAsia="es-MX"/>
              </w:rPr>
            </w:pPr>
            <w:r w:rsidRPr="00B11E95">
              <w:rPr>
                <w:rFonts w:ascii="Arial" w:eastAsia="Times New Roman" w:hAnsi="Arial" w:cs="Arial"/>
                <w:color w:val="000000"/>
                <w:lang w:eastAsia="es-MX"/>
              </w:rPr>
              <w:t>AISLAMIENTO HOSPITALARIO</w:t>
            </w:r>
          </w:p>
        </w:tc>
      </w:tr>
    </w:tbl>
    <w:p w14:paraId="3E3A458D" w14:textId="625409CE" w:rsidR="00B11E95" w:rsidRPr="00B11E95" w:rsidRDefault="00B11E95" w:rsidP="00FE17FB">
      <w:pPr>
        <w:rPr>
          <w:rFonts w:ascii="Arial Narrow" w:eastAsia="Times New Roman" w:hAnsi="Arial Narrow" w:cs="Times New Roman"/>
          <w:b/>
          <w:bCs/>
          <w:color w:val="1F3864" w:themeColor="accent1" w:themeShade="80"/>
          <w:lang w:val="es-ES" w:eastAsia="es-ES"/>
        </w:rPr>
      </w:pPr>
    </w:p>
    <w:bookmarkEnd w:id="14"/>
    <w:p w14:paraId="3C3BFFF7" w14:textId="45E03205" w:rsidR="00CC2603" w:rsidRPr="00CC2603" w:rsidRDefault="00CC2603" w:rsidP="00CC2603">
      <w:pPr>
        <w:shd w:val="clear" w:color="auto" w:fill="FFFFFF" w:themeFill="background1"/>
        <w:spacing w:after="0" w:line="240" w:lineRule="auto"/>
        <w:ind w:right="51"/>
        <w:contextualSpacing/>
        <w:jc w:val="both"/>
        <w:rPr>
          <w:rFonts w:ascii="Arial" w:eastAsia="Times New Roman" w:hAnsi="Arial" w:cs="Arial"/>
          <w:b/>
          <w:bCs/>
          <w:i/>
          <w:iCs/>
          <w:lang w:val="es-ES" w:eastAsia="es-ES"/>
        </w:rPr>
      </w:pPr>
      <w:r w:rsidRPr="00CC2603">
        <w:rPr>
          <w:rFonts w:ascii="Arial" w:eastAsia="Times New Roman" w:hAnsi="Arial" w:cs="Arial"/>
          <w:b/>
          <w:bCs/>
          <w:i/>
          <w:iCs/>
          <w:lang w:val="es-ES" w:eastAsia="es-ES"/>
        </w:rPr>
        <w:t>34. El Estado parte debe:</w:t>
      </w:r>
    </w:p>
    <w:p w14:paraId="64D76B10" w14:textId="77777777" w:rsidR="00CC2603" w:rsidRPr="00CC2603" w:rsidRDefault="00CC2603" w:rsidP="00CC2603">
      <w:pPr>
        <w:shd w:val="clear" w:color="auto" w:fill="FFFFFF" w:themeFill="background1"/>
        <w:spacing w:after="0" w:line="240" w:lineRule="auto"/>
        <w:ind w:right="51"/>
        <w:contextualSpacing/>
        <w:jc w:val="both"/>
        <w:rPr>
          <w:rFonts w:ascii="Arial" w:eastAsia="Times New Roman" w:hAnsi="Arial" w:cs="Arial"/>
          <w:b/>
          <w:bCs/>
          <w:i/>
          <w:iCs/>
          <w:lang w:val="es-ES" w:eastAsia="es-ES"/>
        </w:rPr>
      </w:pPr>
      <w:r w:rsidRPr="00CC2603">
        <w:rPr>
          <w:rFonts w:ascii="Arial" w:eastAsia="Times New Roman" w:hAnsi="Arial" w:cs="Arial"/>
          <w:b/>
          <w:bCs/>
          <w:i/>
          <w:iCs/>
          <w:lang w:val="es-ES" w:eastAsia="es-ES"/>
        </w:rPr>
        <w:t xml:space="preserve"> </w:t>
      </w:r>
    </w:p>
    <w:p w14:paraId="373337D4" w14:textId="77777777" w:rsidR="00CC2603" w:rsidRPr="00CC2603" w:rsidRDefault="00CC2603" w:rsidP="00CC2603">
      <w:pPr>
        <w:shd w:val="clear" w:color="auto" w:fill="FFFFFF" w:themeFill="background1"/>
        <w:spacing w:after="0" w:line="240" w:lineRule="auto"/>
        <w:ind w:right="51"/>
        <w:contextualSpacing/>
        <w:jc w:val="both"/>
        <w:rPr>
          <w:rFonts w:ascii="Arial" w:eastAsia="Times New Roman" w:hAnsi="Arial" w:cs="Arial"/>
          <w:b/>
          <w:bCs/>
          <w:i/>
          <w:iCs/>
          <w:lang w:val="es-ES" w:eastAsia="es-ES"/>
        </w:rPr>
      </w:pPr>
      <w:r w:rsidRPr="00CC2603">
        <w:rPr>
          <w:rFonts w:ascii="Arial" w:eastAsia="Times New Roman" w:hAnsi="Arial" w:cs="Arial"/>
          <w:b/>
          <w:bCs/>
          <w:i/>
          <w:iCs/>
          <w:lang w:val="es-ES" w:eastAsia="es-ES"/>
        </w:rPr>
        <w:t>d) Contemplar la conformación de la comisión intersecretarial que permitirá a las personas privadas de la libertad tener acceso de salud pública.</w:t>
      </w:r>
    </w:p>
    <w:p w14:paraId="3ABBB849" w14:textId="77777777" w:rsidR="00CC2603" w:rsidRDefault="00CC2603" w:rsidP="003F56A8">
      <w:pPr>
        <w:shd w:val="clear" w:color="auto" w:fill="FFFFFF" w:themeFill="background1"/>
        <w:spacing w:after="0" w:line="240" w:lineRule="auto"/>
        <w:ind w:right="51"/>
        <w:contextualSpacing/>
        <w:jc w:val="both"/>
        <w:rPr>
          <w:rFonts w:ascii="Arial" w:eastAsia="Times New Roman" w:hAnsi="Arial" w:cs="Arial"/>
          <w:b/>
          <w:bCs/>
          <w:i/>
          <w:iCs/>
          <w:color w:val="1F3864" w:themeColor="accent1" w:themeShade="80"/>
          <w:lang w:val="es-ES" w:eastAsia="es-ES"/>
        </w:rPr>
      </w:pPr>
    </w:p>
    <w:p w14:paraId="3610F20F" w14:textId="192BA73E" w:rsidR="003F56A8" w:rsidRPr="00CC2603" w:rsidRDefault="003F56A8" w:rsidP="003F56A8">
      <w:pPr>
        <w:shd w:val="clear" w:color="auto" w:fill="FFFFFF" w:themeFill="background1"/>
        <w:spacing w:after="0" w:line="240" w:lineRule="auto"/>
        <w:ind w:right="51"/>
        <w:contextualSpacing/>
        <w:jc w:val="both"/>
        <w:rPr>
          <w:rFonts w:ascii="Arial" w:eastAsia="Times New Roman" w:hAnsi="Arial" w:cs="Arial"/>
          <w:b/>
          <w:bCs/>
          <w:lang w:val="es-ES" w:eastAsia="es-ES"/>
        </w:rPr>
      </w:pPr>
      <w:r w:rsidRPr="00CC2603">
        <w:rPr>
          <w:rFonts w:ascii="Arial" w:eastAsia="Times New Roman" w:hAnsi="Arial" w:cs="Arial"/>
          <w:b/>
          <w:bCs/>
          <w:lang w:val="es-ES" w:eastAsia="es-ES"/>
        </w:rPr>
        <w:t>Acciones de la Comisión Nacional de los Derechos Humanos</w:t>
      </w:r>
    </w:p>
    <w:p w14:paraId="312260FA" w14:textId="77777777" w:rsidR="003F56A8" w:rsidRPr="00CC2603" w:rsidRDefault="003F56A8" w:rsidP="003F56A8">
      <w:pPr>
        <w:shd w:val="clear" w:color="auto" w:fill="FFFFFF" w:themeFill="background1"/>
        <w:spacing w:after="0" w:line="240" w:lineRule="auto"/>
        <w:ind w:right="51"/>
        <w:contextualSpacing/>
        <w:jc w:val="both"/>
        <w:rPr>
          <w:rFonts w:ascii="Arial" w:eastAsia="Times New Roman" w:hAnsi="Arial" w:cs="Arial"/>
          <w:sz w:val="24"/>
          <w:szCs w:val="24"/>
          <w:lang w:val="es-ES" w:eastAsia="es-ES"/>
        </w:rPr>
      </w:pPr>
    </w:p>
    <w:p w14:paraId="0916DC75" w14:textId="4B19C114" w:rsidR="00B11E95" w:rsidRPr="00B11E95" w:rsidRDefault="00B11E95" w:rsidP="003F56A8">
      <w:pPr>
        <w:shd w:val="clear" w:color="auto" w:fill="FFFFFF" w:themeFill="background1"/>
        <w:spacing w:after="0" w:line="240" w:lineRule="auto"/>
        <w:ind w:right="51"/>
        <w:contextualSpacing/>
        <w:jc w:val="both"/>
        <w:rPr>
          <w:rFonts w:ascii="Arial" w:eastAsia="Times New Roman" w:hAnsi="Arial" w:cs="Arial"/>
          <w:color w:val="1F3864" w:themeColor="accent1" w:themeShade="80"/>
          <w:lang w:val="es-ES" w:eastAsia="es-ES"/>
        </w:rPr>
      </w:pPr>
      <w:r w:rsidRPr="00B11E95">
        <w:rPr>
          <w:rFonts w:ascii="Arial" w:eastAsia="Times New Roman" w:hAnsi="Arial" w:cs="Arial"/>
          <w:lang w:val="es-ES" w:eastAsia="es-ES"/>
        </w:rPr>
        <w:t xml:space="preserve">En el año 2019, se emitió la </w:t>
      </w:r>
      <w:r w:rsidRPr="00B11E95">
        <w:rPr>
          <w:rFonts w:ascii="Arial" w:eastAsia="Times New Roman" w:hAnsi="Arial" w:cs="Arial"/>
          <w:b/>
          <w:bCs/>
          <w:color w:val="1F3864" w:themeColor="accent1" w:themeShade="80"/>
          <w:lang w:val="es-ES" w:eastAsia="es-ES"/>
        </w:rPr>
        <w:t xml:space="preserve">Recomendación General 38/2019 </w:t>
      </w:r>
      <w:r w:rsidRPr="00B11E95">
        <w:rPr>
          <w:rFonts w:ascii="Arial" w:eastAsia="Times New Roman" w:hAnsi="Arial" w:cs="Arial"/>
          <w:color w:val="1F3864" w:themeColor="accent1" w:themeShade="80"/>
          <w:lang w:val="es-ES" w:eastAsia="es-ES"/>
        </w:rPr>
        <w:t xml:space="preserve">Sobre el Incumplimiento de las obligaciones de las Comisiones Intersecretariales en la Ley Nacional de Ejecución Penal que garantizan los derechos humanos de las personas privadas de la libertad.  </w:t>
      </w:r>
    </w:p>
    <w:p w14:paraId="4D143B9C" w14:textId="77777777" w:rsidR="00B11E95" w:rsidRPr="00B11E95" w:rsidRDefault="00B11E95" w:rsidP="00B11E95">
      <w:pPr>
        <w:shd w:val="clear" w:color="auto" w:fill="FFFFFF"/>
        <w:spacing w:after="0" w:line="240" w:lineRule="auto"/>
        <w:ind w:right="51"/>
        <w:jc w:val="both"/>
        <w:rPr>
          <w:rFonts w:ascii="Arial" w:eastAsia="Times New Roman" w:hAnsi="Arial" w:cs="Arial"/>
          <w:lang w:val="es-ES" w:eastAsia="es-ES"/>
        </w:rPr>
      </w:pPr>
    </w:p>
    <w:p w14:paraId="1C3FB7F9" w14:textId="77777777" w:rsidR="00B11E95" w:rsidRPr="00B11E95" w:rsidRDefault="00B11E95" w:rsidP="00B11E95">
      <w:pPr>
        <w:shd w:val="clear" w:color="auto" w:fill="FFFFFF"/>
        <w:spacing w:after="0" w:line="240" w:lineRule="auto"/>
        <w:ind w:right="51"/>
        <w:jc w:val="both"/>
        <w:rPr>
          <w:rFonts w:ascii="Arial" w:eastAsia="Times New Roman" w:hAnsi="Arial" w:cs="Arial"/>
          <w:lang w:val="es-ES" w:eastAsia="es-ES"/>
        </w:rPr>
      </w:pPr>
      <w:r w:rsidRPr="00B11E95">
        <w:rPr>
          <w:rFonts w:ascii="Arial" w:eastAsia="Times New Roman" w:hAnsi="Arial" w:cs="Arial"/>
          <w:lang w:val="es-ES" w:eastAsia="es-ES"/>
        </w:rPr>
        <w:t xml:space="preserve">Dicha Recomendación tiene como objetivo instar a las autoridades del sistema penitenciario federal y estatales sobre la importancia de cumplir con su obligación señalada en el artículo 18 de la Constitución Federal y con ello, no continuar transgrediendo derechos humanos que afectan de manera significativa la vida de las personas privadas de la libertad en centros de reclusión de la República Mexicana, en contravención con lo dispuesto también por el 1° y 19, párrafo séptimo, de nuestra carta magna, así como contribuir al diseño, desarrollo y ejecución de una estrategia de coordinación y coadyuvancia que garantice la protección de los derechos humanos de las personas en internamiento penitenciario y se haga realidad la efectiva reinserción social. </w:t>
      </w:r>
    </w:p>
    <w:p w14:paraId="53819F4D" w14:textId="77777777" w:rsidR="00B11E95" w:rsidRPr="00B11E95" w:rsidRDefault="00B11E95" w:rsidP="00B11E95">
      <w:pPr>
        <w:shd w:val="clear" w:color="auto" w:fill="FFFFFF"/>
        <w:spacing w:after="0" w:line="240" w:lineRule="auto"/>
        <w:ind w:right="51"/>
        <w:jc w:val="both"/>
        <w:rPr>
          <w:rFonts w:ascii="Arial" w:eastAsia="Times New Roman" w:hAnsi="Arial" w:cs="Arial"/>
          <w:lang w:val="es-ES" w:eastAsia="es-ES"/>
        </w:rPr>
      </w:pPr>
    </w:p>
    <w:p w14:paraId="2EC930A1" w14:textId="77777777" w:rsidR="00B11E95" w:rsidRPr="00B11E95" w:rsidRDefault="00B11E95" w:rsidP="00B11E95">
      <w:pPr>
        <w:shd w:val="clear" w:color="auto" w:fill="FFFFFF"/>
        <w:spacing w:after="0" w:line="240" w:lineRule="auto"/>
        <w:ind w:right="51"/>
        <w:jc w:val="both"/>
        <w:rPr>
          <w:rFonts w:ascii="Arial" w:eastAsia="Times New Roman" w:hAnsi="Arial" w:cs="Arial"/>
          <w:sz w:val="24"/>
          <w:szCs w:val="24"/>
          <w:lang w:val="es-ES" w:eastAsia="es-ES"/>
        </w:rPr>
      </w:pPr>
      <w:r w:rsidRPr="00B11E95">
        <w:rPr>
          <w:rFonts w:ascii="Arial" w:eastAsia="Times New Roman" w:hAnsi="Arial" w:cs="Arial"/>
          <w:lang w:val="es-ES" w:eastAsia="es-ES"/>
        </w:rPr>
        <w:t xml:space="preserve">Entre los puntos recomendatorios emitidos, destacan para el caso que nos ocupa, que se solicitó: </w:t>
      </w:r>
    </w:p>
    <w:p w14:paraId="775B5A4A" w14:textId="77777777" w:rsidR="00B11E95" w:rsidRPr="00B11E95" w:rsidRDefault="00B11E95" w:rsidP="00B11E95">
      <w:pPr>
        <w:shd w:val="clear" w:color="auto" w:fill="FFFFFF"/>
        <w:spacing w:after="0" w:line="240" w:lineRule="auto"/>
        <w:ind w:right="51"/>
        <w:jc w:val="both"/>
        <w:rPr>
          <w:rFonts w:ascii="Arial" w:eastAsia="Times New Roman" w:hAnsi="Arial" w:cs="Arial"/>
          <w:lang w:val="es-ES" w:eastAsia="es-ES"/>
        </w:rPr>
      </w:pPr>
    </w:p>
    <w:p w14:paraId="06A3C5DE" w14:textId="77777777" w:rsidR="00B11E95" w:rsidRPr="00B11E95" w:rsidRDefault="00B11E95" w:rsidP="00CC2603">
      <w:pPr>
        <w:shd w:val="clear" w:color="auto" w:fill="FFFFFF"/>
        <w:spacing w:after="0" w:line="240" w:lineRule="auto"/>
        <w:ind w:left="708" w:right="51"/>
        <w:jc w:val="both"/>
        <w:rPr>
          <w:rFonts w:ascii="Arial" w:eastAsia="Times New Roman" w:hAnsi="Arial" w:cs="Arial"/>
          <w:i/>
          <w:iCs/>
          <w:lang w:val="es-ES" w:eastAsia="es-ES"/>
        </w:rPr>
      </w:pPr>
      <w:r w:rsidRPr="00B11E95">
        <w:rPr>
          <w:rFonts w:ascii="Arial" w:eastAsia="Times New Roman" w:hAnsi="Arial" w:cs="Arial"/>
          <w:i/>
          <w:iCs/>
          <w:lang w:val="es-ES" w:eastAsia="es-ES"/>
        </w:rPr>
        <w:t xml:space="preserve">1. Se realizarán las acciones legales y presupuestales necesarias para que se concluyera con la instalación de las Comisiones Intersecretariales en el Sistema Penitenciario Nacional, a efecto de que se cumpliera con su obligación señalada en la Ley Nacional de Ejecución Penal, con base en el artículo 18 constitucional. </w:t>
      </w:r>
    </w:p>
    <w:p w14:paraId="53EA8839" w14:textId="77777777" w:rsidR="00B11E95" w:rsidRPr="00B11E95" w:rsidRDefault="00B11E95" w:rsidP="00CC2603">
      <w:pPr>
        <w:shd w:val="clear" w:color="auto" w:fill="FFFFFF"/>
        <w:spacing w:after="0" w:line="240" w:lineRule="auto"/>
        <w:ind w:left="708" w:right="51"/>
        <w:jc w:val="both"/>
        <w:rPr>
          <w:rFonts w:ascii="Arial" w:eastAsia="Times New Roman" w:hAnsi="Arial" w:cs="Arial"/>
          <w:i/>
          <w:iCs/>
          <w:lang w:val="es-ES" w:eastAsia="es-ES"/>
        </w:rPr>
      </w:pPr>
    </w:p>
    <w:p w14:paraId="6778E3D9" w14:textId="77777777" w:rsidR="00B11E95" w:rsidRPr="00B11E95" w:rsidRDefault="00B11E95" w:rsidP="00CC2603">
      <w:pPr>
        <w:shd w:val="clear" w:color="auto" w:fill="FFFFFF"/>
        <w:spacing w:after="0" w:line="240" w:lineRule="auto"/>
        <w:ind w:left="708" w:right="51"/>
        <w:jc w:val="both"/>
        <w:rPr>
          <w:rFonts w:ascii="Arial" w:eastAsia="Times New Roman" w:hAnsi="Arial" w:cs="Arial"/>
          <w:i/>
          <w:iCs/>
          <w:lang w:val="es-ES" w:eastAsia="es-ES"/>
        </w:rPr>
      </w:pPr>
      <w:r w:rsidRPr="00B11E95">
        <w:rPr>
          <w:rFonts w:ascii="Arial" w:eastAsia="Times New Roman" w:hAnsi="Arial" w:cs="Arial"/>
          <w:i/>
          <w:iCs/>
          <w:lang w:val="es-ES" w:eastAsia="es-ES"/>
        </w:rPr>
        <w:t xml:space="preserve">2. Que las Comisiones Intersecretariales de los Estados que se encontraban ya instituidas, cumplan con la obligación en el marco de sus atribuciones de garantizar y hacer eficaces los derechos dispuestos por la Ley Nacional de Ejecución Penal, con base en el artículo 18 constitucional. </w:t>
      </w:r>
    </w:p>
    <w:p w14:paraId="23C9E050" w14:textId="77777777" w:rsidR="00B11E95" w:rsidRPr="00B11E95" w:rsidRDefault="00B11E95" w:rsidP="00CC2603">
      <w:pPr>
        <w:shd w:val="clear" w:color="auto" w:fill="FFFFFF"/>
        <w:spacing w:after="0" w:line="240" w:lineRule="auto"/>
        <w:ind w:left="708" w:right="51"/>
        <w:jc w:val="both"/>
        <w:rPr>
          <w:rFonts w:ascii="Arial" w:eastAsia="Times New Roman" w:hAnsi="Arial" w:cs="Arial"/>
          <w:i/>
          <w:iCs/>
          <w:lang w:val="es-ES" w:eastAsia="es-ES"/>
        </w:rPr>
      </w:pPr>
    </w:p>
    <w:p w14:paraId="12AF26CC" w14:textId="77777777" w:rsidR="00B11E95" w:rsidRPr="00B11E95" w:rsidRDefault="00B11E95" w:rsidP="00CC2603">
      <w:pPr>
        <w:shd w:val="clear" w:color="auto" w:fill="FFFFFF"/>
        <w:spacing w:after="0" w:line="240" w:lineRule="auto"/>
        <w:ind w:left="708" w:right="51"/>
        <w:jc w:val="both"/>
        <w:rPr>
          <w:rFonts w:ascii="Arial" w:eastAsia="Times New Roman" w:hAnsi="Arial" w:cs="Arial"/>
          <w:i/>
          <w:iCs/>
          <w:lang w:val="es-ES" w:eastAsia="es-ES"/>
        </w:rPr>
      </w:pPr>
      <w:r w:rsidRPr="00B11E95">
        <w:rPr>
          <w:rFonts w:ascii="Arial" w:eastAsia="Times New Roman" w:hAnsi="Arial" w:cs="Arial"/>
          <w:i/>
          <w:iCs/>
          <w:lang w:val="es-ES" w:eastAsia="es-ES"/>
        </w:rPr>
        <w:t xml:space="preserve">3. Que las Comisiones Intersecretariales contribuyan en el diseño y desarrollo de programas de atención dirigida a personas privadas de la libertad en especial </w:t>
      </w:r>
      <w:r w:rsidRPr="00B11E95">
        <w:rPr>
          <w:rFonts w:ascii="Arial" w:eastAsia="Times New Roman" w:hAnsi="Arial" w:cs="Arial"/>
          <w:i/>
          <w:iCs/>
          <w:lang w:val="es-ES" w:eastAsia="es-ES"/>
        </w:rPr>
        <w:lastRenderedPageBreak/>
        <w:t xml:space="preserve">condición de vulnerabilidad considerando la aplicación de acciones afirmativas y ajustes razonables a la infraestructura y reforzarán los programas existentes que permitieran el acceso de estas personas al ejercicio de sus derechos en condiciones de igualdad. </w:t>
      </w:r>
    </w:p>
    <w:p w14:paraId="64700965" w14:textId="77777777" w:rsidR="00B11E95" w:rsidRPr="00B11E95" w:rsidRDefault="00B11E95" w:rsidP="00CC2603">
      <w:pPr>
        <w:shd w:val="clear" w:color="auto" w:fill="FFFFFF"/>
        <w:spacing w:after="0" w:line="240" w:lineRule="auto"/>
        <w:ind w:left="708" w:right="51"/>
        <w:jc w:val="both"/>
        <w:rPr>
          <w:rFonts w:ascii="Arial" w:eastAsia="Times New Roman" w:hAnsi="Arial" w:cs="Arial"/>
          <w:i/>
          <w:iCs/>
          <w:lang w:val="es-ES" w:eastAsia="es-ES"/>
        </w:rPr>
      </w:pPr>
    </w:p>
    <w:p w14:paraId="392544C1" w14:textId="77777777" w:rsidR="00B11E95" w:rsidRPr="00B11E95" w:rsidRDefault="00B11E95" w:rsidP="00CC2603">
      <w:pPr>
        <w:shd w:val="clear" w:color="auto" w:fill="FFFFFF"/>
        <w:spacing w:after="0" w:line="240" w:lineRule="auto"/>
        <w:ind w:left="708" w:right="51"/>
        <w:jc w:val="both"/>
        <w:rPr>
          <w:rFonts w:ascii="Arial" w:eastAsia="Times New Roman" w:hAnsi="Arial" w:cs="Arial"/>
          <w:i/>
          <w:iCs/>
          <w:lang w:val="es-ES" w:eastAsia="es-ES"/>
        </w:rPr>
      </w:pPr>
      <w:r w:rsidRPr="00B11E95">
        <w:rPr>
          <w:rFonts w:ascii="Arial" w:eastAsia="Times New Roman" w:hAnsi="Arial" w:cs="Arial"/>
          <w:i/>
          <w:iCs/>
          <w:lang w:val="es-ES" w:eastAsia="es-ES"/>
        </w:rPr>
        <w:t xml:space="preserve">4. Se cumpliera con lo dispuesto por la Ley en el sentido de instalar un Comité para la Implementación, Evaluación y Seguimiento del Sistema de Ejecución Penal que verificara el avance en las acciones tendentes a armonizar una política pública que respondiera a los principios de respeto a la dignidad de las personas y ejercicio de derechos inherentes a la reinserción social. </w:t>
      </w:r>
    </w:p>
    <w:p w14:paraId="65CB6A84" w14:textId="77777777" w:rsidR="00B11E95" w:rsidRPr="00B11E95" w:rsidRDefault="00B11E95" w:rsidP="00CC2603">
      <w:pPr>
        <w:shd w:val="clear" w:color="auto" w:fill="FFFFFF"/>
        <w:spacing w:after="0" w:line="240" w:lineRule="auto"/>
        <w:ind w:left="708" w:right="51"/>
        <w:jc w:val="both"/>
        <w:rPr>
          <w:rFonts w:ascii="Arial" w:eastAsia="Times New Roman" w:hAnsi="Arial" w:cs="Arial"/>
          <w:i/>
          <w:iCs/>
          <w:lang w:val="es-ES" w:eastAsia="es-ES"/>
        </w:rPr>
      </w:pPr>
    </w:p>
    <w:p w14:paraId="47C231F4" w14:textId="77777777" w:rsidR="00B11E95" w:rsidRPr="00B11E95" w:rsidRDefault="00B11E95" w:rsidP="00CC2603">
      <w:pPr>
        <w:shd w:val="clear" w:color="auto" w:fill="FFFFFF"/>
        <w:spacing w:after="0" w:line="240" w:lineRule="auto"/>
        <w:ind w:left="708" w:right="51"/>
        <w:jc w:val="both"/>
        <w:rPr>
          <w:rFonts w:ascii="Arial" w:eastAsia="Times New Roman" w:hAnsi="Arial" w:cs="Arial"/>
          <w:i/>
          <w:iCs/>
          <w:lang w:val="es-ES" w:eastAsia="es-ES"/>
        </w:rPr>
      </w:pPr>
      <w:r w:rsidRPr="00B11E95">
        <w:rPr>
          <w:rFonts w:ascii="Arial" w:eastAsia="Times New Roman" w:hAnsi="Arial" w:cs="Arial"/>
          <w:i/>
          <w:iCs/>
          <w:lang w:val="es-ES" w:eastAsia="es-ES"/>
        </w:rPr>
        <w:t xml:space="preserve">5. Se consideraran las previsiones necesarias por parte de las autoridades que integran y deben participar en las Comisiones Intersecretariales en los rubros de salud, educación, trabajo, capacitación para el trabajo y deporte tomando como referentes los mandatos de la Constitución Federal, la ley de la materia y los tratados internacionales respectivos. </w:t>
      </w:r>
    </w:p>
    <w:p w14:paraId="00033BFB" w14:textId="77777777" w:rsidR="00B11E95" w:rsidRPr="00B11E95" w:rsidRDefault="00B11E95" w:rsidP="00CC2603">
      <w:pPr>
        <w:shd w:val="clear" w:color="auto" w:fill="FFFFFF"/>
        <w:spacing w:after="0" w:line="240" w:lineRule="auto"/>
        <w:ind w:left="708" w:right="51"/>
        <w:jc w:val="both"/>
        <w:rPr>
          <w:rFonts w:ascii="Arial" w:eastAsia="Times New Roman" w:hAnsi="Arial" w:cs="Arial"/>
          <w:i/>
          <w:iCs/>
          <w:lang w:val="es-ES" w:eastAsia="es-ES"/>
        </w:rPr>
      </w:pPr>
    </w:p>
    <w:p w14:paraId="1720B399" w14:textId="77777777" w:rsidR="00B11E95" w:rsidRPr="00B11E95" w:rsidRDefault="00B11E95" w:rsidP="00CC2603">
      <w:pPr>
        <w:shd w:val="clear" w:color="auto" w:fill="FFFFFF"/>
        <w:spacing w:after="0" w:line="240" w:lineRule="auto"/>
        <w:ind w:left="708" w:right="51"/>
        <w:jc w:val="both"/>
        <w:rPr>
          <w:rFonts w:ascii="Arial" w:eastAsia="Times New Roman" w:hAnsi="Arial" w:cs="Arial"/>
          <w:lang w:val="es-ES" w:eastAsia="es-ES"/>
        </w:rPr>
      </w:pPr>
      <w:r w:rsidRPr="00B11E95">
        <w:rPr>
          <w:rFonts w:ascii="Arial" w:eastAsia="Times New Roman" w:hAnsi="Arial" w:cs="Arial"/>
          <w:lang w:val="es-ES" w:eastAsia="es-ES"/>
        </w:rPr>
        <w:t>[…]</w:t>
      </w:r>
    </w:p>
    <w:p w14:paraId="5C96BCE3" w14:textId="77777777" w:rsidR="00B11E95" w:rsidRPr="00B11E95" w:rsidRDefault="00B11E95" w:rsidP="00CC2603">
      <w:pPr>
        <w:shd w:val="clear" w:color="auto" w:fill="FFFFFF"/>
        <w:spacing w:after="0" w:line="240" w:lineRule="auto"/>
        <w:ind w:left="708" w:right="51"/>
        <w:jc w:val="both"/>
        <w:rPr>
          <w:rFonts w:ascii="Arial" w:eastAsia="Times New Roman" w:hAnsi="Arial" w:cs="Arial"/>
          <w:i/>
          <w:iCs/>
          <w:lang w:val="es-ES" w:eastAsia="es-ES"/>
        </w:rPr>
      </w:pPr>
    </w:p>
    <w:p w14:paraId="1DD942FF" w14:textId="77777777" w:rsidR="00B11E95" w:rsidRPr="00B11E95" w:rsidRDefault="00B11E95" w:rsidP="00CC2603">
      <w:pPr>
        <w:shd w:val="clear" w:color="auto" w:fill="FFFFFF"/>
        <w:spacing w:after="0" w:line="240" w:lineRule="auto"/>
        <w:ind w:left="708" w:right="51"/>
        <w:jc w:val="both"/>
        <w:rPr>
          <w:rFonts w:ascii="Arial" w:eastAsia="Times New Roman" w:hAnsi="Arial" w:cs="Arial"/>
          <w:i/>
          <w:iCs/>
          <w:lang w:val="es-ES" w:eastAsia="es-ES"/>
        </w:rPr>
      </w:pPr>
      <w:r w:rsidRPr="00B11E95">
        <w:rPr>
          <w:rFonts w:ascii="Arial" w:eastAsia="Times New Roman" w:hAnsi="Arial" w:cs="Arial"/>
          <w:i/>
          <w:iCs/>
          <w:lang w:val="es-ES" w:eastAsia="es-ES"/>
        </w:rPr>
        <w:t xml:space="preserve">7. Que el titular del Poder Ejecutivo Federal y sus homólogos en las entidades federativas asignaran y/o programaran partidas presupuestales, destinadas a dotar de recursos a las Comisiones Intersecretariales para su funcionamiento y operatividad, lo que permitiría estar en condiciones de cumplir con lo ordenado por la Constitución Federal y la Ley Nacional de Ejecución Penal. </w:t>
      </w:r>
    </w:p>
    <w:p w14:paraId="32EBE96F" w14:textId="77777777" w:rsidR="00B11E95" w:rsidRPr="00B11E95" w:rsidRDefault="00B11E95" w:rsidP="00B11E95">
      <w:pPr>
        <w:shd w:val="clear" w:color="auto" w:fill="FFFFFF"/>
        <w:spacing w:after="0" w:line="240" w:lineRule="auto"/>
        <w:ind w:right="51"/>
        <w:jc w:val="both"/>
        <w:rPr>
          <w:rFonts w:ascii="Arial" w:eastAsia="Times New Roman" w:hAnsi="Arial" w:cs="Arial"/>
          <w:lang w:val="es-ES" w:eastAsia="es-ES"/>
        </w:rPr>
      </w:pPr>
    </w:p>
    <w:p w14:paraId="1F671507" w14:textId="77777777" w:rsidR="00B11E95" w:rsidRPr="00B11E95" w:rsidRDefault="00B11E95" w:rsidP="00B11E95">
      <w:pPr>
        <w:shd w:val="clear" w:color="auto" w:fill="FFFFFF"/>
        <w:spacing w:after="0" w:line="240" w:lineRule="auto"/>
        <w:ind w:right="51"/>
        <w:jc w:val="both"/>
        <w:rPr>
          <w:rFonts w:ascii="Arial" w:eastAsia="Times New Roman" w:hAnsi="Arial" w:cs="Arial"/>
          <w:lang w:val="es-ES" w:eastAsia="es-ES"/>
        </w:rPr>
      </w:pPr>
      <w:r w:rsidRPr="00B11E95">
        <w:rPr>
          <w:rFonts w:ascii="Arial" w:eastAsia="Times New Roman" w:hAnsi="Arial" w:cs="Arial"/>
          <w:lang w:val="es-ES" w:eastAsia="es-ES"/>
        </w:rPr>
        <w:t xml:space="preserve">Disponible en: </w:t>
      </w:r>
      <w:hyperlink r:id="rId18" w:history="1">
        <w:r w:rsidRPr="00B11E95">
          <w:rPr>
            <w:rFonts w:ascii="Arial" w:eastAsia="Times New Roman" w:hAnsi="Arial" w:cs="Arial"/>
            <w:color w:val="0563C1" w:themeColor="hyperlink"/>
            <w:u w:val="single"/>
            <w:lang w:val="es-ES" w:eastAsia="es-ES"/>
          </w:rPr>
          <w:t>https://www.cndh.org.mx/sites/default/files/documentos/2019-10/Rec-38-gral.pdf</w:t>
        </w:r>
      </w:hyperlink>
      <w:r w:rsidRPr="00B11E95">
        <w:rPr>
          <w:rFonts w:ascii="Arial" w:eastAsia="Times New Roman" w:hAnsi="Arial" w:cs="Arial"/>
          <w:lang w:val="es-ES" w:eastAsia="es-ES"/>
        </w:rPr>
        <w:t xml:space="preserve"> </w:t>
      </w:r>
    </w:p>
    <w:p w14:paraId="509E6EE1" w14:textId="77777777" w:rsidR="00B11E95" w:rsidRPr="00B11E95" w:rsidRDefault="00B11E95" w:rsidP="00B11E95">
      <w:pPr>
        <w:shd w:val="clear" w:color="auto" w:fill="FFFFFF"/>
        <w:spacing w:after="0" w:line="240" w:lineRule="auto"/>
        <w:ind w:right="51"/>
        <w:jc w:val="both"/>
        <w:rPr>
          <w:rFonts w:ascii="Arial" w:eastAsia="Times New Roman" w:hAnsi="Arial" w:cs="Arial"/>
          <w:lang w:val="es-ES" w:eastAsia="es-ES"/>
        </w:rPr>
      </w:pPr>
    </w:p>
    <w:p w14:paraId="69109690" w14:textId="77777777" w:rsidR="00B11E95" w:rsidRPr="00B11E95" w:rsidRDefault="00B11E95" w:rsidP="00CC2603">
      <w:pPr>
        <w:shd w:val="clear" w:color="auto" w:fill="FFFFFF"/>
        <w:spacing w:after="0" w:line="240" w:lineRule="auto"/>
        <w:ind w:right="51"/>
        <w:contextualSpacing/>
        <w:jc w:val="both"/>
        <w:rPr>
          <w:rFonts w:ascii="Arial" w:eastAsia="Times New Roman" w:hAnsi="Arial" w:cs="Arial"/>
          <w:lang w:val="es-ES" w:eastAsia="es-ES"/>
        </w:rPr>
      </w:pPr>
      <w:r w:rsidRPr="00B11E95">
        <w:rPr>
          <w:rFonts w:ascii="Arial" w:eastAsia="Times New Roman" w:hAnsi="Arial" w:cs="Arial"/>
          <w:lang w:val="es-ES" w:eastAsia="es-ES"/>
        </w:rPr>
        <w:t xml:space="preserve">A través </w:t>
      </w:r>
      <w:bookmarkStart w:id="15" w:name="_Hlk92788799"/>
      <w:r w:rsidRPr="00B11E95">
        <w:rPr>
          <w:rFonts w:ascii="Arial" w:eastAsia="Times New Roman" w:hAnsi="Arial" w:cs="Arial"/>
          <w:lang w:val="es-ES" w:eastAsia="es-ES"/>
        </w:rPr>
        <w:t xml:space="preserve">del </w:t>
      </w:r>
      <w:r w:rsidRPr="00B11E95">
        <w:rPr>
          <w:rFonts w:ascii="Arial" w:eastAsia="Times New Roman" w:hAnsi="Arial" w:cs="Arial"/>
          <w:b/>
          <w:bCs/>
          <w:color w:val="1F3864" w:themeColor="accent1" w:themeShade="80"/>
          <w:lang w:val="es-ES" w:eastAsia="es-ES"/>
        </w:rPr>
        <w:t>Informe Especia</w:t>
      </w:r>
      <w:r w:rsidRPr="00B11E95">
        <w:rPr>
          <w:rFonts w:ascii="Arial" w:eastAsia="Times New Roman" w:hAnsi="Arial" w:cs="Arial"/>
          <w:color w:val="1F3864" w:themeColor="accent1" w:themeShade="80"/>
          <w:lang w:val="es-ES" w:eastAsia="es-ES"/>
        </w:rPr>
        <w:t xml:space="preserve">l sobre el Estado que Guardan las Medidas Adoptadas en Centros Penitenciarios para la Atención de la Emergencia Sanitaria Generada ante el Virus SARS-CoV2 /COVID-19). </w:t>
      </w:r>
      <w:r w:rsidRPr="00B11E95">
        <w:rPr>
          <w:rFonts w:ascii="Arial" w:eastAsia="Times New Roman" w:hAnsi="Arial" w:cs="Arial"/>
          <w:lang w:val="es-ES" w:eastAsia="es-ES"/>
        </w:rPr>
        <w:t xml:space="preserve">En dicho documento se muestra el seguimiento a las condiciones que prevalecen y viven las personas privadas de la libertad </w:t>
      </w:r>
      <w:r w:rsidRPr="00B11E95">
        <w:rPr>
          <w:rFonts w:ascii="Arial" w:eastAsia="Times New Roman" w:hAnsi="Arial" w:cs="Arial"/>
          <w:lang w:val="es-ES" w:eastAsia="es-ES"/>
        </w:rPr>
        <w:lastRenderedPageBreak/>
        <w:t>ante la pandemia COVID-19 y, derivado de éstos, se formularon peticiones específicas dirigidas a las autoridades de los diversos órdenes de gobierno, a nivel nacional y estatal, en el ámbito de sus respectivas competencias,</w:t>
      </w:r>
      <w:r w:rsidRPr="00B11E95">
        <w:rPr>
          <w:rFonts w:ascii="Arial" w:eastAsia="Times New Roman" w:hAnsi="Arial" w:cs="Arial"/>
          <w:sz w:val="24"/>
          <w:szCs w:val="24"/>
          <w:lang w:val="es-ES" w:eastAsia="es-ES"/>
        </w:rPr>
        <w:t xml:space="preserve"> </w:t>
      </w:r>
      <w:r w:rsidRPr="00B11E95">
        <w:rPr>
          <w:rFonts w:ascii="Arial" w:eastAsia="Times New Roman" w:hAnsi="Arial" w:cs="Arial"/>
          <w:lang w:val="es-ES" w:eastAsia="es-ES"/>
        </w:rPr>
        <w:t xml:space="preserve">para que conforme a los principios de trato humano, oportunidad y debida diligencia fueran atendidas. En particular, en la propuesta SEGUNDA, se solicitó: </w:t>
      </w:r>
    </w:p>
    <w:bookmarkEnd w:id="15"/>
    <w:p w14:paraId="3C6CF093" w14:textId="77777777" w:rsidR="00B11E95" w:rsidRPr="00B11E95" w:rsidRDefault="00B11E95" w:rsidP="00B11E95">
      <w:pPr>
        <w:shd w:val="clear" w:color="auto" w:fill="FFFFFF"/>
        <w:spacing w:after="0" w:line="240" w:lineRule="auto"/>
        <w:ind w:right="51"/>
        <w:jc w:val="both"/>
        <w:rPr>
          <w:rFonts w:ascii="Arial" w:eastAsia="Times New Roman" w:hAnsi="Arial" w:cs="Arial"/>
          <w:lang w:val="es-ES" w:eastAsia="es-ES"/>
        </w:rPr>
      </w:pPr>
    </w:p>
    <w:p w14:paraId="3A55FE36" w14:textId="77777777" w:rsidR="00B11E95" w:rsidRPr="00B11E95" w:rsidRDefault="00B11E95" w:rsidP="00933290">
      <w:pPr>
        <w:shd w:val="clear" w:color="auto" w:fill="FFFFFF"/>
        <w:spacing w:after="0" w:line="240" w:lineRule="auto"/>
        <w:ind w:left="708" w:right="51"/>
        <w:jc w:val="both"/>
        <w:rPr>
          <w:rFonts w:ascii="Arial" w:eastAsia="Times New Roman" w:hAnsi="Arial" w:cs="Arial"/>
          <w:lang w:val="es-ES" w:eastAsia="es-ES"/>
        </w:rPr>
      </w:pPr>
      <w:r w:rsidRPr="00B11E95">
        <w:rPr>
          <w:rFonts w:ascii="Arial" w:eastAsia="Times New Roman" w:hAnsi="Arial" w:cs="Arial"/>
          <w:lang w:val="es-ES" w:eastAsia="es-ES"/>
        </w:rPr>
        <w:t xml:space="preserve">SEGUNDA. </w:t>
      </w:r>
      <w:r w:rsidRPr="00B11E95">
        <w:rPr>
          <w:rFonts w:ascii="Arial" w:eastAsia="Times New Roman" w:hAnsi="Arial" w:cs="Arial"/>
          <w:i/>
          <w:iCs/>
          <w:lang w:val="es-ES" w:eastAsia="es-ES"/>
        </w:rPr>
        <w:t xml:space="preserve">Urgente instalación de las comisiones intersecretariales en las entidades federativas. Para el debido cumplimiento de las propuestas previstas en el presente informe, en el ámbito de sus competencias, se urge a los gobiernos de las entidades que aún no cuentan con las comisiones intersecretariales de conformidad con lo establecido en la Ley Nacional de Ejecución Penal, para que, a la brevedad, realicen las gestiones correspondientes para su instalación y operatividad permanente que permita la generación de programas de servicios para la reinserción al interior de los centros penitenciarios y post penales que de manera transversal protejan los derechos humanos de las personas privadas de la libertad o que han sido liberadas, cuyas funciones serán pertinentes en el marco </w:t>
      </w:r>
      <w:r w:rsidRPr="00B11E95">
        <w:rPr>
          <w:rFonts w:ascii="Arial" w:eastAsia="Times New Roman" w:hAnsi="Arial" w:cs="Arial"/>
          <w:i/>
          <w:iCs/>
          <w:lang w:val="es-ES" w:eastAsia="es-ES"/>
        </w:rPr>
        <w:lastRenderedPageBreak/>
        <w:t>de la pandemia que aqueja a nuestro país o ante cualquier otro contexto emergente</w:t>
      </w:r>
      <w:r w:rsidRPr="00B11E95">
        <w:rPr>
          <w:rFonts w:ascii="Arial" w:eastAsia="Times New Roman" w:hAnsi="Arial" w:cs="Arial"/>
          <w:lang w:val="es-ES" w:eastAsia="es-ES"/>
        </w:rPr>
        <w:t>.</w:t>
      </w:r>
    </w:p>
    <w:p w14:paraId="10062A0C" w14:textId="77777777" w:rsidR="00B11E95" w:rsidRPr="00B11E95" w:rsidRDefault="00B11E95" w:rsidP="00933290">
      <w:pPr>
        <w:shd w:val="clear" w:color="auto" w:fill="FFFFFF"/>
        <w:spacing w:after="0" w:line="240" w:lineRule="auto"/>
        <w:ind w:left="708" w:right="51"/>
        <w:contextualSpacing/>
        <w:jc w:val="both"/>
        <w:rPr>
          <w:rFonts w:ascii="Arial" w:eastAsia="Times New Roman" w:hAnsi="Arial" w:cs="Arial"/>
          <w:sz w:val="24"/>
          <w:szCs w:val="24"/>
          <w:lang w:val="es-ES" w:eastAsia="es-ES"/>
        </w:rPr>
      </w:pPr>
    </w:p>
    <w:p w14:paraId="64B2A497" w14:textId="4D090A6A" w:rsidR="00B11E95" w:rsidRPr="00B11E95" w:rsidRDefault="00B11E95" w:rsidP="00B11E95">
      <w:pPr>
        <w:shd w:val="clear" w:color="auto" w:fill="FFFFFF"/>
        <w:spacing w:after="0" w:line="240" w:lineRule="auto"/>
        <w:ind w:right="51"/>
        <w:contextualSpacing/>
        <w:jc w:val="both"/>
        <w:rPr>
          <w:rFonts w:ascii="Arial" w:eastAsia="Times New Roman" w:hAnsi="Arial" w:cs="Arial"/>
          <w:lang w:val="es-ES" w:eastAsia="es-ES"/>
        </w:rPr>
      </w:pPr>
      <w:r w:rsidRPr="00B11E95">
        <w:rPr>
          <w:rFonts w:ascii="Arial" w:eastAsia="Times New Roman" w:hAnsi="Arial" w:cs="Arial"/>
          <w:lang w:val="es-ES" w:eastAsia="es-ES"/>
        </w:rPr>
        <w:t xml:space="preserve">En dicho Informe, también se realizaron propuestas específicas a efecto de garantizar el derecho a la salud de las personas privadas de la libertad, principalmente relativas a: </w:t>
      </w:r>
    </w:p>
    <w:p w14:paraId="3461112B" w14:textId="77777777" w:rsidR="00B11E95" w:rsidRPr="00B11E95" w:rsidRDefault="00B11E95" w:rsidP="00B11E95">
      <w:pPr>
        <w:shd w:val="clear" w:color="auto" w:fill="FFFFFF"/>
        <w:spacing w:after="0" w:line="240" w:lineRule="auto"/>
        <w:ind w:right="51"/>
        <w:jc w:val="both"/>
        <w:rPr>
          <w:rFonts w:ascii="Arial" w:eastAsia="Times New Roman" w:hAnsi="Arial" w:cs="Arial"/>
          <w:sz w:val="24"/>
          <w:szCs w:val="24"/>
          <w:lang w:val="es-ES" w:eastAsia="es-ES"/>
        </w:rPr>
      </w:pPr>
      <w:bookmarkStart w:id="16" w:name="_Hlk92786907"/>
    </w:p>
    <w:p w14:paraId="0ADC7012" w14:textId="77777777" w:rsidR="00B11E95" w:rsidRPr="00B11E95" w:rsidRDefault="00B11E95" w:rsidP="00B11E95">
      <w:pPr>
        <w:numPr>
          <w:ilvl w:val="0"/>
          <w:numId w:val="21"/>
        </w:numPr>
        <w:shd w:val="clear" w:color="auto" w:fill="FFFFFF"/>
        <w:spacing w:after="0" w:line="240" w:lineRule="auto"/>
        <w:ind w:left="284" w:right="51" w:hanging="284"/>
        <w:contextualSpacing/>
        <w:jc w:val="both"/>
        <w:rPr>
          <w:rFonts w:ascii="Arial" w:eastAsia="Times New Roman" w:hAnsi="Arial" w:cs="Arial"/>
          <w:i/>
          <w:iCs/>
          <w:lang w:val="es-ES" w:eastAsia="es-ES"/>
        </w:rPr>
      </w:pPr>
      <w:r w:rsidRPr="00B11E95">
        <w:rPr>
          <w:rFonts w:ascii="Arial" w:eastAsia="Times New Roman" w:hAnsi="Arial" w:cs="Arial"/>
          <w:i/>
          <w:iCs/>
          <w:lang w:val="es-ES" w:eastAsia="es-ES"/>
        </w:rPr>
        <w:t>Reforzar las acciones encaminadas a garantizar que de manera ininterrumpida se brinde el cuadro de medicamentos prescrito a las personas privadas de la libertad que de acuerdo con sus diagnósticos clínicos confirmados se les deban proporcionar; principalmente, de aquellas personas en situación de especial vulnerabilidad, embarazo, discapacidad, edad, entre otros.</w:t>
      </w:r>
    </w:p>
    <w:p w14:paraId="45C42706" w14:textId="77777777" w:rsidR="00B11E95" w:rsidRPr="00B11E95" w:rsidRDefault="00B11E95" w:rsidP="00B11E95">
      <w:pPr>
        <w:shd w:val="clear" w:color="auto" w:fill="FFFFFF"/>
        <w:spacing w:after="0" w:line="240" w:lineRule="auto"/>
        <w:ind w:left="284" w:right="51"/>
        <w:contextualSpacing/>
        <w:jc w:val="both"/>
        <w:rPr>
          <w:rFonts w:ascii="Arial" w:eastAsia="Times New Roman" w:hAnsi="Arial" w:cs="Arial"/>
          <w:i/>
          <w:iCs/>
          <w:lang w:val="es-ES" w:eastAsia="es-ES"/>
        </w:rPr>
      </w:pPr>
    </w:p>
    <w:p w14:paraId="1119EBC5" w14:textId="77777777" w:rsidR="00B11E95" w:rsidRPr="00B11E95" w:rsidRDefault="00B11E95" w:rsidP="00B11E95">
      <w:pPr>
        <w:numPr>
          <w:ilvl w:val="0"/>
          <w:numId w:val="21"/>
        </w:numPr>
        <w:shd w:val="clear" w:color="auto" w:fill="FFFFFF"/>
        <w:spacing w:after="0" w:line="240" w:lineRule="auto"/>
        <w:ind w:left="284" w:right="51" w:hanging="284"/>
        <w:contextualSpacing/>
        <w:jc w:val="both"/>
        <w:rPr>
          <w:rFonts w:ascii="Arial" w:eastAsia="Times New Roman" w:hAnsi="Arial" w:cs="Arial"/>
          <w:i/>
          <w:iCs/>
          <w:lang w:val="es-ES" w:eastAsia="es-ES"/>
        </w:rPr>
      </w:pPr>
      <w:r w:rsidRPr="00B11E95">
        <w:rPr>
          <w:rFonts w:ascii="Arial" w:eastAsia="Times New Roman" w:hAnsi="Arial" w:cs="Arial"/>
          <w:i/>
          <w:iCs/>
          <w:lang w:val="es-ES" w:eastAsia="es-ES"/>
        </w:rPr>
        <w:t xml:space="preserve">Protección de la salud mental. La realización de un monitoreo de salud mental de la población penitenciaria y de las personas servidoras públicas que con motivo de sus funciones interactúan diariamente con  las personas privadas de la libertad, </w:t>
      </w:r>
      <w:r w:rsidRPr="00B11E95">
        <w:rPr>
          <w:rFonts w:ascii="Arial" w:eastAsia="Times New Roman" w:hAnsi="Arial" w:cs="Arial"/>
          <w:i/>
          <w:iCs/>
          <w:lang w:val="es-ES" w:eastAsia="es-ES"/>
        </w:rPr>
        <w:lastRenderedPageBreak/>
        <w:t>que permita evaluar su respuesta ante los diversos contextos que enfrentan, como el actual, a fin de elaborar y aplicar programas de atención permanentes a favor de las personas privadas de la libertad y del personal de los centros, que contemplen estrategias de autocuidado y de apoyo clínico cuando así lo requieran, que les permita afrontar la ansiedad, el pánico, miedo o cualquier otra reacción similar, y sobrellevar todos aquellos síntomas o padecimientos existentes y que puedan agravarse; prevenir el consumo de sustancias, de actos violentos en su agravio y/o de otras personas o colectivos; así como para prevenir probables conductas suicidas.</w:t>
      </w:r>
    </w:p>
    <w:bookmarkEnd w:id="16"/>
    <w:p w14:paraId="2A76AF32" w14:textId="77777777" w:rsidR="00B11E95" w:rsidRPr="00B11E95" w:rsidRDefault="00B11E95" w:rsidP="00B11E95">
      <w:pPr>
        <w:shd w:val="clear" w:color="auto" w:fill="FFFFFF"/>
        <w:spacing w:after="0" w:line="240" w:lineRule="auto"/>
        <w:ind w:right="51"/>
        <w:contextualSpacing/>
        <w:jc w:val="both"/>
        <w:rPr>
          <w:rFonts w:ascii="Arial" w:eastAsia="Times New Roman" w:hAnsi="Arial" w:cs="Arial"/>
          <w:lang w:val="es-ES" w:eastAsia="es-ES"/>
        </w:rPr>
      </w:pPr>
    </w:p>
    <w:p w14:paraId="262BE7B5" w14:textId="77777777" w:rsidR="00B11E95" w:rsidRPr="00B11E95" w:rsidRDefault="00B11E95" w:rsidP="00B11E95">
      <w:pPr>
        <w:shd w:val="clear" w:color="auto" w:fill="FFFFFF"/>
        <w:spacing w:after="0" w:line="240" w:lineRule="auto"/>
        <w:ind w:right="51"/>
        <w:contextualSpacing/>
        <w:jc w:val="both"/>
        <w:rPr>
          <w:rFonts w:ascii="Arial" w:eastAsia="Times New Roman" w:hAnsi="Arial" w:cs="Arial"/>
          <w:lang w:val="es-ES" w:eastAsia="es-ES"/>
        </w:rPr>
      </w:pPr>
      <w:r w:rsidRPr="00B11E95">
        <w:rPr>
          <w:rFonts w:ascii="Arial" w:eastAsia="Times New Roman" w:hAnsi="Arial" w:cs="Arial"/>
          <w:lang w:val="es-ES" w:eastAsia="es-ES"/>
        </w:rPr>
        <w:t xml:space="preserve">Disponible en: </w:t>
      </w:r>
      <w:hyperlink r:id="rId19" w:history="1">
        <w:r w:rsidRPr="00B11E95">
          <w:rPr>
            <w:rFonts w:ascii="Arial" w:eastAsia="Times New Roman" w:hAnsi="Arial" w:cs="Arial"/>
            <w:color w:val="0563C1" w:themeColor="hyperlink"/>
            <w:u w:val="single"/>
            <w:lang w:val="es-ES" w:eastAsia="es-ES"/>
          </w:rPr>
          <w:t>https://www.cndh.org.mx/sites/default/files/documentos/2020-07/IE_COVID19_Penitenciarios.pdf</w:t>
        </w:r>
      </w:hyperlink>
      <w:r w:rsidRPr="00B11E95">
        <w:rPr>
          <w:rFonts w:ascii="Arial" w:eastAsia="Times New Roman" w:hAnsi="Arial" w:cs="Arial"/>
          <w:lang w:val="es-ES" w:eastAsia="es-ES"/>
        </w:rPr>
        <w:t xml:space="preserve"> </w:t>
      </w:r>
    </w:p>
    <w:p w14:paraId="5860A97E" w14:textId="77777777" w:rsidR="00CC2603" w:rsidRDefault="00CC2603" w:rsidP="00CC2603">
      <w:pPr>
        <w:shd w:val="clear" w:color="auto" w:fill="FFFFFF"/>
        <w:spacing w:after="0" w:line="240" w:lineRule="auto"/>
        <w:ind w:right="51"/>
        <w:contextualSpacing/>
        <w:jc w:val="both"/>
        <w:rPr>
          <w:rFonts w:ascii="Arial" w:eastAsia="Times New Roman" w:hAnsi="Arial" w:cs="Arial"/>
          <w:sz w:val="24"/>
          <w:szCs w:val="24"/>
          <w:lang w:val="es-ES" w:eastAsia="es-ES"/>
        </w:rPr>
      </w:pPr>
    </w:p>
    <w:p w14:paraId="21749A79" w14:textId="00FBD680" w:rsidR="00B11E95" w:rsidRPr="00B11E95" w:rsidRDefault="00B11E95" w:rsidP="00CC2603">
      <w:pPr>
        <w:shd w:val="clear" w:color="auto" w:fill="FFFFFF"/>
        <w:spacing w:after="0" w:line="240" w:lineRule="auto"/>
        <w:ind w:right="51"/>
        <w:contextualSpacing/>
        <w:jc w:val="both"/>
        <w:rPr>
          <w:rFonts w:ascii="Arial" w:eastAsia="Times New Roman" w:hAnsi="Arial" w:cs="Arial"/>
          <w:lang w:val="es-ES" w:eastAsia="es-ES"/>
        </w:rPr>
      </w:pPr>
      <w:r w:rsidRPr="00B11E95">
        <w:rPr>
          <w:rFonts w:ascii="Arial" w:eastAsia="Times New Roman" w:hAnsi="Arial" w:cs="Arial"/>
          <w:lang w:val="es-ES" w:eastAsia="es-ES"/>
        </w:rPr>
        <w:t>El 16 de junio de 2021, se emitió el</w:t>
      </w:r>
      <w:r w:rsidRPr="00B11E95">
        <w:rPr>
          <w:rFonts w:ascii="Arial" w:eastAsia="Times New Roman" w:hAnsi="Arial" w:cs="Arial"/>
          <w:b/>
          <w:bCs/>
          <w:lang w:val="es-ES" w:eastAsia="es-ES"/>
        </w:rPr>
        <w:t xml:space="preserve"> </w:t>
      </w:r>
      <w:r w:rsidRPr="00B11E95">
        <w:rPr>
          <w:rFonts w:ascii="Arial" w:eastAsia="Times New Roman" w:hAnsi="Arial" w:cs="Arial"/>
          <w:b/>
          <w:bCs/>
          <w:color w:val="1F3864" w:themeColor="accent1" w:themeShade="80"/>
          <w:lang w:val="es-ES" w:eastAsia="es-ES"/>
        </w:rPr>
        <w:t xml:space="preserve">Comunicado DGC/160/2021 </w:t>
      </w:r>
      <w:r w:rsidRPr="00B11E95">
        <w:rPr>
          <w:rFonts w:ascii="Arial" w:eastAsia="Times New Roman" w:hAnsi="Arial" w:cs="Arial"/>
          <w:color w:val="1F3864" w:themeColor="accent1" w:themeShade="80"/>
          <w:lang w:val="es-ES" w:eastAsia="es-ES"/>
        </w:rPr>
        <w:t>CNDH exhorta a cumplir la Ley Nacional de Ejecución Penal y garantizar una efectiva reinserción social</w:t>
      </w:r>
      <w:r w:rsidRPr="00B11E95">
        <w:rPr>
          <w:rFonts w:ascii="Arial" w:eastAsia="Times New Roman" w:hAnsi="Arial" w:cs="Arial"/>
          <w:lang w:val="es-ES" w:eastAsia="es-ES"/>
        </w:rPr>
        <w:t xml:space="preserve">. </w:t>
      </w:r>
    </w:p>
    <w:p w14:paraId="1156D1C7" w14:textId="77777777" w:rsidR="00B11E95" w:rsidRPr="00B11E95" w:rsidRDefault="00B11E95" w:rsidP="00B11E95">
      <w:pPr>
        <w:shd w:val="clear" w:color="auto" w:fill="FFFFFF"/>
        <w:spacing w:after="0" w:line="240" w:lineRule="auto"/>
        <w:ind w:right="51"/>
        <w:jc w:val="both"/>
        <w:rPr>
          <w:rFonts w:ascii="Arial" w:eastAsia="Times New Roman" w:hAnsi="Arial" w:cs="Arial"/>
          <w:lang w:val="es-ES" w:eastAsia="es-ES"/>
        </w:rPr>
      </w:pPr>
    </w:p>
    <w:p w14:paraId="4ABA6D26" w14:textId="77777777" w:rsidR="00B11E95" w:rsidRPr="00B11E95" w:rsidRDefault="00B11E95" w:rsidP="00B11E95">
      <w:pPr>
        <w:shd w:val="clear" w:color="auto" w:fill="FFFFFF"/>
        <w:spacing w:after="0" w:line="240" w:lineRule="auto"/>
        <w:ind w:right="51"/>
        <w:jc w:val="both"/>
        <w:rPr>
          <w:rFonts w:ascii="Arial" w:eastAsia="Times New Roman" w:hAnsi="Arial" w:cs="Arial"/>
          <w:lang w:val="es-ES" w:eastAsia="es-ES"/>
        </w:rPr>
      </w:pPr>
      <w:r w:rsidRPr="00B11E95">
        <w:rPr>
          <w:rFonts w:ascii="Arial" w:eastAsia="Times New Roman" w:hAnsi="Arial" w:cs="Arial"/>
          <w:lang w:val="es-ES" w:eastAsia="es-ES"/>
        </w:rPr>
        <w:t>Con base en la información enviada por parte de las autoridades penitenciarias a nivel federal y estatal respecto al cumplimiento de la Recomendación General 38/2019, el 16 de junio de 2021 se emitió el comunicado DGC/160/2021 en el que la CNDH exhortó a cumplir la Ley Nacional de Ejecución Penal y garantizar una efectiva reinserción social. Enfatizando, entre otros aspectos que, en relación con el cumplimiento de dicha Recomendación, se habían observado avances limitados en la implementación y ausencia de acciones sustantivas por parte de las Comisiones Intersecretariales en la materia, esto a pesar de que la mayoría de los estados ya cuenta con dichas instancias, su funcionamiento no ha generado resultados visibles que redunden en una mejor calidad de vida de las personas en reclusión.</w:t>
      </w:r>
    </w:p>
    <w:p w14:paraId="6CFA2AEF" w14:textId="77777777" w:rsidR="00B11E95" w:rsidRPr="00B11E95" w:rsidRDefault="00B11E95" w:rsidP="00B11E95">
      <w:pPr>
        <w:shd w:val="clear" w:color="auto" w:fill="FFFFFF"/>
        <w:spacing w:after="0" w:line="240" w:lineRule="auto"/>
        <w:ind w:right="51"/>
        <w:jc w:val="both"/>
        <w:rPr>
          <w:rFonts w:ascii="Arial" w:eastAsia="Times New Roman" w:hAnsi="Arial" w:cs="Arial"/>
          <w:lang w:val="es-ES" w:eastAsia="es-ES"/>
        </w:rPr>
      </w:pPr>
      <w:r w:rsidRPr="00B11E95">
        <w:rPr>
          <w:rFonts w:ascii="Arial" w:eastAsia="Times New Roman" w:hAnsi="Arial" w:cs="Arial"/>
          <w:lang w:val="es-ES" w:eastAsia="es-ES"/>
        </w:rPr>
        <w:t xml:space="preserve">                                                                                                                                                                                                                                                                                                                                        Disponible en: </w:t>
      </w:r>
      <w:hyperlink r:id="rId20" w:history="1">
        <w:r w:rsidRPr="00B11E95">
          <w:rPr>
            <w:rFonts w:ascii="Arial" w:eastAsia="Times New Roman" w:hAnsi="Arial" w:cs="Arial"/>
            <w:color w:val="0563C1" w:themeColor="hyperlink"/>
            <w:u w:val="single"/>
            <w:lang w:val="es-ES" w:eastAsia="es-ES"/>
          </w:rPr>
          <w:t>https://www.cndh.org.mx/sites/default/files/documentos/2021-06/COM_2021_160.pdf</w:t>
        </w:r>
      </w:hyperlink>
    </w:p>
    <w:p w14:paraId="7EC33F85" w14:textId="77777777" w:rsidR="00B11E95" w:rsidRPr="00B11E95" w:rsidRDefault="00B11E95" w:rsidP="00B11E95">
      <w:pPr>
        <w:shd w:val="clear" w:color="auto" w:fill="FFFFFF"/>
        <w:spacing w:after="0" w:line="240" w:lineRule="auto"/>
        <w:ind w:right="51"/>
        <w:contextualSpacing/>
        <w:jc w:val="both"/>
        <w:rPr>
          <w:rFonts w:ascii="Arial" w:eastAsia="Times New Roman" w:hAnsi="Arial" w:cs="Arial"/>
          <w:color w:val="1F3864" w:themeColor="accent1" w:themeShade="80"/>
          <w:sz w:val="24"/>
          <w:szCs w:val="24"/>
          <w:lang w:val="es-ES" w:eastAsia="es-ES"/>
        </w:rPr>
      </w:pPr>
      <w:bookmarkStart w:id="17" w:name="_Hlk92787817"/>
    </w:p>
    <w:p w14:paraId="3BED5199" w14:textId="77777777" w:rsidR="00CC2603" w:rsidRPr="00CC2603" w:rsidRDefault="00CC2603" w:rsidP="00CC2603">
      <w:pPr>
        <w:shd w:val="clear" w:color="auto" w:fill="FFFFFF"/>
        <w:spacing w:after="0" w:line="240" w:lineRule="auto"/>
        <w:ind w:left="-142" w:right="51"/>
        <w:contextualSpacing/>
        <w:jc w:val="both"/>
        <w:rPr>
          <w:rFonts w:ascii="Arial" w:eastAsia="Times New Roman" w:hAnsi="Arial" w:cs="Arial"/>
          <w:b/>
          <w:bCs/>
          <w:i/>
          <w:iCs/>
          <w:lang w:val="es-ES" w:eastAsia="es-ES"/>
        </w:rPr>
      </w:pPr>
      <w:bookmarkStart w:id="18" w:name="_Hlk92788772"/>
      <w:r w:rsidRPr="00CC2603">
        <w:rPr>
          <w:rFonts w:ascii="Arial" w:eastAsia="Times New Roman" w:hAnsi="Arial" w:cs="Arial"/>
          <w:b/>
          <w:bCs/>
          <w:i/>
          <w:iCs/>
          <w:lang w:val="es-ES" w:eastAsia="es-ES"/>
        </w:rPr>
        <w:t xml:space="preserve">34. El Estado parte debe: </w:t>
      </w:r>
    </w:p>
    <w:p w14:paraId="1A602FC7" w14:textId="77777777" w:rsidR="00CC2603" w:rsidRPr="00CC2603" w:rsidRDefault="00CC2603" w:rsidP="00CC2603">
      <w:pPr>
        <w:shd w:val="clear" w:color="auto" w:fill="FFFFFF"/>
        <w:spacing w:after="0" w:line="240" w:lineRule="auto"/>
        <w:ind w:left="-142" w:right="51"/>
        <w:contextualSpacing/>
        <w:jc w:val="both"/>
        <w:rPr>
          <w:rFonts w:ascii="Arial" w:eastAsia="Times New Roman" w:hAnsi="Arial" w:cs="Arial"/>
          <w:b/>
          <w:bCs/>
          <w:i/>
          <w:iCs/>
          <w:lang w:val="es-ES" w:eastAsia="es-ES"/>
        </w:rPr>
      </w:pPr>
    </w:p>
    <w:p w14:paraId="7715ACEC" w14:textId="77777777" w:rsidR="00CC2603" w:rsidRPr="00CC2603" w:rsidRDefault="00CC2603" w:rsidP="00CC2603">
      <w:pPr>
        <w:shd w:val="clear" w:color="auto" w:fill="FFFFFF"/>
        <w:spacing w:after="0" w:line="240" w:lineRule="auto"/>
        <w:ind w:left="-142" w:right="51"/>
        <w:contextualSpacing/>
        <w:jc w:val="both"/>
        <w:rPr>
          <w:rFonts w:ascii="Arial" w:eastAsia="Times New Roman" w:hAnsi="Arial" w:cs="Arial"/>
          <w:b/>
          <w:bCs/>
          <w:i/>
          <w:iCs/>
          <w:lang w:val="es-ES" w:eastAsia="es-ES"/>
        </w:rPr>
      </w:pPr>
      <w:r w:rsidRPr="00CC2603">
        <w:rPr>
          <w:rFonts w:ascii="Arial" w:eastAsia="Times New Roman" w:hAnsi="Arial" w:cs="Arial"/>
          <w:b/>
          <w:bCs/>
          <w:i/>
          <w:iCs/>
          <w:lang w:val="es-ES" w:eastAsia="es-ES"/>
        </w:rPr>
        <w:t xml:space="preserve">e) Garantizar que se cuenta con suficientes funcionarios de prisiones y demás personal de custodia para garantizar la seguridad en el interior de las cárceles. </w:t>
      </w:r>
    </w:p>
    <w:p w14:paraId="1597CC74" w14:textId="77777777" w:rsidR="00CC2603" w:rsidRPr="00CC2603" w:rsidRDefault="00CC2603" w:rsidP="00CC2603">
      <w:pPr>
        <w:shd w:val="clear" w:color="auto" w:fill="FFFFFF"/>
        <w:spacing w:after="0" w:line="240" w:lineRule="auto"/>
        <w:ind w:left="-142" w:right="51"/>
        <w:contextualSpacing/>
        <w:jc w:val="both"/>
        <w:rPr>
          <w:rFonts w:ascii="Arial" w:eastAsia="Times New Roman" w:hAnsi="Arial" w:cs="Arial"/>
          <w:b/>
          <w:bCs/>
          <w:i/>
          <w:iCs/>
          <w:lang w:val="es-ES" w:eastAsia="es-ES"/>
        </w:rPr>
      </w:pPr>
    </w:p>
    <w:p w14:paraId="2B6C0888" w14:textId="77777777" w:rsidR="00CC2603" w:rsidRDefault="00CC2603" w:rsidP="00CC2603">
      <w:pPr>
        <w:shd w:val="clear" w:color="auto" w:fill="FFFFFF"/>
        <w:spacing w:after="0" w:line="240" w:lineRule="auto"/>
        <w:ind w:left="-142" w:right="51"/>
        <w:contextualSpacing/>
        <w:jc w:val="both"/>
        <w:rPr>
          <w:rFonts w:ascii="Arial" w:eastAsia="Times New Roman" w:hAnsi="Arial" w:cs="Arial"/>
          <w:b/>
          <w:bCs/>
          <w:i/>
          <w:iCs/>
          <w:lang w:val="es-ES" w:eastAsia="es-ES"/>
        </w:rPr>
      </w:pPr>
      <w:r w:rsidRPr="00CC2603">
        <w:rPr>
          <w:rFonts w:ascii="Arial" w:eastAsia="Times New Roman" w:hAnsi="Arial" w:cs="Arial"/>
          <w:b/>
          <w:bCs/>
          <w:i/>
          <w:iCs/>
          <w:lang w:val="es-ES" w:eastAsia="es-ES"/>
        </w:rPr>
        <w:t>f) Iniciar actuaciones judiciales y disciplinarias contra los funcionarios y otro personal de custodia responsables de la corrupción en el sistema penitenciario</w:t>
      </w:r>
      <w:bookmarkStart w:id="19" w:name="_Hlk92793966"/>
      <w:bookmarkStart w:id="20" w:name="_Hlk92795633"/>
      <w:bookmarkEnd w:id="13"/>
      <w:bookmarkEnd w:id="17"/>
      <w:bookmarkEnd w:id="18"/>
    </w:p>
    <w:p w14:paraId="35014C71" w14:textId="45D49A42" w:rsidR="00CC2603" w:rsidRDefault="00CC2603" w:rsidP="00CC2603">
      <w:pPr>
        <w:shd w:val="clear" w:color="auto" w:fill="FFFFFF"/>
        <w:spacing w:after="0" w:line="240" w:lineRule="auto"/>
        <w:ind w:left="-142" w:right="51"/>
        <w:contextualSpacing/>
        <w:jc w:val="both"/>
        <w:rPr>
          <w:rFonts w:ascii="Arial" w:eastAsia="Times New Roman" w:hAnsi="Arial" w:cs="Arial"/>
          <w:b/>
          <w:bCs/>
          <w:i/>
          <w:iCs/>
          <w:lang w:val="es-ES" w:eastAsia="es-ES"/>
        </w:rPr>
      </w:pPr>
    </w:p>
    <w:p w14:paraId="082EB1FE" w14:textId="1BC1457B" w:rsidR="00CC2603" w:rsidRDefault="00CC2603" w:rsidP="00CC2603">
      <w:pPr>
        <w:shd w:val="clear" w:color="auto" w:fill="FFFFFF"/>
        <w:spacing w:after="0" w:line="240" w:lineRule="auto"/>
        <w:ind w:left="-142" w:right="51"/>
        <w:contextualSpacing/>
        <w:jc w:val="both"/>
        <w:rPr>
          <w:rFonts w:ascii="Arial" w:eastAsia="Times New Roman" w:hAnsi="Arial" w:cs="Arial"/>
          <w:b/>
          <w:bCs/>
          <w:i/>
          <w:iCs/>
          <w:lang w:val="es-ES" w:eastAsia="es-ES"/>
        </w:rPr>
      </w:pPr>
      <w:r>
        <w:rPr>
          <w:rFonts w:ascii="Arial" w:eastAsia="Times New Roman" w:hAnsi="Arial" w:cs="Arial"/>
          <w:b/>
          <w:bCs/>
          <w:i/>
          <w:iCs/>
          <w:lang w:val="es-ES" w:eastAsia="es-ES"/>
        </w:rPr>
        <w:t>Acciones de la Comisión Nacional de los Derechos Humanos</w:t>
      </w:r>
    </w:p>
    <w:p w14:paraId="25EE663B" w14:textId="77777777" w:rsidR="00CC2603" w:rsidRDefault="00CC2603" w:rsidP="00CC2603">
      <w:pPr>
        <w:shd w:val="clear" w:color="auto" w:fill="FFFFFF"/>
        <w:spacing w:after="0" w:line="240" w:lineRule="auto"/>
        <w:ind w:left="-142" w:right="51"/>
        <w:contextualSpacing/>
        <w:jc w:val="both"/>
        <w:rPr>
          <w:rFonts w:ascii="Arial" w:eastAsia="Times New Roman" w:hAnsi="Arial" w:cs="Arial"/>
          <w:b/>
          <w:bCs/>
          <w:i/>
          <w:iCs/>
          <w:lang w:val="es-ES" w:eastAsia="es-ES"/>
        </w:rPr>
      </w:pPr>
    </w:p>
    <w:p w14:paraId="4F11DCCC" w14:textId="0DDE584E" w:rsidR="00B11E95" w:rsidRPr="00B11E95" w:rsidRDefault="00B11E95" w:rsidP="00CC2603">
      <w:pPr>
        <w:shd w:val="clear" w:color="auto" w:fill="FFFFFF"/>
        <w:spacing w:after="0" w:line="240" w:lineRule="auto"/>
        <w:ind w:left="-142" w:right="51"/>
        <w:contextualSpacing/>
        <w:jc w:val="both"/>
        <w:rPr>
          <w:rFonts w:ascii="Arial" w:eastAsia="Times New Roman" w:hAnsi="Arial" w:cs="Arial"/>
          <w:b/>
          <w:bCs/>
          <w:i/>
          <w:iCs/>
          <w:lang w:val="es-ES" w:eastAsia="es-ES"/>
        </w:rPr>
      </w:pPr>
      <w:r w:rsidRPr="00B11E95">
        <w:rPr>
          <w:rFonts w:ascii="Arial" w:eastAsia="Times New Roman" w:hAnsi="Arial" w:cs="Arial"/>
          <w:lang w:val="es-ES" w:eastAsia="es-ES"/>
        </w:rPr>
        <w:t xml:space="preserve">En el </w:t>
      </w:r>
      <w:r w:rsidRPr="00B11E95">
        <w:rPr>
          <w:rFonts w:ascii="Arial" w:eastAsia="Times New Roman" w:hAnsi="Arial" w:cs="Arial"/>
          <w:b/>
          <w:bCs/>
          <w:color w:val="1F3864" w:themeColor="accent1" w:themeShade="80"/>
          <w:lang w:val="es-ES" w:eastAsia="es-ES"/>
        </w:rPr>
        <w:t>Informe Especial</w:t>
      </w:r>
      <w:r w:rsidRPr="00B11E95">
        <w:rPr>
          <w:rFonts w:ascii="Arial" w:eastAsia="Times New Roman" w:hAnsi="Arial" w:cs="Arial"/>
          <w:color w:val="1F3864" w:themeColor="accent1" w:themeShade="80"/>
          <w:lang w:val="es-ES" w:eastAsia="es-ES"/>
        </w:rPr>
        <w:t xml:space="preserve"> sobre el Estado que Guardan las Medidas Adoptadas en Centros Penitenciarios para la Atención de la Emergencia Sanitaria Generada ante el Virus SARS-CoV2 /COVID-19), </w:t>
      </w:r>
      <w:r w:rsidRPr="00B11E95">
        <w:rPr>
          <w:rFonts w:ascii="Arial" w:eastAsia="Times New Roman" w:hAnsi="Arial" w:cs="Arial"/>
          <w:lang w:val="es-ES" w:eastAsia="es-ES"/>
        </w:rPr>
        <w:t xml:space="preserve">emitido en el año 2020, en la propuesta Trigésima Quinta, se abordó la necesidad de capacitar al personal administrativo y de seguridad a fin de difundir información oficial y objetiva a la población penitenciaria ante contextos emergentes, y con ello, evitar inestabilidad individual o colectiva ante los hechos provenientes del exterior e incertidumbre jurídica. </w:t>
      </w:r>
    </w:p>
    <w:p w14:paraId="7B5053E6" w14:textId="77777777" w:rsidR="00B11E95" w:rsidRPr="00B11E95" w:rsidRDefault="00B11E95" w:rsidP="00B11E95">
      <w:pPr>
        <w:shd w:val="clear" w:color="auto" w:fill="FFFFFF"/>
        <w:spacing w:after="0" w:line="240" w:lineRule="auto"/>
        <w:ind w:right="51"/>
        <w:rPr>
          <w:rFonts w:ascii="Arial" w:eastAsia="Times New Roman" w:hAnsi="Arial" w:cs="Arial"/>
          <w:b/>
          <w:bCs/>
          <w:color w:val="1F3864" w:themeColor="accent1" w:themeShade="80"/>
          <w:lang w:val="es-ES" w:eastAsia="es-ES"/>
        </w:rPr>
      </w:pPr>
    </w:p>
    <w:bookmarkEnd w:id="19"/>
    <w:p w14:paraId="53AF9DEF" w14:textId="77777777" w:rsidR="00B11E95" w:rsidRPr="00B11E95" w:rsidRDefault="00B11E95" w:rsidP="00933290">
      <w:pPr>
        <w:shd w:val="clear" w:color="auto" w:fill="FFFFFF"/>
        <w:spacing w:after="0" w:line="240" w:lineRule="auto"/>
        <w:ind w:left="708" w:right="51"/>
        <w:jc w:val="both"/>
        <w:rPr>
          <w:rFonts w:ascii="Arial" w:eastAsia="Times New Roman" w:hAnsi="Arial" w:cs="Arial"/>
          <w:b/>
          <w:bCs/>
          <w:i/>
          <w:iCs/>
          <w:color w:val="1F3864" w:themeColor="accent1" w:themeShade="80"/>
          <w:lang w:val="es-ES" w:eastAsia="es-ES"/>
        </w:rPr>
      </w:pPr>
      <w:r w:rsidRPr="00B11E95">
        <w:rPr>
          <w:rFonts w:ascii="Arial" w:eastAsia="Times New Roman" w:hAnsi="Arial" w:cs="Arial"/>
          <w:lang w:val="es-ES" w:eastAsia="es-ES"/>
        </w:rPr>
        <w:t xml:space="preserve">TRIGÉSIMA QUINTA. </w:t>
      </w:r>
      <w:r w:rsidRPr="00B11E95">
        <w:rPr>
          <w:rFonts w:ascii="Arial" w:eastAsia="Times New Roman" w:hAnsi="Arial" w:cs="Arial"/>
          <w:i/>
          <w:iCs/>
          <w:lang w:val="es-ES" w:eastAsia="es-ES"/>
        </w:rPr>
        <w:t>Capacitación al personal administrativo y de seguridad para difundir información oficial y objetiva a la población penitenciaria ante contextos emergentes. Las autoridades penitenciarias en corresponsabilidad con las autoridades en la materia, promoverán permanentemente la capacitación y sensibilización del personal que labora en los centros penitenciarios para que conozcan el tratamiento que deben dar a la información que proviene del exterior relacionada con algún contexto emergente, a fin de evitar difundir o validar aquella que carezca de veracidad, no haya sido emitida por alguna autoridad de manera oficial, o no pueda verificarse la fuente de donde proviene, lo que permitirá prevenir la inestabilidad emocional individual o colectiva y a su vez, incertidumbre jurídica entre la población penitenciaria.</w:t>
      </w:r>
    </w:p>
    <w:p w14:paraId="134AAB93" w14:textId="77777777" w:rsidR="00B11E95" w:rsidRPr="00B11E95" w:rsidRDefault="00B11E95" w:rsidP="00B11E95">
      <w:pPr>
        <w:shd w:val="clear" w:color="auto" w:fill="FFFFFF"/>
        <w:spacing w:after="0" w:line="240" w:lineRule="auto"/>
        <w:ind w:right="51"/>
        <w:rPr>
          <w:rFonts w:ascii="Arial" w:eastAsia="Times New Roman" w:hAnsi="Arial" w:cs="Arial"/>
          <w:b/>
          <w:bCs/>
          <w:i/>
          <w:iCs/>
          <w:color w:val="1F3864" w:themeColor="accent1" w:themeShade="80"/>
          <w:sz w:val="27"/>
          <w:szCs w:val="27"/>
          <w:lang w:val="es-ES" w:eastAsia="es-ES"/>
        </w:rPr>
      </w:pPr>
    </w:p>
    <w:p w14:paraId="32A4E066" w14:textId="77777777" w:rsidR="00B11E95" w:rsidRPr="00B11E95" w:rsidRDefault="00B11E95" w:rsidP="00B11E95">
      <w:pPr>
        <w:shd w:val="clear" w:color="auto" w:fill="FFFFFF"/>
        <w:spacing w:after="0" w:line="240" w:lineRule="auto"/>
        <w:ind w:right="51"/>
        <w:contextualSpacing/>
        <w:jc w:val="both"/>
        <w:rPr>
          <w:rFonts w:ascii="Arial" w:eastAsia="Times New Roman" w:hAnsi="Arial" w:cs="Arial"/>
          <w:lang w:val="es-ES" w:eastAsia="es-ES"/>
        </w:rPr>
      </w:pPr>
      <w:bookmarkStart w:id="21" w:name="_Hlk92794704"/>
      <w:r w:rsidRPr="00B11E95">
        <w:rPr>
          <w:rFonts w:ascii="Arial" w:eastAsia="Times New Roman" w:hAnsi="Arial" w:cs="Arial"/>
          <w:lang w:val="es-ES" w:eastAsia="es-ES"/>
        </w:rPr>
        <w:t xml:space="preserve">Disponible en: </w:t>
      </w:r>
      <w:hyperlink r:id="rId21" w:history="1">
        <w:r w:rsidRPr="00B11E95">
          <w:rPr>
            <w:rFonts w:ascii="Arial" w:eastAsia="Times New Roman" w:hAnsi="Arial" w:cs="Arial"/>
            <w:color w:val="0563C1" w:themeColor="hyperlink"/>
            <w:u w:val="single"/>
            <w:lang w:val="es-ES" w:eastAsia="es-ES"/>
          </w:rPr>
          <w:t>https://www.cndh.org.mx/sites/default/files/documentos/2020-07/IE_COVID19_Penitenciarios.pdf</w:t>
        </w:r>
      </w:hyperlink>
      <w:r w:rsidRPr="00B11E95">
        <w:rPr>
          <w:rFonts w:ascii="Arial" w:eastAsia="Times New Roman" w:hAnsi="Arial" w:cs="Arial"/>
          <w:lang w:val="es-ES" w:eastAsia="es-ES"/>
        </w:rPr>
        <w:t xml:space="preserve"> </w:t>
      </w:r>
    </w:p>
    <w:bookmarkEnd w:id="21"/>
    <w:p w14:paraId="7A417328" w14:textId="77777777" w:rsidR="00B11E95" w:rsidRPr="00B11E95" w:rsidRDefault="00B11E95" w:rsidP="00B11E95">
      <w:pPr>
        <w:shd w:val="clear" w:color="auto" w:fill="FFFFFF"/>
        <w:spacing w:after="0" w:line="240" w:lineRule="auto"/>
        <w:ind w:right="51"/>
        <w:rPr>
          <w:rFonts w:ascii="Arial" w:eastAsia="Times New Roman" w:hAnsi="Arial" w:cs="Arial"/>
          <w:b/>
          <w:bCs/>
          <w:i/>
          <w:iCs/>
          <w:color w:val="1F3864" w:themeColor="accent1" w:themeShade="80"/>
          <w:sz w:val="27"/>
          <w:szCs w:val="27"/>
          <w:lang w:val="es-ES" w:eastAsia="es-ES"/>
        </w:rPr>
      </w:pPr>
    </w:p>
    <w:p w14:paraId="3BEBB806" w14:textId="5AAC9F57" w:rsidR="00B11E95" w:rsidRPr="00B11E95" w:rsidRDefault="00B11E95" w:rsidP="00CC2603">
      <w:pPr>
        <w:shd w:val="clear" w:color="auto" w:fill="FFFFFF"/>
        <w:spacing w:after="0" w:line="240" w:lineRule="auto"/>
        <w:ind w:right="51"/>
        <w:contextualSpacing/>
        <w:jc w:val="both"/>
        <w:rPr>
          <w:rFonts w:ascii="Arial" w:eastAsia="Times New Roman" w:hAnsi="Arial" w:cs="Arial"/>
          <w:color w:val="1F3864" w:themeColor="accent1" w:themeShade="80"/>
          <w:lang w:val="es-ES" w:eastAsia="es-ES"/>
        </w:rPr>
      </w:pPr>
      <w:r w:rsidRPr="00B11E95">
        <w:rPr>
          <w:rFonts w:ascii="Arial" w:eastAsia="Times New Roman" w:hAnsi="Arial" w:cs="Arial"/>
          <w:lang w:val="es-ES" w:eastAsia="es-ES"/>
        </w:rPr>
        <w:t xml:space="preserve">En los </w:t>
      </w:r>
      <w:r w:rsidRPr="00B11E95">
        <w:rPr>
          <w:rFonts w:ascii="Arial" w:eastAsia="Times New Roman" w:hAnsi="Arial" w:cs="Arial"/>
          <w:b/>
          <w:bCs/>
          <w:color w:val="1F3864" w:themeColor="accent1" w:themeShade="80"/>
          <w:lang w:val="es-ES" w:eastAsia="es-ES"/>
        </w:rPr>
        <w:t>Diagnósticos Nacionales de Supervisión Penitenciaria</w:t>
      </w:r>
      <w:r w:rsidRPr="00B11E95">
        <w:rPr>
          <w:rFonts w:ascii="Arial" w:eastAsia="Times New Roman" w:hAnsi="Arial" w:cs="Arial"/>
          <w:color w:val="1F3864" w:themeColor="accent1" w:themeShade="80"/>
          <w:lang w:val="es-ES" w:eastAsia="es-ES"/>
        </w:rPr>
        <w:t xml:space="preserve"> </w:t>
      </w:r>
      <w:r w:rsidRPr="00B11E95">
        <w:rPr>
          <w:rFonts w:ascii="Arial" w:eastAsia="Times New Roman" w:hAnsi="Arial" w:cs="Arial"/>
          <w:lang w:val="es-ES" w:eastAsia="es-ES"/>
        </w:rPr>
        <w:t xml:space="preserve">DNSP 2019 y 2020, se dio a conocer la situación actual que prevalece en los centros penitenciarios a nivel federal, estatal y militar, por lo que respecta a las posibles deficiencias detectadas en las que se encuentran.  Entre éstas, se realiza un análisis respecto de las </w:t>
      </w:r>
      <w:r w:rsidRPr="00B11E95">
        <w:rPr>
          <w:rFonts w:ascii="Arial" w:eastAsia="Times New Roman" w:hAnsi="Arial" w:cs="Arial"/>
          <w:color w:val="1F3864" w:themeColor="accent1" w:themeShade="80"/>
          <w:lang w:val="es-ES" w:eastAsia="es-ES"/>
        </w:rPr>
        <w:t>condiciones de gobernabilidad</w:t>
      </w:r>
      <w:r w:rsidRPr="00B11E95">
        <w:rPr>
          <w:rFonts w:ascii="Arial" w:eastAsia="Times New Roman" w:hAnsi="Arial" w:cs="Arial"/>
          <w:lang w:val="es-ES" w:eastAsia="es-ES"/>
        </w:rPr>
        <w:t xml:space="preserve">, haciendo énfasis en la situación actual en la que se encuentran los centros penitenciarios respecto de: a) El ejercicio de funciones de autoridad por parte de personas privadas de la libertad (autogobierno/cogobierno), y b) la insuficiencia de personal de seguridad y custodia. Así como, respecto de los </w:t>
      </w:r>
      <w:r w:rsidRPr="00B11E95">
        <w:rPr>
          <w:rFonts w:ascii="Arial" w:eastAsia="Times New Roman" w:hAnsi="Arial" w:cs="Arial"/>
          <w:color w:val="1F3864" w:themeColor="accent1" w:themeShade="80"/>
          <w:lang w:val="es-ES" w:eastAsia="es-ES"/>
        </w:rPr>
        <w:t>aspectos que garantizan la integridad de las personas privadas de la libertad,</w:t>
      </w:r>
      <w:r w:rsidRPr="00B11E95">
        <w:rPr>
          <w:rFonts w:ascii="Arial" w:eastAsia="Times New Roman" w:hAnsi="Arial" w:cs="Arial"/>
          <w:b/>
          <w:bCs/>
          <w:color w:val="1F3864" w:themeColor="accent1" w:themeShade="80"/>
          <w:lang w:val="es-ES" w:eastAsia="es-ES"/>
        </w:rPr>
        <w:t xml:space="preserve"> </w:t>
      </w:r>
      <w:r w:rsidRPr="00B11E95">
        <w:rPr>
          <w:rFonts w:ascii="Arial" w:eastAsia="Times New Roman" w:hAnsi="Arial" w:cs="Arial"/>
          <w:lang w:val="es-ES" w:eastAsia="es-ES"/>
        </w:rPr>
        <w:t xml:space="preserve">que contempla: a) la supervisión del funcionamiento del centro por parte del titular; b) sobre la falta de prevención de violaciones a derechos humanos y atención en caso de detección, y c) Insuficiencia de programas para la prevención y atención de incidentes violentos. Los resultados emitidos permiten que, tras su emisión, las personas titulares a cargo de los sistemas penitenciarios federal, estatales y/o militar realicen las acciones respectivas para subsanarlas.  </w:t>
      </w:r>
    </w:p>
    <w:p w14:paraId="5CFF86A2" w14:textId="77777777" w:rsidR="00B11E95" w:rsidRPr="00B11E95" w:rsidRDefault="00B11E95" w:rsidP="00B11E95">
      <w:pPr>
        <w:shd w:val="clear" w:color="auto" w:fill="FFFFFF"/>
        <w:spacing w:after="0" w:line="240" w:lineRule="auto"/>
        <w:ind w:right="51"/>
        <w:contextualSpacing/>
        <w:jc w:val="both"/>
        <w:rPr>
          <w:rFonts w:ascii="Arial" w:eastAsia="Times New Roman" w:hAnsi="Arial" w:cs="Arial"/>
          <w:lang w:val="es-ES" w:eastAsia="es-ES"/>
        </w:rPr>
      </w:pPr>
    </w:p>
    <w:p w14:paraId="51DCE77E" w14:textId="77777777" w:rsidR="00B11E95" w:rsidRPr="00B11E95" w:rsidRDefault="00B11E95" w:rsidP="00B11E95">
      <w:pPr>
        <w:shd w:val="clear" w:color="auto" w:fill="FFFFFF"/>
        <w:spacing w:after="0" w:line="240" w:lineRule="auto"/>
        <w:ind w:right="51"/>
        <w:contextualSpacing/>
        <w:jc w:val="both"/>
        <w:rPr>
          <w:rFonts w:ascii="Arial" w:eastAsia="Times New Roman" w:hAnsi="Arial" w:cs="Arial"/>
          <w:lang w:val="es-ES" w:eastAsia="es-ES"/>
        </w:rPr>
      </w:pPr>
      <w:r w:rsidRPr="00B11E95">
        <w:rPr>
          <w:rFonts w:ascii="Arial" w:eastAsia="Times New Roman" w:hAnsi="Arial" w:cs="Arial"/>
          <w:lang w:val="es-ES" w:eastAsia="es-ES"/>
        </w:rPr>
        <w:t xml:space="preserve">Disponibles en: </w:t>
      </w:r>
    </w:p>
    <w:p w14:paraId="22A9A32B" w14:textId="77777777" w:rsidR="00B11E95" w:rsidRPr="00B11E95" w:rsidRDefault="00B11E95" w:rsidP="00B11E95">
      <w:pPr>
        <w:shd w:val="clear" w:color="auto" w:fill="FFFFFF"/>
        <w:spacing w:after="0" w:line="240" w:lineRule="auto"/>
        <w:ind w:right="51"/>
        <w:contextualSpacing/>
        <w:jc w:val="both"/>
        <w:rPr>
          <w:rFonts w:ascii="Arial" w:eastAsia="Times New Roman" w:hAnsi="Arial" w:cs="Arial"/>
          <w:lang w:val="es-ES" w:eastAsia="es-ES"/>
        </w:rPr>
      </w:pPr>
    </w:p>
    <w:p w14:paraId="60E56CA8" w14:textId="77777777" w:rsidR="00B11E95" w:rsidRPr="00B11E95" w:rsidRDefault="009859F9" w:rsidP="00B11E95">
      <w:pPr>
        <w:shd w:val="clear" w:color="auto" w:fill="FFFFFF"/>
        <w:spacing w:after="0" w:line="240" w:lineRule="auto"/>
        <w:ind w:right="51"/>
        <w:contextualSpacing/>
        <w:jc w:val="both"/>
        <w:rPr>
          <w:rFonts w:ascii="Arial" w:eastAsia="Times New Roman" w:hAnsi="Arial" w:cs="Arial"/>
          <w:lang w:val="es-ES" w:eastAsia="es-ES"/>
        </w:rPr>
      </w:pPr>
      <w:hyperlink r:id="rId22" w:history="1">
        <w:r w:rsidR="00B11E95" w:rsidRPr="00B11E95">
          <w:rPr>
            <w:rFonts w:ascii="Arial" w:eastAsia="Times New Roman" w:hAnsi="Arial" w:cs="Arial"/>
            <w:color w:val="0563C1" w:themeColor="hyperlink"/>
            <w:u w:val="single"/>
            <w:lang w:val="es-ES" w:eastAsia="es-ES"/>
          </w:rPr>
          <w:t>https://www.cndh.org.mx/sites/all/doc/sistemas/DNSP/DNSP_2019.pdf</w:t>
        </w:r>
      </w:hyperlink>
    </w:p>
    <w:p w14:paraId="5C86402C" w14:textId="77777777" w:rsidR="00B11E95" w:rsidRPr="00B11E95" w:rsidRDefault="00B11E95" w:rsidP="00B11E95">
      <w:pPr>
        <w:shd w:val="clear" w:color="auto" w:fill="FFFFFF"/>
        <w:spacing w:after="0" w:line="240" w:lineRule="auto"/>
        <w:ind w:right="51"/>
        <w:contextualSpacing/>
        <w:jc w:val="both"/>
        <w:rPr>
          <w:rFonts w:ascii="Arial" w:eastAsia="Times New Roman" w:hAnsi="Arial" w:cs="Arial"/>
          <w:lang w:val="es-ES" w:eastAsia="es-ES"/>
        </w:rPr>
      </w:pPr>
    </w:p>
    <w:p w14:paraId="7BA72934" w14:textId="77777777" w:rsidR="00A1260E" w:rsidRDefault="009859F9" w:rsidP="00B11E95">
      <w:pPr>
        <w:shd w:val="clear" w:color="auto" w:fill="FFFFFF"/>
        <w:spacing w:after="0" w:line="240" w:lineRule="auto"/>
        <w:ind w:right="51"/>
        <w:contextualSpacing/>
        <w:jc w:val="both"/>
        <w:rPr>
          <w:rFonts w:ascii="Arial" w:eastAsia="Times New Roman" w:hAnsi="Arial" w:cs="Arial"/>
          <w:lang w:val="es-ES" w:eastAsia="es-ES"/>
        </w:rPr>
      </w:pPr>
      <w:hyperlink r:id="rId23" w:history="1">
        <w:r w:rsidR="00B11E95" w:rsidRPr="00B11E95">
          <w:rPr>
            <w:rFonts w:ascii="Arial" w:eastAsia="Times New Roman" w:hAnsi="Arial" w:cs="Arial"/>
            <w:color w:val="0563C1" w:themeColor="hyperlink"/>
            <w:u w:val="single"/>
            <w:lang w:val="es-ES" w:eastAsia="es-ES"/>
          </w:rPr>
          <w:t>https://www.cndh.org.mx/sites/default/files/documentos/2021-05/DNSP_2020.pdf</w:t>
        </w:r>
      </w:hyperlink>
      <w:r w:rsidR="00B11E95" w:rsidRPr="00B11E95">
        <w:rPr>
          <w:rFonts w:ascii="Arial" w:eastAsia="Times New Roman" w:hAnsi="Arial" w:cs="Arial"/>
          <w:lang w:val="es-ES" w:eastAsia="es-ES"/>
        </w:rPr>
        <w:t xml:space="preserve">   </w:t>
      </w:r>
    </w:p>
    <w:p w14:paraId="1D0828B2" w14:textId="77777777" w:rsidR="00A1260E" w:rsidRDefault="00A1260E" w:rsidP="00B11E95">
      <w:pPr>
        <w:shd w:val="clear" w:color="auto" w:fill="FFFFFF"/>
        <w:spacing w:after="0" w:line="240" w:lineRule="auto"/>
        <w:ind w:right="51"/>
        <w:contextualSpacing/>
        <w:jc w:val="both"/>
        <w:rPr>
          <w:rFonts w:ascii="Arial" w:eastAsia="Times New Roman" w:hAnsi="Arial" w:cs="Arial"/>
          <w:lang w:val="es-ES" w:eastAsia="es-ES"/>
        </w:rPr>
      </w:pPr>
    </w:p>
    <w:p w14:paraId="152A7283" w14:textId="77777777" w:rsidR="00CC2603" w:rsidRDefault="00B11E95" w:rsidP="0041262B">
      <w:pPr>
        <w:pStyle w:val="BodyText"/>
        <w:spacing w:line="260" w:lineRule="exact"/>
        <w:jc w:val="both"/>
        <w:rPr>
          <w:rFonts w:ascii="Arial" w:eastAsia="Times New Roman" w:hAnsi="Arial" w:cs="Arial"/>
          <w:b/>
          <w:bCs/>
          <w:lang w:val="es-ES" w:eastAsia="es-ES"/>
        </w:rPr>
      </w:pPr>
      <w:r w:rsidRPr="00B11E95">
        <w:rPr>
          <w:rFonts w:ascii="Arial" w:eastAsia="Times New Roman" w:hAnsi="Arial" w:cs="Arial"/>
          <w:b/>
          <w:bCs/>
          <w:lang w:val="es-ES" w:eastAsia="es-ES"/>
        </w:rPr>
        <w:t xml:space="preserve"> </w:t>
      </w:r>
    </w:p>
    <w:p w14:paraId="6403AF93" w14:textId="2EBFF518" w:rsidR="0041262B" w:rsidRPr="00CC2603" w:rsidRDefault="0041262B" w:rsidP="0041262B">
      <w:pPr>
        <w:pStyle w:val="BodyText"/>
        <w:spacing w:line="260" w:lineRule="exact"/>
        <w:jc w:val="both"/>
        <w:rPr>
          <w:rFonts w:ascii="Arial" w:eastAsia="Times New Roman" w:hAnsi="Arial" w:cs="Arial"/>
          <w:b/>
          <w:bCs/>
          <w:lang w:val="es-ES" w:eastAsia="es-ES"/>
        </w:rPr>
      </w:pPr>
      <w:r w:rsidRPr="00CC2603">
        <w:rPr>
          <w:rFonts w:ascii="Arial" w:eastAsia="Arial" w:hAnsi="Arial" w:cs="Arial"/>
          <w:b/>
          <w:bCs/>
          <w:lang w:val="es-ES"/>
        </w:rPr>
        <w:t xml:space="preserve">34. El Estado parte debe: </w:t>
      </w:r>
    </w:p>
    <w:p w14:paraId="7C737D4E" w14:textId="77777777" w:rsidR="0041262B" w:rsidRPr="0041262B" w:rsidRDefault="0041262B" w:rsidP="0041262B">
      <w:pPr>
        <w:widowControl w:val="0"/>
        <w:autoSpaceDE w:val="0"/>
        <w:autoSpaceDN w:val="0"/>
        <w:spacing w:after="0" w:line="260" w:lineRule="exact"/>
        <w:jc w:val="both"/>
        <w:rPr>
          <w:rFonts w:ascii="Arial" w:eastAsia="Arial" w:hAnsi="Arial" w:cs="Arial"/>
          <w:b/>
          <w:bCs/>
          <w:i/>
          <w:iCs/>
          <w:lang w:val="es-ES"/>
        </w:rPr>
      </w:pPr>
      <w:r w:rsidRPr="0041262B">
        <w:rPr>
          <w:rFonts w:ascii="Arial" w:eastAsia="Arial" w:hAnsi="Arial" w:cs="Arial"/>
          <w:b/>
          <w:bCs/>
          <w:i/>
          <w:lang w:val="es-ES"/>
        </w:rPr>
        <w:t xml:space="preserve">a) </w:t>
      </w:r>
      <w:r w:rsidRPr="0041262B">
        <w:rPr>
          <w:rFonts w:ascii="Arial" w:eastAsia="Arial" w:hAnsi="Arial" w:cs="Arial"/>
          <w:b/>
          <w:bCs/>
          <w:i/>
          <w:iCs/>
          <w:lang w:val="es-ES"/>
        </w:rPr>
        <w:t>Continuar sus esfuerzos orientados a eliminar la sobreocupación de en todos los centros de detención (…).</w:t>
      </w:r>
    </w:p>
    <w:p w14:paraId="759B108B" w14:textId="77777777" w:rsidR="0041262B" w:rsidRPr="0041262B" w:rsidRDefault="0041262B" w:rsidP="0041262B">
      <w:pPr>
        <w:widowControl w:val="0"/>
        <w:autoSpaceDE w:val="0"/>
        <w:autoSpaceDN w:val="0"/>
        <w:spacing w:after="0" w:line="260" w:lineRule="exact"/>
        <w:jc w:val="both"/>
        <w:rPr>
          <w:rFonts w:ascii="Arial" w:eastAsia="Arial" w:hAnsi="Arial" w:cs="Arial"/>
          <w:lang w:val="es-ES"/>
        </w:rPr>
      </w:pPr>
    </w:p>
    <w:p w14:paraId="0AA8775D" w14:textId="244669F3" w:rsidR="00CC2603" w:rsidRPr="00CC2603" w:rsidRDefault="00CC2603" w:rsidP="0041262B">
      <w:pPr>
        <w:widowControl w:val="0"/>
        <w:autoSpaceDE w:val="0"/>
        <w:autoSpaceDN w:val="0"/>
        <w:spacing w:after="0" w:line="260" w:lineRule="exact"/>
        <w:jc w:val="both"/>
        <w:rPr>
          <w:rFonts w:ascii="Arial" w:eastAsia="Arial" w:hAnsi="Arial" w:cs="Arial"/>
          <w:b/>
          <w:bCs/>
          <w:lang w:val="es-ES"/>
        </w:rPr>
      </w:pPr>
      <w:r w:rsidRPr="00CC2603">
        <w:rPr>
          <w:rFonts w:ascii="Arial" w:eastAsia="Arial" w:hAnsi="Arial" w:cs="Arial"/>
          <w:b/>
          <w:bCs/>
          <w:lang w:val="es-ES"/>
        </w:rPr>
        <w:t>Acciones del Mecanismo Nacional de Prevención de la Tortura</w:t>
      </w:r>
    </w:p>
    <w:p w14:paraId="6E1F4D22" w14:textId="77777777" w:rsidR="00CC2603" w:rsidRDefault="00CC2603" w:rsidP="0041262B">
      <w:pPr>
        <w:widowControl w:val="0"/>
        <w:autoSpaceDE w:val="0"/>
        <w:autoSpaceDN w:val="0"/>
        <w:spacing w:after="0" w:line="260" w:lineRule="exact"/>
        <w:jc w:val="both"/>
        <w:rPr>
          <w:rFonts w:ascii="Arial" w:eastAsia="Arial" w:hAnsi="Arial" w:cs="Arial"/>
          <w:lang w:val="es-ES"/>
        </w:rPr>
      </w:pPr>
    </w:p>
    <w:p w14:paraId="58D6A466" w14:textId="609336C1" w:rsidR="0041262B" w:rsidRPr="0041262B" w:rsidRDefault="0041262B" w:rsidP="0041262B">
      <w:pPr>
        <w:widowControl w:val="0"/>
        <w:autoSpaceDE w:val="0"/>
        <w:autoSpaceDN w:val="0"/>
        <w:spacing w:after="0" w:line="260" w:lineRule="exact"/>
        <w:jc w:val="both"/>
        <w:rPr>
          <w:rFonts w:ascii="Arial" w:eastAsia="Arial" w:hAnsi="Arial" w:cs="Arial"/>
          <w:lang w:val="es-ES"/>
        </w:rPr>
      </w:pPr>
      <w:r w:rsidRPr="0041262B">
        <w:rPr>
          <w:rFonts w:ascii="Arial" w:eastAsia="Arial" w:hAnsi="Arial" w:cs="Arial"/>
          <w:lang w:val="es-ES"/>
        </w:rPr>
        <w:lastRenderedPageBreak/>
        <w:t>El MNPT ha realizado, a través de diversos informes</w:t>
      </w:r>
      <w:r w:rsidRPr="0041262B">
        <w:rPr>
          <w:rFonts w:ascii="Arial" w:eastAsia="Arial" w:hAnsi="Arial" w:cs="Arial"/>
          <w:vertAlign w:val="superscript"/>
          <w:lang w:val="es-ES"/>
        </w:rPr>
        <w:footnoteReference w:id="17"/>
      </w:r>
      <w:r w:rsidRPr="0041262B">
        <w:rPr>
          <w:rFonts w:ascii="Arial" w:eastAsia="Arial" w:hAnsi="Arial" w:cs="Arial"/>
          <w:lang w:val="es-ES"/>
        </w:rPr>
        <w:t xml:space="preserve">, recomendaciones encaminadas a atender la citada sobreocupación, instando a las autoridades a realizar las acciones necesarias, hasta el máximo de sus esfuerzos y recursos, con miras a reducir el hacinamiento o sobreocupación, con la finalidad de mejorar las condiciones de habitabilidad. Además, como uno de los elementos que puede coadyuvar a la disminución de la sobreocupación, se solicitó implementar, en el ámbito específico del sistema penitenciario, un sistema de registro y monitoreo de cada uno de los centros carcelarios donde se encuentran las personas sentenciadas, que permita conocer la situación jurídica de éstas, con el objeto de que, si cuentan con los requisitos necesarios, puedan acceder a algún beneficio de libertad condicionada, libertad anticipada o preliberación, por criterios de política penitenciaria. Asimismo, deberán hacer la vinculación necesaria con las y los defensores públicos o defensores/as </w:t>
      </w:r>
      <w:r w:rsidRPr="0041262B">
        <w:rPr>
          <w:rFonts w:ascii="Arial" w:eastAsia="Arial" w:hAnsi="Arial" w:cs="Arial"/>
          <w:lang w:val="es-ES"/>
        </w:rPr>
        <w:lastRenderedPageBreak/>
        <w:t>particulares, así como con las y los jueces de ejecución, a fin de lograr el acceso a dichos beneficios.</w:t>
      </w:r>
    </w:p>
    <w:p w14:paraId="3D6DB94B" w14:textId="77777777" w:rsidR="0041262B" w:rsidRPr="0041262B" w:rsidRDefault="0041262B" w:rsidP="0041262B">
      <w:pPr>
        <w:widowControl w:val="0"/>
        <w:autoSpaceDE w:val="0"/>
        <w:autoSpaceDN w:val="0"/>
        <w:spacing w:after="0" w:line="260" w:lineRule="exact"/>
        <w:jc w:val="both"/>
        <w:rPr>
          <w:rFonts w:ascii="Arial" w:eastAsia="Arial" w:hAnsi="Arial" w:cs="Arial"/>
          <w:lang w:val="es-ES"/>
        </w:rPr>
      </w:pPr>
    </w:p>
    <w:p w14:paraId="356A3CBA" w14:textId="77777777" w:rsidR="0041262B" w:rsidRPr="0041262B" w:rsidRDefault="0041262B" w:rsidP="0041262B">
      <w:pPr>
        <w:widowControl w:val="0"/>
        <w:autoSpaceDE w:val="0"/>
        <w:autoSpaceDN w:val="0"/>
        <w:spacing w:after="0" w:line="260" w:lineRule="exact"/>
        <w:jc w:val="both"/>
        <w:rPr>
          <w:rFonts w:ascii="Arial" w:eastAsia="Arial" w:hAnsi="Arial" w:cs="Arial"/>
          <w:lang w:val="es-ES"/>
        </w:rPr>
      </w:pPr>
      <w:r w:rsidRPr="0041262B">
        <w:rPr>
          <w:rFonts w:ascii="Arial" w:eastAsia="Arial" w:hAnsi="Arial" w:cs="Arial"/>
          <w:lang w:val="es-ES"/>
        </w:rPr>
        <w:t>Por otra parte, se ha recomendado a diversas autoridades que deben realizar el máximo de los esfuerzos para destinar recursos económicos, con el objetivo de garantizar que todos los centros penitenciarios reúnan las condiciones de habitabilidad necesarias que asegure a las personas privadas de la libertad una estancia digna y segura, particularmente, para que cuenten con instalaciones en adecuadas condiciones de funcionamiento, así como con el mantenimiento preventivo y correctivo necesario.</w:t>
      </w:r>
    </w:p>
    <w:p w14:paraId="47A8742D" w14:textId="77777777" w:rsidR="0041262B" w:rsidRPr="0041262B" w:rsidRDefault="0041262B" w:rsidP="0041262B">
      <w:pPr>
        <w:widowControl w:val="0"/>
        <w:autoSpaceDE w:val="0"/>
        <w:autoSpaceDN w:val="0"/>
        <w:spacing w:after="0" w:line="260" w:lineRule="exact"/>
        <w:jc w:val="both"/>
        <w:rPr>
          <w:rFonts w:ascii="Arial" w:eastAsia="Arial" w:hAnsi="Arial" w:cs="Arial"/>
          <w:lang w:val="es-ES"/>
        </w:rPr>
      </w:pPr>
    </w:p>
    <w:p w14:paraId="247DBC90" w14:textId="77777777" w:rsidR="0041262B" w:rsidRPr="0041262B" w:rsidRDefault="0041262B" w:rsidP="0041262B">
      <w:pPr>
        <w:widowControl w:val="0"/>
        <w:autoSpaceDE w:val="0"/>
        <w:autoSpaceDN w:val="0"/>
        <w:spacing w:after="0" w:line="260" w:lineRule="exact"/>
        <w:jc w:val="both"/>
        <w:rPr>
          <w:rFonts w:ascii="Arial" w:eastAsia="Arial" w:hAnsi="Arial" w:cs="Arial"/>
          <w:b/>
          <w:bCs/>
          <w:i/>
          <w:iCs/>
          <w:lang w:val="es-ES"/>
        </w:rPr>
      </w:pPr>
      <w:r w:rsidRPr="0041262B">
        <w:rPr>
          <w:rFonts w:ascii="Arial" w:eastAsia="Arial" w:hAnsi="Arial" w:cs="Arial"/>
          <w:b/>
          <w:bCs/>
          <w:i/>
          <w:lang w:val="es-ES"/>
        </w:rPr>
        <w:t xml:space="preserve">f) </w:t>
      </w:r>
      <w:r w:rsidRPr="0041262B">
        <w:rPr>
          <w:rFonts w:ascii="Arial" w:eastAsia="Arial" w:hAnsi="Arial" w:cs="Arial"/>
          <w:b/>
          <w:bCs/>
          <w:i/>
          <w:iCs/>
          <w:lang w:val="es-ES"/>
        </w:rPr>
        <w:t>Iniciar acciones judiciales y disciplinarias contra los funcionarios y otro personal de custodia responsable de la corrupción del sistema penitenciario.</w:t>
      </w:r>
    </w:p>
    <w:p w14:paraId="06B7AE77" w14:textId="77777777" w:rsidR="0041262B" w:rsidRPr="0041262B" w:rsidRDefault="0041262B" w:rsidP="0041262B">
      <w:pPr>
        <w:widowControl w:val="0"/>
        <w:autoSpaceDE w:val="0"/>
        <w:autoSpaceDN w:val="0"/>
        <w:spacing w:after="0" w:line="260" w:lineRule="exact"/>
        <w:jc w:val="both"/>
        <w:rPr>
          <w:rFonts w:ascii="Arial" w:eastAsia="Arial" w:hAnsi="Arial" w:cs="Arial"/>
          <w:i/>
          <w:iCs/>
          <w:lang w:val="es-ES"/>
        </w:rPr>
      </w:pPr>
    </w:p>
    <w:p w14:paraId="4FACD004" w14:textId="77777777" w:rsidR="0041262B" w:rsidRPr="0041262B" w:rsidRDefault="0041262B" w:rsidP="0041262B">
      <w:pPr>
        <w:widowControl w:val="0"/>
        <w:autoSpaceDE w:val="0"/>
        <w:autoSpaceDN w:val="0"/>
        <w:spacing w:after="0" w:line="260" w:lineRule="exact"/>
        <w:jc w:val="both"/>
        <w:rPr>
          <w:rFonts w:ascii="Arial" w:eastAsia="Arial" w:hAnsi="Arial" w:cs="Arial"/>
          <w:lang w:val="es-ES"/>
        </w:rPr>
      </w:pPr>
      <w:r w:rsidRPr="0041262B">
        <w:rPr>
          <w:rFonts w:ascii="Arial" w:eastAsia="Arial" w:hAnsi="Arial" w:cs="Arial"/>
          <w:lang w:val="es-ES"/>
        </w:rPr>
        <w:t xml:space="preserve">Al respecto, desde el MNPT se reconoce que, entre los efectos negativos que puede </w:t>
      </w:r>
      <w:r w:rsidRPr="0041262B">
        <w:rPr>
          <w:rFonts w:ascii="Arial" w:eastAsia="Arial" w:hAnsi="Arial" w:cs="Arial"/>
          <w:lang w:val="es-ES"/>
        </w:rPr>
        <w:lastRenderedPageBreak/>
        <w:t>generar la corrupción, se encuentra el denominado “autogobierno” o “gobierno compartido”, y con ello el aumento de la violencia al interior de los centros, la extorsión y el tráfico de sustancias prohibidas, además de la presencia de privilegios y tratos especiales para algunas personas privadas de la libertad, pues cuando el Estado no ejerce el control efectivo de los centros penitenciarios, se producen graves situaciones que ponen en riesgo la vida e integridad personal de las personas recluidas, e incluso de terceras personas</w:t>
      </w:r>
      <w:r w:rsidRPr="0041262B">
        <w:rPr>
          <w:rFonts w:ascii="Arial" w:eastAsia="Arial" w:hAnsi="Arial" w:cs="Arial"/>
          <w:vertAlign w:val="superscript"/>
          <w:lang w:val="es-ES"/>
        </w:rPr>
        <w:footnoteReference w:id="18"/>
      </w:r>
      <w:r w:rsidRPr="0041262B">
        <w:rPr>
          <w:rFonts w:ascii="Arial" w:eastAsia="Arial" w:hAnsi="Arial" w:cs="Arial"/>
          <w:lang w:val="es-ES"/>
        </w:rPr>
        <w:t xml:space="preserve">. En este sentido, el MNPT recomendó a diversas autoridades, en su </w:t>
      </w:r>
      <w:r w:rsidRPr="0041262B">
        <w:rPr>
          <w:rFonts w:ascii="Arial" w:eastAsia="Arial" w:hAnsi="Arial" w:cs="Arial"/>
          <w:i/>
          <w:iCs/>
          <w:lang w:val="es-ES"/>
        </w:rPr>
        <w:t>Informe de Supervisión ISP-09/2020</w:t>
      </w:r>
      <w:r w:rsidRPr="0041262B">
        <w:rPr>
          <w:rFonts w:ascii="Arial" w:eastAsia="Arial" w:hAnsi="Arial" w:cs="Arial"/>
          <w:lang w:val="es-ES"/>
        </w:rPr>
        <w:t xml:space="preserve"> sobre las medidas de prevención adoptadas por los Centros de Reinserción Social, así como los Centros de Internamiento Especializados en Adolescentes de la República Mexicana</w:t>
      </w:r>
      <w:r w:rsidRPr="0041262B">
        <w:rPr>
          <w:rFonts w:ascii="Arial" w:eastAsia="Arial" w:hAnsi="Arial" w:cs="Arial"/>
          <w:vertAlign w:val="superscript"/>
          <w:lang w:val="es-ES"/>
        </w:rPr>
        <w:footnoteReference w:id="19"/>
      </w:r>
      <w:r w:rsidRPr="0041262B">
        <w:rPr>
          <w:rFonts w:ascii="Arial" w:eastAsia="Arial" w:hAnsi="Arial" w:cs="Arial"/>
          <w:lang w:val="es-ES"/>
        </w:rPr>
        <w:t xml:space="preserve">, respecto a la emergencia sanitaria por la COVID-19, realizar las acciones conducentes para </w:t>
      </w:r>
      <w:r w:rsidRPr="0041262B">
        <w:rPr>
          <w:rFonts w:ascii="Arial" w:eastAsia="Arial" w:hAnsi="Arial" w:cs="Arial"/>
          <w:lang w:val="es-ES"/>
        </w:rPr>
        <w:lastRenderedPageBreak/>
        <w:t>que en los centros penitenciarios se ejerza el control efectivo por parte de las personas servidoras públicas asignadas a los centros, ejerciendo las funciones de autoridad que legalmente les corresponde, con el fin de evitar que las personas privadas de la libertad asuman indebidamente decisiones de administración y mando, así como impedir la existencia de situaciones o áreas de privilegios.</w:t>
      </w:r>
    </w:p>
    <w:bookmarkEnd w:id="20"/>
    <w:p w14:paraId="5817CCE6" w14:textId="77777777" w:rsidR="00B11E95" w:rsidRPr="00B11E95" w:rsidRDefault="00B11E95" w:rsidP="00B11E95">
      <w:pPr>
        <w:pBdr>
          <w:bottom w:val="single" w:sz="4" w:space="1" w:color="auto"/>
        </w:pBdr>
        <w:spacing w:after="0" w:line="240" w:lineRule="auto"/>
        <w:rPr>
          <w:rFonts w:ascii="Arial Narrow" w:eastAsia="Times New Roman" w:hAnsi="Arial Narrow" w:cs="Times New Roman"/>
          <w:b/>
          <w:bCs/>
          <w:color w:val="1F3864" w:themeColor="accent1" w:themeShade="80"/>
          <w:sz w:val="24"/>
          <w:szCs w:val="28"/>
          <w:lang w:val="es-ES" w:eastAsia="es-ES"/>
        </w:rPr>
      </w:pPr>
    </w:p>
    <w:p w14:paraId="241C7AA8" w14:textId="77777777" w:rsidR="00B11E95" w:rsidRPr="00B11E95" w:rsidRDefault="00B11E95" w:rsidP="00B11E95">
      <w:pPr>
        <w:pBdr>
          <w:bottom w:val="single" w:sz="4" w:space="1" w:color="auto"/>
        </w:pBdr>
        <w:spacing w:after="0" w:line="240" w:lineRule="auto"/>
        <w:rPr>
          <w:rFonts w:ascii="Arial Narrow" w:eastAsia="Times New Roman" w:hAnsi="Arial Narrow" w:cs="Times New Roman"/>
          <w:b/>
          <w:bCs/>
          <w:color w:val="1F3864" w:themeColor="accent1" w:themeShade="80"/>
          <w:sz w:val="24"/>
          <w:szCs w:val="28"/>
          <w:lang w:val="es-ES" w:eastAsia="es-ES"/>
        </w:rPr>
      </w:pPr>
    </w:p>
    <w:p w14:paraId="1936953B" w14:textId="77777777" w:rsidR="00CC2603" w:rsidRPr="00CC2603" w:rsidRDefault="00CC2603" w:rsidP="00CC2603">
      <w:pPr>
        <w:shd w:val="clear" w:color="auto" w:fill="FFFFFF"/>
        <w:spacing w:after="0" w:line="240" w:lineRule="auto"/>
        <w:ind w:right="51"/>
        <w:jc w:val="both"/>
        <w:rPr>
          <w:rFonts w:ascii="Arial" w:eastAsia="Times New Roman" w:hAnsi="Arial" w:cs="Arial"/>
          <w:b/>
          <w:bCs/>
          <w:i/>
          <w:iCs/>
          <w:lang w:val="es-ES" w:eastAsia="es-ES"/>
        </w:rPr>
      </w:pPr>
      <w:r w:rsidRPr="00CC2603">
        <w:rPr>
          <w:rFonts w:ascii="Arial" w:eastAsia="Times New Roman" w:hAnsi="Arial" w:cs="Arial"/>
          <w:b/>
          <w:bCs/>
          <w:i/>
          <w:iCs/>
          <w:lang w:val="es-ES" w:eastAsia="es-ES"/>
        </w:rPr>
        <w:t xml:space="preserve">36. El Estado parte debe: </w:t>
      </w:r>
    </w:p>
    <w:p w14:paraId="5E07CAA1" w14:textId="77777777" w:rsidR="00CC2603" w:rsidRPr="00CC2603" w:rsidRDefault="00CC2603" w:rsidP="00CC2603">
      <w:pPr>
        <w:shd w:val="clear" w:color="auto" w:fill="FFFFFF"/>
        <w:spacing w:after="0" w:line="240" w:lineRule="auto"/>
        <w:ind w:right="51"/>
        <w:jc w:val="both"/>
        <w:rPr>
          <w:rFonts w:ascii="Arial" w:eastAsia="Times New Roman" w:hAnsi="Arial" w:cs="Arial"/>
          <w:b/>
          <w:bCs/>
          <w:i/>
          <w:iCs/>
          <w:lang w:val="es-ES" w:eastAsia="es-ES"/>
        </w:rPr>
      </w:pPr>
    </w:p>
    <w:p w14:paraId="6BF5664A" w14:textId="77777777" w:rsidR="00CC2603" w:rsidRPr="00CC2603" w:rsidRDefault="00CC2603" w:rsidP="00CC2603">
      <w:pPr>
        <w:shd w:val="clear" w:color="auto" w:fill="FFFFFF"/>
        <w:spacing w:after="0" w:line="240" w:lineRule="auto"/>
        <w:ind w:right="51"/>
        <w:jc w:val="both"/>
        <w:rPr>
          <w:rFonts w:ascii="Arial" w:eastAsia="Times New Roman" w:hAnsi="Arial" w:cs="Arial"/>
          <w:b/>
          <w:bCs/>
          <w:i/>
          <w:iCs/>
          <w:lang w:val="es-ES" w:eastAsia="es-ES"/>
        </w:rPr>
      </w:pPr>
      <w:r w:rsidRPr="00CC2603">
        <w:rPr>
          <w:rFonts w:ascii="Arial" w:eastAsia="Times New Roman" w:hAnsi="Arial" w:cs="Arial"/>
          <w:b/>
          <w:bCs/>
          <w:i/>
          <w:iCs/>
          <w:lang w:val="es-ES" w:eastAsia="es-ES"/>
        </w:rPr>
        <w:t xml:space="preserve">a) Adoptar medidas dirigidas a garantizar el trato digno de todos los menores privados de la libertad y el mantenimiento de condiciones de detención adecuadas en los centros de internamiento para menores. </w:t>
      </w:r>
    </w:p>
    <w:p w14:paraId="406222FD" w14:textId="77777777" w:rsidR="00CC2603" w:rsidRPr="00CC2603" w:rsidRDefault="00CC2603" w:rsidP="00CC2603">
      <w:pPr>
        <w:shd w:val="clear" w:color="auto" w:fill="FFFFFF"/>
        <w:spacing w:after="0" w:line="240" w:lineRule="auto"/>
        <w:ind w:right="51"/>
        <w:jc w:val="both"/>
        <w:rPr>
          <w:rFonts w:ascii="Arial" w:eastAsia="Times New Roman" w:hAnsi="Arial" w:cs="Arial"/>
          <w:b/>
          <w:bCs/>
          <w:i/>
          <w:iCs/>
          <w:lang w:val="es-ES" w:eastAsia="es-ES"/>
        </w:rPr>
      </w:pPr>
      <w:r w:rsidRPr="00CC2603">
        <w:rPr>
          <w:rFonts w:ascii="Arial" w:eastAsia="Times New Roman" w:hAnsi="Arial" w:cs="Arial"/>
          <w:b/>
          <w:bCs/>
          <w:i/>
          <w:iCs/>
          <w:lang w:val="es-ES" w:eastAsia="es-ES"/>
        </w:rPr>
        <w:t xml:space="preserve">b) Asegurar que la detención preventiva se aplique como último recurso y durante le plazo más breve posible, aplicando siempre que sea posibles medidas sustitutorias (respecto de personas menores de edad). </w:t>
      </w:r>
    </w:p>
    <w:p w14:paraId="37E08857" w14:textId="0FE5125D" w:rsidR="00CC2603" w:rsidRPr="00CC2603" w:rsidRDefault="00CC2603" w:rsidP="00CC2603">
      <w:pPr>
        <w:shd w:val="clear" w:color="auto" w:fill="FFFFFF"/>
        <w:spacing w:after="0" w:line="240" w:lineRule="auto"/>
        <w:ind w:right="51"/>
        <w:jc w:val="both"/>
        <w:rPr>
          <w:rFonts w:ascii="Arial" w:eastAsia="Times New Roman" w:hAnsi="Arial" w:cs="Arial"/>
          <w:b/>
          <w:bCs/>
          <w:i/>
          <w:iCs/>
          <w:lang w:val="es-ES" w:eastAsia="es-ES"/>
        </w:rPr>
      </w:pPr>
      <w:r w:rsidRPr="00CC2603">
        <w:rPr>
          <w:rFonts w:ascii="Arial" w:eastAsia="Times New Roman" w:hAnsi="Arial" w:cs="Arial"/>
          <w:b/>
          <w:bCs/>
          <w:i/>
          <w:iCs/>
          <w:lang w:val="es-ES" w:eastAsia="es-ES"/>
        </w:rPr>
        <w:lastRenderedPageBreak/>
        <w:t xml:space="preserve">c) Observar la prohibición de imponer sanciones de aislamiento y medidas similares a menores de edad.   </w:t>
      </w:r>
    </w:p>
    <w:p w14:paraId="3F258B6B" w14:textId="449031F7" w:rsidR="00882D80" w:rsidRDefault="00882D80" w:rsidP="00882D80">
      <w:pPr>
        <w:spacing w:after="0" w:line="240" w:lineRule="auto"/>
        <w:contextualSpacing/>
        <w:jc w:val="both"/>
        <w:rPr>
          <w:rFonts w:ascii="Arial" w:eastAsia="Times New Roman" w:hAnsi="Arial" w:cs="Arial"/>
          <w:b/>
          <w:bCs/>
          <w:i/>
          <w:iCs/>
          <w:color w:val="1F3864" w:themeColor="accent1" w:themeShade="80"/>
          <w:sz w:val="27"/>
          <w:szCs w:val="27"/>
          <w:lang w:val="es-ES" w:eastAsia="es-ES"/>
        </w:rPr>
      </w:pPr>
    </w:p>
    <w:p w14:paraId="6AD9AE04" w14:textId="46162DE1" w:rsidR="00882D80" w:rsidRPr="00882D80" w:rsidRDefault="00882D80" w:rsidP="00882D80">
      <w:pPr>
        <w:spacing w:after="0" w:line="240" w:lineRule="auto"/>
        <w:contextualSpacing/>
        <w:jc w:val="both"/>
        <w:rPr>
          <w:rFonts w:ascii="Arial" w:eastAsia="Times New Roman" w:hAnsi="Arial" w:cs="Arial"/>
          <w:b/>
          <w:bCs/>
          <w:lang w:val="es-ES" w:eastAsia="es-ES"/>
        </w:rPr>
      </w:pPr>
      <w:r w:rsidRPr="00882D80">
        <w:rPr>
          <w:rFonts w:ascii="Arial" w:eastAsia="Times New Roman" w:hAnsi="Arial" w:cs="Arial"/>
          <w:b/>
          <w:bCs/>
          <w:lang w:val="es-ES" w:eastAsia="es-ES"/>
        </w:rPr>
        <w:t>Acciones de la Comisión Nacional de los Derechos Humanos</w:t>
      </w:r>
    </w:p>
    <w:p w14:paraId="3C4BD752" w14:textId="77777777" w:rsidR="00882D80" w:rsidRDefault="00882D80" w:rsidP="00882D80">
      <w:pPr>
        <w:spacing w:after="0" w:line="240" w:lineRule="auto"/>
        <w:contextualSpacing/>
        <w:jc w:val="both"/>
        <w:rPr>
          <w:rFonts w:ascii="Arial" w:eastAsia="Times New Roman" w:hAnsi="Arial" w:cs="Arial"/>
          <w:b/>
          <w:bCs/>
          <w:i/>
          <w:iCs/>
          <w:color w:val="1F3864" w:themeColor="accent1" w:themeShade="80"/>
          <w:sz w:val="27"/>
          <w:szCs w:val="27"/>
          <w:lang w:val="es-ES" w:eastAsia="es-ES"/>
        </w:rPr>
      </w:pPr>
    </w:p>
    <w:p w14:paraId="2AFC054E" w14:textId="1E624DB5" w:rsidR="00B11E95" w:rsidRPr="00B11E95" w:rsidRDefault="00B11E95" w:rsidP="00882D80">
      <w:pPr>
        <w:spacing w:after="0" w:line="240" w:lineRule="auto"/>
        <w:contextualSpacing/>
        <w:jc w:val="both"/>
        <w:rPr>
          <w:rFonts w:ascii="Arial" w:eastAsia="Times New Roman" w:hAnsi="Arial" w:cs="Arial"/>
          <w:b/>
          <w:bCs/>
          <w:lang w:val="es-ES" w:eastAsia="es-ES"/>
        </w:rPr>
      </w:pPr>
      <w:r w:rsidRPr="00B11E95">
        <w:rPr>
          <w:rFonts w:ascii="Arial" w:eastAsia="Times New Roman" w:hAnsi="Arial" w:cs="Arial"/>
          <w:lang w:val="es-ES" w:eastAsia="es-ES"/>
        </w:rPr>
        <w:t xml:space="preserve">En el mes de abril de 2019, se emitió el </w:t>
      </w:r>
      <w:r w:rsidRPr="00B11E95">
        <w:rPr>
          <w:rFonts w:ascii="Arial" w:eastAsia="Times New Roman" w:hAnsi="Arial" w:cs="Arial"/>
          <w:b/>
          <w:bCs/>
          <w:color w:val="1F3864" w:themeColor="accent1" w:themeShade="80"/>
          <w:lang w:val="es-ES" w:eastAsia="es-ES"/>
        </w:rPr>
        <w:t>Informe Especial</w:t>
      </w:r>
      <w:r w:rsidRPr="00B11E95">
        <w:rPr>
          <w:rFonts w:ascii="Arial" w:eastAsia="Times New Roman" w:hAnsi="Arial" w:cs="Arial"/>
          <w:color w:val="1F3864" w:themeColor="accent1" w:themeShade="80"/>
          <w:lang w:val="es-ES" w:eastAsia="es-ES"/>
        </w:rPr>
        <w:t xml:space="preserve"> sobre los Centros de Tratamiento Interno para Adolescentes que infringen la Ley Penal de la República Mexicana, </w:t>
      </w:r>
      <w:r w:rsidRPr="00B11E95">
        <w:rPr>
          <w:rFonts w:ascii="Arial" w:eastAsia="Times New Roman" w:hAnsi="Arial" w:cs="Arial"/>
          <w:lang w:val="es-ES" w:eastAsia="es-ES"/>
        </w:rPr>
        <w:t xml:space="preserve">en dicho informe se emitieron 20 propuestas dirigidas a las y los Gobernadores de los estados de la República y a la Jefa de Gobierno de la Ciudad de México, a través de los cuales, entre otras peticiones, se solicitó: </w:t>
      </w:r>
    </w:p>
    <w:p w14:paraId="216442C0" w14:textId="77777777" w:rsidR="00B11E95" w:rsidRPr="00B11E95" w:rsidRDefault="00B11E95" w:rsidP="00B11E95">
      <w:pPr>
        <w:spacing w:line="240" w:lineRule="auto"/>
        <w:contextualSpacing/>
        <w:jc w:val="both"/>
        <w:rPr>
          <w:rFonts w:ascii="Arial" w:eastAsia="Times New Roman" w:hAnsi="Arial" w:cs="Arial"/>
          <w:sz w:val="24"/>
          <w:szCs w:val="24"/>
          <w:lang w:val="es-ES" w:eastAsia="es-ES"/>
        </w:rPr>
      </w:pPr>
    </w:p>
    <w:p w14:paraId="1E61892F" w14:textId="77777777" w:rsidR="00B11E95" w:rsidRPr="00B11E95" w:rsidRDefault="00B11E95" w:rsidP="00933290">
      <w:pPr>
        <w:spacing w:line="240" w:lineRule="auto"/>
        <w:ind w:left="708"/>
        <w:contextualSpacing/>
        <w:jc w:val="both"/>
        <w:rPr>
          <w:rFonts w:ascii="Arial" w:eastAsia="Times New Roman" w:hAnsi="Arial" w:cs="Arial"/>
          <w:i/>
          <w:iCs/>
          <w:lang w:val="es-ES" w:eastAsia="es-ES"/>
        </w:rPr>
      </w:pPr>
      <w:r w:rsidRPr="00B11E95">
        <w:rPr>
          <w:rFonts w:ascii="Arial" w:eastAsia="Times New Roman" w:hAnsi="Arial" w:cs="Arial"/>
          <w:lang w:val="es-ES" w:eastAsia="es-ES"/>
        </w:rPr>
        <w:t xml:space="preserve">PRIMERA. </w:t>
      </w:r>
      <w:r w:rsidRPr="00B11E95">
        <w:rPr>
          <w:rFonts w:ascii="Arial" w:eastAsia="Times New Roman" w:hAnsi="Arial" w:cs="Arial"/>
          <w:i/>
          <w:iCs/>
          <w:lang w:val="es-ES" w:eastAsia="es-ES"/>
        </w:rPr>
        <w:t xml:space="preserve">Realizar las gestiones pertinentes para que los centros de tratamiento interno a su cargo reúnan las condiciones mínimas de habitabilidad y cuenten con espacios suficientes para garantizar a las personas privadas de a libertad una estancia digna y segura, así como el acceso a los servicios y actividades </w:t>
      </w:r>
      <w:r w:rsidRPr="00B11E95">
        <w:rPr>
          <w:rFonts w:ascii="Arial" w:eastAsia="Times New Roman" w:hAnsi="Arial" w:cs="Arial"/>
          <w:i/>
          <w:iCs/>
          <w:lang w:val="es-ES" w:eastAsia="es-ES"/>
        </w:rPr>
        <w:lastRenderedPageBreak/>
        <w:t>necesarias para el cumplimiento de las medidas de tratamiento en internamiento. Para tal efecto, debe realizarse en cada establecimiento una evaluación a fin de acceder a un presupuesto suficiente para realizar las tareas de mantenimiento, remodelación, ampliación o construcción que se requieran.</w:t>
      </w:r>
    </w:p>
    <w:p w14:paraId="1ED883DA" w14:textId="77777777" w:rsidR="00B11E95" w:rsidRPr="00B11E95" w:rsidRDefault="00B11E95" w:rsidP="00933290">
      <w:pPr>
        <w:spacing w:line="240" w:lineRule="auto"/>
        <w:ind w:left="708"/>
        <w:jc w:val="both"/>
        <w:rPr>
          <w:rFonts w:ascii="Arial" w:eastAsia="Times New Roman" w:hAnsi="Arial" w:cs="Arial"/>
          <w:lang w:val="es-ES" w:eastAsia="es-ES"/>
        </w:rPr>
      </w:pPr>
      <w:r w:rsidRPr="00B11E95">
        <w:rPr>
          <w:rFonts w:ascii="Arial" w:eastAsia="Times New Roman" w:hAnsi="Arial" w:cs="Arial"/>
          <w:lang w:val="es-ES" w:eastAsia="es-ES"/>
        </w:rPr>
        <w:t>[…]</w:t>
      </w:r>
    </w:p>
    <w:p w14:paraId="073F9726" w14:textId="1AFF55C3" w:rsidR="00B11E95" w:rsidRPr="00B11E95" w:rsidRDefault="00B11E95" w:rsidP="00933290">
      <w:pPr>
        <w:spacing w:line="240" w:lineRule="auto"/>
        <w:ind w:left="708"/>
        <w:jc w:val="both"/>
        <w:rPr>
          <w:rFonts w:ascii="Arial" w:eastAsia="Times New Roman" w:hAnsi="Arial" w:cs="Arial"/>
          <w:i/>
          <w:iCs/>
          <w:lang w:val="es-ES" w:eastAsia="es-ES"/>
        </w:rPr>
      </w:pPr>
      <w:r w:rsidRPr="00B11E95">
        <w:rPr>
          <w:rFonts w:ascii="Arial" w:eastAsia="Times New Roman" w:hAnsi="Arial" w:cs="Arial"/>
          <w:lang w:val="es-ES" w:eastAsia="es-ES"/>
        </w:rPr>
        <w:t xml:space="preserve">CUARTA. </w:t>
      </w:r>
      <w:r w:rsidRPr="00B11E95">
        <w:rPr>
          <w:rFonts w:ascii="Arial" w:eastAsia="Times New Roman" w:hAnsi="Arial" w:cs="Arial"/>
          <w:i/>
          <w:iCs/>
          <w:lang w:val="es-ES" w:eastAsia="es-ES"/>
        </w:rPr>
        <w:t>Atender de forma especial las necesidades específicas de las mujeres a fin de garantizarles el acceso digno en igualdad de condiciones a los servicios y actividades, para lo cual deben contar con instalaciones exclusivas para ellas, en buen estado, con espacios suficientes para alojarlas en condiciones de estancia digna, con la participación de personal específico y suficiente para su atención</w:t>
      </w:r>
      <w:r w:rsidRPr="00B11E95">
        <w:rPr>
          <w:rFonts w:ascii="Arial" w:eastAsia="Times New Roman" w:hAnsi="Arial" w:cs="Arial"/>
          <w:lang w:val="es-ES" w:eastAsia="es-ES"/>
        </w:rPr>
        <w:t xml:space="preserve">. </w:t>
      </w:r>
      <w:r w:rsidRPr="00B11E95">
        <w:rPr>
          <w:rFonts w:ascii="Arial" w:eastAsia="Times New Roman" w:hAnsi="Arial" w:cs="Arial"/>
          <w:i/>
          <w:iCs/>
          <w:lang w:val="es-ES" w:eastAsia="es-ES"/>
        </w:rPr>
        <w:t>Para lo cual se deben incluir en la evaluación y presupuesto lo necesario para realizar las acciones que hagan posible los espacios dignos para las mujeres y sus hijas e hijos.</w:t>
      </w:r>
    </w:p>
    <w:p w14:paraId="2D96363E" w14:textId="77777777" w:rsidR="00B11E95" w:rsidRPr="00B11E95" w:rsidRDefault="00B11E95" w:rsidP="00933290">
      <w:pPr>
        <w:spacing w:line="240" w:lineRule="auto"/>
        <w:ind w:left="708"/>
        <w:jc w:val="both"/>
        <w:rPr>
          <w:rFonts w:ascii="Arial" w:eastAsia="Times New Roman" w:hAnsi="Arial" w:cs="Arial"/>
          <w:lang w:val="es-ES" w:eastAsia="es-ES"/>
        </w:rPr>
      </w:pPr>
      <w:r w:rsidRPr="00B11E95">
        <w:rPr>
          <w:rFonts w:ascii="Arial" w:eastAsia="Times New Roman" w:hAnsi="Arial" w:cs="Arial"/>
          <w:lang w:val="es-ES" w:eastAsia="es-ES"/>
        </w:rPr>
        <w:t xml:space="preserve">[…] </w:t>
      </w:r>
    </w:p>
    <w:p w14:paraId="76ABAD28" w14:textId="77777777" w:rsidR="00B11E95" w:rsidRPr="00B11E95" w:rsidRDefault="00B11E95" w:rsidP="00933290">
      <w:pPr>
        <w:spacing w:line="240" w:lineRule="auto"/>
        <w:ind w:left="708"/>
        <w:jc w:val="both"/>
        <w:rPr>
          <w:rFonts w:ascii="Arial" w:eastAsia="Times New Roman" w:hAnsi="Arial" w:cs="Arial"/>
          <w:i/>
          <w:iCs/>
          <w:lang w:val="es-ES" w:eastAsia="es-ES"/>
        </w:rPr>
      </w:pPr>
      <w:r w:rsidRPr="00B11E95">
        <w:rPr>
          <w:rFonts w:ascii="Arial" w:eastAsia="Times New Roman" w:hAnsi="Arial" w:cs="Arial"/>
          <w:lang w:val="es-ES" w:eastAsia="es-ES"/>
        </w:rPr>
        <w:lastRenderedPageBreak/>
        <w:t xml:space="preserve">SÉPTIMA. </w:t>
      </w:r>
      <w:r w:rsidRPr="00B11E95">
        <w:rPr>
          <w:rFonts w:ascii="Arial" w:eastAsia="Times New Roman" w:hAnsi="Arial" w:cs="Arial"/>
          <w:i/>
          <w:iCs/>
          <w:lang w:val="es-ES" w:eastAsia="es-ES"/>
        </w:rPr>
        <w:t xml:space="preserve">Girar instrucciones precisas a las autoridades responsables de los centros de tratamiento interno para evitar toda clase de abusos y maltrato, así como para que el uso de la fuerza o de instrumentos de coerción sólo se utilice en casos excepcionales, cuando se hayan agotado todos los demás medios de control y sólo de la forma expresamente autorizada y descrita por una ley o un reglamento. </w:t>
      </w:r>
    </w:p>
    <w:p w14:paraId="331EC00F" w14:textId="77777777" w:rsidR="00B11E95" w:rsidRPr="00B11E95" w:rsidRDefault="00B11E95" w:rsidP="00933290">
      <w:pPr>
        <w:spacing w:line="240" w:lineRule="auto"/>
        <w:ind w:left="708"/>
        <w:jc w:val="both"/>
        <w:rPr>
          <w:rFonts w:ascii="Arial" w:eastAsia="Times New Roman" w:hAnsi="Arial" w:cs="Arial"/>
          <w:i/>
          <w:iCs/>
          <w:lang w:val="es-ES" w:eastAsia="es-ES"/>
        </w:rPr>
      </w:pPr>
      <w:r w:rsidRPr="00B11E95">
        <w:rPr>
          <w:rFonts w:ascii="Arial" w:eastAsia="Times New Roman" w:hAnsi="Arial" w:cs="Arial"/>
          <w:lang w:val="es-ES" w:eastAsia="es-ES"/>
        </w:rPr>
        <w:t>OCTAVA.</w:t>
      </w:r>
      <w:r w:rsidRPr="00B11E95">
        <w:rPr>
          <w:rFonts w:ascii="Arial" w:eastAsia="Times New Roman" w:hAnsi="Arial" w:cs="Arial"/>
          <w:i/>
          <w:iCs/>
          <w:lang w:val="es-ES" w:eastAsia="es-ES"/>
        </w:rPr>
        <w:t xml:space="preserve"> Realizar las acciones necesarias para garantizar que las autoridades responsables de los centros de tratamiento interno ejerzan la gobernabilidad y el control de los mismos, evitando que personas privadas de la libertad ejerzan funciones que le competen a la autoridad, así como cualquier tipo de control o abuso sobre sus compañeros. </w:t>
      </w:r>
    </w:p>
    <w:p w14:paraId="3DBAC1E9" w14:textId="77777777" w:rsidR="00B11E95" w:rsidRPr="00B11E95" w:rsidRDefault="00B11E95" w:rsidP="00933290">
      <w:pPr>
        <w:spacing w:line="240" w:lineRule="auto"/>
        <w:ind w:left="708"/>
        <w:jc w:val="both"/>
        <w:rPr>
          <w:rFonts w:ascii="Arial" w:eastAsia="Times New Roman" w:hAnsi="Arial" w:cs="Arial"/>
          <w:b/>
          <w:bCs/>
          <w:i/>
          <w:iCs/>
          <w:color w:val="1F3864" w:themeColor="accent1" w:themeShade="80"/>
          <w:lang w:val="es-ES" w:eastAsia="es-ES"/>
        </w:rPr>
      </w:pPr>
      <w:r w:rsidRPr="00B11E95">
        <w:rPr>
          <w:rFonts w:ascii="Arial" w:eastAsia="Times New Roman" w:hAnsi="Arial" w:cs="Arial"/>
          <w:lang w:val="es-ES" w:eastAsia="es-ES"/>
        </w:rPr>
        <w:t>NOVENA.</w:t>
      </w:r>
      <w:r w:rsidRPr="00B11E95">
        <w:rPr>
          <w:rFonts w:ascii="Arial" w:eastAsia="Times New Roman" w:hAnsi="Arial" w:cs="Arial"/>
          <w:i/>
          <w:iCs/>
          <w:lang w:val="es-ES" w:eastAsia="es-ES"/>
        </w:rPr>
        <w:t xml:space="preserve"> Girar instrucciones para que la imposición de las sanciones disciplinarias se realice con respeto al derecho de audiencia, mediante una resolución fundada y motivada que les sea notificada por escrito.</w:t>
      </w:r>
      <w:r w:rsidRPr="00B11E95">
        <w:rPr>
          <w:rFonts w:ascii="Arial" w:eastAsia="Times New Roman" w:hAnsi="Arial" w:cs="Arial"/>
          <w:b/>
          <w:bCs/>
          <w:i/>
          <w:iCs/>
          <w:color w:val="1F3864" w:themeColor="accent1" w:themeShade="80"/>
          <w:lang w:val="es-ES" w:eastAsia="es-ES"/>
        </w:rPr>
        <w:t xml:space="preserve"> </w:t>
      </w:r>
    </w:p>
    <w:p w14:paraId="40ADE5E8" w14:textId="77777777" w:rsidR="00B11E95" w:rsidRPr="00B11E95" w:rsidRDefault="00B11E95" w:rsidP="00933290">
      <w:pPr>
        <w:spacing w:line="240" w:lineRule="auto"/>
        <w:ind w:left="708"/>
        <w:jc w:val="both"/>
        <w:rPr>
          <w:rFonts w:ascii="Arial" w:eastAsia="Times New Roman" w:hAnsi="Arial" w:cs="Arial"/>
          <w:lang w:val="es-ES" w:eastAsia="es-ES"/>
        </w:rPr>
      </w:pPr>
      <w:r w:rsidRPr="00B11E95">
        <w:rPr>
          <w:rFonts w:ascii="Arial" w:eastAsia="Times New Roman" w:hAnsi="Arial" w:cs="Arial"/>
          <w:lang w:val="es-ES" w:eastAsia="es-ES"/>
        </w:rPr>
        <w:t xml:space="preserve">[…] </w:t>
      </w:r>
    </w:p>
    <w:p w14:paraId="6A59BC16" w14:textId="77777777" w:rsidR="00B11E95" w:rsidRPr="00B11E95" w:rsidRDefault="00B11E95" w:rsidP="00933290">
      <w:pPr>
        <w:spacing w:line="240" w:lineRule="auto"/>
        <w:ind w:left="708"/>
        <w:jc w:val="both"/>
        <w:rPr>
          <w:rFonts w:ascii="Arial" w:eastAsia="Times New Roman" w:hAnsi="Arial" w:cs="Arial"/>
          <w:b/>
          <w:bCs/>
          <w:color w:val="1F3864" w:themeColor="accent1" w:themeShade="80"/>
          <w:lang w:val="es-ES" w:eastAsia="es-ES"/>
        </w:rPr>
      </w:pPr>
      <w:r w:rsidRPr="00B11E95">
        <w:rPr>
          <w:rFonts w:ascii="Arial" w:eastAsia="Times New Roman" w:hAnsi="Arial" w:cs="Arial"/>
          <w:lang w:val="es-ES" w:eastAsia="es-ES"/>
        </w:rPr>
        <w:lastRenderedPageBreak/>
        <w:t xml:space="preserve">DÉCIMA TERCERA. </w:t>
      </w:r>
      <w:r w:rsidRPr="00B11E95">
        <w:rPr>
          <w:rFonts w:ascii="Arial" w:eastAsia="Times New Roman" w:hAnsi="Arial" w:cs="Arial"/>
          <w:i/>
          <w:iCs/>
          <w:lang w:val="es-ES" w:eastAsia="es-ES"/>
        </w:rPr>
        <w:t>Instruir a las autoridades responsables de los centros de tratamiento interno, para que se identifique el número necesario de personal y se gestione su contratación, particularmente en materia de custodia, pedagogía, psicología y trabajo social, entre otros, a fin de garantizar una adecuada atención a cada una de las personas privadas de la libertad, así como la implementación oportuna de los programas individualizados de actividades. Es importante considerar que el personal debe ser estrictamente seleccionado para cubrir el perfil idóneo, debidamente capacitado y ser del mismo sexo de las personas privadas de la libertad.</w:t>
      </w:r>
      <w:r w:rsidRPr="00B11E95">
        <w:rPr>
          <w:rFonts w:ascii="Arial" w:eastAsia="Times New Roman" w:hAnsi="Arial" w:cs="Arial"/>
          <w:b/>
          <w:bCs/>
          <w:color w:val="1F3864" w:themeColor="accent1" w:themeShade="80"/>
          <w:lang w:val="es-ES" w:eastAsia="es-ES"/>
        </w:rPr>
        <w:t xml:space="preserve"> </w:t>
      </w:r>
    </w:p>
    <w:p w14:paraId="0F918AC9" w14:textId="77777777" w:rsidR="00B11E95" w:rsidRPr="00B11E95" w:rsidRDefault="00B11E95" w:rsidP="00B11E95">
      <w:pPr>
        <w:tabs>
          <w:tab w:val="left" w:pos="2268"/>
          <w:tab w:val="left" w:pos="2552"/>
          <w:tab w:val="left" w:pos="3119"/>
          <w:tab w:val="left" w:pos="4111"/>
        </w:tabs>
        <w:spacing w:line="240" w:lineRule="auto"/>
        <w:jc w:val="both"/>
        <w:rPr>
          <w:rFonts w:ascii="Arial" w:eastAsia="Times New Roman" w:hAnsi="Arial" w:cs="Arial"/>
          <w:lang w:val="es-ES" w:eastAsia="es-ES"/>
        </w:rPr>
      </w:pPr>
      <w:r w:rsidRPr="00B11E95">
        <w:rPr>
          <w:rFonts w:ascii="Arial" w:eastAsia="Times New Roman" w:hAnsi="Arial" w:cs="Arial"/>
          <w:lang w:val="es-ES" w:eastAsia="es-ES"/>
        </w:rPr>
        <w:t xml:space="preserve">Disponible en: </w:t>
      </w:r>
      <w:hyperlink r:id="rId24" w:history="1">
        <w:r w:rsidRPr="00B11E95">
          <w:rPr>
            <w:rFonts w:ascii="Arial" w:eastAsia="Times New Roman" w:hAnsi="Arial" w:cs="Arial"/>
            <w:color w:val="0563C1" w:themeColor="hyperlink"/>
            <w:u w:val="single"/>
            <w:lang w:val="es-ES" w:eastAsia="es-ES"/>
          </w:rPr>
          <w:t>https://www.cndh.org.mx/sites/default/files/documentos/2019-05/ADOLESCENTES-INFORME-ESPECIAL-2019.pdf</w:t>
        </w:r>
      </w:hyperlink>
      <w:r w:rsidRPr="00B11E95">
        <w:rPr>
          <w:rFonts w:ascii="Arial" w:eastAsia="Times New Roman" w:hAnsi="Arial" w:cs="Arial"/>
          <w:lang w:val="es-ES" w:eastAsia="es-ES"/>
        </w:rPr>
        <w:t xml:space="preserve">   </w:t>
      </w:r>
    </w:p>
    <w:p w14:paraId="5D85FEFC" w14:textId="77777777" w:rsidR="00B11E95" w:rsidRPr="00B11E95" w:rsidRDefault="00B11E95" w:rsidP="00882D80">
      <w:pPr>
        <w:shd w:val="clear" w:color="auto" w:fill="FFFFFF"/>
        <w:spacing w:after="0" w:line="240" w:lineRule="auto"/>
        <w:ind w:right="51"/>
        <w:contextualSpacing/>
        <w:jc w:val="both"/>
        <w:rPr>
          <w:rFonts w:ascii="Arial" w:eastAsia="Times New Roman" w:hAnsi="Arial" w:cs="Arial"/>
          <w:b/>
          <w:bCs/>
          <w:color w:val="1F3864" w:themeColor="accent1" w:themeShade="80"/>
          <w:lang w:val="es-ES" w:eastAsia="es-ES"/>
        </w:rPr>
      </w:pPr>
      <w:r w:rsidRPr="00B11E95">
        <w:rPr>
          <w:rFonts w:ascii="Arial" w:eastAsia="Times New Roman" w:hAnsi="Arial" w:cs="Arial"/>
          <w:lang w:val="es-ES" w:eastAsia="es-ES"/>
        </w:rPr>
        <w:t xml:space="preserve">En el </w:t>
      </w:r>
      <w:r w:rsidRPr="00B11E95">
        <w:rPr>
          <w:rFonts w:ascii="Arial" w:eastAsia="Times New Roman" w:hAnsi="Arial" w:cs="Arial"/>
          <w:b/>
          <w:bCs/>
          <w:color w:val="1F3864" w:themeColor="accent1" w:themeShade="80"/>
          <w:lang w:val="es-ES" w:eastAsia="es-ES"/>
        </w:rPr>
        <w:t>Informe Especial</w:t>
      </w:r>
      <w:r w:rsidRPr="00B11E95">
        <w:rPr>
          <w:rFonts w:ascii="Arial" w:eastAsia="Times New Roman" w:hAnsi="Arial" w:cs="Arial"/>
          <w:color w:val="1F3864" w:themeColor="accent1" w:themeShade="80"/>
          <w:lang w:val="es-ES" w:eastAsia="es-ES"/>
        </w:rPr>
        <w:t xml:space="preserve"> sobre el Estado que Guardan las Medidas Adoptadas en Centros Penitenciarios para la Atención de la Emergencia Sanitaria Generada ante el Virus SARS-CoV2 /COVID-19), </w:t>
      </w:r>
      <w:r w:rsidRPr="00B11E95">
        <w:rPr>
          <w:rFonts w:ascii="Arial" w:eastAsia="Times New Roman" w:hAnsi="Arial" w:cs="Arial"/>
          <w:lang w:val="es-ES" w:eastAsia="es-ES"/>
        </w:rPr>
        <w:t xml:space="preserve">emitido en el año 2020, las propuestas emitidas </w:t>
      </w:r>
      <w:r w:rsidRPr="00B11E95">
        <w:rPr>
          <w:rFonts w:ascii="Arial" w:eastAsia="Times New Roman" w:hAnsi="Arial" w:cs="Arial"/>
          <w:lang w:val="es-ES" w:eastAsia="es-ES"/>
        </w:rPr>
        <w:lastRenderedPageBreak/>
        <w:t xml:space="preserve">también fueron dirigidas a efecto de garantizar los derechos humanos de las personas jóvenes en conflicto con la ley penal con respecto al contexto de emergencia sanitaria que persiste en nuestro país. </w:t>
      </w:r>
    </w:p>
    <w:p w14:paraId="7893EBB3" w14:textId="77777777" w:rsidR="00B11E95" w:rsidRPr="00B11E95" w:rsidRDefault="00B11E95" w:rsidP="00B11E95">
      <w:pPr>
        <w:shd w:val="clear" w:color="auto" w:fill="FFFFFF"/>
        <w:spacing w:after="0" w:line="240" w:lineRule="auto"/>
        <w:ind w:right="51"/>
        <w:contextualSpacing/>
        <w:jc w:val="both"/>
        <w:rPr>
          <w:rFonts w:ascii="Arial" w:eastAsia="Times New Roman" w:hAnsi="Arial" w:cs="Arial"/>
          <w:b/>
          <w:bCs/>
          <w:color w:val="1F3864" w:themeColor="accent1" w:themeShade="80"/>
          <w:sz w:val="27"/>
          <w:szCs w:val="27"/>
          <w:lang w:val="es-ES" w:eastAsia="es-ES"/>
        </w:rPr>
      </w:pPr>
    </w:p>
    <w:p w14:paraId="5DC63048" w14:textId="77777777" w:rsidR="00B11E95" w:rsidRPr="00B11E95" w:rsidRDefault="00B11E95" w:rsidP="00B11E95">
      <w:pPr>
        <w:shd w:val="clear" w:color="auto" w:fill="FFFFFF"/>
        <w:spacing w:after="0" w:line="240" w:lineRule="auto"/>
        <w:ind w:right="51"/>
        <w:contextualSpacing/>
        <w:jc w:val="both"/>
        <w:rPr>
          <w:rFonts w:ascii="Arial" w:eastAsia="Times New Roman" w:hAnsi="Arial" w:cs="Arial"/>
          <w:lang w:val="es-ES" w:eastAsia="es-ES"/>
        </w:rPr>
      </w:pPr>
      <w:r w:rsidRPr="00B11E95">
        <w:rPr>
          <w:rFonts w:ascii="Arial" w:eastAsia="Times New Roman" w:hAnsi="Arial" w:cs="Arial"/>
          <w:lang w:val="es-ES" w:eastAsia="es-ES"/>
        </w:rPr>
        <w:t xml:space="preserve">Disponible en: </w:t>
      </w:r>
      <w:hyperlink r:id="rId25" w:history="1">
        <w:r w:rsidRPr="00B11E95">
          <w:rPr>
            <w:rFonts w:ascii="Arial" w:eastAsia="Times New Roman" w:hAnsi="Arial" w:cs="Arial"/>
            <w:color w:val="0563C1" w:themeColor="hyperlink"/>
            <w:u w:val="single"/>
            <w:lang w:val="es-ES" w:eastAsia="es-ES"/>
          </w:rPr>
          <w:t>https://www.cndh.org.mx/sites/default/files/documentos/2020-07/IE_COVID19_Penitenciarios.pdf</w:t>
        </w:r>
      </w:hyperlink>
      <w:r w:rsidRPr="00B11E95">
        <w:rPr>
          <w:rFonts w:ascii="Arial" w:eastAsia="Times New Roman" w:hAnsi="Arial" w:cs="Arial"/>
          <w:lang w:val="es-ES" w:eastAsia="es-ES"/>
        </w:rPr>
        <w:t xml:space="preserve"> </w:t>
      </w:r>
    </w:p>
    <w:p w14:paraId="3792A2FE" w14:textId="77777777" w:rsidR="00673CAB" w:rsidRDefault="00673CAB" w:rsidP="00885ED9">
      <w:pPr>
        <w:widowControl w:val="0"/>
        <w:autoSpaceDE w:val="0"/>
        <w:autoSpaceDN w:val="0"/>
        <w:spacing w:after="0" w:line="260" w:lineRule="exact"/>
        <w:jc w:val="both"/>
        <w:rPr>
          <w:rFonts w:ascii="Arial Narrow" w:eastAsia="Times New Roman" w:hAnsi="Arial Narrow" w:cs="Times New Roman"/>
          <w:b/>
          <w:bCs/>
          <w:color w:val="1F3864" w:themeColor="accent1" w:themeShade="80"/>
          <w:lang w:val="es-ES" w:eastAsia="es-ES"/>
        </w:rPr>
      </w:pPr>
    </w:p>
    <w:p w14:paraId="4A7DBB6F" w14:textId="77777777" w:rsidR="00673CAB" w:rsidRDefault="00673CAB" w:rsidP="00885ED9">
      <w:pPr>
        <w:widowControl w:val="0"/>
        <w:autoSpaceDE w:val="0"/>
        <w:autoSpaceDN w:val="0"/>
        <w:spacing w:after="0" w:line="260" w:lineRule="exact"/>
        <w:jc w:val="both"/>
        <w:rPr>
          <w:rFonts w:ascii="Arial Narrow" w:eastAsia="Times New Roman" w:hAnsi="Arial Narrow" w:cs="Times New Roman"/>
          <w:b/>
          <w:bCs/>
          <w:color w:val="1F3864" w:themeColor="accent1" w:themeShade="80"/>
          <w:lang w:val="es-ES" w:eastAsia="es-ES"/>
        </w:rPr>
      </w:pPr>
    </w:p>
    <w:p w14:paraId="0E402DEA" w14:textId="0F83B32F" w:rsidR="00885ED9" w:rsidRPr="00885ED9" w:rsidRDefault="00885ED9" w:rsidP="00885ED9">
      <w:pPr>
        <w:widowControl w:val="0"/>
        <w:autoSpaceDE w:val="0"/>
        <w:autoSpaceDN w:val="0"/>
        <w:spacing w:after="0" w:line="260" w:lineRule="exact"/>
        <w:jc w:val="both"/>
        <w:rPr>
          <w:rFonts w:ascii="Arial" w:eastAsia="Arial" w:hAnsi="Arial" w:cs="Arial"/>
          <w:b/>
          <w:bCs/>
          <w:lang w:val="es-ES"/>
        </w:rPr>
      </w:pPr>
      <w:r w:rsidRPr="00885ED9">
        <w:rPr>
          <w:rFonts w:ascii="Arial" w:eastAsia="Arial" w:hAnsi="Arial" w:cs="Arial"/>
          <w:b/>
          <w:bCs/>
          <w:lang w:val="es-ES"/>
        </w:rPr>
        <w:t>36. El Estado parte debe:</w:t>
      </w:r>
    </w:p>
    <w:p w14:paraId="4F2E164A" w14:textId="77777777" w:rsidR="00885ED9" w:rsidRPr="00885ED9" w:rsidRDefault="00885ED9" w:rsidP="00885ED9">
      <w:pPr>
        <w:widowControl w:val="0"/>
        <w:autoSpaceDE w:val="0"/>
        <w:autoSpaceDN w:val="0"/>
        <w:spacing w:after="0" w:line="260" w:lineRule="exact"/>
        <w:jc w:val="both"/>
        <w:rPr>
          <w:rFonts w:ascii="Arial" w:eastAsia="Arial" w:hAnsi="Arial" w:cs="Arial"/>
          <w:b/>
          <w:bCs/>
          <w:lang w:val="es-ES"/>
        </w:rPr>
      </w:pPr>
    </w:p>
    <w:p w14:paraId="3619FC23" w14:textId="548C755A" w:rsidR="00885ED9" w:rsidRDefault="00885ED9" w:rsidP="00885ED9">
      <w:pPr>
        <w:widowControl w:val="0"/>
        <w:autoSpaceDE w:val="0"/>
        <w:autoSpaceDN w:val="0"/>
        <w:spacing w:after="0" w:line="260" w:lineRule="exact"/>
        <w:jc w:val="both"/>
        <w:rPr>
          <w:rFonts w:ascii="Arial" w:eastAsia="Arial" w:hAnsi="Arial" w:cs="Arial"/>
          <w:b/>
          <w:bCs/>
          <w:i/>
          <w:lang w:val="es"/>
        </w:rPr>
      </w:pPr>
      <w:r w:rsidRPr="00885ED9">
        <w:rPr>
          <w:rFonts w:ascii="Arial" w:eastAsia="Arial" w:hAnsi="Arial" w:cs="Arial"/>
          <w:b/>
          <w:bCs/>
          <w:i/>
          <w:lang w:val="es"/>
        </w:rPr>
        <w:t>a) Adoptar medidas dirigidas a garantizar el trato digno de todos los menores privados de libertad y el mantenimiento de condiciones de detención adecuadas en los centros de internamiento para menores;</w:t>
      </w:r>
    </w:p>
    <w:p w14:paraId="2B7EEA58" w14:textId="1291A277" w:rsidR="00673CAB" w:rsidRDefault="00673CAB" w:rsidP="00885ED9">
      <w:pPr>
        <w:widowControl w:val="0"/>
        <w:autoSpaceDE w:val="0"/>
        <w:autoSpaceDN w:val="0"/>
        <w:spacing w:after="0" w:line="260" w:lineRule="exact"/>
        <w:jc w:val="both"/>
        <w:rPr>
          <w:rFonts w:ascii="Arial" w:eastAsia="Arial" w:hAnsi="Arial" w:cs="Arial"/>
          <w:b/>
          <w:bCs/>
          <w:i/>
          <w:lang w:val="es"/>
        </w:rPr>
      </w:pPr>
    </w:p>
    <w:p w14:paraId="7812792E" w14:textId="25126CB8" w:rsidR="00673CAB" w:rsidRPr="00885ED9" w:rsidRDefault="00673CAB" w:rsidP="00885ED9">
      <w:pPr>
        <w:widowControl w:val="0"/>
        <w:autoSpaceDE w:val="0"/>
        <w:autoSpaceDN w:val="0"/>
        <w:spacing w:after="0" w:line="260" w:lineRule="exact"/>
        <w:jc w:val="both"/>
        <w:rPr>
          <w:rFonts w:ascii="Arial" w:eastAsia="Arial" w:hAnsi="Arial" w:cs="Arial"/>
          <w:b/>
          <w:bCs/>
          <w:iCs/>
          <w:lang w:val="es"/>
        </w:rPr>
      </w:pPr>
      <w:r w:rsidRPr="00673CAB">
        <w:rPr>
          <w:rFonts w:ascii="Arial" w:eastAsia="Arial" w:hAnsi="Arial" w:cs="Arial"/>
          <w:b/>
          <w:bCs/>
          <w:iCs/>
          <w:lang w:val="es"/>
        </w:rPr>
        <w:t>Acciones de la Comisión Nacional de los Derechos Humanos</w:t>
      </w:r>
    </w:p>
    <w:p w14:paraId="1DEA89BB" w14:textId="77777777" w:rsidR="00885ED9" w:rsidRPr="00885ED9" w:rsidRDefault="00885ED9" w:rsidP="00885ED9">
      <w:pPr>
        <w:widowControl w:val="0"/>
        <w:autoSpaceDE w:val="0"/>
        <w:autoSpaceDN w:val="0"/>
        <w:spacing w:after="0" w:line="260" w:lineRule="exact"/>
        <w:jc w:val="both"/>
        <w:rPr>
          <w:rFonts w:ascii="Arial" w:eastAsia="Arial" w:hAnsi="Arial" w:cs="Arial"/>
          <w:i/>
          <w:lang w:val="es"/>
        </w:rPr>
      </w:pPr>
      <w:r w:rsidRPr="00885ED9">
        <w:rPr>
          <w:rFonts w:ascii="Arial" w:eastAsia="Arial" w:hAnsi="Arial" w:cs="Arial"/>
          <w:i/>
          <w:lang w:val="es"/>
        </w:rPr>
        <w:t xml:space="preserve"> </w:t>
      </w:r>
    </w:p>
    <w:p w14:paraId="49B29B8E" w14:textId="5C8F0B48" w:rsidR="00885ED9" w:rsidRPr="00885ED9" w:rsidRDefault="00885ED9" w:rsidP="00885ED9">
      <w:pPr>
        <w:widowControl w:val="0"/>
        <w:autoSpaceDE w:val="0"/>
        <w:autoSpaceDN w:val="0"/>
        <w:spacing w:after="0" w:line="260" w:lineRule="exact"/>
        <w:jc w:val="both"/>
        <w:rPr>
          <w:rFonts w:ascii="Arial" w:eastAsia="Arial" w:hAnsi="Arial" w:cs="Arial"/>
          <w:lang w:val="es-ES"/>
        </w:rPr>
      </w:pPr>
      <w:r w:rsidRPr="00885ED9">
        <w:rPr>
          <w:rFonts w:ascii="Arial" w:eastAsia="Arial" w:hAnsi="Arial" w:cs="Arial"/>
          <w:lang w:val="es-ES"/>
        </w:rPr>
        <w:lastRenderedPageBreak/>
        <w:t>La Comisión Nacional de los Derechos Humanos, con fundamento en lo dispuesto por los artículos 102, apartado B, de la Constitución Política de los Estados Unidos Mexicanos; 1º y 6º, fracción VII, de la Ley de la Comisión Nacional de los Derechos Humanos, y 174 de su Reglamento Interno, con la finalidad de dar cumplimiento al mandato constitucional de proteger los derechos humanos que ampara el orden jurídico mexicano, creó, entre otros, el Programa de Supervisión sobre el Sistema Penitenciario y de Centros de Internamiento, cuyo objetivo principal, es precisamente verificar el respeto de los derechos humanos de las personas privadas de la libertad, incluyendo a las personas menores de edad, así como el Programa sobre Asuntos de la Mujer, la Niñez y la Familia, dentro del cual se abarca ese</w:t>
      </w:r>
      <w:r w:rsidR="00B91D63">
        <w:rPr>
          <w:rFonts w:ascii="Arial" w:eastAsia="Arial" w:hAnsi="Arial" w:cs="Arial"/>
          <w:lang w:val="es-ES"/>
        </w:rPr>
        <w:t xml:space="preserve"> </w:t>
      </w:r>
      <w:r w:rsidRPr="00885ED9">
        <w:rPr>
          <w:rFonts w:ascii="Arial" w:eastAsia="Arial" w:hAnsi="Arial" w:cs="Arial"/>
          <w:lang w:val="es-ES"/>
        </w:rPr>
        <w:t>sector de la población</w:t>
      </w:r>
      <w:r w:rsidRPr="00885ED9">
        <w:rPr>
          <w:rFonts w:ascii="Arial" w:eastAsia="Arial" w:hAnsi="Arial" w:cs="Arial"/>
          <w:vertAlign w:val="superscript"/>
          <w:lang w:val="es-ES"/>
        </w:rPr>
        <w:footnoteReference w:id="20"/>
      </w:r>
      <w:r w:rsidRPr="00885ED9">
        <w:rPr>
          <w:rFonts w:ascii="Arial" w:eastAsia="Arial" w:hAnsi="Arial" w:cs="Arial"/>
          <w:lang w:val="es-ES"/>
        </w:rPr>
        <w:t>.</w:t>
      </w:r>
    </w:p>
    <w:p w14:paraId="64068182" w14:textId="77777777" w:rsidR="00885ED9" w:rsidRPr="00885ED9" w:rsidRDefault="00885ED9" w:rsidP="00885ED9">
      <w:pPr>
        <w:widowControl w:val="0"/>
        <w:autoSpaceDE w:val="0"/>
        <w:autoSpaceDN w:val="0"/>
        <w:spacing w:after="0" w:line="280" w:lineRule="exact"/>
        <w:jc w:val="both"/>
        <w:rPr>
          <w:rFonts w:ascii="Arial" w:eastAsia="Arial" w:hAnsi="Arial" w:cs="Arial"/>
          <w:lang w:val="es-ES"/>
        </w:rPr>
      </w:pPr>
    </w:p>
    <w:p w14:paraId="68A339C8" w14:textId="77777777" w:rsidR="00885ED9" w:rsidRPr="00885ED9" w:rsidRDefault="00885ED9" w:rsidP="00885ED9">
      <w:pPr>
        <w:widowControl w:val="0"/>
        <w:autoSpaceDE w:val="0"/>
        <w:autoSpaceDN w:val="0"/>
        <w:spacing w:after="0" w:line="280" w:lineRule="exact"/>
        <w:jc w:val="both"/>
        <w:rPr>
          <w:rFonts w:ascii="Arial" w:eastAsia="Arial" w:hAnsi="Arial" w:cs="Arial"/>
          <w:lang w:val="es-ES"/>
        </w:rPr>
      </w:pPr>
      <w:r w:rsidRPr="00885ED9">
        <w:rPr>
          <w:rFonts w:ascii="Arial" w:eastAsia="Arial" w:hAnsi="Arial" w:cs="Arial"/>
          <w:lang w:val="es-ES"/>
        </w:rPr>
        <w:lastRenderedPageBreak/>
        <w:t>De igual manera, examinó la situación de los derechos humanos de las niñas, niños y adolescentes en conflicto de la ley, que se encuentran en los centros de menores de la República Mexicana, lo que, por su relevancia, derivó en informes especiales. En los años 2015 y 2019, se publicaron los siguientes informes:</w:t>
      </w:r>
    </w:p>
    <w:tbl>
      <w:tblPr>
        <w:tblpPr w:leftFromText="141" w:rightFromText="141" w:vertAnchor="text" w:horzAnchor="margin" w:tblpXSpec="center" w:tblpY="116"/>
        <w:tblW w:w="9204" w:type="dxa"/>
        <w:tblLayout w:type="fixed"/>
        <w:tblCellMar>
          <w:left w:w="0" w:type="dxa"/>
          <w:right w:w="0" w:type="dxa"/>
        </w:tblCellMar>
        <w:tblLook w:val="0420" w:firstRow="1" w:lastRow="0" w:firstColumn="0" w:lastColumn="0" w:noHBand="0" w:noVBand="1"/>
      </w:tblPr>
      <w:tblGrid>
        <w:gridCol w:w="4243"/>
        <w:gridCol w:w="1276"/>
        <w:gridCol w:w="1559"/>
        <w:gridCol w:w="2126"/>
      </w:tblGrid>
      <w:tr w:rsidR="00885ED9" w:rsidRPr="00885ED9" w14:paraId="0EE8B61C" w14:textId="77777777" w:rsidTr="00096F4B">
        <w:trPr>
          <w:trHeight w:val="617"/>
        </w:trPr>
        <w:tc>
          <w:tcPr>
            <w:tcW w:w="4243" w:type="dxa"/>
            <w:tcBorders>
              <w:top w:val="single" w:sz="8" w:space="0" w:color="FFFFFF"/>
              <w:left w:val="single" w:sz="8" w:space="0" w:color="FFFFFF"/>
              <w:bottom w:val="single" w:sz="24" w:space="0" w:color="FFFFFF"/>
              <w:right w:val="single" w:sz="8" w:space="0" w:color="FFFFFF"/>
            </w:tcBorders>
            <w:shd w:val="clear" w:color="auto" w:fill="FFC000"/>
            <w:tcMar>
              <w:top w:w="72" w:type="dxa"/>
              <w:left w:w="144" w:type="dxa"/>
              <w:bottom w:w="72" w:type="dxa"/>
              <w:right w:w="144" w:type="dxa"/>
            </w:tcMar>
            <w:hideMark/>
          </w:tcPr>
          <w:p w14:paraId="58EC9A87" w14:textId="77777777" w:rsidR="00885ED9" w:rsidRPr="00885ED9" w:rsidRDefault="00885ED9" w:rsidP="00885ED9">
            <w:pPr>
              <w:widowControl w:val="0"/>
              <w:autoSpaceDE w:val="0"/>
              <w:autoSpaceDN w:val="0"/>
              <w:spacing w:after="0" w:line="240" w:lineRule="auto"/>
              <w:ind w:right="737"/>
              <w:jc w:val="both"/>
              <w:rPr>
                <w:rFonts w:ascii="Arial" w:eastAsia="Arial" w:hAnsi="Arial" w:cs="Arial"/>
                <w:sz w:val="20"/>
                <w:szCs w:val="20"/>
                <w:lang w:val="es-ES"/>
              </w:rPr>
            </w:pPr>
            <w:r w:rsidRPr="00885ED9">
              <w:rPr>
                <w:rFonts w:ascii="Arial" w:eastAsia="Arial" w:hAnsi="Arial" w:cs="Arial"/>
                <w:b/>
                <w:bCs/>
                <w:sz w:val="20"/>
                <w:szCs w:val="20"/>
                <w:lang w:val="es-ES"/>
              </w:rPr>
              <w:t>Nombre del Informe</w:t>
            </w:r>
          </w:p>
        </w:tc>
        <w:tc>
          <w:tcPr>
            <w:tcW w:w="1276" w:type="dxa"/>
            <w:tcBorders>
              <w:top w:val="single" w:sz="8" w:space="0" w:color="FFFFFF"/>
              <w:left w:val="single" w:sz="8" w:space="0" w:color="FFFFFF"/>
              <w:bottom w:val="single" w:sz="24" w:space="0" w:color="FFFFFF"/>
              <w:right w:val="single" w:sz="8" w:space="0" w:color="FFFFFF"/>
            </w:tcBorders>
            <w:shd w:val="clear" w:color="auto" w:fill="FFC000"/>
            <w:tcMar>
              <w:top w:w="72" w:type="dxa"/>
              <w:left w:w="144" w:type="dxa"/>
              <w:bottom w:w="72" w:type="dxa"/>
              <w:right w:w="144" w:type="dxa"/>
            </w:tcMar>
            <w:hideMark/>
          </w:tcPr>
          <w:p w14:paraId="07F103F7" w14:textId="77777777" w:rsidR="00885ED9" w:rsidRPr="00885ED9" w:rsidRDefault="00885ED9" w:rsidP="00885ED9">
            <w:pPr>
              <w:widowControl w:val="0"/>
              <w:autoSpaceDE w:val="0"/>
              <w:autoSpaceDN w:val="0"/>
              <w:spacing w:after="0" w:line="240" w:lineRule="auto"/>
              <w:ind w:right="-6"/>
              <w:jc w:val="both"/>
              <w:rPr>
                <w:rFonts w:ascii="Arial" w:eastAsia="Arial" w:hAnsi="Arial" w:cs="Arial"/>
                <w:sz w:val="20"/>
                <w:szCs w:val="20"/>
                <w:lang w:val="es-ES"/>
              </w:rPr>
            </w:pPr>
            <w:r w:rsidRPr="00885ED9">
              <w:rPr>
                <w:rFonts w:ascii="Arial" w:eastAsia="Arial" w:hAnsi="Arial" w:cs="Arial"/>
                <w:b/>
                <w:bCs/>
                <w:sz w:val="20"/>
                <w:szCs w:val="20"/>
                <w:lang w:val="es-ES"/>
              </w:rPr>
              <w:t>Fecha de publicación</w:t>
            </w:r>
          </w:p>
        </w:tc>
        <w:tc>
          <w:tcPr>
            <w:tcW w:w="1559" w:type="dxa"/>
            <w:tcBorders>
              <w:top w:val="single" w:sz="8" w:space="0" w:color="FFFFFF"/>
              <w:left w:val="single" w:sz="8" w:space="0" w:color="FFFFFF"/>
              <w:bottom w:val="single" w:sz="24" w:space="0" w:color="FFFFFF"/>
              <w:right w:val="single" w:sz="8" w:space="0" w:color="FFFFFF"/>
            </w:tcBorders>
            <w:shd w:val="clear" w:color="auto" w:fill="FFC000"/>
            <w:tcMar>
              <w:top w:w="72" w:type="dxa"/>
              <w:left w:w="144" w:type="dxa"/>
              <w:bottom w:w="72" w:type="dxa"/>
              <w:right w:w="144" w:type="dxa"/>
            </w:tcMar>
            <w:hideMark/>
          </w:tcPr>
          <w:p w14:paraId="4431C2D1" w14:textId="77777777" w:rsidR="00885ED9" w:rsidRPr="00885ED9" w:rsidRDefault="00885ED9" w:rsidP="00885ED9">
            <w:pPr>
              <w:widowControl w:val="0"/>
              <w:autoSpaceDE w:val="0"/>
              <w:autoSpaceDN w:val="0"/>
              <w:spacing w:after="0" w:line="240" w:lineRule="auto"/>
              <w:jc w:val="both"/>
              <w:rPr>
                <w:rFonts w:ascii="Arial" w:eastAsia="Arial" w:hAnsi="Arial" w:cs="Arial"/>
                <w:sz w:val="20"/>
                <w:szCs w:val="20"/>
                <w:lang w:val="es-ES"/>
              </w:rPr>
            </w:pPr>
            <w:r w:rsidRPr="00885ED9">
              <w:rPr>
                <w:rFonts w:ascii="Arial" w:eastAsia="Arial" w:hAnsi="Arial" w:cs="Arial"/>
                <w:b/>
                <w:bCs/>
                <w:sz w:val="20"/>
                <w:szCs w:val="20"/>
                <w:lang w:val="es-ES"/>
              </w:rPr>
              <w:t xml:space="preserve">Número de lugares visitados </w:t>
            </w:r>
          </w:p>
        </w:tc>
        <w:tc>
          <w:tcPr>
            <w:tcW w:w="2126" w:type="dxa"/>
            <w:tcBorders>
              <w:top w:val="single" w:sz="8" w:space="0" w:color="FFFFFF"/>
              <w:left w:val="single" w:sz="8" w:space="0" w:color="FFFFFF"/>
              <w:bottom w:val="single" w:sz="24" w:space="0" w:color="FFFFFF"/>
              <w:right w:val="single" w:sz="8" w:space="0" w:color="FFFFFF"/>
            </w:tcBorders>
            <w:shd w:val="clear" w:color="auto" w:fill="FFC000"/>
            <w:tcMar>
              <w:top w:w="72" w:type="dxa"/>
              <w:left w:w="144" w:type="dxa"/>
              <w:bottom w:w="72" w:type="dxa"/>
              <w:right w:w="144" w:type="dxa"/>
            </w:tcMar>
            <w:hideMark/>
          </w:tcPr>
          <w:p w14:paraId="440BAC95" w14:textId="77777777" w:rsidR="00885ED9" w:rsidRPr="00885ED9" w:rsidRDefault="00885ED9" w:rsidP="00885ED9">
            <w:pPr>
              <w:widowControl w:val="0"/>
              <w:autoSpaceDE w:val="0"/>
              <w:autoSpaceDN w:val="0"/>
              <w:spacing w:after="0" w:line="240" w:lineRule="auto"/>
              <w:ind w:right="114"/>
              <w:jc w:val="both"/>
              <w:rPr>
                <w:rFonts w:ascii="Arial" w:eastAsia="Arial" w:hAnsi="Arial" w:cs="Arial"/>
                <w:sz w:val="20"/>
                <w:szCs w:val="20"/>
                <w:lang w:val="es-ES"/>
              </w:rPr>
            </w:pPr>
            <w:r w:rsidRPr="00885ED9">
              <w:rPr>
                <w:rFonts w:ascii="Arial" w:eastAsia="Arial" w:hAnsi="Arial" w:cs="Arial"/>
                <w:b/>
                <w:bCs/>
                <w:sz w:val="20"/>
                <w:szCs w:val="20"/>
                <w:lang w:val="es-ES"/>
              </w:rPr>
              <w:t>Población total visitada.</w:t>
            </w:r>
          </w:p>
        </w:tc>
      </w:tr>
      <w:tr w:rsidR="00885ED9" w:rsidRPr="00885ED9" w14:paraId="1365144C" w14:textId="77777777" w:rsidTr="00885ED9">
        <w:trPr>
          <w:trHeight w:val="16"/>
        </w:trPr>
        <w:tc>
          <w:tcPr>
            <w:tcW w:w="4243" w:type="dxa"/>
            <w:tcBorders>
              <w:top w:val="single" w:sz="8" w:space="0" w:color="FFFFFF"/>
              <w:left w:val="single" w:sz="8" w:space="0" w:color="FFFFFF"/>
              <w:bottom w:val="single" w:sz="8" w:space="0" w:color="FFFFFF"/>
              <w:right w:val="single" w:sz="8" w:space="0" w:color="FFFFFF"/>
            </w:tcBorders>
            <w:shd w:val="clear" w:color="auto" w:fill="FFF2CC"/>
            <w:tcMar>
              <w:top w:w="72" w:type="dxa"/>
              <w:left w:w="144" w:type="dxa"/>
              <w:bottom w:w="72" w:type="dxa"/>
              <w:right w:w="144" w:type="dxa"/>
            </w:tcMar>
            <w:hideMark/>
          </w:tcPr>
          <w:p w14:paraId="109F0BD1" w14:textId="77777777" w:rsidR="00885ED9" w:rsidRPr="00885ED9" w:rsidRDefault="00885ED9" w:rsidP="00885ED9">
            <w:pPr>
              <w:widowControl w:val="0"/>
              <w:autoSpaceDE w:val="0"/>
              <w:autoSpaceDN w:val="0"/>
              <w:spacing w:after="0" w:line="240" w:lineRule="auto"/>
              <w:ind w:right="-48"/>
              <w:jc w:val="both"/>
              <w:rPr>
                <w:rFonts w:ascii="Arial" w:eastAsia="Arial" w:hAnsi="Arial" w:cs="Arial"/>
                <w:sz w:val="20"/>
                <w:szCs w:val="20"/>
                <w:lang w:val="es-ES"/>
              </w:rPr>
            </w:pPr>
            <w:r w:rsidRPr="00885ED9">
              <w:rPr>
                <w:rFonts w:ascii="Arial" w:eastAsia="Arial" w:hAnsi="Arial" w:cs="Arial"/>
                <w:sz w:val="20"/>
                <w:szCs w:val="20"/>
                <w:lang w:val="es-ES"/>
              </w:rPr>
              <w:t>Informe Especial sobre los centros de tratamiento interno para adolescentes que infringen las leyes penales que dependen de los gobiernos estatales y del Distrito Federal en la República Mexicana</w:t>
            </w:r>
            <w:r w:rsidRPr="00885ED9">
              <w:rPr>
                <w:rFonts w:ascii="Arial" w:eastAsia="Arial" w:hAnsi="Arial" w:cs="Arial"/>
                <w:sz w:val="20"/>
                <w:szCs w:val="20"/>
                <w:vertAlign w:val="superscript"/>
                <w:lang w:val="es-ES"/>
              </w:rPr>
              <w:footnoteReference w:id="21"/>
            </w:r>
            <w:r w:rsidRPr="00885ED9">
              <w:rPr>
                <w:rFonts w:ascii="Arial" w:eastAsia="Arial" w:hAnsi="Arial" w:cs="Arial"/>
                <w:sz w:val="20"/>
                <w:szCs w:val="20"/>
                <w:lang w:val="es-ES"/>
              </w:rPr>
              <w:t xml:space="preserve">. </w:t>
            </w:r>
          </w:p>
        </w:tc>
        <w:tc>
          <w:tcPr>
            <w:tcW w:w="1276" w:type="dxa"/>
            <w:tcBorders>
              <w:top w:val="single" w:sz="8" w:space="0" w:color="FFFFFF"/>
              <w:left w:val="single" w:sz="8" w:space="0" w:color="FFFFFF"/>
              <w:bottom w:val="single" w:sz="8" w:space="0" w:color="FFFFFF"/>
              <w:right w:val="single" w:sz="8" w:space="0" w:color="FFFFFF"/>
            </w:tcBorders>
            <w:shd w:val="clear" w:color="auto" w:fill="FFF2CC"/>
            <w:tcMar>
              <w:top w:w="72" w:type="dxa"/>
              <w:left w:w="144" w:type="dxa"/>
              <w:bottom w:w="72" w:type="dxa"/>
              <w:right w:w="144" w:type="dxa"/>
            </w:tcMar>
            <w:hideMark/>
          </w:tcPr>
          <w:p w14:paraId="40951AE1" w14:textId="77777777" w:rsidR="00885ED9" w:rsidRPr="00885ED9" w:rsidRDefault="00885ED9" w:rsidP="00885ED9">
            <w:pPr>
              <w:widowControl w:val="0"/>
              <w:autoSpaceDE w:val="0"/>
              <w:autoSpaceDN w:val="0"/>
              <w:spacing w:after="0" w:line="240" w:lineRule="auto"/>
              <w:ind w:right="-9"/>
              <w:jc w:val="center"/>
              <w:rPr>
                <w:rFonts w:ascii="Arial" w:eastAsia="Arial" w:hAnsi="Arial" w:cs="Arial"/>
                <w:sz w:val="20"/>
                <w:szCs w:val="20"/>
                <w:lang w:val="es-ES"/>
              </w:rPr>
            </w:pPr>
            <w:r w:rsidRPr="00885ED9">
              <w:rPr>
                <w:rFonts w:ascii="Arial" w:eastAsia="Arial" w:hAnsi="Arial" w:cs="Arial"/>
                <w:sz w:val="20"/>
                <w:szCs w:val="20"/>
                <w:lang w:val="es-ES"/>
              </w:rPr>
              <w:t>20 de febrero del 2015</w:t>
            </w:r>
          </w:p>
        </w:tc>
        <w:tc>
          <w:tcPr>
            <w:tcW w:w="1559" w:type="dxa"/>
            <w:tcBorders>
              <w:top w:val="single" w:sz="8" w:space="0" w:color="FFFFFF"/>
              <w:left w:val="single" w:sz="8" w:space="0" w:color="FFFFFF"/>
              <w:bottom w:val="single" w:sz="8" w:space="0" w:color="FFFFFF"/>
              <w:right w:val="single" w:sz="8" w:space="0" w:color="FFFFFF"/>
            </w:tcBorders>
            <w:shd w:val="clear" w:color="auto" w:fill="FFF2CC"/>
            <w:tcMar>
              <w:top w:w="72" w:type="dxa"/>
              <w:left w:w="144" w:type="dxa"/>
              <w:bottom w:w="72" w:type="dxa"/>
              <w:right w:w="144" w:type="dxa"/>
            </w:tcMar>
            <w:hideMark/>
          </w:tcPr>
          <w:p w14:paraId="33350E4B" w14:textId="77777777" w:rsidR="00885ED9" w:rsidRPr="00885ED9" w:rsidRDefault="00885ED9" w:rsidP="00885ED9">
            <w:pPr>
              <w:widowControl w:val="0"/>
              <w:autoSpaceDE w:val="0"/>
              <w:autoSpaceDN w:val="0"/>
              <w:spacing w:after="0" w:line="240" w:lineRule="auto"/>
              <w:ind w:right="14"/>
              <w:jc w:val="both"/>
              <w:rPr>
                <w:rFonts w:ascii="Arial" w:eastAsia="Arial" w:hAnsi="Arial" w:cs="Arial"/>
                <w:sz w:val="20"/>
                <w:szCs w:val="20"/>
                <w:lang w:val="es-ES"/>
              </w:rPr>
            </w:pPr>
            <w:r w:rsidRPr="00885ED9">
              <w:rPr>
                <w:rFonts w:ascii="Arial" w:eastAsia="Arial" w:hAnsi="Arial" w:cs="Arial"/>
                <w:sz w:val="20"/>
                <w:szCs w:val="20"/>
                <w:lang w:val="es-ES"/>
              </w:rPr>
              <w:t>56 centros visitados</w:t>
            </w:r>
          </w:p>
        </w:tc>
        <w:tc>
          <w:tcPr>
            <w:tcW w:w="2126" w:type="dxa"/>
            <w:tcBorders>
              <w:top w:val="single" w:sz="8" w:space="0" w:color="FFFFFF"/>
              <w:left w:val="single" w:sz="8" w:space="0" w:color="FFFFFF"/>
              <w:bottom w:val="single" w:sz="8" w:space="0" w:color="FFFFFF"/>
              <w:right w:val="single" w:sz="8" w:space="0" w:color="FFFFFF"/>
            </w:tcBorders>
            <w:shd w:val="clear" w:color="auto" w:fill="FFF2CC"/>
            <w:tcMar>
              <w:top w:w="72" w:type="dxa"/>
              <w:left w:w="144" w:type="dxa"/>
              <w:bottom w:w="72" w:type="dxa"/>
              <w:right w:w="144" w:type="dxa"/>
            </w:tcMar>
            <w:hideMark/>
          </w:tcPr>
          <w:p w14:paraId="157223F2" w14:textId="77777777" w:rsidR="00885ED9" w:rsidRPr="00885ED9" w:rsidRDefault="00885ED9" w:rsidP="00885ED9">
            <w:pPr>
              <w:widowControl w:val="0"/>
              <w:autoSpaceDE w:val="0"/>
              <w:autoSpaceDN w:val="0"/>
              <w:spacing w:after="0" w:line="240" w:lineRule="auto"/>
              <w:ind w:right="-27"/>
              <w:jc w:val="both"/>
              <w:rPr>
                <w:rFonts w:ascii="Arial" w:eastAsia="Arial" w:hAnsi="Arial" w:cs="Arial"/>
                <w:sz w:val="20"/>
                <w:szCs w:val="20"/>
                <w:lang w:val="es-ES"/>
              </w:rPr>
            </w:pPr>
            <w:r w:rsidRPr="00885ED9">
              <w:rPr>
                <w:rFonts w:ascii="Arial" w:eastAsia="Arial" w:hAnsi="Arial" w:cs="Arial"/>
                <w:sz w:val="20"/>
                <w:szCs w:val="20"/>
                <w:lang w:val="es-ES"/>
              </w:rPr>
              <w:t>4,734 total</w:t>
            </w:r>
          </w:p>
          <w:p w14:paraId="56D9C671" w14:textId="77777777" w:rsidR="00885ED9" w:rsidRPr="00885ED9" w:rsidRDefault="00885ED9" w:rsidP="00885ED9">
            <w:pPr>
              <w:widowControl w:val="0"/>
              <w:numPr>
                <w:ilvl w:val="0"/>
                <w:numId w:val="32"/>
              </w:numPr>
              <w:autoSpaceDE w:val="0"/>
              <w:autoSpaceDN w:val="0"/>
              <w:spacing w:after="0" w:line="240" w:lineRule="auto"/>
              <w:ind w:right="-27"/>
              <w:contextualSpacing/>
              <w:jc w:val="both"/>
              <w:rPr>
                <w:rFonts w:ascii="Arial" w:eastAsia="Arial" w:hAnsi="Arial" w:cs="Arial"/>
                <w:sz w:val="20"/>
                <w:szCs w:val="20"/>
                <w:lang w:val="es-ES"/>
              </w:rPr>
            </w:pPr>
            <w:r w:rsidRPr="00885ED9">
              <w:rPr>
                <w:rFonts w:ascii="Arial" w:eastAsia="Arial" w:hAnsi="Arial" w:cs="Arial"/>
                <w:sz w:val="20"/>
                <w:szCs w:val="20"/>
                <w:lang w:val="es-ES"/>
              </w:rPr>
              <w:t>4,438 hombres</w:t>
            </w:r>
          </w:p>
          <w:p w14:paraId="7B9EBA7C" w14:textId="77777777" w:rsidR="00885ED9" w:rsidRPr="00885ED9" w:rsidRDefault="00885ED9" w:rsidP="00885ED9">
            <w:pPr>
              <w:widowControl w:val="0"/>
              <w:numPr>
                <w:ilvl w:val="0"/>
                <w:numId w:val="32"/>
              </w:numPr>
              <w:autoSpaceDE w:val="0"/>
              <w:autoSpaceDN w:val="0"/>
              <w:spacing w:after="0" w:line="240" w:lineRule="auto"/>
              <w:ind w:right="-27"/>
              <w:contextualSpacing/>
              <w:jc w:val="both"/>
              <w:rPr>
                <w:rFonts w:ascii="Arial" w:eastAsia="Arial" w:hAnsi="Arial" w:cs="Arial"/>
                <w:sz w:val="20"/>
                <w:szCs w:val="20"/>
                <w:lang w:val="es-ES"/>
              </w:rPr>
            </w:pPr>
            <w:r w:rsidRPr="00885ED9">
              <w:rPr>
                <w:rFonts w:ascii="Arial" w:eastAsia="Arial" w:hAnsi="Arial" w:cs="Arial"/>
                <w:sz w:val="20"/>
                <w:szCs w:val="20"/>
                <w:lang w:val="es-ES"/>
              </w:rPr>
              <w:t>286 mujeres</w:t>
            </w:r>
          </w:p>
        </w:tc>
      </w:tr>
      <w:tr w:rsidR="00885ED9" w:rsidRPr="00885ED9" w14:paraId="5004C06B" w14:textId="77777777" w:rsidTr="00885ED9">
        <w:trPr>
          <w:trHeight w:val="1065"/>
        </w:trPr>
        <w:tc>
          <w:tcPr>
            <w:tcW w:w="4243" w:type="dxa"/>
            <w:tcBorders>
              <w:top w:val="single" w:sz="8" w:space="0" w:color="FFFFFF"/>
              <w:left w:val="single" w:sz="8" w:space="0" w:color="FFFFFF"/>
              <w:bottom w:val="single" w:sz="8" w:space="0" w:color="FFFFFF"/>
              <w:right w:val="single" w:sz="8" w:space="0" w:color="FFFFFF"/>
            </w:tcBorders>
            <w:shd w:val="clear" w:color="auto" w:fill="FFE599"/>
            <w:tcMar>
              <w:top w:w="72" w:type="dxa"/>
              <w:left w:w="144" w:type="dxa"/>
              <w:bottom w:w="72" w:type="dxa"/>
              <w:right w:w="144" w:type="dxa"/>
            </w:tcMar>
            <w:hideMark/>
          </w:tcPr>
          <w:p w14:paraId="27C854CB" w14:textId="77777777" w:rsidR="00885ED9" w:rsidRPr="00885ED9" w:rsidRDefault="00885ED9" w:rsidP="00885ED9">
            <w:pPr>
              <w:widowControl w:val="0"/>
              <w:autoSpaceDE w:val="0"/>
              <w:autoSpaceDN w:val="0"/>
              <w:spacing w:after="0" w:line="240" w:lineRule="auto"/>
              <w:ind w:right="-48"/>
              <w:jc w:val="both"/>
              <w:rPr>
                <w:rFonts w:ascii="Arial" w:eastAsia="Arial" w:hAnsi="Arial" w:cs="Arial"/>
                <w:sz w:val="20"/>
                <w:szCs w:val="20"/>
                <w:lang w:val="es-ES"/>
              </w:rPr>
            </w:pPr>
            <w:r w:rsidRPr="00885ED9">
              <w:rPr>
                <w:rFonts w:ascii="Arial" w:eastAsia="Arial" w:hAnsi="Arial" w:cs="Arial"/>
                <w:sz w:val="20"/>
                <w:szCs w:val="20"/>
                <w:lang w:val="es-ES"/>
              </w:rPr>
              <w:t>Informe especial de la Comisión Nacional de los Derechos Humanos sobre los Centros de Tratamiento Interno para Adolescentes que infringen la Ley Penal de la República Mexicana</w:t>
            </w:r>
            <w:r w:rsidRPr="00885ED9">
              <w:rPr>
                <w:rFonts w:ascii="Arial" w:eastAsia="Arial" w:hAnsi="Arial" w:cs="Arial"/>
                <w:sz w:val="20"/>
                <w:szCs w:val="20"/>
                <w:vertAlign w:val="superscript"/>
                <w:lang w:val="es-ES"/>
              </w:rPr>
              <w:footnoteReference w:id="22"/>
            </w:r>
            <w:r w:rsidRPr="00885ED9">
              <w:rPr>
                <w:rFonts w:ascii="Arial" w:eastAsia="Arial" w:hAnsi="Arial" w:cs="Arial"/>
                <w:sz w:val="20"/>
                <w:szCs w:val="20"/>
                <w:lang w:val="es-ES"/>
              </w:rPr>
              <w:t xml:space="preserve">. </w:t>
            </w:r>
          </w:p>
        </w:tc>
        <w:tc>
          <w:tcPr>
            <w:tcW w:w="1276" w:type="dxa"/>
            <w:tcBorders>
              <w:top w:val="single" w:sz="8" w:space="0" w:color="FFFFFF"/>
              <w:left w:val="single" w:sz="8" w:space="0" w:color="FFFFFF"/>
              <w:bottom w:val="single" w:sz="8" w:space="0" w:color="FFFFFF"/>
              <w:right w:val="single" w:sz="8" w:space="0" w:color="FFFFFF"/>
            </w:tcBorders>
            <w:shd w:val="clear" w:color="auto" w:fill="FFE599"/>
            <w:tcMar>
              <w:top w:w="72" w:type="dxa"/>
              <w:left w:w="144" w:type="dxa"/>
              <w:bottom w:w="72" w:type="dxa"/>
              <w:right w:w="144" w:type="dxa"/>
            </w:tcMar>
            <w:hideMark/>
          </w:tcPr>
          <w:p w14:paraId="4B69B787" w14:textId="77777777" w:rsidR="00885ED9" w:rsidRPr="00885ED9" w:rsidRDefault="00885ED9" w:rsidP="00885ED9">
            <w:pPr>
              <w:widowControl w:val="0"/>
              <w:autoSpaceDE w:val="0"/>
              <w:autoSpaceDN w:val="0"/>
              <w:spacing w:after="0" w:line="240" w:lineRule="auto"/>
              <w:ind w:right="-9"/>
              <w:jc w:val="center"/>
              <w:rPr>
                <w:rFonts w:ascii="Arial" w:eastAsia="Arial" w:hAnsi="Arial" w:cs="Arial"/>
                <w:sz w:val="20"/>
                <w:szCs w:val="20"/>
                <w:lang w:val="es-ES"/>
              </w:rPr>
            </w:pPr>
            <w:r w:rsidRPr="00885ED9">
              <w:rPr>
                <w:rFonts w:ascii="Arial" w:eastAsia="Arial" w:hAnsi="Arial" w:cs="Arial"/>
                <w:sz w:val="20"/>
                <w:szCs w:val="20"/>
                <w:lang w:val="es-ES"/>
              </w:rPr>
              <w:t>29 de abril del 2019</w:t>
            </w:r>
          </w:p>
        </w:tc>
        <w:tc>
          <w:tcPr>
            <w:tcW w:w="1559" w:type="dxa"/>
            <w:tcBorders>
              <w:top w:val="single" w:sz="8" w:space="0" w:color="FFFFFF"/>
              <w:left w:val="single" w:sz="8" w:space="0" w:color="FFFFFF"/>
              <w:bottom w:val="single" w:sz="8" w:space="0" w:color="FFFFFF"/>
              <w:right w:val="single" w:sz="8" w:space="0" w:color="FFFFFF"/>
            </w:tcBorders>
            <w:shd w:val="clear" w:color="auto" w:fill="FFE599"/>
            <w:tcMar>
              <w:top w:w="72" w:type="dxa"/>
              <w:left w:w="144" w:type="dxa"/>
              <w:bottom w:w="72" w:type="dxa"/>
              <w:right w:w="144" w:type="dxa"/>
            </w:tcMar>
            <w:hideMark/>
          </w:tcPr>
          <w:p w14:paraId="31B29055" w14:textId="77777777" w:rsidR="00885ED9" w:rsidRPr="00885ED9" w:rsidRDefault="00885ED9" w:rsidP="00885ED9">
            <w:pPr>
              <w:widowControl w:val="0"/>
              <w:autoSpaceDE w:val="0"/>
              <w:autoSpaceDN w:val="0"/>
              <w:spacing w:after="0" w:line="240" w:lineRule="auto"/>
              <w:ind w:right="14"/>
              <w:jc w:val="both"/>
              <w:rPr>
                <w:rFonts w:ascii="Arial" w:eastAsia="Arial" w:hAnsi="Arial" w:cs="Arial"/>
                <w:sz w:val="20"/>
                <w:szCs w:val="20"/>
                <w:lang w:val="es-ES"/>
              </w:rPr>
            </w:pPr>
            <w:r w:rsidRPr="00885ED9">
              <w:rPr>
                <w:rFonts w:ascii="Arial" w:eastAsia="Arial" w:hAnsi="Arial" w:cs="Arial"/>
                <w:sz w:val="20"/>
                <w:szCs w:val="20"/>
                <w:lang w:val="es-ES"/>
              </w:rPr>
              <w:t>45 centros visitados</w:t>
            </w:r>
          </w:p>
        </w:tc>
        <w:tc>
          <w:tcPr>
            <w:tcW w:w="2126" w:type="dxa"/>
            <w:tcBorders>
              <w:top w:val="single" w:sz="8" w:space="0" w:color="FFFFFF"/>
              <w:left w:val="single" w:sz="8" w:space="0" w:color="FFFFFF"/>
              <w:bottom w:val="single" w:sz="8" w:space="0" w:color="FFFFFF"/>
              <w:right w:val="single" w:sz="8" w:space="0" w:color="FFFFFF"/>
            </w:tcBorders>
            <w:shd w:val="clear" w:color="auto" w:fill="FFE599"/>
            <w:tcMar>
              <w:top w:w="72" w:type="dxa"/>
              <w:left w:w="144" w:type="dxa"/>
              <w:bottom w:w="72" w:type="dxa"/>
              <w:right w:w="144" w:type="dxa"/>
            </w:tcMar>
            <w:hideMark/>
          </w:tcPr>
          <w:p w14:paraId="2A57E200" w14:textId="77777777" w:rsidR="00885ED9" w:rsidRPr="00885ED9" w:rsidRDefault="00885ED9" w:rsidP="00885ED9">
            <w:pPr>
              <w:widowControl w:val="0"/>
              <w:autoSpaceDE w:val="0"/>
              <w:autoSpaceDN w:val="0"/>
              <w:spacing w:after="0" w:line="240" w:lineRule="auto"/>
              <w:ind w:right="-27"/>
              <w:jc w:val="both"/>
              <w:rPr>
                <w:rFonts w:ascii="Arial" w:eastAsia="Arial" w:hAnsi="Arial" w:cs="Arial"/>
                <w:sz w:val="20"/>
                <w:szCs w:val="20"/>
                <w:lang w:val="es-ES"/>
              </w:rPr>
            </w:pPr>
            <w:r w:rsidRPr="00885ED9">
              <w:rPr>
                <w:rFonts w:ascii="Arial" w:eastAsia="Arial" w:hAnsi="Arial" w:cs="Arial"/>
                <w:sz w:val="20"/>
                <w:szCs w:val="20"/>
                <w:lang w:val="es-ES"/>
              </w:rPr>
              <w:t>1,445 total</w:t>
            </w:r>
          </w:p>
          <w:p w14:paraId="0885DAAB" w14:textId="77777777" w:rsidR="00885ED9" w:rsidRPr="00885ED9" w:rsidRDefault="00885ED9" w:rsidP="00885ED9">
            <w:pPr>
              <w:widowControl w:val="0"/>
              <w:numPr>
                <w:ilvl w:val="0"/>
                <w:numId w:val="33"/>
              </w:numPr>
              <w:autoSpaceDE w:val="0"/>
              <w:autoSpaceDN w:val="0"/>
              <w:spacing w:after="0" w:line="240" w:lineRule="auto"/>
              <w:ind w:right="-27"/>
              <w:contextualSpacing/>
              <w:jc w:val="both"/>
              <w:rPr>
                <w:rFonts w:ascii="Arial" w:eastAsia="Arial" w:hAnsi="Arial" w:cs="Arial"/>
                <w:sz w:val="20"/>
                <w:szCs w:val="20"/>
                <w:lang w:val="es-ES"/>
              </w:rPr>
            </w:pPr>
            <w:r w:rsidRPr="00885ED9">
              <w:rPr>
                <w:rFonts w:ascii="Arial" w:eastAsia="Arial" w:hAnsi="Arial" w:cs="Arial"/>
                <w:sz w:val="20"/>
                <w:szCs w:val="20"/>
                <w:lang w:val="es-ES"/>
              </w:rPr>
              <w:t>1,237 hombres</w:t>
            </w:r>
          </w:p>
          <w:p w14:paraId="12227C3C" w14:textId="77777777" w:rsidR="00885ED9" w:rsidRPr="00885ED9" w:rsidRDefault="00885ED9" w:rsidP="00885ED9">
            <w:pPr>
              <w:widowControl w:val="0"/>
              <w:numPr>
                <w:ilvl w:val="0"/>
                <w:numId w:val="33"/>
              </w:numPr>
              <w:autoSpaceDE w:val="0"/>
              <w:autoSpaceDN w:val="0"/>
              <w:spacing w:after="0" w:line="240" w:lineRule="auto"/>
              <w:ind w:right="-27"/>
              <w:contextualSpacing/>
              <w:jc w:val="both"/>
              <w:rPr>
                <w:rFonts w:ascii="Arial" w:eastAsia="Arial" w:hAnsi="Arial" w:cs="Arial"/>
                <w:sz w:val="20"/>
                <w:szCs w:val="20"/>
                <w:lang w:val="es-ES"/>
              </w:rPr>
            </w:pPr>
            <w:r w:rsidRPr="00885ED9">
              <w:rPr>
                <w:rFonts w:ascii="Arial" w:eastAsia="Arial" w:hAnsi="Arial" w:cs="Arial"/>
                <w:sz w:val="20"/>
                <w:szCs w:val="20"/>
                <w:lang w:val="es-ES"/>
              </w:rPr>
              <w:t>208 mujeres</w:t>
            </w:r>
          </w:p>
        </w:tc>
      </w:tr>
    </w:tbl>
    <w:p w14:paraId="6156B2AB" w14:textId="77777777" w:rsidR="00885ED9" w:rsidRPr="00885ED9" w:rsidRDefault="00885ED9" w:rsidP="00885ED9">
      <w:pPr>
        <w:widowControl w:val="0"/>
        <w:autoSpaceDE w:val="0"/>
        <w:autoSpaceDN w:val="0"/>
        <w:spacing w:after="0" w:line="280" w:lineRule="exact"/>
        <w:jc w:val="both"/>
        <w:rPr>
          <w:rFonts w:ascii="Arial" w:eastAsia="Arial" w:hAnsi="Arial" w:cs="Arial"/>
          <w:lang w:val="es-ES"/>
        </w:rPr>
      </w:pPr>
    </w:p>
    <w:p w14:paraId="5611363E" w14:textId="77777777" w:rsidR="00885ED9" w:rsidRPr="00885ED9" w:rsidRDefault="00885ED9" w:rsidP="00885ED9">
      <w:pPr>
        <w:widowControl w:val="0"/>
        <w:autoSpaceDE w:val="0"/>
        <w:autoSpaceDN w:val="0"/>
        <w:spacing w:after="0" w:line="260" w:lineRule="exact"/>
        <w:jc w:val="both"/>
        <w:rPr>
          <w:rFonts w:ascii="Arial" w:eastAsia="Arial" w:hAnsi="Arial" w:cs="Arial"/>
          <w:lang w:val="es"/>
        </w:rPr>
      </w:pPr>
      <w:r w:rsidRPr="00885ED9">
        <w:rPr>
          <w:rFonts w:ascii="Arial" w:eastAsia="Arial" w:hAnsi="Arial" w:cs="Arial"/>
          <w:lang w:val="es"/>
        </w:rPr>
        <w:t xml:space="preserve">Por su parte, el MNPT, conforme a sus facultades para emitir informes, sobre este sector de la población, personas menores de edad, en conflicto con la ley, que se encuentran en centros de </w:t>
      </w:r>
      <w:r w:rsidRPr="00885ED9">
        <w:rPr>
          <w:rFonts w:ascii="Arial" w:eastAsia="Arial" w:hAnsi="Arial" w:cs="Arial"/>
          <w:lang w:val="es"/>
        </w:rPr>
        <w:lastRenderedPageBreak/>
        <w:t xml:space="preserve">internamientos, emitió, desde el 2017 al 2021, </w:t>
      </w:r>
      <w:r w:rsidRPr="00885ED9">
        <w:rPr>
          <w:rFonts w:ascii="Arial" w:eastAsia="Arial" w:hAnsi="Arial" w:cs="Arial"/>
          <w:b/>
          <w:lang w:val="es"/>
        </w:rPr>
        <w:t>6</w:t>
      </w:r>
      <w:r w:rsidRPr="00885ED9">
        <w:rPr>
          <w:rFonts w:ascii="Arial" w:eastAsia="Arial" w:hAnsi="Arial" w:cs="Arial"/>
          <w:lang w:val="es"/>
        </w:rPr>
        <w:t xml:space="preserve"> informes de supervisión</w:t>
      </w:r>
      <w:r w:rsidRPr="00885ED9">
        <w:rPr>
          <w:rFonts w:ascii="Arial" w:eastAsia="Arial" w:hAnsi="Arial" w:cs="Arial"/>
          <w:vertAlign w:val="superscript"/>
          <w:lang w:val="es"/>
        </w:rPr>
        <w:footnoteReference w:id="23"/>
      </w:r>
      <w:r w:rsidRPr="00885ED9">
        <w:rPr>
          <w:rFonts w:ascii="Arial" w:eastAsia="Arial" w:hAnsi="Arial" w:cs="Arial"/>
          <w:lang w:val="es"/>
        </w:rPr>
        <w:t xml:space="preserve">  y </w:t>
      </w:r>
      <w:r w:rsidRPr="00885ED9">
        <w:rPr>
          <w:rFonts w:ascii="Arial" w:eastAsia="Arial" w:hAnsi="Arial" w:cs="Arial"/>
          <w:b/>
          <w:lang w:val="es"/>
        </w:rPr>
        <w:t xml:space="preserve">6 </w:t>
      </w:r>
      <w:r w:rsidRPr="00885ED9">
        <w:rPr>
          <w:rFonts w:ascii="Arial" w:eastAsia="Arial" w:hAnsi="Arial" w:cs="Arial"/>
          <w:lang w:val="es"/>
        </w:rPr>
        <w:t>de seguimiento</w:t>
      </w:r>
      <w:r w:rsidRPr="00885ED9">
        <w:rPr>
          <w:rFonts w:ascii="Arial" w:eastAsia="Arial" w:hAnsi="Arial" w:cs="Arial"/>
          <w:vertAlign w:val="superscript"/>
          <w:lang w:val="es"/>
        </w:rPr>
        <w:footnoteReference w:id="24"/>
      </w:r>
      <w:r w:rsidRPr="00885ED9">
        <w:rPr>
          <w:rFonts w:ascii="Arial" w:eastAsia="Arial" w:hAnsi="Arial" w:cs="Arial"/>
          <w:lang w:val="es"/>
        </w:rPr>
        <w:t xml:space="preserve">, donde se detectaron los siguientes factores de riesgo que propician </w:t>
      </w:r>
      <w:r w:rsidRPr="00885ED9">
        <w:rPr>
          <w:rFonts w:ascii="Arial" w:eastAsia="Arial" w:hAnsi="Arial" w:cs="Arial"/>
          <w:lang w:val="es"/>
        </w:rPr>
        <w:lastRenderedPageBreak/>
        <w:t xml:space="preserve">la tortura, a los cuales, se encuentra dando seguimiento, en cuanto a las acciones que realizan las autoridades responsables para subsanarlos. </w:t>
      </w:r>
    </w:p>
    <w:p w14:paraId="6D5AC67B" w14:textId="77777777" w:rsidR="00885ED9" w:rsidRPr="00885ED9" w:rsidRDefault="00885ED9" w:rsidP="00885ED9">
      <w:pPr>
        <w:widowControl w:val="0"/>
        <w:autoSpaceDE w:val="0"/>
        <w:autoSpaceDN w:val="0"/>
        <w:spacing w:after="0" w:line="260" w:lineRule="exact"/>
        <w:jc w:val="both"/>
        <w:rPr>
          <w:rFonts w:ascii="Arial" w:eastAsia="Arial" w:hAnsi="Arial" w:cs="Arial"/>
          <w:lang w:val="es"/>
        </w:rPr>
      </w:pPr>
    </w:p>
    <w:p w14:paraId="4E7D5458" w14:textId="77777777" w:rsidR="00885ED9" w:rsidRPr="00885ED9" w:rsidRDefault="00885ED9" w:rsidP="00885ED9">
      <w:pPr>
        <w:widowControl w:val="0"/>
        <w:autoSpaceDE w:val="0"/>
        <w:autoSpaceDN w:val="0"/>
        <w:spacing w:after="0" w:line="260" w:lineRule="exact"/>
        <w:jc w:val="both"/>
        <w:rPr>
          <w:rFonts w:ascii="Arial" w:eastAsia="Arial" w:hAnsi="Arial" w:cs="Arial"/>
          <w:lang w:val="es"/>
        </w:rPr>
      </w:pPr>
      <w:r w:rsidRPr="00885ED9">
        <w:rPr>
          <w:rFonts w:ascii="Arial" w:eastAsia="Arial" w:hAnsi="Arial" w:cs="Arial"/>
          <w:lang w:val="es"/>
        </w:rPr>
        <w:t xml:space="preserve">De manera específica, se hace alusión a unas notas periodísticas de 3 de septiembre y 22 de diciembre del 2020, de la que tuvo conocimiento el Mecanismo Nacional </w:t>
      </w:r>
      <w:r w:rsidRPr="00885ED9">
        <w:rPr>
          <w:rFonts w:ascii="Arial" w:eastAsia="Arial" w:hAnsi="Arial" w:cs="Arial"/>
          <w:lang w:val="es"/>
        </w:rPr>
        <w:lastRenderedPageBreak/>
        <w:t>de Prevención de la Tortura (MNPT), sobre hechos suscitados en el Centro de Asistencia Social para Adolescentes (CASA), del Sistema DIF Morelos, en cuanto a un presunto abuso cometido por parte de elementos de la policía estatal, el 1 de septiembre del 2020, en el referido Centro (CASA). En las notas se dio cuenta del traslado de 13 menores de edad al establecimiento (privado) denominado “Sistema Integral para las Adicciones, Nueva Integración”, Asociación Civil (SIANI), identificado como centro de atención a personas en situación de adicción. El MNPT, realizó visitas de supervisión al Centro de Asistencia Social y al establecimiento especializado para el tratamiento contra adicciones, de las que derivó la publicación del Informe Especial IE/01/2021.</w:t>
      </w:r>
    </w:p>
    <w:p w14:paraId="391990F5" w14:textId="77777777" w:rsidR="00885ED9" w:rsidRPr="00885ED9" w:rsidRDefault="00885ED9" w:rsidP="00885ED9">
      <w:pPr>
        <w:widowControl w:val="0"/>
        <w:autoSpaceDE w:val="0"/>
        <w:autoSpaceDN w:val="0"/>
        <w:spacing w:after="0" w:line="240" w:lineRule="auto"/>
        <w:jc w:val="both"/>
        <w:rPr>
          <w:rFonts w:ascii="Arial" w:eastAsia="Arial" w:hAnsi="Arial" w:cs="Arial"/>
          <w:i/>
          <w:lang w:val="es"/>
        </w:rPr>
      </w:pPr>
    </w:p>
    <w:p w14:paraId="24DACA71" w14:textId="77777777" w:rsidR="00885ED9" w:rsidRPr="00885ED9" w:rsidRDefault="00885ED9" w:rsidP="00885ED9">
      <w:pPr>
        <w:widowControl w:val="0"/>
        <w:autoSpaceDE w:val="0"/>
        <w:autoSpaceDN w:val="0"/>
        <w:spacing w:after="0" w:line="240" w:lineRule="auto"/>
        <w:jc w:val="both"/>
        <w:rPr>
          <w:rFonts w:ascii="Arial" w:eastAsia="Arial" w:hAnsi="Arial" w:cs="Arial"/>
          <w:i/>
          <w:lang w:val="es"/>
        </w:rPr>
      </w:pPr>
      <w:r w:rsidRPr="00885ED9">
        <w:rPr>
          <w:rFonts w:ascii="Arial" w:eastAsia="Arial" w:hAnsi="Arial" w:cs="Arial"/>
          <w:i/>
          <w:lang w:val="es"/>
        </w:rPr>
        <w:t xml:space="preserve">b) Asegurar que la detención preventiva se aplique como último recurso y durante el plazo más breve posible, aplicando siempre que sea posible medidas sustitutorias (véase la regla 13 de las Reglas Mínimas de las Naciones Unidas para la Administración de la Justicia de Menores (Reglas de Beijing) y las reglas 1 y 2 y 17 y 18 de las Reglas de las Naciones Unidas para la Protección de los Menores Privados de </w:t>
      </w:r>
      <w:r w:rsidRPr="00885ED9">
        <w:rPr>
          <w:rFonts w:ascii="Arial" w:eastAsia="Arial" w:hAnsi="Arial" w:cs="Arial"/>
          <w:i/>
          <w:lang w:val="es"/>
        </w:rPr>
        <w:lastRenderedPageBreak/>
        <w:t>Libertad);</w:t>
      </w:r>
    </w:p>
    <w:p w14:paraId="789516CE" w14:textId="77777777" w:rsidR="00885ED9" w:rsidRPr="00885ED9" w:rsidRDefault="00885ED9" w:rsidP="00885ED9">
      <w:pPr>
        <w:widowControl w:val="0"/>
        <w:autoSpaceDE w:val="0"/>
        <w:autoSpaceDN w:val="0"/>
        <w:spacing w:after="0" w:line="240" w:lineRule="auto"/>
        <w:jc w:val="both"/>
        <w:rPr>
          <w:rFonts w:ascii="Arial" w:eastAsia="Arial" w:hAnsi="Arial" w:cs="Arial"/>
          <w:i/>
          <w:lang w:val="es"/>
        </w:rPr>
      </w:pPr>
    </w:p>
    <w:p w14:paraId="0A98E12A" w14:textId="77777777" w:rsidR="00885ED9" w:rsidRPr="00885ED9" w:rsidRDefault="00885ED9" w:rsidP="00885ED9">
      <w:pPr>
        <w:widowControl w:val="0"/>
        <w:autoSpaceDE w:val="0"/>
        <w:autoSpaceDN w:val="0"/>
        <w:spacing w:after="0" w:line="260" w:lineRule="exact"/>
        <w:jc w:val="both"/>
        <w:rPr>
          <w:rFonts w:ascii="Arial" w:eastAsia="Arial" w:hAnsi="Arial" w:cs="Arial"/>
          <w:lang w:val="es-ES"/>
        </w:rPr>
      </w:pPr>
      <w:r w:rsidRPr="00885ED9">
        <w:rPr>
          <w:rFonts w:ascii="Arial" w:eastAsia="Arial" w:hAnsi="Arial" w:cs="Arial"/>
          <w:lang w:val="es-ES"/>
        </w:rPr>
        <w:t>Al respecto, se emitieron 13 Recomendaciones al DIF del estado de Morelos, donde se solicitó a la autoridad:</w:t>
      </w:r>
    </w:p>
    <w:p w14:paraId="2602B358" w14:textId="77777777" w:rsidR="00885ED9" w:rsidRPr="00885ED9" w:rsidRDefault="00885ED9" w:rsidP="00885ED9">
      <w:pPr>
        <w:widowControl w:val="0"/>
        <w:autoSpaceDE w:val="0"/>
        <w:autoSpaceDN w:val="0"/>
        <w:spacing w:after="0" w:line="260" w:lineRule="exact"/>
        <w:jc w:val="both"/>
        <w:rPr>
          <w:rFonts w:ascii="Arial" w:eastAsia="Arial" w:hAnsi="Arial" w:cs="Arial"/>
          <w:lang w:val="es-ES"/>
        </w:rPr>
      </w:pPr>
    </w:p>
    <w:p w14:paraId="50A6FB74" w14:textId="77777777" w:rsidR="00885ED9" w:rsidRPr="00885ED9" w:rsidRDefault="00885ED9" w:rsidP="00885ED9">
      <w:pPr>
        <w:widowControl w:val="0"/>
        <w:numPr>
          <w:ilvl w:val="0"/>
          <w:numId w:val="31"/>
        </w:numPr>
        <w:autoSpaceDE w:val="0"/>
        <w:autoSpaceDN w:val="0"/>
        <w:spacing w:after="0" w:line="260" w:lineRule="exact"/>
        <w:jc w:val="both"/>
        <w:rPr>
          <w:rFonts w:ascii="Arial" w:eastAsia="Arial" w:hAnsi="Arial" w:cs="Arial"/>
          <w:lang w:val="es-ES"/>
        </w:rPr>
      </w:pPr>
      <w:r w:rsidRPr="00885ED9">
        <w:rPr>
          <w:rFonts w:ascii="Arial" w:eastAsia="Arial" w:hAnsi="Arial" w:cs="Arial"/>
          <w:lang w:val="es-ES"/>
        </w:rPr>
        <w:t>Que tenga en cuenta las Reglas Mínimas de las Naciones Unidas para la administración de justicia de menores (“Reglas de Beijing”), conforme a la cual se procurará proporcionar a los menores de edad, en todas las etapas del proceso de atención al interior de los Centros de asistencia Social dependientes del Sistema DIF Estatal, asistencia en materia de alojamiento, enseñanza o capacitación profesional, empleo o cualquiera otra forma de asistencia, útil y práctica para facilitar el proceso de rehabilitación.</w:t>
      </w:r>
    </w:p>
    <w:p w14:paraId="31096BBB" w14:textId="77777777" w:rsidR="00885ED9" w:rsidRPr="00885ED9" w:rsidRDefault="00885ED9" w:rsidP="00885ED9">
      <w:pPr>
        <w:widowControl w:val="0"/>
        <w:numPr>
          <w:ilvl w:val="0"/>
          <w:numId w:val="31"/>
        </w:numPr>
        <w:autoSpaceDE w:val="0"/>
        <w:autoSpaceDN w:val="0"/>
        <w:spacing w:after="0" w:line="260" w:lineRule="exact"/>
        <w:jc w:val="both"/>
        <w:rPr>
          <w:rFonts w:ascii="Arial" w:eastAsia="Arial" w:hAnsi="Arial" w:cs="Arial"/>
          <w:lang w:val="es-ES"/>
        </w:rPr>
      </w:pPr>
      <w:r w:rsidRPr="00885ED9">
        <w:rPr>
          <w:rFonts w:ascii="Arial" w:eastAsia="Arial" w:hAnsi="Arial" w:cs="Arial"/>
          <w:lang w:val="es-ES"/>
        </w:rPr>
        <w:t xml:space="preserve">Proporcione a este MNPT información estadística precisa sobre el número de menores de edad internados en centros de atención a adolescentes, desglosados por sexo, edad y origen étnico o nacionalidad, tanto a nivel federal como estatal, y sobre el motivo y la duración del internamiento, las tasas de ocupación </w:t>
      </w:r>
      <w:r w:rsidRPr="00885ED9">
        <w:rPr>
          <w:rFonts w:ascii="Arial" w:eastAsia="Arial" w:hAnsi="Arial" w:cs="Arial"/>
          <w:lang w:val="es-ES"/>
        </w:rPr>
        <w:lastRenderedPageBreak/>
        <w:t>en estos centros.</w:t>
      </w:r>
    </w:p>
    <w:p w14:paraId="5176AF90" w14:textId="77777777" w:rsidR="00885ED9" w:rsidRPr="00885ED9" w:rsidRDefault="00885ED9" w:rsidP="00885ED9">
      <w:pPr>
        <w:widowControl w:val="0"/>
        <w:numPr>
          <w:ilvl w:val="0"/>
          <w:numId w:val="31"/>
        </w:numPr>
        <w:autoSpaceDE w:val="0"/>
        <w:autoSpaceDN w:val="0"/>
        <w:spacing w:after="0" w:line="260" w:lineRule="exact"/>
        <w:jc w:val="both"/>
        <w:rPr>
          <w:rFonts w:ascii="Arial" w:eastAsia="Arial" w:hAnsi="Arial" w:cs="Arial"/>
          <w:lang w:val="es-ES"/>
        </w:rPr>
      </w:pPr>
      <w:r w:rsidRPr="00885ED9">
        <w:rPr>
          <w:rFonts w:ascii="Arial" w:eastAsia="Arial" w:hAnsi="Arial" w:cs="Arial"/>
          <w:lang w:val="es-ES"/>
        </w:rPr>
        <w:t>Proporcione al MNPT la motivación y fundamentación, así como los criterios individualizados que justificaban que las y los adolescente se cumplieran más de 5 meses de internamiento en el centro SIANI al momento de realizarse las visitas de supervisión de este Mecanismo.</w:t>
      </w:r>
    </w:p>
    <w:p w14:paraId="5139FDDB" w14:textId="77777777" w:rsidR="00885ED9" w:rsidRPr="00885ED9" w:rsidRDefault="00885ED9" w:rsidP="00885ED9">
      <w:pPr>
        <w:widowControl w:val="0"/>
        <w:autoSpaceDE w:val="0"/>
        <w:autoSpaceDN w:val="0"/>
        <w:spacing w:after="0" w:line="240" w:lineRule="auto"/>
        <w:ind w:left="720"/>
        <w:contextualSpacing/>
        <w:rPr>
          <w:rFonts w:ascii="Arial" w:eastAsia="Arial" w:hAnsi="Arial" w:cs="Arial"/>
          <w:lang w:val="es-ES"/>
        </w:rPr>
      </w:pPr>
    </w:p>
    <w:p w14:paraId="38CC8C88" w14:textId="77777777" w:rsidR="00885ED9" w:rsidRPr="00885ED9" w:rsidRDefault="00885ED9" w:rsidP="00885ED9">
      <w:pPr>
        <w:widowControl w:val="0"/>
        <w:autoSpaceDE w:val="0"/>
        <w:autoSpaceDN w:val="0"/>
        <w:spacing w:after="0" w:line="260" w:lineRule="exact"/>
        <w:jc w:val="both"/>
        <w:rPr>
          <w:rFonts w:ascii="Arial" w:eastAsia="Arial" w:hAnsi="Arial" w:cs="Arial"/>
          <w:lang w:val="es-ES"/>
        </w:rPr>
      </w:pPr>
      <w:r w:rsidRPr="00885ED9">
        <w:rPr>
          <w:rFonts w:ascii="Arial" w:eastAsia="Arial" w:hAnsi="Arial" w:cs="Arial"/>
          <w:lang w:val="es-ES"/>
        </w:rPr>
        <w:t>Así mismo, en el citado Informe, este Mecanismo recomendó que los instrumentos normativos como son las Leyes de los Derechos de Niñas, Niños y Adolescentes, si bien contemplan la creación de instancias con facultades discrecionales, incluyan criterios que garanticen la idoneidad profesional y en la capacitación experta como un medio de asegurar el ejercicio prudente de estas facultades discrecionales, y se generen los mecanismos de revisión, apelación u otro sistema análogo que permita el examen minucioso de las decisiones y la competencia de estos servidores públicos.</w:t>
      </w:r>
    </w:p>
    <w:p w14:paraId="1A380C4F" w14:textId="77777777" w:rsidR="00885ED9" w:rsidRPr="00885ED9" w:rsidRDefault="00885ED9" w:rsidP="00885ED9">
      <w:pPr>
        <w:widowControl w:val="0"/>
        <w:autoSpaceDE w:val="0"/>
        <w:autoSpaceDN w:val="0"/>
        <w:spacing w:after="0" w:line="240" w:lineRule="auto"/>
        <w:jc w:val="both"/>
        <w:rPr>
          <w:rFonts w:ascii="Arial" w:eastAsia="Arial" w:hAnsi="Arial" w:cs="Arial"/>
          <w:i/>
          <w:lang w:val="es"/>
        </w:rPr>
      </w:pPr>
      <w:r w:rsidRPr="00885ED9">
        <w:rPr>
          <w:rFonts w:ascii="Arial" w:eastAsia="Arial" w:hAnsi="Arial" w:cs="Arial"/>
          <w:i/>
          <w:lang w:val="es"/>
        </w:rPr>
        <w:t xml:space="preserve"> </w:t>
      </w:r>
    </w:p>
    <w:p w14:paraId="733CF070" w14:textId="77777777" w:rsidR="00885ED9" w:rsidRPr="00885ED9" w:rsidRDefault="00885ED9" w:rsidP="00885ED9">
      <w:pPr>
        <w:widowControl w:val="0"/>
        <w:autoSpaceDE w:val="0"/>
        <w:autoSpaceDN w:val="0"/>
        <w:spacing w:after="0" w:line="240" w:lineRule="auto"/>
        <w:jc w:val="both"/>
        <w:rPr>
          <w:rFonts w:ascii="Arial" w:eastAsia="Arial" w:hAnsi="Arial" w:cs="Arial"/>
          <w:i/>
          <w:lang w:val="es"/>
        </w:rPr>
      </w:pPr>
      <w:r w:rsidRPr="00885ED9">
        <w:rPr>
          <w:rFonts w:ascii="Arial" w:eastAsia="Arial" w:hAnsi="Arial" w:cs="Arial"/>
          <w:i/>
          <w:lang w:val="es"/>
        </w:rPr>
        <w:t xml:space="preserve">c) Observar la prohibición de imponer sanciones de aislamiento y medidas similares </w:t>
      </w:r>
      <w:r w:rsidRPr="00885ED9">
        <w:rPr>
          <w:rFonts w:ascii="Arial" w:eastAsia="Arial" w:hAnsi="Arial" w:cs="Arial"/>
          <w:i/>
          <w:lang w:val="es"/>
        </w:rPr>
        <w:lastRenderedPageBreak/>
        <w:t>a menores (regla 67 de las Reglas de las Naciones Unidas para la Protección de los Menores Privados de Libertad y regla 45, párrafo 2, de las Reglas Mínimas para el Tratamiento de los Reclusos (Reglas Nelson Mandela).</w:t>
      </w:r>
    </w:p>
    <w:p w14:paraId="03E0EC4E" w14:textId="77777777" w:rsidR="00885ED9" w:rsidRPr="00885ED9" w:rsidRDefault="00885ED9" w:rsidP="00885ED9">
      <w:pPr>
        <w:widowControl w:val="0"/>
        <w:autoSpaceDE w:val="0"/>
        <w:autoSpaceDN w:val="0"/>
        <w:spacing w:after="0" w:line="240" w:lineRule="auto"/>
        <w:jc w:val="both"/>
        <w:rPr>
          <w:rFonts w:ascii="Arial" w:eastAsia="Arial" w:hAnsi="Arial" w:cs="Arial"/>
          <w:b/>
          <w:lang w:val="es"/>
        </w:rPr>
      </w:pPr>
      <w:r w:rsidRPr="00885ED9">
        <w:rPr>
          <w:rFonts w:ascii="Arial" w:eastAsia="Arial" w:hAnsi="Arial" w:cs="Arial"/>
          <w:b/>
          <w:bCs/>
          <w:lang w:val="es"/>
        </w:rPr>
        <w:t xml:space="preserve"> </w:t>
      </w:r>
    </w:p>
    <w:p w14:paraId="66D62A4D" w14:textId="77777777" w:rsidR="00885ED9" w:rsidRPr="00885ED9" w:rsidRDefault="00885ED9" w:rsidP="00885ED9">
      <w:pPr>
        <w:widowControl w:val="0"/>
        <w:autoSpaceDE w:val="0"/>
        <w:autoSpaceDN w:val="0"/>
        <w:spacing w:after="0" w:line="240" w:lineRule="auto"/>
        <w:jc w:val="both"/>
        <w:rPr>
          <w:rFonts w:ascii="Arial" w:eastAsia="Arial" w:hAnsi="Arial" w:cs="Arial"/>
          <w:lang w:val="es-ES"/>
        </w:rPr>
      </w:pPr>
      <w:r w:rsidRPr="00885ED9">
        <w:rPr>
          <w:rFonts w:ascii="Arial" w:eastAsia="Arial" w:hAnsi="Arial" w:cs="Arial"/>
          <w:sz w:val="23"/>
          <w:szCs w:val="23"/>
          <w:lang w:val="es"/>
        </w:rPr>
        <w:t>Un dato relevante es que,</w:t>
      </w:r>
      <w:r w:rsidRPr="00885ED9">
        <w:rPr>
          <w:rFonts w:ascii="Arial" w:eastAsia="Arial" w:hAnsi="Arial" w:cs="Arial"/>
          <w:lang w:val="es-ES"/>
        </w:rPr>
        <w:t xml:space="preserve"> en el referido informe especial,</w:t>
      </w:r>
      <w:r w:rsidRPr="00885ED9">
        <w:rPr>
          <w:rFonts w:ascii="Arial" w:eastAsia="Arial" w:hAnsi="Arial" w:cs="Arial"/>
          <w:sz w:val="23"/>
          <w:szCs w:val="23"/>
          <w:lang w:val="es"/>
        </w:rPr>
        <w:t xml:space="preserve"> las personas que refirieron que no se realizan castigos o sanciones, subrayaron que esto es en la actualidad, a partir de los cambios que se generaron derivados de los hechos del 1° de septiembre de 2020, pues anteriormente </w:t>
      </w:r>
      <w:r w:rsidRPr="00885ED9">
        <w:rPr>
          <w:rFonts w:ascii="Arial" w:eastAsia="Arial" w:hAnsi="Arial" w:cs="Arial"/>
          <w:i/>
          <w:iCs/>
          <w:sz w:val="23"/>
          <w:szCs w:val="23"/>
          <w:lang w:val="es"/>
        </w:rPr>
        <w:t>“no las dejaban escuchar música y las tenían de 1 a 2 días en el dormitorio”</w:t>
      </w:r>
      <w:r w:rsidRPr="00885ED9">
        <w:rPr>
          <w:rFonts w:ascii="Arial" w:eastAsia="Arial" w:hAnsi="Arial" w:cs="Arial"/>
          <w:sz w:val="23"/>
          <w:szCs w:val="23"/>
          <w:lang w:val="es"/>
        </w:rPr>
        <w:t>.</w:t>
      </w:r>
    </w:p>
    <w:p w14:paraId="4121AE21" w14:textId="77777777" w:rsidR="00885ED9" w:rsidRPr="00885ED9" w:rsidRDefault="00885ED9" w:rsidP="00885ED9">
      <w:pPr>
        <w:widowControl w:val="0"/>
        <w:autoSpaceDE w:val="0"/>
        <w:autoSpaceDN w:val="0"/>
        <w:spacing w:after="0" w:line="240" w:lineRule="auto"/>
        <w:jc w:val="both"/>
        <w:rPr>
          <w:rFonts w:ascii="Arial" w:eastAsia="Arial" w:hAnsi="Arial" w:cs="Arial"/>
          <w:lang w:val="es-ES"/>
        </w:rPr>
      </w:pPr>
      <w:r w:rsidRPr="00885ED9">
        <w:rPr>
          <w:rFonts w:ascii="Arial" w:eastAsia="Arial" w:hAnsi="Arial" w:cs="Arial"/>
          <w:sz w:val="23"/>
          <w:szCs w:val="23"/>
          <w:lang w:val="es"/>
        </w:rPr>
        <w:t xml:space="preserve"> </w:t>
      </w:r>
    </w:p>
    <w:p w14:paraId="4421FFE1" w14:textId="77777777" w:rsidR="00885ED9" w:rsidRPr="00885ED9" w:rsidRDefault="00885ED9" w:rsidP="00885ED9">
      <w:pPr>
        <w:autoSpaceDE w:val="0"/>
        <w:autoSpaceDN w:val="0"/>
        <w:adjustRightInd w:val="0"/>
        <w:spacing w:after="0" w:line="240" w:lineRule="auto"/>
        <w:jc w:val="both"/>
        <w:rPr>
          <w:rFonts w:ascii="Arial" w:eastAsia="Calibri" w:hAnsi="Arial" w:cs="Arial"/>
          <w:bCs/>
          <w:color w:val="000000"/>
        </w:rPr>
      </w:pPr>
      <w:r w:rsidRPr="00885ED9">
        <w:rPr>
          <w:rFonts w:ascii="Arial" w:eastAsia="Calibri" w:hAnsi="Arial" w:cs="Arial"/>
          <w:bCs/>
          <w:color w:val="000000"/>
        </w:rPr>
        <w:t xml:space="preserve">Por otra parte, </w:t>
      </w:r>
      <w:r w:rsidRPr="00885ED9">
        <w:rPr>
          <w:rFonts w:ascii="Arial" w:eastAsia="Calibri" w:hAnsi="Arial" w:cs="Arial"/>
          <w:color w:val="000000"/>
        </w:rPr>
        <w:t xml:space="preserve">al acudir el personal del MNPT a los citados centros, para realizar la supervisión correspondiente, la respuesta inicial de las personas encargadas fue negativa, lo que derivó en la denuncia correspondiente, por considerar que se trata de uno de los delitos vinculados a la tortura contemplado en la LGPIST. Así, este Mecanismo documentó irregularidades respecto a la normatividad vigente y recabó </w:t>
      </w:r>
      <w:r w:rsidRPr="00885ED9">
        <w:rPr>
          <w:rFonts w:ascii="Arial" w:eastAsia="Calibri" w:hAnsi="Arial" w:cs="Arial"/>
          <w:color w:val="000000"/>
        </w:rPr>
        <w:lastRenderedPageBreak/>
        <w:t>diversos testimonios, por lo que emitió una serie de Recomendaciones al poder legislativo federal, al titular de la Secretaria Ejecutiva del Sistema Nacional de Protección Integral de Niñas, Niños y Adolescentes (SIPINNA), al Sistema Nacional para el Desarrollo Integral de la Familia, al Gobierno del Estado de Morelos, a la Titular de la Dirección del Sistema DIF del Estado de Morelos, al titular de la Secretaría de Salud del Estado de Morelos y a la Cámara de Diputados, H. Congreso del Estado de Morelos. De todas estas autoridades solo ha respondido, al 17 de enero de 2022, el Gobierno del Estado de Morelos y a la Titular de la Dirección del Sistema DIF de la misma Entidad Federativa.</w:t>
      </w:r>
    </w:p>
    <w:p w14:paraId="4571935F" w14:textId="77777777" w:rsidR="00B11E95" w:rsidRPr="00B11E95" w:rsidRDefault="00B11E95" w:rsidP="00B11E95">
      <w:pPr>
        <w:pBdr>
          <w:bottom w:val="single" w:sz="4" w:space="1" w:color="auto"/>
        </w:pBdr>
        <w:spacing w:after="0" w:line="240" w:lineRule="auto"/>
        <w:rPr>
          <w:rFonts w:ascii="Arial Narrow" w:eastAsia="Times New Roman" w:hAnsi="Arial Narrow" w:cs="Times New Roman"/>
          <w:b/>
          <w:bCs/>
          <w:color w:val="1F3864" w:themeColor="accent1" w:themeShade="80"/>
          <w:sz w:val="24"/>
          <w:szCs w:val="28"/>
          <w:lang w:val="es-ES" w:eastAsia="es-ES"/>
        </w:rPr>
      </w:pPr>
    </w:p>
    <w:p w14:paraId="14D37A6F" w14:textId="77777777" w:rsidR="00804F91" w:rsidRDefault="00804F91" w:rsidP="00673CAB">
      <w:pPr>
        <w:pBdr>
          <w:bottom w:val="single" w:sz="4" w:space="1" w:color="auto"/>
        </w:pBdr>
        <w:spacing w:after="0" w:line="240" w:lineRule="auto"/>
        <w:rPr>
          <w:rFonts w:ascii="Arial" w:eastAsia="Times New Roman" w:hAnsi="Arial" w:cs="Arial"/>
          <w:b/>
          <w:bCs/>
          <w:i/>
          <w:iCs/>
          <w:lang w:val="es-ES" w:eastAsia="es-ES"/>
        </w:rPr>
      </w:pPr>
    </w:p>
    <w:p w14:paraId="1CF7E206" w14:textId="41988FDA" w:rsidR="00673CAB" w:rsidRPr="00673CAB" w:rsidRDefault="00673CAB" w:rsidP="00673CAB">
      <w:pPr>
        <w:pBdr>
          <w:bottom w:val="single" w:sz="4" w:space="1" w:color="auto"/>
        </w:pBdr>
        <w:spacing w:after="0" w:line="240" w:lineRule="auto"/>
        <w:rPr>
          <w:rFonts w:ascii="Arial" w:eastAsia="Times New Roman" w:hAnsi="Arial" w:cs="Arial"/>
          <w:b/>
          <w:bCs/>
          <w:i/>
          <w:iCs/>
          <w:lang w:val="es-ES" w:eastAsia="es-ES"/>
        </w:rPr>
      </w:pPr>
      <w:r w:rsidRPr="00673CAB">
        <w:rPr>
          <w:rFonts w:ascii="Arial" w:eastAsia="Times New Roman" w:hAnsi="Arial" w:cs="Arial"/>
          <w:b/>
          <w:bCs/>
          <w:i/>
          <w:iCs/>
          <w:lang w:val="es-ES" w:eastAsia="es-ES"/>
        </w:rPr>
        <w:t xml:space="preserve">38. El Estado parte debe:  </w:t>
      </w:r>
    </w:p>
    <w:p w14:paraId="6CA6B17B" w14:textId="77777777" w:rsidR="00673CAB" w:rsidRPr="00673CAB" w:rsidRDefault="00673CAB" w:rsidP="00673CAB">
      <w:pPr>
        <w:pBdr>
          <w:bottom w:val="single" w:sz="4" w:space="1" w:color="auto"/>
        </w:pBdr>
        <w:spacing w:after="0" w:line="240" w:lineRule="auto"/>
        <w:rPr>
          <w:rFonts w:ascii="Arial" w:eastAsia="Times New Roman" w:hAnsi="Arial" w:cs="Arial"/>
          <w:b/>
          <w:bCs/>
          <w:i/>
          <w:iCs/>
          <w:lang w:val="es-ES" w:eastAsia="es-ES"/>
        </w:rPr>
      </w:pPr>
    </w:p>
    <w:p w14:paraId="51F3A974" w14:textId="77777777" w:rsidR="00673CAB" w:rsidRPr="00673CAB" w:rsidRDefault="00673CAB" w:rsidP="00673CAB">
      <w:pPr>
        <w:pBdr>
          <w:bottom w:val="single" w:sz="4" w:space="1" w:color="auto"/>
        </w:pBdr>
        <w:spacing w:after="0" w:line="240" w:lineRule="auto"/>
        <w:rPr>
          <w:rFonts w:ascii="Arial" w:eastAsia="Times New Roman" w:hAnsi="Arial" w:cs="Arial"/>
          <w:b/>
          <w:bCs/>
          <w:i/>
          <w:iCs/>
          <w:lang w:val="es-ES" w:eastAsia="es-ES"/>
        </w:rPr>
      </w:pPr>
      <w:r w:rsidRPr="00673CAB">
        <w:rPr>
          <w:rFonts w:ascii="Arial" w:eastAsia="Times New Roman" w:hAnsi="Arial" w:cs="Arial"/>
          <w:b/>
          <w:bCs/>
          <w:i/>
          <w:iCs/>
          <w:lang w:val="es-ES" w:eastAsia="es-ES"/>
        </w:rPr>
        <w:lastRenderedPageBreak/>
        <w:t xml:space="preserve">a) Velar porque la reclusión en régimen de aislamiento se utilice únicamente en casos excepcionales y como último recurso durante el menor tiempo posible (no más de 15 días consecutivos) y esté sujeto a un control independiente, y solo con el permiso de la autoridad competente. </w:t>
      </w:r>
    </w:p>
    <w:p w14:paraId="0BB8A507" w14:textId="77777777" w:rsidR="00673CAB" w:rsidRPr="00673CAB" w:rsidRDefault="00673CAB" w:rsidP="00673CAB">
      <w:pPr>
        <w:pBdr>
          <w:bottom w:val="single" w:sz="4" w:space="1" w:color="auto"/>
        </w:pBdr>
        <w:spacing w:after="0" w:line="240" w:lineRule="auto"/>
        <w:rPr>
          <w:rFonts w:ascii="Arial" w:eastAsia="Times New Roman" w:hAnsi="Arial" w:cs="Arial"/>
          <w:b/>
          <w:bCs/>
          <w:i/>
          <w:iCs/>
          <w:lang w:val="es-ES" w:eastAsia="es-ES"/>
        </w:rPr>
      </w:pPr>
    </w:p>
    <w:p w14:paraId="459FC7DF" w14:textId="77777777" w:rsidR="00673CAB" w:rsidRPr="00673CAB" w:rsidRDefault="00673CAB" w:rsidP="00673CAB">
      <w:pPr>
        <w:pBdr>
          <w:bottom w:val="single" w:sz="4" w:space="1" w:color="auto"/>
        </w:pBdr>
        <w:spacing w:after="0" w:line="240" w:lineRule="auto"/>
        <w:rPr>
          <w:rFonts w:ascii="Arial" w:eastAsia="Times New Roman" w:hAnsi="Arial" w:cs="Arial"/>
          <w:b/>
          <w:bCs/>
          <w:i/>
          <w:iCs/>
          <w:lang w:val="es-ES" w:eastAsia="es-ES"/>
        </w:rPr>
      </w:pPr>
      <w:r w:rsidRPr="00673CAB">
        <w:rPr>
          <w:rFonts w:ascii="Arial" w:eastAsia="Times New Roman" w:hAnsi="Arial" w:cs="Arial"/>
          <w:b/>
          <w:bCs/>
          <w:i/>
          <w:iCs/>
          <w:lang w:val="es-ES" w:eastAsia="es-ES"/>
        </w:rPr>
        <w:t xml:space="preserve">b) Velar también por el respeto del debido proceso en la imposición de sanciones disciplinarias. Entre las sanciones disciplinarias o medidas restrictivas no podrá figurar la prohibición del contacto con la familia. </w:t>
      </w:r>
    </w:p>
    <w:p w14:paraId="1DC3970C" w14:textId="77777777" w:rsidR="00673CAB" w:rsidRPr="00673CAB" w:rsidRDefault="00673CAB" w:rsidP="00673CAB">
      <w:pPr>
        <w:pBdr>
          <w:bottom w:val="single" w:sz="4" w:space="1" w:color="auto"/>
        </w:pBdr>
        <w:spacing w:after="0" w:line="240" w:lineRule="auto"/>
        <w:rPr>
          <w:rFonts w:ascii="Arial" w:eastAsia="Times New Roman" w:hAnsi="Arial" w:cs="Arial"/>
          <w:b/>
          <w:bCs/>
          <w:i/>
          <w:iCs/>
          <w:lang w:val="es-ES" w:eastAsia="es-ES"/>
        </w:rPr>
      </w:pPr>
    </w:p>
    <w:p w14:paraId="66DDD3A8" w14:textId="77777777" w:rsidR="00673CAB" w:rsidRPr="00673CAB" w:rsidRDefault="00673CAB" w:rsidP="00673CAB">
      <w:pPr>
        <w:pBdr>
          <w:bottom w:val="single" w:sz="4" w:space="1" w:color="auto"/>
        </w:pBdr>
        <w:spacing w:after="0" w:line="240" w:lineRule="auto"/>
        <w:rPr>
          <w:rFonts w:ascii="Arial" w:eastAsia="Times New Roman" w:hAnsi="Arial" w:cs="Arial"/>
          <w:b/>
          <w:bCs/>
          <w:i/>
          <w:iCs/>
          <w:lang w:val="es-ES" w:eastAsia="es-ES"/>
        </w:rPr>
      </w:pPr>
      <w:r w:rsidRPr="00673CAB">
        <w:rPr>
          <w:rFonts w:ascii="Arial" w:eastAsia="Times New Roman" w:hAnsi="Arial" w:cs="Arial"/>
          <w:b/>
          <w:bCs/>
          <w:i/>
          <w:iCs/>
          <w:lang w:val="es-ES" w:eastAsia="es-ES"/>
        </w:rPr>
        <w:t>40. El Estado parte debe garantizar que el aislamiento administrativo sea utilizado únicamente como medida cautelar, estableciendo un límite temporal a su aplicación, en línea con los estándares internacionales.</w:t>
      </w:r>
      <w:bookmarkStart w:id="22" w:name="_Hlk92800382"/>
    </w:p>
    <w:p w14:paraId="1718648B" w14:textId="2D4ECA41" w:rsidR="00673CAB" w:rsidRPr="00673CAB" w:rsidRDefault="00673CAB" w:rsidP="00673CAB">
      <w:pPr>
        <w:pBdr>
          <w:bottom w:val="single" w:sz="4" w:space="1" w:color="auto"/>
        </w:pBdr>
        <w:spacing w:after="0" w:line="240" w:lineRule="auto"/>
        <w:rPr>
          <w:rFonts w:ascii="Arial" w:eastAsia="Times New Roman" w:hAnsi="Arial" w:cs="Arial"/>
          <w:b/>
          <w:bCs/>
          <w:i/>
          <w:iCs/>
          <w:lang w:val="es-ES" w:eastAsia="es-ES"/>
        </w:rPr>
      </w:pPr>
    </w:p>
    <w:p w14:paraId="42B1F9D4" w14:textId="76BD6BC1" w:rsidR="00673CAB" w:rsidRDefault="00673CAB" w:rsidP="00673CAB">
      <w:pPr>
        <w:pBdr>
          <w:bottom w:val="single" w:sz="4" w:space="1" w:color="auto"/>
        </w:pBdr>
        <w:spacing w:after="0" w:line="240" w:lineRule="auto"/>
        <w:rPr>
          <w:rFonts w:ascii="Arial" w:eastAsia="Times New Roman" w:hAnsi="Arial" w:cs="Arial"/>
          <w:b/>
          <w:bCs/>
          <w:lang w:val="es-ES" w:eastAsia="es-ES"/>
        </w:rPr>
      </w:pPr>
      <w:r>
        <w:rPr>
          <w:rFonts w:ascii="Arial" w:eastAsia="Times New Roman" w:hAnsi="Arial" w:cs="Arial"/>
          <w:b/>
          <w:bCs/>
          <w:lang w:val="es-ES" w:eastAsia="es-ES"/>
        </w:rPr>
        <w:t>Acciones de la Comisión Nacional de los Derecho</w:t>
      </w:r>
      <w:r w:rsidR="00B91D63">
        <w:rPr>
          <w:rFonts w:ascii="Arial" w:eastAsia="Times New Roman" w:hAnsi="Arial" w:cs="Arial"/>
          <w:b/>
          <w:bCs/>
          <w:lang w:val="es-ES" w:eastAsia="es-ES"/>
        </w:rPr>
        <w:t>s Humanos</w:t>
      </w:r>
      <w:r>
        <w:rPr>
          <w:rFonts w:ascii="Arial" w:eastAsia="Times New Roman" w:hAnsi="Arial" w:cs="Arial"/>
          <w:b/>
          <w:bCs/>
          <w:lang w:val="es-ES" w:eastAsia="es-ES"/>
        </w:rPr>
        <w:t xml:space="preserve"> </w:t>
      </w:r>
    </w:p>
    <w:p w14:paraId="397DE1DE" w14:textId="77777777" w:rsidR="00673CAB" w:rsidRDefault="00673CAB" w:rsidP="00B91D63">
      <w:pPr>
        <w:pBdr>
          <w:bottom w:val="single" w:sz="4" w:space="1" w:color="auto"/>
        </w:pBdr>
        <w:spacing w:after="0" w:line="240" w:lineRule="auto"/>
        <w:jc w:val="both"/>
        <w:rPr>
          <w:rFonts w:ascii="Arial" w:eastAsia="Times New Roman" w:hAnsi="Arial" w:cs="Arial"/>
          <w:lang w:val="es-ES" w:eastAsia="es-ES"/>
        </w:rPr>
      </w:pPr>
    </w:p>
    <w:p w14:paraId="19A8E0AC" w14:textId="6A6ED8BE" w:rsidR="00673CAB" w:rsidRDefault="00B11E95" w:rsidP="00B91D63">
      <w:pPr>
        <w:pBdr>
          <w:bottom w:val="single" w:sz="4" w:space="1" w:color="auto"/>
        </w:pBdr>
        <w:spacing w:after="0" w:line="240" w:lineRule="auto"/>
        <w:jc w:val="both"/>
        <w:rPr>
          <w:rFonts w:ascii="Arial" w:eastAsia="Times New Roman" w:hAnsi="Arial" w:cs="Arial"/>
          <w:b/>
          <w:bCs/>
          <w:lang w:val="es-ES" w:eastAsia="es-ES"/>
        </w:rPr>
      </w:pPr>
      <w:r w:rsidRPr="00B11E95">
        <w:rPr>
          <w:rFonts w:ascii="Arial" w:eastAsia="Times New Roman" w:hAnsi="Arial" w:cs="Arial"/>
          <w:lang w:val="es-ES" w:eastAsia="es-ES"/>
        </w:rPr>
        <w:lastRenderedPageBreak/>
        <w:t xml:space="preserve">En los </w:t>
      </w:r>
      <w:r w:rsidRPr="00B11E95">
        <w:rPr>
          <w:rFonts w:ascii="Arial" w:eastAsia="Times New Roman" w:hAnsi="Arial" w:cs="Arial"/>
          <w:b/>
          <w:bCs/>
          <w:color w:val="1F3864" w:themeColor="accent1" w:themeShade="80"/>
          <w:lang w:val="es-ES" w:eastAsia="es-ES"/>
        </w:rPr>
        <w:t>Diagnósticos Nacionales de Supervisión Penitenciaria</w:t>
      </w:r>
      <w:r w:rsidRPr="00B11E95">
        <w:rPr>
          <w:rFonts w:ascii="Arial" w:eastAsia="Times New Roman" w:hAnsi="Arial" w:cs="Arial"/>
          <w:color w:val="1F3864" w:themeColor="accent1" w:themeShade="80"/>
          <w:lang w:val="es-ES" w:eastAsia="es-ES"/>
        </w:rPr>
        <w:t xml:space="preserve"> </w:t>
      </w:r>
      <w:r w:rsidRPr="00B11E95">
        <w:rPr>
          <w:rFonts w:ascii="Arial" w:eastAsia="Times New Roman" w:hAnsi="Arial" w:cs="Arial"/>
          <w:lang w:val="es-ES" w:eastAsia="es-ES"/>
        </w:rPr>
        <w:t xml:space="preserve">DNSP 2019 y 2020, se dio a conocer la situación actual que prevalece en los centros penitenciarios a nivel federal, estatal y militar, por lo que respecta a las posibles deficiencias detectadas en las que se encuentran. Entre éstas, se realiza un análisis respecto de las </w:t>
      </w:r>
      <w:r w:rsidRPr="00B11E95">
        <w:rPr>
          <w:rFonts w:ascii="Arial" w:eastAsia="Times New Roman" w:hAnsi="Arial" w:cs="Arial"/>
          <w:b/>
          <w:bCs/>
          <w:color w:val="1F3864" w:themeColor="accent1" w:themeShade="80"/>
          <w:lang w:val="es-ES" w:eastAsia="es-ES"/>
        </w:rPr>
        <w:t>condiciones de gobernabilidad</w:t>
      </w:r>
      <w:r w:rsidRPr="00B11E95">
        <w:rPr>
          <w:rFonts w:ascii="Arial" w:eastAsia="Times New Roman" w:hAnsi="Arial" w:cs="Arial"/>
          <w:lang w:val="es-ES" w:eastAsia="es-ES"/>
        </w:rPr>
        <w:t>, haciendo énfasis en la situación actual en la que se encuentran los centros penitenciarios respecto de: a) Deficiencias en el procedimiento para la imposición de las sanciones disciplinarias</w:t>
      </w:r>
      <w:r w:rsidRPr="00B11E95">
        <w:rPr>
          <w:rFonts w:ascii="Arial" w:eastAsia="Times New Roman" w:hAnsi="Arial" w:cs="Arial"/>
          <w:color w:val="1F3864" w:themeColor="accent1" w:themeShade="80"/>
          <w:lang w:val="es-ES" w:eastAsia="es-ES"/>
        </w:rPr>
        <w:t>.</w:t>
      </w:r>
    </w:p>
    <w:p w14:paraId="2404E26B" w14:textId="77777777" w:rsidR="00673CAB" w:rsidRDefault="00673CAB" w:rsidP="00673CAB">
      <w:pPr>
        <w:pBdr>
          <w:bottom w:val="single" w:sz="4" w:space="1" w:color="auto"/>
        </w:pBdr>
        <w:spacing w:after="0" w:line="240" w:lineRule="auto"/>
        <w:rPr>
          <w:rFonts w:ascii="Arial" w:eastAsia="Times New Roman" w:hAnsi="Arial" w:cs="Arial"/>
          <w:b/>
          <w:bCs/>
          <w:lang w:val="es-ES" w:eastAsia="es-ES"/>
        </w:rPr>
      </w:pPr>
    </w:p>
    <w:p w14:paraId="2C389F7E" w14:textId="77777777" w:rsidR="00673CAB" w:rsidRDefault="00B11E95" w:rsidP="00673CAB">
      <w:pPr>
        <w:pBdr>
          <w:bottom w:val="single" w:sz="4" w:space="1" w:color="auto"/>
        </w:pBdr>
        <w:spacing w:after="0" w:line="240" w:lineRule="auto"/>
        <w:rPr>
          <w:rFonts w:ascii="Arial" w:eastAsia="Times New Roman" w:hAnsi="Arial" w:cs="Arial"/>
          <w:lang w:val="es-ES" w:eastAsia="es-ES"/>
        </w:rPr>
      </w:pPr>
      <w:r w:rsidRPr="00B11E95">
        <w:rPr>
          <w:rFonts w:ascii="Arial" w:eastAsia="Times New Roman" w:hAnsi="Arial" w:cs="Arial"/>
          <w:lang w:val="es-ES" w:eastAsia="es-ES"/>
        </w:rPr>
        <w:t xml:space="preserve">Los resultados emitidos permiten que, tras su emisión, las personas titulares a cargo de los sistemas penitenciarios federal, estatales y/o militar realicen las acciones respectivas para subsanarlas. </w:t>
      </w:r>
    </w:p>
    <w:p w14:paraId="565A6B40" w14:textId="62F3560A" w:rsidR="00B11E95" w:rsidRPr="00B11E95" w:rsidRDefault="00B11E95" w:rsidP="00673CAB">
      <w:pPr>
        <w:pBdr>
          <w:bottom w:val="single" w:sz="4" w:space="1" w:color="auto"/>
        </w:pBdr>
        <w:spacing w:after="0" w:line="240" w:lineRule="auto"/>
        <w:rPr>
          <w:rFonts w:ascii="Arial" w:eastAsia="Times New Roman" w:hAnsi="Arial" w:cs="Arial"/>
          <w:b/>
          <w:bCs/>
          <w:lang w:val="es-ES" w:eastAsia="es-ES"/>
        </w:rPr>
      </w:pPr>
      <w:r w:rsidRPr="00B11E95">
        <w:rPr>
          <w:rFonts w:ascii="Arial" w:eastAsia="Times New Roman" w:hAnsi="Arial" w:cs="Arial"/>
          <w:lang w:val="es-ES" w:eastAsia="es-ES"/>
        </w:rPr>
        <w:t xml:space="preserve">Disponibles en: </w:t>
      </w:r>
    </w:p>
    <w:p w14:paraId="65D15F13" w14:textId="77777777" w:rsidR="00B11E95" w:rsidRPr="00B11E95" w:rsidRDefault="00B11E95" w:rsidP="00B11E95">
      <w:pPr>
        <w:shd w:val="clear" w:color="auto" w:fill="FFFFFF"/>
        <w:spacing w:after="0" w:line="240" w:lineRule="auto"/>
        <w:ind w:right="51"/>
        <w:contextualSpacing/>
        <w:jc w:val="both"/>
        <w:rPr>
          <w:rFonts w:ascii="Arial" w:eastAsia="Times New Roman" w:hAnsi="Arial" w:cs="Arial"/>
          <w:lang w:val="es-ES" w:eastAsia="es-ES"/>
        </w:rPr>
      </w:pPr>
    </w:p>
    <w:p w14:paraId="2C39512B" w14:textId="77777777" w:rsidR="00B11E95" w:rsidRPr="00B11E95" w:rsidRDefault="009859F9" w:rsidP="00B11E95">
      <w:pPr>
        <w:shd w:val="clear" w:color="auto" w:fill="FFFFFF"/>
        <w:spacing w:after="0" w:line="240" w:lineRule="auto"/>
        <w:ind w:right="51"/>
        <w:contextualSpacing/>
        <w:jc w:val="both"/>
        <w:rPr>
          <w:rFonts w:ascii="Arial" w:eastAsia="Times New Roman" w:hAnsi="Arial" w:cs="Arial"/>
          <w:lang w:val="es-ES" w:eastAsia="es-ES"/>
        </w:rPr>
      </w:pPr>
      <w:hyperlink r:id="rId26" w:history="1">
        <w:r w:rsidR="00B11E95" w:rsidRPr="00B11E95">
          <w:rPr>
            <w:rFonts w:ascii="Arial" w:eastAsia="Times New Roman" w:hAnsi="Arial" w:cs="Arial"/>
            <w:color w:val="0563C1" w:themeColor="hyperlink"/>
            <w:u w:val="single"/>
            <w:lang w:val="es-ES" w:eastAsia="es-ES"/>
          </w:rPr>
          <w:t>https://www.cndh.org.mx/sites/all/doc/sistemas/DNSP/DNSP_2019.pdf</w:t>
        </w:r>
      </w:hyperlink>
    </w:p>
    <w:p w14:paraId="2DEB9C5D" w14:textId="77777777" w:rsidR="00B11E95" w:rsidRPr="00B11E95" w:rsidRDefault="00B11E95" w:rsidP="00B11E95">
      <w:pPr>
        <w:shd w:val="clear" w:color="auto" w:fill="FFFFFF"/>
        <w:spacing w:after="0" w:line="240" w:lineRule="auto"/>
        <w:ind w:right="51"/>
        <w:contextualSpacing/>
        <w:jc w:val="both"/>
        <w:rPr>
          <w:rFonts w:ascii="Arial" w:eastAsia="Times New Roman" w:hAnsi="Arial" w:cs="Arial"/>
          <w:lang w:val="es-ES" w:eastAsia="es-ES"/>
        </w:rPr>
      </w:pPr>
    </w:p>
    <w:p w14:paraId="205C89DF" w14:textId="650BBCD1" w:rsidR="00B11E95" w:rsidRDefault="009859F9" w:rsidP="00804F91">
      <w:pPr>
        <w:shd w:val="clear" w:color="auto" w:fill="FFFFFF"/>
        <w:spacing w:after="0" w:line="240" w:lineRule="auto"/>
        <w:ind w:right="51"/>
        <w:contextualSpacing/>
        <w:jc w:val="both"/>
        <w:rPr>
          <w:rFonts w:ascii="Arial" w:eastAsia="Times New Roman" w:hAnsi="Arial" w:cs="Arial"/>
          <w:lang w:val="es-ES" w:eastAsia="es-ES"/>
        </w:rPr>
      </w:pPr>
      <w:hyperlink r:id="rId27" w:history="1">
        <w:r w:rsidR="00804F91" w:rsidRPr="00B11E95">
          <w:rPr>
            <w:rStyle w:val="Hyperlink"/>
            <w:rFonts w:ascii="Arial" w:eastAsia="Times New Roman" w:hAnsi="Arial" w:cs="Arial"/>
            <w:lang w:val="es-ES" w:eastAsia="es-ES"/>
          </w:rPr>
          <w:t>https://www.cndh.org.mx/sites/default/files/documentos/2021-05/DNSP_2020.pdf</w:t>
        </w:r>
      </w:hyperlink>
      <w:r w:rsidR="00B11E95" w:rsidRPr="00B11E95">
        <w:rPr>
          <w:rFonts w:ascii="Arial" w:eastAsia="Times New Roman" w:hAnsi="Arial" w:cs="Arial"/>
          <w:lang w:val="es-ES" w:eastAsia="es-ES"/>
        </w:rPr>
        <w:t xml:space="preserve">    </w:t>
      </w:r>
    </w:p>
    <w:p w14:paraId="0E578734" w14:textId="16DA3FBB" w:rsidR="00804F91" w:rsidRDefault="00804F91" w:rsidP="00804F91">
      <w:pPr>
        <w:shd w:val="clear" w:color="auto" w:fill="FFFFFF"/>
        <w:spacing w:after="0" w:line="240" w:lineRule="auto"/>
        <w:ind w:right="51"/>
        <w:contextualSpacing/>
        <w:jc w:val="both"/>
        <w:rPr>
          <w:rFonts w:ascii="Arial" w:eastAsia="Times New Roman" w:hAnsi="Arial" w:cs="Arial"/>
          <w:lang w:val="es-ES" w:eastAsia="es-ES"/>
        </w:rPr>
      </w:pPr>
    </w:p>
    <w:p w14:paraId="4DCB9C2F" w14:textId="59394F32" w:rsidR="00804F91" w:rsidRDefault="00804F91" w:rsidP="00804F91">
      <w:pPr>
        <w:shd w:val="clear" w:color="auto" w:fill="FFFFFF"/>
        <w:spacing w:after="0" w:line="240" w:lineRule="auto"/>
        <w:ind w:right="51"/>
        <w:contextualSpacing/>
        <w:jc w:val="both"/>
        <w:rPr>
          <w:rFonts w:ascii="Arial" w:eastAsia="Times New Roman" w:hAnsi="Arial" w:cs="Arial"/>
          <w:lang w:val="es-ES" w:eastAsia="es-ES"/>
        </w:rPr>
      </w:pPr>
    </w:p>
    <w:p w14:paraId="60D20219" w14:textId="77777777" w:rsidR="00804F91" w:rsidRPr="00804F91" w:rsidRDefault="00804F91" w:rsidP="00804F91">
      <w:pPr>
        <w:shd w:val="clear" w:color="auto" w:fill="FFFFFF"/>
        <w:spacing w:after="0" w:line="240" w:lineRule="auto"/>
        <w:ind w:right="51"/>
        <w:contextualSpacing/>
        <w:jc w:val="both"/>
        <w:rPr>
          <w:rFonts w:ascii="Arial" w:eastAsia="Times New Roman" w:hAnsi="Arial" w:cs="Arial"/>
          <w:b/>
          <w:bCs/>
          <w:i/>
          <w:iCs/>
          <w:lang w:val="es-ES" w:eastAsia="es-ES"/>
        </w:rPr>
      </w:pPr>
      <w:r w:rsidRPr="00804F91">
        <w:rPr>
          <w:rFonts w:ascii="Arial" w:eastAsia="Times New Roman" w:hAnsi="Arial" w:cs="Arial"/>
          <w:b/>
          <w:bCs/>
          <w:i/>
          <w:iCs/>
          <w:lang w:val="es-ES" w:eastAsia="es-ES"/>
        </w:rPr>
        <w:t xml:space="preserve">38. El Estado parte debe:  </w:t>
      </w:r>
    </w:p>
    <w:p w14:paraId="73A75AC9" w14:textId="77777777" w:rsidR="00804F91" w:rsidRPr="00804F91" w:rsidRDefault="00804F91" w:rsidP="00804F91">
      <w:pPr>
        <w:shd w:val="clear" w:color="auto" w:fill="FFFFFF"/>
        <w:spacing w:after="0" w:line="240" w:lineRule="auto"/>
        <w:ind w:right="51"/>
        <w:contextualSpacing/>
        <w:jc w:val="both"/>
        <w:rPr>
          <w:rFonts w:ascii="Arial" w:eastAsia="Times New Roman" w:hAnsi="Arial" w:cs="Arial"/>
          <w:b/>
          <w:bCs/>
          <w:i/>
          <w:iCs/>
          <w:lang w:val="es-ES" w:eastAsia="es-ES"/>
        </w:rPr>
      </w:pPr>
    </w:p>
    <w:p w14:paraId="7652CBD3" w14:textId="77777777" w:rsidR="00804F91" w:rsidRPr="00804F91" w:rsidRDefault="00804F91" w:rsidP="00804F91">
      <w:pPr>
        <w:shd w:val="clear" w:color="auto" w:fill="FFFFFF"/>
        <w:spacing w:after="0" w:line="240" w:lineRule="auto"/>
        <w:ind w:right="51"/>
        <w:contextualSpacing/>
        <w:jc w:val="both"/>
        <w:rPr>
          <w:rFonts w:ascii="Arial" w:eastAsia="Times New Roman" w:hAnsi="Arial" w:cs="Arial"/>
          <w:lang w:val="es-ES" w:eastAsia="es-ES"/>
        </w:rPr>
      </w:pPr>
      <w:r w:rsidRPr="00804F91">
        <w:rPr>
          <w:rFonts w:ascii="Arial" w:eastAsia="Times New Roman" w:hAnsi="Arial" w:cs="Arial"/>
          <w:b/>
          <w:bCs/>
          <w:i/>
          <w:iCs/>
          <w:lang w:val="es-ES" w:eastAsia="es-ES"/>
        </w:rPr>
        <w:t>c) Velar porque las condiciones de vida generales a las que se hace referencia en dicho instrumento internacional, incluidas las relativas a la iluminación, la ventilación, la climatización, el saneamiento, la nutrición, y el agua potable, entre otras, se reconozcan a todos los reclusos sin excepción</w:t>
      </w:r>
      <w:r w:rsidRPr="00804F91">
        <w:rPr>
          <w:rFonts w:ascii="Arial" w:eastAsia="Times New Roman" w:hAnsi="Arial" w:cs="Arial"/>
          <w:lang w:val="es-ES" w:eastAsia="es-ES"/>
        </w:rPr>
        <w:t xml:space="preserve">. </w:t>
      </w:r>
    </w:p>
    <w:bookmarkEnd w:id="22"/>
    <w:p w14:paraId="1456F004" w14:textId="780D94DF" w:rsidR="00B11E95" w:rsidRDefault="00B11E95" w:rsidP="00B11E95">
      <w:pPr>
        <w:spacing w:after="0" w:line="240" w:lineRule="auto"/>
        <w:contextualSpacing/>
        <w:jc w:val="both"/>
        <w:rPr>
          <w:rFonts w:ascii="Arial" w:eastAsia="Times New Roman" w:hAnsi="Arial" w:cs="Arial"/>
          <w:b/>
          <w:bCs/>
          <w:color w:val="1F3864" w:themeColor="accent1" w:themeShade="80"/>
          <w:sz w:val="27"/>
          <w:szCs w:val="27"/>
          <w:lang w:val="es-ES" w:eastAsia="es-ES"/>
        </w:rPr>
      </w:pPr>
    </w:p>
    <w:p w14:paraId="3C1534C2" w14:textId="7A425764" w:rsidR="00804F91" w:rsidRPr="00B11E95" w:rsidRDefault="00804F91" w:rsidP="00B11E95">
      <w:pPr>
        <w:spacing w:after="0" w:line="240" w:lineRule="auto"/>
        <w:contextualSpacing/>
        <w:jc w:val="both"/>
        <w:rPr>
          <w:rFonts w:ascii="Arial" w:eastAsia="Times New Roman" w:hAnsi="Arial" w:cs="Arial"/>
          <w:b/>
          <w:bCs/>
          <w:lang w:val="es-ES" w:eastAsia="es-ES"/>
        </w:rPr>
      </w:pPr>
      <w:r w:rsidRPr="00804F91">
        <w:rPr>
          <w:rFonts w:ascii="Arial" w:eastAsia="Times New Roman" w:hAnsi="Arial" w:cs="Arial"/>
          <w:b/>
          <w:bCs/>
          <w:lang w:val="es-ES" w:eastAsia="es-ES"/>
        </w:rPr>
        <w:t>Acciones de la Comisión Nacional de los Derechos Humanos</w:t>
      </w:r>
    </w:p>
    <w:p w14:paraId="140DFF73" w14:textId="77777777" w:rsidR="00804F91" w:rsidRDefault="00804F91" w:rsidP="00673CAB">
      <w:pPr>
        <w:spacing w:after="0" w:line="240" w:lineRule="auto"/>
        <w:contextualSpacing/>
        <w:jc w:val="both"/>
        <w:rPr>
          <w:rFonts w:ascii="Arial" w:eastAsia="Times New Roman" w:hAnsi="Arial" w:cs="Arial"/>
          <w:lang w:val="es-ES" w:eastAsia="es-ES"/>
        </w:rPr>
      </w:pPr>
    </w:p>
    <w:p w14:paraId="3E8DC011" w14:textId="616252C3" w:rsidR="00B11E95" w:rsidRPr="00B11E95" w:rsidRDefault="00B11E95" w:rsidP="00673CAB">
      <w:pPr>
        <w:spacing w:after="0" w:line="240" w:lineRule="auto"/>
        <w:contextualSpacing/>
        <w:jc w:val="both"/>
        <w:rPr>
          <w:rFonts w:ascii="Arial" w:eastAsia="Times New Roman" w:hAnsi="Arial" w:cs="Arial"/>
          <w:b/>
          <w:bCs/>
          <w:i/>
          <w:iCs/>
          <w:color w:val="1F3864" w:themeColor="accent1" w:themeShade="80"/>
          <w:lang w:val="es-ES" w:eastAsia="es-ES"/>
        </w:rPr>
      </w:pPr>
      <w:r w:rsidRPr="00B11E95">
        <w:rPr>
          <w:rFonts w:ascii="Arial" w:eastAsia="Times New Roman" w:hAnsi="Arial" w:cs="Arial"/>
          <w:lang w:val="es-ES" w:eastAsia="es-ES"/>
        </w:rPr>
        <w:t xml:space="preserve">En el </w:t>
      </w:r>
      <w:r w:rsidRPr="00B11E95">
        <w:rPr>
          <w:rFonts w:ascii="Arial" w:eastAsia="Times New Roman" w:hAnsi="Arial" w:cs="Arial"/>
          <w:b/>
          <w:bCs/>
          <w:color w:val="1F3864" w:themeColor="accent1" w:themeShade="80"/>
          <w:lang w:val="es-ES" w:eastAsia="es-ES"/>
        </w:rPr>
        <w:t>Informe Especial</w:t>
      </w:r>
      <w:r w:rsidRPr="00B11E95">
        <w:rPr>
          <w:rFonts w:ascii="Times New Roman" w:eastAsia="Times New Roman" w:hAnsi="Times New Roman" w:cs="Times New Roman"/>
          <w:lang w:val="es-ES" w:eastAsia="es-ES"/>
        </w:rPr>
        <w:t xml:space="preserve"> </w:t>
      </w:r>
      <w:r w:rsidRPr="00B11E95">
        <w:rPr>
          <w:rFonts w:ascii="Arial" w:eastAsia="Times New Roman" w:hAnsi="Arial" w:cs="Arial"/>
          <w:color w:val="1F3864" w:themeColor="accent1" w:themeShade="80"/>
          <w:lang w:val="es-ES" w:eastAsia="es-ES"/>
        </w:rPr>
        <w:t xml:space="preserve">sobre el Estado que Guardan las Medidas Adoptadas en Centros Penitenciarios para la Atención de la Emergencia Sanitaria Generada ante el Virus SARS-CoV2 /COVID-19), </w:t>
      </w:r>
      <w:r w:rsidRPr="00B11E95">
        <w:rPr>
          <w:rFonts w:ascii="Arial" w:eastAsia="Times New Roman" w:hAnsi="Arial" w:cs="Arial"/>
          <w:lang w:val="es-ES" w:eastAsia="es-ES"/>
        </w:rPr>
        <w:t>emitido en el mes de junio de 2020, a través de la emisión de las 48 propuestas dirigidas a las autoridades de los tres órdenes de go</w:t>
      </w:r>
      <w:r w:rsidRPr="00B11E95">
        <w:rPr>
          <w:rFonts w:ascii="Arial" w:eastAsia="Times New Roman" w:hAnsi="Arial" w:cs="Arial"/>
          <w:lang w:val="es-ES" w:eastAsia="es-ES"/>
        </w:rPr>
        <w:lastRenderedPageBreak/>
        <w:t xml:space="preserve">bierno, y de los sistemas penitenciarios federal, estatales y militar, se solicitó se garantizaran las condiciones de habitabilidad debida a las personas privadas de la libertad a fin de gozar de una calidad de vida en reclusión. Entre éstas: </w:t>
      </w:r>
    </w:p>
    <w:p w14:paraId="5F0E1AB3" w14:textId="77777777" w:rsidR="00B11E95" w:rsidRPr="00B11E95" w:rsidRDefault="00B11E95" w:rsidP="00B11E95">
      <w:pPr>
        <w:shd w:val="clear" w:color="auto" w:fill="FFFFFF"/>
        <w:spacing w:after="0" w:line="240" w:lineRule="auto"/>
        <w:ind w:left="284" w:right="51"/>
        <w:contextualSpacing/>
        <w:jc w:val="both"/>
        <w:rPr>
          <w:rFonts w:ascii="Arial" w:eastAsia="Times New Roman" w:hAnsi="Arial" w:cs="Arial"/>
          <w:lang w:val="es-ES" w:eastAsia="es-ES"/>
        </w:rPr>
      </w:pPr>
    </w:p>
    <w:p w14:paraId="3B232CA7" w14:textId="77777777" w:rsidR="00B11E95" w:rsidRPr="00B11E95" w:rsidRDefault="00B11E95" w:rsidP="00B11E95">
      <w:pPr>
        <w:numPr>
          <w:ilvl w:val="0"/>
          <w:numId w:val="17"/>
        </w:numPr>
        <w:shd w:val="clear" w:color="auto" w:fill="FFFFFF"/>
        <w:spacing w:after="0" w:line="240" w:lineRule="auto"/>
        <w:ind w:left="284" w:right="51" w:hanging="284"/>
        <w:contextualSpacing/>
        <w:jc w:val="both"/>
        <w:rPr>
          <w:rFonts w:ascii="Arial" w:eastAsia="Times New Roman" w:hAnsi="Arial" w:cs="Arial"/>
          <w:lang w:val="es-ES" w:eastAsia="es-ES"/>
        </w:rPr>
      </w:pPr>
      <w:r w:rsidRPr="00B11E95">
        <w:rPr>
          <w:rFonts w:ascii="Arial" w:eastAsia="Times New Roman" w:hAnsi="Arial" w:cs="Arial"/>
          <w:lang w:val="es-ES" w:eastAsia="es-ES"/>
        </w:rPr>
        <w:t xml:space="preserve">Condiciones de salubridad, habitabilidad digna y la necesidad de dotación de productos de higiene básicos conforme a sus requerimientos específicos y a su género a fin de proteger su salud con motivo de la contingencia sanitaria.  </w:t>
      </w:r>
    </w:p>
    <w:p w14:paraId="4F74E486" w14:textId="77777777" w:rsidR="00B11E95" w:rsidRPr="00B11E95" w:rsidRDefault="00B11E95" w:rsidP="00B11E95">
      <w:pPr>
        <w:shd w:val="clear" w:color="auto" w:fill="FFFFFF"/>
        <w:spacing w:after="0" w:line="240" w:lineRule="auto"/>
        <w:ind w:left="284" w:right="51"/>
        <w:contextualSpacing/>
        <w:jc w:val="both"/>
        <w:rPr>
          <w:rFonts w:ascii="Arial" w:eastAsia="Times New Roman" w:hAnsi="Arial" w:cs="Arial"/>
          <w:lang w:val="es-ES" w:eastAsia="es-ES"/>
        </w:rPr>
      </w:pPr>
    </w:p>
    <w:p w14:paraId="526FCB0F" w14:textId="77777777" w:rsidR="00B11E95" w:rsidRPr="00B11E95" w:rsidRDefault="00B11E95" w:rsidP="00B11E95">
      <w:pPr>
        <w:numPr>
          <w:ilvl w:val="0"/>
          <w:numId w:val="17"/>
        </w:numPr>
        <w:shd w:val="clear" w:color="auto" w:fill="FFFFFF"/>
        <w:spacing w:after="0" w:line="240" w:lineRule="auto"/>
        <w:ind w:left="284" w:right="51" w:hanging="284"/>
        <w:contextualSpacing/>
        <w:jc w:val="both"/>
        <w:rPr>
          <w:rFonts w:ascii="Arial" w:eastAsia="Times New Roman" w:hAnsi="Arial" w:cs="Arial"/>
          <w:lang w:val="es-ES" w:eastAsia="es-ES"/>
        </w:rPr>
      </w:pPr>
      <w:r w:rsidRPr="00B11E95">
        <w:rPr>
          <w:rFonts w:ascii="Arial" w:eastAsia="Times New Roman" w:hAnsi="Arial" w:cs="Arial"/>
          <w:lang w:val="es-ES" w:eastAsia="es-ES"/>
        </w:rPr>
        <w:t>Garantizar el suministro ininterrumpido de agua potable y al saneamiento.</w:t>
      </w:r>
    </w:p>
    <w:p w14:paraId="25CDEB3F" w14:textId="77777777" w:rsidR="00B11E95" w:rsidRPr="00B11E95" w:rsidRDefault="00B11E95" w:rsidP="00B11E95">
      <w:pPr>
        <w:spacing w:after="0" w:line="240" w:lineRule="auto"/>
        <w:ind w:left="284"/>
        <w:contextualSpacing/>
        <w:rPr>
          <w:rFonts w:ascii="Arial" w:eastAsia="Times New Roman" w:hAnsi="Arial" w:cs="Arial"/>
          <w:lang w:val="es-ES" w:eastAsia="es-ES"/>
        </w:rPr>
      </w:pPr>
    </w:p>
    <w:p w14:paraId="67C69FD5" w14:textId="77777777" w:rsidR="00B11E95" w:rsidRPr="00B11E95" w:rsidRDefault="00B11E95" w:rsidP="00B11E95">
      <w:pPr>
        <w:numPr>
          <w:ilvl w:val="0"/>
          <w:numId w:val="17"/>
        </w:numPr>
        <w:shd w:val="clear" w:color="auto" w:fill="FFFFFF"/>
        <w:spacing w:after="0" w:line="240" w:lineRule="auto"/>
        <w:ind w:left="284" w:right="51" w:hanging="284"/>
        <w:contextualSpacing/>
        <w:jc w:val="both"/>
        <w:rPr>
          <w:rFonts w:ascii="Arial" w:eastAsia="Times New Roman" w:hAnsi="Arial" w:cs="Arial"/>
          <w:lang w:val="es-ES" w:eastAsia="es-ES"/>
        </w:rPr>
      </w:pPr>
      <w:r w:rsidRPr="00B11E95">
        <w:rPr>
          <w:rFonts w:ascii="Arial" w:eastAsia="Times New Roman" w:hAnsi="Arial" w:cs="Arial"/>
          <w:lang w:val="es-ES" w:eastAsia="es-ES"/>
        </w:rPr>
        <w:t xml:space="preserve">En las acciones de modificación, adecuación y/o rediseño de los espacios habitables destinados a las personas privadas de la libertad, debe garantizarse, entre otros aspectos, que las celdas individuales cuenten con al menos 7 m², con un espacio suficiente para dormir acostadas e individualmente, para caminar y colocar </w:t>
      </w:r>
      <w:r w:rsidRPr="00B11E95">
        <w:rPr>
          <w:rFonts w:ascii="Arial" w:eastAsia="Times New Roman" w:hAnsi="Arial" w:cs="Arial"/>
          <w:lang w:val="es-ES" w:eastAsia="es-ES"/>
        </w:rPr>
        <w:lastRenderedPageBreak/>
        <w:t>sus bienes personales, ventilación, calefacción, exposición a la luz natural y artificial, suministro suficiente de agua potable y de condiciones de privacidad mínimas que les permita la realización de actividades sanitarias y de higiene.</w:t>
      </w:r>
    </w:p>
    <w:p w14:paraId="49EEA750" w14:textId="77777777" w:rsidR="00B11E95" w:rsidRPr="00B11E95" w:rsidRDefault="00B11E95" w:rsidP="00B11E95">
      <w:pPr>
        <w:spacing w:after="0" w:line="240" w:lineRule="auto"/>
        <w:jc w:val="both"/>
        <w:rPr>
          <w:rFonts w:ascii="Arial" w:eastAsia="Times New Roman" w:hAnsi="Arial" w:cs="Arial"/>
          <w:b/>
          <w:bCs/>
          <w:i/>
          <w:iCs/>
          <w:color w:val="1F3864" w:themeColor="accent1" w:themeShade="80"/>
          <w:sz w:val="27"/>
          <w:szCs w:val="27"/>
          <w:lang w:val="es-ES" w:eastAsia="es-ES"/>
        </w:rPr>
      </w:pPr>
    </w:p>
    <w:p w14:paraId="63958858" w14:textId="138AC356" w:rsidR="00B11E95" w:rsidRDefault="00B11E95" w:rsidP="00B11E95">
      <w:pPr>
        <w:shd w:val="clear" w:color="auto" w:fill="FFFFFF"/>
        <w:spacing w:after="0" w:line="240" w:lineRule="auto"/>
        <w:ind w:right="51"/>
        <w:contextualSpacing/>
        <w:jc w:val="both"/>
        <w:rPr>
          <w:rFonts w:ascii="Arial" w:eastAsia="Times New Roman" w:hAnsi="Arial" w:cs="Arial"/>
          <w:lang w:val="es-ES" w:eastAsia="es-ES"/>
        </w:rPr>
      </w:pPr>
      <w:r w:rsidRPr="00B11E95">
        <w:rPr>
          <w:rFonts w:ascii="Arial" w:eastAsia="Times New Roman" w:hAnsi="Arial" w:cs="Arial"/>
          <w:lang w:val="es-ES" w:eastAsia="es-ES"/>
        </w:rPr>
        <w:t xml:space="preserve">Disponible en: </w:t>
      </w:r>
      <w:hyperlink r:id="rId28" w:history="1">
        <w:r w:rsidRPr="00B11E95">
          <w:rPr>
            <w:rFonts w:ascii="Arial" w:eastAsia="Times New Roman" w:hAnsi="Arial" w:cs="Arial"/>
            <w:color w:val="0563C1" w:themeColor="hyperlink"/>
            <w:u w:val="single"/>
            <w:lang w:val="es-ES" w:eastAsia="es-ES"/>
          </w:rPr>
          <w:t>https://www.cndh.org.mx/sites/default/files/documentos/2020-07/IE_COVID19_Penitenciarios.pdf</w:t>
        </w:r>
      </w:hyperlink>
      <w:r w:rsidRPr="00B11E95">
        <w:rPr>
          <w:rFonts w:ascii="Arial" w:eastAsia="Times New Roman" w:hAnsi="Arial" w:cs="Arial"/>
          <w:lang w:val="es-ES" w:eastAsia="es-ES"/>
        </w:rPr>
        <w:t xml:space="preserve"> </w:t>
      </w:r>
    </w:p>
    <w:p w14:paraId="4D747D87" w14:textId="0900823B" w:rsidR="00885ED9" w:rsidRDefault="00885ED9" w:rsidP="00B11E95">
      <w:pPr>
        <w:shd w:val="clear" w:color="auto" w:fill="FFFFFF"/>
        <w:spacing w:after="0" w:line="240" w:lineRule="auto"/>
        <w:ind w:right="51"/>
        <w:contextualSpacing/>
        <w:jc w:val="both"/>
        <w:rPr>
          <w:rFonts w:ascii="Arial" w:eastAsia="Times New Roman" w:hAnsi="Arial" w:cs="Arial"/>
          <w:lang w:val="es-ES" w:eastAsia="es-ES"/>
        </w:rPr>
      </w:pPr>
    </w:p>
    <w:p w14:paraId="432B1AC8" w14:textId="77777777" w:rsidR="00ED0176" w:rsidRDefault="00ED0176" w:rsidP="0080088D">
      <w:pPr>
        <w:widowControl w:val="0"/>
        <w:autoSpaceDE w:val="0"/>
        <w:autoSpaceDN w:val="0"/>
        <w:spacing w:after="0" w:line="260" w:lineRule="exact"/>
        <w:jc w:val="both"/>
        <w:rPr>
          <w:rFonts w:ascii="Arial" w:eastAsia="Arial" w:hAnsi="Arial" w:cs="Arial"/>
          <w:b/>
          <w:bCs/>
          <w:lang w:val="es-ES"/>
        </w:rPr>
      </w:pPr>
    </w:p>
    <w:p w14:paraId="6E928AF4" w14:textId="34809043" w:rsidR="0080088D" w:rsidRPr="0080088D" w:rsidRDefault="0080088D" w:rsidP="0080088D">
      <w:pPr>
        <w:widowControl w:val="0"/>
        <w:autoSpaceDE w:val="0"/>
        <w:autoSpaceDN w:val="0"/>
        <w:spacing w:after="0" w:line="260" w:lineRule="exact"/>
        <w:jc w:val="both"/>
        <w:rPr>
          <w:rFonts w:ascii="Arial" w:eastAsia="Arial" w:hAnsi="Arial" w:cs="Arial"/>
          <w:b/>
          <w:bCs/>
          <w:lang w:val="es-ES"/>
        </w:rPr>
      </w:pPr>
      <w:r w:rsidRPr="0080088D">
        <w:rPr>
          <w:rFonts w:ascii="Arial" w:eastAsia="Arial" w:hAnsi="Arial" w:cs="Arial"/>
          <w:b/>
          <w:bCs/>
          <w:lang w:val="es-ES"/>
        </w:rPr>
        <w:t xml:space="preserve">38 y 40 el Estado parte debe: </w:t>
      </w:r>
    </w:p>
    <w:p w14:paraId="06E9A4AF" w14:textId="77777777" w:rsidR="0080088D" w:rsidRPr="0080088D" w:rsidRDefault="0080088D" w:rsidP="0080088D">
      <w:pPr>
        <w:widowControl w:val="0"/>
        <w:autoSpaceDE w:val="0"/>
        <w:autoSpaceDN w:val="0"/>
        <w:spacing w:after="0" w:line="260" w:lineRule="exact"/>
        <w:jc w:val="both"/>
        <w:rPr>
          <w:rFonts w:ascii="Arial" w:eastAsia="Arial" w:hAnsi="Arial" w:cs="Arial"/>
          <w:b/>
          <w:bCs/>
          <w:i/>
          <w:iCs/>
          <w:lang w:val="es-ES"/>
        </w:rPr>
      </w:pPr>
      <w:r w:rsidRPr="0080088D">
        <w:rPr>
          <w:rFonts w:ascii="Arial" w:eastAsia="Arial" w:hAnsi="Arial" w:cs="Arial"/>
          <w:b/>
          <w:bCs/>
          <w:i/>
          <w:lang w:val="es-ES"/>
        </w:rPr>
        <w:t xml:space="preserve">a) </w:t>
      </w:r>
      <w:r w:rsidRPr="0080088D">
        <w:rPr>
          <w:rFonts w:ascii="Arial" w:eastAsia="Arial" w:hAnsi="Arial" w:cs="Arial"/>
          <w:b/>
          <w:bCs/>
          <w:i/>
          <w:iCs/>
          <w:lang w:val="es-ES"/>
        </w:rPr>
        <w:t>y b) Velar por que la reclusión en régimen de aislamiento se utilice únicamente en casos excepcionales (…)</w:t>
      </w:r>
    </w:p>
    <w:p w14:paraId="4C5F92BC" w14:textId="51DEE9EA" w:rsidR="0080088D" w:rsidRDefault="0080088D" w:rsidP="0080088D">
      <w:pPr>
        <w:widowControl w:val="0"/>
        <w:autoSpaceDE w:val="0"/>
        <w:autoSpaceDN w:val="0"/>
        <w:spacing w:after="0" w:line="260" w:lineRule="exact"/>
        <w:jc w:val="both"/>
        <w:rPr>
          <w:rFonts w:ascii="Arial" w:eastAsia="Arial" w:hAnsi="Arial" w:cs="Arial"/>
          <w:lang w:val="es-ES"/>
        </w:rPr>
      </w:pPr>
    </w:p>
    <w:p w14:paraId="6FC0843B" w14:textId="4399A585" w:rsidR="00ED0176" w:rsidRPr="0080088D" w:rsidRDefault="00ED0176" w:rsidP="0080088D">
      <w:pPr>
        <w:widowControl w:val="0"/>
        <w:autoSpaceDE w:val="0"/>
        <w:autoSpaceDN w:val="0"/>
        <w:spacing w:after="0" w:line="260" w:lineRule="exact"/>
        <w:jc w:val="both"/>
        <w:rPr>
          <w:rFonts w:ascii="Arial" w:eastAsia="Arial" w:hAnsi="Arial" w:cs="Arial"/>
          <w:b/>
          <w:bCs/>
          <w:lang w:val="es-ES"/>
        </w:rPr>
      </w:pPr>
      <w:bookmarkStart w:id="23" w:name="_Hlk93928566"/>
      <w:r w:rsidRPr="00ED0176">
        <w:rPr>
          <w:rFonts w:ascii="Arial" w:eastAsia="Arial" w:hAnsi="Arial" w:cs="Arial"/>
          <w:b/>
          <w:bCs/>
          <w:lang w:val="es-ES"/>
        </w:rPr>
        <w:t>Acciones del Mecanismo Nacional de Prevención de la Tortura</w:t>
      </w:r>
    </w:p>
    <w:bookmarkEnd w:id="23"/>
    <w:p w14:paraId="47137E3E" w14:textId="77777777" w:rsidR="00ED0176" w:rsidRDefault="00ED0176" w:rsidP="0080088D">
      <w:pPr>
        <w:widowControl w:val="0"/>
        <w:autoSpaceDE w:val="0"/>
        <w:autoSpaceDN w:val="0"/>
        <w:spacing w:after="0" w:line="260" w:lineRule="exact"/>
        <w:jc w:val="both"/>
        <w:rPr>
          <w:rFonts w:ascii="Arial" w:eastAsia="Arial" w:hAnsi="Arial" w:cs="Arial"/>
          <w:lang w:val="es-ES"/>
        </w:rPr>
      </w:pPr>
    </w:p>
    <w:p w14:paraId="098D02E1" w14:textId="67AF31B9" w:rsidR="0080088D" w:rsidRPr="0080088D" w:rsidRDefault="0080088D" w:rsidP="0080088D">
      <w:pPr>
        <w:widowControl w:val="0"/>
        <w:autoSpaceDE w:val="0"/>
        <w:autoSpaceDN w:val="0"/>
        <w:spacing w:after="0" w:line="260" w:lineRule="exact"/>
        <w:jc w:val="both"/>
        <w:rPr>
          <w:rFonts w:ascii="Arial" w:eastAsia="Arial" w:hAnsi="Arial" w:cs="Arial"/>
          <w:lang w:val="es-ES"/>
        </w:rPr>
      </w:pPr>
      <w:r w:rsidRPr="0080088D">
        <w:rPr>
          <w:rFonts w:ascii="Arial" w:eastAsia="Arial" w:hAnsi="Arial" w:cs="Arial"/>
          <w:lang w:val="es-ES"/>
        </w:rPr>
        <w:t>Respecto a este tema, el MNPT, a través de sus informes de supervisión en el con</w:t>
      </w:r>
      <w:r w:rsidRPr="0080088D">
        <w:rPr>
          <w:rFonts w:ascii="Arial" w:eastAsia="Arial" w:hAnsi="Arial" w:cs="Arial"/>
          <w:lang w:val="es-ES"/>
        </w:rPr>
        <w:lastRenderedPageBreak/>
        <w:t>texto de la COVID-19, durante 2020</w:t>
      </w:r>
      <w:r w:rsidRPr="0080088D">
        <w:rPr>
          <w:rFonts w:ascii="Arial" w:eastAsia="Arial" w:hAnsi="Arial" w:cs="Arial"/>
          <w:vertAlign w:val="superscript"/>
          <w:lang w:val="es-ES"/>
        </w:rPr>
        <w:footnoteReference w:id="25"/>
      </w:r>
      <w:r w:rsidRPr="0080088D">
        <w:rPr>
          <w:rFonts w:ascii="Arial" w:eastAsia="Arial" w:hAnsi="Arial" w:cs="Arial"/>
          <w:lang w:val="es-ES"/>
        </w:rPr>
        <w:t xml:space="preserve">, ha recomendado a diversas autoridades evitar, a toda costa y bajo cualquier circunstancia, la utilización del aislamiento médico como forma de aislamiento disciplinario; en caso de existir la necesidad de llevar a cabo el aislamiento por cuestiones médicas, este se debe determinar basado en una evaluación médica, ser proporcional, limitado en el tiempo y sujeto a salvaguardas procedimentales, tal como lo establece el Subcomité de Prevención de la Tortura y otros Tratos o Penas Crueles, Inhumanos o Degradantes (STP), a través de las Recomendaciones que emitió el 25 de marzo del año 2021, con relación a la pandemia </w:t>
      </w:r>
      <w:r w:rsidRPr="0080088D">
        <w:rPr>
          <w:rFonts w:ascii="Arial" w:eastAsia="Arial" w:hAnsi="Arial" w:cs="Arial"/>
          <w:lang w:val="es-ES"/>
        </w:rPr>
        <w:lastRenderedPageBreak/>
        <w:t>de coronavirus</w:t>
      </w:r>
      <w:r w:rsidRPr="0080088D">
        <w:rPr>
          <w:rFonts w:ascii="Arial" w:eastAsia="Arial" w:hAnsi="Arial" w:cs="Arial"/>
          <w:vertAlign w:val="superscript"/>
          <w:lang w:val="es-ES"/>
        </w:rPr>
        <w:footnoteReference w:id="26"/>
      </w:r>
      <w:r w:rsidRPr="0080088D">
        <w:rPr>
          <w:rFonts w:ascii="Arial" w:eastAsia="Arial" w:hAnsi="Arial" w:cs="Arial"/>
          <w:lang w:val="es-ES"/>
        </w:rPr>
        <w:t xml:space="preserve">. Asimismo, en casos particulares, como el de la </w:t>
      </w:r>
      <w:r w:rsidRPr="0080088D">
        <w:rPr>
          <w:rFonts w:ascii="Arial" w:eastAsia="Arial" w:hAnsi="Arial" w:cs="Arial"/>
          <w:i/>
          <w:iCs/>
          <w:lang w:val="es-ES"/>
        </w:rPr>
        <w:t>Casa para Ancianos, el Refugio,</w:t>
      </w:r>
      <w:r w:rsidRPr="0080088D">
        <w:rPr>
          <w:rFonts w:ascii="Arial" w:eastAsia="Arial" w:hAnsi="Arial" w:cs="Arial"/>
          <w:lang w:val="es-ES"/>
        </w:rPr>
        <w:t xml:space="preserve"> A. C., en Tijuana, Baja California</w:t>
      </w:r>
      <w:r w:rsidRPr="0080088D">
        <w:rPr>
          <w:rFonts w:ascii="Arial" w:eastAsia="Arial" w:hAnsi="Arial" w:cs="Arial"/>
          <w:vertAlign w:val="superscript"/>
          <w:lang w:val="es-ES"/>
        </w:rPr>
        <w:footnoteReference w:id="27"/>
      </w:r>
      <w:r w:rsidRPr="0080088D">
        <w:rPr>
          <w:rFonts w:ascii="Arial" w:eastAsia="Arial" w:hAnsi="Arial" w:cs="Arial"/>
          <w:lang w:val="es-ES"/>
        </w:rPr>
        <w:t>, por las características de la población, se recomendó que se llevaran a cabo las acciones necesarias para que no sean impuestas sanciones de aislamiento a los albergados en dicha casa.</w:t>
      </w:r>
    </w:p>
    <w:p w14:paraId="01B41748" w14:textId="77777777" w:rsidR="0080088D" w:rsidRPr="0080088D" w:rsidRDefault="0080088D" w:rsidP="0080088D">
      <w:pPr>
        <w:widowControl w:val="0"/>
        <w:autoSpaceDE w:val="0"/>
        <w:autoSpaceDN w:val="0"/>
        <w:spacing w:after="0" w:line="260" w:lineRule="exact"/>
        <w:jc w:val="both"/>
        <w:rPr>
          <w:rFonts w:ascii="Arial" w:eastAsia="Arial" w:hAnsi="Arial" w:cs="Arial"/>
          <w:lang w:val="es-ES"/>
        </w:rPr>
      </w:pPr>
    </w:p>
    <w:p w14:paraId="74EDD8B4" w14:textId="77777777" w:rsidR="0080088D" w:rsidRPr="0080088D" w:rsidRDefault="0080088D" w:rsidP="0080088D">
      <w:pPr>
        <w:widowControl w:val="0"/>
        <w:autoSpaceDE w:val="0"/>
        <w:autoSpaceDN w:val="0"/>
        <w:spacing w:after="0" w:line="260" w:lineRule="exact"/>
        <w:jc w:val="both"/>
        <w:rPr>
          <w:rFonts w:ascii="Arial" w:eastAsia="Arial" w:hAnsi="Arial" w:cs="Arial"/>
          <w:b/>
          <w:bCs/>
          <w:i/>
          <w:iCs/>
          <w:lang w:val="es-ES"/>
        </w:rPr>
      </w:pPr>
      <w:r w:rsidRPr="0080088D">
        <w:rPr>
          <w:rFonts w:ascii="Arial" w:eastAsia="Arial" w:hAnsi="Arial" w:cs="Arial"/>
          <w:b/>
          <w:bCs/>
          <w:i/>
          <w:lang w:val="es-ES"/>
        </w:rPr>
        <w:t xml:space="preserve">c) </w:t>
      </w:r>
      <w:r w:rsidRPr="0080088D">
        <w:rPr>
          <w:rFonts w:ascii="Arial" w:eastAsia="Arial" w:hAnsi="Arial" w:cs="Arial"/>
          <w:b/>
          <w:bCs/>
          <w:i/>
          <w:iCs/>
          <w:lang w:val="es-ES"/>
        </w:rPr>
        <w:t xml:space="preserve">Velar por que las condiciones de vida generales (…), incluidas la iluminación, ventilación, climatización, saneamiento, nutrición y el agua potable se les reconozca a todos los reclusos. </w:t>
      </w:r>
    </w:p>
    <w:p w14:paraId="639F7065" w14:textId="77777777" w:rsidR="0080088D" w:rsidRPr="0080088D" w:rsidRDefault="0080088D" w:rsidP="0080088D">
      <w:pPr>
        <w:widowControl w:val="0"/>
        <w:autoSpaceDE w:val="0"/>
        <w:autoSpaceDN w:val="0"/>
        <w:spacing w:after="0" w:line="260" w:lineRule="exact"/>
        <w:jc w:val="both"/>
        <w:rPr>
          <w:rFonts w:ascii="Arial" w:eastAsia="Arial" w:hAnsi="Arial" w:cs="Arial"/>
          <w:lang w:val="es-ES"/>
        </w:rPr>
      </w:pPr>
    </w:p>
    <w:p w14:paraId="3997BF62" w14:textId="77777777" w:rsidR="00ED0176" w:rsidRPr="0080088D" w:rsidRDefault="00ED0176" w:rsidP="00ED0176">
      <w:pPr>
        <w:widowControl w:val="0"/>
        <w:autoSpaceDE w:val="0"/>
        <w:autoSpaceDN w:val="0"/>
        <w:spacing w:after="0" w:line="260" w:lineRule="exact"/>
        <w:jc w:val="both"/>
        <w:rPr>
          <w:rFonts w:ascii="Arial" w:eastAsia="Arial" w:hAnsi="Arial" w:cs="Arial"/>
          <w:b/>
          <w:bCs/>
          <w:lang w:val="es-ES"/>
        </w:rPr>
      </w:pPr>
      <w:r w:rsidRPr="00ED0176">
        <w:rPr>
          <w:rFonts w:ascii="Arial" w:eastAsia="Arial" w:hAnsi="Arial" w:cs="Arial"/>
          <w:b/>
          <w:bCs/>
          <w:lang w:val="es-ES"/>
        </w:rPr>
        <w:t>Acciones del Mecanismo Nacional de Prevención de la Tortura</w:t>
      </w:r>
    </w:p>
    <w:p w14:paraId="38ED6E5D" w14:textId="07AFC386" w:rsidR="00ED0176" w:rsidRDefault="00ED0176" w:rsidP="0080088D">
      <w:pPr>
        <w:widowControl w:val="0"/>
        <w:autoSpaceDE w:val="0"/>
        <w:autoSpaceDN w:val="0"/>
        <w:spacing w:after="0" w:line="260" w:lineRule="exact"/>
        <w:jc w:val="both"/>
        <w:rPr>
          <w:rFonts w:ascii="Arial" w:eastAsia="Arial" w:hAnsi="Arial" w:cs="Arial"/>
          <w:lang w:val="es-ES"/>
        </w:rPr>
      </w:pPr>
    </w:p>
    <w:p w14:paraId="76A7BEF6" w14:textId="6E22679A" w:rsidR="0080088D" w:rsidRPr="0080088D" w:rsidRDefault="0080088D" w:rsidP="0080088D">
      <w:pPr>
        <w:widowControl w:val="0"/>
        <w:autoSpaceDE w:val="0"/>
        <w:autoSpaceDN w:val="0"/>
        <w:spacing w:after="0" w:line="260" w:lineRule="exact"/>
        <w:jc w:val="both"/>
        <w:rPr>
          <w:rFonts w:ascii="Arial" w:eastAsia="Arial" w:hAnsi="Arial" w:cs="Arial"/>
          <w:lang w:val="es-ES"/>
        </w:rPr>
      </w:pPr>
      <w:r w:rsidRPr="0080088D">
        <w:rPr>
          <w:rFonts w:ascii="Arial" w:eastAsia="Arial" w:hAnsi="Arial" w:cs="Arial"/>
          <w:lang w:val="es-ES"/>
        </w:rPr>
        <w:t>El MNPT, a través de sus informes, ha recomendado a diversas autoridades, que deben realizar el máximo de los esfuerzos para destinar recursos económicos con el objetivo de garantizar que todos los centros penitenciarios reúnan las condiciones de habitabilidad necesarias que asegure a las personas privadas de la libertad una estancia digna y segura, particularmente para que cuenten con instalaciones en adecuadas condiciones de funcionamiento, así como con el mantenimiento preventivo y correctivo necesario, incluidas las iluminación y ventilación. Asimismo, asegurar y garantizar el derecho de las personas privadas de la libertad, a contar con agua potable, que permita su consumo, así como para su aseo personal, así como a recibir alimentación adecuada, cuyo valor nutritivo sea suficiente para el mantenimiento de su salud, que cubra sus necesidades, tres veces al día y en un horario establecido.</w:t>
      </w:r>
    </w:p>
    <w:p w14:paraId="1C55CF44" w14:textId="77777777" w:rsidR="0080088D" w:rsidRPr="0080088D" w:rsidRDefault="0080088D" w:rsidP="0080088D">
      <w:pPr>
        <w:widowControl w:val="0"/>
        <w:autoSpaceDE w:val="0"/>
        <w:autoSpaceDN w:val="0"/>
        <w:spacing w:after="0" w:line="260" w:lineRule="exact"/>
        <w:jc w:val="both"/>
        <w:rPr>
          <w:rFonts w:ascii="Arial" w:eastAsia="Arial" w:hAnsi="Arial" w:cs="Arial"/>
          <w:lang w:val="es-ES"/>
        </w:rPr>
      </w:pPr>
    </w:p>
    <w:p w14:paraId="4952171B" w14:textId="77777777" w:rsidR="00ED0176" w:rsidRDefault="00ED0176" w:rsidP="0080088D">
      <w:pPr>
        <w:widowControl w:val="0"/>
        <w:autoSpaceDE w:val="0"/>
        <w:autoSpaceDN w:val="0"/>
        <w:spacing w:after="0" w:line="260" w:lineRule="exact"/>
        <w:jc w:val="both"/>
        <w:rPr>
          <w:rFonts w:ascii="Arial" w:eastAsia="Arial" w:hAnsi="Arial" w:cs="Arial"/>
          <w:b/>
          <w:bCs/>
          <w:lang w:val="es-ES"/>
        </w:rPr>
      </w:pPr>
    </w:p>
    <w:p w14:paraId="22FD2CC3" w14:textId="0D95DD29" w:rsidR="0080088D" w:rsidRPr="0080088D" w:rsidRDefault="0080088D" w:rsidP="0080088D">
      <w:pPr>
        <w:widowControl w:val="0"/>
        <w:autoSpaceDE w:val="0"/>
        <w:autoSpaceDN w:val="0"/>
        <w:spacing w:after="0" w:line="260" w:lineRule="exact"/>
        <w:jc w:val="both"/>
        <w:rPr>
          <w:rFonts w:ascii="Arial" w:eastAsia="Arial" w:hAnsi="Arial" w:cs="Arial"/>
          <w:b/>
          <w:bCs/>
          <w:lang w:val="es-ES"/>
        </w:rPr>
      </w:pPr>
      <w:r w:rsidRPr="0080088D">
        <w:rPr>
          <w:rFonts w:ascii="Arial" w:eastAsia="Arial" w:hAnsi="Arial" w:cs="Arial"/>
          <w:b/>
          <w:bCs/>
          <w:lang w:val="es-ES"/>
        </w:rPr>
        <w:t>42. El Comité urge al Estado parte a:</w:t>
      </w:r>
    </w:p>
    <w:p w14:paraId="65AAEC23" w14:textId="77777777" w:rsidR="0080088D" w:rsidRPr="0080088D" w:rsidRDefault="0080088D" w:rsidP="0080088D">
      <w:pPr>
        <w:spacing w:after="0" w:line="260" w:lineRule="exact"/>
        <w:jc w:val="both"/>
        <w:rPr>
          <w:rFonts w:ascii="Arial" w:eastAsia="Arial" w:hAnsi="Arial" w:cs="Arial"/>
          <w:b/>
          <w:bCs/>
          <w:i/>
          <w:iCs/>
          <w:lang w:val="es-ES"/>
        </w:rPr>
      </w:pPr>
      <w:r w:rsidRPr="0080088D">
        <w:rPr>
          <w:rFonts w:ascii="Arial" w:eastAsia="Arial" w:hAnsi="Arial" w:cs="Arial"/>
          <w:b/>
          <w:bCs/>
          <w:i/>
          <w:iCs/>
          <w:lang w:val="es-ES"/>
        </w:rPr>
        <w:lastRenderedPageBreak/>
        <w:t>a) Asegurar que todos los casos de muerte durante la privación de libertad sean investigados con prontitud y de forma imparcial por un órgano independiente, teniendo debidamente en cuenta el Protocolo de Minnesota sobre la Investigación de Muertes Potencialmente Ilícitas;</w:t>
      </w:r>
    </w:p>
    <w:p w14:paraId="6931D680" w14:textId="77777777" w:rsidR="0080088D" w:rsidRPr="0080088D" w:rsidRDefault="0080088D" w:rsidP="0080088D">
      <w:pPr>
        <w:spacing w:after="0" w:line="260" w:lineRule="exact"/>
        <w:jc w:val="both"/>
        <w:rPr>
          <w:rFonts w:ascii="Arial" w:eastAsia="Arial" w:hAnsi="Arial" w:cs="Arial"/>
          <w:b/>
          <w:bCs/>
          <w:i/>
          <w:iCs/>
          <w:lang w:val="es-ES"/>
        </w:rPr>
      </w:pPr>
      <w:r w:rsidRPr="0080088D">
        <w:rPr>
          <w:rFonts w:ascii="Arial" w:eastAsia="Arial" w:hAnsi="Arial" w:cs="Arial"/>
          <w:b/>
          <w:bCs/>
          <w:i/>
          <w:iCs/>
          <w:lang w:val="es-ES"/>
        </w:rPr>
        <w:t>b) Investigar cualquier posible responsabilidad de los miembros de la policía y los funcionarios de prisiones en la muerte de personas en custodia, y cuando corresponda, castigar debidamente a los culpables y proporcionar una indemnización justa y adecuada a los familiares;</w:t>
      </w:r>
    </w:p>
    <w:p w14:paraId="37FED9E5" w14:textId="77777777" w:rsidR="0080088D" w:rsidRPr="0080088D" w:rsidRDefault="0080088D" w:rsidP="0080088D">
      <w:pPr>
        <w:spacing w:after="0" w:line="260" w:lineRule="exact"/>
        <w:jc w:val="both"/>
        <w:rPr>
          <w:rFonts w:ascii="Arial" w:eastAsia="Arial" w:hAnsi="Arial" w:cs="Arial"/>
          <w:i/>
          <w:iCs/>
          <w:lang w:val="es-ES"/>
        </w:rPr>
      </w:pPr>
    </w:p>
    <w:p w14:paraId="1DBECFC6" w14:textId="77777777" w:rsidR="00ED0176" w:rsidRPr="0080088D" w:rsidRDefault="00ED0176" w:rsidP="00ED0176">
      <w:pPr>
        <w:widowControl w:val="0"/>
        <w:autoSpaceDE w:val="0"/>
        <w:autoSpaceDN w:val="0"/>
        <w:spacing w:after="0" w:line="260" w:lineRule="exact"/>
        <w:jc w:val="both"/>
        <w:rPr>
          <w:rFonts w:ascii="Arial" w:eastAsia="Arial" w:hAnsi="Arial" w:cs="Arial"/>
          <w:b/>
          <w:bCs/>
          <w:lang w:val="es-ES"/>
        </w:rPr>
      </w:pPr>
      <w:bookmarkStart w:id="24" w:name="_Hlk93928675"/>
      <w:r w:rsidRPr="00ED0176">
        <w:rPr>
          <w:rFonts w:ascii="Arial" w:eastAsia="Arial" w:hAnsi="Arial" w:cs="Arial"/>
          <w:b/>
          <w:bCs/>
          <w:lang w:val="es-ES"/>
        </w:rPr>
        <w:t>Acciones del Mecanismo Nacional de Prevención de la Tortura</w:t>
      </w:r>
    </w:p>
    <w:bookmarkEnd w:id="24"/>
    <w:p w14:paraId="46FA0786" w14:textId="20502EAE" w:rsidR="0080088D" w:rsidRPr="0080088D" w:rsidRDefault="0080088D" w:rsidP="0080088D">
      <w:pPr>
        <w:spacing w:line="260" w:lineRule="exact"/>
        <w:jc w:val="both"/>
        <w:rPr>
          <w:rFonts w:ascii="Arial" w:eastAsia="Arial" w:hAnsi="Arial" w:cs="Arial"/>
          <w:lang w:val="es-ES"/>
        </w:rPr>
      </w:pPr>
      <w:r w:rsidRPr="0080088D">
        <w:rPr>
          <w:rFonts w:ascii="Arial" w:eastAsia="Arial" w:hAnsi="Arial" w:cs="Arial"/>
          <w:lang w:val="es-ES"/>
        </w:rPr>
        <w:t>Al respecto, a partir del año 2021, este Mecanismo ha dado vista a las Fiscalías y/o Procuradurías Generales de Justicia de las entidades federativas de Guanajuato, Estado de México, Puebla, San Luis Potosí, Querétaro, Guerrero y Nuevo León, por diversos casos de muerte bajo custodia, solicitando el inicio del expediente de queja e investigación penal, en particular sobre los siguientes casos:</w:t>
      </w:r>
    </w:p>
    <w:p w14:paraId="00FF77A6" w14:textId="77777777" w:rsidR="0080088D" w:rsidRPr="0080088D" w:rsidRDefault="0080088D" w:rsidP="0080088D">
      <w:pPr>
        <w:widowControl w:val="0"/>
        <w:numPr>
          <w:ilvl w:val="0"/>
          <w:numId w:val="37"/>
        </w:numPr>
        <w:autoSpaceDE w:val="0"/>
        <w:autoSpaceDN w:val="0"/>
        <w:spacing w:after="0" w:line="260" w:lineRule="exact"/>
        <w:contextualSpacing/>
        <w:jc w:val="both"/>
        <w:rPr>
          <w:rFonts w:ascii="Arial" w:eastAsia="Arial" w:hAnsi="Arial" w:cs="Arial"/>
          <w:lang w:val="es-ES"/>
        </w:rPr>
      </w:pPr>
      <w:r w:rsidRPr="0080088D">
        <w:rPr>
          <w:rFonts w:ascii="Arial" w:eastAsia="Arial" w:hAnsi="Arial" w:cs="Arial"/>
          <w:lang w:val="es-ES"/>
        </w:rPr>
        <w:t xml:space="preserve">Muerte de joven L.D.C.B. en un hospital a causa de la privación de la libertad </w:t>
      </w:r>
      <w:r w:rsidRPr="0080088D">
        <w:rPr>
          <w:rFonts w:ascii="Arial" w:eastAsia="Arial" w:hAnsi="Arial" w:cs="Arial"/>
          <w:lang w:val="es-ES"/>
        </w:rPr>
        <w:lastRenderedPageBreak/>
        <w:t>y golpes propinados por elementos de la policía municipal de Guanajuato.</w:t>
      </w:r>
    </w:p>
    <w:p w14:paraId="639DD838" w14:textId="77777777" w:rsidR="0080088D" w:rsidRPr="0080088D" w:rsidRDefault="0080088D" w:rsidP="0080088D">
      <w:pPr>
        <w:widowControl w:val="0"/>
        <w:numPr>
          <w:ilvl w:val="0"/>
          <w:numId w:val="37"/>
        </w:numPr>
        <w:autoSpaceDE w:val="0"/>
        <w:autoSpaceDN w:val="0"/>
        <w:spacing w:after="0" w:line="260" w:lineRule="exact"/>
        <w:contextualSpacing/>
        <w:jc w:val="both"/>
        <w:rPr>
          <w:rFonts w:ascii="Arial" w:eastAsia="Arial" w:hAnsi="Arial" w:cs="Arial"/>
          <w:lang w:val="es-ES"/>
        </w:rPr>
      </w:pPr>
      <w:r w:rsidRPr="0080088D">
        <w:rPr>
          <w:rFonts w:ascii="Arial" w:eastAsia="Arial" w:hAnsi="Arial" w:cs="Arial"/>
          <w:lang w:val="es-ES"/>
        </w:rPr>
        <w:t>Caso de detención arbitraria de los señores M.Á.H. V. y L.E.L., por elementos de la Policía del Estado de México y la muerte de uno de ellos, en el Centro Preventivo y de Readaptación Social "Juan Fernández Albarrán" en Tlalnepantla de Baz, Estado de México.</w:t>
      </w:r>
    </w:p>
    <w:p w14:paraId="397CD009" w14:textId="77777777" w:rsidR="0080088D" w:rsidRPr="0080088D" w:rsidRDefault="0080088D" w:rsidP="0080088D">
      <w:pPr>
        <w:widowControl w:val="0"/>
        <w:numPr>
          <w:ilvl w:val="0"/>
          <w:numId w:val="37"/>
        </w:numPr>
        <w:autoSpaceDE w:val="0"/>
        <w:autoSpaceDN w:val="0"/>
        <w:spacing w:after="0" w:line="260" w:lineRule="exact"/>
        <w:contextualSpacing/>
        <w:jc w:val="both"/>
        <w:rPr>
          <w:rFonts w:ascii="Arial" w:eastAsia="Arial" w:hAnsi="Arial" w:cs="Arial"/>
          <w:lang w:val="es-ES"/>
        </w:rPr>
      </w:pPr>
      <w:r w:rsidRPr="0080088D">
        <w:rPr>
          <w:rFonts w:ascii="Arial" w:eastAsia="Arial" w:hAnsi="Arial" w:cs="Arial"/>
          <w:lang w:val="es-ES"/>
        </w:rPr>
        <w:t>Solicitud de inicio de carpeta de investigación y de queja por la presunta muerte de una persona en un centro de rehabilitación para el tratamiento de adicciones.</w:t>
      </w:r>
    </w:p>
    <w:p w14:paraId="0445B999" w14:textId="77777777" w:rsidR="0080088D" w:rsidRPr="0080088D" w:rsidRDefault="0080088D" w:rsidP="0080088D">
      <w:pPr>
        <w:widowControl w:val="0"/>
        <w:numPr>
          <w:ilvl w:val="0"/>
          <w:numId w:val="37"/>
        </w:numPr>
        <w:autoSpaceDE w:val="0"/>
        <w:autoSpaceDN w:val="0"/>
        <w:spacing w:after="0" w:line="260" w:lineRule="exact"/>
        <w:contextualSpacing/>
        <w:jc w:val="both"/>
        <w:rPr>
          <w:rFonts w:ascii="Arial" w:eastAsia="Arial" w:hAnsi="Arial" w:cs="Arial"/>
          <w:lang w:val="es-ES"/>
        </w:rPr>
      </w:pPr>
      <w:r w:rsidRPr="0080088D">
        <w:rPr>
          <w:rFonts w:ascii="Arial" w:eastAsia="Arial" w:hAnsi="Arial" w:cs="Arial"/>
          <w:lang w:val="es-ES"/>
        </w:rPr>
        <w:t>Solicitud de inicio de carpeta de investigación y de queja por la muerte de dos personas en un centro de rehabilitación para el tratamiento de adicciones.</w:t>
      </w:r>
    </w:p>
    <w:p w14:paraId="01EDCB46" w14:textId="77777777" w:rsidR="0080088D" w:rsidRPr="0080088D" w:rsidRDefault="0080088D" w:rsidP="0080088D">
      <w:pPr>
        <w:widowControl w:val="0"/>
        <w:numPr>
          <w:ilvl w:val="0"/>
          <w:numId w:val="37"/>
        </w:numPr>
        <w:autoSpaceDE w:val="0"/>
        <w:autoSpaceDN w:val="0"/>
        <w:spacing w:after="0" w:line="260" w:lineRule="exact"/>
        <w:contextualSpacing/>
        <w:jc w:val="both"/>
        <w:rPr>
          <w:rFonts w:ascii="Arial" w:eastAsia="Arial" w:hAnsi="Arial" w:cs="Arial"/>
          <w:lang w:val="es-ES"/>
        </w:rPr>
      </w:pPr>
      <w:r w:rsidRPr="0080088D">
        <w:rPr>
          <w:rFonts w:ascii="Arial" w:eastAsia="Arial" w:hAnsi="Arial" w:cs="Arial"/>
          <w:lang w:val="es-ES"/>
        </w:rPr>
        <w:t>Solicitud de inicio de carpeta de investigación y queja por la presunta muerte de la persona con nombre J.L. en un centro de rehabilitación para el tratamiento de adicciones en San Juan Huilulco en el municipio de Huaquechula.</w:t>
      </w:r>
    </w:p>
    <w:p w14:paraId="1A9BE1BF" w14:textId="77777777" w:rsidR="0080088D" w:rsidRPr="0080088D" w:rsidRDefault="0080088D" w:rsidP="0080088D">
      <w:pPr>
        <w:widowControl w:val="0"/>
        <w:numPr>
          <w:ilvl w:val="0"/>
          <w:numId w:val="37"/>
        </w:numPr>
        <w:autoSpaceDE w:val="0"/>
        <w:autoSpaceDN w:val="0"/>
        <w:spacing w:after="0" w:line="260" w:lineRule="exact"/>
        <w:contextualSpacing/>
        <w:jc w:val="both"/>
        <w:rPr>
          <w:rFonts w:ascii="Arial" w:eastAsia="Arial" w:hAnsi="Arial" w:cs="Arial"/>
          <w:lang w:val="es-ES"/>
        </w:rPr>
      </w:pPr>
      <w:r w:rsidRPr="0080088D">
        <w:rPr>
          <w:rFonts w:ascii="Arial" w:eastAsia="Arial" w:hAnsi="Arial" w:cs="Arial"/>
          <w:lang w:val="es-ES"/>
        </w:rPr>
        <w:t>Solicitud de inicio de carpeta de investigación por la presunta muerte de una mujer privada de la libertad en el Centro de Reinserción Social “La Pila”.</w:t>
      </w:r>
    </w:p>
    <w:p w14:paraId="69302165" w14:textId="77777777" w:rsidR="0080088D" w:rsidRPr="0080088D" w:rsidRDefault="0080088D" w:rsidP="0080088D">
      <w:pPr>
        <w:widowControl w:val="0"/>
        <w:numPr>
          <w:ilvl w:val="0"/>
          <w:numId w:val="37"/>
        </w:numPr>
        <w:autoSpaceDE w:val="0"/>
        <w:autoSpaceDN w:val="0"/>
        <w:spacing w:after="0" w:line="260" w:lineRule="exact"/>
        <w:contextualSpacing/>
        <w:jc w:val="both"/>
        <w:rPr>
          <w:rFonts w:ascii="Arial" w:eastAsia="Arial" w:hAnsi="Arial" w:cs="Arial"/>
          <w:lang w:val="es-ES"/>
        </w:rPr>
      </w:pPr>
      <w:r w:rsidRPr="0080088D">
        <w:rPr>
          <w:rFonts w:ascii="Arial" w:eastAsia="Arial" w:hAnsi="Arial" w:cs="Arial"/>
          <w:lang w:val="es-ES"/>
        </w:rPr>
        <w:t xml:space="preserve">Solicitud de inicio de queja y carpeta de investigación por la muerte de una </w:t>
      </w:r>
      <w:r w:rsidRPr="0080088D">
        <w:rPr>
          <w:rFonts w:ascii="Arial" w:eastAsia="Arial" w:hAnsi="Arial" w:cs="Arial"/>
          <w:lang w:val="es-ES"/>
        </w:rPr>
        <w:lastRenderedPageBreak/>
        <w:t>joven en un anexo de San Juan del Rio presuntamente golpeada por los encargados.</w:t>
      </w:r>
    </w:p>
    <w:p w14:paraId="767E1BB2" w14:textId="77777777" w:rsidR="0080088D" w:rsidRPr="0080088D" w:rsidRDefault="0080088D" w:rsidP="0080088D">
      <w:pPr>
        <w:widowControl w:val="0"/>
        <w:numPr>
          <w:ilvl w:val="0"/>
          <w:numId w:val="37"/>
        </w:numPr>
        <w:autoSpaceDE w:val="0"/>
        <w:autoSpaceDN w:val="0"/>
        <w:spacing w:after="0" w:line="260" w:lineRule="exact"/>
        <w:contextualSpacing/>
        <w:jc w:val="both"/>
        <w:rPr>
          <w:rFonts w:ascii="Arial" w:eastAsia="Arial" w:hAnsi="Arial" w:cs="Arial"/>
          <w:lang w:val="es-ES"/>
        </w:rPr>
      </w:pPr>
      <w:r w:rsidRPr="0080088D">
        <w:rPr>
          <w:rFonts w:ascii="Arial" w:eastAsia="Arial" w:hAnsi="Arial" w:cs="Arial"/>
          <w:lang w:val="es-ES"/>
        </w:rPr>
        <w:t>Homicidio de C.M.P.F. y lesiones a dos personas, presuntamente cometido por parte de elementos de la Policía Municipal de tlapa, Guerrero.</w:t>
      </w:r>
    </w:p>
    <w:p w14:paraId="5EF96D1B" w14:textId="77777777" w:rsidR="0080088D" w:rsidRPr="0080088D" w:rsidRDefault="0080088D" w:rsidP="0080088D">
      <w:pPr>
        <w:widowControl w:val="0"/>
        <w:numPr>
          <w:ilvl w:val="0"/>
          <w:numId w:val="37"/>
        </w:numPr>
        <w:autoSpaceDE w:val="0"/>
        <w:autoSpaceDN w:val="0"/>
        <w:spacing w:after="0" w:line="260" w:lineRule="exact"/>
        <w:contextualSpacing/>
        <w:jc w:val="both"/>
        <w:rPr>
          <w:rFonts w:ascii="Arial" w:eastAsia="Arial" w:hAnsi="Arial" w:cs="Arial"/>
          <w:lang w:val="es-ES"/>
        </w:rPr>
      </w:pPr>
      <w:r w:rsidRPr="0080088D">
        <w:rPr>
          <w:rFonts w:ascii="Arial" w:eastAsia="Arial" w:hAnsi="Arial" w:cs="Arial"/>
          <w:lang w:val="es-ES"/>
        </w:rPr>
        <w:t>Solicitud de inicio de carpeta de investigación y queja por el presunto homicidio de un joven en un centro de rehabilitación para el tratamiento de adicciones</w:t>
      </w:r>
    </w:p>
    <w:p w14:paraId="21DB7EF3" w14:textId="77777777" w:rsidR="0080088D" w:rsidRPr="0080088D" w:rsidRDefault="0080088D" w:rsidP="0080088D">
      <w:pPr>
        <w:spacing w:line="260" w:lineRule="exact"/>
        <w:jc w:val="both"/>
        <w:rPr>
          <w:rFonts w:ascii="Arial" w:eastAsia="Arial" w:hAnsi="Arial" w:cs="Arial"/>
          <w:lang w:val="es-ES"/>
        </w:rPr>
      </w:pPr>
      <w:r w:rsidRPr="0080088D">
        <w:rPr>
          <w:rFonts w:ascii="Arial" w:eastAsia="Arial" w:hAnsi="Arial" w:cs="Arial"/>
          <w:lang w:val="es-ES"/>
        </w:rPr>
        <w:t>c</w:t>
      </w:r>
      <w:r w:rsidRPr="0080088D">
        <w:rPr>
          <w:rFonts w:ascii="Arial" w:eastAsia="Arial" w:hAnsi="Arial" w:cs="Arial"/>
          <w:i/>
          <w:lang w:val="es-ES"/>
        </w:rPr>
        <w:t>) Garantizar la seguridad de las cárceles mediante la adecuada formación de los funcionarios de prisiones y potenciar las medidas para prevenir y reducir la violencia entre personas privadas de la libertad, en particular mediante la institución de estrategias adecuadas de prevención que permitan vigilar y documentar los incidentes de este tipo con miras a investigar todas las denuncias y velar por que todos los responsables rindan cuentas</w:t>
      </w:r>
      <w:r w:rsidRPr="0080088D">
        <w:rPr>
          <w:rFonts w:ascii="Arial" w:eastAsia="Arial" w:hAnsi="Arial" w:cs="Arial"/>
          <w:lang w:val="es-ES"/>
        </w:rPr>
        <w:t>.</w:t>
      </w:r>
    </w:p>
    <w:p w14:paraId="7CA1F775" w14:textId="77777777" w:rsidR="0080088D" w:rsidRPr="0080088D" w:rsidRDefault="0080088D" w:rsidP="0080088D">
      <w:pPr>
        <w:widowControl w:val="0"/>
        <w:autoSpaceDE w:val="0"/>
        <w:autoSpaceDN w:val="0"/>
        <w:spacing w:after="0" w:line="260" w:lineRule="exact"/>
        <w:jc w:val="both"/>
        <w:rPr>
          <w:rFonts w:ascii="Arial" w:eastAsia="Arial" w:hAnsi="Arial" w:cs="Arial"/>
          <w:lang w:val="es-ES"/>
        </w:rPr>
      </w:pPr>
      <w:r w:rsidRPr="0080088D">
        <w:rPr>
          <w:rFonts w:ascii="Arial" w:eastAsia="Arial" w:hAnsi="Arial" w:cs="Arial"/>
          <w:lang w:val="es-ES"/>
        </w:rPr>
        <w:t>Sobre este tema, en el año 2020, en el informe de supervisión ISP-09/2020 dirigido a Centros de Reinserción Social, el MNPT recomienda a las autoridades:</w:t>
      </w:r>
    </w:p>
    <w:p w14:paraId="6C9F32C5" w14:textId="77777777" w:rsidR="0080088D" w:rsidRPr="0080088D" w:rsidRDefault="0080088D" w:rsidP="0080088D">
      <w:pPr>
        <w:widowControl w:val="0"/>
        <w:autoSpaceDE w:val="0"/>
        <w:autoSpaceDN w:val="0"/>
        <w:spacing w:after="0" w:line="260" w:lineRule="exact"/>
        <w:jc w:val="both"/>
        <w:rPr>
          <w:rFonts w:ascii="Arial" w:eastAsia="Arial" w:hAnsi="Arial" w:cs="Arial"/>
          <w:lang w:val="es-ES"/>
        </w:rPr>
      </w:pPr>
    </w:p>
    <w:p w14:paraId="326BA5BB" w14:textId="7115B0BB" w:rsidR="0080088D" w:rsidRDefault="0080088D" w:rsidP="0080088D">
      <w:pPr>
        <w:widowControl w:val="0"/>
        <w:numPr>
          <w:ilvl w:val="0"/>
          <w:numId w:val="35"/>
        </w:numPr>
        <w:autoSpaceDE w:val="0"/>
        <w:autoSpaceDN w:val="0"/>
        <w:spacing w:after="0" w:line="260" w:lineRule="exact"/>
        <w:contextualSpacing/>
        <w:jc w:val="both"/>
        <w:rPr>
          <w:rFonts w:ascii="Arial" w:eastAsia="Arial" w:hAnsi="Arial" w:cs="Arial"/>
          <w:lang w:val="es-ES"/>
        </w:rPr>
      </w:pPr>
      <w:r w:rsidRPr="0080088D">
        <w:rPr>
          <w:rFonts w:ascii="Arial" w:eastAsia="Arial" w:hAnsi="Arial" w:cs="Arial"/>
          <w:bCs/>
          <w:iCs/>
          <w:lang w:val="es-ES"/>
        </w:rPr>
        <w:lastRenderedPageBreak/>
        <w:t>A</w:t>
      </w:r>
      <w:r w:rsidRPr="0080088D">
        <w:rPr>
          <w:rFonts w:ascii="Arial" w:eastAsia="Arial" w:hAnsi="Arial" w:cs="Arial"/>
          <w:lang w:val="es-ES"/>
        </w:rPr>
        <w:t xml:space="preserve"> fin de prevenir conductas que puedan constituir tortura o maltrato en agravio de las personas privadas de la libertad en los lugares mencionados, deberán realizar las acciones necesarias para implementar programas de capacitación, no sólo sobre prevención de la tortura y otros tratos o penas crueles, inhumanos o degradantes, que contemplen los temas del uso racional de la fuerza y manejo de conflictos, sino capacitación e información sobre medidas preventivas y de actuación sobre la pandemia por COVID-19. </w:t>
      </w:r>
    </w:p>
    <w:p w14:paraId="6829EEDE" w14:textId="77777777" w:rsidR="00ED0176" w:rsidRPr="0080088D" w:rsidRDefault="00ED0176" w:rsidP="00ED0176">
      <w:pPr>
        <w:widowControl w:val="0"/>
        <w:autoSpaceDE w:val="0"/>
        <w:autoSpaceDN w:val="0"/>
        <w:spacing w:after="0" w:line="260" w:lineRule="exact"/>
        <w:ind w:left="720"/>
        <w:contextualSpacing/>
        <w:jc w:val="both"/>
        <w:rPr>
          <w:rFonts w:ascii="Arial" w:eastAsia="Arial" w:hAnsi="Arial" w:cs="Arial"/>
          <w:lang w:val="es-ES"/>
        </w:rPr>
      </w:pPr>
    </w:p>
    <w:p w14:paraId="66C1BBA4" w14:textId="77777777" w:rsidR="0080088D" w:rsidRPr="0080088D" w:rsidRDefault="0080088D" w:rsidP="0080088D">
      <w:pPr>
        <w:widowControl w:val="0"/>
        <w:autoSpaceDE w:val="0"/>
        <w:autoSpaceDN w:val="0"/>
        <w:spacing w:after="0" w:line="260" w:lineRule="exact"/>
        <w:jc w:val="both"/>
        <w:rPr>
          <w:rFonts w:ascii="Arial" w:eastAsia="Arial" w:hAnsi="Arial" w:cs="Arial"/>
          <w:lang w:val="es-ES"/>
        </w:rPr>
      </w:pPr>
      <w:r w:rsidRPr="0080088D">
        <w:rPr>
          <w:rFonts w:ascii="Arial" w:eastAsia="Arial" w:hAnsi="Arial" w:cs="Arial"/>
          <w:lang w:val="es-ES"/>
        </w:rPr>
        <w:t>Asimismo, para el año 2021, en los informes de supervisión sobre separos municipales de Guanajuato, Puebla, Coahuila y Yucatán; además del Informe Especial relacionado con las visitas de supervisión al Centro Federal de Readaptación Social número 14, “CPS-Durango”, Gómez Palacio, Durango, se realizaron las recomendaciones siguientes:</w:t>
      </w:r>
    </w:p>
    <w:p w14:paraId="31487213" w14:textId="77777777" w:rsidR="0080088D" w:rsidRPr="0080088D" w:rsidRDefault="0080088D" w:rsidP="0080088D">
      <w:pPr>
        <w:widowControl w:val="0"/>
        <w:autoSpaceDE w:val="0"/>
        <w:autoSpaceDN w:val="0"/>
        <w:spacing w:after="0" w:line="260" w:lineRule="exact"/>
        <w:jc w:val="both"/>
        <w:rPr>
          <w:rFonts w:ascii="Arial" w:eastAsia="Arial" w:hAnsi="Arial" w:cs="Arial"/>
          <w:lang w:val="es-ES"/>
        </w:rPr>
      </w:pPr>
    </w:p>
    <w:p w14:paraId="434D012B" w14:textId="77777777" w:rsidR="0080088D" w:rsidRPr="0080088D" w:rsidRDefault="0080088D" w:rsidP="0080088D">
      <w:pPr>
        <w:widowControl w:val="0"/>
        <w:numPr>
          <w:ilvl w:val="0"/>
          <w:numId w:val="34"/>
        </w:numPr>
        <w:autoSpaceDE w:val="0"/>
        <w:autoSpaceDN w:val="0"/>
        <w:spacing w:after="0" w:line="260" w:lineRule="exact"/>
        <w:ind w:left="709" w:hanging="425"/>
        <w:contextualSpacing/>
        <w:jc w:val="both"/>
        <w:rPr>
          <w:rFonts w:ascii="Arial" w:eastAsia="Arial" w:hAnsi="Arial" w:cs="Arial"/>
          <w:lang w:val="es-ES"/>
        </w:rPr>
      </w:pPr>
      <w:r w:rsidRPr="0080088D">
        <w:rPr>
          <w:rFonts w:ascii="Arial" w:eastAsia="Arial" w:hAnsi="Arial" w:cs="Arial"/>
          <w:lang w:val="es-ES"/>
        </w:rPr>
        <w:t xml:space="preserve">Contar con programas de capacitación continua específicamente para la prevención de la tortura en operativos realizados al interior de Centros Federales de </w:t>
      </w:r>
      <w:r w:rsidRPr="0080088D">
        <w:rPr>
          <w:rFonts w:ascii="Arial" w:eastAsia="Arial" w:hAnsi="Arial" w:cs="Arial"/>
          <w:lang w:val="es-ES"/>
        </w:rPr>
        <w:lastRenderedPageBreak/>
        <w:t>Readaptación Social.</w:t>
      </w:r>
    </w:p>
    <w:p w14:paraId="7C32A649" w14:textId="77777777" w:rsidR="0080088D" w:rsidRPr="0080088D" w:rsidRDefault="0080088D" w:rsidP="0080088D">
      <w:pPr>
        <w:widowControl w:val="0"/>
        <w:numPr>
          <w:ilvl w:val="0"/>
          <w:numId w:val="34"/>
        </w:numPr>
        <w:autoSpaceDE w:val="0"/>
        <w:autoSpaceDN w:val="0"/>
        <w:spacing w:after="0" w:line="260" w:lineRule="exact"/>
        <w:ind w:left="709" w:hanging="425"/>
        <w:contextualSpacing/>
        <w:jc w:val="both"/>
        <w:rPr>
          <w:rFonts w:ascii="Arial" w:eastAsia="Arial" w:hAnsi="Arial" w:cs="Arial"/>
          <w:lang w:val="es-ES"/>
        </w:rPr>
      </w:pPr>
      <w:r w:rsidRPr="0080088D">
        <w:rPr>
          <w:rFonts w:ascii="Arial" w:eastAsia="Arial" w:hAnsi="Arial" w:cs="Arial"/>
          <w:lang w:val="es-ES"/>
        </w:rPr>
        <w:t>Establecer como parte del protocolo de actuación ante cualquier incidente, la denuncia penal ante</w:t>
      </w:r>
      <w:r w:rsidRPr="0080088D">
        <w:rPr>
          <w:rFonts w:ascii="Arial" w:eastAsia="Arial" w:hAnsi="Arial" w:cs="Arial"/>
          <w:b/>
          <w:i/>
          <w:lang w:val="es-ES"/>
        </w:rPr>
        <w:t xml:space="preserve"> </w:t>
      </w:r>
      <w:r w:rsidRPr="0080088D">
        <w:rPr>
          <w:rFonts w:ascii="Arial" w:eastAsia="Arial" w:hAnsi="Arial" w:cs="Arial"/>
          <w:lang w:val="es-ES"/>
        </w:rPr>
        <w:t>la probable comisión de delitos.</w:t>
      </w:r>
    </w:p>
    <w:p w14:paraId="3E222C4A" w14:textId="77777777" w:rsidR="0080088D" w:rsidRPr="0080088D" w:rsidRDefault="0080088D" w:rsidP="0080088D">
      <w:pPr>
        <w:widowControl w:val="0"/>
        <w:numPr>
          <w:ilvl w:val="0"/>
          <w:numId w:val="36"/>
        </w:numPr>
        <w:autoSpaceDE w:val="0"/>
        <w:autoSpaceDN w:val="0"/>
        <w:spacing w:after="0" w:line="260" w:lineRule="exact"/>
        <w:contextualSpacing/>
        <w:jc w:val="both"/>
        <w:rPr>
          <w:rFonts w:ascii="Arial" w:eastAsia="Arial" w:hAnsi="Arial" w:cs="Arial"/>
          <w:lang w:val="es-ES"/>
        </w:rPr>
      </w:pPr>
      <w:r w:rsidRPr="0080088D">
        <w:rPr>
          <w:rFonts w:ascii="Arial" w:eastAsia="Arial" w:hAnsi="Arial" w:cs="Arial"/>
          <w:bCs/>
          <w:iCs/>
          <w:lang w:val="es-ES"/>
        </w:rPr>
        <w:t>Realizar</w:t>
      </w:r>
      <w:r w:rsidRPr="0080088D">
        <w:rPr>
          <w:rFonts w:ascii="Arial" w:eastAsia="Arial" w:hAnsi="Arial" w:cs="Arial"/>
          <w:lang w:val="es-ES"/>
        </w:rPr>
        <w:t xml:space="preserve"> las gestiones necesarias para que se implementen programas que tengan como finalidad prevenir y, en su caso, atender oportunamente situaciones de peligro, emergencia o eventos violentos.</w:t>
      </w:r>
    </w:p>
    <w:p w14:paraId="23F345B4" w14:textId="77777777" w:rsidR="00ED0176" w:rsidRDefault="00ED0176" w:rsidP="0080088D">
      <w:pPr>
        <w:widowControl w:val="0"/>
        <w:autoSpaceDE w:val="0"/>
        <w:autoSpaceDN w:val="0"/>
        <w:spacing w:after="0" w:line="260" w:lineRule="exact"/>
        <w:jc w:val="both"/>
        <w:rPr>
          <w:rFonts w:ascii="Arial" w:eastAsia="Arial" w:hAnsi="Arial" w:cs="Arial"/>
          <w:b/>
          <w:bCs/>
          <w:i/>
          <w:iCs/>
          <w:lang w:val="es-ES"/>
        </w:rPr>
      </w:pPr>
    </w:p>
    <w:p w14:paraId="4009F0C5" w14:textId="2BBD9B15" w:rsidR="0080088D" w:rsidRPr="0080088D" w:rsidRDefault="0080088D" w:rsidP="0080088D">
      <w:pPr>
        <w:widowControl w:val="0"/>
        <w:autoSpaceDE w:val="0"/>
        <w:autoSpaceDN w:val="0"/>
        <w:spacing w:after="0" w:line="260" w:lineRule="exact"/>
        <w:jc w:val="both"/>
        <w:rPr>
          <w:rFonts w:ascii="Arial" w:eastAsia="Arial" w:hAnsi="Arial" w:cs="Arial"/>
          <w:b/>
          <w:bCs/>
          <w:i/>
          <w:iCs/>
          <w:lang w:val="es-ES"/>
        </w:rPr>
      </w:pPr>
      <w:r w:rsidRPr="0080088D">
        <w:rPr>
          <w:rFonts w:ascii="Arial" w:eastAsia="Arial" w:hAnsi="Arial" w:cs="Arial"/>
          <w:b/>
          <w:bCs/>
          <w:i/>
          <w:iCs/>
          <w:lang w:val="es-ES"/>
        </w:rPr>
        <w:t>d) Garantizar la asignación de recursos humanos y materiales necesarios para la correcta atención médica y sanitaria de los reclusos.</w:t>
      </w:r>
    </w:p>
    <w:p w14:paraId="58667FE5" w14:textId="2207387F" w:rsidR="0080088D" w:rsidRDefault="0080088D" w:rsidP="0080088D">
      <w:pPr>
        <w:widowControl w:val="0"/>
        <w:autoSpaceDE w:val="0"/>
        <w:autoSpaceDN w:val="0"/>
        <w:spacing w:after="0" w:line="260" w:lineRule="exact"/>
        <w:jc w:val="both"/>
        <w:rPr>
          <w:rFonts w:ascii="Arial" w:eastAsia="Arial" w:hAnsi="Arial" w:cs="Arial"/>
          <w:lang w:val="es-ES"/>
        </w:rPr>
      </w:pPr>
    </w:p>
    <w:p w14:paraId="0A0F260C" w14:textId="3FD8A64C" w:rsidR="00ED0176" w:rsidRPr="0080088D" w:rsidRDefault="00ED0176" w:rsidP="0080088D">
      <w:pPr>
        <w:widowControl w:val="0"/>
        <w:autoSpaceDE w:val="0"/>
        <w:autoSpaceDN w:val="0"/>
        <w:spacing w:after="0" w:line="260" w:lineRule="exact"/>
        <w:jc w:val="both"/>
        <w:rPr>
          <w:rFonts w:ascii="Arial" w:eastAsia="Arial" w:hAnsi="Arial" w:cs="Arial"/>
          <w:b/>
          <w:bCs/>
          <w:lang w:val="es-ES"/>
        </w:rPr>
      </w:pPr>
      <w:r w:rsidRPr="00ED0176">
        <w:rPr>
          <w:rFonts w:ascii="Arial" w:eastAsia="Arial" w:hAnsi="Arial" w:cs="Arial"/>
          <w:b/>
          <w:bCs/>
          <w:lang w:val="es-ES"/>
        </w:rPr>
        <w:t>Acciones del Mecanismo Nacional de Prevención de la Tortura</w:t>
      </w:r>
    </w:p>
    <w:p w14:paraId="6A42DC38" w14:textId="77777777" w:rsidR="00ED0176" w:rsidRDefault="00ED0176" w:rsidP="0080088D">
      <w:pPr>
        <w:widowControl w:val="0"/>
        <w:autoSpaceDE w:val="0"/>
        <w:autoSpaceDN w:val="0"/>
        <w:spacing w:after="0" w:line="260" w:lineRule="exact"/>
        <w:jc w:val="both"/>
        <w:rPr>
          <w:rFonts w:ascii="Arial" w:eastAsia="Arial" w:hAnsi="Arial" w:cs="Arial"/>
          <w:lang w:val="es-ES"/>
        </w:rPr>
      </w:pPr>
    </w:p>
    <w:p w14:paraId="6F455539" w14:textId="2E255BE3" w:rsidR="0080088D" w:rsidRPr="0080088D" w:rsidRDefault="0080088D" w:rsidP="0080088D">
      <w:pPr>
        <w:widowControl w:val="0"/>
        <w:autoSpaceDE w:val="0"/>
        <w:autoSpaceDN w:val="0"/>
        <w:spacing w:after="0" w:line="260" w:lineRule="exact"/>
        <w:jc w:val="both"/>
        <w:rPr>
          <w:rFonts w:ascii="Arial" w:eastAsia="Arial" w:hAnsi="Arial" w:cs="Arial"/>
          <w:lang w:val="es-ES"/>
        </w:rPr>
      </w:pPr>
      <w:r w:rsidRPr="0080088D">
        <w:rPr>
          <w:rFonts w:ascii="Arial" w:eastAsia="Arial" w:hAnsi="Arial" w:cs="Arial"/>
          <w:lang w:val="es-ES"/>
        </w:rPr>
        <w:t xml:space="preserve">En el citado </w:t>
      </w:r>
      <w:r w:rsidRPr="0080088D">
        <w:rPr>
          <w:rFonts w:ascii="Arial" w:eastAsia="Arial" w:hAnsi="Arial" w:cs="Arial"/>
          <w:i/>
          <w:iCs/>
          <w:lang w:val="es-ES"/>
        </w:rPr>
        <w:t>Informe de Supervisión ISP-09/2020</w:t>
      </w:r>
      <w:r w:rsidRPr="0080088D">
        <w:rPr>
          <w:rFonts w:ascii="Arial" w:eastAsia="Arial" w:hAnsi="Arial" w:cs="Arial"/>
          <w:lang w:val="es-ES"/>
        </w:rPr>
        <w:t xml:space="preserve">, el MNPT insta a las autoridades penitenciarias a realizar las acciones necesarias para garantizar, en todo momento, el derecho a la protección de la salud de las personas privadas de la libertad, que </w:t>
      </w:r>
      <w:r w:rsidRPr="0080088D">
        <w:rPr>
          <w:rFonts w:ascii="Arial" w:eastAsia="Arial" w:hAnsi="Arial" w:cs="Arial"/>
          <w:lang w:val="es-ES"/>
        </w:rPr>
        <w:lastRenderedPageBreak/>
        <w:t>permita proporcionar la atención médica adecuada y oportuna que requieran. Asimismo, en el contexto actual derivado de la pandemia por la COVID-19, se les recomienda asegurar que todas las personas privadas de la libertad y el personal que labora en los centros penitenciarios reciban información confiable, precisa y actualizada sobre las medidas que se están tomando, su duración y las razones por las que se están tomando, sobre todo cuando con dichas medidas trastocan o restringen el ejercicio de algún derecho que, dentro de su condición de personas privadas de la libertad les asiste, tal como lo establece el Subcomité de Prevención de la Tortura y otros Tratos o Penas Crueles, Inhumanos o Degradantes (STP), a través de las Recomendaciones que emitió el 25 de marzo del año en curso [se refiere al 2020, que fue la fecha en que se emitió el informe, como se observa al inicio del presente párrafo], con relación a la pandemia de coronavirus.</w:t>
      </w:r>
    </w:p>
    <w:p w14:paraId="51E34E29" w14:textId="77777777" w:rsidR="0080088D" w:rsidRPr="0080088D" w:rsidRDefault="0080088D" w:rsidP="0080088D">
      <w:pPr>
        <w:widowControl w:val="0"/>
        <w:autoSpaceDE w:val="0"/>
        <w:autoSpaceDN w:val="0"/>
        <w:spacing w:after="0" w:line="260" w:lineRule="exact"/>
        <w:jc w:val="both"/>
        <w:rPr>
          <w:rFonts w:ascii="Arial" w:eastAsia="Arial" w:hAnsi="Arial" w:cs="Arial"/>
          <w:lang w:val="es-ES"/>
        </w:rPr>
      </w:pPr>
    </w:p>
    <w:p w14:paraId="183A6ED0" w14:textId="77777777" w:rsidR="0080088D" w:rsidRPr="0080088D" w:rsidRDefault="0080088D" w:rsidP="0080088D">
      <w:pPr>
        <w:widowControl w:val="0"/>
        <w:autoSpaceDE w:val="0"/>
        <w:autoSpaceDN w:val="0"/>
        <w:spacing w:after="0" w:line="260" w:lineRule="exact"/>
        <w:jc w:val="both"/>
        <w:rPr>
          <w:rFonts w:ascii="Arial" w:eastAsia="Arial" w:hAnsi="Arial" w:cs="Arial"/>
          <w:b/>
          <w:bCs/>
          <w:lang w:val="es-ES"/>
        </w:rPr>
      </w:pPr>
      <w:r w:rsidRPr="0080088D">
        <w:rPr>
          <w:rFonts w:ascii="Arial" w:eastAsia="Arial" w:hAnsi="Arial" w:cs="Arial"/>
          <w:b/>
          <w:lang w:val="es-ES"/>
        </w:rPr>
        <w:t xml:space="preserve">44. El Estado parte debe: </w:t>
      </w:r>
    </w:p>
    <w:p w14:paraId="14B9D4F7" w14:textId="77777777" w:rsidR="0080088D" w:rsidRPr="0080088D" w:rsidRDefault="0080088D" w:rsidP="0080088D">
      <w:pPr>
        <w:widowControl w:val="0"/>
        <w:autoSpaceDE w:val="0"/>
        <w:autoSpaceDN w:val="0"/>
        <w:spacing w:after="0" w:line="260" w:lineRule="exact"/>
        <w:jc w:val="both"/>
        <w:rPr>
          <w:rFonts w:ascii="Arial" w:eastAsia="Arial" w:hAnsi="Arial" w:cs="Arial"/>
          <w:i/>
          <w:lang w:val="es-ES"/>
        </w:rPr>
      </w:pPr>
      <w:r w:rsidRPr="0080088D">
        <w:rPr>
          <w:rFonts w:ascii="Arial" w:eastAsia="Arial" w:hAnsi="Arial" w:cs="Arial"/>
          <w:i/>
          <w:lang w:val="es-ES"/>
        </w:rPr>
        <w:t xml:space="preserve">a) Garantizar, en el marco del actual proceso de reforma, que el MNPT disponga de </w:t>
      </w:r>
      <w:r w:rsidRPr="0080088D">
        <w:rPr>
          <w:rFonts w:ascii="Arial" w:eastAsia="Arial" w:hAnsi="Arial" w:cs="Arial"/>
          <w:i/>
          <w:lang w:val="es-ES"/>
        </w:rPr>
        <w:lastRenderedPageBreak/>
        <w:t xml:space="preserve">los recursos suficientes y el personal cualificado necesario para desempeñar su labor con eficacia. </w:t>
      </w:r>
    </w:p>
    <w:p w14:paraId="382BD26F" w14:textId="77777777" w:rsidR="0080088D" w:rsidRPr="0080088D" w:rsidRDefault="0080088D" w:rsidP="0080088D">
      <w:pPr>
        <w:widowControl w:val="0"/>
        <w:autoSpaceDE w:val="0"/>
        <w:autoSpaceDN w:val="0"/>
        <w:spacing w:after="0" w:line="260" w:lineRule="exact"/>
        <w:jc w:val="both"/>
        <w:rPr>
          <w:rFonts w:ascii="Arial" w:eastAsia="Arial" w:hAnsi="Arial" w:cs="Arial"/>
          <w:i/>
          <w:iCs/>
          <w:lang w:val="es-ES"/>
        </w:rPr>
      </w:pPr>
    </w:p>
    <w:p w14:paraId="79748E84" w14:textId="2492BDA5" w:rsidR="00ED0176" w:rsidRPr="00ED0176" w:rsidRDefault="00ED0176" w:rsidP="0080088D">
      <w:pPr>
        <w:widowControl w:val="0"/>
        <w:autoSpaceDE w:val="0"/>
        <w:autoSpaceDN w:val="0"/>
        <w:spacing w:after="0" w:line="260" w:lineRule="exact"/>
        <w:jc w:val="both"/>
        <w:rPr>
          <w:rFonts w:ascii="Arial" w:eastAsia="Arial" w:hAnsi="Arial" w:cs="Arial"/>
          <w:b/>
          <w:bCs/>
          <w:lang w:val="es-ES"/>
        </w:rPr>
      </w:pPr>
      <w:r w:rsidRPr="00ED0176">
        <w:rPr>
          <w:rFonts w:ascii="Arial" w:eastAsia="Arial" w:hAnsi="Arial" w:cs="Arial"/>
          <w:b/>
          <w:bCs/>
          <w:lang w:val="es-ES"/>
        </w:rPr>
        <w:t>Acciones del Mecanismo Nacional de Prevención de la Tortura</w:t>
      </w:r>
    </w:p>
    <w:p w14:paraId="2D5B896B" w14:textId="77777777" w:rsidR="00ED0176" w:rsidRDefault="00ED0176" w:rsidP="0080088D">
      <w:pPr>
        <w:widowControl w:val="0"/>
        <w:autoSpaceDE w:val="0"/>
        <w:autoSpaceDN w:val="0"/>
        <w:spacing w:after="0" w:line="260" w:lineRule="exact"/>
        <w:jc w:val="both"/>
        <w:rPr>
          <w:rFonts w:ascii="Arial" w:eastAsia="Arial" w:hAnsi="Arial" w:cs="Arial"/>
          <w:lang w:val="es-ES"/>
        </w:rPr>
      </w:pPr>
    </w:p>
    <w:p w14:paraId="0434C9D7" w14:textId="75708A3F" w:rsidR="0080088D" w:rsidRPr="0080088D" w:rsidRDefault="0080088D" w:rsidP="0080088D">
      <w:pPr>
        <w:widowControl w:val="0"/>
        <w:autoSpaceDE w:val="0"/>
        <w:autoSpaceDN w:val="0"/>
        <w:spacing w:after="0" w:line="260" w:lineRule="exact"/>
        <w:jc w:val="both"/>
        <w:rPr>
          <w:rFonts w:ascii="Arial" w:eastAsia="Arial" w:hAnsi="Arial" w:cs="Arial"/>
          <w:lang w:val="es-ES"/>
        </w:rPr>
      </w:pPr>
      <w:r w:rsidRPr="0080088D">
        <w:rPr>
          <w:rFonts w:ascii="Arial" w:eastAsia="Arial" w:hAnsi="Arial" w:cs="Arial"/>
          <w:lang w:val="es-ES"/>
        </w:rPr>
        <w:t>Actualmente, el MNPT cuenta con una plantilla de 31 personas servidoras públicas, 19 mujeres y 12 hombres, contando con perfiles multidisciplinarios</w:t>
      </w:r>
      <w:r w:rsidRPr="0080088D">
        <w:rPr>
          <w:rFonts w:ascii="Arial" w:eastAsia="Arial" w:hAnsi="Arial" w:cs="Arial"/>
          <w:vertAlign w:val="superscript"/>
          <w:lang w:val="es-ES"/>
        </w:rPr>
        <w:footnoteReference w:id="28"/>
      </w:r>
      <w:r w:rsidRPr="0080088D">
        <w:rPr>
          <w:rFonts w:ascii="Arial" w:eastAsia="Arial" w:hAnsi="Arial" w:cs="Arial"/>
          <w:lang w:val="es-ES"/>
        </w:rPr>
        <w:t xml:space="preserve"> como: abogados, médicos, psiquiatra, psicólogos, criminóloga, criminalista, antropólogo, sociólogos y politólogo, con el fin de analizar y prevenir un problema complejo y multicausal, como lo es la tortura. Además, semestralmente se evalúa el desempeño del personal </w:t>
      </w:r>
      <w:r w:rsidRPr="0080088D">
        <w:rPr>
          <w:rFonts w:ascii="Arial" w:eastAsia="Arial" w:hAnsi="Arial" w:cs="Arial"/>
          <w:lang w:val="es-ES"/>
        </w:rPr>
        <w:lastRenderedPageBreak/>
        <w:t xml:space="preserve">de servicios profesional de carrera y demás personal que realiza tareas sustantivas, con el fin de constatar que sus conocimientos se enfoquen a la especialización que las propias tareas del Mecanismo Nacional requieren. </w:t>
      </w:r>
    </w:p>
    <w:p w14:paraId="782FE497" w14:textId="77777777" w:rsidR="0080088D" w:rsidRPr="0080088D" w:rsidRDefault="0080088D" w:rsidP="0080088D">
      <w:pPr>
        <w:widowControl w:val="0"/>
        <w:autoSpaceDE w:val="0"/>
        <w:autoSpaceDN w:val="0"/>
        <w:spacing w:after="0" w:line="260" w:lineRule="exact"/>
        <w:jc w:val="both"/>
        <w:rPr>
          <w:rFonts w:ascii="Arial" w:eastAsia="Arial" w:hAnsi="Arial" w:cs="Arial"/>
          <w:lang w:val="es-ES"/>
        </w:rPr>
      </w:pPr>
    </w:p>
    <w:p w14:paraId="60616A7E" w14:textId="77777777" w:rsidR="0080088D" w:rsidRPr="0080088D" w:rsidRDefault="0080088D" w:rsidP="0080088D">
      <w:pPr>
        <w:widowControl w:val="0"/>
        <w:autoSpaceDE w:val="0"/>
        <w:autoSpaceDN w:val="0"/>
        <w:spacing w:after="0" w:line="260" w:lineRule="exact"/>
        <w:jc w:val="both"/>
        <w:rPr>
          <w:rFonts w:ascii="Arial" w:eastAsia="Arial" w:hAnsi="Arial" w:cs="Arial"/>
          <w:lang w:val="es-ES"/>
        </w:rPr>
      </w:pPr>
      <w:r w:rsidRPr="0080088D">
        <w:rPr>
          <w:rFonts w:ascii="Arial" w:eastAsia="Arial" w:hAnsi="Arial" w:cs="Arial"/>
          <w:lang w:val="es-ES"/>
        </w:rPr>
        <w:t>El presupuesto total del MNPT, para garantizar su adecuado funcionamiento ascendió, en 2021, a $ 28,545,064, lo cual permitió cumplir con las metas establecidas en la planeación del referido año.</w:t>
      </w:r>
    </w:p>
    <w:p w14:paraId="143F4482" w14:textId="77777777" w:rsidR="0080088D" w:rsidRPr="0080088D" w:rsidRDefault="0080088D" w:rsidP="0080088D">
      <w:pPr>
        <w:widowControl w:val="0"/>
        <w:autoSpaceDE w:val="0"/>
        <w:autoSpaceDN w:val="0"/>
        <w:spacing w:after="0" w:line="260" w:lineRule="exact"/>
        <w:jc w:val="both"/>
        <w:rPr>
          <w:rFonts w:ascii="Arial" w:eastAsia="Arial" w:hAnsi="Arial" w:cs="Arial"/>
          <w:i/>
          <w:iCs/>
          <w:lang w:val="es-ES"/>
        </w:rPr>
      </w:pPr>
    </w:p>
    <w:p w14:paraId="5A33F5CF" w14:textId="77777777" w:rsidR="0080088D" w:rsidRPr="0080088D" w:rsidRDefault="0080088D" w:rsidP="0080088D">
      <w:pPr>
        <w:widowControl w:val="0"/>
        <w:autoSpaceDE w:val="0"/>
        <w:autoSpaceDN w:val="0"/>
        <w:spacing w:after="0" w:line="260" w:lineRule="exact"/>
        <w:jc w:val="both"/>
        <w:rPr>
          <w:rFonts w:ascii="Arial" w:eastAsia="Arial" w:hAnsi="Arial" w:cs="Arial"/>
          <w:b/>
          <w:bCs/>
          <w:i/>
          <w:iCs/>
          <w:lang w:val="es-ES"/>
        </w:rPr>
      </w:pPr>
      <w:r w:rsidRPr="0080088D">
        <w:rPr>
          <w:rFonts w:ascii="Arial" w:eastAsia="Arial" w:hAnsi="Arial" w:cs="Arial"/>
          <w:b/>
          <w:bCs/>
          <w:i/>
          <w:lang w:val="es-ES"/>
        </w:rPr>
        <w:t xml:space="preserve">b) Cerciorarse del seguimiento y cumplimiento efectivo de las recomendaciones formuladas por el MNPT en el marco de sus actividades de vigilancia, de conformidad con las Directrices sobre los mecanismos nacionales de prevención </w:t>
      </w:r>
      <w:r w:rsidRPr="0080088D">
        <w:rPr>
          <w:rFonts w:ascii="Arial" w:eastAsia="Arial" w:hAnsi="Arial" w:cs="Arial"/>
          <w:b/>
          <w:bCs/>
          <w:i/>
          <w:iCs/>
          <w:lang w:val="es-ES"/>
        </w:rPr>
        <w:t>(…).</w:t>
      </w:r>
    </w:p>
    <w:p w14:paraId="1669E416" w14:textId="77777777" w:rsidR="0080088D" w:rsidRPr="0080088D" w:rsidRDefault="0080088D" w:rsidP="0080088D">
      <w:pPr>
        <w:widowControl w:val="0"/>
        <w:autoSpaceDE w:val="0"/>
        <w:autoSpaceDN w:val="0"/>
        <w:spacing w:after="0" w:line="260" w:lineRule="exact"/>
        <w:jc w:val="both"/>
        <w:rPr>
          <w:rFonts w:ascii="Arial" w:eastAsia="Arial" w:hAnsi="Arial" w:cs="Arial"/>
          <w:i/>
          <w:iCs/>
          <w:lang w:val="es-ES"/>
        </w:rPr>
      </w:pPr>
    </w:p>
    <w:p w14:paraId="1ACA3D2F" w14:textId="2E34DE71" w:rsidR="00ED0176" w:rsidRPr="00ED0176" w:rsidRDefault="00ED0176" w:rsidP="0080088D">
      <w:pPr>
        <w:widowControl w:val="0"/>
        <w:autoSpaceDE w:val="0"/>
        <w:autoSpaceDN w:val="0"/>
        <w:spacing w:after="0" w:line="260" w:lineRule="exact"/>
        <w:jc w:val="both"/>
        <w:rPr>
          <w:rFonts w:ascii="Arial" w:eastAsia="Arial" w:hAnsi="Arial" w:cs="Arial"/>
          <w:b/>
          <w:bCs/>
          <w:lang w:val="es-ES"/>
        </w:rPr>
      </w:pPr>
      <w:r w:rsidRPr="00ED0176">
        <w:rPr>
          <w:rFonts w:ascii="Arial" w:eastAsia="Arial" w:hAnsi="Arial" w:cs="Arial"/>
          <w:b/>
          <w:bCs/>
          <w:lang w:val="es-ES"/>
        </w:rPr>
        <w:t>Acciones del Mecanismo Nacional de Prevención de la Tortura</w:t>
      </w:r>
    </w:p>
    <w:p w14:paraId="3E4010C3" w14:textId="77777777" w:rsidR="00ED0176" w:rsidRDefault="00ED0176" w:rsidP="0080088D">
      <w:pPr>
        <w:widowControl w:val="0"/>
        <w:autoSpaceDE w:val="0"/>
        <w:autoSpaceDN w:val="0"/>
        <w:spacing w:after="0" w:line="260" w:lineRule="exact"/>
        <w:jc w:val="both"/>
        <w:rPr>
          <w:rFonts w:ascii="Arial" w:eastAsia="Arial" w:hAnsi="Arial" w:cs="Arial"/>
          <w:lang w:val="es-ES"/>
        </w:rPr>
      </w:pPr>
    </w:p>
    <w:p w14:paraId="775FEA51" w14:textId="2C8238D0" w:rsidR="0080088D" w:rsidRPr="0080088D" w:rsidRDefault="0080088D" w:rsidP="0080088D">
      <w:pPr>
        <w:widowControl w:val="0"/>
        <w:autoSpaceDE w:val="0"/>
        <w:autoSpaceDN w:val="0"/>
        <w:spacing w:after="0" w:line="260" w:lineRule="exact"/>
        <w:jc w:val="both"/>
        <w:rPr>
          <w:rFonts w:ascii="Arial" w:eastAsia="Arial" w:hAnsi="Arial" w:cs="Arial"/>
          <w:lang w:val="es-ES"/>
        </w:rPr>
      </w:pPr>
      <w:r w:rsidRPr="0080088D">
        <w:rPr>
          <w:rFonts w:ascii="Arial" w:eastAsia="Arial" w:hAnsi="Arial" w:cs="Arial"/>
          <w:lang w:val="es-ES"/>
        </w:rPr>
        <w:lastRenderedPageBreak/>
        <w:t xml:space="preserve">Con relación al seguimiento y cumplimiento efectivo de las recomendaciones formuladas por el Mecanismo Nacional de Prevención, a través de sus diversos informes, el seguimiento es parte sustantiva de la acción que realiza para la prevención de la tortura y otros tratos crueles, en el territorio nacional y retoma, dentro de su actuar general, lo indicado en las </w:t>
      </w:r>
      <w:r w:rsidRPr="0080088D">
        <w:rPr>
          <w:rFonts w:ascii="Arial" w:eastAsia="Arial" w:hAnsi="Arial" w:cs="Arial"/>
          <w:b/>
          <w:bCs/>
          <w:lang w:val="es-ES"/>
        </w:rPr>
        <w:t>Directrices relativas a los Mecanismos Nacionales de Prevención</w:t>
      </w:r>
      <w:r w:rsidRPr="0080088D">
        <w:rPr>
          <w:rFonts w:ascii="Arial" w:eastAsia="Arial" w:hAnsi="Arial" w:cs="Arial"/>
          <w:lang w:val="es-ES"/>
        </w:rPr>
        <w:t xml:space="preserve">, señaladas por el Subcomité para la Prevención de la Tortura y Otros Tratos o Penas Crueles, Inhumanos o Degradantes, en particular, en su numeral 13, relativo a los procesos conjuntos de trabajo entre el Mecanismo y las autoridades, con el fin de que se implementen las acciones para el cumplimiento de recomendaciones. </w:t>
      </w:r>
    </w:p>
    <w:p w14:paraId="35AD2CD2" w14:textId="77777777" w:rsidR="0080088D" w:rsidRPr="0080088D" w:rsidRDefault="0080088D" w:rsidP="0080088D">
      <w:pPr>
        <w:widowControl w:val="0"/>
        <w:autoSpaceDE w:val="0"/>
        <w:autoSpaceDN w:val="0"/>
        <w:spacing w:after="0" w:line="260" w:lineRule="exact"/>
        <w:jc w:val="both"/>
        <w:rPr>
          <w:rFonts w:ascii="Arial" w:eastAsia="Arial" w:hAnsi="Arial" w:cs="Arial"/>
          <w:lang w:val="es-ES"/>
        </w:rPr>
      </w:pPr>
    </w:p>
    <w:p w14:paraId="4F9D56D2" w14:textId="77777777" w:rsidR="0080088D" w:rsidRPr="0080088D" w:rsidRDefault="0080088D" w:rsidP="0080088D">
      <w:pPr>
        <w:widowControl w:val="0"/>
        <w:autoSpaceDE w:val="0"/>
        <w:autoSpaceDN w:val="0"/>
        <w:spacing w:after="0" w:line="260" w:lineRule="exact"/>
        <w:jc w:val="both"/>
        <w:rPr>
          <w:rFonts w:ascii="Arial" w:eastAsia="Arial" w:hAnsi="Arial" w:cs="Arial"/>
          <w:lang w:val="es-ES"/>
        </w:rPr>
      </w:pPr>
      <w:r w:rsidRPr="0080088D">
        <w:rPr>
          <w:rFonts w:ascii="Arial" w:eastAsia="Arial" w:hAnsi="Arial" w:cs="Arial"/>
          <w:lang w:val="es-ES"/>
        </w:rPr>
        <w:t xml:space="preserve">Asimismo, como se indica en el mismo documento, en su numeral 38, se ha promovido un diálogo significativo y respetuoso con las autoridades, tanto públicas como de organizaciones o instituciones privadas, que tengan bajo su custodia y resguardo a personas privadas de la libertad, sobre la aplicación de las recomendaciones que </w:t>
      </w:r>
      <w:r w:rsidRPr="0080088D">
        <w:rPr>
          <w:rFonts w:ascii="Arial" w:eastAsia="Arial" w:hAnsi="Arial" w:cs="Arial"/>
          <w:lang w:val="es-ES"/>
        </w:rPr>
        <w:lastRenderedPageBreak/>
        <w:t>el Subcomité haya podido formular en relación con el país, lo anterior, con fundamento en la propia normatividad que guía la actuación del Mecanismo Nacional de la Tortura</w:t>
      </w:r>
      <w:r w:rsidRPr="0080088D">
        <w:rPr>
          <w:rFonts w:ascii="Arial" w:eastAsia="Arial" w:hAnsi="Arial" w:cs="Arial"/>
          <w:vertAlign w:val="superscript"/>
          <w:lang w:val="es-ES"/>
        </w:rPr>
        <w:footnoteReference w:id="29"/>
      </w:r>
      <w:r w:rsidRPr="0080088D">
        <w:rPr>
          <w:rFonts w:ascii="Arial" w:eastAsia="Arial" w:hAnsi="Arial" w:cs="Arial"/>
          <w:lang w:val="es-ES"/>
        </w:rPr>
        <w:t xml:space="preserve">. </w:t>
      </w:r>
    </w:p>
    <w:p w14:paraId="62188AA8" w14:textId="77777777" w:rsidR="0080088D" w:rsidRPr="0080088D" w:rsidRDefault="0080088D" w:rsidP="0080088D">
      <w:pPr>
        <w:widowControl w:val="0"/>
        <w:autoSpaceDE w:val="0"/>
        <w:autoSpaceDN w:val="0"/>
        <w:spacing w:after="0" w:line="260" w:lineRule="exact"/>
        <w:jc w:val="both"/>
        <w:rPr>
          <w:rFonts w:ascii="Arial" w:eastAsia="Arial" w:hAnsi="Arial" w:cs="Arial"/>
          <w:lang w:val="es-ES"/>
        </w:rPr>
      </w:pPr>
    </w:p>
    <w:p w14:paraId="628C3D19" w14:textId="77777777" w:rsidR="0080088D" w:rsidRPr="0080088D" w:rsidRDefault="0080088D" w:rsidP="0080088D">
      <w:pPr>
        <w:widowControl w:val="0"/>
        <w:autoSpaceDE w:val="0"/>
        <w:autoSpaceDN w:val="0"/>
        <w:spacing w:after="0" w:line="260" w:lineRule="exact"/>
        <w:jc w:val="both"/>
        <w:rPr>
          <w:rFonts w:ascii="Arial" w:eastAsia="Arial" w:hAnsi="Arial" w:cs="Arial"/>
          <w:lang w:val="es-ES"/>
        </w:rPr>
      </w:pPr>
      <w:r w:rsidRPr="0080088D">
        <w:rPr>
          <w:rFonts w:ascii="Arial" w:eastAsia="Arial" w:hAnsi="Arial" w:cs="Arial"/>
          <w:lang w:val="es-ES"/>
        </w:rPr>
        <w:t xml:space="preserve">En el seguimiento posterior a las visitas de supervisión, se entabla un diálogo con los enlaces designados ─habitualmente funcionarios de alto nivel con capacidad de decisión suficiente─, con la finalidad de brindar información sobre las posibles medidas de aplicación señaladas en las recomendaciones, y dar seguimiento a su cumplimiento, asegurando una comunicación constante a través de reuniones de trabajo, llamadas telefónicas y correos electrónicos, con la finalidad de que las autoridades </w:t>
      </w:r>
      <w:r w:rsidRPr="0080088D">
        <w:rPr>
          <w:rFonts w:ascii="Arial" w:eastAsia="Arial" w:hAnsi="Arial" w:cs="Arial"/>
          <w:lang w:val="es-ES"/>
        </w:rPr>
        <w:lastRenderedPageBreak/>
        <w:t xml:space="preserve">responsables envíen evidencia de las recomendaciones que se han atendido, y las que presentan avances encaminados a su cumplimiento. </w:t>
      </w:r>
    </w:p>
    <w:p w14:paraId="3910E1C4" w14:textId="77777777" w:rsidR="0080088D" w:rsidRPr="0080088D" w:rsidRDefault="0080088D" w:rsidP="0080088D">
      <w:pPr>
        <w:widowControl w:val="0"/>
        <w:autoSpaceDE w:val="0"/>
        <w:autoSpaceDN w:val="0"/>
        <w:spacing w:after="0" w:line="260" w:lineRule="exact"/>
        <w:jc w:val="both"/>
        <w:rPr>
          <w:rFonts w:ascii="Arial" w:eastAsia="Arial" w:hAnsi="Arial" w:cs="Arial"/>
          <w:lang w:val="es-ES"/>
        </w:rPr>
      </w:pPr>
    </w:p>
    <w:p w14:paraId="57B1F571" w14:textId="77777777" w:rsidR="0080088D" w:rsidRPr="0080088D" w:rsidRDefault="0080088D" w:rsidP="0080088D">
      <w:pPr>
        <w:widowControl w:val="0"/>
        <w:autoSpaceDE w:val="0"/>
        <w:autoSpaceDN w:val="0"/>
        <w:spacing w:after="0" w:line="256" w:lineRule="auto"/>
        <w:jc w:val="both"/>
        <w:rPr>
          <w:rFonts w:ascii="Arial" w:eastAsia="Arial" w:hAnsi="Arial" w:cs="Arial"/>
          <w:bCs/>
          <w:lang w:val="es-ES" w:eastAsia="es-ES" w:bidi="es-ES"/>
        </w:rPr>
      </w:pPr>
      <w:r w:rsidRPr="0080088D">
        <w:rPr>
          <w:rFonts w:ascii="Arial" w:eastAsia="Arial" w:hAnsi="Arial" w:cs="Arial"/>
          <w:bCs/>
          <w:lang w:val="es-ES" w:eastAsia="es-ES" w:bidi="es-ES"/>
        </w:rPr>
        <w:t>Según lo que se indica en la normatividad señalada, y derivado del análisis de las recomendaciones y su grado de avance</w:t>
      </w:r>
      <w:r w:rsidRPr="0080088D">
        <w:rPr>
          <w:rFonts w:ascii="Arial" w:eastAsia="Arial" w:hAnsi="Arial" w:cs="Arial"/>
          <w:bCs/>
          <w:vertAlign w:val="superscript"/>
          <w:lang w:val="es-ES" w:eastAsia="es-ES" w:bidi="es-ES"/>
        </w:rPr>
        <w:footnoteReference w:id="30"/>
      </w:r>
      <w:r w:rsidRPr="0080088D">
        <w:rPr>
          <w:rFonts w:ascii="Arial" w:eastAsia="Arial" w:hAnsi="Arial" w:cs="Arial"/>
          <w:bCs/>
          <w:lang w:val="es-ES" w:eastAsia="es-ES" w:bidi="es-ES"/>
        </w:rPr>
        <w:t>, un mecanismo de verificación de la incidencia de las visitas de seguimiento es la elaboración, precisamente, de los informes de seguimiento, en los que se detalla el cumplimiento o incumplimiento de las recomendaciones emitidas en el respectivo informe de supervisión, instando a las autoridades responsables a satisfacer plenamente su cumplimiento.</w:t>
      </w:r>
    </w:p>
    <w:p w14:paraId="6121D6B3" w14:textId="77777777" w:rsidR="0080088D" w:rsidRPr="0080088D" w:rsidRDefault="0080088D" w:rsidP="0080088D">
      <w:pPr>
        <w:widowControl w:val="0"/>
        <w:autoSpaceDE w:val="0"/>
        <w:autoSpaceDN w:val="0"/>
        <w:spacing w:after="0" w:line="260" w:lineRule="exact"/>
        <w:jc w:val="both"/>
        <w:rPr>
          <w:rFonts w:ascii="Arial" w:eastAsia="Arial" w:hAnsi="Arial" w:cs="Arial"/>
          <w:i/>
          <w:lang w:val="es-ES"/>
        </w:rPr>
      </w:pPr>
      <w:r w:rsidRPr="0080088D">
        <w:rPr>
          <w:rFonts w:ascii="Arial" w:eastAsia="Arial" w:hAnsi="Arial" w:cs="Arial"/>
          <w:i/>
          <w:iCs/>
          <w:lang w:val="es-ES"/>
        </w:rPr>
        <w:t xml:space="preserve"> </w:t>
      </w:r>
    </w:p>
    <w:p w14:paraId="6A368B62" w14:textId="77777777" w:rsidR="0080088D" w:rsidRPr="0080088D" w:rsidRDefault="0080088D" w:rsidP="0080088D">
      <w:pPr>
        <w:widowControl w:val="0"/>
        <w:autoSpaceDE w:val="0"/>
        <w:autoSpaceDN w:val="0"/>
        <w:spacing w:after="0" w:line="260" w:lineRule="exact"/>
        <w:jc w:val="both"/>
        <w:rPr>
          <w:rFonts w:ascii="Arial" w:eastAsia="Arial" w:hAnsi="Arial" w:cs="Arial"/>
          <w:b/>
          <w:bCs/>
          <w:i/>
          <w:lang w:val="es-ES"/>
        </w:rPr>
      </w:pPr>
      <w:r w:rsidRPr="0080088D">
        <w:rPr>
          <w:rFonts w:ascii="Arial" w:eastAsia="Arial" w:hAnsi="Arial" w:cs="Arial"/>
          <w:b/>
          <w:bCs/>
          <w:i/>
          <w:lang w:val="es-ES"/>
        </w:rPr>
        <w:lastRenderedPageBreak/>
        <w:t>c) Fomentar la cooperación entre el MNPT y las organizaciones de la sociedad civil.</w:t>
      </w:r>
    </w:p>
    <w:p w14:paraId="52890D75" w14:textId="504786C7" w:rsidR="00ED0176" w:rsidRPr="00ED0176" w:rsidRDefault="00ED0176" w:rsidP="0080088D">
      <w:pPr>
        <w:shd w:val="clear" w:color="auto" w:fill="FFFFFF"/>
        <w:spacing w:before="100" w:beforeAutospacing="1" w:after="100" w:afterAutospacing="1" w:line="260" w:lineRule="exact"/>
        <w:jc w:val="both"/>
        <w:rPr>
          <w:rFonts w:ascii="Arial" w:eastAsia="Times New Roman" w:hAnsi="Arial" w:cs="Arial"/>
          <w:b/>
          <w:bCs/>
          <w:lang w:val="es-ES" w:eastAsia="es-MX"/>
        </w:rPr>
      </w:pPr>
      <w:r w:rsidRPr="00ED0176">
        <w:rPr>
          <w:rFonts w:ascii="Arial" w:eastAsia="Times New Roman" w:hAnsi="Arial" w:cs="Arial"/>
          <w:b/>
          <w:bCs/>
          <w:lang w:val="es-ES" w:eastAsia="es-MX"/>
        </w:rPr>
        <w:t>Acciones del Mecanismo Nacional de Prevención de la Tortura</w:t>
      </w:r>
    </w:p>
    <w:p w14:paraId="498E2031" w14:textId="3D4671D0" w:rsidR="0080088D" w:rsidRPr="0080088D" w:rsidRDefault="0080088D" w:rsidP="0080088D">
      <w:pPr>
        <w:shd w:val="clear" w:color="auto" w:fill="FFFFFF"/>
        <w:spacing w:before="100" w:beforeAutospacing="1" w:after="100" w:afterAutospacing="1" w:line="260" w:lineRule="exact"/>
        <w:jc w:val="both"/>
        <w:rPr>
          <w:rFonts w:ascii="Arial" w:eastAsia="Times New Roman" w:hAnsi="Arial" w:cs="Arial"/>
          <w:lang w:val="es-ES" w:eastAsia="es-MX"/>
        </w:rPr>
      </w:pPr>
      <w:r w:rsidRPr="0080088D">
        <w:rPr>
          <w:rFonts w:ascii="Arial" w:eastAsia="Times New Roman" w:hAnsi="Arial" w:cs="Arial"/>
          <w:lang w:val="es-ES" w:eastAsia="es-MX"/>
        </w:rPr>
        <w:t xml:space="preserve">Una actividad que ha buscado fortalecer el MNPT, es la vinculación con las diferentes instituciones, grupos y sobre todo organizaciones de la sociedad civil, tanto nacionales como internacionales, en cumplimiento de lo establecido en el artículo 78, fracción XIII, de la Ley General sobre la Tortura. Al respecto, se pueden mencionar las siguientes acciones: </w:t>
      </w:r>
    </w:p>
    <w:p w14:paraId="6C75DFB9" w14:textId="77777777" w:rsidR="0080088D" w:rsidRPr="0080088D" w:rsidRDefault="0080088D" w:rsidP="0080088D">
      <w:pPr>
        <w:shd w:val="clear" w:color="auto" w:fill="FFFFFF"/>
        <w:spacing w:before="100" w:beforeAutospacing="1" w:after="100" w:afterAutospacing="1" w:line="260" w:lineRule="exact"/>
        <w:jc w:val="both"/>
        <w:rPr>
          <w:rFonts w:ascii="Arial" w:eastAsia="Times New Roman" w:hAnsi="Arial" w:cs="Arial"/>
          <w:lang w:val="es-ES" w:eastAsia="es-MX"/>
        </w:rPr>
      </w:pPr>
      <w:r w:rsidRPr="0080088D">
        <w:rPr>
          <w:rFonts w:ascii="Arial" w:eastAsia="Times New Roman" w:hAnsi="Arial" w:cs="Arial"/>
          <w:lang w:val="es-ES" w:eastAsia="es-MX"/>
        </w:rPr>
        <w:t xml:space="preserve">En 2019, en el marco del programa del equipo de Prevención de la Tortura, a cargo de la Oficina del Alto Comisionado de Naciones Unidas para los Derechos Humanos de México, así́ como Documenta, Análisis y Acción para la Justicia Social, A. C. y la Cooperación Alemana para el Desarrollo Sustentable, el Mecanismo Nacional participó en la mesa de trabajo “Hacia un Programa Nacional para Prevenir y Sancionar </w:t>
      </w:r>
      <w:r w:rsidRPr="0080088D">
        <w:rPr>
          <w:rFonts w:ascii="Arial" w:eastAsia="Times New Roman" w:hAnsi="Arial" w:cs="Arial"/>
          <w:lang w:val="es-ES" w:eastAsia="es-MX"/>
        </w:rPr>
        <w:lastRenderedPageBreak/>
        <w:t xml:space="preserve">la Tortura y otros Tratos o Penas Crueles, Inhumanos o Degradantes”. De igual manera sostuvo una reunión de trabajo en las oficinas de la Asociación para la Prevención de la Tortura (APT), para definir el programa de capacitación dirigido al personal del MNPT, con la </w:t>
      </w:r>
      <w:bookmarkStart w:id="25" w:name="_Int_nCuosnfc"/>
      <w:r w:rsidRPr="0080088D">
        <w:rPr>
          <w:rFonts w:ascii="Arial" w:eastAsia="Times New Roman" w:hAnsi="Arial" w:cs="Arial"/>
          <w:lang w:val="es-ES" w:eastAsia="es-MX"/>
        </w:rPr>
        <w:t>Directora</w:t>
      </w:r>
      <w:bookmarkEnd w:id="25"/>
      <w:r w:rsidRPr="0080088D">
        <w:rPr>
          <w:rFonts w:ascii="Arial" w:eastAsia="Times New Roman" w:hAnsi="Arial" w:cs="Arial"/>
          <w:lang w:val="es-ES" w:eastAsia="es-MX"/>
        </w:rPr>
        <w:t xml:space="preserve"> de Programas Especiales y la responsable del programa para las Américas. </w:t>
      </w:r>
    </w:p>
    <w:p w14:paraId="0114B9F1" w14:textId="77777777" w:rsidR="0080088D" w:rsidRPr="0080088D" w:rsidRDefault="0080088D" w:rsidP="0080088D">
      <w:pPr>
        <w:spacing w:before="100" w:beforeAutospacing="1" w:after="100" w:afterAutospacing="1" w:line="260" w:lineRule="exact"/>
        <w:jc w:val="both"/>
        <w:rPr>
          <w:rFonts w:ascii="Arial" w:eastAsia="Times New Roman" w:hAnsi="Arial" w:cs="Arial"/>
          <w:lang w:val="es-ES" w:eastAsia="es-MX"/>
        </w:rPr>
      </w:pPr>
      <w:r w:rsidRPr="0080088D">
        <w:rPr>
          <w:rFonts w:ascii="Arial" w:eastAsia="Times New Roman" w:hAnsi="Arial" w:cs="Arial"/>
          <w:lang w:val="es-ES" w:eastAsia="es-MX"/>
        </w:rPr>
        <w:t xml:space="preserve">En 2020, se realizaron y reforzaron acciones de vinculación con el Comité Nacional para la Prevención de la Tortura de Argentina y las organizaciones de la sociedad civil, como la APT; Documenta, A. C., y el Colectivo Contra la Tortura y la Impunidad, A. C., con el propósito de fortalecer las metodologías, instrumentos y prácticas del MNPT. </w:t>
      </w:r>
    </w:p>
    <w:p w14:paraId="7E783E62" w14:textId="59AFA0A0" w:rsidR="00DD6683" w:rsidRDefault="0080088D" w:rsidP="0080088D">
      <w:pPr>
        <w:shd w:val="clear" w:color="auto" w:fill="FFFFFF"/>
        <w:spacing w:before="100" w:beforeAutospacing="1" w:after="100" w:afterAutospacing="1" w:line="260" w:lineRule="exact"/>
        <w:jc w:val="both"/>
        <w:rPr>
          <w:rFonts w:ascii="Arial" w:eastAsia="Times New Roman" w:hAnsi="Arial" w:cs="Arial"/>
          <w:shd w:val="clear" w:color="auto" w:fill="FFFFFF"/>
          <w:lang w:val="es-ES" w:eastAsia="es-MX"/>
        </w:rPr>
      </w:pPr>
      <w:r w:rsidRPr="0080088D">
        <w:rPr>
          <w:rFonts w:ascii="Arial" w:eastAsia="Times New Roman" w:hAnsi="Arial" w:cs="Arial"/>
          <w:lang w:val="es-ES" w:eastAsia="es-MX"/>
        </w:rPr>
        <w:t>A lo largo del año 2021, el MNPT, además</w:t>
      </w:r>
      <w:r w:rsidRPr="0080088D">
        <w:rPr>
          <w:rFonts w:ascii="Arial" w:eastAsia="Times New Roman" w:hAnsi="Arial" w:cs="Arial"/>
          <w:shd w:val="clear" w:color="auto" w:fill="FFFFFF"/>
          <w:lang w:val="es-ES" w:eastAsia="es-MX"/>
        </w:rPr>
        <w:t xml:space="preserve"> de robustecer el trabajo con las organizaciones de la sociedad civil citadas, también buscó continuar con el intercambio de experiencias con estas y con sus homólogos, como es el caso del </w:t>
      </w:r>
      <w:r w:rsidRPr="0080088D">
        <w:rPr>
          <w:rFonts w:ascii="Arial" w:eastAsia="Times New Roman" w:hAnsi="Arial" w:cs="Arial"/>
        </w:rPr>
        <w:t xml:space="preserve">Comité Nacional para la Prevención de la Tortura de Argentina, con quien se firmó un Convenio Marco de Cooperación Interinstitucional, cuyo objetivo es conjugar esfuerzos y recursos, </w:t>
      </w:r>
      <w:r w:rsidRPr="0080088D">
        <w:rPr>
          <w:rFonts w:ascii="Arial" w:eastAsia="Times New Roman" w:hAnsi="Arial" w:cs="Arial"/>
        </w:rPr>
        <w:lastRenderedPageBreak/>
        <w:t>tanto materiales como humanos para el desarrollo y coordinación de actividades vinculadas a la temática de la prevención de la tortura</w:t>
      </w:r>
      <w:r w:rsidRPr="0080088D">
        <w:rPr>
          <w:rFonts w:ascii="Arial" w:eastAsia="Times New Roman" w:hAnsi="Arial" w:cs="Arial"/>
          <w:shd w:val="clear" w:color="auto" w:fill="FFFFFF"/>
          <w:lang w:val="es-ES" w:eastAsia="es-MX"/>
        </w:rPr>
        <w:t xml:space="preserve">; de igual forma se buscó realizar visitas de supervisión conjuntas a lugares de privación de la libertad, como las realizadas con el colectivo Guerreras en Busca de Nuestros Tesoros A.C. a centros de rehabilitación de adicciones en Nayarit; con  la Comisión Regional de Derechos Humanos "Mahatma Gandhi"; Documenta, A. C. y el Comité de Defensa Integral de Derechos Humanos “Gobixha”, A. C. (Código DH), a centros de rehabilitación de adicciones en Oaxaca; con el </w:t>
      </w:r>
      <w:r w:rsidRPr="0080088D">
        <w:rPr>
          <w:rFonts w:ascii="Arial" w:eastAsia="Times New Roman" w:hAnsi="Arial" w:cs="Arial"/>
          <w:i/>
          <w:iCs/>
          <w:shd w:val="clear" w:color="auto" w:fill="FFFFFF"/>
          <w:lang w:val="es-ES" w:eastAsia="es-MX"/>
        </w:rPr>
        <w:t>Colectivo Familias Unidas en la Búsqueda y Localización de Personas Desaparecidas,</w:t>
      </w:r>
      <w:r w:rsidRPr="0080088D">
        <w:rPr>
          <w:rFonts w:ascii="Arial" w:eastAsia="Times New Roman" w:hAnsi="Arial" w:cs="Arial"/>
          <w:shd w:val="clear" w:color="auto" w:fill="FFFFFF"/>
          <w:lang w:val="es-ES" w:eastAsia="es-MX"/>
        </w:rPr>
        <w:t xml:space="preserve"> al Centro de Reinserción Social de Piedras Negras, Coahuila, y con el </w:t>
      </w:r>
      <w:r w:rsidRPr="0080088D">
        <w:rPr>
          <w:rFonts w:ascii="Arial" w:eastAsia="Times New Roman" w:hAnsi="Arial" w:cs="Arial"/>
          <w:i/>
          <w:iCs/>
          <w:shd w:val="clear" w:color="auto" w:fill="FFFFFF"/>
          <w:lang w:val="es-ES" w:eastAsia="es-MX"/>
        </w:rPr>
        <w:t>Grupo de Acción por los Derechos Humanos y la Justicia Social</w:t>
      </w:r>
      <w:r w:rsidRPr="0080088D">
        <w:rPr>
          <w:rFonts w:ascii="Arial" w:eastAsia="Times New Roman" w:hAnsi="Arial" w:cs="Arial"/>
          <w:shd w:val="clear" w:color="auto" w:fill="FFFFFF"/>
          <w:lang w:val="es-ES" w:eastAsia="es-MX"/>
        </w:rPr>
        <w:t>, A. C., al Reclusorio Preventivo Varonil Sur de la Ciudad de México.</w:t>
      </w:r>
    </w:p>
    <w:p w14:paraId="23093CDC" w14:textId="77777777" w:rsidR="00916234" w:rsidRPr="00916234" w:rsidRDefault="00916234" w:rsidP="00916234">
      <w:pPr>
        <w:shd w:val="clear" w:color="auto" w:fill="FFFFFF"/>
        <w:spacing w:before="100" w:beforeAutospacing="1" w:after="100" w:afterAutospacing="1" w:line="240" w:lineRule="auto"/>
        <w:jc w:val="both"/>
        <w:rPr>
          <w:rFonts w:ascii="Arial" w:eastAsia="Times New Roman" w:hAnsi="Arial" w:cs="Arial"/>
          <w:b/>
          <w:bCs/>
          <w:i/>
          <w:iCs/>
          <w:shd w:val="clear" w:color="auto" w:fill="FFFFFF"/>
          <w:lang w:val="es-ES" w:eastAsia="es-MX"/>
        </w:rPr>
      </w:pPr>
      <w:r w:rsidRPr="00916234">
        <w:rPr>
          <w:rFonts w:ascii="Arial" w:eastAsia="Times New Roman" w:hAnsi="Arial" w:cs="Arial"/>
          <w:b/>
          <w:bCs/>
          <w:i/>
          <w:iCs/>
          <w:shd w:val="clear" w:color="auto" w:fill="FFFFFF"/>
          <w:lang w:val="es-ES" w:eastAsia="es-MX"/>
        </w:rPr>
        <w:t>50. El Estado parte debe:</w:t>
      </w:r>
    </w:p>
    <w:p w14:paraId="71D8563A" w14:textId="77777777" w:rsidR="00916234" w:rsidRDefault="00916234" w:rsidP="00916234">
      <w:pPr>
        <w:shd w:val="clear" w:color="auto" w:fill="FFFFFF"/>
        <w:spacing w:before="100" w:beforeAutospacing="1" w:after="100" w:afterAutospacing="1" w:line="240" w:lineRule="auto"/>
        <w:jc w:val="both"/>
        <w:rPr>
          <w:rFonts w:ascii="Arial" w:eastAsia="Times New Roman" w:hAnsi="Arial" w:cs="Arial"/>
          <w:b/>
          <w:bCs/>
          <w:i/>
          <w:iCs/>
          <w:shd w:val="clear" w:color="auto" w:fill="FFFFFF"/>
          <w:lang w:val="es-ES" w:eastAsia="es-MX"/>
        </w:rPr>
      </w:pPr>
      <w:r w:rsidRPr="00916234">
        <w:rPr>
          <w:rFonts w:ascii="Arial" w:eastAsia="Times New Roman" w:hAnsi="Arial" w:cs="Arial"/>
          <w:b/>
          <w:bCs/>
          <w:i/>
          <w:iCs/>
          <w:shd w:val="clear" w:color="auto" w:fill="FFFFFF"/>
          <w:lang w:val="es-ES" w:eastAsia="es-MX"/>
        </w:rPr>
        <w:t>a)</w:t>
      </w:r>
      <w:r w:rsidRPr="00916234">
        <w:rPr>
          <w:rFonts w:ascii="Arial" w:eastAsia="Times New Roman" w:hAnsi="Arial" w:cs="Arial"/>
          <w:b/>
          <w:bCs/>
          <w:i/>
          <w:iCs/>
          <w:shd w:val="clear" w:color="auto" w:fill="FFFFFF"/>
          <w:lang w:val="es-ES" w:eastAsia="es-MX"/>
        </w:rPr>
        <w:tab/>
        <w:t>Revisar su legislación con miras a derogar las disposiciones de la Ley de Migración que exigen el internamiento obligatorio u automático de inmigrantes indocumentados y solicitantes de asilo;</w:t>
      </w:r>
    </w:p>
    <w:p w14:paraId="5A5F0D31" w14:textId="6FB79B93" w:rsidR="00916234" w:rsidRPr="00916234" w:rsidRDefault="00916234" w:rsidP="00916234">
      <w:pPr>
        <w:shd w:val="clear" w:color="auto" w:fill="FFFFFF"/>
        <w:spacing w:before="100" w:beforeAutospacing="1" w:after="100" w:afterAutospacing="1" w:line="240" w:lineRule="auto"/>
        <w:jc w:val="both"/>
        <w:rPr>
          <w:rFonts w:ascii="Arial" w:eastAsia="Times New Roman" w:hAnsi="Arial" w:cs="Arial"/>
          <w:b/>
          <w:bCs/>
          <w:i/>
          <w:iCs/>
          <w:shd w:val="clear" w:color="auto" w:fill="FFFFFF"/>
          <w:lang w:val="es-ES" w:eastAsia="es-MX"/>
        </w:rPr>
      </w:pPr>
      <w:r w:rsidRPr="00916234">
        <w:rPr>
          <w:rFonts w:ascii="Arial" w:eastAsia="Times New Roman" w:hAnsi="Arial" w:cs="Arial"/>
          <w:b/>
          <w:bCs/>
          <w:i/>
          <w:iCs/>
          <w:shd w:val="clear" w:color="auto" w:fill="FFFFFF"/>
          <w:lang w:val="es-ES" w:eastAsia="es-MX"/>
        </w:rPr>
        <w:lastRenderedPageBreak/>
        <w:t>b)</w:t>
      </w:r>
      <w:r w:rsidRPr="00916234">
        <w:rPr>
          <w:rFonts w:ascii="Arial" w:eastAsia="Times New Roman" w:hAnsi="Arial" w:cs="Arial"/>
          <w:b/>
          <w:bCs/>
          <w:i/>
          <w:iCs/>
          <w:shd w:val="clear" w:color="auto" w:fill="FFFFFF"/>
          <w:lang w:val="es-ES" w:eastAsia="es-MX"/>
        </w:rPr>
        <w:tab/>
        <w:t>Abstenerse de internar a los inmigrantes indocumentados y solicitantes de asilo durante periodos prolongados, utilizar el internamiento únicamente como último recurso y por el periodo más breve posible, y seguir aplicando medidas no privativas de la libertad;</w:t>
      </w:r>
    </w:p>
    <w:p w14:paraId="0B89E6BF" w14:textId="77777777" w:rsidR="00916234" w:rsidRPr="00916234" w:rsidRDefault="00916234" w:rsidP="00916234">
      <w:pPr>
        <w:shd w:val="clear" w:color="auto" w:fill="FFFFFF"/>
        <w:spacing w:before="100" w:beforeAutospacing="1" w:after="100" w:afterAutospacing="1" w:line="240" w:lineRule="auto"/>
        <w:jc w:val="both"/>
        <w:rPr>
          <w:rFonts w:ascii="Arial" w:eastAsia="Times New Roman" w:hAnsi="Arial" w:cs="Arial"/>
          <w:b/>
          <w:bCs/>
          <w:i/>
          <w:iCs/>
          <w:shd w:val="clear" w:color="auto" w:fill="FFFFFF"/>
          <w:lang w:val="es-ES" w:eastAsia="es-MX"/>
        </w:rPr>
      </w:pPr>
      <w:r w:rsidRPr="00916234">
        <w:rPr>
          <w:rFonts w:ascii="Arial" w:eastAsia="Times New Roman" w:hAnsi="Arial" w:cs="Arial"/>
          <w:b/>
          <w:bCs/>
          <w:i/>
          <w:iCs/>
          <w:shd w:val="clear" w:color="auto" w:fill="FFFFFF"/>
          <w:lang w:val="es-ES" w:eastAsia="es-MX"/>
        </w:rPr>
        <w:t>c)</w:t>
      </w:r>
      <w:r w:rsidRPr="00916234">
        <w:rPr>
          <w:rFonts w:ascii="Arial" w:eastAsia="Times New Roman" w:hAnsi="Arial" w:cs="Arial"/>
          <w:b/>
          <w:bCs/>
          <w:i/>
          <w:iCs/>
          <w:shd w:val="clear" w:color="auto" w:fill="FFFFFF"/>
          <w:lang w:val="es-ES" w:eastAsia="es-MX"/>
        </w:rPr>
        <w:tab/>
        <w:t>Establecer un plazo legal máximo razonable para la detención administrativa de inmigrantes indocumentados y solicitantes de asilo que interpongan recursos administrativos o judiciales;</w:t>
      </w:r>
    </w:p>
    <w:p w14:paraId="4465EDFA" w14:textId="77777777" w:rsidR="00916234" w:rsidRPr="00916234" w:rsidRDefault="00916234" w:rsidP="00916234">
      <w:pPr>
        <w:shd w:val="clear" w:color="auto" w:fill="FFFFFF"/>
        <w:spacing w:before="100" w:beforeAutospacing="1" w:after="100" w:afterAutospacing="1" w:line="240" w:lineRule="auto"/>
        <w:jc w:val="both"/>
        <w:rPr>
          <w:rFonts w:ascii="Arial" w:eastAsia="Times New Roman" w:hAnsi="Arial" w:cs="Arial"/>
          <w:b/>
          <w:bCs/>
          <w:i/>
          <w:iCs/>
          <w:shd w:val="clear" w:color="auto" w:fill="FFFFFF"/>
          <w:lang w:val="es-ES" w:eastAsia="es-MX"/>
        </w:rPr>
      </w:pPr>
      <w:r w:rsidRPr="00916234">
        <w:rPr>
          <w:rFonts w:ascii="Arial" w:eastAsia="Times New Roman" w:hAnsi="Arial" w:cs="Arial"/>
          <w:b/>
          <w:bCs/>
          <w:i/>
          <w:iCs/>
          <w:shd w:val="clear" w:color="auto" w:fill="FFFFFF"/>
          <w:lang w:val="es-ES" w:eastAsia="es-MX"/>
        </w:rPr>
        <w:t>d)</w:t>
      </w:r>
      <w:r w:rsidRPr="00916234">
        <w:rPr>
          <w:rFonts w:ascii="Arial" w:eastAsia="Times New Roman" w:hAnsi="Arial" w:cs="Arial"/>
          <w:b/>
          <w:bCs/>
          <w:i/>
          <w:iCs/>
          <w:shd w:val="clear" w:color="auto" w:fill="FFFFFF"/>
          <w:lang w:val="es-ES" w:eastAsia="es-MX"/>
        </w:rPr>
        <w:tab/>
        <w:t>Garantizar que no se interne a menores ni a familias con hijos menores de edad únicamente a causa de su condición de inmigrantes indocumentados;</w:t>
      </w:r>
    </w:p>
    <w:p w14:paraId="15675954" w14:textId="77777777" w:rsidR="00916234" w:rsidRPr="00916234" w:rsidRDefault="00916234" w:rsidP="00916234">
      <w:pPr>
        <w:shd w:val="clear" w:color="auto" w:fill="FFFFFF"/>
        <w:spacing w:before="100" w:beforeAutospacing="1" w:after="100" w:afterAutospacing="1" w:line="240" w:lineRule="auto"/>
        <w:jc w:val="both"/>
        <w:rPr>
          <w:rFonts w:ascii="Arial" w:eastAsia="Times New Roman" w:hAnsi="Arial" w:cs="Arial"/>
          <w:b/>
          <w:bCs/>
          <w:i/>
          <w:iCs/>
          <w:shd w:val="clear" w:color="auto" w:fill="FFFFFF"/>
          <w:lang w:val="es-ES" w:eastAsia="es-MX"/>
        </w:rPr>
      </w:pPr>
      <w:r w:rsidRPr="00916234">
        <w:rPr>
          <w:rFonts w:ascii="Arial" w:eastAsia="Times New Roman" w:hAnsi="Arial" w:cs="Arial"/>
          <w:b/>
          <w:bCs/>
          <w:i/>
          <w:iCs/>
          <w:shd w:val="clear" w:color="auto" w:fill="FFFFFF"/>
          <w:lang w:val="es-ES" w:eastAsia="es-MX"/>
        </w:rPr>
        <w:t>e)</w:t>
      </w:r>
      <w:r w:rsidRPr="00916234">
        <w:rPr>
          <w:rFonts w:ascii="Arial" w:eastAsia="Times New Roman" w:hAnsi="Arial" w:cs="Arial"/>
          <w:b/>
          <w:bCs/>
          <w:i/>
          <w:iCs/>
          <w:shd w:val="clear" w:color="auto" w:fill="FFFFFF"/>
          <w:lang w:val="es-ES" w:eastAsia="es-MX"/>
        </w:rPr>
        <w:tab/>
        <w:t>Garantizar unas condiciones de vida adecuadas en todos los centros de internamiento de inmigrantes;</w:t>
      </w:r>
    </w:p>
    <w:p w14:paraId="38DAA643" w14:textId="77777777" w:rsidR="00916234" w:rsidRPr="00916234" w:rsidRDefault="00916234" w:rsidP="00916234">
      <w:pPr>
        <w:shd w:val="clear" w:color="auto" w:fill="FFFFFF"/>
        <w:spacing w:before="100" w:beforeAutospacing="1" w:after="100" w:afterAutospacing="1" w:line="240" w:lineRule="auto"/>
        <w:jc w:val="both"/>
        <w:rPr>
          <w:rFonts w:ascii="Arial" w:eastAsia="Times New Roman" w:hAnsi="Arial" w:cs="Arial"/>
          <w:b/>
          <w:bCs/>
          <w:i/>
          <w:iCs/>
          <w:shd w:val="clear" w:color="auto" w:fill="FFFFFF"/>
          <w:lang w:val="es-ES" w:eastAsia="es-MX"/>
        </w:rPr>
      </w:pPr>
      <w:r w:rsidRPr="00916234">
        <w:rPr>
          <w:rFonts w:ascii="Arial" w:eastAsia="Times New Roman" w:hAnsi="Arial" w:cs="Arial"/>
          <w:b/>
          <w:bCs/>
          <w:i/>
          <w:iCs/>
          <w:shd w:val="clear" w:color="auto" w:fill="FFFFFF"/>
          <w:lang w:val="es-ES" w:eastAsia="es-MX"/>
        </w:rPr>
        <w:t>f)</w:t>
      </w:r>
      <w:r w:rsidRPr="00916234">
        <w:rPr>
          <w:rFonts w:ascii="Arial" w:eastAsia="Times New Roman" w:hAnsi="Arial" w:cs="Arial"/>
          <w:b/>
          <w:bCs/>
          <w:i/>
          <w:iCs/>
          <w:shd w:val="clear" w:color="auto" w:fill="FFFFFF"/>
          <w:lang w:val="es-ES" w:eastAsia="es-MX"/>
        </w:rPr>
        <w:tab/>
        <w:t>Garantizar el acceso de las personas internadas a los mecanismos eficaces de presentación de quejas;</w:t>
      </w:r>
    </w:p>
    <w:p w14:paraId="37291B67" w14:textId="77777777" w:rsidR="00916234" w:rsidRPr="00916234" w:rsidRDefault="00916234" w:rsidP="00916234">
      <w:pPr>
        <w:shd w:val="clear" w:color="auto" w:fill="FFFFFF"/>
        <w:spacing w:before="100" w:beforeAutospacing="1" w:after="100" w:afterAutospacing="1" w:line="240" w:lineRule="auto"/>
        <w:jc w:val="both"/>
        <w:rPr>
          <w:rFonts w:ascii="Arial" w:eastAsia="Times New Roman" w:hAnsi="Arial" w:cs="Arial"/>
          <w:b/>
          <w:bCs/>
          <w:i/>
          <w:iCs/>
          <w:shd w:val="clear" w:color="auto" w:fill="FFFFFF"/>
          <w:lang w:val="es-ES" w:eastAsia="es-MX"/>
        </w:rPr>
      </w:pPr>
      <w:r w:rsidRPr="00916234">
        <w:rPr>
          <w:rFonts w:ascii="Arial" w:eastAsia="Times New Roman" w:hAnsi="Arial" w:cs="Arial"/>
          <w:b/>
          <w:bCs/>
          <w:i/>
          <w:iCs/>
          <w:shd w:val="clear" w:color="auto" w:fill="FFFFFF"/>
          <w:lang w:val="es-ES" w:eastAsia="es-MX"/>
        </w:rPr>
        <w:lastRenderedPageBreak/>
        <w:t>g)</w:t>
      </w:r>
      <w:r w:rsidRPr="00916234">
        <w:rPr>
          <w:rFonts w:ascii="Arial" w:eastAsia="Times New Roman" w:hAnsi="Arial" w:cs="Arial"/>
          <w:b/>
          <w:bCs/>
          <w:i/>
          <w:iCs/>
          <w:shd w:val="clear" w:color="auto" w:fill="FFFFFF"/>
          <w:lang w:val="es-ES" w:eastAsia="es-MX"/>
        </w:rPr>
        <w:tab/>
        <w:t>Investigar los posibles abusos y actos de violencia que puedan sufrir las personas internadas en estaciones migratorias;</w:t>
      </w:r>
    </w:p>
    <w:p w14:paraId="3F0D07B3" w14:textId="77777777" w:rsidR="00916234" w:rsidRPr="00916234" w:rsidRDefault="00916234" w:rsidP="00916234">
      <w:pPr>
        <w:shd w:val="clear" w:color="auto" w:fill="FFFFFF"/>
        <w:spacing w:before="100" w:beforeAutospacing="1" w:after="100" w:afterAutospacing="1" w:line="240" w:lineRule="auto"/>
        <w:jc w:val="both"/>
        <w:rPr>
          <w:rFonts w:ascii="Arial" w:eastAsia="Times New Roman" w:hAnsi="Arial" w:cs="Arial"/>
          <w:b/>
          <w:bCs/>
          <w:i/>
          <w:iCs/>
          <w:shd w:val="clear" w:color="auto" w:fill="FFFFFF"/>
          <w:lang w:val="es-ES" w:eastAsia="es-MX"/>
        </w:rPr>
      </w:pPr>
      <w:r w:rsidRPr="00916234">
        <w:rPr>
          <w:rFonts w:ascii="Arial" w:eastAsia="Times New Roman" w:hAnsi="Arial" w:cs="Arial"/>
          <w:b/>
          <w:bCs/>
          <w:i/>
          <w:iCs/>
          <w:shd w:val="clear" w:color="auto" w:fill="FFFFFF"/>
          <w:lang w:val="es-ES" w:eastAsia="es-MX"/>
        </w:rPr>
        <w:t>h)</w:t>
      </w:r>
      <w:r w:rsidRPr="00916234">
        <w:rPr>
          <w:rFonts w:ascii="Arial" w:eastAsia="Times New Roman" w:hAnsi="Arial" w:cs="Arial"/>
          <w:b/>
          <w:bCs/>
          <w:i/>
          <w:iCs/>
          <w:shd w:val="clear" w:color="auto" w:fill="FFFFFF"/>
          <w:lang w:val="es-ES" w:eastAsia="es-MX"/>
        </w:rPr>
        <w:tab/>
        <w:t>Garantizar que las personas internadas en Estaciones Migratorias sean informadas de sus derechos, incluido el derecho a solicitar asilo, conforme a lo dispuesto en el artículo 109 de la Ley de Migración;</w:t>
      </w:r>
    </w:p>
    <w:p w14:paraId="71ED2A3A" w14:textId="77777777" w:rsidR="00916234" w:rsidRPr="00916234" w:rsidRDefault="00916234" w:rsidP="00916234">
      <w:pPr>
        <w:shd w:val="clear" w:color="auto" w:fill="FFFFFF"/>
        <w:spacing w:before="100" w:beforeAutospacing="1" w:after="100" w:afterAutospacing="1" w:line="240" w:lineRule="auto"/>
        <w:jc w:val="both"/>
        <w:rPr>
          <w:rFonts w:ascii="Arial" w:eastAsia="Times New Roman" w:hAnsi="Arial" w:cs="Arial"/>
          <w:b/>
          <w:bCs/>
          <w:i/>
          <w:iCs/>
          <w:shd w:val="clear" w:color="auto" w:fill="FFFFFF"/>
          <w:lang w:val="es-ES" w:eastAsia="es-MX"/>
        </w:rPr>
      </w:pPr>
      <w:r w:rsidRPr="00916234">
        <w:rPr>
          <w:rFonts w:ascii="Arial" w:eastAsia="Times New Roman" w:hAnsi="Arial" w:cs="Arial"/>
          <w:b/>
          <w:bCs/>
          <w:i/>
          <w:iCs/>
          <w:shd w:val="clear" w:color="auto" w:fill="FFFFFF"/>
          <w:lang w:val="es-ES" w:eastAsia="es-MX"/>
        </w:rPr>
        <w:t>i)</w:t>
      </w:r>
      <w:r w:rsidRPr="00916234">
        <w:rPr>
          <w:rFonts w:ascii="Arial" w:eastAsia="Times New Roman" w:hAnsi="Arial" w:cs="Arial"/>
          <w:b/>
          <w:bCs/>
          <w:i/>
          <w:iCs/>
          <w:shd w:val="clear" w:color="auto" w:fill="FFFFFF"/>
          <w:lang w:val="es-ES" w:eastAsia="es-MX"/>
        </w:rPr>
        <w:tab/>
        <w:t>Asegurar la correcta formación de los oficiales de migración y personal de seguridad de las estaciones migratorias;</w:t>
      </w:r>
    </w:p>
    <w:p w14:paraId="19D56EF5" w14:textId="3279E8DC" w:rsidR="00CB142B" w:rsidRPr="00916234" w:rsidRDefault="00916234" w:rsidP="00916234">
      <w:pPr>
        <w:shd w:val="clear" w:color="auto" w:fill="FFFFFF"/>
        <w:spacing w:before="100" w:beforeAutospacing="1" w:after="100" w:afterAutospacing="1" w:line="240" w:lineRule="auto"/>
        <w:jc w:val="both"/>
        <w:rPr>
          <w:rFonts w:ascii="Arial" w:eastAsia="Times New Roman" w:hAnsi="Arial" w:cs="Arial"/>
          <w:b/>
          <w:bCs/>
          <w:i/>
          <w:iCs/>
          <w:shd w:val="clear" w:color="auto" w:fill="FFFFFF"/>
          <w:lang w:val="es-ES" w:eastAsia="es-MX"/>
        </w:rPr>
      </w:pPr>
      <w:r w:rsidRPr="00916234">
        <w:rPr>
          <w:rFonts w:ascii="Arial" w:eastAsia="Times New Roman" w:hAnsi="Arial" w:cs="Arial"/>
          <w:b/>
          <w:bCs/>
          <w:i/>
          <w:iCs/>
          <w:shd w:val="clear" w:color="auto" w:fill="FFFFFF"/>
          <w:lang w:val="es-ES" w:eastAsia="es-MX"/>
        </w:rPr>
        <w:t>j)</w:t>
      </w:r>
      <w:r w:rsidRPr="00916234">
        <w:rPr>
          <w:rFonts w:ascii="Arial" w:eastAsia="Times New Roman" w:hAnsi="Arial" w:cs="Arial"/>
          <w:b/>
          <w:bCs/>
          <w:i/>
          <w:iCs/>
          <w:shd w:val="clear" w:color="auto" w:fill="FFFFFF"/>
          <w:lang w:val="es-ES" w:eastAsia="es-MX"/>
        </w:rPr>
        <w:tab/>
        <w:t>Brindar servicios de asistencia jurídica de calidad a inmigrantes y solicitantes de asilo</w:t>
      </w:r>
    </w:p>
    <w:p w14:paraId="53B83556" w14:textId="77777777" w:rsidR="00DD6683" w:rsidRPr="00DD6683" w:rsidRDefault="00DD6683" w:rsidP="00DD6683">
      <w:pPr>
        <w:numPr>
          <w:ilvl w:val="0"/>
          <w:numId w:val="2"/>
        </w:numPr>
        <w:spacing w:after="0" w:line="276" w:lineRule="auto"/>
        <w:contextualSpacing/>
        <w:jc w:val="both"/>
        <w:rPr>
          <w:rFonts w:ascii="Arial" w:eastAsia="Times New Roman" w:hAnsi="Arial" w:cs="Arial"/>
          <w:b/>
          <w:bCs/>
          <w:lang w:val="es-ES" w:eastAsia="es-MX"/>
        </w:rPr>
      </w:pPr>
      <w:r w:rsidRPr="00DD6683">
        <w:rPr>
          <w:rFonts w:ascii="Arial" w:eastAsia="Times New Roman" w:hAnsi="Arial" w:cs="Arial"/>
          <w:b/>
          <w:bCs/>
          <w:lang w:val="es-ES" w:eastAsia="es-MX"/>
        </w:rPr>
        <w:t>Acciones del Estado mexicano.</w:t>
      </w:r>
    </w:p>
    <w:p w14:paraId="5CE3123C" w14:textId="77777777" w:rsidR="00DD6683" w:rsidRPr="00DD6683" w:rsidRDefault="00DD6683" w:rsidP="00DD6683">
      <w:pPr>
        <w:spacing w:after="0" w:line="276" w:lineRule="auto"/>
        <w:ind w:left="720"/>
        <w:contextualSpacing/>
        <w:jc w:val="both"/>
        <w:rPr>
          <w:rFonts w:ascii="Arial" w:eastAsia="Times New Roman" w:hAnsi="Arial" w:cs="Arial"/>
          <w:b/>
          <w:bCs/>
          <w:lang w:val="es-ES" w:eastAsia="es-MX"/>
        </w:rPr>
      </w:pPr>
    </w:p>
    <w:p w14:paraId="0E3F7A84" w14:textId="77777777" w:rsidR="00DD6683" w:rsidRPr="00DD6683" w:rsidRDefault="00DD6683" w:rsidP="00DD6683">
      <w:pPr>
        <w:spacing w:after="0" w:line="240" w:lineRule="auto"/>
        <w:jc w:val="both"/>
        <w:rPr>
          <w:rFonts w:ascii="Times New Roman" w:eastAsia="Times New Roman" w:hAnsi="Times New Roman" w:cs="Times New Roman"/>
          <w:color w:val="0563C1"/>
          <w:u w:val="single"/>
          <w:lang w:val="es-ES" w:eastAsia="es-MX"/>
        </w:rPr>
      </w:pPr>
      <w:r w:rsidRPr="00DD6683">
        <w:rPr>
          <w:rFonts w:ascii="Arial" w:eastAsia="Times New Roman" w:hAnsi="Arial" w:cs="Arial"/>
          <w:lang w:eastAsia="es-MX"/>
        </w:rPr>
        <w:t xml:space="preserve">El 11 de noviembre de 2020 se publicaron en el Diario Oficial de la Federación reformas a la </w:t>
      </w:r>
      <w:r w:rsidRPr="00DD6683">
        <w:rPr>
          <w:rFonts w:ascii="Arial" w:eastAsia="Times New Roman" w:hAnsi="Arial" w:cs="Arial"/>
          <w:i/>
          <w:lang w:eastAsia="es-MX"/>
        </w:rPr>
        <w:t xml:space="preserve">Ley de Migración y la Ley Sobre Refugiados, Protección Complementaria </w:t>
      </w:r>
      <w:r w:rsidRPr="00DD6683">
        <w:rPr>
          <w:rFonts w:ascii="Arial" w:eastAsia="Times New Roman" w:hAnsi="Arial" w:cs="Arial"/>
          <w:i/>
          <w:lang w:eastAsia="es-MX"/>
        </w:rPr>
        <w:lastRenderedPageBreak/>
        <w:t>y Asilo Político</w:t>
      </w:r>
      <w:r w:rsidRPr="00DD6683">
        <w:rPr>
          <w:rFonts w:ascii="Arial" w:eastAsia="Times New Roman" w:hAnsi="Arial" w:cs="Arial"/>
          <w:lang w:eastAsia="es-MX"/>
        </w:rPr>
        <w:t xml:space="preserve">, a favor de acciones en beneficio del interés superior de la niñez migrante. En el que mandata que no se encuentren niños, niñas o adolescentes (NNA) albergados en estaciones migratorias, de ser el caso, se deben efectúan las diligencias necesarias para que sean canalizados de manera inmediata y permanezcan en un Centro de Asistencia Social de los Sistemas DIF mientras se resuelve su situación migratoria. Consultable en: </w:t>
      </w:r>
      <w:r w:rsidRPr="00DD6683">
        <w:rPr>
          <w:rFonts w:ascii="Times New Roman" w:eastAsia="Times New Roman" w:hAnsi="Times New Roman" w:cs="Times New Roman"/>
          <w:color w:val="0563C1"/>
          <w:u w:val="single"/>
          <w:lang w:val="es-ES" w:eastAsia="es-MX"/>
        </w:rPr>
        <w:t>http://www.diputados.gob.mx/LeyesBiblio/pdf/LMigra_200521.pdf</w:t>
      </w:r>
    </w:p>
    <w:p w14:paraId="344BD0F4" w14:textId="77777777" w:rsidR="00DD6683" w:rsidRPr="00DD6683" w:rsidRDefault="00DD6683" w:rsidP="00DD6683">
      <w:pPr>
        <w:spacing w:after="0" w:line="276" w:lineRule="auto"/>
        <w:jc w:val="both"/>
        <w:rPr>
          <w:rFonts w:ascii="Arial" w:eastAsia="Times New Roman" w:hAnsi="Arial" w:cs="Arial"/>
          <w:lang w:eastAsia="es-MX"/>
        </w:rPr>
      </w:pPr>
    </w:p>
    <w:p w14:paraId="5B9BE08E" w14:textId="77777777" w:rsidR="00DD6683" w:rsidRPr="00DD6683" w:rsidRDefault="00DD6683" w:rsidP="00DD6683">
      <w:pPr>
        <w:spacing w:after="0" w:line="276" w:lineRule="auto"/>
        <w:jc w:val="both"/>
        <w:rPr>
          <w:rFonts w:ascii="Arial" w:eastAsia="Times New Roman" w:hAnsi="Arial" w:cs="Arial"/>
          <w:lang w:val="es-ES" w:eastAsia="es-MX"/>
        </w:rPr>
      </w:pPr>
      <w:r w:rsidRPr="00DD6683">
        <w:rPr>
          <w:rFonts w:ascii="Arial" w:eastAsia="Times New Roman" w:hAnsi="Arial" w:cs="Arial"/>
          <w:lang w:val="es-ES" w:eastAsia="es-MX"/>
        </w:rPr>
        <w:t xml:space="preserve">En materia de política pública destaca el diseño de la </w:t>
      </w:r>
      <w:r w:rsidRPr="00DD6683">
        <w:rPr>
          <w:rFonts w:ascii="Arial" w:eastAsia="Times New Roman" w:hAnsi="Arial" w:cs="Arial"/>
          <w:lang w:eastAsia="es-MX"/>
        </w:rPr>
        <w:t xml:space="preserve">Ruta de Protección Integral de los Derechos de Niñas, Niños y Adolescentes en Situación de Migración, coordinada por el SIPINNA. </w:t>
      </w:r>
      <w:r w:rsidRPr="00DD6683">
        <w:rPr>
          <w:rFonts w:ascii="Arial" w:eastAsia="Times New Roman" w:hAnsi="Arial" w:cs="Arial"/>
          <w:lang w:val="es-ES" w:eastAsia="es-MX"/>
        </w:rPr>
        <w:t xml:space="preserve">La Dirección General de Control y Verificación Migratoria (DGCVM) en conjunto con otras direcciones generales del Instituto Nacional de Migración (INM) elaboraron la Guía para la atención de Niñas, Niños y Adolescentes migrantes a disposición del Instituto Nacional de Migración, documento que se elaboró con la </w:t>
      </w:r>
      <w:r w:rsidRPr="00DD6683">
        <w:rPr>
          <w:rFonts w:ascii="Arial" w:eastAsia="Times New Roman" w:hAnsi="Arial" w:cs="Arial"/>
          <w:lang w:val="es-ES" w:eastAsia="es-MX"/>
        </w:rPr>
        <w:lastRenderedPageBreak/>
        <w:t xml:space="preserve">finalidad de establecer los procedimientos y acciones que los funcionarios de migración atienden para la observancia y aplicación de lo mandatado en el citado Decreto. </w:t>
      </w:r>
    </w:p>
    <w:p w14:paraId="06027F1B" w14:textId="77777777" w:rsidR="00DD6683" w:rsidRPr="00DD6683" w:rsidRDefault="00DD6683" w:rsidP="00DD6683">
      <w:pPr>
        <w:spacing w:after="0" w:line="276" w:lineRule="auto"/>
        <w:jc w:val="both"/>
        <w:rPr>
          <w:rFonts w:ascii="Arial" w:eastAsia="Times New Roman" w:hAnsi="Arial" w:cs="Arial"/>
          <w:lang w:val="es-ES" w:eastAsia="es-MX"/>
        </w:rPr>
      </w:pPr>
    </w:p>
    <w:p w14:paraId="28D2E848" w14:textId="77777777" w:rsidR="00DD6683" w:rsidRPr="00DD6683" w:rsidRDefault="00DD6683" w:rsidP="00DD6683">
      <w:pPr>
        <w:spacing w:after="0" w:line="276" w:lineRule="auto"/>
        <w:jc w:val="both"/>
        <w:rPr>
          <w:rFonts w:ascii="Times New Roman" w:eastAsia="Times New Roman" w:hAnsi="Times New Roman" w:cs="Times New Roman"/>
          <w:color w:val="0563C1"/>
          <w:sz w:val="24"/>
          <w:szCs w:val="24"/>
          <w:u w:val="single"/>
          <w:lang w:eastAsia="es-MX"/>
        </w:rPr>
      </w:pPr>
      <w:r w:rsidRPr="00DD6683">
        <w:rPr>
          <w:rFonts w:ascii="Arial" w:eastAsia="Times New Roman" w:hAnsi="Arial" w:cs="Arial"/>
          <w:lang w:val="es-ES" w:eastAsia="es-MX"/>
        </w:rPr>
        <w:t xml:space="preserve">Los avances del Estado mexicano en materia de compromisos derivados del </w:t>
      </w:r>
      <w:r w:rsidRPr="00DD6683">
        <w:rPr>
          <w:rFonts w:ascii="Arial" w:eastAsia="Times New Roman" w:hAnsi="Arial" w:cs="Arial"/>
          <w:i/>
          <w:iCs/>
          <w:lang w:val="es-ES" w:eastAsia="es-MX"/>
        </w:rPr>
        <w:t>Pacto Mundial por una Migración Segura, ordenada y regular</w:t>
      </w:r>
      <w:r w:rsidRPr="00DD6683">
        <w:rPr>
          <w:rFonts w:ascii="Arial" w:eastAsia="Times New Roman" w:hAnsi="Arial" w:cs="Arial"/>
          <w:lang w:val="es-ES" w:eastAsia="es-MX"/>
        </w:rPr>
        <w:t xml:space="preserve"> se encuentran en: </w:t>
      </w:r>
      <w:hyperlink r:id="rId29" w:history="1">
        <w:r w:rsidRPr="00DD6683">
          <w:rPr>
            <w:rFonts w:ascii="Times New Roman" w:eastAsia="Times New Roman" w:hAnsi="Times New Roman" w:cs="Times New Roman"/>
            <w:color w:val="0563C1"/>
            <w:u w:val="single"/>
            <w:lang w:val="es-ES" w:eastAsia="es-MX"/>
          </w:rPr>
          <w:t>http://portales.segob.gob.mx/work/models/PoliticaMigratoria/Documentos/Compendio_General_PMM_2021.pdf</w:t>
        </w:r>
      </w:hyperlink>
    </w:p>
    <w:p w14:paraId="3E25D1D9" w14:textId="77777777" w:rsidR="00DD6683" w:rsidRPr="00DD6683" w:rsidRDefault="00DD6683" w:rsidP="00DD6683">
      <w:pPr>
        <w:spacing w:after="0" w:line="276" w:lineRule="auto"/>
        <w:jc w:val="both"/>
        <w:rPr>
          <w:rFonts w:ascii="Arial" w:eastAsia="Times New Roman" w:hAnsi="Arial" w:cs="Arial"/>
          <w:lang w:val="es-ES" w:eastAsia="es-MX"/>
        </w:rPr>
      </w:pPr>
    </w:p>
    <w:p w14:paraId="4BF03471" w14:textId="77777777" w:rsidR="00DD6683" w:rsidRPr="00DD6683" w:rsidRDefault="00DD6683" w:rsidP="00DD6683">
      <w:pPr>
        <w:spacing w:after="0" w:line="276" w:lineRule="auto"/>
        <w:jc w:val="both"/>
        <w:rPr>
          <w:rFonts w:ascii="Arial" w:eastAsia="Times New Roman" w:hAnsi="Arial" w:cs="Arial"/>
          <w:lang w:val="es-ES" w:eastAsia="es-MX"/>
        </w:rPr>
      </w:pPr>
      <w:r w:rsidRPr="00DD6683">
        <w:rPr>
          <w:rFonts w:ascii="Arial" w:eastAsia="Times New Roman" w:hAnsi="Arial" w:cs="Arial"/>
          <w:lang w:val="es-ES" w:eastAsia="es-MX"/>
        </w:rPr>
        <w:t xml:space="preserve">En el año 2021, el Poder Judicial de la Federación (PJF) emitió el Protocolo para Juzgar Casos que involucren Personas Migrantes y Sujetas de Protección Internacional. A través del Protocolo, se pretendió dar cuenta de las distintas obligaciones que tienen las autoridades mexicanas al tratar con personas migrantes. Consultable en: </w:t>
      </w:r>
    </w:p>
    <w:p w14:paraId="5918BF3F" w14:textId="77777777" w:rsidR="00DD6683" w:rsidRPr="00DD6683" w:rsidRDefault="009859F9" w:rsidP="00DD6683">
      <w:pPr>
        <w:spacing w:after="0" w:line="276" w:lineRule="auto"/>
        <w:jc w:val="both"/>
        <w:rPr>
          <w:rFonts w:ascii="Times New Roman" w:eastAsia="Times New Roman" w:hAnsi="Times New Roman" w:cs="Times New Roman"/>
          <w:color w:val="0563C1"/>
          <w:sz w:val="24"/>
          <w:szCs w:val="24"/>
          <w:u w:val="single"/>
          <w:lang w:eastAsia="es-MX"/>
        </w:rPr>
      </w:pPr>
      <w:hyperlink r:id="rId30" w:history="1">
        <w:r w:rsidR="00DD6683" w:rsidRPr="00DD6683">
          <w:rPr>
            <w:rFonts w:ascii="Times New Roman" w:eastAsia="Times New Roman" w:hAnsi="Times New Roman" w:cs="Times New Roman"/>
            <w:color w:val="0563C1"/>
            <w:u w:val="single"/>
            <w:lang w:val="es-ES" w:eastAsia="es-MX"/>
          </w:rPr>
          <w:t>https://www.scjn.gob.mx/derechos-humanos/sites/default/files/protocolos/archivos/2021-06/Protocolo%20para%20juzgar%20casos%20que%20involucren%20personas%20migrantes.pdf</w:t>
        </w:r>
      </w:hyperlink>
    </w:p>
    <w:p w14:paraId="256DB8D1" w14:textId="77777777" w:rsidR="00DD6683" w:rsidRPr="00DD6683" w:rsidRDefault="00DD6683" w:rsidP="00DD6683">
      <w:pPr>
        <w:spacing w:after="0" w:line="276" w:lineRule="auto"/>
        <w:jc w:val="both"/>
        <w:rPr>
          <w:rFonts w:ascii="Arial" w:eastAsia="Times New Roman" w:hAnsi="Arial" w:cs="Arial"/>
          <w:lang w:val="es-ES" w:eastAsia="es-MX"/>
        </w:rPr>
      </w:pPr>
    </w:p>
    <w:p w14:paraId="32AF7DBB" w14:textId="5306AD75" w:rsidR="00DD6683" w:rsidRPr="00B91D63" w:rsidRDefault="00DD6683" w:rsidP="00DD6683">
      <w:pPr>
        <w:numPr>
          <w:ilvl w:val="0"/>
          <w:numId w:val="2"/>
        </w:numPr>
        <w:spacing w:after="0" w:line="276" w:lineRule="auto"/>
        <w:contextualSpacing/>
        <w:jc w:val="both"/>
        <w:rPr>
          <w:rFonts w:ascii="Arial" w:eastAsia="Times New Roman" w:hAnsi="Arial" w:cs="Arial"/>
          <w:lang w:val="es-ES" w:eastAsia="es-MX"/>
        </w:rPr>
      </w:pPr>
      <w:r w:rsidRPr="00DD6683">
        <w:rPr>
          <w:rFonts w:ascii="Arial" w:eastAsia="Times New Roman" w:hAnsi="Arial" w:cs="Arial"/>
          <w:b/>
          <w:bCs/>
          <w:lang w:val="es-ES" w:eastAsia="es-MX"/>
        </w:rPr>
        <w:t>Acciones de la</w:t>
      </w:r>
      <w:r w:rsidR="00B91D63" w:rsidRPr="00B91D63">
        <w:rPr>
          <w:rFonts w:ascii="Arial" w:eastAsia="Times New Roman" w:hAnsi="Arial" w:cs="Arial"/>
          <w:b/>
          <w:bCs/>
          <w:lang w:val="es-ES" w:eastAsia="es-MX"/>
        </w:rPr>
        <w:t xml:space="preserve"> Comisión Nacional de los Derechos Humanos</w:t>
      </w:r>
      <w:r w:rsidRPr="00DD6683">
        <w:rPr>
          <w:rFonts w:ascii="Arial" w:eastAsia="Times New Roman" w:hAnsi="Arial" w:cs="Arial"/>
          <w:b/>
          <w:bCs/>
          <w:lang w:val="es-ES" w:eastAsia="es-MX"/>
        </w:rPr>
        <w:t xml:space="preserve"> </w:t>
      </w:r>
    </w:p>
    <w:p w14:paraId="423950D9" w14:textId="77777777" w:rsidR="00B91D63" w:rsidRPr="00DD6683" w:rsidRDefault="00B91D63" w:rsidP="00B91D63">
      <w:pPr>
        <w:spacing w:after="0" w:line="276" w:lineRule="auto"/>
        <w:ind w:left="720"/>
        <w:contextualSpacing/>
        <w:jc w:val="both"/>
        <w:rPr>
          <w:rFonts w:ascii="Arial" w:eastAsia="Times New Roman" w:hAnsi="Arial" w:cs="Arial"/>
          <w:lang w:val="es-ES" w:eastAsia="es-MX"/>
        </w:rPr>
      </w:pPr>
    </w:p>
    <w:p w14:paraId="11774E52" w14:textId="77777777" w:rsidR="00DD6683" w:rsidRPr="00DD6683" w:rsidRDefault="00DD6683" w:rsidP="00DD6683">
      <w:pPr>
        <w:spacing w:after="0" w:line="276" w:lineRule="auto"/>
        <w:jc w:val="both"/>
        <w:rPr>
          <w:rFonts w:ascii="Arial" w:eastAsia="Times New Roman" w:hAnsi="Arial" w:cs="Arial"/>
          <w:lang w:eastAsia="es-MX"/>
        </w:rPr>
      </w:pPr>
      <w:r w:rsidRPr="00DD6683">
        <w:rPr>
          <w:rFonts w:ascii="Arial" w:eastAsia="Times New Roman" w:hAnsi="Arial" w:cs="Arial"/>
          <w:lang w:eastAsia="es-MX"/>
        </w:rPr>
        <w:t>La CNDH considera que un mecanismo para garantizar el acceso de las personas migrantes a una estancia digna, durante su alojamiento en recintos migratorios son las gestiones que se realizan ante la autoridad migratoria, derivadas de las entrevistas sostenidas con dichas personas, las cuales buscan resolver problemas específicos de manera inmediata, tales como:</w:t>
      </w:r>
    </w:p>
    <w:p w14:paraId="29045C08" w14:textId="77777777" w:rsidR="00DD6683" w:rsidRPr="00DD6683" w:rsidRDefault="00DD6683" w:rsidP="00DD6683">
      <w:pPr>
        <w:spacing w:after="0" w:line="276" w:lineRule="auto"/>
        <w:jc w:val="both"/>
        <w:rPr>
          <w:rFonts w:ascii="Arial" w:eastAsia="Times New Roman" w:hAnsi="Arial" w:cs="Arial"/>
          <w:lang w:eastAsia="es-MX"/>
        </w:rPr>
      </w:pPr>
      <w:r w:rsidRPr="00DD6683">
        <w:rPr>
          <w:rFonts w:ascii="Arial" w:eastAsia="Times New Roman" w:hAnsi="Arial" w:cs="Arial"/>
          <w:lang w:eastAsia="es-MX"/>
        </w:rPr>
        <w:t xml:space="preserve"> </w:t>
      </w:r>
    </w:p>
    <w:p w14:paraId="274B7A3F" w14:textId="77777777" w:rsidR="00DD6683" w:rsidRPr="00DD6683" w:rsidRDefault="00DD6683" w:rsidP="00DD6683">
      <w:pPr>
        <w:spacing w:after="0" w:line="276" w:lineRule="auto"/>
        <w:jc w:val="both"/>
        <w:rPr>
          <w:rFonts w:ascii="Arial" w:eastAsia="Times New Roman" w:hAnsi="Arial" w:cs="Arial"/>
          <w:lang w:eastAsia="es-MX"/>
        </w:rPr>
      </w:pPr>
      <w:r w:rsidRPr="00DD6683">
        <w:rPr>
          <w:rFonts w:ascii="Arial" w:eastAsia="Times New Roman" w:hAnsi="Arial" w:cs="Arial"/>
          <w:lang w:eastAsia="es-MX"/>
        </w:rPr>
        <w:lastRenderedPageBreak/>
        <w:t>a. Médicas: solicitar que las personas sean atendidas por un médico de la estación; que se les proporcione algún medicamento; traslado a hospitales; consultas odontológicas.</w:t>
      </w:r>
    </w:p>
    <w:p w14:paraId="159D867A" w14:textId="77777777" w:rsidR="00DD6683" w:rsidRPr="00DD6683" w:rsidRDefault="00DD6683" w:rsidP="00DD6683">
      <w:pPr>
        <w:spacing w:after="0" w:line="276" w:lineRule="auto"/>
        <w:jc w:val="both"/>
        <w:rPr>
          <w:rFonts w:ascii="Arial" w:eastAsia="Times New Roman" w:hAnsi="Arial" w:cs="Arial"/>
          <w:lang w:eastAsia="es-MX"/>
        </w:rPr>
      </w:pPr>
      <w:r w:rsidRPr="00DD6683">
        <w:rPr>
          <w:rFonts w:ascii="Arial" w:eastAsia="Times New Roman" w:hAnsi="Arial" w:cs="Arial"/>
          <w:lang w:eastAsia="es-MX"/>
        </w:rPr>
        <w:t xml:space="preserve">b. Jurídicas: que se les informe el estado que guarda su procedimiento migratorio, solicitar audiencia para que nombren un representante legal o persona de confianza, solicitar se les canalice a la Comisión Mexicana de Ayuda a Refugiados en caso de que deseen solicitar el reconocimiento de la condición de refugiado. De igual manera cuando son víctima de un delito, que sean trasladados ante el agente del ministerio público para que presenten su denuncia. </w:t>
      </w:r>
    </w:p>
    <w:p w14:paraId="573CA3A7" w14:textId="77777777" w:rsidR="00DD6683" w:rsidRPr="00DD6683" w:rsidRDefault="00DD6683" w:rsidP="00DD6683">
      <w:pPr>
        <w:spacing w:after="0" w:line="276" w:lineRule="auto"/>
        <w:jc w:val="both"/>
        <w:rPr>
          <w:rFonts w:ascii="Arial" w:eastAsia="Times New Roman" w:hAnsi="Arial" w:cs="Arial"/>
          <w:lang w:eastAsia="es-MX"/>
        </w:rPr>
      </w:pPr>
      <w:r w:rsidRPr="00DD6683">
        <w:rPr>
          <w:rFonts w:ascii="Arial" w:eastAsia="Times New Roman" w:hAnsi="Arial" w:cs="Arial"/>
          <w:lang w:eastAsia="es-MX"/>
        </w:rPr>
        <w:t>c. Administrativas: llamadas telefónicas, solicitud de enseres de aseo personal, ropa y zapatos, visitas a sus familiares que se encuentran en alguna otra área. Si durante la visita se observa que hay niñas, niños y adolescentes que viajan solos, se gestiona ante la autoridad para que sean canalizados y trasladados a un Centro de Asistencia Social.</w:t>
      </w:r>
    </w:p>
    <w:p w14:paraId="4C5F1363" w14:textId="77777777" w:rsidR="00DD6683" w:rsidRPr="00DD6683" w:rsidRDefault="00DD6683" w:rsidP="00DD6683">
      <w:pPr>
        <w:spacing w:after="0" w:line="276" w:lineRule="auto"/>
        <w:jc w:val="both"/>
        <w:rPr>
          <w:rFonts w:ascii="Arial" w:eastAsia="Times New Roman" w:hAnsi="Arial" w:cs="Arial"/>
          <w:lang w:eastAsia="es-MX"/>
        </w:rPr>
      </w:pPr>
    </w:p>
    <w:p w14:paraId="76778F02" w14:textId="77777777" w:rsidR="00DD6683" w:rsidRPr="00DD6683" w:rsidRDefault="00DD6683" w:rsidP="00DD6683">
      <w:pPr>
        <w:spacing w:after="0" w:line="276" w:lineRule="auto"/>
        <w:jc w:val="both"/>
        <w:rPr>
          <w:rFonts w:ascii="Arial" w:eastAsia="Times New Roman" w:hAnsi="Arial" w:cs="Arial"/>
          <w:lang w:eastAsia="es-MX"/>
        </w:rPr>
      </w:pPr>
      <w:r w:rsidRPr="00DD6683">
        <w:rPr>
          <w:rFonts w:ascii="Arial" w:eastAsia="Times New Roman" w:hAnsi="Arial" w:cs="Arial"/>
          <w:lang w:eastAsia="es-MX"/>
        </w:rPr>
        <w:t xml:space="preserve">Durante el periodo que se reporta, se han realizado: </w:t>
      </w:r>
    </w:p>
    <w:p w14:paraId="63B63BF5" w14:textId="77777777" w:rsidR="00DD6683" w:rsidRPr="00DD6683" w:rsidRDefault="00DD6683" w:rsidP="00DD6683">
      <w:pPr>
        <w:spacing w:after="0" w:line="276" w:lineRule="auto"/>
        <w:jc w:val="both"/>
        <w:rPr>
          <w:rFonts w:ascii="Arial" w:eastAsia="Times New Roman" w:hAnsi="Arial" w:cs="Arial"/>
          <w:lang w:eastAsia="es-MX"/>
        </w:rPr>
      </w:pPr>
    </w:p>
    <w:tbl>
      <w:tblPr>
        <w:tblW w:w="10201" w:type="dxa"/>
        <w:tblCellMar>
          <w:left w:w="70" w:type="dxa"/>
          <w:right w:w="70" w:type="dxa"/>
        </w:tblCellMar>
        <w:tblLook w:val="04A0" w:firstRow="1" w:lastRow="0" w:firstColumn="1" w:lastColumn="0" w:noHBand="0" w:noVBand="1"/>
      </w:tblPr>
      <w:tblGrid>
        <w:gridCol w:w="2122"/>
        <w:gridCol w:w="2268"/>
        <w:gridCol w:w="2693"/>
        <w:gridCol w:w="3118"/>
      </w:tblGrid>
      <w:tr w:rsidR="00DD6683" w:rsidRPr="00DD6683" w14:paraId="75E1C109" w14:textId="77777777" w:rsidTr="00096F4B">
        <w:trPr>
          <w:trHeight w:val="901"/>
        </w:trPr>
        <w:tc>
          <w:tcPr>
            <w:tcW w:w="2122" w:type="dxa"/>
            <w:tcBorders>
              <w:top w:val="single" w:sz="4" w:space="0" w:color="auto"/>
              <w:left w:val="single" w:sz="4" w:space="0" w:color="auto"/>
              <w:bottom w:val="single" w:sz="4" w:space="0" w:color="auto"/>
              <w:right w:val="single" w:sz="4" w:space="0" w:color="auto"/>
            </w:tcBorders>
            <w:shd w:val="clear" w:color="000000" w:fill="8EA9DB"/>
            <w:noWrap/>
            <w:vAlign w:val="center"/>
            <w:hideMark/>
          </w:tcPr>
          <w:p w14:paraId="61270623" w14:textId="77777777" w:rsidR="00DD6683" w:rsidRPr="00DD6683" w:rsidRDefault="00DD6683" w:rsidP="00DD6683">
            <w:pPr>
              <w:spacing w:after="0" w:line="276" w:lineRule="auto"/>
              <w:jc w:val="both"/>
              <w:rPr>
                <w:rFonts w:ascii="Arial" w:eastAsia="Times New Roman" w:hAnsi="Arial" w:cs="Arial"/>
                <w:b/>
                <w:bCs/>
                <w:sz w:val="16"/>
                <w:szCs w:val="16"/>
                <w:lang w:eastAsia="es-MX"/>
              </w:rPr>
            </w:pPr>
            <w:r w:rsidRPr="00DD6683">
              <w:rPr>
                <w:rFonts w:ascii="Arial" w:eastAsia="Times New Roman" w:hAnsi="Arial" w:cs="Arial"/>
                <w:b/>
                <w:bCs/>
                <w:sz w:val="16"/>
                <w:szCs w:val="16"/>
                <w:lang w:eastAsia="es-MX"/>
              </w:rPr>
              <w:t>Año</w:t>
            </w:r>
          </w:p>
        </w:tc>
        <w:tc>
          <w:tcPr>
            <w:tcW w:w="2268" w:type="dxa"/>
            <w:tcBorders>
              <w:top w:val="single" w:sz="4" w:space="0" w:color="auto"/>
              <w:left w:val="nil"/>
              <w:bottom w:val="single" w:sz="4" w:space="0" w:color="auto"/>
              <w:right w:val="single" w:sz="4" w:space="0" w:color="auto"/>
            </w:tcBorders>
            <w:shd w:val="clear" w:color="000000" w:fill="8EA9DB"/>
            <w:vAlign w:val="center"/>
            <w:hideMark/>
          </w:tcPr>
          <w:p w14:paraId="31234847" w14:textId="77777777" w:rsidR="00DD6683" w:rsidRPr="00DD6683" w:rsidRDefault="00DD6683" w:rsidP="00DD6683">
            <w:pPr>
              <w:spacing w:after="0" w:line="276" w:lineRule="auto"/>
              <w:jc w:val="both"/>
              <w:rPr>
                <w:rFonts w:ascii="Arial" w:eastAsia="Times New Roman" w:hAnsi="Arial" w:cs="Arial"/>
                <w:sz w:val="16"/>
                <w:szCs w:val="16"/>
                <w:lang w:eastAsia="es-MX"/>
              </w:rPr>
            </w:pPr>
            <w:r w:rsidRPr="00DD6683">
              <w:rPr>
                <w:rFonts w:ascii="Arial" w:eastAsia="Times New Roman" w:hAnsi="Arial" w:cs="Arial"/>
                <w:b/>
                <w:bCs/>
                <w:sz w:val="16"/>
                <w:szCs w:val="16"/>
                <w:lang w:eastAsia="es-MX"/>
              </w:rPr>
              <w:t>Visitas realizadas</w:t>
            </w:r>
            <w:r w:rsidRPr="00DD6683">
              <w:rPr>
                <w:rFonts w:ascii="Arial" w:eastAsia="Times New Roman" w:hAnsi="Arial" w:cs="Arial"/>
                <w:sz w:val="16"/>
                <w:szCs w:val="16"/>
                <w:lang w:eastAsia="es-MX"/>
              </w:rPr>
              <w:t xml:space="preserve"> a Estaciones y Estancias Migratorias</w:t>
            </w:r>
          </w:p>
        </w:tc>
        <w:tc>
          <w:tcPr>
            <w:tcW w:w="2693" w:type="dxa"/>
            <w:tcBorders>
              <w:top w:val="single" w:sz="4" w:space="0" w:color="auto"/>
              <w:left w:val="nil"/>
              <w:bottom w:val="single" w:sz="4" w:space="0" w:color="auto"/>
              <w:right w:val="single" w:sz="4" w:space="0" w:color="auto"/>
            </w:tcBorders>
            <w:shd w:val="clear" w:color="000000" w:fill="8EA9DB"/>
            <w:vAlign w:val="center"/>
            <w:hideMark/>
          </w:tcPr>
          <w:p w14:paraId="3198A449" w14:textId="77777777" w:rsidR="00DD6683" w:rsidRPr="00DD6683" w:rsidRDefault="00DD6683" w:rsidP="00DD6683">
            <w:pPr>
              <w:spacing w:after="0" w:line="276" w:lineRule="auto"/>
              <w:jc w:val="both"/>
              <w:rPr>
                <w:rFonts w:ascii="Arial" w:eastAsia="Times New Roman" w:hAnsi="Arial" w:cs="Arial"/>
                <w:sz w:val="16"/>
                <w:szCs w:val="16"/>
                <w:lang w:eastAsia="es-MX"/>
              </w:rPr>
            </w:pPr>
            <w:r w:rsidRPr="00DD6683">
              <w:rPr>
                <w:rFonts w:ascii="Arial" w:eastAsia="Times New Roman" w:hAnsi="Arial" w:cs="Arial"/>
                <w:b/>
                <w:bCs/>
                <w:sz w:val="16"/>
                <w:szCs w:val="16"/>
                <w:lang w:eastAsia="es-MX"/>
              </w:rPr>
              <w:t>Personas atendidas</w:t>
            </w:r>
            <w:r w:rsidRPr="00DD6683">
              <w:rPr>
                <w:rFonts w:ascii="Arial" w:eastAsia="Times New Roman" w:hAnsi="Arial" w:cs="Arial"/>
                <w:sz w:val="16"/>
                <w:szCs w:val="16"/>
                <w:lang w:eastAsia="es-MX"/>
              </w:rPr>
              <w:t xml:space="preserve"> en las visitas a Estaciones y Estancias Migratorias</w:t>
            </w:r>
          </w:p>
        </w:tc>
        <w:tc>
          <w:tcPr>
            <w:tcW w:w="3118" w:type="dxa"/>
            <w:tcBorders>
              <w:top w:val="single" w:sz="4" w:space="0" w:color="auto"/>
              <w:left w:val="nil"/>
              <w:bottom w:val="single" w:sz="4" w:space="0" w:color="auto"/>
              <w:right w:val="single" w:sz="4" w:space="0" w:color="auto"/>
            </w:tcBorders>
            <w:shd w:val="clear" w:color="000000" w:fill="8EA9DB"/>
            <w:vAlign w:val="center"/>
            <w:hideMark/>
          </w:tcPr>
          <w:p w14:paraId="47E34BDA" w14:textId="77777777" w:rsidR="00DD6683" w:rsidRPr="00DD6683" w:rsidRDefault="00DD6683" w:rsidP="00DD6683">
            <w:pPr>
              <w:spacing w:after="0" w:line="276" w:lineRule="auto"/>
              <w:jc w:val="both"/>
              <w:rPr>
                <w:rFonts w:ascii="Arial" w:eastAsia="Times New Roman" w:hAnsi="Arial" w:cs="Arial"/>
                <w:sz w:val="16"/>
                <w:szCs w:val="16"/>
                <w:lang w:eastAsia="es-MX"/>
              </w:rPr>
            </w:pPr>
            <w:r w:rsidRPr="00DD6683">
              <w:rPr>
                <w:rFonts w:ascii="Arial" w:eastAsia="Times New Roman" w:hAnsi="Arial" w:cs="Arial"/>
                <w:b/>
                <w:bCs/>
                <w:sz w:val="16"/>
                <w:szCs w:val="16"/>
                <w:lang w:eastAsia="es-MX"/>
              </w:rPr>
              <w:t>Gestiones realizadas</w:t>
            </w:r>
            <w:r w:rsidRPr="00DD6683">
              <w:rPr>
                <w:rFonts w:ascii="Arial" w:eastAsia="Times New Roman" w:hAnsi="Arial" w:cs="Arial"/>
                <w:sz w:val="16"/>
                <w:szCs w:val="16"/>
                <w:lang w:eastAsia="es-MX"/>
              </w:rPr>
              <w:t xml:space="preserve"> en las visitas a Estaciones y Estancias Migratorias</w:t>
            </w:r>
          </w:p>
        </w:tc>
      </w:tr>
      <w:tr w:rsidR="00DD6683" w:rsidRPr="00DD6683" w14:paraId="7757A360" w14:textId="77777777" w:rsidTr="00096F4B">
        <w:trPr>
          <w:trHeight w:val="359"/>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70B7641D" w14:textId="77777777" w:rsidR="00DD6683" w:rsidRPr="00DD6683" w:rsidRDefault="00DD6683" w:rsidP="00DD6683">
            <w:pPr>
              <w:spacing w:after="0" w:line="276" w:lineRule="auto"/>
              <w:jc w:val="both"/>
              <w:rPr>
                <w:rFonts w:ascii="Arial" w:eastAsia="Times New Roman" w:hAnsi="Arial" w:cs="Arial"/>
                <w:sz w:val="16"/>
                <w:szCs w:val="16"/>
                <w:lang w:eastAsia="es-MX"/>
              </w:rPr>
            </w:pPr>
            <w:r w:rsidRPr="00DD6683">
              <w:rPr>
                <w:rFonts w:ascii="Arial" w:eastAsia="Times New Roman" w:hAnsi="Arial" w:cs="Arial"/>
                <w:sz w:val="16"/>
                <w:szCs w:val="16"/>
                <w:lang w:eastAsia="es-MX"/>
              </w:rPr>
              <w:t>Mayo-Diciembre 2019</w:t>
            </w:r>
          </w:p>
        </w:tc>
        <w:tc>
          <w:tcPr>
            <w:tcW w:w="2268" w:type="dxa"/>
            <w:tcBorders>
              <w:top w:val="nil"/>
              <w:left w:val="nil"/>
              <w:bottom w:val="single" w:sz="4" w:space="0" w:color="auto"/>
              <w:right w:val="single" w:sz="4" w:space="0" w:color="auto"/>
            </w:tcBorders>
            <w:shd w:val="clear" w:color="auto" w:fill="auto"/>
            <w:noWrap/>
            <w:vAlign w:val="center"/>
            <w:hideMark/>
          </w:tcPr>
          <w:p w14:paraId="46889177" w14:textId="77777777" w:rsidR="00DD6683" w:rsidRPr="00DD6683" w:rsidRDefault="00DD6683" w:rsidP="00DD6683">
            <w:pPr>
              <w:spacing w:after="0" w:line="276" w:lineRule="auto"/>
              <w:jc w:val="both"/>
              <w:rPr>
                <w:rFonts w:ascii="Arial" w:eastAsia="Times New Roman" w:hAnsi="Arial" w:cs="Arial"/>
                <w:sz w:val="16"/>
                <w:szCs w:val="16"/>
                <w:lang w:eastAsia="es-MX"/>
              </w:rPr>
            </w:pPr>
            <w:r w:rsidRPr="00DD6683">
              <w:rPr>
                <w:rFonts w:ascii="Arial" w:eastAsia="Times New Roman" w:hAnsi="Arial" w:cs="Arial"/>
                <w:sz w:val="16"/>
                <w:szCs w:val="16"/>
                <w:lang w:eastAsia="es-MX"/>
              </w:rPr>
              <w:t>1,060</w:t>
            </w:r>
          </w:p>
        </w:tc>
        <w:tc>
          <w:tcPr>
            <w:tcW w:w="2693" w:type="dxa"/>
            <w:tcBorders>
              <w:top w:val="nil"/>
              <w:left w:val="nil"/>
              <w:bottom w:val="single" w:sz="4" w:space="0" w:color="auto"/>
              <w:right w:val="single" w:sz="4" w:space="0" w:color="auto"/>
            </w:tcBorders>
            <w:shd w:val="clear" w:color="auto" w:fill="auto"/>
            <w:noWrap/>
            <w:vAlign w:val="center"/>
            <w:hideMark/>
          </w:tcPr>
          <w:p w14:paraId="00414F7C" w14:textId="77777777" w:rsidR="00DD6683" w:rsidRPr="00DD6683" w:rsidRDefault="00DD6683" w:rsidP="00DD6683">
            <w:pPr>
              <w:spacing w:after="0" w:line="276" w:lineRule="auto"/>
              <w:jc w:val="both"/>
              <w:rPr>
                <w:rFonts w:ascii="Arial" w:eastAsia="Times New Roman" w:hAnsi="Arial" w:cs="Arial"/>
                <w:sz w:val="16"/>
                <w:szCs w:val="16"/>
                <w:lang w:eastAsia="es-MX"/>
              </w:rPr>
            </w:pPr>
            <w:r w:rsidRPr="00DD6683">
              <w:rPr>
                <w:rFonts w:ascii="Arial" w:eastAsia="Times New Roman" w:hAnsi="Arial" w:cs="Arial"/>
                <w:sz w:val="16"/>
                <w:szCs w:val="16"/>
                <w:lang w:eastAsia="es-MX"/>
              </w:rPr>
              <w:t>101,989</w:t>
            </w:r>
          </w:p>
        </w:tc>
        <w:tc>
          <w:tcPr>
            <w:tcW w:w="3118" w:type="dxa"/>
            <w:tcBorders>
              <w:top w:val="nil"/>
              <w:left w:val="nil"/>
              <w:bottom w:val="single" w:sz="4" w:space="0" w:color="auto"/>
              <w:right w:val="single" w:sz="4" w:space="0" w:color="auto"/>
            </w:tcBorders>
            <w:shd w:val="clear" w:color="auto" w:fill="auto"/>
            <w:noWrap/>
            <w:vAlign w:val="center"/>
            <w:hideMark/>
          </w:tcPr>
          <w:p w14:paraId="649305F0" w14:textId="77777777" w:rsidR="00DD6683" w:rsidRPr="00DD6683" w:rsidRDefault="00DD6683" w:rsidP="00DD6683">
            <w:pPr>
              <w:spacing w:after="0" w:line="276" w:lineRule="auto"/>
              <w:jc w:val="both"/>
              <w:rPr>
                <w:rFonts w:ascii="Arial" w:eastAsia="Times New Roman" w:hAnsi="Arial" w:cs="Arial"/>
                <w:sz w:val="16"/>
                <w:szCs w:val="16"/>
                <w:lang w:eastAsia="es-MX"/>
              </w:rPr>
            </w:pPr>
            <w:r w:rsidRPr="00DD6683">
              <w:rPr>
                <w:rFonts w:ascii="Arial" w:eastAsia="Times New Roman" w:hAnsi="Arial" w:cs="Arial"/>
                <w:sz w:val="16"/>
                <w:szCs w:val="16"/>
                <w:lang w:eastAsia="es-MX"/>
              </w:rPr>
              <w:t>16,221</w:t>
            </w:r>
          </w:p>
        </w:tc>
      </w:tr>
      <w:tr w:rsidR="00DD6683" w:rsidRPr="00DD6683" w14:paraId="1A54BEB1" w14:textId="77777777" w:rsidTr="00096F4B">
        <w:trPr>
          <w:trHeight w:val="317"/>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78238445" w14:textId="77777777" w:rsidR="00DD6683" w:rsidRPr="00DD6683" w:rsidRDefault="00DD6683" w:rsidP="00DD6683">
            <w:pPr>
              <w:spacing w:after="0" w:line="276" w:lineRule="auto"/>
              <w:jc w:val="both"/>
              <w:rPr>
                <w:rFonts w:ascii="Arial" w:eastAsia="Times New Roman" w:hAnsi="Arial" w:cs="Arial"/>
                <w:sz w:val="16"/>
                <w:szCs w:val="16"/>
                <w:lang w:eastAsia="es-MX"/>
              </w:rPr>
            </w:pPr>
            <w:r w:rsidRPr="00DD6683">
              <w:rPr>
                <w:rFonts w:ascii="Arial" w:eastAsia="Times New Roman" w:hAnsi="Arial" w:cs="Arial"/>
                <w:sz w:val="16"/>
                <w:szCs w:val="16"/>
                <w:lang w:eastAsia="es-MX"/>
              </w:rPr>
              <w:t>2020</w:t>
            </w:r>
          </w:p>
        </w:tc>
        <w:tc>
          <w:tcPr>
            <w:tcW w:w="2268" w:type="dxa"/>
            <w:tcBorders>
              <w:top w:val="nil"/>
              <w:left w:val="nil"/>
              <w:bottom w:val="single" w:sz="4" w:space="0" w:color="auto"/>
              <w:right w:val="single" w:sz="4" w:space="0" w:color="auto"/>
            </w:tcBorders>
            <w:shd w:val="clear" w:color="auto" w:fill="auto"/>
            <w:noWrap/>
            <w:vAlign w:val="center"/>
            <w:hideMark/>
          </w:tcPr>
          <w:p w14:paraId="05964893" w14:textId="77777777" w:rsidR="00DD6683" w:rsidRPr="00DD6683" w:rsidRDefault="00DD6683" w:rsidP="00DD6683">
            <w:pPr>
              <w:spacing w:after="0" w:line="276" w:lineRule="auto"/>
              <w:jc w:val="both"/>
              <w:rPr>
                <w:rFonts w:ascii="Arial" w:eastAsia="Times New Roman" w:hAnsi="Arial" w:cs="Arial"/>
                <w:sz w:val="16"/>
                <w:szCs w:val="16"/>
                <w:lang w:eastAsia="es-MX"/>
              </w:rPr>
            </w:pPr>
            <w:r w:rsidRPr="00DD6683">
              <w:rPr>
                <w:rFonts w:ascii="Arial" w:eastAsia="Times New Roman" w:hAnsi="Arial" w:cs="Arial"/>
                <w:sz w:val="16"/>
                <w:szCs w:val="16"/>
                <w:lang w:eastAsia="es-MX"/>
              </w:rPr>
              <w:t>1,017</w:t>
            </w:r>
          </w:p>
        </w:tc>
        <w:tc>
          <w:tcPr>
            <w:tcW w:w="2693" w:type="dxa"/>
            <w:tcBorders>
              <w:top w:val="nil"/>
              <w:left w:val="nil"/>
              <w:bottom w:val="single" w:sz="4" w:space="0" w:color="auto"/>
              <w:right w:val="single" w:sz="4" w:space="0" w:color="auto"/>
            </w:tcBorders>
            <w:shd w:val="clear" w:color="auto" w:fill="auto"/>
            <w:noWrap/>
            <w:vAlign w:val="center"/>
            <w:hideMark/>
          </w:tcPr>
          <w:p w14:paraId="716AEC77" w14:textId="77777777" w:rsidR="00DD6683" w:rsidRPr="00DD6683" w:rsidRDefault="00DD6683" w:rsidP="00DD6683">
            <w:pPr>
              <w:spacing w:after="0" w:line="276" w:lineRule="auto"/>
              <w:jc w:val="both"/>
              <w:rPr>
                <w:rFonts w:ascii="Arial" w:eastAsia="Times New Roman" w:hAnsi="Arial" w:cs="Arial"/>
                <w:sz w:val="16"/>
                <w:szCs w:val="16"/>
                <w:lang w:eastAsia="es-MX"/>
              </w:rPr>
            </w:pPr>
            <w:r w:rsidRPr="00DD6683">
              <w:rPr>
                <w:rFonts w:ascii="Arial" w:eastAsia="Times New Roman" w:hAnsi="Arial" w:cs="Arial"/>
                <w:sz w:val="16"/>
                <w:szCs w:val="16"/>
                <w:lang w:eastAsia="es-MX"/>
              </w:rPr>
              <w:t>75,101</w:t>
            </w:r>
          </w:p>
        </w:tc>
        <w:tc>
          <w:tcPr>
            <w:tcW w:w="3118" w:type="dxa"/>
            <w:tcBorders>
              <w:top w:val="nil"/>
              <w:left w:val="nil"/>
              <w:bottom w:val="single" w:sz="4" w:space="0" w:color="auto"/>
              <w:right w:val="single" w:sz="4" w:space="0" w:color="auto"/>
            </w:tcBorders>
            <w:shd w:val="clear" w:color="auto" w:fill="auto"/>
            <w:noWrap/>
            <w:vAlign w:val="center"/>
            <w:hideMark/>
          </w:tcPr>
          <w:p w14:paraId="2DFE92DC" w14:textId="77777777" w:rsidR="00DD6683" w:rsidRPr="00DD6683" w:rsidRDefault="00DD6683" w:rsidP="00DD6683">
            <w:pPr>
              <w:spacing w:after="0" w:line="276" w:lineRule="auto"/>
              <w:jc w:val="both"/>
              <w:rPr>
                <w:rFonts w:ascii="Arial" w:eastAsia="Times New Roman" w:hAnsi="Arial" w:cs="Arial"/>
                <w:sz w:val="16"/>
                <w:szCs w:val="16"/>
                <w:lang w:eastAsia="es-MX"/>
              </w:rPr>
            </w:pPr>
            <w:r w:rsidRPr="00DD6683">
              <w:rPr>
                <w:rFonts w:ascii="Arial" w:eastAsia="Times New Roman" w:hAnsi="Arial" w:cs="Arial"/>
                <w:sz w:val="16"/>
                <w:szCs w:val="16"/>
                <w:lang w:eastAsia="es-MX"/>
              </w:rPr>
              <w:t>19,439</w:t>
            </w:r>
          </w:p>
        </w:tc>
      </w:tr>
      <w:tr w:rsidR="00DD6683" w:rsidRPr="00DD6683" w14:paraId="35DB34E9" w14:textId="77777777" w:rsidTr="00096F4B">
        <w:trPr>
          <w:trHeight w:val="420"/>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0244BB1" w14:textId="77777777" w:rsidR="00DD6683" w:rsidRPr="00DD6683" w:rsidRDefault="00DD6683" w:rsidP="00DD6683">
            <w:pPr>
              <w:spacing w:after="0" w:line="276" w:lineRule="auto"/>
              <w:jc w:val="both"/>
              <w:rPr>
                <w:rFonts w:ascii="Arial" w:eastAsia="Times New Roman" w:hAnsi="Arial" w:cs="Arial"/>
                <w:sz w:val="16"/>
                <w:szCs w:val="16"/>
                <w:lang w:eastAsia="es-MX"/>
              </w:rPr>
            </w:pPr>
            <w:r w:rsidRPr="00DD6683">
              <w:rPr>
                <w:rFonts w:ascii="Arial" w:eastAsia="Times New Roman" w:hAnsi="Arial" w:cs="Arial"/>
                <w:sz w:val="16"/>
                <w:szCs w:val="16"/>
                <w:lang w:eastAsia="es-MX"/>
              </w:rPr>
              <w:t>2021</w:t>
            </w:r>
          </w:p>
        </w:tc>
        <w:tc>
          <w:tcPr>
            <w:tcW w:w="2268" w:type="dxa"/>
            <w:tcBorders>
              <w:top w:val="nil"/>
              <w:left w:val="nil"/>
              <w:bottom w:val="single" w:sz="4" w:space="0" w:color="auto"/>
              <w:right w:val="single" w:sz="4" w:space="0" w:color="auto"/>
            </w:tcBorders>
            <w:shd w:val="clear" w:color="auto" w:fill="auto"/>
            <w:noWrap/>
            <w:vAlign w:val="center"/>
            <w:hideMark/>
          </w:tcPr>
          <w:p w14:paraId="4B789267" w14:textId="77777777" w:rsidR="00DD6683" w:rsidRPr="00DD6683" w:rsidRDefault="00DD6683" w:rsidP="00DD6683">
            <w:pPr>
              <w:spacing w:after="0" w:line="276" w:lineRule="auto"/>
              <w:jc w:val="both"/>
              <w:rPr>
                <w:rFonts w:ascii="Arial" w:eastAsia="Times New Roman" w:hAnsi="Arial" w:cs="Arial"/>
                <w:sz w:val="16"/>
                <w:szCs w:val="16"/>
                <w:lang w:eastAsia="es-MX"/>
              </w:rPr>
            </w:pPr>
            <w:r w:rsidRPr="00DD6683">
              <w:rPr>
                <w:rFonts w:ascii="Arial" w:eastAsia="Times New Roman" w:hAnsi="Arial" w:cs="Arial"/>
                <w:sz w:val="16"/>
                <w:szCs w:val="16"/>
                <w:lang w:eastAsia="es-MX"/>
              </w:rPr>
              <w:t>1,229</w:t>
            </w:r>
          </w:p>
        </w:tc>
        <w:tc>
          <w:tcPr>
            <w:tcW w:w="2693" w:type="dxa"/>
            <w:tcBorders>
              <w:top w:val="nil"/>
              <w:left w:val="nil"/>
              <w:bottom w:val="single" w:sz="4" w:space="0" w:color="auto"/>
              <w:right w:val="single" w:sz="4" w:space="0" w:color="auto"/>
            </w:tcBorders>
            <w:shd w:val="clear" w:color="auto" w:fill="auto"/>
            <w:noWrap/>
            <w:vAlign w:val="center"/>
            <w:hideMark/>
          </w:tcPr>
          <w:p w14:paraId="6B954FBC" w14:textId="77777777" w:rsidR="00DD6683" w:rsidRPr="00DD6683" w:rsidRDefault="00DD6683" w:rsidP="00DD6683">
            <w:pPr>
              <w:spacing w:after="0" w:line="276" w:lineRule="auto"/>
              <w:jc w:val="both"/>
              <w:rPr>
                <w:rFonts w:ascii="Arial" w:eastAsia="Times New Roman" w:hAnsi="Arial" w:cs="Arial"/>
                <w:sz w:val="16"/>
                <w:szCs w:val="16"/>
                <w:lang w:eastAsia="es-MX"/>
              </w:rPr>
            </w:pPr>
            <w:r w:rsidRPr="00DD6683">
              <w:rPr>
                <w:rFonts w:ascii="Arial" w:eastAsia="Times New Roman" w:hAnsi="Arial" w:cs="Arial"/>
                <w:sz w:val="16"/>
                <w:szCs w:val="16"/>
                <w:lang w:eastAsia="es-MX"/>
              </w:rPr>
              <w:t>105,646</w:t>
            </w:r>
          </w:p>
        </w:tc>
        <w:tc>
          <w:tcPr>
            <w:tcW w:w="3118" w:type="dxa"/>
            <w:tcBorders>
              <w:top w:val="nil"/>
              <w:left w:val="nil"/>
              <w:bottom w:val="single" w:sz="4" w:space="0" w:color="auto"/>
              <w:right w:val="single" w:sz="4" w:space="0" w:color="auto"/>
            </w:tcBorders>
            <w:shd w:val="clear" w:color="auto" w:fill="auto"/>
            <w:noWrap/>
            <w:vAlign w:val="center"/>
            <w:hideMark/>
          </w:tcPr>
          <w:p w14:paraId="5A20C2BA" w14:textId="77777777" w:rsidR="00DD6683" w:rsidRPr="00DD6683" w:rsidRDefault="00DD6683" w:rsidP="00DD6683">
            <w:pPr>
              <w:spacing w:after="0" w:line="276" w:lineRule="auto"/>
              <w:jc w:val="both"/>
              <w:rPr>
                <w:rFonts w:ascii="Arial" w:eastAsia="Times New Roman" w:hAnsi="Arial" w:cs="Arial"/>
                <w:sz w:val="16"/>
                <w:szCs w:val="16"/>
                <w:lang w:eastAsia="es-MX"/>
              </w:rPr>
            </w:pPr>
            <w:r w:rsidRPr="00DD6683">
              <w:rPr>
                <w:rFonts w:ascii="Arial" w:eastAsia="Times New Roman" w:hAnsi="Arial" w:cs="Arial"/>
                <w:sz w:val="16"/>
                <w:szCs w:val="16"/>
                <w:lang w:eastAsia="es-MX"/>
              </w:rPr>
              <w:t>29,536</w:t>
            </w:r>
          </w:p>
        </w:tc>
      </w:tr>
      <w:tr w:rsidR="00DD6683" w:rsidRPr="00DD6683" w14:paraId="7566E356" w14:textId="77777777" w:rsidTr="00096F4B">
        <w:trPr>
          <w:trHeight w:val="361"/>
        </w:trPr>
        <w:tc>
          <w:tcPr>
            <w:tcW w:w="2122" w:type="dxa"/>
            <w:tcBorders>
              <w:top w:val="nil"/>
              <w:left w:val="single" w:sz="4" w:space="0" w:color="auto"/>
              <w:bottom w:val="single" w:sz="4" w:space="0" w:color="auto"/>
              <w:right w:val="single" w:sz="4" w:space="0" w:color="auto"/>
            </w:tcBorders>
            <w:shd w:val="clear" w:color="000000" w:fill="D9D9D9"/>
            <w:noWrap/>
            <w:vAlign w:val="center"/>
            <w:hideMark/>
          </w:tcPr>
          <w:p w14:paraId="3589923B" w14:textId="77777777" w:rsidR="00DD6683" w:rsidRPr="00DD6683" w:rsidRDefault="00DD6683" w:rsidP="00DD6683">
            <w:pPr>
              <w:spacing w:after="0" w:line="276" w:lineRule="auto"/>
              <w:jc w:val="both"/>
              <w:rPr>
                <w:rFonts w:ascii="Arial" w:eastAsia="Times New Roman" w:hAnsi="Arial" w:cs="Arial"/>
                <w:b/>
                <w:bCs/>
                <w:sz w:val="16"/>
                <w:szCs w:val="16"/>
                <w:lang w:eastAsia="es-MX"/>
              </w:rPr>
            </w:pPr>
            <w:r w:rsidRPr="00DD6683">
              <w:rPr>
                <w:rFonts w:ascii="Arial" w:eastAsia="Times New Roman" w:hAnsi="Arial" w:cs="Arial"/>
                <w:b/>
                <w:bCs/>
                <w:sz w:val="16"/>
                <w:szCs w:val="16"/>
                <w:lang w:eastAsia="es-MX"/>
              </w:rPr>
              <w:t>TOTAL</w:t>
            </w:r>
          </w:p>
        </w:tc>
        <w:tc>
          <w:tcPr>
            <w:tcW w:w="2268" w:type="dxa"/>
            <w:tcBorders>
              <w:top w:val="nil"/>
              <w:left w:val="nil"/>
              <w:bottom w:val="single" w:sz="4" w:space="0" w:color="auto"/>
              <w:right w:val="single" w:sz="4" w:space="0" w:color="auto"/>
            </w:tcBorders>
            <w:shd w:val="clear" w:color="000000" w:fill="D9D9D9"/>
            <w:noWrap/>
            <w:vAlign w:val="center"/>
            <w:hideMark/>
          </w:tcPr>
          <w:p w14:paraId="79BBB520" w14:textId="77777777" w:rsidR="00DD6683" w:rsidRPr="00DD6683" w:rsidRDefault="00DD6683" w:rsidP="00DD6683">
            <w:pPr>
              <w:spacing w:after="0" w:line="276" w:lineRule="auto"/>
              <w:jc w:val="both"/>
              <w:rPr>
                <w:rFonts w:ascii="Arial" w:eastAsia="Times New Roman" w:hAnsi="Arial" w:cs="Arial"/>
                <w:b/>
                <w:bCs/>
                <w:sz w:val="16"/>
                <w:szCs w:val="16"/>
                <w:lang w:eastAsia="es-MX"/>
              </w:rPr>
            </w:pPr>
            <w:r w:rsidRPr="00DD6683">
              <w:rPr>
                <w:rFonts w:ascii="Arial" w:eastAsia="Times New Roman" w:hAnsi="Arial" w:cs="Arial"/>
                <w:b/>
                <w:bCs/>
                <w:sz w:val="16"/>
                <w:szCs w:val="16"/>
                <w:lang w:eastAsia="es-MX"/>
              </w:rPr>
              <w:t>3,306</w:t>
            </w:r>
          </w:p>
        </w:tc>
        <w:tc>
          <w:tcPr>
            <w:tcW w:w="2693" w:type="dxa"/>
            <w:tcBorders>
              <w:top w:val="nil"/>
              <w:left w:val="nil"/>
              <w:bottom w:val="single" w:sz="4" w:space="0" w:color="auto"/>
              <w:right w:val="single" w:sz="4" w:space="0" w:color="auto"/>
            </w:tcBorders>
            <w:shd w:val="clear" w:color="000000" w:fill="D9D9D9"/>
            <w:noWrap/>
            <w:vAlign w:val="center"/>
            <w:hideMark/>
          </w:tcPr>
          <w:p w14:paraId="312088B5" w14:textId="77777777" w:rsidR="00DD6683" w:rsidRPr="00DD6683" w:rsidRDefault="00DD6683" w:rsidP="00DD6683">
            <w:pPr>
              <w:spacing w:after="0" w:line="276" w:lineRule="auto"/>
              <w:jc w:val="both"/>
              <w:rPr>
                <w:rFonts w:ascii="Arial" w:eastAsia="Times New Roman" w:hAnsi="Arial" w:cs="Arial"/>
                <w:b/>
                <w:bCs/>
                <w:sz w:val="16"/>
                <w:szCs w:val="16"/>
                <w:lang w:eastAsia="es-MX"/>
              </w:rPr>
            </w:pPr>
            <w:r w:rsidRPr="00DD6683">
              <w:rPr>
                <w:rFonts w:ascii="Arial" w:eastAsia="Times New Roman" w:hAnsi="Arial" w:cs="Arial"/>
                <w:b/>
                <w:bCs/>
                <w:sz w:val="16"/>
                <w:szCs w:val="16"/>
                <w:lang w:eastAsia="es-MX"/>
              </w:rPr>
              <w:t>282,736</w:t>
            </w:r>
          </w:p>
        </w:tc>
        <w:tc>
          <w:tcPr>
            <w:tcW w:w="3118" w:type="dxa"/>
            <w:tcBorders>
              <w:top w:val="nil"/>
              <w:left w:val="nil"/>
              <w:bottom w:val="single" w:sz="4" w:space="0" w:color="auto"/>
              <w:right w:val="single" w:sz="4" w:space="0" w:color="auto"/>
            </w:tcBorders>
            <w:shd w:val="clear" w:color="000000" w:fill="D9D9D9"/>
            <w:noWrap/>
            <w:vAlign w:val="center"/>
            <w:hideMark/>
          </w:tcPr>
          <w:p w14:paraId="482959CD" w14:textId="77777777" w:rsidR="00DD6683" w:rsidRPr="00DD6683" w:rsidRDefault="00DD6683" w:rsidP="00DD6683">
            <w:pPr>
              <w:spacing w:after="0" w:line="276" w:lineRule="auto"/>
              <w:jc w:val="both"/>
              <w:rPr>
                <w:rFonts w:ascii="Arial" w:eastAsia="Times New Roman" w:hAnsi="Arial" w:cs="Arial"/>
                <w:b/>
                <w:bCs/>
                <w:sz w:val="16"/>
                <w:szCs w:val="16"/>
                <w:lang w:eastAsia="es-MX"/>
              </w:rPr>
            </w:pPr>
            <w:r w:rsidRPr="00DD6683">
              <w:rPr>
                <w:rFonts w:ascii="Arial" w:eastAsia="Times New Roman" w:hAnsi="Arial" w:cs="Arial"/>
                <w:b/>
                <w:bCs/>
                <w:sz w:val="16"/>
                <w:szCs w:val="16"/>
                <w:lang w:eastAsia="es-MX"/>
              </w:rPr>
              <w:t>65,196</w:t>
            </w:r>
          </w:p>
        </w:tc>
      </w:tr>
    </w:tbl>
    <w:p w14:paraId="072C6098" w14:textId="77777777" w:rsidR="00DD6683" w:rsidRPr="00DD6683" w:rsidRDefault="00DD6683" w:rsidP="00DD6683">
      <w:pPr>
        <w:spacing w:after="0" w:line="276" w:lineRule="auto"/>
        <w:jc w:val="both"/>
        <w:rPr>
          <w:rFonts w:ascii="Arial" w:eastAsia="Times New Roman" w:hAnsi="Arial" w:cs="Arial"/>
          <w:lang w:eastAsia="es-MX"/>
        </w:rPr>
      </w:pPr>
    </w:p>
    <w:p w14:paraId="4C824E8E" w14:textId="77777777" w:rsidR="00DD6683" w:rsidRPr="00DD6683" w:rsidRDefault="00DD6683" w:rsidP="00DD6683">
      <w:pPr>
        <w:spacing w:after="0" w:line="276" w:lineRule="auto"/>
        <w:jc w:val="both"/>
        <w:rPr>
          <w:rFonts w:ascii="Arial" w:eastAsia="Times New Roman" w:hAnsi="Arial" w:cs="Arial"/>
          <w:lang w:eastAsia="es-MX"/>
        </w:rPr>
      </w:pPr>
      <w:r w:rsidRPr="00DD6683">
        <w:rPr>
          <w:rFonts w:ascii="Arial" w:eastAsia="Times New Roman" w:hAnsi="Arial" w:cs="Arial"/>
          <w:lang w:eastAsia="es-MX"/>
        </w:rPr>
        <w:t xml:space="preserve">Este Organismo Nacional tiene como tarea sustantiva la protección y defensa de los derechos humanos, a través de la investigación y determinación de expedientes de queja, de los que, dentro del periodo que se informa se emitieron </w:t>
      </w:r>
      <w:r w:rsidRPr="00DD6683">
        <w:rPr>
          <w:rFonts w:ascii="Arial" w:eastAsia="Times New Roman" w:hAnsi="Arial" w:cs="Arial"/>
          <w:b/>
          <w:bCs/>
          <w:lang w:eastAsia="es-MX"/>
        </w:rPr>
        <w:t>11</w:t>
      </w:r>
      <w:r w:rsidRPr="00DD6683">
        <w:rPr>
          <w:rFonts w:ascii="Arial" w:eastAsia="Times New Roman" w:hAnsi="Arial" w:cs="Arial"/>
          <w:lang w:eastAsia="es-MX"/>
        </w:rPr>
        <w:t xml:space="preserve"> Recomendaciones relativas a las condiciones de alojamiento de las personas migrantes; sobre niñas, niños y adolescentes alojados en las estaciones migratorias, así como solicitantes del reconocimiento de la condición de refugiado. Las cuales se encuentran </w:t>
      </w:r>
      <w:r w:rsidRPr="00DD6683">
        <w:rPr>
          <w:rFonts w:ascii="Arial" w:eastAsia="Times New Roman" w:hAnsi="Arial" w:cs="Arial"/>
          <w:lang w:eastAsia="es-MX"/>
        </w:rPr>
        <w:lastRenderedPageBreak/>
        <w:t xml:space="preserve">disponibles para su consulta en la página electrónica de esta CNDH </w:t>
      </w:r>
      <w:hyperlink r:id="rId31" w:history="1">
        <w:r w:rsidRPr="00DD6683">
          <w:rPr>
            <w:rFonts w:ascii="Times New Roman" w:eastAsia="Times New Roman" w:hAnsi="Times New Roman" w:cs="Times New Roman"/>
            <w:color w:val="0563C1"/>
            <w:u w:val="single"/>
            <w:lang w:val="es-ES" w:eastAsia="es-MX"/>
          </w:rPr>
          <w:t>https://www.cndh.org.mx/tipo/1/recomendacion</w:t>
        </w:r>
      </w:hyperlink>
      <w:r w:rsidRPr="00DD6683">
        <w:rPr>
          <w:rFonts w:ascii="Arial" w:eastAsia="Times New Roman" w:hAnsi="Arial" w:cs="Arial"/>
          <w:lang w:eastAsia="es-MX"/>
        </w:rPr>
        <w:t xml:space="preserve"> 37/2019, 38/2019, 40/2019, 77/2019, 79/2019, 34/2020, 36/2020, 68/2020, 69/2020, 33/2021 y 80/2021.</w:t>
      </w:r>
    </w:p>
    <w:p w14:paraId="3E0C854A" w14:textId="77777777" w:rsidR="00DD6683" w:rsidRPr="00DD6683" w:rsidRDefault="00DD6683" w:rsidP="00DD6683">
      <w:pPr>
        <w:spacing w:after="0" w:line="276" w:lineRule="auto"/>
        <w:jc w:val="both"/>
        <w:rPr>
          <w:rFonts w:ascii="Arial" w:eastAsia="Times New Roman" w:hAnsi="Arial" w:cs="Arial"/>
          <w:lang w:eastAsia="es-MX"/>
        </w:rPr>
      </w:pPr>
    </w:p>
    <w:p w14:paraId="01622A59" w14:textId="77777777" w:rsidR="00DD6683" w:rsidRPr="00DD6683" w:rsidRDefault="00DD6683" w:rsidP="00DD6683">
      <w:pPr>
        <w:spacing w:after="0" w:line="276" w:lineRule="auto"/>
        <w:jc w:val="both"/>
        <w:rPr>
          <w:rFonts w:ascii="Arial" w:eastAsia="Times New Roman" w:hAnsi="Arial" w:cs="Arial"/>
          <w:lang w:eastAsia="es-MX"/>
        </w:rPr>
      </w:pPr>
      <w:r w:rsidRPr="00DD6683">
        <w:rPr>
          <w:rFonts w:ascii="Arial" w:eastAsia="Times New Roman" w:hAnsi="Arial" w:cs="Arial"/>
          <w:lang w:eastAsia="es-MX"/>
        </w:rPr>
        <w:t xml:space="preserve">Durante el ese periodo, se solicitó la adopción de medidas cautelares para salvaguardar la integridad física y psicológica de personas migrantes, a fin de evitar daños inminentes y de imposible reparación, </w:t>
      </w:r>
      <w:r w:rsidRPr="00DD6683">
        <w:rPr>
          <w:rFonts w:ascii="Arial" w:eastAsia="Times New Roman" w:hAnsi="Arial" w:cs="Arial"/>
          <w:b/>
          <w:bCs/>
          <w:lang w:eastAsia="es-MX"/>
        </w:rPr>
        <w:t xml:space="preserve">16 </w:t>
      </w:r>
      <w:r w:rsidRPr="00DD6683">
        <w:rPr>
          <w:rFonts w:ascii="Arial" w:eastAsia="Times New Roman" w:hAnsi="Arial" w:cs="Arial"/>
          <w:lang w:eastAsia="es-MX"/>
        </w:rPr>
        <w:t xml:space="preserve">ocasiones de mayo a diciembre de 2019; </w:t>
      </w:r>
      <w:r w:rsidRPr="00DD6683">
        <w:rPr>
          <w:rFonts w:ascii="Arial" w:eastAsia="Times New Roman" w:hAnsi="Arial" w:cs="Arial"/>
          <w:b/>
          <w:bCs/>
          <w:lang w:eastAsia="es-MX"/>
        </w:rPr>
        <w:t xml:space="preserve">10 </w:t>
      </w:r>
      <w:r w:rsidRPr="00DD6683">
        <w:rPr>
          <w:rFonts w:ascii="Arial" w:eastAsia="Times New Roman" w:hAnsi="Arial" w:cs="Arial"/>
          <w:lang w:eastAsia="es-MX"/>
        </w:rPr>
        <w:t xml:space="preserve">en 2020 y </w:t>
      </w:r>
      <w:r w:rsidRPr="00DD6683">
        <w:rPr>
          <w:rFonts w:ascii="Arial" w:eastAsia="Times New Roman" w:hAnsi="Arial" w:cs="Arial"/>
          <w:b/>
          <w:bCs/>
          <w:lang w:eastAsia="es-MX"/>
        </w:rPr>
        <w:t xml:space="preserve">17 </w:t>
      </w:r>
      <w:r w:rsidRPr="00DD6683">
        <w:rPr>
          <w:rFonts w:ascii="Arial" w:eastAsia="Times New Roman" w:hAnsi="Arial" w:cs="Arial"/>
          <w:lang w:eastAsia="es-MX"/>
        </w:rPr>
        <w:t>durante 2021, dichas medidas fueron elevadas a diversas autoridades de los tres ámbitos de gobierno.</w:t>
      </w:r>
    </w:p>
    <w:p w14:paraId="2DFF503B" w14:textId="77777777" w:rsidR="00DD6683" w:rsidRPr="00DD6683" w:rsidRDefault="00DD6683" w:rsidP="00DD6683">
      <w:pPr>
        <w:spacing w:after="0" w:line="276" w:lineRule="auto"/>
        <w:jc w:val="both"/>
        <w:rPr>
          <w:rFonts w:ascii="Arial" w:eastAsia="Times New Roman" w:hAnsi="Arial" w:cs="Arial"/>
          <w:lang w:eastAsia="es-MX"/>
        </w:rPr>
      </w:pPr>
    </w:p>
    <w:p w14:paraId="36B5AE3E" w14:textId="61C32020" w:rsidR="00DD6683" w:rsidRDefault="00DD6683" w:rsidP="00DD6683">
      <w:pPr>
        <w:spacing w:after="0" w:line="240" w:lineRule="auto"/>
        <w:jc w:val="both"/>
        <w:rPr>
          <w:rFonts w:ascii="Times New Roman" w:eastAsia="Times New Roman" w:hAnsi="Times New Roman" w:cs="Times New Roman"/>
          <w:color w:val="0563C1"/>
          <w:u w:val="single"/>
          <w:lang w:val="es-ES" w:eastAsia="es-MX"/>
        </w:rPr>
      </w:pPr>
      <w:r w:rsidRPr="00DD6683">
        <w:rPr>
          <w:rFonts w:ascii="Arial" w:eastAsia="Times New Roman" w:hAnsi="Arial" w:cs="Arial"/>
          <w:lang w:eastAsia="es-MX"/>
        </w:rPr>
        <w:t>Asimismo, el 15 de noviembre de 2019, se publicó el Informe Especial sobre la situación de las Estaciones Migratorias en México 2019</w:t>
      </w:r>
      <w:r w:rsidRPr="00DD6683">
        <w:rPr>
          <w:rFonts w:ascii="Arial" w:eastAsia="Times New Roman" w:hAnsi="Arial" w:cs="Times New Roman"/>
          <w:lang w:eastAsia="es-MX"/>
        </w:rPr>
        <w:footnoteReference w:id="31"/>
      </w:r>
      <w:r w:rsidRPr="00DD6683">
        <w:rPr>
          <w:rFonts w:ascii="Arial" w:eastAsia="Times New Roman" w:hAnsi="Arial" w:cs="Arial"/>
          <w:lang w:eastAsia="es-MX"/>
        </w:rPr>
        <w:t xml:space="preserve">, en el que se señaló que si bien la detención migratoria de las personas migrantes pasó de ser considerada un delito a una infracción a normas administrativas, las condiciones y características estructurales y de administración de las Estaciones Migratorias y Estancias Provisionales del Instituto Nacional de Migración, en las que son privadas de su libertad en tanto se resuelve su condición migratoria en el país, mantienen el modelo carcelario, en el que permanecen en celdas bajo llave y sometidas a un tratamiento similar al que reciben aquellas personas que han infringido la ley penal. Consultable en: </w:t>
      </w:r>
      <w:hyperlink r:id="rId32" w:history="1">
        <w:r w:rsidRPr="00DD6683">
          <w:rPr>
            <w:rFonts w:ascii="Times New Roman" w:eastAsia="Times New Roman" w:hAnsi="Times New Roman" w:cs="Times New Roman"/>
            <w:color w:val="0563C1"/>
            <w:u w:val="single"/>
            <w:lang w:val="es-ES" w:eastAsia="es-MX"/>
          </w:rPr>
          <w:t>https://www.cndh.org.mx/sites/default/files/documentos/2019-11/Informe-Estaciones-Migratorias-2019.pdf</w:t>
        </w:r>
      </w:hyperlink>
    </w:p>
    <w:p w14:paraId="15B45B29" w14:textId="4319E280" w:rsidR="00916234" w:rsidRDefault="00916234" w:rsidP="00DD6683">
      <w:pPr>
        <w:spacing w:after="0" w:line="240" w:lineRule="auto"/>
        <w:jc w:val="both"/>
        <w:rPr>
          <w:rFonts w:ascii="Times New Roman" w:eastAsia="Times New Roman" w:hAnsi="Times New Roman" w:cs="Times New Roman"/>
          <w:color w:val="0563C1"/>
          <w:u w:val="single"/>
          <w:lang w:val="es-ES" w:eastAsia="es-MX"/>
        </w:rPr>
      </w:pPr>
    </w:p>
    <w:p w14:paraId="4857A99F" w14:textId="77777777" w:rsidR="00916234" w:rsidRPr="00916234" w:rsidRDefault="00916234" w:rsidP="00916234">
      <w:pPr>
        <w:spacing w:after="0" w:line="240" w:lineRule="auto"/>
        <w:jc w:val="both"/>
        <w:rPr>
          <w:rFonts w:ascii="Arial" w:eastAsia="Times New Roman" w:hAnsi="Arial" w:cs="Arial"/>
          <w:b/>
          <w:bCs/>
          <w:lang w:val="es-ES" w:eastAsia="es-MX"/>
        </w:rPr>
      </w:pPr>
      <w:r w:rsidRPr="00916234">
        <w:rPr>
          <w:rFonts w:ascii="Arial" w:eastAsia="Times New Roman" w:hAnsi="Arial" w:cs="Arial"/>
          <w:b/>
          <w:bCs/>
          <w:lang w:val="es-ES" w:eastAsia="es-MX"/>
        </w:rPr>
        <w:t>52. El Estado parte debe:</w:t>
      </w:r>
    </w:p>
    <w:p w14:paraId="661322A2" w14:textId="77777777" w:rsidR="00916234" w:rsidRPr="00916234" w:rsidRDefault="00916234" w:rsidP="00916234">
      <w:pPr>
        <w:numPr>
          <w:ilvl w:val="0"/>
          <w:numId w:val="3"/>
        </w:numPr>
        <w:spacing w:after="0" w:line="240" w:lineRule="auto"/>
        <w:jc w:val="both"/>
        <w:rPr>
          <w:rFonts w:ascii="Arial" w:eastAsia="Times New Roman" w:hAnsi="Arial" w:cs="Arial"/>
          <w:b/>
          <w:bCs/>
          <w:lang w:val="es-ES" w:eastAsia="es-MX"/>
        </w:rPr>
      </w:pPr>
      <w:r w:rsidRPr="00916234">
        <w:rPr>
          <w:rFonts w:ascii="Arial" w:eastAsia="Times New Roman" w:hAnsi="Arial" w:cs="Arial"/>
          <w:b/>
          <w:bCs/>
          <w:lang w:val="es-ES" w:eastAsia="es-MX"/>
        </w:rPr>
        <w:t>Velar por que en la práctica ninguna persona pueda ser devuelta o extraditada a otro Estado cuando existan razones fundadas para creer que correría el riesgo personal y previsible de ser sometida a tortura;</w:t>
      </w:r>
    </w:p>
    <w:p w14:paraId="072493F2" w14:textId="77777777" w:rsidR="00916234" w:rsidRPr="00916234" w:rsidRDefault="00916234" w:rsidP="00916234">
      <w:pPr>
        <w:numPr>
          <w:ilvl w:val="0"/>
          <w:numId w:val="3"/>
        </w:numPr>
        <w:spacing w:after="0" w:line="240" w:lineRule="auto"/>
        <w:jc w:val="both"/>
        <w:rPr>
          <w:rFonts w:ascii="Arial" w:eastAsia="Times New Roman" w:hAnsi="Arial" w:cs="Arial"/>
          <w:b/>
          <w:bCs/>
          <w:lang w:val="es-ES" w:eastAsia="es-MX"/>
        </w:rPr>
      </w:pPr>
      <w:r w:rsidRPr="00916234">
        <w:rPr>
          <w:rFonts w:ascii="Arial" w:eastAsia="Times New Roman" w:hAnsi="Arial" w:cs="Arial"/>
          <w:b/>
          <w:bCs/>
          <w:lang w:val="es-ES" w:eastAsia="es-MX"/>
        </w:rPr>
        <w:t>Garantizar que todas las personas que se encuentren en su territorio o bajo su jurisdicción tengan acceso efectivo al procedimiento para determinar el estatuto de refugiado, incluidas aquellas retenidas en aeropuertos y otros puntos fronterizos;</w:t>
      </w:r>
    </w:p>
    <w:p w14:paraId="214C5E64" w14:textId="77777777" w:rsidR="00916234" w:rsidRPr="00916234" w:rsidRDefault="00916234" w:rsidP="00916234">
      <w:pPr>
        <w:numPr>
          <w:ilvl w:val="0"/>
          <w:numId w:val="3"/>
        </w:numPr>
        <w:spacing w:after="0" w:line="240" w:lineRule="auto"/>
        <w:jc w:val="both"/>
        <w:rPr>
          <w:rFonts w:ascii="Arial" w:eastAsia="Times New Roman" w:hAnsi="Arial" w:cs="Arial"/>
          <w:b/>
          <w:bCs/>
          <w:lang w:val="es-ES" w:eastAsia="es-MX"/>
        </w:rPr>
      </w:pPr>
      <w:r w:rsidRPr="00916234">
        <w:rPr>
          <w:rFonts w:ascii="Arial" w:eastAsia="Times New Roman" w:hAnsi="Arial" w:cs="Arial"/>
          <w:b/>
          <w:bCs/>
          <w:lang w:val="es-ES" w:eastAsia="es-MX"/>
        </w:rPr>
        <w:t>Velar por que los solicitantes de asilo tengan la oportunidad de que su caso se examine de forma individual y gocen de protección contra la devolución y el retorno colectivo;</w:t>
      </w:r>
    </w:p>
    <w:p w14:paraId="09CDF401" w14:textId="77777777" w:rsidR="00916234" w:rsidRPr="00916234" w:rsidRDefault="00916234" w:rsidP="00916234">
      <w:pPr>
        <w:numPr>
          <w:ilvl w:val="0"/>
          <w:numId w:val="3"/>
        </w:numPr>
        <w:spacing w:after="0" w:line="240" w:lineRule="auto"/>
        <w:jc w:val="both"/>
        <w:rPr>
          <w:rFonts w:ascii="Arial" w:eastAsia="Times New Roman" w:hAnsi="Arial" w:cs="Arial"/>
          <w:b/>
          <w:bCs/>
          <w:lang w:val="es-ES" w:eastAsia="es-MX"/>
        </w:rPr>
      </w:pPr>
      <w:r w:rsidRPr="00916234">
        <w:rPr>
          <w:rFonts w:ascii="Arial" w:eastAsia="Times New Roman" w:hAnsi="Arial" w:cs="Arial"/>
          <w:b/>
          <w:bCs/>
          <w:lang w:val="es-ES" w:eastAsia="es-MX"/>
        </w:rPr>
        <w:t>Velar por que existan salvaguardias procesales contra la devolución y recursos efectivos con respecto de las devoluciones en los procedimientos de expulsión, incluido el examen por un órgano judicial independiente de las solicitudes rechazadas, en particular en la etapa de apelación;</w:t>
      </w:r>
    </w:p>
    <w:p w14:paraId="3D167D64" w14:textId="77777777" w:rsidR="00916234" w:rsidRPr="00916234" w:rsidRDefault="00916234" w:rsidP="00916234">
      <w:pPr>
        <w:numPr>
          <w:ilvl w:val="0"/>
          <w:numId w:val="3"/>
        </w:numPr>
        <w:spacing w:after="0" w:line="240" w:lineRule="auto"/>
        <w:jc w:val="both"/>
        <w:rPr>
          <w:rFonts w:ascii="Arial" w:eastAsia="Times New Roman" w:hAnsi="Arial" w:cs="Arial"/>
          <w:b/>
          <w:bCs/>
          <w:lang w:val="es-ES" w:eastAsia="es-MX"/>
        </w:rPr>
      </w:pPr>
      <w:r w:rsidRPr="00916234">
        <w:rPr>
          <w:rFonts w:ascii="Arial" w:eastAsia="Times New Roman" w:hAnsi="Arial" w:cs="Arial"/>
          <w:b/>
          <w:bCs/>
          <w:lang w:val="es-ES" w:eastAsia="es-MX"/>
        </w:rPr>
        <w:t>Garantizar el establecimiento de mecanismos eficaces para detectar oportunamente a las víctimas de la tortura y la trata entre los solicitantes de asilo y las personas migrantes.</w:t>
      </w:r>
    </w:p>
    <w:p w14:paraId="1EED478D" w14:textId="77777777" w:rsidR="00916234" w:rsidRPr="00DD6683" w:rsidRDefault="00916234" w:rsidP="00DD6683">
      <w:pPr>
        <w:spacing w:after="0" w:line="276" w:lineRule="auto"/>
        <w:jc w:val="both"/>
        <w:rPr>
          <w:rFonts w:ascii="Arial" w:eastAsia="Times New Roman" w:hAnsi="Arial" w:cs="Arial"/>
          <w:lang w:val="es-ES" w:eastAsia="es-MX"/>
        </w:rPr>
      </w:pPr>
    </w:p>
    <w:p w14:paraId="45BEB63B" w14:textId="77777777" w:rsidR="00DD6683" w:rsidRPr="00DD6683" w:rsidRDefault="00DD6683" w:rsidP="00DD6683">
      <w:pPr>
        <w:numPr>
          <w:ilvl w:val="0"/>
          <w:numId w:val="4"/>
        </w:numPr>
        <w:spacing w:after="0" w:line="240" w:lineRule="auto"/>
        <w:contextualSpacing/>
        <w:jc w:val="both"/>
        <w:rPr>
          <w:rFonts w:ascii="Arial" w:eastAsia="Times New Roman" w:hAnsi="Arial" w:cs="Arial"/>
          <w:lang w:eastAsia="es-MX"/>
        </w:rPr>
      </w:pPr>
      <w:r w:rsidRPr="00DD6683">
        <w:rPr>
          <w:rFonts w:ascii="Arial" w:eastAsia="Times New Roman" w:hAnsi="Arial" w:cs="Arial"/>
          <w:b/>
          <w:bCs/>
          <w:lang w:val="es-ES" w:eastAsia="es-MX"/>
        </w:rPr>
        <w:t>Acciones del Estado mexicano</w:t>
      </w:r>
    </w:p>
    <w:p w14:paraId="4061D6EB" w14:textId="77777777" w:rsidR="00DD6683" w:rsidRPr="00DD6683" w:rsidRDefault="00DD6683" w:rsidP="00DD6683">
      <w:pPr>
        <w:spacing w:after="0" w:line="240" w:lineRule="auto"/>
        <w:jc w:val="both"/>
        <w:rPr>
          <w:rFonts w:ascii="Arial" w:eastAsia="Times New Roman" w:hAnsi="Arial" w:cs="Arial"/>
          <w:lang w:eastAsia="es-MX"/>
        </w:rPr>
      </w:pPr>
    </w:p>
    <w:p w14:paraId="047ECBEB" w14:textId="77777777" w:rsidR="00DD6683" w:rsidRPr="00DD6683" w:rsidRDefault="00DD6683" w:rsidP="00DD6683">
      <w:pPr>
        <w:spacing w:after="0" w:line="240" w:lineRule="auto"/>
        <w:jc w:val="both"/>
        <w:rPr>
          <w:rFonts w:ascii="Times New Roman" w:eastAsia="Times New Roman" w:hAnsi="Times New Roman" w:cs="Times New Roman"/>
          <w:lang w:eastAsia="es-MX"/>
        </w:rPr>
      </w:pPr>
      <w:r w:rsidRPr="00DD6683">
        <w:rPr>
          <w:rFonts w:ascii="Arial" w:eastAsia="Times New Roman" w:hAnsi="Arial" w:cs="Arial"/>
          <w:lang w:eastAsia="es-MX"/>
        </w:rPr>
        <w:t xml:space="preserve">La Comisión Mexicana de Ayuda a Refugiados (COMAR), el 10 de febrero de 2021, inauguró dos oficinas más para la atención de personas solicitantes de la condición de refugiado: 1 en Palenque, Chiapas y otra en Tijuana, Baja California. Consultables en: </w:t>
      </w:r>
      <w:hyperlink r:id="rId33" w:history="1">
        <w:r w:rsidRPr="00DD6683">
          <w:rPr>
            <w:rFonts w:ascii="Times New Roman" w:eastAsia="Times New Roman" w:hAnsi="Times New Roman" w:cs="Times New Roman"/>
            <w:color w:val="0563C1"/>
            <w:u w:val="single"/>
            <w:lang w:eastAsia="es-MX"/>
          </w:rPr>
          <w:t>http://www.dof.gob.mx/nota_detalle.php?codigo=5611226&amp;fecha=10/02/2021</w:t>
        </w:r>
      </w:hyperlink>
      <w:r w:rsidRPr="00DD6683">
        <w:rPr>
          <w:rFonts w:ascii="Times New Roman" w:eastAsia="Times New Roman" w:hAnsi="Times New Roman" w:cs="Times New Roman"/>
          <w:color w:val="0563C1"/>
          <w:u w:val="single"/>
          <w:lang w:eastAsia="es-MX"/>
        </w:rPr>
        <w:t xml:space="preserve"> </w:t>
      </w:r>
      <w:r w:rsidRPr="00DD6683">
        <w:rPr>
          <w:rFonts w:ascii="Times New Roman" w:eastAsia="Times New Roman" w:hAnsi="Times New Roman" w:cs="Times New Roman"/>
          <w:lang w:eastAsia="es-MX"/>
        </w:rPr>
        <w:t xml:space="preserve"> </w:t>
      </w:r>
    </w:p>
    <w:p w14:paraId="0F61A1FC" w14:textId="77777777" w:rsidR="00DD6683" w:rsidRPr="00DD6683" w:rsidRDefault="00DD6683" w:rsidP="00DD6683">
      <w:pPr>
        <w:spacing w:after="0" w:line="240" w:lineRule="auto"/>
        <w:jc w:val="both"/>
        <w:rPr>
          <w:rFonts w:ascii="Times New Roman" w:eastAsia="Times New Roman" w:hAnsi="Times New Roman" w:cs="Times New Roman"/>
          <w:color w:val="0563C1"/>
          <w:u w:val="single"/>
          <w:lang w:eastAsia="es-MX"/>
        </w:rPr>
      </w:pPr>
    </w:p>
    <w:p w14:paraId="2F8FE916" w14:textId="77777777" w:rsidR="00DD6683" w:rsidRPr="00DD6683" w:rsidRDefault="00DD6683" w:rsidP="00DD6683">
      <w:pPr>
        <w:spacing w:after="0" w:line="240" w:lineRule="auto"/>
        <w:jc w:val="both"/>
        <w:rPr>
          <w:rFonts w:ascii="Times New Roman" w:eastAsia="Times New Roman" w:hAnsi="Times New Roman" w:cs="Times New Roman"/>
          <w:color w:val="0563C1"/>
          <w:u w:val="single"/>
          <w:lang w:eastAsia="es-MX"/>
        </w:rPr>
      </w:pPr>
      <w:r w:rsidRPr="00DD6683">
        <w:rPr>
          <w:rFonts w:ascii="Times New Roman" w:eastAsia="Times New Roman" w:hAnsi="Times New Roman" w:cs="Times New Roman"/>
          <w:color w:val="0563C1"/>
          <w:u w:val="single"/>
          <w:lang w:eastAsia="es-MX"/>
        </w:rPr>
        <w:t>https://www.dof.gob.mx/nota_detalle.php?codigo=5611225&amp;fecha=10/02/2021</w:t>
      </w:r>
    </w:p>
    <w:p w14:paraId="3EEDAEBC" w14:textId="77777777" w:rsidR="00DD6683" w:rsidRPr="00DD6683" w:rsidRDefault="00DD6683" w:rsidP="00DD6683">
      <w:pPr>
        <w:spacing w:after="0" w:line="240" w:lineRule="auto"/>
        <w:jc w:val="both"/>
        <w:rPr>
          <w:rFonts w:ascii="Arial" w:eastAsia="Times New Roman" w:hAnsi="Arial" w:cs="Arial"/>
          <w:sz w:val="21"/>
          <w:szCs w:val="21"/>
          <w:lang w:eastAsia="es-MX"/>
        </w:rPr>
      </w:pPr>
    </w:p>
    <w:p w14:paraId="3F552F8C" w14:textId="0E4A8713" w:rsidR="00DD6683" w:rsidRPr="00DD6683" w:rsidRDefault="00DD6683" w:rsidP="00DD6683">
      <w:pPr>
        <w:numPr>
          <w:ilvl w:val="0"/>
          <w:numId w:val="4"/>
        </w:numPr>
        <w:spacing w:after="0" w:line="276" w:lineRule="auto"/>
        <w:contextualSpacing/>
        <w:jc w:val="both"/>
        <w:rPr>
          <w:rFonts w:ascii="Arial" w:eastAsia="Times New Roman" w:hAnsi="Arial" w:cs="Arial"/>
          <w:b/>
          <w:bCs/>
          <w:lang w:eastAsia="es-MX"/>
        </w:rPr>
      </w:pPr>
      <w:r w:rsidRPr="00DD6683">
        <w:rPr>
          <w:rFonts w:ascii="Arial" w:eastAsia="Times New Roman" w:hAnsi="Arial" w:cs="Arial"/>
          <w:b/>
          <w:bCs/>
          <w:lang w:eastAsia="es-MX"/>
        </w:rPr>
        <w:t xml:space="preserve">Acciones de la </w:t>
      </w:r>
      <w:r w:rsidR="00B91D63">
        <w:rPr>
          <w:rFonts w:ascii="Arial" w:eastAsia="Times New Roman" w:hAnsi="Arial" w:cs="Arial"/>
          <w:b/>
          <w:bCs/>
          <w:lang w:eastAsia="es-MX"/>
        </w:rPr>
        <w:t>Comisión Nacional de los Derechos Humanos</w:t>
      </w:r>
    </w:p>
    <w:p w14:paraId="420DF21D" w14:textId="77777777" w:rsidR="00DD6683" w:rsidRPr="00DD6683" w:rsidRDefault="00DD6683" w:rsidP="00DD6683">
      <w:pPr>
        <w:spacing w:after="0" w:line="240" w:lineRule="auto"/>
        <w:jc w:val="both"/>
        <w:rPr>
          <w:rFonts w:ascii="Arial" w:eastAsia="Times New Roman" w:hAnsi="Arial" w:cs="Arial"/>
          <w:sz w:val="21"/>
          <w:szCs w:val="21"/>
          <w:lang w:eastAsia="es-MX"/>
        </w:rPr>
      </w:pPr>
    </w:p>
    <w:p w14:paraId="2C0E1DB9" w14:textId="1FAE0947" w:rsidR="00DD6683" w:rsidRDefault="00DD6683" w:rsidP="00DD6683">
      <w:pPr>
        <w:spacing w:after="0" w:line="240" w:lineRule="auto"/>
        <w:jc w:val="both"/>
        <w:rPr>
          <w:rFonts w:ascii="Arial" w:eastAsia="Times New Roman" w:hAnsi="Arial" w:cs="Arial"/>
          <w:lang w:eastAsia="es-MX"/>
        </w:rPr>
      </w:pPr>
      <w:r w:rsidRPr="00DD6683">
        <w:rPr>
          <w:rFonts w:ascii="Arial" w:eastAsia="Times New Roman" w:hAnsi="Arial" w:cs="Arial"/>
          <w:lang w:eastAsia="es-MX"/>
        </w:rPr>
        <w:t xml:space="preserve">En ese sentido, en favor de personas solicitantes del reconocimiento de la condición de refugiado, la CNDH ha emitido las Recomendaciones 38/2019; 24/2020 y 61/2020, por advertir omisión y dilación en resolver los procedimientos o no proporcionar información y seguimiento a las solicitudes de reconocimiento, entre otras cosas, disponibles para su consulta en la página electrónica de la CNDH: </w:t>
      </w:r>
      <w:r w:rsidRPr="00DD6683">
        <w:rPr>
          <w:rFonts w:ascii="Times New Roman" w:eastAsia="Times New Roman" w:hAnsi="Times New Roman" w:cs="Times New Roman"/>
          <w:color w:val="0563C1"/>
          <w:sz w:val="24"/>
          <w:szCs w:val="24"/>
          <w:u w:val="single"/>
          <w:lang w:eastAsia="es-MX"/>
        </w:rPr>
        <w:t>https://www.cndh.org.mx/tipo/1/recomendacion.</w:t>
      </w:r>
      <w:r w:rsidRPr="00DD6683">
        <w:rPr>
          <w:rFonts w:ascii="Arial" w:eastAsia="Times New Roman" w:hAnsi="Arial" w:cs="Arial"/>
          <w:lang w:eastAsia="es-MX"/>
        </w:rPr>
        <w:t xml:space="preserve"> </w:t>
      </w:r>
    </w:p>
    <w:p w14:paraId="72A6A675" w14:textId="7E4CC325" w:rsidR="00A90BFF" w:rsidRDefault="00A90BFF" w:rsidP="00DD6683">
      <w:pPr>
        <w:spacing w:after="0" w:line="240" w:lineRule="auto"/>
        <w:jc w:val="both"/>
        <w:rPr>
          <w:rFonts w:ascii="Arial" w:eastAsia="Times New Roman" w:hAnsi="Arial" w:cs="Arial"/>
          <w:lang w:eastAsia="es-MX"/>
        </w:rPr>
      </w:pPr>
    </w:p>
    <w:p w14:paraId="5388B3DC" w14:textId="77777777" w:rsidR="00A90BFF" w:rsidRDefault="00A90BFF" w:rsidP="00A90BFF">
      <w:pPr>
        <w:spacing w:after="0" w:line="240" w:lineRule="auto"/>
        <w:jc w:val="both"/>
        <w:rPr>
          <w:rFonts w:ascii="Arial" w:eastAsia="Times New Roman" w:hAnsi="Arial" w:cs="Arial"/>
          <w:b/>
          <w:bCs/>
          <w:i/>
          <w:iCs/>
          <w:lang w:eastAsia="es-MX"/>
        </w:rPr>
      </w:pPr>
    </w:p>
    <w:p w14:paraId="571C6D20" w14:textId="4EA2B864" w:rsidR="00DD6683" w:rsidRPr="00A90BFF" w:rsidRDefault="00A90BFF" w:rsidP="00A90BFF">
      <w:pPr>
        <w:spacing w:after="0" w:line="240" w:lineRule="auto"/>
        <w:jc w:val="both"/>
        <w:rPr>
          <w:rFonts w:ascii="Arial" w:eastAsia="Times New Roman" w:hAnsi="Arial" w:cs="Arial"/>
          <w:b/>
          <w:bCs/>
          <w:i/>
          <w:iCs/>
          <w:lang w:eastAsia="es-MX"/>
        </w:rPr>
      </w:pPr>
      <w:r w:rsidRPr="00A90BFF">
        <w:rPr>
          <w:rFonts w:ascii="Arial" w:eastAsia="Times New Roman" w:hAnsi="Arial" w:cs="Arial"/>
          <w:b/>
          <w:bCs/>
          <w:i/>
          <w:iCs/>
          <w:lang w:eastAsia="es-MX"/>
        </w:rPr>
        <w:t>54. El Estado parte debe garantizar una acogida adecuada a las personas devueltas a México en base a la legislación estadounidense sobre inmigración y nacionalidad y garantizar que no serán devueltas o extraditadas a sus países de origen cuando existan razones fundadas para creer que correrían el riesgo personal y previsible de ser sometidas a tortura. El Comité señala a la atención del Estado parte el contenido de la Nota de orientación sobre los acuerdos bilaterales y/o multilaterales sobre el traslado de solicitantes de asilo, publicada en 2013 por el Alto Comisionado de las Naciones Unidas para los Refugiados (párr. 3 IV).</w:t>
      </w:r>
    </w:p>
    <w:p w14:paraId="2126DF4F" w14:textId="77777777" w:rsidR="00A90BFF" w:rsidRPr="00DD6683" w:rsidRDefault="00A90BFF" w:rsidP="00DD6683">
      <w:pPr>
        <w:spacing w:after="0" w:line="240" w:lineRule="auto"/>
        <w:ind w:left="708" w:hanging="708"/>
        <w:jc w:val="both"/>
        <w:rPr>
          <w:rFonts w:ascii="Arial" w:eastAsia="Times New Roman" w:hAnsi="Arial" w:cs="Arial"/>
          <w:sz w:val="24"/>
          <w:szCs w:val="24"/>
          <w:lang w:val="es-ES" w:eastAsia="es-MX"/>
        </w:rPr>
      </w:pPr>
    </w:p>
    <w:p w14:paraId="78933DB6" w14:textId="77777777" w:rsidR="00DD6683" w:rsidRPr="00DD6683" w:rsidRDefault="00DD6683" w:rsidP="00DD6683">
      <w:pPr>
        <w:numPr>
          <w:ilvl w:val="0"/>
          <w:numId w:val="5"/>
        </w:numPr>
        <w:spacing w:after="0" w:line="276" w:lineRule="auto"/>
        <w:contextualSpacing/>
        <w:jc w:val="both"/>
        <w:rPr>
          <w:rFonts w:ascii="Arial" w:eastAsia="Times New Roman" w:hAnsi="Arial" w:cs="Arial"/>
          <w:b/>
          <w:bCs/>
          <w:lang w:val="es-ES" w:eastAsia="es-MX"/>
        </w:rPr>
      </w:pPr>
      <w:r w:rsidRPr="00DD6683">
        <w:rPr>
          <w:rFonts w:ascii="Arial" w:eastAsia="Times New Roman" w:hAnsi="Arial" w:cs="Arial"/>
          <w:b/>
          <w:bCs/>
          <w:lang w:val="es-ES" w:eastAsia="es-MX"/>
        </w:rPr>
        <w:t>Acciones del Estado mexicano</w:t>
      </w:r>
    </w:p>
    <w:p w14:paraId="43B36E32" w14:textId="77777777" w:rsidR="00DD6683" w:rsidRPr="00DD6683" w:rsidRDefault="00DD6683" w:rsidP="00DD6683">
      <w:pPr>
        <w:spacing w:after="0" w:line="276" w:lineRule="auto"/>
        <w:jc w:val="both"/>
        <w:rPr>
          <w:rFonts w:ascii="Arial" w:eastAsia="Times New Roman" w:hAnsi="Arial" w:cs="Arial"/>
          <w:lang w:val="es-ES" w:eastAsia="es-MX"/>
        </w:rPr>
      </w:pPr>
    </w:p>
    <w:p w14:paraId="55975066" w14:textId="77777777" w:rsidR="00DD6683" w:rsidRPr="00DD6683" w:rsidRDefault="00DD6683" w:rsidP="00DD6683">
      <w:pPr>
        <w:spacing w:after="0" w:line="276" w:lineRule="auto"/>
        <w:jc w:val="both"/>
        <w:rPr>
          <w:rFonts w:ascii="Arial" w:eastAsia="Times New Roman" w:hAnsi="Arial" w:cs="Arial"/>
          <w:lang w:eastAsia="es-MX"/>
        </w:rPr>
      </w:pPr>
      <w:r w:rsidRPr="00DD6683">
        <w:rPr>
          <w:rFonts w:ascii="Arial" w:eastAsia="Times New Roman" w:hAnsi="Arial" w:cs="Arial"/>
          <w:lang w:val="es-ES" w:eastAsia="es-MX"/>
        </w:rPr>
        <w:t xml:space="preserve">De acuerdo con información brindada por las autoridades a la CNDH, en el marco de la integración del </w:t>
      </w:r>
      <w:r w:rsidRPr="00DD6683">
        <w:rPr>
          <w:rFonts w:ascii="Arial" w:eastAsia="Times New Roman" w:hAnsi="Arial" w:cs="Arial"/>
          <w:lang w:eastAsia="es-MX"/>
        </w:rPr>
        <w:t>“Informe Especial de la CNDH sobre los Protocolos de Protección a Migrantes (MPP) – Programa Quédate en México 2019-2021. Análisis de su impacto en los derechos humanos de las personas en movilidad en México”, el Instituto Nacional de Migración (INM) autorizó el ingreso y reingreso de las personas sujetas al Programa MPP, por lo que expidió la Forma Migratoria Múltiple (FMM), a efecto de autorizar su estancia como Visitante por Razones Humanitarias, con una temporalidad de 180 días, renovable hasta en tanto subsistan las causas.</w:t>
      </w:r>
    </w:p>
    <w:p w14:paraId="28F449E6" w14:textId="77777777" w:rsidR="00DD6683" w:rsidRPr="00DD6683" w:rsidRDefault="00DD6683" w:rsidP="00DD6683">
      <w:pPr>
        <w:spacing w:after="0" w:line="276" w:lineRule="auto"/>
        <w:jc w:val="both"/>
        <w:rPr>
          <w:rFonts w:ascii="Arial" w:eastAsia="Times New Roman" w:hAnsi="Arial" w:cs="Arial"/>
          <w:lang w:eastAsia="es-MX"/>
        </w:rPr>
      </w:pPr>
      <w:r w:rsidRPr="00DD6683">
        <w:rPr>
          <w:rFonts w:ascii="Arial" w:eastAsia="Times New Roman" w:hAnsi="Arial" w:cs="Arial"/>
          <w:lang w:eastAsia="es-MX"/>
        </w:rPr>
        <w:t xml:space="preserve">Asimismo, se les otorgó la Clave Única de Registro de Población (CURP) para facilitarles el acceso a servicios o programas de ayuda: acceso al empleo, atención médica, educación, servicios financieros, etc. </w:t>
      </w:r>
    </w:p>
    <w:p w14:paraId="3EC3C529" w14:textId="77777777" w:rsidR="00DD6683" w:rsidRPr="00DD6683" w:rsidRDefault="00DD6683" w:rsidP="00DD6683">
      <w:pPr>
        <w:spacing w:after="0" w:line="276" w:lineRule="auto"/>
        <w:jc w:val="both"/>
        <w:rPr>
          <w:rFonts w:ascii="Arial" w:eastAsia="Times New Roman" w:hAnsi="Arial" w:cs="Arial"/>
          <w:lang w:eastAsia="es-MX"/>
        </w:rPr>
      </w:pPr>
    </w:p>
    <w:p w14:paraId="776F901B" w14:textId="77777777" w:rsidR="00DD6683" w:rsidRPr="00DD6683" w:rsidRDefault="00DD6683" w:rsidP="00DD6683">
      <w:pPr>
        <w:spacing w:after="0" w:line="276" w:lineRule="auto"/>
        <w:jc w:val="both"/>
        <w:rPr>
          <w:rFonts w:ascii="Arial" w:eastAsia="Times New Roman" w:hAnsi="Arial" w:cs="Arial"/>
          <w:lang w:eastAsia="es-MX"/>
        </w:rPr>
      </w:pPr>
      <w:r w:rsidRPr="00DD6683">
        <w:rPr>
          <w:rFonts w:ascii="Arial" w:eastAsia="Times New Roman" w:hAnsi="Arial" w:cs="Arial"/>
          <w:lang w:eastAsia="es-MX"/>
        </w:rPr>
        <w:t>El INM integró un registro de las personas sujetas al Programa en coordinación con las Oficinas de Representación de Baja California, Sonora, Chihuahua, Coahuila y Tamaulipas. Entre enero 2020 y marzo de 2021 había contabilizado un total de 112,391 personas que contaban con solicitudes de asilo en EUA.</w:t>
      </w:r>
    </w:p>
    <w:p w14:paraId="0DF85053" w14:textId="77777777" w:rsidR="00DD6683" w:rsidRPr="00DD6683" w:rsidRDefault="00DD6683" w:rsidP="00DD6683">
      <w:pPr>
        <w:spacing w:after="0" w:line="276" w:lineRule="auto"/>
        <w:jc w:val="both"/>
        <w:rPr>
          <w:rFonts w:ascii="Arial" w:eastAsia="Times New Roman" w:hAnsi="Arial" w:cs="Arial"/>
          <w:lang w:eastAsia="es-MX"/>
        </w:rPr>
      </w:pPr>
    </w:p>
    <w:p w14:paraId="0A2E4504" w14:textId="77777777" w:rsidR="00DD6683" w:rsidRPr="00DD6683" w:rsidRDefault="00DD6683" w:rsidP="00DD6683">
      <w:pPr>
        <w:spacing w:after="0" w:line="276" w:lineRule="auto"/>
        <w:jc w:val="both"/>
        <w:rPr>
          <w:rFonts w:ascii="Times New Roman" w:eastAsia="Times New Roman" w:hAnsi="Times New Roman" w:cs="Times New Roman"/>
          <w:color w:val="0563C1"/>
          <w:sz w:val="24"/>
          <w:szCs w:val="24"/>
          <w:u w:val="single"/>
          <w:lang w:eastAsia="es-MX"/>
        </w:rPr>
      </w:pPr>
      <w:r w:rsidRPr="00DD6683">
        <w:rPr>
          <w:rFonts w:ascii="Arial" w:eastAsia="Times New Roman" w:hAnsi="Arial" w:cs="Arial"/>
          <w:lang w:eastAsia="es-MX"/>
        </w:rPr>
        <w:t xml:space="preserve">El Acuerdo Complementario entre los Estados Unidos de América y México precisó, entre otras cosas, lo siguiente: “Estados Unidos y México iniciarán negociaciones para establecer los términos definitivos de un acuerdo bilateral vinculante para abordar el reparto de la carga y la asignación de la responsabilidad de procesar las solicitudes de refugio de los migrantes. Dicho acuerdo estableció un compromiso bajo el cual cada parte aceptaría la devolución y procesaría las solicitudes de estatus de refugiado de nacionales de terceros países que hubieran cruzado el territorio de una de las partes para llegar a un puerto de entrada o entre puertos de entrada de la otra parte. Consultable en: </w:t>
      </w:r>
      <w:r w:rsidRPr="00DD6683">
        <w:rPr>
          <w:rFonts w:ascii="Times New Roman" w:eastAsia="Times New Roman" w:hAnsi="Times New Roman" w:cs="Times New Roman"/>
          <w:color w:val="0563C1"/>
          <w:sz w:val="24"/>
          <w:szCs w:val="24"/>
          <w:u w:val="single"/>
          <w:lang w:eastAsia="es-MX"/>
        </w:rPr>
        <w:t>https://www.cndh.org.mx/sites/default/files/documentos/2021-12/IE_MP_cndh_2021.pdf</w:t>
      </w:r>
    </w:p>
    <w:p w14:paraId="2C1A5B28" w14:textId="77777777" w:rsidR="00DD6683" w:rsidRPr="00DD6683" w:rsidRDefault="00DD6683" w:rsidP="00DD6683">
      <w:pPr>
        <w:spacing w:after="0" w:line="240" w:lineRule="auto"/>
        <w:ind w:left="708" w:hanging="708"/>
        <w:jc w:val="both"/>
        <w:rPr>
          <w:rFonts w:ascii="Arial" w:eastAsia="Times New Roman" w:hAnsi="Arial" w:cs="Arial"/>
          <w:sz w:val="24"/>
          <w:szCs w:val="24"/>
          <w:lang w:val="es-ES" w:eastAsia="es-MX"/>
        </w:rPr>
      </w:pPr>
    </w:p>
    <w:p w14:paraId="0A27E9EC" w14:textId="5EC096EA" w:rsidR="00DD6683" w:rsidRPr="00DD6683" w:rsidRDefault="00DD6683" w:rsidP="00DD6683">
      <w:pPr>
        <w:numPr>
          <w:ilvl w:val="0"/>
          <w:numId w:val="5"/>
        </w:numPr>
        <w:spacing w:after="0" w:line="276" w:lineRule="auto"/>
        <w:contextualSpacing/>
        <w:jc w:val="both"/>
        <w:rPr>
          <w:rFonts w:ascii="Arial" w:eastAsia="Times New Roman" w:hAnsi="Arial" w:cs="Arial"/>
          <w:b/>
          <w:bCs/>
          <w:lang w:eastAsia="es-MX"/>
        </w:rPr>
      </w:pPr>
      <w:r w:rsidRPr="00DD6683">
        <w:rPr>
          <w:rFonts w:ascii="Arial" w:eastAsia="Times New Roman" w:hAnsi="Arial" w:cs="Arial"/>
          <w:b/>
          <w:bCs/>
          <w:lang w:eastAsia="es-MX"/>
        </w:rPr>
        <w:t>Acciones de la</w:t>
      </w:r>
      <w:r w:rsidR="00493AAA">
        <w:rPr>
          <w:rFonts w:ascii="Arial" w:eastAsia="Times New Roman" w:hAnsi="Arial" w:cs="Arial"/>
          <w:b/>
          <w:bCs/>
          <w:lang w:eastAsia="es-MX"/>
        </w:rPr>
        <w:t xml:space="preserve"> Comisión Nacional de los Derechos Humanos</w:t>
      </w:r>
      <w:r w:rsidRPr="00DD6683">
        <w:rPr>
          <w:rFonts w:ascii="Arial" w:eastAsia="Times New Roman" w:hAnsi="Arial" w:cs="Arial"/>
          <w:b/>
          <w:bCs/>
          <w:lang w:eastAsia="es-MX"/>
        </w:rPr>
        <w:t xml:space="preserve"> </w:t>
      </w:r>
    </w:p>
    <w:p w14:paraId="3845B4CA" w14:textId="77777777" w:rsidR="00DD6683" w:rsidRPr="00DD6683" w:rsidRDefault="00DD6683" w:rsidP="00DD6683">
      <w:pPr>
        <w:spacing w:after="0" w:line="276" w:lineRule="auto"/>
        <w:jc w:val="both"/>
        <w:rPr>
          <w:rFonts w:ascii="Arial" w:eastAsia="Times New Roman" w:hAnsi="Arial" w:cs="Arial"/>
          <w:lang w:eastAsia="es-MX"/>
        </w:rPr>
      </w:pPr>
    </w:p>
    <w:p w14:paraId="653569BF" w14:textId="77777777" w:rsidR="00DD6683" w:rsidRPr="00DD6683" w:rsidRDefault="00DD6683" w:rsidP="00DD6683">
      <w:pPr>
        <w:spacing w:after="0" w:line="276" w:lineRule="auto"/>
        <w:jc w:val="both"/>
        <w:rPr>
          <w:rFonts w:ascii="Times New Roman" w:eastAsia="Times New Roman" w:hAnsi="Times New Roman" w:cs="Times New Roman"/>
          <w:color w:val="0563C1"/>
          <w:sz w:val="24"/>
          <w:szCs w:val="24"/>
          <w:u w:val="single"/>
          <w:lang w:eastAsia="es-MX"/>
        </w:rPr>
      </w:pPr>
      <w:r w:rsidRPr="00DD6683">
        <w:rPr>
          <w:rFonts w:ascii="Arial" w:eastAsia="Times New Roman" w:hAnsi="Arial" w:cs="Arial"/>
          <w:lang w:eastAsia="es-MX"/>
        </w:rPr>
        <w:t>Debido a las deportaciones masivas que el gobierno de los EUA efectuó con base en lo establecido en Título 42, como una política de salud pública de ese país, el 17 de agosto de 2021, esta CNDH dirigió oficio de solicitud de medidas cautelares a diversas autoridades de los tres órdenes del gobierno de México, en las que se solicitó, en términos generales, que de manera coordinada y de acuerdo a sus respectivas competencias, de forma inmediata se brindara apoyo humanitario a esa población deportada y les sea respetado y garantizado el pleno ejercicio de sus derechos humanos en territorio mexicano, particularmente a la Comisión Mexicana de Ayuda a Refugiados (COMAR) se solicitó, se les garantice su derecho a solicitar el reconocimiento de la condición de refugiado en México, de manera especial a aquellas personas que fueron deportadas por las fronteras de El Ceibo, Tabasco y Tapachula, Chiapas</w:t>
      </w:r>
      <w:r w:rsidRPr="00DD6683">
        <w:rPr>
          <w:rFonts w:ascii="Arial" w:eastAsia="Times New Roman" w:hAnsi="Arial" w:cs="Arial"/>
          <w:bCs/>
          <w:lang w:val="es-ES" w:eastAsia="es-MX"/>
        </w:rPr>
        <w:t xml:space="preserve">.  Visible en: </w:t>
      </w:r>
      <w:r w:rsidRPr="00DD6683">
        <w:rPr>
          <w:rFonts w:ascii="Arial" w:eastAsia="Times New Roman" w:hAnsi="Arial" w:cs="Arial"/>
          <w:lang w:eastAsia="es-MX"/>
        </w:rPr>
        <w:t xml:space="preserve"> </w:t>
      </w:r>
      <w:hyperlink r:id="rId34" w:history="1">
        <w:r w:rsidRPr="00DD6683">
          <w:rPr>
            <w:rFonts w:ascii="Times New Roman" w:eastAsia="Times New Roman" w:hAnsi="Times New Roman" w:cs="Times New Roman"/>
            <w:color w:val="0563C1"/>
            <w:sz w:val="24"/>
            <w:szCs w:val="24"/>
            <w:u w:val="single"/>
            <w:lang w:eastAsia="es-MX"/>
          </w:rPr>
          <w:t>https://www.cndh.org.mx/sites/default/files/documentos/2021-08/COM_2021_210.pdf</w:t>
        </w:r>
      </w:hyperlink>
      <w:r w:rsidRPr="00DD6683">
        <w:rPr>
          <w:rFonts w:ascii="Times New Roman" w:eastAsia="Times New Roman" w:hAnsi="Times New Roman" w:cs="Times New Roman"/>
          <w:color w:val="0563C1"/>
          <w:sz w:val="24"/>
          <w:szCs w:val="24"/>
          <w:u w:val="single"/>
          <w:lang w:eastAsia="es-MX"/>
        </w:rPr>
        <w:t xml:space="preserve"> </w:t>
      </w:r>
    </w:p>
    <w:p w14:paraId="4D269F59" w14:textId="77777777" w:rsidR="00DD6683" w:rsidRPr="00DD6683" w:rsidRDefault="00DD6683" w:rsidP="00DD6683">
      <w:pPr>
        <w:spacing w:after="0" w:line="240" w:lineRule="auto"/>
        <w:ind w:left="708" w:hanging="708"/>
        <w:jc w:val="both"/>
        <w:rPr>
          <w:rFonts w:ascii="Arial" w:eastAsia="Times New Roman" w:hAnsi="Arial" w:cs="Arial"/>
          <w:sz w:val="24"/>
          <w:szCs w:val="24"/>
          <w:lang w:val="es-ES" w:eastAsia="es-MX"/>
        </w:rPr>
      </w:pPr>
    </w:p>
    <w:p w14:paraId="5DBC06CD" w14:textId="79F3A4C0" w:rsidR="00DD6683" w:rsidRDefault="00DD6683" w:rsidP="00DD6683">
      <w:pPr>
        <w:spacing w:after="0" w:line="276" w:lineRule="auto"/>
        <w:jc w:val="both"/>
        <w:rPr>
          <w:rFonts w:ascii="Times New Roman" w:eastAsia="Times New Roman" w:hAnsi="Times New Roman" w:cs="Times New Roman"/>
          <w:color w:val="0563C1"/>
          <w:sz w:val="24"/>
          <w:szCs w:val="24"/>
          <w:u w:val="single"/>
          <w:lang w:eastAsia="es-MX"/>
        </w:rPr>
      </w:pPr>
      <w:r w:rsidRPr="00DD6683">
        <w:rPr>
          <w:rFonts w:ascii="Arial" w:eastAsia="Times New Roman" w:hAnsi="Arial" w:cs="Arial"/>
          <w:lang w:eastAsia="es-MX"/>
        </w:rPr>
        <w:t xml:space="preserve">El 10 de diciembre de 2021, la presidenta de la Comisión Nacional de los Derechos Humanos (CNDH), Ma. Del Rosario Piedra Ibarra, presentó el “Informe Especial de la CNDH sobre los Protocolos de Protección a Migrantes (MPP) – Programa Quédate en México 2019-2021. Análisis de su impacto en los derechos humanos de las personas en movilidad en México”, a fin de visibilizar las implicaciones que, en materia de acceso a sus derechos tuvo la implementación para las personas de nacionalidad diferente a la mexicana que solicitaron asilo en los Estados Unidos de América (EUA) y que, entre enero de 2019 y junio de 2021, debieron esperar en México la cita en las cortes de aquel país para continuar con su trámite de resolución. Consultable en: </w:t>
      </w:r>
      <w:hyperlink r:id="rId35" w:history="1">
        <w:r w:rsidRPr="00DD6683">
          <w:rPr>
            <w:rFonts w:ascii="Times New Roman" w:eastAsia="Times New Roman" w:hAnsi="Times New Roman" w:cs="Times New Roman"/>
            <w:color w:val="0563C1"/>
            <w:sz w:val="24"/>
            <w:szCs w:val="24"/>
            <w:u w:val="single"/>
            <w:lang w:eastAsia="es-MX"/>
          </w:rPr>
          <w:t>https://www.cndh.org.mx/sites/default/files/documentos/2021-12/IE_MP_cndh_2021.pdf</w:t>
        </w:r>
      </w:hyperlink>
    </w:p>
    <w:p w14:paraId="13044F8A" w14:textId="276C294A" w:rsidR="00A90BFF" w:rsidRDefault="00A90BFF" w:rsidP="00DD6683">
      <w:pPr>
        <w:spacing w:after="0" w:line="276" w:lineRule="auto"/>
        <w:jc w:val="both"/>
        <w:rPr>
          <w:rFonts w:ascii="Times New Roman" w:eastAsia="Times New Roman" w:hAnsi="Times New Roman" w:cs="Times New Roman"/>
          <w:color w:val="0563C1"/>
          <w:sz w:val="24"/>
          <w:szCs w:val="24"/>
          <w:u w:val="single"/>
          <w:lang w:eastAsia="es-MX"/>
        </w:rPr>
      </w:pPr>
    </w:p>
    <w:p w14:paraId="67603B35" w14:textId="77777777" w:rsidR="00F475D4" w:rsidRPr="00153429" w:rsidRDefault="00F475D4" w:rsidP="00F475D4">
      <w:pPr>
        <w:jc w:val="both"/>
        <w:rPr>
          <w:rFonts w:ascii="Arial" w:hAnsi="Arial" w:cs="Arial"/>
          <w:b/>
          <w:bCs/>
          <w:i/>
          <w:iCs/>
        </w:rPr>
      </w:pPr>
      <w:r w:rsidRPr="00153429">
        <w:rPr>
          <w:rFonts w:ascii="Arial" w:hAnsi="Arial" w:cs="Arial"/>
          <w:b/>
          <w:bCs/>
          <w:i/>
          <w:iCs/>
        </w:rPr>
        <w:t>59. El Estado parte debe: a) Velar por que todos los casos de violencia de género, incluidos los casos de tortura sexual, los asesinatos y las desapariciones de mujeres y niñas, y en particular en aquellos casos en los que haya habido acciones u omisiones de autoridades del Estado u otras entidades que den lugar a la responsabilidad internacional del Estado parte con arreglo a la Convención, sean investigados exhaustivamente, que los presuntos autores sean enjuiciados y, de ser condenados, sancionados debidamente, y que las víctimas obtengan reparación, incluida una indemnización adecuada; b) Impartir formación obligatoria sobre el enjuiciamiento de la violencia de género a jueces, fiscales y miembros de las fuerzas del orden, y llevar a cabo campañas de sensibilización sobre todas las formas de violencia contra la mujer; c) Velar por que las víctimas de violencia de género reciban atención médica, apoyo psicológico y la asistencia jurídica que necesiten.</w:t>
      </w:r>
    </w:p>
    <w:p w14:paraId="71CC5224" w14:textId="77777777" w:rsidR="00F475D4" w:rsidRPr="00153429" w:rsidRDefault="00F475D4" w:rsidP="00F475D4">
      <w:pPr>
        <w:tabs>
          <w:tab w:val="left" w:pos="512"/>
        </w:tabs>
        <w:spacing w:line="276" w:lineRule="auto"/>
        <w:contextualSpacing/>
        <w:jc w:val="both"/>
        <w:rPr>
          <w:rFonts w:ascii="Arial" w:hAnsi="Arial" w:cs="Arial"/>
          <w:b/>
          <w:bCs/>
        </w:rPr>
      </w:pPr>
    </w:p>
    <w:p w14:paraId="467832E0" w14:textId="77777777" w:rsidR="00F475D4" w:rsidRPr="00153429" w:rsidRDefault="00F475D4" w:rsidP="00F475D4">
      <w:pPr>
        <w:tabs>
          <w:tab w:val="left" w:pos="512"/>
        </w:tabs>
        <w:spacing w:line="276" w:lineRule="auto"/>
        <w:contextualSpacing/>
        <w:jc w:val="both"/>
        <w:rPr>
          <w:rFonts w:ascii="Arial" w:hAnsi="Arial" w:cs="Arial"/>
          <w:b/>
          <w:bCs/>
        </w:rPr>
      </w:pPr>
      <w:r w:rsidRPr="00153429">
        <w:rPr>
          <w:rFonts w:ascii="Arial" w:hAnsi="Arial" w:cs="Arial"/>
          <w:b/>
          <w:bCs/>
        </w:rPr>
        <w:t>Acciones de la Comisión Nacional de los Derechos Humanos</w:t>
      </w:r>
    </w:p>
    <w:p w14:paraId="0C44A8B3" w14:textId="77777777" w:rsidR="00F475D4" w:rsidRDefault="00F475D4" w:rsidP="00F475D4">
      <w:pPr>
        <w:tabs>
          <w:tab w:val="left" w:pos="512"/>
        </w:tabs>
        <w:spacing w:line="276" w:lineRule="auto"/>
        <w:contextualSpacing/>
        <w:jc w:val="both"/>
        <w:rPr>
          <w:rFonts w:ascii="Arial" w:hAnsi="Arial" w:cs="Arial"/>
        </w:rPr>
      </w:pPr>
    </w:p>
    <w:p w14:paraId="41088F07" w14:textId="77777777" w:rsidR="00F475D4" w:rsidRPr="006A1574" w:rsidRDefault="00F475D4" w:rsidP="00F475D4">
      <w:pPr>
        <w:tabs>
          <w:tab w:val="left" w:pos="512"/>
        </w:tabs>
        <w:spacing w:line="276" w:lineRule="auto"/>
        <w:contextualSpacing/>
        <w:jc w:val="both"/>
        <w:rPr>
          <w:rFonts w:ascii="Arial" w:hAnsi="Arial" w:cs="Arial"/>
        </w:rPr>
      </w:pPr>
      <w:r w:rsidRPr="006A1574">
        <w:rPr>
          <w:rFonts w:ascii="Arial" w:hAnsi="Arial" w:cs="Arial"/>
        </w:rPr>
        <w:t xml:space="preserve">La Recomendación General 40/2019, emitida por la CNDH, menciona: “Es importante señalar que la violencia feminicida no se reduce ni se dimensiona únicamente a partir del número de homicidios o asesinatos de mujeres; la violencia feminicida representa un conjunto de violaciones a los derechos humanos de las mujeres, al implicar desapariciones, torturas, agresiones y prácticas que atentan contra la dignidad, integridad, libertad y la vida de las mujeres”. </w:t>
      </w:r>
    </w:p>
    <w:p w14:paraId="0063DBA2" w14:textId="77777777" w:rsidR="00F475D4" w:rsidRPr="006A1574" w:rsidRDefault="00F475D4" w:rsidP="00F475D4">
      <w:pPr>
        <w:tabs>
          <w:tab w:val="left" w:pos="512"/>
        </w:tabs>
        <w:spacing w:line="276" w:lineRule="auto"/>
        <w:contextualSpacing/>
        <w:jc w:val="both"/>
        <w:rPr>
          <w:rFonts w:ascii="Arial" w:hAnsi="Arial" w:cs="Arial"/>
        </w:rPr>
      </w:pPr>
    </w:p>
    <w:p w14:paraId="11ED9266" w14:textId="77777777" w:rsidR="00F475D4" w:rsidRPr="006A1574" w:rsidRDefault="00F475D4" w:rsidP="00F475D4">
      <w:pPr>
        <w:tabs>
          <w:tab w:val="left" w:pos="512"/>
        </w:tabs>
        <w:spacing w:line="276" w:lineRule="auto"/>
        <w:contextualSpacing/>
        <w:jc w:val="both"/>
        <w:rPr>
          <w:rFonts w:ascii="Arial" w:hAnsi="Arial" w:cs="Arial"/>
        </w:rPr>
      </w:pPr>
      <w:r w:rsidRPr="006A1574">
        <w:rPr>
          <w:rFonts w:ascii="Arial" w:hAnsi="Arial" w:cs="Arial"/>
        </w:rPr>
        <w:t xml:space="preserve">Esta recomendación recupera la sentencia del amparo en revisión 554/2013, emitida por la SCJN el 25 de marzo de 2015 y que versa sobre el caso de la muerte violenta de una mujer investigado por la entonces Procuraduría del Estado de México como suicidio, además de que se cometieron diversas irregularidades. La sentencia generó la tesis aislada denominada: “Feminicidio. Diligencias que las autoridades se encuentran obligadas a realizar en su investigación”, la cual establece algunas diligencias específicas en este tipo de muertes consistentes en, por un lado, </w:t>
      </w:r>
      <w:r w:rsidRPr="006A1574">
        <w:rPr>
          <w:rFonts w:ascii="Arial" w:hAnsi="Arial" w:cs="Arial"/>
          <w:i/>
          <w:iCs/>
        </w:rPr>
        <w:t>que el perito que realiza la autopsia esté familiarizado con los tipos de tortura o de violencia que predominan en ese país o localidad y, por otro, que además de la necropsia psicológica practicada a las occisas, se realice complementariamente un peritaje psicosocial</w:t>
      </w:r>
      <w:r w:rsidRPr="006A1574">
        <w:rPr>
          <w:rFonts w:ascii="Arial" w:hAnsi="Arial" w:cs="Arial"/>
        </w:rPr>
        <w:t xml:space="preserve">, el cual se centra en la experiencia de las personas afectadas por las violaciones a los derechos humanos, mediante el cual se analice su entorno psicosocial”. </w:t>
      </w:r>
    </w:p>
    <w:p w14:paraId="6215FD8A" w14:textId="77777777" w:rsidR="00F475D4" w:rsidRPr="006A1574" w:rsidRDefault="00F475D4" w:rsidP="00F475D4">
      <w:pPr>
        <w:spacing w:before="120" w:after="120" w:line="276" w:lineRule="auto"/>
        <w:ind w:right="51"/>
        <w:contextualSpacing/>
        <w:jc w:val="both"/>
        <w:rPr>
          <w:rFonts w:ascii="Arial" w:eastAsia="Times New Roman" w:hAnsi="Arial" w:cs="Arial"/>
          <w:color w:val="000000" w:themeColor="text1"/>
          <w:lang w:eastAsia="es-MX"/>
        </w:rPr>
      </w:pPr>
    </w:p>
    <w:p w14:paraId="00AC7EF8" w14:textId="77777777" w:rsidR="00F475D4" w:rsidRPr="006A1574" w:rsidRDefault="00F475D4" w:rsidP="00F475D4">
      <w:pPr>
        <w:spacing w:before="120" w:after="120" w:line="276" w:lineRule="auto"/>
        <w:ind w:right="51"/>
        <w:contextualSpacing/>
        <w:jc w:val="both"/>
        <w:rPr>
          <w:rFonts w:ascii="Arial" w:eastAsia="Times New Roman" w:hAnsi="Arial" w:cs="Arial"/>
          <w:color w:val="000000" w:themeColor="text1"/>
          <w:lang w:eastAsia="es-MX"/>
        </w:rPr>
      </w:pPr>
      <w:r w:rsidRPr="006A1574">
        <w:rPr>
          <w:rFonts w:ascii="Arial" w:eastAsia="Times New Roman" w:hAnsi="Arial" w:cs="Arial"/>
          <w:color w:val="000000" w:themeColor="text1"/>
          <w:lang w:eastAsia="es-MX"/>
        </w:rPr>
        <w:t>De acuerdo con información proporcionada por el Secretariado Ejecutivo del Sistema Nacional de Seguridad Pública (SESNSP), de mayo de 2019 al 30 de noviembre de 2021 las Fiscalías y Procuradurías de las entidades federativas registraron 9,790 mujeres víctimas de asesinatos en México, de las cuales 7,287 fueron víctimas de presuntos homicidios dolosos (74.43%) y 2,503 víctimas de presuntos feminicidios (25.57%).</w:t>
      </w:r>
    </w:p>
    <w:p w14:paraId="748FA1FE" w14:textId="77777777" w:rsidR="00F475D4" w:rsidRPr="006A1574" w:rsidRDefault="00F475D4" w:rsidP="00F475D4">
      <w:pPr>
        <w:spacing w:before="120" w:after="120" w:line="276" w:lineRule="auto"/>
        <w:ind w:right="51"/>
        <w:contextualSpacing/>
        <w:jc w:val="both"/>
        <w:rPr>
          <w:rFonts w:ascii="Arial" w:eastAsia="Times New Roman" w:hAnsi="Arial" w:cs="Arial"/>
          <w:color w:val="000000" w:themeColor="text1"/>
          <w:lang w:eastAsia="es-MX"/>
        </w:rPr>
      </w:pPr>
    </w:p>
    <w:p w14:paraId="45468C6E" w14:textId="77777777" w:rsidR="00F475D4" w:rsidRPr="006A1574" w:rsidRDefault="00F475D4" w:rsidP="00F475D4">
      <w:pPr>
        <w:spacing w:before="120" w:after="120" w:line="276" w:lineRule="auto"/>
        <w:ind w:right="51"/>
        <w:contextualSpacing/>
        <w:jc w:val="both"/>
        <w:rPr>
          <w:rFonts w:ascii="Arial" w:eastAsia="Times New Roman" w:hAnsi="Arial" w:cs="Arial"/>
          <w:color w:val="000000" w:themeColor="text1"/>
          <w:lang w:eastAsia="es-MX"/>
        </w:rPr>
      </w:pPr>
      <w:r w:rsidRPr="006A1574">
        <w:rPr>
          <w:rFonts w:ascii="Arial" w:eastAsia="Times New Roman" w:hAnsi="Arial" w:cs="Arial"/>
          <w:color w:val="000000" w:themeColor="text1"/>
          <w:lang w:eastAsia="es-MX"/>
        </w:rPr>
        <w:t xml:space="preserve">En 2021, de enero al 30 de noviembre se registraron 887 feminicidios, siendo agosto el mes con más casos: 108. En homicidios dolosos de mujeres, los casos registrados de enero a noviembre de 2021 fueron 2,540, siendo también agosto el mes con la cifra más alta: 271 casos reportados. </w:t>
      </w:r>
      <w:r w:rsidRPr="006A1574">
        <w:rPr>
          <w:rFonts w:ascii="Arial" w:hAnsi="Arial" w:cs="Arial"/>
        </w:rPr>
        <w:t>Los cinco estados que presentaron más feminicidios de enero a noviembre de 2021 fueron: Estado de México (130), Veracruz (65), Jalisco (64), Ciudad de México (60) y Nuevo León (57)</w:t>
      </w:r>
      <w:r w:rsidRPr="006A1574">
        <w:rPr>
          <w:rFonts w:ascii="Arial" w:hAnsi="Arial" w:cs="Arial"/>
          <w:vertAlign w:val="superscript"/>
        </w:rPr>
        <w:footnoteReference w:id="32"/>
      </w:r>
      <w:r w:rsidRPr="006A1574">
        <w:rPr>
          <w:rFonts w:ascii="Arial" w:hAnsi="Arial" w:cs="Arial"/>
        </w:rPr>
        <w:t>.</w:t>
      </w:r>
    </w:p>
    <w:p w14:paraId="3E86206B" w14:textId="77777777" w:rsidR="00F475D4" w:rsidRPr="006A1574" w:rsidRDefault="00F475D4" w:rsidP="00F475D4">
      <w:pPr>
        <w:spacing w:before="120" w:after="120" w:line="276" w:lineRule="auto"/>
        <w:ind w:right="51"/>
        <w:contextualSpacing/>
        <w:jc w:val="both"/>
        <w:rPr>
          <w:rFonts w:ascii="Arial" w:eastAsia="Times New Roman" w:hAnsi="Arial" w:cs="Arial"/>
          <w:color w:val="000000" w:themeColor="text1"/>
          <w:lang w:eastAsia="es-MX"/>
        </w:rPr>
      </w:pPr>
    </w:p>
    <w:p w14:paraId="3A967526" w14:textId="77777777" w:rsidR="00F475D4" w:rsidRPr="006A1574" w:rsidRDefault="00F475D4" w:rsidP="00F475D4">
      <w:pPr>
        <w:spacing w:before="120" w:after="120" w:line="276" w:lineRule="auto"/>
        <w:ind w:right="51"/>
        <w:contextualSpacing/>
        <w:jc w:val="both"/>
        <w:rPr>
          <w:rFonts w:ascii="Arial" w:eastAsia="Times New Roman" w:hAnsi="Arial" w:cs="Arial"/>
          <w:color w:val="000000" w:themeColor="text1"/>
          <w:lang w:eastAsia="es-MX"/>
        </w:rPr>
      </w:pPr>
      <w:r w:rsidRPr="006A1574">
        <w:rPr>
          <w:rFonts w:ascii="Arial" w:eastAsia="Times New Roman" w:hAnsi="Arial" w:cs="Arial"/>
          <w:color w:val="000000" w:themeColor="text1"/>
          <w:lang w:eastAsia="es-MX"/>
        </w:rPr>
        <w:t>El Programa de Asuntos de la Mujer y de Igualdad entre Mujeres y Hombres (PAMIMH) atiende el tema de violencia contra las mujeres a través de la Observancia de la PNIMH</w:t>
      </w:r>
      <w:r w:rsidRPr="006A1574">
        <w:rPr>
          <w:rFonts w:ascii="Arial" w:hAnsi="Arial" w:cs="Arial"/>
          <w:color w:val="000000" w:themeColor="text1"/>
          <w:vertAlign w:val="superscript"/>
          <w:lang w:eastAsia="es-MX"/>
        </w:rPr>
        <w:footnoteReference w:id="33"/>
      </w:r>
      <w:r w:rsidRPr="006A1574">
        <w:rPr>
          <w:rFonts w:ascii="Arial" w:eastAsia="Times New Roman" w:hAnsi="Arial" w:cs="Arial"/>
          <w:color w:val="000000" w:themeColor="text1"/>
          <w:lang w:eastAsia="es-MX"/>
        </w:rPr>
        <w:t xml:space="preserve"> y desde el seguimiento a los procedimientos de Alertas de Violencia de Género, sin embargo, de manera específica no se da seguimiento al tema de tortura. </w:t>
      </w:r>
    </w:p>
    <w:p w14:paraId="39190933" w14:textId="77777777" w:rsidR="00F475D4" w:rsidRPr="006A1574" w:rsidRDefault="00F475D4" w:rsidP="00F475D4">
      <w:pPr>
        <w:spacing w:before="120" w:after="120" w:line="276" w:lineRule="auto"/>
        <w:contextualSpacing/>
        <w:jc w:val="both"/>
        <w:rPr>
          <w:rFonts w:ascii="Arial" w:eastAsia="Times New Roman" w:hAnsi="Arial" w:cs="Arial"/>
          <w:color w:val="000000" w:themeColor="text1"/>
          <w:lang w:eastAsia="es-MX"/>
        </w:rPr>
      </w:pPr>
    </w:p>
    <w:p w14:paraId="1082AD91" w14:textId="77777777" w:rsidR="00F475D4" w:rsidRPr="006A1574" w:rsidRDefault="00F475D4" w:rsidP="00F475D4">
      <w:pPr>
        <w:spacing w:before="120" w:after="120" w:line="276" w:lineRule="auto"/>
        <w:contextualSpacing/>
        <w:jc w:val="both"/>
        <w:rPr>
          <w:rFonts w:ascii="Arial" w:eastAsia="Times New Roman" w:hAnsi="Arial" w:cs="Arial"/>
          <w:color w:val="000000" w:themeColor="text1"/>
          <w:lang w:eastAsia="es-MX"/>
        </w:rPr>
      </w:pPr>
      <w:r w:rsidRPr="006A1574">
        <w:rPr>
          <w:rFonts w:ascii="Arial" w:eastAsia="Times New Roman" w:hAnsi="Arial" w:cs="Arial"/>
          <w:color w:val="000000" w:themeColor="text1"/>
          <w:lang w:eastAsia="es-MX"/>
        </w:rPr>
        <w:t xml:space="preserve">En lo que respecta a violencia feminicida y el seguimiento que se ha dado desde la observancia a las acciones que han implementado las autoridades para su atención, sanción y erradicación, el Programa participa como integrante de los Grupos de Trabajo que dan seguimiento a las Alertas de Violencia de Género contra las Mujeres. </w:t>
      </w:r>
    </w:p>
    <w:p w14:paraId="00494475" w14:textId="77777777" w:rsidR="00F475D4" w:rsidRPr="006A1574" w:rsidRDefault="00F475D4" w:rsidP="00F475D4">
      <w:pPr>
        <w:spacing w:before="120" w:after="120" w:line="276" w:lineRule="auto"/>
        <w:contextualSpacing/>
        <w:jc w:val="both"/>
        <w:rPr>
          <w:rFonts w:ascii="Arial" w:eastAsia="Times New Roman" w:hAnsi="Arial" w:cs="Arial"/>
          <w:color w:val="000000" w:themeColor="text1"/>
          <w:lang w:eastAsia="es-MX"/>
        </w:rPr>
      </w:pPr>
    </w:p>
    <w:p w14:paraId="15D3F980" w14:textId="77777777" w:rsidR="00F475D4" w:rsidRPr="006A1574" w:rsidRDefault="00F475D4" w:rsidP="00F475D4">
      <w:pPr>
        <w:spacing w:before="120" w:after="120" w:line="276" w:lineRule="auto"/>
        <w:contextualSpacing/>
        <w:jc w:val="both"/>
        <w:rPr>
          <w:rFonts w:ascii="Arial" w:eastAsia="Times New Roman" w:hAnsi="Arial" w:cs="Arial"/>
          <w:color w:val="000000" w:themeColor="text1"/>
          <w:lang w:eastAsia="es-MX"/>
        </w:rPr>
      </w:pPr>
      <w:r w:rsidRPr="006A1574">
        <w:rPr>
          <w:rFonts w:ascii="Arial" w:eastAsia="Times New Roman" w:hAnsi="Arial" w:cs="Arial"/>
          <w:color w:val="000000" w:themeColor="text1"/>
          <w:lang w:eastAsia="es-MX"/>
        </w:rPr>
        <w:t>Sobre las Alertas, hasta el 10 de diciembre de 2021 en México hubo un total de 29 procedimientos de Alerta de Violencia de Género contra la Mujeres (AVGM)</w:t>
      </w:r>
      <w:r w:rsidRPr="006A1574">
        <w:rPr>
          <w:rFonts w:ascii="Arial" w:eastAsia="Times New Roman" w:hAnsi="Arial" w:cs="Arial"/>
          <w:color w:val="000000" w:themeColor="text1"/>
          <w:vertAlign w:val="superscript"/>
          <w:lang w:eastAsia="es-MX"/>
        </w:rPr>
        <w:footnoteReference w:id="34"/>
      </w:r>
      <w:r w:rsidRPr="006A1574">
        <w:rPr>
          <w:rFonts w:ascii="Arial" w:eastAsia="Times New Roman" w:hAnsi="Arial" w:cs="Arial"/>
          <w:color w:val="000000" w:themeColor="text1"/>
          <w:vertAlign w:val="superscript"/>
          <w:lang w:eastAsia="es-MX"/>
        </w:rPr>
        <w:t>.</w:t>
      </w:r>
      <w:r w:rsidRPr="006A1574">
        <w:rPr>
          <w:rFonts w:ascii="Arial" w:eastAsia="Times New Roman" w:hAnsi="Arial" w:cs="Arial"/>
          <w:color w:val="000000" w:themeColor="text1"/>
          <w:lang w:eastAsia="es-MX"/>
        </w:rPr>
        <w:t xml:space="preserve"> De estos, hay 25 declaratorias de AVGM</w:t>
      </w:r>
      <w:r w:rsidRPr="006A1574">
        <w:rPr>
          <w:rFonts w:ascii="Arial" w:eastAsia="Times New Roman" w:hAnsi="Arial" w:cs="Arial"/>
          <w:color w:val="000000" w:themeColor="text1"/>
          <w:vertAlign w:val="superscript"/>
          <w:lang w:eastAsia="es-MX"/>
        </w:rPr>
        <w:footnoteReference w:id="35"/>
      </w:r>
      <w:r w:rsidRPr="006A1574">
        <w:rPr>
          <w:rFonts w:ascii="Arial" w:eastAsia="Times New Roman" w:hAnsi="Arial" w:cs="Arial"/>
          <w:color w:val="000000" w:themeColor="text1"/>
          <w:lang w:eastAsia="es-MX"/>
        </w:rPr>
        <w:t xml:space="preserve"> en un total de 22 entidades federativas, de las cuales 22 son por violencia feminicida, dos por agravio comparado y una por desaparición de niñas, adolescentes y mujeres</w:t>
      </w:r>
      <w:r w:rsidRPr="006A1574">
        <w:rPr>
          <w:rFonts w:ascii="Arial" w:eastAsia="Times New Roman" w:hAnsi="Arial" w:cs="Arial"/>
          <w:color w:val="000000" w:themeColor="text1"/>
          <w:vertAlign w:val="superscript"/>
          <w:lang w:eastAsia="es-MX"/>
        </w:rPr>
        <w:footnoteReference w:id="36"/>
      </w:r>
      <w:r w:rsidRPr="006A1574">
        <w:rPr>
          <w:rFonts w:ascii="Arial" w:eastAsia="Times New Roman" w:hAnsi="Arial" w:cs="Arial"/>
          <w:color w:val="000000" w:themeColor="text1"/>
          <w:lang w:eastAsia="es-MX"/>
        </w:rPr>
        <w:t>. Las otras cuatro se encuentran en trámite: 1) Sonora, por Agravio Comparado; 2) Ciudad de México, por Violencia Feminicida, de manera reciente se sumaron dos procedimientos que aún están en proceso de instalación del Grupo de Trabajo; 3) Veracruz, desaparición de niñas, adolescentes y mujeres, y 4) Nayarit, desaparición de niñas, adolescentes y mujeres.</w:t>
      </w:r>
    </w:p>
    <w:p w14:paraId="00175170" w14:textId="77777777" w:rsidR="00F475D4" w:rsidRPr="006A1574" w:rsidRDefault="00F475D4" w:rsidP="00F475D4">
      <w:pPr>
        <w:spacing w:before="120" w:after="120" w:line="276" w:lineRule="auto"/>
        <w:contextualSpacing/>
        <w:jc w:val="both"/>
        <w:rPr>
          <w:rFonts w:ascii="Arial" w:eastAsia="Times New Roman" w:hAnsi="Arial" w:cs="Arial"/>
          <w:color w:val="000000" w:themeColor="text1"/>
          <w:lang w:eastAsia="es-MX"/>
        </w:rPr>
      </w:pPr>
    </w:p>
    <w:p w14:paraId="199BDE6F" w14:textId="77777777" w:rsidR="00F475D4" w:rsidRPr="006A1574" w:rsidRDefault="00F475D4" w:rsidP="00F475D4">
      <w:pPr>
        <w:spacing w:before="120" w:after="120" w:line="276" w:lineRule="auto"/>
        <w:contextualSpacing/>
        <w:jc w:val="both"/>
        <w:rPr>
          <w:rFonts w:ascii="Arial" w:eastAsia="Times New Roman" w:hAnsi="Arial" w:cs="Arial"/>
          <w:color w:val="000000" w:themeColor="text1"/>
          <w:lang w:eastAsia="es-MX"/>
        </w:rPr>
      </w:pPr>
      <w:r w:rsidRPr="006A1574">
        <w:rPr>
          <w:rFonts w:ascii="Arial" w:eastAsia="Times New Roman" w:hAnsi="Arial" w:cs="Arial"/>
          <w:color w:val="000000" w:themeColor="text1"/>
          <w:lang w:eastAsia="es-MX"/>
        </w:rPr>
        <w:t>Como integrantes de los Grupos de Trabajo de las AVGM, la CNDH ha publicado una serie de diagnósticos e informes sobre este mecanismo. A continuación se presentan los elaborados desde el 2019 al 30 de noviembre de 2021.</w:t>
      </w:r>
    </w:p>
    <w:p w14:paraId="0BB0FC76" w14:textId="77777777" w:rsidR="00F475D4" w:rsidRPr="006A1574" w:rsidRDefault="00F475D4" w:rsidP="00F475D4">
      <w:pPr>
        <w:spacing w:before="120" w:after="120" w:line="276" w:lineRule="auto"/>
        <w:contextualSpacing/>
        <w:jc w:val="both"/>
        <w:rPr>
          <w:rFonts w:ascii="Arial" w:eastAsia="Times New Roman" w:hAnsi="Arial" w:cs="Arial"/>
          <w:color w:val="000000" w:themeColor="text1"/>
          <w:lang w:eastAsia="es-MX"/>
        </w:rPr>
      </w:pPr>
    </w:p>
    <w:p w14:paraId="1FD1EDAC" w14:textId="77777777" w:rsidR="00F475D4" w:rsidRPr="006A1574" w:rsidRDefault="00F475D4" w:rsidP="00F475D4">
      <w:pPr>
        <w:numPr>
          <w:ilvl w:val="0"/>
          <w:numId w:val="23"/>
        </w:numPr>
        <w:spacing w:before="120" w:after="120" w:line="276" w:lineRule="auto"/>
        <w:contextualSpacing/>
        <w:jc w:val="both"/>
        <w:rPr>
          <w:rFonts w:ascii="Arial" w:eastAsia="Times New Roman" w:hAnsi="Arial" w:cs="Arial"/>
          <w:color w:val="000000" w:themeColor="text1"/>
          <w:lang w:eastAsia="es-MX"/>
        </w:rPr>
      </w:pPr>
      <w:r w:rsidRPr="006A1574">
        <w:rPr>
          <w:rFonts w:ascii="Arial" w:eastAsia="Times New Roman" w:hAnsi="Arial" w:cs="Arial"/>
          <w:color w:val="000000" w:themeColor="text1"/>
          <w:lang w:eastAsia="es-MX"/>
        </w:rPr>
        <w:t>“Diagnóstico de la Comisión Nacional de los Derechos Humanos como integrante de los grupos que dan seguimiento a los procedimientos de alerta de violencia de género contra las mujeres 2019”. Disponible en:</w:t>
      </w:r>
    </w:p>
    <w:p w14:paraId="539798CE" w14:textId="77777777" w:rsidR="00F475D4" w:rsidRPr="006A1574" w:rsidRDefault="009859F9" w:rsidP="00F475D4">
      <w:pPr>
        <w:spacing w:before="120" w:after="120" w:line="276" w:lineRule="auto"/>
        <w:ind w:left="1145"/>
        <w:contextualSpacing/>
        <w:jc w:val="both"/>
        <w:rPr>
          <w:rFonts w:ascii="Arial" w:eastAsia="Times New Roman" w:hAnsi="Arial" w:cs="Arial"/>
          <w:color w:val="000000" w:themeColor="text1"/>
          <w:lang w:eastAsia="es-MX"/>
        </w:rPr>
      </w:pPr>
      <w:hyperlink r:id="rId36" w:history="1">
        <w:r w:rsidR="00F475D4" w:rsidRPr="006A1574">
          <w:rPr>
            <w:rFonts w:ascii="Arial" w:eastAsia="Times New Roman" w:hAnsi="Arial" w:cs="Arial"/>
            <w:color w:val="0000FF"/>
            <w:u w:val="single"/>
            <w:lang w:eastAsia="es-MX"/>
          </w:rPr>
          <w:t>https://www.cndh.org.mx/sites/default/files/documentos/2019-11/Estudio-AVGM-2019.pdf</w:t>
        </w:r>
      </w:hyperlink>
    </w:p>
    <w:p w14:paraId="79CDEEF3" w14:textId="77777777" w:rsidR="00F475D4" w:rsidRPr="006A1574" w:rsidRDefault="00F475D4" w:rsidP="00F475D4">
      <w:pPr>
        <w:numPr>
          <w:ilvl w:val="0"/>
          <w:numId w:val="23"/>
        </w:numPr>
        <w:spacing w:before="120" w:after="120" w:line="276" w:lineRule="auto"/>
        <w:contextualSpacing/>
        <w:jc w:val="both"/>
        <w:rPr>
          <w:rFonts w:ascii="Arial" w:eastAsia="Times New Roman" w:hAnsi="Arial" w:cs="Arial"/>
          <w:color w:val="000000" w:themeColor="text1"/>
          <w:lang w:eastAsia="es-MX"/>
        </w:rPr>
      </w:pPr>
      <w:r w:rsidRPr="006A1574">
        <w:rPr>
          <w:rFonts w:ascii="Arial" w:eastAsia="Times New Roman" w:hAnsi="Arial" w:cs="Arial"/>
          <w:color w:val="000000" w:themeColor="text1"/>
          <w:lang w:eastAsia="es-MX"/>
        </w:rPr>
        <w:t>“Estudio sobre el seguimiento a los procedimientos de Alerta de Violencia de Género en contra las Mujeres (política para erradicar la violencia)”, 2020. Disponible en:</w:t>
      </w:r>
    </w:p>
    <w:p w14:paraId="6C54D17E" w14:textId="77777777" w:rsidR="00F475D4" w:rsidRPr="006A1574" w:rsidRDefault="009859F9" w:rsidP="00F475D4">
      <w:pPr>
        <w:spacing w:before="120" w:after="120" w:line="276" w:lineRule="auto"/>
        <w:ind w:left="1145"/>
        <w:contextualSpacing/>
        <w:jc w:val="both"/>
        <w:rPr>
          <w:rFonts w:ascii="Arial" w:eastAsia="Times New Roman" w:hAnsi="Arial" w:cs="Arial"/>
          <w:color w:val="000000" w:themeColor="text1"/>
          <w:lang w:eastAsia="es-MX"/>
        </w:rPr>
      </w:pPr>
      <w:hyperlink r:id="rId37" w:history="1">
        <w:r w:rsidR="00F475D4" w:rsidRPr="006A1574">
          <w:rPr>
            <w:rFonts w:ascii="Arial" w:eastAsia="Times New Roman" w:hAnsi="Arial" w:cs="Arial"/>
            <w:color w:val="0000FF"/>
            <w:u w:val="single"/>
            <w:lang w:eastAsia="es-MX"/>
          </w:rPr>
          <w:t>https://igualdaddegenero.cndh.org.mx/Content/doc/Publicaciones/Seguimiento_Alerta_VG_2020.pdf</w:t>
        </w:r>
      </w:hyperlink>
      <w:r w:rsidR="00F475D4" w:rsidRPr="006A1574">
        <w:rPr>
          <w:rFonts w:ascii="Arial" w:eastAsia="Times New Roman" w:hAnsi="Arial" w:cs="Arial"/>
          <w:color w:val="000000" w:themeColor="text1"/>
          <w:lang w:eastAsia="es-MX"/>
        </w:rPr>
        <w:t xml:space="preserve"> </w:t>
      </w:r>
    </w:p>
    <w:p w14:paraId="0CF5BA4D" w14:textId="77777777" w:rsidR="00F475D4" w:rsidRPr="006A1574" w:rsidRDefault="00F475D4" w:rsidP="00F475D4">
      <w:pPr>
        <w:numPr>
          <w:ilvl w:val="0"/>
          <w:numId w:val="23"/>
        </w:numPr>
        <w:spacing w:before="120" w:after="120" w:line="276" w:lineRule="auto"/>
        <w:contextualSpacing/>
        <w:jc w:val="both"/>
        <w:rPr>
          <w:rFonts w:ascii="Arial" w:eastAsia="Times New Roman" w:hAnsi="Arial" w:cs="Arial"/>
          <w:color w:val="000000" w:themeColor="text1"/>
          <w:lang w:eastAsia="es-MX"/>
        </w:rPr>
      </w:pPr>
      <w:r w:rsidRPr="006A1574">
        <w:rPr>
          <w:rFonts w:ascii="Arial" w:eastAsia="Times New Roman" w:hAnsi="Arial" w:cs="Arial"/>
          <w:color w:val="000000" w:themeColor="text1"/>
          <w:lang w:eastAsia="es-MX"/>
        </w:rPr>
        <w:t>“Reportes de análisis de los procedimientos de Alerta de violencia de Género contra las Mujeres (Cuatro trimestres del 2021)”. Disponibles en:</w:t>
      </w:r>
    </w:p>
    <w:p w14:paraId="49F8C243" w14:textId="77777777" w:rsidR="00F475D4" w:rsidRPr="006A1574" w:rsidRDefault="009859F9" w:rsidP="00F475D4">
      <w:pPr>
        <w:spacing w:before="120" w:after="120" w:line="276" w:lineRule="auto"/>
        <w:ind w:left="1145"/>
        <w:contextualSpacing/>
        <w:jc w:val="both"/>
        <w:rPr>
          <w:rFonts w:ascii="Arial" w:eastAsia="Times New Roman" w:hAnsi="Arial" w:cs="Arial"/>
          <w:color w:val="000000" w:themeColor="text1"/>
          <w:lang w:eastAsia="es-MX"/>
        </w:rPr>
      </w:pPr>
      <w:hyperlink r:id="rId38" w:history="1">
        <w:r w:rsidR="00F475D4" w:rsidRPr="006A1574">
          <w:rPr>
            <w:rFonts w:ascii="Arial" w:eastAsia="Times New Roman" w:hAnsi="Arial" w:cs="Arial"/>
            <w:color w:val="0000FF"/>
            <w:u w:val="single"/>
            <w:lang w:eastAsia="es-MX"/>
          </w:rPr>
          <w:t>https://igualdaddegenero.cndh.org.mx/AVGM/Reportes_AVGM</w:t>
        </w:r>
      </w:hyperlink>
    </w:p>
    <w:p w14:paraId="67415735" w14:textId="77777777" w:rsidR="00F475D4" w:rsidRPr="006A1574" w:rsidRDefault="00F475D4" w:rsidP="00F475D4">
      <w:pPr>
        <w:spacing w:line="276" w:lineRule="auto"/>
        <w:contextualSpacing/>
        <w:jc w:val="both"/>
        <w:rPr>
          <w:rFonts w:ascii="Arial" w:hAnsi="Arial" w:cs="Arial"/>
        </w:rPr>
      </w:pPr>
    </w:p>
    <w:p w14:paraId="50BB8869" w14:textId="77777777" w:rsidR="00F475D4" w:rsidRPr="006A1574" w:rsidRDefault="00F475D4" w:rsidP="00F475D4">
      <w:pPr>
        <w:spacing w:line="276" w:lineRule="auto"/>
        <w:contextualSpacing/>
        <w:jc w:val="both"/>
        <w:rPr>
          <w:rFonts w:ascii="Arial" w:hAnsi="Arial" w:cs="Arial"/>
        </w:rPr>
      </w:pPr>
      <w:r w:rsidRPr="006A1574">
        <w:rPr>
          <w:rFonts w:ascii="Arial" w:hAnsi="Arial" w:cs="Arial"/>
        </w:rPr>
        <w:t>En cuanto al seguimiento de acciones a nivel estatal para la prevención y erradicación de la violencia feminicida contra las mujeres, realizado por los Grupos de Trabajo de las AVGM, las declaratorias y los documentos que se emiten en torno a estos procedimientos por entidad federativa pueden consultarse en la siguiente liga de la CONAVIM</w:t>
      </w:r>
      <w:r w:rsidRPr="006A1574">
        <w:rPr>
          <w:rFonts w:ascii="Arial" w:hAnsi="Arial" w:cs="Arial"/>
          <w:vertAlign w:val="superscript"/>
        </w:rPr>
        <w:footnoteReference w:id="37"/>
      </w:r>
      <w:r w:rsidRPr="006A1574">
        <w:rPr>
          <w:rFonts w:ascii="Arial" w:hAnsi="Arial" w:cs="Arial"/>
        </w:rPr>
        <w:t>:</w:t>
      </w:r>
    </w:p>
    <w:p w14:paraId="456CFD29" w14:textId="77777777" w:rsidR="00F475D4" w:rsidRPr="006A1574" w:rsidRDefault="009859F9" w:rsidP="00F475D4">
      <w:pPr>
        <w:spacing w:line="276" w:lineRule="auto"/>
        <w:contextualSpacing/>
        <w:jc w:val="both"/>
        <w:rPr>
          <w:rFonts w:ascii="Arial" w:hAnsi="Arial" w:cs="Arial"/>
        </w:rPr>
      </w:pPr>
      <w:hyperlink r:id="rId39" w:history="1">
        <w:r w:rsidR="00F475D4" w:rsidRPr="006A1574">
          <w:rPr>
            <w:rFonts w:ascii="Arial" w:hAnsi="Arial" w:cs="Arial"/>
            <w:color w:val="0000FF"/>
            <w:u w:val="single"/>
          </w:rPr>
          <w:t>https://www.gob.mx/inmujeres/acciones-y-programas/alerta-de-violencia-de-genero-contra-las-mujeres-80739</w:t>
        </w:r>
      </w:hyperlink>
    </w:p>
    <w:p w14:paraId="0138DFA5" w14:textId="77777777" w:rsidR="00F475D4" w:rsidRPr="006A1574" w:rsidRDefault="00F475D4" w:rsidP="00F475D4">
      <w:pPr>
        <w:spacing w:line="276" w:lineRule="auto"/>
        <w:contextualSpacing/>
        <w:jc w:val="both"/>
        <w:rPr>
          <w:rFonts w:ascii="Arial" w:hAnsi="Arial" w:cs="Arial"/>
        </w:rPr>
      </w:pPr>
    </w:p>
    <w:p w14:paraId="7DE876EF" w14:textId="77777777" w:rsidR="00F475D4" w:rsidRPr="006A1574" w:rsidRDefault="00F475D4" w:rsidP="00F475D4">
      <w:pPr>
        <w:spacing w:line="276" w:lineRule="auto"/>
        <w:contextualSpacing/>
        <w:jc w:val="both"/>
        <w:rPr>
          <w:rFonts w:ascii="Arial" w:hAnsi="Arial" w:cs="Arial"/>
        </w:rPr>
      </w:pPr>
      <w:r w:rsidRPr="006A1574">
        <w:rPr>
          <w:rFonts w:ascii="Arial" w:hAnsi="Arial" w:cs="Arial"/>
        </w:rPr>
        <w:t xml:space="preserve">Aunado a lo anterior, una de las acciones en las que </w:t>
      </w:r>
      <w:r>
        <w:rPr>
          <w:rFonts w:ascii="Arial" w:hAnsi="Arial" w:cs="Arial"/>
        </w:rPr>
        <w:t xml:space="preserve"> la CNDH </w:t>
      </w:r>
      <w:r w:rsidRPr="006A1574">
        <w:rPr>
          <w:rFonts w:ascii="Arial" w:hAnsi="Arial" w:cs="Arial"/>
        </w:rPr>
        <w:t>dio seguimiento en el 2021 a la reparación del daño en el tema de feminicidio, fue a través del estudio: La reparación del daño para las víctimas indirectas de feminicidio, 2021, disponible en:</w:t>
      </w:r>
    </w:p>
    <w:p w14:paraId="5A279F4B" w14:textId="77777777" w:rsidR="00F475D4" w:rsidRPr="006A1574" w:rsidRDefault="009859F9" w:rsidP="00F475D4">
      <w:pPr>
        <w:spacing w:line="276" w:lineRule="auto"/>
        <w:contextualSpacing/>
        <w:jc w:val="both"/>
        <w:rPr>
          <w:rFonts w:ascii="Arial" w:hAnsi="Arial" w:cs="Arial"/>
        </w:rPr>
      </w:pPr>
      <w:hyperlink r:id="rId40" w:history="1">
        <w:r w:rsidR="00F475D4" w:rsidRPr="006A1574">
          <w:rPr>
            <w:rFonts w:ascii="Arial" w:hAnsi="Arial" w:cs="Arial"/>
            <w:color w:val="0000FF"/>
            <w:u w:val="single"/>
          </w:rPr>
          <w:t>https://igualdaddegenero.cndh.org.mx/Content/doc/Publicaciones/1_Estudio_161221.pdf</w:t>
        </w:r>
      </w:hyperlink>
    </w:p>
    <w:p w14:paraId="3D16D7FD" w14:textId="77777777" w:rsidR="00F475D4" w:rsidRPr="006A1574" w:rsidRDefault="00F475D4" w:rsidP="00F475D4">
      <w:pPr>
        <w:spacing w:line="276" w:lineRule="auto"/>
        <w:contextualSpacing/>
        <w:jc w:val="both"/>
        <w:rPr>
          <w:rFonts w:ascii="Arial" w:hAnsi="Arial" w:cs="Arial"/>
        </w:rPr>
      </w:pPr>
    </w:p>
    <w:p w14:paraId="3068D349" w14:textId="77777777" w:rsidR="00F475D4" w:rsidRPr="006A1574" w:rsidRDefault="00F475D4" w:rsidP="00CC5F69">
      <w:pPr>
        <w:spacing w:line="276" w:lineRule="auto"/>
        <w:ind w:left="708"/>
        <w:contextualSpacing/>
        <w:jc w:val="both"/>
        <w:rPr>
          <w:rFonts w:ascii="Arial" w:hAnsi="Arial" w:cs="Arial"/>
          <w:b/>
          <w:bCs/>
        </w:rPr>
      </w:pPr>
      <w:r w:rsidRPr="006A1574">
        <w:rPr>
          <w:rFonts w:ascii="Arial" w:hAnsi="Arial" w:cs="Arial"/>
          <w:b/>
          <w:bCs/>
        </w:rPr>
        <w:t>Caso Ernestina Asencio Rosario</w:t>
      </w:r>
    </w:p>
    <w:p w14:paraId="4DC9E85A" w14:textId="77777777" w:rsidR="00F475D4" w:rsidRPr="006A1574" w:rsidRDefault="00F475D4" w:rsidP="00CC5F69">
      <w:pPr>
        <w:spacing w:line="276" w:lineRule="auto"/>
        <w:ind w:left="708"/>
        <w:contextualSpacing/>
        <w:jc w:val="both"/>
        <w:rPr>
          <w:rFonts w:ascii="Arial" w:hAnsi="Arial" w:cs="Arial"/>
        </w:rPr>
      </w:pPr>
    </w:p>
    <w:p w14:paraId="55E3A653" w14:textId="77777777" w:rsidR="00F475D4" w:rsidRPr="006A1574" w:rsidRDefault="00F475D4" w:rsidP="00F475D4">
      <w:pPr>
        <w:spacing w:line="276" w:lineRule="auto"/>
        <w:contextualSpacing/>
        <w:jc w:val="both"/>
        <w:rPr>
          <w:rFonts w:ascii="Arial" w:hAnsi="Arial" w:cs="Arial"/>
        </w:rPr>
      </w:pPr>
      <w:r w:rsidRPr="006A1574">
        <w:rPr>
          <w:rFonts w:ascii="Arial" w:hAnsi="Arial" w:cs="Arial"/>
        </w:rPr>
        <w:t>El 18 de marzo de 2020, la presidenta de este Organismo Público, Rosario Piedra Ibarra, emitió un acuerdo con el que instruyó a todas las áreas sustantivas de la CNDH a realizar una revisión sobre los expedientes del caso, atendiendo el reclamo de los familiares de la señora Ascencio y de personas exfuncionarias públicas que participaron directamente en la revisión del caso.</w:t>
      </w:r>
    </w:p>
    <w:p w14:paraId="1970B1FF" w14:textId="77777777" w:rsidR="00F475D4" w:rsidRPr="006A1574" w:rsidRDefault="00F475D4" w:rsidP="00F475D4">
      <w:pPr>
        <w:spacing w:line="276" w:lineRule="auto"/>
        <w:contextualSpacing/>
        <w:jc w:val="both"/>
        <w:rPr>
          <w:rFonts w:ascii="Arial" w:hAnsi="Arial" w:cs="Arial"/>
        </w:rPr>
      </w:pPr>
    </w:p>
    <w:p w14:paraId="13693012" w14:textId="77777777" w:rsidR="00F475D4" w:rsidRPr="006A1574" w:rsidRDefault="00F475D4" w:rsidP="00F475D4">
      <w:pPr>
        <w:spacing w:line="276" w:lineRule="auto"/>
        <w:contextualSpacing/>
        <w:jc w:val="both"/>
        <w:rPr>
          <w:rFonts w:ascii="Arial" w:hAnsi="Arial" w:cs="Arial"/>
        </w:rPr>
      </w:pPr>
      <w:r w:rsidRPr="006A1574">
        <w:rPr>
          <w:rFonts w:ascii="Arial" w:hAnsi="Arial" w:cs="Arial"/>
        </w:rPr>
        <w:t xml:space="preserve">El “Informe de la Recomendación 34/2007: Memoria, verdad, justicia y reparación” hace un análisis crítico-constructivo del expediente de queja 2007/901/2/Q abierto a nombre de Ernestina Ascencio Rosario (sobre las violaciones a sus derechos humanos que causaron su deceso), una mujer víctima de violencia y tortura sexual, que vivió en carne propia las vejaciones cuando se dispuso de su cuerpo. </w:t>
      </w:r>
    </w:p>
    <w:p w14:paraId="4565F15D" w14:textId="77777777" w:rsidR="00F475D4" w:rsidRPr="006A1574" w:rsidRDefault="00F475D4" w:rsidP="00F475D4">
      <w:pPr>
        <w:spacing w:line="276" w:lineRule="auto"/>
        <w:contextualSpacing/>
        <w:jc w:val="both"/>
        <w:rPr>
          <w:rFonts w:ascii="Arial" w:hAnsi="Arial" w:cs="Arial"/>
        </w:rPr>
      </w:pPr>
    </w:p>
    <w:p w14:paraId="72E959EB" w14:textId="77777777" w:rsidR="00F475D4" w:rsidRPr="006A1574" w:rsidRDefault="00F475D4" w:rsidP="00F475D4">
      <w:pPr>
        <w:spacing w:line="276" w:lineRule="auto"/>
        <w:contextualSpacing/>
        <w:jc w:val="both"/>
        <w:rPr>
          <w:rFonts w:ascii="Arial" w:hAnsi="Arial" w:cs="Arial"/>
        </w:rPr>
      </w:pPr>
      <w:r w:rsidRPr="006A1574">
        <w:rPr>
          <w:rFonts w:ascii="Arial" w:hAnsi="Arial" w:cs="Arial"/>
        </w:rPr>
        <w:t>El informe es un instrumento que permite trazar un camino para la reparación integral de las personas en situación de víctimas, limpiar y dignificar la memoria de la señora Ascencio Rosario, y es también un mecanismo para exhortar a la Fiscalía General del Estado de Veracruz, a la Secretaría de Salud de Veracruz y a la Secretaría de la Defensa Nacional a coadyuvar en más acciones de disculpa pública y reparación integral a 14 años de los hechos victimizantes que causaron la muerte de Ernestina Ascencio, pues las agresiones perpetradas a su persona son una afrenta hacia las comunidades indígenas de la sierra de Zongolica, particularmente del municipio de Soledad Atzompa, Veracruz.</w:t>
      </w:r>
    </w:p>
    <w:p w14:paraId="7D2B841A" w14:textId="77777777" w:rsidR="00F475D4" w:rsidRPr="006A1574" w:rsidRDefault="00F475D4" w:rsidP="00F475D4">
      <w:pPr>
        <w:spacing w:line="276" w:lineRule="auto"/>
        <w:contextualSpacing/>
        <w:jc w:val="both"/>
        <w:rPr>
          <w:rFonts w:ascii="Arial" w:hAnsi="Arial" w:cs="Arial"/>
        </w:rPr>
      </w:pPr>
    </w:p>
    <w:p w14:paraId="0977E3D7" w14:textId="77777777" w:rsidR="00F475D4" w:rsidRPr="00FE17FB" w:rsidRDefault="00F475D4" w:rsidP="00F475D4">
      <w:pPr>
        <w:spacing w:line="276" w:lineRule="auto"/>
        <w:contextualSpacing/>
        <w:jc w:val="both"/>
        <w:rPr>
          <w:rFonts w:ascii="Arial" w:hAnsi="Arial" w:cs="Arial"/>
        </w:rPr>
      </w:pPr>
      <w:r w:rsidRPr="006A1574">
        <w:rPr>
          <w:rFonts w:ascii="Arial" w:hAnsi="Arial" w:cs="Arial"/>
        </w:rPr>
        <w:t>Finalmente, la CNDH hizo un firme llamado a la Fiscalía General del Estado de Veracruz, a la Secretaría de Salud de Veracruz y al Ejecutivo del Estado para que, en el ámbito de su competencia, acepten la Recomendación 45VG/2021 que fue emitida por esta Comisión Nacional por las violaciones graves a los derechos humanos de Ernestina Ascencio Rosario, de su familia y de las personas que integran la comunidad de Soledad Atzompa, Veracruz.</w:t>
      </w:r>
    </w:p>
    <w:p w14:paraId="4FC11B87" w14:textId="583CB6BA" w:rsidR="00153429" w:rsidRDefault="00153429" w:rsidP="00A90BFF">
      <w:pPr>
        <w:spacing w:after="0" w:line="276" w:lineRule="auto"/>
        <w:jc w:val="both"/>
        <w:rPr>
          <w:rFonts w:ascii="Arial" w:eastAsia="Times New Roman" w:hAnsi="Arial" w:cs="Arial"/>
          <w:b/>
          <w:bCs/>
          <w:i/>
          <w:iCs/>
          <w:lang w:val="es-ES" w:eastAsia="es-MX"/>
        </w:rPr>
      </w:pPr>
    </w:p>
    <w:p w14:paraId="5524B31F" w14:textId="51436DF3" w:rsidR="00F475D4" w:rsidRPr="00F475D4" w:rsidRDefault="00F475D4" w:rsidP="00F475D4">
      <w:pPr>
        <w:pStyle w:val="ListParagraph"/>
        <w:numPr>
          <w:ilvl w:val="0"/>
          <w:numId w:val="39"/>
        </w:numPr>
        <w:spacing w:after="0" w:line="276" w:lineRule="auto"/>
        <w:jc w:val="both"/>
        <w:rPr>
          <w:rFonts w:ascii="Arial" w:eastAsia="Times New Roman" w:hAnsi="Arial" w:cs="Arial"/>
          <w:b/>
          <w:bCs/>
          <w:i/>
          <w:iCs/>
          <w:lang w:val="es" w:eastAsia="es-MX"/>
        </w:rPr>
      </w:pPr>
      <w:r w:rsidRPr="00F475D4">
        <w:rPr>
          <w:rFonts w:ascii="Arial" w:eastAsia="Times New Roman" w:hAnsi="Arial" w:cs="Arial"/>
          <w:b/>
          <w:bCs/>
          <w:i/>
          <w:iCs/>
          <w:lang w:val="es" w:eastAsia="es-MX"/>
        </w:rPr>
        <w:t>Velar por que todos los casos de violencia de género, incluidos los casos de tortura sexual, los asesinatos y las desapariciones de mujeres y niñas, y en particular en aquellos casos en los que haya habido acciones u omisiones de autoridades del Estado u otras entidades que den lugar a la responsabilidad internacional del Estado parte con arreglo a la Convención, sean investigados exhaustivamente, que los presuntos autores sean enjuiciados y, de ser condenados, sancionados debidamente, y que las víctimas obtengan reparación, incluida una indemnización adecuada;</w:t>
      </w:r>
    </w:p>
    <w:p w14:paraId="088BAC05" w14:textId="77777777" w:rsidR="00CC5F69" w:rsidRDefault="00CC5F69" w:rsidP="00F475D4">
      <w:pPr>
        <w:spacing w:after="0" w:line="276" w:lineRule="auto"/>
        <w:jc w:val="both"/>
        <w:rPr>
          <w:rFonts w:ascii="Arial" w:eastAsia="Times New Roman" w:hAnsi="Arial" w:cs="Arial"/>
          <w:b/>
          <w:bCs/>
          <w:i/>
          <w:iCs/>
          <w:lang w:val="es" w:eastAsia="es-MX"/>
        </w:rPr>
      </w:pPr>
    </w:p>
    <w:p w14:paraId="52B954B7" w14:textId="7B550AC9" w:rsidR="00F475D4" w:rsidRDefault="00F475D4" w:rsidP="00F475D4">
      <w:pPr>
        <w:spacing w:after="0" w:line="276" w:lineRule="auto"/>
        <w:jc w:val="both"/>
        <w:rPr>
          <w:rFonts w:ascii="Arial" w:eastAsia="Times New Roman" w:hAnsi="Arial" w:cs="Arial"/>
          <w:b/>
          <w:bCs/>
          <w:i/>
          <w:iCs/>
          <w:lang w:val="es" w:eastAsia="es-MX"/>
        </w:rPr>
      </w:pPr>
      <w:r>
        <w:rPr>
          <w:rFonts w:ascii="Arial" w:eastAsia="Times New Roman" w:hAnsi="Arial" w:cs="Arial"/>
          <w:b/>
          <w:bCs/>
          <w:i/>
          <w:iCs/>
          <w:lang w:val="es" w:eastAsia="es-MX"/>
        </w:rPr>
        <w:t>Acciones del Mecanismo Nacional de Prevención de la Tortura</w:t>
      </w:r>
    </w:p>
    <w:p w14:paraId="17E64893" w14:textId="77777777" w:rsidR="00CC5F69" w:rsidRDefault="00CC5F69" w:rsidP="00F475D4">
      <w:pPr>
        <w:spacing w:after="0" w:line="276" w:lineRule="auto"/>
        <w:jc w:val="both"/>
        <w:rPr>
          <w:rFonts w:ascii="Arial" w:eastAsia="Times New Roman" w:hAnsi="Arial" w:cs="Arial"/>
          <w:b/>
          <w:bCs/>
          <w:i/>
          <w:iCs/>
          <w:lang w:val="es" w:eastAsia="es-MX"/>
        </w:rPr>
      </w:pPr>
    </w:p>
    <w:p w14:paraId="7BF87DB5" w14:textId="7152FDFA" w:rsidR="00F475D4" w:rsidRPr="00F475D4" w:rsidRDefault="00F475D4" w:rsidP="00F475D4">
      <w:pPr>
        <w:spacing w:after="0" w:line="276" w:lineRule="auto"/>
        <w:jc w:val="both"/>
        <w:rPr>
          <w:rFonts w:ascii="Arial" w:eastAsia="Times New Roman" w:hAnsi="Arial" w:cs="Arial"/>
          <w:lang w:val="es-ES" w:eastAsia="es-MX"/>
        </w:rPr>
      </w:pPr>
      <w:r w:rsidRPr="00F475D4">
        <w:rPr>
          <w:rFonts w:ascii="Arial" w:eastAsia="Times New Roman" w:hAnsi="Arial" w:cs="Arial"/>
          <w:lang w:val="es-ES" w:eastAsia="es-MX"/>
        </w:rPr>
        <w:t>El Mecanismo Nacional de Prevención de la Tortura (MNPT) tuvo conocimiento, en febrero de 2021, de una serie de notas periodísticas que refieren la presunta detención arbitraria y tortura cometida el 6 de noviembre de 2020, por elementos adscritos a la Fiscalía del Estado de Veracruz, durante la detención y traslado de una mujer, en la Ciudad de México, alcaldía Álvaro Obregón, quién posteriormente habría sido trasladada al Estado de Veracruz. Así mismo, se tuvo conocimiento de otra noticia en la que se señalaba que una mujer, de acuerdo con el testimonio de su madre, fue detenida de forma irregular en Amozoc, municipio del estado de Puebla, y, posteriormente, fue objeto de diversas formas de mal trato y finalmente procesada junto a siete personas por el delito de secuestro. Esta persona también fue detenida por personal adscrito a la Fiscalía del Estado de Veracruz y fue trasladada al penal de Pacho Viejo, ubicado en la misma Entidad Federativa.</w:t>
      </w:r>
    </w:p>
    <w:p w14:paraId="06FB739B" w14:textId="77777777" w:rsidR="00F475D4" w:rsidRPr="00F475D4" w:rsidRDefault="00F475D4" w:rsidP="00F475D4">
      <w:pPr>
        <w:spacing w:after="0" w:line="276" w:lineRule="auto"/>
        <w:jc w:val="both"/>
        <w:rPr>
          <w:rFonts w:ascii="Arial" w:eastAsia="Times New Roman" w:hAnsi="Arial" w:cs="Arial"/>
          <w:lang w:val="es-ES" w:eastAsia="es-MX"/>
        </w:rPr>
      </w:pPr>
      <w:r w:rsidRPr="00F475D4">
        <w:rPr>
          <w:rFonts w:ascii="Arial" w:eastAsia="Times New Roman" w:hAnsi="Arial" w:cs="Arial"/>
          <w:lang w:val="es-ES" w:eastAsia="es-MX"/>
        </w:rPr>
        <w:t>Debido a lo anterior, se determinó comisionar a un equipo multidisciplinario conformado por personal adscrito al MNPT, con formación en derecho, medicina, psicología y psiquiatría para realizar una visita al Centro de Reinserción Social (CERESO) Pacho Viejo, Veracruz. En esta se documentaron 11 casos de probables hechos de tortura, concernientes a 12 probables víctimas, todas mujeres. En esos casos se dio vista a la Comisión Estatal de Derechos Humanos, la que inició los correspondientes expedientes de queja.</w:t>
      </w:r>
    </w:p>
    <w:p w14:paraId="1D02A78D" w14:textId="77777777" w:rsidR="00CC5F69" w:rsidRDefault="00CC5F69" w:rsidP="00F475D4">
      <w:pPr>
        <w:spacing w:after="0" w:line="276" w:lineRule="auto"/>
        <w:jc w:val="both"/>
        <w:rPr>
          <w:rFonts w:ascii="Arial" w:eastAsia="Times New Roman" w:hAnsi="Arial" w:cs="Arial"/>
          <w:b/>
          <w:bCs/>
          <w:i/>
          <w:iCs/>
          <w:lang w:val="es" w:eastAsia="es-MX"/>
        </w:rPr>
      </w:pPr>
    </w:p>
    <w:p w14:paraId="778EB5AE" w14:textId="787AE07A" w:rsidR="00F475D4" w:rsidRPr="00F475D4" w:rsidRDefault="00F475D4" w:rsidP="00F475D4">
      <w:pPr>
        <w:spacing w:after="0" w:line="276" w:lineRule="auto"/>
        <w:jc w:val="both"/>
        <w:rPr>
          <w:rFonts w:ascii="Arial" w:eastAsia="Times New Roman" w:hAnsi="Arial" w:cs="Arial"/>
          <w:b/>
          <w:bCs/>
          <w:i/>
          <w:iCs/>
          <w:lang w:val="es" w:eastAsia="es-MX"/>
        </w:rPr>
      </w:pPr>
      <w:r w:rsidRPr="00F475D4">
        <w:rPr>
          <w:rFonts w:ascii="Arial" w:eastAsia="Times New Roman" w:hAnsi="Arial" w:cs="Arial"/>
          <w:b/>
          <w:bCs/>
          <w:i/>
          <w:iCs/>
          <w:lang w:val="es" w:eastAsia="es-MX"/>
        </w:rPr>
        <w:t>c) Velar por que las víctimas de violencia de género reciban atención médica, apoyo psicológico y la asistencia jurídica que necesiten.</w:t>
      </w:r>
    </w:p>
    <w:p w14:paraId="73ED4CE0" w14:textId="77777777" w:rsidR="00CC5F69" w:rsidRDefault="00CC5F69" w:rsidP="00F475D4">
      <w:pPr>
        <w:spacing w:after="0" w:line="276" w:lineRule="auto"/>
        <w:jc w:val="both"/>
        <w:rPr>
          <w:rFonts w:ascii="Arial" w:eastAsia="Times New Roman" w:hAnsi="Arial" w:cs="Arial"/>
          <w:b/>
          <w:bCs/>
          <w:i/>
          <w:iCs/>
          <w:lang w:val="es-ES" w:eastAsia="es-MX"/>
        </w:rPr>
      </w:pPr>
    </w:p>
    <w:p w14:paraId="537A6C8C" w14:textId="7EFABB38" w:rsidR="00CC5F69" w:rsidRPr="00CC5F69" w:rsidRDefault="00CC5F69" w:rsidP="00F475D4">
      <w:pPr>
        <w:spacing w:after="0" w:line="276" w:lineRule="auto"/>
        <w:jc w:val="both"/>
        <w:rPr>
          <w:rFonts w:ascii="Arial" w:eastAsia="Times New Roman" w:hAnsi="Arial" w:cs="Arial"/>
          <w:b/>
          <w:bCs/>
          <w:lang w:val="es-ES" w:eastAsia="es-MX"/>
        </w:rPr>
      </w:pPr>
      <w:r w:rsidRPr="00CC5F69">
        <w:rPr>
          <w:rFonts w:ascii="Arial" w:eastAsia="Times New Roman" w:hAnsi="Arial" w:cs="Arial"/>
          <w:b/>
          <w:bCs/>
          <w:lang w:val="es-ES" w:eastAsia="es-MX"/>
        </w:rPr>
        <w:t>Acciones del Mecanismo Nacional de Prevención de la Tortura</w:t>
      </w:r>
    </w:p>
    <w:p w14:paraId="38DCD324" w14:textId="09E29030" w:rsidR="00F475D4" w:rsidRPr="00F475D4" w:rsidRDefault="00F475D4" w:rsidP="00F475D4">
      <w:pPr>
        <w:spacing w:after="0" w:line="276" w:lineRule="auto"/>
        <w:jc w:val="both"/>
        <w:rPr>
          <w:rFonts w:ascii="Arial" w:eastAsia="Times New Roman" w:hAnsi="Arial" w:cs="Arial"/>
          <w:lang w:eastAsia="es-MX"/>
        </w:rPr>
      </w:pPr>
      <w:r w:rsidRPr="00F475D4">
        <w:rPr>
          <w:rFonts w:ascii="Arial" w:eastAsia="Times New Roman" w:hAnsi="Arial" w:cs="Arial"/>
          <w:lang w:val="es-ES" w:eastAsia="es-MX"/>
        </w:rPr>
        <w:t>En este mismo Informe Especial, respecto a la atención médica, este Mecanismo recomendó, tanto al centro de privación de la libertad como a la Secretaría de Salud del Estado de Veracruz, velar porque la atención médica y psicológica proporcionada en los centros se apegue a las Guías de Práctica Clínica emitidas por el Consejo Nacional de Excelencia Tecnológica en Salud, órgano desconcentrado de la Secretaría de Salud Federal.</w:t>
      </w:r>
    </w:p>
    <w:p w14:paraId="2C3AD550" w14:textId="77777777" w:rsidR="00F475D4" w:rsidRDefault="00F475D4" w:rsidP="00A90BFF">
      <w:pPr>
        <w:spacing w:after="0" w:line="276" w:lineRule="auto"/>
        <w:jc w:val="both"/>
        <w:rPr>
          <w:rFonts w:ascii="Arial" w:eastAsia="Times New Roman" w:hAnsi="Arial" w:cs="Arial"/>
          <w:b/>
          <w:bCs/>
          <w:i/>
          <w:iCs/>
          <w:lang w:val="es-ES" w:eastAsia="es-MX"/>
        </w:rPr>
      </w:pPr>
    </w:p>
    <w:p w14:paraId="34649F04" w14:textId="77777777" w:rsidR="00153429" w:rsidRDefault="00153429" w:rsidP="00A90BFF">
      <w:pPr>
        <w:spacing w:after="0" w:line="276" w:lineRule="auto"/>
        <w:jc w:val="both"/>
        <w:rPr>
          <w:rFonts w:ascii="Arial" w:eastAsia="Times New Roman" w:hAnsi="Arial" w:cs="Arial"/>
          <w:b/>
          <w:bCs/>
          <w:i/>
          <w:iCs/>
          <w:lang w:val="es-ES" w:eastAsia="es-MX"/>
        </w:rPr>
      </w:pPr>
    </w:p>
    <w:p w14:paraId="6A6D2997" w14:textId="3E49E861" w:rsidR="00A90BFF" w:rsidRPr="00A90BFF" w:rsidRDefault="00A90BFF" w:rsidP="00A90BFF">
      <w:pPr>
        <w:spacing w:after="0" w:line="276" w:lineRule="auto"/>
        <w:jc w:val="both"/>
        <w:rPr>
          <w:rFonts w:ascii="Arial" w:eastAsia="Times New Roman" w:hAnsi="Arial" w:cs="Arial"/>
          <w:b/>
          <w:bCs/>
          <w:i/>
          <w:iCs/>
          <w:lang w:val="es-ES" w:eastAsia="es-MX"/>
        </w:rPr>
      </w:pPr>
      <w:r w:rsidRPr="00A90BFF">
        <w:rPr>
          <w:rFonts w:ascii="Arial" w:eastAsia="Times New Roman" w:hAnsi="Arial" w:cs="Arial"/>
          <w:b/>
          <w:bCs/>
          <w:i/>
          <w:iCs/>
          <w:lang w:val="es-ES" w:eastAsia="es-MX"/>
        </w:rPr>
        <w:t>62. El Estado parte debe:</w:t>
      </w:r>
    </w:p>
    <w:p w14:paraId="78E16FF3" w14:textId="77777777" w:rsidR="00A90BFF" w:rsidRPr="00A90BFF" w:rsidRDefault="00A90BFF" w:rsidP="00A90BFF">
      <w:pPr>
        <w:spacing w:after="0" w:line="276" w:lineRule="auto"/>
        <w:jc w:val="both"/>
        <w:rPr>
          <w:rFonts w:ascii="Arial" w:eastAsia="Times New Roman" w:hAnsi="Arial" w:cs="Arial"/>
          <w:b/>
          <w:bCs/>
          <w:i/>
          <w:iCs/>
          <w:lang w:val="es-ES" w:eastAsia="es-MX"/>
        </w:rPr>
      </w:pPr>
      <w:r w:rsidRPr="00A90BFF">
        <w:rPr>
          <w:rFonts w:ascii="Arial" w:eastAsia="Times New Roman" w:hAnsi="Arial" w:cs="Arial"/>
          <w:b/>
          <w:bCs/>
          <w:i/>
          <w:iCs/>
          <w:lang w:val="es-ES" w:eastAsia="es-MX"/>
        </w:rPr>
        <w:t>a) Continuar sus esfuerzos dirigidos a prevenir y combatir la trata de seres humanos, en particular aplicando de forma efectiva la Ley General sobre trata de personas y brindando protección a las víctimas;</w:t>
      </w:r>
    </w:p>
    <w:p w14:paraId="7B90C545" w14:textId="77777777" w:rsidR="00A90BFF" w:rsidRPr="00A90BFF" w:rsidRDefault="00A90BFF" w:rsidP="00A90BFF">
      <w:pPr>
        <w:spacing w:after="0" w:line="276" w:lineRule="auto"/>
        <w:jc w:val="both"/>
        <w:rPr>
          <w:rFonts w:ascii="Arial" w:eastAsia="Times New Roman" w:hAnsi="Arial" w:cs="Arial"/>
          <w:b/>
          <w:bCs/>
          <w:i/>
          <w:iCs/>
          <w:lang w:val="es-ES" w:eastAsia="es-MX"/>
        </w:rPr>
      </w:pPr>
      <w:r w:rsidRPr="00A90BFF">
        <w:rPr>
          <w:rFonts w:ascii="Arial" w:eastAsia="Times New Roman" w:hAnsi="Arial" w:cs="Arial"/>
          <w:b/>
          <w:bCs/>
          <w:i/>
          <w:iCs/>
          <w:lang w:val="es-ES" w:eastAsia="es-MX"/>
        </w:rPr>
        <w:t>b) Velar por que se investiguen a fondo los casos de trata, se enjuicie a los presuntos autores, y de ser declarados culpables, se los condene a una pena apropiada, y asegurar que las víctimas reciban indemnizaciones adecuadas. Debe cerciorarse también de que las víctimas tengan acceso a una protección efectiva;</w:t>
      </w:r>
    </w:p>
    <w:p w14:paraId="7BECDBFA" w14:textId="77777777" w:rsidR="00A90BFF" w:rsidRPr="00A90BFF" w:rsidRDefault="00A90BFF" w:rsidP="00A90BFF">
      <w:pPr>
        <w:spacing w:after="0" w:line="276" w:lineRule="auto"/>
        <w:jc w:val="both"/>
        <w:rPr>
          <w:rFonts w:ascii="Arial" w:eastAsia="Times New Roman" w:hAnsi="Arial" w:cs="Arial"/>
          <w:i/>
          <w:iCs/>
          <w:lang w:val="es-ES" w:eastAsia="es-MX"/>
        </w:rPr>
      </w:pPr>
      <w:r w:rsidRPr="00A90BFF">
        <w:rPr>
          <w:rFonts w:ascii="Arial" w:eastAsia="Times New Roman" w:hAnsi="Arial" w:cs="Arial"/>
          <w:b/>
          <w:bCs/>
          <w:i/>
          <w:iCs/>
          <w:lang w:val="es-ES" w:eastAsia="es-MX"/>
        </w:rPr>
        <w:t>c) Adoptar mecanismos efectivos para la identificación y remisión de víctimas de trata que pudieran encontrarse detenidas en estaciones migratorias</w:t>
      </w:r>
      <w:r w:rsidRPr="00A90BFF">
        <w:rPr>
          <w:rFonts w:ascii="Arial" w:eastAsia="Times New Roman" w:hAnsi="Arial" w:cs="Arial"/>
          <w:i/>
          <w:iCs/>
          <w:lang w:val="es-ES" w:eastAsia="es-MX"/>
        </w:rPr>
        <w:t>.</w:t>
      </w:r>
    </w:p>
    <w:p w14:paraId="3FB40B66" w14:textId="77777777" w:rsidR="00A90BFF" w:rsidRPr="00DD6683" w:rsidRDefault="00A90BFF" w:rsidP="00DD6683">
      <w:pPr>
        <w:spacing w:after="0" w:line="276" w:lineRule="auto"/>
        <w:ind w:left="720"/>
        <w:contextualSpacing/>
        <w:jc w:val="both"/>
        <w:rPr>
          <w:rFonts w:ascii="Arial" w:eastAsia="Times New Roman" w:hAnsi="Arial" w:cs="Arial"/>
          <w:b/>
          <w:bCs/>
          <w:lang w:val="es-ES" w:eastAsia="es-MX"/>
        </w:rPr>
      </w:pPr>
      <w:bookmarkStart w:id="26" w:name="_Hlk93928931"/>
    </w:p>
    <w:bookmarkEnd w:id="26"/>
    <w:p w14:paraId="43CB0221" w14:textId="14FE0BF1" w:rsidR="00DD6683" w:rsidRPr="00A90BFF" w:rsidRDefault="00DD6683" w:rsidP="00DD6683">
      <w:pPr>
        <w:numPr>
          <w:ilvl w:val="0"/>
          <w:numId w:val="8"/>
        </w:numPr>
        <w:spacing w:after="0" w:line="276" w:lineRule="auto"/>
        <w:contextualSpacing/>
        <w:jc w:val="both"/>
        <w:rPr>
          <w:rFonts w:ascii="Arial" w:eastAsia="Times New Roman" w:hAnsi="Arial" w:cs="Arial"/>
          <w:lang w:val="es-ES" w:eastAsia="es-MX"/>
        </w:rPr>
      </w:pPr>
      <w:r w:rsidRPr="00DD6683">
        <w:rPr>
          <w:rFonts w:ascii="Arial" w:eastAsia="Times New Roman" w:hAnsi="Arial" w:cs="Arial"/>
          <w:b/>
          <w:bCs/>
          <w:lang w:val="es-ES" w:eastAsia="es-MX"/>
        </w:rPr>
        <w:t>Acciones de</w:t>
      </w:r>
      <w:r w:rsidR="00A90BFF" w:rsidRPr="00A90BFF">
        <w:rPr>
          <w:rFonts w:ascii="Arial" w:eastAsia="Times New Roman" w:hAnsi="Arial" w:cs="Arial"/>
          <w:b/>
          <w:bCs/>
          <w:lang w:val="es-ES" w:eastAsia="es-MX"/>
        </w:rPr>
        <w:t xml:space="preserve"> la Comisión Nacional de los Derechos Humanos</w:t>
      </w:r>
      <w:r w:rsidRPr="00DD6683">
        <w:rPr>
          <w:rFonts w:ascii="Arial" w:eastAsia="Times New Roman" w:hAnsi="Arial" w:cs="Arial"/>
          <w:b/>
          <w:bCs/>
          <w:lang w:val="es-ES" w:eastAsia="es-MX"/>
        </w:rPr>
        <w:t xml:space="preserve"> </w:t>
      </w:r>
    </w:p>
    <w:p w14:paraId="711CD5F1" w14:textId="77777777" w:rsidR="00A90BFF" w:rsidRPr="00DD6683" w:rsidRDefault="00A90BFF" w:rsidP="00A90BFF">
      <w:pPr>
        <w:spacing w:after="0" w:line="276" w:lineRule="auto"/>
        <w:ind w:left="1080"/>
        <w:contextualSpacing/>
        <w:jc w:val="both"/>
        <w:rPr>
          <w:rFonts w:ascii="Arial" w:eastAsia="Times New Roman" w:hAnsi="Arial" w:cs="Arial"/>
          <w:lang w:val="es-ES" w:eastAsia="es-MX"/>
        </w:rPr>
      </w:pPr>
    </w:p>
    <w:p w14:paraId="5E1D75CB" w14:textId="77777777" w:rsidR="00DD6683" w:rsidRPr="00DD6683" w:rsidRDefault="00DD6683" w:rsidP="00DD6683">
      <w:pPr>
        <w:spacing w:after="0" w:line="276" w:lineRule="auto"/>
        <w:jc w:val="both"/>
        <w:rPr>
          <w:rFonts w:ascii="Times New Roman" w:eastAsia="Times New Roman" w:hAnsi="Times New Roman" w:cs="Times New Roman"/>
          <w:color w:val="0563C1"/>
          <w:u w:val="single"/>
          <w:lang w:eastAsia="es-MX"/>
        </w:rPr>
      </w:pPr>
      <w:r w:rsidRPr="00DD6683">
        <w:rPr>
          <w:rFonts w:ascii="Arial" w:eastAsia="Times New Roman" w:hAnsi="Arial" w:cs="Arial"/>
          <w:lang w:eastAsia="es-MX"/>
        </w:rPr>
        <w:t xml:space="preserve">La Presidenta de la CNDH presentó el 8 de diciembre de 2021 el </w:t>
      </w:r>
      <w:r w:rsidRPr="00DD6683">
        <w:rPr>
          <w:rFonts w:ascii="Arial" w:eastAsia="Times New Roman" w:hAnsi="Arial" w:cs="Arial"/>
          <w:i/>
          <w:iCs/>
          <w:lang w:eastAsia="es-MX"/>
        </w:rPr>
        <w:t>Diagnóstico sobre la Situación de la Trata de Personas en México 2021: Procuración e Impartición de Justicia</w:t>
      </w:r>
      <w:r w:rsidRPr="00DD6683">
        <w:rPr>
          <w:rFonts w:ascii="Arial" w:eastAsia="Times New Roman" w:hAnsi="Arial" w:cs="Arial"/>
          <w:lang w:eastAsia="es-MX"/>
        </w:rPr>
        <w:t xml:space="preserve">, con periodo de estudio del 01 de agosto de 2017 al 31 de julio de 2021, en el cual se presenta la información reportada por autoridades federales y estatales en el marco de la Ley General. Dado que la información del Diagnóstico fue analizada de manera global por periodo, solo se pueden brindar los datos y cifras reportados por las autoridades del 01 de agosto de 2017 al 31 de julio de 2021. Visible en: </w:t>
      </w:r>
      <w:r w:rsidRPr="00DD6683">
        <w:rPr>
          <w:rFonts w:ascii="Times New Roman" w:eastAsia="Times New Roman" w:hAnsi="Times New Roman" w:cs="Times New Roman"/>
          <w:color w:val="0563C1"/>
          <w:u w:val="single"/>
          <w:lang w:eastAsia="es-MX"/>
        </w:rPr>
        <w:t>https://www.cndh.org.mx/sites/default/files/documentos/2021-12/DIAGNOSTICO_TDP_2021.pdf</w:t>
      </w:r>
    </w:p>
    <w:p w14:paraId="2B3CC35D" w14:textId="77777777" w:rsidR="00DD6683" w:rsidRPr="00DD6683" w:rsidRDefault="00DD6683" w:rsidP="00DD6683">
      <w:pPr>
        <w:spacing w:after="0" w:line="276" w:lineRule="auto"/>
        <w:jc w:val="both"/>
        <w:rPr>
          <w:rFonts w:ascii="Arial" w:eastAsia="Times New Roman" w:hAnsi="Arial" w:cs="Arial"/>
          <w:lang w:eastAsia="es-MX"/>
        </w:rPr>
      </w:pPr>
    </w:p>
    <w:p w14:paraId="551F9FB9" w14:textId="77777777" w:rsidR="00DD6683" w:rsidRPr="00DD6683" w:rsidRDefault="00DD6683" w:rsidP="00DD6683">
      <w:pPr>
        <w:spacing w:after="0" w:line="276" w:lineRule="auto"/>
        <w:jc w:val="both"/>
        <w:rPr>
          <w:rFonts w:ascii="Arial" w:eastAsia="Times New Roman" w:hAnsi="Arial" w:cs="Arial"/>
          <w:lang w:eastAsia="es-MX"/>
        </w:rPr>
      </w:pPr>
      <w:r w:rsidRPr="00DD6683">
        <w:rPr>
          <w:rFonts w:ascii="Arial" w:eastAsia="Times New Roman" w:hAnsi="Arial" w:cs="Arial"/>
          <w:lang w:eastAsia="es-MX"/>
        </w:rPr>
        <w:t>De la información proporcionada por Procuradurías y Fiscalías Generales estatales y la federal, se identificaron 3,896 víctimas de los delitos en materia de trata de personas, de las cuales 2,934 corresponden a mujeres y 798 hombres. Del total, 164 personas no fueron identificadas por sexo. De las mujeres identificadas, 1,045 corresponden a mujeres de menos de 18 años, mientras que, de los hombres, 505 corresponden a personas con menos de 18 años. Sobre su nacionalidad, se identificó al 77% del total de víctimas reportadas, de las cuales el 93% son mexicanas y el 7% tienen otra nacionalidad. El 86% de las víctimas extranjeras son mujeres, mientras que el 14% son hombres. Se cuenta con información del idioma de las víctimas del 45%. De ese total, el 95% habla español, 4% es hablante de alguna lengua indígena y menos del 1% habla otro idioma.</w:t>
      </w:r>
    </w:p>
    <w:p w14:paraId="393F6D59" w14:textId="77777777" w:rsidR="00DD6683" w:rsidRPr="00DD6683" w:rsidRDefault="00DD6683" w:rsidP="00DD6683">
      <w:pPr>
        <w:spacing w:after="0" w:line="276" w:lineRule="auto"/>
        <w:jc w:val="both"/>
        <w:rPr>
          <w:rFonts w:ascii="Arial" w:eastAsia="Times New Roman" w:hAnsi="Arial" w:cs="Arial"/>
          <w:lang w:eastAsia="es-MX"/>
        </w:rPr>
      </w:pPr>
    </w:p>
    <w:p w14:paraId="5152D3CF" w14:textId="77777777" w:rsidR="00DD6683" w:rsidRPr="00DD6683" w:rsidRDefault="00DD6683" w:rsidP="00DD6683">
      <w:pPr>
        <w:spacing w:after="0" w:line="276" w:lineRule="auto"/>
        <w:jc w:val="both"/>
        <w:rPr>
          <w:rFonts w:ascii="Arial" w:eastAsia="Times New Roman" w:hAnsi="Arial" w:cs="Arial"/>
          <w:lang w:eastAsia="es-MX"/>
        </w:rPr>
      </w:pPr>
      <w:r w:rsidRPr="00DD6683">
        <w:rPr>
          <w:rFonts w:ascii="Arial" w:eastAsia="Times New Roman" w:hAnsi="Arial" w:cs="Arial"/>
          <w:lang w:eastAsia="es-MX"/>
        </w:rPr>
        <w:t>En cuanto a investigaciones, cuatro procuradurías y fiscalías generales estatales reportaron un total de 177 actas circunstanciadas en términos de la Ley General. Se iniciaron a nivel nacional 36 averiguaciones previas de los delitos en materia de trata de personas, en términos de la Ley General, en cuatro Fiscalías Generales en el ámbito local; y finalmente, las 32 Procuradurías y Fiscalías Generales Estatales, y la Fiscalía General de la República (FGR) de dos áreas específicas (Fiscalía Especializada en Delitos de Violencia contra las Mujeres y Trata de Personas -FEVIMTRA- y Fiscalía Especializada en Materia de Delincuencia Organizada -FEMDO-) reportaron haber iniciado a nivel nacional un total de 3,226 carpetas de investigación por los delitos en materia de trata de personas conforme a la Ley General.  Es importante mencionar que se desglosa la información respecto a averiguaciones previas y carpetas de investigación por separado, toda vez que, a partir de 2016, en México dio inicio la implementación del Sistema de Justicia Penal Acusatorio, en el cual se transita del Sistema de Justicia Penal Tradicional, con ello, actualizando incluso terminología, de averiguaciones previas al término carpetas de investigación.</w:t>
      </w:r>
    </w:p>
    <w:p w14:paraId="71949C4A" w14:textId="77777777" w:rsidR="00DD6683" w:rsidRPr="00DD6683" w:rsidRDefault="00DD6683" w:rsidP="00DD6683">
      <w:pPr>
        <w:spacing w:after="0" w:line="276" w:lineRule="auto"/>
        <w:jc w:val="both"/>
        <w:rPr>
          <w:rFonts w:ascii="Arial" w:eastAsia="Times New Roman" w:hAnsi="Arial" w:cs="Arial"/>
          <w:lang w:eastAsia="es-MX"/>
        </w:rPr>
      </w:pPr>
    </w:p>
    <w:p w14:paraId="6D3CB8E4" w14:textId="77777777" w:rsidR="00DD6683" w:rsidRPr="00DD6683" w:rsidRDefault="00DD6683" w:rsidP="00DD6683">
      <w:pPr>
        <w:spacing w:after="0" w:line="276" w:lineRule="auto"/>
        <w:jc w:val="both"/>
        <w:rPr>
          <w:rFonts w:ascii="Arial" w:eastAsia="Times New Roman" w:hAnsi="Arial" w:cs="Arial"/>
          <w:lang w:eastAsia="es-MX"/>
        </w:rPr>
      </w:pPr>
      <w:r w:rsidRPr="00DD6683">
        <w:rPr>
          <w:rFonts w:ascii="Arial" w:eastAsia="Times New Roman" w:hAnsi="Arial" w:cs="Arial"/>
          <w:lang w:eastAsia="es-MX"/>
        </w:rPr>
        <w:t xml:space="preserve">Se reportaron 2,611 personas indiciadas e imputadas a nivel nacional por los delitos en materia de trata de personas, de las cuales, 712 son mujeres adultas, cuatro son mujeres con menos de 18 años de edad, 1,490 son hombres adultos y cuatro son hombres con menos de 18 años de edad, se desconoce la edad y sexo de 401 personas. Del total, 228 fueron identificadas por la FGR (40 por la FEMDO y 188 por la FEVIMTRA), los 2,383 restantes por las Procuradurías y Fiscalías Generales Estatales. </w:t>
      </w:r>
    </w:p>
    <w:p w14:paraId="4D8E0654" w14:textId="77777777" w:rsidR="00DD6683" w:rsidRPr="00DD6683" w:rsidRDefault="00DD6683" w:rsidP="00DD6683">
      <w:pPr>
        <w:spacing w:after="0" w:line="276" w:lineRule="auto"/>
        <w:jc w:val="both"/>
        <w:rPr>
          <w:rFonts w:ascii="Arial" w:eastAsia="Times New Roman" w:hAnsi="Arial" w:cs="Arial"/>
          <w:lang w:eastAsia="es-MX"/>
        </w:rPr>
      </w:pPr>
    </w:p>
    <w:p w14:paraId="5C9595F6" w14:textId="77777777" w:rsidR="00DD6683" w:rsidRPr="00DD6683" w:rsidRDefault="00DD6683" w:rsidP="00DD6683">
      <w:pPr>
        <w:spacing w:after="0" w:line="276" w:lineRule="auto"/>
        <w:jc w:val="both"/>
        <w:rPr>
          <w:rFonts w:ascii="Arial" w:eastAsia="Times New Roman" w:hAnsi="Arial" w:cs="Arial"/>
          <w:lang w:eastAsia="es-MX"/>
        </w:rPr>
      </w:pPr>
      <w:r w:rsidRPr="00DD6683">
        <w:rPr>
          <w:rFonts w:ascii="Arial" w:eastAsia="Times New Roman" w:hAnsi="Arial" w:cs="Arial"/>
          <w:lang w:eastAsia="es-MX"/>
        </w:rPr>
        <w:t>Asimismo, los órganos jurisdiccionales estatales y el federal reportaron 328 víctimas, la mayoría son mujeres de más de 18 años y de nacionalidad mexicana (se identificó la nacionalidad para el 45% del total de víctimas reportadas, de las cuales el 96% son mexicanas y el 4% tienen otra nacionalidad).</w:t>
      </w:r>
    </w:p>
    <w:p w14:paraId="71A6E936" w14:textId="77777777" w:rsidR="00DD6683" w:rsidRPr="00DD6683" w:rsidRDefault="00DD6683" w:rsidP="00DD6683">
      <w:pPr>
        <w:spacing w:after="0" w:line="276" w:lineRule="auto"/>
        <w:jc w:val="both"/>
        <w:rPr>
          <w:rFonts w:ascii="Arial" w:eastAsia="Times New Roman" w:hAnsi="Arial" w:cs="Arial"/>
          <w:lang w:eastAsia="es-MX"/>
        </w:rPr>
      </w:pPr>
    </w:p>
    <w:p w14:paraId="2B4DBD92" w14:textId="77777777" w:rsidR="00DD6683" w:rsidRPr="00DD6683" w:rsidRDefault="00DD6683" w:rsidP="00DD6683">
      <w:pPr>
        <w:spacing w:after="0" w:line="276" w:lineRule="auto"/>
        <w:jc w:val="both"/>
        <w:rPr>
          <w:rFonts w:ascii="Arial" w:eastAsia="Times New Roman" w:hAnsi="Arial" w:cs="Arial"/>
          <w:lang w:eastAsia="es-MX"/>
        </w:rPr>
      </w:pPr>
      <w:r w:rsidRPr="00DD6683">
        <w:rPr>
          <w:rFonts w:ascii="Arial" w:eastAsia="Times New Roman" w:hAnsi="Arial" w:cs="Arial"/>
          <w:lang w:eastAsia="es-MX"/>
        </w:rPr>
        <w:t>28 órganos jurisdiccionales y el Consejo de la Judicatura Federal reportaron 764 causas penales iniciadas en total. 27 órganos jurisdiccionales de competencia estatal reportaron un total de 263 sentencias definitivas. Del total de las sentencias definitivas emitidas, 201 fueron condenatorias y 62 fueron absolutorias. En el ámbito federal, 14 órganos jurisdiccionales, reportaron contar con 62 sentencias definitivas emitidas por los delitos en la materia.</w:t>
      </w:r>
    </w:p>
    <w:p w14:paraId="606E54BE" w14:textId="77777777" w:rsidR="00DD6683" w:rsidRPr="00DD6683" w:rsidRDefault="00DD6683" w:rsidP="00DD6683">
      <w:pPr>
        <w:spacing w:after="0" w:line="276" w:lineRule="auto"/>
        <w:jc w:val="both"/>
        <w:rPr>
          <w:rFonts w:ascii="Arial" w:eastAsia="Times New Roman" w:hAnsi="Arial" w:cs="Arial"/>
          <w:lang w:eastAsia="es-MX"/>
        </w:rPr>
      </w:pPr>
    </w:p>
    <w:p w14:paraId="03B5DA8A" w14:textId="77777777" w:rsidR="00DD6683" w:rsidRPr="00DD6683" w:rsidRDefault="00DD6683" w:rsidP="00DD6683">
      <w:pPr>
        <w:spacing w:after="0" w:line="276" w:lineRule="auto"/>
        <w:jc w:val="both"/>
        <w:rPr>
          <w:rFonts w:ascii="Arial" w:eastAsia="Times New Roman" w:hAnsi="Arial" w:cs="Arial"/>
          <w:lang w:eastAsia="es-MX"/>
        </w:rPr>
      </w:pPr>
      <w:r w:rsidRPr="00DD6683">
        <w:rPr>
          <w:rFonts w:ascii="Arial" w:eastAsia="Times New Roman" w:hAnsi="Arial" w:cs="Arial"/>
          <w:lang w:eastAsia="es-MX"/>
        </w:rPr>
        <w:t>Los órganos jurisdiccionales estatales dictaron 10 sentencias absolutorias por aplicabilidad del artículo 37 de la Ley General en donde se refiere que “No se procederá en contra de la víctima de los delitos previstos en esta Ley por delitos que hubiesen cometido mientras estuvieran sujetas al control o amenaza de sus victimarios, cuando no les sea exigible otra conducta”.</w:t>
      </w:r>
    </w:p>
    <w:p w14:paraId="728D879E" w14:textId="77777777" w:rsidR="00DD6683" w:rsidRPr="00DD6683" w:rsidRDefault="00DD6683" w:rsidP="00DD6683">
      <w:pPr>
        <w:spacing w:after="0" w:line="276" w:lineRule="auto"/>
        <w:jc w:val="both"/>
        <w:rPr>
          <w:rFonts w:ascii="Arial" w:eastAsia="Times New Roman" w:hAnsi="Arial" w:cs="Arial"/>
          <w:lang w:eastAsia="es-MX"/>
        </w:rPr>
      </w:pPr>
    </w:p>
    <w:p w14:paraId="3A98AE09" w14:textId="77777777" w:rsidR="00DD6683" w:rsidRPr="00DD6683" w:rsidRDefault="00DD6683" w:rsidP="00DD6683">
      <w:pPr>
        <w:spacing w:after="0" w:line="276" w:lineRule="auto"/>
        <w:jc w:val="both"/>
        <w:rPr>
          <w:rFonts w:ascii="Arial" w:eastAsia="Times New Roman" w:hAnsi="Arial" w:cs="Arial"/>
          <w:lang w:eastAsia="es-MX"/>
        </w:rPr>
      </w:pPr>
      <w:r w:rsidRPr="00DD6683">
        <w:rPr>
          <w:rFonts w:ascii="Arial" w:eastAsia="Times New Roman" w:hAnsi="Arial" w:cs="Arial"/>
          <w:lang w:eastAsia="es-MX"/>
        </w:rPr>
        <w:t>Nueve órganos jurisdiccionales estatales reportaron haber emitido 143 medidas protección por los delitos en materia de trata de personas. De las 159 sentencias condenatorias firmes en el ámbito local, en 72 de ellas se condenó al pago de la reparación del daño; en 51 resoluciones, no; y de los 36 restantes, no se cuenta con esta información.</w:t>
      </w:r>
    </w:p>
    <w:p w14:paraId="0E597001" w14:textId="77777777" w:rsidR="00DD6683" w:rsidRPr="00DD6683" w:rsidRDefault="00DD6683" w:rsidP="00DD6683">
      <w:pPr>
        <w:spacing w:after="0" w:line="276" w:lineRule="auto"/>
        <w:jc w:val="both"/>
        <w:rPr>
          <w:rFonts w:ascii="Arial" w:eastAsia="Times New Roman" w:hAnsi="Arial" w:cs="Arial"/>
          <w:lang w:eastAsia="es-MX"/>
        </w:rPr>
      </w:pPr>
    </w:p>
    <w:p w14:paraId="182A9CF3" w14:textId="2BD238E3" w:rsidR="00DD6683" w:rsidRDefault="00DD6683" w:rsidP="00DD6683">
      <w:pPr>
        <w:spacing w:after="0" w:line="276" w:lineRule="auto"/>
        <w:jc w:val="both"/>
        <w:rPr>
          <w:rFonts w:ascii="Arial" w:eastAsia="Times New Roman" w:hAnsi="Arial" w:cs="Arial"/>
          <w:lang w:eastAsia="es-MX"/>
        </w:rPr>
      </w:pPr>
      <w:r w:rsidRPr="00DD6683">
        <w:rPr>
          <w:rFonts w:ascii="Arial" w:eastAsia="Times New Roman" w:hAnsi="Arial" w:cs="Arial"/>
          <w:lang w:eastAsia="es-MX"/>
        </w:rPr>
        <w:t xml:space="preserve">Dentro de las conclusiones derivadas del Diagnóstico en comento, destaca que las Recomendaciones emitidas por la CNDH, comprobaron que existieron acciones u omisiones de diversas autoridades que vulneraron los derechos humanos de mujeres, niñas y niños, así como de las personas jornaleras agrícolas y en contexto de migración internacional, por lo que al comparar con los datos obtenidos de las autoridades de procuración e impartición de justicia, se observa que también son los mismos grupos y sectores en específico, que son víctimas tanto de estos delitos como de violaciones a derechos humanos. </w:t>
      </w:r>
    </w:p>
    <w:p w14:paraId="198AFBCE" w14:textId="77777777" w:rsidR="00DD6683" w:rsidRPr="00DD6683" w:rsidRDefault="00DD6683" w:rsidP="00DD6683">
      <w:pPr>
        <w:spacing w:after="0" w:line="276" w:lineRule="auto"/>
        <w:jc w:val="both"/>
        <w:rPr>
          <w:rFonts w:ascii="Arial" w:eastAsia="Times New Roman" w:hAnsi="Arial" w:cs="Arial"/>
          <w:lang w:eastAsia="es-MX"/>
        </w:rPr>
      </w:pPr>
    </w:p>
    <w:p w14:paraId="03EAC882" w14:textId="77777777" w:rsidR="00DD6683" w:rsidRPr="00DD6683" w:rsidRDefault="00DD6683" w:rsidP="00DD6683">
      <w:pPr>
        <w:spacing w:after="0" w:line="276" w:lineRule="auto"/>
        <w:jc w:val="both"/>
        <w:rPr>
          <w:rFonts w:ascii="Arial" w:eastAsia="Times New Roman" w:hAnsi="Arial" w:cs="Arial"/>
          <w:lang w:eastAsia="es-MX"/>
        </w:rPr>
      </w:pPr>
      <w:r w:rsidRPr="00DD6683">
        <w:rPr>
          <w:rFonts w:ascii="Arial" w:eastAsia="Times New Roman" w:hAnsi="Arial" w:cs="Arial"/>
          <w:lang w:eastAsia="es-MX"/>
        </w:rPr>
        <w:t xml:space="preserve">En el periodo que se reporta, la CNDH emitió dos Recomendaciones en materia de trata de personas, la 86/2019 dirigida a la Comisión Ejecutiva de Atención a Víctimas (CEAV) consultable en:  </w:t>
      </w:r>
      <w:hyperlink r:id="rId41" w:history="1">
        <w:r w:rsidRPr="00DD6683">
          <w:rPr>
            <w:rFonts w:ascii="Times New Roman" w:eastAsia="Times New Roman" w:hAnsi="Times New Roman" w:cs="Times New Roman"/>
            <w:color w:val="0563C1"/>
            <w:sz w:val="24"/>
            <w:szCs w:val="24"/>
            <w:u w:val="single"/>
            <w:lang w:eastAsia="es-MX"/>
          </w:rPr>
          <w:t>https://www.cndh.org.mx/sites/default/files/documentos/2019-10/REC_2019_086.pdf</w:t>
        </w:r>
      </w:hyperlink>
      <w:r w:rsidRPr="00DD6683">
        <w:rPr>
          <w:rFonts w:ascii="Arial" w:eastAsia="Times New Roman" w:hAnsi="Arial" w:cs="Arial"/>
          <w:lang w:eastAsia="es-MX"/>
        </w:rPr>
        <w:t xml:space="preserve"> y la 83/2020, en contra del INM y a la COMAR consultable en: </w:t>
      </w:r>
      <w:hyperlink r:id="rId42" w:history="1">
        <w:r w:rsidRPr="00DD6683">
          <w:rPr>
            <w:rFonts w:ascii="Times New Roman" w:eastAsia="Times New Roman" w:hAnsi="Times New Roman" w:cs="Times New Roman"/>
            <w:color w:val="0563C1"/>
            <w:sz w:val="24"/>
            <w:szCs w:val="24"/>
            <w:u w:val="single"/>
            <w:lang w:eastAsia="es-MX"/>
          </w:rPr>
          <w:t>https://www.cndh.org.mx/sites/default/files/documentos/2020-12/REC_2020_083.pdf</w:t>
        </w:r>
      </w:hyperlink>
      <w:r w:rsidRPr="00DD6683">
        <w:rPr>
          <w:rFonts w:ascii="Times New Roman" w:eastAsia="Times New Roman" w:hAnsi="Times New Roman" w:cs="Times New Roman"/>
          <w:color w:val="0563C1"/>
          <w:sz w:val="24"/>
          <w:szCs w:val="24"/>
          <w:u w:val="single"/>
          <w:lang w:eastAsia="es-MX"/>
        </w:rPr>
        <w:t>.</w:t>
      </w:r>
    </w:p>
    <w:p w14:paraId="611ADF51" w14:textId="77777777" w:rsidR="00DD6683" w:rsidRPr="00DD6683" w:rsidRDefault="00DD6683" w:rsidP="00DD6683">
      <w:pPr>
        <w:spacing w:after="0" w:line="276" w:lineRule="auto"/>
        <w:jc w:val="both"/>
        <w:rPr>
          <w:rFonts w:ascii="Arial" w:eastAsia="Times New Roman" w:hAnsi="Arial" w:cs="Arial"/>
          <w:lang w:eastAsia="es-MX"/>
        </w:rPr>
      </w:pPr>
    </w:p>
    <w:p w14:paraId="5EF61A30" w14:textId="77777777" w:rsidR="00DD6683" w:rsidRPr="00DD6683" w:rsidRDefault="00DD6683" w:rsidP="00DD6683">
      <w:pPr>
        <w:spacing w:after="0" w:line="276" w:lineRule="auto"/>
        <w:jc w:val="both"/>
        <w:rPr>
          <w:rFonts w:ascii="Arial" w:eastAsia="Times New Roman" w:hAnsi="Arial" w:cs="Arial"/>
          <w:lang w:eastAsia="es-MX"/>
        </w:rPr>
      </w:pPr>
      <w:r w:rsidRPr="00DD6683">
        <w:rPr>
          <w:rFonts w:ascii="Arial" w:eastAsia="Times New Roman" w:hAnsi="Arial" w:cs="Arial"/>
          <w:lang w:eastAsia="es-MX"/>
        </w:rPr>
        <w:t xml:space="preserve">De igual manera, del periodo comprendido entre mayo de 2019 al 31 de diciembre de 2021, se ha llevado a cabo diversas acciones de protección y defensa para las víctimas y/o posibles víctimas de trata de personas, así como de promoción, capacitación, vinculación y divulgación que sumen a la prevención de este delito, entre las que se encuentran: </w:t>
      </w:r>
    </w:p>
    <w:p w14:paraId="225795A1" w14:textId="77777777" w:rsidR="00DD6683" w:rsidRPr="00DD6683" w:rsidRDefault="00DD6683" w:rsidP="00DD6683">
      <w:pPr>
        <w:spacing w:after="0" w:line="276" w:lineRule="auto"/>
        <w:jc w:val="both"/>
        <w:rPr>
          <w:rFonts w:ascii="Arial" w:eastAsia="Times New Roman" w:hAnsi="Arial" w:cs="Arial"/>
          <w:lang w:eastAsia="es-MX"/>
        </w:rPr>
      </w:pPr>
    </w:p>
    <w:p w14:paraId="15141470" w14:textId="77777777" w:rsidR="00DD6683" w:rsidRPr="00DD6683" w:rsidRDefault="00DD6683" w:rsidP="00DD6683">
      <w:pPr>
        <w:spacing w:after="0" w:line="276" w:lineRule="auto"/>
        <w:jc w:val="both"/>
        <w:rPr>
          <w:rFonts w:ascii="Arial" w:eastAsia="Times New Roman" w:hAnsi="Arial" w:cs="Arial"/>
          <w:lang w:eastAsia="es-MX"/>
        </w:rPr>
      </w:pPr>
      <w:r w:rsidRPr="00DD6683">
        <w:rPr>
          <w:rFonts w:ascii="Arial" w:eastAsia="Times New Roman" w:hAnsi="Arial" w:cs="Arial"/>
          <w:lang w:eastAsia="es-MX"/>
        </w:rPr>
        <w:t xml:space="preserve">1,537 víctimas atendidas de manera personal, telefónica o electrónica, 188 gestiones ante autoridades, 98 visitas para la documentación de expedientes; asimismo, 181 reuniones de trabajo y 400 acciones de promoción y capacitación, con las cuales se impactó a 64,070 personas. </w:t>
      </w:r>
    </w:p>
    <w:p w14:paraId="3E60C316" w14:textId="77777777" w:rsidR="00DD6683" w:rsidRPr="00DD6683" w:rsidRDefault="00DD6683" w:rsidP="00DD6683">
      <w:pPr>
        <w:spacing w:after="0" w:line="276" w:lineRule="auto"/>
        <w:jc w:val="both"/>
        <w:rPr>
          <w:rFonts w:ascii="Arial" w:eastAsia="Times New Roman" w:hAnsi="Arial" w:cs="Arial"/>
          <w:lang w:eastAsia="es-MX"/>
        </w:rPr>
      </w:pPr>
    </w:p>
    <w:p w14:paraId="2128F7E3" w14:textId="6855E91D" w:rsidR="00DD6683" w:rsidRDefault="00DD6683" w:rsidP="00DD6683">
      <w:pPr>
        <w:spacing w:after="0" w:line="276" w:lineRule="auto"/>
        <w:jc w:val="both"/>
        <w:rPr>
          <w:rFonts w:ascii="Arial" w:eastAsia="Times New Roman" w:hAnsi="Arial" w:cs="Arial"/>
          <w:lang w:eastAsia="es-MX"/>
        </w:rPr>
      </w:pPr>
      <w:r w:rsidRPr="00DD6683">
        <w:rPr>
          <w:rFonts w:ascii="Arial" w:eastAsia="Times New Roman" w:hAnsi="Arial" w:cs="Arial"/>
          <w:lang w:eastAsia="es-MX"/>
        </w:rPr>
        <w:t xml:space="preserve">El desglose por año y diversas acciones adicionales que se realizaron en el periodo, pueden ser consultadas en el Informe Anual de Actividades 2019, 2020 y 2021 de esta Comisión Nacional. Informe Anual 2019 consultable en: </w:t>
      </w:r>
      <w:hyperlink r:id="rId43" w:history="1">
        <w:r w:rsidRPr="00DD6683">
          <w:rPr>
            <w:rFonts w:ascii="Times New Roman" w:eastAsia="Times New Roman" w:hAnsi="Times New Roman" w:cs="Times New Roman"/>
            <w:color w:val="0563C1"/>
            <w:sz w:val="24"/>
            <w:szCs w:val="24"/>
            <w:u w:val="single"/>
            <w:lang w:eastAsia="es-MX"/>
          </w:rPr>
          <w:t>http://informe.cndh.org.mx/menu.aspx?id=50064</w:t>
        </w:r>
      </w:hyperlink>
      <w:r w:rsidRPr="00DD6683">
        <w:rPr>
          <w:rFonts w:ascii="Arial" w:eastAsia="Times New Roman" w:hAnsi="Arial" w:cs="Arial"/>
          <w:lang w:eastAsia="es-MX"/>
        </w:rPr>
        <w:t xml:space="preserve">, Informe 2020 consultable en: </w:t>
      </w:r>
      <w:hyperlink r:id="rId44" w:history="1">
        <w:r w:rsidRPr="00DD6683">
          <w:rPr>
            <w:rFonts w:ascii="Times New Roman" w:eastAsia="Times New Roman" w:hAnsi="Times New Roman" w:cs="Times New Roman"/>
            <w:color w:val="0563C1"/>
            <w:sz w:val="24"/>
            <w:szCs w:val="24"/>
            <w:u w:val="single"/>
            <w:lang w:eastAsia="es-MX"/>
          </w:rPr>
          <w:t>http://informe.cndh.org.mx/menu.aspx?id=60064</w:t>
        </w:r>
      </w:hyperlink>
      <w:r w:rsidRPr="00DD6683">
        <w:rPr>
          <w:rFonts w:ascii="Arial" w:eastAsia="Times New Roman" w:hAnsi="Arial" w:cs="Arial"/>
          <w:lang w:eastAsia="es-MX"/>
        </w:rPr>
        <w:t xml:space="preserve">. El informe 2021 se encuentra en proceso de publicación).  </w:t>
      </w:r>
    </w:p>
    <w:p w14:paraId="42DCEA42" w14:textId="3013AEF5" w:rsidR="00153429" w:rsidRDefault="00153429" w:rsidP="00DD6683">
      <w:pPr>
        <w:spacing w:after="0" w:line="276" w:lineRule="auto"/>
        <w:jc w:val="both"/>
        <w:rPr>
          <w:rFonts w:ascii="Arial" w:eastAsia="Times New Roman" w:hAnsi="Arial" w:cs="Arial"/>
          <w:lang w:eastAsia="es-MX"/>
        </w:rPr>
      </w:pPr>
    </w:p>
    <w:p w14:paraId="331D8F12" w14:textId="77777777" w:rsidR="00153429" w:rsidRPr="00153429" w:rsidRDefault="00153429" w:rsidP="00153429">
      <w:pPr>
        <w:spacing w:after="0" w:line="276" w:lineRule="auto"/>
        <w:jc w:val="both"/>
        <w:rPr>
          <w:rFonts w:ascii="Arial" w:eastAsia="Times New Roman" w:hAnsi="Arial" w:cs="Arial"/>
          <w:b/>
          <w:bCs/>
          <w:i/>
          <w:iCs/>
          <w:lang w:val="es-ES" w:eastAsia="es-MX"/>
        </w:rPr>
      </w:pPr>
      <w:r w:rsidRPr="00153429">
        <w:rPr>
          <w:rFonts w:ascii="Arial" w:eastAsia="Times New Roman" w:hAnsi="Arial" w:cs="Arial"/>
          <w:b/>
          <w:bCs/>
          <w:i/>
          <w:iCs/>
          <w:lang w:val="es-ES" w:eastAsia="es-MX"/>
        </w:rPr>
        <w:t>64. El Comité reitera la recomendación formulada en sus anteriores observaciones finales (CAT/C/MEX/CO/5-6, párr. 14) en la que se urgía al Estado parte a tomar las medidas necesarias para garantizar que los defensores de derechos humanos y periodistas puedan llevar a cabo su labor y sus actividades libremente en el Estado parte, sin temor a represalias o agresiones. En particular, el Estado parte debe:</w:t>
      </w:r>
    </w:p>
    <w:p w14:paraId="12D63131" w14:textId="77777777" w:rsidR="00153429" w:rsidRPr="00153429" w:rsidRDefault="00153429" w:rsidP="00153429">
      <w:pPr>
        <w:spacing w:after="0" w:line="276" w:lineRule="auto"/>
        <w:jc w:val="both"/>
        <w:rPr>
          <w:rFonts w:ascii="Arial" w:eastAsia="Times New Roman" w:hAnsi="Arial" w:cs="Arial"/>
          <w:b/>
          <w:bCs/>
          <w:i/>
          <w:iCs/>
          <w:lang w:val="es-ES" w:eastAsia="es-MX"/>
        </w:rPr>
      </w:pPr>
    </w:p>
    <w:p w14:paraId="100679E9" w14:textId="7DCF3FF9" w:rsidR="00153429" w:rsidRPr="00153429" w:rsidRDefault="00153429" w:rsidP="00153429">
      <w:pPr>
        <w:spacing w:after="0" w:line="276" w:lineRule="auto"/>
        <w:jc w:val="both"/>
        <w:rPr>
          <w:rFonts w:ascii="Arial" w:eastAsia="Times New Roman" w:hAnsi="Arial" w:cs="Arial"/>
          <w:b/>
          <w:bCs/>
          <w:i/>
          <w:iCs/>
          <w:lang w:val="es-ES" w:eastAsia="es-MX"/>
        </w:rPr>
      </w:pPr>
      <w:r w:rsidRPr="00153429">
        <w:rPr>
          <w:rFonts w:ascii="Arial" w:eastAsia="Times New Roman" w:hAnsi="Arial" w:cs="Arial"/>
          <w:b/>
          <w:bCs/>
          <w:i/>
          <w:iCs/>
          <w:lang w:val="es-ES" w:eastAsia="es-MX"/>
        </w:rPr>
        <w:t>a) Garantizar que el Mecanismo de Protección cuente con los recursos humanos y materiales necesarios para su correcto funcionamiento y asegurar que las medidas de protección decididas por este órgano sean efectivamente implementadas;</w:t>
      </w:r>
    </w:p>
    <w:p w14:paraId="637FA759" w14:textId="77777777" w:rsidR="00153429" w:rsidRPr="00153429" w:rsidRDefault="00153429" w:rsidP="00153429">
      <w:pPr>
        <w:spacing w:after="0" w:line="276" w:lineRule="auto"/>
        <w:jc w:val="both"/>
        <w:rPr>
          <w:rFonts w:ascii="Arial" w:eastAsia="Times New Roman" w:hAnsi="Arial" w:cs="Arial"/>
          <w:b/>
          <w:bCs/>
          <w:i/>
          <w:iCs/>
          <w:lang w:val="es-ES" w:eastAsia="es-MX"/>
        </w:rPr>
      </w:pPr>
      <w:r w:rsidRPr="00153429">
        <w:rPr>
          <w:rFonts w:ascii="Arial" w:eastAsia="Times New Roman" w:hAnsi="Arial" w:cs="Arial"/>
          <w:b/>
          <w:bCs/>
          <w:i/>
          <w:iCs/>
          <w:lang w:val="es-ES" w:eastAsia="es-MX"/>
        </w:rPr>
        <w:t>b) Dotar a las fiscalías de los recursos y herramientas necesarias para la investigación de las agresiones y actos de hostigamiento contra defensores de derechos humanos y periodistas;</w:t>
      </w:r>
    </w:p>
    <w:p w14:paraId="3343FB04" w14:textId="77777777" w:rsidR="00153429" w:rsidRPr="00153429" w:rsidRDefault="00153429" w:rsidP="00153429">
      <w:pPr>
        <w:spacing w:after="0" w:line="276" w:lineRule="auto"/>
        <w:jc w:val="both"/>
        <w:rPr>
          <w:rFonts w:ascii="Arial" w:eastAsia="Times New Roman" w:hAnsi="Arial" w:cs="Arial"/>
          <w:i/>
          <w:iCs/>
          <w:lang w:val="es-ES" w:eastAsia="es-MX"/>
        </w:rPr>
      </w:pPr>
      <w:r w:rsidRPr="00153429">
        <w:rPr>
          <w:rFonts w:ascii="Arial" w:eastAsia="Times New Roman" w:hAnsi="Arial" w:cs="Arial"/>
          <w:b/>
          <w:bCs/>
          <w:i/>
          <w:iCs/>
          <w:lang w:val="es-ES" w:eastAsia="es-MX"/>
        </w:rPr>
        <w:t>c) Asegurar que se enjuicie a los presuntos agresores, se castigue debidamente a quienes hayan sido declarados culpables, y se proporcione reparación a las víctimas o sus familiares</w:t>
      </w:r>
      <w:r w:rsidRPr="00153429">
        <w:rPr>
          <w:rFonts w:ascii="Arial" w:eastAsia="Times New Roman" w:hAnsi="Arial" w:cs="Arial"/>
          <w:i/>
          <w:iCs/>
          <w:lang w:val="es-ES" w:eastAsia="es-MX"/>
        </w:rPr>
        <w:t>.</w:t>
      </w:r>
    </w:p>
    <w:p w14:paraId="6E1D12C8" w14:textId="77777777" w:rsidR="00DD6683" w:rsidRPr="00DD6683" w:rsidRDefault="00DD6683" w:rsidP="00DD6683">
      <w:pPr>
        <w:spacing w:after="0" w:line="276" w:lineRule="auto"/>
        <w:jc w:val="both"/>
        <w:rPr>
          <w:rFonts w:ascii="Arial" w:eastAsia="Times New Roman" w:hAnsi="Arial" w:cs="Arial"/>
          <w:lang w:val="es-ES" w:eastAsia="es-MX"/>
        </w:rPr>
      </w:pPr>
    </w:p>
    <w:p w14:paraId="6C66712C" w14:textId="77777777" w:rsidR="00DD6683" w:rsidRPr="00DD6683" w:rsidRDefault="00DD6683" w:rsidP="00DD6683">
      <w:pPr>
        <w:numPr>
          <w:ilvl w:val="0"/>
          <w:numId w:val="7"/>
        </w:numPr>
        <w:spacing w:after="0" w:line="276" w:lineRule="auto"/>
        <w:contextualSpacing/>
        <w:jc w:val="both"/>
        <w:rPr>
          <w:rFonts w:ascii="Arial" w:eastAsia="Times New Roman" w:hAnsi="Arial" w:cs="Arial"/>
          <w:b/>
          <w:lang w:val="es-ES" w:eastAsia="es-MX"/>
        </w:rPr>
      </w:pPr>
      <w:r w:rsidRPr="00DD6683">
        <w:rPr>
          <w:rFonts w:ascii="Arial" w:eastAsia="Times New Roman" w:hAnsi="Arial" w:cs="Arial"/>
          <w:b/>
          <w:lang w:val="es-ES" w:eastAsia="es-MX"/>
        </w:rPr>
        <w:t>Acciones del Estado mexicano</w:t>
      </w:r>
    </w:p>
    <w:p w14:paraId="3110A231" w14:textId="77777777" w:rsidR="00DD6683" w:rsidRPr="00DD6683" w:rsidRDefault="00DD6683" w:rsidP="00DD6683">
      <w:pPr>
        <w:spacing w:after="0" w:line="276" w:lineRule="auto"/>
        <w:jc w:val="both"/>
        <w:rPr>
          <w:rFonts w:ascii="Arial" w:eastAsia="Times New Roman" w:hAnsi="Arial" w:cs="Arial"/>
          <w:bCs/>
          <w:lang w:eastAsia="es-MX"/>
        </w:rPr>
      </w:pPr>
    </w:p>
    <w:p w14:paraId="662AF95B" w14:textId="77777777" w:rsidR="00DD6683" w:rsidRPr="00DD6683" w:rsidRDefault="00DD6683" w:rsidP="00DD6683">
      <w:pPr>
        <w:spacing w:after="0" w:line="276" w:lineRule="auto"/>
        <w:jc w:val="both"/>
        <w:rPr>
          <w:rFonts w:ascii="Arial" w:eastAsia="Times New Roman" w:hAnsi="Arial" w:cs="Arial"/>
          <w:bCs/>
          <w:lang w:eastAsia="es-MX"/>
        </w:rPr>
      </w:pPr>
      <w:r w:rsidRPr="00DD6683">
        <w:rPr>
          <w:rFonts w:ascii="Arial" w:eastAsia="Times New Roman" w:hAnsi="Arial" w:cs="Arial"/>
          <w:bCs/>
          <w:lang w:eastAsia="es-MX"/>
        </w:rPr>
        <w:t>Al inicio de la actual administración se encontraban incorporadas al Mecanismo de Protección 798 personas. A la fecha se han adherido al mecanismo 720 personas más, lo que equivale a un incremento del 90%. Así se encuentran incorporadas 1,518 personas de las cuales: 495 son periodistas (135 mujeres y 360 hombres), 1,023 son defensores (551 mujeres y 472 hombres). En un universo estimado de 203,700 periodistas y 39,000 organizaciones de la sociedad civil.</w:t>
      </w:r>
    </w:p>
    <w:p w14:paraId="19AD03CF" w14:textId="77777777" w:rsidR="00DD6683" w:rsidRPr="00DD6683" w:rsidRDefault="00DD6683" w:rsidP="00DD6683">
      <w:pPr>
        <w:spacing w:after="0" w:line="276" w:lineRule="auto"/>
        <w:jc w:val="both"/>
        <w:rPr>
          <w:rFonts w:ascii="Arial" w:eastAsia="Times New Roman" w:hAnsi="Arial" w:cs="Arial"/>
          <w:bCs/>
          <w:lang w:eastAsia="es-MX"/>
        </w:rPr>
      </w:pPr>
      <w:r w:rsidRPr="00DD6683">
        <w:rPr>
          <w:rFonts w:ascii="Arial" w:eastAsia="Times New Roman" w:hAnsi="Arial" w:cs="Arial"/>
          <w:bCs/>
          <w:lang w:eastAsia="es-MX"/>
        </w:rPr>
        <w:t>El presupuesto asignado al Mecanismo ha aumentado a 380 millones de pesos.</w:t>
      </w:r>
    </w:p>
    <w:p w14:paraId="1D77D752" w14:textId="77777777" w:rsidR="00DD6683" w:rsidRPr="00DD6683" w:rsidRDefault="00DD6683" w:rsidP="00DD6683">
      <w:pPr>
        <w:spacing w:after="0" w:line="276" w:lineRule="auto"/>
        <w:jc w:val="both"/>
        <w:rPr>
          <w:rFonts w:ascii="Arial" w:eastAsia="Times New Roman" w:hAnsi="Arial" w:cs="Arial"/>
          <w:bCs/>
          <w:lang w:val="es-ES" w:eastAsia="es-MX"/>
        </w:rPr>
      </w:pPr>
    </w:p>
    <w:p w14:paraId="198C2455" w14:textId="77777777" w:rsidR="00DD6683" w:rsidRPr="00DD6683" w:rsidRDefault="00DD6683" w:rsidP="00DD6683">
      <w:pPr>
        <w:spacing w:after="0" w:line="276" w:lineRule="auto"/>
        <w:jc w:val="both"/>
        <w:rPr>
          <w:rFonts w:ascii="Arial" w:eastAsia="Times New Roman" w:hAnsi="Arial" w:cs="Arial"/>
          <w:bCs/>
          <w:lang w:eastAsia="es-MX"/>
        </w:rPr>
      </w:pPr>
      <w:r w:rsidRPr="00DD6683">
        <w:rPr>
          <w:rFonts w:ascii="Arial" w:eastAsia="Times New Roman" w:hAnsi="Arial" w:cs="Arial"/>
          <w:bCs/>
          <w:lang w:eastAsia="es-MX"/>
        </w:rPr>
        <w:t>14 estados de la República mexicana no cuentan con ley estatal de protección a periodistas:  Aguascalientes, Baja California Sur, Campeche, Chihuahua, Guerrero, Nuevo León, Oaxaca, Puebla, Quintana Roo, Sinaloa, Tabasco, Tlaxcala, Yucatán y Zacatecas. De las 18 entidades federativas que sí cuentan con ley estatal de protección a periodistas, sólo 14 mandatan el desarrollo de un Mecanismo de Protección a Periodistas y Defensores: Coahuila, Ciudad de México, Durango, Edomex, Guanajuato, Hidalgo, Jalisco, Michoacán, Morelos, Nayarit, San Luis Potosí, Sonora, Tamaulipas y Veracruz.</w:t>
      </w:r>
    </w:p>
    <w:p w14:paraId="305A858E" w14:textId="77777777" w:rsidR="00DD6683" w:rsidRPr="00DD6683" w:rsidRDefault="00DD6683" w:rsidP="00DD6683">
      <w:pPr>
        <w:spacing w:after="0" w:line="276" w:lineRule="auto"/>
        <w:ind w:left="720"/>
        <w:contextualSpacing/>
        <w:jc w:val="both"/>
        <w:rPr>
          <w:rFonts w:ascii="Arial" w:eastAsia="Times New Roman" w:hAnsi="Arial" w:cs="Arial"/>
          <w:bCs/>
          <w:lang w:val="es-ES" w:eastAsia="es-MX"/>
        </w:rPr>
      </w:pPr>
    </w:p>
    <w:p w14:paraId="1BC266AA" w14:textId="6305C346" w:rsidR="00DD6683" w:rsidRPr="00DD6683" w:rsidRDefault="00DD6683" w:rsidP="00DD6683">
      <w:pPr>
        <w:numPr>
          <w:ilvl w:val="0"/>
          <w:numId w:val="7"/>
        </w:numPr>
        <w:spacing w:after="0" w:line="276" w:lineRule="auto"/>
        <w:contextualSpacing/>
        <w:jc w:val="both"/>
        <w:rPr>
          <w:rFonts w:ascii="Arial" w:eastAsia="Times New Roman" w:hAnsi="Arial" w:cs="Arial"/>
          <w:b/>
          <w:lang w:val="es-ES" w:eastAsia="es-MX"/>
        </w:rPr>
      </w:pPr>
      <w:r w:rsidRPr="00DD6683">
        <w:rPr>
          <w:rFonts w:ascii="Arial" w:eastAsia="Times New Roman" w:hAnsi="Arial" w:cs="Arial"/>
          <w:b/>
          <w:lang w:val="es-ES" w:eastAsia="es-MX"/>
        </w:rPr>
        <w:t>Acciones de la C</w:t>
      </w:r>
      <w:r w:rsidR="00493AAA">
        <w:rPr>
          <w:rFonts w:ascii="Arial" w:eastAsia="Times New Roman" w:hAnsi="Arial" w:cs="Arial"/>
          <w:b/>
          <w:lang w:val="es-ES" w:eastAsia="es-MX"/>
        </w:rPr>
        <w:t>omisión Nacional de los Derechos Humanos</w:t>
      </w:r>
    </w:p>
    <w:p w14:paraId="0BE94594" w14:textId="77777777" w:rsidR="00DD6683" w:rsidRPr="00DD6683" w:rsidRDefault="00DD6683" w:rsidP="00DD6683">
      <w:pPr>
        <w:spacing w:after="0" w:line="276" w:lineRule="auto"/>
        <w:jc w:val="both"/>
        <w:rPr>
          <w:rFonts w:ascii="Arial" w:eastAsia="Times New Roman" w:hAnsi="Arial" w:cs="Arial"/>
          <w:lang w:eastAsia="es-MX"/>
        </w:rPr>
      </w:pPr>
    </w:p>
    <w:p w14:paraId="0F1EECA0" w14:textId="77777777" w:rsidR="00DD6683" w:rsidRPr="00DD6683" w:rsidRDefault="00DD6683" w:rsidP="00DD6683">
      <w:pPr>
        <w:spacing w:after="0" w:line="276" w:lineRule="auto"/>
        <w:jc w:val="both"/>
        <w:rPr>
          <w:rFonts w:ascii="Arial" w:eastAsia="Times New Roman" w:hAnsi="Arial" w:cs="Arial"/>
          <w:lang w:eastAsia="es-MX"/>
        </w:rPr>
      </w:pPr>
      <w:r w:rsidRPr="00DD6683">
        <w:rPr>
          <w:rFonts w:ascii="Arial" w:eastAsia="Times New Roman" w:hAnsi="Arial" w:cs="Arial"/>
          <w:lang w:eastAsia="es-MX"/>
        </w:rPr>
        <w:t>De enero de 2019 y hasta diciembre de 2021, la CNDH ha girado un total de 190 solicitudes de medidas cautelares, a efecto de salvaguardar los derechos de personas periodistas y defensoras de derechos humanos que, como consecuencia de su labor, ven amenazadas su vida, integridad física, emocional y derechos a la libertad de expresión, promoción y defensa de derechos.</w:t>
      </w:r>
    </w:p>
    <w:p w14:paraId="30686FE5" w14:textId="77777777" w:rsidR="00DD6683" w:rsidRPr="00DD6683" w:rsidRDefault="00DD6683" w:rsidP="00DD6683">
      <w:pPr>
        <w:spacing w:after="0" w:line="276" w:lineRule="auto"/>
        <w:jc w:val="both"/>
        <w:rPr>
          <w:rFonts w:ascii="Arial" w:eastAsia="Times New Roman" w:hAnsi="Arial" w:cs="Arial"/>
          <w:lang w:eastAsia="es-MX"/>
        </w:rPr>
      </w:pPr>
    </w:p>
    <w:p w14:paraId="4CD87158" w14:textId="185606B6" w:rsidR="00CC5F69" w:rsidRPr="00493AAA" w:rsidRDefault="00DD6683" w:rsidP="00493AAA">
      <w:pPr>
        <w:spacing w:after="0" w:line="276" w:lineRule="auto"/>
        <w:jc w:val="both"/>
        <w:rPr>
          <w:rFonts w:ascii="Arial" w:eastAsia="Times New Roman" w:hAnsi="Arial" w:cs="Arial"/>
          <w:lang w:eastAsia="es-MX"/>
        </w:rPr>
      </w:pPr>
      <w:r w:rsidRPr="00DD6683">
        <w:rPr>
          <w:rFonts w:ascii="Arial" w:eastAsia="Times New Roman" w:hAnsi="Arial" w:cs="Arial"/>
          <w:lang w:eastAsia="es-MX"/>
        </w:rPr>
        <w:t>Del mes de enero de 2019 y hasta diciembre de 2021, esta Comisión Nacional ha publicado un total de 105 comunicados de prensa</w:t>
      </w:r>
      <w:r w:rsidRPr="00DD6683">
        <w:rPr>
          <w:rFonts w:ascii="Arial" w:eastAsia="Times New Roman" w:hAnsi="Arial" w:cs="Arial"/>
          <w:vertAlign w:val="superscript"/>
          <w:lang w:eastAsia="es-MX"/>
        </w:rPr>
        <w:footnoteReference w:id="38"/>
      </w:r>
      <w:r w:rsidRPr="00DD6683">
        <w:rPr>
          <w:rFonts w:ascii="Arial" w:eastAsia="Times New Roman" w:hAnsi="Arial" w:cs="Arial"/>
          <w:lang w:eastAsia="es-MX"/>
        </w:rPr>
        <w:t>, de los cuales 80 se relacionan con personas periodistas y 25 con defensores de derechos humanos, cuyo objeto radica en la consecución y cumplimiento de un deber de promoción de derechos, de una acción vinculada con la denuncia pública, así como una exigencia de atención e intervención de las autoridades del estado mexicano, de cara a los múltiples agravios, problemáticas y contextos adversos que enfrentan quienes ejercen la libertad de expresión, defensa y promoción de derechos humanos</w:t>
      </w:r>
    </w:p>
    <w:sectPr w:rsidR="00CC5F69" w:rsidRPr="00493AAA">
      <w:footerReference w:type="default" r:id="rId4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941BA7" w14:textId="77777777" w:rsidR="00AC7B2D" w:rsidRDefault="00AC7B2D" w:rsidP="00DD6683">
      <w:pPr>
        <w:spacing w:after="0" w:line="240" w:lineRule="auto"/>
      </w:pPr>
      <w:r>
        <w:separator/>
      </w:r>
    </w:p>
  </w:endnote>
  <w:endnote w:type="continuationSeparator" w:id="0">
    <w:p w14:paraId="58C1AD47" w14:textId="77777777" w:rsidR="00AC7B2D" w:rsidRDefault="00AC7B2D" w:rsidP="00DD66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MT"/>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8795337"/>
      <w:docPartObj>
        <w:docPartGallery w:val="Page Numbers (Bottom of Page)"/>
        <w:docPartUnique/>
      </w:docPartObj>
    </w:sdtPr>
    <w:sdtEndPr/>
    <w:sdtContent>
      <w:p w14:paraId="72DCA257" w14:textId="0CA5A94A" w:rsidR="001D1FC2" w:rsidRDefault="001D1FC2">
        <w:pPr>
          <w:pStyle w:val="Footer"/>
          <w:jc w:val="center"/>
        </w:pPr>
        <w:r>
          <w:fldChar w:fldCharType="begin"/>
        </w:r>
        <w:r>
          <w:instrText>PAGE   \* MERGEFORMAT</w:instrText>
        </w:r>
        <w:r>
          <w:fldChar w:fldCharType="separate"/>
        </w:r>
        <w:r w:rsidR="009859F9" w:rsidRPr="009859F9">
          <w:rPr>
            <w:noProof/>
            <w:lang w:val="es-ES"/>
          </w:rPr>
          <w:t>1</w:t>
        </w:r>
        <w:r>
          <w:fldChar w:fldCharType="end"/>
        </w:r>
      </w:p>
    </w:sdtContent>
  </w:sdt>
  <w:p w14:paraId="4E032899" w14:textId="77777777" w:rsidR="001D1FC2" w:rsidRDefault="001D1FC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8FABB4" w14:textId="77777777" w:rsidR="00AC7B2D" w:rsidRDefault="00AC7B2D" w:rsidP="00DD6683">
      <w:pPr>
        <w:spacing w:after="0" w:line="240" w:lineRule="auto"/>
      </w:pPr>
      <w:r>
        <w:separator/>
      </w:r>
    </w:p>
  </w:footnote>
  <w:footnote w:type="continuationSeparator" w:id="0">
    <w:p w14:paraId="261733B3" w14:textId="77777777" w:rsidR="00AC7B2D" w:rsidRDefault="00AC7B2D" w:rsidP="00DD6683">
      <w:pPr>
        <w:spacing w:after="0" w:line="240" w:lineRule="auto"/>
      </w:pPr>
      <w:r>
        <w:continuationSeparator/>
      </w:r>
    </w:p>
  </w:footnote>
  <w:footnote w:id="1">
    <w:p w14:paraId="42E37674" w14:textId="77777777" w:rsidR="001D1FC2" w:rsidRPr="006F3351" w:rsidRDefault="001D1FC2" w:rsidP="001D1FC2">
      <w:pPr>
        <w:pStyle w:val="FootnoteText"/>
        <w:rPr>
          <w:rFonts w:ascii="Arial Narrow" w:hAnsi="Arial Narrow"/>
        </w:rPr>
      </w:pPr>
      <w:r w:rsidRPr="001D1FC2">
        <w:rPr>
          <w:rStyle w:val="FootnoteReference"/>
          <w:rFonts w:ascii="Arial Narrow" w:hAnsi="Arial Narrow"/>
        </w:rPr>
        <w:footnoteRef/>
      </w:r>
      <w:r w:rsidRPr="006F3351">
        <w:rPr>
          <w:rFonts w:ascii="Arial Narrow" w:hAnsi="Arial Narrow"/>
        </w:rPr>
        <w:t xml:space="preserve"> https://www.cndh.org.mx/documento/el-mecanismo-nacional-de-prevencion-de-la-tortura-mnpt-reconoce-y-aplaude-el-auto-de</w:t>
      </w:r>
    </w:p>
  </w:footnote>
  <w:footnote w:id="2">
    <w:p w14:paraId="2B442538" w14:textId="77777777" w:rsidR="001D1FC2" w:rsidRPr="006F3351" w:rsidRDefault="001D1FC2" w:rsidP="001D1FC2">
      <w:pPr>
        <w:pStyle w:val="FootnoteText"/>
        <w:rPr>
          <w:rFonts w:ascii="Arial Narrow" w:hAnsi="Arial Narrow"/>
        </w:rPr>
      </w:pPr>
      <w:r w:rsidRPr="001D1FC2">
        <w:rPr>
          <w:rStyle w:val="FootnoteReference"/>
        </w:rPr>
        <w:footnoteRef/>
      </w:r>
      <w:r>
        <w:t xml:space="preserve"> </w:t>
      </w:r>
      <w:hyperlink r:id="rId1" w:history="1">
        <w:r w:rsidRPr="006F3351">
          <w:rPr>
            <w:rStyle w:val="Hyperlink"/>
            <w:rFonts w:ascii="Arial Narrow" w:hAnsi="Arial Narrow"/>
          </w:rPr>
          <w:t>https://www.cndh.org.mx/documento/el-mecanismo-nacional-de-prevencion-de-la-tortura-mnpt-hace-un-energico-llamado-para-que</w:t>
        </w:r>
      </w:hyperlink>
      <w:r>
        <w:rPr>
          <w:rFonts w:ascii="Arial Narrow" w:hAnsi="Arial Narrow"/>
        </w:rPr>
        <w:t xml:space="preserve"> </w:t>
      </w:r>
    </w:p>
  </w:footnote>
  <w:footnote w:id="3">
    <w:p w14:paraId="7054B074" w14:textId="77777777" w:rsidR="001D1FC2" w:rsidRPr="006F3351" w:rsidRDefault="001D1FC2" w:rsidP="001D1FC2">
      <w:pPr>
        <w:pStyle w:val="FootnoteText"/>
        <w:rPr>
          <w:rFonts w:ascii="Arial Narrow" w:hAnsi="Arial Narrow"/>
        </w:rPr>
      </w:pPr>
      <w:r w:rsidRPr="001D1FC2">
        <w:rPr>
          <w:rStyle w:val="FootnoteReference"/>
          <w:rFonts w:ascii="Arial Narrow" w:hAnsi="Arial Narrow"/>
        </w:rPr>
        <w:footnoteRef/>
      </w:r>
      <w:r w:rsidRPr="006F3351">
        <w:rPr>
          <w:rFonts w:ascii="Arial Narrow" w:hAnsi="Arial Narrow"/>
        </w:rPr>
        <w:t xml:space="preserve"> https://www.cndh.org.mx/documento/posicionamiento-del-cndh-frente-los-hechos-acaecidos-en-el-estado-de-jalisco</w:t>
      </w:r>
    </w:p>
  </w:footnote>
  <w:footnote w:id="4">
    <w:p w14:paraId="7C024D8B" w14:textId="77777777" w:rsidR="001D1FC2" w:rsidRPr="00CC521A" w:rsidRDefault="001D1FC2" w:rsidP="001D1FC2">
      <w:pPr>
        <w:pStyle w:val="FootnoteText"/>
      </w:pPr>
      <w:r w:rsidRPr="001D1FC2">
        <w:rPr>
          <w:rStyle w:val="FootnoteReference"/>
        </w:rPr>
        <w:footnoteRef/>
      </w:r>
      <w:r>
        <w:t xml:space="preserve"> </w:t>
      </w:r>
      <w:hyperlink r:id="rId2" w:history="1">
        <w:r w:rsidRPr="006F3351">
          <w:rPr>
            <w:rStyle w:val="Hyperlink"/>
            <w:rFonts w:ascii="Arial Narrow" w:hAnsi="Arial Narrow"/>
          </w:rPr>
          <w:t>https://www.cndh.org.mx/index.php/documento/comunicado-sobre-el-fallecimiento-del-c-carlos-navarro-landa-en-el-cuartel-de-policia-san</w:t>
        </w:r>
      </w:hyperlink>
      <w:r>
        <w:rPr>
          <w:rFonts w:ascii="Arial Narrow" w:hAnsi="Arial Narrow"/>
        </w:rPr>
        <w:t xml:space="preserve"> </w:t>
      </w:r>
    </w:p>
  </w:footnote>
  <w:footnote w:id="5">
    <w:p w14:paraId="7F65D3FD" w14:textId="77777777" w:rsidR="001D1FC2" w:rsidRPr="006F3351" w:rsidRDefault="001D1FC2" w:rsidP="001D1FC2">
      <w:pPr>
        <w:pStyle w:val="FootnoteText"/>
        <w:rPr>
          <w:rFonts w:ascii="Arial Narrow" w:hAnsi="Arial Narrow"/>
        </w:rPr>
      </w:pPr>
      <w:r w:rsidRPr="001D1FC2">
        <w:rPr>
          <w:rStyle w:val="FootnoteReference"/>
        </w:rPr>
        <w:footnoteRef/>
      </w:r>
      <w:r>
        <w:t xml:space="preserve"> </w:t>
      </w:r>
      <w:r w:rsidRPr="006F3351">
        <w:rPr>
          <w:rFonts w:ascii="Arial Narrow" w:hAnsi="Arial Narrow"/>
        </w:rPr>
        <w:t>https://www.cndh.org.mx/index.php/documento/comunicado-sobre-el-caso-de-alexander-martinez-gomez</w:t>
      </w:r>
    </w:p>
  </w:footnote>
  <w:footnote w:id="6">
    <w:p w14:paraId="008292EA" w14:textId="77777777" w:rsidR="001D1FC2" w:rsidRDefault="001D1FC2" w:rsidP="001D1FC2">
      <w:pPr>
        <w:pStyle w:val="FootnoteText"/>
      </w:pPr>
      <w:r w:rsidRPr="001D1FC2">
        <w:rPr>
          <w:rStyle w:val="FootnoteReference"/>
        </w:rPr>
        <w:footnoteRef/>
      </w:r>
      <w:r>
        <w:t xml:space="preserve"> </w:t>
      </w:r>
      <w:r w:rsidRPr="00D83C64">
        <w:rPr>
          <w:rFonts w:ascii="Arial Narrow" w:hAnsi="Arial Narrow"/>
        </w:rPr>
        <w:t xml:space="preserve">Visible en </w:t>
      </w:r>
      <w:hyperlink r:id="rId3" w:history="1">
        <w:r w:rsidRPr="00CE5CFE">
          <w:rPr>
            <w:rStyle w:val="Hyperlink"/>
            <w:rFonts w:ascii="Arial Narrow" w:hAnsi="Arial Narrow"/>
          </w:rPr>
          <w:t>https://www.cndh.org.mx/sites/default/files/documentos/2020-07/COM_2020_207.pdf</w:t>
        </w:r>
      </w:hyperlink>
    </w:p>
  </w:footnote>
  <w:footnote w:id="7">
    <w:p w14:paraId="2C4AD42E" w14:textId="77777777" w:rsidR="001D1FC2" w:rsidRDefault="001D1FC2" w:rsidP="001D1FC2">
      <w:pPr>
        <w:pStyle w:val="FootnoteText"/>
      </w:pPr>
      <w:r w:rsidRPr="001D1FC2">
        <w:rPr>
          <w:rStyle w:val="FootnoteReference"/>
        </w:rPr>
        <w:footnoteRef/>
      </w:r>
      <w:r>
        <w:t xml:space="preserve"> </w:t>
      </w:r>
      <w:r w:rsidRPr="007D47D3">
        <w:rPr>
          <w:rFonts w:ascii="Arial Narrow" w:hAnsi="Arial Narrow"/>
        </w:rPr>
        <w:t xml:space="preserve">Visible en </w:t>
      </w:r>
      <w:hyperlink r:id="rId4" w:history="1">
        <w:r w:rsidRPr="007D47D3">
          <w:rPr>
            <w:rStyle w:val="Hyperlink"/>
            <w:rFonts w:ascii="Arial Narrow" w:hAnsi="Arial Narrow"/>
          </w:rPr>
          <w:t>https://www.cndh.org.mx/sites/default/files/documentos/2021-04/COM_2021_104.pdf</w:t>
        </w:r>
      </w:hyperlink>
    </w:p>
  </w:footnote>
  <w:footnote w:id="8">
    <w:p w14:paraId="4DBAB2E4" w14:textId="77777777" w:rsidR="001D1FC2" w:rsidRPr="006F3351" w:rsidRDefault="001D1FC2" w:rsidP="001D1FC2">
      <w:pPr>
        <w:pStyle w:val="FootnoteText"/>
        <w:rPr>
          <w:rFonts w:ascii="Arial Narrow" w:hAnsi="Arial Narrow"/>
        </w:rPr>
      </w:pPr>
      <w:r w:rsidRPr="001D1FC2">
        <w:rPr>
          <w:rStyle w:val="FootnoteReference"/>
          <w:rFonts w:ascii="Arial Narrow" w:hAnsi="Arial Narrow"/>
        </w:rPr>
        <w:footnoteRef/>
      </w:r>
      <w:r w:rsidRPr="006F3351">
        <w:rPr>
          <w:rFonts w:ascii="Arial Narrow" w:hAnsi="Arial Narrow"/>
        </w:rPr>
        <w:t xml:space="preserve"> https://www.cndh.org.mx/documento/mexico-y-argentina-firman-convenio-para-prevenir-y-eliminar-la-tortura-y-otros-tratos-o</w:t>
      </w:r>
    </w:p>
  </w:footnote>
  <w:footnote w:id="9">
    <w:p w14:paraId="0E6DB36E" w14:textId="77777777" w:rsidR="001D1FC2" w:rsidRPr="00E04B1F" w:rsidRDefault="001D1FC2" w:rsidP="001D1FC2">
      <w:pPr>
        <w:pStyle w:val="FootnoteText"/>
        <w:jc w:val="both"/>
      </w:pPr>
      <w:r w:rsidRPr="1AB4FDE4">
        <w:rPr>
          <w:rStyle w:val="FootnoteReference"/>
          <w:rFonts w:ascii="Arial Narrow" w:eastAsia="Arial Narrow" w:hAnsi="Arial Narrow" w:cs="Arial Narrow"/>
        </w:rPr>
        <w:footnoteRef/>
      </w:r>
      <w:r w:rsidRPr="1AB4FDE4">
        <w:rPr>
          <w:rFonts w:ascii="Arial Narrow" w:eastAsia="Arial Narrow" w:hAnsi="Arial Narrow" w:cs="Arial Narrow"/>
        </w:rPr>
        <w:t xml:space="preserve"> Armonización legislativa en materia de prevención, investigación y sanción de la tortura y otros tratos o penas crueles, inhumanos o degradantes, CNDH, 2020, visible en </w:t>
      </w:r>
      <w:hyperlink r:id="rId5" w:history="1">
        <w:r w:rsidRPr="1AB4FDE4">
          <w:rPr>
            <w:rStyle w:val="Hyperlink"/>
            <w:rFonts w:ascii="Arial Narrow" w:eastAsia="Arial Narrow" w:hAnsi="Arial Narrow" w:cs="Arial Narrow"/>
          </w:rPr>
          <w:t>https://www.cndh.org.mx/sites/default/files/documentos/2021-05/Armonizacion_Legislativa_PISTyOToPCID.pdf</w:t>
        </w:r>
      </w:hyperlink>
      <w:r w:rsidRPr="1AB4FDE4">
        <w:rPr>
          <w:rFonts w:ascii="Arial Narrow" w:eastAsia="Arial Narrow" w:hAnsi="Arial Narrow" w:cs="Arial Narrow"/>
        </w:rPr>
        <w:t xml:space="preserve"> </w:t>
      </w:r>
    </w:p>
  </w:footnote>
  <w:footnote w:id="10">
    <w:p w14:paraId="21892F9F" w14:textId="77777777" w:rsidR="001D1FC2" w:rsidRDefault="001D1FC2" w:rsidP="001D1FC2">
      <w:pPr>
        <w:jc w:val="both"/>
      </w:pPr>
      <w:r w:rsidRPr="1AB4FDE4">
        <w:rPr>
          <w:rStyle w:val="FootnoteReference"/>
          <w:rFonts w:ascii="Arial Narrow" w:eastAsia="Arial Narrow" w:hAnsi="Arial Narrow" w:cs="Arial Narrow"/>
          <w:sz w:val="20"/>
          <w:szCs w:val="20"/>
        </w:rPr>
        <w:footnoteRef/>
      </w:r>
      <w:r w:rsidRPr="1AB4FDE4">
        <w:rPr>
          <w:rFonts w:ascii="Arial Narrow" w:eastAsia="Arial Narrow" w:hAnsi="Arial Narrow" w:cs="Arial Narrow"/>
          <w:sz w:val="20"/>
          <w:szCs w:val="20"/>
        </w:rPr>
        <w:t xml:space="preserve"> </w:t>
      </w:r>
      <w:r w:rsidRPr="1AB4FDE4">
        <w:rPr>
          <w:rFonts w:ascii="Arial Narrow" w:eastAsia="Arial Narrow" w:hAnsi="Arial Narrow" w:cs="Arial Narrow"/>
          <w:sz w:val="20"/>
          <w:szCs w:val="20"/>
          <w:lang w:val="es"/>
        </w:rPr>
        <w:t>Artículo 307 Bis del Código Penal para el Estado de Baja California</w:t>
      </w:r>
    </w:p>
    <w:p w14:paraId="26F4A421" w14:textId="77777777" w:rsidR="001D1FC2" w:rsidRDefault="001D1FC2" w:rsidP="001D1FC2">
      <w:pPr>
        <w:jc w:val="both"/>
      </w:pPr>
      <w:r w:rsidRPr="1AB4FDE4">
        <w:rPr>
          <w:rFonts w:ascii="Arial Narrow" w:eastAsia="Arial Narrow" w:hAnsi="Arial Narrow" w:cs="Arial Narrow"/>
          <w:sz w:val="20"/>
          <w:szCs w:val="20"/>
          <w:lang w:val="es"/>
        </w:rPr>
        <w:t>Artículo 289 del Código Penal Para El Estado Libre Y Soberano De Baja California Sur</w:t>
      </w:r>
    </w:p>
    <w:p w14:paraId="124956C4" w14:textId="77777777" w:rsidR="001D1FC2" w:rsidRDefault="001D1FC2" w:rsidP="001D1FC2">
      <w:pPr>
        <w:jc w:val="both"/>
      </w:pPr>
      <w:r w:rsidRPr="1AB4FDE4">
        <w:rPr>
          <w:rFonts w:ascii="Arial Narrow" w:eastAsia="Arial Narrow" w:hAnsi="Arial Narrow" w:cs="Arial Narrow"/>
          <w:sz w:val="20"/>
          <w:szCs w:val="20"/>
          <w:lang w:val="es"/>
        </w:rPr>
        <w:t>Artículo 206 Bis del Código Penal para el Distrito Federal (hoy Ciudad de México)</w:t>
      </w:r>
    </w:p>
    <w:p w14:paraId="22924957" w14:textId="77777777" w:rsidR="001D1FC2" w:rsidRDefault="001D1FC2" w:rsidP="001D1FC2">
      <w:pPr>
        <w:jc w:val="both"/>
      </w:pPr>
      <w:r w:rsidRPr="1AB4FDE4">
        <w:rPr>
          <w:rFonts w:ascii="Arial Narrow" w:eastAsia="Arial Narrow" w:hAnsi="Arial Narrow" w:cs="Arial Narrow"/>
          <w:sz w:val="20"/>
          <w:szCs w:val="20"/>
          <w:lang w:val="es"/>
        </w:rPr>
        <w:t>Artículo 365 del Código Penal del Estado Libre y Soberano de Durango</w:t>
      </w:r>
    </w:p>
    <w:p w14:paraId="6114418E" w14:textId="77777777" w:rsidR="001D1FC2" w:rsidRDefault="001D1FC2" w:rsidP="001D1FC2">
      <w:pPr>
        <w:jc w:val="both"/>
      </w:pPr>
      <w:r w:rsidRPr="1AB4FDE4">
        <w:rPr>
          <w:rFonts w:ascii="Arial Narrow" w:eastAsia="Arial Narrow" w:hAnsi="Arial Narrow" w:cs="Arial Narrow"/>
          <w:sz w:val="20"/>
          <w:szCs w:val="20"/>
          <w:lang w:val="es"/>
        </w:rPr>
        <w:t>Artículo 264 del Código Penal del Estado de Guanajuato</w:t>
      </w:r>
    </w:p>
    <w:p w14:paraId="6123D234" w14:textId="77777777" w:rsidR="001D1FC2" w:rsidRDefault="001D1FC2" w:rsidP="001D1FC2">
      <w:pPr>
        <w:jc w:val="both"/>
      </w:pPr>
      <w:r w:rsidRPr="1AB4FDE4">
        <w:rPr>
          <w:rFonts w:ascii="Arial Narrow" w:eastAsia="Arial Narrow" w:hAnsi="Arial Narrow" w:cs="Arial Narrow"/>
          <w:sz w:val="20"/>
          <w:szCs w:val="20"/>
          <w:lang w:val="es"/>
        </w:rPr>
        <w:t xml:space="preserve">Artículo 321 Bis del Código Penal del Estado de Guanajuato </w:t>
      </w:r>
    </w:p>
    <w:p w14:paraId="36440B21" w14:textId="77777777" w:rsidR="001D1FC2" w:rsidRDefault="001D1FC2" w:rsidP="001D1FC2">
      <w:pPr>
        <w:jc w:val="both"/>
      </w:pPr>
      <w:r w:rsidRPr="1AB4FDE4">
        <w:rPr>
          <w:rFonts w:ascii="Arial Narrow" w:eastAsia="Arial Narrow" w:hAnsi="Arial Narrow" w:cs="Arial Narrow"/>
          <w:sz w:val="20"/>
          <w:szCs w:val="20"/>
          <w:lang w:val="es"/>
        </w:rPr>
        <w:t>Artículo 328 del Código Penal para el Estado de Sinaloa</w:t>
      </w:r>
    </w:p>
  </w:footnote>
  <w:footnote w:id="11">
    <w:p w14:paraId="6B6BBC97" w14:textId="77777777" w:rsidR="001D1FC2" w:rsidRPr="00D06501" w:rsidRDefault="001D1FC2" w:rsidP="001D1FC2">
      <w:pPr>
        <w:pStyle w:val="FootnoteText"/>
      </w:pPr>
      <w:r w:rsidRPr="1AB4FDE4">
        <w:rPr>
          <w:rStyle w:val="FootnoteReference"/>
          <w:rFonts w:ascii="Arial Narrow" w:eastAsia="Arial Narrow" w:hAnsi="Arial Narrow" w:cs="Arial Narrow"/>
        </w:rPr>
        <w:footnoteRef/>
      </w:r>
      <w:r w:rsidRPr="1AB4FDE4">
        <w:rPr>
          <w:rFonts w:ascii="Arial Narrow" w:eastAsia="Arial Narrow" w:hAnsi="Arial Narrow" w:cs="Arial Narrow"/>
        </w:rPr>
        <w:t xml:space="preserve"> Oficio CNDH/DEMNPT/0798/2021 de 25 de noviembre del 2021.</w:t>
      </w:r>
    </w:p>
  </w:footnote>
  <w:footnote w:id="12">
    <w:p w14:paraId="3AFE53BE" w14:textId="77777777" w:rsidR="00A1260E" w:rsidRPr="00CB5D5D" w:rsidRDefault="00A1260E" w:rsidP="00A1260E">
      <w:pPr>
        <w:pStyle w:val="FootnoteText"/>
        <w:rPr>
          <w:rFonts w:ascii="Arial Narrow" w:hAnsi="Arial Narrow"/>
        </w:rPr>
      </w:pPr>
      <w:r w:rsidRPr="00CB5D5D">
        <w:rPr>
          <w:rStyle w:val="FootnoteReference"/>
          <w:rFonts w:ascii="Arial Narrow" w:eastAsiaTheme="minorEastAsia" w:hAnsi="Arial Narrow"/>
        </w:rPr>
        <w:footnoteRef/>
      </w:r>
      <w:r w:rsidRPr="00CB5D5D">
        <w:rPr>
          <w:rFonts w:ascii="Arial Narrow" w:hAnsi="Arial Narrow"/>
        </w:rPr>
        <w:t xml:space="preserve"> Consultable en: </w:t>
      </w:r>
      <w:hyperlink r:id="rId6" w:history="1">
        <w:r w:rsidRPr="00451F10">
          <w:rPr>
            <w:rStyle w:val="Hyperlink"/>
            <w:rFonts w:ascii="Arial Narrow" w:hAnsi="Arial Narrow"/>
          </w:rPr>
          <w:t>https://www.cndh.org.mx/documento/informe-especial-del-mnpt-12019</w:t>
        </w:r>
      </w:hyperlink>
      <w:r>
        <w:rPr>
          <w:rFonts w:ascii="Arial Narrow" w:hAnsi="Arial Narrow"/>
        </w:rPr>
        <w:t xml:space="preserve"> </w:t>
      </w:r>
    </w:p>
  </w:footnote>
  <w:footnote w:id="13">
    <w:p w14:paraId="49DF724B" w14:textId="77777777" w:rsidR="00A1260E" w:rsidRDefault="00A1260E" w:rsidP="00A1260E">
      <w:pPr>
        <w:pStyle w:val="FootnoteText"/>
        <w:jc w:val="both"/>
      </w:pPr>
      <w:r>
        <w:rPr>
          <w:rStyle w:val="FootnoteReference"/>
          <w:rFonts w:eastAsiaTheme="minorEastAsia"/>
        </w:rPr>
        <w:footnoteRef/>
      </w:r>
      <w:r>
        <w:t xml:space="preserve"> </w:t>
      </w:r>
      <w:r w:rsidRPr="00B72DF9">
        <w:rPr>
          <w:rFonts w:ascii="Arial Narrow" w:hAnsi="Arial Narrow"/>
          <w:b/>
        </w:rPr>
        <w:t xml:space="preserve">Tercera. - </w:t>
      </w:r>
      <w:r w:rsidRPr="00B96D04">
        <w:rPr>
          <w:rFonts w:ascii="Arial Narrow" w:hAnsi="Arial Narrow"/>
        </w:rPr>
        <w:t>Que se tomen las acciones necesarias para que la entrevista de la persona detenida con su defensor se realice en condiciones de privacidad, contando con un espacio adecuado para llevarse a cabo. Asimismo, para que la persona detenida sea asistida en todas las actuaciones por su abogado defensor.</w:t>
      </w:r>
    </w:p>
  </w:footnote>
  <w:footnote w:id="14">
    <w:p w14:paraId="1C309205" w14:textId="77777777" w:rsidR="00A1260E" w:rsidRDefault="00A1260E" w:rsidP="00A1260E">
      <w:pPr>
        <w:pStyle w:val="FootnoteText"/>
      </w:pPr>
      <w:r>
        <w:rPr>
          <w:rStyle w:val="FootnoteReference"/>
          <w:rFonts w:eastAsiaTheme="minorEastAsia"/>
        </w:rPr>
        <w:footnoteRef/>
      </w:r>
      <w:r>
        <w:t xml:space="preserve"> </w:t>
      </w:r>
      <w:r w:rsidRPr="00B72DF9">
        <w:rPr>
          <w:rFonts w:ascii="Arial Narrow" w:hAnsi="Arial Narrow"/>
          <w:b/>
        </w:rPr>
        <w:t>Cuarta. -</w:t>
      </w:r>
      <w:r w:rsidRPr="00B96D04">
        <w:rPr>
          <w:rFonts w:ascii="Arial Narrow" w:hAnsi="Arial Narrow"/>
        </w:rPr>
        <w:t xml:space="preserve"> Llevar a cabo las acciones necesarias con la autoridad correspondiente para que, en los lugares de detención, al menos esté presente un abogado defensor de oficio en cada turno y diario</w:t>
      </w:r>
    </w:p>
  </w:footnote>
  <w:footnote w:id="15">
    <w:p w14:paraId="0E5E9D71" w14:textId="77777777" w:rsidR="00A1260E" w:rsidRPr="00356F87" w:rsidRDefault="00A1260E" w:rsidP="00A1260E">
      <w:pPr>
        <w:pStyle w:val="FootnoteText"/>
        <w:rPr>
          <w:rFonts w:ascii="Arial Narrow" w:hAnsi="Arial Narrow"/>
          <w:sz w:val="18"/>
          <w:szCs w:val="18"/>
        </w:rPr>
      </w:pPr>
      <w:r w:rsidRPr="1AB4FDE4">
        <w:rPr>
          <w:rStyle w:val="FootnoteReference"/>
          <w:rFonts w:ascii="Arial Narrow" w:eastAsia="Arial Narrow" w:hAnsi="Arial Narrow" w:cs="Arial Narrow"/>
        </w:rPr>
        <w:footnoteRef/>
      </w:r>
      <w:r w:rsidRPr="1AB4FDE4">
        <w:rPr>
          <w:rFonts w:ascii="Arial Narrow" w:eastAsia="Arial Narrow" w:hAnsi="Arial Narrow" w:cs="Arial Narrow"/>
        </w:rPr>
        <w:t xml:space="preserve"> Publicada en el Diario Oficial de la Federación el 27 de mayo de 2019.</w:t>
      </w:r>
    </w:p>
  </w:footnote>
  <w:footnote w:id="16">
    <w:p w14:paraId="72FFC8A4" w14:textId="77777777" w:rsidR="00A1260E" w:rsidRPr="00C13A65" w:rsidRDefault="00A1260E" w:rsidP="00A1260E">
      <w:pPr>
        <w:pStyle w:val="FootnoteText"/>
        <w:jc w:val="both"/>
        <w:rPr>
          <w:rFonts w:ascii="Arial Narrow" w:hAnsi="Arial Narrow"/>
        </w:rPr>
      </w:pPr>
      <w:r w:rsidRPr="00C13A65">
        <w:rPr>
          <w:rStyle w:val="FootnoteReference"/>
          <w:rFonts w:ascii="Arial Narrow" w:eastAsiaTheme="minorEastAsia" w:hAnsi="Arial Narrow"/>
        </w:rPr>
        <w:footnoteRef/>
      </w:r>
      <w:r w:rsidRPr="00C13A65">
        <w:rPr>
          <w:rFonts w:ascii="Arial Narrow" w:hAnsi="Arial Narrow"/>
        </w:rPr>
        <w:t xml:space="preserve"> </w:t>
      </w:r>
      <w:r>
        <w:rPr>
          <w:rFonts w:ascii="Arial Narrow" w:hAnsi="Arial Narrow"/>
        </w:rPr>
        <w:t>D</w:t>
      </w:r>
      <w:r w:rsidRPr="00C13A65">
        <w:rPr>
          <w:rFonts w:ascii="Arial Narrow" w:hAnsi="Arial Narrow"/>
        </w:rPr>
        <w:t>e acuerdo con lo que establece el artículo 21 de la CPEUM, la investigación de los delitos corresponde al Ministerio Público y a las policías, las cuales actuarán bajo la conducción y mando de aquél en el ejercicio de esta función, y el ejercicio de la acción penal ante los tribunales corresponde al Ministerio Público. Asimismo, el artículo 102, apartado A, de la ley suprema, señala que corresponde al Ministerio Público de la Federación la persecución, ante los tribunales, de todos los delitos del orden federal; en el mismo sentido, se señala en las Constituciones locales.</w:t>
      </w:r>
      <w:r>
        <w:rPr>
          <w:rFonts w:ascii="Arial Narrow" w:hAnsi="Arial Narrow"/>
        </w:rPr>
        <w:t xml:space="preserve"> </w:t>
      </w:r>
      <w:r w:rsidRPr="00C13A65">
        <w:rPr>
          <w:rFonts w:ascii="Arial Narrow" w:hAnsi="Arial Narrow"/>
        </w:rPr>
        <w:t>De la misma manera, en el apartado B, del artículo 102, de la CPEUM, se establece que son los organismos de protección de los derechos humanos quienes conocerán de quejas en contra de actos u omisiones de naturaleza administrativa provenientes de cualquier autoridad o servidor público, que violen estos derechos.</w:t>
      </w:r>
    </w:p>
  </w:footnote>
  <w:footnote w:id="17">
    <w:p w14:paraId="7E95BBF9" w14:textId="77777777" w:rsidR="0041262B" w:rsidRPr="00D0255B" w:rsidRDefault="0041262B" w:rsidP="0041262B">
      <w:pPr>
        <w:pStyle w:val="FootnoteText"/>
        <w:jc w:val="both"/>
        <w:rPr>
          <w:sz w:val="18"/>
          <w:szCs w:val="18"/>
        </w:rPr>
      </w:pPr>
      <w:r w:rsidRPr="1AB4FDE4">
        <w:rPr>
          <w:rStyle w:val="FootnoteReference"/>
          <w:rFonts w:ascii="Arial Narrow" w:eastAsia="Arial Narrow" w:hAnsi="Arial Narrow" w:cs="Arial Narrow"/>
        </w:rPr>
        <w:footnoteRef/>
      </w:r>
      <w:r w:rsidRPr="1AB4FDE4">
        <w:rPr>
          <w:rFonts w:ascii="Arial Narrow" w:eastAsia="Arial Narrow" w:hAnsi="Arial Narrow" w:cs="Arial Narrow"/>
        </w:rPr>
        <w:t xml:space="preserve"> Informes de Supervisión: ISP-09/2020, ISP-10/2020, ISP-11/2020, ISP-12/2020, ISP-13/2020, ISP-14/2020 y ISP-15/2020. Disponibles en: </w:t>
      </w:r>
      <w:hyperlink r:id="rId7" w:history="1">
        <w:r w:rsidRPr="1AB4FDE4">
          <w:rPr>
            <w:rStyle w:val="Hyperlink"/>
            <w:rFonts w:ascii="Arial Narrow" w:eastAsia="Arial Narrow" w:hAnsi="Arial Narrow" w:cs="Arial Narrow"/>
          </w:rPr>
          <w:t>https://www.cndh.org.mx/pagina/informes-de-supervision-MNPT?title=&amp;items_per_page=10&amp;page=0</w:t>
        </w:r>
      </w:hyperlink>
      <w:r w:rsidRPr="1AB4FDE4">
        <w:rPr>
          <w:rFonts w:ascii="Arial Narrow" w:eastAsia="Arial Narrow" w:hAnsi="Arial Narrow" w:cs="Arial Narrow"/>
        </w:rPr>
        <w:t xml:space="preserve">  </w:t>
      </w:r>
    </w:p>
  </w:footnote>
  <w:footnote w:id="18">
    <w:p w14:paraId="515929B4" w14:textId="77777777" w:rsidR="0041262B" w:rsidRPr="00547E95" w:rsidRDefault="0041262B" w:rsidP="0041262B">
      <w:pPr>
        <w:pStyle w:val="FootnoteText"/>
        <w:jc w:val="both"/>
        <w:rPr>
          <w:sz w:val="18"/>
          <w:szCs w:val="18"/>
        </w:rPr>
      </w:pPr>
      <w:r w:rsidRPr="1AB4FDE4">
        <w:rPr>
          <w:rStyle w:val="FootnoteReference"/>
          <w:rFonts w:ascii="Arial Narrow" w:eastAsia="Arial Narrow" w:hAnsi="Arial Narrow" w:cs="Arial Narrow"/>
        </w:rPr>
        <w:footnoteRef/>
      </w:r>
      <w:r w:rsidRPr="1AB4FDE4">
        <w:rPr>
          <w:rFonts w:ascii="Arial Narrow" w:eastAsia="Arial Narrow" w:hAnsi="Arial Narrow" w:cs="Arial Narrow"/>
        </w:rPr>
        <w:t xml:space="preserve"> Comisión Interamericana de Derechos Humanos. Informe sobre los derechos humanos de las personas privadas de libertad en las Américas, 2011, Internet: www.cidh.org</w:t>
      </w:r>
    </w:p>
  </w:footnote>
  <w:footnote w:id="19">
    <w:p w14:paraId="64A1CE1B" w14:textId="77777777" w:rsidR="0041262B" w:rsidRDefault="0041262B" w:rsidP="0041262B">
      <w:pPr>
        <w:pStyle w:val="FootnoteText"/>
        <w:jc w:val="both"/>
      </w:pPr>
      <w:r w:rsidRPr="1AB4FDE4">
        <w:rPr>
          <w:rStyle w:val="FootnoteReference"/>
          <w:rFonts w:ascii="Arial Narrow" w:eastAsia="Arial Narrow" w:hAnsi="Arial Narrow" w:cs="Arial Narrow"/>
        </w:rPr>
        <w:footnoteRef/>
      </w:r>
      <w:r w:rsidRPr="1AB4FDE4">
        <w:rPr>
          <w:rFonts w:ascii="Arial Narrow" w:eastAsia="Arial Narrow" w:hAnsi="Arial Narrow" w:cs="Arial Narrow"/>
        </w:rPr>
        <w:t xml:space="preserve"> Comisión Nacional de los Derechos Humanos, 16 de diciembre de 2020. Disponible en: </w:t>
      </w:r>
      <w:hyperlink r:id="rId8" w:history="1">
        <w:r w:rsidRPr="1AB4FDE4">
          <w:rPr>
            <w:rStyle w:val="Hyperlink"/>
            <w:rFonts w:ascii="Arial Narrow" w:eastAsia="Arial Narrow" w:hAnsi="Arial Narrow" w:cs="Arial Narrow"/>
          </w:rPr>
          <w:t>https://www.cndh.org.mx/sites/default/files/documentos/2021-04/ISP_09_2020.pdf</w:t>
        </w:r>
      </w:hyperlink>
      <w:r w:rsidRPr="1AB4FDE4">
        <w:rPr>
          <w:rFonts w:ascii="Arial Narrow" w:eastAsia="Arial Narrow" w:hAnsi="Arial Narrow" w:cs="Arial Narrow"/>
        </w:rPr>
        <w:t xml:space="preserve"> </w:t>
      </w:r>
    </w:p>
  </w:footnote>
  <w:footnote w:id="20">
    <w:p w14:paraId="6762370C" w14:textId="77777777" w:rsidR="00885ED9" w:rsidRPr="00373941" w:rsidRDefault="00885ED9" w:rsidP="00885ED9">
      <w:pPr>
        <w:pStyle w:val="FootnoteText"/>
        <w:jc w:val="both"/>
        <w:rPr>
          <w:rFonts w:ascii="Arial Narrow" w:hAnsi="Arial Narrow"/>
        </w:rPr>
      </w:pPr>
      <w:r w:rsidRPr="00885ED9">
        <w:rPr>
          <w:rStyle w:val="FootnoteReference"/>
          <w:rFonts w:ascii="Arial Narrow" w:hAnsi="Arial Narrow"/>
        </w:rPr>
        <w:footnoteRef/>
      </w:r>
      <w:r w:rsidRPr="00B100E4">
        <w:rPr>
          <w:rFonts w:ascii="Arial Narrow" w:hAnsi="Arial Narrow"/>
        </w:rPr>
        <w:t xml:space="preserve"> Informe Especial sobre la situación de los derechos humanos de los internos en los centros de menores de la República </w:t>
      </w:r>
      <w:r w:rsidRPr="00373941">
        <w:rPr>
          <w:rFonts w:ascii="Arial Narrow" w:hAnsi="Arial Narrow"/>
        </w:rPr>
        <w:t xml:space="preserve">Mexicana, pág. 1, consultable en </w:t>
      </w:r>
      <w:hyperlink r:id="rId9" w:history="1">
        <w:r w:rsidRPr="00373941">
          <w:rPr>
            <w:rStyle w:val="Hyperlink"/>
            <w:rFonts w:ascii="Arial Narrow" w:hAnsi="Arial Narrow"/>
          </w:rPr>
          <w:t>https://www.cndh.org.mx/sites/default/files/doc/Informes/Especiales/2003_menores.pdf</w:t>
        </w:r>
      </w:hyperlink>
      <w:r w:rsidRPr="00373941">
        <w:rPr>
          <w:rFonts w:ascii="Arial Narrow" w:hAnsi="Arial Narrow"/>
        </w:rPr>
        <w:t xml:space="preserve"> </w:t>
      </w:r>
    </w:p>
  </w:footnote>
  <w:footnote w:id="21">
    <w:p w14:paraId="3DE6BF2C" w14:textId="77777777" w:rsidR="00885ED9" w:rsidRPr="003925E0" w:rsidRDefault="00885ED9" w:rsidP="00885ED9">
      <w:pPr>
        <w:pStyle w:val="FootnoteText"/>
        <w:jc w:val="both"/>
        <w:rPr>
          <w:rFonts w:ascii="Arial Narrow" w:hAnsi="Arial Narrow"/>
          <w:sz w:val="18"/>
          <w:szCs w:val="18"/>
        </w:rPr>
      </w:pPr>
      <w:r w:rsidRPr="00885ED9">
        <w:rPr>
          <w:rStyle w:val="FootnoteReference"/>
          <w:rFonts w:ascii="Arial Narrow" w:hAnsi="Arial Narrow"/>
        </w:rPr>
        <w:footnoteRef/>
      </w:r>
      <w:r w:rsidRPr="003925E0">
        <w:rPr>
          <w:rFonts w:ascii="Arial Narrow" w:hAnsi="Arial Narrow"/>
        </w:rPr>
        <w:t xml:space="preserve"> Consultable en: </w:t>
      </w:r>
      <w:hyperlink r:id="rId10" w:history="1">
        <w:r w:rsidRPr="003925E0">
          <w:rPr>
            <w:rStyle w:val="Hyperlink"/>
            <w:rFonts w:ascii="Arial Narrow" w:hAnsi="Arial Narrow"/>
          </w:rPr>
          <w:t>https://www.cndh.org.mx/sites/default/files/doc/Informes/Especiales/2015_IE_adolescentes.pdf</w:t>
        </w:r>
      </w:hyperlink>
      <w:r w:rsidRPr="003925E0">
        <w:rPr>
          <w:rFonts w:ascii="Arial Narrow" w:hAnsi="Arial Narrow"/>
        </w:rPr>
        <w:t xml:space="preserve"> </w:t>
      </w:r>
      <w:r w:rsidRPr="003925E0">
        <w:rPr>
          <w:rFonts w:ascii="Arial Narrow" w:hAnsi="Arial Narrow"/>
          <w:sz w:val="18"/>
          <w:szCs w:val="18"/>
        </w:rPr>
        <w:t xml:space="preserve">   </w:t>
      </w:r>
    </w:p>
  </w:footnote>
  <w:footnote w:id="22">
    <w:p w14:paraId="5840BF78" w14:textId="77777777" w:rsidR="00885ED9" w:rsidRPr="003925E0" w:rsidRDefault="00885ED9" w:rsidP="00885ED9">
      <w:pPr>
        <w:pStyle w:val="FootnoteText"/>
        <w:jc w:val="both"/>
        <w:rPr>
          <w:rFonts w:ascii="Arial Narrow" w:hAnsi="Arial Narrow"/>
        </w:rPr>
      </w:pPr>
      <w:r w:rsidRPr="00885ED9">
        <w:rPr>
          <w:rStyle w:val="FootnoteReference"/>
          <w:rFonts w:ascii="Arial Narrow" w:hAnsi="Arial Narrow"/>
        </w:rPr>
        <w:footnoteRef/>
      </w:r>
      <w:r w:rsidRPr="003925E0">
        <w:rPr>
          <w:rFonts w:ascii="Arial Narrow" w:hAnsi="Arial Narrow"/>
        </w:rPr>
        <w:t xml:space="preserve"> </w:t>
      </w:r>
      <w:hyperlink r:id="rId11" w:history="1">
        <w:r w:rsidRPr="003925E0">
          <w:rPr>
            <w:rStyle w:val="Hyperlink"/>
            <w:rFonts w:ascii="Arial Narrow" w:hAnsi="Arial Narrow"/>
          </w:rPr>
          <w:t>https://www.cndh.org.mx/sites/default/files/documentos/2019-05/ADOLESCENTES-INFORME-ESPECIAL-2019.pdf</w:t>
        </w:r>
      </w:hyperlink>
      <w:r>
        <w:rPr>
          <w:rStyle w:val="Hyperlink"/>
          <w:rFonts w:ascii="Arial Narrow" w:hAnsi="Arial Narrow"/>
        </w:rPr>
        <w:t xml:space="preserve">   </w:t>
      </w:r>
      <w:r w:rsidRPr="003925E0">
        <w:rPr>
          <w:rStyle w:val="Hyperlink"/>
          <w:rFonts w:ascii="Arial Narrow" w:hAnsi="Arial Narrow"/>
        </w:rPr>
        <w:t xml:space="preserve"> </w:t>
      </w:r>
      <w:r w:rsidRPr="003925E0">
        <w:rPr>
          <w:rFonts w:ascii="Arial Narrow" w:hAnsi="Arial Narrow"/>
        </w:rPr>
        <w:t xml:space="preserve"> </w:t>
      </w:r>
    </w:p>
  </w:footnote>
  <w:footnote w:id="23">
    <w:p w14:paraId="46FE392F" w14:textId="77777777" w:rsidR="00885ED9" w:rsidRPr="00D53F6B" w:rsidRDefault="00885ED9" w:rsidP="00885ED9">
      <w:pPr>
        <w:pStyle w:val="FootnoteText"/>
        <w:jc w:val="both"/>
        <w:rPr>
          <w:rFonts w:ascii="Arial Narrow" w:hAnsi="Arial Narrow"/>
        </w:rPr>
      </w:pPr>
      <w:r w:rsidRPr="00885ED9">
        <w:rPr>
          <w:rStyle w:val="FootnoteReference"/>
        </w:rPr>
        <w:footnoteRef/>
      </w:r>
      <w:r w:rsidRPr="003925E0">
        <w:t xml:space="preserve"> </w:t>
      </w:r>
      <w:r w:rsidRPr="003925E0">
        <w:rPr>
          <w:rFonts w:ascii="Arial Narrow" w:hAnsi="Arial Narrow"/>
        </w:rPr>
        <w:t>Informes 2/22017 y 4/2017 d</w:t>
      </w:r>
      <w:r w:rsidRPr="00D53F6B">
        <w:rPr>
          <w:rFonts w:ascii="Arial Narrow" w:hAnsi="Arial Narrow"/>
        </w:rPr>
        <w:t>el Mecanismo Nacional de Prevención de la Tortura sobre lugares de privación de libertad que dependen del Gobierno del Estado de Campeche y del Gobierno y de la Fiscalía General del Estado de Tabasco</w:t>
      </w:r>
    </w:p>
    <w:p w14:paraId="21E48AB4" w14:textId="77777777" w:rsidR="00885ED9" w:rsidRPr="00D53F6B" w:rsidRDefault="00885ED9" w:rsidP="00885ED9">
      <w:pPr>
        <w:pStyle w:val="FootnoteText"/>
        <w:jc w:val="both"/>
        <w:rPr>
          <w:rFonts w:ascii="Arial Narrow" w:hAnsi="Arial Narrow"/>
        </w:rPr>
      </w:pPr>
      <w:r w:rsidRPr="00D53F6B">
        <w:rPr>
          <w:rFonts w:ascii="Arial Narrow" w:hAnsi="Arial Narrow"/>
          <w:b/>
          <w:bCs/>
        </w:rPr>
        <w:t xml:space="preserve">Informe de Supervisión 1/2018 y 4/2018 </w:t>
      </w:r>
      <w:r w:rsidRPr="00D53F6B">
        <w:rPr>
          <w:rFonts w:ascii="Arial Narrow" w:hAnsi="Arial Narrow"/>
        </w:rPr>
        <w:t>del Mecanismo Nacional de Prevención de la Tortura sobre lugares de privación de la libertad que dependen del Gobierno y de la Fiscalía General del Estado de Querétaro y del Gobierno y de la Fiscalía General del Estado de Jalisco.</w:t>
      </w:r>
    </w:p>
    <w:p w14:paraId="57A9F1EF" w14:textId="77777777" w:rsidR="00885ED9" w:rsidRPr="00D53F6B" w:rsidRDefault="00885ED9" w:rsidP="00885ED9">
      <w:pPr>
        <w:pStyle w:val="FootnoteText"/>
        <w:jc w:val="both"/>
        <w:rPr>
          <w:rFonts w:ascii="Arial Narrow" w:hAnsi="Arial Narrow"/>
        </w:rPr>
      </w:pPr>
      <w:r w:rsidRPr="00D53F6B">
        <w:rPr>
          <w:rFonts w:ascii="Arial Narrow" w:hAnsi="Arial Narrow"/>
          <w:b/>
        </w:rPr>
        <w:t xml:space="preserve">Informe de supervisión ISP 6/2018 </w:t>
      </w:r>
      <w:r w:rsidRPr="00D53F6B">
        <w:rPr>
          <w:rFonts w:ascii="Arial Narrow" w:hAnsi="Arial Narrow"/>
        </w:rPr>
        <w:t>Centro de Tratamiento para adolescentes en Ensenada, Baja California</w:t>
      </w:r>
    </w:p>
    <w:p w14:paraId="2DB32FCC" w14:textId="77777777" w:rsidR="00885ED9" w:rsidRDefault="00885ED9" w:rsidP="00885ED9">
      <w:pPr>
        <w:pStyle w:val="FootnoteText"/>
        <w:jc w:val="both"/>
      </w:pPr>
      <w:r w:rsidRPr="00D53F6B">
        <w:rPr>
          <w:rFonts w:ascii="Arial Narrow" w:hAnsi="Arial Narrow"/>
          <w:b/>
          <w:bCs/>
        </w:rPr>
        <w:t>Informe de Supervisión ISP-09/2020</w:t>
      </w:r>
      <w:r w:rsidRPr="00D53F6B">
        <w:rPr>
          <w:rFonts w:ascii="Arial Narrow" w:hAnsi="Arial Narrow"/>
        </w:rPr>
        <w:t xml:space="preserve"> del Mecanismo Nacional de Prevención de la Tortura sobre las medidas de prevención adoptadas por los Centros de Reinserción Social, así como los Centros de Internamiento especializados en adolescentes de la República Mexicana, respecto de la emergencia sanitaria por la COVID-19</w:t>
      </w:r>
    </w:p>
  </w:footnote>
  <w:footnote w:id="24">
    <w:p w14:paraId="4E3D7402" w14:textId="77777777" w:rsidR="00885ED9" w:rsidRPr="00D53F6B" w:rsidRDefault="00885ED9" w:rsidP="00885ED9">
      <w:pPr>
        <w:pStyle w:val="FootnoteText"/>
        <w:jc w:val="both"/>
        <w:rPr>
          <w:rFonts w:ascii="Arial Narrow" w:hAnsi="Arial Narrow"/>
        </w:rPr>
      </w:pPr>
      <w:r w:rsidRPr="00885ED9">
        <w:rPr>
          <w:rStyle w:val="FootnoteReference"/>
        </w:rPr>
        <w:footnoteRef/>
      </w:r>
      <w:r>
        <w:t xml:space="preserve"> </w:t>
      </w:r>
      <w:r w:rsidRPr="00D53F6B">
        <w:rPr>
          <w:rFonts w:ascii="Arial Narrow" w:hAnsi="Arial Narrow"/>
          <w:b/>
        </w:rPr>
        <w:t>Informe de Seguimiento 1/2017</w:t>
      </w:r>
      <w:r w:rsidRPr="00D53F6B">
        <w:rPr>
          <w:rFonts w:ascii="Arial Narrow" w:hAnsi="Arial Narrow"/>
        </w:rPr>
        <w:t xml:space="preserve"> del Mecanismo Nacional de Prevención de la Tortura sobre los Centros de Tratamiento Interno para Adolescentes que Infringen las Leyes Penales que Dependen del Gobierno de la Ciudad de México.</w:t>
      </w:r>
    </w:p>
    <w:p w14:paraId="269854D5" w14:textId="77777777" w:rsidR="00885ED9" w:rsidRPr="00D53F6B" w:rsidRDefault="00885ED9" w:rsidP="00885ED9">
      <w:pPr>
        <w:pStyle w:val="FootnoteText"/>
        <w:jc w:val="both"/>
        <w:rPr>
          <w:rFonts w:ascii="Arial Narrow" w:hAnsi="Arial Narrow"/>
        </w:rPr>
      </w:pPr>
      <w:r w:rsidRPr="00D53F6B">
        <w:rPr>
          <w:rFonts w:ascii="Arial Narrow" w:hAnsi="Arial Narrow"/>
          <w:b/>
        </w:rPr>
        <w:t>Informe de seguimiento 2/2017</w:t>
      </w:r>
      <w:r w:rsidRPr="00D53F6B">
        <w:rPr>
          <w:rFonts w:ascii="Arial Narrow" w:hAnsi="Arial Narrow"/>
        </w:rPr>
        <w:t>, sobre los lugares de privación de libertad que dependen del Gobierno del Estado de Campeche</w:t>
      </w:r>
    </w:p>
    <w:p w14:paraId="3CFB3CA1" w14:textId="77777777" w:rsidR="00885ED9" w:rsidRPr="00D53F6B" w:rsidRDefault="00885ED9" w:rsidP="00885ED9">
      <w:pPr>
        <w:pStyle w:val="FootnoteText"/>
        <w:jc w:val="both"/>
        <w:rPr>
          <w:rFonts w:ascii="Arial Narrow" w:hAnsi="Arial Narrow"/>
        </w:rPr>
      </w:pPr>
      <w:r w:rsidRPr="00D53F6B">
        <w:rPr>
          <w:rFonts w:ascii="Arial Narrow" w:hAnsi="Arial Narrow"/>
          <w:b/>
        </w:rPr>
        <w:t>Informe de seguimiento 4/2017</w:t>
      </w:r>
      <w:r w:rsidRPr="00D53F6B">
        <w:rPr>
          <w:rFonts w:ascii="Arial Narrow" w:hAnsi="Arial Narrow"/>
        </w:rPr>
        <w:t xml:space="preserve"> del Mecanismo Nacional de Prevención de la Tortura sobre lugares de privación de la libertad que dependen del Gobierno y de la Fiscalía General del Estado de Tabasco</w:t>
      </w:r>
    </w:p>
    <w:p w14:paraId="0D51D0BF" w14:textId="77777777" w:rsidR="00885ED9" w:rsidRPr="00D53F6B" w:rsidRDefault="00885ED9" w:rsidP="00885ED9">
      <w:pPr>
        <w:pStyle w:val="FootnoteText"/>
        <w:jc w:val="both"/>
        <w:rPr>
          <w:rFonts w:ascii="Arial Narrow" w:hAnsi="Arial Narrow"/>
        </w:rPr>
      </w:pPr>
      <w:r w:rsidRPr="00D53F6B">
        <w:rPr>
          <w:rFonts w:ascii="Arial Narrow" w:hAnsi="Arial Narrow"/>
          <w:b/>
        </w:rPr>
        <w:t>Informe de seguimiento 1/2018</w:t>
      </w:r>
      <w:r w:rsidRPr="00D53F6B">
        <w:rPr>
          <w:rFonts w:ascii="Arial Narrow" w:hAnsi="Arial Narrow"/>
        </w:rPr>
        <w:t xml:space="preserve"> del Mecanismo Nacional de Prevención de la Tortura sobre lugares de privación de la libertad que dependen del Gobierno y de la Fiscalía General del Estado de Querétaro</w:t>
      </w:r>
    </w:p>
    <w:p w14:paraId="16C1E437" w14:textId="77777777" w:rsidR="00885ED9" w:rsidRPr="00D53F6B" w:rsidRDefault="00885ED9" w:rsidP="00885ED9">
      <w:pPr>
        <w:pStyle w:val="FootnoteText"/>
        <w:jc w:val="both"/>
        <w:rPr>
          <w:rFonts w:ascii="Arial Narrow" w:hAnsi="Arial Narrow"/>
        </w:rPr>
      </w:pPr>
      <w:r w:rsidRPr="00D53F6B">
        <w:rPr>
          <w:rFonts w:ascii="Arial Narrow" w:hAnsi="Arial Narrow"/>
          <w:b/>
        </w:rPr>
        <w:t>Informe de seguimiento 4/2018</w:t>
      </w:r>
      <w:r w:rsidRPr="00D53F6B">
        <w:rPr>
          <w:rFonts w:ascii="Arial Narrow" w:hAnsi="Arial Narrow"/>
        </w:rPr>
        <w:t xml:space="preserve"> del Mecanismo Nacional de Prevención de la Tortura sobre lugares de privación de la libertad que dependen del gobierno y Fiscalía del Estado de Jalisco</w:t>
      </w:r>
    </w:p>
    <w:p w14:paraId="275CC7A2" w14:textId="77777777" w:rsidR="00885ED9" w:rsidRPr="00D53F6B" w:rsidRDefault="00885ED9" w:rsidP="00885ED9">
      <w:pPr>
        <w:pStyle w:val="FootnoteText"/>
        <w:jc w:val="both"/>
        <w:rPr>
          <w:rFonts w:ascii="Arial Narrow" w:hAnsi="Arial Narrow"/>
        </w:rPr>
      </w:pPr>
      <w:r w:rsidRPr="00D53F6B">
        <w:rPr>
          <w:rFonts w:ascii="Arial Narrow" w:hAnsi="Arial Narrow"/>
          <w:b/>
        </w:rPr>
        <w:t>Informe de seguimiento 6/2018</w:t>
      </w:r>
      <w:r w:rsidRPr="00D53F6B">
        <w:rPr>
          <w:rFonts w:ascii="Arial Narrow" w:hAnsi="Arial Narrow"/>
        </w:rPr>
        <w:t xml:space="preserve"> del Mecanismo Nacional de Prevención de la Tortura, sobre el Centro de Internamiento para Adolescentes en Ensenada Baja California</w:t>
      </w:r>
    </w:p>
  </w:footnote>
  <w:footnote w:id="25">
    <w:p w14:paraId="667F19AA" w14:textId="77777777" w:rsidR="0080088D" w:rsidRDefault="0080088D" w:rsidP="0080088D">
      <w:pPr>
        <w:pStyle w:val="FootnoteText"/>
        <w:jc w:val="both"/>
      </w:pPr>
      <w:r w:rsidRPr="1AB4FDE4">
        <w:rPr>
          <w:rStyle w:val="FootnoteReference"/>
          <w:rFonts w:ascii="Arial Narrow" w:eastAsia="Arial Narrow" w:hAnsi="Arial Narrow" w:cs="Arial Narrow"/>
        </w:rPr>
        <w:footnoteRef/>
      </w:r>
      <w:r w:rsidRPr="1AB4FDE4">
        <w:rPr>
          <w:rFonts w:ascii="Arial Narrow" w:eastAsia="Arial Narrow" w:hAnsi="Arial Narrow" w:cs="Arial Narrow"/>
        </w:rPr>
        <w:t xml:space="preserve"> Informes de Supervisión: ISP-09/2020, ISP-13/2020, ISP-14/2020 y ISP-15/2020. Disponibles en: </w:t>
      </w:r>
      <w:hyperlink r:id="rId12" w:history="1">
        <w:r w:rsidRPr="1AB4FDE4">
          <w:rPr>
            <w:rStyle w:val="Hyperlink"/>
            <w:rFonts w:ascii="Arial Narrow" w:eastAsia="Arial Narrow" w:hAnsi="Arial Narrow" w:cs="Arial Narrow"/>
          </w:rPr>
          <w:t>https://www.cndh.org.mx/pagina/informes-de-supervision-MNPT?title=&amp;items_per_page=10&amp;page=0</w:t>
        </w:r>
      </w:hyperlink>
      <w:r w:rsidRPr="1AB4FDE4">
        <w:rPr>
          <w:rFonts w:ascii="Arial Narrow" w:eastAsia="Arial Narrow" w:hAnsi="Arial Narrow" w:cs="Arial Narrow"/>
        </w:rPr>
        <w:t xml:space="preserve"> </w:t>
      </w:r>
    </w:p>
  </w:footnote>
  <w:footnote w:id="26">
    <w:p w14:paraId="35087A3E" w14:textId="77777777" w:rsidR="0080088D" w:rsidRPr="00C5002C" w:rsidRDefault="0080088D" w:rsidP="0080088D">
      <w:pPr>
        <w:pStyle w:val="FootnoteText"/>
        <w:jc w:val="both"/>
        <w:rPr>
          <w:sz w:val="18"/>
          <w:szCs w:val="18"/>
        </w:rPr>
      </w:pPr>
      <w:r w:rsidRPr="1AB4FDE4">
        <w:rPr>
          <w:rStyle w:val="FootnoteReference"/>
          <w:rFonts w:ascii="Arial Narrow" w:eastAsia="Arial Narrow" w:hAnsi="Arial Narrow" w:cs="Arial Narrow"/>
        </w:rPr>
        <w:footnoteRef/>
      </w:r>
      <w:r w:rsidRPr="1AB4FDE4">
        <w:rPr>
          <w:rFonts w:ascii="Arial Narrow" w:eastAsia="Arial Narrow" w:hAnsi="Arial Narrow" w:cs="Arial Narrow"/>
        </w:rPr>
        <w:t xml:space="preserve"> Disponible en: </w:t>
      </w:r>
      <w:hyperlink r:id="rId13" w:history="1">
        <w:r w:rsidRPr="1AB4FDE4">
          <w:rPr>
            <w:rStyle w:val="Hyperlink"/>
            <w:rFonts w:ascii="Arial Narrow" w:eastAsia="Arial Narrow" w:hAnsi="Arial Narrow" w:cs="Arial Narrow"/>
          </w:rPr>
          <w:t>https://oacnudh.hn/recomendaciones-del-subcomite-de-prevencion-de-la-tortura-a-los-estados-partes-y-mecanismos-nacionales-de-prevencion-relacionados-con-la-pandemia-de-coronavirus-adoptado-el-25-de-marzo-de-2020/</w:t>
        </w:r>
      </w:hyperlink>
      <w:r w:rsidRPr="1AB4FDE4">
        <w:rPr>
          <w:rFonts w:ascii="Arial Narrow" w:eastAsia="Arial Narrow" w:hAnsi="Arial Narrow" w:cs="Arial Narrow"/>
        </w:rPr>
        <w:t xml:space="preserve"> </w:t>
      </w:r>
    </w:p>
  </w:footnote>
  <w:footnote w:id="27">
    <w:p w14:paraId="214678D6" w14:textId="77777777" w:rsidR="0080088D" w:rsidRPr="001A3FD0" w:rsidRDefault="0080088D" w:rsidP="0080088D">
      <w:pPr>
        <w:pStyle w:val="FootnoteText"/>
        <w:jc w:val="both"/>
        <w:rPr>
          <w:sz w:val="18"/>
          <w:szCs w:val="18"/>
        </w:rPr>
      </w:pPr>
      <w:r w:rsidRPr="1AB4FDE4">
        <w:rPr>
          <w:rStyle w:val="FootnoteReference"/>
          <w:rFonts w:ascii="Arial Narrow" w:eastAsia="Arial Narrow" w:hAnsi="Arial Narrow" w:cs="Arial Narrow"/>
        </w:rPr>
        <w:footnoteRef/>
      </w:r>
      <w:r w:rsidRPr="1AB4FDE4">
        <w:rPr>
          <w:rFonts w:ascii="Arial Narrow" w:eastAsia="Arial Narrow" w:hAnsi="Arial Narrow" w:cs="Arial Narrow"/>
        </w:rPr>
        <w:t xml:space="preserve"> Comisión Nacional de los Derechos Humanos, 18 de octubre de 2019. Disponible en: </w:t>
      </w:r>
      <w:hyperlink r:id="rId14" w:history="1">
        <w:r w:rsidRPr="1AB4FDE4">
          <w:rPr>
            <w:rStyle w:val="Hyperlink"/>
            <w:rFonts w:ascii="Arial Narrow" w:eastAsia="Arial Narrow" w:hAnsi="Arial Narrow" w:cs="Arial Narrow"/>
          </w:rPr>
          <w:t>https://www.cndh.org.mx/sites/default/files/documentos/2019-11/3_2019.pdf</w:t>
        </w:r>
      </w:hyperlink>
      <w:r w:rsidRPr="1AB4FDE4">
        <w:rPr>
          <w:rFonts w:ascii="Arial Narrow" w:eastAsia="Arial Narrow" w:hAnsi="Arial Narrow" w:cs="Arial Narrow"/>
        </w:rPr>
        <w:t xml:space="preserve"> </w:t>
      </w:r>
    </w:p>
  </w:footnote>
  <w:footnote w:id="28">
    <w:p w14:paraId="27967B31" w14:textId="77777777" w:rsidR="0080088D" w:rsidRPr="00E52B5E" w:rsidRDefault="0080088D" w:rsidP="0080088D">
      <w:pPr>
        <w:pStyle w:val="FootnoteText"/>
        <w:jc w:val="both"/>
      </w:pPr>
      <w:r w:rsidRPr="1AB4FDE4">
        <w:rPr>
          <w:rStyle w:val="FootnoteReference"/>
          <w:rFonts w:ascii="Arial Narrow" w:eastAsia="Arial Narrow" w:hAnsi="Arial Narrow" w:cs="Arial Narrow"/>
        </w:rPr>
        <w:footnoteRef/>
      </w:r>
      <w:r w:rsidRPr="1AB4FDE4">
        <w:rPr>
          <w:rFonts w:ascii="Arial Narrow" w:eastAsia="Arial Narrow" w:hAnsi="Arial Narrow" w:cs="Arial Narrow"/>
        </w:rPr>
        <w:t xml:space="preserve"> De acuerdo con lo establecido en los artículos 29 y 30 del Reglamento del MNPT: “Todo el personal del Mecanismo Nacional de Prevención deberá integrarse por personas expertas con formación profesional en las diversas disciplinas que conforman la protección de los derechos humanos (…)”. “Dentro del personal profesional deberán incluirse preferentemente a quienes pertenezcan a las áreas de medicina, psicología, sociología, criminología y derecho”.</w:t>
      </w:r>
    </w:p>
  </w:footnote>
  <w:footnote w:id="29">
    <w:p w14:paraId="5300CB49" w14:textId="77777777" w:rsidR="0080088D" w:rsidRPr="00E53F97" w:rsidRDefault="0080088D" w:rsidP="0080088D">
      <w:pPr>
        <w:pStyle w:val="FootnoteText"/>
        <w:jc w:val="both"/>
      </w:pPr>
      <w:r w:rsidRPr="1AB4FDE4">
        <w:rPr>
          <w:rStyle w:val="FootnoteReference"/>
          <w:rFonts w:ascii="Arial Narrow" w:eastAsia="Arial Narrow" w:hAnsi="Arial Narrow" w:cs="Arial Narrow"/>
        </w:rPr>
        <w:footnoteRef/>
      </w:r>
      <w:r w:rsidRPr="1AB4FDE4">
        <w:rPr>
          <w:rFonts w:ascii="Arial Narrow" w:eastAsia="Arial Narrow" w:hAnsi="Arial Narrow" w:cs="Arial Narrow"/>
        </w:rPr>
        <w:t xml:space="preserve"> Artículo 81, fracción II de la Ley General para Prevenir, Investigar y Sancionar la Tortura y Otros Tratos o Penas Crueles, Inhumanos o Degradantes, en el 43 del Reglamento del Mecanismo Nacional de Prevención de la Tortura, y en los numerales III.3.4, III.4.2, III.5.1, III.5.2 y III.5.3, de los Lineamientos Generales Relativos a las Modalidades y Procedimientos que deberán seguirse durante las visitas a los lugares de Privación de la Libertad y elaboración de Informes.</w:t>
      </w:r>
    </w:p>
  </w:footnote>
  <w:footnote w:id="30">
    <w:p w14:paraId="60838A1B" w14:textId="77777777" w:rsidR="0080088D" w:rsidRPr="009E423E" w:rsidRDefault="0080088D" w:rsidP="0080088D">
      <w:pPr>
        <w:spacing w:line="260" w:lineRule="exact"/>
        <w:jc w:val="both"/>
        <w:rPr>
          <w:sz w:val="20"/>
          <w:szCs w:val="20"/>
        </w:rPr>
      </w:pPr>
      <w:r w:rsidRPr="1AB4FDE4">
        <w:rPr>
          <w:rStyle w:val="FootnoteReference"/>
          <w:rFonts w:ascii="Arial Narrow" w:eastAsia="Arial Narrow" w:hAnsi="Arial Narrow" w:cs="Arial Narrow"/>
          <w:sz w:val="20"/>
          <w:szCs w:val="20"/>
        </w:rPr>
        <w:footnoteRef/>
      </w:r>
      <w:r w:rsidRPr="1AB4FDE4">
        <w:rPr>
          <w:rFonts w:ascii="Arial Narrow" w:eastAsia="Arial Narrow" w:hAnsi="Arial Narrow" w:cs="Arial Narrow"/>
          <w:sz w:val="20"/>
          <w:szCs w:val="20"/>
        </w:rPr>
        <w:t xml:space="preserve"> Se toman en cuenta las situaciones que fueron atendidas, las que presentaron avance en su cumplimiento y las que no fueron atendidas, instando a las autoridades que hayan sido recomendadas a satisfacer plenamente su cumplimiento.</w:t>
      </w:r>
    </w:p>
    <w:p w14:paraId="31561ECD" w14:textId="77777777" w:rsidR="0080088D" w:rsidRPr="00E53F97" w:rsidRDefault="0080088D" w:rsidP="0080088D">
      <w:pPr>
        <w:pStyle w:val="FootnoteText"/>
      </w:pPr>
    </w:p>
  </w:footnote>
  <w:footnote w:id="31">
    <w:p w14:paraId="31AFECA4" w14:textId="77777777" w:rsidR="00DD6683" w:rsidRPr="00612A55" w:rsidRDefault="00DD6683" w:rsidP="00DD6683">
      <w:pPr>
        <w:pStyle w:val="FootnoteText"/>
        <w:rPr>
          <w:rFonts w:ascii="Arial" w:hAnsi="Arial" w:cs="Arial"/>
          <w:sz w:val="16"/>
          <w:szCs w:val="16"/>
        </w:rPr>
      </w:pPr>
    </w:p>
  </w:footnote>
  <w:footnote w:id="32">
    <w:p w14:paraId="576C7576" w14:textId="77777777" w:rsidR="00F475D4" w:rsidRPr="004A38A5" w:rsidRDefault="00F475D4" w:rsidP="00F475D4">
      <w:pPr>
        <w:pStyle w:val="FootnoteText"/>
        <w:jc w:val="both"/>
        <w:rPr>
          <w:sz w:val="18"/>
          <w:szCs w:val="18"/>
        </w:rPr>
      </w:pPr>
      <w:r>
        <w:rPr>
          <w:rStyle w:val="FootnoteReference"/>
        </w:rPr>
        <w:footnoteRef/>
      </w:r>
      <w:r>
        <w:t xml:space="preserve"> </w:t>
      </w:r>
      <w:r w:rsidRPr="004A38A5">
        <w:rPr>
          <w:rFonts w:ascii="Arial" w:hAnsi="Arial" w:cs="Arial"/>
          <w:sz w:val="18"/>
          <w:szCs w:val="18"/>
        </w:rPr>
        <w:t>SESNSP, Información sobre violencia contra las mujeres. Incidencia delictiva y llamadas de emergencia 9-1-1, Centro Nacional de Información, Secretariado Ejecutivo del Sistema Nacional de Seguridad Pública, México, 2021. Información actualizada al 30 de noviembre de 2021, disponible en: https://drive.google.com/file/d/1-AqE7zgLlRJH2q0FzvP5Q8q7ZJlYoRtj/view Fecha de consulta 04 de enero de 2022.</w:t>
      </w:r>
    </w:p>
  </w:footnote>
  <w:footnote w:id="33">
    <w:p w14:paraId="76E31F35" w14:textId="77777777" w:rsidR="00F475D4" w:rsidRPr="004A38A5" w:rsidRDefault="00F475D4" w:rsidP="00F475D4">
      <w:pPr>
        <w:pStyle w:val="FootnoteText"/>
        <w:jc w:val="both"/>
        <w:rPr>
          <w:rFonts w:ascii="Arial" w:hAnsi="Arial" w:cs="Arial"/>
          <w:sz w:val="18"/>
          <w:szCs w:val="18"/>
        </w:rPr>
      </w:pPr>
      <w:r w:rsidRPr="004A38A5">
        <w:rPr>
          <w:rStyle w:val="FootnoteReference"/>
          <w:rFonts w:ascii="Arial" w:hAnsi="Arial" w:cs="Arial"/>
          <w:sz w:val="18"/>
          <w:szCs w:val="18"/>
        </w:rPr>
        <w:footnoteRef/>
      </w:r>
      <w:r w:rsidRPr="004A38A5">
        <w:rPr>
          <w:rFonts w:ascii="Arial" w:hAnsi="Arial" w:cs="Arial"/>
          <w:sz w:val="18"/>
          <w:szCs w:val="18"/>
        </w:rPr>
        <w:t xml:space="preserve"> Política Nacional de Igualdad entre Mujeres y Hombres.</w:t>
      </w:r>
    </w:p>
  </w:footnote>
  <w:footnote w:id="34">
    <w:p w14:paraId="02313150" w14:textId="77777777" w:rsidR="00F475D4" w:rsidRPr="0006709B" w:rsidRDefault="00F475D4" w:rsidP="00F475D4">
      <w:pPr>
        <w:pStyle w:val="FootnoteText"/>
        <w:jc w:val="both"/>
        <w:rPr>
          <w:rStyle w:val="SubtitleChar"/>
          <w:rFonts w:ascii="Arial" w:hAnsi="Arial" w:cs="Arial"/>
          <w:sz w:val="18"/>
          <w:szCs w:val="18"/>
        </w:rPr>
      </w:pPr>
      <w:r w:rsidRPr="0006709B">
        <w:rPr>
          <w:rStyle w:val="FootnoteReference"/>
          <w:rFonts w:ascii="Arial" w:hAnsi="Arial" w:cs="Arial"/>
          <w:sz w:val="18"/>
          <w:szCs w:val="18"/>
        </w:rPr>
        <w:footnoteRef/>
      </w:r>
      <w:r w:rsidRPr="0006709B">
        <w:rPr>
          <w:rFonts w:ascii="Arial" w:hAnsi="Arial" w:cs="Arial"/>
          <w:sz w:val="18"/>
          <w:szCs w:val="18"/>
        </w:rPr>
        <w:t xml:space="preserve"> </w:t>
      </w:r>
      <w:r w:rsidRPr="0006709B">
        <w:rPr>
          <w:rStyle w:val="SubtitleChar"/>
          <w:rFonts w:ascii="Arial" w:hAnsi="Arial" w:cs="Arial"/>
          <w:sz w:val="18"/>
          <w:szCs w:val="18"/>
        </w:rPr>
        <w:t>El artículo 22 de la Ley General de Acceso de las Mujeres a una Vida Libre de Violencia especifica que la Alerta de Violencia de Género es el conjunto de acciones gubernamentales de emergencia para enfrentar y erradicar la violencia feminicida en un territorio determinado, ya sea ejercida por individuos o por la propia comunidad.</w:t>
      </w:r>
    </w:p>
  </w:footnote>
  <w:footnote w:id="35">
    <w:p w14:paraId="343D83AF" w14:textId="77777777" w:rsidR="00F475D4" w:rsidRDefault="00F475D4" w:rsidP="00F475D4">
      <w:pPr>
        <w:pStyle w:val="FootnoteText"/>
      </w:pPr>
      <w:r>
        <w:rPr>
          <w:rStyle w:val="FootnoteReference"/>
        </w:rPr>
        <w:footnoteRef/>
      </w:r>
      <w:r>
        <w:t xml:space="preserve"> </w:t>
      </w:r>
      <w:r w:rsidRPr="006A7D85">
        <w:rPr>
          <w:rFonts w:ascii="Arial" w:hAnsi="Arial" w:cs="Arial"/>
          <w:sz w:val="18"/>
          <w:szCs w:val="18"/>
        </w:rPr>
        <w:t>En diez procedimientos de solicitud de AVGM se determinó no emitir la declaratoria: Baja California, Guanajuato, Querétaro, Puebla, Tabasco, Tlaxcala, Sonora, Yucatán, Coahuila y Ciudad de México. Para más información consúltese</w:t>
      </w:r>
      <w:r>
        <w:rPr>
          <w:rFonts w:ascii="Arial" w:hAnsi="Arial" w:cs="Arial"/>
          <w:sz w:val="18"/>
          <w:szCs w:val="18"/>
        </w:rPr>
        <w:t>:</w:t>
      </w:r>
      <w:r w:rsidRPr="006A7D85">
        <w:rPr>
          <w:rFonts w:ascii="Arial" w:hAnsi="Arial" w:cs="Arial"/>
          <w:sz w:val="18"/>
          <w:szCs w:val="18"/>
        </w:rPr>
        <w:t xml:space="preserve"> CNDH, </w:t>
      </w:r>
      <w:r w:rsidRPr="006A7D85">
        <w:rPr>
          <w:rFonts w:ascii="Arial" w:hAnsi="Arial" w:cs="Arial"/>
          <w:i/>
          <w:iCs/>
          <w:sz w:val="18"/>
          <w:szCs w:val="18"/>
        </w:rPr>
        <w:t>Reporte de análisis de los procedimientos de Alerta de Violencia de Género contra las Mujeres (AVGM), Tercer trimestre 2021</w:t>
      </w:r>
      <w:r w:rsidRPr="006A7D85">
        <w:rPr>
          <w:rFonts w:ascii="Arial" w:hAnsi="Arial" w:cs="Arial"/>
          <w:sz w:val="18"/>
          <w:szCs w:val="18"/>
        </w:rPr>
        <w:t>. México, Comisión Nacional de los Derechos Humanos, 2021, pp. 10-11. Disponible en: https://igualdaddegenero.cndh.org.mx/Content/doc/Publicaciones/3er_Reporte_AVGM_2021.pdf Fecha de consulta 13 de enero de 2022</w:t>
      </w:r>
    </w:p>
  </w:footnote>
  <w:footnote w:id="36">
    <w:p w14:paraId="36F19E34" w14:textId="77777777" w:rsidR="00F475D4" w:rsidRDefault="00F475D4" w:rsidP="00F475D4">
      <w:pPr>
        <w:pStyle w:val="FootnoteText"/>
      </w:pPr>
      <w:r>
        <w:rPr>
          <w:rStyle w:val="FootnoteReference"/>
        </w:rPr>
        <w:footnoteRef/>
      </w:r>
      <w:r>
        <w:t xml:space="preserve"> </w:t>
      </w:r>
      <w:r w:rsidRPr="006A7D85">
        <w:rPr>
          <w:rStyle w:val="SubtitleChar"/>
          <w:rFonts w:ascii="Arial" w:hAnsi="Arial" w:cs="Arial"/>
          <w:sz w:val="18"/>
          <w:szCs w:val="18"/>
        </w:rPr>
        <w:t xml:space="preserve">CNDH, </w:t>
      </w:r>
      <w:r w:rsidRPr="006A7D85">
        <w:rPr>
          <w:rStyle w:val="SubtitleChar"/>
          <w:rFonts w:ascii="Arial" w:hAnsi="Arial" w:cs="Arial"/>
          <w:i/>
          <w:iCs/>
          <w:sz w:val="18"/>
          <w:szCs w:val="18"/>
        </w:rPr>
        <w:t>Reporte de análisis de los procedimientos</w:t>
      </w:r>
      <w:r>
        <w:rPr>
          <w:rStyle w:val="SubtitleChar"/>
          <w:rFonts w:ascii="Arial" w:hAnsi="Arial" w:cs="Arial"/>
          <w:i/>
          <w:iCs/>
          <w:sz w:val="18"/>
          <w:szCs w:val="18"/>
        </w:rPr>
        <w:t>,</w:t>
      </w:r>
      <w:r w:rsidRPr="006A7D85">
        <w:rPr>
          <w:rStyle w:val="SubtitleChar"/>
          <w:rFonts w:ascii="Arial" w:hAnsi="Arial" w:cs="Arial"/>
          <w:i/>
          <w:iCs/>
          <w:sz w:val="18"/>
          <w:szCs w:val="18"/>
        </w:rPr>
        <w:t xml:space="preserve"> op. cit. </w:t>
      </w:r>
      <w:r w:rsidRPr="006A7D85">
        <w:rPr>
          <w:rStyle w:val="SubtitleChar"/>
          <w:rFonts w:ascii="Arial" w:hAnsi="Arial" w:cs="Arial"/>
          <w:sz w:val="18"/>
          <w:szCs w:val="18"/>
        </w:rPr>
        <w:t>pp. 10-11.</w:t>
      </w:r>
    </w:p>
  </w:footnote>
  <w:footnote w:id="37">
    <w:p w14:paraId="6E4F0243" w14:textId="77777777" w:rsidR="00F475D4" w:rsidRPr="006A7D85" w:rsidRDefault="00F475D4" w:rsidP="00F475D4">
      <w:pPr>
        <w:pStyle w:val="FootnoteText"/>
        <w:rPr>
          <w:sz w:val="18"/>
          <w:szCs w:val="18"/>
        </w:rPr>
      </w:pPr>
      <w:r w:rsidRPr="006A7D85">
        <w:rPr>
          <w:rStyle w:val="FootnoteReference"/>
          <w:rFonts w:ascii="Arial" w:hAnsi="Arial" w:cs="Arial"/>
          <w:sz w:val="18"/>
          <w:szCs w:val="18"/>
        </w:rPr>
        <w:footnoteRef/>
      </w:r>
      <w:r w:rsidRPr="006A7D85">
        <w:rPr>
          <w:rFonts w:ascii="Arial" w:hAnsi="Arial" w:cs="Arial"/>
          <w:sz w:val="18"/>
          <w:szCs w:val="18"/>
        </w:rPr>
        <w:t xml:space="preserve"> Comisión Nacional para Prevenir y Erradicar la Violencia contra las Mujeres.</w:t>
      </w:r>
      <w:r w:rsidRPr="006A7D85">
        <w:rPr>
          <w:sz w:val="18"/>
          <w:szCs w:val="18"/>
        </w:rPr>
        <w:t xml:space="preserve"> </w:t>
      </w:r>
    </w:p>
  </w:footnote>
  <w:footnote w:id="38">
    <w:p w14:paraId="4516266C" w14:textId="77777777" w:rsidR="00DD6683" w:rsidRDefault="00DD6683" w:rsidP="00DD6683">
      <w:pPr>
        <w:pStyle w:val="FootnoteText"/>
      </w:pPr>
      <w:r>
        <w:rPr>
          <w:rStyle w:val="FootnoteReference"/>
        </w:rPr>
        <w:footnoteRef/>
      </w:r>
      <w:r>
        <w:t xml:space="preserve"> Localizables en el apartado “Comunicados de Prensa”, de la sección del rubro “Difusión y Divulgación, de la página institucional de la Comisión Nacional de los Derechos Humanos. </w:t>
      </w:r>
      <w:hyperlink r:id="rId15" w:history="1">
        <w:r w:rsidRPr="005F50ED">
          <w:rPr>
            <w:rStyle w:val="Hipervnculo1"/>
          </w:rPr>
          <w:t>https://www.cndh.org.mx/lista-de-comunicados</w:t>
        </w:r>
      </w:hyperlink>
      <w: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73866"/>
    <w:multiLevelType w:val="hybridMultilevel"/>
    <w:tmpl w:val="0DB63E56"/>
    <w:lvl w:ilvl="0" w:tplc="79F63F26">
      <w:start w:val="1"/>
      <w:numFmt w:val="upp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 w15:restartNumberingAfterBreak="0">
    <w:nsid w:val="037312DD"/>
    <w:multiLevelType w:val="hybridMultilevel"/>
    <w:tmpl w:val="CB0ACDF8"/>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4BB17CF"/>
    <w:multiLevelType w:val="hybridMultilevel"/>
    <w:tmpl w:val="430A592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067447A3"/>
    <w:multiLevelType w:val="hybridMultilevel"/>
    <w:tmpl w:val="0420AA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079A48D5"/>
    <w:multiLevelType w:val="hybridMultilevel"/>
    <w:tmpl w:val="6072643A"/>
    <w:lvl w:ilvl="0" w:tplc="765AFCB2">
      <w:start w:val="1"/>
      <w:numFmt w:val="bullet"/>
      <w:lvlText w:val=""/>
      <w:lvlJc w:val="left"/>
      <w:pPr>
        <w:ind w:left="720" w:hanging="360"/>
      </w:pPr>
      <w:rPr>
        <w:rFonts w:ascii="Wingdings" w:hAnsi="Wingdings" w:hint="default"/>
        <w:b/>
        <w:bCs/>
        <w:color w:val="1F3864" w:themeColor="accent1" w:themeShade="80"/>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08666BD4"/>
    <w:multiLevelType w:val="hybridMultilevel"/>
    <w:tmpl w:val="E74CCCC0"/>
    <w:lvl w:ilvl="0" w:tplc="080A0001">
      <w:start w:val="1"/>
      <w:numFmt w:val="bullet"/>
      <w:lvlText w:val=""/>
      <w:lvlJc w:val="left"/>
      <w:pPr>
        <w:ind w:left="1145" w:hanging="360"/>
      </w:pPr>
      <w:rPr>
        <w:rFonts w:ascii="Symbol" w:hAnsi="Symbol" w:hint="default"/>
      </w:rPr>
    </w:lvl>
    <w:lvl w:ilvl="1" w:tplc="080A0003" w:tentative="1">
      <w:start w:val="1"/>
      <w:numFmt w:val="bullet"/>
      <w:lvlText w:val="o"/>
      <w:lvlJc w:val="left"/>
      <w:pPr>
        <w:ind w:left="1865" w:hanging="360"/>
      </w:pPr>
      <w:rPr>
        <w:rFonts w:ascii="Courier New" w:hAnsi="Courier New" w:cs="Courier New" w:hint="default"/>
      </w:rPr>
    </w:lvl>
    <w:lvl w:ilvl="2" w:tplc="080A0005" w:tentative="1">
      <w:start w:val="1"/>
      <w:numFmt w:val="bullet"/>
      <w:lvlText w:val=""/>
      <w:lvlJc w:val="left"/>
      <w:pPr>
        <w:ind w:left="2585" w:hanging="360"/>
      </w:pPr>
      <w:rPr>
        <w:rFonts w:ascii="Wingdings" w:hAnsi="Wingdings" w:hint="default"/>
      </w:rPr>
    </w:lvl>
    <w:lvl w:ilvl="3" w:tplc="080A0001" w:tentative="1">
      <w:start w:val="1"/>
      <w:numFmt w:val="bullet"/>
      <w:lvlText w:val=""/>
      <w:lvlJc w:val="left"/>
      <w:pPr>
        <w:ind w:left="3305" w:hanging="360"/>
      </w:pPr>
      <w:rPr>
        <w:rFonts w:ascii="Symbol" w:hAnsi="Symbol" w:hint="default"/>
      </w:rPr>
    </w:lvl>
    <w:lvl w:ilvl="4" w:tplc="080A0003" w:tentative="1">
      <w:start w:val="1"/>
      <w:numFmt w:val="bullet"/>
      <w:lvlText w:val="o"/>
      <w:lvlJc w:val="left"/>
      <w:pPr>
        <w:ind w:left="4025" w:hanging="360"/>
      </w:pPr>
      <w:rPr>
        <w:rFonts w:ascii="Courier New" w:hAnsi="Courier New" w:cs="Courier New" w:hint="default"/>
      </w:rPr>
    </w:lvl>
    <w:lvl w:ilvl="5" w:tplc="080A0005" w:tentative="1">
      <w:start w:val="1"/>
      <w:numFmt w:val="bullet"/>
      <w:lvlText w:val=""/>
      <w:lvlJc w:val="left"/>
      <w:pPr>
        <w:ind w:left="4745" w:hanging="360"/>
      </w:pPr>
      <w:rPr>
        <w:rFonts w:ascii="Wingdings" w:hAnsi="Wingdings" w:hint="default"/>
      </w:rPr>
    </w:lvl>
    <w:lvl w:ilvl="6" w:tplc="080A0001" w:tentative="1">
      <w:start w:val="1"/>
      <w:numFmt w:val="bullet"/>
      <w:lvlText w:val=""/>
      <w:lvlJc w:val="left"/>
      <w:pPr>
        <w:ind w:left="5465" w:hanging="360"/>
      </w:pPr>
      <w:rPr>
        <w:rFonts w:ascii="Symbol" w:hAnsi="Symbol" w:hint="default"/>
      </w:rPr>
    </w:lvl>
    <w:lvl w:ilvl="7" w:tplc="080A0003" w:tentative="1">
      <w:start w:val="1"/>
      <w:numFmt w:val="bullet"/>
      <w:lvlText w:val="o"/>
      <w:lvlJc w:val="left"/>
      <w:pPr>
        <w:ind w:left="6185" w:hanging="360"/>
      </w:pPr>
      <w:rPr>
        <w:rFonts w:ascii="Courier New" w:hAnsi="Courier New" w:cs="Courier New" w:hint="default"/>
      </w:rPr>
    </w:lvl>
    <w:lvl w:ilvl="8" w:tplc="080A0005" w:tentative="1">
      <w:start w:val="1"/>
      <w:numFmt w:val="bullet"/>
      <w:lvlText w:val=""/>
      <w:lvlJc w:val="left"/>
      <w:pPr>
        <w:ind w:left="6905" w:hanging="360"/>
      </w:pPr>
      <w:rPr>
        <w:rFonts w:ascii="Wingdings" w:hAnsi="Wingdings" w:hint="default"/>
      </w:rPr>
    </w:lvl>
  </w:abstractNum>
  <w:abstractNum w:abstractNumId="6" w15:restartNumberingAfterBreak="0">
    <w:nsid w:val="0D3D0700"/>
    <w:multiLevelType w:val="hybridMultilevel"/>
    <w:tmpl w:val="576AD06A"/>
    <w:lvl w:ilvl="0" w:tplc="1C94AD58">
      <w:start w:val="1"/>
      <w:numFmt w:val="bullet"/>
      <w:lvlText w:val=""/>
      <w:lvlJc w:val="left"/>
      <w:pPr>
        <w:ind w:left="720" w:hanging="360"/>
      </w:pPr>
      <w:rPr>
        <w:rFonts w:ascii="Wingdings" w:hAnsi="Wingdings" w:hint="default"/>
        <w:color w:val="1F3864" w:themeColor="accent1" w:themeShade="80"/>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0D936B3B"/>
    <w:multiLevelType w:val="hybridMultilevel"/>
    <w:tmpl w:val="22BCE0BC"/>
    <w:lvl w:ilvl="0" w:tplc="1F94D018">
      <w:start w:val="1"/>
      <w:numFmt w:val="bullet"/>
      <w:lvlText w:val=""/>
      <w:lvlJc w:val="left"/>
      <w:pPr>
        <w:ind w:left="720" w:hanging="360"/>
      </w:pPr>
      <w:rPr>
        <w:rFonts w:ascii="Wingdings" w:hAnsi="Wingdings" w:hint="default"/>
        <w:b/>
        <w:bCs/>
        <w:color w:val="1F3864" w:themeColor="accent1" w:themeShade="80"/>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3F43750"/>
    <w:multiLevelType w:val="hybridMultilevel"/>
    <w:tmpl w:val="678287F6"/>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14263B79"/>
    <w:multiLevelType w:val="hybridMultilevel"/>
    <w:tmpl w:val="812603A4"/>
    <w:lvl w:ilvl="0" w:tplc="FD462108">
      <w:start w:val="1"/>
      <w:numFmt w:val="bullet"/>
      <w:lvlText w:val=""/>
      <w:lvlJc w:val="left"/>
      <w:pPr>
        <w:ind w:left="720" w:hanging="360"/>
      </w:pPr>
      <w:rPr>
        <w:rFonts w:ascii="Wingdings" w:hAnsi="Wingdings" w:hint="default"/>
        <w:b/>
        <w:bCs/>
        <w:color w:val="1F3864" w:themeColor="accent1" w:themeShade="80"/>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1831489D"/>
    <w:multiLevelType w:val="hybridMultilevel"/>
    <w:tmpl w:val="D1C0651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1BC878AF"/>
    <w:multiLevelType w:val="hybridMultilevel"/>
    <w:tmpl w:val="3B6E4D86"/>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1C7863AA"/>
    <w:multiLevelType w:val="hybridMultilevel"/>
    <w:tmpl w:val="5E3218A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1003EB5"/>
    <w:multiLevelType w:val="hybridMultilevel"/>
    <w:tmpl w:val="1EBED362"/>
    <w:lvl w:ilvl="0" w:tplc="F2C61798">
      <w:start w:val="1"/>
      <w:numFmt w:val="bullet"/>
      <w:lvlText w:val=""/>
      <w:lvlJc w:val="left"/>
      <w:pPr>
        <w:ind w:left="720" w:hanging="360"/>
      </w:pPr>
      <w:rPr>
        <w:rFonts w:ascii="Wingdings" w:hAnsi="Wingdings" w:hint="default"/>
        <w:b/>
        <w:bCs w:val="0"/>
        <w:color w:val="1F3864" w:themeColor="accent1" w:themeShade="80"/>
        <w:sz w:val="22"/>
        <w:szCs w:val="22"/>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21225D67"/>
    <w:multiLevelType w:val="hybridMultilevel"/>
    <w:tmpl w:val="E012C444"/>
    <w:lvl w:ilvl="0" w:tplc="FFFFFFFF">
      <w:start w:val="1"/>
      <w:numFmt w:val="lowerLetter"/>
      <w:lvlText w:val="%1)"/>
      <w:lvlJc w:val="left"/>
      <w:pPr>
        <w:ind w:left="498" w:hanging="254"/>
        <w:jc w:val="right"/>
      </w:pPr>
      <w:rPr>
        <w:rFonts w:ascii="Arial MT" w:eastAsia="Arial MT" w:hAnsi="Arial MT" w:cs="Arial MT" w:hint="default"/>
        <w:spacing w:val="-1"/>
        <w:w w:val="100"/>
        <w:sz w:val="22"/>
        <w:szCs w:val="22"/>
        <w:lang w:val="es-ES" w:eastAsia="en-US" w:bidi="ar-SA"/>
      </w:rPr>
    </w:lvl>
    <w:lvl w:ilvl="1" w:tplc="FFFFFFFF">
      <w:numFmt w:val="bullet"/>
      <w:lvlText w:val="•"/>
      <w:lvlJc w:val="left"/>
      <w:pPr>
        <w:ind w:left="1382" w:hanging="254"/>
      </w:pPr>
      <w:rPr>
        <w:rFonts w:hint="default"/>
        <w:lang w:val="es-ES" w:eastAsia="en-US" w:bidi="ar-SA"/>
      </w:rPr>
    </w:lvl>
    <w:lvl w:ilvl="2" w:tplc="FFFFFFFF">
      <w:numFmt w:val="bullet"/>
      <w:lvlText w:val="•"/>
      <w:lvlJc w:val="left"/>
      <w:pPr>
        <w:ind w:left="2264" w:hanging="254"/>
      </w:pPr>
      <w:rPr>
        <w:rFonts w:hint="default"/>
        <w:lang w:val="es-ES" w:eastAsia="en-US" w:bidi="ar-SA"/>
      </w:rPr>
    </w:lvl>
    <w:lvl w:ilvl="3" w:tplc="FFFFFFFF">
      <w:numFmt w:val="bullet"/>
      <w:lvlText w:val="•"/>
      <w:lvlJc w:val="left"/>
      <w:pPr>
        <w:ind w:left="3146" w:hanging="254"/>
      </w:pPr>
      <w:rPr>
        <w:rFonts w:hint="default"/>
        <w:lang w:val="es-ES" w:eastAsia="en-US" w:bidi="ar-SA"/>
      </w:rPr>
    </w:lvl>
    <w:lvl w:ilvl="4" w:tplc="FFFFFFFF">
      <w:numFmt w:val="bullet"/>
      <w:lvlText w:val="•"/>
      <w:lvlJc w:val="left"/>
      <w:pPr>
        <w:ind w:left="4028" w:hanging="254"/>
      </w:pPr>
      <w:rPr>
        <w:rFonts w:hint="default"/>
        <w:lang w:val="es-ES" w:eastAsia="en-US" w:bidi="ar-SA"/>
      </w:rPr>
    </w:lvl>
    <w:lvl w:ilvl="5" w:tplc="FFFFFFFF">
      <w:numFmt w:val="bullet"/>
      <w:lvlText w:val="•"/>
      <w:lvlJc w:val="left"/>
      <w:pPr>
        <w:ind w:left="4910" w:hanging="254"/>
      </w:pPr>
      <w:rPr>
        <w:rFonts w:hint="default"/>
        <w:lang w:val="es-ES" w:eastAsia="en-US" w:bidi="ar-SA"/>
      </w:rPr>
    </w:lvl>
    <w:lvl w:ilvl="6" w:tplc="FFFFFFFF">
      <w:numFmt w:val="bullet"/>
      <w:lvlText w:val="•"/>
      <w:lvlJc w:val="left"/>
      <w:pPr>
        <w:ind w:left="5792" w:hanging="254"/>
      </w:pPr>
      <w:rPr>
        <w:rFonts w:hint="default"/>
        <w:lang w:val="es-ES" w:eastAsia="en-US" w:bidi="ar-SA"/>
      </w:rPr>
    </w:lvl>
    <w:lvl w:ilvl="7" w:tplc="FFFFFFFF">
      <w:numFmt w:val="bullet"/>
      <w:lvlText w:val="•"/>
      <w:lvlJc w:val="left"/>
      <w:pPr>
        <w:ind w:left="6674" w:hanging="254"/>
      </w:pPr>
      <w:rPr>
        <w:rFonts w:hint="default"/>
        <w:lang w:val="es-ES" w:eastAsia="en-US" w:bidi="ar-SA"/>
      </w:rPr>
    </w:lvl>
    <w:lvl w:ilvl="8" w:tplc="FFFFFFFF">
      <w:numFmt w:val="bullet"/>
      <w:lvlText w:val="•"/>
      <w:lvlJc w:val="left"/>
      <w:pPr>
        <w:ind w:left="7556" w:hanging="254"/>
      </w:pPr>
      <w:rPr>
        <w:rFonts w:hint="default"/>
        <w:lang w:val="es-ES" w:eastAsia="en-US" w:bidi="ar-SA"/>
      </w:rPr>
    </w:lvl>
  </w:abstractNum>
  <w:abstractNum w:abstractNumId="15" w15:restartNumberingAfterBreak="0">
    <w:nsid w:val="22DD3727"/>
    <w:multiLevelType w:val="hybridMultilevel"/>
    <w:tmpl w:val="1CAA2600"/>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2A362672"/>
    <w:multiLevelType w:val="hybridMultilevel"/>
    <w:tmpl w:val="1A383A24"/>
    <w:lvl w:ilvl="0" w:tplc="1C262C2C">
      <w:start w:val="1"/>
      <w:numFmt w:val="bullet"/>
      <w:lvlText w:val=""/>
      <w:lvlJc w:val="left"/>
      <w:pPr>
        <w:ind w:left="720" w:hanging="360"/>
      </w:pPr>
      <w:rPr>
        <w:rFonts w:ascii="Wingdings" w:hAnsi="Wingdings" w:hint="default"/>
        <w:b/>
        <w:bCs/>
        <w:color w:val="1F3864" w:themeColor="accent1" w:themeShade="80"/>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2AB228E4"/>
    <w:multiLevelType w:val="hybridMultilevel"/>
    <w:tmpl w:val="FBBCFD92"/>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2C1D7FE3"/>
    <w:multiLevelType w:val="hybridMultilevel"/>
    <w:tmpl w:val="2A28999A"/>
    <w:lvl w:ilvl="0" w:tplc="10E22C10">
      <w:start w:val="1"/>
      <w:numFmt w:val="bullet"/>
      <w:lvlText w:val=""/>
      <w:lvlJc w:val="left"/>
      <w:pPr>
        <w:ind w:left="720" w:hanging="360"/>
      </w:pPr>
      <w:rPr>
        <w:rFonts w:ascii="Wingdings" w:hAnsi="Wingdings" w:hint="default"/>
        <w:b/>
        <w:bCs/>
        <w:color w:val="1F3864" w:themeColor="accent1" w:themeShade="80"/>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360E739C"/>
    <w:multiLevelType w:val="hybridMultilevel"/>
    <w:tmpl w:val="D0168F2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0" w15:restartNumberingAfterBreak="0">
    <w:nsid w:val="39D55CFC"/>
    <w:multiLevelType w:val="hybridMultilevel"/>
    <w:tmpl w:val="C1847FDA"/>
    <w:lvl w:ilvl="0" w:tplc="580A0011">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1" w15:restartNumberingAfterBreak="0">
    <w:nsid w:val="3EAA4720"/>
    <w:multiLevelType w:val="hybridMultilevel"/>
    <w:tmpl w:val="5374DF8C"/>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433B7B57"/>
    <w:multiLevelType w:val="hybridMultilevel"/>
    <w:tmpl w:val="AAB689D4"/>
    <w:lvl w:ilvl="0" w:tplc="86CCC83E">
      <w:start w:val="1"/>
      <w:numFmt w:val="upp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45D076FE"/>
    <w:multiLevelType w:val="hybridMultilevel"/>
    <w:tmpl w:val="CC72B360"/>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46DB77BF"/>
    <w:multiLevelType w:val="hybridMultilevel"/>
    <w:tmpl w:val="64A800B8"/>
    <w:lvl w:ilvl="0" w:tplc="F07A3620">
      <w:start w:val="1"/>
      <w:numFmt w:val="bullet"/>
      <w:lvlText w:val=""/>
      <w:lvlJc w:val="left"/>
      <w:pPr>
        <w:ind w:left="720" w:hanging="360"/>
      </w:pPr>
      <w:rPr>
        <w:rFonts w:ascii="Wingdings" w:hAnsi="Wingdings" w:hint="default"/>
        <w:b/>
        <w:bCs/>
        <w:color w:val="auto"/>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48227418"/>
    <w:multiLevelType w:val="hybridMultilevel"/>
    <w:tmpl w:val="83C0EB7A"/>
    <w:lvl w:ilvl="0" w:tplc="63DA0A00">
      <w:start w:val="1"/>
      <w:numFmt w:val="bullet"/>
      <w:lvlText w:val=""/>
      <w:lvlJc w:val="left"/>
      <w:pPr>
        <w:ind w:left="720" w:hanging="360"/>
      </w:pPr>
      <w:rPr>
        <w:rFonts w:ascii="Wingdings" w:hAnsi="Wingdings" w:hint="default"/>
        <w:b/>
        <w:bCs/>
        <w:color w:val="1F3864" w:themeColor="accent1" w:themeShade="80"/>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49B1411D"/>
    <w:multiLevelType w:val="hybridMultilevel"/>
    <w:tmpl w:val="BBAE808C"/>
    <w:lvl w:ilvl="0" w:tplc="080A0015">
      <w:start w:val="1"/>
      <w:numFmt w:val="upperLetter"/>
      <w:lvlText w:val="%1."/>
      <w:lvlJc w:val="left"/>
      <w:pPr>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4BD56172"/>
    <w:multiLevelType w:val="hybridMultilevel"/>
    <w:tmpl w:val="4DCABCA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505D4F04"/>
    <w:multiLevelType w:val="hybridMultilevel"/>
    <w:tmpl w:val="687A77B0"/>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531170A2"/>
    <w:multiLevelType w:val="hybridMultilevel"/>
    <w:tmpl w:val="B014900A"/>
    <w:lvl w:ilvl="0" w:tplc="080A0019">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0" w15:restartNumberingAfterBreak="0">
    <w:nsid w:val="6167679A"/>
    <w:multiLevelType w:val="hybridMultilevel"/>
    <w:tmpl w:val="D1B47900"/>
    <w:lvl w:ilvl="0" w:tplc="5F827B2A">
      <w:start w:val="1"/>
      <w:numFmt w:val="bullet"/>
      <w:lvlText w:val=""/>
      <w:lvlJc w:val="left"/>
      <w:pPr>
        <w:ind w:left="720" w:hanging="360"/>
      </w:pPr>
      <w:rPr>
        <w:rFonts w:ascii="Wingdings" w:hAnsi="Wingdings" w:hint="default"/>
        <w:b/>
        <w:bCs/>
        <w:color w:val="1F3864" w:themeColor="accent1" w:themeShade="80"/>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645B38DC"/>
    <w:multiLevelType w:val="hybridMultilevel"/>
    <w:tmpl w:val="1214CA00"/>
    <w:lvl w:ilvl="0" w:tplc="E808FC94">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693F5F14"/>
    <w:multiLevelType w:val="hybridMultilevel"/>
    <w:tmpl w:val="8F2E7744"/>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1D13547"/>
    <w:multiLevelType w:val="hybridMultilevel"/>
    <w:tmpl w:val="347A7C8E"/>
    <w:lvl w:ilvl="0" w:tplc="E7A0882E">
      <w:start w:val="1"/>
      <w:numFmt w:val="decimal"/>
      <w:lvlText w:val="%1)"/>
      <w:lvlJc w:val="left"/>
      <w:pPr>
        <w:ind w:left="720" w:hanging="360"/>
      </w:pPr>
      <w:rPr>
        <w:rFonts w:hint="default"/>
        <w:b/>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4" w15:restartNumberingAfterBreak="0">
    <w:nsid w:val="734271AA"/>
    <w:multiLevelType w:val="hybridMultilevel"/>
    <w:tmpl w:val="D8A48C02"/>
    <w:lvl w:ilvl="0" w:tplc="A8D2F670">
      <w:start w:val="1"/>
      <w:numFmt w:val="upperLetter"/>
      <w:lvlText w:val="%1."/>
      <w:lvlJc w:val="left"/>
      <w:pPr>
        <w:ind w:left="720" w:hanging="360"/>
      </w:pPr>
      <w:rPr>
        <w:b/>
        <w:bCs/>
        <w:i w:val="0"/>
        <w:i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3E022B1"/>
    <w:multiLevelType w:val="hybridMultilevel"/>
    <w:tmpl w:val="4F92FF86"/>
    <w:lvl w:ilvl="0" w:tplc="FFFFFFFF">
      <w:start w:val="1"/>
      <w:numFmt w:val="lowerLetter"/>
      <w:lvlText w:val="%1)"/>
      <w:lvlJc w:val="left"/>
      <w:pPr>
        <w:ind w:left="360" w:hanging="263"/>
        <w:jc w:val="right"/>
      </w:pPr>
      <w:rPr>
        <w:rFonts w:ascii="Arial MT" w:eastAsia="Arial MT" w:hAnsi="Arial MT" w:cs="Arial MT" w:hint="default"/>
        <w:spacing w:val="-1"/>
        <w:w w:val="100"/>
        <w:sz w:val="22"/>
        <w:szCs w:val="22"/>
        <w:lang w:val="es-ES" w:eastAsia="en-US" w:bidi="ar-SA"/>
      </w:rPr>
    </w:lvl>
    <w:lvl w:ilvl="1" w:tplc="FFFFFFFF">
      <w:numFmt w:val="bullet"/>
      <w:lvlText w:val="•"/>
      <w:lvlJc w:val="left"/>
      <w:pPr>
        <w:ind w:left="1244" w:hanging="263"/>
      </w:pPr>
      <w:rPr>
        <w:rFonts w:hint="default"/>
        <w:lang w:val="es-ES" w:eastAsia="en-US" w:bidi="ar-SA"/>
      </w:rPr>
    </w:lvl>
    <w:lvl w:ilvl="2" w:tplc="FFFFFFFF">
      <w:numFmt w:val="bullet"/>
      <w:lvlText w:val="•"/>
      <w:lvlJc w:val="left"/>
      <w:pPr>
        <w:ind w:left="2126" w:hanging="263"/>
      </w:pPr>
      <w:rPr>
        <w:rFonts w:hint="default"/>
        <w:lang w:val="es-ES" w:eastAsia="en-US" w:bidi="ar-SA"/>
      </w:rPr>
    </w:lvl>
    <w:lvl w:ilvl="3" w:tplc="FFFFFFFF">
      <w:numFmt w:val="bullet"/>
      <w:lvlText w:val="•"/>
      <w:lvlJc w:val="left"/>
      <w:pPr>
        <w:ind w:left="3008" w:hanging="263"/>
      </w:pPr>
      <w:rPr>
        <w:rFonts w:hint="default"/>
        <w:lang w:val="es-ES" w:eastAsia="en-US" w:bidi="ar-SA"/>
      </w:rPr>
    </w:lvl>
    <w:lvl w:ilvl="4" w:tplc="FFFFFFFF">
      <w:numFmt w:val="bullet"/>
      <w:lvlText w:val="•"/>
      <w:lvlJc w:val="left"/>
      <w:pPr>
        <w:ind w:left="3890" w:hanging="263"/>
      </w:pPr>
      <w:rPr>
        <w:rFonts w:hint="default"/>
        <w:lang w:val="es-ES" w:eastAsia="en-US" w:bidi="ar-SA"/>
      </w:rPr>
    </w:lvl>
    <w:lvl w:ilvl="5" w:tplc="FFFFFFFF">
      <w:numFmt w:val="bullet"/>
      <w:lvlText w:val="•"/>
      <w:lvlJc w:val="left"/>
      <w:pPr>
        <w:ind w:left="4772" w:hanging="263"/>
      </w:pPr>
      <w:rPr>
        <w:rFonts w:hint="default"/>
        <w:lang w:val="es-ES" w:eastAsia="en-US" w:bidi="ar-SA"/>
      </w:rPr>
    </w:lvl>
    <w:lvl w:ilvl="6" w:tplc="FFFFFFFF">
      <w:numFmt w:val="bullet"/>
      <w:lvlText w:val="•"/>
      <w:lvlJc w:val="left"/>
      <w:pPr>
        <w:ind w:left="5654" w:hanging="263"/>
      </w:pPr>
      <w:rPr>
        <w:rFonts w:hint="default"/>
        <w:lang w:val="es-ES" w:eastAsia="en-US" w:bidi="ar-SA"/>
      </w:rPr>
    </w:lvl>
    <w:lvl w:ilvl="7" w:tplc="FFFFFFFF">
      <w:numFmt w:val="bullet"/>
      <w:lvlText w:val="•"/>
      <w:lvlJc w:val="left"/>
      <w:pPr>
        <w:ind w:left="6536" w:hanging="263"/>
      </w:pPr>
      <w:rPr>
        <w:rFonts w:hint="default"/>
        <w:lang w:val="es-ES" w:eastAsia="en-US" w:bidi="ar-SA"/>
      </w:rPr>
    </w:lvl>
    <w:lvl w:ilvl="8" w:tplc="FFFFFFFF">
      <w:numFmt w:val="bullet"/>
      <w:lvlText w:val="•"/>
      <w:lvlJc w:val="left"/>
      <w:pPr>
        <w:ind w:left="7418" w:hanging="263"/>
      </w:pPr>
      <w:rPr>
        <w:rFonts w:hint="default"/>
        <w:lang w:val="es-ES" w:eastAsia="en-US" w:bidi="ar-SA"/>
      </w:rPr>
    </w:lvl>
  </w:abstractNum>
  <w:abstractNum w:abstractNumId="36" w15:restartNumberingAfterBreak="0">
    <w:nsid w:val="775F58F4"/>
    <w:multiLevelType w:val="hybridMultilevel"/>
    <w:tmpl w:val="32984744"/>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7B5B2824"/>
    <w:multiLevelType w:val="hybridMultilevel"/>
    <w:tmpl w:val="2E1A10E6"/>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7CF0689A"/>
    <w:multiLevelType w:val="hybridMultilevel"/>
    <w:tmpl w:val="414C5E5C"/>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35"/>
  </w:num>
  <w:num w:numId="2">
    <w:abstractNumId w:val="36"/>
  </w:num>
  <w:num w:numId="3">
    <w:abstractNumId w:val="14"/>
  </w:num>
  <w:num w:numId="4">
    <w:abstractNumId w:val="22"/>
  </w:num>
  <w:num w:numId="5">
    <w:abstractNumId w:val="38"/>
  </w:num>
  <w:num w:numId="6">
    <w:abstractNumId w:val="12"/>
  </w:num>
  <w:num w:numId="7">
    <w:abstractNumId w:val="23"/>
  </w:num>
  <w:num w:numId="8">
    <w:abstractNumId w:val="0"/>
  </w:num>
  <w:num w:numId="9">
    <w:abstractNumId w:val="30"/>
  </w:num>
  <w:num w:numId="10">
    <w:abstractNumId w:val="16"/>
  </w:num>
  <w:num w:numId="11">
    <w:abstractNumId w:val="9"/>
  </w:num>
  <w:num w:numId="12">
    <w:abstractNumId w:val="7"/>
  </w:num>
  <w:num w:numId="13">
    <w:abstractNumId w:val="24"/>
  </w:num>
  <w:num w:numId="14">
    <w:abstractNumId w:val="18"/>
  </w:num>
  <w:num w:numId="15">
    <w:abstractNumId w:val="13"/>
  </w:num>
  <w:num w:numId="16">
    <w:abstractNumId w:val="1"/>
  </w:num>
  <w:num w:numId="17">
    <w:abstractNumId w:val="8"/>
  </w:num>
  <w:num w:numId="18">
    <w:abstractNumId w:val="6"/>
  </w:num>
  <w:num w:numId="19">
    <w:abstractNumId w:val="25"/>
  </w:num>
  <w:num w:numId="20">
    <w:abstractNumId w:val="4"/>
  </w:num>
  <w:num w:numId="21">
    <w:abstractNumId w:val="37"/>
  </w:num>
  <w:num w:numId="22">
    <w:abstractNumId w:val="28"/>
  </w:num>
  <w:num w:numId="23">
    <w:abstractNumId w:val="5"/>
  </w:num>
  <w:num w:numId="24">
    <w:abstractNumId w:val="21"/>
  </w:num>
  <w:num w:numId="25">
    <w:abstractNumId w:val="17"/>
  </w:num>
  <w:num w:numId="26">
    <w:abstractNumId w:val="26"/>
  </w:num>
  <w:num w:numId="27">
    <w:abstractNumId w:val="34"/>
  </w:num>
  <w:num w:numId="28">
    <w:abstractNumId w:val="31"/>
  </w:num>
  <w:num w:numId="29">
    <w:abstractNumId w:val="11"/>
  </w:num>
  <w:num w:numId="30">
    <w:abstractNumId w:val="29"/>
  </w:num>
  <w:num w:numId="31">
    <w:abstractNumId w:val="20"/>
  </w:num>
  <w:num w:numId="32">
    <w:abstractNumId w:val="3"/>
  </w:num>
  <w:num w:numId="33">
    <w:abstractNumId w:val="2"/>
  </w:num>
  <w:num w:numId="34">
    <w:abstractNumId w:val="19"/>
  </w:num>
  <w:num w:numId="35">
    <w:abstractNumId w:val="10"/>
  </w:num>
  <w:num w:numId="36">
    <w:abstractNumId w:val="27"/>
  </w:num>
  <w:num w:numId="37">
    <w:abstractNumId w:val="33"/>
  </w:num>
  <w:num w:numId="38">
    <w:abstractNumId w:val="32"/>
  </w:num>
  <w:num w:numId="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2EB5"/>
    <w:rsid w:val="000B63DF"/>
    <w:rsid w:val="00153429"/>
    <w:rsid w:val="0019098B"/>
    <w:rsid w:val="001D1FC2"/>
    <w:rsid w:val="00237321"/>
    <w:rsid w:val="003442C1"/>
    <w:rsid w:val="003F56A8"/>
    <w:rsid w:val="0041262B"/>
    <w:rsid w:val="00493AAA"/>
    <w:rsid w:val="004C4B49"/>
    <w:rsid w:val="00570485"/>
    <w:rsid w:val="00673CAB"/>
    <w:rsid w:val="00686F6A"/>
    <w:rsid w:val="006A1574"/>
    <w:rsid w:val="007300FE"/>
    <w:rsid w:val="00734038"/>
    <w:rsid w:val="0080088D"/>
    <w:rsid w:val="00804F91"/>
    <w:rsid w:val="0088004D"/>
    <w:rsid w:val="00880F8A"/>
    <w:rsid w:val="00882D80"/>
    <w:rsid w:val="00885ED9"/>
    <w:rsid w:val="008A63DB"/>
    <w:rsid w:val="00916234"/>
    <w:rsid w:val="0092707C"/>
    <w:rsid w:val="00933290"/>
    <w:rsid w:val="00974D0F"/>
    <w:rsid w:val="009859F9"/>
    <w:rsid w:val="00A07AA8"/>
    <w:rsid w:val="00A1260E"/>
    <w:rsid w:val="00A90BFF"/>
    <w:rsid w:val="00AA2F0A"/>
    <w:rsid w:val="00AB00A1"/>
    <w:rsid w:val="00AC7B2D"/>
    <w:rsid w:val="00B04D9F"/>
    <w:rsid w:val="00B11E95"/>
    <w:rsid w:val="00B352E5"/>
    <w:rsid w:val="00B91062"/>
    <w:rsid w:val="00B91D63"/>
    <w:rsid w:val="00CB142B"/>
    <w:rsid w:val="00CC2603"/>
    <w:rsid w:val="00CC5F69"/>
    <w:rsid w:val="00D92EB5"/>
    <w:rsid w:val="00D97D56"/>
    <w:rsid w:val="00DD6683"/>
    <w:rsid w:val="00E84875"/>
    <w:rsid w:val="00ED0176"/>
    <w:rsid w:val="00F475D4"/>
    <w:rsid w:val="00F878DB"/>
    <w:rsid w:val="00FE17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80EB1"/>
  <w15:chartTrackingRefBased/>
  <w15:docId w15:val="{718A8AB0-38D4-4B5D-9F9C-811F53BDD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0B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pervnculo1">
    <w:name w:val="Hipervínculo1"/>
    <w:basedOn w:val="DefaultParagraphFont"/>
    <w:uiPriority w:val="99"/>
    <w:unhideWhenUsed/>
    <w:rsid w:val="00DD6683"/>
    <w:rPr>
      <w:color w:val="0563C1"/>
      <w:u w:val="single"/>
    </w:rPr>
  </w:style>
  <w:style w:type="paragraph" w:styleId="FootnoteText">
    <w:name w:val="footnote text"/>
    <w:basedOn w:val="Normal"/>
    <w:link w:val="FootnoteTextChar"/>
    <w:uiPriority w:val="99"/>
    <w:unhideWhenUsed/>
    <w:rsid w:val="00DD6683"/>
    <w:pPr>
      <w:spacing w:after="0" w:line="240" w:lineRule="auto"/>
    </w:pPr>
    <w:rPr>
      <w:rFonts w:ascii="Times New Roman" w:eastAsia="Times New Roman" w:hAnsi="Times New Roman" w:cs="Times New Roman"/>
      <w:sz w:val="20"/>
      <w:szCs w:val="20"/>
      <w:lang w:eastAsia="es-MX"/>
    </w:rPr>
  </w:style>
  <w:style w:type="character" w:customStyle="1" w:styleId="FootnoteTextChar">
    <w:name w:val="Footnote Text Char"/>
    <w:basedOn w:val="DefaultParagraphFont"/>
    <w:link w:val="FootnoteText"/>
    <w:uiPriority w:val="99"/>
    <w:rsid w:val="00DD6683"/>
    <w:rPr>
      <w:rFonts w:ascii="Times New Roman" w:eastAsia="Times New Roman" w:hAnsi="Times New Roman" w:cs="Times New Roman"/>
      <w:sz w:val="20"/>
      <w:szCs w:val="20"/>
      <w:lang w:eastAsia="es-MX"/>
    </w:rPr>
  </w:style>
  <w:style w:type="character" w:styleId="FootnoteReference">
    <w:name w:val="footnote reference"/>
    <w:aliases w:val="Footnotes refss,Texto de nota al pie,Appel note de bas de page,Footnote number,referencia nota al pie,BVI fnr,f,4_G,16 Point,Superscript 6 Point,Texto nota al pie,Footnote Reference Char3,Footnote Reference Char1 Char,Footnote text"/>
    <w:basedOn w:val="DefaultParagraphFont"/>
    <w:uiPriority w:val="99"/>
    <w:unhideWhenUsed/>
    <w:qFormat/>
    <w:rsid w:val="00DD6683"/>
    <w:rPr>
      <w:vertAlign w:val="superscript"/>
    </w:rPr>
  </w:style>
  <w:style w:type="character" w:styleId="Hyperlink">
    <w:name w:val="Hyperlink"/>
    <w:basedOn w:val="DefaultParagraphFont"/>
    <w:uiPriority w:val="99"/>
    <w:unhideWhenUsed/>
    <w:rsid w:val="00DD6683"/>
    <w:rPr>
      <w:color w:val="0563C1" w:themeColor="hyperlink"/>
      <w:u w:val="single"/>
    </w:rPr>
  </w:style>
  <w:style w:type="paragraph" w:styleId="Subtitle">
    <w:name w:val="Subtitle"/>
    <w:basedOn w:val="Normal"/>
    <w:next w:val="Normal"/>
    <w:link w:val="SubtitleChar"/>
    <w:uiPriority w:val="11"/>
    <w:qFormat/>
    <w:rsid w:val="006A157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A1574"/>
    <w:rPr>
      <w:rFonts w:eastAsiaTheme="minorEastAsia"/>
      <w:color w:val="5A5A5A" w:themeColor="text1" w:themeTint="A5"/>
      <w:spacing w:val="15"/>
    </w:rPr>
  </w:style>
  <w:style w:type="paragraph" w:styleId="Header">
    <w:name w:val="header"/>
    <w:basedOn w:val="Normal"/>
    <w:link w:val="HeaderChar"/>
    <w:uiPriority w:val="99"/>
    <w:unhideWhenUsed/>
    <w:rsid w:val="001D1FC2"/>
    <w:pPr>
      <w:tabs>
        <w:tab w:val="center" w:pos="4419"/>
        <w:tab w:val="right" w:pos="8838"/>
      </w:tabs>
      <w:spacing w:after="0" w:line="240" w:lineRule="auto"/>
    </w:pPr>
  </w:style>
  <w:style w:type="character" w:customStyle="1" w:styleId="HeaderChar">
    <w:name w:val="Header Char"/>
    <w:basedOn w:val="DefaultParagraphFont"/>
    <w:link w:val="Header"/>
    <w:uiPriority w:val="99"/>
    <w:rsid w:val="001D1FC2"/>
  </w:style>
  <w:style w:type="paragraph" w:styleId="Footer">
    <w:name w:val="footer"/>
    <w:basedOn w:val="Normal"/>
    <w:link w:val="FooterChar"/>
    <w:uiPriority w:val="99"/>
    <w:unhideWhenUsed/>
    <w:rsid w:val="001D1FC2"/>
    <w:pPr>
      <w:tabs>
        <w:tab w:val="center" w:pos="4419"/>
        <w:tab w:val="right" w:pos="8838"/>
      </w:tabs>
      <w:spacing w:after="0" w:line="240" w:lineRule="auto"/>
    </w:pPr>
  </w:style>
  <w:style w:type="character" w:customStyle="1" w:styleId="FooterChar">
    <w:name w:val="Footer Char"/>
    <w:basedOn w:val="DefaultParagraphFont"/>
    <w:link w:val="Footer"/>
    <w:uiPriority w:val="99"/>
    <w:rsid w:val="001D1FC2"/>
  </w:style>
  <w:style w:type="table" w:styleId="TableGrid">
    <w:name w:val="Table Grid"/>
    <w:basedOn w:val="TableNormal"/>
    <w:uiPriority w:val="39"/>
    <w:rsid w:val="00A126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unhideWhenUsed/>
    <w:rsid w:val="0041262B"/>
    <w:pPr>
      <w:spacing w:after="120"/>
    </w:pPr>
  </w:style>
  <w:style w:type="character" w:customStyle="1" w:styleId="BodyTextChar">
    <w:name w:val="Body Text Char"/>
    <w:basedOn w:val="DefaultParagraphFont"/>
    <w:link w:val="BodyText"/>
    <w:uiPriority w:val="99"/>
    <w:semiHidden/>
    <w:rsid w:val="0041262B"/>
  </w:style>
  <w:style w:type="paragraph" w:styleId="ListParagraph">
    <w:name w:val="List Paragraph"/>
    <w:basedOn w:val="Normal"/>
    <w:uiPriority w:val="34"/>
    <w:qFormat/>
    <w:rsid w:val="00673CAB"/>
    <w:pPr>
      <w:ind w:left="720"/>
      <w:contextualSpacing/>
    </w:pPr>
  </w:style>
  <w:style w:type="character" w:customStyle="1" w:styleId="UnresolvedMention">
    <w:name w:val="Unresolved Mention"/>
    <w:basedOn w:val="DefaultParagraphFont"/>
    <w:uiPriority w:val="99"/>
    <w:semiHidden/>
    <w:unhideWhenUsed/>
    <w:rsid w:val="00804F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forme.cndh.org.mx/images/uploads/nodos/50364/content/files/31_1_-Cuadroanexo1_1diliEdos.pdf" TargetMode="External"/><Relationship Id="rId18" Type="http://schemas.openxmlformats.org/officeDocument/2006/relationships/hyperlink" Target="https://www.cndh.org.mx/sites/default/files/documentos/2019-10/Rec-38-gral.pdf" TargetMode="External"/><Relationship Id="rId26" Type="http://schemas.openxmlformats.org/officeDocument/2006/relationships/hyperlink" Target="https://www.cndh.org.mx/sites/all/doc/sistemas/DNSP/DNSP_2019.pdf" TargetMode="External"/><Relationship Id="rId39" Type="http://schemas.openxmlformats.org/officeDocument/2006/relationships/hyperlink" Target="https://www.gob.mx/inmujeres/acciones-y-programas/alerta-de-violencia-de-genero-contra-las-mujeres-80739" TargetMode="External"/><Relationship Id="rId21" Type="http://schemas.openxmlformats.org/officeDocument/2006/relationships/hyperlink" Target="https://www.cndh.org.mx/sites/default/files/documentos/2020-07/IE_COVID19_Penitenciarios.pdf" TargetMode="External"/><Relationship Id="rId34" Type="http://schemas.openxmlformats.org/officeDocument/2006/relationships/hyperlink" Target="https://www.cndh.org.mx/sites/default/files/documentos/2021-08/COM_2021_210.pdf" TargetMode="External"/><Relationship Id="rId42" Type="http://schemas.openxmlformats.org/officeDocument/2006/relationships/hyperlink" Target="https://www.cndh.org.mx/sites/default/files/documentos/2020-12/REC_2020_083.pdf" TargetMode="External"/><Relationship Id="rId47" Type="http://schemas.openxmlformats.org/officeDocument/2006/relationships/theme" Target="theme/theme1.xml"/><Relationship Id="rId50"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cndh.org.mx/sites/default/files/documentos/2021-06/COM_2021_160.pdf" TargetMode="External"/><Relationship Id="rId29" Type="http://schemas.openxmlformats.org/officeDocument/2006/relationships/hyperlink" Target="http://portales.segob.gob.mx/work/models/PoliticaMigratoria/Documentos/Compendio_General_PMM_2021.pdf" TargetMode="External"/><Relationship Id="rId11" Type="http://schemas.openxmlformats.org/officeDocument/2006/relationships/hyperlink" Target="https://www.cndh.org.mx/sites/default/files/documentos/2021-12/RecVG_049.pdf" TargetMode="External"/><Relationship Id="rId24" Type="http://schemas.openxmlformats.org/officeDocument/2006/relationships/hyperlink" Target="https://www.cndh.org.mx/sites/default/files/documentos/2019-05/ADOLESCENTES-INFORME-ESPECIAL-2019.pdf" TargetMode="External"/><Relationship Id="rId32" Type="http://schemas.openxmlformats.org/officeDocument/2006/relationships/hyperlink" Target="https://www.cndh.org.mx/sites/default/files/documentos/2019-11/Informe-Estaciones-Migratorias-2019.pdf" TargetMode="External"/><Relationship Id="rId37" Type="http://schemas.openxmlformats.org/officeDocument/2006/relationships/hyperlink" Target="https://igualdaddegenero.cndh.org.mx/Content/doc/Publicaciones/Seguimiento_Alerta_VG_2020.pdf" TargetMode="External"/><Relationship Id="rId40" Type="http://schemas.openxmlformats.org/officeDocument/2006/relationships/hyperlink" Target="https://igualdaddegenero.cndh.org.mx/Content/doc/Publicaciones/1_Estudio_161221.pdf"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cndh.org.mx/sites/default/files/documentos/2021-05/DNSP_2020.pdf" TargetMode="External"/><Relationship Id="rId23" Type="http://schemas.openxmlformats.org/officeDocument/2006/relationships/hyperlink" Target="https://www.cndh.org.mx/sites/default/files/documentos/2021-05/DNSP_2020.pdf" TargetMode="External"/><Relationship Id="rId28" Type="http://schemas.openxmlformats.org/officeDocument/2006/relationships/hyperlink" Target="https://www.cndh.org.mx/sites/default/files/documentos/2020-07/IE_COVID19_Penitenciarios.pdf" TargetMode="External"/><Relationship Id="rId36" Type="http://schemas.openxmlformats.org/officeDocument/2006/relationships/hyperlink" Target="https://www.cndh.org.mx/sites/default/files/documentos/2019-11/Estudio-AVGM-2019.pdf" TargetMode="External"/><Relationship Id="rId49" Type="http://schemas.openxmlformats.org/officeDocument/2006/relationships/customXml" Target="../customXml/item2.xml"/><Relationship Id="rId10" Type="http://schemas.openxmlformats.org/officeDocument/2006/relationships/hyperlink" Target="https://www.cndh.org.mx/sites/default/files/documentos/2020-10/REC_2020_047.pdf" TargetMode="External"/><Relationship Id="rId19" Type="http://schemas.openxmlformats.org/officeDocument/2006/relationships/hyperlink" Target="https://www.cndh.org.mx/sites/default/files/documentos/2020-07/IE_COVID19_Penitenciarios.pdf" TargetMode="External"/><Relationship Id="rId31" Type="http://schemas.openxmlformats.org/officeDocument/2006/relationships/hyperlink" Target="https://www.cndh.org.mx/tipo/1/recomendacion" TargetMode="External"/><Relationship Id="rId44" Type="http://schemas.openxmlformats.org/officeDocument/2006/relationships/hyperlink" Target="http://informe.cndh.org.mx/menu.aspx?id=60064" TargetMode="External"/><Relationship Id="rId4" Type="http://schemas.openxmlformats.org/officeDocument/2006/relationships/webSettings" Target="webSettings.xml"/><Relationship Id="rId9" Type="http://schemas.openxmlformats.org/officeDocument/2006/relationships/hyperlink" Target="https://www.cndh.org.mx/sites/default/files/documentos/2021-06/COM_2021_160.pdf" TargetMode="External"/><Relationship Id="rId14" Type="http://schemas.openxmlformats.org/officeDocument/2006/relationships/hyperlink" Target="https://www.cndh.org.mx/sites/default/files/documentos/2020-07/IE_COVID19_Penitenciarios.pdf" TargetMode="External"/><Relationship Id="rId22" Type="http://schemas.openxmlformats.org/officeDocument/2006/relationships/hyperlink" Target="https://www.cndh.org.mx/sites/all/doc/sistemas/DNSP/DNSP_2019.pdf" TargetMode="External"/><Relationship Id="rId27" Type="http://schemas.openxmlformats.org/officeDocument/2006/relationships/hyperlink" Target="https://www.cndh.org.mx/sites/default/files/documentos/2021-05/DNSP_2020.pdf" TargetMode="External"/><Relationship Id="rId30" Type="http://schemas.openxmlformats.org/officeDocument/2006/relationships/hyperlink" Target="https://www.scjn.gob.mx/derechos-humanos/sites/default/files/protocolos/archivos/2021-06/Protocolo%20para%20juzgar%20casos%20que%20involucren%20personas%20migrantes.pdf" TargetMode="External"/><Relationship Id="rId35" Type="http://schemas.openxmlformats.org/officeDocument/2006/relationships/hyperlink" Target="https://www.cndh.org.mx/sites/default/files/documentos/2021-12/IE_MP_cndh_2021.pdf" TargetMode="External"/><Relationship Id="rId43" Type="http://schemas.openxmlformats.org/officeDocument/2006/relationships/hyperlink" Target="http://informe.cndh.org.mx/menu.aspx?id=50064" TargetMode="External"/><Relationship Id="rId48" Type="http://schemas.openxmlformats.org/officeDocument/2006/relationships/customXml" Target="../customXml/item1.xml"/><Relationship Id="rId8" Type="http://schemas.openxmlformats.org/officeDocument/2006/relationships/hyperlink" Target="https://www.cndh.org.mx/sites/default/files/documentos/2020-07/IE_COVID19_Penitenciarios.pdf" TargetMode="External"/><Relationship Id="rId3" Type="http://schemas.openxmlformats.org/officeDocument/2006/relationships/settings" Target="settings.xml"/><Relationship Id="rId12" Type="http://schemas.openxmlformats.org/officeDocument/2006/relationships/hyperlink" Target="http://informe.cndh.org.mx/images/uploads/nodos/50364/content/files/31%20_-Cuadroanexo1diliacciones.pdf" TargetMode="External"/><Relationship Id="rId17" Type="http://schemas.openxmlformats.org/officeDocument/2006/relationships/hyperlink" Target="https://www.cndh.org.mx/sites/default/files/documentos/2021-05/DNSP_2020.pdf" TargetMode="External"/><Relationship Id="rId25" Type="http://schemas.openxmlformats.org/officeDocument/2006/relationships/hyperlink" Target="https://www.cndh.org.mx/sites/default/files/documentos/2020-07/IE_COVID19_Penitenciarios.pdf" TargetMode="External"/><Relationship Id="rId33" Type="http://schemas.openxmlformats.org/officeDocument/2006/relationships/hyperlink" Target="http://www.dof.gob.mx/nota_detalle.php?codigo=5611226&amp;fecha=10/02/2021" TargetMode="External"/><Relationship Id="rId38" Type="http://schemas.openxmlformats.org/officeDocument/2006/relationships/hyperlink" Target="https://igualdaddegenero.cndh.org.mx/AVGM/Reportes_AVGM" TargetMode="External"/><Relationship Id="rId46" Type="http://schemas.openxmlformats.org/officeDocument/2006/relationships/fontTable" Target="fontTable.xml"/><Relationship Id="rId20" Type="http://schemas.openxmlformats.org/officeDocument/2006/relationships/hyperlink" Target="https://www.cndh.org.mx/sites/default/files/documentos/2021-06/COM_2021_160.pdf" TargetMode="External"/><Relationship Id="rId41" Type="http://schemas.openxmlformats.org/officeDocument/2006/relationships/hyperlink" Target="https://www.cndh.org.mx/sites/default/files/documentos/2019-10/REC_2019_086.pdf" TargetMode="External"/><Relationship Id="rId1" Type="http://schemas.openxmlformats.org/officeDocument/2006/relationships/numbering" Target="numbering.xml"/><Relationship Id="rId6" Type="http://schemas.openxmlformats.org/officeDocument/2006/relationships/endnotes" Target="endnotes.xml"/></Relationships>
</file>

<file path=word/_rels/footnotes.xml.rels><?xml version="1.0" encoding="UTF-8" standalone="yes"?>
<Relationships xmlns="http://schemas.openxmlformats.org/package/2006/relationships"><Relationship Id="rId8" Type="http://schemas.openxmlformats.org/officeDocument/2006/relationships/hyperlink" Target="https://www.cndh.org.mx/sites/default/files/documentos/2021-04/ISP_09_2020.pdf" TargetMode="External"/><Relationship Id="rId13" Type="http://schemas.openxmlformats.org/officeDocument/2006/relationships/hyperlink" Target="https://oacnudh.hn/recomendaciones-del-subcomite-de-prevencion-de-la-tortura-a-los-estados-partes-y-mecanismos-nacionales-de-prevencion-relacionados-con-la-pandemia-de-coronavirus-adoptado-el-25-de-marzo-de-2020/" TargetMode="External"/><Relationship Id="rId3" Type="http://schemas.openxmlformats.org/officeDocument/2006/relationships/hyperlink" Target="https://www.cndh.org.mx/sites/default/files/documentos/2020-07/COM_2020_207.pdf" TargetMode="External"/><Relationship Id="rId7" Type="http://schemas.openxmlformats.org/officeDocument/2006/relationships/hyperlink" Target="https://www.cndh.org.mx/pagina/informes-de-supervision-MNPT?title=&amp;items_per_page=10&amp;page=0" TargetMode="External"/><Relationship Id="rId12" Type="http://schemas.openxmlformats.org/officeDocument/2006/relationships/hyperlink" Target="https://www.cndh.org.mx/pagina/informes-de-supervision-MNPT?title=&amp;items_per_page=10&amp;page=0" TargetMode="External"/><Relationship Id="rId2" Type="http://schemas.openxmlformats.org/officeDocument/2006/relationships/hyperlink" Target="https://www.cndh.org.mx/index.php/documento/comunicado-sobre-el-fallecimiento-del-c-carlos-navarro-landa-en-el-cuartel-de-policia-san" TargetMode="External"/><Relationship Id="rId1" Type="http://schemas.openxmlformats.org/officeDocument/2006/relationships/hyperlink" Target="https://www.cndh.org.mx/documento/el-mecanismo-nacional-de-prevencion-de-la-tortura-mnpt-hace-un-energico-llamado-para-que" TargetMode="External"/><Relationship Id="rId6" Type="http://schemas.openxmlformats.org/officeDocument/2006/relationships/hyperlink" Target="https://www.cndh.org.mx/documento/informe-especial-del-mnpt-12019" TargetMode="External"/><Relationship Id="rId11" Type="http://schemas.openxmlformats.org/officeDocument/2006/relationships/hyperlink" Target="https://www.cndh.org.mx/sites/default/files/documentos/2019-05/ADOLESCENTES-INFORME-ESPECIAL-2019.pdf" TargetMode="External"/><Relationship Id="rId5" Type="http://schemas.openxmlformats.org/officeDocument/2006/relationships/hyperlink" Target="https://www.cndh.org.mx/sites/default/files/documentos/2021-05/Armonizacion_Legislativa_PISTyOToPCID.pdf" TargetMode="External"/><Relationship Id="rId15" Type="http://schemas.openxmlformats.org/officeDocument/2006/relationships/hyperlink" Target="about:blank" TargetMode="External"/><Relationship Id="rId10" Type="http://schemas.openxmlformats.org/officeDocument/2006/relationships/hyperlink" Target="https://www.cndh.org.mx/sites/default/files/doc/Informes/Especiales/2015_IE_adolescentes.pdf" TargetMode="External"/><Relationship Id="rId4" Type="http://schemas.openxmlformats.org/officeDocument/2006/relationships/hyperlink" Target="https://www.cndh.org.mx/sites/default/files/documentos/2021-04/COM_2021_104.pdf" TargetMode="External"/><Relationship Id="rId9" Type="http://schemas.openxmlformats.org/officeDocument/2006/relationships/hyperlink" Target="https://www.cndh.org.mx/sites/default/files/doc/Informes/Especiales/2003_menores.pdf" TargetMode="External"/><Relationship Id="rId14" Type="http://schemas.openxmlformats.org/officeDocument/2006/relationships/hyperlink" Target="https://www.cndh.org.mx/sites/default/files/documentos/2019-11/3_2019.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A93E72-7C58-4518-A9A2-4AA81F34FFC3}"/>
</file>

<file path=customXml/itemProps2.xml><?xml version="1.0" encoding="utf-8"?>
<ds:datastoreItem xmlns:ds="http://schemas.openxmlformats.org/officeDocument/2006/customXml" ds:itemID="{B706F819-00D0-42C5-9BAC-3FE1F989B73A}"/>
</file>

<file path=customXml/itemProps3.xml><?xml version="1.0" encoding="utf-8"?>
<ds:datastoreItem xmlns:ds="http://schemas.openxmlformats.org/officeDocument/2006/customXml" ds:itemID="{ACC52B1E-7958-46BD-B430-F479846519B9}"/>
</file>

<file path=docProps/app.xml><?xml version="1.0" encoding="utf-8"?>
<Properties xmlns="http://schemas.openxmlformats.org/officeDocument/2006/extended-properties" xmlns:vt="http://schemas.openxmlformats.org/officeDocument/2006/docPropsVTypes">
  <Template>Normal.dotm</Template>
  <TotalTime>0</TotalTime>
  <Pages>16</Pages>
  <Words>21165</Words>
  <Characters>120647</Characters>
  <Application>Microsoft Office Word</Application>
  <DocSecurity>4</DocSecurity>
  <Lines>1005</Lines>
  <Paragraphs>283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141529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Marcos Montiel Razo</dc:creator>
  <cp:keywords/>
  <dc:description/>
  <cp:lastModifiedBy>Maria Cecilia Ercole</cp:lastModifiedBy>
  <cp:revision>2</cp:revision>
  <dcterms:created xsi:type="dcterms:W3CDTF">2022-01-25T10:25:00Z</dcterms:created>
  <dcterms:modified xsi:type="dcterms:W3CDTF">2022-01-25T10:25:00Z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