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CA6" w:rsidRDefault="002F2CA6">
      <w:pPr>
        <w:pStyle w:val="a4"/>
        <w:jc w:val="center"/>
      </w:pPr>
    </w:p>
    <w:p w:rsidR="002F2CA6" w:rsidRDefault="002F2CA6">
      <w:pPr>
        <w:pStyle w:val="a4"/>
        <w:jc w:val="center"/>
      </w:pPr>
    </w:p>
    <w:p w:rsidR="005A3267" w:rsidRDefault="002801F3">
      <w:pPr>
        <w:pStyle w:val="a4"/>
        <w:jc w:val="center"/>
      </w:pPr>
      <w:r>
        <w:t>Report on Victims of Abduction During the Korean War (1950-1953)</w:t>
      </w:r>
    </w:p>
    <w:p w:rsidR="005A3267" w:rsidRDefault="002801F3">
      <w:pPr>
        <w:pStyle w:val="a5"/>
        <w:jc w:val="center"/>
      </w:pPr>
      <w:r>
        <w:t>Submission to the 30th Session of the UN Committee on Enforced Disappearances (CED), 2026</w:t>
      </w:r>
    </w:p>
    <w:p w:rsidR="005A3267" w:rsidRDefault="005A3267"/>
    <w:p w:rsidR="002F2CA6" w:rsidRDefault="002F2CA6"/>
    <w:p w:rsidR="002F2CA6" w:rsidRDefault="002F2CA6"/>
    <w:p w:rsidR="005A3267" w:rsidRDefault="002801F3">
      <w:pPr>
        <w:spacing w:after="240"/>
        <w:jc w:val="center"/>
      </w:pPr>
      <w:r>
        <w:rPr>
          <w:i/>
        </w:rPr>
        <w:t>“During the Korean War, North Korea abducted approximately 100,000 South Korean civilians.”</w:t>
      </w:r>
    </w:p>
    <w:p w:rsidR="005A3267" w:rsidRDefault="002801F3">
      <w:pPr>
        <w:spacing w:after="360"/>
        <w:jc w:val="center"/>
      </w:pPr>
      <w:r>
        <w:rPr>
          <w:i/>
        </w:rPr>
        <w:t>“We are still waiting—after 76 years—for our abducted fathers and brothers.”</w:t>
      </w:r>
    </w:p>
    <w:p w:rsidR="00B97566" w:rsidRDefault="00B97566">
      <w:pPr>
        <w:jc w:val="center"/>
      </w:pPr>
    </w:p>
    <w:p w:rsidR="002F2CA6" w:rsidRDefault="002F2CA6" w:rsidP="002F2CA6"/>
    <w:p w:rsidR="002F2CA6" w:rsidRDefault="002F2CA6" w:rsidP="002F2CA6"/>
    <w:p w:rsidR="002F2CA6" w:rsidRDefault="002F2CA6" w:rsidP="002F2CA6"/>
    <w:p w:rsidR="002F2CA6" w:rsidRDefault="002F2CA6" w:rsidP="002F2CA6"/>
    <w:p w:rsidR="002F2CA6" w:rsidRDefault="002F2CA6" w:rsidP="002F2CA6"/>
    <w:p w:rsidR="005A3267" w:rsidRDefault="001E3197" w:rsidP="001E3197">
      <w:r>
        <w:rPr>
          <w:noProof/>
          <w:lang w:eastAsia="ko-KR"/>
        </w:rPr>
        <w:drawing>
          <wp:anchor distT="0" distB="0" distL="114300" distR="114300" simplePos="0" relativeHeight="251659264" behindDoc="0" locked="0" layoutInCell="1" hidden="0" allowOverlap="1" wp14:anchorId="376FCC8F" wp14:editId="57075A89">
            <wp:simplePos x="0" y="0"/>
            <wp:positionH relativeFrom="column">
              <wp:posOffset>459519</wp:posOffset>
            </wp:positionH>
            <wp:positionV relativeFrom="paragraph">
              <wp:posOffset>67203</wp:posOffset>
            </wp:positionV>
            <wp:extent cx="607060" cy="640080"/>
            <wp:effectExtent l="0" t="0" r="0" b="0"/>
            <wp:wrapSquare wrapText="bothSides"/>
            <wp:docPr id="1025" name="shape1025"/>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7">
                      <a:extLst>
                        <a:ext uri="{28A0092B-C50C-407E-A947-70E740481C1C}">
                          <a14:useLocalDpi xmlns:a14="http://schemas.microsoft.com/office/drawing/2010/main" val="0"/>
                        </a:ext>
                      </a:extLst>
                    </a:blip>
                    <a:srcRect/>
                    <a:stretch>
                      <a:fillRect/>
                    </a:stretch>
                  </pic:blipFill>
                  <pic:spPr>
                    <a:xfrm>
                      <a:off x="0" y="0"/>
                      <a:ext cx="607060" cy="640080"/>
                    </a:xfrm>
                    <a:prstGeom prst="rect">
                      <a:avLst/>
                    </a:prstGeom>
                  </pic:spPr>
                </pic:pic>
              </a:graphicData>
            </a:graphic>
          </wp:anchor>
        </w:drawing>
      </w:r>
      <w:r>
        <w:t xml:space="preserve">                                                        </w:t>
      </w:r>
      <w:r w:rsidR="002801F3">
        <w:t>February 2026</w:t>
      </w:r>
    </w:p>
    <w:p w:rsidR="005A3267" w:rsidRDefault="002801F3" w:rsidP="001E3197">
      <w:pPr>
        <w:ind w:firstLineChars="200" w:firstLine="440"/>
      </w:pPr>
      <w:r>
        <w:rPr>
          <w:b/>
        </w:rPr>
        <w:t>Korean War Abductees’ Families Association (KWAFU)</w:t>
      </w:r>
    </w:p>
    <w:p w:rsidR="002F2CA6" w:rsidRDefault="002F2CA6">
      <w:pPr>
        <w:jc w:val="center"/>
      </w:pPr>
    </w:p>
    <w:p w:rsidR="002F2CA6" w:rsidRDefault="002F2CA6" w:rsidP="002F2CA6"/>
    <w:p w:rsidR="005A3267" w:rsidRDefault="002801F3" w:rsidP="002F2CA6">
      <w:r>
        <w:t>www.kwafu.org</w:t>
      </w:r>
    </w:p>
    <w:p w:rsidR="005A3267" w:rsidRDefault="002801F3" w:rsidP="002F2CA6">
      <w:r>
        <w:t>153, Imjingak-ro, Munsan-eup, Paju-si, Republic of Korea (10808)</w:t>
      </w:r>
    </w:p>
    <w:p w:rsidR="005A3267" w:rsidRDefault="002801F3" w:rsidP="002F2CA6">
      <w:r>
        <w:t>E-mail: insightr625@kwafu.org</w:t>
      </w:r>
    </w:p>
    <w:p w:rsidR="005A3267" w:rsidRDefault="002801F3" w:rsidP="002F2CA6">
      <w:pPr>
        <w:rPr>
          <w:lang w:eastAsia="ko-KR"/>
        </w:rPr>
      </w:pPr>
      <w:r>
        <w:br w:type="page"/>
      </w:r>
      <w:r>
        <w:lastRenderedPageBreak/>
        <w:t>Table of Contents</w:t>
      </w:r>
    </w:p>
    <w:p w:rsidR="005A3267" w:rsidRDefault="005A3267">
      <w:pPr>
        <w:spacing w:line="480" w:lineRule="auto"/>
      </w:pPr>
    </w:p>
    <w:p w:rsidR="005A3267" w:rsidRDefault="002801F3">
      <w:pPr>
        <w:pStyle w:val="1"/>
        <w:spacing w:line="480" w:lineRule="auto"/>
      </w:pPr>
      <w:r>
        <w:t>Background to the Abductions During the Korean War and the Identified Scope of Victimization</w:t>
      </w:r>
      <w:r>
        <w:rPr>
          <w:lang w:eastAsia="ko-KR"/>
        </w:rPr>
        <w:t xml:space="preserve"> </w:t>
      </w:r>
      <w:r w:rsidR="00182C6F">
        <w:rPr>
          <w:lang w:eastAsia="ko-KR"/>
        </w:rPr>
        <w:tab/>
      </w:r>
      <w:r w:rsidR="00182C6F">
        <w:rPr>
          <w:lang w:eastAsia="ko-KR"/>
        </w:rPr>
        <w:tab/>
      </w:r>
      <w:r w:rsidR="00182C6F">
        <w:rPr>
          <w:lang w:eastAsia="ko-KR"/>
        </w:rPr>
        <w:tab/>
        <w:t xml:space="preserve">    </w:t>
      </w:r>
      <w:r>
        <w:rPr>
          <w:lang w:eastAsia="ko-KR"/>
        </w:rPr>
        <w:t>........................................................................................................................................................</w:t>
      </w:r>
      <w:r w:rsidR="00182C6F">
        <w:rPr>
          <w:lang w:eastAsia="ko-KR"/>
        </w:rPr>
        <w:tab/>
      </w:r>
      <w:r>
        <w:rPr>
          <w:rFonts w:hint="eastAsia"/>
          <w:lang w:eastAsia="ko-KR"/>
        </w:rPr>
        <w:t xml:space="preserve">           3</w:t>
      </w:r>
    </w:p>
    <w:p w:rsidR="005A3267" w:rsidRDefault="002801F3">
      <w:pPr>
        <w:pStyle w:val="1"/>
        <w:spacing w:line="480" w:lineRule="auto"/>
      </w:pPr>
      <w:r>
        <w:t>Suffering of Victims Abducted During the War and Their Families</w:t>
      </w:r>
      <w:r>
        <w:rPr>
          <w:lang w:eastAsia="ko-KR"/>
        </w:rPr>
        <w:t>.............................................</w:t>
      </w:r>
      <w:r>
        <w:rPr>
          <w:rFonts w:hint="eastAsia"/>
          <w:lang w:eastAsia="ko-KR"/>
        </w:rPr>
        <w:t xml:space="preserve">.. </w:t>
      </w:r>
      <w:r>
        <w:rPr>
          <w:rFonts w:hint="eastAsia"/>
          <w:lang w:eastAsia="ko-KR"/>
        </w:rPr>
        <w:tab/>
        <w:t xml:space="preserve">           4</w:t>
      </w:r>
    </w:p>
    <w:p w:rsidR="00182C6F" w:rsidRDefault="002801F3">
      <w:pPr>
        <w:pStyle w:val="1"/>
        <w:spacing w:line="480" w:lineRule="auto"/>
      </w:pPr>
      <w:r>
        <w:t xml:space="preserve">Demands of Families of Wartime Abduction Victims Urging Implementation of Victims’ Rights </w:t>
      </w:r>
    </w:p>
    <w:p w:rsidR="00182C6F" w:rsidRDefault="002801F3" w:rsidP="00182C6F">
      <w:pPr>
        <w:pStyle w:val="1"/>
        <w:numPr>
          <w:ilvl w:val="0"/>
          <w:numId w:val="0"/>
        </w:numPr>
        <w:spacing w:line="480" w:lineRule="auto"/>
        <w:ind w:left="360"/>
      </w:pPr>
      <w:r>
        <w:t xml:space="preserve">to Remedy Under the International Convention for the Protection of All Persons from Enforced </w:t>
      </w:r>
    </w:p>
    <w:p w:rsidR="005A3267" w:rsidRDefault="002801F3" w:rsidP="00182C6F">
      <w:pPr>
        <w:pStyle w:val="1"/>
        <w:numPr>
          <w:ilvl w:val="0"/>
          <w:numId w:val="0"/>
        </w:numPr>
        <w:spacing w:line="480" w:lineRule="auto"/>
        <w:ind w:left="360"/>
      </w:pPr>
      <w:r>
        <w:t>Disappearance</w:t>
      </w:r>
      <w:r w:rsidR="00182C6F">
        <w:t xml:space="preserve"> </w:t>
      </w:r>
      <w:r>
        <w:rPr>
          <w:lang w:eastAsia="ko-KR"/>
        </w:rPr>
        <w:t xml:space="preserve">......................................................................................................................................................             </w:t>
      </w:r>
      <w:r>
        <w:rPr>
          <w:rFonts w:hint="eastAsia"/>
          <w:lang w:eastAsia="ko-KR"/>
        </w:rPr>
        <w:t>6</w:t>
      </w:r>
    </w:p>
    <w:p w:rsidR="00182C6F" w:rsidRDefault="002801F3">
      <w:pPr>
        <w:pStyle w:val="1"/>
        <w:spacing w:line="480" w:lineRule="auto"/>
      </w:pPr>
      <w:r>
        <w:t xml:space="preserve"> Introduction to the Korean War Abductees’ Families Association (KWAFU) and </w:t>
      </w:r>
    </w:p>
    <w:p w:rsidR="00182C6F" w:rsidRDefault="002801F3" w:rsidP="00182C6F">
      <w:pPr>
        <w:pStyle w:val="1"/>
        <w:numPr>
          <w:ilvl w:val="0"/>
          <w:numId w:val="0"/>
        </w:numPr>
        <w:spacing w:line="480" w:lineRule="auto"/>
        <w:ind w:left="360" w:firstLineChars="100" w:firstLine="220"/>
      </w:pPr>
      <w:r>
        <w:t>Recommendations</w:t>
      </w:r>
      <w:r w:rsidR="00182C6F">
        <w:t xml:space="preserve">  </w:t>
      </w:r>
      <w:r w:rsidR="00182C6F">
        <w:rPr>
          <w:lang w:eastAsia="ko-KR"/>
        </w:rPr>
        <w:t xml:space="preserve">.........................................................................................................................................           </w:t>
      </w:r>
      <w:r w:rsidR="00182C6F">
        <w:rPr>
          <w:rFonts w:hint="eastAsia"/>
          <w:lang w:eastAsia="ko-KR"/>
        </w:rPr>
        <w:t>8</w:t>
      </w:r>
    </w:p>
    <w:p w:rsidR="005A3267" w:rsidRDefault="00182C6F" w:rsidP="00182C6F">
      <w:pPr>
        <w:pStyle w:val="1"/>
        <w:numPr>
          <w:ilvl w:val="0"/>
          <w:numId w:val="0"/>
        </w:numPr>
        <w:spacing w:line="480" w:lineRule="auto"/>
        <w:ind w:left="360" w:firstLineChars="100" w:firstLine="220"/>
      </w:pPr>
      <w:r>
        <w:t xml:space="preserve">                  </w:t>
      </w:r>
    </w:p>
    <w:p w:rsidR="005A3267" w:rsidRDefault="002801F3">
      <w:pPr>
        <w:spacing w:line="480" w:lineRule="auto"/>
      </w:pPr>
      <w:r>
        <w:br w:type="page"/>
      </w:r>
    </w:p>
    <w:p w:rsidR="005A3267" w:rsidRDefault="002801F3" w:rsidP="00182C6F">
      <w:pPr>
        <w:pStyle w:val="11"/>
        <w:numPr>
          <w:ilvl w:val="0"/>
          <w:numId w:val="7"/>
        </w:numPr>
      </w:pPr>
      <w:r>
        <w:t>Background to the Abductions During the Korean War and the Identified Scope of Victimization</w:t>
      </w:r>
    </w:p>
    <w:p w:rsidR="005A3267" w:rsidRDefault="002801F3">
      <w:pPr>
        <w:pStyle w:val="2"/>
      </w:pPr>
      <w:r>
        <w:t>1) Definition of Wartime Abductees</w:t>
      </w:r>
    </w:p>
    <w:p w:rsidR="005A3267" w:rsidRDefault="002801F3">
      <w:r>
        <w:t>“Wartime abductees” (abductees during the Korean War) refers to “a citizen of the Republic of Korea (excluding military personnel) who resided in South Korea and, during the Korean War, was forcibly abducted by North Korea against his or her will and consequently detained or made to reside in North Korea.”</w:t>
      </w:r>
      <w:r>
        <w:rPr>
          <w:sz w:val="16"/>
          <w:szCs w:val="16"/>
        </w:rPr>
        <w:footnoteReference w:id="1"/>
      </w:r>
    </w:p>
    <w:p w:rsidR="005A3267" w:rsidRDefault="002801F3">
      <w:pPr>
        <w:pStyle w:val="2"/>
      </w:pPr>
      <w:r>
        <w:t>2) Background and Types of Wartime Abductions</w:t>
      </w:r>
    </w:p>
    <w:p w:rsidR="005A3267" w:rsidRDefault="002801F3">
      <w:r>
        <w:t>During the Korean War, North Korea abducted a substantial number of prominent figures for political purposes, because it needed capable human resources from all sectors to maintain its regime at the time. For this reason, from the early stage of the war—between June 28 and early September—North Korea, under thorough planning, drew up lists and carried out systematic and organized abductions of South Korea’s intellectuals.</w:t>
      </w:r>
    </w:p>
    <w:p w:rsidR="005A3267" w:rsidRDefault="002801F3">
      <w:pPr>
        <w:pStyle w:val="2"/>
      </w:pPr>
      <w:r>
        <w:t>3) Number of Identified Wartime Abductees</w:t>
      </w:r>
    </w:p>
    <w:p w:rsidR="005A3267" w:rsidRDefault="002801F3">
      <w:r>
        <w:t>In the “Report on the Fact-Finding Investigation into Damage from Abductions During the Korean War” published in 2017, the Government of the Republic of Korea announced that the number of wartime abductees was 95,459. However, considering records in materials not yet uncovered and families who were unable to report, the total number of abductees during the Korean War is estimated at approximately 100,000.</w:t>
      </w:r>
    </w:p>
    <w:p w:rsidR="005A3267" w:rsidRDefault="002801F3">
      <w:r>
        <w:t>Although the “Agreement Concerning a Military Armistice in Korea” was concluded on July 27, 1953, and relevant inter-Korean agreements have been adopted since the 2000s at the governmental level or between Red Cross societies, not a single case of actual repatriation or confirmation of life or death has been achieved to date.</w:t>
      </w:r>
    </w:p>
    <w:p w:rsidR="005A3267" w:rsidRDefault="002801F3">
      <w:pPr>
        <w:pStyle w:val="2"/>
      </w:pPr>
      <w:r>
        <w:t>4) Summary of the Identified Abduction Situation</w:t>
      </w:r>
    </w:p>
    <w:p w:rsidR="005A3267" w:rsidRDefault="002801F3">
      <w:pPr>
        <w:pStyle w:val="10"/>
      </w:pPr>
      <w:r>
        <w:t>By region, the Seoul and Gyeonggi areas account for the largest share: 43.9% (41,327 persons).</w:t>
      </w:r>
    </w:p>
    <w:p w:rsidR="005A3267" w:rsidRDefault="002801F3">
      <w:pPr>
        <w:pStyle w:val="10"/>
      </w:pPr>
      <w:r>
        <w:t>By sex, the victims were overwhelmingly male: 96.7% (90,983 persons).</w:t>
      </w:r>
    </w:p>
    <w:p w:rsidR="005A3267" w:rsidRDefault="002801F3">
      <w:pPr>
        <w:pStyle w:val="10"/>
      </w:pPr>
      <w:r>
        <w:t>By location, most were taken from their homes or areas near their homes: 80.2% (77,056 persons).</w:t>
      </w:r>
    </w:p>
    <w:p w:rsidR="005A3267" w:rsidRDefault="002801F3">
      <w:pPr>
        <w:pStyle w:val="10"/>
      </w:pPr>
      <w:r>
        <w:t>By age, most were robust young and middle-aged adults in their 20s, 30s, and 40s: 83.7% (78,792 persons).</w:t>
      </w:r>
    </w:p>
    <w:p w:rsidR="005A3267" w:rsidRDefault="002801F3">
      <w:pPr>
        <w:pStyle w:val="10"/>
      </w:pPr>
      <w:r>
        <w:t>By period, most were abducted in the early months of the war—July, August, and September: 84.4% (79,401 persons).</w:t>
      </w:r>
    </w:p>
    <w:p w:rsidR="005A3267" w:rsidRDefault="002801F3">
      <w:pPr>
        <w:pStyle w:val="2"/>
      </w:pPr>
      <w:r>
        <w:t>5) Evidence of Planned and Organized Abductions Based on the Victimization Pattern</w:t>
      </w:r>
    </w:p>
    <w:p w:rsidR="005A3267" w:rsidRDefault="002801F3">
      <w:pPr>
        <w:pStyle w:val="3"/>
      </w:pPr>
      <w:r>
        <w:t>① Planned Abductions</w:t>
      </w:r>
    </w:p>
    <w:p w:rsidR="005A3267" w:rsidRDefault="002801F3">
      <w:pPr>
        <w:rPr>
          <w:sz w:val="16"/>
          <w:szCs w:val="16"/>
        </w:rPr>
      </w:pPr>
      <w:r>
        <w:t>As shown in the summary above, most wartime abductees were taken from their homes or nearby areas, concentrated in the early stage of the war. The fact that the highest numbers occurred in the Seoul–Gyeonggi region, where many capable societal figures were concentrated, and that abductions were concentrated early in the war, constitutes evidence of planned abductions. This has also been referred to as the so-called “Moshigi Operation.”</w:t>
      </w:r>
      <w:r>
        <w:rPr>
          <w:sz w:val="16"/>
          <w:szCs w:val="16"/>
        </w:rPr>
        <w:footnoteReference w:id="2"/>
      </w:r>
    </w:p>
    <w:p w:rsidR="005A3267" w:rsidRDefault="002801F3">
      <w:pPr>
        <w:pStyle w:val="3"/>
      </w:pPr>
      <w:r>
        <w:t>② Mobilization Abductions</w:t>
      </w:r>
    </w:p>
    <w:p w:rsidR="005A3267" w:rsidRDefault="002801F3">
      <w:r>
        <w:t>In the later stage of the war, North Korea abducted large numbers of young people to mobilize them for collaboration, to replenish the Korean People’s Army, and to secure labor. The concentration of victims in the 20–40 age group is evidence of such “mobilization abductions,” aimed at compensating for shortages in military manpower and labor.</w:t>
      </w:r>
    </w:p>
    <w:p w:rsidR="005A3267" w:rsidRDefault="002801F3">
      <w:pPr>
        <w:pStyle w:val="2"/>
      </w:pPr>
      <w:r>
        <w:t>6) UN COI Report</w:t>
      </w:r>
    </w:p>
    <w:p w:rsidR="005A3267" w:rsidRDefault="002801F3">
      <w:r>
        <w:t>The 2014 COI report characterized North Korea’s systematic and planned abduction of civilians during the Korean War as crimes against humanity. The number of those abducted is estimated at around 100,000. The UN Human Rights Office in Seoul identified abductions during the Korean War (wartime abductions) as enforced disappearances by North Korea, and this can be regarded as the largest and first case among North Korea’s enforced disappearance cases.</w:t>
      </w:r>
      <w:r>
        <w:rPr>
          <w:sz w:val="16"/>
          <w:szCs w:val="16"/>
        </w:rPr>
        <w:footnoteReference w:id="3"/>
      </w:r>
    </w:p>
    <w:p w:rsidR="005A3267" w:rsidRDefault="002801F3" w:rsidP="00026BC8">
      <w:pPr>
        <w:pStyle w:val="11"/>
        <w:ind w:firstLineChars="100" w:firstLine="281"/>
      </w:pPr>
      <w:r>
        <w:t>2. Suffering of Victims Abducted During the War and Their Families</w:t>
      </w:r>
    </w:p>
    <w:p w:rsidR="005A3267" w:rsidRDefault="002801F3">
      <w:pPr>
        <w:pStyle w:val="2"/>
      </w:pPr>
      <w:r>
        <w:t>1) Suffering of Wartime Abduction Victims</w:t>
      </w:r>
    </w:p>
    <w:p w:rsidR="005A3267" w:rsidRDefault="002801F3">
      <w:r>
        <w:t>It is confirmed that wartime abductees were taken in a planned and organized manner, concentrated in July, August, and September in the early stage of the war. Most were young and middle-aged men, and records indicate that from the moment of arrest and transfer they suffered grave human rights violations including threats, torture, and illegal long-term detention. In addition, during the northbound transfer—when they were bound and forced to travel on foot—they endured cold and hunger; records also note that they witnessed indiscriminate massacres of abductees by North Korean forces.</w:t>
      </w:r>
    </w:p>
    <w:p w:rsidR="005A3267" w:rsidRDefault="002801F3">
      <w:r>
        <w:t>Many were professionals—public officials, members of the National Assembly, legal professionals, businesspeople, physicians, and others—who were the intellectuals of the era and patriots who laid the foundations of the Republic of Korea. However, testimony from North Korean defectors indicates that even after being taken to North Korea, they were forced to live as members of the lowest social class.</w:t>
      </w:r>
    </w:p>
    <w:p w:rsidR="005A3267" w:rsidRDefault="002801F3">
      <w:r>
        <w:t>Moreover, it is reported that North Korea also seized abductees’ houses, buildings, and property under the pretexts of “processing projects for registering enemy/hostile property” and “projects for handling confiscated and seized items.” (Sources: U.S. NARA, RG242, Doc. No. SA2009 I, Item #4-124, “Collection of Orders and Directives,” Ucheon-myeon Branch Office (Aug. 1950); and the Report on Fact-Finding into Damage from Abductions During the Korean War, pp. 265–269.)</w:t>
      </w:r>
    </w:p>
    <w:p w:rsidR="005A3267" w:rsidRDefault="002801F3">
      <w:pPr>
        <w:pStyle w:val="2"/>
      </w:pPr>
      <w:r>
        <w:t>2) Suffering of Families of Wartime Abductees</w:t>
      </w:r>
    </w:p>
    <w:p w:rsidR="005A3267" w:rsidRDefault="002801F3">
      <w:pPr>
        <w:pStyle w:val="10"/>
      </w:pPr>
      <w:r>
        <w:rPr>
          <w:b/>
        </w:rPr>
        <w:t>Daily pain akin to torture</w:t>
      </w:r>
    </w:p>
    <w:p w:rsidR="005A3267" w:rsidRDefault="002801F3">
      <w:r>
        <w:t>Families of approximately 100,000 abductees lost the head of the household overnight and faced not only severe livelihood difficulties but also a lifetime of anguish, living in constant fear while waiting for any news of their abducted husbands, fathers, children, and siblings. The pain of longing—still without knowing whether their loved ones are alive or dead even after 76 years—is described as pain like being tortured every day. Many family members have testified that, hoping their fathers would return, they never moved houses and continued to set aside a meal for their fathers each day by the hearth, waiting.</w:t>
      </w:r>
    </w:p>
    <w:p w:rsidR="005A3267" w:rsidRDefault="002801F3">
      <w:pPr>
        <w:pStyle w:val="10"/>
      </w:pPr>
      <w:r>
        <w:rPr>
          <w:b/>
        </w:rPr>
        <w:t>Hardships from guilt-by-association (collective punishment)</w:t>
      </w:r>
    </w:p>
    <w:p w:rsidR="005A3267" w:rsidRDefault="002801F3">
      <w:r>
        <w:t>Even in South Korea, families suffered disadvantages in background checks due to guilt-by-association and were sometimes placed under social surveillance. Simply because they had family in North Korea, they endured discrimination and psychological harm, including being treated as “communists.”</w:t>
      </w:r>
    </w:p>
    <w:p w:rsidR="005A3267" w:rsidRDefault="002801F3">
      <w:pPr>
        <w:pStyle w:val="10"/>
      </w:pPr>
      <w:r>
        <w:rPr>
          <w:b/>
        </w:rPr>
        <w:t>Waiting amid suffering and the Government’s indifference</w:t>
      </w:r>
    </w:p>
    <w:p w:rsidR="005A3267" w:rsidRDefault="002801F3">
      <w:r>
        <w:t>Deprived both of the right to be together and of the rights owed to them as citizens who should be protected by the State, the abductees’ families have suffered for 76 years without any information or confirmation of life or death. Their pain was thoroughly ignored not only throughout multiple inter-Korean talks but even during two occasions when South Korea met with North Korea’s supreme leader. It is pain akin to having one’s very existence denied when the State turns away from and allows to be forgotten the fathers and brothers who devoted themselves to laying the foundations of the country. To ensure that this pain finally ends and that these wounds can begin to heal, it is necessary to secure—within the shortest possible time—North Korea’s acknowledgment of the abductions, confirmation of life or death, and the return of remains.</w:t>
      </w:r>
    </w:p>
    <w:p w:rsidR="005A3267" w:rsidRDefault="002801F3" w:rsidP="00026BC8">
      <w:pPr>
        <w:pStyle w:val="11"/>
        <w:ind w:firstLineChars="100" w:firstLine="281"/>
      </w:pPr>
      <w:r>
        <w:t>3. Demands of Families of Wartime Abduction Victims Urging Implementation of Victims’ Rights to Remedy Under the Convention</w:t>
      </w:r>
    </w:p>
    <w:p w:rsidR="005A3267" w:rsidRDefault="002801F3">
      <w:pPr>
        <w:pStyle w:val="2"/>
      </w:pPr>
      <w:r>
        <w:t>1) The Government of the Republic of Korea must acknowledge its failure to fulfill its duty to protect its nationals, issue an apology, and establish compensation and support measures for wartime abduction victims.</w:t>
      </w:r>
    </w:p>
    <w:p w:rsidR="005A3267" w:rsidRDefault="002801F3">
      <w:pPr>
        <w:pStyle w:val="10"/>
      </w:pPr>
      <w:r>
        <w:t>Wartime abductions are not ordinary war damage; they are the result of crimes against humanity committed by North Korea. Government officials and members of the National Assembly must recognize the State’s failure to fulfill its duty to protect its nationals and enact a compensation and support law for wartime abduction victims. The Government of the Republic of Korea cannot be free from responsibility for having failed—so far—to achieve the return or even confirmation of life or death for a single abductee, and for failing to establish compensation and support measures.</w:t>
      </w:r>
    </w:p>
    <w:p w:rsidR="005A3267" w:rsidRDefault="002801F3">
      <w:pPr>
        <w:pStyle w:val="10"/>
      </w:pPr>
      <w:r>
        <w:t>Even after 76 years, the Government of the Republic of Korea has not rescued a single wartime abductee, nor opened any path for confirmation of life or death. The UN previously characterized North Korea’s forced abduction cases as crimes against humanity in the 2010 COI report. After the National Assembly adopted the ratification consent resolution on December 8, 2022, the Government of the Republic of Korea brought the Convention into force on February 3, 2023. Nevertheless, it has not established compensation and support measures—one of the victims’ rights to remedy—for abductees.</w:t>
      </w:r>
    </w:p>
    <w:p w:rsidR="005A3267" w:rsidRDefault="002801F3">
      <w:pPr>
        <w:pStyle w:val="10"/>
      </w:pPr>
      <w:r>
        <w:t>While compensation and support laws have already been enacted for post-war abductees and victims of the Jeju 4·3 Incident, the continued absence of compensation and support measures only for wartime abductees is also contrary to principles of equity.</w:t>
      </w:r>
    </w:p>
    <w:p w:rsidR="005A3267" w:rsidRDefault="002801F3">
      <w:pPr>
        <w:pStyle w:val="2"/>
      </w:pPr>
      <w:r>
        <w:t>2) A pathway must be established for families to visit North Korea to pay respects at gravesites during major holidays.</w:t>
      </w:r>
    </w:p>
    <w:p w:rsidR="005A3267" w:rsidRDefault="002801F3">
      <w:pPr>
        <w:pStyle w:val="10"/>
      </w:pPr>
      <w:r>
        <w:t>Not only the direct victims but also the second generation are now elderly, and many have already passed away; there truly is no time left. All government policies and implementation plans must be premised on this reality.</w:t>
      </w:r>
    </w:p>
    <w:p w:rsidR="005A3267" w:rsidRDefault="002801F3">
      <w:pPr>
        <w:pStyle w:val="10"/>
      </w:pPr>
      <w:r>
        <w:t>Families exhausted by more than 75 years of longing—primarily the second generation—wish to see at least some trace of their fathers and brothers before they die. International pressure, together with action by the Government of the Republic of Korea, is needed so that families can visit gravesites during holidays such as Lunar New Year and Chuseok.</w:t>
      </w:r>
    </w:p>
    <w:p w:rsidR="005A3267" w:rsidRDefault="002801F3">
      <w:pPr>
        <w:pStyle w:val="2"/>
      </w:pPr>
      <w:r>
        <w:t>3) The State should begin a project to recover the remains of abductees.</w:t>
      </w:r>
    </w:p>
    <w:p w:rsidR="005A3267" w:rsidRDefault="002801F3">
      <w:pPr>
        <w:pStyle w:val="10"/>
      </w:pPr>
      <w:r>
        <w:t>As a means of bringing abducted family members home, the time has come to initiate a project to recover the remains of those who have died. Through the recovery of remains, it will be possible to identify areas of inter-Korean exchange and cooperation on humanitarian grounds rather than as a confrontation between systems. The Government is urged to expand the terminology from “confirmation of life or death and repatriation” to “confirmation of life or death, repatriation, and recovery and repatriation of remains.”</w:t>
      </w:r>
      <w:r>
        <w:rPr>
          <w:rStyle w:val="af9"/>
        </w:rPr>
        <w:footnoteReference w:id="4"/>
      </w:r>
    </w:p>
    <w:p w:rsidR="005A3267" w:rsidRDefault="002801F3">
      <w:pPr>
        <w:pStyle w:val="2"/>
      </w:pPr>
      <w:r>
        <w:t>4) The Government must adopt and consistently apply a victim-centered approach to the abduction issue.</w:t>
      </w:r>
    </w:p>
    <w:p w:rsidR="005A3267" w:rsidRDefault="002801F3">
      <w:pPr>
        <w:pStyle w:val="10"/>
      </w:pPr>
      <w:r>
        <w:t>Abductees are not voluntary separated families. This is not merely a family matter of separation and inability to reunite; it is a clear case of victims of a crime, and clear accountability must be established. Without being overly concerned about North Korea’s reactions, the Government should confidently use the unequivocal term “abductees” and ensure that the abduction issue is adopted as the highest-priority agenda item at the negotiating table with North Korea.</w:t>
      </w:r>
    </w:p>
    <w:p w:rsidR="005A3267" w:rsidRDefault="002801F3">
      <w:pPr>
        <w:pStyle w:val="2"/>
      </w:pPr>
      <w:r>
        <w:t>5) Proper historical education on the Korean War must be ensured.</w:t>
      </w:r>
    </w:p>
    <w:p w:rsidR="005A3267" w:rsidRDefault="002801F3">
      <w:pPr>
        <w:pStyle w:val="10"/>
      </w:pPr>
      <w:r>
        <w:t>The Government should ensure that primary and secondary history textbooks clearly state that the Korean War began with North Korea’s invasion of the South and teach students about North Korea’s crimes against humanity, including massacres of civilians and abductions. In particular, beyond the issue of ROK POWs, textbooks must also include the abduction of civilians so that the State fulfills its obligation to educate the growing generation about the history of enforced disappearance victimization.</w:t>
      </w:r>
    </w:p>
    <w:p w:rsidR="005A3267" w:rsidRDefault="002801F3" w:rsidP="00026BC8">
      <w:pPr>
        <w:pStyle w:val="2"/>
        <w:ind w:left="261" w:hangingChars="100" w:hanging="261"/>
      </w:pPr>
      <w:r>
        <w:t>6) The State must draw out genuine accountability by North Korea regarding forced abduction and detention.</w:t>
      </w:r>
    </w:p>
    <w:p w:rsidR="005A3267" w:rsidRDefault="002801F3">
      <w:pPr>
        <w:pStyle w:val="10"/>
      </w:pPr>
      <w:r>
        <w:t>Despite specific and diverse evidence, North Korea maintains the position that it has no abductees. The State must seek ways to change this stance and persuade North Korea, finding an approach that remains faithful to the core of the issue.</w:t>
      </w:r>
    </w:p>
    <w:p w:rsidR="005A3267" w:rsidRDefault="002801F3">
      <w:pPr>
        <w:pStyle w:val="10"/>
      </w:pPr>
      <w:r>
        <w:t>The State should actively explore practical measures to hold North Korea accountable, including referral to the ICC. Recent proposals such as the European Union’s proposal for the “establishment of a special tribunal,” or the proposal for establishing a standing COI on DPRK human rights (proposed by Song Sang-hyun), are expected to be good alternatives.</w:t>
      </w:r>
    </w:p>
    <w:p w:rsidR="005A3267" w:rsidRDefault="002801F3">
      <w:pPr>
        <w:pStyle w:val="10"/>
      </w:pPr>
      <w:r>
        <w:t>North Korea must be made to acknowledge the abduction of civilians and bear appropriate responsibility for those abductions.</w:t>
      </w:r>
    </w:p>
    <w:p w:rsidR="005A3267" w:rsidRDefault="002801F3" w:rsidP="002C4112">
      <w:pPr>
        <w:pStyle w:val="2"/>
        <w:ind w:left="261" w:hangingChars="100" w:hanging="261"/>
      </w:pPr>
      <w:r>
        <w:t>7) The wartime abduction issue must be actively and continuously communicated to the international community.</w:t>
      </w:r>
    </w:p>
    <w:p w:rsidR="005A3267" w:rsidRDefault="002801F3">
      <w:pPr>
        <w:pStyle w:val="10"/>
      </w:pPr>
      <w:r>
        <w:t>Active participation in the UN UPR (Universal Periodic Review)</w:t>
      </w:r>
      <w:r>
        <w:rPr>
          <w:sz w:val="16"/>
          <w:szCs w:val="16"/>
        </w:rPr>
        <w:footnoteReference w:id="5"/>
      </w:r>
    </w:p>
    <w:p w:rsidR="005A3267" w:rsidRDefault="002801F3">
      <w:pPr>
        <w:pStyle w:val="10"/>
      </w:pPr>
      <w:r>
        <w:t>Submission of cases to the UN WGEID (Working Group on Enforced or Involuntary Disappearances)</w:t>
      </w:r>
      <w:r>
        <w:rPr>
          <w:sz w:val="16"/>
          <w:szCs w:val="16"/>
        </w:rPr>
        <w:footnoteReference w:id="6"/>
      </w:r>
    </w:p>
    <w:p w:rsidR="005A3267" w:rsidRDefault="002801F3">
      <w:pPr>
        <w:pStyle w:val="10"/>
      </w:pPr>
      <w:r>
        <w:t>Continued international publicization of the Korean War abduction issue by actively utilizing UN mechanisms</w:t>
      </w:r>
      <w:r>
        <w:rPr>
          <w:sz w:val="16"/>
          <w:szCs w:val="16"/>
        </w:rPr>
        <w:footnoteReference w:id="7"/>
      </w:r>
    </w:p>
    <w:p w:rsidR="005A3267" w:rsidRDefault="002801F3">
      <w:pPr>
        <w:pStyle w:val="2"/>
      </w:pPr>
      <w:r>
        <w:t>8) Establish a dedicated government unit for abductees and unlawfully detained nationals.</w:t>
      </w:r>
    </w:p>
    <w:p w:rsidR="005A3267" w:rsidRDefault="002801F3">
      <w:pPr>
        <w:pStyle w:val="10"/>
      </w:pPr>
      <w:r>
        <w:t>A dedicated unit—directly under the President—should be established to continuously and systematically undertake efforts to rescue wartime abductees and unlawfully detained nationals, determine accountability, and provide remedies, regardless of changes in administration, and to continue its work until not a single detained national remains.</w:t>
      </w:r>
    </w:p>
    <w:p w:rsidR="005A3267" w:rsidRDefault="002801F3" w:rsidP="00026BC8">
      <w:pPr>
        <w:pStyle w:val="11"/>
        <w:ind w:firstLineChars="100" w:firstLine="281"/>
      </w:pPr>
      <w:r>
        <w:t>4. Introduction to KWAFU and Re</w:t>
      </w:r>
      <w:r w:rsidR="00712FB2">
        <w:t>quests</w:t>
      </w:r>
      <w:bookmarkStart w:id="0" w:name="_GoBack"/>
      <w:bookmarkEnd w:id="0"/>
    </w:p>
    <w:p w:rsidR="005A3267" w:rsidRDefault="002801F3">
      <w:pPr>
        <w:pStyle w:val="2"/>
      </w:pPr>
      <w:r>
        <w:t>1) Establishment and Activities of the Association</w:t>
      </w:r>
    </w:p>
    <w:p w:rsidR="005A3267" w:rsidRDefault="002801F3">
      <w:r>
        <w:t>Families of abductees formed an abductees’ family association and began activities to rescue abducted family members starting from wartime evacuation shelters (1951–1960).</w:t>
      </w:r>
      <w:r>
        <w:rPr>
          <w:sz w:val="16"/>
          <w:szCs w:val="16"/>
        </w:rPr>
        <w:footnoteReference w:id="8"/>
      </w:r>
    </w:p>
    <w:p w:rsidR="005A3267" w:rsidRDefault="002801F3">
      <w:r>
        <w:t>They carried out vigorous campaigns—including compiling the “List of Persons Abducted During the June 25 Incident” three times, holding rescue rallies, and conducting a one-million-signature campaign—yet, amid social turmoil caused by North Korea’s infiltration of spies, they suffered damage such as guilt-by-association and surveillance, and as a result were forced to halt their activities.</w:t>
      </w:r>
    </w:p>
    <w:p w:rsidR="005A3267" w:rsidRDefault="002801F3">
      <w:r>
        <w:t>Thereafter, the second generation of wartime abductees re-established the association in November 2000 and, under the name “Korean War Abductees’ Families Association (KWAFU),” has continued activities up to January 2026, including efforts to discover abductees lists, uncover and collect related documentary materials, and record testimonies from abductees’ families.</w:t>
      </w:r>
      <w:r>
        <w:rPr>
          <w:sz w:val="16"/>
          <w:szCs w:val="16"/>
        </w:rPr>
        <w:footnoteReference w:id="9"/>
      </w:r>
    </w:p>
    <w:p w:rsidR="005A3267" w:rsidRDefault="002801F3">
      <w:pPr>
        <w:pStyle w:val="2"/>
      </w:pPr>
      <w:r>
        <w:t>2) Re</w:t>
      </w:r>
      <w:r w:rsidR="00D13384">
        <w:t>quest</w:t>
      </w:r>
      <w:r>
        <w:t>s from the Association to the UN Committee on Enforced Disappearances (CED)</w:t>
      </w:r>
    </w:p>
    <w:p w:rsidR="005A3267" w:rsidRDefault="002801F3">
      <w:r>
        <w:t>The abduction of civilians during the Korean War is clearly a grave war crime and an anti-human-rights crime. North Korea has consistently claimed that “issues related to abductees are political manipulation,” maintaining an attitude incompatible with international organizations such as the UN and relevant international norms. However, as set forth in the Convention, the abductee issue is not a political matter but a matter of universal human rights.</w:t>
      </w:r>
    </w:p>
    <w:p w:rsidR="005A3267" w:rsidRDefault="002801F3">
      <w:r>
        <w:t>While urging the Government of the Republic of Korea to implement the Convention in a concrete and genuine manner, we, the families of abductees, also urge the UN to undertake more proactive and effective action concerning crimes against humanity that continue to be committed, including the abduction and killing of civilians by North Korea, as well as the human rights situation of the North Korean people.</w:t>
      </w:r>
    </w:p>
    <w:p w:rsidR="005A3267" w:rsidRDefault="002801F3">
      <w:r>
        <w:t>Although the UN COI report published more than ten years ago in 2014 designated North Korea as a perpetrator of crimes against humanity, little change or deterrent effect has been observed. Rather, we have witnessed that North Korea has since pursued further nuclear weapons development and missile launches and has harmed international peace and order even more, including by dispatching troops to the Russia–Ukraine war. Therefore, to bring about genuine change and resolution efforts by North Korea on the DPRK human rights issue—including the wartime abduction issue—namely acknowledgment of responsibility and reparations, UN measures that go beyond “naming and shaming” are indispensable. We request UN-level institutional improvements and practical regulatory measures so that referral to and punishment by the ICC or ICJ for North Korea’s crimes against humanity can be made possible.</w:t>
      </w:r>
    </w:p>
    <w:sectPr w:rsidR="005A3267">
      <w:footerReference w:type="default" r:id="rId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4A1" w:rsidRDefault="009C44A1">
      <w:pPr>
        <w:spacing w:after="0" w:line="240" w:lineRule="auto"/>
      </w:pPr>
      <w:r>
        <w:separator/>
      </w:r>
    </w:p>
  </w:endnote>
  <w:endnote w:type="continuationSeparator" w:id="0">
    <w:p w:rsidR="009C44A1" w:rsidRDefault="009C4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
      <w:docPartObj>
        <w:docPartGallery w:val="Page Numbers (Bottom of Page)"/>
        <w:docPartUnique/>
      </w:docPartObj>
    </w:sdtPr>
    <w:sdtEndPr/>
    <w:sdtContent>
      <w:p w:rsidR="005A3267" w:rsidRDefault="002801F3">
        <w:pPr>
          <w:pStyle w:val="13"/>
          <w:jc w:val="center"/>
        </w:pPr>
        <w:r>
          <w:fldChar w:fldCharType="begin"/>
        </w:r>
        <w:r>
          <w:instrText xml:space="preserve"> PAGE   \* MERGEFORMAT </w:instrText>
        </w:r>
        <w:r>
          <w:fldChar w:fldCharType="separate"/>
        </w:r>
        <w:r w:rsidR="00712FB2">
          <w:rPr>
            <w:noProof/>
          </w:rPr>
          <w:t>8</w:t>
        </w:r>
        <w:r>
          <w:fldChar w:fldCharType="end"/>
        </w:r>
      </w:p>
      <w:p w:rsidR="005A3267" w:rsidRDefault="009C44A1"/>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4A1" w:rsidRDefault="009C44A1">
      <w:pPr>
        <w:spacing w:after="0" w:line="240" w:lineRule="auto"/>
      </w:pPr>
      <w:r>
        <w:separator/>
      </w:r>
    </w:p>
  </w:footnote>
  <w:footnote w:type="continuationSeparator" w:id="0">
    <w:p w:rsidR="009C44A1" w:rsidRDefault="009C44A1">
      <w:pPr>
        <w:spacing w:after="0" w:line="240" w:lineRule="auto"/>
      </w:pPr>
      <w:r>
        <w:continuationSeparator/>
      </w:r>
    </w:p>
  </w:footnote>
  <w:footnote w:id="1">
    <w:p w:rsidR="005A3267" w:rsidRDefault="002801F3">
      <w:r>
        <w:rPr>
          <w:rFonts w:ascii="맑은 고딕" w:eastAsia="맑은 고딕" w:hAnsi="맑은 고딕" w:cs="맑은 고딕"/>
          <w:sz w:val="18"/>
          <w:szCs w:val="18"/>
        </w:rPr>
        <w:footnoteRef/>
      </w:r>
      <w:r>
        <w:rPr>
          <w:rFonts w:ascii="맑은 고딕" w:eastAsia="맑은 고딕" w:hAnsi="맑은 고딕" w:cs="맑은 고딕"/>
          <w:sz w:val="18"/>
          <w:szCs w:val="18"/>
        </w:rPr>
        <w:t xml:space="preserve"> Article 2(1) of the “Act on Fact-Finding of Damage from Abductions During the Korean War and the Restoration of Honor of the Victims of Abduction” (promulgated as Act No. 10190 on March 26, 2010).</w:t>
      </w:r>
    </w:p>
  </w:footnote>
  <w:footnote w:id="2">
    <w:p w:rsidR="005A3267" w:rsidRDefault="002801F3">
      <w:r>
        <w:rPr>
          <w:rFonts w:ascii="맑은 고딕" w:eastAsia="맑은 고딕" w:hAnsi="맑은 고딕" w:cs="맑은 고딕"/>
          <w:sz w:val="18"/>
          <w:szCs w:val="18"/>
        </w:rPr>
        <w:footnoteRef/>
      </w:r>
      <w:r>
        <w:rPr>
          <w:rFonts w:ascii="맑은 고딕" w:eastAsia="맑은 고딕" w:hAnsi="맑은 고딕" w:cs="맑은 고딕"/>
          <w:sz w:val="18"/>
          <w:szCs w:val="18"/>
        </w:rPr>
        <w:t xml:space="preserve"> “Moshigi Operation,” Kim Il Sung Works, Vol. 4, speech: “On Bringing Intellectuals from South Korea,” July 31, 1946.</w:t>
      </w:r>
    </w:p>
  </w:footnote>
  <w:footnote w:id="3">
    <w:p w:rsidR="005A3267" w:rsidRDefault="002801F3">
      <w:r>
        <w:rPr>
          <w:rFonts w:ascii="맑은 고딕" w:eastAsia="맑은 고딕" w:hAnsi="맑은 고딕" w:cs="맑은 고딕"/>
          <w:sz w:val="18"/>
          <w:szCs w:val="18"/>
        </w:rPr>
        <w:footnoteRef/>
      </w:r>
      <w:r>
        <w:rPr>
          <w:rFonts w:ascii="맑은 고딕" w:eastAsia="맑은 고딕" w:hAnsi="맑은 고딕" w:cs="맑은 고딕"/>
          <w:sz w:val="18"/>
          <w:szCs w:val="18"/>
        </w:rPr>
        <w:t xml:space="preserve"> “Unhealed Wounds”—Enforced Disappearances and Abductions by the Democratic People’s Republic of Korea, Office of the United Nations High Commissioner for Human Rights (Seoul), pp. 12–14.</w:t>
      </w:r>
    </w:p>
  </w:footnote>
  <w:footnote w:id="4">
    <w:p w:rsidR="005A3267" w:rsidRDefault="002801F3">
      <w:pPr>
        <w:pStyle w:val="afa"/>
      </w:pPr>
      <w:r>
        <w:rPr>
          <w:rStyle w:val="af9"/>
          <w:rFonts w:ascii="맑은 고딕" w:eastAsia="맑은 고딕" w:hAnsi="맑은 고딕"/>
        </w:rPr>
        <w:footnoteRef/>
      </w:r>
      <w:r>
        <w:rPr>
          <w:rFonts w:ascii="맑은 고딕" w:eastAsia="맑은 고딕" w:hAnsi="맑은 고딕"/>
        </w:rPr>
        <w:t xml:space="preserve"> </w:t>
      </w:r>
      <w:r>
        <w:rPr>
          <w:rFonts w:ascii="맑은 고딕" w:eastAsia="맑은 고딕" w:hAnsi="맑은 고딕" w:cs="맑은 고딕"/>
          <w:sz w:val="18"/>
          <w:szCs w:val="18"/>
        </w:rPr>
        <w:t>On December 5, 2025, the expert committee of the National Human Rights Commission of Korea decided—considering the ages of wartime abductees—to change the terminology from “confirmation of life/death and repatriation” to “confirmation of life/death, repatriation, and recovery and repatriation of remains.”</w:t>
      </w:r>
    </w:p>
  </w:footnote>
  <w:footnote w:id="5">
    <w:p w:rsidR="005A3267" w:rsidRDefault="002801F3">
      <w:r>
        <w:rPr>
          <w:rFonts w:ascii="맑은 고딕" w:eastAsia="맑은 고딕" w:hAnsi="맑은 고딕" w:cs="맑은 고딕"/>
          <w:sz w:val="18"/>
          <w:szCs w:val="18"/>
        </w:rPr>
        <w:footnoteRef/>
      </w:r>
      <w:r>
        <w:rPr>
          <w:rFonts w:ascii="맑은 고딕" w:eastAsia="맑은 고딕" w:hAnsi="맑은 고딕" w:cs="맑은 고딕"/>
          <w:sz w:val="18"/>
          <w:szCs w:val="18"/>
        </w:rPr>
        <w:t xml:space="preserve"> In the 2024 DPRK UPR, 18 UN Member States issued recommendations regarding enforced disappearances by North Korea, and 12 of them made specific references to victims abducted during the Korean War. In particular, Mexico specifically mentioned that, among the approximately 100,000 wartime abductees, priority should be given to confirming the life/death status and repatriation of 4,777 identified victims based on the ROK’s 2017 truth-finding on Korean War abductions.</w:t>
      </w:r>
    </w:p>
  </w:footnote>
  <w:footnote w:id="6">
    <w:p w:rsidR="005A3267" w:rsidRDefault="002801F3">
      <w:r>
        <w:rPr>
          <w:rFonts w:ascii="맑은 고딕" w:eastAsia="맑은 고딕" w:hAnsi="맑은 고딕" w:cs="맑은 고딕"/>
          <w:sz w:val="18"/>
          <w:szCs w:val="18"/>
        </w:rPr>
        <w:footnoteRef/>
      </w:r>
      <w:r>
        <w:rPr>
          <w:rFonts w:ascii="맑은 고딕" w:eastAsia="맑은 고딕" w:hAnsi="맑은 고딕" w:cs="맑은 고딕"/>
          <w:sz w:val="18"/>
          <w:szCs w:val="18"/>
        </w:rPr>
        <w:t xml:space="preserve"> As of 2025, 171 wartime abductees of the Korean War have been reported to the UN WGEID; among them, 121 cases were actually transmitted to North Korea, and it is stated that 181 responses were received.</w:t>
      </w:r>
    </w:p>
  </w:footnote>
  <w:footnote w:id="7">
    <w:p w:rsidR="005A3267" w:rsidRDefault="002801F3">
      <w:r>
        <w:rPr>
          <w:rFonts w:ascii="맑은 고딕" w:eastAsia="맑은 고딕" w:hAnsi="맑은 고딕" w:cs="맑은 고딕"/>
          <w:sz w:val="18"/>
          <w:szCs w:val="18"/>
        </w:rPr>
        <w:footnoteRef/>
      </w:r>
      <w:r>
        <w:rPr>
          <w:rFonts w:ascii="맑은 고딕" w:eastAsia="맑은 고딕" w:hAnsi="맑은 고딕" w:cs="맑은 고딕"/>
          <w:sz w:val="18"/>
          <w:szCs w:val="18"/>
        </w:rPr>
        <w:t xml:space="preserve"> Including the adoption, at the 61st UN General Assembly in 2006, of a DPRK human rights resolution that includes the abduction issue; and international pressure through a UN Security Council meeting for implementation of Security Council resolution 2474 in 2019; in 2025—75 years after the abductions began—the Chairperson of this Association had an opportunity for the first time to testify before the UN Security Council.</w:t>
      </w:r>
    </w:p>
  </w:footnote>
  <w:footnote w:id="8">
    <w:p w:rsidR="005A3267" w:rsidRDefault="002801F3">
      <w:r>
        <w:rPr>
          <w:rFonts w:ascii="맑은 고딕" w:eastAsia="맑은 고딕" w:hAnsi="맑은 고딕" w:cs="맑은 고딕"/>
          <w:sz w:val="18"/>
          <w:szCs w:val="18"/>
        </w:rPr>
        <w:footnoteRef/>
      </w:r>
      <w:r>
        <w:rPr>
          <w:rFonts w:ascii="맑은 고딕" w:eastAsia="맑은 고딕" w:hAnsi="맑은 고딕" w:cs="맑은 고딕"/>
          <w:sz w:val="18"/>
          <w:szCs w:val="18"/>
        </w:rPr>
        <w:t xml:space="preserve"> In September 1951, for the first time, abductees’ wives formed the “Families Association of Persons Abducted During the June 25 Incident.” Despite the war, they worked through the association in many ways—such as rescue rallies and a one-million-signature campaign—to bring back their husbands, children, and brothers. They also compiled the “List of Persons Abducted During the June 25 Incident” three times (Sources: the List; the Korean War Abductees Name Book, pp. 24 and 26). One of these was an English version intended to be submitted to the UN Command requesting rescue, but it is said it was ultimately not submitted.</w:t>
      </w:r>
    </w:p>
  </w:footnote>
  <w:footnote w:id="9">
    <w:p w:rsidR="005A3267" w:rsidRDefault="002801F3">
      <w:r>
        <w:rPr>
          <w:rFonts w:ascii="맑은 고딕" w:eastAsia="맑은 고딕" w:hAnsi="맑은 고딕" w:cs="맑은 고딕"/>
          <w:sz w:val="18"/>
          <w:szCs w:val="18"/>
          <w:lang w:eastAsia="ko-KR"/>
        </w:rPr>
        <w:t xml:space="preserve">9 </w:t>
      </w:r>
      <w:r>
        <w:rPr>
          <w:rFonts w:ascii="맑은 고딕" w:eastAsia="맑은 고딕" w:hAnsi="맑은 고딕" w:cs="맑은 고딕"/>
          <w:sz w:val="18"/>
          <w:szCs w:val="18"/>
        </w:rPr>
        <w:t>KWAFU is a non-profit civic organization. Its purpose is truth-finding regarding victims of abduction during the Korean War; confirmation of life or death / repatriation and recovery / repatriation of remains; restoration of honor; and accountability. To collect evidence, KWAFU has made the discovery of abductees lists its top priority and has uncovered 11 of the 12 types of lists discovered to date. It has also carried out the discovery and collection of documentary materials related to wartime abductions and recorded testimonies from abductees’ families (253 cases), publishing a testimony record series (a total of five volumes so far).</w:t>
      </w:r>
      <w:r>
        <w:br/>
      </w:r>
      <w:r>
        <w:rPr>
          <w:rFonts w:ascii="맑은 고딕" w:eastAsia="맑은 고딕" w:hAnsi="맑은 고딕" w:cs="맑은 고딕"/>
          <w:sz w:val="18"/>
          <w:szCs w:val="18"/>
        </w:rPr>
        <w:tab/>
        <w:t>▶︎ KWAFU demanded that the Government and National Assembly enact and promulgate an act on fact-finding into damage from abductions during the Korean War and the restoration of honor of abductees; based on that act:</w:t>
      </w:r>
      <w:r>
        <w:br/>
      </w:r>
      <w:r>
        <w:rPr>
          <w:rFonts w:ascii="맑은 고딕" w:eastAsia="맑은 고딕" w:hAnsi="맑은 고딕" w:cs="맑은 고딕"/>
          <w:sz w:val="18"/>
          <w:szCs w:val="18"/>
        </w:rPr>
        <w:tab/>
      </w:r>
      <w:r>
        <w:rPr>
          <w:rFonts w:ascii="맑은 고딕" w:eastAsia="맑은 고딕" w:hAnsi="맑은 고딕" w:cs="맑은 고딕"/>
          <w:sz w:val="18"/>
          <w:szCs w:val="18"/>
        </w:rPr>
        <w:tab/>
        <w:t>- Published the “Report on Fact-Finding into Damage from Abductions During the Korean War” and the “Roster/List of Persons Abducted During the Korean War”;</w:t>
      </w:r>
      <w:r>
        <w:br/>
      </w:r>
      <w:r>
        <w:rPr>
          <w:rFonts w:ascii="맑은 고딕" w:eastAsia="맑은 고딕" w:hAnsi="맑은 고딕" w:cs="맑은 고딕"/>
          <w:sz w:val="18"/>
          <w:szCs w:val="18"/>
        </w:rPr>
        <w:tab/>
      </w:r>
      <w:r>
        <w:rPr>
          <w:rFonts w:ascii="맑은 고딕" w:eastAsia="맑은 고딕" w:hAnsi="맑은 고딕" w:cs="맑은 고딕"/>
          <w:sz w:val="18"/>
          <w:szCs w:val="18"/>
        </w:rPr>
        <w:tab/>
        <w:t>- Established the “Korean War Abductees Memorial Hall”;</w:t>
      </w:r>
      <w:r>
        <w:br/>
      </w:r>
      <w:r>
        <w:rPr>
          <w:rFonts w:ascii="맑은 고딕" w:eastAsia="맑은 고딕" w:hAnsi="맑은 고딕" w:cs="맑은 고딕"/>
          <w:sz w:val="18"/>
          <w:szCs w:val="18"/>
        </w:rPr>
        <w:tab/>
      </w:r>
      <w:r>
        <w:rPr>
          <w:rFonts w:ascii="맑은 고딕" w:eastAsia="맑은 고딕" w:hAnsi="맑은 고딕" w:cs="맑은 고딕"/>
          <w:sz w:val="18"/>
          <w:szCs w:val="18"/>
        </w:rPr>
        <w:tab/>
        <w:t>- Designated the “Korean War Abductees Remembrance Day” as a statutory commemorative day (November 2024);</w:t>
      </w:r>
      <w:r>
        <w:br/>
      </w:r>
      <w:r>
        <w:rPr>
          <w:rFonts w:ascii="맑은 고딕" w:eastAsia="맑은 고딕" w:hAnsi="맑은 고딕" w:cs="맑은 고딕"/>
          <w:sz w:val="18"/>
          <w:szCs w:val="18"/>
        </w:rPr>
        <w:tab/>
      </w:r>
      <w:r>
        <w:rPr>
          <w:rFonts w:ascii="맑은 고딕" w:eastAsia="맑은 고딕" w:hAnsi="맑은 고딕" w:cs="맑은 고딕"/>
          <w:sz w:val="18"/>
          <w:szCs w:val="18"/>
        </w:rPr>
        <w:tab/>
        <w:t>- With the enactment of the “Korean War Abductees Remembrance Act,” KWAFU was designated as a statutory organization (January 2026).</w:t>
      </w:r>
      <w:r>
        <w:br/>
      </w:r>
      <w:r>
        <w:rPr>
          <w:rFonts w:ascii="맑은 고딕" w:eastAsia="맑은 고딕" w:hAnsi="맑은 고딕" w:cs="맑은 고딕"/>
          <w:sz w:val="18"/>
          <w:szCs w:val="18"/>
        </w:rPr>
        <w:tab/>
        <w:t>▶︎ KWAFU has carried out diverse international activities, including submitting cases to the UN WGEID, and has hosted various events and international seminars. On May 14, 2025, KWAFU was invited to a UN Security Council meeting to deliver testimony regarding wartime abductions. It was an opportunity—75 years after the abductions occurred—for the UN to finally pay attention to the Korean War wartime abductions as North Korea’s first and largest case of enforced disappearance.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B12693A"/>
    <w:lvl w:ilvl="0">
      <w:start w:val="1"/>
      <w:numFmt w:val="decimal"/>
      <w:pStyle w:val="31"/>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1"/>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1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1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1"/>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10"/>
      <w:lvlText w:val=""/>
      <w:lvlJc w:val="left"/>
      <w:pPr>
        <w:tabs>
          <w:tab w:val="num" w:pos="360"/>
        </w:tabs>
        <w:ind w:left="360" w:hanging="360"/>
      </w:pPr>
      <w:rPr>
        <w:rFonts w:ascii="Symbol" w:hAnsi="Symbol" w:hint="default"/>
      </w:rPr>
    </w:lvl>
  </w:abstractNum>
  <w:abstractNum w:abstractNumId="6" w15:restartNumberingAfterBreak="0">
    <w:nsid w:val="04986B61"/>
    <w:multiLevelType w:val="hybridMultilevel"/>
    <w:tmpl w:val="57AE0124"/>
    <w:lvl w:ilvl="0" w:tplc="9252E74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4"/>
  </w:num>
  <w:num w:numId="2">
    <w:abstractNumId w:val="5"/>
  </w:num>
  <w:num w:numId="3">
    <w:abstractNumId w:val="3"/>
  </w:num>
  <w:num w:numId="4">
    <w:abstractNumId w:val="2"/>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267"/>
    <w:rsid w:val="00026BC8"/>
    <w:rsid w:val="00182C6F"/>
    <w:rsid w:val="00184FAF"/>
    <w:rsid w:val="001E3197"/>
    <w:rsid w:val="002177DE"/>
    <w:rsid w:val="002801F3"/>
    <w:rsid w:val="002C4112"/>
    <w:rsid w:val="002F2CA6"/>
    <w:rsid w:val="005A3267"/>
    <w:rsid w:val="00712FB2"/>
    <w:rsid w:val="009227A6"/>
    <w:rsid w:val="009C44A1"/>
    <w:rsid w:val="00B97566"/>
    <w:rsid w:val="00BC1354"/>
    <w:rsid w:val="00BF70EB"/>
    <w:rsid w:val="00D13384"/>
  </w:rsids>
  <m:mathPr>
    <m:mathFont m:val="Cambria Math"/>
    <m:brkBin m:val="before"/>
    <m:brkBinSub m:val="--"/>
    <m:smallFrac m:val="0"/>
    <m:dispDef/>
    <m:lMargin m:val="0"/>
    <m:rMargin m:val="0"/>
    <m:defJc m:val="centerGroup"/>
    <m:wrapIndent m:val="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5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paragraph" w:styleId="11">
    <w:name w:val="heading 1"/>
    <w:basedOn w:val="a"/>
    <w:next w:val="a"/>
    <w:link w:val="1Char"/>
    <w:uiPriority w:val="9"/>
    <w:qFormat/>
    <w:pPr>
      <w:keepNext/>
      <w:keepLines/>
      <w:spacing w:before="480" w:after="0"/>
      <w:outlineLvl w:val="0"/>
    </w:pPr>
    <w:rPr>
      <w:rFonts w:asciiTheme="majorHAnsi" w:eastAsiaTheme="majorEastAsia" w:hAnsiTheme="majorHAnsi" w:cstheme="majorBidi"/>
      <w:b/>
      <w:bCs/>
      <w:color w:val="376092"/>
      <w:sz w:val="28"/>
      <w:szCs w:val="28"/>
    </w:rPr>
  </w:style>
  <w:style w:type="paragraph" w:styleId="2">
    <w:name w:val="heading 2"/>
    <w:basedOn w:val="a"/>
    <w:next w:val="a"/>
    <w:link w:val="2Char"/>
    <w:uiPriority w:val="9"/>
    <w:unhideWhenUsed/>
    <w:qFormat/>
    <w:pPr>
      <w:keepNext/>
      <w:keepLines/>
      <w:spacing w:before="200" w:after="0"/>
      <w:outlineLvl w:val="1"/>
    </w:pPr>
    <w:rPr>
      <w:rFonts w:asciiTheme="majorHAnsi" w:eastAsiaTheme="majorEastAsia" w:hAnsiTheme="majorHAnsi" w:cstheme="majorBidi"/>
      <w:b/>
      <w:bCs/>
      <w:color w:val="4F81BD"/>
      <w:sz w:val="26"/>
      <w:szCs w:val="26"/>
    </w:rPr>
  </w:style>
  <w:style w:type="paragraph" w:styleId="3">
    <w:name w:val="heading 3"/>
    <w:basedOn w:val="a"/>
    <w:next w:val="a"/>
    <w:link w:val="3Char"/>
    <w:uiPriority w:val="9"/>
    <w:unhideWhenUsed/>
    <w:qFormat/>
    <w:pPr>
      <w:keepNext/>
      <w:keepLines/>
      <w:spacing w:before="200" w:after="0"/>
      <w:outlineLvl w:val="2"/>
    </w:pPr>
    <w:rPr>
      <w:rFonts w:asciiTheme="majorHAnsi" w:eastAsiaTheme="majorEastAsia" w:hAnsiTheme="majorHAnsi" w:cstheme="majorBidi"/>
      <w:b/>
      <w:bCs/>
      <w:color w:val="4F81BD"/>
    </w:rPr>
  </w:style>
  <w:style w:type="paragraph" w:styleId="4">
    <w:name w:val="heading 4"/>
    <w:basedOn w:val="a"/>
    <w:next w:val="a"/>
    <w:link w:val="4Char"/>
    <w:uiPriority w:val="9"/>
    <w:semiHidden/>
    <w:unhideWhenUsed/>
    <w:qFormat/>
    <w:pPr>
      <w:keepNext/>
      <w:keepLines/>
      <w:spacing w:before="200" w:after="0"/>
      <w:outlineLvl w:val="3"/>
    </w:pPr>
    <w:rPr>
      <w:rFonts w:asciiTheme="majorHAnsi" w:eastAsiaTheme="majorEastAsia" w:hAnsiTheme="majorHAnsi" w:cstheme="majorBidi"/>
      <w:b/>
      <w:bCs/>
      <w:i/>
      <w:iCs/>
      <w:color w:val="4F81BD"/>
    </w:rPr>
  </w:style>
  <w:style w:type="paragraph" w:styleId="5">
    <w:name w:val="heading 5"/>
    <w:basedOn w:val="a"/>
    <w:next w:val="a"/>
    <w:link w:val="5Char"/>
    <w:uiPriority w:val="9"/>
    <w:semiHidden/>
    <w:unhideWhenUsed/>
    <w:qFormat/>
    <w:pPr>
      <w:keepNext/>
      <w:keepLines/>
      <w:spacing w:before="200" w:after="0"/>
      <w:outlineLvl w:val="4"/>
    </w:pPr>
    <w:rPr>
      <w:rFonts w:asciiTheme="majorHAnsi" w:eastAsiaTheme="majorEastAsia" w:hAnsiTheme="majorHAnsi" w:cstheme="majorBidi"/>
      <w:color w:val="244061"/>
    </w:rPr>
  </w:style>
  <w:style w:type="paragraph" w:styleId="6">
    <w:name w:val="heading 6"/>
    <w:basedOn w:val="a"/>
    <w:next w:val="a"/>
    <w:link w:val="6Char"/>
    <w:uiPriority w:val="9"/>
    <w:semiHidden/>
    <w:unhideWhenUsed/>
    <w:qFormat/>
    <w:pPr>
      <w:keepNext/>
      <w:keepLines/>
      <w:spacing w:before="200" w:after="0"/>
      <w:outlineLvl w:val="5"/>
    </w:pPr>
    <w:rPr>
      <w:rFonts w:asciiTheme="majorHAnsi" w:eastAsiaTheme="majorEastAsia" w:hAnsiTheme="majorHAnsi" w:cstheme="majorBidi"/>
      <w:i/>
      <w:iCs/>
      <w:color w:val="244061"/>
    </w:rPr>
  </w:style>
  <w:style w:type="paragraph" w:styleId="7">
    <w:name w:val="heading 7"/>
    <w:basedOn w:val="a"/>
    <w:next w:val="a"/>
    <w:link w:val="7Char"/>
    <w:uiPriority w:val="9"/>
    <w:semiHidden/>
    <w:unhideWhenUsed/>
    <w:qFormat/>
    <w:pPr>
      <w:keepNext/>
      <w:keepLines/>
      <w:spacing w:before="200" w:after="0"/>
      <w:outlineLvl w:val="6"/>
    </w:pPr>
    <w:rPr>
      <w:rFonts w:asciiTheme="majorHAnsi" w:eastAsiaTheme="majorEastAsia" w:hAnsiTheme="majorHAnsi" w:cstheme="majorBidi"/>
      <w:i/>
      <w:iCs/>
      <w:color w:val="3F3F3F"/>
    </w:rPr>
  </w:style>
  <w:style w:type="paragraph" w:styleId="8">
    <w:name w:val="heading 8"/>
    <w:basedOn w:val="a"/>
    <w:next w:val="a"/>
    <w:link w:val="8Char"/>
    <w:uiPriority w:val="9"/>
    <w:semiHidden/>
    <w:unhideWhenUsed/>
    <w:qFormat/>
    <w:pPr>
      <w:keepNext/>
      <w:keepLines/>
      <w:spacing w:before="200" w:after="0"/>
      <w:outlineLvl w:val="7"/>
    </w:pPr>
    <w:rPr>
      <w:rFonts w:asciiTheme="majorHAnsi" w:eastAsiaTheme="majorEastAsia" w:hAnsiTheme="majorHAnsi" w:cstheme="majorBidi"/>
      <w:color w:val="4F81BD"/>
      <w:sz w:val="20"/>
      <w:szCs w:val="20"/>
    </w:rPr>
  </w:style>
  <w:style w:type="paragraph" w:styleId="9">
    <w:name w:val="heading 9"/>
    <w:basedOn w:val="a"/>
    <w:next w:val="a"/>
    <w:link w:val="9Char"/>
    <w:uiPriority w:val="9"/>
    <w:semiHidden/>
    <w:unhideWhenUsed/>
    <w:qFormat/>
    <w:pPr>
      <w:keepNext/>
      <w:keepLines/>
      <w:spacing w:before="200" w:after="0"/>
      <w:outlineLvl w:val="8"/>
    </w:pPr>
    <w:rPr>
      <w:rFonts w:asciiTheme="majorHAnsi" w:eastAsiaTheme="majorEastAsia" w:hAnsiTheme="majorHAnsi" w:cstheme="majorBidi"/>
      <w:i/>
      <w:iCs/>
      <w:color w:val="3F3F3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2">
    <w:name w:val="머리글1"/>
    <w:basedOn w:val="a"/>
    <w:link w:val="HeaderChar"/>
    <w:uiPriority w:val="99"/>
    <w:unhideWhenUsed/>
    <w:pPr>
      <w:tabs>
        <w:tab w:val="center" w:pos="4680"/>
        <w:tab w:val="right" w:pos="9360"/>
      </w:tabs>
      <w:spacing w:after="0" w:line="240" w:lineRule="auto"/>
    </w:pPr>
  </w:style>
  <w:style w:type="character" w:customStyle="1" w:styleId="HeaderChar">
    <w:name w:val="Header Char"/>
    <w:basedOn w:val="a0"/>
    <w:link w:val="12"/>
    <w:uiPriority w:val="99"/>
  </w:style>
  <w:style w:type="paragraph" w:customStyle="1" w:styleId="13">
    <w:name w:val="바닥글1"/>
    <w:basedOn w:val="a"/>
    <w:link w:val="FooterChar"/>
    <w:uiPriority w:val="99"/>
    <w:unhideWhenUsed/>
    <w:pPr>
      <w:tabs>
        <w:tab w:val="center" w:pos="4680"/>
        <w:tab w:val="right" w:pos="9360"/>
      </w:tabs>
      <w:spacing w:after="0" w:line="240" w:lineRule="auto"/>
    </w:pPr>
  </w:style>
  <w:style w:type="character" w:customStyle="1" w:styleId="FooterChar">
    <w:name w:val="Footer Char"/>
    <w:basedOn w:val="a0"/>
    <w:link w:val="13"/>
    <w:uiPriority w:val="99"/>
  </w:style>
  <w:style w:type="paragraph" w:styleId="a3">
    <w:name w:val="No Spacing"/>
    <w:uiPriority w:val="1"/>
    <w:qFormat/>
    <w:pPr>
      <w:spacing w:after="0" w:line="240" w:lineRule="auto"/>
    </w:pPr>
  </w:style>
  <w:style w:type="character" w:customStyle="1" w:styleId="1Char">
    <w:name w:val="제목 1 Char"/>
    <w:basedOn w:val="a0"/>
    <w:link w:val="11"/>
    <w:uiPriority w:val="9"/>
    <w:rPr>
      <w:rFonts w:asciiTheme="majorHAnsi" w:eastAsiaTheme="majorEastAsia" w:hAnsiTheme="majorHAnsi" w:cstheme="majorBidi"/>
      <w:b/>
      <w:bCs/>
      <w:color w:val="376092"/>
      <w:sz w:val="28"/>
      <w:szCs w:val="28"/>
    </w:rPr>
  </w:style>
  <w:style w:type="character" w:customStyle="1" w:styleId="2Char">
    <w:name w:val="제목 2 Char"/>
    <w:basedOn w:val="a0"/>
    <w:link w:val="2"/>
    <w:uiPriority w:val="9"/>
    <w:rPr>
      <w:rFonts w:asciiTheme="majorHAnsi" w:eastAsiaTheme="majorEastAsia" w:hAnsiTheme="majorHAnsi" w:cstheme="majorBidi"/>
      <w:b/>
      <w:bCs/>
      <w:color w:val="4F81BD"/>
      <w:sz w:val="26"/>
      <w:szCs w:val="26"/>
    </w:rPr>
  </w:style>
  <w:style w:type="character" w:customStyle="1" w:styleId="3Char">
    <w:name w:val="제목 3 Char"/>
    <w:basedOn w:val="a0"/>
    <w:link w:val="3"/>
    <w:uiPriority w:val="9"/>
    <w:rPr>
      <w:rFonts w:asciiTheme="majorHAnsi" w:eastAsiaTheme="majorEastAsia" w:hAnsiTheme="majorHAnsi" w:cstheme="majorBidi"/>
      <w:b/>
      <w:bCs/>
      <w:color w:val="4F81BD"/>
    </w:rPr>
  </w:style>
  <w:style w:type="paragraph" w:styleId="a4">
    <w:name w:val="Title"/>
    <w:basedOn w:val="a"/>
    <w:next w:val="a"/>
    <w:link w:val="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75E"/>
      <w:spacing w:val="5"/>
      <w:kern w:val="28"/>
      <w:sz w:val="52"/>
      <w:szCs w:val="52"/>
    </w:rPr>
  </w:style>
  <w:style w:type="character" w:customStyle="1" w:styleId="Char">
    <w:name w:val="제목 Char"/>
    <w:basedOn w:val="a0"/>
    <w:link w:val="a4"/>
    <w:uiPriority w:val="10"/>
    <w:rPr>
      <w:rFonts w:asciiTheme="majorHAnsi" w:eastAsiaTheme="majorEastAsia" w:hAnsiTheme="majorHAnsi" w:cstheme="majorBidi"/>
      <w:color w:val="17375E"/>
      <w:spacing w:val="5"/>
      <w:kern w:val="28"/>
      <w:sz w:val="52"/>
      <w:szCs w:val="52"/>
    </w:rPr>
  </w:style>
  <w:style w:type="paragraph" w:styleId="a5">
    <w:name w:val="Subtitle"/>
    <w:basedOn w:val="a"/>
    <w:next w:val="a"/>
    <w:link w:val="Char0"/>
    <w:uiPriority w:val="11"/>
    <w:qFormat/>
    <w:rPr>
      <w:rFonts w:asciiTheme="majorHAnsi" w:eastAsiaTheme="majorEastAsia" w:hAnsiTheme="majorHAnsi" w:cstheme="majorBidi"/>
      <w:i/>
      <w:iCs/>
      <w:color w:val="4F81BD"/>
      <w:spacing w:val="15"/>
      <w:sz w:val="24"/>
      <w:szCs w:val="24"/>
    </w:rPr>
  </w:style>
  <w:style w:type="character" w:customStyle="1" w:styleId="Char0">
    <w:name w:val="부제 Char"/>
    <w:basedOn w:val="a0"/>
    <w:link w:val="a5"/>
    <w:uiPriority w:val="11"/>
    <w:rPr>
      <w:rFonts w:asciiTheme="majorHAnsi" w:eastAsiaTheme="majorEastAsia" w:hAnsiTheme="majorHAnsi" w:cstheme="majorBidi"/>
      <w:i/>
      <w:iCs/>
      <w:color w:val="4F81BD"/>
      <w:spacing w:val="15"/>
      <w:sz w:val="24"/>
      <w:szCs w:val="24"/>
    </w:rPr>
  </w:style>
  <w:style w:type="paragraph" w:styleId="a6">
    <w:name w:val="List Paragraph"/>
    <w:basedOn w:val="a"/>
    <w:uiPriority w:val="34"/>
    <w:qFormat/>
    <w:pPr>
      <w:ind w:left="720"/>
      <w:contextualSpacing/>
    </w:pPr>
  </w:style>
  <w:style w:type="paragraph" w:customStyle="1" w:styleId="14">
    <w:name w:val="본문1"/>
    <w:basedOn w:val="a"/>
    <w:link w:val="BodyTextChar"/>
    <w:uiPriority w:val="99"/>
    <w:unhideWhenUsed/>
    <w:pPr>
      <w:spacing w:after="120"/>
    </w:pPr>
  </w:style>
  <w:style w:type="character" w:customStyle="1" w:styleId="BodyTextChar">
    <w:name w:val="Body Text Char"/>
    <w:basedOn w:val="a0"/>
    <w:link w:val="14"/>
    <w:uiPriority w:val="99"/>
  </w:style>
  <w:style w:type="paragraph" w:customStyle="1" w:styleId="211">
    <w:name w:val="본문 21"/>
    <w:basedOn w:val="a"/>
    <w:link w:val="BodyText2Char"/>
    <w:uiPriority w:val="99"/>
    <w:unhideWhenUsed/>
    <w:pPr>
      <w:spacing w:after="120" w:line="480" w:lineRule="auto"/>
    </w:pPr>
  </w:style>
  <w:style w:type="character" w:customStyle="1" w:styleId="BodyText2Char">
    <w:name w:val="Body Text 2 Char"/>
    <w:basedOn w:val="a0"/>
    <w:link w:val="211"/>
    <w:uiPriority w:val="99"/>
  </w:style>
  <w:style w:type="paragraph" w:customStyle="1" w:styleId="311">
    <w:name w:val="본문 31"/>
    <w:basedOn w:val="a"/>
    <w:link w:val="BodyText3Char"/>
    <w:uiPriority w:val="99"/>
    <w:unhideWhenUsed/>
    <w:pPr>
      <w:spacing w:after="120"/>
    </w:pPr>
    <w:rPr>
      <w:sz w:val="16"/>
      <w:szCs w:val="16"/>
    </w:rPr>
  </w:style>
  <w:style w:type="character" w:customStyle="1" w:styleId="BodyText3Char">
    <w:name w:val="Body Text 3 Char"/>
    <w:basedOn w:val="a0"/>
    <w:link w:val="311"/>
    <w:uiPriority w:val="99"/>
    <w:rPr>
      <w:sz w:val="16"/>
      <w:szCs w:val="16"/>
    </w:rPr>
  </w:style>
  <w:style w:type="paragraph" w:customStyle="1" w:styleId="15">
    <w:name w:val="목록1"/>
    <w:basedOn w:val="a"/>
    <w:uiPriority w:val="99"/>
    <w:unhideWhenUsed/>
    <w:pPr>
      <w:ind w:left="360" w:hanging="360"/>
      <w:contextualSpacing/>
    </w:pPr>
  </w:style>
  <w:style w:type="paragraph" w:customStyle="1" w:styleId="212">
    <w:name w:val="목록 21"/>
    <w:basedOn w:val="a"/>
    <w:uiPriority w:val="99"/>
    <w:unhideWhenUsed/>
    <w:pPr>
      <w:ind w:left="720" w:hanging="360"/>
      <w:contextualSpacing/>
    </w:pPr>
  </w:style>
  <w:style w:type="paragraph" w:customStyle="1" w:styleId="312">
    <w:name w:val="목록 31"/>
    <w:basedOn w:val="a"/>
    <w:uiPriority w:val="99"/>
    <w:unhideWhenUsed/>
    <w:pPr>
      <w:ind w:left="1080" w:hanging="360"/>
      <w:contextualSpacing/>
    </w:pPr>
  </w:style>
  <w:style w:type="paragraph" w:customStyle="1" w:styleId="10">
    <w:name w:val="글머리 기호1"/>
    <w:basedOn w:val="a"/>
    <w:uiPriority w:val="99"/>
    <w:unhideWhenUsed/>
    <w:pPr>
      <w:numPr>
        <w:numId w:val="2"/>
      </w:numPr>
      <w:contextualSpacing/>
    </w:pPr>
  </w:style>
  <w:style w:type="paragraph" w:customStyle="1" w:styleId="210">
    <w:name w:val="글머리 기호 21"/>
    <w:basedOn w:val="a"/>
    <w:uiPriority w:val="99"/>
    <w:unhideWhenUsed/>
    <w:pPr>
      <w:numPr>
        <w:numId w:val="3"/>
      </w:numPr>
      <w:contextualSpacing/>
    </w:pPr>
  </w:style>
  <w:style w:type="paragraph" w:customStyle="1" w:styleId="310">
    <w:name w:val="글머리 기호 31"/>
    <w:basedOn w:val="a"/>
    <w:uiPriority w:val="99"/>
    <w:unhideWhenUsed/>
    <w:pPr>
      <w:numPr>
        <w:numId w:val="4"/>
      </w:numPr>
      <w:contextualSpacing/>
    </w:pPr>
  </w:style>
  <w:style w:type="paragraph" w:customStyle="1" w:styleId="1">
    <w:name w:val="번호 매기기1"/>
    <w:basedOn w:val="a"/>
    <w:uiPriority w:val="99"/>
    <w:unhideWhenUsed/>
    <w:pPr>
      <w:numPr>
        <w:numId w:val="1"/>
      </w:numPr>
      <w:contextualSpacing/>
    </w:pPr>
  </w:style>
  <w:style w:type="paragraph" w:customStyle="1" w:styleId="21">
    <w:name w:val="번호 매기기 21"/>
    <w:basedOn w:val="a"/>
    <w:uiPriority w:val="99"/>
    <w:unhideWhenUsed/>
    <w:pPr>
      <w:numPr>
        <w:numId w:val="5"/>
      </w:numPr>
      <w:contextualSpacing/>
    </w:pPr>
  </w:style>
  <w:style w:type="paragraph" w:customStyle="1" w:styleId="31">
    <w:name w:val="번호 매기기 31"/>
    <w:basedOn w:val="a"/>
    <w:uiPriority w:val="99"/>
    <w:unhideWhenUsed/>
    <w:pPr>
      <w:numPr>
        <w:numId w:val="6"/>
      </w:numPr>
      <w:contextualSpacing/>
    </w:pPr>
  </w:style>
  <w:style w:type="paragraph" w:customStyle="1" w:styleId="16">
    <w:name w:val="목록 계속1"/>
    <w:basedOn w:val="a"/>
    <w:uiPriority w:val="99"/>
    <w:unhideWhenUsed/>
    <w:pPr>
      <w:spacing w:after="120"/>
      <w:ind w:left="360"/>
      <w:contextualSpacing/>
    </w:pPr>
  </w:style>
  <w:style w:type="paragraph" w:customStyle="1" w:styleId="213">
    <w:name w:val="목록 계속 21"/>
    <w:basedOn w:val="a"/>
    <w:uiPriority w:val="99"/>
    <w:unhideWhenUsed/>
    <w:pPr>
      <w:spacing w:after="120"/>
      <w:ind w:left="720"/>
      <w:contextualSpacing/>
    </w:pPr>
  </w:style>
  <w:style w:type="paragraph" w:customStyle="1" w:styleId="313">
    <w:name w:val="목록 계속 31"/>
    <w:basedOn w:val="a"/>
    <w:uiPriority w:val="99"/>
    <w:unhideWhenUsed/>
    <w:pPr>
      <w:spacing w:after="120"/>
      <w:ind w:left="1080"/>
      <w:contextualSpacing/>
    </w:pPr>
  </w:style>
  <w:style w:type="paragraph" w:customStyle="1" w:styleId="17">
    <w:name w:val="매크로 텍스트1"/>
    <w:link w:val="MacroTextChar"/>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a0"/>
    <w:link w:val="17"/>
    <w:uiPriority w:val="99"/>
    <w:rPr>
      <w:rFonts w:ascii="Courier" w:hAnsi="Courier"/>
      <w:sz w:val="20"/>
      <w:szCs w:val="20"/>
    </w:rPr>
  </w:style>
  <w:style w:type="paragraph" w:styleId="a7">
    <w:name w:val="Quote"/>
    <w:basedOn w:val="a"/>
    <w:next w:val="a"/>
    <w:link w:val="Char1"/>
    <w:uiPriority w:val="29"/>
    <w:qFormat/>
    <w:rPr>
      <w:i/>
      <w:iCs/>
      <w:color w:val="000000"/>
    </w:rPr>
  </w:style>
  <w:style w:type="character" w:customStyle="1" w:styleId="Char1">
    <w:name w:val="인용 Char"/>
    <w:basedOn w:val="a0"/>
    <w:link w:val="a7"/>
    <w:uiPriority w:val="29"/>
    <w:rPr>
      <w:i/>
      <w:iCs/>
      <w:color w:val="000000"/>
    </w:rPr>
  </w:style>
  <w:style w:type="character" w:customStyle="1" w:styleId="4Char">
    <w:name w:val="제목 4 Char"/>
    <w:basedOn w:val="a0"/>
    <w:link w:val="4"/>
    <w:uiPriority w:val="9"/>
    <w:semiHidden/>
    <w:rPr>
      <w:rFonts w:asciiTheme="majorHAnsi" w:eastAsiaTheme="majorEastAsia" w:hAnsiTheme="majorHAnsi" w:cstheme="majorBidi"/>
      <w:b/>
      <w:bCs/>
      <w:i/>
      <w:iCs/>
      <w:color w:val="4F81BD"/>
    </w:rPr>
  </w:style>
  <w:style w:type="character" w:customStyle="1" w:styleId="5Char">
    <w:name w:val="제목 5 Char"/>
    <w:basedOn w:val="a0"/>
    <w:link w:val="5"/>
    <w:uiPriority w:val="9"/>
    <w:semiHidden/>
    <w:rPr>
      <w:rFonts w:asciiTheme="majorHAnsi" w:eastAsiaTheme="majorEastAsia" w:hAnsiTheme="majorHAnsi" w:cstheme="majorBidi"/>
      <w:color w:val="244061"/>
    </w:rPr>
  </w:style>
  <w:style w:type="character" w:customStyle="1" w:styleId="6Char">
    <w:name w:val="제목 6 Char"/>
    <w:basedOn w:val="a0"/>
    <w:link w:val="6"/>
    <w:uiPriority w:val="9"/>
    <w:semiHidden/>
    <w:rPr>
      <w:rFonts w:asciiTheme="majorHAnsi" w:eastAsiaTheme="majorEastAsia" w:hAnsiTheme="majorHAnsi" w:cstheme="majorBidi"/>
      <w:i/>
      <w:iCs/>
      <w:color w:val="244061"/>
    </w:rPr>
  </w:style>
  <w:style w:type="character" w:customStyle="1" w:styleId="7Char">
    <w:name w:val="제목 7 Char"/>
    <w:basedOn w:val="a0"/>
    <w:link w:val="7"/>
    <w:uiPriority w:val="9"/>
    <w:semiHidden/>
    <w:rPr>
      <w:rFonts w:asciiTheme="majorHAnsi" w:eastAsiaTheme="majorEastAsia" w:hAnsiTheme="majorHAnsi" w:cstheme="majorBidi"/>
      <w:i/>
      <w:iCs/>
      <w:color w:val="3F3F3F"/>
    </w:rPr>
  </w:style>
  <w:style w:type="character" w:customStyle="1" w:styleId="8Char">
    <w:name w:val="제목 8 Char"/>
    <w:basedOn w:val="a0"/>
    <w:link w:val="8"/>
    <w:uiPriority w:val="9"/>
    <w:semiHidden/>
    <w:rPr>
      <w:rFonts w:asciiTheme="majorHAnsi" w:eastAsiaTheme="majorEastAsia" w:hAnsiTheme="majorHAnsi" w:cstheme="majorBidi"/>
      <w:color w:val="4F81BD"/>
      <w:sz w:val="20"/>
      <w:szCs w:val="20"/>
    </w:rPr>
  </w:style>
  <w:style w:type="character" w:customStyle="1" w:styleId="9Char">
    <w:name w:val="제목 9 Char"/>
    <w:basedOn w:val="a0"/>
    <w:link w:val="9"/>
    <w:uiPriority w:val="9"/>
    <w:semiHidden/>
    <w:rPr>
      <w:rFonts w:asciiTheme="majorHAnsi" w:eastAsiaTheme="majorEastAsia" w:hAnsiTheme="majorHAnsi" w:cstheme="majorBidi"/>
      <w:i/>
      <w:iCs/>
      <w:color w:val="3F3F3F"/>
      <w:sz w:val="20"/>
      <w:szCs w:val="20"/>
    </w:rPr>
  </w:style>
  <w:style w:type="paragraph" w:styleId="a8">
    <w:name w:val="caption"/>
    <w:basedOn w:val="a"/>
    <w:next w:val="a"/>
    <w:uiPriority w:val="35"/>
    <w:semiHidden/>
    <w:unhideWhenUsed/>
    <w:qFormat/>
    <w:pPr>
      <w:spacing w:line="240" w:lineRule="auto"/>
    </w:pPr>
    <w:rPr>
      <w:b/>
      <w:bCs/>
      <w:color w:val="4F81BD"/>
      <w:sz w:val="18"/>
      <w:szCs w:val="18"/>
    </w:rPr>
  </w:style>
  <w:style w:type="character" w:styleId="a9">
    <w:name w:val="Strong"/>
    <w:basedOn w:val="a0"/>
    <w:uiPriority w:val="22"/>
    <w:qFormat/>
    <w:rPr>
      <w:b/>
      <w:bCs/>
    </w:rPr>
  </w:style>
  <w:style w:type="character" w:styleId="aa">
    <w:name w:val="Emphasis"/>
    <w:basedOn w:val="a0"/>
    <w:uiPriority w:val="20"/>
    <w:qFormat/>
    <w:rPr>
      <w:i/>
      <w:iCs/>
    </w:rPr>
  </w:style>
  <w:style w:type="paragraph" w:styleId="ab">
    <w:name w:val="Intense Quote"/>
    <w:basedOn w:val="a"/>
    <w:next w:val="a"/>
    <w:link w:val="Char2"/>
    <w:uiPriority w:val="30"/>
    <w:qFormat/>
    <w:pPr>
      <w:pBdr>
        <w:bottom w:val="single" w:sz="4" w:space="4" w:color="4F81BD" w:themeColor="accent1"/>
      </w:pBdr>
      <w:spacing w:before="200" w:after="280"/>
      <w:ind w:left="936" w:right="936"/>
    </w:pPr>
    <w:rPr>
      <w:b/>
      <w:bCs/>
      <w:i/>
      <w:iCs/>
      <w:color w:val="4F81BD"/>
    </w:rPr>
  </w:style>
  <w:style w:type="character" w:customStyle="1" w:styleId="Char2">
    <w:name w:val="강한 인용 Char"/>
    <w:basedOn w:val="a0"/>
    <w:link w:val="ab"/>
    <w:uiPriority w:val="30"/>
    <w:rPr>
      <w:b/>
      <w:bCs/>
      <w:i/>
      <w:iCs/>
      <w:color w:val="4F81BD"/>
    </w:rPr>
  </w:style>
  <w:style w:type="character" w:styleId="ac">
    <w:name w:val="Subtle Emphasis"/>
    <w:basedOn w:val="a0"/>
    <w:uiPriority w:val="19"/>
    <w:qFormat/>
    <w:rPr>
      <w:i/>
      <w:iCs/>
      <w:color w:val="7F7F7F"/>
    </w:rPr>
  </w:style>
  <w:style w:type="character" w:styleId="ad">
    <w:name w:val="Intense Emphasis"/>
    <w:basedOn w:val="a0"/>
    <w:uiPriority w:val="21"/>
    <w:qFormat/>
    <w:rPr>
      <w:b/>
      <w:bCs/>
      <w:i/>
      <w:iCs/>
      <w:color w:val="4F81BD"/>
    </w:rPr>
  </w:style>
  <w:style w:type="character" w:styleId="ae">
    <w:name w:val="Subtle Reference"/>
    <w:basedOn w:val="a0"/>
    <w:uiPriority w:val="31"/>
    <w:qFormat/>
    <w:rPr>
      <w:smallCaps/>
      <w:color w:val="C0504D"/>
      <w:u w:val="single"/>
    </w:rPr>
  </w:style>
  <w:style w:type="character" w:styleId="af">
    <w:name w:val="Intense Reference"/>
    <w:basedOn w:val="a0"/>
    <w:uiPriority w:val="32"/>
    <w:qFormat/>
    <w:rPr>
      <w:b/>
      <w:bCs/>
      <w:smallCaps/>
      <w:color w:val="C0504D"/>
      <w:spacing w:val="5"/>
      <w:u w:val="single"/>
    </w:rPr>
  </w:style>
  <w:style w:type="character" w:styleId="af0">
    <w:name w:val="Book Title"/>
    <w:basedOn w:val="a0"/>
    <w:uiPriority w:val="33"/>
    <w:qFormat/>
    <w:rPr>
      <w:b/>
      <w:bCs/>
      <w:smallCaps/>
      <w:spacing w:val="5"/>
    </w:rPr>
  </w:style>
  <w:style w:type="paragraph" w:styleId="TOC">
    <w:name w:val="TOC Heading"/>
    <w:basedOn w:val="11"/>
    <w:next w:val="a"/>
    <w:uiPriority w:val="39"/>
    <w:semiHidden/>
    <w:unhideWhenUsed/>
    <w:qFormat/>
    <w:pPr>
      <w:outlineLvl w:val="9"/>
    </w:pPr>
  </w:style>
  <w:style w:type="table" w:styleId="af1">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Light Shading"/>
    <w:basedOn w:val="a1"/>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cPr>
    </w:tblStylePr>
    <w:tblStylePr w:type="band1Horz">
      <w:tblPr/>
      <w:tcPr>
        <w:tcBorders>
          <w:left w:val="nil"/>
          <w:right w:val="nil"/>
          <w:insideH w:val="nil"/>
          <w:insideV w:val="nil"/>
        </w:tcBorders>
        <w:shd w:val="clear" w:color="auto" w:fill="BFBFBF"/>
      </w:tcPr>
    </w:tblStylePr>
  </w:style>
  <w:style w:type="table" w:styleId="-1">
    <w:name w:val="Light Shading Accent 1"/>
    <w:basedOn w:val="a1"/>
    <w:uiPriority w:val="60"/>
    <w:pPr>
      <w:spacing w:after="0" w:line="240" w:lineRule="auto"/>
    </w:pPr>
    <w:rPr>
      <w:color w:val="37609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pPr>
      <w:spacing w:after="0" w:line="240" w:lineRule="auto"/>
    </w:pPr>
    <w:rPr>
      <w:color w:val="953735"/>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1"/>
    <w:uiPriority w:val="60"/>
    <w:pPr>
      <w:spacing w:after="0" w:line="240" w:lineRule="auto"/>
    </w:pPr>
    <w:rPr>
      <w:color w:val="76933C"/>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1"/>
    <w:uiPriority w:val="60"/>
    <w:pPr>
      <w:spacing w:after="0" w:line="240" w:lineRule="auto"/>
    </w:pPr>
    <w:rPr>
      <w:color w:val="604A7B"/>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1"/>
    <w:uiPriority w:val="60"/>
    <w:pPr>
      <w:spacing w:after="0" w:line="240" w:lineRule="auto"/>
    </w:pPr>
    <w:rPr>
      <w:color w:val="31859B"/>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1"/>
    <w:uiPriority w:val="60"/>
    <w:pPr>
      <w:spacing w:after="0" w:line="240" w:lineRule="auto"/>
    </w:pPr>
    <w:rPr>
      <w:color w:val="E46C0A"/>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3">
    <w:name w:val="Light List"/>
    <w:basedOn w:val="a1"/>
    <w:uiPriority w:val="6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10">
    <w:name w:val="Light List Accent 1"/>
    <w:basedOn w:val="a1"/>
    <w:uiPriority w:val="6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1"/>
    <w:uiPriority w:val="61"/>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1"/>
    <w:uiPriority w:val="61"/>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1"/>
    <w:uiPriority w:val="61"/>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1"/>
    <w:uiPriority w:val="6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1"/>
    <w:uiPriority w:val="61"/>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4">
    <w:name w:val="Light Grid"/>
    <w:basedOn w:val="a1"/>
    <w:uiPriority w:val="6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BFBFBF"/>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BFBFBF"/>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11">
    <w:name w:val="Light Grid Accent 1"/>
    <w:basedOn w:val="a1"/>
    <w:uiPriority w:val="6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1"/>
    <w:uiPriority w:val="62"/>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1"/>
    <w:uiPriority w:val="6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1"/>
    <w:uiPriority w:val="62"/>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1"/>
    <w:uiPriority w:val="6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1"/>
    <w:uiPriority w:val="62"/>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8">
    <w:name w:val="Medium Shading 1"/>
    <w:basedOn w:val="a1"/>
    <w:uiPriority w:val="63"/>
    <w:pPr>
      <w:spacing w:after="0" w:line="240" w:lineRule="auto"/>
    </w:pPr>
    <w:tblPr>
      <w:tblStyleRowBandSize w:val="1"/>
      <w:tblStyleColBandSize w:val="1"/>
      <w:tblBorders>
        <w:top w:val="single" w:sz="8" w:space="0" w:color="3F3F3F"/>
        <w:left w:val="single" w:sz="8" w:space="0" w:color="3F3F3F"/>
        <w:bottom w:val="single" w:sz="8" w:space="0" w:color="3F3F3F"/>
        <w:right w:val="single" w:sz="8" w:space="0" w:color="3F3F3F"/>
        <w:insideH w:val="single" w:sz="8" w:space="0" w:color="3F3F3F"/>
      </w:tblBorders>
    </w:tblPr>
    <w:tblStylePr w:type="firstRow">
      <w:pPr>
        <w:spacing w:before="0" w:after="0" w:line="240" w:lineRule="auto"/>
      </w:pPr>
      <w:rPr>
        <w:b/>
        <w:bCs/>
        <w:color w:val="FFFFFF"/>
      </w:rPr>
      <w:tblPr/>
      <w:tcPr>
        <w:tcBorders>
          <w:top w:val="single" w:sz="8" w:space="0" w:color="3F3F3F"/>
          <w:left w:val="single" w:sz="8" w:space="0" w:color="3F3F3F"/>
          <w:bottom w:val="single" w:sz="8" w:space="0" w:color="3F3F3F"/>
          <w:right w:val="single" w:sz="8" w:space="0" w:color="3F3F3F"/>
          <w:insideH w:val="nil"/>
          <w:insideV w:val="nil"/>
        </w:tcBorders>
        <w:shd w:val="clear" w:color="auto" w:fill="000000"/>
      </w:tcPr>
    </w:tblStylePr>
    <w:tblStylePr w:type="lastRow">
      <w:pPr>
        <w:spacing w:before="0" w:after="0" w:line="240" w:lineRule="auto"/>
      </w:pPr>
      <w:rPr>
        <w:b/>
        <w:bCs/>
      </w:rPr>
      <w:tblPr/>
      <w:tcPr>
        <w:tcBorders>
          <w:top w:val="double" w:sz="6" w:space="0" w:color="3F3F3F"/>
          <w:left w:val="single" w:sz="8" w:space="0" w:color="3F3F3F"/>
          <w:bottom w:val="single" w:sz="8" w:space="0" w:color="3F3F3F"/>
          <w:right w:val="single" w:sz="8" w:space="0" w:color="3F3F3F"/>
          <w:insideH w:val="nil"/>
          <w:insideV w:val="nil"/>
        </w:tcBorders>
      </w:tcPr>
    </w:tblStylePr>
    <w:tblStylePr w:type="firstCol">
      <w:rPr>
        <w:b/>
        <w:bCs/>
      </w:rPr>
    </w:tblStylePr>
    <w:tblStylePr w:type="lastCol">
      <w:rPr>
        <w:b/>
        <w:bCs/>
      </w:rPr>
    </w:tblStylePr>
    <w:tblStylePr w:type="band1Vert">
      <w:tblPr/>
      <w:tcPr>
        <w:shd w:val="clear" w:color="auto" w:fill="BFBFBF"/>
      </w:tcPr>
    </w:tblStylePr>
    <w:tblStylePr w:type="band1Horz">
      <w:tblPr/>
      <w:tcPr>
        <w:tcBorders>
          <w:insideH w:val="nil"/>
          <w:insideV w:val="nil"/>
        </w:tcBorders>
        <w:shd w:val="clear" w:color="auto" w:fill="BFBFBF"/>
      </w:tcPr>
    </w:tblStylePr>
    <w:tblStylePr w:type="band2Horz">
      <w:tblPr/>
      <w:tcPr>
        <w:tcBorders>
          <w:insideH w:val="nil"/>
          <w:insideV w:val="nil"/>
        </w:tcBorders>
      </w:tcPr>
    </w:tblStylePr>
  </w:style>
  <w:style w:type="table" w:styleId="1-1">
    <w:name w:val="Medium Shading 1 Accent 1"/>
    <w:basedOn w:val="a1"/>
    <w:uiPriority w:val="63"/>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1"/>
    <w:uiPriority w:val="63"/>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1"/>
    <w:uiPriority w:val="63"/>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1"/>
    <w:uiPriority w:val="63"/>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1"/>
    <w:uiPriority w:val="63"/>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1"/>
    <w:uiPriority w:val="63"/>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0">
    <w:name w:val="Medium Shading 2"/>
    <w:basedOn w:val="a1"/>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1"/>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1"/>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1"/>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1"/>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1"/>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1"/>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9">
    <w:name w:val="Medium List 1"/>
    <w:basedOn w:val="a1"/>
    <w:uiPriority w:val="65"/>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Theme="majorHAnsi" w:eastAsiaTheme="majorEastAsia" w:hAnsiTheme="majorHAnsi" w:cstheme="majorBidi"/>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BFBFBF"/>
      </w:tcPr>
    </w:tblStylePr>
    <w:tblStylePr w:type="band1Horz">
      <w:tblPr/>
      <w:tcPr>
        <w:shd w:val="clear" w:color="auto" w:fill="BFBFBF"/>
      </w:tcPr>
    </w:tblStylePr>
  </w:style>
  <w:style w:type="table" w:styleId="1-10">
    <w:name w:val="Medium List 1 Accent 1"/>
    <w:basedOn w:val="a1"/>
    <w:uiPriority w:val="65"/>
    <w:pPr>
      <w:spacing w:after="0" w:line="240" w:lineRule="auto"/>
    </w:pPr>
    <w:rPr>
      <w:color w:val="000000"/>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1"/>
    <w:uiPriority w:val="65"/>
    <w:pPr>
      <w:spacing w:after="0" w:line="240" w:lineRule="auto"/>
    </w:pPr>
    <w:rPr>
      <w:color w:val="000000"/>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1"/>
    <w:uiPriority w:val="65"/>
    <w:pPr>
      <w:spacing w:after="0" w:line="240" w:lineRule="auto"/>
    </w:pPr>
    <w:rPr>
      <w:color w:val="000000"/>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1"/>
    <w:uiPriority w:val="65"/>
    <w:pPr>
      <w:spacing w:after="0" w:line="240" w:lineRule="auto"/>
    </w:pPr>
    <w:rPr>
      <w:color w:val="000000"/>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1"/>
    <w:uiPriority w:val="65"/>
    <w:pPr>
      <w:spacing w:after="0" w:line="240" w:lineRule="auto"/>
    </w:pPr>
    <w:rPr>
      <w:color w:val="000000"/>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1"/>
    <w:uiPriority w:val="65"/>
    <w:pPr>
      <w:spacing w:after="0" w:line="240" w:lineRule="auto"/>
    </w:pPr>
    <w:rPr>
      <w:color w:val="000000"/>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2">
    <w:name w:val="Medium List 2"/>
    <w:basedOn w:val="a1"/>
    <w:uiPriority w:val="66"/>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BFBFBF"/>
      </w:tcPr>
    </w:tblStylePr>
    <w:tblStylePr w:type="band1Horz">
      <w:tblPr/>
      <w:tcPr>
        <w:tcBorders>
          <w:top w:val="nil"/>
          <w:bottom w:val="nil"/>
          <w:insideH w:val="nil"/>
          <w:insideV w:val="nil"/>
        </w:tcBorders>
        <w:shd w:val="clear" w:color="auto" w:fill="BFBFBF"/>
      </w:tcPr>
    </w:tblStylePr>
    <w:tblStylePr w:type="nwCell">
      <w:tblPr/>
      <w:tcPr>
        <w:shd w:val="clear" w:color="auto" w:fill="FFFFFF"/>
      </w:tcPr>
    </w:tblStylePr>
    <w:tblStylePr w:type="swCell">
      <w:tblPr/>
      <w:tcPr>
        <w:tcBorders>
          <w:top w:val="nil"/>
        </w:tcBorders>
      </w:tcPr>
    </w:tblStylePr>
  </w:style>
  <w:style w:type="table" w:styleId="2-10">
    <w:name w:val="Medium List 2 Accent 1"/>
    <w:basedOn w:val="a1"/>
    <w:uiPriority w:val="66"/>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cPr>
    </w:tblStylePr>
    <w:tblStylePr w:type="lastRow">
      <w:tblPr/>
      <w:tcPr>
        <w:tcBorders>
          <w:top w:val="single" w:sz="8" w:space="0" w:color="4F81BD" w:themeColor="accent1"/>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themeColor="accent1"/>
          <w:insideH w:val="nil"/>
          <w:insideV w:val="nil"/>
        </w:tcBorders>
        <w:shd w:val="clear" w:color="auto" w:fill="FFFFFF"/>
      </w:tcPr>
    </w:tblStylePr>
    <w:tblStylePr w:type="lastCol">
      <w:tblPr/>
      <w:tcPr>
        <w:tcBorders>
          <w:top w:val="nil"/>
          <w:left w:val="single" w:sz="8" w:space="0" w:color="4F81BD" w:themeColor="accent1"/>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cPr>
    </w:tblStylePr>
    <w:tblStylePr w:type="swCell">
      <w:tblPr/>
      <w:tcPr>
        <w:tcBorders>
          <w:top w:val="nil"/>
        </w:tcBorders>
      </w:tcPr>
    </w:tblStylePr>
  </w:style>
  <w:style w:type="table" w:styleId="2-20">
    <w:name w:val="Medium List 2 Accent 2"/>
    <w:basedOn w:val="a1"/>
    <w:uiPriority w:val="66"/>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cPr>
    </w:tblStylePr>
    <w:tblStylePr w:type="lastRow">
      <w:tblPr/>
      <w:tcPr>
        <w:tcBorders>
          <w:top w:val="single" w:sz="8" w:space="0" w:color="C0504D" w:themeColor="accent2"/>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themeColor="accent2"/>
          <w:insideH w:val="nil"/>
          <w:insideV w:val="nil"/>
        </w:tcBorders>
        <w:shd w:val="clear" w:color="auto" w:fill="FFFFFF"/>
      </w:tcPr>
    </w:tblStylePr>
    <w:tblStylePr w:type="lastCol">
      <w:tblPr/>
      <w:tcPr>
        <w:tcBorders>
          <w:top w:val="nil"/>
          <w:left w:val="single" w:sz="8" w:space="0" w:color="C0504D" w:themeColor="accent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cPr>
    </w:tblStylePr>
    <w:tblStylePr w:type="swCell">
      <w:tblPr/>
      <w:tcPr>
        <w:tcBorders>
          <w:top w:val="nil"/>
        </w:tcBorders>
      </w:tcPr>
    </w:tblStylePr>
  </w:style>
  <w:style w:type="table" w:styleId="2-30">
    <w:name w:val="Medium List 2 Accent 3"/>
    <w:basedOn w:val="a1"/>
    <w:uiPriority w:val="66"/>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themeColor="accent3"/>
          <w:insideH w:val="nil"/>
          <w:insideV w:val="nil"/>
        </w:tcBorders>
        <w:shd w:val="clear" w:color="auto" w:fill="FFFFFF"/>
      </w:tcPr>
    </w:tblStylePr>
    <w:tblStylePr w:type="lastCol">
      <w:tblPr/>
      <w:tcPr>
        <w:tcBorders>
          <w:top w:val="nil"/>
          <w:left w:val="single" w:sz="8" w:space="0" w:color="9BBB59" w:themeColor="accent3"/>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cPr>
    </w:tblStylePr>
    <w:tblStylePr w:type="swCell">
      <w:tblPr/>
      <w:tcPr>
        <w:tcBorders>
          <w:top w:val="nil"/>
        </w:tcBorders>
      </w:tcPr>
    </w:tblStylePr>
  </w:style>
  <w:style w:type="table" w:styleId="2-40">
    <w:name w:val="Medium List 2 Accent 4"/>
    <w:basedOn w:val="a1"/>
    <w:uiPriority w:val="66"/>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themeColor="accent4"/>
          <w:insideH w:val="nil"/>
          <w:insideV w:val="nil"/>
        </w:tcBorders>
        <w:shd w:val="clear" w:color="auto" w:fill="FFFFFF"/>
      </w:tcPr>
    </w:tblStylePr>
    <w:tblStylePr w:type="lastCol">
      <w:tblPr/>
      <w:tcPr>
        <w:tcBorders>
          <w:top w:val="nil"/>
          <w:left w:val="single" w:sz="8" w:space="0" w:color="8064A2" w:themeColor="accent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cPr>
    </w:tblStylePr>
    <w:tblStylePr w:type="swCell">
      <w:tblPr/>
      <w:tcPr>
        <w:tcBorders>
          <w:top w:val="nil"/>
        </w:tcBorders>
      </w:tcPr>
    </w:tblStylePr>
  </w:style>
  <w:style w:type="table" w:styleId="2-50">
    <w:name w:val="Medium List 2 Accent 5"/>
    <w:basedOn w:val="a1"/>
    <w:uiPriority w:val="66"/>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cPr>
    </w:tblStylePr>
    <w:tblStylePr w:type="lastRow">
      <w:tblPr/>
      <w:tcPr>
        <w:tcBorders>
          <w:top w:val="single" w:sz="8" w:space="0" w:color="4BACC6" w:themeColor="accent5"/>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themeColor="accent5"/>
          <w:insideH w:val="nil"/>
          <w:insideV w:val="nil"/>
        </w:tcBorders>
        <w:shd w:val="clear" w:color="auto" w:fill="FFFFFF"/>
      </w:tcPr>
    </w:tblStylePr>
    <w:tblStylePr w:type="lastCol">
      <w:tblPr/>
      <w:tcPr>
        <w:tcBorders>
          <w:top w:val="nil"/>
          <w:left w:val="single" w:sz="8" w:space="0" w:color="4BACC6" w:themeColor="accent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cPr>
    </w:tblStylePr>
    <w:tblStylePr w:type="swCell">
      <w:tblPr/>
      <w:tcPr>
        <w:tcBorders>
          <w:top w:val="nil"/>
        </w:tcBorders>
      </w:tcPr>
    </w:tblStylePr>
  </w:style>
  <w:style w:type="table" w:styleId="2-60">
    <w:name w:val="Medium List 2 Accent 6"/>
    <w:basedOn w:val="a1"/>
    <w:uiPriority w:val="66"/>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themeColor="accent6"/>
          <w:insideH w:val="nil"/>
          <w:insideV w:val="nil"/>
        </w:tcBorders>
        <w:shd w:val="clear" w:color="auto" w:fill="FFFFFF"/>
      </w:tcPr>
    </w:tblStylePr>
    <w:tblStylePr w:type="lastCol">
      <w:tblPr/>
      <w:tcPr>
        <w:tcBorders>
          <w:top w:val="nil"/>
          <w:left w:val="single" w:sz="8" w:space="0" w:color="F79646" w:themeColor="accent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cPr>
    </w:tblStylePr>
    <w:tblStylePr w:type="swCell">
      <w:tblPr/>
      <w:tcPr>
        <w:tcBorders>
          <w:top w:val="nil"/>
        </w:tcBorders>
      </w:tcPr>
    </w:tblStylePr>
  </w:style>
  <w:style w:type="table" w:styleId="1a">
    <w:name w:val="Medium Grid 1"/>
    <w:basedOn w:val="a1"/>
    <w:uiPriority w:val="67"/>
    <w:pPr>
      <w:spacing w:after="0" w:line="240" w:lineRule="auto"/>
    </w:pPr>
    <w:tblPr>
      <w:tblStyleRowBandSize w:val="1"/>
      <w:tblStyleColBandSize w:val="1"/>
      <w:tblBorders>
        <w:top w:val="single" w:sz="8" w:space="0" w:color="3F3F3F"/>
        <w:left w:val="single" w:sz="8" w:space="0" w:color="3F3F3F"/>
        <w:bottom w:val="single" w:sz="8" w:space="0" w:color="3F3F3F"/>
        <w:right w:val="single" w:sz="8" w:space="0" w:color="3F3F3F"/>
        <w:insideH w:val="single" w:sz="8" w:space="0" w:color="3F3F3F"/>
        <w:insideV w:val="single" w:sz="8" w:space="0" w:color="3F3F3F"/>
      </w:tblBorders>
    </w:tblPr>
    <w:tcPr>
      <w:shd w:val="clear" w:color="auto" w:fill="BFBFBF"/>
    </w:tcPr>
    <w:tblStylePr w:type="firstRow">
      <w:rPr>
        <w:b/>
        <w:bCs/>
      </w:rPr>
    </w:tblStylePr>
    <w:tblStylePr w:type="lastRow">
      <w:rPr>
        <w:b/>
        <w:bCs/>
      </w:rPr>
      <w:tblPr/>
      <w:tcPr>
        <w:tcBorders>
          <w:top w:val="single" w:sz="18" w:space="0" w:color="3F3F3F"/>
        </w:tcBorders>
      </w:tcPr>
    </w:tblStylePr>
    <w:tblStylePr w:type="firstCol">
      <w:rPr>
        <w:b/>
        <w:bCs/>
      </w:rPr>
    </w:tblStylePr>
    <w:tblStylePr w:type="lastCol">
      <w:rPr>
        <w:b/>
        <w:bCs/>
      </w:rPr>
    </w:tblStylePr>
    <w:tblStylePr w:type="band1Vert">
      <w:tblPr/>
      <w:tcPr>
        <w:shd w:val="clear" w:color="auto" w:fill="7F7F7F"/>
      </w:tcPr>
    </w:tblStylePr>
    <w:tblStylePr w:type="band1Horz">
      <w:tblPr/>
      <w:tcPr>
        <w:shd w:val="clear" w:color="auto" w:fill="7F7F7F"/>
      </w:tcPr>
    </w:tblStylePr>
  </w:style>
  <w:style w:type="table" w:styleId="1-11">
    <w:name w:val="Medium Grid 1 Accent 1"/>
    <w:basedOn w:val="a1"/>
    <w:uiPriority w:val="6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1"/>
    <w:uiPriority w:val="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1"/>
    <w:uiPriority w:val="6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1"/>
    <w:uiPriority w:val="67"/>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1"/>
    <w:uiPriority w:val="6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1"/>
    <w:uiPriority w:val="67"/>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3">
    <w:name w:val="Medium Grid 2"/>
    <w:basedOn w:val="a1"/>
    <w:uiPriority w:val="68"/>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BFBFBF"/>
    </w:tcPr>
    <w:tblStylePr w:type="firstRow">
      <w:rPr>
        <w:b/>
        <w:bCs/>
        <w:color w:val="000000"/>
      </w:rPr>
      <w:tblPr/>
      <w:tcPr>
        <w:shd w:val="clear" w:color="auto" w:fill="E5E5E5"/>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BCBCB"/>
      </w:tcPr>
    </w:tblStylePr>
    <w:tblStylePr w:type="band1Vert">
      <w:tblPr/>
      <w:tcPr>
        <w:shd w:val="clear" w:color="auto" w:fill="7F7F7F"/>
      </w:tcPr>
    </w:tblStylePr>
    <w:tblStylePr w:type="band1Horz">
      <w:tblPr/>
      <w:tcPr>
        <w:tcBorders>
          <w:insideH w:val="single" w:sz="6" w:space="0" w:color="000000"/>
          <w:insideV w:val="single" w:sz="6" w:space="0" w:color="000000"/>
        </w:tcBorders>
        <w:shd w:val="clear" w:color="auto" w:fill="7F7F7F"/>
      </w:tcPr>
    </w:tblStylePr>
    <w:tblStylePr w:type="nwCell">
      <w:tblPr/>
      <w:tcPr>
        <w:shd w:val="clear" w:color="auto" w:fill="FFFFFF"/>
      </w:tcPr>
    </w:tblStylePr>
  </w:style>
  <w:style w:type="table" w:styleId="2-11">
    <w:name w:val="Medium Grid 2 Accent 1"/>
    <w:basedOn w:val="a1"/>
    <w:uiPriority w:val="68"/>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cPr>
    </w:tblStylePr>
  </w:style>
  <w:style w:type="table" w:styleId="2-21">
    <w:name w:val="Medium Grid 2 Accent 2"/>
    <w:basedOn w:val="a1"/>
    <w:uiPriority w:val="68"/>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cPr>
    </w:tblStylePr>
  </w:style>
  <w:style w:type="table" w:styleId="2-31">
    <w:name w:val="Medium Grid 2 Accent 3"/>
    <w:basedOn w:val="a1"/>
    <w:uiPriority w:val="68"/>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cPr>
    </w:tblStylePr>
  </w:style>
  <w:style w:type="table" w:styleId="2-41">
    <w:name w:val="Medium Grid 2 Accent 4"/>
    <w:basedOn w:val="a1"/>
    <w:uiPriority w:val="68"/>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cPr>
    </w:tblStylePr>
  </w:style>
  <w:style w:type="table" w:styleId="2-51">
    <w:name w:val="Medium Grid 2 Accent 5"/>
    <w:basedOn w:val="a1"/>
    <w:uiPriority w:val="68"/>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cPr>
    </w:tblStylePr>
  </w:style>
  <w:style w:type="table" w:styleId="2-61">
    <w:name w:val="Medium Grid 2 Accent 6"/>
    <w:basedOn w:val="a1"/>
    <w:uiPriority w:val="68"/>
    <w:pPr>
      <w:spacing w:after="0" w:line="240" w:lineRule="auto"/>
    </w:pPr>
    <w:rPr>
      <w:rFonts w:asciiTheme="majorHAnsi" w:eastAsiaTheme="majorEastAsia" w:hAnsiTheme="majorHAnsi" w:cstheme="majorBidi"/>
      <w:color w:val="000000"/>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cPr>
    </w:tblStylePr>
  </w:style>
  <w:style w:type="table" w:styleId="30">
    <w:name w:val="Medium Grid 3"/>
    <w:basedOn w:val="a1"/>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BFBFB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7F7F7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7F7F7F"/>
      </w:tcPr>
    </w:tblStylePr>
  </w:style>
  <w:style w:type="table" w:styleId="3-1">
    <w:name w:val="Medium Grid 3 Accent 1"/>
    <w:basedOn w:val="a1"/>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hemeFill="accent1" w:themeFillTint="3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hemeFill="accent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hemeFill="accent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hemeFill="accent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hemeFill="accent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hemeFill="accent1" w:themeFillTint="7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hemeFill="accent1" w:themeFillTint="7F"/>
      </w:tcPr>
    </w:tblStylePr>
  </w:style>
  <w:style w:type="table" w:styleId="3-2">
    <w:name w:val="Medium Grid 3 Accent 2"/>
    <w:basedOn w:val="a1"/>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hemeFill="accent2" w:themeFillTint="3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hemeFill="accent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hemeFill="accent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hemeFill="accent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hemeFill="accent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hemeFill="accent2" w:themeFillTint="7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hemeFill="accent2" w:themeFillTint="7F"/>
      </w:tcPr>
    </w:tblStylePr>
  </w:style>
  <w:style w:type="table" w:styleId="3-3">
    <w:name w:val="Medium Grid 3 Accent 3"/>
    <w:basedOn w:val="a1"/>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hemeFill="accent3" w:themeFillTint="3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hemeFill="accent3"/>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hemeFill="accent3"/>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hemeFill="accent3"/>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hemeFill="accent3"/>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hemeFill="accent3" w:themeFillTint="7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hemeFill="accent3" w:themeFillTint="7F"/>
      </w:tcPr>
    </w:tblStylePr>
  </w:style>
  <w:style w:type="table" w:styleId="3-4">
    <w:name w:val="Medium Grid 3 Accent 4"/>
    <w:basedOn w:val="a1"/>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hemeFill="accent4" w:themeFillTint="3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hemeFill="accent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hemeFill="accent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hemeFill="accent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hemeFill="accent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hemeFill="accent4" w:themeFillTint="7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hemeFill="accent4" w:themeFillTint="7F"/>
      </w:tcPr>
    </w:tblStylePr>
  </w:style>
  <w:style w:type="table" w:styleId="3-5">
    <w:name w:val="Medium Grid 3 Accent 5"/>
    <w:basedOn w:val="a1"/>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hemeFill="accent5" w:themeFillTint="3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hemeFill="accent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hemeFill="accent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hemeFill="accent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hemeFill="accent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hemeFill="accent5" w:themeFillTint="7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hemeFill="accent5" w:themeFillTint="7F"/>
      </w:tcPr>
    </w:tblStylePr>
  </w:style>
  <w:style w:type="table" w:styleId="3-6">
    <w:name w:val="Medium Grid 3 Accent 6"/>
    <w:basedOn w:val="a1"/>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hemeFill="accent6" w:themeFillTint="3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hemeFill="accent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hemeFill="accent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hemeFill="accent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hemeFill="accent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hemeFill="accent6" w:themeFillTint="7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hemeFill="accent6" w:themeFillTint="7F"/>
      </w:tcPr>
    </w:tblStylePr>
  </w:style>
  <w:style w:type="table" w:styleId="af5">
    <w:name w:val="Dark List"/>
    <w:basedOn w:val="a1"/>
    <w:uiPriority w:val="70"/>
    <w:pPr>
      <w:spacing w:after="0" w:line="240" w:lineRule="auto"/>
    </w:pPr>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12">
    <w:name w:val="Dark List Accent 1"/>
    <w:basedOn w:val="a1"/>
    <w:uiPriority w:val="70"/>
    <w:pPr>
      <w:spacing w:after="0" w:line="240" w:lineRule="auto"/>
    </w:pPr>
    <w:rPr>
      <w:color w:val="FFFFFF"/>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insideH w:val="nil"/>
          <w:insideV w:val="nil"/>
        </w:tcBorders>
        <w:shd w:val="clear" w:color="auto" w:fill="365F91" w:themeFill="accent1" w:themeFillShade="BF"/>
      </w:tcPr>
    </w:tblStylePr>
    <w:tblStylePr w:type="lastCol">
      <w:tblPr/>
      <w:tcPr>
        <w:tcBorders>
          <w:top w:val="nil"/>
          <w:left w:val="single" w:sz="18" w:space="0" w:color="FFFFFF"/>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1"/>
    <w:uiPriority w:val="70"/>
    <w:pPr>
      <w:spacing w:after="0" w:line="240" w:lineRule="auto"/>
    </w:pPr>
    <w:rPr>
      <w:color w:val="FFFFFF"/>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insideH w:val="nil"/>
          <w:insideV w:val="nil"/>
        </w:tcBorders>
        <w:shd w:val="clear" w:color="auto" w:fill="943634" w:themeFill="accent2" w:themeFillShade="BF"/>
      </w:tcPr>
    </w:tblStylePr>
    <w:tblStylePr w:type="lastCol">
      <w:tblPr/>
      <w:tcPr>
        <w:tcBorders>
          <w:top w:val="nil"/>
          <w:left w:val="single" w:sz="18" w:space="0" w:color="FFFFFF"/>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1"/>
    <w:uiPriority w:val="70"/>
    <w:pPr>
      <w:spacing w:after="0" w:line="240" w:lineRule="auto"/>
    </w:pPr>
    <w:rPr>
      <w:color w:val="FFFFFF"/>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insideH w:val="nil"/>
          <w:insideV w:val="nil"/>
        </w:tcBorders>
        <w:shd w:val="clear" w:color="auto" w:fill="76923C" w:themeFill="accent3" w:themeFillShade="BF"/>
      </w:tcPr>
    </w:tblStylePr>
    <w:tblStylePr w:type="lastCol">
      <w:tblPr/>
      <w:tcPr>
        <w:tcBorders>
          <w:top w:val="nil"/>
          <w:left w:val="single" w:sz="18" w:space="0" w:color="FFFFFF"/>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1"/>
    <w:uiPriority w:val="70"/>
    <w:pPr>
      <w:spacing w:after="0" w:line="240" w:lineRule="auto"/>
    </w:pPr>
    <w:rPr>
      <w:color w:val="FFFFFF"/>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insideH w:val="nil"/>
          <w:insideV w:val="nil"/>
        </w:tcBorders>
        <w:shd w:val="clear" w:color="auto" w:fill="5F497A" w:themeFill="accent4" w:themeFillShade="BF"/>
      </w:tcPr>
    </w:tblStylePr>
    <w:tblStylePr w:type="lastCol">
      <w:tblPr/>
      <w:tcPr>
        <w:tcBorders>
          <w:top w:val="nil"/>
          <w:left w:val="single" w:sz="18" w:space="0" w:color="FFFFFF"/>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1"/>
    <w:uiPriority w:val="70"/>
    <w:pPr>
      <w:spacing w:after="0" w:line="240" w:lineRule="auto"/>
    </w:pPr>
    <w:rPr>
      <w:color w:val="FFFFFF"/>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insideH w:val="nil"/>
          <w:insideV w:val="nil"/>
        </w:tcBorders>
        <w:shd w:val="clear" w:color="auto" w:fill="31849B" w:themeFill="accent5" w:themeFillShade="BF"/>
      </w:tcPr>
    </w:tblStylePr>
    <w:tblStylePr w:type="lastCol">
      <w:tblPr/>
      <w:tcPr>
        <w:tcBorders>
          <w:top w:val="nil"/>
          <w:left w:val="single" w:sz="18" w:space="0" w:color="FFFFFF"/>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1"/>
    <w:uiPriority w:val="70"/>
    <w:pPr>
      <w:spacing w:after="0" w:line="240" w:lineRule="auto"/>
    </w:pPr>
    <w:rPr>
      <w:color w:val="FFFFFF"/>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insideH w:val="nil"/>
          <w:insideV w:val="nil"/>
        </w:tcBorders>
        <w:shd w:val="clear" w:color="auto" w:fill="E36C0A" w:themeFill="accent6" w:themeFillShade="BF"/>
      </w:tcPr>
    </w:tblStylePr>
    <w:tblStylePr w:type="lastCol">
      <w:tblPr/>
      <w:tcPr>
        <w:tcBorders>
          <w:top w:val="nil"/>
          <w:left w:val="single" w:sz="18" w:space="0" w:color="FFFFFF"/>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6">
    <w:name w:val="Colorful Shading"/>
    <w:basedOn w:val="a1"/>
    <w:uiPriority w:val="71"/>
    <w:pPr>
      <w:spacing w:after="0" w:line="240" w:lineRule="auto"/>
    </w:pPr>
    <w:rPr>
      <w:color w:val="000000"/>
    </w:rPr>
    <w:tblPr>
      <w:tblStyleRowBandSize w:val="1"/>
      <w:tblStyleColBandSize w:val="1"/>
      <w:tblBorders>
        <w:top w:val="single" w:sz="24" w:space="0" w:color="C0504D" w:themeColor="accent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5E5E5"/>
    </w:tcPr>
    <w:tblStylePr w:type="firstRow">
      <w:rPr>
        <w:b/>
        <w:bCs/>
      </w:rPr>
      <w:tblPr/>
      <w:tcPr>
        <w:tcBorders>
          <w:top w:val="nil"/>
          <w:left w:val="nil"/>
          <w:bottom w:val="single" w:sz="24" w:space="0" w:color="C0504D" w:themeColor="accent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89898"/>
      </w:tcPr>
    </w:tblStylePr>
    <w:tblStylePr w:type="band1Horz">
      <w:tblPr/>
      <w:tcPr>
        <w:shd w:val="clear" w:color="auto" w:fill="7F7F7F"/>
      </w:tcPr>
    </w:tblStylePr>
    <w:tblStylePr w:type="neCell">
      <w:rPr>
        <w:color w:val="000000"/>
      </w:rPr>
    </w:tblStylePr>
    <w:tblStylePr w:type="nwCell">
      <w:rPr>
        <w:color w:val="000000"/>
      </w:rPr>
    </w:tblStylePr>
  </w:style>
  <w:style w:type="table" w:styleId="-13">
    <w:name w:val="Colorful Shading Accent 1"/>
    <w:basedOn w:val="a1"/>
    <w:uiPriority w:val="71"/>
    <w:pPr>
      <w:spacing w:after="0" w:line="240" w:lineRule="auto"/>
    </w:pPr>
    <w:rPr>
      <w:color w:val="000000"/>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insideV w:val="single" w:sz="4" w:space="0" w:color="FFFFFF"/>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hemeFill="accent1" w:themeFillShade="99"/>
      </w:tcPr>
    </w:tblStylePr>
    <w:tblStylePr w:type="firstCol">
      <w:rPr>
        <w:color w:val="FFFFFF"/>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23">
    <w:name w:val="Colorful Shading Accent 2"/>
    <w:basedOn w:val="a1"/>
    <w:uiPriority w:val="71"/>
    <w:pPr>
      <w:spacing w:after="0" w:line="240" w:lineRule="auto"/>
    </w:pPr>
    <w:rPr>
      <w:color w:val="000000"/>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insideV w:val="single" w:sz="4" w:space="0" w:color="FFFFFF"/>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hemeFill="accent2" w:themeFillShade="99"/>
      </w:tcPr>
    </w:tblStylePr>
    <w:tblStylePr w:type="firstCol">
      <w:rPr>
        <w:color w:val="FFFFFF"/>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33">
    <w:name w:val="Colorful Shading Accent 3"/>
    <w:basedOn w:val="a1"/>
    <w:uiPriority w:val="71"/>
    <w:pPr>
      <w:spacing w:after="0" w:line="240" w:lineRule="auto"/>
    </w:pPr>
    <w:rPr>
      <w:color w:val="000000"/>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insideV w:val="single" w:sz="4" w:space="0" w:color="FFFFFF"/>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hemeFill="accent3" w:themeFillShade="99"/>
      </w:tcPr>
    </w:tblStylePr>
    <w:tblStylePr w:type="firstCol">
      <w:rPr>
        <w:color w:val="FFFFFF"/>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1"/>
    <w:uiPriority w:val="71"/>
    <w:pPr>
      <w:spacing w:after="0" w:line="240" w:lineRule="auto"/>
    </w:pPr>
    <w:rPr>
      <w:color w:val="000000"/>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insideV w:val="single" w:sz="4" w:space="0" w:color="FFFFFF"/>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hemeFill="accent4" w:themeFillShade="99"/>
      </w:tcPr>
    </w:tblStylePr>
    <w:tblStylePr w:type="firstCol">
      <w:rPr>
        <w:color w:val="FFFFFF"/>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53">
    <w:name w:val="Colorful Shading Accent 5"/>
    <w:basedOn w:val="a1"/>
    <w:uiPriority w:val="71"/>
    <w:pPr>
      <w:spacing w:after="0" w:line="240" w:lineRule="auto"/>
    </w:pPr>
    <w:rPr>
      <w:color w:val="000000"/>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insideV w:val="single" w:sz="4" w:space="0" w:color="FFFFFF"/>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hemeFill="accent5" w:themeFillShade="99"/>
      </w:tcPr>
    </w:tblStylePr>
    <w:tblStylePr w:type="firstCol">
      <w:rPr>
        <w:color w:val="FFFFFF"/>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63">
    <w:name w:val="Colorful Shading Accent 6"/>
    <w:basedOn w:val="a1"/>
    <w:uiPriority w:val="71"/>
    <w:pPr>
      <w:spacing w:after="0" w:line="240" w:lineRule="auto"/>
    </w:pPr>
    <w:rPr>
      <w:color w:val="000000"/>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insideV w:val="single" w:sz="4" w:space="0" w:color="FFFFFF"/>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hemeFill="accent6" w:themeFillShade="99"/>
      </w:tcPr>
    </w:tblStylePr>
    <w:tblStylePr w:type="firstCol">
      <w:rPr>
        <w:color w:val="FFFFFF"/>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af7">
    <w:name w:val="Colorful List"/>
    <w:basedOn w:val="a1"/>
    <w:uiPriority w:val="72"/>
    <w:pPr>
      <w:spacing w:after="0" w:line="240" w:lineRule="auto"/>
    </w:pPr>
    <w:rPr>
      <w:color w:val="000000"/>
    </w:rPr>
    <w:tblPr>
      <w:tblStyleRowBandSize w:val="1"/>
      <w:tblStyleColBandSize w:val="1"/>
    </w:tblPr>
    <w:tcPr>
      <w:shd w:val="clear" w:color="auto" w:fill="E5E5E5"/>
    </w:tcPr>
    <w:tblStylePr w:type="firstRow">
      <w:rPr>
        <w:b/>
        <w:bCs/>
        <w:color w:val="FFFFFF"/>
      </w:rPr>
      <w:tblPr/>
      <w:tcPr>
        <w:tcBorders>
          <w:bottom w:val="single" w:sz="12" w:space="0" w:color="FFFFFF"/>
        </w:tcBorders>
        <w:shd w:val="clear" w:color="auto" w:fill="9E3A38" w:themeFill="accent2" w:themeFillShade="CC"/>
      </w:tcPr>
    </w:tblStylePr>
    <w:tblStylePr w:type="lastRow">
      <w:rPr>
        <w:b/>
        <w:bCs/>
        <w:color w:val="9F3B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cPr>
    </w:tblStylePr>
    <w:tblStylePr w:type="band1Horz">
      <w:tblPr/>
      <w:tcPr>
        <w:shd w:val="clear" w:color="auto" w:fill="CBCBCB"/>
      </w:tcPr>
    </w:tblStylePr>
  </w:style>
  <w:style w:type="table" w:styleId="-14">
    <w:name w:val="Colorful List Accent 1"/>
    <w:basedOn w:val="a1"/>
    <w:uiPriority w:val="72"/>
    <w:pPr>
      <w:spacing w:after="0" w:line="240" w:lineRule="auto"/>
    </w:pPr>
    <w:rPr>
      <w:color w:val="000000"/>
    </w:rPr>
    <w:tblPr>
      <w:tblStyleRowBandSize w:val="1"/>
      <w:tblStyleColBandSize w:val="1"/>
    </w:tblPr>
    <w:tcPr>
      <w:shd w:val="clear" w:color="auto" w:fill="EDF2F8" w:themeFill="accent1" w:themeFillTint="19"/>
    </w:tcPr>
    <w:tblStylePr w:type="firstRow">
      <w:rPr>
        <w:b/>
        <w:bCs/>
        <w:color w:val="FFFFFF"/>
      </w:rPr>
      <w:tblPr/>
      <w:tcPr>
        <w:tcBorders>
          <w:bottom w:val="single" w:sz="12" w:space="0" w:color="FFFFFF"/>
        </w:tcBorders>
        <w:shd w:val="clear" w:color="auto" w:fill="9E3A38" w:themeFill="accent2" w:themeFillShade="CC"/>
      </w:tcPr>
    </w:tblStylePr>
    <w:tblStylePr w:type="lastRow">
      <w:rPr>
        <w:b/>
        <w:bCs/>
        <w:color w:val="9F3B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1"/>
    <w:uiPriority w:val="72"/>
    <w:pPr>
      <w:spacing w:after="0" w:line="240" w:lineRule="auto"/>
    </w:pPr>
    <w:rPr>
      <w:color w:val="000000"/>
    </w:rPr>
    <w:tblPr>
      <w:tblStyleRowBandSize w:val="1"/>
      <w:tblStyleColBandSize w:val="1"/>
    </w:tblPr>
    <w:tcPr>
      <w:shd w:val="clear" w:color="auto" w:fill="F8EDED" w:themeFill="accent2" w:themeFillTint="19"/>
    </w:tcPr>
    <w:tblStylePr w:type="firstRow">
      <w:rPr>
        <w:b/>
        <w:bCs/>
        <w:color w:val="FFFFFF"/>
      </w:rPr>
      <w:tblPr/>
      <w:tcPr>
        <w:tcBorders>
          <w:bottom w:val="single" w:sz="12" w:space="0" w:color="FFFFFF"/>
        </w:tcBorders>
        <w:shd w:val="clear" w:color="auto" w:fill="9E3A38" w:themeFill="accent2" w:themeFillShade="CC"/>
      </w:tcPr>
    </w:tblStylePr>
    <w:tblStylePr w:type="lastRow">
      <w:rPr>
        <w:b/>
        <w:bCs/>
        <w:color w:val="9F3B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1"/>
    <w:uiPriority w:val="72"/>
    <w:pPr>
      <w:spacing w:after="0" w:line="240" w:lineRule="auto"/>
    </w:pPr>
    <w:rPr>
      <w:color w:val="000000"/>
    </w:rPr>
    <w:tblPr>
      <w:tblStyleRowBandSize w:val="1"/>
      <w:tblStyleColBandSize w:val="1"/>
    </w:tblPr>
    <w:tcPr>
      <w:shd w:val="clear" w:color="auto" w:fill="F5F8EE" w:themeFill="accent3" w:themeFillTint="19"/>
    </w:tcPr>
    <w:tblStylePr w:type="firstRow">
      <w:rPr>
        <w:b/>
        <w:bCs/>
        <w:color w:val="FFFFFF"/>
      </w:rPr>
      <w:tblPr/>
      <w:tcPr>
        <w:tcBorders>
          <w:bottom w:val="single" w:sz="12" w:space="0" w:color="FFFFFF"/>
        </w:tcBorders>
        <w:shd w:val="clear" w:color="auto" w:fill="664E82" w:themeFill="accent4" w:themeFillShade="CC"/>
      </w:tcPr>
    </w:tblStylePr>
    <w:tblStylePr w:type="lastRow">
      <w:rPr>
        <w:b/>
        <w:bCs/>
        <w:color w:val="664F83"/>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1"/>
    <w:uiPriority w:val="72"/>
    <w:pPr>
      <w:spacing w:after="0" w:line="240" w:lineRule="auto"/>
    </w:pPr>
    <w:rPr>
      <w:color w:val="000000"/>
    </w:rPr>
    <w:tblPr>
      <w:tblStyleRowBandSize w:val="1"/>
      <w:tblStyleColBandSize w:val="1"/>
    </w:tblPr>
    <w:tcPr>
      <w:shd w:val="clear" w:color="auto" w:fill="F2EFF6" w:themeFill="accent4" w:themeFillTint="19"/>
    </w:tcPr>
    <w:tblStylePr w:type="firstRow">
      <w:rPr>
        <w:b/>
        <w:bCs/>
        <w:color w:val="FFFFFF"/>
      </w:rPr>
      <w:tblPr/>
      <w:tcPr>
        <w:tcBorders>
          <w:bottom w:val="single" w:sz="12" w:space="0" w:color="FFFFFF"/>
        </w:tcBorders>
        <w:shd w:val="clear" w:color="auto" w:fill="7E9C40" w:themeFill="accent3" w:themeFillShade="CC"/>
      </w:tcPr>
    </w:tblStylePr>
    <w:tblStylePr w:type="lastRow">
      <w:rPr>
        <w:b/>
        <w:bCs/>
        <w:color w:val="7E9D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1"/>
    <w:uiPriority w:val="72"/>
    <w:pPr>
      <w:spacing w:after="0" w:line="240" w:lineRule="auto"/>
    </w:pPr>
    <w:rPr>
      <w:color w:val="000000"/>
    </w:rPr>
    <w:tblPr>
      <w:tblStyleRowBandSize w:val="1"/>
      <w:tblStyleColBandSize w:val="1"/>
    </w:tblPr>
    <w:tcPr>
      <w:shd w:val="clear" w:color="auto" w:fill="EDF6F9" w:themeFill="accent5" w:themeFillTint="19"/>
    </w:tcPr>
    <w:tblStylePr w:type="firstRow">
      <w:rPr>
        <w:b/>
        <w:bCs/>
        <w:color w:val="FFFFFF"/>
      </w:rPr>
      <w:tblPr/>
      <w:tcPr>
        <w:tcBorders>
          <w:bottom w:val="single" w:sz="12" w:space="0" w:color="FFFFFF"/>
        </w:tcBorders>
        <w:shd w:val="clear" w:color="auto" w:fill="F2730A" w:themeFill="accent6" w:themeFillShade="CC"/>
      </w:tcPr>
    </w:tblStylePr>
    <w:tblStylePr w:type="lastRow">
      <w:rPr>
        <w:b/>
        <w:bCs/>
        <w:color w:val="F3740B"/>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1"/>
    <w:uiPriority w:val="72"/>
    <w:pPr>
      <w:spacing w:after="0" w:line="240" w:lineRule="auto"/>
    </w:pPr>
    <w:rPr>
      <w:color w:val="000000"/>
    </w:rPr>
    <w:tblPr>
      <w:tblStyleRowBandSize w:val="1"/>
      <w:tblStyleColBandSize w:val="1"/>
    </w:tblPr>
    <w:tcPr>
      <w:shd w:val="clear" w:color="auto" w:fill="FEF4EC" w:themeFill="accent6" w:themeFillTint="19"/>
    </w:tcPr>
    <w:tblStylePr w:type="firstRow">
      <w:rPr>
        <w:b/>
        <w:bCs/>
        <w:color w:val="FFFFFF"/>
      </w:rPr>
      <w:tblPr/>
      <w:tcPr>
        <w:tcBorders>
          <w:bottom w:val="single" w:sz="12" w:space="0" w:color="FFFFFF"/>
        </w:tcBorders>
        <w:shd w:val="clear" w:color="auto" w:fill="348DA5" w:themeFill="accent5" w:themeFillShade="CC"/>
      </w:tcPr>
    </w:tblStylePr>
    <w:tblStylePr w:type="lastRow">
      <w:rPr>
        <w:b/>
        <w:bCs/>
        <w:color w:val="358EA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8">
    <w:name w:val="Colorful Grid"/>
    <w:basedOn w:val="a1"/>
    <w:uiPriority w:val="73"/>
    <w:pPr>
      <w:spacing w:after="0" w:line="240" w:lineRule="auto"/>
    </w:pPr>
    <w:rPr>
      <w:color w:val="000000"/>
    </w:rPr>
    <w:tblPr>
      <w:tblStyleRowBandSize w:val="1"/>
      <w:tblStyleColBandSize w:val="1"/>
      <w:tblBorders>
        <w:insideH w:val="single" w:sz="4" w:space="0" w:color="FFFFFF"/>
      </w:tblBorders>
    </w:tblPr>
    <w:tcPr>
      <w:shd w:val="clear" w:color="auto" w:fill="CBCBCB"/>
    </w:tcPr>
    <w:tblStylePr w:type="firstRow">
      <w:rPr>
        <w:b/>
        <w:bCs/>
      </w:rPr>
      <w:tblPr/>
      <w:tcPr>
        <w:shd w:val="clear" w:color="auto" w:fill="989898"/>
      </w:tcPr>
    </w:tblStylePr>
    <w:tblStylePr w:type="lastRow">
      <w:rPr>
        <w:b/>
        <w:bCs/>
        <w:color w:val="000000"/>
      </w:rPr>
      <w:tblPr/>
      <w:tcPr>
        <w:shd w:val="clear" w:color="auto" w:fill="989898"/>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7F7F7F"/>
      </w:tcPr>
    </w:tblStylePr>
    <w:tblStylePr w:type="band1Horz">
      <w:tblPr/>
      <w:tcPr>
        <w:shd w:val="clear" w:color="auto" w:fill="7F7F7F"/>
      </w:tcPr>
    </w:tblStylePr>
  </w:style>
  <w:style w:type="table" w:styleId="-15">
    <w:name w:val="Colorful Grid Accent 1"/>
    <w:basedOn w:val="a1"/>
    <w:uiPriority w:val="73"/>
    <w:pPr>
      <w:spacing w:after="0" w:line="240" w:lineRule="auto"/>
    </w:pPr>
    <w:rPr>
      <w:color w:val="000000"/>
    </w:rPr>
    <w:tblPr>
      <w:tblStyleRowBandSize w:val="1"/>
      <w:tblStyleColBandSize w:val="1"/>
      <w:tblBorders>
        <w:insideH w:val="single" w:sz="4" w:space="0" w:color="FFFFFF"/>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FFFFFF"/>
      </w:rPr>
      <w:tblPr/>
      <w:tcPr>
        <w:shd w:val="clear" w:color="auto" w:fill="365F91" w:themeFill="accent1" w:themeFillShade="BF"/>
      </w:tcPr>
    </w:tblStylePr>
    <w:tblStylePr w:type="lastCol">
      <w:rPr>
        <w:color w:val="FFFFFF"/>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1"/>
    <w:uiPriority w:val="73"/>
    <w:pPr>
      <w:spacing w:after="0" w:line="240" w:lineRule="auto"/>
    </w:pPr>
    <w:rPr>
      <w:color w:val="000000"/>
    </w:rPr>
    <w:tblPr>
      <w:tblStyleRowBandSize w:val="1"/>
      <w:tblStyleColBandSize w:val="1"/>
      <w:tblBorders>
        <w:insideH w:val="single" w:sz="4" w:space="0" w:color="FFFFFF"/>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FFFFFF"/>
      </w:rPr>
      <w:tblPr/>
      <w:tcPr>
        <w:shd w:val="clear" w:color="auto" w:fill="943634" w:themeFill="accent2" w:themeFillShade="BF"/>
      </w:tcPr>
    </w:tblStylePr>
    <w:tblStylePr w:type="lastCol">
      <w:rPr>
        <w:color w:val="FFFFFF"/>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1"/>
    <w:uiPriority w:val="73"/>
    <w:pPr>
      <w:spacing w:after="0" w:line="240" w:lineRule="auto"/>
    </w:pPr>
    <w:rPr>
      <w:color w:val="000000"/>
    </w:rPr>
    <w:tblPr>
      <w:tblStyleRowBandSize w:val="1"/>
      <w:tblStyleColBandSize w:val="1"/>
      <w:tblBorders>
        <w:insideH w:val="single" w:sz="4" w:space="0" w:color="FFFFFF"/>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FFFFFF"/>
      </w:rPr>
      <w:tblPr/>
      <w:tcPr>
        <w:shd w:val="clear" w:color="auto" w:fill="76923C" w:themeFill="accent3" w:themeFillShade="BF"/>
      </w:tcPr>
    </w:tblStylePr>
    <w:tblStylePr w:type="lastCol">
      <w:rPr>
        <w:color w:val="FFFFFF"/>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1"/>
    <w:uiPriority w:val="73"/>
    <w:pPr>
      <w:spacing w:after="0" w:line="240" w:lineRule="auto"/>
    </w:pPr>
    <w:rPr>
      <w:color w:val="000000"/>
    </w:rPr>
    <w:tblPr>
      <w:tblStyleRowBandSize w:val="1"/>
      <w:tblStyleColBandSize w:val="1"/>
      <w:tblBorders>
        <w:insideH w:val="single" w:sz="4" w:space="0" w:color="FFFFFF"/>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FFFFFF"/>
      </w:rPr>
      <w:tblPr/>
      <w:tcPr>
        <w:shd w:val="clear" w:color="auto" w:fill="5F497A" w:themeFill="accent4" w:themeFillShade="BF"/>
      </w:tcPr>
    </w:tblStylePr>
    <w:tblStylePr w:type="lastCol">
      <w:rPr>
        <w:color w:val="FFFFFF"/>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1"/>
    <w:uiPriority w:val="73"/>
    <w:pPr>
      <w:spacing w:after="0" w:line="240" w:lineRule="auto"/>
    </w:pPr>
    <w:rPr>
      <w:color w:val="000000"/>
    </w:rPr>
    <w:tblPr>
      <w:tblStyleRowBandSize w:val="1"/>
      <w:tblStyleColBandSize w:val="1"/>
      <w:tblBorders>
        <w:insideH w:val="single" w:sz="4" w:space="0" w:color="FFFFFF"/>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FFFFFF"/>
      </w:rPr>
      <w:tblPr/>
      <w:tcPr>
        <w:shd w:val="clear" w:color="auto" w:fill="31849B" w:themeFill="accent5" w:themeFillShade="BF"/>
      </w:tcPr>
    </w:tblStylePr>
    <w:tblStylePr w:type="lastCol">
      <w:rPr>
        <w:color w:val="FFFFFF"/>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1"/>
    <w:uiPriority w:val="73"/>
    <w:pPr>
      <w:spacing w:after="0" w:line="240" w:lineRule="auto"/>
    </w:pPr>
    <w:rPr>
      <w:color w:val="000000"/>
    </w:rPr>
    <w:tblPr>
      <w:tblStyleRowBandSize w:val="1"/>
      <w:tblStyleColBandSize w:val="1"/>
      <w:tblBorders>
        <w:insideH w:val="single" w:sz="4" w:space="0" w:color="FFFFFF"/>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FFFFFF"/>
      </w:rPr>
      <w:tblPr/>
      <w:tcPr>
        <w:shd w:val="clear" w:color="auto" w:fill="E36C0A" w:themeFill="accent6" w:themeFillShade="BF"/>
      </w:tcPr>
    </w:tblStylePr>
    <w:tblStylePr w:type="lastCol">
      <w:rPr>
        <w:color w:val="FFFFFF"/>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9">
    <w:name w:val="footnote reference"/>
    <w:basedOn w:val="a0"/>
    <w:uiPriority w:val="99"/>
    <w:unhideWhenUsed/>
    <w:rPr>
      <w:vertAlign w:val="superscript"/>
    </w:rPr>
  </w:style>
  <w:style w:type="paragraph" w:styleId="afa">
    <w:name w:val="footnote text"/>
    <w:basedOn w:val="a"/>
    <w:link w:val="Char3"/>
    <w:uiPriority w:val="99"/>
    <w:unhideWhenUsed/>
    <w:pPr>
      <w:snapToGrid w:val="0"/>
    </w:pPr>
  </w:style>
  <w:style w:type="character" w:customStyle="1" w:styleId="Char3">
    <w:name w:val="각주 텍스트 Char"/>
    <w:basedOn w:val="a0"/>
    <w:link w:val="afa"/>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tint val="100000"/>
                <a:shade val="100000"/>
                <a:satMod val="129999"/>
              </a:schemeClr>
            </a:gs>
            <a:gs pos="100000">
              <a:schemeClr val="phClr">
                <a:tint val="50000"/>
                <a:shade val="100000"/>
                <a:satMod val="350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tint val="100000"/>
                <a:shade val="100000"/>
                <a:satMod val="129999"/>
              </a:schemeClr>
            </a:gs>
            <a:gs pos="100000">
              <a:schemeClr val="phClr">
                <a:tint val="50000"/>
                <a:shade val="100000"/>
                <a:satMod val="350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2026-02-24T08:38:03+00:00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7BC01EB-D0F3-4AE3-B719-911398E6A5DC}"/>
</file>

<file path=customXml/itemProps2.xml><?xml version="1.0" encoding="utf-8"?>
<ds:datastoreItem xmlns:ds="http://schemas.openxmlformats.org/officeDocument/2006/customXml" ds:itemID="{AEFEFF89-8A72-4CD5-BC1C-EE580163CD59}"/>
</file>

<file path=customXml/itemProps3.xml><?xml version="1.0" encoding="utf-8"?>
<ds:datastoreItem xmlns:ds="http://schemas.openxmlformats.org/officeDocument/2006/customXml" ds:itemID="{705C1375-EF80-408E-9146-0DF377538384}"/>
</file>

<file path=docProps/app.xml><?xml version="1.0" encoding="utf-8"?>
<Properties xmlns="http://schemas.openxmlformats.org/officeDocument/2006/extended-properties" xmlns:vt="http://schemas.openxmlformats.org/officeDocument/2006/docPropsVTypes">
  <Template>Normal</Template>
  <TotalTime>0</TotalTime>
  <Pages>10</Pages>
  <Words>2603</Words>
  <Characters>14840</Characters>
  <Application>Microsoft Office Word</Application>
  <DocSecurity>0</DocSecurity>
  <Lines>123</Lines>
  <Paragraphs>34</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
  <cp:revision>1</cp:revision>
  <dcterms:created xsi:type="dcterms:W3CDTF">2026-02-23T02:12:00Z</dcterms:created>
  <dcterms:modified xsi:type="dcterms:W3CDTF">2026-02-23T02:55:00Z</dcterms:modified>
  <cp:version>1000.0100.01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